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A46" w:rsidP="005B1A13" w:rsidRDefault="001C4A46" w14:paraId="44580C7B" w14:textId="44E318F6">
      <w:pPr>
        <w:tabs>
          <w:tab w:val="center" w:pos="3960"/>
          <w:tab w:val="right" w:pos="9360"/>
        </w:tabs>
        <w:spacing w:line="240" w:lineRule="auto"/>
        <w:ind w:firstLine="0"/>
      </w:pPr>
      <w:r>
        <w:t>ALJ/SCL/</w:t>
      </w:r>
      <w:proofErr w:type="spellStart"/>
      <w:r>
        <w:t>avs</w:t>
      </w:r>
      <w:proofErr w:type="spellEnd"/>
      <w:r>
        <w:tab/>
      </w:r>
      <w:r>
        <w:tab/>
      </w:r>
      <w:r w:rsidR="003C512F">
        <w:rPr>
          <w:b/>
        </w:rPr>
        <w:t xml:space="preserve">Date of </w:t>
      </w:r>
      <w:proofErr w:type="gramStart"/>
      <w:r w:rsidR="003C512F">
        <w:rPr>
          <w:b/>
        </w:rPr>
        <w:t>Issuance  12</w:t>
      </w:r>
      <w:proofErr w:type="gramEnd"/>
      <w:r w:rsidR="003C512F">
        <w:rPr>
          <w:b/>
        </w:rPr>
        <w:t>/22/2020</w:t>
      </w:r>
    </w:p>
    <w:p w:rsidRPr="00EE4315" w:rsidR="001C4A46" w:rsidP="001C4A46" w:rsidRDefault="001C4A46" w14:paraId="00E3AD4B" w14:textId="57415F3F">
      <w:pPr>
        <w:spacing w:line="240" w:lineRule="auto"/>
        <w:jc w:val="right"/>
        <w:rPr>
          <w:b/>
        </w:rPr>
      </w:pPr>
    </w:p>
    <w:p w:rsidRPr="005F34A2" w:rsidR="001C4A46" w:rsidP="001C4A46" w:rsidRDefault="001C4A46" w14:paraId="177AD568" w14:textId="01EFD17A">
      <w:pPr>
        <w:tabs>
          <w:tab w:val="left" w:pos="5772"/>
        </w:tabs>
        <w:ind w:firstLine="0"/>
        <w:jc w:val="right"/>
        <w:rPr>
          <w:b/>
          <w:bCs/>
        </w:rPr>
      </w:pPr>
      <w:r>
        <w:tab/>
      </w:r>
      <w:r w:rsidRPr="005F34A2">
        <w:rPr>
          <w:b/>
          <w:bCs/>
        </w:rPr>
        <w:tab/>
      </w:r>
    </w:p>
    <w:p w:rsidRPr="00EE3060" w:rsidR="001C4A46" w:rsidP="001C4A46" w:rsidRDefault="001C4A46" w14:paraId="5E59C47B" w14:textId="0F438A41">
      <w:pPr>
        <w:ind w:left="1080" w:hanging="1080"/>
      </w:pPr>
      <w:r>
        <w:t>Decision</w:t>
      </w:r>
      <w:r w:rsidR="003C512F">
        <w:t xml:space="preserve"> 20-12-</w:t>
      </w:r>
      <w:proofErr w:type="gramStart"/>
      <w:r w:rsidR="003C512F">
        <w:t>022  December</w:t>
      </w:r>
      <w:proofErr w:type="gramEnd"/>
      <w:r w:rsidR="003C512F">
        <w:t xml:space="preserve"> 17, 2020</w:t>
      </w:r>
    </w:p>
    <w:p w:rsidR="001C4A46" w:rsidP="001C4A46" w:rsidRDefault="001C4A46" w14:paraId="34D38A63" w14:textId="77777777">
      <w:pPr>
        <w:spacing w:line="240" w:lineRule="auto"/>
        <w:jc w:val="center"/>
        <w:rPr>
          <w:u w:val="single"/>
        </w:rPr>
      </w:pPr>
    </w:p>
    <w:p w:rsidR="001C4A46" w:rsidP="001C4A46" w:rsidRDefault="001C4A46" w14:paraId="3270BA6D"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1C4A46" w:rsidP="001C4A46" w:rsidRDefault="001C4A46" w14:paraId="29ACC5DC"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1C4A46" w:rsidTr="001C4A46" w14:paraId="0F92FEC1" w14:textId="77777777">
        <w:trPr>
          <w:jc w:val="center"/>
        </w:trPr>
        <w:tc>
          <w:tcPr>
            <w:tcW w:w="5040" w:type="dxa"/>
            <w:tcBorders>
              <w:top w:val="nil"/>
              <w:left w:val="nil"/>
              <w:bottom w:val="single" w:color="auto" w:sz="4" w:space="0"/>
              <w:right w:val="single" w:color="auto" w:sz="4" w:space="0"/>
            </w:tcBorders>
          </w:tcPr>
          <w:p w:rsidRPr="00DA7B5D" w:rsidR="001C4A46" w:rsidP="001C4A46" w:rsidRDefault="001C4A46" w14:paraId="642F4FBA" w14:textId="77777777">
            <w:pPr>
              <w:spacing w:line="240" w:lineRule="auto"/>
              <w:ind w:firstLine="0"/>
              <w:rPr>
                <w:rFonts w:cs="Arial"/>
                <w:szCs w:val="26"/>
              </w:rPr>
            </w:pPr>
            <w:r w:rsidRPr="001649FE">
              <w:rPr>
                <w:rFonts w:cs="Arial"/>
                <w:szCs w:val="26"/>
              </w:rPr>
              <w:t>Application of Southern California Gas Company (U904G) and San Diego Gas &amp; Electric Company (U902G) for Renewable Natural Gas Tariff.</w:t>
            </w:r>
            <w:r w:rsidRPr="00DA7B5D">
              <w:rPr>
                <w:rFonts w:cs="Arial"/>
                <w:szCs w:val="26"/>
              </w:rPr>
              <w:br/>
            </w:r>
          </w:p>
        </w:tc>
        <w:tc>
          <w:tcPr>
            <w:tcW w:w="5040" w:type="dxa"/>
            <w:tcBorders>
              <w:top w:val="nil"/>
              <w:left w:val="single" w:color="auto" w:sz="4" w:space="0"/>
              <w:bottom w:val="nil"/>
              <w:right w:val="nil"/>
            </w:tcBorders>
            <w:vAlign w:val="center"/>
          </w:tcPr>
          <w:p w:rsidRPr="00DA7B5D" w:rsidR="001C4A46" w:rsidP="001C4A46" w:rsidRDefault="001C4A46" w14:paraId="0612855D" w14:textId="77777777">
            <w:pPr>
              <w:spacing w:line="240" w:lineRule="auto"/>
              <w:ind w:firstLine="0"/>
              <w:jc w:val="center"/>
              <w:rPr>
                <w:rFonts w:cs="Arial"/>
                <w:szCs w:val="26"/>
              </w:rPr>
            </w:pPr>
            <w:r>
              <w:t>Application 19-02-015</w:t>
            </w:r>
          </w:p>
        </w:tc>
      </w:tr>
    </w:tbl>
    <w:p w:rsidR="001C4A46" w:rsidP="001C4A46" w:rsidRDefault="001C4A46" w14:paraId="1543EDE9" w14:textId="77777777">
      <w:pPr>
        <w:spacing w:line="240" w:lineRule="auto"/>
        <w:ind w:firstLine="0"/>
        <w:rPr>
          <w:rFonts w:ascii="Arial" w:hAnsi="Arial" w:cs="Arial"/>
          <w:sz w:val="24"/>
          <w:szCs w:val="24"/>
        </w:rPr>
      </w:pPr>
    </w:p>
    <w:p w:rsidR="001C4A46" w:rsidP="001C4A46" w:rsidRDefault="001C4A46" w14:paraId="6A0AB52B" w14:textId="77777777">
      <w:pPr>
        <w:spacing w:line="240" w:lineRule="auto"/>
        <w:ind w:firstLine="0"/>
        <w:rPr>
          <w:rFonts w:ascii="Arial" w:hAnsi="Arial" w:cs="Arial"/>
          <w:sz w:val="24"/>
          <w:szCs w:val="24"/>
        </w:rPr>
      </w:pPr>
    </w:p>
    <w:p w:rsidR="001C4A46" w:rsidP="001C4A46" w:rsidRDefault="001C4A46" w14:paraId="37D5354C" w14:textId="0CEBE76B">
      <w:pPr>
        <w:pStyle w:val="Dummy"/>
        <w:jc w:val="center"/>
      </w:pPr>
      <w:bookmarkStart w:name="_Toc57188118" w:id="0"/>
      <w:r>
        <w:t xml:space="preserve">DECISION ADOPTING VOLUNTARY PILOT RENEWABLE </w:t>
      </w:r>
      <w:r>
        <w:br/>
        <w:t>NATURAL GAS TARIFF PROGRAM</w:t>
      </w:r>
      <w:bookmarkEnd w:id="0"/>
    </w:p>
    <w:p w:rsidR="001C4A46" w:rsidP="001C4A46" w:rsidRDefault="001C4A46" w14:paraId="096A760F" w14:textId="77777777"/>
    <w:p w:rsidR="009A0E80" w:rsidP="001C4A46" w:rsidRDefault="009A0E80" w14:paraId="190811B3" w14:textId="77777777">
      <w:pPr>
        <w:sectPr w:rsidR="009A0E80" w:rsidSect="00BF001C">
          <w:footerReference w:type="first" r:id="rId8"/>
          <w:pgSz w:w="12240" w:h="15840"/>
          <w:pgMar w:top="1440" w:right="1440" w:bottom="1440" w:left="1440" w:header="720" w:footer="720" w:gutter="0"/>
          <w:pgNumType w:start="1"/>
          <w:cols w:space="720"/>
          <w:titlePg/>
          <w:docGrid w:linePitch="360"/>
        </w:sectPr>
      </w:pPr>
    </w:p>
    <w:p w:rsidRPr="001E2A62" w:rsidR="001C4A46" w:rsidP="001C4A46" w:rsidRDefault="001C4A46" w14:paraId="31CB686A" w14:textId="77777777">
      <w:pPr>
        <w:pStyle w:val="Main"/>
        <w:rPr>
          <w:rFonts w:ascii="Book Antiqua" w:hAnsi="Book Antiqua"/>
        </w:rPr>
      </w:pPr>
      <w:r w:rsidRPr="001E2A62">
        <w:rPr>
          <w:rFonts w:ascii="Book Antiqua" w:hAnsi="Book Antiqua"/>
        </w:rPr>
        <w:lastRenderedPageBreak/>
        <w:t>TABLE OF CONTENTS</w:t>
      </w:r>
    </w:p>
    <w:p w:rsidRPr="00D50119" w:rsidR="001C4A46" w:rsidP="001C4A46" w:rsidRDefault="001C4A46" w14:paraId="63717522"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347080" w:rsidRDefault="001C4A46" w14:paraId="02064F64" w14:textId="47848CF4">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57188118">
            <w:r w:rsidRPr="00D40C48" w:rsidR="00347080">
              <w:rPr>
                <w:rStyle w:val="Hyperlink"/>
                <w:noProof/>
              </w:rPr>
              <w:t>DECISION ADOPTING VOLUNTARY PILOT RENEWABLE  NATURAL GAS TARIFF PROGRAM</w:t>
            </w:r>
            <w:r w:rsidR="00347080">
              <w:rPr>
                <w:noProof/>
                <w:webHidden/>
              </w:rPr>
              <w:tab/>
            </w:r>
            <w:r w:rsidR="00347080">
              <w:rPr>
                <w:noProof/>
                <w:webHidden/>
              </w:rPr>
              <w:fldChar w:fldCharType="begin"/>
            </w:r>
            <w:r w:rsidR="00347080">
              <w:rPr>
                <w:noProof/>
                <w:webHidden/>
              </w:rPr>
              <w:instrText xml:space="preserve"> PAGEREF _Toc57188118 \h </w:instrText>
            </w:r>
            <w:r w:rsidR="00347080">
              <w:rPr>
                <w:noProof/>
                <w:webHidden/>
              </w:rPr>
            </w:r>
            <w:r w:rsidR="00347080">
              <w:rPr>
                <w:noProof/>
                <w:webHidden/>
              </w:rPr>
              <w:fldChar w:fldCharType="separate"/>
            </w:r>
            <w:r w:rsidR="00CD0206">
              <w:rPr>
                <w:noProof/>
                <w:webHidden/>
              </w:rPr>
              <w:t>1</w:t>
            </w:r>
            <w:r w:rsidR="00347080">
              <w:rPr>
                <w:noProof/>
                <w:webHidden/>
              </w:rPr>
              <w:fldChar w:fldCharType="end"/>
            </w:r>
          </w:hyperlink>
        </w:p>
        <w:p w:rsidR="00347080" w:rsidRDefault="00CA2A68" w14:paraId="47206773" w14:textId="74CB4D3D">
          <w:pPr>
            <w:pStyle w:val="TOC1"/>
            <w:tabs>
              <w:tab w:val="right" w:leader="dot" w:pos="9350"/>
            </w:tabs>
            <w:rPr>
              <w:rFonts w:asciiTheme="minorHAnsi" w:hAnsiTheme="minorHAnsi" w:cstheme="minorBidi"/>
              <w:noProof/>
              <w:sz w:val="22"/>
            </w:rPr>
          </w:pPr>
          <w:hyperlink w:history="1" w:anchor="_Toc57188119">
            <w:r w:rsidRPr="00D40C48" w:rsidR="00347080">
              <w:rPr>
                <w:rStyle w:val="Hyperlink"/>
                <w:noProof/>
              </w:rPr>
              <w:t>Summary</w:t>
            </w:r>
            <w:r w:rsidR="00347080">
              <w:rPr>
                <w:noProof/>
                <w:webHidden/>
              </w:rPr>
              <w:tab/>
            </w:r>
            <w:r w:rsidR="00347080">
              <w:rPr>
                <w:noProof/>
                <w:webHidden/>
              </w:rPr>
              <w:fldChar w:fldCharType="begin"/>
            </w:r>
            <w:r w:rsidR="00347080">
              <w:rPr>
                <w:noProof/>
                <w:webHidden/>
              </w:rPr>
              <w:instrText xml:space="preserve"> PAGEREF _Toc57188119 \h </w:instrText>
            </w:r>
            <w:r w:rsidR="00347080">
              <w:rPr>
                <w:noProof/>
                <w:webHidden/>
              </w:rPr>
            </w:r>
            <w:r w:rsidR="00347080">
              <w:rPr>
                <w:noProof/>
                <w:webHidden/>
              </w:rPr>
              <w:fldChar w:fldCharType="separate"/>
            </w:r>
            <w:r w:rsidR="00CD0206">
              <w:rPr>
                <w:noProof/>
                <w:webHidden/>
              </w:rPr>
              <w:t>2</w:t>
            </w:r>
            <w:r w:rsidR="00347080">
              <w:rPr>
                <w:noProof/>
                <w:webHidden/>
              </w:rPr>
              <w:fldChar w:fldCharType="end"/>
            </w:r>
          </w:hyperlink>
        </w:p>
        <w:p w:rsidR="00347080" w:rsidRDefault="00CA2A68" w14:paraId="412D827E" w14:textId="41DFD4B1">
          <w:pPr>
            <w:pStyle w:val="TOC1"/>
            <w:tabs>
              <w:tab w:val="right" w:leader="dot" w:pos="9350"/>
            </w:tabs>
            <w:rPr>
              <w:rFonts w:asciiTheme="minorHAnsi" w:hAnsiTheme="minorHAnsi" w:cstheme="minorBidi"/>
              <w:noProof/>
              <w:sz w:val="22"/>
            </w:rPr>
          </w:pPr>
          <w:hyperlink w:history="1" w:anchor="_Toc57188120">
            <w:r w:rsidRPr="00D40C48" w:rsidR="00347080">
              <w:rPr>
                <w:rStyle w:val="Hyperlink"/>
                <w:noProof/>
              </w:rPr>
              <w:t>1.</w:t>
            </w:r>
            <w:r w:rsidR="00347080">
              <w:rPr>
                <w:rFonts w:asciiTheme="minorHAnsi" w:hAnsiTheme="minorHAnsi" w:cstheme="minorBidi"/>
                <w:noProof/>
                <w:sz w:val="22"/>
              </w:rPr>
              <w:tab/>
            </w:r>
            <w:r w:rsidRPr="00D40C48" w:rsidR="00347080">
              <w:rPr>
                <w:rStyle w:val="Hyperlink"/>
                <w:noProof/>
              </w:rPr>
              <w:t>Background</w:t>
            </w:r>
            <w:r w:rsidR="00347080">
              <w:rPr>
                <w:noProof/>
                <w:webHidden/>
              </w:rPr>
              <w:tab/>
            </w:r>
            <w:r w:rsidR="00347080">
              <w:rPr>
                <w:noProof/>
                <w:webHidden/>
              </w:rPr>
              <w:fldChar w:fldCharType="begin"/>
            </w:r>
            <w:r w:rsidR="00347080">
              <w:rPr>
                <w:noProof/>
                <w:webHidden/>
              </w:rPr>
              <w:instrText xml:space="preserve"> PAGEREF _Toc57188120 \h </w:instrText>
            </w:r>
            <w:r w:rsidR="00347080">
              <w:rPr>
                <w:noProof/>
                <w:webHidden/>
              </w:rPr>
            </w:r>
            <w:r w:rsidR="00347080">
              <w:rPr>
                <w:noProof/>
                <w:webHidden/>
              </w:rPr>
              <w:fldChar w:fldCharType="separate"/>
            </w:r>
            <w:r w:rsidR="00CD0206">
              <w:rPr>
                <w:noProof/>
                <w:webHidden/>
              </w:rPr>
              <w:t>3</w:t>
            </w:r>
            <w:r w:rsidR="00347080">
              <w:rPr>
                <w:noProof/>
                <w:webHidden/>
              </w:rPr>
              <w:fldChar w:fldCharType="end"/>
            </w:r>
          </w:hyperlink>
        </w:p>
        <w:p w:rsidR="00347080" w:rsidRDefault="00CA2A68" w14:paraId="09F3F2D8" w14:textId="074A8497">
          <w:pPr>
            <w:pStyle w:val="TOC1"/>
            <w:tabs>
              <w:tab w:val="right" w:leader="dot" w:pos="9350"/>
            </w:tabs>
            <w:rPr>
              <w:rFonts w:asciiTheme="minorHAnsi" w:hAnsiTheme="minorHAnsi" w:cstheme="minorBidi"/>
              <w:noProof/>
              <w:sz w:val="22"/>
            </w:rPr>
          </w:pPr>
          <w:hyperlink w:history="1" w:anchor="_Toc57188121">
            <w:r w:rsidRPr="00D40C48" w:rsidR="00347080">
              <w:rPr>
                <w:rStyle w:val="Hyperlink"/>
                <w:noProof/>
              </w:rPr>
              <w:t>2.</w:t>
            </w:r>
            <w:r w:rsidR="00347080">
              <w:rPr>
                <w:rFonts w:asciiTheme="minorHAnsi" w:hAnsiTheme="minorHAnsi" w:cstheme="minorBidi"/>
                <w:noProof/>
                <w:sz w:val="22"/>
              </w:rPr>
              <w:tab/>
            </w:r>
            <w:r w:rsidRPr="00D40C48" w:rsidR="00347080">
              <w:rPr>
                <w:rStyle w:val="Hyperlink"/>
                <w:noProof/>
              </w:rPr>
              <w:t>The Utilities’ Application and Parties’ Positions</w:t>
            </w:r>
            <w:r w:rsidR="00347080">
              <w:rPr>
                <w:noProof/>
                <w:webHidden/>
              </w:rPr>
              <w:tab/>
            </w:r>
            <w:r w:rsidR="00347080">
              <w:rPr>
                <w:noProof/>
                <w:webHidden/>
              </w:rPr>
              <w:fldChar w:fldCharType="begin"/>
            </w:r>
            <w:r w:rsidR="00347080">
              <w:rPr>
                <w:noProof/>
                <w:webHidden/>
              </w:rPr>
              <w:instrText xml:space="preserve"> PAGEREF _Toc57188121 \h </w:instrText>
            </w:r>
            <w:r w:rsidR="00347080">
              <w:rPr>
                <w:noProof/>
                <w:webHidden/>
              </w:rPr>
            </w:r>
            <w:r w:rsidR="00347080">
              <w:rPr>
                <w:noProof/>
                <w:webHidden/>
              </w:rPr>
              <w:fldChar w:fldCharType="separate"/>
            </w:r>
            <w:r w:rsidR="00CD0206">
              <w:rPr>
                <w:noProof/>
                <w:webHidden/>
              </w:rPr>
              <w:t>7</w:t>
            </w:r>
            <w:r w:rsidR="00347080">
              <w:rPr>
                <w:noProof/>
                <w:webHidden/>
              </w:rPr>
              <w:fldChar w:fldCharType="end"/>
            </w:r>
          </w:hyperlink>
        </w:p>
        <w:p w:rsidR="00347080" w:rsidRDefault="00CA2A68" w14:paraId="6EB7FE7D" w14:textId="705DA6A2">
          <w:pPr>
            <w:pStyle w:val="TOC2"/>
            <w:tabs>
              <w:tab w:val="right" w:leader="dot" w:pos="9350"/>
            </w:tabs>
            <w:rPr>
              <w:rFonts w:asciiTheme="minorHAnsi" w:hAnsiTheme="minorHAnsi" w:cstheme="minorBidi"/>
              <w:noProof/>
              <w:sz w:val="22"/>
            </w:rPr>
          </w:pPr>
          <w:hyperlink w:history="1" w:anchor="_Toc57188122">
            <w:r w:rsidRPr="00D40C48" w:rsidR="00347080">
              <w:rPr>
                <w:rStyle w:val="Hyperlink"/>
                <w:noProof/>
              </w:rPr>
              <w:t>2.1.</w:t>
            </w:r>
            <w:r w:rsidR="00347080">
              <w:rPr>
                <w:rFonts w:asciiTheme="minorHAnsi" w:hAnsiTheme="minorHAnsi" w:cstheme="minorBidi"/>
                <w:noProof/>
                <w:sz w:val="22"/>
              </w:rPr>
              <w:tab/>
            </w:r>
            <w:r w:rsidRPr="00D40C48" w:rsidR="00347080">
              <w:rPr>
                <w:rStyle w:val="Hyperlink"/>
                <w:noProof/>
              </w:rPr>
              <w:t>The Utilities’ Proposed RNG Tariff Program</w:t>
            </w:r>
            <w:r w:rsidR="00347080">
              <w:rPr>
                <w:noProof/>
                <w:webHidden/>
              </w:rPr>
              <w:tab/>
            </w:r>
            <w:r w:rsidR="00347080">
              <w:rPr>
                <w:noProof/>
                <w:webHidden/>
              </w:rPr>
              <w:fldChar w:fldCharType="begin"/>
            </w:r>
            <w:r w:rsidR="00347080">
              <w:rPr>
                <w:noProof/>
                <w:webHidden/>
              </w:rPr>
              <w:instrText xml:space="preserve"> PAGEREF _Toc57188122 \h </w:instrText>
            </w:r>
            <w:r w:rsidR="00347080">
              <w:rPr>
                <w:noProof/>
                <w:webHidden/>
              </w:rPr>
            </w:r>
            <w:r w:rsidR="00347080">
              <w:rPr>
                <w:noProof/>
                <w:webHidden/>
              </w:rPr>
              <w:fldChar w:fldCharType="separate"/>
            </w:r>
            <w:r w:rsidR="00CD0206">
              <w:rPr>
                <w:noProof/>
                <w:webHidden/>
              </w:rPr>
              <w:t>7</w:t>
            </w:r>
            <w:r w:rsidR="00347080">
              <w:rPr>
                <w:noProof/>
                <w:webHidden/>
              </w:rPr>
              <w:fldChar w:fldCharType="end"/>
            </w:r>
          </w:hyperlink>
        </w:p>
        <w:p w:rsidR="00347080" w:rsidRDefault="00CA2A68" w14:paraId="23AB0031" w14:textId="4A836DB9">
          <w:pPr>
            <w:pStyle w:val="TOC2"/>
            <w:tabs>
              <w:tab w:val="right" w:leader="dot" w:pos="9350"/>
            </w:tabs>
            <w:rPr>
              <w:rFonts w:asciiTheme="minorHAnsi" w:hAnsiTheme="minorHAnsi" w:cstheme="minorBidi"/>
              <w:noProof/>
              <w:sz w:val="22"/>
            </w:rPr>
          </w:pPr>
          <w:hyperlink w:history="1" w:anchor="_Toc57188123">
            <w:r w:rsidRPr="00D40C48" w:rsidR="00347080">
              <w:rPr>
                <w:rStyle w:val="Hyperlink"/>
                <w:noProof/>
              </w:rPr>
              <w:t>2.2.</w:t>
            </w:r>
            <w:r w:rsidR="00347080">
              <w:rPr>
                <w:rFonts w:asciiTheme="minorHAnsi" w:hAnsiTheme="minorHAnsi" w:cstheme="minorBidi"/>
                <w:noProof/>
                <w:sz w:val="22"/>
              </w:rPr>
              <w:tab/>
            </w:r>
            <w:r w:rsidRPr="00D40C48" w:rsidR="00347080">
              <w:rPr>
                <w:rStyle w:val="Hyperlink"/>
                <w:noProof/>
              </w:rPr>
              <w:t>Requested Relief</w:t>
            </w:r>
            <w:r w:rsidR="00347080">
              <w:rPr>
                <w:noProof/>
                <w:webHidden/>
              </w:rPr>
              <w:tab/>
            </w:r>
            <w:r w:rsidR="00347080">
              <w:rPr>
                <w:noProof/>
                <w:webHidden/>
              </w:rPr>
              <w:fldChar w:fldCharType="begin"/>
            </w:r>
            <w:r w:rsidR="00347080">
              <w:rPr>
                <w:noProof/>
                <w:webHidden/>
              </w:rPr>
              <w:instrText xml:space="preserve"> PAGEREF _Toc57188123 \h </w:instrText>
            </w:r>
            <w:r w:rsidR="00347080">
              <w:rPr>
                <w:noProof/>
                <w:webHidden/>
              </w:rPr>
            </w:r>
            <w:r w:rsidR="00347080">
              <w:rPr>
                <w:noProof/>
                <w:webHidden/>
              </w:rPr>
              <w:fldChar w:fldCharType="separate"/>
            </w:r>
            <w:r w:rsidR="00CD0206">
              <w:rPr>
                <w:noProof/>
                <w:webHidden/>
              </w:rPr>
              <w:t>9</w:t>
            </w:r>
            <w:r w:rsidR="00347080">
              <w:rPr>
                <w:noProof/>
                <w:webHidden/>
              </w:rPr>
              <w:fldChar w:fldCharType="end"/>
            </w:r>
          </w:hyperlink>
        </w:p>
        <w:p w:rsidR="00347080" w:rsidRDefault="00CA2A68" w14:paraId="72331829" w14:textId="0D637047">
          <w:pPr>
            <w:pStyle w:val="TOC2"/>
            <w:tabs>
              <w:tab w:val="right" w:leader="dot" w:pos="9350"/>
            </w:tabs>
            <w:rPr>
              <w:rFonts w:asciiTheme="minorHAnsi" w:hAnsiTheme="minorHAnsi" w:cstheme="minorBidi"/>
              <w:noProof/>
              <w:sz w:val="22"/>
            </w:rPr>
          </w:pPr>
          <w:hyperlink w:history="1" w:anchor="_Toc57188124">
            <w:r w:rsidRPr="00D40C48" w:rsidR="00347080">
              <w:rPr>
                <w:rStyle w:val="Hyperlink"/>
                <w:noProof/>
              </w:rPr>
              <w:t>2.3.</w:t>
            </w:r>
            <w:r w:rsidR="00347080">
              <w:rPr>
                <w:rFonts w:asciiTheme="minorHAnsi" w:hAnsiTheme="minorHAnsi" w:cstheme="minorBidi"/>
                <w:noProof/>
                <w:sz w:val="22"/>
              </w:rPr>
              <w:tab/>
            </w:r>
            <w:r w:rsidRPr="00D40C48" w:rsidR="00347080">
              <w:rPr>
                <w:rStyle w:val="Hyperlink"/>
                <w:noProof/>
              </w:rPr>
              <w:t>Parties’ Positions</w:t>
            </w:r>
            <w:r w:rsidR="00347080">
              <w:rPr>
                <w:noProof/>
                <w:webHidden/>
              </w:rPr>
              <w:tab/>
            </w:r>
            <w:r w:rsidR="00347080">
              <w:rPr>
                <w:noProof/>
                <w:webHidden/>
              </w:rPr>
              <w:fldChar w:fldCharType="begin"/>
            </w:r>
            <w:r w:rsidR="00347080">
              <w:rPr>
                <w:noProof/>
                <w:webHidden/>
              </w:rPr>
              <w:instrText xml:space="preserve"> PAGEREF _Toc57188124 \h </w:instrText>
            </w:r>
            <w:r w:rsidR="00347080">
              <w:rPr>
                <w:noProof/>
                <w:webHidden/>
              </w:rPr>
            </w:r>
            <w:r w:rsidR="00347080">
              <w:rPr>
                <w:noProof/>
                <w:webHidden/>
              </w:rPr>
              <w:fldChar w:fldCharType="separate"/>
            </w:r>
            <w:r w:rsidR="00CD0206">
              <w:rPr>
                <w:noProof/>
                <w:webHidden/>
              </w:rPr>
              <w:t>10</w:t>
            </w:r>
            <w:r w:rsidR="00347080">
              <w:rPr>
                <w:noProof/>
                <w:webHidden/>
              </w:rPr>
              <w:fldChar w:fldCharType="end"/>
            </w:r>
          </w:hyperlink>
        </w:p>
        <w:p w:rsidR="00347080" w:rsidRDefault="00CA2A68" w14:paraId="2D32DE39" w14:textId="4B88BFD9">
          <w:pPr>
            <w:pStyle w:val="TOC1"/>
            <w:tabs>
              <w:tab w:val="right" w:leader="dot" w:pos="9350"/>
            </w:tabs>
            <w:rPr>
              <w:rFonts w:asciiTheme="minorHAnsi" w:hAnsiTheme="minorHAnsi" w:cstheme="minorBidi"/>
              <w:noProof/>
              <w:sz w:val="22"/>
            </w:rPr>
          </w:pPr>
          <w:hyperlink w:history="1" w:anchor="_Toc57188125">
            <w:r w:rsidRPr="00D40C48" w:rsidR="00347080">
              <w:rPr>
                <w:rStyle w:val="Hyperlink"/>
                <w:noProof/>
              </w:rPr>
              <w:t>3.</w:t>
            </w:r>
            <w:r w:rsidR="00347080">
              <w:rPr>
                <w:rFonts w:asciiTheme="minorHAnsi" w:hAnsiTheme="minorHAnsi" w:cstheme="minorBidi"/>
                <w:noProof/>
                <w:sz w:val="22"/>
              </w:rPr>
              <w:tab/>
            </w:r>
            <w:r w:rsidRPr="00D40C48" w:rsidR="00347080">
              <w:rPr>
                <w:rStyle w:val="Hyperlink"/>
                <w:noProof/>
              </w:rPr>
              <w:t>Contested Settlement Agreement</w:t>
            </w:r>
            <w:r w:rsidR="00347080">
              <w:rPr>
                <w:noProof/>
                <w:webHidden/>
              </w:rPr>
              <w:tab/>
            </w:r>
            <w:r w:rsidR="00347080">
              <w:rPr>
                <w:noProof/>
                <w:webHidden/>
              </w:rPr>
              <w:fldChar w:fldCharType="begin"/>
            </w:r>
            <w:r w:rsidR="00347080">
              <w:rPr>
                <w:noProof/>
                <w:webHidden/>
              </w:rPr>
              <w:instrText xml:space="preserve"> PAGEREF _Toc57188125 \h </w:instrText>
            </w:r>
            <w:r w:rsidR="00347080">
              <w:rPr>
                <w:noProof/>
                <w:webHidden/>
              </w:rPr>
            </w:r>
            <w:r w:rsidR="00347080">
              <w:rPr>
                <w:noProof/>
                <w:webHidden/>
              </w:rPr>
              <w:fldChar w:fldCharType="separate"/>
            </w:r>
            <w:r w:rsidR="00CD0206">
              <w:rPr>
                <w:noProof/>
                <w:webHidden/>
              </w:rPr>
              <w:t>10</w:t>
            </w:r>
            <w:r w:rsidR="00347080">
              <w:rPr>
                <w:noProof/>
                <w:webHidden/>
              </w:rPr>
              <w:fldChar w:fldCharType="end"/>
            </w:r>
          </w:hyperlink>
        </w:p>
        <w:p w:rsidR="00347080" w:rsidRDefault="00CA2A68" w14:paraId="1383F7F8" w14:textId="520F3BDB">
          <w:pPr>
            <w:pStyle w:val="TOC2"/>
            <w:tabs>
              <w:tab w:val="right" w:leader="dot" w:pos="9350"/>
            </w:tabs>
            <w:rPr>
              <w:rFonts w:asciiTheme="minorHAnsi" w:hAnsiTheme="minorHAnsi" w:cstheme="minorBidi"/>
              <w:noProof/>
              <w:sz w:val="22"/>
            </w:rPr>
          </w:pPr>
          <w:hyperlink w:history="1" w:anchor="_Toc57188126">
            <w:r w:rsidRPr="00D40C48" w:rsidR="00347080">
              <w:rPr>
                <w:rStyle w:val="Hyperlink"/>
                <w:noProof/>
              </w:rPr>
              <w:t>3.1.</w:t>
            </w:r>
            <w:r w:rsidR="00347080">
              <w:rPr>
                <w:rFonts w:asciiTheme="minorHAnsi" w:hAnsiTheme="minorHAnsi" w:cstheme="minorBidi"/>
                <w:noProof/>
                <w:sz w:val="22"/>
              </w:rPr>
              <w:tab/>
            </w:r>
            <w:r w:rsidRPr="00D40C48" w:rsidR="00347080">
              <w:rPr>
                <w:rStyle w:val="Hyperlink"/>
                <w:noProof/>
              </w:rPr>
              <w:t>Summary of the Settlement Agreement</w:t>
            </w:r>
            <w:r w:rsidR="00347080">
              <w:rPr>
                <w:noProof/>
                <w:webHidden/>
              </w:rPr>
              <w:tab/>
            </w:r>
            <w:r w:rsidR="00347080">
              <w:rPr>
                <w:noProof/>
                <w:webHidden/>
              </w:rPr>
              <w:fldChar w:fldCharType="begin"/>
            </w:r>
            <w:r w:rsidR="00347080">
              <w:rPr>
                <w:noProof/>
                <w:webHidden/>
              </w:rPr>
              <w:instrText xml:space="preserve"> PAGEREF _Toc57188126 \h </w:instrText>
            </w:r>
            <w:r w:rsidR="00347080">
              <w:rPr>
                <w:noProof/>
                <w:webHidden/>
              </w:rPr>
            </w:r>
            <w:r w:rsidR="00347080">
              <w:rPr>
                <w:noProof/>
                <w:webHidden/>
              </w:rPr>
              <w:fldChar w:fldCharType="separate"/>
            </w:r>
            <w:r w:rsidR="00CD0206">
              <w:rPr>
                <w:noProof/>
                <w:webHidden/>
              </w:rPr>
              <w:t>10</w:t>
            </w:r>
            <w:r w:rsidR="00347080">
              <w:rPr>
                <w:noProof/>
                <w:webHidden/>
              </w:rPr>
              <w:fldChar w:fldCharType="end"/>
            </w:r>
          </w:hyperlink>
        </w:p>
        <w:p w:rsidR="00347080" w:rsidRDefault="00CA2A68" w14:paraId="48CC8E9B" w14:textId="39A9D87C">
          <w:pPr>
            <w:pStyle w:val="TOC2"/>
            <w:tabs>
              <w:tab w:val="right" w:leader="dot" w:pos="9350"/>
            </w:tabs>
            <w:rPr>
              <w:rFonts w:asciiTheme="minorHAnsi" w:hAnsiTheme="minorHAnsi" w:cstheme="minorBidi"/>
              <w:noProof/>
              <w:sz w:val="22"/>
            </w:rPr>
          </w:pPr>
          <w:hyperlink w:history="1" w:anchor="_Toc57188127">
            <w:r w:rsidRPr="00D40C48" w:rsidR="00347080">
              <w:rPr>
                <w:rStyle w:val="Hyperlink"/>
                <w:noProof/>
              </w:rPr>
              <w:t>3.2.</w:t>
            </w:r>
            <w:r w:rsidR="00347080">
              <w:rPr>
                <w:rFonts w:asciiTheme="minorHAnsi" w:hAnsiTheme="minorHAnsi" w:cstheme="minorBidi"/>
                <w:noProof/>
                <w:sz w:val="22"/>
              </w:rPr>
              <w:tab/>
            </w:r>
            <w:r w:rsidRPr="00D40C48" w:rsidR="00347080">
              <w:rPr>
                <w:rStyle w:val="Hyperlink"/>
                <w:noProof/>
              </w:rPr>
              <w:t>Contested Issues</w:t>
            </w:r>
            <w:r w:rsidR="00347080">
              <w:rPr>
                <w:noProof/>
                <w:webHidden/>
              </w:rPr>
              <w:tab/>
            </w:r>
            <w:r w:rsidR="00347080">
              <w:rPr>
                <w:noProof/>
                <w:webHidden/>
              </w:rPr>
              <w:fldChar w:fldCharType="begin"/>
            </w:r>
            <w:r w:rsidR="00347080">
              <w:rPr>
                <w:noProof/>
                <w:webHidden/>
              </w:rPr>
              <w:instrText xml:space="preserve"> PAGEREF _Toc57188127 \h </w:instrText>
            </w:r>
            <w:r w:rsidR="00347080">
              <w:rPr>
                <w:noProof/>
                <w:webHidden/>
              </w:rPr>
            </w:r>
            <w:r w:rsidR="00347080">
              <w:rPr>
                <w:noProof/>
                <w:webHidden/>
              </w:rPr>
              <w:fldChar w:fldCharType="separate"/>
            </w:r>
            <w:r w:rsidR="00CD0206">
              <w:rPr>
                <w:noProof/>
                <w:webHidden/>
              </w:rPr>
              <w:t>13</w:t>
            </w:r>
            <w:r w:rsidR="00347080">
              <w:rPr>
                <w:noProof/>
                <w:webHidden/>
              </w:rPr>
              <w:fldChar w:fldCharType="end"/>
            </w:r>
          </w:hyperlink>
        </w:p>
        <w:p w:rsidR="00347080" w:rsidRDefault="00CA2A68" w14:paraId="6A879BE9" w14:textId="45D09A9C">
          <w:pPr>
            <w:pStyle w:val="TOC1"/>
            <w:tabs>
              <w:tab w:val="right" w:leader="dot" w:pos="9350"/>
            </w:tabs>
            <w:rPr>
              <w:rFonts w:asciiTheme="minorHAnsi" w:hAnsiTheme="minorHAnsi" w:cstheme="minorBidi"/>
              <w:noProof/>
              <w:sz w:val="22"/>
            </w:rPr>
          </w:pPr>
          <w:hyperlink w:history="1" w:anchor="_Toc57188128">
            <w:r w:rsidRPr="00D40C48" w:rsidR="00347080">
              <w:rPr>
                <w:rStyle w:val="Hyperlink"/>
                <w:noProof/>
              </w:rPr>
              <w:t>4.</w:t>
            </w:r>
            <w:r w:rsidR="00347080">
              <w:rPr>
                <w:rFonts w:asciiTheme="minorHAnsi" w:hAnsiTheme="minorHAnsi" w:cstheme="minorBidi"/>
                <w:noProof/>
                <w:sz w:val="22"/>
              </w:rPr>
              <w:tab/>
            </w:r>
            <w:r w:rsidRPr="00D40C48" w:rsidR="00347080">
              <w:rPr>
                <w:rStyle w:val="Hyperlink"/>
                <w:noProof/>
              </w:rPr>
              <w:t>Issues Before the Commission</w:t>
            </w:r>
            <w:r w:rsidR="00347080">
              <w:rPr>
                <w:noProof/>
                <w:webHidden/>
              </w:rPr>
              <w:tab/>
            </w:r>
            <w:r w:rsidR="00347080">
              <w:rPr>
                <w:noProof/>
                <w:webHidden/>
              </w:rPr>
              <w:fldChar w:fldCharType="begin"/>
            </w:r>
            <w:r w:rsidR="00347080">
              <w:rPr>
                <w:noProof/>
                <w:webHidden/>
              </w:rPr>
              <w:instrText xml:space="preserve"> PAGEREF _Toc57188128 \h </w:instrText>
            </w:r>
            <w:r w:rsidR="00347080">
              <w:rPr>
                <w:noProof/>
                <w:webHidden/>
              </w:rPr>
            </w:r>
            <w:r w:rsidR="00347080">
              <w:rPr>
                <w:noProof/>
                <w:webHidden/>
              </w:rPr>
              <w:fldChar w:fldCharType="separate"/>
            </w:r>
            <w:r w:rsidR="00CD0206">
              <w:rPr>
                <w:noProof/>
                <w:webHidden/>
              </w:rPr>
              <w:t>13</w:t>
            </w:r>
            <w:r w:rsidR="00347080">
              <w:rPr>
                <w:noProof/>
                <w:webHidden/>
              </w:rPr>
              <w:fldChar w:fldCharType="end"/>
            </w:r>
          </w:hyperlink>
        </w:p>
        <w:p w:rsidR="00347080" w:rsidRDefault="00CA2A68" w14:paraId="6F751E0C" w14:textId="1774A415">
          <w:pPr>
            <w:pStyle w:val="TOC1"/>
            <w:tabs>
              <w:tab w:val="right" w:leader="dot" w:pos="9350"/>
            </w:tabs>
            <w:rPr>
              <w:rFonts w:asciiTheme="minorHAnsi" w:hAnsiTheme="minorHAnsi" w:cstheme="minorBidi"/>
              <w:noProof/>
              <w:sz w:val="22"/>
            </w:rPr>
          </w:pPr>
          <w:hyperlink w:history="1" w:anchor="_Toc57188129">
            <w:r w:rsidRPr="00D40C48" w:rsidR="00347080">
              <w:rPr>
                <w:rStyle w:val="Hyperlink"/>
                <w:noProof/>
              </w:rPr>
              <w:t>5.</w:t>
            </w:r>
            <w:r w:rsidR="00347080">
              <w:rPr>
                <w:rFonts w:asciiTheme="minorHAnsi" w:hAnsiTheme="minorHAnsi" w:cstheme="minorBidi"/>
                <w:noProof/>
                <w:sz w:val="22"/>
              </w:rPr>
              <w:tab/>
            </w:r>
            <w:r w:rsidRPr="00D40C48" w:rsidR="00347080">
              <w:rPr>
                <w:rStyle w:val="Hyperlink"/>
                <w:noProof/>
              </w:rPr>
              <w:t>Standard of Review</w:t>
            </w:r>
            <w:r w:rsidR="00347080">
              <w:rPr>
                <w:noProof/>
                <w:webHidden/>
              </w:rPr>
              <w:tab/>
            </w:r>
            <w:r w:rsidR="00347080">
              <w:rPr>
                <w:noProof/>
                <w:webHidden/>
              </w:rPr>
              <w:fldChar w:fldCharType="begin"/>
            </w:r>
            <w:r w:rsidR="00347080">
              <w:rPr>
                <w:noProof/>
                <w:webHidden/>
              </w:rPr>
              <w:instrText xml:space="preserve"> PAGEREF _Toc57188129 \h </w:instrText>
            </w:r>
            <w:r w:rsidR="00347080">
              <w:rPr>
                <w:noProof/>
                <w:webHidden/>
              </w:rPr>
            </w:r>
            <w:r w:rsidR="00347080">
              <w:rPr>
                <w:noProof/>
                <w:webHidden/>
              </w:rPr>
              <w:fldChar w:fldCharType="separate"/>
            </w:r>
            <w:r w:rsidR="00CD0206">
              <w:rPr>
                <w:noProof/>
                <w:webHidden/>
              </w:rPr>
              <w:t>14</w:t>
            </w:r>
            <w:r w:rsidR="00347080">
              <w:rPr>
                <w:noProof/>
                <w:webHidden/>
              </w:rPr>
              <w:fldChar w:fldCharType="end"/>
            </w:r>
          </w:hyperlink>
        </w:p>
        <w:p w:rsidR="00347080" w:rsidRDefault="00CA2A68" w14:paraId="7B0E9B7B" w14:textId="56EE63D2">
          <w:pPr>
            <w:pStyle w:val="TOC1"/>
            <w:tabs>
              <w:tab w:val="right" w:leader="dot" w:pos="9350"/>
            </w:tabs>
            <w:rPr>
              <w:rFonts w:asciiTheme="minorHAnsi" w:hAnsiTheme="minorHAnsi" w:cstheme="minorBidi"/>
              <w:noProof/>
              <w:sz w:val="22"/>
            </w:rPr>
          </w:pPr>
          <w:hyperlink w:history="1" w:anchor="_Toc57188130">
            <w:r w:rsidRPr="00D40C48" w:rsidR="00347080">
              <w:rPr>
                <w:rStyle w:val="Hyperlink"/>
                <w:noProof/>
              </w:rPr>
              <w:t>6.</w:t>
            </w:r>
            <w:r w:rsidR="00347080">
              <w:rPr>
                <w:rFonts w:asciiTheme="minorHAnsi" w:hAnsiTheme="minorHAnsi" w:cstheme="minorBidi"/>
                <w:noProof/>
                <w:sz w:val="22"/>
              </w:rPr>
              <w:tab/>
            </w:r>
            <w:r w:rsidRPr="00D40C48" w:rsidR="00347080">
              <w:rPr>
                <w:rStyle w:val="Hyperlink"/>
                <w:noProof/>
              </w:rPr>
              <w:t>Discussion</w:t>
            </w:r>
            <w:r w:rsidR="00347080">
              <w:rPr>
                <w:noProof/>
                <w:webHidden/>
              </w:rPr>
              <w:tab/>
            </w:r>
            <w:r w:rsidR="00347080">
              <w:rPr>
                <w:noProof/>
                <w:webHidden/>
              </w:rPr>
              <w:fldChar w:fldCharType="begin"/>
            </w:r>
            <w:r w:rsidR="00347080">
              <w:rPr>
                <w:noProof/>
                <w:webHidden/>
              </w:rPr>
              <w:instrText xml:space="preserve"> PAGEREF _Toc57188130 \h </w:instrText>
            </w:r>
            <w:r w:rsidR="00347080">
              <w:rPr>
                <w:noProof/>
                <w:webHidden/>
              </w:rPr>
            </w:r>
            <w:r w:rsidR="00347080">
              <w:rPr>
                <w:noProof/>
                <w:webHidden/>
              </w:rPr>
              <w:fldChar w:fldCharType="separate"/>
            </w:r>
            <w:r w:rsidR="00CD0206">
              <w:rPr>
                <w:noProof/>
                <w:webHidden/>
              </w:rPr>
              <w:t>15</w:t>
            </w:r>
            <w:r w:rsidR="00347080">
              <w:rPr>
                <w:noProof/>
                <w:webHidden/>
              </w:rPr>
              <w:fldChar w:fldCharType="end"/>
            </w:r>
          </w:hyperlink>
        </w:p>
        <w:p w:rsidR="00347080" w:rsidRDefault="00CA2A68" w14:paraId="7A6FB7E3" w14:textId="19F4E3ED">
          <w:pPr>
            <w:pStyle w:val="TOC2"/>
            <w:tabs>
              <w:tab w:val="right" w:leader="dot" w:pos="9350"/>
            </w:tabs>
            <w:rPr>
              <w:rFonts w:asciiTheme="minorHAnsi" w:hAnsiTheme="minorHAnsi" w:cstheme="minorBidi"/>
              <w:noProof/>
              <w:sz w:val="22"/>
            </w:rPr>
          </w:pPr>
          <w:hyperlink w:history="1" w:anchor="_Toc57188131">
            <w:r w:rsidRPr="00D40C48" w:rsidR="00347080">
              <w:rPr>
                <w:rStyle w:val="Hyperlink"/>
                <w:noProof/>
              </w:rPr>
              <w:t>6.1.</w:t>
            </w:r>
            <w:r w:rsidR="00347080">
              <w:rPr>
                <w:rFonts w:asciiTheme="minorHAnsi" w:hAnsiTheme="minorHAnsi" w:cstheme="minorBidi"/>
                <w:noProof/>
                <w:sz w:val="22"/>
              </w:rPr>
              <w:tab/>
            </w:r>
            <w:r w:rsidRPr="00D40C48" w:rsidR="00347080">
              <w:rPr>
                <w:rStyle w:val="Hyperlink"/>
                <w:noProof/>
              </w:rPr>
              <w:t>The Settlement Agreement is Not Adopted</w:t>
            </w:r>
            <w:r w:rsidR="00347080">
              <w:rPr>
                <w:noProof/>
                <w:webHidden/>
              </w:rPr>
              <w:tab/>
            </w:r>
            <w:r w:rsidR="00347080">
              <w:rPr>
                <w:noProof/>
                <w:webHidden/>
              </w:rPr>
              <w:fldChar w:fldCharType="begin"/>
            </w:r>
            <w:r w:rsidR="00347080">
              <w:rPr>
                <w:noProof/>
                <w:webHidden/>
              </w:rPr>
              <w:instrText xml:space="preserve"> PAGEREF _Toc57188131 \h </w:instrText>
            </w:r>
            <w:r w:rsidR="00347080">
              <w:rPr>
                <w:noProof/>
                <w:webHidden/>
              </w:rPr>
            </w:r>
            <w:r w:rsidR="00347080">
              <w:rPr>
                <w:noProof/>
                <w:webHidden/>
              </w:rPr>
              <w:fldChar w:fldCharType="separate"/>
            </w:r>
            <w:r w:rsidR="00CD0206">
              <w:rPr>
                <w:noProof/>
                <w:webHidden/>
              </w:rPr>
              <w:t>16</w:t>
            </w:r>
            <w:r w:rsidR="00347080">
              <w:rPr>
                <w:noProof/>
                <w:webHidden/>
              </w:rPr>
              <w:fldChar w:fldCharType="end"/>
            </w:r>
          </w:hyperlink>
        </w:p>
        <w:p w:rsidR="00347080" w:rsidRDefault="00CA2A68" w14:paraId="2AEE898F" w14:textId="17139BF5">
          <w:pPr>
            <w:pStyle w:val="TOC2"/>
            <w:tabs>
              <w:tab w:val="right" w:leader="dot" w:pos="9350"/>
            </w:tabs>
            <w:rPr>
              <w:rFonts w:asciiTheme="minorHAnsi" w:hAnsiTheme="minorHAnsi" w:cstheme="minorBidi"/>
              <w:noProof/>
              <w:sz w:val="22"/>
            </w:rPr>
          </w:pPr>
          <w:hyperlink w:history="1" w:anchor="_Toc57188132">
            <w:r w:rsidRPr="00D40C48" w:rsidR="00347080">
              <w:rPr>
                <w:rStyle w:val="Hyperlink"/>
                <w:noProof/>
              </w:rPr>
              <w:t>6.2.</w:t>
            </w:r>
            <w:r w:rsidR="00347080">
              <w:rPr>
                <w:rFonts w:asciiTheme="minorHAnsi" w:hAnsiTheme="minorHAnsi" w:cstheme="minorBidi"/>
                <w:noProof/>
                <w:sz w:val="22"/>
              </w:rPr>
              <w:tab/>
            </w:r>
            <w:r w:rsidRPr="00D40C48" w:rsidR="00347080">
              <w:rPr>
                <w:rStyle w:val="Hyperlink"/>
                <w:noProof/>
              </w:rPr>
              <w:t>Procurement Requirements</w:t>
            </w:r>
            <w:r w:rsidR="00347080">
              <w:rPr>
                <w:noProof/>
                <w:webHidden/>
              </w:rPr>
              <w:tab/>
            </w:r>
            <w:r w:rsidR="00347080">
              <w:rPr>
                <w:noProof/>
                <w:webHidden/>
              </w:rPr>
              <w:fldChar w:fldCharType="begin"/>
            </w:r>
            <w:r w:rsidR="00347080">
              <w:rPr>
                <w:noProof/>
                <w:webHidden/>
              </w:rPr>
              <w:instrText xml:space="preserve"> PAGEREF _Toc57188132 \h </w:instrText>
            </w:r>
            <w:r w:rsidR="00347080">
              <w:rPr>
                <w:noProof/>
                <w:webHidden/>
              </w:rPr>
            </w:r>
            <w:r w:rsidR="00347080">
              <w:rPr>
                <w:noProof/>
                <w:webHidden/>
              </w:rPr>
              <w:fldChar w:fldCharType="separate"/>
            </w:r>
            <w:r w:rsidR="00CD0206">
              <w:rPr>
                <w:noProof/>
                <w:webHidden/>
              </w:rPr>
              <w:t>17</w:t>
            </w:r>
            <w:r w:rsidR="00347080">
              <w:rPr>
                <w:noProof/>
                <w:webHidden/>
              </w:rPr>
              <w:fldChar w:fldCharType="end"/>
            </w:r>
          </w:hyperlink>
        </w:p>
        <w:p w:rsidR="00347080" w:rsidRDefault="00CA2A68" w14:paraId="1C2003CD" w14:textId="7BCF69AD">
          <w:pPr>
            <w:pStyle w:val="TOC3"/>
            <w:tabs>
              <w:tab w:val="left" w:pos="1296"/>
              <w:tab w:val="right" w:leader="dot" w:pos="9350"/>
            </w:tabs>
            <w:rPr>
              <w:rFonts w:asciiTheme="minorHAnsi" w:hAnsiTheme="minorHAnsi" w:cstheme="minorBidi"/>
              <w:noProof/>
              <w:sz w:val="22"/>
            </w:rPr>
          </w:pPr>
          <w:hyperlink w:history="1" w:anchor="_Toc57188133">
            <w:r w:rsidRPr="00D40C48" w:rsidR="00347080">
              <w:rPr>
                <w:rStyle w:val="Hyperlink"/>
                <w:noProof/>
              </w:rPr>
              <w:t>6.2.1.</w:t>
            </w:r>
            <w:r w:rsidR="00347080">
              <w:rPr>
                <w:rFonts w:asciiTheme="minorHAnsi" w:hAnsiTheme="minorHAnsi" w:cstheme="minorBidi"/>
                <w:noProof/>
                <w:sz w:val="22"/>
              </w:rPr>
              <w:tab/>
            </w:r>
            <w:r w:rsidRPr="00D40C48" w:rsidR="00347080">
              <w:rPr>
                <w:rStyle w:val="Hyperlink"/>
                <w:noProof/>
              </w:rPr>
              <w:t>Eligibility and Additionality</w:t>
            </w:r>
            <w:r w:rsidR="00347080">
              <w:rPr>
                <w:noProof/>
                <w:webHidden/>
              </w:rPr>
              <w:tab/>
            </w:r>
            <w:r w:rsidR="00347080">
              <w:rPr>
                <w:noProof/>
                <w:webHidden/>
              </w:rPr>
              <w:fldChar w:fldCharType="begin"/>
            </w:r>
            <w:r w:rsidR="00347080">
              <w:rPr>
                <w:noProof/>
                <w:webHidden/>
              </w:rPr>
              <w:instrText xml:space="preserve"> PAGEREF _Toc57188133 \h </w:instrText>
            </w:r>
            <w:r w:rsidR="00347080">
              <w:rPr>
                <w:noProof/>
                <w:webHidden/>
              </w:rPr>
            </w:r>
            <w:r w:rsidR="00347080">
              <w:rPr>
                <w:noProof/>
                <w:webHidden/>
              </w:rPr>
              <w:fldChar w:fldCharType="separate"/>
            </w:r>
            <w:r w:rsidR="00CD0206">
              <w:rPr>
                <w:noProof/>
                <w:webHidden/>
              </w:rPr>
              <w:t>17</w:t>
            </w:r>
            <w:r w:rsidR="00347080">
              <w:rPr>
                <w:noProof/>
                <w:webHidden/>
              </w:rPr>
              <w:fldChar w:fldCharType="end"/>
            </w:r>
          </w:hyperlink>
        </w:p>
        <w:p w:rsidR="00347080" w:rsidRDefault="00CA2A68" w14:paraId="133E8294" w14:textId="05FFFA15">
          <w:pPr>
            <w:pStyle w:val="TOC4"/>
            <w:tabs>
              <w:tab w:val="left" w:pos="1728"/>
              <w:tab w:val="right" w:leader="dot" w:pos="9350"/>
            </w:tabs>
            <w:rPr>
              <w:rFonts w:asciiTheme="minorHAnsi" w:hAnsiTheme="minorHAnsi" w:eastAsiaTheme="minorEastAsia"/>
              <w:noProof/>
              <w:sz w:val="22"/>
            </w:rPr>
          </w:pPr>
          <w:hyperlink w:history="1" w:anchor="_Toc57188134">
            <w:r w:rsidRPr="00D40C48" w:rsidR="00347080">
              <w:rPr>
                <w:rStyle w:val="Hyperlink"/>
                <w:noProof/>
              </w:rPr>
              <w:t>6.2.1.1.</w:t>
            </w:r>
            <w:r w:rsidR="00347080">
              <w:rPr>
                <w:rFonts w:asciiTheme="minorHAnsi" w:hAnsiTheme="minorHAnsi" w:eastAsiaTheme="minorEastAsia"/>
                <w:noProof/>
                <w:sz w:val="22"/>
              </w:rPr>
              <w:tab/>
            </w:r>
            <w:r w:rsidRPr="00D40C48" w:rsidR="00347080">
              <w:rPr>
                <w:rStyle w:val="Hyperlink"/>
                <w:noProof/>
              </w:rPr>
              <w:t>Eligibility</w:t>
            </w:r>
            <w:r w:rsidR="00347080">
              <w:rPr>
                <w:noProof/>
                <w:webHidden/>
              </w:rPr>
              <w:tab/>
            </w:r>
            <w:r w:rsidR="00347080">
              <w:rPr>
                <w:noProof/>
                <w:webHidden/>
              </w:rPr>
              <w:fldChar w:fldCharType="begin"/>
            </w:r>
            <w:r w:rsidR="00347080">
              <w:rPr>
                <w:noProof/>
                <w:webHidden/>
              </w:rPr>
              <w:instrText xml:space="preserve"> PAGEREF _Toc57188134 \h </w:instrText>
            </w:r>
            <w:r w:rsidR="00347080">
              <w:rPr>
                <w:noProof/>
                <w:webHidden/>
              </w:rPr>
            </w:r>
            <w:r w:rsidR="00347080">
              <w:rPr>
                <w:noProof/>
                <w:webHidden/>
              </w:rPr>
              <w:fldChar w:fldCharType="separate"/>
            </w:r>
            <w:r w:rsidR="00CD0206">
              <w:rPr>
                <w:noProof/>
                <w:webHidden/>
              </w:rPr>
              <w:t>18</w:t>
            </w:r>
            <w:r w:rsidR="00347080">
              <w:rPr>
                <w:noProof/>
                <w:webHidden/>
              </w:rPr>
              <w:fldChar w:fldCharType="end"/>
            </w:r>
          </w:hyperlink>
        </w:p>
        <w:p w:rsidR="00347080" w:rsidRDefault="00CA2A68" w14:paraId="60241698" w14:textId="6BD2B374">
          <w:pPr>
            <w:pStyle w:val="TOC4"/>
            <w:tabs>
              <w:tab w:val="left" w:pos="1728"/>
              <w:tab w:val="right" w:leader="dot" w:pos="9350"/>
            </w:tabs>
            <w:rPr>
              <w:rFonts w:asciiTheme="minorHAnsi" w:hAnsiTheme="minorHAnsi" w:eastAsiaTheme="minorEastAsia"/>
              <w:noProof/>
              <w:sz w:val="22"/>
            </w:rPr>
          </w:pPr>
          <w:hyperlink w:history="1" w:anchor="_Toc57188135">
            <w:r w:rsidRPr="00D40C48" w:rsidR="00347080">
              <w:rPr>
                <w:rStyle w:val="Hyperlink"/>
                <w:noProof/>
              </w:rPr>
              <w:t>6.2.1.2.</w:t>
            </w:r>
            <w:r w:rsidR="00347080">
              <w:rPr>
                <w:rFonts w:asciiTheme="minorHAnsi" w:hAnsiTheme="minorHAnsi" w:eastAsiaTheme="minorEastAsia"/>
                <w:noProof/>
                <w:sz w:val="22"/>
              </w:rPr>
              <w:tab/>
            </w:r>
            <w:r w:rsidRPr="00D40C48" w:rsidR="00347080">
              <w:rPr>
                <w:rStyle w:val="Hyperlink"/>
                <w:noProof/>
              </w:rPr>
              <w:t>Additionality</w:t>
            </w:r>
            <w:r w:rsidR="00347080">
              <w:rPr>
                <w:noProof/>
                <w:webHidden/>
              </w:rPr>
              <w:tab/>
            </w:r>
            <w:r w:rsidR="00347080">
              <w:rPr>
                <w:noProof/>
                <w:webHidden/>
              </w:rPr>
              <w:fldChar w:fldCharType="begin"/>
            </w:r>
            <w:r w:rsidR="00347080">
              <w:rPr>
                <w:noProof/>
                <w:webHidden/>
              </w:rPr>
              <w:instrText xml:space="preserve"> PAGEREF _Toc57188135 \h </w:instrText>
            </w:r>
            <w:r w:rsidR="00347080">
              <w:rPr>
                <w:noProof/>
                <w:webHidden/>
              </w:rPr>
            </w:r>
            <w:r w:rsidR="00347080">
              <w:rPr>
                <w:noProof/>
                <w:webHidden/>
              </w:rPr>
              <w:fldChar w:fldCharType="separate"/>
            </w:r>
            <w:r w:rsidR="00CD0206">
              <w:rPr>
                <w:noProof/>
                <w:webHidden/>
              </w:rPr>
              <w:t>21</w:t>
            </w:r>
            <w:r w:rsidR="00347080">
              <w:rPr>
                <w:noProof/>
                <w:webHidden/>
              </w:rPr>
              <w:fldChar w:fldCharType="end"/>
            </w:r>
          </w:hyperlink>
        </w:p>
        <w:p w:rsidR="00347080" w:rsidRDefault="00CA2A68" w14:paraId="6383B336" w14:textId="6D1E42F2">
          <w:pPr>
            <w:pStyle w:val="TOC3"/>
            <w:tabs>
              <w:tab w:val="left" w:pos="1296"/>
              <w:tab w:val="right" w:leader="dot" w:pos="9350"/>
            </w:tabs>
            <w:rPr>
              <w:rFonts w:asciiTheme="minorHAnsi" w:hAnsiTheme="minorHAnsi" w:cstheme="minorBidi"/>
              <w:noProof/>
              <w:sz w:val="22"/>
            </w:rPr>
          </w:pPr>
          <w:hyperlink w:history="1" w:anchor="_Toc57188136">
            <w:r w:rsidRPr="00D40C48" w:rsidR="00347080">
              <w:rPr>
                <w:rStyle w:val="Hyperlink"/>
                <w:noProof/>
              </w:rPr>
              <w:t>6.2.2.</w:t>
            </w:r>
            <w:r w:rsidR="00347080">
              <w:rPr>
                <w:rFonts w:asciiTheme="minorHAnsi" w:hAnsiTheme="minorHAnsi" w:cstheme="minorBidi"/>
                <w:noProof/>
                <w:sz w:val="22"/>
              </w:rPr>
              <w:tab/>
            </w:r>
            <w:r w:rsidRPr="00D40C48" w:rsidR="00347080">
              <w:rPr>
                <w:rStyle w:val="Hyperlink"/>
                <w:noProof/>
              </w:rPr>
              <w:t>Long-Term Contracts</w:t>
            </w:r>
            <w:r w:rsidR="00347080">
              <w:rPr>
                <w:noProof/>
                <w:webHidden/>
              </w:rPr>
              <w:tab/>
            </w:r>
            <w:r w:rsidR="00347080">
              <w:rPr>
                <w:noProof/>
                <w:webHidden/>
              </w:rPr>
              <w:fldChar w:fldCharType="begin"/>
            </w:r>
            <w:r w:rsidR="00347080">
              <w:rPr>
                <w:noProof/>
                <w:webHidden/>
              </w:rPr>
              <w:instrText xml:space="preserve"> PAGEREF _Toc57188136 \h </w:instrText>
            </w:r>
            <w:r w:rsidR="00347080">
              <w:rPr>
                <w:noProof/>
                <w:webHidden/>
              </w:rPr>
            </w:r>
            <w:r w:rsidR="00347080">
              <w:rPr>
                <w:noProof/>
                <w:webHidden/>
              </w:rPr>
              <w:fldChar w:fldCharType="separate"/>
            </w:r>
            <w:r w:rsidR="00CD0206">
              <w:rPr>
                <w:noProof/>
                <w:webHidden/>
              </w:rPr>
              <w:t>23</w:t>
            </w:r>
            <w:r w:rsidR="00347080">
              <w:rPr>
                <w:noProof/>
                <w:webHidden/>
              </w:rPr>
              <w:fldChar w:fldCharType="end"/>
            </w:r>
          </w:hyperlink>
        </w:p>
        <w:p w:rsidR="00347080" w:rsidRDefault="00CA2A68" w14:paraId="4E7F1155" w14:textId="2AAF9733">
          <w:pPr>
            <w:pStyle w:val="TOC2"/>
            <w:tabs>
              <w:tab w:val="right" w:leader="dot" w:pos="9350"/>
            </w:tabs>
            <w:rPr>
              <w:rFonts w:asciiTheme="minorHAnsi" w:hAnsiTheme="minorHAnsi" w:cstheme="minorBidi"/>
              <w:noProof/>
              <w:sz w:val="22"/>
            </w:rPr>
          </w:pPr>
          <w:hyperlink w:history="1" w:anchor="_Toc57188137">
            <w:r w:rsidRPr="00D40C48" w:rsidR="00347080">
              <w:rPr>
                <w:rStyle w:val="Hyperlink"/>
                <w:noProof/>
              </w:rPr>
              <w:t>6.3.</w:t>
            </w:r>
            <w:r w:rsidR="00347080">
              <w:rPr>
                <w:rFonts w:asciiTheme="minorHAnsi" w:hAnsiTheme="minorHAnsi" w:cstheme="minorBidi"/>
                <w:noProof/>
                <w:sz w:val="22"/>
              </w:rPr>
              <w:tab/>
            </w:r>
            <w:r w:rsidRPr="00D40C48" w:rsidR="00347080">
              <w:rPr>
                <w:rStyle w:val="Hyperlink"/>
                <w:noProof/>
              </w:rPr>
              <w:t>Verification</w:t>
            </w:r>
            <w:r w:rsidR="00347080">
              <w:rPr>
                <w:noProof/>
                <w:webHidden/>
              </w:rPr>
              <w:tab/>
            </w:r>
            <w:r w:rsidR="00347080">
              <w:rPr>
                <w:noProof/>
                <w:webHidden/>
              </w:rPr>
              <w:fldChar w:fldCharType="begin"/>
            </w:r>
            <w:r w:rsidR="00347080">
              <w:rPr>
                <w:noProof/>
                <w:webHidden/>
              </w:rPr>
              <w:instrText xml:space="preserve"> PAGEREF _Toc57188137 \h </w:instrText>
            </w:r>
            <w:r w:rsidR="00347080">
              <w:rPr>
                <w:noProof/>
                <w:webHidden/>
              </w:rPr>
            </w:r>
            <w:r w:rsidR="00347080">
              <w:rPr>
                <w:noProof/>
                <w:webHidden/>
              </w:rPr>
              <w:fldChar w:fldCharType="separate"/>
            </w:r>
            <w:r w:rsidR="00CD0206">
              <w:rPr>
                <w:noProof/>
                <w:webHidden/>
              </w:rPr>
              <w:t>26</w:t>
            </w:r>
            <w:r w:rsidR="00347080">
              <w:rPr>
                <w:noProof/>
                <w:webHidden/>
              </w:rPr>
              <w:fldChar w:fldCharType="end"/>
            </w:r>
          </w:hyperlink>
        </w:p>
        <w:p w:rsidR="00347080" w:rsidRDefault="00CA2A68" w14:paraId="7BC8C73C" w14:textId="1E530B2A">
          <w:pPr>
            <w:pStyle w:val="TOC2"/>
            <w:tabs>
              <w:tab w:val="right" w:leader="dot" w:pos="9350"/>
            </w:tabs>
            <w:rPr>
              <w:rFonts w:asciiTheme="minorHAnsi" w:hAnsiTheme="minorHAnsi" w:cstheme="minorBidi"/>
              <w:noProof/>
              <w:sz w:val="22"/>
            </w:rPr>
          </w:pPr>
          <w:hyperlink w:history="1" w:anchor="_Toc57188138">
            <w:r w:rsidRPr="00D40C48" w:rsidR="00347080">
              <w:rPr>
                <w:rStyle w:val="Hyperlink"/>
                <w:noProof/>
              </w:rPr>
              <w:t>6.4.</w:t>
            </w:r>
            <w:r w:rsidR="00347080">
              <w:rPr>
                <w:rFonts w:asciiTheme="minorHAnsi" w:hAnsiTheme="minorHAnsi" w:cstheme="minorBidi"/>
                <w:noProof/>
                <w:sz w:val="22"/>
              </w:rPr>
              <w:tab/>
            </w:r>
            <w:r w:rsidRPr="00D40C48" w:rsidR="00347080">
              <w:rPr>
                <w:rStyle w:val="Hyperlink"/>
                <w:noProof/>
              </w:rPr>
              <w:t>Program Costs and Recovery</w:t>
            </w:r>
            <w:r w:rsidR="00347080">
              <w:rPr>
                <w:noProof/>
                <w:webHidden/>
              </w:rPr>
              <w:tab/>
            </w:r>
            <w:r w:rsidR="00347080">
              <w:rPr>
                <w:noProof/>
                <w:webHidden/>
              </w:rPr>
              <w:fldChar w:fldCharType="begin"/>
            </w:r>
            <w:r w:rsidR="00347080">
              <w:rPr>
                <w:noProof/>
                <w:webHidden/>
              </w:rPr>
              <w:instrText xml:space="preserve"> PAGEREF _Toc57188138 \h </w:instrText>
            </w:r>
            <w:r w:rsidR="00347080">
              <w:rPr>
                <w:noProof/>
                <w:webHidden/>
              </w:rPr>
            </w:r>
            <w:r w:rsidR="00347080">
              <w:rPr>
                <w:noProof/>
                <w:webHidden/>
              </w:rPr>
              <w:fldChar w:fldCharType="separate"/>
            </w:r>
            <w:r w:rsidR="00CD0206">
              <w:rPr>
                <w:noProof/>
                <w:webHidden/>
              </w:rPr>
              <w:t>28</w:t>
            </w:r>
            <w:r w:rsidR="00347080">
              <w:rPr>
                <w:noProof/>
                <w:webHidden/>
              </w:rPr>
              <w:fldChar w:fldCharType="end"/>
            </w:r>
          </w:hyperlink>
        </w:p>
        <w:p w:rsidR="00347080" w:rsidRDefault="00CA2A68" w14:paraId="60905570" w14:textId="60AF0006">
          <w:pPr>
            <w:pStyle w:val="TOC3"/>
            <w:tabs>
              <w:tab w:val="left" w:pos="1296"/>
              <w:tab w:val="right" w:leader="dot" w:pos="9350"/>
            </w:tabs>
            <w:rPr>
              <w:rFonts w:asciiTheme="minorHAnsi" w:hAnsiTheme="minorHAnsi" w:cstheme="minorBidi"/>
              <w:noProof/>
              <w:sz w:val="22"/>
            </w:rPr>
          </w:pPr>
          <w:hyperlink w:history="1" w:anchor="_Toc57188139">
            <w:r w:rsidRPr="00D40C48" w:rsidR="00347080">
              <w:rPr>
                <w:rStyle w:val="Hyperlink"/>
                <w:noProof/>
              </w:rPr>
              <w:t>6.4.1.</w:t>
            </w:r>
            <w:r w:rsidR="00347080">
              <w:rPr>
                <w:rFonts w:asciiTheme="minorHAnsi" w:hAnsiTheme="minorHAnsi" w:cstheme="minorBidi"/>
                <w:noProof/>
                <w:sz w:val="22"/>
              </w:rPr>
              <w:tab/>
            </w:r>
            <w:r w:rsidRPr="00D40C48" w:rsidR="00347080">
              <w:rPr>
                <w:rStyle w:val="Hyperlink"/>
                <w:noProof/>
              </w:rPr>
              <w:t>IT Cost Recovery</w:t>
            </w:r>
            <w:r w:rsidR="00347080">
              <w:rPr>
                <w:noProof/>
                <w:webHidden/>
              </w:rPr>
              <w:tab/>
            </w:r>
            <w:r w:rsidR="00347080">
              <w:rPr>
                <w:noProof/>
                <w:webHidden/>
              </w:rPr>
              <w:fldChar w:fldCharType="begin"/>
            </w:r>
            <w:r w:rsidR="00347080">
              <w:rPr>
                <w:noProof/>
                <w:webHidden/>
              </w:rPr>
              <w:instrText xml:space="preserve"> PAGEREF _Toc57188139 \h </w:instrText>
            </w:r>
            <w:r w:rsidR="00347080">
              <w:rPr>
                <w:noProof/>
                <w:webHidden/>
              </w:rPr>
            </w:r>
            <w:r w:rsidR="00347080">
              <w:rPr>
                <w:noProof/>
                <w:webHidden/>
              </w:rPr>
              <w:fldChar w:fldCharType="separate"/>
            </w:r>
            <w:r w:rsidR="00CD0206">
              <w:rPr>
                <w:noProof/>
                <w:webHidden/>
              </w:rPr>
              <w:t>29</w:t>
            </w:r>
            <w:r w:rsidR="00347080">
              <w:rPr>
                <w:noProof/>
                <w:webHidden/>
              </w:rPr>
              <w:fldChar w:fldCharType="end"/>
            </w:r>
          </w:hyperlink>
        </w:p>
        <w:p w:rsidR="00347080" w:rsidRDefault="00CA2A68" w14:paraId="1C2A8148" w14:textId="53F72CD9">
          <w:pPr>
            <w:pStyle w:val="TOC3"/>
            <w:tabs>
              <w:tab w:val="left" w:pos="1296"/>
              <w:tab w:val="right" w:leader="dot" w:pos="9350"/>
            </w:tabs>
            <w:rPr>
              <w:rFonts w:asciiTheme="minorHAnsi" w:hAnsiTheme="minorHAnsi" w:cstheme="minorBidi"/>
              <w:noProof/>
              <w:sz w:val="22"/>
            </w:rPr>
          </w:pPr>
          <w:hyperlink w:history="1" w:anchor="_Toc57188140">
            <w:r w:rsidRPr="00D40C48" w:rsidR="00347080">
              <w:rPr>
                <w:rStyle w:val="Hyperlink"/>
                <w:noProof/>
              </w:rPr>
              <w:t>6.4.2.</w:t>
            </w:r>
            <w:r w:rsidR="00347080">
              <w:rPr>
                <w:rFonts w:asciiTheme="minorHAnsi" w:hAnsiTheme="minorHAnsi" w:cstheme="minorBidi"/>
                <w:noProof/>
                <w:sz w:val="22"/>
              </w:rPr>
              <w:tab/>
            </w:r>
            <w:r w:rsidRPr="00D40C48" w:rsidR="00347080">
              <w:rPr>
                <w:rStyle w:val="Hyperlink"/>
                <w:noProof/>
              </w:rPr>
              <w:t>Wind Down Cost Recovery</w:t>
            </w:r>
            <w:r w:rsidR="00347080">
              <w:rPr>
                <w:noProof/>
                <w:webHidden/>
              </w:rPr>
              <w:tab/>
            </w:r>
            <w:r w:rsidR="00347080">
              <w:rPr>
                <w:noProof/>
                <w:webHidden/>
              </w:rPr>
              <w:fldChar w:fldCharType="begin"/>
            </w:r>
            <w:r w:rsidR="00347080">
              <w:rPr>
                <w:noProof/>
                <w:webHidden/>
              </w:rPr>
              <w:instrText xml:space="preserve"> PAGEREF _Toc57188140 \h </w:instrText>
            </w:r>
            <w:r w:rsidR="00347080">
              <w:rPr>
                <w:noProof/>
                <w:webHidden/>
              </w:rPr>
            </w:r>
            <w:r w:rsidR="00347080">
              <w:rPr>
                <w:noProof/>
                <w:webHidden/>
              </w:rPr>
              <w:fldChar w:fldCharType="separate"/>
            </w:r>
            <w:r w:rsidR="00CD0206">
              <w:rPr>
                <w:noProof/>
                <w:webHidden/>
              </w:rPr>
              <w:t>31</w:t>
            </w:r>
            <w:r w:rsidR="00347080">
              <w:rPr>
                <w:noProof/>
                <w:webHidden/>
              </w:rPr>
              <w:fldChar w:fldCharType="end"/>
            </w:r>
          </w:hyperlink>
        </w:p>
        <w:p w:rsidR="00347080" w:rsidRDefault="00CA2A68" w14:paraId="25AE6799" w14:textId="0E60741C">
          <w:pPr>
            <w:pStyle w:val="TOC2"/>
            <w:tabs>
              <w:tab w:val="right" w:leader="dot" w:pos="9350"/>
            </w:tabs>
            <w:rPr>
              <w:rFonts w:asciiTheme="minorHAnsi" w:hAnsiTheme="minorHAnsi" w:cstheme="minorBidi"/>
              <w:noProof/>
              <w:sz w:val="22"/>
            </w:rPr>
          </w:pPr>
          <w:hyperlink w:history="1" w:anchor="_Toc57188141">
            <w:r w:rsidRPr="00D40C48" w:rsidR="00347080">
              <w:rPr>
                <w:rStyle w:val="Hyperlink"/>
                <w:noProof/>
              </w:rPr>
              <w:t>6.5.</w:t>
            </w:r>
            <w:r w:rsidR="00347080">
              <w:rPr>
                <w:rFonts w:asciiTheme="minorHAnsi" w:hAnsiTheme="minorHAnsi" w:cstheme="minorBidi"/>
                <w:noProof/>
                <w:sz w:val="22"/>
              </w:rPr>
              <w:tab/>
            </w:r>
            <w:r w:rsidRPr="00D40C48" w:rsidR="00347080">
              <w:rPr>
                <w:rStyle w:val="Hyperlink"/>
                <w:noProof/>
              </w:rPr>
              <w:t>California Alternate Rates for Energy</w:t>
            </w:r>
            <w:r w:rsidR="00347080">
              <w:rPr>
                <w:noProof/>
                <w:webHidden/>
              </w:rPr>
              <w:tab/>
            </w:r>
            <w:r w:rsidR="00347080">
              <w:rPr>
                <w:noProof/>
                <w:webHidden/>
              </w:rPr>
              <w:fldChar w:fldCharType="begin"/>
            </w:r>
            <w:r w:rsidR="00347080">
              <w:rPr>
                <w:noProof/>
                <w:webHidden/>
              </w:rPr>
              <w:instrText xml:space="preserve"> PAGEREF _Toc57188141 \h </w:instrText>
            </w:r>
            <w:r w:rsidR="00347080">
              <w:rPr>
                <w:noProof/>
                <w:webHidden/>
              </w:rPr>
            </w:r>
            <w:r w:rsidR="00347080">
              <w:rPr>
                <w:noProof/>
                <w:webHidden/>
              </w:rPr>
              <w:fldChar w:fldCharType="separate"/>
            </w:r>
            <w:r w:rsidR="00CD0206">
              <w:rPr>
                <w:noProof/>
                <w:webHidden/>
              </w:rPr>
              <w:t>34</w:t>
            </w:r>
            <w:r w:rsidR="00347080">
              <w:rPr>
                <w:noProof/>
                <w:webHidden/>
              </w:rPr>
              <w:fldChar w:fldCharType="end"/>
            </w:r>
          </w:hyperlink>
        </w:p>
        <w:p w:rsidR="00347080" w:rsidRDefault="00CA2A68" w14:paraId="2EC91427" w14:textId="05F76601">
          <w:pPr>
            <w:pStyle w:val="TOC2"/>
            <w:tabs>
              <w:tab w:val="right" w:leader="dot" w:pos="9350"/>
            </w:tabs>
            <w:rPr>
              <w:rFonts w:asciiTheme="minorHAnsi" w:hAnsiTheme="minorHAnsi" w:cstheme="minorBidi"/>
              <w:noProof/>
              <w:sz w:val="22"/>
            </w:rPr>
          </w:pPr>
          <w:hyperlink w:history="1" w:anchor="_Toc57188142">
            <w:r w:rsidRPr="00D40C48" w:rsidR="00347080">
              <w:rPr>
                <w:rStyle w:val="Hyperlink"/>
                <w:noProof/>
              </w:rPr>
              <w:t>6.6.</w:t>
            </w:r>
            <w:r w:rsidR="00347080">
              <w:rPr>
                <w:rFonts w:asciiTheme="minorHAnsi" w:hAnsiTheme="minorHAnsi" w:cstheme="minorBidi"/>
                <w:noProof/>
                <w:sz w:val="22"/>
              </w:rPr>
              <w:tab/>
            </w:r>
            <w:r w:rsidRPr="00D40C48" w:rsidR="00347080">
              <w:rPr>
                <w:rStyle w:val="Hyperlink"/>
                <w:noProof/>
              </w:rPr>
              <w:t>Program Marketing</w:t>
            </w:r>
            <w:r w:rsidR="00347080">
              <w:rPr>
                <w:noProof/>
                <w:webHidden/>
              </w:rPr>
              <w:tab/>
            </w:r>
            <w:r w:rsidR="00347080">
              <w:rPr>
                <w:noProof/>
                <w:webHidden/>
              </w:rPr>
              <w:fldChar w:fldCharType="begin"/>
            </w:r>
            <w:r w:rsidR="00347080">
              <w:rPr>
                <w:noProof/>
                <w:webHidden/>
              </w:rPr>
              <w:instrText xml:space="preserve"> PAGEREF _Toc57188142 \h </w:instrText>
            </w:r>
            <w:r w:rsidR="00347080">
              <w:rPr>
                <w:noProof/>
                <w:webHidden/>
              </w:rPr>
            </w:r>
            <w:r w:rsidR="00347080">
              <w:rPr>
                <w:noProof/>
                <w:webHidden/>
              </w:rPr>
              <w:fldChar w:fldCharType="separate"/>
            </w:r>
            <w:r w:rsidR="00CD0206">
              <w:rPr>
                <w:noProof/>
                <w:webHidden/>
              </w:rPr>
              <w:t>35</w:t>
            </w:r>
            <w:r w:rsidR="00347080">
              <w:rPr>
                <w:noProof/>
                <w:webHidden/>
              </w:rPr>
              <w:fldChar w:fldCharType="end"/>
            </w:r>
          </w:hyperlink>
        </w:p>
        <w:p w:rsidR="00347080" w:rsidRDefault="00CA2A68" w14:paraId="7316DF27" w14:textId="13EE47CE">
          <w:pPr>
            <w:pStyle w:val="TOC2"/>
            <w:tabs>
              <w:tab w:val="right" w:leader="dot" w:pos="9350"/>
            </w:tabs>
            <w:rPr>
              <w:rFonts w:asciiTheme="minorHAnsi" w:hAnsiTheme="minorHAnsi" w:cstheme="minorBidi"/>
              <w:noProof/>
              <w:sz w:val="22"/>
            </w:rPr>
          </w:pPr>
          <w:hyperlink w:history="1" w:anchor="_Toc57188143">
            <w:r w:rsidRPr="00D40C48" w:rsidR="00347080">
              <w:rPr>
                <w:rStyle w:val="Hyperlink"/>
                <w:noProof/>
              </w:rPr>
              <w:t>6.7.</w:t>
            </w:r>
            <w:r w:rsidR="00347080">
              <w:rPr>
                <w:rFonts w:asciiTheme="minorHAnsi" w:hAnsiTheme="minorHAnsi" w:cstheme="minorBidi"/>
                <w:noProof/>
                <w:sz w:val="22"/>
              </w:rPr>
              <w:tab/>
            </w:r>
            <w:r w:rsidRPr="00D40C48" w:rsidR="00347080">
              <w:rPr>
                <w:rStyle w:val="Hyperlink"/>
                <w:noProof/>
              </w:rPr>
              <w:t>Program Evaluation and Modifications</w:t>
            </w:r>
            <w:r w:rsidR="00347080">
              <w:rPr>
                <w:noProof/>
                <w:webHidden/>
              </w:rPr>
              <w:tab/>
            </w:r>
            <w:r w:rsidR="00347080">
              <w:rPr>
                <w:noProof/>
                <w:webHidden/>
              </w:rPr>
              <w:fldChar w:fldCharType="begin"/>
            </w:r>
            <w:r w:rsidR="00347080">
              <w:rPr>
                <w:noProof/>
                <w:webHidden/>
              </w:rPr>
              <w:instrText xml:space="preserve"> PAGEREF _Toc57188143 \h </w:instrText>
            </w:r>
            <w:r w:rsidR="00347080">
              <w:rPr>
                <w:noProof/>
                <w:webHidden/>
              </w:rPr>
            </w:r>
            <w:r w:rsidR="00347080">
              <w:rPr>
                <w:noProof/>
                <w:webHidden/>
              </w:rPr>
              <w:fldChar w:fldCharType="separate"/>
            </w:r>
            <w:r w:rsidR="00CD0206">
              <w:rPr>
                <w:noProof/>
                <w:webHidden/>
              </w:rPr>
              <w:t>40</w:t>
            </w:r>
            <w:r w:rsidR="00347080">
              <w:rPr>
                <w:noProof/>
                <w:webHidden/>
              </w:rPr>
              <w:fldChar w:fldCharType="end"/>
            </w:r>
          </w:hyperlink>
        </w:p>
        <w:p w:rsidR="00347080" w:rsidRDefault="00CA2A68" w14:paraId="4F7BC3D8" w14:textId="4F18BC9C">
          <w:pPr>
            <w:pStyle w:val="TOC3"/>
            <w:tabs>
              <w:tab w:val="left" w:pos="1296"/>
              <w:tab w:val="right" w:leader="dot" w:pos="9350"/>
            </w:tabs>
            <w:rPr>
              <w:rFonts w:asciiTheme="minorHAnsi" w:hAnsiTheme="minorHAnsi" w:cstheme="minorBidi"/>
              <w:noProof/>
              <w:sz w:val="22"/>
            </w:rPr>
          </w:pPr>
          <w:hyperlink w:history="1" w:anchor="_Toc57188144">
            <w:r w:rsidRPr="00D40C48" w:rsidR="00347080">
              <w:rPr>
                <w:rStyle w:val="Hyperlink"/>
                <w:noProof/>
              </w:rPr>
              <w:t>6.7.1.</w:t>
            </w:r>
            <w:r w:rsidR="00347080">
              <w:rPr>
                <w:rFonts w:asciiTheme="minorHAnsi" w:hAnsiTheme="minorHAnsi" w:cstheme="minorBidi"/>
                <w:noProof/>
                <w:sz w:val="22"/>
              </w:rPr>
              <w:tab/>
            </w:r>
            <w:r w:rsidRPr="00D40C48" w:rsidR="00347080">
              <w:rPr>
                <w:rStyle w:val="Hyperlink"/>
                <w:noProof/>
              </w:rPr>
              <w:t>Program Success Metrics</w:t>
            </w:r>
            <w:r w:rsidR="00347080">
              <w:rPr>
                <w:noProof/>
                <w:webHidden/>
              </w:rPr>
              <w:tab/>
            </w:r>
            <w:r w:rsidR="00347080">
              <w:rPr>
                <w:noProof/>
                <w:webHidden/>
              </w:rPr>
              <w:fldChar w:fldCharType="begin"/>
            </w:r>
            <w:r w:rsidR="00347080">
              <w:rPr>
                <w:noProof/>
                <w:webHidden/>
              </w:rPr>
              <w:instrText xml:space="preserve"> PAGEREF _Toc57188144 \h </w:instrText>
            </w:r>
            <w:r w:rsidR="00347080">
              <w:rPr>
                <w:noProof/>
                <w:webHidden/>
              </w:rPr>
            </w:r>
            <w:r w:rsidR="00347080">
              <w:rPr>
                <w:noProof/>
                <w:webHidden/>
              </w:rPr>
              <w:fldChar w:fldCharType="separate"/>
            </w:r>
            <w:r w:rsidR="00CD0206">
              <w:rPr>
                <w:noProof/>
                <w:webHidden/>
              </w:rPr>
              <w:t>40</w:t>
            </w:r>
            <w:r w:rsidR="00347080">
              <w:rPr>
                <w:noProof/>
                <w:webHidden/>
              </w:rPr>
              <w:fldChar w:fldCharType="end"/>
            </w:r>
          </w:hyperlink>
        </w:p>
        <w:p w:rsidR="00347080" w:rsidRDefault="00CA2A68" w14:paraId="5A1505DE" w14:textId="15110F4B">
          <w:pPr>
            <w:pStyle w:val="TOC3"/>
            <w:tabs>
              <w:tab w:val="left" w:pos="1296"/>
              <w:tab w:val="right" w:leader="dot" w:pos="9350"/>
            </w:tabs>
            <w:rPr>
              <w:rFonts w:asciiTheme="minorHAnsi" w:hAnsiTheme="minorHAnsi" w:cstheme="minorBidi"/>
              <w:noProof/>
              <w:sz w:val="22"/>
            </w:rPr>
          </w:pPr>
          <w:hyperlink w:history="1" w:anchor="_Toc57188145">
            <w:r w:rsidRPr="00D40C48" w:rsidR="00347080">
              <w:rPr>
                <w:rStyle w:val="Hyperlink"/>
                <w:noProof/>
              </w:rPr>
              <w:t>6.7.2.</w:t>
            </w:r>
            <w:r w:rsidR="00347080">
              <w:rPr>
                <w:rFonts w:asciiTheme="minorHAnsi" w:hAnsiTheme="minorHAnsi" w:cstheme="minorBidi"/>
                <w:noProof/>
                <w:sz w:val="22"/>
              </w:rPr>
              <w:tab/>
            </w:r>
            <w:r w:rsidRPr="00D40C48" w:rsidR="00347080">
              <w:rPr>
                <w:rStyle w:val="Hyperlink"/>
                <w:noProof/>
              </w:rPr>
              <w:t>Program Design Changes and Other Modifications</w:t>
            </w:r>
            <w:r w:rsidR="00347080">
              <w:rPr>
                <w:noProof/>
                <w:webHidden/>
              </w:rPr>
              <w:tab/>
            </w:r>
            <w:r w:rsidR="00347080">
              <w:rPr>
                <w:noProof/>
                <w:webHidden/>
              </w:rPr>
              <w:fldChar w:fldCharType="begin"/>
            </w:r>
            <w:r w:rsidR="00347080">
              <w:rPr>
                <w:noProof/>
                <w:webHidden/>
              </w:rPr>
              <w:instrText xml:space="preserve"> PAGEREF _Toc57188145 \h </w:instrText>
            </w:r>
            <w:r w:rsidR="00347080">
              <w:rPr>
                <w:noProof/>
                <w:webHidden/>
              </w:rPr>
            </w:r>
            <w:r w:rsidR="00347080">
              <w:rPr>
                <w:noProof/>
                <w:webHidden/>
              </w:rPr>
              <w:fldChar w:fldCharType="separate"/>
            </w:r>
            <w:r w:rsidR="00CD0206">
              <w:rPr>
                <w:noProof/>
                <w:webHidden/>
              </w:rPr>
              <w:t>41</w:t>
            </w:r>
            <w:r w:rsidR="00347080">
              <w:rPr>
                <w:noProof/>
                <w:webHidden/>
              </w:rPr>
              <w:fldChar w:fldCharType="end"/>
            </w:r>
          </w:hyperlink>
        </w:p>
        <w:p w:rsidR="00347080" w:rsidRDefault="00CA2A68" w14:paraId="738EEBAA" w14:textId="658BFE54">
          <w:pPr>
            <w:pStyle w:val="TOC3"/>
            <w:tabs>
              <w:tab w:val="left" w:pos="1296"/>
              <w:tab w:val="right" w:leader="dot" w:pos="9350"/>
            </w:tabs>
            <w:rPr>
              <w:rFonts w:asciiTheme="minorHAnsi" w:hAnsiTheme="minorHAnsi" w:cstheme="minorBidi"/>
              <w:noProof/>
              <w:sz w:val="22"/>
            </w:rPr>
          </w:pPr>
          <w:hyperlink w:history="1" w:anchor="_Toc57188146">
            <w:r w:rsidRPr="00D40C48" w:rsidR="00347080">
              <w:rPr>
                <w:rStyle w:val="Hyperlink"/>
                <w:noProof/>
              </w:rPr>
              <w:t>6.7.3.</w:t>
            </w:r>
            <w:r w:rsidR="00347080">
              <w:rPr>
                <w:rFonts w:asciiTheme="minorHAnsi" w:hAnsiTheme="minorHAnsi" w:cstheme="minorBidi"/>
                <w:noProof/>
                <w:sz w:val="22"/>
              </w:rPr>
              <w:tab/>
            </w:r>
            <w:r w:rsidRPr="00D40C48" w:rsidR="00347080">
              <w:rPr>
                <w:rStyle w:val="Hyperlink"/>
                <w:noProof/>
              </w:rPr>
              <w:t>Public Disclosure of RNG Procurement Contract Prices</w:t>
            </w:r>
            <w:r w:rsidR="00347080">
              <w:rPr>
                <w:noProof/>
                <w:webHidden/>
              </w:rPr>
              <w:tab/>
            </w:r>
            <w:r w:rsidR="00347080">
              <w:rPr>
                <w:noProof/>
                <w:webHidden/>
              </w:rPr>
              <w:fldChar w:fldCharType="begin"/>
            </w:r>
            <w:r w:rsidR="00347080">
              <w:rPr>
                <w:noProof/>
                <w:webHidden/>
              </w:rPr>
              <w:instrText xml:space="preserve"> PAGEREF _Toc57188146 \h </w:instrText>
            </w:r>
            <w:r w:rsidR="00347080">
              <w:rPr>
                <w:noProof/>
                <w:webHidden/>
              </w:rPr>
            </w:r>
            <w:r w:rsidR="00347080">
              <w:rPr>
                <w:noProof/>
                <w:webHidden/>
              </w:rPr>
              <w:fldChar w:fldCharType="separate"/>
            </w:r>
            <w:r w:rsidR="00CD0206">
              <w:rPr>
                <w:noProof/>
                <w:webHidden/>
              </w:rPr>
              <w:t>41</w:t>
            </w:r>
            <w:r w:rsidR="00347080">
              <w:rPr>
                <w:noProof/>
                <w:webHidden/>
              </w:rPr>
              <w:fldChar w:fldCharType="end"/>
            </w:r>
          </w:hyperlink>
        </w:p>
        <w:p w:rsidR="00347080" w:rsidRDefault="00CA2A68" w14:paraId="4CF3C6AD" w14:textId="454D4538">
          <w:pPr>
            <w:pStyle w:val="TOC2"/>
            <w:tabs>
              <w:tab w:val="right" w:leader="dot" w:pos="9350"/>
            </w:tabs>
            <w:rPr>
              <w:rFonts w:asciiTheme="minorHAnsi" w:hAnsiTheme="minorHAnsi" w:cstheme="minorBidi"/>
              <w:noProof/>
              <w:sz w:val="22"/>
            </w:rPr>
          </w:pPr>
          <w:hyperlink w:history="1" w:anchor="_Toc57188147">
            <w:r w:rsidRPr="00D40C48" w:rsidR="00347080">
              <w:rPr>
                <w:rStyle w:val="Hyperlink"/>
                <w:noProof/>
              </w:rPr>
              <w:t>6.8.</w:t>
            </w:r>
            <w:r w:rsidR="00347080">
              <w:rPr>
                <w:rFonts w:asciiTheme="minorHAnsi" w:hAnsiTheme="minorHAnsi" w:cstheme="minorBidi"/>
                <w:noProof/>
                <w:sz w:val="22"/>
              </w:rPr>
              <w:tab/>
            </w:r>
            <w:r w:rsidRPr="00D40C48" w:rsidR="00347080">
              <w:rPr>
                <w:rStyle w:val="Hyperlink"/>
                <w:noProof/>
              </w:rPr>
              <w:t>Program Alignment with  SB 1440 Implementation</w:t>
            </w:r>
            <w:r w:rsidR="00347080">
              <w:rPr>
                <w:noProof/>
                <w:webHidden/>
              </w:rPr>
              <w:tab/>
            </w:r>
            <w:r w:rsidR="00347080">
              <w:rPr>
                <w:noProof/>
                <w:webHidden/>
              </w:rPr>
              <w:fldChar w:fldCharType="begin"/>
            </w:r>
            <w:r w:rsidR="00347080">
              <w:rPr>
                <w:noProof/>
                <w:webHidden/>
              </w:rPr>
              <w:instrText xml:space="preserve"> PAGEREF _Toc57188147 \h </w:instrText>
            </w:r>
            <w:r w:rsidR="00347080">
              <w:rPr>
                <w:noProof/>
                <w:webHidden/>
              </w:rPr>
            </w:r>
            <w:r w:rsidR="00347080">
              <w:rPr>
                <w:noProof/>
                <w:webHidden/>
              </w:rPr>
              <w:fldChar w:fldCharType="separate"/>
            </w:r>
            <w:r w:rsidR="00CD0206">
              <w:rPr>
                <w:noProof/>
                <w:webHidden/>
              </w:rPr>
              <w:t>43</w:t>
            </w:r>
            <w:r w:rsidR="00347080">
              <w:rPr>
                <w:noProof/>
                <w:webHidden/>
              </w:rPr>
              <w:fldChar w:fldCharType="end"/>
            </w:r>
          </w:hyperlink>
        </w:p>
        <w:p w:rsidR="00347080" w:rsidRDefault="00CA2A68" w14:paraId="3F19C6AB" w14:textId="35D9522F">
          <w:pPr>
            <w:pStyle w:val="TOC1"/>
            <w:tabs>
              <w:tab w:val="right" w:leader="dot" w:pos="9350"/>
            </w:tabs>
            <w:rPr>
              <w:rFonts w:asciiTheme="minorHAnsi" w:hAnsiTheme="minorHAnsi" w:cstheme="minorBidi"/>
              <w:noProof/>
              <w:sz w:val="22"/>
            </w:rPr>
          </w:pPr>
          <w:hyperlink w:history="1" w:anchor="_Toc57188148">
            <w:r w:rsidRPr="00D40C48" w:rsidR="00347080">
              <w:rPr>
                <w:rStyle w:val="Hyperlink"/>
                <w:noProof/>
              </w:rPr>
              <w:t>7.</w:t>
            </w:r>
            <w:r w:rsidR="00347080">
              <w:rPr>
                <w:rFonts w:asciiTheme="minorHAnsi" w:hAnsiTheme="minorHAnsi" w:cstheme="minorBidi"/>
                <w:noProof/>
                <w:sz w:val="22"/>
              </w:rPr>
              <w:tab/>
            </w:r>
            <w:r w:rsidRPr="00D40C48" w:rsidR="00347080">
              <w:rPr>
                <w:rStyle w:val="Hyperlink"/>
                <w:noProof/>
              </w:rPr>
              <w:t>Conclusion</w:t>
            </w:r>
            <w:r w:rsidR="00347080">
              <w:rPr>
                <w:noProof/>
                <w:webHidden/>
              </w:rPr>
              <w:tab/>
            </w:r>
            <w:r w:rsidR="00347080">
              <w:rPr>
                <w:noProof/>
                <w:webHidden/>
              </w:rPr>
              <w:fldChar w:fldCharType="begin"/>
            </w:r>
            <w:r w:rsidR="00347080">
              <w:rPr>
                <w:noProof/>
                <w:webHidden/>
              </w:rPr>
              <w:instrText xml:space="preserve"> PAGEREF _Toc57188148 \h </w:instrText>
            </w:r>
            <w:r w:rsidR="00347080">
              <w:rPr>
                <w:noProof/>
                <w:webHidden/>
              </w:rPr>
            </w:r>
            <w:r w:rsidR="00347080">
              <w:rPr>
                <w:noProof/>
                <w:webHidden/>
              </w:rPr>
              <w:fldChar w:fldCharType="separate"/>
            </w:r>
            <w:r w:rsidR="00CD0206">
              <w:rPr>
                <w:noProof/>
                <w:webHidden/>
              </w:rPr>
              <w:t>43</w:t>
            </w:r>
            <w:r w:rsidR="00347080">
              <w:rPr>
                <w:noProof/>
                <w:webHidden/>
              </w:rPr>
              <w:fldChar w:fldCharType="end"/>
            </w:r>
          </w:hyperlink>
        </w:p>
        <w:p w:rsidR="00347080" w:rsidRDefault="00CA2A68" w14:paraId="5AE77692" w14:textId="697507A6">
          <w:pPr>
            <w:pStyle w:val="TOC1"/>
            <w:tabs>
              <w:tab w:val="right" w:leader="dot" w:pos="9350"/>
            </w:tabs>
            <w:rPr>
              <w:rFonts w:asciiTheme="minorHAnsi" w:hAnsiTheme="minorHAnsi" w:cstheme="minorBidi"/>
              <w:noProof/>
              <w:sz w:val="22"/>
            </w:rPr>
          </w:pPr>
          <w:hyperlink w:history="1" w:anchor="_Toc57188149">
            <w:r w:rsidRPr="00D40C48" w:rsidR="00347080">
              <w:rPr>
                <w:rStyle w:val="Hyperlink"/>
                <w:noProof/>
              </w:rPr>
              <w:t>8.</w:t>
            </w:r>
            <w:r w:rsidR="00347080">
              <w:rPr>
                <w:rFonts w:asciiTheme="minorHAnsi" w:hAnsiTheme="minorHAnsi" w:cstheme="minorBidi"/>
                <w:noProof/>
                <w:sz w:val="22"/>
              </w:rPr>
              <w:tab/>
            </w:r>
            <w:r w:rsidRPr="00D40C48" w:rsidR="00347080">
              <w:rPr>
                <w:rStyle w:val="Hyperlink"/>
                <w:noProof/>
              </w:rPr>
              <w:t>Categorization and Need for Hearings</w:t>
            </w:r>
            <w:r w:rsidR="00347080">
              <w:rPr>
                <w:noProof/>
                <w:webHidden/>
              </w:rPr>
              <w:tab/>
            </w:r>
            <w:r w:rsidR="00347080">
              <w:rPr>
                <w:noProof/>
                <w:webHidden/>
              </w:rPr>
              <w:fldChar w:fldCharType="begin"/>
            </w:r>
            <w:r w:rsidR="00347080">
              <w:rPr>
                <w:noProof/>
                <w:webHidden/>
              </w:rPr>
              <w:instrText xml:space="preserve"> PAGEREF _Toc57188149 \h </w:instrText>
            </w:r>
            <w:r w:rsidR="00347080">
              <w:rPr>
                <w:noProof/>
                <w:webHidden/>
              </w:rPr>
            </w:r>
            <w:r w:rsidR="00347080">
              <w:rPr>
                <w:noProof/>
                <w:webHidden/>
              </w:rPr>
              <w:fldChar w:fldCharType="separate"/>
            </w:r>
            <w:r w:rsidR="00CD0206">
              <w:rPr>
                <w:noProof/>
                <w:webHidden/>
              </w:rPr>
              <w:t>44</w:t>
            </w:r>
            <w:r w:rsidR="00347080">
              <w:rPr>
                <w:noProof/>
                <w:webHidden/>
              </w:rPr>
              <w:fldChar w:fldCharType="end"/>
            </w:r>
          </w:hyperlink>
        </w:p>
        <w:p w:rsidR="00347080" w:rsidRDefault="00CA2A68" w14:paraId="7CBCA0D1" w14:textId="0C38C9A3">
          <w:pPr>
            <w:pStyle w:val="TOC1"/>
            <w:tabs>
              <w:tab w:val="right" w:leader="dot" w:pos="9350"/>
            </w:tabs>
            <w:rPr>
              <w:rFonts w:asciiTheme="minorHAnsi" w:hAnsiTheme="minorHAnsi" w:cstheme="minorBidi"/>
              <w:noProof/>
              <w:sz w:val="22"/>
            </w:rPr>
          </w:pPr>
          <w:hyperlink w:history="1" w:anchor="_Toc57188150">
            <w:r w:rsidRPr="00D40C48" w:rsidR="00347080">
              <w:rPr>
                <w:rStyle w:val="Hyperlink"/>
                <w:noProof/>
              </w:rPr>
              <w:t>9.</w:t>
            </w:r>
            <w:r w:rsidR="00347080">
              <w:rPr>
                <w:rFonts w:asciiTheme="minorHAnsi" w:hAnsiTheme="minorHAnsi" w:cstheme="minorBidi"/>
                <w:noProof/>
                <w:sz w:val="22"/>
              </w:rPr>
              <w:tab/>
            </w:r>
            <w:r w:rsidRPr="00D40C48" w:rsidR="00347080">
              <w:rPr>
                <w:rStyle w:val="Hyperlink"/>
                <w:noProof/>
              </w:rPr>
              <w:t>Comments on Proposed Decision</w:t>
            </w:r>
            <w:r w:rsidR="00347080">
              <w:rPr>
                <w:noProof/>
                <w:webHidden/>
              </w:rPr>
              <w:tab/>
            </w:r>
            <w:r w:rsidR="00347080">
              <w:rPr>
                <w:noProof/>
                <w:webHidden/>
              </w:rPr>
              <w:fldChar w:fldCharType="begin"/>
            </w:r>
            <w:r w:rsidR="00347080">
              <w:rPr>
                <w:noProof/>
                <w:webHidden/>
              </w:rPr>
              <w:instrText xml:space="preserve"> PAGEREF _Toc57188150 \h </w:instrText>
            </w:r>
            <w:r w:rsidR="00347080">
              <w:rPr>
                <w:noProof/>
                <w:webHidden/>
              </w:rPr>
            </w:r>
            <w:r w:rsidR="00347080">
              <w:rPr>
                <w:noProof/>
                <w:webHidden/>
              </w:rPr>
              <w:fldChar w:fldCharType="separate"/>
            </w:r>
            <w:r w:rsidR="00CD0206">
              <w:rPr>
                <w:noProof/>
                <w:webHidden/>
              </w:rPr>
              <w:t>44</w:t>
            </w:r>
            <w:r w:rsidR="00347080">
              <w:rPr>
                <w:noProof/>
                <w:webHidden/>
              </w:rPr>
              <w:fldChar w:fldCharType="end"/>
            </w:r>
          </w:hyperlink>
        </w:p>
        <w:p w:rsidR="00347080" w:rsidRDefault="00CA2A68" w14:paraId="6B7273B3" w14:textId="2351E940">
          <w:pPr>
            <w:pStyle w:val="TOC1"/>
            <w:tabs>
              <w:tab w:val="right" w:leader="dot" w:pos="9350"/>
            </w:tabs>
            <w:rPr>
              <w:rFonts w:asciiTheme="minorHAnsi" w:hAnsiTheme="minorHAnsi" w:cstheme="minorBidi"/>
              <w:noProof/>
              <w:sz w:val="22"/>
            </w:rPr>
          </w:pPr>
          <w:hyperlink w:history="1" w:anchor="_Toc57188151">
            <w:r w:rsidRPr="00D40C48" w:rsidR="00347080">
              <w:rPr>
                <w:rStyle w:val="Hyperlink"/>
                <w:noProof/>
              </w:rPr>
              <w:t>10.</w:t>
            </w:r>
            <w:r w:rsidR="00347080">
              <w:rPr>
                <w:rFonts w:asciiTheme="minorHAnsi" w:hAnsiTheme="minorHAnsi" w:cstheme="minorBidi"/>
                <w:noProof/>
                <w:sz w:val="22"/>
              </w:rPr>
              <w:tab/>
            </w:r>
            <w:r w:rsidRPr="00D40C48" w:rsidR="00347080">
              <w:rPr>
                <w:rStyle w:val="Hyperlink"/>
                <w:noProof/>
              </w:rPr>
              <w:t>Assignment of Proceeding</w:t>
            </w:r>
            <w:r w:rsidR="00347080">
              <w:rPr>
                <w:noProof/>
                <w:webHidden/>
              </w:rPr>
              <w:tab/>
            </w:r>
            <w:r w:rsidR="00347080">
              <w:rPr>
                <w:noProof/>
                <w:webHidden/>
              </w:rPr>
              <w:fldChar w:fldCharType="begin"/>
            </w:r>
            <w:r w:rsidR="00347080">
              <w:rPr>
                <w:noProof/>
                <w:webHidden/>
              </w:rPr>
              <w:instrText xml:space="preserve"> PAGEREF _Toc57188151 \h </w:instrText>
            </w:r>
            <w:r w:rsidR="00347080">
              <w:rPr>
                <w:noProof/>
                <w:webHidden/>
              </w:rPr>
            </w:r>
            <w:r w:rsidR="00347080">
              <w:rPr>
                <w:noProof/>
                <w:webHidden/>
              </w:rPr>
              <w:fldChar w:fldCharType="separate"/>
            </w:r>
            <w:r w:rsidR="00CD0206">
              <w:rPr>
                <w:noProof/>
                <w:webHidden/>
              </w:rPr>
              <w:t>47</w:t>
            </w:r>
            <w:r w:rsidR="00347080">
              <w:rPr>
                <w:noProof/>
                <w:webHidden/>
              </w:rPr>
              <w:fldChar w:fldCharType="end"/>
            </w:r>
          </w:hyperlink>
        </w:p>
        <w:p w:rsidR="00347080" w:rsidRDefault="00CA2A68" w14:paraId="20CD8AF2" w14:textId="42BAC8AE">
          <w:pPr>
            <w:pStyle w:val="TOC1"/>
            <w:tabs>
              <w:tab w:val="right" w:leader="dot" w:pos="9350"/>
            </w:tabs>
            <w:rPr>
              <w:rFonts w:asciiTheme="minorHAnsi" w:hAnsiTheme="minorHAnsi" w:cstheme="minorBidi"/>
              <w:noProof/>
              <w:sz w:val="22"/>
            </w:rPr>
          </w:pPr>
          <w:hyperlink w:history="1" w:anchor="_Toc57188152">
            <w:r w:rsidRPr="00D40C48" w:rsidR="00347080">
              <w:rPr>
                <w:rStyle w:val="Hyperlink"/>
                <w:noProof/>
              </w:rPr>
              <w:t>Findings of Fact</w:t>
            </w:r>
            <w:r w:rsidR="00347080">
              <w:rPr>
                <w:noProof/>
                <w:webHidden/>
              </w:rPr>
              <w:tab/>
            </w:r>
            <w:r w:rsidR="00347080">
              <w:rPr>
                <w:noProof/>
                <w:webHidden/>
              </w:rPr>
              <w:fldChar w:fldCharType="begin"/>
            </w:r>
            <w:r w:rsidR="00347080">
              <w:rPr>
                <w:noProof/>
                <w:webHidden/>
              </w:rPr>
              <w:instrText xml:space="preserve"> PAGEREF _Toc57188152 \h </w:instrText>
            </w:r>
            <w:r w:rsidR="00347080">
              <w:rPr>
                <w:noProof/>
                <w:webHidden/>
              </w:rPr>
            </w:r>
            <w:r w:rsidR="00347080">
              <w:rPr>
                <w:noProof/>
                <w:webHidden/>
              </w:rPr>
              <w:fldChar w:fldCharType="separate"/>
            </w:r>
            <w:r w:rsidR="00CD0206">
              <w:rPr>
                <w:noProof/>
                <w:webHidden/>
              </w:rPr>
              <w:t>48</w:t>
            </w:r>
            <w:r w:rsidR="00347080">
              <w:rPr>
                <w:noProof/>
                <w:webHidden/>
              </w:rPr>
              <w:fldChar w:fldCharType="end"/>
            </w:r>
          </w:hyperlink>
        </w:p>
        <w:p w:rsidR="00347080" w:rsidRDefault="00CA2A68" w14:paraId="08583591" w14:textId="0E2C63C9">
          <w:pPr>
            <w:pStyle w:val="TOC1"/>
            <w:tabs>
              <w:tab w:val="right" w:leader="dot" w:pos="9350"/>
            </w:tabs>
            <w:rPr>
              <w:rFonts w:asciiTheme="minorHAnsi" w:hAnsiTheme="minorHAnsi" w:cstheme="minorBidi"/>
              <w:noProof/>
              <w:sz w:val="22"/>
            </w:rPr>
          </w:pPr>
          <w:hyperlink w:history="1" w:anchor="_Toc57188153">
            <w:r w:rsidRPr="00D40C48" w:rsidR="00347080">
              <w:rPr>
                <w:rStyle w:val="Hyperlink"/>
                <w:noProof/>
              </w:rPr>
              <w:t>Conclusions of Law</w:t>
            </w:r>
            <w:r w:rsidR="00347080">
              <w:rPr>
                <w:noProof/>
                <w:webHidden/>
              </w:rPr>
              <w:tab/>
            </w:r>
            <w:r w:rsidR="00347080">
              <w:rPr>
                <w:noProof/>
                <w:webHidden/>
              </w:rPr>
              <w:fldChar w:fldCharType="begin"/>
            </w:r>
            <w:r w:rsidR="00347080">
              <w:rPr>
                <w:noProof/>
                <w:webHidden/>
              </w:rPr>
              <w:instrText xml:space="preserve"> PAGEREF _Toc57188153 \h </w:instrText>
            </w:r>
            <w:r w:rsidR="00347080">
              <w:rPr>
                <w:noProof/>
                <w:webHidden/>
              </w:rPr>
            </w:r>
            <w:r w:rsidR="00347080">
              <w:rPr>
                <w:noProof/>
                <w:webHidden/>
              </w:rPr>
              <w:fldChar w:fldCharType="separate"/>
            </w:r>
            <w:r w:rsidR="00CD0206">
              <w:rPr>
                <w:noProof/>
                <w:webHidden/>
              </w:rPr>
              <w:t>51</w:t>
            </w:r>
            <w:r w:rsidR="00347080">
              <w:rPr>
                <w:noProof/>
                <w:webHidden/>
              </w:rPr>
              <w:fldChar w:fldCharType="end"/>
            </w:r>
          </w:hyperlink>
        </w:p>
        <w:p w:rsidR="00347080" w:rsidRDefault="00CA2A68" w14:paraId="3B0BB260" w14:textId="07E14111">
          <w:pPr>
            <w:pStyle w:val="TOC1"/>
            <w:tabs>
              <w:tab w:val="right" w:leader="dot" w:pos="9350"/>
            </w:tabs>
            <w:rPr>
              <w:rFonts w:asciiTheme="minorHAnsi" w:hAnsiTheme="minorHAnsi" w:cstheme="minorBidi"/>
              <w:noProof/>
              <w:sz w:val="22"/>
            </w:rPr>
          </w:pPr>
          <w:hyperlink w:history="1" w:anchor="_Toc57188154">
            <w:r w:rsidRPr="00D40C48" w:rsidR="00347080">
              <w:rPr>
                <w:rStyle w:val="Hyperlink"/>
                <w:noProof/>
              </w:rPr>
              <w:t>ORDER</w:t>
            </w:r>
            <w:r w:rsidR="00347080">
              <w:rPr>
                <w:noProof/>
                <w:webHidden/>
              </w:rPr>
              <w:tab/>
            </w:r>
            <w:r w:rsidR="00347080">
              <w:rPr>
                <w:noProof/>
                <w:webHidden/>
              </w:rPr>
              <w:fldChar w:fldCharType="begin"/>
            </w:r>
            <w:r w:rsidR="00347080">
              <w:rPr>
                <w:noProof/>
                <w:webHidden/>
              </w:rPr>
              <w:instrText xml:space="preserve"> PAGEREF _Toc57188154 \h </w:instrText>
            </w:r>
            <w:r w:rsidR="00347080">
              <w:rPr>
                <w:noProof/>
                <w:webHidden/>
              </w:rPr>
            </w:r>
            <w:r w:rsidR="00347080">
              <w:rPr>
                <w:noProof/>
                <w:webHidden/>
              </w:rPr>
              <w:fldChar w:fldCharType="separate"/>
            </w:r>
            <w:r w:rsidR="00CD0206">
              <w:rPr>
                <w:noProof/>
                <w:webHidden/>
              </w:rPr>
              <w:t>54</w:t>
            </w:r>
            <w:r w:rsidR="00347080">
              <w:rPr>
                <w:noProof/>
                <w:webHidden/>
              </w:rPr>
              <w:fldChar w:fldCharType="end"/>
            </w:r>
          </w:hyperlink>
        </w:p>
        <w:p w:rsidR="001C4A46" w:rsidP="001C4A46" w:rsidRDefault="001C4A46" w14:paraId="5CC4905B" w14:textId="4AC6D747">
          <w:pPr>
            <w:pStyle w:val="TOC1"/>
            <w:tabs>
              <w:tab w:val="right" w:leader="dot" w:pos="9350"/>
            </w:tabs>
          </w:pPr>
          <w:r>
            <w:rPr>
              <w:rFonts w:asciiTheme="minorHAnsi" w:hAnsiTheme="minorHAnsi"/>
              <w:sz w:val="22"/>
            </w:rPr>
            <w:fldChar w:fldCharType="end"/>
          </w:r>
        </w:p>
      </w:sdtContent>
    </w:sdt>
    <w:p w:rsidR="001C4A46" w:rsidP="001C4A46" w:rsidRDefault="001C4A46" w14:paraId="7BE2EB8A" w14:textId="34705DFD">
      <w:pPr>
        <w:spacing w:line="240" w:lineRule="auto"/>
        <w:ind w:firstLine="0"/>
        <w:rPr>
          <w:rFonts w:cs="Arial"/>
          <w:szCs w:val="26"/>
        </w:rPr>
      </w:pPr>
      <w:r w:rsidRPr="0098655A">
        <w:rPr>
          <w:rFonts w:cs="Arial"/>
          <w:b/>
          <w:szCs w:val="26"/>
        </w:rPr>
        <w:t xml:space="preserve">Appendix </w:t>
      </w:r>
      <w:r>
        <w:rPr>
          <w:rFonts w:cs="Arial"/>
          <w:b/>
          <w:szCs w:val="26"/>
        </w:rPr>
        <w:t>A</w:t>
      </w:r>
      <w:r w:rsidRPr="0098655A">
        <w:rPr>
          <w:rFonts w:cs="Arial"/>
          <w:szCs w:val="26"/>
        </w:rPr>
        <w:t xml:space="preserve"> –</w:t>
      </w:r>
      <w:r>
        <w:rPr>
          <w:rFonts w:cs="Arial"/>
          <w:szCs w:val="26"/>
        </w:rPr>
        <w:t xml:space="preserve"> Adopted Voluntary </w:t>
      </w:r>
      <w:r w:rsidR="00CD2145">
        <w:rPr>
          <w:rFonts w:cs="Arial"/>
          <w:szCs w:val="26"/>
        </w:rPr>
        <w:t xml:space="preserve">Pilot </w:t>
      </w:r>
      <w:r>
        <w:rPr>
          <w:rFonts w:cs="Arial"/>
          <w:szCs w:val="26"/>
        </w:rPr>
        <w:t xml:space="preserve">Renewable Natural Gas Tariff Program </w:t>
      </w:r>
    </w:p>
    <w:p w:rsidRPr="007A064B" w:rsidR="001C4A46" w:rsidP="001C4A46" w:rsidRDefault="001C4A46" w14:paraId="602FEEE5" w14:textId="77777777">
      <w:pPr>
        <w:spacing w:line="240" w:lineRule="auto"/>
        <w:ind w:firstLine="0"/>
        <w:rPr>
          <w:rFonts w:cs="Arial"/>
          <w:iCs/>
          <w:szCs w:val="26"/>
        </w:rPr>
        <w:sectPr w:rsidRPr="007A064B" w:rsidR="001C4A46" w:rsidSect="00BF001C">
          <w:headerReference w:type="default" r:id="rId9"/>
          <w:footerReference w:type="default" r:id="rId10"/>
          <w:pgSz w:w="12240" w:h="15840"/>
          <w:pgMar w:top="1728" w:right="1440" w:bottom="1440" w:left="1440" w:header="720" w:footer="720" w:gutter="0"/>
          <w:pgNumType w:fmt="lowerRoman" w:start="1"/>
          <w:cols w:space="720"/>
          <w:docGrid w:linePitch="360"/>
        </w:sectPr>
      </w:pPr>
      <w:r w:rsidRPr="0098655A">
        <w:rPr>
          <w:rFonts w:cs="Arial"/>
          <w:b/>
          <w:szCs w:val="26"/>
        </w:rPr>
        <w:t xml:space="preserve">Appendix </w:t>
      </w:r>
      <w:r>
        <w:rPr>
          <w:rFonts w:cs="Arial"/>
          <w:b/>
          <w:szCs w:val="26"/>
        </w:rPr>
        <w:t>B</w:t>
      </w:r>
      <w:r w:rsidRPr="0098655A">
        <w:rPr>
          <w:rFonts w:cs="Arial"/>
          <w:szCs w:val="26"/>
        </w:rPr>
        <w:t xml:space="preserve"> –</w:t>
      </w:r>
      <w:r>
        <w:rPr>
          <w:rFonts w:cs="Arial"/>
          <w:szCs w:val="26"/>
        </w:rPr>
        <w:t xml:space="preserve"> </w:t>
      </w:r>
      <w:r w:rsidRPr="00AA6B87">
        <w:rPr>
          <w:rFonts w:cs="Arial"/>
          <w:szCs w:val="26"/>
        </w:rPr>
        <w:t>Abbreviations, Acronyms, and Definitions</w:t>
      </w:r>
      <w:r>
        <w:rPr>
          <w:rFonts w:cs="Arial"/>
          <w:bCs/>
          <w:szCs w:val="26"/>
        </w:rPr>
        <w:t xml:space="preserve"> </w:t>
      </w:r>
    </w:p>
    <w:p w:rsidR="001C4A46" w:rsidP="001C4A46" w:rsidRDefault="001C4A46" w14:paraId="29ECA048" w14:textId="189203BC">
      <w:pPr>
        <w:pStyle w:val="Main"/>
        <w:spacing w:after="240"/>
      </w:pPr>
      <w:r>
        <w:lastRenderedPageBreak/>
        <w:t xml:space="preserve">DECISION adopting voluntary Pilot RENEWABLE </w:t>
      </w:r>
      <w:r>
        <w:br/>
        <w:t xml:space="preserve">natural gas tariff program </w:t>
      </w:r>
    </w:p>
    <w:p w:rsidR="001C4A46" w:rsidP="001C4A46" w:rsidRDefault="001C4A46" w14:paraId="75CDC2DE" w14:textId="77777777">
      <w:pPr>
        <w:pStyle w:val="Dummy"/>
      </w:pPr>
      <w:bookmarkStart w:name="_Toc8123714" w:id="1"/>
      <w:bookmarkStart w:name="_Toc45740461" w:id="2"/>
      <w:bookmarkStart w:name="_Toc57188119" w:id="3"/>
      <w:bookmarkStart w:name="_Toc8123720" w:id="4"/>
      <w:r>
        <w:t>Summary</w:t>
      </w:r>
      <w:bookmarkEnd w:id="1"/>
      <w:bookmarkEnd w:id="2"/>
      <w:bookmarkEnd w:id="3"/>
    </w:p>
    <w:p w:rsidR="001C4A46" w:rsidP="001C4A46" w:rsidRDefault="001C4A46" w14:paraId="71B9C13F" w14:textId="71ED13DE">
      <w:pPr>
        <w:pStyle w:val="Standard"/>
      </w:pPr>
      <w:bookmarkStart w:name="_Toc8123715" w:id="5"/>
      <w:bookmarkStart w:name="_Toc45740462" w:id="6"/>
      <w:r>
        <w:t xml:space="preserve">This decision adopts a three-year voluntary pilot Renewable Natural Gas Tariff program for Southern California Gas Company and San Diego Gas &amp; Electric Company (the Utilities).  The Utilities are authorized to offer this program to their respective eligible core customers.  This decision resolves the issues raised by parties concerning the Utilities’ initial application and the contested Settlement Agreement signed by eight of the 17 parties.  Even though the Settlement Agreement is not adopted, we approve a voluntary pilot program largely based on the framework and elements of the Settlement Agreement, but with limited modifications.  </w:t>
      </w:r>
      <w:r w:rsidRPr="5F8C6307">
        <w:rPr>
          <w:lang w:eastAsia="zh-TW"/>
        </w:rPr>
        <w:t xml:space="preserve">We start with the program proposed in the Settlement Agreement because it provides a good structure and reasonably addresses numerous issues.  </w:t>
      </w:r>
      <w:r>
        <w:t>The modifications to the Settlement Agreement align with current law, improve opportunities for program success, provide additional protections for non-participants, and promote a just and reasonable outcome.</w:t>
      </w:r>
    </w:p>
    <w:p w:rsidR="001C4A46" w:rsidP="001C4A46" w:rsidRDefault="001C4A46" w14:paraId="7E377ECD" w14:textId="77777777">
      <w:pPr>
        <w:pStyle w:val="Standard"/>
      </w:pPr>
      <w:r>
        <w:t>In summary, the voluntary pilot program includes the following key policy requirements:</w:t>
      </w:r>
    </w:p>
    <w:p w:rsidRPr="000B7051" w:rsidR="001C4A46" w:rsidP="001573EA" w:rsidRDefault="001C4A46" w14:paraId="3208747C" w14:textId="77777777">
      <w:pPr>
        <w:pStyle w:val="ListBullet"/>
        <w:ind w:right="1170"/>
      </w:pPr>
      <w:r w:rsidRPr="64FFF39B">
        <w:rPr>
          <w:u w:val="single"/>
        </w:rPr>
        <w:t>Procurement Requirements:</w:t>
      </w:r>
      <w:r>
        <w:t xml:space="preserve">  A minimum of 50 percent of the Utilities’ supplies for program demand on an annual basis must be procured from in-state or out-of-state renewable natural gas sources that meet the eligibility criteria as set forth in Public Utilities Code Section 651(b)(3)(B).</w:t>
      </w:r>
    </w:p>
    <w:p w:rsidRPr="000B7051" w:rsidR="001C4A46" w:rsidP="001573EA" w:rsidRDefault="001C4A46" w14:paraId="09699630" w14:textId="77777777">
      <w:pPr>
        <w:pStyle w:val="ListBullet"/>
        <w:ind w:right="1170"/>
        <w:rPr>
          <w:u w:val="single"/>
        </w:rPr>
      </w:pPr>
      <w:r>
        <w:rPr>
          <w:u w:val="single"/>
        </w:rPr>
        <w:t xml:space="preserve">Carbon Intensity </w:t>
      </w:r>
      <w:r w:rsidRPr="000B7051">
        <w:rPr>
          <w:u w:val="single"/>
        </w:rPr>
        <w:t>Verification:</w:t>
      </w:r>
      <w:r>
        <w:t xml:space="preserve">  A modified version of the Greenhouse Gases, Regulated Emissions, and Energy Use in Transportation methodology currently used for the Low Carbon Fuel Standard program shall be used to measure the </w:t>
      </w:r>
      <w:r>
        <w:lastRenderedPageBreak/>
        <w:t>carbon intensity of the program’s renewable natural gas supplies.</w:t>
      </w:r>
    </w:p>
    <w:p w:rsidRPr="000B7051" w:rsidR="001C4A46" w:rsidP="001C4A46" w:rsidRDefault="001C4A46" w14:paraId="32B35A73" w14:textId="77777777">
      <w:pPr>
        <w:pStyle w:val="ListBullet"/>
        <w:ind w:right="1440"/>
      </w:pPr>
      <w:r w:rsidRPr="000B7051">
        <w:rPr>
          <w:u w:val="single"/>
        </w:rPr>
        <w:t>Cost Recovery:</w:t>
      </w:r>
      <w:r w:rsidRPr="000B7051">
        <w:rPr>
          <w:b/>
          <w:bCs/>
        </w:rPr>
        <w:t xml:space="preserve"> </w:t>
      </w:r>
      <w:r>
        <w:rPr>
          <w:b/>
          <w:bCs/>
        </w:rPr>
        <w:t xml:space="preserve"> </w:t>
      </w:r>
      <w:r w:rsidRPr="000B7051">
        <w:t xml:space="preserve">All non-information technology </w:t>
      </w:r>
      <w:r>
        <w:t xml:space="preserve">related </w:t>
      </w:r>
      <w:r w:rsidRPr="000B7051">
        <w:t xml:space="preserve">program costs </w:t>
      </w:r>
      <w:r>
        <w:t xml:space="preserve">shall </w:t>
      </w:r>
      <w:r w:rsidRPr="000B7051">
        <w:t xml:space="preserve">be recovered from </w:t>
      </w:r>
      <w:r>
        <w:t xml:space="preserve">program </w:t>
      </w:r>
      <w:r w:rsidRPr="000B7051">
        <w:t>participants</w:t>
      </w:r>
      <w:r>
        <w:t>.  The Utilities’ information technology costs shall be absorbed within the capital budgets authorized in their Test Year 2019 General Rate Cases with extended attrition years in 2022 and 2023.</w:t>
      </w:r>
    </w:p>
    <w:p w:rsidR="001C4A46" w:rsidP="001C4A46" w:rsidRDefault="001C4A46" w14:paraId="25A1AB4C" w14:textId="77777777">
      <w:pPr>
        <w:pStyle w:val="ListBullet"/>
        <w:ind w:right="1440"/>
      </w:pPr>
      <w:r w:rsidRPr="000B7051">
        <w:rPr>
          <w:u w:val="single"/>
        </w:rPr>
        <w:t>Wind Down Costs</w:t>
      </w:r>
      <w:r w:rsidRPr="00792565">
        <w:rPr>
          <w:u w:val="single"/>
        </w:rPr>
        <w:t>:</w:t>
      </w:r>
      <w:r w:rsidRPr="00792565">
        <w:t xml:space="preserve"> </w:t>
      </w:r>
      <w:r>
        <w:t xml:space="preserve"> If program continuation is not approved and the pilot is terminated</w:t>
      </w:r>
      <w:r w:rsidDel="00B31371">
        <w:t xml:space="preserve"> at the end of the </w:t>
      </w:r>
      <w:r>
        <w:t>transition</w:t>
      </w:r>
      <w:r w:rsidDel="00B31371">
        <w:t xml:space="preserve"> period</w:t>
      </w:r>
      <w:r>
        <w:t>, t</w:t>
      </w:r>
      <w:r w:rsidRPr="00792565">
        <w:t>he Utilities</w:t>
      </w:r>
      <w:r>
        <w:t xml:space="preserve"> shall not request recovery in their subsequent General Rate Cases of any</w:t>
      </w:r>
      <w:r w:rsidRPr="000B7051">
        <w:t xml:space="preserve"> wind down costs</w:t>
      </w:r>
      <w:r>
        <w:t xml:space="preserve"> not recovered from participants.  Such costs shall be recovered from the Utilities’ shareholders</w:t>
      </w:r>
      <w:r w:rsidRPr="000B7051">
        <w:t xml:space="preserve">. </w:t>
      </w:r>
    </w:p>
    <w:p w:rsidR="001C4A46" w:rsidP="001C4A46" w:rsidRDefault="001C4A46" w14:paraId="46353AF5" w14:textId="60EAEB34">
      <w:pPr>
        <w:pStyle w:val="Standard"/>
      </w:pPr>
      <w:r>
        <w:t xml:space="preserve">The adopted </w:t>
      </w:r>
      <w:r w:rsidR="001573EA">
        <w:t xml:space="preserve">voluntary </w:t>
      </w:r>
      <w:r>
        <w:t xml:space="preserve">pilot program is set forth in Appendix A.  </w:t>
      </w:r>
    </w:p>
    <w:p w:rsidR="001C4A46" w:rsidP="001C4A46" w:rsidRDefault="001C4A46" w14:paraId="03239343" w14:textId="77777777">
      <w:pPr>
        <w:pStyle w:val="Standard"/>
      </w:pPr>
      <w:r>
        <w:t>Application 19-02-015 is closed.</w:t>
      </w:r>
    </w:p>
    <w:p w:rsidRPr="00121089" w:rsidR="001C4A46" w:rsidP="001C4A46" w:rsidRDefault="001C4A46" w14:paraId="06D5250B" w14:textId="77777777">
      <w:pPr>
        <w:pStyle w:val="Heading1"/>
      </w:pPr>
      <w:bookmarkStart w:name="_Toc57188120" w:id="7"/>
      <w:r w:rsidRPr="00402AB2">
        <w:t>Background</w:t>
      </w:r>
      <w:bookmarkEnd w:id="5"/>
      <w:bookmarkEnd w:id="6"/>
      <w:bookmarkEnd w:id="7"/>
    </w:p>
    <w:p w:rsidR="001C4A46" w:rsidP="001C4A46" w:rsidRDefault="001C4A46" w14:paraId="39FAD736" w14:textId="2F4E0827">
      <w:pPr>
        <w:pStyle w:val="Standard"/>
      </w:pPr>
      <w:r w:rsidRPr="42B1F0AE">
        <w:t xml:space="preserve">On February 28, 2019, Southern California Gas Company </w:t>
      </w:r>
      <w:r>
        <w:t xml:space="preserve">(SoCalGas) </w:t>
      </w:r>
      <w:r w:rsidRPr="42B1F0AE">
        <w:t>and San Diego Gas &amp; Electric Company</w:t>
      </w:r>
      <w:r>
        <w:t xml:space="preserve"> (SDG&amp;E)</w:t>
      </w:r>
      <w:r w:rsidRPr="42B1F0AE">
        <w:t xml:space="preserve"> (together referred to as the Utilities or Applicants</w:t>
      </w:r>
      <w:r>
        <w:rPr>
          <w:iCs/>
        </w:rPr>
        <w:t>)</w:t>
      </w:r>
      <w:r w:rsidRPr="42B1F0AE">
        <w:t xml:space="preserve"> filed Application (A.) 19</w:t>
      </w:r>
      <w:r w:rsidRPr="42B1F0AE">
        <w:noBreakHyphen/>
        <w:t>02</w:t>
      </w:r>
      <w:r w:rsidRPr="42B1F0AE">
        <w:noBreakHyphen/>
        <w:t>015 (Application).</w:t>
      </w:r>
      <w:r w:rsidRPr="42B1F0AE">
        <w:rPr>
          <w:rStyle w:val="FootnoteReference"/>
        </w:rPr>
        <w:footnoteReference w:id="2"/>
      </w:r>
      <w:r w:rsidRPr="42B1F0AE">
        <w:t xml:space="preserve">  The Utilities request authority to offer a voluntary Renewable</w:t>
      </w:r>
      <w:r>
        <w:rPr>
          <w:iCs/>
        </w:rPr>
        <w:t xml:space="preserve"> </w:t>
      </w:r>
      <w:r w:rsidRPr="42B1F0AE">
        <w:t xml:space="preserve">Natural Gas Tariff (RNG Tariff) program for their residential, </w:t>
      </w:r>
      <w:r w:rsidR="00812899">
        <w:t xml:space="preserve">and </w:t>
      </w:r>
      <w:r w:rsidRPr="42B1F0AE">
        <w:t>small commercial</w:t>
      </w:r>
      <w:r>
        <w:rPr>
          <w:iCs/>
        </w:rPr>
        <w:t xml:space="preserve"> </w:t>
      </w:r>
      <w:r w:rsidRPr="42B1F0AE">
        <w:t>and industrial customers to purchase renewable natural gas (RNG</w:t>
      </w:r>
      <w:r>
        <w:rPr>
          <w:iCs/>
        </w:rPr>
        <w:t xml:space="preserve">) </w:t>
      </w:r>
      <w:r w:rsidRPr="42B1F0AE">
        <w:t xml:space="preserve">that </w:t>
      </w:r>
      <w:r>
        <w:t>would</w:t>
      </w:r>
      <w:r w:rsidRPr="42B1F0AE">
        <w:t xml:space="preserve"> become part of their </w:t>
      </w:r>
      <w:r>
        <w:t xml:space="preserve">regular fossil-based </w:t>
      </w:r>
      <w:r w:rsidRPr="42B1F0AE">
        <w:t>natural gas service</w:t>
      </w:r>
      <w:r>
        <w:t>s</w:t>
      </w:r>
      <w:r w:rsidRPr="42B1F0AE">
        <w:t>.</w:t>
      </w:r>
      <w:r w:rsidRPr="42B1F0AE">
        <w:rPr>
          <w:rStyle w:val="FootnoteReference"/>
        </w:rPr>
        <w:footnoteReference w:id="3"/>
      </w:r>
      <w:r>
        <w:rPr>
          <w:iCs/>
        </w:rPr>
        <w:t xml:space="preserve">  </w:t>
      </w:r>
      <w:bookmarkStart w:name="_Hlk31372981" w:id="8"/>
      <w:r w:rsidRPr="42B1F0AE">
        <w:t>RNG, also known as biomethane, is a biogas emitted from agricultural and waste products and upgraded to a quality similar to fossil natural gas</w:t>
      </w:r>
      <w:r>
        <w:rPr>
          <w:iCs/>
        </w:rPr>
        <w:t xml:space="preserve">.  </w:t>
      </w:r>
      <w:r>
        <w:t xml:space="preserve">Absent capture and upgrading, biogas </w:t>
      </w:r>
      <w:proofErr w:type="gramStart"/>
      <w:r>
        <w:t>is</w:t>
      </w:r>
      <w:proofErr w:type="gramEnd"/>
      <w:r>
        <w:t xml:space="preserve"> released into the atmosphere with significantly more damaging greenhouse gas (GHG) impact </w:t>
      </w:r>
      <w:r>
        <w:lastRenderedPageBreak/>
        <w:t>than carbon dioxide.</w:t>
      </w:r>
      <w:r>
        <w:rPr>
          <w:rStyle w:val="FootnoteReference"/>
        </w:rPr>
        <w:footnoteReference w:id="4"/>
      </w:r>
      <w:r>
        <w:t xml:space="preserve">  RNG end uses include vehicle fuel, electricity generation, and utility gas services through local use or pipeline injection.</w:t>
      </w:r>
      <w:r>
        <w:rPr>
          <w:rStyle w:val="FootnoteReference"/>
        </w:rPr>
        <w:footnoteReference w:id="5"/>
      </w:r>
      <w:r>
        <w:t xml:space="preserve">  </w:t>
      </w:r>
      <w:r w:rsidRPr="42B1F0AE">
        <w:t>The Utilities state that the voluntary RNG Tariff program is designed to provide customers an opportunity to purchase RNG and reduce methane emissions</w:t>
      </w:r>
      <w:r w:rsidRPr="009C1AE0">
        <w:rPr>
          <w:iCs/>
        </w:rPr>
        <w:t>.</w:t>
      </w:r>
      <w:r w:rsidRPr="009C1AE0">
        <w:t xml:space="preserve">  The</w:t>
      </w:r>
      <w:r>
        <w:rPr>
          <w:iCs/>
        </w:rPr>
        <w:t xml:space="preserve"> </w:t>
      </w:r>
      <w:r w:rsidRPr="42B1F0AE">
        <w:t>Utilities assert that the voluntary RNG Tariff program</w:t>
      </w:r>
      <w:r w:rsidDel="00733183">
        <w:rPr>
          <w:iCs/>
        </w:rPr>
        <w:t xml:space="preserve"> </w:t>
      </w:r>
      <w:r w:rsidRPr="42B1F0AE">
        <w:t>provides a market for RNG in non</w:t>
      </w:r>
      <w:r>
        <w:rPr>
          <w:iCs/>
        </w:rPr>
        <w:t>-</w:t>
      </w:r>
      <w:r w:rsidRPr="42B1F0AE">
        <w:t xml:space="preserve">transportation </w:t>
      </w:r>
      <w:r>
        <w:t xml:space="preserve">sectors </w:t>
      </w:r>
      <w:r w:rsidRPr="42B1F0AE">
        <w:t>and may provide stability to the RNG market by helping drive the demand for RNG, creating market forces that would increase supply and lower overall cost</w:t>
      </w:r>
      <w:r>
        <w:t>.</w:t>
      </w:r>
      <w:r w:rsidRPr="42B1F0AE">
        <w:rPr>
          <w:rStyle w:val="FootnoteReference"/>
        </w:rPr>
        <w:footnoteReference w:id="6"/>
      </w:r>
      <w:r>
        <w:rPr>
          <w:iCs/>
        </w:rPr>
        <w:t xml:space="preserve">  </w:t>
      </w:r>
      <w:r w:rsidRPr="42B1F0AE">
        <w:t xml:space="preserve">The Utilities </w:t>
      </w:r>
      <w:r>
        <w:t xml:space="preserve">allege </w:t>
      </w:r>
      <w:r w:rsidRPr="42B1F0AE">
        <w:t xml:space="preserve">that providing an additional RNG market is important as </w:t>
      </w:r>
      <w:r>
        <w:t xml:space="preserve">the </w:t>
      </w:r>
      <w:r w:rsidRPr="42B1F0AE">
        <w:t>California transportation market moves closer to saturation</w:t>
      </w:r>
      <w:r>
        <w:t>.</w:t>
      </w:r>
      <w:r>
        <w:rPr>
          <w:rStyle w:val="FootnoteReference"/>
        </w:rPr>
        <w:footnoteReference w:id="7"/>
      </w:r>
      <w:r>
        <w:rPr>
          <w:iCs/>
        </w:rPr>
        <w:t xml:space="preserve">  </w:t>
      </w:r>
      <w:r w:rsidRPr="42B1F0AE">
        <w:t>The Utilities state that the proposed RNG Tariff program is similar in concept to the electric Green Tariff Shared Renewables (GTSR) program.</w:t>
      </w:r>
      <w:bookmarkEnd w:id="8"/>
      <w:r w:rsidRPr="42B1F0AE">
        <w:rPr>
          <w:rStyle w:val="FootnoteReference"/>
        </w:rPr>
        <w:footnoteReference w:id="8"/>
      </w:r>
    </w:p>
    <w:p w:rsidR="001C4A46" w:rsidP="001C4A46" w:rsidRDefault="001C4A46" w14:paraId="671F16A3" w14:textId="77777777">
      <w:r>
        <w:t xml:space="preserve">Pacific Gas and Electric Company (PG&amp;E) and Coalition for Renewable Natural Gas (RNGC) support the Application.  Other parties have concerns and/or dispute specific issues with the Utilities’ proposal.  Those parties are Agricultural Energy Consumers Association (AECA), Bioenergy Association of </w:t>
      </w:r>
      <w:r w:rsidRPr="00B8727A">
        <w:t>California (BAC),</w:t>
      </w:r>
      <w:r>
        <w:t xml:space="preserve"> Public </w:t>
      </w:r>
      <w:r w:rsidRPr="003B6FC8">
        <w:t>Advocate’s O</w:t>
      </w:r>
      <w:r>
        <w:t xml:space="preserve">ffice of the Public Utilities Commission (Cal Advocates), Coalition of California Utility </w:t>
      </w:r>
      <w:r w:rsidRPr="007A721A">
        <w:t>Employees (CUE),</w:t>
      </w:r>
      <w:r>
        <w:t xml:space="preserve"> Environmental Defense Fund (EDF), Leadership Counsel for Justice and Accountability (LC), SFE Energy California, Inc</w:t>
      </w:r>
      <w:r w:rsidRPr="006B1993">
        <w:t>. (SFE),</w:t>
      </w:r>
      <w:r>
        <w:t xml:space="preserve"> Sierra Club (SC), Southern California Edison </w:t>
      </w:r>
      <w:r>
        <w:lastRenderedPageBreak/>
        <w:t>Company (SCE), The Utility Reform Network (TURN), and Wild Tree Foundation (Wild Tree).</w:t>
      </w:r>
    </w:p>
    <w:p w:rsidR="001C4A46" w:rsidP="001C4A46" w:rsidRDefault="001C4A46" w14:paraId="2EB44894" w14:textId="77777777">
      <w:pPr>
        <w:pStyle w:val="Standard"/>
      </w:pPr>
      <w:r>
        <w:t xml:space="preserve">A prehearing conference was held on June 18, 2019.  </w:t>
      </w:r>
      <w:r w:rsidRPr="00A91A81">
        <w:t>On August</w:t>
      </w:r>
      <w:r>
        <w:t> </w:t>
      </w:r>
      <w:r w:rsidRPr="00A91A81">
        <w:t>6,</w:t>
      </w:r>
      <w:r>
        <w:t> </w:t>
      </w:r>
      <w:r w:rsidRPr="00A91A81">
        <w:t xml:space="preserve">2019, the assigned Commissioner issued </w:t>
      </w:r>
      <w:r>
        <w:t xml:space="preserve">a </w:t>
      </w:r>
      <w:r w:rsidRPr="00A91A81">
        <w:t>Scoping Memo</w:t>
      </w:r>
      <w:r>
        <w:t xml:space="preserve"> and Ruling (Scoping Memo)</w:t>
      </w:r>
      <w:r w:rsidRPr="00A91A81">
        <w:t xml:space="preserve"> setting forth the category, issues</w:t>
      </w:r>
      <w:r>
        <w:t xml:space="preserve">, </w:t>
      </w:r>
      <w:r w:rsidRPr="00A91A81">
        <w:t xml:space="preserve">and schedule pursuant to </w:t>
      </w:r>
      <w:r>
        <w:t>Public Utilities (Pub. Util.) Code Section </w:t>
      </w:r>
      <w:r w:rsidRPr="00A91A81">
        <w:t xml:space="preserve">1701.1 and </w:t>
      </w:r>
      <w:r>
        <w:t>Article </w:t>
      </w:r>
      <w:r w:rsidRPr="00A91A81">
        <w:t>7 of the Commission’s Rules of Practice and Procedure</w:t>
      </w:r>
      <w:r>
        <w:t xml:space="preserve"> (Rules)</w:t>
      </w:r>
      <w:r w:rsidRPr="00A91A81">
        <w:t>.</w:t>
      </w:r>
      <w:r>
        <w:t xml:space="preserve">  The Scoping Memo also directed the Utilities to serve supplemental testimony and set evidentiary hearings for November 19</w:t>
      </w:r>
      <w:r>
        <w:noBreakHyphen/>
        <w:t xml:space="preserve">20, 2019.  </w:t>
      </w:r>
    </w:p>
    <w:p w:rsidR="001C4A46" w:rsidP="001C4A46" w:rsidRDefault="001C4A46" w14:paraId="555115AE" w14:textId="77777777">
      <w:pPr>
        <w:pStyle w:val="Standard"/>
      </w:pPr>
      <w:r>
        <w:t>On September 16, 2019, the Utilities served supplemental testimony.  On October 14, 2019, prepared direct testimony was served by AECA, Cal Advocates, EDF, jointly by LC and SC (LC/SC), RNGC, TURN, and Wild Tree.  On October 31, 2019, rebuttal testimony was served by the Utilities, AECA, EDF, and Wild Tree.</w:t>
      </w:r>
    </w:p>
    <w:p w:rsidRPr="00196A4F" w:rsidR="001C4A46" w:rsidP="001C4A46" w:rsidRDefault="001C4A46" w14:paraId="22B98BBB" w14:textId="77777777">
      <w:pPr>
        <w:pStyle w:val="ALJBodyText"/>
      </w:pPr>
      <w:r>
        <w:t>On November 8, 2019, the Utilities filed a Joint Case Management Statement (JCMS) on their behalf along with AECA, Cal Advocates, CUE, EDF, RNG Coalition, SEF, SC/LC, TURN, and Wild Tree.  The JCMS indicated that parties had engaged in informal settlement discussions and believed there was at least the potential for settlement among them.</w:t>
      </w:r>
    </w:p>
    <w:p w:rsidR="001C4A46" w:rsidP="001C4A46" w:rsidRDefault="001C4A46" w14:paraId="43323E67" w14:textId="77777777">
      <w:r w:rsidDel="00CB1B2E">
        <w:t xml:space="preserve"> </w:t>
      </w:r>
      <w:r w:rsidRPr="00196A4F">
        <w:t>On November</w:t>
      </w:r>
      <w:r>
        <w:t> </w:t>
      </w:r>
      <w:r w:rsidRPr="00196A4F">
        <w:t>13,</w:t>
      </w:r>
      <w:r>
        <w:t> </w:t>
      </w:r>
      <w:r w:rsidRPr="00196A4F">
        <w:t xml:space="preserve">2019, </w:t>
      </w:r>
      <w:r>
        <w:t>an Administrative Law Judge (ALJ)</w:t>
      </w:r>
      <w:r w:rsidRPr="00196A4F">
        <w:t xml:space="preserve"> </w:t>
      </w:r>
      <w:r>
        <w:t xml:space="preserve">Ruling took </w:t>
      </w:r>
      <w:r w:rsidRPr="00196A4F">
        <w:t xml:space="preserve">the </w:t>
      </w:r>
      <w:r>
        <w:t>November 19</w:t>
      </w:r>
      <w:r>
        <w:noBreakHyphen/>
        <w:t xml:space="preserve">20, 2019 </w:t>
      </w:r>
      <w:r w:rsidRPr="00196A4F">
        <w:t xml:space="preserve">evidentiary hearings </w:t>
      </w:r>
      <w:r>
        <w:t xml:space="preserve">off </w:t>
      </w:r>
      <w:r w:rsidRPr="00196A4F">
        <w:t xml:space="preserve">calendar and </w:t>
      </w:r>
      <w:r>
        <w:t xml:space="preserve">suspended </w:t>
      </w:r>
      <w:r w:rsidRPr="00196A4F">
        <w:t>the schedule</w:t>
      </w:r>
      <w:r>
        <w:t xml:space="preserve"> </w:t>
      </w:r>
      <w:proofErr w:type="gramStart"/>
      <w:r>
        <w:t>in order to</w:t>
      </w:r>
      <w:proofErr w:type="gramEnd"/>
      <w:r>
        <w:t xml:space="preserve"> allow </w:t>
      </w:r>
      <w:r w:rsidRPr="00196A4F">
        <w:t>additional time for parties to continue settlement discussions.</w:t>
      </w:r>
      <w:r>
        <w:t xml:space="preserve">  On January 30, 2020, the Utilities</w:t>
      </w:r>
      <w:r w:rsidRPr="005D2CD7">
        <w:t xml:space="preserve"> </w:t>
      </w:r>
      <w:r>
        <w:t xml:space="preserve">served an </w:t>
      </w:r>
      <w:r w:rsidRPr="005D2CD7">
        <w:t xml:space="preserve">update to the </w:t>
      </w:r>
      <w:r>
        <w:t xml:space="preserve">JCMS.  The update stated </w:t>
      </w:r>
      <w:r w:rsidRPr="005D2CD7">
        <w:t xml:space="preserve">that a settlement may result from negotiations, but it </w:t>
      </w:r>
      <w:r>
        <w:t>was</w:t>
      </w:r>
      <w:r w:rsidRPr="005D2CD7">
        <w:t xml:space="preserve"> unlikely that an </w:t>
      </w:r>
      <w:r>
        <w:t>all-</w:t>
      </w:r>
      <w:r w:rsidRPr="005D2CD7">
        <w:t xml:space="preserve">party settlement on all issues </w:t>
      </w:r>
      <w:r>
        <w:t xml:space="preserve">would </w:t>
      </w:r>
      <w:r w:rsidRPr="005D2CD7">
        <w:t>be reached.</w:t>
      </w:r>
    </w:p>
    <w:p w:rsidRPr="005D2CD7" w:rsidR="001C4A46" w:rsidP="001C4A46" w:rsidRDefault="001C4A46" w14:paraId="7990DB78" w14:textId="5F9B86F9">
      <w:pPr>
        <w:pStyle w:val="ALJBodyText"/>
      </w:pPr>
      <w:r>
        <w:lastRenderedPageBreak/>
        <w:t>A February 19, 2020 ALJ Ruling directed the Utilities to serve a second round of supplemental testimony to provide</w:t>
      </w:r>
      <w:proofErr w:type="gramStart"/>
      <w:r>
        <w:t>:  (</w:t>
      </w:r>
      <w:proofErr w:type="gramEnd"/>
      <w:r>
        <w:t>1) additional information on customer demand and (2) clarifications on cost recovery for information technology (IT) costs.  The Ruling also directed parties to file an update to the JCMS that separately identified and clarified disputed issues of material fact and policy.</w:t>
      </w:r>
      <w:r w:rsidR="00985CBF">
        <w:t xml:space="preserve">  On </w:t>
      </w:r>
      <w:r>
        <w:t>March </w:t>
      </w:r>
      <w:r w:rsidR="00BD20E5">
        <w:t>4</w:t>
      </w:r>
      <w:r>
        <w:t xml:space="preserve">, 2020, the Utilities served their second supplemental testimony.  On March 16, 2020, Cal Advocates served rebuttal testimony in response to the Utilities’ second supplemental testimony.  </w:t>
      </w:r>
    </w:p>
    <w:p w:rsidR="001C4A46" w:rsidP="001C4A46" w:rsidRDefault="001C4A46" w14:paraId="45407391" w14:textId="6C95F13F">
      <w:pPr>
        <w:pStyle w:val="Standard"/>
      </w:pPr>
      <w:r>
        <w:t>On March 10, 2020, the Utilities served a notice on all parties of a settlement conference.  The settlement conference was held on March 17, 2020.  On April 13, 2020, the Utilities filed a joint motion for approval of a Settlement Agreement on their behalf along with Cal Advocates, EDF, BAC, RNGC, AECA, and SFE (together referred to as the Settling Parties).  On the same day, parties also filed an update to the JCMS.  On May 13, 2020, comments on the motion to approve the Settlement Agreement were filed by TURN, CUE, LC/SC, and Wild Tree.  On May 28, 2020, reply comments were filed by Cal Advocates and jointly by the Settling Parties.</w:t>
      </w:r>
    </w:p>
    <w:p w:rsidR="001C4A46" w:rsidP="001C4A46" w:rsidRDefault="001C4A46" w14:paraId="549E6DF2" w14:textId="77777777">
      <w:pPr>
        <w:pStyle w:val="Standard"/>
      </w:pPr>
      <w:r>
        <w:t xml:space="preserve">An April 29, 2020 ALJ Ruling directed parties to file a final update to the JCMS by no later than June 4, 2020, in which they would state their positions on the need for evidentiary hearings.  On June 4, 2020, parties filed a final update to the JCMS.  All parties except Wild Tree either agreed or did not object to waiving hearings and cross-examination.  Wild Tree stated its willingness to waive hearings should all other parties seek to do so, and so long as Wild Tree’s </w:t>
      </w:r>
      <w:r>
        <w:lastRenderedPageBreak/>
        <w:t>testimony was accepted into the record.  On June 8, 2020, the ALJ issued a ruling receiving parties’ testimony into the record.</w:t>
      </w:r>
      <w:r>
        <w:rPr>
          <w:rStyle w:val="FootnoteReference"/>
        </w:rPr>
        <w:footnoteReference w:id="9"/>
      </w:r>
    </w:p>
    <w:p w:rsidR="001C4A46" w:rsidP="001C4A46" w:rsidRDefault="001C4A46" w14:paraId="5CECC8CF" w14:textId="77777777">
      <w:pPr>
        <w:pStyle w:val="Standard"/>
      </w:pPr>
      <w:r>
        <w:t>On June 10, 2020, the ALJ issued two additional rulings.  One Ruling determined that an evidentiary hearing was not needed since all evidence each party proposed to admit into the record, including those of Wild Tree, were received and set the remaining proceeding schedule.  The other Ruling directed parties to clarify their positions on the additionality requirement in the Settlement Agreement.</w:t>
      </w:r>
      <w:r>
        <w:rPr>
          <w:rStyle w:val="FootnoteReference"/>
        </w:rPr>
        <w:footnoteReference w:id="10"/>
      </w:r>
      <w:r>
        <w:t xml:space="preserve">  On June 22, 2020, responses and comments were filed by the Settling Parties and Wild Tree.  On June 29, 2020, reply comments were filed by the Settling Parties, LC/SC, and Wild Tree.</w:t>
      </w:r>
    </w:p>
    <w:p w:rsidR="001C4A46" w:rsidP="001C4A46" w:rsidRDefault="001C4A46" w14:paraId="02E09C9F" w14:textId="77777777">
      <w:pPr>
        <w:pStyle w:val="Standard"/>
      </w:pPr>
      <w:r>
        <w:t>On July 9, 2020, opening briefs were filed by the Utilities, AECA, EDF, Cal Advocates, TURN, CUE, LC/SC, and Wild Tree.  On July 27, 2020, reply briefs were filed by the Applicants, AECA, EDF, Cal Advocates, TURN, CUE, LC/SC, and Wild Tree.  The record was submitted upon the parties’ filing of reply briefs.</w:t>
      </w:r>
    </w:p>
    <w:p w:rsidR="001C4A46" w:rsidP="001C4A46" w:rsidRDefault="001C4A46" w14:paraId="7DE5370E" w14:textId="77777777">
      <w:pPr>
        <w:pStyle w:val="standard0"/>
      </w:pPr>
      <w:r>
        <w:t xml:space="preserve">On August 27, 2020, the Commission issued Decision (D.) 20-08-050 extending the statutory deadline for this proceeding to December 29, 2020.  </w:t>
      </w:r>
    </w:p>
    <w:p w:rsidR="001C4A46" w:rsidP="001C4A46" w:rsidRDefault="001C4A46" w14:paraId="5D7E163D" w14:textId="77777777">
      <w:pPr>
        <w:pStyle w:val="Heading1"/>
      </w:pPr>
      <w:bookmarkStart w:name="_Toc57188121" w:id="9"/>
      <w:r w:rsidRPr="00D82A5C">
        <w:t>The</w:t>
      </w:r>
      <w:r w:rsidRPr="00774112">
        <w:t xml:space="preserve"> </w:t>
      </w:r>
      <w:r>
        <w:t>Utilities</w:t>
      </w:r>
      <w:r w:rsidRPr="00774112">
        <w:t xml:space="preserve">’ </w:t>
      </w:r>
      <w:r>
        <w:t>Application</w:t>
      </w:r>
      <w:r w:rsidRPr="00774112">
        <w:t xml:space="preserve"> and Parties’ Positions</w:t>
      </w:r>
      <w:bookmarkEnd w:id="9"/>
    </w:p>
    <w:p w:rsidR="001C4A46" w:rsidP="0083331C" w:rsidRDefault="001C4A46" w14:paraId="49280032" w14:textId="77777777">
      <w:pPr>
        <w:pStyle w:val="Heading2"/>
      </w:pPr>
      <w:bookmarkStart w:name="_Toc57188122" w:id="10"/>
      <w:r>
        <w:t>The Utilities’ Proposed RNG Tariff Program</w:t>
      </w:r>
      <w:bookmarkEnd w:id="10"/>
    </w:p>
    <w:p w:rsidR="001C4A46" w:rsidP="001C4A46" w:rsidRDefault="001C4A46" w14:paraId="1E9C566F" w14:textId="77777777">
      <w:pPr>
        <w:pStyle w:val="Standard"/>
      </w:pPr>
      <w:bookmarkStart w:name="_Toc45740465" w:id="11"/>
      <w:r>
        <w:t>Under the Utilities’ proposed voluntary RNG Tariff program, residential customers would be required to commit to a minimum of one year of participation with election of a fixed dollar amount for the purchase of RNG.</w:t>
      </w:r>
      <w:r>
        <w:rPr>
          <w:rStyle w:val="FootnoteReference"/>
        </w:rPr>
        <w:footnoteReference w:id="11"/>
      </w:r>
      <w:r>
        <w:t xml:space="preserve">  </w:t>
      </w:r>
      <w:r>
        <w:lastRenderedPageBreak/>
        <w:t>Non-residential customers would be required to commit to a minimum of two years of participation with election of either a fixed dollar amount or a percentage of their consumption for the purchase of RNG.</w:t>
      </w:r>
      <w:r>
        <w:rPr>
          <w:rStyle w:val="FootnoteReference"/>
        </w:rPr>
        <w:footnoteReference w:id="12"/>
      </w:r>
      <w:r>
        <w:t xml:space="preserve">  SoCalGas’ Gas Acquisition Department would purchase RNG on behalf of both SoCalGas’ and SDG&amp;E’s program participants procuring RNG supplies from sources within California and out-of-state.  The participating customers would pay both a Commodity Charge (a fee to cover RNG procurement costs) and a Program Charge (a fee calculated to cover the program administrative and marketing costs).  The program would be ongoing (</w:t>
      </w:r>
      <w:r w:rsidRPr="00C81DCC">
        <w:rPr>
          <w:i/>
          <w:iCs/>
        </w:rPr>
        <w:t>i.e.</w:t>
      </w:r>
      <w:r>
        <w:t>, not a pilot), there would be no RNG procurement requirement restrictions (</w:t>
      </w:r>
      <w:r w:rsidRPr="00C81DCC">
        <w:rPr>
          <w:i/>
          <w:iCs/>
        </w:rPr>
        <w:t>e.g</w:t>
      </w:r>
      <w:r>
        <w:t>., in-state versus out-of-state), and there would be no caps on the permissible costs to acquire California RNG.</w:t>
      </w:r>
    </w:p>
    <w:p w:rsidR="001C4A46" w:rsidP="001C4A46" w:rsidRDefault="001C4A46" w14:paraId="6EAC92C0" w14:textId="77777777">
      <w:pPr>
        <w:pStyle w:val="Standard"/>
      </w:pPr>
      <w:r>
        <w:t>For illustrative purposes, the Utilities estimate that the RNG Commodity Charge would be $1.51/Therm.  The RNG Commodity Charge would be about four times higher than the non-RNG Commodity Charge of $0.36/</w:t>
      </w:r>
      <w:proofErr w:type="spellStart"/>
      <w:r>
        <w:t>Therm</w:t>
      </w:r>
      <w:proofErr w:type="spellEnd"/>
      <w:r>
        <w:t xml:space="preserve"> under the participant’s regular gas tariff.</w:t>
      </w:r>
      <w:r>
        <w:rPr>
          <w:rStyle w:val="FootnoteReference"/>
        </w:rPr>
        <w:footnoteReference w:id="13"/>
      </w:r>
      <w:r>
        <w:t xml:space="preserve">  The Utilities estimate that administrative and marketing costs over the first five years for the RNG Tariff program will total $770,000 for SoCalGas and $641,000 for SDG&amp;E.  The Utilities estimate that the Program Charge would be $0.23/</w:t>
      </w:r>
      <w:proofErr w:type="spellStart"/>
      <w:r>
        <w:t>Therm</w:t>
      </w:r>
      <w:proofErr w:type="spellEnd"/>
      <w:r>
        <w:t xml:space="preserve"> for SoCalGas and $1.42/</w:t>
      </w:r>
      <w:proofErr w:type="spellStart"/>
      <w:r>
        <w:t>Therm</w:t>
      </w:r>
      <w:proofErr w:type="spellEnd"/>
      <w:r>
        <w:t xml:space="preserve"> for SDG&amp;E.</w:t>
      </w:r>
      <w:r>
        <w:rPr>
          <w:rStyle w:val="FootnoteReference"/>
        </w:rPr>
        <w:footnoteReference w:id="14"/>
      </w:r>
      <w:r>
        <w:t xml:space="preserve">  Furthermore, the Utilities request authority for SoCalGas and SDG&amp;E to each establish a new, two-way RNG Tariff balancing account with two subaccounts for SoCalGas to (1) track and recover costs from program participants for the Utilities’ RNG commodity costs and (2) SoCalGas’ </w:t>
      </w:r>
      <w:r>
        <w:lastRenderedPageBreak/>
        <w:t>administrative and marketing costs), as well as one subaccount for SDG&amp;E (to track and recover its administrative and marketing costs).</w:t>
      </w:r>
    </w:p>
    <w:p w:rsidRPr="009D2473" w:rsidR="001C4A46" w:rsidP="001C4A46" w:rsidRDefault="001C4A46" w14:paraId="6D86B2F4" w14:textId="77777777">
      <w:pPr>
        <w:pStyle w:val="ALJBodyText"/>
      </w:pPr>
      <w:r>
        <w:t>In addition to the RNG commodity, administrative, and marketing costs, SoCalGas estimates $785,000 of computer system programing costs to build website tools and modify its billing and customer information systems (IT costs) during the first year of implementation.  SDG&amp;E states its computer system program costs will be determined in early 2021.</w:t>
      </w:r>
      <w:r>
        <w:rPr>
          <w:rStyle w:val="FootnoteReference"/>
        </w:rPr>
        <w:footnoteReference w:id="15"/>
      </w:r>
      <w:r>
        <w:t xml:space="preserve">  Additionally, the Utilities estimate that they will also incur approximately $50,000 to modify the shared gas management system to support RNG procurement and reporting.</w:t>
      </w:r>
      <w:r w:rsidRPr="0072458C">
        <w:t xml:space="preserve"> </w:t>
      </w:r>
      <w:r>
        <w:t xml:space="preserve"> SoCalGas proposes that its IT costs will be absorbed by the unused authorized capital funding in its current General Rate Case (GRC).  SDG&amp;E proposes to include a cost estimate for the IT costs in its next GRC application.</w:t>
      </w:r>
      <w:r>
        <w:rPr>
          <w:rStyle w:val="FootnoteReference"/>
        </w:rPr>
        <w:footnoteReference w:id="16"/>
      </w:r>
    </w:p>
    <w:p w:rsidR="001C4A46" w:rsidP="001C4A46" w:rsidRDefault="001C4A46" w14:paraId="638C275C" w14:textId="77777777">
      <w:pPr>
        <w:pStyle w:val="Heading2"/>
      </w:pPr>
      <w:bookmarkStart w:name="_Toc57188123" w:id="12"/>
      <w:r>
        <w:t>Requested Relief</w:t>
      </w:r>
      <w:bookmarkEnd w:id="11"/>
      <w:bookmarkEnd w:id="12"/>
    </w:p>
    <w:p w:rsidR="001C4A46" w:rsidP="001C4A46" w:rsidRDefault="001C4A46" w14:paraId="12CEE3D8" w14:textId="77777777">
      <w:pPr>
        <w:pStyle w:val="Standard"/>
      </w:pPr>
      <w:r>
        <w:t>The Utilities request authorization to do the following:</w:t>
      </w:r>
      <w:r>
        <w:rPr>
          <w:rStyle w:val="FootnoteReference"/>
        </w:rPr>
        <w:footnoteReference w:id="17"/>
      </w:r>
    </w:p>
    <w:p w:rsidRPr="00F73DBC" w:rsidR="001C4A46" w:rsidP="001C4A46" w:rsidRDefault="001C4A46" w14:paraId="26078CC5" w14:textId="77777777">
      <w:pPr>
        <w:pStyle w:val="ListBullet"/>
        <w:ind w:right="1440"/>
      </w:pPr>
      <w:r>
        <w:t>E</w:t>
      </w:r>
      <w:r w:rsidRPr="00F73DBC">
        <w:t xml:space="preserve">stablish new, </w:t>
      </w:r>
      <w:r>
        <w:t xml:space="preserve">voluntary </w:t>
      </w:r>
      <w:r w:rsidRPr="00F73DBC">
        <w:t>RNG</w:t>
      </w:r>
      <w:r>
        <w:t xml:space="preserve"> Tariff programs </w:t>
      </w:r>
      <w:r w:rsidRPr="00F73DBC">
        <w:t xml:space="preserve">for residential and core commercial/industrial customers to be sourced with RNG </w:t>
      </w:r>
      <w:r>
        <w:t xml:space="preserve">procured </w:t>
      </w:r>
      <w:r w:rsidRPr="00F73DBC">
        <w:t>by SoCalGas’</w:t>
      </w:r>
      <w:r>
        <w:t>s</w:t>
      </w:r>
      <w:r w:rsidRPr="00F73DBC">
        <w:t xml:space="preserve"> Gas Acquisition </w:t>
      </w:r>
      <w:proofErr w:type="gramStart"/>
      <w:r>
        <w:t>D</w:t>
      </w:r>
      <w:r w:rsidRPr="00F73DBC">
        <w:t>epartment;</w:t>
      </w:r>
      <w:proofErr w:type="gramEnd"/>
    </w:p>
    <w:p w:rsidR="001C4A46" w:rsidP="001C4A46" w:rsidRDefault="001C4A46" w14:paraId="0AB016FE" w14:textId="77777777">
      <w:pPr>
        <w:pStyle w:val="ListBullet"/>
        <w:ind w:right="1440"/>
      </w:pPr>
      <w:r>
        <w:t>M</w:t>
      </w:r>
      <w:r w:rsidRPr="00F73DBC">
        <w:t xml:space="preserve">odify </w:t>
      </w:r>
      <w:r>
        <w:t>program participants</w:t>
      </w:r>
      <w:r w:rsidRPr="00F73DBC">
        <w:t xml:space="preserve">’ bills to charge the </w:t>
      </w:r>
      <w:r>
        <w:t xml:space="preserve">RNG Tariff </w:t>
      </w:r>
      <w:r w:rsidRPr="00F73DBC">
        <w:t xml:space="preserve">rates for the portion of </w:t>
      </w:r>
      <w:proofErr w:type="gramStart"/>
      <w:r w:rsidRPr="00F73DBC">
        <w:t>customers</w:t>
      </w:r>
      <w:r>
        <w:t>’</w:t>
      </w:r>
      <w:proofErr w:type="gramEnd"/>
      <w:r w:rsidRPr="00F73DBC">
        <w:t xml:space="preserve"> elected RNG usage </w:t>
      </w:r>
      <w:r>
        <w:t>amounts;</w:t>
      </w:r>
    </w:p>
    <w:p w:rsidR="001C4A46" w:rsidP="001C4A46" w:rsidRDefault="001C4A46" w14:paraId="206ED54F" w14:textId="77777777">
      <w:pPr>
        <w:pStyle w:val="ListBullet"/>
        <w:ind w:right="1440"/>
      </w:pPr>
      <w:r>
        <w:t xml:space="preserve">Establish new, two-way balancing accounts for the recovery of the costs of RNG and incremental administrative and marketing costs from program participants; and </w:t>
      </w:r>
    </w:p>
    <w:p w:rsidR="001C4A46" w:rsidP="001C4A46" w:rsidRDefault="001C4A46" w14:paraId="56F9F2AB" w14:textId="77777777">
      <w:pPr>
        <w:pStyle w:val="ListBullet"/>
        <w:ind w:right="1440"/>
      </w:pPr>
      <w:r>
        <w:lastRenderedPageBreak/>
        <w:t xml:space="preserve">Authorize SDG&amp;E to update its program implementation costs via the submission of an Advice Letter (AL) in 2022. </w:t>
      </w:r>
    </w:p>
    <w:p w:rsidR="001C4A46" w:rsidP="001C4A46" w:rsidRDefault="001C4A46" w14:paraId="4DDF6216" w14:textId="77777777">
      <w:pPr>
        <w:pStyle w:val="Heading2"/>
      </w:pPr>
      <w:bookmarkStart w:name="_Toc57188124" w:id="13"/>
      <w:r>
        <w:t>Parties’ Positions</w:t>
      </w:r>
      <w:bookmarkEnd w:id="13"/>
    </w:p>
    <w:p w:rsidR="001C4A46" w:rsidP="001C4A46" w:rsidRDefault="001C4A46" w14:paraId="0DC2C947" w14:textId="77777777">
      <w:pPr>
        <w:pStyle w:val="Standard"/>
      </w:pPr>
      <w:r>
        <w:t xml:space="preserve">The Application is supported by PG&amp;E and RNGC.  </w:t>
      </w:r>
      <w:r w:rsidRPr="00BE14C5">
        <w:t xml:space="preserve">Those in support contend </w:t>
      </w:r>
      <w:r>
        <w:t xml:space="preserve">that </w:t>
      </w:r>
      <w:r w:rsidRPr="00BE14C5">
        <w:t xml:space="preserve">the program will allow California's homes and businesses to play an active role in supporting </w:t>
      </w:r>
      <w:r>
        <w:t>the state’s</w:t>
      </w:r>
      <w:r w:rsidRPr="00BE14C5">
        <w:t xml:space="preserve"> climate goals</w:t>
      </w:r>
      <w:r>
        <w:t xml:space="preserve"> by enabling greater RNG market development and reducing GHG emissions.</w:t>
      </w:r>
      <w:r>
        <w:rPr>
          <w:rStyle w:val="FootnoteReference"/>
        </w:rPr>
        <w:footnoteReference w:id="18"/>
      </w:r>
      <w:r>
        <w:t xml:space="preserve">  Other parties oppose the Application.  Opponents mostly argue that the proposed RNG Tariff program would not result in RNG growth and GHG emissions reductions in California.  Opponents dispute other policy and factual issues, including program duration, RNG additionality,</w:t>
      </w:r>
      <w:r w:rsidRPr="00161440">
        <w:rPr>
          <w:rStyle w:val="FootnoteReference"/>
        </w:rPr>
        <w:footnoteReference w:id="19"/>
      </w:r>
      <w:r>
        <w:t xml:space="preserve"> compliance with Senate Bill (SB) 1440,</w:t>
      </w:r>
      <w:r>
        <w:rPr>
          <w:rStyle w:val="FootnoteReference"/>
        </w:rPr>
        <w:footnoteReference w:id="20"/>
      </w:r>
      <w:r>
        <w:t xml:space="preserve"> compatibility with the Renewables Portfolio Standard (RPS) Program,</w:t>
      </w:r>
      <w:r>
        <w:rPr>
          <w:rStyle w:val="FootnoteReference"/>
        </w:rPr>
        <w:footnoteReference w:id="21"/>
      </w:r>
      <w:r>
        <w:t xml:space="preserve"> RNG contract duration, program verification, program costs for non-participants, wind down costs, marketing materials, program evaluation, potential permissible changes in program design, and reporting.</w:t>
      </w:r>
    </w:p>
    <w:p w:rsidR="001C4A46" w:rsidP="001C4A46" w:rsidRDefault="001C4A46" w14:paraId="04B04FC2" w14:textId="77777777">
      <w:pPr>
        <w:pStyle w:val="Heading1"/>
      </w:pPr>
      <w:bookmarkStart w:name="_Toc57188125" w:id="14"/>
      <w:r>
        <w:t>Contested</w:t>
      </w:r>
      <w:r w:rsidDel="002900AE">
        <w:t xml:space="preserve"> </w:t>
      </w:r>
      <w:r>
        <w:t>Settlement Agreement</w:t>
      </w:r>
      <w:bookmarkEnd w:id="14"/>
      <w:r>
        <w:t xml:space="preserve"> </w:t>
      </w:r>
    </w:p>
    <w:p w:rsidR="001C4A46" w:rsidP="001C4A46" w:rsidRDefault="001C4A46" w14:paraId="7AF08A55" w14:textId="77777777">
      <w:pPr>
        <w:pStyle w:val="Heading2"/>
      </w:pPr>
      <w:bookmarkStart w:name="_Toc57188126" w:id="15"/>
      <w:r>
        <w:t>Summary of the Settlement Agreement</w:t>
      </w:r>
      <w:bookmarkEnd w:id="15"/>
      <w:r>
        <w:t xml:space="preserve"> </w:t>
      </w:r>
    </w:p>
    <w:p w:rsidR="001C4A46" w:rsidP="001C4A46" w:rsidRDefault="001C4A46" w14:paraId="78F7DC4E" w14:textId="77777777">
      <w:pPr>
        <w:pStyle w:val="Standard"/>
      </w:pPr>
      <w:r>
        <w:t xml:space="preserve">A Settlement Agreement was reached by eight of the 17 parties.  The Settling Parties </w:t>
      </w:r>
      <w:r w:rsidDel="00B67382">
        <w:t xml:space="preserve">suggest </w:t>
      </w:r>
      <w:r>
        <w:t xml:space="preserve">the Settlement Agreement resolves all issues scoped in the proceeding with one exception.  The Settlement Agreement leaves open the question of whether the Utilities may request recovery in subsequent GRCs of </w:t>
      </w:r>
      <w:r>
        <w:lastRenderedPageBreak/>
        <w:t>any costs not otherwise recovered from program participants during operation of the RNG Tariff Program.  The Settlement Agreement includes the original terms proposed by the Utilities in the Application with three key changes</w:t>
      </w:r>
      <w:proofErr w:type="gramStart"/>
      <w:r>
        <w:t>:  (</w:t>
      </w:r>
      <w:proofErr w:type="gramEnd"/>
      <w:r>
        <w:t>1) program duration, (2) procurement requirements, and (3) Procurement Advisory Group (PAG).</w:t>
      </w:r>
      <w:r>
        <w:rPr>
          <w:rStyle w:val="FootnoteReference"/>
        </w:rPr>
        <w:footnoteReference w:id="22"/>
      </w:r>
      <w:r>
        <w:t xml:space="preserve">  The Settling Parties set two goals for the resulting program:  (1) to accelerate the use of RNG and the development of RNG supplies in California and nationally, and (2) to reduce GHG and Short-Lived Climate Pollutant (SLCP) emissions.</w:t>
      </w:r>
    </w:p>
    <w:p w:rsidR="001C4A46" w:rsidP="001C4A46" w:rsidRDefault="001C4A46" w14:paraId="57CB9F3C" w14:textId="77777777">
      <w:pPr>
        <w:pStyle w:val="Standard"/>
      </w:pPr>
      <w:r w:rsidRPr="00AC7A88">
        <w:rPr>
          <w:b/>
          <w:bCs/>
          <w:u w:val="single"/>
        </w:rPr>
        <w:t>Program Duration:</w:t>
      </w:r>
      <w:r>
        <w:t xml:space="preserve">  The Settlement Agreement provides that the voluntary RNG Tariff program is a three-year pilot subject to Commission review and approval for potential continuation after the third year.  If program continuation is not approved, the Utilities will terminate the program within two years from the Commission decision (transition period).  The Settling Parties agree that GHG emissions reductions resulting from the program would be a primary consideration of the Commission when evaluating whether the program should be continued.</w:t>
      </w:r>
      <w:r>
        <w:rPr>
          <w:rStyle w:val="FootnoteReference"/>
        </w:rPr>
        <w:footnoteReference w:id="23"/>
      </w:r>
      <w:r>
        <w:t xml:space="preserve">  </w:t>
      </w:r>
    </w:p>
    <w:p w:rsidRPr="002F0B79" w:rsidR="001C4A46" w:rsidP="001C4A46" w:rsidRDefault="001C4A46" w14:paraId="39A8A739" w14:textId="77777777">
      <w:pPr>
        <w:pStyle w:val="Standard"/>
      </w:pPr>
      <w:r w:rsidRPr="00AC7A88">
        <w:rPr>
          <w:b/>
          <w:bCs/>
          <w:u w:val="single"/>
        </w:rPr>
        <w:t>Procurement Requirements:</w:t>
      </w:r>
      <w:r>
        <w:t xml:space="preserve">  The Utilities originally proposed unlimited flexibility in RNG procurement from both in-state and out-of-state sources, while still requiring eligible RNG to comply with the </w:t>
      </w:r>
      <w:r w:rsidRPr="35513E9A">
        <w:t>California Cap on Greenhouse Gas Emissions and Market-Based Compliance Mechanisms (Cap-and-Trade Regulation).</w:t>
      </w:r>
      <w:r>
        <w:rPr>
          <w:rStyle w:val="FootnoteReference"/>
        </w:rPr>
        <w:footnoteReference w:id="24"/>
      </w:r>
      <w:r w:rsidRPr="35513E9A">
        <w:t xml:space="preserve">  In contrast, the Settl</w:t>
      </w:r>
      <w:r>
        <w:t>ement Agreement requires</w:t>
      </w:r>
      <w:r w:rsidRPr="35513E9A">
        <w:t xml:space="preserve"> the Utilities </w:t>
      </w:r>
      <w:r>
        <w:t>to</w:t>
      </w:r>
      <w:r w:rsidRPr="35513E9A">
        <w:t xml:space="preserve"> </w:t>
      </w:r>
      <w:r w:rsidRPr="35513E9A">
        <w:lastRenderedPageBreak/>
        <w:t>procure at least 50 percent of RNG from in-state sources to meet the program demand, of which at least half is from sources other than landfill gas.  The average cost of the in-state RNG supply portfolio is subject to a limit of 200</w:t>
      </w:r>
      <w:r>
        <w:t> </w:t>
      </w:r>
      <w:r w:rsidRPr="35513E9A">
        <w:t>percent</w:t>
      </w:r>
      <w:r w:rsidRPr="002F0B79">
        <w:rPr>
          <w:szCs w:val="26"/>
        </w:rPr>
        <w:t xml:space="preserve"> </w:t>
      </w:r>
      <w:r w:rsidRPr="35513E9A">
        <w:t xml:space="preserve">of the average cost of the total out-of-state portfolio procured to meet program demand.  If there are </w:t>
      </w:r>
      <w:r>
        <w:t xml:space="preserve">insufficient </w:t>
      </w:r>
      <w:r w:rsidRPr="35513E9A">
        <w:t xml:space="preserve">qualifying </w:t>
      </w:r>
      <w:r>
        <w:t xml:space="preserve">in-state </w:t>
      </w:r>
      <w:r w:rsidRPr="35513E9A">
        <w:t xml:space="preserve">non-landfill offers, the remaining demand will be met with qualifying in-state landfill </w:t>
      </w:r>
      <w:r>
        <w:t xml:space="preserve">gas </w:t>
      </w:r>
      <w:r w:rsidRPr="35513E9A">
        <w:t>up to a 250</w:t>
      </w:r>
      <w:r>
        <w:t> </w:t>
      </w:r>
      <w:r w:rsidRPr="35513E9A">
        <w:t>percent average cost limit.  The Settlement Agreement allows the Utilities to meet program demand with out-of-state RNG supplies in the event there are no qualifying in-state landfill offers until the following solicitation</w:t>
      </w:r>
      <w:r>
        <w:rPr>
          <w:szCs w:val="26"/>
        </w:rPr>
        <w:t>.</w:t>
      </w:r>
      <w:r w:rsidRPr="35513E9A">
        <w:rPr>
          <w:rStyle w:val="FootnoteReference"/>
        </w:rPr>
        <w:footnoteReference w:id="25"/>
      </w:r>
    </w:p>
    <w:p w:rsidR="001C4A46" w:rsidP="001C4A46" w:rsidRDefault="001C4A46" w14:paraId="16241B2A" w14:textId="77777777">
      <w:pPr>
        <w:pStyle w:val="Standard"/>
      </w:pPr>
      <w:r w:rsidRPr="00AC7A88">
        <w:rPr>
          <w:b/>
          <w:bCs/>
          <w:u w:val="single"/>
        </w:rPr>
        <w:t>PAG:</w:t>
      </w:r>
      <w:r>
        <w:t xml:space="preserve">  The Settlement Agreement creates a stakeholder forum to discuss RNG procurement issues.  The PAG promotes transparency, and will provide advice, recommendations, and oversight for RNG procurement.  It will consist of Energy Division staff, Cal Advocates, TURN, and other non-market participants.</w:t>
      </w:r>
      <w:r>
        <w:rPr>
          <w:rStyle w:val="FootnoteReference"/>
        </w:rPr>
        <w:footnoteReference w:id="26"/>
      </w:r>
      <w:r>
        <w:t xml:space="preserve"> </w:t>
      </w:r>
    </w:p>
    <w:p w:rsidR="001C4A46" w:rsidP="001C4A46" w:rsidRDefault="001C4A46" w14:paraId="0232CB7D" w14:textId="77777777">
      <w:pPr>
        <w:pStyle w:val="Standard"/>
      </w:pPr>
      <w:r>
        <w:rPr>
          <w:b/>
          <w:bCs/>
          <w:u w:val="single"/>
        </w:rPr>
        <w:t>Clarification Regarding Additionality:</w:t>
      </w:r>
      <w:r w:rsidRPr="003D06AD">
        <w:t xml:space="preserve">  </w:t>
      </w:r>
      <w:r>
        <w:t xml:space="preserve">In response to the ALJ’s June 10, 2020 Ruling, the Settling Parties clarified that the additionality requirement for eligible RNG supplies pursuant to California Code of Regulations, Title 17 (17 CCR) Section 9582.1.1 under the Settlement Agreement applies to out-of-state sources, whereas 17 CCR Section 95852.1 applies to both </w:t>
      </w:r>
      <w:r>
        <w:lastRenderedPageBreak/>
        <w:t xml:space="preserve">in- and out-of-state sources.  The Settling Parties state that the Utilities will contract with an independent third-party company to verify the compliance of both in- and out-of-state RNG supplies with </w:t>
      </w:r>
      <w:r w:rsidRPr="0031163E">
        <w:t xml:space="preserve">Mandatory Reporting of Greenhouse Gas Emissions </w:t>
      </w:r>
      <w:r>
        <w:t>(</w:t>
      </w:r>
      <w:r w:rsidRPr="0031163E">
        <w:t>MRR</w:t>
      </w:r>
      <w:r>
        <w:t>) and the Cap-and-Trade Regulation.</w:t>
      </w:r>
      <w:r w:rsidRPr="00FF4349">
        <w:t xml:space="preserve"> </w:t>
      </w:r>
      <w:r>
        <w:t xml:space="preserve"> Further, they state that the third-party company will also verify that the RNG carbon intensity information provided by the suppliers is aligned with </w:t>
      </w:r>
      <w:r w:rsidRPr="0031163E">
        <w:t xml:space="preserve">the Greenhouse Gases, Regulated Emissions, and Energy </w:t>
      </w:r>
      <w:r>
        <w:t>U</w:t>
      </w:r>
      <w:r w:rsidRPr="0031163E">
        <w:t>se in Transportation (GREET)</w:t>
      </w:r>
      <w:r>
        <w:t xml:space="preserve"> methodology used for the </w:t>
      </w:r>
      <w:r w:rsidRPr="0031163E">
        <w:t>Low Carbon Fuel Standard (LCFS)</w:t>
      </w:r>
      <w:r>
        <w:t xml:space="preserve"> program</w:t>
      </w:r>
      <w:r w:rsidRPr="0031163E">
        <w:t>.</w:t>
      </w:r>
      <w:r>
        <w:rPr>
          <w:rStyle w:val="FootnoteReference"/>
        </w:rPr>
        <w:footnoteReference w:id="27"/>
      </w:r>
      <w:r w:rsidRPr="0031163E">
        <w:t xml:space="preserve"> </w:t>
      </w:r>
    </w:p>
    <w:p w:rsidR="001C4A46" w:rsidP="001C4A46" w:rsidRDefault="001C4A46" w14:paraId="71B53AD9" w14:textId="77777777">
      <w:pPr>
        <w:pStyle w:val="Heading2"/>
      </w:pPr>
      <w:bookmarkStart w:name="_Toc57188127" w:id="16"/>
      <w:r>
        <w:t>Contested Issues</w:t>
      </w:r>
      <w:bookmarkEnd w:id="16"/>
      <w:r>
        <w:t xml:space="preserve"> </w:t>
      </w:r>
    </w:p>
    <w:p w:rsidR="001C4A46" w:rsidP="001C4A46" w:rsidRDefault="001C4A46" w14:paraId="509F78C4" w14:textId="77777777">
      <w:pPr>
        <w:pStyle w:val="Standard"/>
      </w:pPr>
      <w:r>
        <w:t>TURN, CUE, LC/SC, and Wild Tree participated in the settlement negotiations, but oppose the outcome.  They argue that the Settlement Agreement fails to resolve the key policy issues that they raised in this proceeding, including</w:t>
      </w:r>
      <w:proofErr w:type="gramStart"/>
      <w:r>
        <w:t>:  (</w:t>
      </w:r>
      <w:proofErr w:type="gramEnd"/>
      <w:r>
        <w:t xml:space="preserve">1) in-state RNG sources and additionality, (2) compliance with other RNG standards, (3) the merit of long-term contracts, (4) verification, (5) marketing claims, and (6) program costs.  Factual disputes also remain concerning whether the program has sufficient support from the Utilities’ customers to justify and successfully recover costs, and </w:t>
      </w:r>
      <w:proofErr w:type="gramStart"/>
      <w:r>
        <w:t>whether or not</w:t>
      </w:r>
      <w:proofErr w:type="gramEnd"/>
      <w:r>
        <w:t xml:space="preserve"> there will be any actual environmental benefits.</w:t>
      </w:r>
    </w:p>
    <w:p w:rsidR="001C4A46" w:rsidP="001C4A46" w:rsidRDefault="001C4A46" w14:paraId="10E8D132" w14:textId="77777777">
      <w:pPr>
        <w:pStyle w:val="Heading1"/>
      </w:pPr>
      <w:bookmarkStart w:name="_Toc8123719" w:id="17"/>
      <w:bookmarkStart w:name="_Toc45740467" w:id="18"/>
      <w:bookmarkStart w:name="_Toc57188128" w:id="19"/>
      <w:bookmarkStart w:name="_Hlk44944837" w:id="20"/>
      <w:r>
        <w:t xml:space="preserve">Issues Before the </w:t>
      </w:r>
      <w:r w:rsidRPr="008459A9">
        <w:t>Commission</w:t>
      </w:r>
      <w:bookmarkEnd w:id="17"/>
      <w:bookmarkEnd w:id="18"/>
      <w:bookmarkEnd w:id="19"/>
    </w:p>
    <w:p w:rsidR="001C4A46" w:rsidP="001C4A46" w:rsidRDefault="001C4A46" w14:paraId="4EAE2469" w14:textId="77777777">
      <w:pPr>
        <w:pStyle w:val="Standard"/>
      </w:pPr>
      <w:r>
        <w:t xml:space="preserve">The main issue in this proceeding is whether the Commission should adopt a voluntary RNG Tariff program as initially proposed by the Utilities, as proposed by the Settling Parties under the Settlement Agreement, or, alternatively, adopt and authorize a modified program.  We find that the latter approach is best.  That approach adopts an authorized program based on the </w:t>
      </w:r>
      <w:r>
        <w:lastRenderedPageBreak/>
        <w:t>framework and many reasonable elements of the Settlement Agreement while resolving issues raised by non-settling parties.</w:t>
      </w:r>
      <w:r>
        <w:rPr>
          <w:rStyle w:val="FootnoteReference"/>
        </w:rPr>
        <w:footnoteReference w:id="28"/>
      </w:r>
      <w:r>
        <w:t xml:space="preserve">  It does so in a way that reflects the whole record, is consistent with law, is consistent with Commission policies, and is in the public interest.</w:t>
      </w:r>
    </w:p>
    <w:p w:rsidR="001C4A46" w:rsidP="001C4A46" w:rsidRDefault="001C4A46" w14:paraId="09B7A14C" w14:textId="77777777">
      <w:pPr>
        <w:pStyle w:val="Standard"/>
      </w:pPr>
      <w:r>
        <w:t>Given the adoption of a voluntary RNG Tariff program, we also consider whether IT costs should be recovered only from RNG Tariff program participants or from all customers in current or subsequent Utilities’ GRCs.  Finally, we address wind down costs for any unrecovered program costs if the pilot is terminated, along with other implementation details raised in the Application.</w:t>
      </w:r>
    </w:p>
    <w:p w:rsidR="001C4A46" w:rsidP="001C4A46" w:rsidRDefault="001C4A46" w14:paraId="64B38938" w14:textId="77777777">
      <w:pPr>
        <w:pStyle w:val="Heading1"/>
      </w:pPr>
      <w:bookmarkStart w:name="_Toc57188129" w:id="21"/>
      <w:r>
        <w:t>Standard of Review</w:t>
      </w:r>
      <w:bookmarkEnd w:id="21"/>
    </w:p>
    <w:p w:rsidR="001C4A46" w:rsidP="001C4A46" w:rsidRDefault="001C4A46" w14:paraId="56A4146A" w14:textId="77777777">
      <w:pPr>
        <w:pStyle w:val="Standard"/>
      </w:pPr>
      <w:r>
        <w:t xml:space="preserve">Rule 12.1(d) requires that the Commission will not approve any settlement, whether contested or uncontested, unless the settlement is reasonable </w:t>
      </w:r>
      <w:proofErr w:type="gramStart"/>
      <w:r>
        <w:t>in light of</w:t>
      </w:r>
      <w:proofErr w:type="gramEnd"/>
      <w:r>
        <w:t xml:space="preserve"> the whole record, consistent with law, and in the public interest.  This decision reviews the Settlement Agreement in accordance with these three criteria, as well as with the Commission’s policy for voluntary programs, for example, the GTSR program.  </w:t>
      </w:r>
    </w:p>
    <w:p w:rsidR="001C4A46" w:rsidP="001C4A46" w:rsidRDefault="001C4A46" w14:paraId="6FB01600" w14:textId="77777777">
      <w:pPr>
        <w:pStyle w:val="Standard"/>
      </w:pPr>
      <w:r>
        <w:t>Current law under SB 1440</w:t>
      </w:r>
      <w:r>
        <w:rPr>
          <w:rStyle w:val="FootnoteReference"/>
        </w:rPr>
        <w:footnoteReference w:id="29"/>
      </w:r>
      <w:r>
        <w:t xml:space="preserve"> requires the Commission, in consultation with the California Air Resources Board (CARB), to consider adopting specific biomethane procurement targets or goals for each gas utility.</w:t>
      </w:r>
      <w:r>
        <w:rPr>
          <w:rStyle w:val="FootnoteReference"/>
        </w:rPr>
        <w:footnoteReference w:id="30"/>
      </w:r>
      <w:r>
        <w:t xml:space="preserve">  The Commission has not yet implemented this statutory requirement.  Even though the Utilities’ </w:t>
      </w:r>
      <w:r>
        <w:lastRenderedPageBreak/>
        <w:t>proposed RNG Tariff program in this Application is voluntary, we consider whether the Settlement Agreement aligns with or is complementary to SB 1440.  In addition, we review whether the Settlement Agreement is consistent with CARB’s Cap-and-Trade Regulation.</w:t>
      </w:r>
    </w:p>
    <w:p w:rsidR="001C4A46" w:rsidP="001C4A46" w:rsidRDefault="001C4A46" w14:paraId="5148E2A1" w14:textId="77777777">
      <w:pPr>
        <w:pStyle w:val="Heading1"/>
      </w:pPr>
      <w:bookmarkStart w:name="_Toc45740468" w:id="22"/>
      <w:bookmarkStart w:name="_Toc57188130" w:id="23"/>
      <w:r>
        <w:t>Discussion</w:t>
      </w:r>
      <w:bookmarkEnd w:id="22"/>
      <w:bookmarkEnd w:id="23"/>
    </w:p>
    <w:bookmarkEnd w:id="4"/>
    <w:bookmarkEnd w:id="20"/>
    <w:p w:rsidR="001C4A46" w:rsidP="001C4A46" w:rsidRDefault="001C4A46" w14:paraId="742B123A" w14:textId="77777777">
      <w:pPr>
        <w:pStyle w:val="Standard"/>
        <w:rPr>
          <w:lang w:eastAsia="zh-TW"/>
        </w:rPr>
      </w:pPr>
      <w:r>
        <w:rPr>
          <w:lang w:eastAsia="zh-TW"/>
        </w:rPr>
        <w:t xml:space="preserve">A worldwide pandemic occurred </w:t>
      </w:r>
      <w:proofErr w:type="gramStart"/>
      <w:r>
        <w:rPr>
          <w:lang w:eastAsia="zh-TW"/>
        </w:rPr>
        <w:t>in the midst of</w:t>
      </w:r>
      <w:proofErr w:type="gramEnd"/>
      <w:r>
        <w:rPr>
          <w:lang w:eastAsia="zh-TW"/>
        </w:rPr>
        <w:t xml:space="preserve"> this proceeding.  We acknowledge parties’ efforts in concluding settlement discussions in March and April 2020 while everyone’s life was impacted from the early </w:t>
      </w:r>
      <w:r w:rsidRPr="6075C82C">
        <w:rPr>
          <w:lang w:eastAsia="zh-TW"/>
        </w:rPr>
        <w:t xml:space="preserve">stay-at-home orders </w:t>
      </w:r>
      <w:r>
        <w:rPr>
          <w:lang w:eastAsia="zh-TW"/>
        </w:rPr>
        <w:t xml:space="preserve">in many California cities.  Even though an all-party settlement was not reached, and policy issues and factual disputes remain, parties were able to narrow the disputed issues and eliminate the need for evidentiary hearings.  This allows the Commission to move the proceeding forward efficiently and effectively even </w:t>
      </w:r>
      <w:proofErr w:type="gramStart"/>
      <w:r>
        <w:rPr>
          <w:lang w:eastAsia="zh-TW"/>
        </w:rPr>
        <w:t>in light of</w:t>
      </w:r>
      <w:proofErr w:type="gramEnd"/>
      <w:r>
        <w:rPr>
          <w:lang w:eastAsia="zh-TW"/>
        </w:rPr>
        <w:t xml:space="preserve"> the pandemic.</w:t>
      </w:r>
    </w:p>
    <w:p w:rsidR="001C4A46" w:rsidP="001C4A46" w:rsidRDefault="001C4A46" w14:paraId="33672FCF" w14:textId="2A1E9F54">
      <w:pPr>
        <w:pStyle w:val="Standard"/>
        <w:rPr>
          <w:iCs/>
        </w:rPr>
      </w:pPr>
      <w:r>
        <w:rPr>
          <w:lang w:eastAsia="zh-TW"/>
        </w:rPr>
        <w:t xml:space="preserve">We support the Utilities’ concept of offering </w:t>
      </w:r>
      <w:r>
        <w:rPr>
          <w:iCs/>
        </w:rPr>
        <w:t xml:space="preserve">a voluntary RNG Tariff program to their residential, </w:t>
      </w:r>
      <w:r w:rsidR="001C2305">
        <w:rPr>
          <w:iCs/>
        </w:rPr>
        <w:t xml:space="preserve">and </w:t>
      </w:r>
      <w:r>
        <w:rPr>
          <w:iCs/>
        </w:rPr>
        <w:t xml:space="preserve">small commercial and industrial customers.  However, we are cautious in setting long-term program policy before the Commission determines </w:t>
      </w:r>
      <w:proofErr w:type="gramStart"/>
      <w:r>
        <w:rPr>
          <w:iCs/>
        </w:rPr>
        <w:t>whether or not</w:t>
      </w:r>
      <w:proofErr w:type="gramEnd"/>
      <w:r>
        <w:rPr>
          <w:iCs/>
        </w:rPr>
        <w:t xml:space="preserve"> to establish a statewide biomethane procurement requirement pursuant to SB 1440.</w:t>
      </w:r>
    </w:p>
    <w:p w:rsidR="001C4A46" w:rsidP="001C4A46" w:rsidRDefault="001C4A46" w14:paraId="18A1F20A" w14:textId="77777777">
      <w:pPr>
        <w:pStyle w:val="Standard"/>
        <w:rPr>
          <w:lang w:eastAsia="zh-TW"/>
        </w:rPr>
      </w:pPr>
      <w:r>
        <w:t xml:space="preserve">The Settlement Agreement reasonably limits the program to a three-year pilot with a two-year transition period if continuation of the pilot program is not approved.  We find that having a pilot program in advance of the implementation of SB 1440 may have several benefits in addition to reducing GHG and SLCP emissions.  For example, it may help customers gain early experience in using RNG as a part of their natural gas services, expand upon the existing RNG market in California, and provide valuable information in assisting the Commission to evaluate potential statewide biomethane targets moving </w:t>
      </w:r>
      <w:r>
        <w:lastRenderedPageBreak/>
        <w:t>forward.  On the other hand, it is important that the Utilities’ voluntary programs align with or are complementary to state law</w:t>
      </w:r>
      <w:r w:rsidRPr="00872CCD">
        <w:t xml:space="preserve"> </w:t>
      </w:r>
      <w:r>
        <w:t xml:space="preserve">as implementation proceeds, so we make limited modifications to the voluntary program proposed in the Settlement Agreement to align with state law.  The RNG Tariff program must also comply with existing and future Cap-and-Trade Regulations, further GHG emissions reductions, and be fair to </w:t>
      </w:r>
      <w:proofErr w:type="gramStart"/>
      <w:r>
        <w:t>all of</w:t>
      </w:r>
      <w:proofErr w:type="gramEnd"/>
      <w:r>
        <w:t xml:space="preserve"> the Utilities’ customers (both participants and non-participants).</w:t>
      </w:r>
      <w:r w:rsidRPr="4EECEE3C">
        <w:rPr>
          <w:lang w:eastAsia="zh-TW"/>
        </w:rPr>
        <w:t xml:space="preserve"> </w:t>
      </w:r>
    </w:p>
    <w:p w:rsidR="001C4A46" w:rsidP="001C4A46" w:rsidRDefault="001C4A46" w14:paraId="17CF3B4F" w14:textId="77777777">
      <w:pPr>
        <w:pStyle w:val="Heading2"/>
      </w:pPr>
      <w:bookmarkStart w:name="_Toc57188131" w:id="24"/>
      <w:r>
        <w:t xml:space="preserve">The </w:t>
      </w:r>
      <w:r w:rsidRPr="35513E9A">
        <w:t xml:space="preserve">Settlement Agreement </w:t>
      </w:r>
      <w:r>
        <w:t xml:space="preserve">is Not </w:t>
      </w:r>
      <w:r w:rsidRPr="35513E9A">
        <w:t>Adopt</w:t>
      </w:r>
      <w:r>
        <w:t>ed</w:t>
      </w:r>
      <w:bookmarkEnd w:id="24"/>
    </w:p>
    <w:p w:rsidR="001C4A46" w:rsidP="001C4A46" w:rsidRDefault="001C4A46" w14:paraId="0422F8BB" w14:textId="3C64D225">
      <w:pPr>
        <w:pStyle w:val="Standard"/>
        <w:rPr>
          <w:lang w:eastAsia="zh-TW"/>
        </w:rPr>
      </w:pPr>
      <w:r>
        <w:rPr>
          <w:lang w:eastAsia="zh-TW"/>
        </w:rPr>
        <w:t xml:space="preserve">In reaching our decision, we examine the whole record, including non-settling parties’ arguments against the Settlement Agreement and the Settling Parties’ </w:t>
      </w:r>
      <w:proofErr w:type="gramStart"/>
      <w:r>
        <w:rPr>
          <w:lang w:eastAsia="zh-TW"/>
        </w:rPr>
        <w:t>counter-arguments</w:t>
      </w:r>
      <w:proofErr w:type="gramEnd"/>
      <w:r>
        <w:rPr>
          <w:lang w:eastAsia="zh-TW"/>
        </w:rPr>
        <w:t>.  We agree with the non-settling parties that the Settlement Agreement does not fully align with SB 1440</w:t>
      </w:r>
      <w:r w:rsidDel="00430169">
        <w:rPr>
          <w:lang w:eastAsia="zh-TW"/>
        </w:rPr>
        <w:t xml:space="preserve"> and </w:t>
      </w:r>
      <w:r>
        <w:rPr>
          <w:lang w:eastAsia="zh-TW"/>
        </w:rPr>
        <w:t xml:space="preserve">could potentially result in </w:t>
      </w:r>
      <w:r w:rsidDel="00430169">
        <w:rPr>
          <w:lang w:eastAsia="zh-TW"/>
        </w:rPr>
        <w:t xml:space="preserve">a situation in which </w:t>
      </w:r>
      <w:r>
        <w:rPr>
          <w:lang w:eastAsia="zh-TW"/>
        </w:rPr>
        <w:t xml:space="preserve">100 percent of RNG supplies </w:t>
      </w:r>
      <w:r w:rsidDel="00430169">
        <w:rPr>
          <w:lang w:eastAsia="zh-TW"/>
        </w:rPr>
        <w:t xml:space="preserve">comes </w:t>
      </w:r>
      <w:r>
        <w:rPr>
          <w:lang w:eastAsia="zh-TW"/>
        </w:rPr>
        <w:t xml:space="preserve">from outside of California </w:t>
      </w:r>
      <w:r w:rsidDel="00430169">
        <w:rPr>
          <w:lang w:eastAsia="zh-TW"/>
        </w:rPr>
        <w:t xml:space="preserve">and provides </w:t>
      </w:r>
      <w:r>
        <w:rPr>
          <w:lang w:eastAsia="zh-TW"/>
        </w:rPr>
        <w:t xml:space="preserve">limited or no environmental benefits in California, thereby </w:t>
      </w:r>
      <w:r w:rsidDel="00430169">
        <w:rPr>
          <w:lang w:eastAsia="zh-TW"/>
        </w:rPr>
        <w:t xml:space="preserve">failing </w:t>
      </w:r>
      <w:r>
        <w:rPr>
          <w:lang w:eastAsia="zh-TW"/>
        </w:rPr>
        <w:t xml:space="preserve">the “consistent with law” and the “public interest” tests we use in reviewing settlement agreements.  We could, as a result, simply reject the Settlement Agreement and close the proceeding.  </w:t>
      </w:r>
    </w:p>
    <w:p w:rsidR="001C4A46" w:rsidP="001C4A46" w:rsidRDefault="001C4A46" w14:paraId="4CACC5CC" w14:textId="77777777">
      <w:pPr>
        <w:pStyle w:val="Standard"/>
        <w:rPr>
          <w:lang w:eastAsia="zh-TW"/>
        </w:rPr>
      </w:pPr>
      <w:r w:rsidRPr="35513E9A">
        <w:rPr>
          <w:lang w:eastAsia="zh-TW"/>
        </w:rPr>
        <w:t>We find, however, that a better approach is to adopt an alternative program that is built on the Settlement Agreement, but with necessary modifications</w:t>
      </w:r>
      <w:r>
        <w:rPr>
          <w:lang w:eastAsia="zh-TW"/>
        </w:rPr>
        <w:t>, relying on the comprehensive record that was established through testimony and filings</w:t>
      </w:r>
      <w:r w:rsidRPr="35513E9A">
        <w:rPr>
          <w:lang w:eastAsia="zh-TW"/>
        </w:rPr>
        <w:t>.  We start with the RNG Tariff program in the Settlement Agreement because it provides a good framework and reasonably addresses numerous issues.  These issues include key definitions, general procurement guidelines, establishment of a PAG, subscription parameters (</w:t>
      </w:r>
      <w:r w:rsidRPr="007E5188">
        <w:rPr>
          <w:i/>
          <w:iCs/>
          <w:lang w:eastAsia="zh-TW"/>
        </w:rPr>
        <w:t>e.g</w:t>
      </w:r>
      <w:r w:rsidRPr="35513E9A">
        <w:rPr>
          <w:lang w:eastAsia="zh-TW"/>
        </w:rPr>
        <w:t xml:space="preserve">., fixed or percentage-based customer billing), minimum commitment periods (one year residential, two year commercial/industrial), establishment of a balancing </w:t>
      </w:r>
      <w:r w:rsidRPr="35513E9A">
        <w:rPr>
          <w:lang w:eastAsia="zh-TW"/>
        </w:rPr>
        <w:lastRenderedPageBreak/>
        <w:t>account, reporting requirements, and a limitation of the program to a three-year pilot with a possible extension.  We adjust the program to include procurement requirements that are more in line with SB 1440 and the Cap-and-Trade Regulation; a methodology to measure RNG carbon intensity based on the GREET model; reasonable cost recovery (</w:t>
      </w:r>
      <w:r w:rsidRPr="00094EB8">
        <w:rPr>
          <w:i/>
          <w:iCs/>
          <w:lang w:eastAsia="zh-TW"/>
        </w:rPr>
        <w:t>i.e.,</w:t>
      </w:r>
      <w:r w:rsidRPr="35513E9A">
        <w:rPr>
          <w:lang w:eastAsia="zh-TW"/>
        </w:rPr>
        <w:t xml:space="preserve"> consistent with general Commission ratemaking policy relative to participants and non-participants); limit</w:t>
      </w:r>
      <w:r>
        <w:rPr>
          <w:lang w:eastAsia="zh-TW"/>
        </w:rPr>
        <w:t>ing</w:t>
      </w:r>
      <w:r w:rsidRPr="35513E9A">
        <w:rPr>
          <w:lang w:eastAsia="zh-TW"/>
        </w:rPr>
        <w:t xml:space="preserve"> recovery of wind down costs to the program duration; and guidance on program marketing, evaluation, design changes, and reporting.</w:t>
      </w:r>
    </w:p>
    <w:p w:rsidR="001C4A46" w:rsidP="001C4A46" w:rsidRDefault="001C4A46" w14:paraId="1B2CEEDD" w14:textId="77777777">
      <w:pPr>
        <w:pStyle w:val="Standard"/>
      </w:pPr>
      <w:r>
        <w:rPr>
          <w:lang w:eastAsia="zh-TW"/>
        </w:rPr>
        <w:t>We believe that this approach strikes the right balance to enable program success, facilitate consistency with the state’s RNG policy goals, align with the Commission’s ratemaking practices, and permit data collection that we believe will help with the Commission’s implementation of SB 1440.  The adopted program is also based on the full record and addresses non-settling parties’ concerns.  The policy requirements and modifications to the Settlement Agreement are discussed as follows.</w:t>
      </w:r>
    </w:p>
    <w:p w:rsidR="001C4A46" w:rsidP="001C4A46" w:rsidRDefault="001C4A46" w14:paraId="25D46044" w14:textId="77777777">
      <w:pPr>
        <w:pStyle w:val="Heading2"/>
      </w:pPr>
      <w:bookmarkStart w:name="_Toc57188132" w:id="25"/>
      <w:r>
        <w:t>Procurement Requirements</w:t>
      </w:r>
      <w:bookmarkEnd w:id="25"/>
      <w:r>
        <w:t xml:space="preserve"> </w:t>
      </w:r>
    </w:p>
    <w:p w:rsidR="001C4A46" w:rsidP="001C4A46" w:rsidRDefault="001C4A46" w14:paraId="5F7DCB38" w14:textId="77777777">
      <w:pPr>
        <w:pStyle w:val="Heading3"/>
      </w:pPr>
      <w:bookmarkStart w:name="_Toc57188133" w:id="26"/>
      <w:r>
        <w:t>Eligibility and Additionality</w:t>
      </w:r>
      <w:bookmarkEnd w:id="26"/>
    </w:p>
    <w:p w:rsidR="001C4A46" w:rsidP="001C4A46" w:rsidRDefault="001C4A46" w14:paraId="77EA1E39" w14:textId="77777777">
      <w:pPr>
        <w:pStyle w:val="Standard"/>
      </w:pPr>
      <w:r>
        <w:t xml:space="preserve">In this decision, we require that at least </w:t>
      </w:r>
      <w:r w:rsidRPr="000B7051">
        <w:t>50</w:t>
      </w:r>
      <w:r>
        <w:t xml:space="preserve"> percent </w:t>
      </w:r>
      <w:r w:rsidRPr="000B7051">
        <w:t xml:space="preserve">of </w:t>
      </w:r>
      <w:r>
        <w:t>the RNG</w:t>
      </w:r>
      <w:r w:rsidRPr="000B7051">
        <w:t xml:space="preserve"> source</w:t>
      </w:r>
      <w:r>
        <w:t>s</w:t>
      </w:r>
      <w:r w:rsidRPr="000B7051">
        <w:t xml:space="preserve"> eligible </w:t>
      </w:r>
      <w:r>
        <w:t>to meet</w:t>
      </w:r>
      <w:r w:rsidRPr="000B7051">
        <w:t xml:space="preserve"> </w:t>
      </w:r>
      <w:r>
        <w:t xml:space="preserve">the demand of </w:t>
      </w:r>
      <w:r w:rsidRPr="000B7051">
        <w:t xml:space="preserve">this program </w:t>
      </w:r>
      <w:r>
        <w:t>must</w:t>
      </w:r>
      <w:r w:rsidRPr="000B7051">
        <w:t xml:space="preserve"> </w:t>
      </w:r>
      <w:r>
        <w:t>be procured from in-state or out-of-state sources that are delivered to</w:t>
      </w:r>
      <w:r w:rsidRPr="000B7051">
        <w:t xml:space="preserve"> California</w:t>
      </w:r>
      <w:r>
        <w:t xml:space="preserve"> consistent with the eligibility criteria as set forth in Pub. Util. Code Section </w:t>
      </w:r>
      <w:r w:rsidRPr="00767198">
        <w:t>651(b)(3)</w:t>
      </w:r>
      <w:r>
        <w:t>(B)</w:t>
      </w:r>
      <w:r w:rsidRPr="00767198">
        <w:t>.</w:t>
      </w:r>
      <w:r>
        <w:rPr>
          <w:rStyle w:val="FootnoteReference"/>
        </w:rPr>
        <w:footnoteReference w:id="31"/>
      </w:r>
      <w:r>
        <w:t xml:space="preserve">  In short, those criteria require that the source of the RNG be physically connected to California by pipeline, and that there are direct environmental benefits for California.  Moreover, no RNG </w:t>
      </w:r>
      <w:r w:rsidRPr="000B7051">
        <w:t>sources outside of the United State</w:t>
      </w:r>
      <w:r>
        <w:t>s</w:t>
      </w:r>
      <w:r w:rsidRPr="000B7051">
        <w:t xml:space="preserve"> that have not already </w:t>
      </w:r>
      <w:r w:rsidRPr="000B7051">
        <w:lastRenderedPageBreak/>
        <w:t xml:space="preserve">been </w:t>
      </w:r>
      <w:r>
        <w:t>delivering RNG through</w:t>
      </w:r>
      <w:r w:rsidRPr="000B7051">
        <w:t xml:space="preserve"> </w:t>
      </w:r>
      <w:r>
        <w:t xml:space="preserve">a </w:t>
      </w:r>
      <w:r w:rsidRPr="00D4501B">
        <w:t>common carrier pipeline</w:t>
      </w:r>
      <w:r>
        <w:t xml:space="preserve"> in the United States </w:t>
      </w:r>
      <w:r w:rsidRPr="000B7051">
        <w:t>will be allowed to participate in this pilot program.</w:t>
      </w:r>
      <w:r>
        <w:t xml:space="preserve">  This will promote the desirable goal of increasing in-state and national development of RNG.  </w:t>
      </w:r>
    </w:p>
    <w:p w:rsidR="001C4A46" w:rsidP="001C4A46" w:rsidRDefault="001C4A46" w14:paraId="6B966CB6" w14:textId="77777777">
      <w:r>
        <w:t>In addition,</w:t>
      </w:r>
      <w:r w:rsidDel="00D85843">
        <w:t xml:space="preserve"> </w:t>
      </w:r>
      <w:r>
        <w:t xml:space="preserve">while we agree with the non-settling parties that a requirement of 100 percent in-state new and incremental RNG sources for the voluntary pilot program would accelerate the state’s RNG market developments, we must take into consideration both state law and current in-state RNG development and supplies.  We agree with the Settling Parties that neither SB 1440 nor the Cap-and-Trade Regulation require </w:t>
      </w:r>
      <w:r w:rsidRPr="00161440">
        <w:t>additionality</w:t>
      </w:r>
      <w:r>
        <w:t xml:space="preserve"> for in-state RNG sources.</w:t>
      </w:r>
      <w:r>
        <w:rPr>
          <w:rStyle w:val="FootnoteReference"/>
        </w:rPr>
        <w:footnoteReference w:id="32"/>
      </w:r>
      <w:r>
        <w:t xml:space="preserve">  That is, in-state RNG can be supplied from a source that is already capturing RNG.  CARB’s Cap-and-Trade Regulation includes additionality requirements only for RNG supplies generated out-of-state.  In this decision, we do not impose an additionality requirement for in-state RNG beyond CARB’s current Cap-and-Trade Regulation.</w:t>
      </w:r>
    </w:p>
    <w:p w:rsidRPr="0083331C" w:rsidR="001C4A46" w:rsidP="0083331C" w:rsidRDefault="001C4A46" w14:paraId="04D573A3" w14:textId="77777777">
      <w:pPr>
        <w:pStyle w:val="Heading4"/>
        <w:numPr>
          <w:ilvl w:val="3"/>
          <w:numId w:val="1"/>
        </w:numPr>
      </w:pPr>
      <w:bookmarkStart w:name="_Toc57188134" w:id="27"/>
      <w:r w:rsidRPr="0083331C">
        <w:t>Eligibility</w:t>
      </w:r>
      <w:bookmarkEnd w:id="27"/>
    </w:p>
    <w:p w:rsidR="001C4A46" w:rsidP="001C4A46" w:rsidRDefault="001C4A46" w14:paraId="0BC1EEE3" w14:textId="77777777">
      <w:pPr>
        <w:pStyle w:val="Standard"/>
      </w:pPr>
      <w:r>
        <w:t xml:space="preserve">One common argument among the non-settling parties is whether the proposed program under the Settlement Agreement would provide direct environmental benefits to California.  The Settlement Agreement allows the Utilities to fulfill program demand with out-of-state RNG supplies if in-state RNG costs exceed the set limits.  For example, Wild Tree is concerned that there is little chance that the Utilities will be able to procure RNG for pipeline injection in California under the cost limit in the Settlement Agreement, and thus would </w:t>
      </w:r>
      <w:r>
        <w:lastRenderedPageBreak/>
        <w:t>result most likely in 100 percent of RNG procurement being from of out</w:t>
      </w:r>
      <w:r>
        <w:noBreakHyphen/>
        <w:t>of</w:t>
      </w:r>
      <w:r>
        <w:noBreakHyphen/>
        <w:t>state.</w:t>
      </w:r>
      <w:r>
        <w:rPr>
          <w:rStyle w:val="FootnoteReference"/>
        </w:rPr>
        <w:footnoteReference w:id="33"/>
      </w:r>
    </w:p>
    <w:p w:rsidR="001C4A46" w:rsidP="001C4A46" w:rsidRDefault="001C4A46" w14:paraId="29F6368F" w14:textId="56FB82A8">
      <w:pPr>
        <w:pStyle w:val="Standard"/>
      </w:pPr>
      <w:r>
        <w:t>The non-settling parties’ concerns regarding potential lack of in-state RNG supplies are valid.  SB 1440 requires the Commission to ensure that biomethane delivered from out-of-state to California through a common carrier pipeline eligible for any procurement program must demonstrate environmental benefits to California.  Pub. Util. Code Section 651(b)(3)(B) states:</w:t>
      </w:r>
    </w:p>
    <w:p w:rsidRPr="0044310B" w:rsidR="001C4A46" w:rsidP="001C4A46" w:rsidRDefault="001C4A46" w14:paraId="6597D959" w14:textId="77777777">
      <w:pPr>
        <w:pStyle w:val="BlockQuote"/>
      </w:pPr>
      <w:r w:rsidRPr="0044310B">
        <w:t>The biomethane is delivered to California through a common carrier pipeline and meets both of the following requirements:</w:t>
      </w:r>
    </w:p>
    <w:p w:rsidRPr="0044310B" w:rsidR="001C4A46" w:rsidP="001C4A46" w:rsidRDefault="001C4A46" w14:paraId="0D7A1D87" w14:textId="77777777">
      <w:pPr>
        <w:pStyle w:val="BlockQuote"/>
        <w:ind w:left="1440" w:right="1440" w:hanging="360"/>
      </w:pPr>
      <w:r w:rsidRPr="0044310B">
        <w:t xml:space="preserve">(i) </w:t>
      </w:r>
      <w:r>
        <w:t xml:space="preserve"> </w:t>
      </w:r>
      <w:r w:rsidRPr="0044310B">
        <w:t>The source of biomethane injects the biomethane into a common carrier pipeline that physically flows within California, or toward the end user in California for which the biomethane was produced.</w:t>
      </w:r>
    </w:p>
    <w:p w:rsidRPr="0044310B" w:rsidR="001C4A46" w:rsidP="001C4A46" w:rsidRDefault="001C4A46" w14:paraId="20CB70A1" w14:textId="77777777">
      <w:pPr>
        <w:pStyle w:val="BlockQuote"/>
        <w:ind w:left="1530" w:right="1440" w:hanging="450"/>
      </w:pPr>
      <w:r w:rsidRPr="0044310B">
        <w:t xml:space="preserve">(ii) </w:t>
      </w:r>
      <w:r>
        <w:t xml:space="preserve"> </w:t>
      </w:r>
      <w:r w:rsidRPr="0044310B">
        <w:t>The seller or purchaser of the biomethane demonstrates that the capture or production of biomethane directly results in at least one of the following environmental benefits to California:</w:t>
      </w:r>
    </w:p>
    <w:p w:rsidRPr="0044310B" w:rsidR="001C4A46" w:rsidP="001C4A46" w:rsidRDefault="001C4A46" w14:paraId="37AC86E3" w14:textId="77777777">
      <w:pPr>
        <w:pStyle w:val="BlockQuote"/>
        <w:ind w:left="1890" w:right="1440" w:hanging="450"/>
      </w:pPr>
      <w:r w:rsidRPr="0044310B">
        <w:t xml:space="preserve">(I) </w:t>
      </w:r>
      <w:r>
        <w:t xml:space="preserve"> </w:t>
      </w:r>
      <w:r w:rsidRPr="0044310B">
        <w:t>The reduction or avoidance of the emission of any criteria air pollutant,</w:t>
      </w:r>
      <w:r>
        <w:t xml:space="preserve"> </w:t>
      </w:r>
      <w:r w:rsidRPr="0044310B">
        <w:t>toxic air contaminant, or greenhouse gas in California.</w:t>
      </w:r>
    </w:p>
    <w:p w:rsidRPr="0044310B" w:rsidR="001C4A46" w:rsidP="001C4A46" w:rsidRDefault="001C4A46" w14:paraId="70BF875B" w14:textId="77777777">
      <w:pPr>
        <w:pStyle w:val="BlockQuote"/>
        <w:ind w:left="1980" w:right="1440" w:hanging="540"/>
      </w:pPr>
      <w:r>
        <w:t>(</w:t>
      </w:r>
      <w:r w:rsidRPr="0044310B">
        <w:t xml:space="preserve">II) </w:t>
      </w:r>
      <w:r>
        <w:t xml:space="preserve"> </w:t>
      </w:r>
      <w:r w:rsidRPr="0044310B">
        <w:t>The reduction or avoidance of pollutants that could have an adverse impact on waters of the state.</w:t>
      </w:r>
    </w:p>
    <w:p w:rsidRPr="0044310B" w:rsidR="001C4A46" w:rsidP="001C4A46" w:rsidRDefault="001C4A46" w14:paraId="7EB8A68A" w14:textId="77777777">
      <w:pPr>
        <w:pStyle w:val="BlockQuote"/>
        <w:ind w:left="1980" w:right="1440" w:hanging="540"/>
      </w:pPr>
      <w:r w:rsidRPr="0044310B">
        <w:t xml:space="preserve">(III) </w:t>
      </w:r>
      <w:r>
        <w:t xml:space="preserve"> </w:t>
      </w:r>
      <w:r w:rsidRPr="0044310B">
        <w:t>The alleviation of a local nuisance within California that is associated with the emission of odors.</w:t>
      </w:r>
    </w:p>
    <w:p w:rsidR="001C4A46" w:rsidP="001C4A46" w:rsidRDefault="001C4A46" w14:paraId="0CD9FF56" w14:textId="77777777">
      <w:pPr>
        <w:pStyle w:val="Standard"/>
      </w:pPr>
      <w:r>
        <w:t xml:space="preserve">The intent of this statutory requirement is to ensure that eligible RNG sources provide direct state and local environmental benefits.  The Settlement Agreement could allow the Utilities to meet the program demand with more </w:t>
      </w:r>
      <w:r>
        <w:lastRenderedPageBreak/>
        <w:t xml:space="preserve">than 50 percent of out-of-state RNG sources if in-state supply costs exceed the proposed cost cap.  In addition, the Settlement Agreement does not specify whether out-of-state RNG sources will be physically delivered to California.  </w:t>
      </w:r>
    </w:p>
    <w:p w:rsidR="001C4A46" w:rsidP="001C4A46" w:rsidRDefault="001C4A46" w14:paraId="22253BD1" w14:textId="77777777">
      <w:pPr>
        <w:pStyle w:val="Standard"/>
      </w:pPr>
      <w:r>
        <w:t xml:space="preserve">We agree with TURN and LC/SC that the Settlement Agreement permits the Utilities to purchase renewable attributes separate from physical RNG, </w:t>
      </w:r>
      <w:proofErr w:type="gramStart"/>
      <w:r>
        <w:t>similar to</w:t>
      </w:r>
      <w:proofErr w:type="gramEnd"/>
      <w:r>
        <w:t xml:space="preserve"> the purpose of unbundled Renewable Energy Credits in the RPS program.  We are concerned that this essentially allows sellers to “swap” RNG at the production facilities with fossil natural gas flowing into California rather than requiring that the RNG be injected into a common carrier pipeline physically flowing to end use customers.</w:t>
      </w:r>
      <w:r>
        <w:rPr>
          <w:rStyle w:val="FootnoteReference"/>
        </w:rPr>
        <w:footnoteReference w:id="34"/>
      </w:r>
      <w:r>
        <w:t xml:space="preserve">  This would result in negligible to no direct environmental benefits to California, contradictory to the statutory and policy goals.  </w:t>
      </w:r>
    </w:p>
    <w:p w:rsidR="001C4A46" w:rsidP="001C4A46" w:rsidRDefault="001C4A46" w14:paraId="097495E6" w14:textId="77777777">
      <w:pPr>
        <w:pStyle w:val="Standard"/>
      </w:pPr>
      <w:r>
        <w:t xml:space="preserve">Even though the program is only a pilot, it is appropriate that the program aligns with, or is complementary to, established statutory objectives.  In addition, the prospect of 100 percent out-of-state procurement does not support the Settling Parties’ own goal of accelerating the development of RNG supplies in California.  Therefore, we require at least 50 percent of the procured RNG be from California sources or—if from out-of-state—provide direct and measurable environmental benefits to California, as explained below.  </w:t>
      </w:r>
    </w:p>
    <w:p w:rsidR="001C4A46" w:rsidP="001C4A46" w:rsidRDefault="001C4A46" w14:paraId="58A74B48" w14:textId="77777777">
      <w:pPr>
        <w:pStyle w:val="Standard"/>
      </w:pPr>
      <w:r>
        <w:t xml:space="preserve">We recognize that the pilot program, if implemented, will be new.  We understand that the proposed in-state cost cap would operate to mitigate against excessive prices since in-state RNG prices may be significantly higher than the </w:t>
      </w:r>
      <w:r>
        <w:lastRenderedPageBreak/>
        <w:t>out-of-state RNG prices.</w:t>
      </w:r>
      <w:r>
        <w:rPr>
          <w:rStyle w:val="FootnoteReference"/>
        </w:rPr>
        <w:footnoteReference w:id="35"/>
      </w:r>
      <w:r>
        <w:t xml:space="preserve">  With this in mind, we therefore determine that it is reasonable to set a procurement requirement that at least 50 percent of the RNG eligible sources must meet the eligibility criteria under Pub. Util. Code Section 651(b)(3)(B), instead of a requirement of full compliance with all provisions introduced by SB 1440.  This will provide the right balance between SB 1440 alignment and reducing RNG costs.  We also require that n</w:t>
      </w:r>
      <w:r w:rsidRPr="000B7051">
        <w:t xml:space="preserve">o </w:t>
      </w:r>
      <w:r>
        <w:t xml:space="preserve">RNG </w:t>
      </w:r>
      <w:r w:rsidRPr="000B7051">
        <w:t>sources outside of the United State</w:t>
      </w:r>
      <w:r>
        <w:t>s</w:t>
      </w:r>
      <w:r w:rsidRPr="000B7051">
        <w:t xml:space="preserve"> that have not already been </w:t>
      </w:r>
      <w:r>
        <w:t>delivering RNG through</w:t>
      </w:r>
      <w:r w:rsidRPr="000B7051">
        <w:t xml:space="preserve"> </w:t>
      </w:r>
      <w:r>
        <w:t xml:space="preserve">a </w:t>
      </w:r>
      <w:r w:rsidRPr="00D4501B">
        <w:t>common carrier pipeline</w:t>
      </w:r>
      <w:r>
        <w:t xml:space="preserve"> in the United States will </w:t>
      </w:r>
      <w:r w:rsidRPr="000B7051">
        <w:t>be allowed.</w:t>
      </w:r>
      <w:r>
        <w:t xml:space="preserve">  This is consistent with Settlement Agreement’s goal, with which we agree, to accelerate RNG development nationally.</w:t>
      </w:r>
    </w:p>
    <w:p w:rsidR="001C4A46" w:rsidP="001C4A46" w:rsidRDefault="001C4A46" w14:paraId="24FFE1E0" w14:textId="77777777">
      <w:pPr>
        <w:pStyle w:val="Heading4"/>
        <w:numPr>
          <w:ilvl w:val="3"/>
          <w:numId w:val="1"/>
        </w:numPr>
      </w:pPr>
      <w:bookmarkStart w:name="_Toc57188135" w:id="28"/>
      <w:r>
        <w:t>Additionality</w:t>
      </w:r>
      <w:bookmarkEnd w:id="28"/>
    </w:p>
    <w:p w:rsidR="001C4A46" w:rsidP="001C4A46" w:rsidRDefault="001C4A46" w14:paraId="07890441" w14:textId="0B340494">
      <w:pPr>
        <w:pStyle w:val="Standard"/>
      </w:pPr>
      <w:r>
        <w:t>Another issue raised by the non-settling parties is that the proposed program under the Settlement Agreement does not ensure additional GHG or SLCP emissions reductions in California.  They argue that the Settlement Agreement does not comply with the additionality requirement for biomethane used to generate electricity under the RPS program pursuant to Pub. Util. Code Section 399.12.6, nor does it comply with other California laws governing biomethane, such as SB 1440.</w:t>
      </w:r>
      <w:r>
        <w:rPr>
          <w:rStyle w:val="FootnoteReference"/>
        </w:rPr>
        <w:footnoteReference w:id="36"/>
      </w:r>
      <w:r>
        <w:t xml:space="preserve">  TURN and LC/SC argue that the Cap-and-Trade </w:t>
      </w:r>
      <w:r>
        <w:lastRenderedPageBreak/>
        <w:t>Regulation requirements are not sufficient to demonstrate additionality of supply.</w:t>
      </w:r>
      <w:r>
        <w:rPr>
          <w:rStyle w:val="FootnoteReference"/>
        </w:rPr>
        <w:footnoteReference w:id="37"/>
      </w:r>
      <w:r>
        <w:t xml:space="preserve"> </w:t>
      </w:r>
    </w:p>
    <w:p w:rsidRPr="00792565" w:rsidR="001C4A46" w:rsidP="001C4A46" w:rsidRDefault="001C4A46" w14:paraId="2E74D5BB" w14:textId="527482E3">
      <w:pPr>
        <w:pStyle w:val="Standard"/>
      </w:pPr>
      <w:r>
        <w:t xml:space="preserve">We agree with the non-settling parties that it is desirable to have a consistent policy on additionality requirements for the biomethane procurement for all RPS and RNG programs.  However, as TURN points out, SB 1440 requirements, current Cap-and-Trade Regulation requirements, and RPS statutory requirements have different RNG eligibility standards.  SB 1440 and the Cap-and-Trade Regulation do not have an additionality requirement for in-state </w:t>
      </w:r>
      <w:r w:rsidR="00C44254">
        <w:t>resources</w:t>
      </w:r>
      <w:r>
        <w:t>, whereas the RPS program and the GTSR program do.  TURN is concerned that the scope of the proceeding related to SB 1440 (Phase 4 of Rulemaking (R.) 13-02-008) does not include policy guidance for a voluntary RNG Tariff program, nor does the Settlement Agreement provide a roadmap for consideration of different eligibility standards.</w:t>
      </w:r>
      <w:r>
        <w:rPr>
          <w:rStyle w:val="FootnoteReference"/>
        </w:rPr>
        <w:footnoteReference w:id="38"/>
      </w:r>
      <w:r>
        <w:t xml:space="preserve">  TURN urges the Commission to address the issue here.  </w:t>
      </w:r>
    </w:p>
    <w:p w:rsidRPr="00792565" w:rsidR="001C4A46" w:rsidP="001C4A46" w:rsidRDefault="001C4A46" w14:paraId="53382F8A" w14:textId="77777777">
      <w:pPr>
        <w:pStyle w:val="Standard"/>
      </w:pPr>
      <w:r>
        <w:t xml:space="preserve">We give this issue serious consideration but decline to set the additionality requirement for in-state RNG supplies as proposed by the non-settling parties because it is not required by either SB 1440 or the Cap-and-Trade Regulation.  We will not force a uniform additionality requirement between the RPS and RNG programs given different underlying legislation, different current implementation, and the need for a better understanding of the advantages and disadvantages of a uniform requirement.  </w:t>
      </w:r>
    </w:p>
    <w:p w:rsidRPr="00792565" w:rsidR="001C4A46" w:rsidP="001C4A46" w:rsidRDefault="001C4A46" w14:paraId="2D849B59" w14:textId="5ACE0D5D">
      <w:pPr>
        <w:pStyle w:val="Standard"/>
      </w:pPr>
      <w:r>
        <w:lastRenderedPageBreak/>
        <w:t>In addition, it is important to fully utilize existing in-state RNG supplies.  At the time the Application was filed, there were only three in-state pipeline-injected RNG producers in operation.</w:t>
      </w:r>
      <w:r>
        <w:rPr>
          <w:rStyle w:val="FootnoteReference"/>
        </w:rPr>
        <w:footnoteReference w:id="39"/>
      </w:r>
      <w:r>
        <w:t xml:space="preserve">  Today, there are nine production facilities in operation, four under construction, and 14 in substantial development.</w:t>
      </w:r>
      <w:r>
        <w:rPr>
          <w:rStyle w:val="FootnoteReference"/>
        </w:rPr>
        <w:footnoteReference w:id="40"/>
      </w:r>
      <w:r>
        <w:t xml:space="preserve">  There are more in-state RNG supplies than the </w:t>
      </w:r>
      <w:r w:rsidRPr="00A07B20">
        <w:t>Utilities</w:t>
      </w:r>
      <w:r>
        <w:t xml:space="preserve"> originally projected.  We should ensure that RNG procured from newly </w:t>
      </w:r>
      <w:r w:rsidRPr="00A07B20">
        <w:t>operation</w:t>
      </w:r>
      <w:r>
        <w:t>al</w:t>
      </w:r>
      <w:r w:rsidRPr="00A07B20">
        <w:t xml:space="preserve"> and </w:t>
      </w:r>
      <w:r>
        <w:t xml:space="preserve">soon-to-be </w:t>
      </w:r>
      <w:r w:rsidRPr="00A07B20">
        <w:t>operation</w:t>
      </w:r>
      <w:r>
        <w:t xml:space="preserve">al RNG production facilities will be fully utilized and not abandoned. </w:t>
      </w:r>
      <w:r w:rsidRPr="00A07B20">
        <w:t xml:space="preserve"> </w:t>
      </w:r>
      <w:r>
        <w:t>When landfill gas is injected into the utility gas pipeline system, it results in carbon dioxide emissions only from the end-use customer’ use of that RNG, thus providing two benefits</w:t>
      </w:r>
      <w:proofErr w:type="gramStart"/>
      <w:r>
        <w:t>:  (</w:t>
      </w:r>
      <w:proofErr w:type="gramEnd"/>
      <w:r>
        <w:t>1) eliminating the carbon dioxide emissions associated with flaring while (2) displacing the fossil gas that would otherwise result in carbon dioxide emissions from the end-use customer’s use (i.e., reducing two sources of GHG emissions to one).</w:t>
      </w:r>
      <w:r>
        <w:rPr>
          <w:rStyle w:val="FootnoteReference"/>
        </w:rPr>
        <w:footnoteReference w:id="41"/>
      </w:r>
    </w:p>
    <w:p w:rsidR="001C4A46" w:rsidP="001C4A46" w:rsidRDefault="001C4A46" w14:paraId="5348737B" w14:textId="77777777">
      <w:pPr>
        <w:pStyle w:val="Heading3"/>
      </w:pPr>
      <w:bookmarkStart w:name="_Toc57188136" w:id="29"/>
      <w:r>
        <w:t>Long-Term Contracts</w:t>
      </w:r>
      <w:bookmarkEnd w:id="29"/>
    </w:p>
    <w:p w:rsidR="001C4A46" w:rsidP="001C4A46" w:rsidRDefault="001C4A46" w14:paraId="1D8320D5" w14:textId="6762B481">
      <w:pPr>
        <w:pStyle w:val="Standard"/>
      </w:pPr>
      <w:r>
        <w:t>This decision does not impose a procurement requirement for long-term contacts (</w:t>
      </w:r>
      <w:r w:rsidRPr="000613C9">
        <w:rPr>
          <w:i/>
          <w:iCs/>
        </w:rPr>
        <w:t>i.e.</w:t>
      </w:r>
      <w:r w:rsidRPr="00260EF8" w:rsidR="00260EF8">
        <w:t>,</w:t>
      </w:r>
      <w:r w:rsidRPr="00260EF8">
        <w:t xml:space="preserve"> </w:t>
      </w:r>
      <w:r>
        <w:t>longer than the pilot program duration</w:t>
      </w:r>
      <w:r>
        <w:rPr>
          <w:rStyle w:val="FootnoteReference"/>
        </w:rPr>
        <w:footnoteReference w:id="42"/>
      </w:r>
      <w:r>
        <w:t xml:space="preserve">), as </w:t>
      </w:r>
      <w:r w:rsidDel="006663CE">
        <w:t xml:space="preserve">requested </w:t>
      </w:r>
      <w:r>
        <w:t>by non</w:t>
      </w:r>
      <w:r>
        <w:noBreakHyphen/>
        <w:t xml:space="preserve">settling parties.  In support of longer contracts they argue that, if the pilot is not extended, these contracts could be used as a backstop for meeting the Utilities’ future RNG obligations when SB 1440 is implemented. </w:t>
      </w:r>
      <w:r w:rsidDel="004F7C49">
        <w:t xml:space="preserve"> </w:t>
      </w:r>
      <w:r>
        <w:t xml:space="preserve">However, procurement obligations with contract durations longer than the pilot program </w:t>
      </w:r>
      <w:r>
        <w:lastRenderedPageBreak/>
        <w:t xml:space="preserve">duration may increase the wind down </w:t>
      </w:r>
      <w:r w:rsidDel="006663CE">
        <w:t xml:space="preserve">costs </w:t>
      </w:r>
      <w:r>
        <w:t>because, for the reasons explained below, we decline to allow the wind down costs for the RNG Tariff program to be passed on to the Utilities’ customers.  We find that these costs are the Utilities’ shareholders’ responsibilit</w:t>
      </w:r>
      <w:r w:rsidR="00C44254">
        <w:t>y</w:t>
      </w:r>
      <w:r>
        <w:t>.  Therefore, the contract term should be at the Utilities’ discretion.  We reach this conclusion as follows.</w:t>
      </w:r>
    </w:p>
    <w:p w:rsidR="001C4A46" w:rsidP="001C4A46" w:rsidRDefault="001C4A46" w14:paraId="4A8F5B7A" w14:textId="77777777">
      <w:pPr>
        <w:pStyle w:val="Standard"/>
      </w:pPr>
      <w:r>
        <w:t>TURN and CUE argue that the development of new production capacity requires long-term offtake commitments to attract financing for project development.  They allege that long-term contracts not only are required for the RPS program under Pub. Util. Code Section 399.11, but also are a key to true additionality and meeting SB 1440 obligations.  TURN and CUE contend that the Settlement Agreement does not include any provisions for long-term contracts.</w:t>
      </w:r>
      <w:r>
        <w:rPr>
          <w:rStyle w:val="FootnoteReference"/>
        </w:rPr>
        <w:footnoteReference w:id="43"/>
      </w:r>
      <w:r>
        <w:t xml:space="preserve"> </w:t>
      </w:r>
    </w:p>
    <w:p w:rsidR="001C4A46" w:rsidP="001C4A46" w:rsidRDefault="001C4A46" w14:paraId="78B537D3" w14:textId="77777777">
      <w:pPr>
        <w:pStyle w:val="Standard"/>
      </w:pPr>
      <w:r>
        <w:t xml:space="preserve">The Utilities respond that they generally support the concept of long-term contracts.  However, they allege that the pilot nature makes long-term contracts a challenge.  In addition, the Utilities argue that until the Commission adopts an RNG standard, suppliers would likely be reluctant to </w:t>
      </w:r>
      <w:proofErr w:type="gramStart"/>
      <w:r>
        <w:t>enter into</w:t>
      </w:r>
      <w:proofErr w:type="gramEnd"/>
      <w:r>
        <w:t xml:space="preserve"> contracts that are dependent on uncertain Commission action.  They assert that such a requirement would put the pilot program in limbo.</w:t>
      </w:r>
      <w:r>
        <w:rPr>
          <w:rStyle w:val="FootnoteReference"/>
        </w:rPr>
        <w:footnoteReference w:id="44"/>
      </w:r>
    </w:p>
    <w:p w:rsidRPr="00EE20C6" w:rsidR="001C4A46" w:rsidP="001C4A46" w:rsidRDefault="001C4A46" w14:paraId="5B2B980E" w14:textId="760DEFE5">
      <w:pPr>
        <w:pStyle w:val="Standard"/>
      </w:pPr>
      <w:r>
        <w:t>We agree with the non-settling parties that short-term RNG contracts with a duration less than the pilot period may not offer the same opportunities for investment and development of additional RNG facilities that long-term contracts provide.</w:t>
      </w:r>
      <w:r>
        <w:rPr>
          <w:rStyle w:val="FootnoteReference"/>
        </w:rPr>
        <w:footnoteReference w:id="45"/>
      </w:r>
      <w:r>
        <w:t xml:space="preserve">  However, we </w:t>
      </w:r>
      <w:r w:rsidDel="002F4BCC">
        <w:t xml:space="preserve">disagree that </w:t>
      </w:r>
      <w:r>
        <w:t xml:space="preserve">the Utilities </w:t>
      </w:r>
      <w:r w:rsidDel="002F4BCC">
        <w:t xml:space="preserve">should be required </w:t>
      </w:r>
      <w:r>
        <w:lastRenderedPageBreak/>
        <w:t xml:space="preserve">to </w:t>
      </w:r>
      <w:proofErr w:type="gramStart"/>
      <w:r>
        <w:t>enter into</w:t>
      </w:r>
      <w:proofErr w:type="gramEnd"/>
      <w:r>
        <w:t xml:space="preserve"> long-term contracts for the voluntary pilot program.  We </w:t>
      </w:r>
      <w:r w:rsidDel="002F4BCC">
        <w:t xml:space="preserve">agree with </w:t>
      </w:r>
      <w:r>
        <w:t>the Utilities that such a requirement may reduce opportunities for the program’s success.  We clarify that, while the adopted pilot program does not require long</w:t>
      </w:r>
      <w:r w:rsidR="00356C92">
        <w:noBreakHyphen/>
      </w:r>
      <w:r>
        <w:t xml:space="preserve">term contracts, the Utilities are not prohibited from </w:t>
      </w:r>
      <w:proofErr w:type="gramStart"/>
      <w:r>
        <w:t>entering into</w:t>
      </w:r>
      <w:proofErr w:type="gramEnd"/>
      <w:r>
        <w:t xml:space="preserve"> long</w:t>
      </w:r>
      <w:r w:rsidR="00356C92">
        <w:noBreakHyphen/>
      </w:r>
      <w:r>
        <w:t>term RNG contracts.  Rather</w:t>
      </w:r>
      <w:r w:rsidR="007814C8">
        <w:t>,</w:t>
      </w:r>
      <w:r>
        <w:t xml:space="preserve"> the contract term should be left to the Utilities’ business decision.  However, the Utilities shall be mindful that if the pilot program is terminated, any stranded costs of RNG procured under long-term contracts that cannot be recovered from the </w:t>
      </w:r>
      <w:r w:rsidR="0067054B">
        <w:t>pilot</w:t>
      </w:r>
      <w:r w:rsidR="008E4485">
        <w:t xml:space="preserve"> </w:t>
      </w:r>
      <w:r w:rsidR="00F011AE">
        <w:t xml:space="preserve">program </w:t>
      </w:r>
      <w:r>
        <w:t xml:space="preserve">participants shall not be passed onto customers.  These costs should be the Utilities’ shareholders’ responsibility </w:t>
      </w:r>
      <w:bookmarkStart w:name="_Hlk57644378" w:id="30"/>
      <w:r>
        <w:t>unless a subsequent Commission decision expressly authorizes cost recovery from customers.</w:t>
      </w:r>
      <w:bookmarkEnd w:id="30"/>
      <w:r>
        <w:t xml:space="preserve">  “Stranded </w:t>
      </w:r>
      <w:r w:rsidR="00496A91">
        <w:t xml:space="preserve">procurement </w:t>
      </w:r>
      <w:r>
        <w:t>costs</w:t>
      </w:r>
      <w:r w:rsidR="00440C26">
        <w:t>”</w:t>
      </w:r>
      <w:r>
        <w:t xml:space="preserve"> are </w:t>
      </w:r>
      <w:r w:rsidR="008E4485">
        <w:t>any</w:t>
      </w:r>
      <w:r>
        <w:t xml:space="preserve"> excess costs incurred for gas procured (beyond the pilot program duration) because it is RNG, rather than regular fossil-based natural gas</w:t>
      </w:r>
      <w:r w:rsidR="00E30294">
        <w:t>,</w:t>
      </w:r>
      <w:r w:rsidR="00496A91">
        <w:t xml:space="preserve"> and could also include costs of excess RNG during the pilot duration that exceeds amounts needed for participants.  Likewise, these costs are the Utilities’ shareholders’ responsibility unless a subsequent Commission decision expressly authorizes cost recovery from customers</w:t>
      </w:r>
      <w:r>
        <w:t>.</w:t>
      </w:r>
    </w:p>
    <w:p w:rsidR="001C4A46" w:rsidP="001C4A46" w:rsidRDefault="001C4A46" w14:paraId="32753B69" w14:textId="561A9136">
      <w:pPr>
        <w:pStyle w:val="Standard"/>
      </w:pPr>
      <w:r>
        <w:t xml:space="preserve">However, we recognize that long-term contracts could be beneficial for the voluntary pilot program.  Accordingly, we will provide more time for the Utilities to decide whether to implement the RNG Tariff program, and to submit the program implementation details.  </w:t>
      </w:r>
      <w:r w:rsidR="00F011AE">
        <w:t>Each of the</w:t>
      </w:r>
      <w:r>
        <w:t xml:space="preserve"> Utilities shall submit </w:t>
      </w:r>
      <w:r w:rsidR="006533CB">
        <w:t xml:space="preserve">and serve a </w:t>
      </w:r>
      <w:r w:rsidR="00F011AE">
        <w:t>Tier 1 AL</w:t>
      </w:r>
      <w:r>
        <w:t xml:space="preserve"> indicating whether they will implement the tariff within six months of the date of this decision, and submit the program implementation advice letter</w:t>
      </w:r>
      <w:r w:rsidR="00B57E4E">
        <w:t>s</w:t>
      </w:r>
      <w:r>
        <w:t xml:space="preserve">, if applicable, within 12 months of submittal of the first advice letter.  This additional time allows the Utilities to evaluate whether there are opportunities </w:t>
      </w:r>
      <w:r>
        <w:lastRenderedPageBreak/>
        <w:t>for long-term contracting for the pilot program in conjunction with any procurement that might be authorized in the proceeding implementing SB 1440</w:t>
      </w:r>
      <w:r w:rsidRPr="00C73131">
        <w:t xml:space="preserve">.  It also provides more time for establishment of new biomethane production facilities before biomethane supplies are needed for RNG Tariff </w:t>
      </w:r>
      <w:r>
        <w:t xml:space="preserve">program </w:t>
      </w:r>
      <w:r w:rsidRPr="00C73131">
        <w:t>participants.</w:t>
      </w:r>
    </w:p>
    <w:p w:rsidR="001C4A46" w:rsidP="001C4A46" w:rsidRDefault="001C4A46" w14:paraId="5674FB51" w14:textId="77777777">
      <w:pPr>
        <w:pStyle w:val="Heading2"/>
      </w:pPr>
      <w:bookmarkStart w:name="_Toc57188137" w:id="31"/>
      <w:r>
        <w:t>Verification</w:t>
      </w:r>
      <w:bookmarkEnd w:id="31"/>
      <w:r>
        <w:t xml:space="preserve"> </w:t>
      </w:r>
    </w:p>
    <w:p w:rsidR="001C4A46" w:rsidP="001C4A46" w:rsidRDefault="001C4A46" w14:paraId="60DA39E6" w14:textId="257586B0">
      <w:pPr>
        <w:pStyle w:val="Standard"/>
      </w:pPr>
      <w:r w:rsidRPr="0031163E">
        <w:t xml:space="preserve">In this decision, we find that </w:t>
      </w:r>
      <w:r>
        <w:t xml:space="preserve">developing </w:t>
      </w:r>
      <w:r w:rsidRPr="0031163E">
        <w:t xml:space="preserve">a modified </w:t>
      </w:r>
      <w:r>
        <w:t>methodology</w:t>
      </w:r>
      <w:r w:rsidRPr="0031163E">
        <w:t xml:space="preserve"> based on the GREET </w:t>
      </w:r>
      <w:r>
        <w:t xml:space="preserve">model used </w:t>
      </w:r>
      <w:r w:rsidRPr="0031163E">
        <w:t>for the LCFS program</w:t>
      </w:r>
      <w:r>
        <w:t xml:space="preserve"> </w:t>
      </w:r>
      <w:r w:rsidRPr="0031163E">
        <w:t xml:space="preserve">is </w:t>
      </w:r>
      <w:r>
        <w:t xml:space="preserve">a </w:t>
      </w:r>
      <w:r w:rsidRPr="0031163E">
        <w:t xml:space="preserve">reasonable </w:t>
      </w:r>
      <w:r>
        <w:t xml:space="preserve">approach </w:t>
      </w:r>
      <w:r w:rsidRPr="0031163E">
        <w:t>to calculate carbon intensity of eligible RNG sources.</w:t>
      </w:r>
      <w:r>
        <w:t xml:space="preserve">  </w:t>
      </w:r>
      <w:r w:rsidRPr="0031163E">
        <w:t xml:space="preserve">We also find that using a third-party to verify the compliance of </w:t>
      </w:r>
      <w:r>
        <w:t xml:space="preserve">the </w:t>
      </w:r>
      <w:r w:rsidRPr="0031163E">
        <w:t xml:space="preserve">purchased RNG supplies with </w:t>
      </w:r>
      <w:r>
        <w:t>Pub.</w:t>
      </w:r>
      <w:r w:rsidR="00650FA4">
        <w:t> </w:t>
      </w:r>
      <w:r>
        <w:t>Util.</w:t>
      </w:r>
      <w:r w:rsidR="00650FA4">
        <w:t> </w:t>
      </w:r>
      <w:r>
        <w:t>Code</w:t>
      </w:r>
      <w:r w:rsidR="00650FA4">
        <w:t> </w:t>
      </w:r>
      <w:r>
        <w:t xml:space="preserve">Section 651(b)(3)(B) and out-of-state RNG supplies with </w:t>
      </w:r>
      <w:r w:rsidRPr="0031163E">
        <w:t xml:space="preserve">MRR and </w:t>
      </w:r>
      <w:r>
        <w:t xml:space="preserve">California’s </w:t>
      </w:r>
      <w:r w:rsidRPr="0031163E">
        <w:t>Cap-and-Trade Regulation</w:t>
      </w:r>
      <w:r>
        <w:t xml:space="preserve"> </w:t>
      </w:r>
      <w:r w:rsidRPr="0031163E">
        <w:t>is reasonable.</w:t>
      </w:r>
      <w:r>
        <w:t xml:space="preserve">  Our reasoning is as follows.</w:t>
      </w:r>
    </w:p>
    <w:p w:rsidR="001C4A46" w:rsidP="001C4A46" w:rsidRDefault="001C4A46" w14:paraId="2EEC26D7" w14:textId="77777777">
      <w:pPr>
        <w:pStyle w:val="Standard"/>
      </w:pPr>
      <w:r>
        <w:t>Wild Tree raises concerns that use of the GREET methodology for the LCFS program to measure carbon intensity for pipeline injected RNG is inappropriate because its baseline calculation uses current transportation fuel regulations for vehicle GHG emissions.  Wild Tree argues that the GREET methodology does not have an equivalent baseline metric for pipeline RNG end uses by commercial and residential customers.</w:t>
      </w:r>
      <w:r>
        <w:rPr>
          <w:rStyle w:val="FootnoteReference"/>
        </w:rPr>
        <w:footnoteReference w:id="46"/>
      </w:r>
      <w:r w:rsidRPr="0031163E">
        <w:t xml:space="preserve"> </w:t>
      </w:r>
      <w:r>
        <w:t xml:space="preserve"> </w:t>
      </w:r>
    </w:p>
    <w:p w:rsidR="001C4A46" w:rsidP="001C4A46" w:rsidRDefault="001C4A46" w14:paraId="349ACA5E" w14:textId="77777777">
      <w:pPr>
        <w:pStyle w:val="Standard"/>
      </w:pPr>
      <w:r>
        <w:t>We agree with Wild Tree that the GREET methodology is not designed to measure carbon intensity of pipeline injected RNG.  However, we believe that the GREET methodology can be modified for the purpose of the RNG pilot program</w:t>
      </w:r>
      <w:r w:rsidDel="007B4933">
        <w:t xml:space="preserve">, which should </w:t>
      </w:r>
      <w:r>
        <w:t xml:space="preserve">include a carbon intensity baseline focused on fossil natural gas for specific RNG sources.  It should also include the energy inputs </w:t>
      </w:r>
      <w:r>
        <w:lastRenderedPageBreak/>
        <w:t>required for upgrading biogas for pipeline injection.  We are unable to adopt a specific methodology here, however, due to the lack of record on necessary GREET methodology modifications.  Rather, we direct the Utilities</w:t>
      </w:r>
      <w:r w:rsidRPr="00B30E31">
        <w:t xml:space="preserve"> </w:t>
      </w:r>
      <w:r>
        <w:t>to</w:t>
      </w:r>
      <w:r w:rsidRPr="001455F7">
        <w:t xml:space="preserve"> work with stakeholders</w:t>
      </w:r>
      <w:r>
        <w:t>,</w:t>
      </w:r>
      <w:r w:rsidRPr="001455F7">
        <w:t xml:space="preserve"> including the Commission’s Energy Division staff, </w:t>
      </w:r>
      <w:r>
        <w:t>CARB</w:t>
      </w:r>
      <w:r w:rsidRPr="001455F7">
        <w:t xml:space="preserve">, and parties in this proceeding, to develop </w:t>
      </w:r>
      <w:r>
        <w:t>a</w:t>
      </w:r>
      <w:r w:rsidRPr="001455F7">
        <w:t xml:space="preserve"> modified </w:t>
      </w:r>
      <w:r>
        <w:t>GREET methodology</w:t>
      </w:r>
      <w:r w:rsidRPr="001455F7">
        <w:t xml:space="preserve"> to calculate RNG carbon intensity.</w:t>
      </w:r>
    </w:p>
    <w:p w:rsidR="001C4A46" w:rsidP="001C4A46" w:rsidRDefault="001C4A46" w14:paraId="31523DD5" w14:textId="43D0171C">
      <w:pPr>
        <w:pStyle w:val="Standard"/>
      </w:pPr>
      <w:r>
        <w:t>Wild Tree further argues that there is currently no reliable, independent, third party-administered verification system.  Wild Tree asserts that the Utilities do not indicate that they will use the Midwest Renewable Energy Tracking System(M-RETS), and the certification aligned with that system soon to be offered by Green-E.</w:t>
      </w:r>
      <w:r>
        <w:rPr>
          <w:rStyle w:val="FootnoteReference"/>
        </w:rPr>
        <w:footnoteReference w:id="47"/>
      </w:r>
      <w:r>
        <w:t xml:space="preserve">  Wild Tree argues, however, that even if the Utilities use M</w:t>
      </w:r>
      <w:r w:rsidR="00377E74">
        <w:noBreakHyphen/>
      </w:r>
      <w:r>
        <w:t>RETS, California does not participate in this system for compliance markets and it will therefore neither determine compliance nor verification for the voluntary RNG Tariff program.  Wild Tree is skeptical whether the Green-E system can provide credible tracking and Green-E’s developer, the Center for Resource Solutions, can provide independent verification because the Utilities are the members and sponsors of this organization’s Green-E Renewable Fuel working group.</w:t>
      </w:r>
      <w:r>
        <w:rPr>
          <w:rStyle w:val="FootnoteReference"/>
        </w:rPr>
        <w:footnoteReference w:id="48"/>
      </w:r>
      <w:r>
        <w:t xml:space="preserve"> </w:t>
      </w:r>
    </w:p>
    <w:p w:rsidR="001C4A46" w:rsidP="001C4A46" w:rsidRDefault="001C4A46" w14:paraId="3B1AEB5F" w14:textId="77777777">
      <w:pPr>
        <w:pStyle w:val="Standard"/>
      </w:pPr>
      <w:r>
        <w:t xml:space="preserve">In response, the Utilities argue that the Settlement Agreement includes several mechanisms to ensure that the procured RNG is appropriately verified.  The Utilities assert that these include using a CARB-approved verifier, PAG </w:t>
      </w:r>
      <w:r>
        <w:lastRenderedPageBreak/>
        <w:t>review, contractual obligations, and built-in provisions allowing for evolving verification procedures.</w:t>
      </w:r>
      <w:r>
        <w:rPr>
          <w:rStyle w:val="FootnoteReference"/>
        </w:rPr>
        <w:footnoteReference w:id="49"/>
      </w:r>
    </w:p>
    <w:p w:rsidR="009325EB" w:rsidP="009325EB" w:rsidRDefault="009325EB" w14:paraId="3FD6F819" w14:textId="43D12275">
      <w:pPr>
        <w:pStyle w:val="Standard"/>
      </w:pPr>
      <w:bookmarkStart w:name="_Toc57188138" w:id="32"/>
      <w:r>
        <w:t>We agree with the Utilities that the multiple verification options identified in the Settlement Agreement are reasonable, with some additions.  Moreover, verification of the compliance of out-of-State RNG supplies with CARB’s MRR and Cap-and-Trade Regulation is required by 17 CCR Section 95852.1.1.  We share Wild Tree’s concern, however, with respect to the lack of verification for in-state RNG supplies because that verification is not required under Pub. Util. Code Section 651(b)(3)(B) and 17 CCR Section 95852.2.  We resolve this issue in the following way.  Given the pilot nature of this program, the Utilities, in consultation with the PAG, should also use a third-party verifier for compliance review and verification of the minimum 50 percent of RNG supplies that must meet the criteria set forth in Pub. Util. Code Section 651(b)(3)(B).  An eligible RNG source is required to demonstrate compliance with Pub. Util. Code Section 651(b)(3)(B)(i) and one of the listed impacts under Pub. Util. Code Section 651(b)(3)(B)(ii).  In addition, a third</w:t>
      </w:r>
      <w:r w:rsidR="007C03F8">
        <w:t>-</w:t>
      </w:r>
      <w:r>
        <w:t>party verifier must c</w:t>
      </w:r>
      <w:r w:rsidRPr="0077360D">
        <w:rPr>
          <w:rFonts w:cs="TimesNewRomanPSMT"/>
        </w:rPr>
        <w:t xml:space="preserve">onfirm that volumes of RNG procured to meet program demand </w:t>
      </w:r>
      <w:r>
        <w:rPr>
          <w:rFonts w:cs="TimesNewRomanPSMT"/>
        </w:rPr>
        <w:t>were</w:t>
      </w:r>
      <w:r w:rsidRPr="0077360D">
        <w:rPr>
          <w:rFonts w:cs="TimesNewRomanPSMT"/>
        </w:rPr>
        <w:t xml:space="preserve"> delivered by contracted facilities and the environmental attributes of the RNG were</w:t>
      </w:r>
      <w:r>
        <w:rPr>
          <w:rFonts w:cs="TimesNewRomanPSMT"/>
        </w:rPr>
        <w:t xml:space="preserve"> </w:t>
      </w:r>
      <w:r w:rsidRPr="0077360D">
        <w:rPr>
          <w:rFonts w:cs="TimesNewRomanPSMT"/>
        </w:rPr>
        <w:t xml:space="preserve">not sold, transferred, </w:t>
      </w:r>
      <w:r>
        <w:rPr>
          <w:rFonts w:cs="TimesNewRomanPSMT"/>
        </w:rPr>
        <w:t xml:space="preserve">claimed, </w:t>
      </w:r>
      <w:r w:rsidRPr="0077360D">
        <w:rPr>
          <w:rFonts w:cs="TimesNewRomanPSMT"/>
        </w:rPr>
        <w:t>or used by the generating facility or other entity</w:t>
      </w:r>
      <w:r>
        <w:rPr>
          <w:rFonts w:cs="TimesNewRomanPSMT"/>
        </w:rPr>
        <w:t xml:space="preserve">.  The Utilities shall submit and serve annual Tier 2 ALs to report to the Commission the third-party verification results </w:t>
      </w:r>
      <w:r>
        <w:t>within 45 days of each one-year anniversary from the program initiation date during the program duration</w:t>
      </w:r>
      <w:r>
        <w:rPr>
          <w:rFonts w:cs="TimesNewRomanPSMT"/>
        </w:rPr>
        <w:t xml:space="preserve">.  </w:t>
      </w:r>
      <w:r>
        <w:t xml:space="preserve">The PAG should monitor the compliance status and make appropriate recommendations.  The Utilities should report the status of the implementation of the PAG’s </w:t>
      </w:r>
      <w:r>
        <w:lastRenderedPageBreak/>
        <w:t>recommendations.  The PAG is opened to interested non-market participants, and we encourage Wild Tree to join PAG or participate in PAG meetings.</w:t>
      </w:r>
    </w:p>
    <w:p w:rsidR="001C4A46" w:rsidP="001C4A46" w:rsidRDefault="001C4A46" w14:paraId="152D3700" w14:textId="77777777">
      <w:pPr>
        <w:pStyle w:val="Heading2"/>
      </w:pPr>
      <w:r>
        <w:t>Program Costs and Recovery</w:t>
      </w:r>
      <w:bookmarkEnd w:id="32"/>
      <w:r>
        <w:t xml:space="preserve"> </w:t>
      </w:r>
    </w:p>
    <w:p w:rsidR="001C4A46" w:rsidP="001C4A46" w:rsidRDefault="001C4A46" w14:paraId="02A3BAFE" w14:textId="77777777">
      <w:pPr>
        <w:pStyle w:val="Heading3"/>
      </w:pPr>
      <w:bookmarkStart w:name="_Toc57188139" w:id="33"/>
      <w:r>
        <w:t>IT Cost Recovery</w:t>
      </w:r>
      <w:bookmarkEnd w:id="33"/>
    </w:p>
    <w:p w:rsidR="001C4A46" w:rsidP="001C4A46" w:rsidRDefault="001C4A46" w14:paraId="5E495A65" w14:textId="77777777">
      <w:pPr>
        <w:pStyle w:val="Standard"/>
      </w:pPr>
      <w:r>
        <w:t xml:space="preserve">In this decision, we determine that the Utilities should use the unspent capital budgets authorized for their extended Test Year 2019 GRC cycles rather than seek recovery in future GRCs.  We reach this conclusion as follows.  </w:t>
      </w:r>
    </w:p>
    <w:p w:rsidR="001C4A46" w:rsidP="001C4A46" w:rsidRDefault="001C4A46" w14:paraId="3F1DB068" w14:textId="0F215889">
      <w:pPr>
        <w:pStyle w:val="Standard"/>
      </w:pPr>
      <w:r>
        <w:t xml:space="preserve">In the Application, SoCalGas requests funding for $785,000 of its estimated IT costs via the unused capital budget from its Test Year 2019 GRC cycle.  SDG&amp;E requests authority to include its IT costs in its next GRC.  </w:t>
      </w:r>
      <w:r w:rsidDel="002F01E4">
        <w:t xml:space="preserve">Even though the </w:t>
      </w:r>
      <w:r w:rsidDel="00A9119C">
        <w:t xml:space="preserve">voluntary </w:t>
      </w:r>
      <w:r>
        <w:t>RNG Tariff program</w:t>
      </w:r>
      <w:r w:rsidDel="00A9119C">
        <w:t xml:space="preserve"> </w:t>
      </w:r>
      <w:r>
        <w:t>does not have a statutory requirement of non</w:t>
      </w:r>
      <w:r w:rsidR="00BD6B6D">
        <w:noBreakHyphen/>
      </w:r>
      <w:r>
        <w:t xml:space="preserve">participant indifference </w:t>
      </w:r>
      <w:proofErr w:type="gramStart"/>
      <w:r>
        <w:t>similar to</w:t>
      </w:r>
      <w:proofErr w:type="gramEnd"/>
      <w:r>
        <w:t xml:space="preserve"> the electric utilities’ GTSR program, from the fairness to non-participant</w:t>
      </w:r>
      <w:r w:rsidDel="002F01E4">
        <w:t xml:space="preserve"> perspective, </w:t>
      </w:r>
      <w:r>
        <w:t>the Commission should consider a consistent policy for all voluntary program cost recovery.  For example, the electric utilities’ GTSR program costs are recovered only from participating customers.  The same ratemaking principle could, and generally should, be applied here, absent reasons otherwise.</w:t>
      </w:r>
    </w:p>
    <w:p w:rsidR="001C4A46" w:rsidP="001C4A46" w:rsidRDefault="001C4A46" w14:paraId="71055CD8" w14:textId="6D2DBBB1">
      <w:pPr>
        <w:pStyle w:val="Standard"/>
      </w:pPr>
      <w:r>
        <w:t xml:space="preserve">In this decision we determine that there are sufficient reasons to deviate from the above principle, and that it is reasonable to allow SoCalGas to use its existing capital budget adopted in its current GRC for the IT-related costs.  Since that budget was already authorized, this will have no impact on SoCalGas customers’ rates, and will not be a burden on non-participants.  </w:t>
      </w:r>
    </w:p>
    <w:p w:rsidR="001C4A46" w:rsidP="001C4A46" w:rsidRDefault="001C4A46" w14:paraId="75C7CD37" w14:textId="567951A4">
      <w:pPr>
        <w:pStyle w:val="Standard"/>
      </w:pPr>
      <w:r>
        <w:t xml:space="preserve">SDG&amp;E’s IT costs have not yet been determined and SDG&amp;E proposes to request funding in its next GRC.  However, if these costs are recovered only from program participants, the increased program costs would substantially increase the RNG Tariff rate and thereby potentially decrease demand and greatly reduce </w:t>
      </w:r>
      <w:r>
        <w:lastRenderedPageBreak/>
        <w:t>the potential of achieving the program’s worthwhile goals.  As discussed earlier, SDG&amp;E estimates that its RNG rate (Commodity Charge of $1.51/</w:t>
      </w:r>
      <w:proofErr w:type="spellStart"/>
      <w:r>
        <w:t>Therm</w:t>
      </w:r>
      <w:proofErr w:type="spellEnd"/>
      <w:r>
        <w:t xml:space="preserve"> plus Program Charge of $1.42/</w:t>
      </w:r>
      <w:proofErr w:type="spellStart"/>
      <w:r>
        <w:t>Therm</w:t>
      </w:r>
      <w:proofErr w:type="spellEnd"/>
      <w:r>
        <w:t>) excluding IT costs, would be $2.93/</w:t>
      </w:r>
      <w:proofErr w:type="spellStart"/>
      <w:r>
        <w:t>Therm</w:t>
      </w:r>
      <w:proofErr w:type="spellEnd"/>
      <w:r>
        <w:t>, about eight times higher than the $.036/</w:t>
      </w:r>
      <w:proofErr w:type="spellStart"/>
      <w:r>
        <w:t>Therm</w:t>
      </w:r>
      <w:proofErr w:type="spellEnd"/>
      <w:r>
        <w:t xml:space="preserve"> of gas commodity charge that its non-RNG customers pay.  In comparison, SoCalGas’ RNG rate (also excluding IT costs) is expected to be $1.74/</w:t>
      </w:r>
      <w:proofErr w:type="spellStart"/>
      <w:r>
        <w:t>Therm</w:t>
      </w:r>
      <w:proofErr w:type="spellEnd"/>
      <w:r>
        <w:t xml:space="preserve"> (Commodity Charge of $1.51/</w:t>
      </w:r>
      <w:proofErr w:type="spellStart"/>
      <w:r>
        <w:t>Therm</w:t>
      </w:r>
      <w:proofErr w:type="spellEnd"/>
      <w:r>
        <w:t xml:space="preserve"> plus Program Charge of $0.23/</w:t>
      </w:r>
      <w:proofErr w:type="spellStart"/>
      <w:r>
        <w:t>Therm</w:t>
      </w:r>
      <w:proofErr w:type="spellEnd"/>
      <w:r>
        <w:t xml:space="preserve">).  This is largely </w:t>
      </w:r>
      <w:proofErr w:type="gramStart"/>
      <w:r>
        <w:t>due to the fact that</w:t>
      </w:r>
      <w:proofErr w:type="gramEnd"/>
      <w:r>
        <w:t xml:space="preserve"> SDG&amp;E’s program costs are fixed, but its customer base is much smaller comparing to SoCalGas.</w:t>
      </w:r>
      <w:r>
        <w:rPr>
          <w:rStyle w:val="FootnoteReference"/>
        </w:rPr>
        <w:footnoteReference w:id="50"/>
      </w:r>
      <w:r>
        <w:t xml:space="preserve">  Adding IT costs to SDG&amp;E’s Program Charge would significantly increase its RNG rate even above its already high level.  Therefore, we will consider an alternative that is parallel to that we adopt for SoCalGas.  </w:t>
      </w:r>
    </w:p>
    <w:p w:rsidR="001C4A46" w:rsidP="001C4A46" w:rsidRDefault="001C4A46" w14:paraId="0D18B5D6" w14:textId="77777777">
      <w:pPr>
        <w:pStyle w:val="Standard"/>
      </w:pPr>
      <w:r>
        <w:t>SDG&amp;E’s current GRC cycle is 2019-2021.  After the filing of this Application, the Commission issued D.20-01-002 in R.13</w:t>
      </w:r>
      <w:r>
        <w:noBreakHyphen/>
        <w:t>11</w:t>
      </w:r>
      <w:r>
        <w:noBreakHyphen/>
        <w:t>006 (the Rate Case Plan Decision), which changes SDG&amp;E’s GRC process and schedule.  D.20</w:t>
      </w:r>
      <w:r>
        <w:noBreakHyphen/>
        <w:t>01</w:t>
      </w:r>
      <w:r>
        <w:noBreakHyphen/>
        <w:t xml:space="preserve">002 extends SDG&amp;E’s Test Year 2019 GRC cycle by two additional Attrition Years (2022 and 2023) and permits SDG&amp;E to update its overall capital budget estimates and include proposed escalation factors for 2022 and 2023.  This allows SDG&amp;E to adjust its IT budget to absorb the voluntary RNG Tariff program IT costs.  Any impact on rates from these costs should be minimal because the IT costs are not a separate item in the overall capital budget.  If the IT costs turn out to exceed what is authorized as part of SDG&amp;E’s capital budget, those excess costs must be borne by SDG&amp;E’s shareholders.  This treatment is therefore consistent for both Utilities. </w:t>
      </w:r>
    </w:p>
    <w:p w:rsidRPr="00CE5F9B" w:rsidR="001C4A46" w:rsidP="001C4A46" w:rsidRDefault="001C4A46" w14:paraId="08049A27" w14:textId="073DF253">
      <w:pPr>
        <w:pStyle w:val="Standard"/>
      </w:pPr>
      <w:r w:rsidRPr="00CE5F9B">
        <w:lastRenderedPageBreak/>
        <w:t xml:space="preserve">We clarify that any unamortized IT asset balances associated with the RNG Tariff </w:t>
      </w:r>
      <w:r>
        <w:t xml:space="preserve">program </w:t>
      </w:r>
      <w:r w:rsidRPr="00CE5F9B">
        <w:t xml:space="preserve">shall not be included in the incremental rate base </w:t>
      </w:r>
      <w:r>
        <w:t xml:space="preserve">in </w:t>
      </w:r>
      <w:r w:rsidRPr="00CE5F9B">
        <w:t>the Utilities’ next GRC</w:t>
      </w:r>
      <w:r>
        <w:t>,</w:t>
      </w:r>
      <w:r w:rsidRPr="00CE5F9B">
        <w:t xml:space="preserve"> and the costs shall continue to be absorbed by any unused capital funding in their next GRC cycles.  This is to ensure </w:t>
      </w:r>
      <w:r>
        <w:t>that</w:t>
      </w:r>
      <w:r w:rsidRPr="00CE5F9B">
        <w:t xml:space="preserve"> the recovery of IT costs do</w:t>
      </w:r>
      <w:r>
        <w:t>es</w:t>
      </w:r>
      <w:r w:rsidRPr="00CE5F9B">
        <w:t xml:space="preserve"> not increase the Utilities’ customers’ rate</w:t>
      </w:r>
      <w:r>
        <w:t>s</w:t>
      </w:r>
      <w:r w:rsidRPr="00CE5F9B">
        <w:t xml:space="preserve">. </w:t>
      </w:r>
    </w:p>
    <w:p w:rsidR="001C4A46" w:rsidP="001C4A46" w:rsidRDefault="001C4A46" w14:paraId="339A819E" w14:textId="77777777">
      <w:pPr>
        <w:pStyle w:val="Heading3"/>
      </w:pPr>
      <w:bookmarkStart w:name="_Toc57188140" w:id="34"/>
      <w:r>
        <w:t>Wind Down Cost Recovery</w:t>
      </w:r>
      <w:bookmarkEnd w:id="34"/>
    </w:p>
    <w:p w:rsidR="001C4A46" w:rsidP="001C4A46" w:rsidRDefault="001C4A46" w14:paraId="496B4DC2" w14:textId="77777777">
      <w:pPr>
        <w:pStyle w:val="Standard"/>
      </w:pPr>
      <w:r>
        <w:t>This decision determines that t</w:t>
      </w:r>
      <w:r w:rsidRPr="00792565">
        <w:t>he Utilities</w:t>
      </w:r>
      <w:r>
        <w:t xml:space="preserve"> shall not request recovery in their subsequent GRCs of any</w:t>
      </w:r>
      <w:r w:rsidRPr="000B7051">
        <w:t xml:space="preserve"> wind down costs</w:t>
      </w:r>
      <w:r>
        <w:t xml:space="preserve"> not recovered from participants </w:t>
      </w:r>
      <w:proofErr w:type="gramStart"/>
      <w:r>
        <w:t>during the course of</w:t>
      </w:r>
      <w:proofErr w:type="gramEnd"/>
      <w:r>
        <w:t xml:space="preserve"> the pilot.  Such costs shall be recovered from the Utilities’ shareholders</w:t>
      </w:r>
      <w:r w:rsidRPr="000B7051">
        <w:t>.</w:t>
      </w:r>
    </w:p>
    <w:p w:rsidR="001C4A46" w:rsidP="001C4A46" w:rsidRDefault="001C4A46" w14:paraId="3492F0A1" w14:textId="77777777">
      <w:pPr>
        <w:pStyle w:val="Standard"/>
      </w:pPr>
      <w:r>
        <w:t xml:space="preserve">The Settlement Agreement leaves open whether any costs not recovered from program participants during the program (“wind down costs”) should be recovered from the Utilities’ shareholders </w:t>
      </w:r>
      <w:proofErr w:type="gramStart"/>
      <w:r>
        <w:t>in the event that</w:t>
      </w:r>
      <w:proofErr w:type="gramEnd"/>
      <w:r>
        <w:t xml:space="preserve"> the program is terminated at the end of the transition period.  The Utilities request authority to seek recovery of the wind down costs in future GRCs.  The Utilities argue that uncertainties of future events that are beyond their control (</w:t>
      </w:r>
      <w:r w:rsidRPr="009A7A5D">
        <w:rPr>
          <w:i/>
          <w:iCs/>
        </w:rPr>
        <w:t>e.g</w:t>
      </w:r>
      <w:r>
        <w:t>., changes in laws, regulations, or Commission policy) may require the program to be wound down.  As such, the Utilities state that the opportunity for future recovery of the wind down costs should not be predetermined.  The Utilities further argue that the program will not only provide public interest value, but also important and useful information on RNG and the merits of a voluntary RNG Tariff program.</w:t>
      </w:r>
      <w:r>
        <w:rPr>
          <w:rStyle w:val="FootnoteReference"/>
        </w:rPr>
        <w:footnoteReference w:id="51"/>
      </w:r>
    </w:p>
    <w:p w:rsidR="001C4A46" w:rsidP="001C4A46" w:rsidRDefault="001C4A46" w14:paraId="04263293" w14:textId="77777777">
      <w:pPr>
        <w:pStyle w:val="Standard"/>
      </w:pPr>
      <w:r>
        <w:t xml:space="preserve">Cal Advocates, TURN, LC/SC, and Wild Tree oppose the Utilities’ proposal and argue that the Commission in this proceeding should determine that wind down costs </w:t>
      </w:r>
      <w:proofErr w:type="gramStart"/>
      <w:r>
        <w:t>are</w:t>
      </w:r>
      <w:proofErr w:type="gramEnd"/>
      <w:r>
        <w:t xml:space="preserve"> the responsibly of the Utilities’ shareholders (called </w:t>
      </w:r>
      <w:r>
        <w:lastRenderedPageBreak/>
        <w:t xml:space="preserve">“shareholder backstop”).  Cal Advocates argues that the RNG Tariff program as a voluntary program is intended to be funded by participating customers who opt-in.  Cal Advocates asserts that it is the Utilities’ business decision </w:t>
      </w:r>
      <w:proofErr w:type="gramStart"/>
      <w:r>
        <w:t>whether or not</w:t>
      </w:r>
      <w:proofErr w:type="gramEnd"/>
      <w:r>
        <w:t xml:space="preserve"> to offer this program to its customers.  Cal Advocates argues that the Utilities should assume the risk that program benefits may not materialize and that the program may result in stranded costs due to its voluntary nature.  Cal Advocates believes that holding the Utilities’ shareholders responsible for stranded costs will reduce the risk of stranded costs and protect non-program participants from unreasonable exposure.  Cal Advocates also believes that shareholder responsibility for stranded costs will reduce future litigation over the reasonableness and recovery of the wind down costs. </w:t>
      </w:r>
    </w:p>
    <w:p w:rsidR="001C4A46" w:rsidP="001C4A46" w:rsidRDefault="001C4A46" w14:paraId="486EDBF6" w14:textId="77777777">
      <w:pPr>
        <w:pStyle w:val="Standard"/>
      </w:pPr>
      <w:r>
        <w:t>TURN also supports the shareholder backstop.  TURN alleges that this treatment is consistent with D.15-01-051, which implemented the GTSR program.</w:t>
      </w:r>
      <w:r>
        <w:rPr>
          <w:rStyle w:val="FootnoteReference"/>
        </w:rPr>
        <w:footnoteReference w:id="52"/>
      </w:r>
      <w:r>
        <w:t xml:space="preserve">  TURN cites the GTSR decision where the Commission explained that:</w:t>
      </w:r>
    </w:p>
    <w:p w:rsidR="001C4A46" w:rsidP="001C4A46" w:rsidRDefault="001C4A46" w14:paraId="5FF94CCC" w14:textId="77777777">
      <w:pPr>
        <w:pStyle w:val="BlockQuote"/>
        <w:ind w:right="1440"/>
      </w:pPr>
      <w:r>
        <w:t xml:space="preserve">The requirement of ratepayer indifference, and other rate design principles, support the shareholder backstop.  Without the backstop, the utilities would likely rely entirely on ratepayers </w:t>
      </w:r>
      <w:proofErr w:type="gramStart"/>
      <w:r>
        <w:t>as a whole to</w:t>
      </w:r>
      <w:proofErr w:type="gramEnd"/>
      <w:r>
        <w:t xml:space="preserve"> make up the difference.  By establishing the rules of the backstop now, future litigation and the risk of non-participating ratepayers incurring costs are minimized.  The shareholder backstop approach is supported by TURN and [Cal Advocates].  We agree with TURN, [Cal Advocates], and PG&amp;E that a shareholder backstop will promote cost-effective management of the GTSR Program.</w:t>
      </w:r>
    </w:p>
    <w:p w:rsidR="001C4A46" w:rsidP="001C4A46" w:rsidRDefault="001C4A46" w14:paraId="7A04258B" w14:textId="77777777">
      <w:pPr>
        <w:pStyle w:val="Standard"/>
      </w:pPr>
      <w:r>
        <w:lastRenderedPageBreak/>
        <w:t>LC/SC point out that SCE’s GTSR unrecovered program costs have an outstanding balance of $955,573.  LC/SC argue that there is no compelling basis to conclude that the minimal participation that undermined SCE’s GTSR program would not extend to the voluntary RNG Tariff program.  LC/SC also argue that it is the Utilities’ business decision to offer this program and that they should stand by their own assumptions of substantial participation and therefore provide the shareholder backstop.</w:t>
      </w:r>
      <w:r>
        <w:rPr>
          <w:rStyle w:val="FootnoteReference"/>
        </w:rPr>
        <w:footnoteReference w:id="53"/>
      </w:r>
      <w:r>
        <w:t xml:space="preserve"> </w:t>
      </w:r>
    </w:p>
    <w:p w:rsidR="001C4A46" w:rsidP="001C4A46" w:rsidRDefault="001C4A46" w14:paraId="0C2133DE" w14:textId="77777777">
      <w:pPr>
        <w:pStyle w:val="Standard"/>
      </w:pPr>
      <w:r>
        <w:t>Wild Tree is concerned that the Settlement Agreement leaves open the possibility of subsidizing a failed program.  Wild Tree argues</w:t>
      </w:r>
      <w:r w:rsidDel="00F51386">
        <w:t xml:space="preserve"> </w:t>
      </w:r>
      <w:r>
        <w:t>that the Utilities intend ratepayers to be on the hook for the stranded costs that will inevitably result from what Wild Tree believes will be a failed voluntary RNG Tariff pilot program.</w:t>
      </w:r>
    </w:p>
    <w:p w:rsidR="001C4A46" w:rsidP="001C4A46" w:rsidRDefault="001C4A46" w14:paraId="70CF948D" w14:textId="2638FD02">
      <w:pPr>
        <w:pStyle w:val="Standard"/>
      </w:pPr>
      <w:r>
        <w:t>We find</w:t>
      </w:r>
      <w:r w:rsidDel="009A2065">
        <w:t xml:space="preserve"> </w:t>
      </w:r>
      <w:r>
        <w:t>parties’ arguments for a shareholder backstop compelling.  We agree with TURN that this treatment is consistent with the principles for the shareholder backstop policy adopted for the GTSR program in D.15</w:t>
      </w:r>
      <w:r>
        <w:noBreakHyphen/>
        <w:t>01</w:t>
      </w:r>
      <w:r>
        <w:noBreakHyphen/>
        <w:t>051.  In addition, the Utilities’ may or may not elect to offer the pilot program adopted in this decision and each customer’s participation is voluntary.  The Utilities testified in support of their assumption that there is sufficient customer interest in an RNG Tariff program based on their 2017-2019 market research and analysis to make the program self-sustaining without subsidy by non-participants.</w:t>
      </w:r>
      <w:r>
        <w:rPr>
          <w:rStyle w:val="FootnoteReference"/>
        </w:rPr>
        <w:footnoteReference w:id="54"/>
      </w:r>
      <w:r>
        <w:t xml:space="preserve">  In the event there are costs not recovered from participants, the shareholder backstop will provide an incentive for the Utilities to make thoughtful decisions taking into account new program uncertainties and risks in light of the recent </w:t>
      </w:r>
      <w:r>
        <w:lastRenderedPageBreak/>
        <w:t xml:space="preserve">pandemic and California’s wildfires.  We agree with LC/SC that the Utilities should stand by their assumptions if they offer the voluntary RNG Tariff program.  </w:t>
      </w:r>
    </w:p>
    <w:p w:rsidR="001C4A46" w:rsidP="001C4A46" w:rsidRDefault="001C4A46" w14:paraId="6682DB4F" w14:textId="0204DDF3">
      <w:pPr>
        <w:pStyle w:val="Standard"/>
      </w:pPr>
      <w:r>
        <w:t xml:space="preserve">As discussed above, if the Utilities </w:t>
      </w:r>
      <w:proofErr w:type="gramStart"/>
      <w:r>
        <w:t>enter into</w:t>
      </w:r>
      <w:proofErr w:type="gramEnd"/>
      <w:r>
        <w:t xml:space="preserve"> long-term RNG contracts and program continuation is not authorized, the shareholder backstop should also apply to the stranded </w:t>
      </w:r>
      <w:r w:rsidR="00985A2F">
        <w:t xml:space="preserve">procurement </w:t>
      </w:r>
      <w:r>
        <w:t xml:space="preserve">costs from RNG long-term contract obligations.  </w:t>
      </w:r>
    </w:p>
    <w:p w:rsidR="001C4A46" w:rsidP="001C4A46" w:rsidRDefault="001C4A46" w14:paraId="452449BA" w14:textId="77777777">
      <w:pPr>
        <w:pStyle w:val="Standard"/>
      </w:pPr>
      <w:r>
        <w:t xml:space="preserve">We clarify that the shareholder backstop is applicable if program continuation is not authorized and the program is terminated at the end of transition period.  The Utilities raise a valid point that there are other uncertainties beyond the Utilities’ control, such as changes in state laws and regulations.  The Utilities should be permitted to seek recovery of the wind down costs </w:t>
      </w:r>
      <w:proofErr w:type="gramStart"/>
      <w:r>
        <w:t>in the event that</w:t>
      </w:r>
      <w:proofErr w:type="gramEnd"/>
      <w:r>
        <w:t xml:space="preserve"> the program termination is required prior to the end of the transition period by a future state law, regulation, or Commission decision.  This exception only applies to the pilot program duration of all long-term RNG contracts. </w:t>
      </w:r>
    </w:p>
    <w:p w:rsidR="001C4A46" w:rsidP="001C4A46" w:rsidRDefault="001C4A46" w14:paraId="1C2D5138" w14:textId="77777777">
      <w:pPr>
        <w:pStyle w:val="Heading2"/>
      </w:pPr>
      <w:bookmarkStart w:name="_Toc57188141" w:id="35"/>
      <w:r>
        <w:t>California Alternate Rates for Energy</w:t>
      </w:r>
      <w:bookmarkEnd w:id="35"/>
    </w:p>
    <w:p w:rsidR="001C4A46" w:rsidP="001C4A46" w:rsidRDefault="001C4A46" w14:paraId="1191935C" w14:textId="3A010BC3">
      <w:pPr>
        <w:pStyle w:val="Standard"/>
      </w:pPr>
      <w:r>
        <w:t xml:space="preserve">This decision clarifies that </w:t>
      </w:r>
      <w:r w:rsidRPr="00723DCA">
        <w:t>California Alternate Rates for Energy (CARE)</w:t>
      </w:r>
      <w:r>
        <w:t xml:space="preserve"> customers should follow the same commitment requirement for participation in the voluntary RNG Tariff program as non-CARE residential customers.</w:t>
      </w:r>
    </w:p>
    <w:p w:rsidRPr="00723DCA" w:rsidR="001C4A46" w:rsidP="001C4A46" w:rsidRDefault="001C4A46" w14:paraId="18CEE4E0" w14:textId="77777777">
      <w:pPr>
        <w:pStyle w:val="Standard"/>
      </w:pPr>
      <w:r>
        <w:t>The Settlement Agreement is silent on whether the same commitment requirement applies to CARE customers.  Because this is a voluntary program, we find that, for the purpose of program consistency and administrative simplicity, all residential customers (CARE and non-CARE) should follow the same commitment requirement.</w:t>
      </w:r>
    </w:p>
    <w:p w:rsidR="001C4A46" w:rsidP="001C4A46" w:rsidRDefault="001C4A46" w14:paraId="542F1E8B" w14:textId="77777777">
      <w:pPr>
        <w:pStyle w:val="Heading2"/>
      </w:pPr>
      <w:bookmarkStart w:name="_Toc57188142" w:id="36"/>
      <w:r>
        <w:lastRenderedPageBreak/>
        <w:t>Program Marketing</w:t>
      </w:r>
      <w:bookmarkEnd w:id="36"/>
      <w:r>
        <w:t xml:space="preserve"> </w:t>
      </w:r>
    </w:p>
    <w:p w:rsidR="001C4A46" w:rsidP="001C4A46" w:rsidRDefault="001C4A46" w14:paraId="2EB3AB0A" w14:textId="77777777">
      <w:pPr>
        <w:pStyle w:val="Standard"/>
      </w:pPr>
      <w:r>
        <w:t>This decision requires the Utilities, when developing education and outreach information, to adhere to the following guidelines:</w:t>
      </w:r>
    </w:p>
    <w:p w:rsidR="001C4A46" w:rsidP="001C4A46" w:rsidRDefault="001C4A46" w14:paraId="3DB571BB" w14:textId="77777777">
      <w:pPr>
        <w:pStyle w:val="ListBullet"/>
        <w:ind w:right="1440"/>
      </w:pPr>
      <w:r>
        <w:t>The Utilities’ marketing materials should make no comparisons to, or assertions about, building electrification and should not include any statements that promote RNG over building electrification.  The marketing materials should not include any statements about the costs, impacts, or desirability of building electrification.</w:t>
      </w:r>
    </w:p>
    <w:p w:rsidR="001C4A46" w:rsidP="001C4A46" w:rsidRDefault="001C4A46" w14:paraId="74D8D744" w14:textId="77777777">
      <w:pPr>
        <w:pStyle w:val="ListBullet"/>
        <w:ind w:right="1440"/>
      </w:pPr>
      <w:r>
        <w:t xml:space="preserve">The Utilities should not portray RNG procurement as a solution to local environmental impacts of dairies or other biomethane sources.  The Utilities’ marketing materials should disclose that capturing biogas from dairies to produce RNG reduces GHG emissions, but does not mitigate all water, air, and odor pollution </w:t>
      </w:r>
      <w:r w:rsidRPr="009D4AF5">
        <w:t>from dairies</w:t>
      </w:r>
      <w:r>
        <w:t xml:space="preserve"> that impacts local communities.</w:t>
      </w:r>
    </w:p>
    <w:p w:rsidR="001C4A46" w:rsidP="001C4A46" w:rsidRDefault="001C4A46" w14:paraId="3DC73EB8" w14:textId="596B528B">
      <w:pPr>
        <w:pStyle w:val="ListBullet"/>
        <w:ind w:right="1440"/>
      </w:pPr>
      <w:r>
        <w:t xml:space="preserve">The Utilities’ marketing materials should disclose that using RNG in gas appliances does not reduce indoor pollution, as compared to using regular fossil-based natural gas. </w:t>
      </w:r>
    </w:p>
    <w:p w:rsidR="000F2BD8" w:rsidP="001C4A46" w:rsidRDefault="000F2BD8" w14:paraId="3955CC07" w14:textId="1092AC46">
      <w:pPr>
        <w:pStyle w:val="ListBullet"/>
        <w:ind w:right="1440"/>
      </w:pPr>
      <w:r>
        <w:t>The Utilities’ marketing materials should disclose that procuring RNG for the pilot program reduces the Utilities’ GHG reduction obligations under CARB’s Cap-and-Trade Regulation.  The resulting cost savings will be credited to the RNG Tariff program customers.</w:t>
      </w:r>
      <w:r w:rsidRPr="47AC1B79">
        <w:rPr>
          <w:rFonts w:ascii="Segoe UI" w:hAnsi="Segoe UI" w:cs="Segoe UI"/>
          <w:color w:val="FFFFFF" w:themeColor="background1"/>
        </w:rPr>
        <w:t xml:space="preserve"> </w:t>
      </w:r>
    </w:p>
    <w:p w:rsidR="001C4A46" w:rsidP="001C4A46" w:rsidRDefault="001C4A46" w14:paraId="1FBDEBCB" w14:textId="552D1D5E">
      <w:pPr>
        <w:pStyle w:val="ListBullet"/>
        <w:ind w:right="1440"/>
      </w:pPr>
      <w:r>
        <w:t xml:space="preserve">The Utilities should include proposed marketing and outreach materials in an AL for Commission review and approval before </w:t>
      </w:r>
      <w:r w:rsidR="00303A7A">
        <w:t xml:space="preserve">any marketing/outreach or </w:t>
      </w:r>
      <w:r>
        <w:t xml:space="preserve">implementation of the pilot program.  This is to ensure </w:t>
      </w:r>
      <w:r w:rsidRPr="005B554B">
        <w:t xml:space="preserve">compliance with the above provisions and </w:t>
      </w:r>
      <w:r>
        <w:t>that there are no incorrect, incomplete, misleading, or confusing claims.</w:t>
      </w:r>
    </w:p>
    <w:p w:rsidR="001C4A46" w:rsidP="001C4A46" w:rsidRDefault="001C4A46" w14:paraId="540B8125" w14:textId="3CF83CFD">
      <w:pPr>
        <w:pStyle w:val="Standard"/>
      </w:pPr>
      <w:r>
        <w:t xml:space="preserve">We </w:t>
      </w:r>
      <w:r w:rsidR="00CB4D4A">
        <w:t>adopt</w:t>
      </w:r>
      <w:r>
        <w:t xml:space="preserve"> these requirements based on issues raised by parties.  For example, LC/SC and Wild Tree assert that the marketing claims under the Settlement Agreement are inaccurate or misleading.  LC/SC are concerned that </w:t>
      </w:r>
      <w:r>
        <w:lastRenderedPageBreak/>
        <w:t xml:space="preserve">the Utilities have portrayed biomethane from dairy manure lagoons as “a clean source of energy,” akin to wind and solar.  They assert that RNG should not be compared with building electrification using true clean energy.  We agree that, while RNG is expected to reduce GHG emissions as part of the state’s decarbonization efforts, it is not a replacement for, or comparable to, building electrification.  The optimal use of RNG vis-à-vis other decarbonization methods is a complicated and evolving </w:t>
      </w:r>
      <w:proofErr w:type="gramStart"/>
      <w:r>
        <w:t>issue, and</w:t>
      </w:r>
      <w:proofErr w:type="gramEnd"/>
      <w:r>
        <w:t xml:space="preserve"> should not be addressed in the marketing materials for the voluntary RNG Tariff program.</w:t>
      </w:r>
    </w:p>
    <w:p w:rsidR="001C4A46" w:rsidP="001C4A46" w:rsidRDefault="001C4A46" w14:paraId="58663D56" w14:textId="77777777">
      <w:pPr>
        <w:pStyle w:val="Standard"/>
      </w:pPr>
      <w:r>
        <w:t>We also recognize, as noted by LC/SC, that there are risks that customers will misunderstand the scope of the environmental benefits of participating in the RNG Tariff program.</w:t>
      </w:r>
      <w:r>
        <w:rPr>
          <w:rStyle w:val="FootnoteReference"/>
        </w:rPr>
        <w:footnoteReference w:id="55"/>
      </w:r>
      <w:r>
        <w:t xml:space="preserve">  We find it is appropriate to include certain disclosures in the marketing materials to address this. </w:t>
      </w:r>
    </w:p>
    <w:p w:rsidR="001C4A46" w:rsidP="001C4A46" w:rsidRDefault="001C4A46" w14:paraId="654BDE5D" w14:textId="1B0D03D6">
      <w:pPr>
        <w:pStyle w:val="Standard"/>
      </w:pPr>
      <w:r>
        <w:t xml:space="preserve">First, we find that there is a risk that customers will misunderstand the term “renewable natural gas” and wrongly assume that it will result in cleaner air in their home </w:t>
      </w:r>
      <w:r w:rsidR="00E545AD">
        <w:t>and</w:t>
      </w:r>
      <w:r>
        <w:t xml:space="preserve"> has health benefits for their family.  As noted by LC/SC, combustion of RNG or regular fossil-based natural gas emits the same pollutants into the surrounding </w:t>
      </w:r>
      <w:proofErr w:type="gramStart"/>
      <w:r>
        <w:t>air, and</w:t>
      </w:r>
      <w:proofErr w:type="gramEnd"/>
      <w:r>
        <w:t xml:space="preserve"> has the same impact on air quality in a building.</w:t>
      </w:r>
      <w:r>
        <w:rPr>
          <w:rStyle w:val="FootnoteReference"/>
        </w:rPr>
        <w:footnoteReference w:id="56"/>
      </w:r>
      <w:r>
        <w:t xml:space="preserve">  Accordingly, we find that the marketing materials must include the following statement to avoid such misunderstanding:</w:t>
      </w:r>
    </w:p>
    <w:p w:rsidR="001C4A46" w:rsidP="00874E3B" w:rsidRDefault="001C4A46" w14:paraId="2A9E729F" w14:textId="1F197916">
      <w:pPr>
        <w:pStyle w:val="BlockQuote"/>
        <w:ind w:right="1440"/>
        <w:rPr>
          <w:shd w:val="clear" w:color="auto" w:fill="FFFFFF"/>
        </w:rPr>
      </w:pPr>
      <w:r>
        <w:t xml:space="preserve">Using renewable natural gas in appliances indoors does not reduce air pollutants in buildings, as compared with using traditional fossil-based natural gas. </w:t>
      </w:r>
    </w:p>
    <w:p w:rsidR="00B5353E" w:rsidP="001C4A46" w:rsidRDefault="001C4A46" w14:paraId="126BE16C" w14:textId="13FFD70D">
      <w:pPr>
        <w:pStyle w:val="Standard"/>
        <w:rPr>
          <w:rFonts w:cs="Segoe UI"/>
          <w:color w:val="000000"/>
          <w:szCs w:val="26"/>
          <w:shd w:val="clear" w:color="auto" w:fill="FFFFFF"/>
        </w:rPr>
      </w:pPr>
      <w:r>
        <w:rPr>
          <w:rFonts w:cs="Segoe UI"/>
          <w:color w:val="000000"/>
          <w:szCs w:val="26"/>
          <w:shd w:val="clear" w:color="auto" w:fill="FFFFFF"/>
        </w:rPr>
        <w:lastRenderedPageBreak/>
        <w:t>Second, we find that it is important to prevent misunderstanding about the local environmental impact of dairies that are a potential source of RNG for the RNG Tariff program.  Information provided by LC</w:t>
      </w:r>
      <w:r w:rsidR="00985665">
        <w:rPr>
          <w:rFonts w:cs="Segoe UI"/>
          <w:color w:val="000000"/>
          <w:szCs w:val="26"/>
          <w:shd w:val="clear" w:color="auto" w:fill="FFFFFF"/>
        </w:rPr>
        <w:t>/SC</w:t>
      </w:r>
      <w:r>
        <w:rPr>
          <w:rFonts w:cs="Segoe UI"/>
          <w:color w:val="000000"/>
          <w:szCs w:val="26"/>
          <w:shd w:val="clear" w:color="auto" w:fill="FFFFFF"/>
        </w:rPr>
        <w:t xml:space="preserve"> clearly establish</w:t>
      </w:r>
      <w:r w:rsidR="00985665">
        <w:rPr>
          <w:rFonts w:cs="Segoe UI"/>
          <w:color w:val="000000"/>
          <w:szCs w:val="26"/>
          <w:shd w:val="clear" w:color="auto" w:fill="FFFFFF"/>
        </w:rPr>
        <w:t>es</w:t>
      </w:r>
      <w:r>
        <w:rPr>
          <w:rFonts w:cs="Segoe UI"/>
          <w:color w:val="000000"/>
          <w:szCs w:val="26"/>
          <w:shd w:val="clear" w:color="auto" w:fill="FFFFFF"/>
        </w:rPr>
        <w:t xml:space="preserve"> that many communities in the vicinity of dairies are already disproportionately burdened by environmental pollution, and community members feel strongly that developing RNG at dairies will perpetuate their adverse environmental impacts on the local community, may allow dairies to continue causing pollution (other than GHG emissions) and may facilitate expansion of dairies, even increasing the local environmental burdens.</w:t>
      </w:r>
      <w:r>
        <w:rPr>
          <w:rStyle w:val="FootnoteReference"/>
          <w:rFonts w:cs="Segoe UI"/>
          <w:color w:val="000000"/>
          <w:szCs w:val="26"/>
          <w:shd w:val="clear" w:color="auto" w:fill="FFFFFF"/>
        </w:rPr>
        <w:footnoteReference w:id="57"/>
      </w:r>
      <w:r>
        <w:rPr>
          <w:rFonts w:cs="Segoe UI"/>
          <w:color w:val="000000"/>
          <w:szCs w:val="26"/>
          <w:shd w:val="clear" w:color="auto" w:fill="FFFFFF"/>
        </w:rPr>
        <w:t xml:space="preserve">  </w:t>
      </w:r>
      <w:r w:rsidRPr="00D75127">
        <w:rPr>
          <w:rFonts w:cs="Segoe UI"/>
          <w:color w:val="000000"/>
          <w:szCs w:val="26"/>
          <w:shd w:val="clear" w:color="auto" w:fill="FFFFFF"/>
        </w:rPr>
        <w:t>While we hope that operational changes implemented for biomethane production may, in some instances, reduce local pollution, this is not required under the RNG Tariff program, nor is there are any requirement to monitor or measure such impacts.</w:t>
      </w:r>
      <w:r>
        <w:rPr>
          <w:rFonts w:cs="Segoe UI"/>
          <w:color w:val="000000"/>
          <w:szCs w:val="26"/>
          <w:shd w:val="clear" w:color="auto" w:fill="FFFFFF"/>
        </w:rPr>
        <w:t xml:space="preserve"> </w:t>
      </w:r>
    </w:p>
    <w:p w:rsidR="00983CF3" w:rsidP="001C4A46" w:rsidRDefault="00792461" w14:paraId="2EB984F9" w14:textId="3ECC7DB5">
      <w:pPr>
        <w:pStyle w:val="Standard"/>
        <w:rPr>
          <w:rFonts w:cs="Segoe UI"/>
          <w:color w:val="000000"/>
          <w:szCs w:val="26"/>
          <w:shd w:val="clear" w:color="auto" w:fill="FFFFFF"/>
        </w:rPr>
      </w:pPr>
      <w:r>
        <w:rPr>
          <w:rFonts w:cs="Segoe UI"/>
          <w:color w:val="000000"/>
          <w:szCs w:val="26"/>
          <w:shd w:val="clear" w:color="auto" w:fill="FFFFFF"/>
        </w:rPr>
        <w:t>W</w:t>
      </w:r>
      <w:r w:rsidR="001C4A46">
        <w:rPr>
          <w:rFonts w:cs="Segoe UI"/>
          <w:color w:val="000000"/>
          <w:szCs w:val="26"/>
          <w:shd w:val="clear" w:color="auto" w:fill="FFFFFF"/>
        </w:rPr>
        <w:t>ater pollution, criteria air pollutant emissions, and odors caused by dairies are more directly within the jurisdiction of other regulatory agencies</w:t>
      </w:r>
      <w:r w:rsidR="00DF2975">
        <w:rPr>
          <w:rFonts w:cs="Segoe UI"/>
          <w:color w:val="000000"/>
          <w:szCs w:val="26"/>
          <w:shd w:val="clear" w:color="auto" w:fill="FFFFFF"/>
        </w:rPr>
        <w:t>.</w:t>
      </w:r>
      <w:r w:rsidR="001C4A46">
        <w:rPr>
          <w:rFonts w:cs="Segoe UI"/>
          <w:color w:val="000000"/>
          <w:szCs w:val="26"/>
          <w:shd w:val="clear" w:color="auto" w:fill="FFFFFF"/>
        </w:rPr>
        <w:t xml:space="preserve"> </w:t>
      </w:r>
      <w:r w:rsidR="00DF2975">
        <w:rPr>
          <w:rFonts w:cs="Segoe UI"/>
          <w:color w:val="000000"/>
          <w:szCs w:val="26"/>
          <w:shd w:val="clear" w:color="auto" w:fill="FFFFFF"/>
        </w:rPr>
        <w:t xml:space="preserve"> Nonetheless, </w:t>
      </w:r>
      <w:r w:rsidR="001C4A46">
        <w:rPr>
          <w:rFonts w:cs="Segoe UI"/>
          <w:color w:val="000000"/>
          <w:szCs w:val="26"/>
          <w:shd w:val="clear" w:color="auto" w:fill="FFFFFF"/>
        </w:rPr>
        <w:t xml:space="preserve">the Commission is concerned about local environmental impacts from dairies and </w:t>
      </w:r>
      <w:r w:rsidR="00885928">
        <w:rPr>
          <w:rFonts w:cs="Segoe UI"/>
          <w:color w:val="000000"/>
          <w:szCs w:val="26"/>
          <w:shd w:val="clear" w:color="auto" w:fill="FFFFFF"/>
        </w:rPr>
        <w:t>understand</w:t>
      </w:r>
      <w:r w:rsidR="00956208">
        <w:rPr>
          <w:rFonts w:cs="Segoe UI"/>
          <w:color w:val="000000"/>
          <w:szCs w:val="26"/>
          <w:shd w:val="clear" w:color="auto" w:fill="FFFFFF"/>
        </w:rPr>
        <w:t>s</w:t>
      </w:r>
      <w:r w:rsidR="001C4A46">
        <w:rPr>
          <w:rFonts w:cs="Segoe UI"/>
          <w:color w:val="000000"/>
          <w:szCs w:val="26"/>
          <w:shd w:val="clear" w:color="auto" w:fill="FFFFFF"/>
        </w:rPr>
        <w:t xml:space="preserve"> the view of the community members.  We will not exclude dairies from the RNG Tariff program because it would be counter to the extensive efforts underway by the Commission in other proceedings, and pursuant to legislative direction, to increase the capture of biogas at dairies and other facilities for production of RNG, to reduce methane emissions in the state and offset the use of fossil-derived natural gas.</w:t>
      </w:r>
      <w:r w:rsidR="001C4A46">
        <w:rPr>
          <w:rStyle w:val="FootnoteReference"/>
          <w:rFonts w:cs="Segoe UI"/>
          <w:color w:val="000000"/>
          <w:szCs w:val="26"/>
          <w:shd w:val="clear" w:color="auto" w:fill="FFFFFF"/>
        </w:rPr>
        <w:footnoteReference w:id="58"/>
      </w:r>
      <w:r w:rsidR="00983CF3">
        <w:rPr>
          <w:rFonts w:cs="Segoe UI"/>
          <w:color w:val="000000"/>
          <w:szCs w:val="26"/>
          <w:shd w:val="clear" w:color="auto" w:fill="FFFFFF"/>
        </w:rPr>
        <w:t xml:space="preserve"> </w:t>
      </w:r>
      <w:r w:rsidR="001C4A46">
        <w:rPr>
          <w:rFonts w:cs="Segoe UI"/>
          <w:color w:val="000000"/>
          <w:szCs w:val="26"/>
          <w:shd w:val="clear" w:color="auto" w:fill="FFFFFF"/>
        </w:rPr>
        <w:t xml:space="preserve"> </w:t>
      </w:r>
      <w:r w:rsidR="00983CF3">
        <w:rPr>
          <w:rFonts w:cs="Segoe UI"/>
          <w:color w:val="000000"/>
          <w:szCs w:val="26"/>
          <w:shd w:val="clear" w:color="auto" w:fill="FFFFFF"/>
        </w:rPr>
        <w:t>We will, however, address the local environmental impact issue in the following way.</w:t>
      </w:r>
      <w:r w:rsidR="001C4A46">
        <w:rPr>
          <w:rFonts w:cs="Segoe UI"/>
          <w:color w:val="000000"/>
          <w:szCs w:val="26"/>
          <w:shd w:val="clear" w:color="auto" w:fill="FFFFFF"/>
        </w:rPr>
        <w:t xml:space="preserve"> </w:t>
      </w:r>
    </w:p>
    <w:p w:rsidR="001C4A46" w:rsidP="001C4A46" w:rsidRDefault="001C4A46" w14:paraId="1BA019A0" w14:textId="650D2CBE">
      <w:pPr>
        <w:pStyle w:val="Standard"/>
        <w:rPr>
          <w:rFonts w:cs="Segoe UI"/>
          <w:color w:val="000000"/>
          <w:szCs w:val="26"/>
          <w:shd w:val="clear" w:color="auto" w:fill="FFFFFF"/>
        </w:rPr>
      </w:pPr>
      <w:r>
        <w:rPr>
          <w:rFonts w:cs="Segoe UI"/>
          <w:color w:val="000000"/>
          <w:szCs w:val="26"/>
          <w:shd w:val="clear" w:color="auto" w:fill="FFFFFF"/>
        </w:rPr>
        <w:lastRenderedPageBreak/>
        <w:t xml:space="preserve">To alert potential customers to this issue, and ensure that there is no misunderstanding about the fact that the RNG Tariff program is not a solution to the issue of environmental impacts of dairies on local communities, we require the following disclosure in the </w:t>
      </w:r>
      <w:r w:rsidR="00350EF1">
        <w:rPr>
          <w:rFonts w:cs="Segoe UI"/>
          <w:color w:val="000000"/>
          <w:szCs w:val="26"/>
          <w:shd w:val="clear" w:color="auto" w:fill="FFFFFF"/>
        </w:rPr>
        <w:t xml:space="preserve">Utilities’ </w:t>
      </w:r>
      <w:r>
        <w:rPr>
          <w:rFonts w:cs="Segoe UI"/>
          <w:color w:val="000000"/>
          <w:szCs w:val="26"/>
          <w:shd w:val="clear" w:color="auto" w:fill="FFFFFF"/>
        </w:rPr>
        <w:t>marketing materials:</w:t>
      </w:r>
    </w:p>
    <w:p w:rsidR="001C4A46" w:rsidP="00407387" w:rsidRDefault="001C4A46" w14:paraId="6803DD20" w14:textId="77777777">
      <w:pPr>
        <w:pStyle w:val="BlockQuote"/>
        <w:ind w:right="1440"/>
      </w:pPr>
      <w:r>
        <w:t xml:space="preserve">Capturing biogas from dairies to produce renewable natural gas reduces greenhouse gas emissions, but does not mitigate all water, air, and odor pollution </w:t>
      </w:r>
      <w:r w:rsidRPr="009D4AF5">
        <w:t>from dairies</w:t>
      </w:r>
      <w:r>
        <w:t xml:space="preserve"> that impacts local communities. </w:t>
      </w:r>
    </w:p>
    <w:p w:rsidRPr="00053BC9" w:rsidR="00EE54D9" w:rsidP="00EE54D9" w:rsidRDefault="00EE54D9" w14:paraId="713EE016" w14:textId="193B1553">
      <w:pPr>
        <w:pStyle w:val="Standard"/>
      </w:pPr>
      <w:r w:rsidRPr="00053BC9">
        <w:t>In addition, we will monitor the status of in-state dairies’ compliance with laws and regulations to evaluate whether RNG supplies for the pilot program are provided by dairy facilities that fully comply with federal, state, and local laws, regulations and/or orders that establish air and/or water pollution control standards or requirements.</w:t>
      </w:r>
      <w:r w:rsidRPr="00053BC9">
        <w:rPr>
          <w:rStyle w:val="FootnoteReference"/>
        </w:rPr>
        <w:footnoteReference w:id="59"/>
      </w:r>
      <w:r w:rsidRPr="00053BC9">
        <w:t xml:space="preserve">  To do this, we require</w:t>
      </w:r>
      <w:r>
        <w:t xml:space="preserve">, as a part of the Utilities’ reporting requirement discussed later in this decision, </w:t>
      </w:r>
      <w:r w:rsidRPr="00053BC9">
        <w:t>that the Utilities collect information on whether diaries under RNG contracts for this pilot program are in compliance with all applicable air and/or water pollution control standards or requirements, describe any incidents of noncompliance</w:t>
      </w:r>
      <w:r>
        <w:t>,</w:t>
      </w:r>
      <w:r w:rsidRPr="00053BC9">
        <w:t xml:space="preserve"> and explain when and how it was or will be resolved</w:t>
      </w:r>
      <w:r>
        <w:t>.  The Utilities shall submit and serve a Tier 1 AL at the same time as SoCalGas submits its last Quarterly Commission Report each year</w:t>
      </w:r>
      <w:r>
        <w:rPr>
          <w:rStyle w:val="FootnoteReference"/>
        </w:rPr>
        <w:footnoteReference w:id="60"/>
      </w:r>
      <w:r w:rsidRPr="00053BC9">
        <w:t xml:space="preserve"> </w:t>
      </w:r>
      <w:r>
        <w:t xml:space="preserve">to </w:t>
      </w:r>
      <w:r w:rsidRPr="00053BC9">
        <w:t>report that information to the Commission</w:t>
      </w:r>
      <w:r w:rsidRPr="00053BC9" w:rsidDel="00FE3C39">
        <w:t>.</w:t>
      </w:r>
      <w:r w:rsidRPr="00053BC9">
        <w:rPr>
          <w:rFonts w:cs="TimesNewRomanPSMT"/>
        </w:rPr>
        <w:t xml:space="preserve"> </w:t>
      </w:r>
      <w:r>
        <w:rPr>
          <w:rFonts w:cs="TimesNewRomanPSMT"/>
        </w:rPr>
        <w:t xml:space="preserve"> </w:t>
      </w:r>
      <w:r w:rsidRPr="00053BC9">
        <w:rPr>
          <w:rFonts w:cs="TimesNewRomanPSMT"/>
        </w:rPr>
        <w:t xml:space="preserve">The Utilities’ reporting of </w:t>
      </w:r>
      <w:r w:rsidRPr="00053BC9">
        <w:rPr>
          <w:rFonts w:cs="TimesNewRomanPSMT"/>
        </w:rPr>
        <w:lastRenderedPageBreak/>
        <w:t xml:space="preserve">dairy RNG suppliers’ compliance with air and water pollution control </w:t>
      </w:r>
      <w:r>
        <w:rPr>
          <w:rFonts w:cs="TimesNewRomanPSMT"/>
        </w:rPr>
        <w:t xml:space="preserve">standards or </w:t>
      </w:r>
      <w:r w:rsidRPr="00053BC9">
        <w:rPr>
          <w:rFonts w:cs="TimesNewRomanPSMT"/>
        </w:rPr>
        <w:t>requirements shall continue until the program termination date.</w:t>
      </w:r>
      <w:r w:rsidRPr="00053BC9">
        <w:t xml:space="preserve"> </w:t>
      </w:r>
    </w:p>
    <w:p w:rsidRPr="00053BC9" w:rsidR="00EE54D9" w:rsidP="00EE54D9" w:rsidRDefault="00EE54D9" w14:paraId="1427B2B7" w14:textId="77777777">
      <w:pPr>
        <w:pStyle w:val="Standard"/>
      </w:pPr>
      <w:r w:rsidRPr="00053BC9">
        <w:t xml:space="preserve">To enable this reporting, the Utilities shall include the following requirements in </w:t>
      </w:r>
      <w:r>
        <w:t xml:space="preserve">RNG </w:t>
      </w:r>
      <w:r w:rsidRPr="00053BC9">
        <w:t xml:space="preserve">contracts </w:t>
      </w:r>
      <w:r>
        <w:t>with</w:t>
      </w:r>
      <w:r w:rsidRPr="00053BC9">
        <w:t xml:space="preserve"> </w:t>
      </w:r>
      <w:r>
        <w:t xml:space="preserve">in-state </w:t>
      </w:r>
      <w:r w:rsidRPr="00053BC9">
        <w:t>dair</w:t>
      </w:r>
      <w:r>
        <w:t>ies</w:t>
      </w:r>
      <w:r w:rsidRPr="00053BC9">
        <w:t>:</w:t>
      </w:r>
    </w:p>
    <w:p w:rsidR="00EE54D9" w:rsidP="00645139" w:rsidRDefault="00EE54D9" w14:paraId="51FFE0BC" w14:textId="1F750CA1">
      <w:pPr>
        <w:pStyle w:val="ListAlpha"/>
        <w:ind w:right="1440"/>
      </w:pPr>
      <w:r>
        <w:t>The s</w:t>
      </w:r>
      <w:r w:rsidRPr="00053BC9">
        <w:t xml:space="preserve">eller of RNG from a dairy shall provide the Utility (buyer) with an annual report indicating whether the dairy was in compliance with all applicable air and water pollution control </w:t>
      </w:r>
      <w:r>
        <w:t xml:space="preserve">standards or </w:t>
      </w:r>
      <w:r w:rsidRPr="00053BC9">
        <w:t>requirements for the preceding 12 months</w:t>
      </w:r>
      <w:r>
        <w:t>, with the report due no later than 30</w:t>
      </w:r>
      <w:r w:rsidR="00645139">
        <w:t> </w:t>
      </w:r>
      <w:r>
        <w:t>days after the end of the 12</w:t>
      </w:r>
      <w:r w:rsidRPr="000464DC">
        <w:rPr>
          <w:vertAlign w:val="superscript"/>
        </w:rPr>
        <w:t>th</w:t>
      </w:r>
      <w:r>
        <w:t xml:space="preserve"> </w:t>
      </w:r>
      <w:proofErr w:type="gramStart"/>
      <w:r>
        <w:t>month</w:t>
      </w:r>
      <w:r w:rsidRPr="00053BC9">
        <w:t>;</w:t>
      </w:r>
      <w:proofErr w:type="gramEnd"/>
      <w:r w:rsidRPr="00053BC9">
        <w:t xml:space="preserve"> </w:t>
      </w:r>
    </w:p>
    <w:p w:rsidR="00EE54D9" w:rsidP="00645139" w:rsidRDefault="00EE54D9" w14:paraId="605D665C" w14:textId="77777777">
      <w:pPr>
        <w:pStyle w:val="ListAlpha"/>
        <w:ind w:right="1440"/>
      </w:pPr>
      <w:r>
        <w:t>S</w:t>
      </w:r>
      <w:r w:rsidRPr="00053BC9">
        <w:t xml:space="preserve">eller shall describe any incident of noncompliance with an applicable air or water pollution control requirement, including the dates and cause </w:t>
      </w:r>
      <w:r w:rsidRPr="00CD3217">
        <w:t xml:space="preserve">of the incident; and </w:t>
      </w:r>
    </w:p>
    <w:p w:rsidR="00EE54D9" w:rsidP="00645139" w:rsidRDefault="00EE54D9" w14:paraId="7A2CBDFF" w14:textId="77777777">
      <w:pPr>
        <w:pStyle w:val="ListAlpha"/>
        <w:ind w:right="1440"/>
      </w:pPr>
      <w:r>
        <w:t>S</w:t>
      </w:r>
      <w:r w:rsidRPr="00CD3217">
        <w:t xml:space="preserve">eller must explain the circumstances of any noncompliance, the steps taken by the seller to rectify the noncompliance, and if the noncompliance is ongoing, the expected resolution.  </w:t>
      </w:r>
    </w:p>
    <w:p w:rsidR="00EE54D9" w:rsidP="00645139" w:rsidRDefault="00EE54D9" w14:paraId="2181D307" w14:textId="4794E072">
      <w:pPr>
        <w:pStyle w:val="ListAlpha"/>
        <w:ind w:right="1440"/>
      </w:pPr>
      <w:r>
        <w:t>S</w:t>
      </w:r>
      <w:r w:rsidRPr="00CD3217">
        <w:t xml:space="preserve">eller’s contractual reporting requirement shall be accelerated as necessary, even if it covers less than a year, so that compliance information during the third year of the pilot program is available to include in the Utilities’ </w:t>
      </w:r>
      <w:r>
        <w:t xml:space="preserve">Tier 3 ALs </w:t>
      </w:r>
      <w:r w:rsidRPr="00CD3217">
        <w:t>that seek continuation of the RNG Tariff program.</w:t>
      </w:r>
    </w:p>
    <w:p w:rsidR="00EE54D9" w:rsidP="00EE54D9" w:rsidRDefault="00EE54D9" w14:paraId="57A1B238" w14:textId="0681185C">
      <w:pPr>
        <w:pStyle w:val="Standard"/>
      </w:pPr>
      <w:r>
        <w:t>Finally, while the pilot program is expected to provide the environmental benefits that we discuss earlier, parties remind us in their comments on the proposed decision that GHG emissions from the combustion of RNG delivered to customers are exempt from CARB’s Cap-and-Trade Regulation - Compliance Obligations for Biomass-Derived Fuels.</w:t>
      </w:r>
      <w:r>
        <w:rPr>
          <w:rStyle w:val="FootnoteReference"/>
        </w:rPr>
        <w:footnoteReference w:id="61"/>
      </w:r>
      <w:r>
        <w:t xml:space="preserve">  We find that it is important for the public to understand the impact from this regulatory requirement.  Therefore, we require the following disclosure in Utilities’ marketing materials:</w:t>
      </w:r>
    </w:p>
    <w:p w:rsidR="0078443E" w:rsidP="00645139" w:rsidRDefault="0078443E" w14:paraId="1EFD10A6" w14:textId="09249B43">
      <w:pPr>
        <w:pStyle w:val="BlockQuote"/>
        <w:ind w:right="1440"/>
      </w:pPr>
      <w:r>
        <w:lastRenderedPageBreak/>
        <w:t xml:space="preserve">Purchasing </w:t>
      </w:r>
      <w:r w:rsidR="00A83C72">
        <w:t xml:space="preserve">renewable natural gas (RNG) </w:t>
      </w:r>
      <w:r>
        <w:t xml:space="preserve">for the </w:t>
      </w:r>
      <w:r w:rsidR="00641755">
        <w:t xml:space="preserve">voluntary </w:t>
      </w:r>
      <w:r w:rsidR="004072C4">
        <w:t xml:space="preserve">pilot </w:t>
      </w:r>
      <w:r w:rsidR="00E218EF">
        <w:t xml:space="preserve">RNG </w:t>
      </w:r>
      <w:r>
        <w:t xml:space="preserve">Tariff program reduces the Utilities’ greenhouse gas reduction obligations under the California Air Resources Board’s Cap-and-Trade Regulation.  The resulting cost savings will be credited to the RNG Tariff </w:t>
      </w:r>
      <w:r w:rsidR="00E218EF">
        <w:t xml:space="preserve">program </w:t>
      </w:r>
      <w:r>
        <w:t>customers.</w:t>
      </w:r>
    </w:p>
    <w:p w:rsidR="001C4A46" w:rsidP="001C4A46" w:rsidRDefault="001C4A46" w14:paraId="7746F1D5" w14:textId="77777777">
      <w:pPr>
        <w:pStyle w:val="Heading2"/>
      </w:pPr>
      <w:bookmarkStart w:name="_Toc57188143" w:id="37"/>
      <w:r>
        <w:t>Program Evaluation and Modifications</w:t>
      </w:r>
      <w:bookmarkEnd w:id="37"/>
      <w:r>
        <w:t xml:space="preserve"> </w:t>
      </w:r>
    </w:p>
    <w:p w:rsidR="001C4A46" w:rsidP="001C4A46" w:rsidRDefault="001C4A46" w14:paraId="77B87714" w14:textId="77777777">
      <w:pPr>
        <w:pStyle w:val="Heading3"/>
      </w:pPr>
      <w:bookmarkStart w:name="_Toc57188144" w:id="38"/>
      <w:r>
        <w:t>Program Success Metrics</w:t>
      </w:r>
      <w:bookmarkEnd w:id="38"/>
    </w:p>
    <w:p w:rsidR="001C4A46" w:rsidP="001C4A46" w:rsidRDefault="001C4A46" w14:paraId="7ABD4075" w14:textId="04472CA3">
      <w:pPr>
        <w:pStyle w:val="Standard"/>
      </w:pPr>
      <w:r>
        <w:t>This decision finds that, in addition to measuring GHG emissions reductions to evaluate the success of the voluntary</w:t>
      </w:r>
      <w:r w:rsidR="002E0223">
        <w:t xml:space="preserve"> pilot</w:t>
      </w:r>
      <w:r>
        <w:t xml:space="preserve"> RNG Tariff program, the Commission should consider other metrics, </w:t>
      </w:r>
      <w:r w:rsidR="00BB4DEC">
        <w:t>including</w:t>
      </w:r>
      <w:r>
        <w:t xml:space="preserve"> level of participation, procurement costs, and the ratio of in- and out-of-state RNG supplies. </w:t>
      </w:r>
      <w:r w:rsidR="00935812">
        <w:t xml:space="preserve"> </w:t>
      </w:r>
      <w:r w:rsidRPr="00006868" w:rsidR="00935812">
        <w:t xml:space="preserve">The evaluation shall also consider the information </w:t>
      </w:r>
      <w:r w:rsidR="00EF379A">
        <w:t xml:space="preserve">provided in the Utilities’ annual </w:t>
      </w:r>
      <w:r w:rsidRPr="00006868" w:rsidR="00935812">
        <w:t xml:space="preserve">advice letters regarding any noncompliance or deviation from applicable air and/or water pollution control requirements at dairies providing RNG for the </w:t>
      </w:r>
      <w:r w:rsidR="00E218EF">
        <w:t xml:space="preserve">RNG </w:t>
      </w:r>
      <w:r w:rsidRPr="00006868" w:rsidR="00935812">
        <w:t xml:space="preserve">Tariff program. </w:t>
      </w:r>
      <w:r w:rsidR="00EF379A">
        <w:t xml:space="preserve"> </w:t>
      </w:r>
      <w:r>
        <w:t xml:space="preserve">We believe that these metrics are important to assist in the Commission’s determination of program success and the decision whether the pilot program should be extended.  These additional metrics shall be included in each utility’s Tier 3 AL requesting program continuation at the end of the pilot period. </w:t>
      </w:r>
    </w:p>
    <w:p w:rsidRPr="00F5014A" w:rsidR="008B3F89" w:rsidP="001C4A46" w:rsidRDefault="000B156E" w14:paraId="7C0E17EB" w14:textId="3C480B82">
      <w:pPr>
        <w:pStyle w:val="Standard"/>
      </w:pPr>
      <w:bookmarkStart w:name="_Hlk58682463" w:id="39"/>
      <w:r>
        <w:t xml:space="preserve">In addition, limited information should be provided to the Commission </w:t>
      </w:r>
      <w:r w:rsidRPr="00FC2414">
        <w:t>quarterly</w:t>
      </w:r>
      <w:r>
        <w:t xml:space="preserve"> and</w:t>
      </w:r>
      <w:r w:rsidR="00AF2548">
        <w:t xml:space="preserve"> the public</w:t>
      </w:r>
      <w:r>
        <w:t xml:space="preserve"> annually.  We adopt the </w:t>
      </w:r>
      <w:r w:rsidR="005921EA">
        <w:t>reporting</w:t>
      </w:r>
      <w:r>
        <w:t xml:space="preserve"> requirement</w:t>
      </w:r>
      <w:r w:rsidR="005921EA">
        <w:t>s</w:t>
      </w:r>
      <w:r>
        <w:t xml:space="preserve"> in Appendix A of this decision to achieve this objective.  An important consideration, as discussed above, is the localized environmental impact from dairies.  We also require the </w:t>
      </w:r>
      <w:r w:rsidR="000B7F22">
        <w:t>Utilities to</w:t>
      </w:r>
      <w:r>
        <w:t xml:space="preserve"> report to </w:t>
      </w:r>
      <w:r w:rsidR="000B7F22">
        <w:t xml:space="preserve">the Commission </w:t>
      </w:r>
      <w:r>
        <w:t xml:space="preserve">on whether in-state dairies </w:t>
      </w:r>
      <w:proofErr w:type="gramStart"/>
      <w:r>
        <w:t>are in compliance with</w:t>
      </w:r>
      <w:proofErr w:type="gramEnd"/>
      <w:r>
        <w:t xml:space="preserve"> laws and regulations regarding air and water pollution</w:t>
      </w:r>
      <w:r w:rsidR="000B7F22">
        <w:t xml:space="preserve"> control</w:t>
      </w:r>
      <w:r>
        <w:t>.</w:t>
      </w:r>
      <w:bookmarkEnd w:id="39"/>
    </w:p>
    <w:p w:rsidR="001C4A46" w:rsidP="001C4A46" w:rsidRDefault="001C4A46" w14:paraId="495ED4FF" w14:textId="4E6FA29E">
      <w:pPr>
        <w:pStyle w:val="Heading3"/>
      </w:pPr>
      <w:bookmarkStart w:name="_Toc57188145" w:id="40"/>
      <w:r>
        <w:lastRenderedPageBreak/>
        <w:t xml:space="preserve">Program Design Changes </w:t>
      </w:r>
      <w:r w:rsidR="00A33577">
        <w:br/>
      </w:r>
      <w:r>
        <w:t>and Other Modifications</w:t>
      </w:r>
      <w:bookmarkEnd w:id="40"/>
    </w:p>
    <w:p w:rsidRPr="004B59F0" w:rsidR="001C4A46" w:rsidP="001C4A46" w:rsidRDefault="001C4A46" w14:paraId="561E044A" w14:textId="77777777">
      <w:pPr>
        <w:pStyle w:val="Standard"/>
      </w:pPr>
      <w:r w:rsidRPr="0075295C">
        <w:rPr>
          <w:rFonts w:cs="TimesNewRomanPSMT"/>
        </w:rPr>
        <w:t xml:space="preserve">Should customer research or feedback identify demand for additional subscription levels or different subscription amounts, </w:t>
      </w:r>
      <w:r w:rsidRPr="25C05408">
        <w:rPr>
          <w:rFonts w:cs="TimesNewRomanPSMT"/>
        </w:rPr>
        <w:t xml:space="preserve">we find that </w:t>
      </w:r>
      <w:r w:rsidRPr="0075295C">
        <w:rPr>
          <w:rFonts w:cs="TimesNewRomanPSMT"/>
        </w:rPr>
        <w:t xml:space="preserve">the Utilities </w:t>
      </w:r>
      <w:r w:rsidRPr="25C05408">
        <w:rPr>
          <w:rFonts w:cs="TimesNewRomanPSMT"/>
        </w:rPr>
        <w:t xml:space="preserve">should </w:t>
      </w:r>
      <w:r>
        <w:rPr>
          <w:rFonts w:cs="TimesNewRomanPSMT"/>
        </w:rPr>
        <w:t>be</w:t>
      </w:r>
      <w:r w:rsidRPr="0075295C">
        <w:rPr>
          <w:rFonts w:cs="TimesNewRomanPSMT"/>
        </w:rPr>
        <w:t xml:space="preserve"> able to modify the subscription levels without Commission </w:t>
      </w:r>
      <w:r w:rsidRPr="00136A78">
        <w:rPr>
          <w:rFonts w:cs="TimesNewRomanPSMT"/>
        </w:rPr>
        <w:t xml:space="preserve">approval.  </w:t>
      </w:r>
      <w:r w:rsidRPr="22DC7877">
        <w:rPr>
          <w:rFonts w:cs="TimesNewRomanPSMT"/>
        </w:rPr>
        <w:t xml:space="preserve">We do this to provide </w:t>
      </w:r>
      <w:r w:rsidRPr="27C1C006">
        <w:rPr>
          <w:rFonts w:cs="TimesNewRomanPSMT"/>
        </w:rPr>
        <w:t xml:space="preserve">reasonable flexibility while requiring the </w:t>
      </w:r>
      <w:r w:rsidRPr="6D453478">
        <w:rPr>
          <w:rFonts w:cs="TimesNewRomanPSMT"/>
        </w:rPr>
        <w:t xml:space="preserve">Utilities </w:t>
      </w:r>
      <w:r w:rsidRPr="27C1C006">
        <w:rPr>
          <w:rFonts w:cs="TimesNewRomanPSMT"/>
        </w:rPr>
        <w:t xml:space="preserve">to be responsible for </w:t>
      </w:r>
      <w:r w:rsidRPr="6D453478">
        <w:rPr>
          <w:rFonts w:cs="TimesNewRomanPSMT"/>
        </w:rPr>
        <w:t xml:space="preserve">important elements of </w:t>
      </w:r>
      <w:r w:rsidRPr="27C1C006">
        <w:rPr>
          <w:rFonts w:cs="TimesNewRomanPSMT"/>
        </w:rPr>
        <w:t xml:space="preserve">program </w:t>
      </w:r>
      <w:r w:rsidRPr="6D453478">
        <w:rPr>
          <w:rFonts w:cs="TimesNewRomanPSMT"/>
        </w:rPr>
        <w:t>management</w:t>
      </w:r>
      <w:r w:rsidRPr="5952E57A">
        <w:rPr>
          <w:rFonts w:cs="TimesNewRomanPSMT"/>
        </w:rPr>
        <w:t xml:space="preserve"> and success.</w:t>
      </w:r>
      <w:r w:rsidRPr="638324A1">
        <w:rPr>
          <w:rFonts w:cs="TimesNewRomanPSMT"/>
        </w:rPr>
        <w:t xml:space="preserve">  </w:t>
      </w:r>
      <w:r w:rsidRPr="567F7AD6">
        <w:rPr>
          <w:rFonts w:cs="TimesNewRomanPSMT"/>
        </w:rPr>
        <w:t>However</w:t>
      </w:r>
      <w:r w:rsidRPr="00136A78">
        <w:rPr>
          <w:rFonts w:cs="TimesNewRomanPSMT"/>
        </w:rPr>
        <w:t xml:space="preserve">, customers’ monthly purchase amounts cannot be automatically switched to a higher level without their prior consent.  </w:t>
      </w:r>
      <w:r>
        <w:rPr>
          <w:rFonts w:cs="TimesNewRomanPSMT"/>
        </w:rPr>
        <w:t>If the Utilities wish to make other program changes</w:t>
      </w:r>
      <w:r>
        <w:t>, the Utilities shall submit and serve a Tier 3 AL.  Any program changes must comply with the policy requirements adopted in this decision or found to apply at the time the request is considered.</w:t>
      </w:r>
    </w:p>
    <w:p w:rsidR="001C4A46" w:rsidP="001C4A46" w:rsidRDefault="001C4A46" w14:paraId="589779ED" w14:textId="77777777">
      <w:pPr>
        <w:pStyle w:val="Heading3"/>
      </w:pPr>
      <w:bookmarkStart w:name="_Toc57188146" w:id="41"/>
      <w:r>
        <w:t>Public Disclosure of RNG Procurement Contract Prices</w:t>
      </w:r>
      <w:bookmarkEnd w:id="41"/>
      <w:r>
        <w:t xml:space="preserve"> </w:t>
      </w:r>
    </w:p>
    <w:p w:rsidR="001C4A46" w:rsidP="001C4A46" w:rsidRDefault="001C4A46" w14:paraId="462D5A48" w14:textId="3D6D69B0">
      <w:pPr>
        <w:pStyle w:val="Standard"/>
        <w:shd w:val="clear" w:color="auto" w:fill="FFFFFF" w:themeFill="background1"/>
      </w:pPr>
      <w:r w:rsidRPr="000D6F47">
        <w:t>In this decision, we require the Utilities to include individual suppliers</w:t>
      </w:r>
      <w:r>
        <w:t>’</w:t>
      </w:r>
      <w:r w:rsidRPr="000D6F47">
        <w:t xml:space="preserve"> RNG contract price</w:t>
      </w:r>
      <w:r>
        <w:t>s</w:t>
      </w:r>
      <w:r w:rsidRPr="000D6F47">
        <w:t xml:space="preserve"> as a part of the information for the cost</w:t>
      </w:r>
      <w:r w:rsidR="00461F34">
        <w:t>s</w:t>
      </w:r>
      <w:r w:rsidRPr="000D6F47">
        <w:t xml:space="preserve"> of RNG purchased in the Utilities’ Annual Reports.  The information should include the name</w:t>
      </w:r>
      <w:r>
        <w:t>,</w:t>
      </w:r>
      <w:r w:rsidRPr="000D6F47">
        <w:t xml:space="preserve"> location</w:t>
      </w:r>
      <w:r>
        <w:t>, and feedstock source</w:t>
      </w:r>
      <w:r w:rsidRPr="000D6F47">
        <w:t xml:space="preserve"> of each RNG supplier.</w:t>
      </w:r>
      <w:r>
        <w:t xml:space="preserve"> </w:t>
      </w:r>
    </w:p>
    <w:p w:rsidRPr="00754D40" w:rsidR="001C4A46" w:rsidP="001C4A46" w:rsidRDefault="001C4A46" w14:paraId="54ED462F" w14:textId="77777777">
      <w:pPr>
        <w:pStyle w:val="Standard"/>
      </w:pPr>
      <w:r w:rsidRPr="00754D40">
        <w:t>The Commission treats all information it receives as public unless a very persuasive showing is made that the information must be withheld from the public.  The party seeking confidential treatment bears a strong burden of proof.  In short, we have described it this way:</w:t>
      </w:r>
    </w:p>
    <w:p w:rsidR="001C4A46" w:rsidP="001C4A46" w:rsidRDefault="001C4A46" w14:paraId="2DAA6499" w14:textId="77777777">
      <w:pPr>
        <w:pStyle w:val="BlockQuote"/>
        <w:ind w:right="1440"/>
      </w:pPr>
      <w:r w:rsidRPr="001539E6">
        <w:t>We start with a presumption that information should be publicly disclosed and that any party seeking confidentiality bears a strong burden of proof.  Indeed, as discussed below, a party seeking protection of its documents always bears the burden of proof.</w:t>
      </w:r>
      <w:r>
        <w:t>”  (D.06-06-066 at 2.)</w:t>
      </w:r>
    </w:p>
    <w:p w:rsidR="001C4A46" w:rsidP="001C4A46" w:rsidRDefault="001C4A46" w14:paraId="7CE20E28" w14:textId="1658C645">
      <w:pPr>
        <w:pStyle w:val="Standard"/>
      </w:pPr>
      <w:r>
        <w:lastRenderedPageBreak/>
        <w:t>This is a fundamental principle in our regulation of public utilities.  We apply this approach to all information about the adopted voluntary RNG Tariff program that we require in the Annual and Quarterly Reports, including contract prices paid by the Utilities to purchase RNG along with supplier name, location</w:t>
      </w:r>
      <w:r w:rsidR="00891DF8">
        <w:t>,</w:t>
      </w:r>
      <w:r>
        <w:t xml:space="preserve"> and feedstock source.  There are four specific policy reasons for this approach.</w:t>
      </w:r>
    </w:p>
    <w:p w:rsidR="001C4A46" w:rsidP="001C4A46" w:rsidRDefault="001C4A46" w14:paraId="074606CD" w14:textId="30BC3513">
      <w:pPr>
        <w:pStyle w:val="Standard"/>
      </w:pPr>
      <w:r>
        <w:t xml:space="preserve">First, providing transparency to the </w:t>
      </w:r>
      <w:proofErr w:type="gramStart"/>
      <w:r>
        <w:t>general public</w:t>
      </w:r>
      <w:proofErr w:type="gramEnd"/>
      <w:r>
        <w:t xml:space="preserve"> is an important policy objective of the Commission.  Transparency is especially important for a voluntary program </w:t>
      </w:r>
      <w:proofErr w:type="gramStart"/>
      <w:r>
        <w:t>in order to</w:t>
      </w:r>
      <w:proofErr w:type="gramEnd"/>
      <w:r>
        <w:t xml:space="preserve"> fully inform customers in their opt-in decision</w:t>
      </w:r>
      <w:r>
        <w:noBreakHyphen/>
        <w:t>making.  The Utilities’ market research identified lack of information about the program costs and effects as a barrier to participation.</w:t>
      </w:r>
      <w:r>
        <w:rPr>
          <w:rStyle w:val="FootnoteReference"/>
        </w:rPr>
        <w:footnoteReference w:id="62"/>
      </w:r>
      <w:r>
        <w:t xml:space="preserve">  As illustrated by the Applicants, the RNG Tariff Commodity Charge is anticipated to be four times greater than customers’ regular fossil natural gas price.  Program participants deserve to know the prices that the Utilities pay under the RNG contracts to help in their understanding of the higher RNG tariff rate.  </w:t>
      </w:r>
    </w:p>
    <w:p w:rsidRPr="00483209" w:rsidR="001C4A46" w:rsidP="001C4A46" w:rsidRDefault="001C4A46" w14:paraId="247F9A1A" w14:textId="77777777">
      <w:r w:rsidRPr="00483209">
        <w:t>Second, competitive markets are most efficient and equitable when all participants have access to the same information.  The RNG market will be more competitive and work more efficiently if all sellers, buyers, and consumers have the same information.</w:t>
      </w:r>
    </w:p>
    <w:p w:rsidRPr="00483209" w:rsidR="001C4A46" w:rsidP="001C4A46" w:rsidRDefault="001C4A46" w14:paraId="4E4790B1" w14:textId="3F4CF59D">
      <w:pPr>
        <w:pStyle w:val="Standard"/>
      </w:pPr>
      <w:r w:rsidRPr="00483209">
        <w:t>Third, parties and participating customers may have an interest in seeing how RNG prices reflected in the annual report change over the years</w:t>
      </w:r>
      <w:r>
        <w:t xml:space="preserve">.  This includes </w:t>
      </w:r>
      <w:r w:rsidRPr="00483209">
        <w:t>whether RNG price reductions are achieved.</w:t>
      </w:r>
    </w:p>
    <w:p w:rsidR="001C4A46" w:rsidP="001C4A46" w:rsidRDefault="003F52BB" w14:paraId="0AD2B5C1" w14:textId="6BFFB138">
      <w:pPr>
        <w:pStyle w:val="Standard"/>
      </w:pPr>
      <w:r>
        <w:t>Finally</w:t>
      </w:r>
      <w:r w:rsidR="002D39BA">
        <w:t>, w</w:t>
      </w:r>
      <w:r w:rsidRPr="00483209" w:rsidR="001C4A46">
        <w:t xml:space="preserve">e find that the parties and participating customers may have an interest in knowing the feedstock sources and locations of the facilities providing RNG for the program.  Participants may be interested in knowing whether the </w:t>
      </w:r>
      <w:r w:rsidRPr="00483209" w:rsidR="001C4A46">
        <w:lastRenderedPageBreak/>
        <w:t>sources they are helping to support are landfills or dairies, or some combination of sources, and whether the various sources are in a nearby city or county, elsewhere in California, or in a different state.</w:t>
      </w:r>
    </w:p>
    <w:p w:rsidRPr="00483209" w:rsidR="00383DEB" w:rsidP="00383DEB" w:rsidRDefault="00383DEB" w14:paraId="73C25D65" w14:textId="77777777">
      <w:pPr>
        <w:pStyle w:val="Standard"/>
      </w:pPr>
      <w:r w:rsidRPr="003136B4">
        <w:t>Therefore, we conclude that RNG Tariff</w:t>
      </w:r>
      <w:r>
        <w:t xml:space="preserve"> program</w:t>
      </w:r>
      <w:r w:rsidRPr="003136B4">
        <w:t xml:space="preserve"> supplier</w:t>
      </w:r>
      <w:r>
        <w:t>’s</w:t>
      </w:r>
      <w:r w:rsidRPr="003136B4">
        <w:t xml:space="preserve"> name, location, feedstock source, and contract prices shall be public at the time of issuance of the Annual Report, absent a specific finding otherwise.  Claims of confidentiality of </w:t>
      </w:r>
      <w:r>
        <w:t xml:space="preserve">contract </w:t>
      </w:r>
      <w:r w:rsidRPr="003136B4">
        <w:t>prices may be submitted by a party pursuant to the terms of General Order (GO) 66-D or its successor.  We emphasize in the strongest possible terms, however, that a party seeking confidential treatment bears a very high burden of proof as it relates to these RNG contracts.</w:t>
      </w:r>
    </w:p>
    <w:p w:rsidR="001C4A46" w:rsidP="00063701" w:rsidRDefault="001C4A46" w14:paraId="438274C8" w14:textId="77777777">
      <w:pPr>
        <w:pStyle w:val="Heading2"/>
        <w:keepNext w:val="0"/>
        <w:keepLines w:val="0"/>
      </w:pPr>
      <w:bookmarkStart w:name="_Toc57188147" w:id="42"/>
      <w:r>
        <w:t xml:space="preserve">Program Alignment with </w:t>
      </w:r>
      <w:r>
        <w:br/>
        <w:t>SB 1440 Implementation</w:t>
      </w:r>
      <w:bookmarkEnd w:id="42"/>
    </w:p>
    <w:p w:rsidRPr="00506EDC" w:rsidR="001C4A46" w:rsidP="00063701" w:rsidRDefault="001C4A46" w14:paraId="7EC70148" w14:textId="77777777">
      <w:pPr>
        <w:pStyle w:val="ALJBodyText"/>
      </w:pPr>
      <w:r>
        <w:t xml:space="preserve">When the Commission issues a decision </w:t>
      </w:r>
      <w:r w:rsidRPr="00506EDC">
        <w:t xml:space="preserve">in Phase 4 of </w:t>
      </w:r>
      <w:r>
        <w:t>R</w:t>
      </w:r>
      <w:r w:rsidRPr="00506EDC">
        <w:t>.13-02-008 regarding implementation of SB 1440</w:t>
      </w:r>
      <w:r>
        <w:t>, the Utilities shall</w:t>
      </w:r>
      <w:r w:rsidRPr="00506EDC">
        <w:t xml:space="preserve"> </w:t>
      </w:r>
      <w:r>
        <w:t>each submit and serve</w:t>
      </w:r>
      <w:r w:rsidRPr="00506EDC">
        <w:t xml:space="preserve"> a Tier 3</w:t>
      </w:r>
      <w:r>
        <w:t xml:space="preserve"> AL</w:t>
      </w:r>
      <w:r w:rsidRPr="00506EDC">
        <w:t xml:space="preserve"> within 90 days after the Commission issues its decision.  The AL </w:t>
      </w:r>
      <w:r>
        <w:t>shall</w:t>
      </w:r>
      <w:r w:rsidRPr="00506EDC">
        <w:t xml:space="preserve"> propose ways to harmonize the adopted voluntary RNG</w:t>
      </w:r>
      <w:r>
        <w:t xml:space="preserve"> </w:t>
      </w:r>
      <w:r w:rsidRPr="00506EDC">
        <w:t>T</w:t>
      </w:r>
      <w:r>
        <w:t>ariff</w:t>
      </w:r>
      <w:r w:rsidRPr="00506EDC">
        <w:t xml:space="preserve"> program for </w:t>
      </w:r>
      <w:r>
        <w:t>SoCalGas</w:t>
      </w:r>
      <w:r w:rsidRPr="00506EDC">
        <w:t xml:space="preserve"> and SDG&amp;E with </w:t>
      </w:r>
      <w:r>
        <w:t>the policy requirements</w:t>
      </w:r>
      <w:r w:rsidRPr="00506EDC">
        <w:t xml:space="preserve"> adopted in Phase 4 of R.13</w:t>
      </w:r>
      <w:r>
        <w:noBreakHyphen/>
      </w:r>
      <w:r w:rsidRPr="00506EDC">
        <w:t>02-008 regarding SB</w:t>
      </w:r>
      <w:r>
        <w:t> </w:t>
      </w:r>
      <w:r w:rsidRPr="00506EDC">
        <w:t>1440.</w:t>
      </w:r>
      <w:r>
        <w:t xml:space="preserve">  If either the alignment of this voluntary program is addressed in the decision in Phase 4 of </w:t>
      </w:r>
      <w:r w:rsidRPr="00506EDC">
        <w:t xml:space="preserve">R.13-02-008 </w:t>
      </w:r>
      <w:r>
        <w:t>or if that decision exempts or vacates this program, then no AL is required.</w:t>
      </w:r>
    </w:p>
    <w:p w:rsidR="001C4A46" w:rsidP="001C4A46" w:rsidRDefault="001C4A46" w14:paraId="33892530" w14:textId="77777777">
      <w:pPr>
        <w:pStyle w:val="Heading1"/>
      </w:pPr>
      <w:bookmarkStart w:name="_Toc8123721" w:id="43"/>
      <w:bookmarkStart w:name="_Toc57188148" w:id="44"/>
      <w:r>
        <w:t>Conclusion</w:t>
      </w:r>
      <w:bookmarkEnd w:id="43"/>
      <w:bookmarkEnd w:id="44"/>
    </w:p>
    <w:p w:rsidRPr="00A51343" w:rsidR="001C4A46" w:rsidP="001C4A46" w:rsidRDefault="001C4A46" w14:paraId="3A432105" w14:textId="554C8C2D">
      <w:pPr>
        <w:pStyle w:val="Standard"/>
      </w:pPr>
      <w:r w:rsidRPr="00662A5F">
        <w:t>In summary, state law requires the Commission to consider adopting specific biomethane procurement targets or goals for each gas utility under SB</w:t>
      </w:r>
      <w:r>
        <w:t> </w:t>
      </w:r>
      <w:r w:rsidRPr="00662A5F">
        <w:t>1440.</w:t>
      </w:r>
      <w:r>
        <w:t xml:space="preserve">  </w:t>
      </w:r>
      <w:r w:rsidRPr="00662A5F">
        <w:t xml:space="preserve">The </w:t>
      </w:r>
      <w:r>
        <w:t xml:space="preserve">evidence that the </w:t>
      </w:r>
      <w:r w:rsidRPr="00662A5F">
        <w:t xml:space="preserve">Utilities </w:t>
      </w:r>
      <w:r>
        <w:t>provided for the formal record here</w:t>
      </w:r>
      <w:r w:rsidRPr="00662A5F">
        <w:t xml:space="preserve"> </w:t>
      </w:r>
      <w:r>
        <w:t xml:space="preserve">indicates </w:t>
      </w:r>
      <w:r w:rsidRPr="00662A5F">
        <w:t xml:space="preserve">sufficient support from their customers and communities </w:t>
      </w:r>
      <w:r>
        <w:t>for</w:t>
      </w:r>
      <w:r w:rsidRPr="00662A5F">
        <w:t xml:space="preserve"> a voluntary RNG </w:t>
      </w:r>
      <w:r>
        <w:t xml:space="preserve">Tariff </w:t>
      </w:r>
      <w:r w:rsidRPr="00662A5F">
        <w:t>pilot program</w:t>
      </w:r>
      <w:r>
        <w:t xml:space="preserve">.  We agree with the opponents of the </w:t>
      </w:r>
      <w:r>
        <w:lastRenderedPageBreak/>
        <w:t>Settlement Agreement that, as proposed, the Settlement Agreement is potentially in conflict with policy goals set forth in state law.  However, with some exceptions, many elements of the Settlement Agreement are supported by or not contested by the non-settling parties.  We also find that the Settlement Agreement provides a good framework for the adopted voluntary pilot program.  Therefore, this decision adopts a voluntary RNG Tariff pilot program that is largely based on the Settlement Agreement with limited modifications (</w:t>
      </w:r>
      <w:r w:rsidRPr="0019096A">
        <w:rPr>
          <w:i/>
          <w:iCs/>
        </w:rPr>
        <w:t>see</w:t>
      </w:r>
      <w:r>
        <w:t xml:space="preserve"> Appendix A).  </w:t>
      </w:r>
    </w:p>
    <w:p w:rsidRPr="00A51343" w:rsidR="001C4A46" w:rsidP="001C4A46" w:rsidRDefault="001C4A46" w14:paraId="3C569E4C" w14:textId="77777777">
      <w:pPr>
        <w:pStyle w:val="Standard"/>
      </w:pPr>
      <w:r w:rsidRPr="02AAEA39">
        <w:rPr>
          <w:rFonts w:eastAsia="Times New Roman"/>
          <w:color w:val="000000" w:themeColor="text1"/>
        </w:rPr>
        <w:t>All motions not specifically ruled upon are denied.</w:t>
      </w:r>
    </w:p>
    <w:p w:rsidR="001C4A46" w:rsidP="001C4A46" w:rsidRDefault="001C4A46" w14:paraId="6203AF83" w14:textId="77777777">
      <w:pPr>
        <w:pStyle w:val="Heading1"/>
      </w:pPr>
      <w:bookmarkStart w:name="_Toc57188149" w:id="45"/>
      <w:r w:rsidRPr="00D82A5C">
        <w:t>Categorization</w:t>
      </w:r>
      <w:r>
        <w:t xml:space="preserve"> and </w:t>
      </w:r>
      <w:bookmarkStart w:name="_Toc8123723" w:id="46"/>
      <w:r>
        <w:t>Need for Hearings</w:t>
      </w:r>
      <w:bookmarkEnd w:id="45"/>
    </w:p>
    <w:p w:rsidR="001C4A46" w:rsidP="001C4A46" w:rsidRDefault="001C4A46" w14:paraId="42710FA1" w14:textId="74AA8AF6">
      <w:pPr>
        <w:pStyle w:val="Standard"/>
      </w:pPr>
      <w:r>
        <w:t xml:space="preserve">The Scoping Memo </w:t>
      </w:r>
      <w:r w:rsidRPr="000A4892">
        <w:t>confirms the Commission’s preliminary determination in Resolution ALJ 176-</w:t>
      </w:r>
      <w:r>
        <w:t>3434</w:t>
      </w:r>
      <w:r w:rsidRPr="000A4892">
        <w:t xml:space="preserve"> that this is a </w:t>
      </w:r>
      <w:proofErr w:type="spellStart"/>
      <w:r w:rsidRPr="000A4892">
        <w:t>ratesetting</w:t>
      </w:r>
      <w:proofErr w:type="spellEnd"/>
      <w:r w:rsidRPr="000A4892">
        <w:t xml:space="preserve"> proceeding</w:t>
      </w:r>
      <w:r>
        <w:t xml:space="preserve"> and evidentiary hearings are required</w:t>
      </w:r>
      <w:r w:rsidRPr="000A4892">
        <w:t>.  Accordingly</w:t>
      </w:r>
      <w:r w:rsidRPr="009F7A11">
        <w:rPr>
          <w:i/>
        </w:rPr>
        <w:t>, ex </w:t>
      </w:r>
      <w:proofErr w:type="spellStart"/>
      <w:r w:rsidRPr="009F7A11">
        <w:rPr>
          <w:i/>
        </w:rPr>
        <w:t>parte</w:t>
      </w:r>
      <w:proofErr w:type="spellEnd"/>
      <w:r w:rsidRPr="000A4892">
        <w:t xml:space="preserve"> communications are restricted and must be reported pursuant to Article 8 of the Commission’s Rules.</w:t>
      </w:r>
      <w:r>
        <w:t xml:space="preserve">  As discussed in Section 1, parties agreed to waive evidentiary hearings.  This decision resolves all issues in this proceeding.  Therefore, no hearings are needed.</w:t>
      </w:r>
    </w:p>
    <w:p w:rsidR="001C4A46" w:rsidP="001C4A46" w:rsidRDefault="001C4A46" w14:paraId="06716191" w14:textId="77777777">
      <w:pPr>
        <w:pStyle w:val="Heading1"/>
      </w:pPr>
      <w:bookmarkStart w:name="_Toc57188150" w:id="47"/>
      <w:r>
        <w:t>Comments on Proposed Decision</w:t>
      </w:r>
      <w:bookmarkEnd w:id="46"/>
      <w:bookmarkEnd w:id="47"/>
    </w:p>
    <w:p w:rsidR="001C4A46" w:rsidP="001C4A46" w:rsidRDefault="001C4A46" w14:paraId="46B8B57E" w14:textId="46AEB6AD">
      <w:pPr>
        <w:pStyle w:val="Standard"/>
      </w:pPr>
      <w:r w:rsidRPr="00AA3E56">
        <w:t xml:space="preserve">The proposed decision of </w:t>
      </w:r>
      <w:r>
        <w:t xml:space="preserve">ALJ Liang-Uejio </w:t>
      </w:r>
      <w:r w:rsidRPr="00AA3E56">
        <w:t>in this matter was mailed to the parties in accordance with Section 311 of the Pub</w:t>
      </w:r>
      <w:r>
        <w:t>.</w:t>
      </w:r>
      <w:r w:rsidRPr="00AA3E56">
        <w:t xml:space="preserve"> Util</w:t>
      </w:r>
      <w:r>
        <w:t>.</w:t>
      </w:r>
      <w:r w:rsidRPr="00AA3E56">
        <w:t xml:space="preserve"> Code and comments were allowed under Rule 14.3 of the </w:t>
      </w:r>
      <w:r w:rsidR="00DB7967">
        <w:t xml:space="preserve">Commission’s </w:t>
      </w:r>
      <w:r w:rsidRPr="00AA3E56">
        <w:t>Rules.</w:t>
      </w:r>
      <w:r>
        <w:t xml:space="preserve">  </w:t>
      </w:r>
      <w:r w:rsidRPr="00AA3E56">
        <w:t>Comments were filed on</w:t>
      </w:r>
      <w:r>
        <w:t xml:space="preserve"> </w:t>
      </w:r>
      <w:r w:rsidR="00FC6297">
        <w:t>N</w:t>
      </w:r>
      <w:r>
        <w:t>ovember</w:t>
      </w:r>
      <w:r w:rsidR="00FC6297">
        <w:t> </w:t>
      </w:r>
      <w:r>
        <w:t>16,</w:t>
      </w:r>
      <w:r w:rsidR="00FC6297">
        <w:t> </w:t>
      </w:r>
      <w:r>
        <w:t>2020 by the Utilities, AECA, BAC, Cal Advocates, CUE, EDF, RNGC, LC/SC, SFE, TURN, and Wild Tree.</w:t>
      </w:r>
      <w:r w:rsidR="0037397C">
        <w:t xml:space="preserve">  </w:t>
      </w:r>
      <w:r>
        <w:t xml:space="preserve">Reply comments were filed on November 23, 2020 by </w:t>
      </w:r>
      <w:r w:rsidRPr="00D0513C">
        <w:t>the Utilities, AECA, Cal Advocates, EDF, RNGC, LC/SC, and TURN</w:t>
      </w:r>
      <w:r w:rsidRPr="006E6574">
        <w:t>.</w:t>
      </w:r>
    </w:p>
    <w:p w:rsidR="001C4A46" w:rsidP="001C4A46" w:rsidRDefault="001C4A46" w14:paraId="371776FE" w14:textId="7F710281">
      <w:pPr>
        <w:pStyle w:val="Standard"/>
      </w:pPr>
      <w:r>
        <w:t xml:space="preserve">Consistent with the Rules, we give no weight to comments which fail to focus on factual, legal, or technical errors and, in citing such errors, fail to make </w:t>
      </w:r>
      <w:r>
        <w:lastRenderedPageBreak/>
        <w:t>specific references to the record or applicable law.</w:t>
      </w:r>
      <w:r w:rsidR="00143C6C">
        <w:t xml:space="preserve"> </w:t>
      </w:r>
      <w:r>
        <w:t xml:space="preserve"> (Rule 14.3(c)</w:t>
      </w:r>
      <w:r w:rsidR="00143C6C">
        <w:t>.</w:t>
      </w:r>
      <w:r>
        <w:t xml:space="preserve">)  </w:t>
      </w:r>
      <w:proofErr w:type="gramStart"/>
      <w:r>
        <w:t>In particular, we</w:t>
      </w:r>
      <w:proofErr w:type="gramEnd"/>
      <w:r>
        <w:t xml:space="preserve"> disregard comments which only reargue a party’s position.  </w:t>
      </w:r>
    </w:p>
    <w:p w:rsidR="001C4A46" w:rsidP="001C4A46" w:rsidRDefault="001C4A46" w14:paraId="1A3CCE69" w14:textId="6150C1E3">
      <w:pPr>
        <w:pStyle w:val="Standard"/>
      </w:pPr>
      <w:r>
        <w:t xml:space="preserve">We make limited corrections and revisions to improve clarity.  We note that Appendix B was attached to the proposed decision to highlight changes from the Settlement Agreement and thereby facilitate parties making their comments on the proposed decision.  Appendix B is no longer needed for that purpose.  Therefore, we delete the prior Appendix B and rename the prior Appendix C as Appendix B to this order.  </w:t>
      </w:r>
    </w:p>
    <w:p w:rsidR="001C4A46" w:rsidP="001C4A46" w:rsidRDefault="001C4A46" w14:paraId="29C74758" w14:textId="77777777">
      <w:pPr>
        <w:pStyle w:val="Standard"/>
      </w:pPr>
      <w:r>
        <w:t xml:space="preserve">We are persuaded by parties’ comments to make limited revisions to the policy requirements and the submission of the implementation ALs in the proposed decision.  </w:t>
      </w:r>
    </w:p>
    <w:p w:rsidR="001C4A46" w:rsidP="00D0750F" w:rsidRDefault="001C4A46" w14:paraId="5D08D375" w14:textId="32AF9776">
      <w:pPr>
        <w:pStyle w:val="ListBullet"/>
        <w:ind w:right="1440"/>
      </w:pPr>
      <w:r>
        <w:t xml:space="preserve">We </w:t>
      </w:r>
      <w:r w:rsidR="006C28D0">
        <w:t xml:space="preserve">provide </w:t>
      </w:r>
      <w:r>
        <w:t xml:space="preserve">additional clarifications related to long-term contract cost recovery.  In addition, we </w:t>
      </w:r>
      <w:r w:rsidR="006C28D0">
        <w:t>allow</w:t>
      </w:r>
      <w:r>
        <w:t xml:space="preserve"> more time for the Utilities to decide whether to implement the RNG Tariff program and to submit </w:t>
      </w:r>
      <w:r w:rsidR="00C62DB8">
        <w:t>separate</w:t>
      </w:r>
      <w:r>
        <w:t xml:space="preserve"> implementation AL</w:t>
      </w:r>
      <w:r w:rsidR="00C62DB8">
        <w:t>s</w:t>
      </w:r>
      <w:r w:rsidR="00240608">
        <w:t>.</w:t>
      </w:r>
    </w:p>
    <w:p w:rsidR="001C4A46" w:rsidP="00D0750F" w:rsidRDefault="001C4A46" w14:paraId="36A51D33" w14:textId="33CE66B7">
      <w:pPr>
        <w:pStyle w:val="ListBullet"/>
        <w:ind w:right="1440"/>
      </w:pPr>
      <w:r>
        <w:t xml:space="preserve">We require </w:t>
      </w:r>
      <w:r w:rsidR="00C62DB8">
        <w:t xml:space="preserve">additional </w:t>
      </w:r>
      <w:r>
        <w:t xml:space="preserve">disclosures in the </w:t>
      </w:r>
      <w:r w:rsidR="00C62DB8">
        <w:t>Utilities’</w:t>
      </w:r>
      <w:r>
        <w:t xml:space="preserve"> marketing materials.</w:t>
      </w:r>
    </w:p>
    <w:p w:rsidR="001E1FBD" w:rsidP="00D0750F" w:rsidRDefault="00C62DB8" w14:paraId="4FF6C632" w14:textId="77777777">
      <w:pPr>
        <w:pStyle w:val="ListBullet"/>
        <w:ind w:right="1440"/>
      </w:pPr>
      <w:r>
        <w:t xml:space="preserve">We require the Utilities to submit annual Tier </w:t>
      </w:r>
      <w:r w:rsidR="004F1030">
        <w:t>1</w:t>
      </w:r>
      <w:r>
        <w:t xml:space="preserve"> ALs</w:t>
      </w:r>
      <w:r w:rsidR="004F1030">
        <w:t xml:space="preserve"> to report </w:t>
      </w:r>
      <w:r w:rsidR="001E1FBD">
        <w:t xml:space="preserve">to the Commission whether in-state diary RNG suppliers </w:t>
      </w:r>
      <w:proofErr w:type="gramStart"/>
      <w:r w:rsidR="001E1FBD">
        <w:t>are in compliance with</w:t>
      </w:r>
      <w:proofErr w:type="gramEnd"/>
      <w:r w:rsidR="001E1FBD">
        <w:t xml:space="preserve"> all applicable air and water pollution control standards or requirements.</w:t>
      </w:r>
    </w:p>
    <w:p w:rsidR="00C62DB8" w:rsidP="00D0750F" w:rsidRDefault="001E1FBD" w14:paraId="51B5B9E5" w14:textId="7BE70A20">
      <w:pPr>
        <w:pStyle w:val="ListBullet"/>
        <w:ind w:right="1440"/>
      </w:pPr>
      <w:r>
        <w:t xml:space="preserve">We require </w:t>
      </w:r>
      <w:r w:rsidR="00240608">
        <w:t xml:space="preserve">the Utilities to submit annual Tier 2 ALs to confirm whether the Utilities </w:t>
      </w:r>
      <w:r w:rsidR="00E86EC8">
        <w:t xml:space="preserve">have </w:t>
      </w:r>
      <w:r w:rsidR="002D471D">
        <w:t>compli</w:t>
      </w:r>
      <w:r w:rsidR="00E86EC8">
        <w:t>ed</w:t>
      </w:r>
      <w:r w:rsidR="002D471D">
        <w:t xml:space="preserve"> with </w:t>
      </w:r>
      <w:r w:rsidR="00E86EC8">
        <w:t xml:space="preserve">the </w:t>
      </w:r>
      <w:r w:rsidR="002D471D">
        <w:t>RNG procurement requirements.</w:t>
      </w:r>
      <w:r w:rsidR="00C62DB8">
        <w:t xml:space="preserve"> </w:t>
      </w:r>
    </w:p>
    <w:p w:rsidR="00600676" w:rsidP="00600676" w:rsidRDefault="001C4A46" w14:paraId="1EDDD411" w14:textId="10E21AA4">
      <w:pPr>
        <w:pStyle w:val="Standard"/>
      </w:pPr>
      <w:r>
        <w:t xml:space="preserve">LC/SC request certain modifications to the RNG Tariff program, including a prohibition on procurement of RNG from dairies due to pollution they create and the resulting impacts on local communities.  If these modifications are not adopted, they request that the Commission require certain disclosures in the </w:t>
      </w:r>
      <w:r>
        <w:lastRenderedPageBreak/>
        <w:t>program marketing materials.  We do not adopt the requested prohibition but add a requirement for certain disclosures in the marketing materials to address the concerns identified by LC/SC</w:t>
      </w:r>
      <w:r w:rsidR="00600676">
        <w:t xml:space="preserve">.  </w:t>
      </w:r>
      <w:r w:rsidRPr="00600676" w:rsidR="00600676">
        <w:t xml:space="preserve">Due to concerns about local environmental impacts of dairies that might provide RNG, we also adopt requirements for annual reporting on a dairy RNG supplier’s compliance with applicable air and water pollution control requirements.  This information will be considered in the evaluation of the pilot program.  We also add a disclosure about the implication of the RNG Tariff program for the Utilities’ </w:t>
      </w:r>
      <w:r w:rsidR="00B439F4">
        <w:t>GHG</w:t>
      </w:r>
      <w:r w:rsidRPr="00600676" w:rsidR="00600676">
        <w:t xml:space="preserve"> reduction obligations under CARB’s Cap-and-Trade Regulation.  These additions are discussed in </w:t>
      </w:r>
      <w:r w:rsidR="00B439F4">
        <w:t xml:space="preserve">the </w:t>
      </w:r>
      <w:r w:rsidRPr="00600676" w:rsidR="00600676">
        <w:t>section above.</w:t>
      </w:r>
    </w:p>
    <w:p w:rsidR="00E94554" w:rsidP="00E94554" w:rsidRDefault="00E94554" w14:paraId="0C46F23E" w14:textId="540BD012">
      <w:pPr>
        <w:pStyle w:val="Standard"/>
      </w:pPr>
      <w:r>
        <w:t xml:space="preserve">The Utilities and some of the Settling Parties object to elimination of the cost cap that was part of the Settlement Agreement.  The cap potentially allowed all the RNG supplies to come from out-of-state if the price of in-state RNG was too high.  Parties argue that RNG supplies in California are currently quite limited, and RNG from new dairy biomethane projects that are completed </w:t>
      </w:r>
      <w:proofErr w:type="gramStart"/>
      <w:r>
        <w:t>in the near future</w:t>
      </w:r>
      <w:proofErr w:type="gramEnd"/>
      <w:r>
        <w:t xml:space="preserve"> are likely to be sold for LCFS credits at prices that are too expensive for customers in the RNG Tariff program.  With SB 1440 implementation underway, we find that development of lower cost sources of biomethane with environmental benefits for California may be possible. </w:t>
      </w:r>
      <w:r w:rsidR="004002A4">
        <w:t xml:space="preserve"> </w:t>
      </w:r>
      <w:r>
        <w:t xml:space="preserve">However, it is likely to require long-term contracts for procurement of substantial volumes.  We continue to believe that eliminating the cost cap is appropriate because achieving environmental benefits in California is an important reason that we authorize the pilot program.  The additional time provided in this decision will allow the Utilities to evaluate whether procurement for the voluntary pilot RNG tariff may </w:t>
      </w:r>
      <w:r>
        <w:lastRenderedPageBreak/>
        <w:t xml:space="preserve">occur in conjunction with long-term contracts for any RNG procurement that may be authorized in the proceeding implementing SB 1440 (R.13-02-008).  </w:t>
      </w:r>
    </w:p>
    <w:p w:rsidR="00E94554" w:rsidP="00E94554" w:rsidRDefault="00E94554" w14:paraId="18C7F7BD" w14:textId="77777777">
      <w:pPr>
        <w:pStyle w:val="Standard"/>
      </w:pPr>
      <w:r>
        <w:t>Several parties request authorization to seek intervenor compensation for their work on the PAG and the modified GREET methodology, both addressed in this decision.  Intervenor compensation is generally available to certain parties that make a substantial contribution to the adoption of an order or decision of the Commission in a formal proceeding,</w:t>
      </w:r>
      <w:r>
        <w:rPr>
          <w:rStyle w:val="FootnoteReference"/>
        </w:rPr>
        <w:footnoteReference w:id="63"/>
      </w:r>
      <w:r>
        <w:t xml:space="preserve"> and we decline to grant parties’ requests in this situation.  Those costs would also result in an increase in non-participating customers’ rates, which we wish to avoid.</w:t>
      </w:r>
    </w:p>
    <w:p w:rsidR="00E94554" w:rsidP="00E94554" w:rsidRDefault="00E94554" w14:paraId="6ED491E9" w14:textId="5DE62C18">
      <w:pPr>
        <w:pStyle w:val="Standard"/>
      </w:pPr>
      <w:r>
        <w:t xml:space="preserve">We also consider </w:t>
      </w:r>
      <w:r w:rsidRPr="00A919D3">
        <w:t xml:space="preserve">SC/LC's request to </w:t>
      </w:r>
      <w:r>
        <w:t>impose the same</w:t>
      </w:r>
      <w:r w:rsidRPr="00A919D3">
        <w:t xml:space="preserve"> </w:t>
      </w:r>
      <w:r>
        <w:t>“</w:t>
      </w:r>
      <w:r w:rsidRPr="00A919D3">
        <w:t>additionality</w:t>
      </w:r>
      <w:r>
        <w:t>” requirement for in-state RNG sources that is required</w:t>
      </w:r>
      <w:r w:rsidRPr="00A919D3">
        <w:t xml:space="preserve"> in CARB's Cap-and-Trade Regulation</w:t>
      </w:r>
      <w:r>
        <w:t xml:space="preserve"> for offsets.  We decline to adopt this requirement for the reasons set forth above, and because of the following:</w:t>
      </w:r>
      <w:r w:rsidRPr="00A919D3">
        <w:t xml:space="preserve"> </w:t>
      </w:r>
      <w:r w:rsidR="00143C6C">
        <w:t xml:space="preserve"> </w:t>
      </w:r>
      <w:r w:rsidRPr="00A919D3">
        <w:t>RNG from existing facilities takes advantage of prior infrastructure investments resulting in lower cost for program participants</w:t>
      </w:r>
      <w:r>
        <w:t>,</w:t>
      </w:r>
      <w:r w:rsidRPr="00A919D3">
        <w:t xml:space="preserve"> and existing wastewater </w:t>
      </w:r>
      <w:r>
        <w:t xml:space="preserve">treatment </w:t>
      </w:r>
      <w:r w:rsidRPr="00A919D3">
        <w:t xml:space="preserve">facilities could </w:t>
      </w:r>
      <w:r>
        <w:t>increase their RNG production by</w:t>
      </w:r>
      <w:r w:rsidRPr="00A919D3">
        <w:t xml:space="preserve"> processing food waste diverted from landfills</w:t>
      </w:r>
      <w:r>
        <w:t>.</w:t>
      </w:r>
    </w:p>
    <w:p w:rsidRPr="006E6574" w:rsidR="001C4A46" w:rsidP="00E94554" w:rsidRDefault="00E94554" w14:paraId="17580825" w14:textId="6BEE8E2E">
      <w:pPr>
        <w:pStyle w:val="Standard"/>
      </w:pPr>
      <w:r>
        <w:t>Finally, parties raised other issues in their comments.  We decline to adopt their proposed modifications because we do not find the respective arguments persuasive.</w:t>
      </w:r>
    </w:p>
    <w:p w:rsidR="001C4A46" w:rsidP="001C4A46" w:rsidRDefault="001C4A46" w14:paraId="273D3156" w14:textId="77777777">
      <w:pPr>
        <w:pStyle w:val="Heading1"/>
      </w:pPr>
      <w:bookmarkStart w:name="_Toc8123724" w:id="48"/>
      <w:bookmarkStart w:name="_Toc57188151" w:id="49"/>
      <w:r>
        <w:t>Assignment of Proceeding</w:t>
      </w:r>
      <w:bookmarkEnd w:id="48"/>
      <w:bookmarkEnd w:id="49"/>
    </w:p>
    <w:p w:rsidR="005939A5" w:rsidP="001C4A46" w:rsidRDefault="001C4A46" w14:paraId="3D25E743" w14:textId="719A6510">
      <w:pPr>
        <w:pStyle w:val="Standard"/>
      </w:pPr>
      <w:r w:rsidRPr="00E06CB7">
        <w:rPr>
          <w:szCs w:val="26"/>
        </w:rPr>
        <w:t>Clifford Rechtschaffen</w:t>
      </w:r>
      <w:r>
        <w:t xml:space="preserve"> is the assigned Commissioner and Scarlett Liang</w:t>
      </w:r>
      <w:r>
        <w:noBreakHyphen/>
        <w:t>Uejio is the assigned ALJ in this proceeding.</w:t>
      </w:r>
    </w:p>
    <w:p w:rsidR="005939A5" w:rsidP="005939A5" w:rsidRDefault="005939A5" w14:paraId="7225C07D" w14:textId="77777777">
      <w:pPr>
        <w:pStyle w:val="Dummy"/>
      </w:pPr>
      <w:bookmarkStart w:name="_Toc8123725" w:id="50"/>
      <w:bookmarkStart w:name="_Toc57188152" w:id="51"/>
      <w:r>
        <w:lastRenderedPageBreak/>
        <w:t>Findings of Fact</w:t>
      </w:r>
      <w:bookmarkEnd w:id="50"/>
      <w:bookmarkEnd w:id="51"/>
    </w:p>
    <w:p w:rsidR="00FB2E96" w:rsidP="0001137D" w:rsidRDefault="00FB2E96" w14:paraId="2233AC75" w14:textId="6C21EB13">
      <w:pPr>
        <w:pStyle w:val="FoF"/>
      </w:pPr>
      <w:r>
        <w:t xml:space="preserve">The Settling Parties </w:t>
      </w:r>
      <w:proofErr w:type="gramStart"/>
      <w:r>
        <w:t>request</w:t>
      </w:r>
      <w:proofErr w:type="gramEnd"/>
      <w:r>
        <w:t xml:space="preserve"> Commission </w:t>
      </w:r>
      <w:r w:rsidR="00B6608E">
        <w:t>approval</w:t>
      </w:r>
      <w:r>
        <w:t xml:space="preserve"> </w:t>
      </w:r>
      <w:r w:rsidR="00C20CCC">
        <w:t>of</w:t>
      </w:r>
      <w:r>
        <w:t xml:space="preserve"> a voluntary pilot RNG Tariff program</w:t>
      </w:r>
      <w:r w:rsidR="00B6608E">
        <w:t xml:space="preserve"> as set forth in the Settlement Agreement.  The Settling Parties are the Utilities, AE</w:t>
      </w:r>
      <w:r w:rsidR="001D22AA">
        <w:t>C</w:t>
      </w:r>
      <w:r w:rsidR="00B6608E">
        <w:t>A, BAC, Cal Advocates, EDF, RNGC, and SFE.</w:t>
      </w:r>
      <w:r>
        <w:t xml:space="preserve"> </w:t>
      </w:r>
    </w:p>
    <w:p w:rsidR="0065754E" w:rsidP="0065754E" w:rsidRDefault="00794321" w14:paraId="6412AC31" w14:textId="47D5B9A4">
      <w:pPr>
        <w:pStyle w:val="FoF"/>
      </w:pPr>
      <w:r>
        <w:t xml:space="preserve">The Settlement Agreement is contested by </w:t>
      </w:r>
      <w:r w:rsidR="005B7DCC">
        <w:t xml:space="preserve">TURN, </w:t>
      </w:r>
      <w:r w:rsidR="00B6608E">
        <w:t xml:space="preserve">CUE, </w:t>
      </w:r>
      <w:r w:rsidR="005B7DCC">
        <w:t xml:space="preserve">LC/SC, </w:t>
      </w:r>
      <w:r w:rsidR="00B6608E">
        <w:t xml:space="preserve">and </w:t>
      </w:r>
      <w:r w:rsidR="005B7DCC">
        <w:t>Wild</w:t>
      </w:r>
      <w:r w:rsidR="003110F9">
        <w:t> </w:t>
      </w:r>
      <w:r w:rsidR="005B7DCC">
        <w:t>Tree</w:t>
      </w:r>
      <w:r w:rsidR="00552699">
        <w:t>.</w:t>
      </w:r>
      <w:r w:rsidR="008D203D">
        <w:t xml:space="preserve"> </w:t>
      </w:r>
      <w:r w:rsidR="000C01B2">
        <w:t xml:space="preserve"> </w:t>
      </w:r>
      <w:r w:rsidR="008D203D">
        <w:t xml:space="preserve">These parties </w:t>
      </w:r>
      <w:r w:rsidR="0065754E">
        <w:t xml:space="preserve">represent the interests of environmental, customer, and labor perspectives.  </w:t>
      </w:r>
    </w:p>
    <w:p w:rsidR="001617AF" w:rsidP="00B6608E" w:rsidRDefault="0064644D" w14:paraId="4DF8A713" w14:textId="367CAEA4">
      <w:pPr>
        <w:pStyle w:val="FoF"/>
      </w:pPr>
      <w:r>
        <w:t xml:space="preserve">Under the Settlement Agreement, the voluntary RNG Tariff program will be a three-year pilot </w:t>
      </w:r>
      <w:r w:rsidR="002C0D08">
        <w:t xml:space="preserve">subject to Commission review and approval for continuation at the end of the three-year period.  If program continuation is not approved, </w:t>
      </w:r>
      <w:r w:rsidR="00573FFC">
        <w:t xml:space="preserve">upon the Commission decision, </w:t>
      </w:r>
      <w:r w:rsidR="002C0D08">
        <w:t>the Utilities will terminate the program within</w:t>
      </w:r>
      <w:r>
        <w:t xml:space="preserve"> two additional years</w:t>
      </w:r>
      <w:r w:rsidR="502E5CA3">
        <w:t xml:space="preserve"> (</w:t>
      </w:r>
      <w:r w:rsidR="00D45A2C">
        <w:t>transition</w:t>
      </w:r>
      <w:r w:rsidR="502E5CA3">
        <w:t xml:space="preserve"> period)</w:t>
      </w:r>
      <w:r>
        <w:t>.</w:t>
      </w:r>
    </w:p>
    <w:p w:rsidRPr="00D371BD" w:rsidR="00FB0DF6" w:rsidP="00B6608E" w:rsidRDefault="00D371BD" w14:paraId="57D1E790" w14:textId="1AA45ED8">
      <w:pPr>
        <w:pStyle w:val="FoF"/>
      </w:pPr>
      <w:r>
        <w:t xml:space="preserve">The </w:t>
      </w:r>
      <w:r w:rsidR="7F14AC3E">
        <w:t>Settlement Agreement provides</w:t>
      </w:r>
      <w:r>
        <w:t xml:space="preserve"> that the Utilities should meet certain minimum procurement requirement goals.  </w:t>
      </w:r>
      <w:r w:rsidR="001E6528">
        <w:t xml:space="preserve">The </w:t>
      </w:r>
      <w:r w:rsidR="29F5C448">
        <w:t>Settlement Agreement requires, with some exceptions,</w:t>
      </w:r>
      <w:r w:rsidR="001E6528">
        <w:t xml:space="preserve"> </w:t>
      </w:r>
      <w:r w:rsidRPr="002F0B79" w:rsidR="001E6528">
        <w:t>that the Utilities procure at least 50 percent of RNG</w:t>
      </w:r>
      <w:r w:rsidR="00524C7A">
        <w:t xml:space="preserve"> supplies</w:t>
      </w:r>
      <w:r w:rsidRPr="002F0B79" w:rsidR="001E6528">
        <w:t xml:space="preserve"> from in-state sources</w:t>
      </w:r>
      <w:r w:rsidR="001E6528">
        <w:t xml:space="preserve"> to meet program demand</w:t>
      </w:r>
      <w:r w:rsidRPr="002F0B79" w:rsidR="001E6528">
        <w:t>, of which at least half is from sources other than landfill gas.  The average cost of the in-state RNG supply portfolio is subject to a limit of 200</w:t>
      </w:r>
      <w:r w:rsidR="001E6528">
        <w:t xml:space="preserve"> percent</w:t>
      </w:r>
      <w:r w:rsidRPr="002F0B79" w:rsidR="001E6528">
        <w:t xml:space="preserve"> of the average costs of the total out</w:t>
      </w:r>
      <w:r w:rsidR="00D61E4F">
        <w:noBreakHyphen/>
      </w:r>
      <w:r w:rsidRPr="002F0B79" w:rsidR="001E6528">
        <w:t>of</w:t>
      </w:r>
      <w:r w:rsidR="00D61E4F">
        <w:noBreakHyphen/>
      </w:r>
      <w:r w:rsidRPr="002F0B79" w:rsidR="001E6528">
        <w:t>state portfolio to meet the program demand.</w:t>
      </w:r>
      <w:r w:rsidR="001904BD">
        <w:t xml:space="preserve">  If there are no qualifying non-landfill offers, the remaining demand will be met with qualifying in-state landfill up to a 250 percent average cost limit.</w:t>
      </w:r>
      <w:r w:rsidR="001E6528">
        <w:t xml:space="preserve">  The Settlement Agreement allows the Utilities to </w:t>
      </w:r>
      <w:r w:rsidR="001904BD">
        <w:t>meet</w:t>
      </w:r>
      <w:r w:rsidR="001E6528">
        <w:t xml:space="preserve"> the program demand with out-of-state RNG supplies </w:t>
      </w:r>
      <w:r w:rsidR="001904BD">
        <w:t xml:space="preserve">in the event there are </w:t>
      </w:r>
      <w:r w:rsidR="560FAC69">
        <w:t xml:space="preserve">ultimately </w:t>
      </w:r>
      <w:r w:rsidR="001904BD">
        <w:t>no qualifying in-state landfill offers</w:t>
      </w:r>
      <w:r w:rsidR="0E881390">
        <w:t xml:space="preserve">. </w:t>
      </w:r>
      <w:r w:rsidR="001904BD">
        <w:t xml:space="preserve"> </w:t>
      </w:r>
    </w:p>
    <w:p w:rsidR="00A94831" w:rsidP="00D371BD" w:rsidRDefault="00524C7A" w14:paraId="482AB276" w14:textId="2ED739D2">
      <w:pPr>
        <w:pStyle w:val="FoF"/>
      </w:pPr>
      <w:r>
        <w:t>To provide transparency and oversight</w:t>
      </w:r>
      <w:r w:rsidR="4F63E186">
        <w:t xml:space="preserve"> </w:t>
      </w:r>
      <w:r>
        <w:t>for RNG procurement, the</w:t>
      </w:r>
      <w:r w:rsidR="00A94831">
        <w:t xml:space="preserve"> Settlement Agreement creates a PA</w:t>
      </w:r>
      <w:r w:rsidR="00223955">
        <w:t>G</w:t>
      </w:r>
      <w:r w:rsidR="00A94831">
        <w:t xml:space="preserve"> that will consist of the Utilities, Energy</w:t>
      </w:r>
      <w:r w:rsidR="003110F9">
        <w:t> </w:t>
      </w:r>
      <w:r w:rsidR="00A94831">
        <w:t xml:space="preserve">Division staff, and other </w:t>
      </w:r>
      <w:r w:rsidR="0049072D">
        <w:t xml:space="preserve">interested </w:t>
      </w:r>
      <w:r w:rsidR="00A94831">
        <w:t>non-market participants.</w:t>
      </w:r>
    </w:p>
    <w:p w:rsidR="00D371BD" w:rsidP="00D371BD" w:rsidRDefault="00A94831" w14:paraId="322FC60A" w14:textId="3174CA2F">
      <w:pPr>
        <w:pStyle w:val="FoF"/>
      </w:pPr>
      <w:r>
        <w:lastRenderedPageBreak/>
        <w:t>The Settling Parties clarified that</w:t>
      </w:r>
      <w:r w:rsidR="008F502C">
        <w:t xml:space="preserve"> </w:t>
      </w:r>
      <w:r>
        <w:t>the additionality requirement for eligible RNG supplies pursuant to 17 CCR Section 95852.1</w:t>
      </w:r>
      <w:r w:rsidR="008F502C">
        <w:t>.1</w:t>
      </w:r>
      <w:r>
        <w:t xml:space="preserve"> </w:t>
      </w:r>
      <w:r w:rsidR="009A77BD">
        <w:t xml:space="preserve">under the Settlement Agreement </w:t>
      </w:r>
      <w:r>
        <w:t xml:space="preserve">applies </w:t>
      </w:r>
      <w:r w:rsidR="008F502C">
        <w:t xml:space="preserve">only to out-of-state RNG supplies.  The Settling Parties further clarified that 17 CCR Section 95852.1 applies to both in- and out-of-state RNG supplies.  The Settling Parties agree that the Utilities </w:t>
      </w:r>
      <w:r w:rsidR="006E265B">
        <w:t xml:space="preserve">will contract an independent third-party company to verify the compliance of both in- and out-of-state RNG supplies with the MRR and Cap-and-Trade Regulation as well as RNG carbon intensity information using the GREET model for the LCFS program. </w:t>
      </w:r>
    </w:p>
    <w:p w:rsidR="0065754E" w:rsidP="0065754E" w:rsidRDefault="0065754E" w14:paraId="2966CD0F" w14:textId="3CE047BE">
      <w:pPr>
        <w:pStyle w:val="FoF"/>
      </w:pPr>
      <w:r w:rsidRPr="00795C65">
        <w:t>SB 1440</w:t>
      </w:r>
      <w:r w:rsidRPr="00241F5D">
        <w:t xml:space="preserve"> </w:t>
      </w:r>
      <w:r>
        <w:t>(</w:t>
      </w:r>
      <w:r w:rsidRPr="00241F5D">
        <w:t>Stats. 2018, Ch. 739, Sec. 1</w:t>
      </w:r>
      <w:r>
        <w:t xml:space="preserve">), </w:t>
      </w:r>
      <w:r w:rsidRPr="00241F5D">
        <w:t xml:space="preserve">codified by Pub. Util. Code </w:t>
      </w:r>
      <w:r w:rsidR="003B4157">
        <w:t>S</w:t>
      </w:r>
      <w:r>
        <w:t>ections</w:t>
      </w:r>
      <w:r w:rsidR="003B4157">
        <w:t> </w:t>
      </w:r>
      <w:r w:rsidRPr="00241F5D">
        <w:t>650-651</w:t>
      </w:r>
      <w:r>
        <w:t xml:space="preserve">, </w:t>
      </w:r>
      <w:r w:rsidRPr="00795C65">
        <w:t xml:space="preserve">requires the Commission, in consultation with CARB, to consider adopting specific biomethane procurement targets or goals for each </w:t>
      </w:r>
      <w:r>
        <w:t xml:space="preserve">California </w:t>
      </w:r>
      <w:r w:rsidRPr="00795C65">
        <w:t>gas utility.</w:t>
      </w:r>
      <w:r>
        <w:t xml:space="preserve">  It also requires the Commission to ensure that biomethane delivered to California through a common carrier pipeline eligible for any procurement program must demonstrate environmental benefits to California.  </w:t>
      </w:r>
    </w:p>
    <w:p w:rsidR="00321969" w:rsidP="00321969" w:rsidRDefault="00321969" w14:paraId="47C40445" w14:textId="1A3565E8">
      <w:pPr>
        <w:pStyle w:val="FoF"/>
      </w:pPr>
      <w:r>
        <w:t>A voluntary pilot RNG Tariff program will provide other benefits in addition to reducing SLCPs and GHG emissions.  The program may help customers gain early experience in using RNG as a part of their regular fossil-based natural gas services, expand upon the existing RNG market in California, and provide valuable information to assist the Commission should it later set statewide biomethane targets.</w:t>
      </w:r>
    </w:p>
    <w:p w:rsidR="00321969" w:rsidP="00321969" w:rsidRDefault="00321969" w14:paraId="45E4AFEB" w14:textId="77777777">
      <w:pPr>
        <w:pStyle w:val="FoF"/>
      </w:pPr>
      <w:r>
        <w:t xml:space="preserve">The Settlement Agreement may result in the Utilities potentially procuring 100 percent of the RNG supplies to meet their program demand from out-of-state RNG sources that have either no or negligible direct environmental benefits to California, as defined in SB 1440. </w:t>
      </w:r>
    </w:p>
    <w:p w:rsidR="00471D07" w:rsidP="00BC5B6E" w:rsidRDefault="007A6146" w14:paraId="74BC05A3" w14:textId="45762175">
      <w:pPr>
        <w:pStyle w:val="FoF"/>
      </w:pPr>
      <w:r>
        <w:lastRenderedPageBreak/>
        <w:t>At the time the Application</w:t>
      </w:r>
      <w:r w:rsidR="143DC804">
        <w:t xml:space="preserve"> was filed</w:t>
      </w:r>
      <w:r w:rsidR="00CB5B86">
        <w:t xml:space="preserve">, there </w:t>
      </w:r>
      <w:r w:rsidR="008F3486">
        <w:t>were only three in-state</w:t>
      </w:r>
      <w:r w:rsidR="00462299">
        <w:t xml:space="preserve"> pipeline</w:t>
      </w:r>
      <w:r w:rsidR="009B6D64">
        <w:t>-injected RNG pro</w:t>
      </w:r>
      <w:r w:rsidR="00FE13A2">
        <w:t>duction facilities in operation.</w:t>
      </w:r>
      <w:r w:rsidR="00050D7F">
        <w:t xml:space="preserve">  The </w:t>
      </w:r>
      <w:r w:rsidR="00747C69">
        <w:t>Utilities’ test</w:t>
      </w:r>
      <w:r w:rsidR="005B40FC">
        <w:t>i</w:t>
      </w:r>
      <w:r w:rsidR="00747C69">
        <w:t>mony</w:t>
      </w:r>
      <w:r w:rsidR="006D7A4D">
        <w:t xml:space="preserve"> </w:t>
      </w:r>
      <w:r w:rsidR="005709B9">
        <w:t xml:space="preserve">shows </w:t>
      </w:r>
      <w:r w:rsidR="00407504">
        <w:t xml:space="preserve">there are </w:t>
      </w:r>
      <w:r w:rsidR="17F13E08">
        <w:t xml:space="preserve">now </w:t>
      </w:r>
      <w:r w:rsidR="00407504">
        <w:t>ni</w:t>
      </w:r>
      <w:r w:rsidR="001931B7">
        <w:t>ne</w:t>
      </w:r>
      <w:r w:rsidR="00407504">
        <w:t xml:space="preserve"> </w:t>
      </w:r>
      <w:r w:rsidR="00233B59">
        <w:t>RNG</w:t>
      </w:r>
      <w:r w:rsidR="001931B7">
        <w:t xml:space="preserve"> production facilities in operation</w:t>
      </w:r>
      <w:r w:rsidR="00DE0933">
        <w:t xml:space="preserve">, four </w:t>
      </w:r>
      <w:r w:rsidR="008F7F52">
        <w:t>under construction, and 14 in substantial development.</w:t>
      </w:r>
    </w:p>
    <w:p w:rsidR="008F2E4F" w:rsidP="00BC5B6E" w:rsidRDefault="0036121F" w14:paraId="1817AA9D" w14:textId="75646339">
      <w:pPr>
        <w:pStyle w:val="FoF"/>
      </w:pPr>
      <w:r>
        <w:t xml:space="preserve">SoCalGas requests </w:t>
      </w:r>
      <w:r w:rsidR="00667700">
        <w:t xml:space="preserve">funding for </w:t>
      </w:r>
      <w:r w:rsidR="007157DA">
        <w:t xml:space="preserve">$785,000 </w:t>
      </w:r>
      <w:r w:rsidR="00667700">
        <w:t>of</w:t>
      </w:r>
      <w:r w:rsidR="04EE4C20">
        <w:t xml:space="preserve"> </w:t>
      </w:r>
      <w:r w:rsidR="007157DA">
        <w:t>its estimated</w:t>
      </w:r>
      <w:r>
        <w:t xml:space="preserve"> IT costs via the unused capital budget </w:t>
      </w:r>
      <w:r w:rsidR="00495A74">
        <w:t xml:space="preserve">authorized </w:t>
      </w:r>
      <w:r w:rsidR="002225F5">
        <w:t>for</w:t>
      </w:r>
      <w:r>
        <w:t xml:space="preserve"> its </w:t>
      </w:r>
      <w:r w:rsidR="00E21D7B">
        <w:t>2019 Test Year</w:t>
      </w:r>
      <w:r>
        <w:t xml:space="preserve"> GRC cycle.  SDG&amp;E requests authority to include its IT costs in its next GRC.</w:t>
      </w:r>
    </w:p>
    <w:p w:rsidR="008E4E46" w:rsidP="00BC5B6E" w:rsidRDefault="007157DA" w14:paraId="7458C11D" w14:textId="69937061">
      <w:pPr>
        <w:pStyle w:val="FoF"/>
      </w:pPr>
      <w:proofErr w:type="gramStart"/>
      <w:r>
        <w:t>Subsequent to</w:t>
      </w:r>
      <w:proofErr w:type="gramEnd"/>
      <w:r>
        <w:t xml:space="preserve"> the filing of this Application, the Commission issued D.20</w:t>
      </w:r>
      <w:r w:rsidR="004F6DFD">
        <w:noBreakHyphen/>
      </w:r>
      <w:r>
        <w:t>01</w:t>
      </w:r>
      <w:r w:rsidR="6C94B3F8">
        <w:t>-</w:t>
      </w:r>
      <w:r>
        <w:t>002 in R.13-11-006 (the Rate Case Plan Decision), which changes SDG&amp;E’s GRC process and schedule.  D.20</w:t>
      </w:r>
      <w:r w:rsidR="6AC399D7">
        <w:t>-</w:t>
      </w:r>
      <w:r>
        <w:t>01</w:t>
      </w:r>
      <w:r w:rsidR="6AC399D7">
        <w:t>-</w:t>
      </w:r>
      <w:r>
        <w:t xml:space="preserve">002 </w:t>
      </w:r>
      <w:r w:rsidR="009C0BEE">
        <w:t xml:space="preserve">extends SDG&amp;E’s Test Year 2019 GRC cycle by two additional Attrition Years (2022 and 2023).  </w:t>
      </w:r>
      <w:r w:rsidR="00880E0C">
        <w:t xml:space="preserve">It </w:t>
      </w:r>
      <w:r>
        <w:t>permits SDG&amp;E to update its overall capital budget estimates and include proposed escalation factors for 2022 and 2023.</w:t>
      </w:r>
    </w:p>
    <w:p w:rsidR="007157DA" w:rsidP="00BC5B6E" w:rsidRDefault="008E4E46" w14:paraId="6D979768" w14:textId="3122FC13">
      <w:pPr>
        <w:pStyle w:val="FoF"/>
      </w:pPr>
      <w:r>
        <w:t xml:space="preserve">The Settlement Agreement </w:t>
      </w:r>
      <w:r w:rsidR="008700E6">
        <w:t xml:space="preserve">resolved </w:t>
      </w:r>
      <w:r w:rsidR="00EF7674">
        <w:t xml:space="preserve">other issues </w:t>
      </w:r>
      <w:r w:rsidR="0003013B">
        <w:t xml:space="preserve">related to the voluntary RNG Tariff program </w:t>
      </w:r>
      <w:r w:rsidR="0086619D">
        <w:t>including general terms</w:t>
      </w:r>
      <w:r w:rsidR="00681670">
        <w:t xml:space="preserve">, </w:t>
      </w:r>
      <w:r w:rsidR="001B2C2F">
        <w:t>program design</w:t>
      </w:r>
      <w:r w:rsidR="0070195E">
        <w:t xml:space="preserve">, regulatory accounting, </w:t>
      </w:r>
      <w:r w:rsidR="00640F6C">
        <w:t xml:space="preserve">marketing, </w:t>
      </w:r>
      <w:r w:rsidR="00A85DC8">
        <w:t>and reporting.</w:t>
      </w:r>
    </w:p>
    <w:p w:rsidR="00D371BD" w:rsidP="00D371BD" w:rsidRDefault="00D371BD" w14:paraId="181B0044" w14:textId="43864533">
      <w:pPr>
        <w:pStyle w:val="FoF"/>
      </w:pPr>
      <w:r>
        <w:t xml:space="preserve">The Settlement Agreement leaves open whether the Utilities’ shareholders should be the backstop for the wind down costs </w:t>
      </w:r>
      <w:r w:rsidR="00247B39">
        <w:t>(</w:t>
      </w:r>
      <w:r w:rsidRPr="004F6DFD">
        <w:rPr>
          <w:i/>
          <w:iCs/>
        </w:rPr>
        <w:t>i.e</w:t>
      </w:r>
      <w:r>
        <w:t>., whether any costs not otherwise recovered from program participants during the operation of the RNG program should be recovered from the Utilities’ shareholders</w:t>
      </w:r>
      <w:r w:rsidR="00247B39">
        <w:t>)</w:t>
      </w:r>
      <w:r>
        <w:t>.</w:t>
      </w:r>
    </w:p>
    <w:p w:rsidR="001C4A46" w:rsidP="001C4A46" w:rsidRDefault="001C4A46" w14:paraId="718E3648" w14:textId="11D1ED5B">
      <w:pPr>
        <w:pStyle w:val="FoF"/>
      </w:pPr>
      <w:r w:rsidRPr="003279C0">
        <w:t>Providing</w:t>
      </w:r>
      <w:r w:rsidRPr="00EF6CCB">
        <w:t xml:space="preserve"> additional time for the Utilities to decide whether to implement the RNG Tariff and submit the implementation details allows the Utilities to evaluate whether there are opportunities for long-term contracting in conjunction with any procurement that may be authorized in the proceeding implementing SB</w:t>
      </w:r>
      <w:r w:rsidR="00303177">
        <w:t> </w:t>
      </w:r>
      <w:r w:rsidRPr="00EF6CCB">
        <w:t>1440 (R.13-02-008).</w:t>
      </w:r>
      <w:r>
        <w:t xml:space="preserve"> </w:t>
      </w:r>
    </w:p>
    <w:p w:rsidR="001C4A46" w:rsidP="001C4A46" w:rsidRDefault="001C4A46" w14:paraId="50EB1A3D" w14:textId="6CF5311A">
      <w:pPr>
        <w:pStyle w:val="FoF"/>
      </w:pPr>
      <w:r>
        <w:lastRenderedPageBreak/>
        <w:t>Providing additional time before biomethane supplies are needed for RNG Tariff participants provides more time for establishment of new biomethane production facilities.</w:t>
      </w:r>
    </w:p>
    <w:p w:rsidR="005166E7" w:rsidP="001C4A46" w:rsidRDefault="005166E7" w14:paraId="15699A39" w14:textId="451FD480">
      <w:pPr>
        <w:pStyle w:val="FoF"/>
      </w:pPr>
      <w:r>
        <w:t>Using RNG in appliances indoors does not reduce air pollutants in buildings, as compared with using traditional fossil-based natural gas.</w:t>
      </w:r>
    </w:p>
    <w:p w:rsidR="001C4A46" w:rsidP="005166E7" w:rsidRDefault="001C4A46" w14:paraId="2E070886" w14:textId="5E10BAF7">
      <w:pPr>
        <w:pStyle w:val="FoF"/>
      </w:pPr>
      <w:r>
        <w:t xml:space="preserve">Capturing biogas from dairies to produce renewable natural gas reduces greenhouse gas emissions, but does not mitigate all water, air, and odor pollution </w:t>
      </w:r>
      <w:r w:rsidRPr="009D4AF5">
        <w:t>from dairies</w:t>
      </w:r>
      <w:r>
        <w:t xml:space="preserve"> that impacts local communities.</w:t>
      </w:r>
    </w:p>
    <w:p w:rsidR="006F00CE" w:rsidP="005166E7" w:rsidRDefault="006F00CE" w14:paraId="16FE6B66" w14:textId="69E393DD">
      <w:pPr>
        <w:pStyle w:val="FoF"/>
      </w:pPr>
      <w:r>
        <w:t xml:space="preserve">Procuring RNG for the pilot program reduces the Utilities’ GHG compliance obligations under CARB’s Cap-and-Trade Regulation.  The Utilities propose </w:t>
      </w:r>
      <w:r w:rsidR="008E4520">
        <w:t xml:space="preserve">that the </w:t>
      </w:r>
      <w:r>
        <w:t>resulting cost savings will be credited to the RNG Tariff program customers.</w:t>
      </w:r>
    </w:p>
    <w:p w:rsidR="005939A5" w:rsidP="005939A5" w:rsidRDefault="005939A5" w14:paraId="1DB5E4DD" w14:textId="77777777">
      <w:pPr>
        <w:pStyle w:val="Dummy"/>
      </w:pPr>
      <w:bookmarkStart w:name="_Toc8123726" w:id="52"/>
      <w:bookmarkStart w:name="_Toc57188153" w:id="53"/>
      <w:r>
        <w:t>Conclusions of Law</w:t>
      </w:r>
      <w:bookmarkEnd w:id="52"/>
      <w:bookmarkEnd w:id="53"/>
    </w:p>
    <w:p w:rsidR="005C39DD" w:rsidP="00321969" w:rsidRDefault="00912572" w14:paraId="31683F4B" w14:textId="3D8B7B26">
      <w:pPr>
        <w:pStyle w:val="FoF"/>
        <w:numPr>
          <w:ilvl w:val="0"/>
          <w:numId w:val="33"/>
        </w:numPr>
      </w:pPr>
      <w:r>
        <w:t>T</w:t>
      </w:r>
      <w:r w:rsidR="00E21DB9">
        <w:t xml:space="preserve">he Settlement Agreement </w:t>
      </w:r>
      <w:r w:rsidR="00F3137A">
        <w:t xml:space="preserve">is not </w:t>
      </w:r>
      <w:r w:rsidR="006A2557">
        <w:t>in</w:t>
      </w:r>
      <w:r w:rsidR="00A01DB9">
        <w:t xml:space="preserve"> </w:t>
      </w:r>
      <w:r w:rsidR="005C39DD">
        <w:t>line</w:t>
      </w:r>
      <w:r w:rsidR="00F3137A">
        <w:t xml:space="preserve"> with </w:t>
      </w:r>
      <w:r w:rsidR="00592F24">
        <w:t xml:space="preserve">the </w:t>
      </w:r>
      <w:r w:rsidR="00F224DA">
        <w:t xml:space="preserve">statutory </w:t>
      </w:r>
      <w:r w:rsidR="00451E06">
        <w:t>RNG procurement goals</w:t>
      </w:r>
      <w:r w:rsidR="00F74EF3">
        <w:t xml:space="preserve"> </w:t>
      </w:r>
      <w:r w:rsidR="00AC617C">
        <w:t>as set forth in SB 1440</w:t>
      </w:r>
      <w:r w:rsidR="008B6A9A">
        <w:t xml:space="preserve"> because</w:t>
      </w:r>
      <w:r w:rsidR="007E30BA">
        <w:t xml:space="preserve"> it could allow the Utilities to meet program demand with more than 50 percent of out-of-state RNG sources if in-state supply costs exceed the proposed cost cap.</w:t>
      </w:r>
      <w:r w:rsidR="00C10E5F">
        <w:t xml:space="preserve">  It </w:t>
      </w:r>
      <w:r w:rsidR="00EB795A">
        <w:t>may</w:t>
      </w:r>
      <w:r w:rsidR="00C10E5F">
        <w:t xml:space="preserve"> result in negligible to no direct environmental benefits to California, contradictory to the statutory goals.</w:t>
      </w:r>
    </w:p>
    <w:p w:rsidR="002601D4" w:rsidP="00BC5B6E" w:rsidRDefault="29989529" w14:paraId="4FCC2C1A" w14:textId="6CE1E0EC">
      <w:pPr>
        <w:pStyle w:val="FoF"/>
      </w:pPr>
      <w:r>
        <w:t xml:space="preserve">The Settlement agreement is not consistent with law and </w:t>
      </w:r>
      <w:r w:rsidR="003A6A05">
        <w:t xml:space="preserve">is not in the public </w:t>
      </w:r>
      <w:r w:rsidR="00A67B93">
        <w:t>interest.</w:t>
      </w:r>
    </w:p>
    <w:p w:rsidR="003F75F5" w:rsidP="00BC5B6E" w:rsidRDefault="008D2445" w14:paraId="7AE7ACF5" w14:textId="05725E2B">
      <w:pPr>
        <w:pStyle w:val="FoF"/>
      </w:pPr>
      <w:r>
        <w:t xml:space="preserve">The </w:t>
      </w:r>
      <w:r w:rsidR="006158EE">
        <w:t>Settlement Agreement</w:t>
      </w:r>
      <w:r w:rsidR="006276AB">
        <w:t xml:space="preserve"> </w:t>
      </w:r>
      <w:r w:rsidR="006610C0">
        <w:t xml:space="preserve">provides a good </w:t>
      </w:r>
      <w:r w:rsidR="009E78FE">
        <w:t>starting point</w:t>
      </w:r>
      <w:r w:rsidR="004340F2">
        <w:t xml:space="preserve"> for development of </w:t>
      </w:r>
      <w:r w:rsidR="00F67D53">
        <w:t xml:space="preserve">a voluntary RNG Tariff program and </w:t>
      </w:r>
      <w:r w:rsidR="00D571F6">
        <w:t xml:space="preserve">reasonably </w:t>
      </w:r>
      <w:r w:rsidR="002005ED">
        <w:t>resolve</w:t>
      </w:r>
      <w:r w:rsidR="00343527">
        <w:t>s</w:t>
      </w:r>
      <w:r w:rsidR="002005ED">
        <w:t xml:space="preserve"> </w:t>
      </w:r>
      <w:r w:rsidR="005A5DCE">
        <w:t>numerous issues</w:t>
      </w:r>
      <w:r w:rsidR="00F67D53">
        <w:t xml:space="preserve"> that are </w:t>
      </w:r>
      <w:r w:rsidR="005E4ADD">
        <w:t>essen</w:t>
      </w:r>
      <w:r w:rsidR="000D2A8B">
        <w:t xml:space="preserve">tial elements of the </w:t>
      </w:r>
      <w:r w:rsidR="002E3EDB">
        <w:t>program</w:t>
      </w:r>
      <w:r w:rsidR="00EC0239">
        <w:t>.</w:t>
      </w:r>
      <w:r w:rsidR="00616602">
        <w:t xml:space="preserve"> </w:t>
      </w:r>
    </w:p>
    <w:p w:rsidR="00576EC0" w:rsidP="00BC5B6E" w:rsidRDefault="00E43710" w14:paraId="0C06F97B" w14:textId="74641F13">
      <w:pPr>
        <w:pStyle w:val="FoF"/>
      </w:pPr>
      <w:r>
        <w:t>It is a better approach to a</w:t>
      </w:r>
      <w:r w:rsidR="00094010">
        <w:t>dopt an alternative program that is</w:t>
      </w:r>
      <w:r w:rsidR="008A7DBC">
        <w:t xml:space="preserve"> built on the Settlement Agreement with </w:t>
      </w:r>
      <w:r w:rsidR="009B77B1">
        <w:t>modifications</w:t>
      </w:r>
      <w:r w:rsidR="00295613">
        <w:t xml:space="preserve"> to better align with state </w:t>
      </w:r>
      <w:r w:rsidR="008815A0">
        <w:t>GHG</w:t>
      </w:r>
      <w:r w:rsidR="00295613">
        <w:t xml:space="preserve"> and </w:t>
      </w:r>
      <w:r w:rsidR="008815A0">
        <w:lastRenderedPageBreak/>
        <w:t>SLCP</w:t>
      </w:r>
      <w:r w:rsidR="00295613">
        <w:t xml:space="preserve"> reduction goals, policies, and laws</w:t>
      </w:r>
      <w:r w:rsidR="00DE21D2">
        <w:t xml:space="preserve"> </w:t>
      </w:r>
      <w:r w:rsidR="0035682A">
        <w:t xml:space="preserve">than </w:t>
      </w:r>
      <w:r w:rsidR="002C0420">
        <w:t xml:space="preserve">to </w:t>
      </w:r>
      <w:r w:rsidR="0035682A">
        <w:t>reject the Settlement Agreement and close</w:t>
      </w:r>
      <w:r w:rsidR="002C0420">
        <w:t xml:space="preserve"> the proceeding</w:t>
      </w:r>
      <w:r w:rsidR="00616602">
        <w:t>.</w:t>
      </w:r>
    </w:p>
    <w:p w:rsidR="5A6814F9" w:rsidP="4BFD825C" w:rsidRDefault="5A6814F9" w14:paraId="53E4D098" w14:textId="0F934794">
      <w:pPr>
        <w:pStyle w:val="FoF"/>
      </w:pPr>
      <w:r>
        <w:t>At least 50</w:t>
      </w:r>
      <w:r w:rsidR="007F3F17">
        <w:t xml:space="preserve"> percent</w:t>
      </w:r>
      <w:r>
        <w:t xml:space="preserve"> of in-state and out-of-state RNG eligible to meet program demand should be required to be delivered to California consistent with the requirements in Pub. Util. Code Section 651</w:t>
      </w:r>
      <w:r w:rsidR="4275BBE7">
        <w:t xml:space="preserve">(b)(3)(B).  </w:t>
      </w:r>
    </w:p>
    <w:p w:rsidR="4275BBE7" w:rsidP="4BFD825C" w:rsidRDefault="4275BBE7" w14:paraId="44443C66" w14:textId="46EFC176">
      <w:pPr>
        <w:pStyle w:val="FoF"/>
      </w:pPr>
      <w:r>
        <w:t xml:space="preserve">Additionality for in-state supplies should not be required beyond the provisions of SB 1440 and CARB’s current Cap-and-Trade Regulation. </w:t>
      </w:r>
    </w:p>
    <w:p w:rsidR="4275BBE7" w:rsidP="4BFD825C" w:rsidRDefault="535DE62C" w14:paraId="2E82FE69" w14:textId="14A587A5">
      <w:pPr>
        <w:pStyle w:val="FoF"/>
      </w:pPr>
      <w:r>
        <w:t xml:space="preserve">The additionality requirement for biomethane used to generate electricity under the RPS program should not be required for the </w:t>
      </w:r>
      <w:r w:rsidR="00407DE8">
        <w:t>voluntary</w:t>
      </w:r>
      <w:r>
        <w:t xml:space="preserve"> RNG Tariff </w:t>
      </w:r>
      <w:r w:rsidR="00407DE8">
        <w:t>pilot p</w:t>
      </w:r>
      <w:r>
        <w:t>rogram.</w:t>
      </w:r>
      <w:r w:rsidR="4275BBE7">
        <w:t xml:space="preserve"> </w:t>
      </w:r>
    </w:p>
    <w:p w:rsidR="1232ED56" w:rsidP="70D2115C" w:rsidRDefault="1232ED56" w14:paraId="46F0BC6B" w14:textId="2AE422C4">
      <w:pPr>
        <w:pStyle w:val="FoF"/>
      </w:pPr>
      <w:r>
        <w:t xml:space="preserve">RNG sources outside the United States that are not already delivering RNG through a common carrier pipeline in the United States should not be allowed within the </w:t>
      </w:r>
      <w:r w:rsidR="006711E6">
        <w:t>voluntary</w:t>
      </w:r>
      <w:r>
        <w:t xml:space="preserve"> RNG Tariff </w:t>
      </w:r>
      <w:r w:rsidR="006711E6">
        <w:t>pilot p</w:t>
      </w:r>
      <w:r>
        <w:t xml:space="preserve">rogram.  </w:t>
      </w:r>
    </w:p>
    <w:p w:rsidR="65B78194" w:rsidP="70D2115C" w:rsidRDefault="005166E7" w14:paraId="4875B987" w14:textId="4280617E">
      <w:pPr>
        <w:pStyle w:val="FoF"/>
      </w:pPr>
      <w:r>
        <w:t xml:space="preserve">The Utilities should not be required to secure RNG contracts that extend beyond the pilot program duration.  However, if they do </w:t>
      </w:r>
      <w:r w:rsidR="002B27CF">
        <w:t xml:space="preserve">and </w:t>
      </w:r>
      <w:r>
        <w:t>the pilot program is terminated, any stranded costs of RNG procured under long-term contracts</w:t>
      </w:r>
      <w:r w:rsidR="00C717E3">
        <w:t xml:space="preserve"> </w:t>
      </w:r>
      <w:r>
        <w:t xml:space="preserve">that cannot be recovered from the </w:t>
      </w:r>
      <w:r w:rsidR="00C717E3">
        <w:t xml:space="preserve">pilot </w:t>
      </w:r>
      <w:r>
        <w:t xml:space="preserve">participants should be recovered only from shareholders, unless a subsequent Commission decision expressly authorize cost recovery from customers.  “Stranded </w:t>
      </w:r>
      <w:r w:rsidR="00E30294">
        <w:t xml:space="preserve">procurement </w:t>
      </w:r>
      <w:r>
        <w:t xml:space="preserve">costs” are </w:t>
      </w:r>
      <w:r w:rsidR="00C717E3">
        <w:t xml:space="preserve">any </w:t>
      </w:r>
      <w:r>
        <w:t>excess costs incurred for gas procured (beyond the pilot program duration) because it is RNG, rather than regular fossil-based natural gas</w:t>
      </w:r>
      <w:r w:rsidR="00E30294">
        <w:t xml:space="preserve">, </w:t>
      </w:r>
      <w:proofErr w:type="gramStart"/>
      <w:r w:rsidR="00E30294">
        <w:t>and also</w:t>
      </w:r>
      <w:proofErr w:type="gramEnd"/>
      <w:r w:rsidR="00E30294">
        <w:t xml:space="preserve"> include </w:t>
      </w:r>
      <w:r w:rsidR="003C5CFF">
        <w:t xml:space="preserve">any such </w:t>
      </w:r>
      <w:r w:rsidR="00E30294">
        <w:t xml:space="preserve">costs of excess RNG during the pilot duration that exceeds amounts needed for participants.  </w:t>
      </w:r>
      <w:r w:rsidR="00371DA5">
        <w:t>T</w:t>
      </w:r>
      <w:r w:rsidR="00E30294">
        <w:t xml:space="preserve">hese costs </w:t>
      </w:r>
      <w:r w:rsidR="00525908">
        <w:t>should be</w:t>
      </w:r>
      <w:r w:rsidR="00E30294">
        <w:t xml:space="preserve"> the Utilities’ shareholders’ responsibility unless a subsequent Commission decision expressly authorizes cost recovery from customers</w:t>
      </w:r>
      <w:r>
        <w:t>.</w:t>
      </w:r>
    </w:p>
    <w:p w:rsidR="3AFB3D15" w:rsidP="70D2115C" w:rsidRDefault="3AFB3D15" w14:paraId="494D7059" w14:textId="4D4A0402">
      <w:pPr>
        <w:pStyle w:val="FoF"/>
      </w:pPr>
      <w:r>
        <w:lastRenderedPageBreak/>
        <w:t xml:space="preserve">The GREET methodology can and should be modified to calculate the carbon intensity of RNG </w:t>
      </w:r>
      <w:r w:rsidR="62B41479">
        <w:t>that is</w:t>
      </w:r>
      <w:r w:rsidR="66B76495">
        <w:t xml:space="preserve"> </w:t>
      </w:r>
      <w:r w:rsidR="3C65C0B0">
        <w:t xml:space="preserve">distributed </w:t>
      </w:r>
      <w:r w:rsidR="35193F01">
        <w:t>by gas pipeline</w:t>
      </w:r>
      <w:r w:rsidR="238396BC">
        <w:t>s</w:t>
      </w:r>
      <w:r w:rsidR="35193F01">
        <w:t xml:space="preserve">.  </w:t>
      </w:r>
    </w:p>
    <w:p w:rsidRPr="00F25934" w:rsidR="004520BA" w:rsidP="000D50A1" w:rsidRDefault="00FA79DD" w14:paraId="20121264" w14:textId="5BA7E1D4">
      <w:pPr>
        <w:pStyle w:val="FoF"/>
      </w:pPr>
      <w:r w:rsidRPr="0054497F">
        <w:rPr>
          <w:rFonts w:cs="TimesNewRomanPSMT"/>
        </w:rPr>
        <w:t>I</w:t>
      </w:r>
      <w:r w:rsidRPr="0054497F" w:rsidR="00FD43AB">
        <w:rPr>
          <w:rFonts w:cs="TimesNewRomanPSMT"/>
        </w:rPr>
        <w:t>n their subsequent GRCs or other ratemaking proceedings,</w:t>
      </w:r>
      <w:r w:rsidR="008F5C56">
        <w:rPr>
          <w:rFonts w:cs="TimesNewRomanPSMT"/>
        </w:rPr>
        <w:t xml:space="preserve"> the </w:t>
      </w:r>
      <w:r w:rsidR="0054497F">
        <w:t>U</w:t>
      </w:r>
      <w:r w:rsidR="6F51B316">
        <w:t xml:space="preserve">tilities should not be permitted to request recovery of any </w:t>
      </w:r>
      <w:r w:rsidR="00224ABC">
        <w:t>p</w:t>
      </w:r>
      <w:r w:rsidR="6F51B316">
        <w:t xml:space="preserve">rogram wind down costs not recovered from </w:t>
      </w:r>
      <w:r w:rsidR="00224ABC">
        <w:t>p</w:t>
      </w:r>
      <w:r w:rsidR="6F51B316">
        <w:t>rogram participants</w:t>
      </w:r>
      <w:r w:rsidR="044BAB7C">
        <w:t xml:space="preserve"> </w:t>
      </w:r>
      <w:proofErr w:type="gramStart"/>
      <w:r w:rsidR="044BAB7C">
        <w:t>with the exception of</w:t>
      </w:r>
      <w:proofErr w:type="gramEnd"/>
      <w:r w:rsidR="044BAB7C">
        <w:t xml:space="preserve"> wind down costs due to program termination before the end of the pilot </w:t>
      </w:r>
      <w:r w:rsidR="000A359C">
        <w:t xml:space="preserve">period </w:t>
      </w:r>
      <w:r w:rsidR="044BAB7C">
        <w:t>resulting from a future state law, regulation, or Commission dec</w:t>
      </w:r>
      <w:r w:rsidR="57130260">
        <w:t>ision</w:t>
      </w:r>
      <w:r w:rsidR="6F51B316">
        <w:t>.</w:t>
      </w:r>
    </w:p>
    <w:p w:rsidR="007756E1" w:rsidP="00BC5B6E" w:rsidRDefault="00ED00CA" w14:paraId="702D7753" w14:textId="6708D99A">
      <w:pPr>
        <w:pStyle w:val="FoF"/>
      </w:pPr>
      <w:r>
        <w:t>In D.15-01-051,</w:t>
      </w:r>
      <w:r w:rsidDel="005772B4" w:rsidR="00281D1D">
        <w:t xml:space="preserve"> </w:t>
      </w:r>
      <w:r w:rsidDel="005772B4" w:rsidR="00FD62DF">
        <w:t xml:space="preserve">the </w:t>
      </w:r>
      <w:r>
        <w:t xml:space="preserve">Commission determined </w:t>
      </w:r>
      <w:r w:rsidR="00C34308">
        <w:t>that a shareholder backstop will promote cost-effective management of</w:t>
      </w:r>
      <w:r w:rsidDel="005772B4" w:rsidR="00FD62DF">
        <w:t xml:space="preserve"> the </w:t>
      </w:r>
      <w:r w:rsidR="004F4BED">
        <w:t xml:space="preserve">electric utilities’ </w:t>
      </w:r>
      <w:r w:rsidR="00C34308">
        <w:t xml:space="preserve">GTSR </w:t>
      </w:r>
      <w:r w:rsidR="006E44EB">
        <w:t>p</w:t>
      </w:r>
      <w:r w:rsidR="00C34308">
        <w:t>rogram.</w:t>
      </w:r>
      <w:r w:rsidR="519BC6AA">
        <w:t xml:space="preserve">  The same ratemaking policy should be adopted for the voluntary pilot RNG Tariff Program.  </w:t>
      </w:r>
    </w:p>
    <w:p w:rsidRPr="006C480D" w:rsidR="75C8375C" w:rsidP="70D2115C" w:rsidRDefault="00820AB0" w14:paraId="240DAED7" w14:textId="4790B354">
      <w:pPr>
        <w:pStyle w:val="FoF"/>
        <w:rPr>
          <w:rFonts w:asciiTheme="minorHAnsi" w:hAnsiTheme="minorHAnsi" w:eastAsiaTheme="minorEastAsia"/>
          <w:szCs w:val="26"/>
        </w:rPr>
      </w:pPr>
      <w:r>
        <w:t xml:space="preserve">The Utilities’ program marketing materials should be neutral with respect to local environmental benefits and building </w:t>
      </w:r>
      <w:proofErr w:type="gramStart"/>
      <w:r>
        <w:t>electrification, and</w:t>
      </w:r>
      <w:proofErr w:type="gramEnd"/>
      <w:r>
        <w:t xml:space="preserve"> should be subject to Commission review and approval.  The marketing materials should also contain disclosures to prevent customers from incorrectly </w:t>
      </w:r>
      <w:proofErr w:type="gramStart"/>
      <w:r>
        <w:t>assuming that</w:t>
      </w:r>
      <w:proofErr w:type="gramEnd"/>
      <w:r>
        <w:t xml:space="preserve"> use of RNG improves indoor air quality, and that use of RNG from dairies resolves the issue of environmental impacts from dairies on local communities</w:t>
      </w:r>
      <w:r w:rsidR="75C8375C">
        <w:t xml:space="preserve"> </w:t>
      </w:r>
      <w:r w:rsidRPr="00D04766" w:rsidR="00D04766">
        <w:t>and to inform customers of the implications of RNG procurement under the CARB Cap-and-Trade Regulation.</w:t>
      </w:r>
    </w:p>
    <w:p w:rsidRPr="00D04766" w:rsidR="006C480D" w:rsidP="70D2115C" w:rsidRDefault="0081168E" w14:paraId="4082275D" w14:textId="16FC013E">
      <w:pPr>
        <w:pStyle w:val="FoF"/>
        <w:rPr>
          <w:rFonts w:asciiTheme="minorHAnsi" w:hAnsiTheme="minorHAnsi" w:eastAsiaTheme="minorEastAsia"/>
          <w:szCs w:val="26"/>
        </w:rPr>
      </w:pPr>
      <w:r w:rsidRPr="00B352AF">
        <w:t>The Commission should monitor the compliance with applicable air and water pollution control requirements by in-state dairies that supply RNG for the pilot program and consider this information as part of the program evaluation.</w:t>
      </w:r>
    </w:p>
    <w:p w:rsidR="75C8375C" w:rsidRDefault="75C8375C" w14:paraId="3680A4F7" w14:textId="1FA2741A">
      <w:pPr>
        <w:pStyle w:val="FoF"/>
        <w:rPr>
          <w:rFonts w:asciiTheme="minorHAnsi" w:hAnsiTheme="minorHAnsi" w:eastAsiaTheme="minorEastAsia"/>
          <w:szCs w:val="26"/>
        </w:rPr>
      </w:pPr>
      <w:r>
        <w:t>Program evaluation metrics should include more than just GHG emission reductions.</w:t>
      </w:r>
    </w:p>
    <w:p w:rsidR="75C8375C" w:rsidRDefault="00196547" w14:paraId="6AD59EB3" w14:textId="15C94DBA">
      <w:pPr>
        <w:pStyle w:val="FoF"/>
        <w:rPr>
          <w:rFonts w:asciiTheme="minorHAnsi" w:hAnsiTheme="minorHAnsi" w:eastAsiaTheme="minorEastAsia"/>
          <w:szCs w:val="26"/>
        </w:rPr>
      </w:pPr>
      <w:r>
        <w:lastRenderedPageBreak/>
        <w:t>Each individual s</w:t>
      </w:r>
      <w:r w:rsidRPr="00B14FF3" w:rsidR="006813C4">
        <w:t>upplier</w:t>
      </w:r>
      <w:r>
        <w:t>’</w:t>
      </w:r>
      <w:r w:rsidRPr="00B14FF3" w:rsidR="006E5AE8">
        <w:t>s</w:t>
      </w:r>
      <w:r w:rsidRPr="00B14FF3" w:rsidR="006813C4">
        <w:t xml:space="preserve"> name, location, feedstock source, and c</w:t>
      </w:r>
      <w:r w:rsidRPr="00B14FF3" w:rsidR="00820AB0">
        <w:t>ontract prices</w:t>
      </w:r>
      <w:r w:rsidR="00820AB0">
        <w:t xml:space="preserve"> </w:t>
      </w:r>
      <w:r w:rsidR="006E5AE8">
        <w:t>of the Utilities’</w:t>
      </w:r>
      <w:r w:rsidR="00820AB0">
        <w:t xml:space="preserve"> RNG </w:t>
      </w:r>
      <w:r w:rsidR="00211097">
        <w:t xml:space="preserve">contracts </w:t>
      </w:r>
      <w:r w:rsidR="00820AB0">
        <w:t xml:space="preserve">should be publicly available at the time of issuance of the Annual Report unless a request for confidential treatment </w:t>
      </w:r>
      <w:r w:rsidR="00870B0D">
        <w:t xml:space="preserve">for contract prices </w:t>
      </w:r>
      <w:r w:rsidR="00820AB0">
        <w:t>pursuant to GO 66-D is granted.</w:t>
      </w:r>
    </w:p>
    <w:p w:rsidRPr="001E2A62" w:rsidR="001B6949" w:rsidP="00BC5B6E" w:rsidRDefault="001B6949" w14:paraId="7FE66843" w14:textId="44FA1530">
      <w:pPr>
        <w:pStyle w:val="FoF"/>
      </w:pPr>
      <w:r>
        <w:t>This proceeding should be closed.</w:t>
      </w:r>
    </w:p>
    <w:p w:rsidR="00BB0243" w:rsidP="000A6E05" w:rsidRDefault="005939A5" w14:paraId="17366F3C" w14:textId="77777777">
      <w:pPr>
        <w:pStyle w:val="Mainex"/>
      </w:pPr>
      <w:bookmarkStart w:name="_Toc57188154" w:id="54"/>
      <w:bookmarkStart w:name="_Hlk51319716" w:id="55"/>
      <w:r>
        <w:t>O</w:t>
      </w:r>
      <w:r w:rsidR="00722850">
        <w:t>RDER</w:t>
      </w:r>
      <w:bookmarkEnd w:id="54"/>
    </w:p>
    <w:p w:rsidR="00BB0243" w:rsidP="000A6E05" w:rsidRDefault="00BB0243" w14:paraId="1E560EFD" w14:textId="77777777">
      <w:pPr>
        <w:keepNext/>
      </w:pPr>
      <w:r w:rsidRPr="00BB0243">
        <w:rPr>
          <w:b/>
        </w:rPr>
        <w:t>IT IS ORDERED</w:t>
      </w:r>
      <w:r>
        <w:t xml:space="preserve"> that:</w:t>
      </w:r>
    </w:p>
    <w:p w:rsidR="00CA24A9" w:rsidP="002E6A48" w:rsidRDefault="00435ABB" w14:paraId="65F538DD" w14:textId="74A999CC">
      <w:pPr>
        <w:pStyle w:val="FoF"/>
        <w:numPr>
          <w:ilvl w:val="0"/>
          <w:numId w:val="34"/>
        </w:numPr>
      </w:pPr>
      <w:r w:rsidRPr="001455F7">
        <w:t>The</w:t>
      </w:r>
      <w:r w:rsidRPr="001455F7" w:rsidR="00767198">
        <w:t xml:space="preserve"> </w:t>
      </w:r>
      <w:r w:rsidR="008D25DE">
        <w:t>v</w:t>
      </w:r>
      <w:r w:rsidRPr="001455F7" w:rsidR="008D25DE">
        <w:t>oluntary</w:t>
      </w:r>
      <w:r w:rsidR="008D25DE">
        <w:t xml:space="preserve"> p</w:t>
      </w:r>
      <w:r w:rsidR="65C732E7">
        <w:t>ilot</w:t>
      </w:r>
      <w:r w:rsidRPr="001455F7" w:rsidR="00767198">
        <w:t xml:space="preserve"> Renewable Natural Gas Tariff </w:t>
      </w:r>
      <w:r w:rsidR="008D25DE">
        <w:t>p</w:t>
      </w:r>
      <w:r w:rsidRPr="001455F7" w:rsidR="008D25DE">
        <w:t>rogram</w:t>
      </w:r>
      <w:r w:rsidR="003C16C7">
        <w:t xml:space="preserve"> (pilot program)</w:t>
      </w:r>
      <w:r w:rsidRPr="001455F7" w:rsidR="008D25DE">
        <w:t xml:space="preserve"> </w:t>
      </w:r>
      <w:r w:rsidRPr="001455F7" w:rsidR="00767198">
        <w:t>in Appendix A of this decision is adopted</w:t>
      </w:r>
      <w:r w:rsidRPr="001455F7">
        <w:t>.</w:t>
      </w:r>
      <w:r w:rsidRPr="001455F7" w:rsidR="00A212D2">
        <w:t xml:space="preserve">  </w:t>
      </w:r>
      <w:r w:rsidRPr="001455F7" w:rsidR="00767198">
        <w:t xml:space="preserve">Southern California Gas Company and San Diego Gas </w:t>
      </w:r>
      <w:r w:rsidR="00414369">
        <w:t>&amp;</w:t>
      </w:r>
      <w:r w:rsidRPr="001455F7" w:rsidR="00414369">
        <w:t xml:space="preserve"> </w:t>
      </w:r>
      <w:r w:rsidRPr="001455F7" w:rsidR="00767198">
        <w:t xml:space="preserve">Electric Company (the Utilities) </w:t>
      </w:r>
      <w:r w:rsidR="00E2670C">
        <w:t xml:space="preserve">are </w:t>
      </w:r>
      <w:r w:rsidR="00100A8C">
        <w:t>authorized to</w:t>
      </w:r>
      <w:r w:rsidRPr="001455F7" w:rsidR="00100A8C">
        <w:t xml:space="preserve"> </w:t>
      </w:r>
      <w:r w:rsidRPr="001455F7">
        <w:t xml:space="preserve">offer </w:t>
      </w:r>
      <w:r w:rsidRPr="001455F7" w:rsidR="00A212D2">
        <w:t xml:space="preserve">this program to </w:t>
      </w:r>
      <w:r w:rsidR="00821A7A">
        <w:t>their</w:t>
      </w:r>
      <w:r w:rsidRPr="001455F7" w:rsidR="00A212D2">
        <w:t xml:space="preserve"> eligible customers.  </w:t>
      </w:r>
      <w:r w:rsidR="003C16C7">
        <w:t>The Utilities shall comply with all requirements set forth in Appendix A.</w:t>
      </w:r>
    </w:p>
    <w:p w:rsidR="00FA6AB3" w:rsidP="00B03477" w:rsidRDefault="00B05A2F" w14:paraId="46751ADC" w14:textId="5E67282B">
      <w:pPr>
        <w:pStyle w:val="FoF"/>
        <w:numPr>
          <w:ilvl w:val="1"/>
          <w:numId w:val="24"/>
        </w:numPr>
        <w:spacing w:after="120" w:line="240" w:lineRule="auto"/>
        <w:ind w:left="1268" w:right="1440" w:hanging="274"/>
      </w:pPr>
      <w:r>
        <w:t xml:space="preserve">Within </w:t>
      </w:r>
      <w:r w:rsidR="00534CD0">
        <w:t>six months</w:t>
      </w:r>
      <w:r>
        <w:t xml:space="preserve"> from the issuance of this decision</w:t>
      </w:r>
      <w:r w:rsidR="00E2670C">
        <w:t>,</w:t>
      </w:r>
      <w:r>
        <w:t xml:space="preserve"> each </w:t>
      </w:r>
      <w:r w:rsidR="00F62A4D">
        <w:t>of the</w:t>
      </w:r>
      <w:r>
        <w:t xml:space="preserve"> </w:t>
      </w:r>
      <w:r w:rsidR="00F62A4D">
        <w:t xml:space="preserve">utilities </w:t>
      </w:r>
      <w:r>
        <w:t xml:space="preserve">shall </w:t>
      </w:r>
      <w:r w:rsidR="00F34EF4">
        <w:t>submit</w:t>
      </w:r>
      <w:r>
        <w:t xml:space="preserve"> and serve a Tier 1 Advice</w:t>
      </w:r>
      <w:r w:rsidR="00143C6C">
        <w:t> </w:t>
      </w:r>
      <w:r>
        <w:t xml:space="preserve">Letter </w:t>
      </w:r>
      <w:r w:rsidR="00F62A4D">
        <w:t>(AL)</w:t>
      </w:r>
      <w:r>
        <w:t xml:space="preserve"> advising the Commission </w:t>
      </w:r>
      <w:proofErr w:type="gramStart"/>
      <w:r>
        <w:t>whether or not</w:t>
      </w:r>
      <w:proofErr w:type="gramEnd"/>
      <w:r>
        <w:t xml:space="preserve"> it will implement the authorized program and, if so, stating its intended implementation schedule</w:t>
      </w:r>
      <w:r w:rsidR="00F8308E">
        <w:t xml:space="preserve">.  </w:t>
      </w:r>
      <w:r w:rsidRPr="001455F7" w:rsidR="00A212D2">
        <w:t xml:space="preserve">If the Utilities </w:t>
      </w:r>
      <w:r w:rsidR="007F313E">
        <w:t xml:space="preserve">decide to </w:t>
      </w:r>
      <w:r w:rsidRPr="001455F7" w:rsidR="00A212D2">
        <w:t xml:space="preserve">offer this program to </w:t>
      </w:r>
      <w:r w:rsidR="00F8308E">
        <w:t>their</w:t>
      </w:r>
      <w:r w:rsidRPr="001455F7" w:rsidR="00A212D2">
        <w:t xml:space="preserve"> customers, the</w:t>
      </w:r>
      <w:r w:rsidRPr="001455F7" w:rsidR="00435ABB">
        <w:t xml:space="preserve"> Utilities </w:t>
      </w:r>
      <w:r w:rsidRPr="001455F7" w:rsidR="00767198">
        <w:t>shall</w:t>
      </w:r>
      <w:r w:rsidR="007F313E">
        <w:t xml:space="preserve"> </w:t>
      </w:r>
      <w:r w:rsidR="000221CA">
        <w:t xml:space="preserve">also </w:t>
      </w:r>
      <w:r w:rsidR="007F313E">
        <w:t xml:space="preserve">include in the Tier 1 AL a request for authorization to establish </w:t>
      </w:r>
      <w:r w:rsidR="00E4312C">
        <w:t xml:space="preserve">a </w:t>
      </w:r>
      <w:r w:rsidR="007F313E">
        <w:t>new, two-</w:t>
      </w:r>
      <w:r w:rsidR="00A711D3">
        <w:t>way</w:t>
      </w:r>
      <w:r w:rsidR="007F313E">
        <w:t xml:space="preserve"> balancing account (Renewable Natural Gas Tariff Balancing Account</w:t>
      </w:r>
      <w:r w:rsidR="007A564B">
        <w:t xml:space="preserve"> or RNGTBA</w:t>
      </w:r>
      <w:r w:rsidR="007F313E">
        <w:t xml:space="preserve">) for each </w:t>
      </w:r>
      <w:r w:rsidR="00A56B55">
        <w:t>utility</w:t>
      </w:r>
      <w:r w:rsidR="007F313E">
        <w:t xml:space="preserve">. </w:t>
      </w:r>
    </w:p>
    <w:p w:rsidR="00050C51" w:rsidP="00B03477" w:rsidRDefault="005B615F" w14:paraId="06819DE8" w14:textId="64598954">
      <w:pPr>
        <w:pStyle w:val="FoF"/>
        <w:numPr>
          <w:ilvl w:val="1"/>
          <w:numId w:val="24"/>
        </w:numPr>
        <w:spacing w:after="120" w:line="240" w:lineRule="auto"/>
        <w:ind w:left="1268" w:right="1440" w:hanging="274"/>
      </w:pPr>
      <w:r>
        <w:t>In addition, within twelve months from the Utilities’ submission of the above Tier 1 AL, if implementing the program, the Utilities shall submit and serve separate ALs for program implementation consistent with the policy requirements adopted in this decision</w:t>
      </w:r>
      <w:r w:rsidRPr="001455F7" w:rsidR="00767198">
        <w:t>.</w:t>
      </w:r>
    </w:p>
    <w:p w:rsidR="003C71A9" w:rsidP="00B03477" w:rsidRDefault="00DA63C2" w14:paraId="18A6C216" w14:textId="4705E8BF">
      <w:pPr>
        <w:pStyle w:val="FoF"/>
        <w:numPr>
          <w:ilvl w:val="3"/>
          <w:numId w:val="22"/>
        </w:numPr>
        <w:spacing w:after="120" w:line="240" w:lineRule="auto"/>
        <w:ind w:left="1628" w:right="1440" w:hanging="274"/>
      </w:pPr>
      <w:r>
        <w:t xml:space="preserve">The Utilities shall work with stakeholders, including the Commission’s Energy Division staff, California Air Resources Board, and parties in this proceeding, to develop a modified methodology to calculate RNG </w:t>
      </w:r>
      <w:r>
        <w:lastRenderedPageBreak/>
        <w:t xml:space="preserve">carbon intensity.  The modified methodology shall be based on the California Greenhouse Gases, Regulated Emissions, and Energy use in Transportation (GREET) model.  The Utilities shall </w:t>
      </w:r>
      <w:r w:rsidR="004721BD">
        <w:t xml:space="preserve">jointly </w:t>
      </w:r>
      <w:r>
        <w:t>submit</w:t>
      </w:r>
      <w:r w:rsidR="00277C21">
        <w:t xml:space="preserve"> and serve</w:t>
      </w:r>
      <w:r>
        <w:t xml:space="preserve"> the modified GREET methodology in a Tier 3 AL for Commission’s review and approval.</w:t>
      </w:r>
    </w:p>
    <w:p w:rsidR="00D87FF8" w:rsidP="00B03477" w:rsidRDefault="00D87FF8" w14:paraId="2E6C2512" w14:textId="4F4A7D5C">
      <w:pPr>
        <w:pStyle w:val="FoF"/>
        <w:numPr>
          <w:ilvl w:val="3"/>
          <w:numId w:val="22"/>
        </w:numPr>
        <w:spacing w:after="120" w:line="240" w:lineRule="auto"/>
        <w:ind w:left="1628" w:right="1440" w:hanging="274"/>
      </w:pPr>
      <w:r>
        <w:t>Each of the Utilities shall submit and serve a Tier 2 AL to implement the pilot program.</w:t>
      </w:r>
    </w:p>
    <w:p w:rsidRPr="00F02ED8" w:rsidR="00932865" w:rsidP="004D5C0C" w:rsidRDefault="006743C0" w14:paraId="6689D09B" w14:textId="4C932D69">
      <w:pPr>
        <w:pStyle w:val="FoF"/>
        <w:numPr>
          <w:ilvl w:val="3"/>
          <w:numId w:val="22"/>
        </w:numPr>
        <w:spacing w:after="120" w:line="240" w:lineRule="auto"/>
        <w:ind w:left="1628" w:right="1440" w:hanging="274"/>
      </w:pPr>
      <w:r>
        <w:t xml:space="preserve">Each of </w:t>
      </w:r>
      <w:r w:rsidR="00DA63C2">
        <w:t xml:space="preserve">the Utilities shall submit </w:t>
      </w:r>
      <w:r w:rsidR="00E611E4">
        <w:t xml:space="preserve">and serve </w:t>
      </w:r>
      <w:r w:rsidR="00E70B0E">
        <w:t xml:space="preserve">a </w:t>
      </w:r>
      <w:r w:rsidR="00FE4A51">
        <w:t>Tier</w:t>
      </w:r>
      <w:r w:rsidR="00696CA4">
        <w:t xml:space="preserve"> 2 AL</w:t>
      </w:r>
      <w:r w:rsidR="00E70B0E">
        <w:t xml:space="preserve">, or </w:t>
      </w:r>
      <w:r w:rsidR="00BD06ED">
        <w:t xml:space="preserve">the Utilities shall </w:t>
      </w:r>
      <w:r w:rsidR="00E70B0E">
        <w:t>jointly submit</w:t>
      </w:r>
      <w:r w:rsidR="00BD06ED">
        <w:t xml:space="preserve"> a Tier 2 AL,</w:t>
      </w:r>
      <w:r w:rsidR="00696CA4">
        <w:t xml:space="preserve"> </w:t>
      </w:r>
      <w:r w:rsidR="00922CD9">
        <w:t xml:space="preserve">for review and approval of </w:t>
      </w:r>
      <w:r w:rsidR="00DA63C2">
        <w:t xml:space="preserve">marketing and outreach materials </w:t>
      </w:r>
      <w:r w:rsidR="005E1F6F">
        <w:t>prior to any marketing and outreach or program implementation</w:t>
      </w:r>
      <w:r w:rsidR="00DA63C2">
        <w:t>.</w:t>
      </w:r>
    </w:p>
    <w:p w:rsidRPr="00214A73" w:rsidR="00214A73" w:rsidP="00214A73" w:rsidRDefault="00214A73" w14:paraId="7555B52B" w14:textId="75A0984B">
      <w:pPr>
        <w:pStyle w:val="FoF"/>
        <w:numPr>
          <w:ilvl w:val="1"/>
          <w:numId w:val="24"/>
        </w:numPr>
        <w:spacing w:after="120" w:line="240" w:lineRule="auto"/>
        <w:ind w:left="1268" w:right="1440" w:hanging="274"/>
      </w:pPr>
      <w:r w:rsidRPr="00214A73">
        <w:t xml:space="preserve">The Utilities shall report to the Commission whether in-state dairies under RNG contracts for </w:t>
      </w:r>
      <w:r w:rsidR="00D808DB">
        <w:t>the</w:t>
      </w:r>
      <w:r w:rsidRPr="00214A73">
        <w:t xml:space="preserve"> pilot program have complied with all applicable air and/or water pollution control standards or requirements, describing any incident of noncompliance, the cause, and when and how it was or will be resolved.  The Utilities shall submit and serve Tier 1 ALs at the same time as SoCalGas submits its last Quarterly Commission Report each year to provide that information.  The Tier 1 ALs shall include the compliance reports received from dairy RNG generating facilities.  The Utilities’ obligation to report on in-state dairy RNG suppliers’ compliance with air and water pollution control requirements shall continue until the pilot program termination.</w:t>
      </w:r>
    </w:p>
    <w:p w:rsidR="00E20DA6" w:rsidP="00E20DA6" w:rsidRDefault="00E20DA6" w14:paraId="2B42D423" w14:textId="77777777">
      <w:pPr>
        <w:pStyle w:val="FoF"/>
        <w:numPr>
          <w:ilvl w:val="1"/>
          <w:numId w:val="24"/>
        </w:numPr>
        <w:spacing w:after="120" w:line="240" w:lineRule="auto"/>
        <w:ind w:left="1268" w:right="1440" w:hanging="274"/>
      </w:pPr>
      <w:r>
        <w:t xml:space="preserve">The Utilities shall submit and serve annual Tier 2 ALs to report to the Commission the verification results of an independent third-party </w:t>
      </w:r>
      <w:r w:rsidRPr="002A195F">
        <w:t>verifier w</w:t>
      </w:r>
      <w:r>
        <w:t xml:space="preserve">ithin 45 days of each one-year anniversary from the program initiation date during the pilot program duration.  The Utilities shall confirm whether the Utilities </w:t>
      </w:r>
      <w:proofErr w:type="gramStart"/>
      <w:r>
        <w:t>are in compliance with</w:t>
      </w:r>
      <w:proofErr w:type="gramEnd"/>
      <w:r>
        <w:t xml:space="preserve"> the following RNG procurement requirements:</w:t>
      </w:r>
    </w:p>
    <w:p w:rsidR="00E20DA6" w:rsidP="0094570D" w:rsidRDefault="00E20DA6" w14:paraId="3DD0FA76" w14:textId="77777777">
      <w:pPr>
        <w:pStyle w:val="FoF"/>
        <w:numPr>
          <w:ilvl w:val="3"/>
          <w:numId w:val="22"/>
        </w:numPr>
        <w:spacing w:after="120" w:line="240" w:lineRule="auto"/>
        <w:ind w:left="1628" w:right="1440" w:hanging="274"/>
      </w:pPr>
      <w:r w:rsidRPr="00153737">
        <w:lastRenderedPageBreak/>
        <w:t>A minimum of 50 percent</w:t>
      </w:r>
      <w:r>
        <w:t xml:space="preserve"> of RNG delivered </w:t>
      </w:r>
      <w:r w:rsidRPr="00153737">
        <w:t>meet</w:t>
      </w:r>
      <w:r>
        <w:t>s</w:t>
      </w:r>
      <w:r w:rsidRPr="00153737">
        <w:t xml:space="preserve"> the eligibility criteria as set forth in </w:t>
      </w:r>
      <w:r>
        <w:t>Public Utilities</w:t>
      </w:r>
      <w:r w:rsidRPr="00153737">
        <w:t xml:space="preserve"> Code Section 651(b)(3)(B).</w:t>
      </w:r>
    </w:p>
    <w:p w:rsidR="00E20DA6" w:rsidP="00580CE8" w:rsidRDefault="00E20DA6" w14:paraId="1525601B" w14:textId="77777777">
      <w:pPr>
        <w:pStyle w:val="FoF"/>
        <w:numPr>
          <w:ilvl w:val="3"/>
          <w:numId w:val="22"/>
        </w:numPr>
        <w:spacing w:after="120" w:line="240" w:lineRule="auto"/>
        <w:ind w:left="1628" w:right="1440" w:hanging="274"/>
      </w:pPr>
      <w:r w:rsidRPr="00756199">
        <w:t xml:space="preserve">RNG supplies purchased meet </w:t>
      </w:r>
      <w:r>
        <w:t xml:space="preserve">the California Air Resources Board’s </w:t>
      </w:r>
      <w:r w:rsidRPr="00756199">
        <w:t>M</w:t>
      </w:r>
      <w:r>
        <w:t xml:space="preserve">andatory </w:t>
      </w:r>
      <w:r w:rsidRPr="00756199">
        <w:t>R</w:t>
      </w:r>
      <w:r>
        <w:t xml:space="preserve">eporting </w:t>
      </w:r>
      <w:r w:rsidRPr="00756199">
        <w:t>R</w:t>
      </w:r>
      <w:r>
        <w:t>equirement</w:t>
      </w:r>
      <w:r w:rsidRPr="00756199">
        <w:t xml:space="preserve"> and Cap-and-Trade Regulation requirements</w:t>
      </w:r>
      <w:r>
        <w:t>.</w:t>
      </w:r>
    </w:p>
    <w:p w:rsidRPr="00B03C09" w:rsidR="00B03C09" w:rsidP="00E3659A" w:rsidRDefault="00E20DA6" w14:paraId="607C3078" w14:textId="55E49A1D">
      <w:pPr>
        <w:pStyle w:val="FoF"/>
        <w:numPr>
          <w:ilvl w:val="3"/>
          <w:numId w:val="22"/>
        </w:numPr>
        <w:spacing w:after="120" w:line="240" w:lineRule="auto"/>
        <w:ind w:left="1628" w:right="1440" w:hanging="274"/>
      </w:pPr>
      <w:r>
        <w:t>There is no double counting.  The RNG was delivered by contracted facilities and the environmental attributes of the RNG were not sold, transferred, claimed, or used by the generating facility or other entity.</w:t>
      </w:r>
    </w:p>
    <w:p w:rsidRPr="00F02ED8" w:rsidR="00571713" w:rsidP="00B03477" w:rsidRDefault="00D92AB9" w14:paraId="128DDD57" w14:textId="719AF37F">
      <w:pPr>
        <w:pStyle w:val="FoF"/>
        <w:numPr>
          <w:ilvl w:val="1"/>
          <w:numId w:val="24"/>
        </w:numPr>
        <w:spacing w:after="120" w:line="240" w:lineRule="auto"/>
        <w:ind w:left="1268" w:right="1440" w:hanging="274"/>
      </w:pPr>
      <w:r w:rsidRPr="00F02ED8">
        <w:rPr>
          <w:rFonts w:cs="TimesNewRomanPSMT"/>
        </w:rPr>
        <w:t>If t</w:t>
      </w:r>
      <w:r w:rsidRPr="00F02ED8" w:rsidR="00CB3456">
        <w:rPr>
          <w:rFonts w:cs="TimesNewRomanPSMT"/>
        </w:rPr>
        <w:t xml:space="preserve">he Utilities </w:t>
      </w:r>
      <w:r w:rsidRPr="00F02ED8" w:rsidR="00CA5B03">
        <w:rPr>
          <w:rFonts w:cs="TimesNewRomanPSMT"/>
        </w:rPr>
        <w:t>wish to make</w:t>
      </w:r>
      <w:r w:rsidRPr="00F02ED8" w:rsidR="00CB3456">
        <w:rPr>
          <w:rFonts w:cs="TimesNewRomanPSMT"/>
        </w:rPr>
        <w:t xml:space="preserve"> modifications to the </w:t>
      </w:r>
      <w:r w:rsidRPr="00F02ED8" w:rsidR="00660366">
        <w:rPr>
          <w:rFonts w:cs="TimesNewRomanPSMT"/>
        </w:rPr>
        <w:t xml:space="preserve">adopted </w:t>
      </w:r>
      <w:r w:rsidRPr="00F02ED8" w:rsidR="00CB3456">
        <w:rPr>
          <w:rFonts w:cs="TimesNewRomanPSMT"/>
        </w:rPr>
        <w:t xml:space="preserve">program </w:t>
      </w:r>
      <w:r w:rsidRPr="00F02ED8" w:rsidR="00594915">
        <w:rPr>
          <w:rFonts w:cs="TimesNewRomanPSMT"/>
        </w:rPr>
        <w:t xml:space="preserve">such as program </w:t>
      </w:r>
      <w:r w:rsidRPr="00F02ED8" w:rsidR="00CB3456">
        <w:rPr>
          <w:rFonts w:cs="TimesNewRomanPSMT"/>
        </w:rPr>
        <w:t>design or the reporting frequency</w:t>
      </w:r>
      <w:r w:rsidRPr="00F02ED8" w:rsidR="00011C65">
        <w:rPr>
          <w:rFonts w:cs="TimesNewRomanPSMT"/>
        </w:rPr>
        <w:t xml:space="preserve">, </w:t>
      </w:r>
      <w:r w:rsidRPr="00F02ED8" w:rsidR="002C1A79">
        <w:rPr>
          <w:rFonts w:cs="TimesNewRomanPSMT"/>
        </w:rPr>
        <w:t xml:space="preserve">the Utilities shall </w:t>
      </w:r>
      <w:r w:rsidR="00D860C8">
        <w:rPr>
          <w:rFonts w:cs="TimesNewRomanPSMT"/>
        </w:rPr>
        <w:t xml:space="preserve">submit and serve </w:t>
      </w:r>
      <w:r w:rsidRPr="00F02ED8" w:rsidR="002C1A79">
        <w:rPr>
          <w:rFonts w:cs="TimesNewRomanPSMT"/>
        </w:rPr>
        <w:t>a</w:t>
      </w:r>
      <w:r w:rsidRPr="00F02ED8" w:rsidR="00CB3456">
        <w:rPr>
          <w:rFonts w:cs="TimesNewRomanPSMT"/>
        </w:rPr>
        <w:t xml:space="preserve"> Tier 3 AL for Commission approval.  The Utilities may change the </w:t>
      </w:r>
      <w:r w:rsidRPr="00F02ED8">
        <w:rPr>
          <w:rFonts w:cs="TimesNewRomanPSMT"/>
        </w:rPr>
        <w:t xml:space="preserve">adopted </w:t>
      </w:r>
      <w:r w:rsidRPr="00F02ED8" w:rsidR="00CB3456">
        <w:rPr>
          <w:rFonts w:cs="TimesNewRomanPSMT"/>
        </w:rPr>
        <w:t>program’s subscription levels without Commission approval.</w:t>
      </w:r>
    </w:p>
    <w:p w:rsidRPr="00F02ED8" w:rsidR="00CE3BB1" w:rsidP="00B03477" w:rsidRDefault="00EB5B6C" w14:paraId="623D8B40" w14:textId="610D47D6">
      <w:pPr>
        <w:pStyle w:val="FoF"/>
        <w:numPr>
          <w:ilvl w:val="1"/>
          <w:numId w:val="24"/>
        </w:numPr>
        <w:spacing w:after="120" w:line="240" w:lineRule="auto"/>
        <w:ind w:left="1260" w:right="1440" w:hanging="274"/>
        <w:rPr>
          <w:rFonts w:cs="TimesNewRomanPSMT"/>
        </w:rPr>
      </w:pPr>
      <w:r w:rsidRPr="00F02ED8">
        <w:rPr>
          <w:rFonts w:cs="TimesNewRomanPSMT"/>
        </w:rPr>
        <w:t xml:space="preserve">The </w:t>
      </w:r>
      <w:r w:rsidRPr="00F02ED8" w:rsidR="00892B8A">
        <w:rPr>
          <w:rFonts w:cs="TimesNewRomanPSMT"/>
        </w:rPr>
        <w:t>program initiation date</w:t>
      </w:r>
      <w:r w:rsidRPr="00F02ED8">
        <w:rPr>
          <w:rFonts w:cs="TimesNewRomanPSMT"/>
        </w:rPr>
        <w:t xml:space="preserve"> shall be the date of the Utilities’ first </w:t>
      </w:r>
      <w:r w:rsidRPr="00F02ED8" w:rsidR="00D6152C">
        <w:rPr>
          <w:rFonts w:cs="TimesNewRomanPSMT"/>
        </w:rPr>
        <w:t xml:space="preserve">customer bill for participation in the program. </w:t>
      </w:r>
      <w:r w:rsidRPr="00F02ED8" w:rsidR="00891214">
        <w:rPr>
          <w:rFonts w:cs="TimesNewRomanPSMT"/>
        </w:rPr>
        <w:t xml:space="preserve"> </w:t>
      </w:r>
      <w:r w:rsidRPr="00F02ED8" w:rsidR="00AB3A98">
        <w:rPr>
          <w:rFonts w:cs="TimesNewRomanPSMT"/>
        </w:rPr>
        <w:t xml:space="preserve">The Utilities shall </w:t>
      </w:r>
      <w:r w:rsidRPr="00F02ED8" w:rsidR="00C00483">
        <w:rPr>
          <w:rFonts w:cs="TimesNewRomanPSMT"/>
        </w:rPr>
        <w:t>each</w:t>
      </w:r>
      <w:r w:rsidRPr="00F02ED8" w:rsidR="00E02F34">
        <w:rPr>
          <w:rFonts w:cs="TimesNewRomanPSMT"/>
        </w:rPr>
        <w:t xml:space="preserve"> file a Tier 3 AL </w:t>
      </w:r>
      <w:r w:rsidRPr="00F02ED8" w:rsidR="00AB6FC2">
        <w:rPr>
          <w:rFonts w:cs="TimesNewRomanPSMT"/>
        </w:rPr>
        <w:t xml:space="preserve">for Commission review of the program and approval </w:t>
      </w:r>
      <w:r w:rsidRPr="00F02ED8" w:rsidR="008F2397">
        <w:rPr>
          <w:rFonts w:cs="TimesNewRomanPSMT"/>
        </w:rPr>
        <w:t xml:space="preserve">for </w:t>
      </w:r>
      <w:r w:rsidRPr="00F02ED8" w:rsidR="00554798">
        <w:rPr>
          <w:rFonts w:cs="TimesNewRomanPSMT"/>
        </w:rPr>
        <w:t xml:space="preserve">the </w:t>
      </w:r>
      <w:r w:rsidRPr="00F02ED8" w:rsidR="008F2397">
        <w:rPr>
          <w:rFonts w:cs="TimesNewRomanPSMT"/>
        </w:rPr>
        <w:t xml:space="preserve">continuation </w:t>
      </w:r>
      <w:r w:rsidRPr="00F02ED8" w:rsidR="00554798">
        <w:rPr>
          <w:rFonts w:cs="TimesNewRomanPSMT"/>
        </w:rPr>
        <w:t xml:space="preserve">of the pilot </w:t>
      </w:r>
      <w:r w:rsidRPr="00F02ED8" w:rsidR="00E02F34">
        <w:rPr>
          <w:rFonts w:cs="TimesNewRomanPSMT"/>
        </w:rPr>
        <w:t xml:space="preserve">on </w:t>
      </w:r>
      <w:r w:rsidRPr="00F02ED8" w:rsidR="00A11A2E">
        <w:rPr>
          <w:rFonts w:cs="TimesNewRomanPSMT"/>
        </w:rPr>
        <w:t xml:space="preserve">the third-year anniversary from the </w:t>
      </w:r>
      <w:r w:rsidRPr="00F02ED8" w:rsidR="00C47A06">
        <w:rPr>
          <w:rFonts w:cs="TimesNewRomanPSMT"/>
        </w:rPr>
        <w:t xml:space="preserve">program </w:t>
      </w:r>
      <w:r w:rsidRPr="00F02ED8" w:rsidR="009E6613">
        <w:rPr>
          <w:rFonts w:cs="TimesNewRomanPSMT"/>
        </w:rPr>
        <w:t>initiation</w:t>
      </w:r>
      <w:r w:rsidRPr="00F02ED8" w:rsidR="00C47A06">
        <w:rPr>
          <w:rFonts w:cs="TimesNewRomanPSMT"/>
        </w:rPr>
        <w:t xml:space="preserve"> </w:t>
      </w:r>
      <w:r w:rsidRPr="00F02ED8" w:rsidR="00DF0E49">
        <w:rPr>
          <w:rFonts w:cs="TimesNewRomanPSMT"/>
        </w:rPr>
        <w:t>date</w:t>
      </w:r>
      <w:r w:rsidRPr="00F02ED8" w:rsidR="00C47A06">
        <w:rPr>
          <w:rFonts w:cs="TimesNewRomanPSMT"/>
        </w:rPr>
        <w:t>.</w:t>
      </w:r>
    </w:p>
    <w:p w:rsidR="00891214" w:rsidP="00196CED" w:rsidRDefault="00E143F4" w14:paraId="39EA4DC6" w14:textId="1BCCBA76">
      <w:pPr>
        <w:pStyle w:val="FoF"/>
        <w:numPr>
          <w:ilvl w:val="3"/>
          <w:numId w:val="22"/>
        </w:numPr>
        <w:spacing w:after="120" w:line="240" w:lineRule="auto"/>
        <w:ind w:left="1620" w:right="1440" w:hanging="274"/>
      </w:pPr>
      <w:r w:rsidRPr="00CE3BB1">
        <w:t xml:space="preserve">The Utilities shall continue </w:t>
      </w:r>
      <w:r w:rsidRPr="00CE3BB1" w:rsidR="00941378">
        <w:t xml:space="preserve">to administer </w:t>
      </w:r>
      <w:r w:rsidR="00626F10">
        <w:t xml:space="preserve">the program </w:t>
      </w:r>
      <w:r w:rsidR="00CB5A61">
        <w:t xml:space="preserve">pending </w:t>
      </w:r>
      <w:r w:rsidR="002168C7">
        <w:t>the Commission’s disposition of the Utilities’ respective Tier 3 ALs.</w:t>
      </w:r>
      <w:r w:rsidRPr="00CE3BB1" w:rsidR="00694922">
        <w:t xml:space="preserve"> </w:t>
      </w:r>
    </w:p>
    <w:p w:rsidRPr="001455F7" w:rsidR="00F11073" w:rsidP="00196CED" w:rsidRDefault="00500290" w14:paraId="28B46151" w14:textId="1BB1752B">
      <w:pPr>
        <w:pStyle w:val="FoF"/>
        <w:numPr>
          <w:ilvl w:val="3"/>
          <w:numId w:val="22"/>
        </w:numPr>
        <w:spacing w:after="120" w:line="240" w:lineRule="auto"/>
        <w:ind w:left="1628" w:right="1440" w:hanging="274"/>
      </w:pPr>
      <w:r>
        <w:t xml:space="preserve">If </w:t>
      </w:r>
      <w:r w:rsidR="000F5FDD">
        <w:t xml:space="preserve">program </w:t>
      </w:r>
      <w:r w:rsidR="00844E82">
        <w:t xml:space="preserve">continuation is not approved, the Utilities shall terminate </w:t>
      </w:r>
      <w:r w:rsidR="00843648">
        <w:t>the RNG Tariff program within two years from</w:t>
      </w:r>
      <w:r w:rsidR="00574B5F">
        <w:t xml:space="preserve"> </w:t>
      </w:r>
      <w:r w:rsidR="00F96AE6">
        <w:t xml:space="preserve">the </w:t>
      </w:r>
      <w:r w:rsidR="0013177B">
        <w:t>disposition of the</w:t>
      </w:r>
      <w:r w:rsidR="00B470E4">
        <w:t>ir respective</w:t>
      </w:r>
      <w:r w:rsidR="0013177B">
        <w:t xml:space="preserve"> </w:t>
      </w:r>
      <w:r w:rsidR="00574B5F">
        <w:t>Tier 3 AL</w:t>
      </w:r>
      <w:r w:rsidR="00B470E4">
        <w:t>s</w:t>
      </w:r>
      <w:r w:rsidR="00574B5F">
        <w:t>.</w:t>
      </w:r>
      <w:r w:rsidR="00CB5A61">
        <w:t xml:space="preserve">  </w:t>
      </w:r>
      <w:r w:rsidR="006A4A4C">
        <w:t>Upon the Tier 3 AL disposition, t</w:t>
      </w:r>
      <w:r w:rsidR="00CB5A61">
        <w:t xml:space="preserve">he Utilities shall cease incurring marketing </w:t>
      </w:r>
      <w:r w:rsidR="00957D42">
        <w:t>expenses for the program</w:t>
      </w:r>
      <w:r w:rsidR="00AF4FD1">
        <w:t xml:space="preserve"> and minimize administrative costs</w:t>
      </w:r>
      <w:r w:rsidRPr="00323EA9" w:rsidR="004223C1">
        <w:t>.</w:t>
      </w:r>
    </w:p>
    <w:bookmarkEnd w:id="55"/>
    <w:p w:rsidRPr="001E2A62" w:rsidR="005A6F75" w:rsidP="00BC5B6E" w:rsidRDefault="005A6F75" w14:paraId="01C5AAEE" w14:textId="5D03681B">
      <w:pPr>
        <w:pStyle w:val="FoF"/>
      </w:pPr>
      <w:r>
        <w:t>A</w:t>
      </w:r>
      <w:r w:rsidR="00767198">
        <w:t>ll</w:t>
      </w:r>
      <w:r>
        <w:t xml:space="preserve"> </w:t>
      </w:r>
      <w:r w:rsidR="00767198">
        <w:t>m</w:t>
      </w:r>
      <w:r>
        <w:t>otion</w:t>
      </w:r>
      <w:r w:rsidR="00767198">
        <w:t>s</w:t>
      </w:r>
      <w:r>
        <w:t xml:space="preserve"> </w:t>
      </w:r>
      <w:r w:rsidR="00767198">
        <w:t>not specifically ruled upon are</w:t>
      </w:r>
      <w:r>
        <w:t xml:space="preserve"> denied.</w:t>
      </w:r>
    </w:p>
    <w:p w:rsidR="00F6397D" w:rsidP="0010492D" w:rsidRDefault="00E23CBB" w14:paraId="5014BC33" w14:textId="102F56EC">
      <w:pPr>
        <w:pStyle w:val="FoF"/>
        <w:keepNext/>
        <w:keepLines/>
      </w:pPr>
      <w:r w:rsidRPr="001E2A62">
        <w:lastRenderedPageBreak/>
        <w:t>Application</w:t>
      </w:r>
      <w:r w:rsidR="00971D7D">
        <w:t xml:space="preserve"> 19-</w:t>
      </w:r>
      <w:r w:rsidR="005A6F75">
        <w:t>02-015</w:t>
      </w:r>
      <w:r w:rsidRPr="001E2A62">
        <w:t xml:space="preserve"> is closed.</w:t>
      </w:r>
    </w:p>
    <w:p w:rsidR="008F0116" w:rsidP="0010492D" w:rsidRDefault="008F0116" w14:paraId="4684CDF6" w14:textId="77777777">
      <w:pPr>
        <w:keepNext/>
        <w:keepLines/>
      </w:pPr>
      <w:r>
        <w:t>This order is effective today.</w:t>
      </w:r>
    </w:p>
    <w:p w:rsidR="00CE587D" w:rsidP="00816E05" w:rsidRDefault="008F0116" w14:paraId="2D60424E" w14:textId="701300CF">
      <w:r>
        <w:t xml:space="preserve">Dated </w:t>
      </w:r>
      <w:r w:rsidRPr="002375B8" w:rsidR="002375B8">
        <w:t>December 17, 2020</w:t>
      </w:r>
      <w:r>
        <w:t>, at San Francisco, California</w:t>
      </w:r>
      <w:r w:rsidR="002375B8">
        <w:t>.</w:t>
      </w:r>
    </w:p>
    <w:p w:rsidR="002375B8" w:rsidP="00265799" w:rsidRDefault="002375B8" w14:paraId="52749C51" w14:textId="77777777">
      <w:pPr>
        <w:spacing w:line="240" w:lineRule="auto"/>
      </w:pPr>
    </w:p>
    <w:p w:rsidRPr="00AE0DE2" w:rsidR="00265799" w:rsidP="00265799" w:rsidRDefault="00265799" w14:paraId="625B00CF" w14:textId="77777777">
      <w:pPr>
        <w:autoSpaceDE w:val="0"/>
        <w:autoSpaceDN w:val="0"/>
        <w:adjustRightInd w:val="0"/>
        <w:spacing w:line="240" w:lineRule="auto"/>
        <w:ind w:left="4320"/>
        <w:jc w:val="both"/>
        <w:rPr>
          <w:rFonts w:cs="Times New Roman"/>
          <w:szCs w:val="20"/>
        </w:rPr>
      </w:pPr>
      <w:bookmarkStart w:name="_Hlk17215919" w:id="56"/>
      <w:r w:rsidRPr="00AE0DE2">
        <w:rPr>
          <w:rFonts w:cs="Times New Roman"/>
          <w:szCs w:val="20"/>
        </w:rPr>
        <w:t>MARYBEL BATJER</w:t>
      </w:r>
    </w:p>
    <w:p w:rsidRPr="00AE0DE2" w:rsidR="00265799" w:rsidP="00265799" w:rsidRDefault="00265799" w14:paraId="583AFDC2" w14:textId="77777777">
      <w:pPr>
        <w:autoSpaceDE w:val="0"/>
        <w:autoSpaceDN w:val="0"/>
        <w:adjustRightInd w:val="0"/>
        <w:spacing w:line="240" w:lineRule="auto"/>
        <w:jc w:val="both"/>
        <w:rPr>
          <w:rFonts w:cs="Times New Roman"/>
          <w:szCs w:val="20"/>
        </w:rPr>
      </w:pPr>
      <w:r w:rsidRPr="00AE0DE2">
        <w:rPr>
          <w:rFonts w:cs="Times New Roman"/>
          <w:szCs w:val="20"/>
        </w:rPr>
        <w:tab/>
      </w:r>
      <w:r w:rsidRPr="00AE0DE2">
        <w:rPr>
          <w:rFonts w:cs="Times New Roman"/>
          <w:szCs w:val="20"/>
        </w:rPr>
        <w:tab/>
      </w:r>
      <w:r w:rsidRPr="00AE0DE2">
        <w:rPr>
          <w:rFonts w:cs="Times New Roman"/>
          <w:szCs w:val="20"/>
        </w:rPr>
        <w:tab/>
      </w:r>
      <w:r w:rsidRPr="00AE0DE2">
        <w:rPr>
          <w:rFonts w:cs="Times New Roman"/>
          <w:szCs w:val="20"/>
        </w:rPr>
        <w:tab/>
      </w:r>
      <w:r w:rsidRPr="00AE0DE2">
        <w:rPr>
          <w:rFonts w:cs="Times New Roman"/>
          <w:szCs w:val="20"/>
        </w:rPr>
        <w:tab/>
        <w:t xml:space="preserve">                       President</w:t>
      </w:r>
    </w:p>
    <w:p w:rsidRPr="00AE0DE2" w:rsidR="00265799" w:rsidP="00265799" w:rsidRDefault="00265799" w14:paraId="6A25DF47" w14:textId="77777777">
      <w:pPr>
        <w:autoSpaceDE w:val="0"/>
        <w:autoSpaceDN w:val="0"/>
        <w:adjustRightInd w:val="0"/>
        <w:spacing w:line="240" w:lineRule="auto"/>
        <w:ind w:left="4320"/>
        <w:jc w:val="both"/>
        <w:rPr>
          <w:rFonts w:cs="Times New Roman"/>
          <w:szCs w:val="20"/>
        </w:rPr>
      </w:pPr>
      <w:r w:rsidRPr="00AE0DE2">
        <w:rPr>
          <w:rFonts w:cs="Times New Roman"/>
          <w:szCs w:val="20"/>
        </w:rPr>
        <w:t>LIANE M. RANDOLPH</w:t>
      </w:r>
    </w:p>
    <w:p w:rsidRPr="00AE0DE2" w:rsidR="00265799" w:rsidP="00265799" w:rsidRDefault="00265799" w14:paraId="2309D9EF" w14:textId="77777777">
      <w:pPr>
        <w:autoSpaceDE w:val="0"/>
        <w:autoSpaceDN w:val="0"/>
        <w:adjustRightInd w:val="0"/>
        <w:spacing w:line="240" w:lineRule="auto"/>
        <w:ind w:left="4320"/>
        <w:jc w:val="both"/>
        <w:rPr>
          <w:rFonts w:cs="Times New Roman"/>
          <w:szCs w:val="20"/>
        </w:rPr>
      </w:pPr>
      <w:r w:rsidRPr="00AE0DE2">
        <w:rPr>
          <w:rFonts w:cs="Times New Roman"/>
          <w:szCs w:val="20"/>
        </w:rPr>
        <w:t>CLIFFORD RECHTSCHAFFEN</w:t>
      </w:r>
    </w:p>
    <w:p w:rsidRPr="00AE0DE2" w:rsidR="00265799" w:rsidP="00265799" w:rsidRDefault="00265799" w14:paraId="4BFA5926" w14:textId="77777777">
      <w:pPr>
        <w:autoSpaceDE w:val="0"/>
        <w:autoSpaceDN w:val="0"/>
        <w:adjustRightInd w:val="0"/>
        <w:spacing w:line="240" w:lineRule="auto"/>
        <w:ind w:left="4320"/>
        <w:jc w:val="both"/>
        <w:rPr>
          <w:rFonts w:cs="Times New Roman"/>
          <w:szCs w:val="20"/>
        </w:rPr>
      </w:pPr>
      <w:r w:rsidRPr="00AE0DE2">
        <w:rPr>
          <w:rFonts w:cs="Times New Roman"/>
          <w:szCs w:val="20"/>
        </w:rPr>
        <w:t>GENEVIEVE SHIROMA</w:t>
      </w:r>
    </w:p>
    <w:p w:rsidRPr="00AE0DE2" w:rsidR="00265799" w:rsidP="00265799" w:rsidRDefault="00265799" w14:paraId="5E3AF0E7" w14:textId="77777777">
      <w:pPr>
        <w:autoSpaceDE w:val="0"/>
        <w:autoSpaceDN w:val="0"/>
        <w:adjustRightInd w:val="0"/>
        <w:spacing w:line="240" w:lineRule="auto"/>
        <w:ind w:left="4320"/>
        <w:jc w:val="both"/>
        <w:rPr>
          <w:rFonts w:cs="Times New Roman"/>
          <w:szCs w:val="20"/>
        </w:rPr>
      </w:pPr>
      <w:r w:rsidRPr="00AE0DE2">
        <w:rPr>
          <w:rFonts w:cs="Times New Roman"/>
          <w:szCs w:val="20"/>
        </w:rPr>
        <w:t xml:space="preserve">                 Commissioners</w:t>
      </w:r>
    </w:p>
    <w:bookmarkEnd w:id="56"/>
    <w:p w:rsidRPr="00AE0DE2" w:rsidR="00265799" w:rsidP="00265799" w:rsidRDefault="00265799" w14:paraId="1638AF8D" w14:textId="77777777">
      <w:pPr>
        <w:spacing w:line="240" w:lineRule="auto"/>
        <w:rPr>
          <w:rFonts w:cs="Times New Roman"/>
          <w:szCs w:val="20"/>
        </w:rPr>
      </w:pPr>
    </w:p>
    <w:p w:rsidR="002375B8" w:rsidP="00816E05" w:rsidRDefault="002375B8" w14:paraId="633F52AE" w14:textId="77777777"/>
    <w:p w:rsidRPr="00AE0DE2" w:rsidR="00265799" w:rsidP="00265799" w:rsidRDefault="00265799" w14:paraId="75847FD8" w14:textId="56F08044">
      <w:pPr>
        <w:pStyle w:val="standard0"/>
        <w:keepNext/>
        <w:keepLines/>
      </w:pPr>
      <w:r w:rsidRPr="00AE0DE2">
        <w:t xml:space="preserve">I </w:t>
      </w:r>
      <w:r>
        <w:t>dissent</w:t>
      </w:r>
      <w:r w:rsidRPr="00AE0DE2">
        <w:t>.</w:t>
      </w:r>
    </w:p>
    <w:p w:rsidR="002375B8" w:rsidP="00265799" w:rsidRDefault="00265799" w14:paraId="1E3CCA60" w14:textId="366B74D4">
      <w:pPr>
        <w:spacing w:line="240" w:lineRule="auto"/>
        <w:ind w:left="1260" w:hanging="540"/>
      </w:pPr>
      <w:r w:rsidRPr="00F524B9">
        <w:rPr>
          <w:rFonts w:cs="Times New Roman"/>
          <w:szCs w:val="20"/>
        </w:rPr>
        <w:t>/s</w:t>
      </w:r>
      <w:proofErr w:type="gramStart"/>
      <w:r w:rsidRPr="00F524B9">
        <w:rPr>
          <w:rFonts w:cs="Times New Roman"/>
          <w:szCs w:val="20"/>
        </w:rPr>
        <w:t>/  MARTHA</w:t>
      </w:r>
      <w:proofErr w:type="gramEnd"/>
      <w:r w:rsidRPr="00F524B9">
        <w:rPr>
          <w:rFonts w:cs="Times New Roman"/>
          <w:szCs w:val="20"/>
        </w:rPr>
        <w:t xml:space="preserve"> GUZMAN ACEVES</w:t>
      </w:r>
      <w:r w:rsidRPr="00F524B9">
        <w:rPr>
          <w:rFonts w:cs="Times New Roman"/>
          <w:szCs w:val="20"/>
        </w:rPr>
        <w:br/>
      </w:r>
      <w:r w:rsidRPr="00AE0DE2">
        <w:rPr>
          <w:rFonts w:cs="Times New Roman"/>
          <w:szCs w:val="20"/>
        </w:rPr>
        <w:t xml:space="preserve">         Commissioner</w:t>
      </w:r>
    </w:p>
    <w:p w:rsidR="002375B8" w:rsidP="00816E05" w:rsidRDefault="002375B8" w14:paraId="4DC169FD" w14:textId="77777777"/>
    <w:p w:rsidR="002375B8" w:rsidP="00816E05" w:rsidRDefault="002375B8" w14:paraId="33E71FAE" w14:textId="77777777"/>
    <w:p w:rsidR="002375B8" w:rsidP="00816E05" w:rsidRDefault="002375B8" w14:paraId="7D5BB2B6" w14:textId="100BE89A">
      <w:pPr>
        <w:sectPr w:rsidR="002375B8" w:rsidSect="00BF001C">
          <w:headerReference w:type="default" r:id="rId11"/>
          <w:footerReference w:type="default" r:id="rId12"/>
          <w:pgSz w:w="12240" w:h="15840"/>
          <w:pgMar w:top="1728" w:right="1440" w:bottom="1440" w:left="1440" w:header="720" w:footer="720" w:gutter="0"/>
          <w:pgNumType w:start="2"/>
          <w:cols w:space="720"/>
          <w:docGrid w:linePitch="360"/>
        </w:sectPr>
      </w:pPr>
    </w:p>
    <w:p w:rsidR="00714CF2" w:rsidP="00CE587D" w:rsidRDefault="00714CF2" w14:paraId="6FDE439C" w14:textId="60E49417">
      <w:pPr>
        <w:ind w:firstLine="0"/>
        <w:jc w:val="center"/>
      </w:pPr>
    </w:p>
    <w:p w:rsidR="00CE18D5" w:rsidP="00CE587D" w:rsidRDefault="00CE18D5" w14:paraId="3C122241" w14:textId="6B3C1D71">
      <w:pPr>
        <w:ind w:firstLine="0"/>
        <w:jc w:val="center"/>
      </w:pPr>
    </w:p>
    <w:p w:rsidR="00CE18D5" w:rsidP="00CE587D" w:rsidRDefault="00CE18D5" w14:paraId="7C426571" w14:textId="1A3AA7C0">
      <w:pPr>
        <w:ind w:firstLine="0"/>
        <w:jc w:val="center"/>
      </w:pPr>
    </w:p>
    <w:p w:rsidR="00CE18D5" w:rsidP="00CE587D" w:rsidRDefault="00CE18D5" w14:paraId="5742226D" w14:textId="1FF652BA">
      <w:pPr>
        <w:ind w:firstLine="0"/>
        <w:jc w:val="center"/>
      </w:pPr>
    </w:p>
    <w:p w:rsidR="00CE18D5" w:rsidP="00CE587D" w:rsidRDefault="00CE18D5" w14:paraId="47D073F9" w14:textId="4759587A">
      <w:pPr>
        <w:ind w:firstLine="0"/>
        <w:jc w:val="center"/>
      </w:pPr>
    </w:p>
    <w:p w:rsidR="00CE18D5" w:rsidP="00CE587D" w:rsidRDefault="00CE18D5" w14:paraId="49A408DA" w14:textId="34F46671">
      <w:pPr>
        <w:ind w:firstLine="0"/>
        <w:jc w:val="center"/>
      </w:pPr>
    </w:p>
    <w:p w:rsidR="00CE18D5" w:rsidP="00CE587D" w:rsidRDefault="00CE18D5" w14:paraId="1F0ACF53" w14:textId="7CC0678F">
      <w:pPr>
        <w:ind w:firstLine="0"/>
        <w:jc w:val="center"/>
      </w:pPr>
    </w:p>
    <w:p w:rsidR="00CE18D5" w:rsidP="00CE587D" w:rsidRDefault="00CE18D5" w14:paraId="7C51D2EE" w14:textId="6A15E992">
      <w:pPr>
        <w:ind w:firstLine="0"/>
        <w:jc w:val="center"/>
      </w:pPr>
    </w:p>
    <w:p w:rsidR="00CE18D5" w:rsidP="00CE587D" w:rsidRDefault="00CE18D5" w14:paraId="65AE82A5" w14:textId="72D6D066">
      <w:pPr>
        <w:ind w:firstLine="0"/>
        <w:jc w:val="center"/>
      </w:pPr>
    </w:p>
    <w:p w:rsidR="00CE18D5" w:rsidP="00CE587D" w:rsidRDefault="00CE18D5" w14:paraId="3605DECD" w14:textId="77777777">
      <w:pPr>
        <w:ind w:firstLine="0"/>
        <w:jc w:val="center"/>
      </w:pPr>
    </w:p>
    <w:p w:rsidR="003E550F" w:rsidP="00CE587D" w:rsidRDefault="00A00499" w14:paraId="160690F7" w14:textId="77777777">
      <w:pPr>
        <w:ind w:firstLine="0"/>
        <w:jc w:val="center"/>
        <w:rPr>
          <w:b/>
          <w:bCs/>
          <w:sz w:val="56"/>
          <w:szCs w:val="56"/>
        </w:rPr>
        <w:sectPr w:rsidR="003E550F" w:rsidSect="00CE587D">
          <w:footerReference w:type="default" r:id="rId13"/>
          <w:headerReference w:type="first" r:id="rId14"/>
          <w:footerReference w:type="first" r:id="rId15"/>
          <w:pgSz w:w="12240" w:h="15840"/>
          <w:pgMar w:top="1728" w:right="1440" w:bottom="1440" w:left="1440" w:header="720" w:footer="720" w:gutter="0"/>
          <w:pgNumType w:start="1"/>
          <w:cols w:space="720"/>
          <w:titlePg/>
          <w:docGrid w:linePitch="360"/>
        </w:sectPr>
      </w:pPr>
      <w:r w:rsidRPr="00CE587D">
        <w:rPr>
          <w:b/>
          <w:bCs/>
          <w:sz w:val="56"/>
          <w:szCs w:val="56"/>
        </w:rPr>
        <w:t xml:space="preserve">APPENDIX </w:t>
      </w:r>
      <w:r>
        <w:rPr>
          <w:b/>
          <w:bCs/>
          <w:sz w:val="56"/>
          <w:szCs w:val="56"/>
        </w:rPr>
        <w:t>A</w:t>
      </w:r>
    </w:p>
    <w:p w:rsidR="003B7C12" w:rsidP="003B7C12" w:rsidRDefault="003B7C12" w14:paraId="2DC6035B" w14:textId="77777777">
      <w:pPr>
        <w:ind w:firstLine="0"/>
        <w:jc w:val="center"/>
        <w:rPr>
          <w:b/>
          <w:bCs/>
          <w:szCs w:val="26"/>
        </w:rPr>
      </w:pPr>
      <w:r>
        <w:rPr>
          <w:b/>
          <w:bCs/>
          <w:szCs w:val="26"/>
        </w:rPr>
        <w:lastRenderedPageBreak/>
        <w:t>Appendix A</w:t>
      </w:r>
    </w:p>
    <w:p w:rsidR="003B7C12" w:rsidP="003B7C12" w:rsidRDefault="003B7C12" w14:paraId="207B7C73" w14:textId="77777777">
      <w:pPr>
        <w:spacing w:line="240" w:lineRule="auto"/>
        <w:ind w:firstLine="0"/>
        <w:jc w:val="center"/>
        <w:rPr>
          <w:szCs w:val="26"/>
        </w:rPr>
      </w:pPr>
      <w:r>
        <w:rPr>
          <w:b/>
          <w:bCs/>
          <w:szCs w:val="26"/>
        </w:rPr>
        <w:t>Adopted Voluntary Pilot Renewable Natural Gas Tariff Program</w:t>
      </w:r>
      <w:r w:rsidRPr="00A00499">
        <w:rPr>
          <w:szCs w:val="26"/>
        </w:rPr>
        <w:t xml:space="preserve"> </w:t>
      </w:r>
    </w:p>
    <w:p w:rsidR="003B7C12" w:rsidP="003B7C12" w:rsidRDefault="003B7C12" w14:paraId="3C61F8B5" w14:textId="33A1D37D">
      <w:pPr>
        <w:spacing w:line="240" w:lineRule="auto"/>
        <w:ind w:firstLine="0"/>
        <w:jc w:val="center"/>
        <w:rPr>
          <w:szCs w:val="26"/>
        </w:rPr>
      </w:pPr>
    </w:p>
    <w:p w:rsidRPr="00D40C41" w:rsidR="003B7C12" w:rsidP="003B7C12" w:rsidRDefault="003B7C12" w14:paraId="158F02AF" w14:textId="77777777">
      <w:pPr>
        <w:ind w:firstLine="0"/>
        <w:jc w:val="center"/>
        <w:rPr>
          <w:b/>
          <w:bCs/>
          <w:szCs w:val="26"/>
        </w:rPr>
      </w:pPr>
    </w:p>
    <w:p w:rsidRPr="009F0E1F" w:rsidR="003B7C12" w:rsidP="003B7C12" w:rsidRDefault="003B7C12" w14:paraId="2A66BFA1" w14:textId="77777777">
      <w:pPr>
        <w:pStyle w:val="ListParagraph"/>
        <w:numPr>
          <w:ilvl w:val="0"/>
          <w:numId w:val="11"/>
        </w:numPr>
        <w:autoSpaceDE w:val="0"/>
        <w:autoSpaceDN w:val="0"/>
        <w:adjustRightInd w:val="0"/>
        <w:rPr>
          <w:rFonts w:ascii="Book Antiqua" w:hAnsi="Book Antiqua" w:cs="TimesNewRomanPSMT"/>
          <w:b/>
          <w:bCs/>
        </w:rPr>
      </w:pPr>
      <w:r w:rsidRPr="009F0E1F">
        <w:rPr>
          <w:rFonts w:ascii="Book Antiqua" w:hAnsi="Book Antiqua" w:cs="TimesNewRomanPSMT"/>
          <w:b/>
          <w:bCs/>
        </w:rPr>
        <w:t>General</w:t>
      </w:r>
    </w:p>
    <w:p w:rsidRPr="00C72951" w:rsidR="003B7C12" w:rsidP="003B7C12" w:rsidRDefault="003B7C12" w14:paraId="42D244FA" w14:textId="77777777">
      <w:pPr>
        <w:pStyle w:val="ListParagraph"/>
        <w:numPr>
          <w:ilvl w:val="1"/>
          <w:numId w:val="11"/>
        </w:numPr>
        <w:autoSpaceDE w:val="0"/>
        <w:autoSpaceDN w:val="0"/>
        <w:adjustRightInd w:val="0"/>
        <w:rPr>
          <w:rFonts w:ascii="Book Antiqua" w:hAnsi="Book Antiqua" w:cs="TimesNewRomanPSMT"/>
        </w:rPr>
      </w:pPr>
      <w:r w:rsidRPr="00C72951">
        <w:rPr>
          <w:rFonts w:ascii="Book Antiqua" w:hAnsi="Book Antiqua" w:cs="TimesNewRomanPSMT"/>
        </w:rPr>
        <w:t>Southern California Gas Company (“SoCalGas”) and San Diego Gas &amp; Electric Company (“SDG&amp;E”) (together referred to as the Utilities) are authorized to implement a voluntary pilot Renewable Natural Gas (“RNG”) Tariff program (hereinafter referred to as the “RNG Tariff program”), pursuant to the terms of this document.</w:t>
      </w:r>
    </w:p>
    <w:p w:rsidRPr="00C72951" w:rsidR="003B7C12" w:rsidP="003B7C12" w:rsidRDefault="003B7C12" w14:paraId="17ACFB39" w14:textId="77777777">
      <w:pPr>
        <w:pStyle w:val="ListParagraph"/>
        <w:numPr>
          <w:ilvl w:val="1"/>
          <w:numId w:val="11"/>
        </w:numPr>
        <w:autoSpaceDE w:val="0"/>
        <w:autoSpaceDN w:val="0"/>
        <w:adjustRightInd w:val="0"/>
        <w:rPr>
          <w:rFonts w:ascii="Book Antiqua" w:hAnsi="Book Antiqua" w:cs="TimesNewRomanPSMT"/>
        </w:rPr>
      </w:pPr>
      <w:r w:rsidRPr="00C72951">
        <w:rPr>
          <w:rFonts w:ascii="Book Antiqua" w:hAnsi="Book Antiqua" w:cs="TimesNewRomanPSMT"/>
        </w:rPr>
        <w:t>The Utilities may propose modifications to the program design or the reporting frequency other than subscription levels by submission of a Tier 3</w:t>
      </w:r>
      <w:r>
        <w:rPr>
          <w:rFonts w:ascii="Book Antiqua" w:hAnsi="Book Antiqua" w:cs="TimesNewRomanPSMT"/>
        </w:rPr>
        <w:t xml:space="preserve"> </w:t>
      </w:r>
      <w:r w:rsidRPr="00C72951">
        <w:rPr>
          <w:rFonts w:ascii="Book Antiqua" w:hAnsi="Book Antiqua" w:cs="TimesNewRomanPSMT"/>
        </w:rPr>
        <w:t>Advice Letter (AL) for Commission approval.  The Utilities may change the program’s subscription levels without Commission approval. (</w:t>
      </w:r>
      <w:r w:rsidRPr="0019096A">
        <w:rPr>
          <w:rFonts w:ascii="Book Antiqua" w:hAnsi="Book Antiqua" w:cs="TimesNewRomanPSMT"/>
          <w:i/>
          <w:iCs/>
        </w:rPr>
        <w:t xml:space="preserve">see </w:t>
      </w:r>
      <w:r w:rsidRPr="00C72951">
        <w:rPr>
          <w:rFonts w:ascii="Book Antiqua" w:hAnsi="Book Antiqua" w:cs="TimesNewRomanPSMT"/>
        </w:rPr>
        <w:t xml:space="preserve">Section V(B), </w:t>
      </w:r>
      <w:r w:rsidRPr="00C72951">
        <w:rPr>
          <w:rFonts w:ascii="Book Antiqua" w:hAnsi="Book Antiqua" w:cs="TimesNewRomanPSMT"/>
          <w:i/>
          <w:iCs/>
        </w:rPr>
        <w:t>infra</w:t>
      </w:r>
      <w:r w:rsidRPr="00C72951">
        <w:rPr>
          <w:rFonts w:ascii="Book Antiqua" w:hAnsi="Book Antiqua" w:cs="TimesNewRomanPSMT"/>
        </w:rPr>
        <w:t>)</w:t>
      </w:r>
    </w:p>
    <w:p w:rsidRPr="00C72951" w:rsidR="003B7C12" w:rsidP="003B7C12" w:rsidRDefault="003B7C12" w14:paraId="622E695C" w14:textId="77777777">
      <w:pPr>
        <w:pStyle w:val="ListParagraph"/>
        <w:numPr>
          <w:ilvl w:val="1"/>
          <w:numId w:val="11"/>
        </w:numPr>
        <w:autoSpaceDE w:val="0"/>
        <w:autoSpaceDN w:val="0"/>
        <w:adjustRightInd w:val="0"/>
        <w:rPr>
          <w:rFonts w:ascii="Book Antiqua" w:hAnsi="Book Antiqua" w:cs="TimesNewRomanPSMT"/>
        </w:rPr>
      </w:pPr>
      <w:r w:rsidRPr="00C72951">
        <w:rPr>
          <w:rFonts w:ascii="Book Antiqua" w:hAnsi="Book Antiqua" w:cs="TimesNewRomanPSMT"/>
        </w:rPr>
        <w:t>The goals of the voluntary RNG Tariff program</w:t>
      </w:r>
      <w:r>
        <w:rPr>
          <w:rFonts w:ascii="Book Antiqua" w:hAnsi="Book Antiqua" w:cs="TimesNewRomanPSMT"/>
        </w:rPr>
        <w:t xml:space="preserve"> </w:t>
      </w:r>
      <w:r w:rsidRPr="00C72951">
        <w:rPr>
          <w:rFonts w:ascii="Book Antiqua" w:hAnsi="Book Antiqua" w:cs="TimesNewRomanPSMT"/>
        </w:rPr>
        <w:t>are: (1) to accelerate the use of renewable, low carbon RNG and the development of RNG supplies in California and nationally, and (2) reduce greenhouse gas (“GHG”) and Short-Lived Climate Pollutant (“SLCP”) emissions in California.</w:t>
      </w:r>
    </w:p>
    <w:p w:rsidRPr="0075295C" w:rsidR="003B7C12" w:rsidP="003B7C12" w:rsidRDefault="003B7C12" w14:paraId="298CDC58" w14:textId="77777777">
      <w:pPr>
        <w:autoSpaceDE w:val="0"/>
        <w:autoSpaceDN w:val="0"/>
        <w:adjustRightInd w:val="0"/>
        <w:spacing w:line="240" w:lineRule="auto"/>
        <w:rPr>
          <w:rFonts w:cs="TimesNewRomanPSMT"/>
          <w:sz w:val="24"/>
          <w:szCs w:val="24"/>
        </w:rPr>
      </w:pPr>
    </w:p>
    <w:p w:rsidRPr="006969B7" w:rsidR="003B7C12" w:rsidP="003B7C12" w:rsidRDefault="003B7C12" w14:paraId="1BEDE15B" w14:textId="77777777">
      <w:pPr>
        <w:pStyle w:val="ListParagraph"/>
        <w:numPr>
          <w:ilvl w:val="0"/>
          <w:numId w:val="11"/>
        </w:numPr>
        <w:autoSpaceDE w:val="0"/>
        <w:autoSpaceDN w:val="0"/>
        <w:adjustRightInd w:val="0"/>
        <w:rPr>
          <w:rFonts w:ascii="Book Antiqua" w:hAnsi="Book Antiqua" w:cs="TimesNewRomanPSMT"/>
          <w:b/>
          <w:bCs/>
        </w:rPr>
      </w:pPr>
      <w:r w:rsidRPr="006969B7">
        <w:rPr>
          <w:rFonts w:ascii="Book Antiqua" w:hAnsi="Book Antiqua" w:cs="TimesNewRomanPSMT"/>
          <w:b/>
          <w:bCs/>
        </w:rPr>
        <w:t>Program Review</w:t>
      </w:r>
    </w:p>
    <w:p w:rsidRPr="00C72951" w:rsidR="003B7C12" w:rsidP="003B7C12" w:rsidRDefault="003B7C12" w14:paraId="0FEB1B2E" w14:textId="77777777">
      <w:pPr>
        <w:pStyle w:val="ListParagraph"/>
        <w:numPr>
          <w:ilvl w:val="1"/>
          <w:numId w:val="11"/>
        </w:numPr>
        <w:autoSpaceDE w:val="0"/>
        <w:autoSpaceDN w:val="0"/>
        <w:adjustRightInd w:val="0"/>
        <w:rPr>
          <w:rFonts w:ascii="Book Antiqua" w:hAnsi="Book Antiqua" w:cs="TimesNewRomanPSMT"/>
        </w:rPr>
      </w:pPr>
      <w:r w:rsidRPr="00C72951">
        <w:rPr>
          <w:rFonts w:ascii="Book Antiqua" w:hAnsi="Book Antiqua" w:cs="TimesNewRomanPSMT"/>
        </w:rPr>
        <w:t>The RNG Tariff program will be reviewed three years after the date of the first customer bill for participation in the RNG Tariff program (program initiation date).</w:t>
      </w:r>
    </w:p>
    <w:p w:rsidRPr="00C72951" w:rsidR="003B7C12" w:rsidP="003B7C12" w:rsidRDefault="003B7C12" w14:paraId="497E7340" w14:textId="3493647A">
      <w:pPr>
        <w:pStyle w:val="ListParagraph"/>
        <w:numPr>
          <w:ilvl w:val="1"/>
          <w:numId w:val="11"/>
        </w:numPr>
        <w:autoSpaceDE w:val="0"/>
        <w:autoSpaceDN w:val="0"/>
        <w:adjustRightInd w:val="0"/>
        <w:rPr>
          <w:rFonts w:ascii="Book Antiqua" w:hAnsi="Book Antiqua" w:cs="TimesNewRomanPSMT"/>
        </w:rPr>
      </w:pPr>
      <w:r w:rsidRPr="00C72951">
        <w:rPr>
          <w:rFonts w:ascii="Book Antiqua" w:hAnsi="Book Antiqua" w:cs="TimesNewRomanPSMT"/>
        </w:rPr>
        <w:t xml:space="preserve">The Utilities shall submit and serve a Tier 3 for Commission review of the program and approval for continuation of the pilot AL by the third-year anniversary from the </w:t>
      </w:r>
      <w:r w:rsidR="00C72341">
        <w:rPr>
          <w:rFonts w:ascii="Book Antiqua" w:hAnsi="Book Antiqua" w:cs="TimesNewRomanPSMT"/>
        </w:rPr>
        <w:t>program initiation</w:t>
      </w:r>
      <w:r w:rsidRPr="00C72951">
        <w:rPr>
          <w:rFonts w:ascii="Book Antiqua" w:hAnsi="Book Antiqua" w:cs="TimesNewRomanPSMT"/>
        </w:rPr>
        <w:t xml:space="preserve"> date.  The Utilities shall provide the details of, and results from, the program to date. The scope of the review shall be the following:</w:t>
      </w:r>
    </w:p>
    <w:p w:rsidRPr="00C72951" w:rsidR="003B7C12" w:rsidP="003B7C12" w:rsidRDefault="003B7C12" w14:paraId="1318394A" w14:textId="77777777">
      <w:pPr>
        <w:pStyle w:val="ListParagraph"/>
        <w:numPr>
          <w:ilvl w:val="2"/>
          <w:numId w:val="11"/>
        </w:numPr>
        <w:autoSpaceDE w:val="0"/>
        <w:autoSpaceDN w:val="0"/>
        <w:adjustRightInd w:val="0"/>
        <w:ind w:left="1800" w:hanging="360"/>
        <w:rPr>
          <w:rFonts w:ascii="Book Antiqua" w:hAnsi="Book Antiqua" w:cs="TimesNewRomanPSMT"/>
        </w:rPr>
      </w:pPr>
      <w:r w:rsidRPr="00C72951">
        <w:rPr>
          <w:rFonts w:ascii="Book Antiqua" w:hAnsi="Book Antiqua" w:cs="TimesNewRomanPSMT"/>
        </w:rPr>
        <w:t>Estimates of net GHG and SLCP emissions reductions achieved under the program, and reductions in the Cap-and-Trade obligations incurred by the Utilities.</w:t>
      </w:r>
    </w:p>
    <w:p w:rsidRPr="009268C0" w:rsidR="003B7C12" w:rsidP="004355E2" w:rsidRDefault="003B7C12" w14:paraId="235A99F6" w14:textId="158275CA">
      <w:pPr>
        <w:pStyle w:val="ListParagraph"/>
        <w:numPr>
          <w:ilvl w:val="2"/>
          <w:numId w:val="11"/>
        </w:numPr>
        <w:autoSpaceDE w:val="0"/>
        <w:autoSpaceDN w:val="0"/>
        <w:adjustRightInd w:val="0"/>
        <w:ind w:left="1800" w:hanging="360"/>
        <w:rPr>
          <w:rFonts w:ascii="Book Antiqua" w:hAnsi="Book Antiqua" w:cs="TimesNewRomanPSMT"/>
        </w:rPr>
      </w:pPr>
      <w:r w:rsidRPr="009268C0">
        <w:rPr>
          <w:rFonts w:ascii="Book Antiqua" w:hAnsi="Book Antiqua" w:cs="TimesNewRomanPSMT"/>
        </w:rPr>
        <w:t xml:space="preserve">Annual in- and out-of-state RNG supplies procured to meet the RNG Tariff program demand and the status of the Utilities’ compliance </w:t>
      </w:r>
      <w:r w:rsidRPr="009268C0" w:rsidR="004B747C">
        <w:rPr>
          <w:rFonts w:ascii="Book Antiqua" w:hAnsi="Book Antiqua" w:cs="TimesNewRomanPSMT"/>
        </w:rPr>
        <w:t xml:space="preserve">with </w:t>
      </w:r>
      <w:r w:rsidRPr="009268C0">
        <w:rPr>
          <w:rFonts w:ascii="Book Antiqua" w:hAnsi="Book Antiqua" w:cs="TimesNewRomanPSMT"/>
        </w:rPr>
        <w:t>the procurement requirement under Public Utilities (Pub. Util.) Code Section 651(b)(3)(B) (</w:t>
      </w:r>
      <w:r w:rsidRPr="009268C0">
        <w:rPr>
          <w:rFonts w:ascii="Book Antiqua" w:hAnsi="Book Antiqua" w:cs="TimesNewRomanPSMT"/>
          <w:i/>
          <w:iCs/>
        </w:rPr>
        <w:t xml:space="preserve">see </w:t>
      </w:r>
      <w:r w:rsidRPr="009268C0">
        <w:rPr>
          <w:rFonts w:ascii="Book Antiqua" w:hAnsi="Book Antiqua" w:cs="TimesNewRomanPSMT"/>
        </w:rPr>
        <w:t xml:space="preserve">Section IV(A)(8), </w:t>
      </w:r>
      <w:r w:rsidRPr="009268C0">
        <w:rPr>
          <w:rFonts w:ascii="Book Antiqua" w:hAnsi="Book Antiqua" w:cs="TimesNewRomanPSMT"/>
          <w:i/>
          <w:iCs/>
        </w:rPr>
        <w:t>infra</w:t>
      </w:r>
      <w:r w:rsidRPr="009268C0">
        <w:rPr>
          <w:rFonts w:ascii="Book Antiqua" w:hAnsi="Book Antiqua" w:cs="TimesNewRomanPSMT"/>
        </w:rPr>
        <w:t xml:space="preserve">). </w:t>
      </w:r>
      <w:r w:rsidR="00C6445C">
        <w:rPr>
          <w:rFonts w:ascii="Book Antiqua" w:hAnsi="Book Antiqua" w:cs="TimesNewRomanPSMT"/>
        </w:rPr>
        <w:t xml:space="preserve"> </w:t>
      </w:r>
      <w:r w:rsidRPr="009268C0" w:rsidR="009268C0">
        <w:rPr>
          <w:rFonts w:ascii="Book Antiqua" w:hAnsi="Book Antiqua" w:cs="TimesNewRomanPSMT"/>
        </w:rPr>
        <w:t xml:space="preserve">The Utilities shall provide whether this requirement is met and explain any unusual circumstances or challenges that were encountered. </w:t>
      </w:r>
    </w:p>
    <w:p w:rsidRPr="00C72951" w:rsidR="003B7C12" w:rsidP="003B7C12" w:rsidRDefault="003B7C12" w14:paraId="65D1302E" w14:textId="77777777">
      <w:pPr>
        <w:pStyle w:val="ListParagraph"/>
        <w:numPr>
          <w:ilvl w:val="2"/>
          <w:numId w:val="11"/>
        </w:numPr>
        <w:autoSpaceDE w:val="0"/>
        <w:autoSpaceDN w:val="0"/>
        <w:adjustRightInd w:val="0"/>
        <w:ind w:left="1800" w:hanging="360"/>
        <w:rPr>
          <w:rFonts w:ascii="Book Antiqua" w:hAnsi="Book Antiqua" w:cs="TimesNewRomanPSMT"/>
        </w:rPr>
      </w:pPr>
      <w:r w:rsidRPr="00C72951">
        <w:rPr>
          <w:rFonts w:ascii="Book Antiqua" w:hAnsi="Book Antiqua" w:cs="TimesNewRomanPSMT"/>
        </w:rPr>
        <w:t>Evaluation of new or additional production of RNG in-state and nationally, if any, resulting from procurement activities to date.</w:t>
      </w:r>
    </w:p>
    <w:p w:rsidRPr="00C72951" w:rsidR="003B7C12" w:rsidDel="00636059" w:rsidP="003B7C12" w:rsidRDefault="003B7C12" w14:paraId="25324F4C" w14:textId="77777777">
      <w:pPr>
        <w:pStyle w:val="ListParagraph"/>
        <w:numPr>
          <w:ilvl w:val="2"/>
          <w:numId w:val="11"/>
        </w:numPr>
        <w:autoSpaceDE w:val="0"/>
        <w:autoSpaceDN w:val="0"/>
        <w:adjustRightInd w:val="0"/>
        <w:ind w:left="1800" w:hanging="360"/>
        <w:rPr>
          <w:rFonts w:ascii="Book Antiqua" w:hAnsi="Book Antiqua" w:cs="TimesNewRomanPSMT"/>
        </w:rPr>
      </w:pPr>
      <w:r w:rsidRPr="00C72951">
        <w:rPr>
          <w:rFonts w:ascii="Book Antiqua" w:hAnsi="Book Antiqua" w:cs="TimesNewRomanPSMT"/>
        </w:rPr>
        <w:t>Procurement costs.</w:t>
      </w:r>
      <w:r w:rsidRPr="00C72951" w:rsidDel="00636059">
        <w:rPr>
          <w:rFonts w:ascii="Book Antiqua" w:hAnsi="Book Antiqua" w:cs="TimesNewRomanPSMT"/>
        </w:rPr>
        <w:t xml:space="preserve"> </w:t>
      </w:r>
    </w:p>
    <w:p w:rsidRPr="00C72951" w:rsidR="003B7C12" w:rsidP="003B7C12" w:rsidRDefault="003B7C12" w14:paraId="1618D062" w14:textId="77777777">
      <w:pPr>
        <w:pStyle w:val="ListParagraph"/>
        <w:numPr>
          <w:ilvl w:val="2"/>
          <w:numId w:val="11"/>
        </w:numPr>
        <w:autoSpaceDE w:val="0"/>
        <w:autoSpaceDN w:val="0"/>
        <w:adjustRightInd w:val="0"/>
        <w:ind w:left="1800" w:hanging="360"/>
        <w:rPr>
          <w:rFonts w:ascii="Book Antiqua" w:hAnsi="Book Antiqua" w:cs="TimesNewRomanPSMT"/>
        </w:rPr>
      </w:pPr>
      <w:r w:rsidRPr="00C72951" w:rsidDel="00636059">
        <w:rPr>
          <w:rFonts w:ascii="Book Antiqua" w:hAnsi="Book Antiqua" w:cs="TimesNewRomanPSMT"/>
        </w:rPr>
        <w:lastRenderedPageBreak/>
        <w:t>Number of participants in the program</w:t>
      </w:r>
      <w:r w:rsidRPr="00C72951">
        <w:rPr>
          <w:rFonts w:ascii="Book Antiqua" w:hAnsi="Book Antiqua" w:cs="TimesNewRomanPSMT"/>
        </w:rPr>
        <w:t xml:space="preserve"> and their annual program demand</w:t>
      </w:r>
      <w:r w:rsidRPr="00C72951" w:rsidDel="00636059">
        <w:rPr>
          <w:rFonts w:ascii="Book Antiqua" w:hAnsi="Book Antiqua" w:cs="TimesNewRomanPSMT"/>
        </w:rPr>
        <w:t>.</w:t>
      </w:r>
    </w:p>
    <w:p w:rsidRPr="00F64147" w:rsidR="003B7C12" w:rsidP="003B7C12" w:rsidRDefault="003B7C12" w14:paraId="50FEF4CD"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Historic, current, and projected future </w:t>
      </w:r>
      <w:r w:rsidRPr="00F64147" w:rsidDel="00883F1B">
        <w:rPr>
          <w:rFonts w:ascii="Book Antiqua" w:hAnsi="Book Antiqua" w:cs="TimesNewRomanPSMT"/>
        </w:rPr>
        <w:t xml:space="preserve">customer </w:t>
      </w:r>
      <w:r w:rsidRPr="00F64147" w:rsidDel="001031C9">
        <w:rPr>
          <w:rFonts w:ascii="Book Antiqua" w:hAnsi="Book Antiqua" w:cs="TimesNewRomanPSMT"/>
        </w:rPr>
        <w:t xml:space="preserve">subscription </w:t>
      </w:r>
      <w:r w:rsidRPr="00F64147">
        <w:rPr>
          <w:rFonts w:ascii="Book Antiqua" w:hAnsi="Book Antiqua" w:cs="TimesNewRomanPSMT"/>
        </w:rPr>
        <w:t xml:space="preserve">levels (as defined in Section V(B), </w:t>
      </w:r>
      <w:r w:rsidRPr="00F64147">
        <w:rPr>
          <w:rFonts w:ascii="Book Antiqua" w:hAnsi="Book Antiqua" w:cs="TimesNewRomanPSMT"/>
          <w:i/>
          <w:iCs/>
        </w:rPr>
        <w:t>infra</w:t>
      </w:r>
      <w:r w:rsidRPr="00F64147">
        <w:rPr>
          <w:rFonts w:ascii="Book Antiqua" w:hAnsi="Book Antiqua" w:cs="TimesNewRomanPSMT"/>
        </w:rPr>
        <w:t>).</w:t>
      </w:r>
    </w:p>
    <w:p w:rsidRPr="00F64147" w:rsidR="003B7C12" w:rsidP="003B7C12" w:rsidRDefault="003B7C12" w14:paraId="600234F6"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Average premiums (as defined in Section V(G)(2), </w:t>
      </w:r>
      <w:r w:rsidRPr="00F64147">
        <w:rPr>
          <w:rFonts w:ascii="Book Antiqua" w:hAnsi="Book Antiqua" w:cs="TimesNewRomanPSMT"/>
          <w:i/>
          <w:iCs/>
        </w:rPr>
        <w:t>infra</w:t>
      </w:r>
      <w:r w:rsidRPr="00F64147">
        <w:rPr>
          <w:rFonts w:ascii="Book Antiqua" w:hAnsi="Book Antiqua" w:cs="TimesNewRomanPSMT"/>
        </w:rPr>
        <w:t>) experienced by program participants (i.e., the difference between their RNG charges and regular gas charges).</w:t>
      </w:r>
    </w:p>
    <w:p w:rsidRPr="00F64147" w:rsidR="003B7C12" w:rsidP="003B7C12" w:rsidRDefault="003B7C12" w14:paraId="4FB6AF10"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results of a qualitative survey of customer satisfaction (funded by the RNG Tariff program).</w:t>
      </w:r>
    </w:p>
    <w:p w:rsidR="003B7C12" w:rsidP="003B7C12" w:rsidRDefault="003B7C12" w14:paraId="2E66CFA8"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A recommendation on strategies for procuring incremental supplies from new RNG projects in California.</w:t>
      </w:r>
    </w:p>
    <w:p w:rsidRPr="0077360D" w:rsidR="001D1AF5" w:rsidP="001D1AF5" w:rsidRDefault="001D1AF5" w14:paraId="308905EF" w14:textId="77777777">
      <w:pPr>
        <w:pStyle w:val="ListParagraph"/>
        <w:numPr>
          <w:ilvl w:val="2"/>
          <w:numId w:val="11"/>
        </w:numPr>
        <w:autoSpaceDE w:val="0"/>
        <w:autoSpaceDN w:val="0"/>
        <w:adjustRightInd w:val="0"/>
        <w:ind w:left="1800" w:hanging="360"/>
        <w:rPr>
          <w:rFonts w:ascii="Book Antiqua" w:hAnsi="Book Antiqua" w:cs="TimesNewRomanPSMT"/>
        </w:rPr>
      </w:pPr>
      <w:r w:rsidRPr="0077360D">
        <w:rPr>
          <w:rFonts w:ascii="Book Antiqua" w:hAnsi="Book Antiqua" w:cs="TimesNewRomanPSMT"/>
        </w:rPr>
        <w:t xml:space="preserve">The records of </w:t>
      </w:r>
      <w:r>
        <w:rPr>
          <w:rFonts w:ascii="Book Antiqua" w:hAnsi="Book Antiqua" w:cs="TimesNewRomanPSMT"/>
        </w:rPr>
        <w:t xml:space="preserve">in-state </w:t>
      </w:r>
      <w:r w:rsidRPr="0077360D">
        <w:rPr>
          <w:rFonts w:ascii="Book Antiqua" w:hAnsi="Book Antiqua" w:cs="TimesNewRomanPSMT"/>
        </w:rPr>
        <w:t>d</w:t>
      </w:r>
      <w:r>
        <w:rPr>
          <w:rFonts w:ascii="Book Antiqua" w:hAnsi="Book Antiqua" w:cs="TimesNewRomanPSMT"/>
        </w:rPr>
        <w:t>ai</w:t>
      </w:r>
      <w:r w:rsidRPr="0077360D">
        <w:rPr>
          <w:rFonts w:ascii="Book Antiqua" w:hAnsi="Book Antiqua" w:cs="TimesNewRomanPSMT"/>
        </w:rPr>
        <w:t xml:space="preserve">ry RNG suppliers’ compliance with applicable air and water pollution control </w:t>
      </w:r>
      <w:r>
        <w:rPr>
          <w:rFonts w:ascii="Book Antiqua" w:hAnsi="Book Antiqua" w:cs="TimesNewRomanPSMT"/>
        </w:rPr>
        <w:t xml:space="preserve">standards or </w:t>
      </w:r>
      <w:r w:rsidRPr="0077360D">
        <w:rPr>
          <w:rFonts w:ascii="Book Antiqua" w:hAnsi="Book Antiqua" w:cs="TimesNewRomanPSMT"/>
        </w:rPr>
        <w:t>requirements.</w:t>
      </w:r>
    </w:p>
    <w:p w:rsidRPr="001D1AF5" w:rsidR="001D1AF5" w:rsidP="004355E2" w:rsidRDefault="001D1AF5" w14:paraId="1B2D364E" w14:textId="10044127">
      <w:pPr>
        <w:pStyle w:val="ListParagraph"/>
        <w:numPr>
          <w:ilvl w:val="2"/>
          <w:numId w:val="11"/>
        </w:numPr>
        <w:autoSpaceDE w:val="0"/>
        <w:autoSpaceDN w:val="0"/>
        <w:adjustRightInd w:val="0"/>
        <w:ind w:left="1800" w:hanging="360"/>
        <w:rPr>
          <w:rFonts w:ascii="Book Antiqua" w:hAnsi="Book Antiqua" w:cs="TimesNewRomanPSMT"/>
        </w:rPr>
      </w:pPr>
      <w:r w:rsidRPr="001D1AF5">
        <w:rPr>
          <w:rFonts w:ascii="Book Antiqua" w:hAnsi="Book Antiqua" w:cs="TimesNewRomanPSMT"/>
        </w:rPr>
        <w:t>Confirmation that volumes of RNG procured to meet program demand were delivered by contracted facilities and the environmental attributes of the RNG were not sold, transferred, claimed, or used by the generating facility or other entity.</w:t>
      </w:r>
    </w:p>
    <w:p w:rsidRPr="00F64147" w:rsidR="003B7C12" w:rsidP="003B7C12" w:rsidRDefault="003B7C12" w14:paraId="39392783"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The Utilities shall demonstrate that the RNG Tariff program has resulted in reduced GHG emissions compared to a business-as-usual calculation, using the carbon accounting methodologies</w:t>
      </w:r>
      <w:r>
        <w:rPr>
          <w:rFonts w:ascii="Book Antiqua" w:hAnsi="Book Antiqua" w:cs="TimesNewRomanPSMT"/>
        </w:rPr>
        <w:t xml:space="preserve"> </w:t>
      </w:r>
      <w:r w:rsidRPr="00F64147">
        <w:rPr>
          <w:rFonts w:ascii="Book Antiqua" w:hAnsi="Book Antiqua" w:cs="TimesNewRomanPSMT"/>
        </w:rPr>
        <w:t xml:space="preserve">specified in Section IV.C, </w:t>
      </w:r>
      <w:r w:rsidRPr="00F64147">
        <w:rPr>
          <w:rFonts w:ascii="Book Antiqua" w:hAnsi="Book Antiqua" w:cs="TimesNewRomanPSMT"/>
          <w:i/>
          <w:iCs/>
        </w:rPr>
        <w:t>infra</w:t>
      </w:r>
      <w:r w:rsidRPr="00F64147">
        <w:rPr>
          <w:rFonts w:ascii="Book Antiqua" w:hAnsi="Book Antiqua" w:cs="TimesNewRomanPSMT"/>
        </w:rPr>
        <w:t>. Whether the RNG Tariff program results in reduced GHG emissions after three years, and the quantity and cost of these emissions, will be a primary consideration of the Commission, along with other elements in the scope of review, when evaluating whether the program is reasonable to continue.</w:t>
      </w:r>
    </w:p>
    <w:p w:rsidRPr="000B0076" w:rsidR="003B7C12" w:rsidP="004355E2" w:rsidRDefault="003B7C12" w14:paraId="60ADB15E" w14:textId="60D0BE66">
      <w:pPr>
        <w:pStyle w:val="ListParagraph"/>
        <w:numPr>
          <w:ilvl w:val="1"/>
          <w:numId w:val="11"/>
        </w:numPr>
        <w:autoSpaceDE w:val="0"/>
        <w:autoSpaceDN w:val="0"/>
        <w:adjustRightInd w:val="0"/>
        <w:rPr>
          <w:rFonts w:ascii="Book Antiqua" w:hAnsi="Book Antiqua" w:cs="TimesNewRomanPSMT"/>
        </w:rPr>
      </w:pPr>
      <w:r w:rsidRPr="000B0076">
        <w:rPr>
          <w:rFonts w:ascii="Book Antiqua" w:hAnsi="Book Antiqua" w:cs="TimesNewRomanPSMT"/>
        </w:rPr>
        <w:t>The Utilities shall continue to administer the pilot program pending Commission’s disposition of the Tier 3 AL. If continuation of the pilot program is not approved, the Utilities shall terminate the RNG Tariff program within two years from the Tier 3 AL disposition date to allow time to conclude participation, contract obligations, etc. Upon a Commission decision, the Utilities shall cease incurring marketing expenses for the program and minimize administrative costs.  The program duration is from the program initiation date to the program termination date.</w:t>
      </w:r>
      <w:r w:rsidR="00C6445C">
        <w:rPr>
          <w:rFonts w:ascii="Book Antiqua" w:hAnsi="Book Antiqua" w:cs="TimesNewRomanPSMT"/>
        </w:rPr>
        <w:t xml:space="preserve"> </w:t>
      </w:r>
      <w:r w:rsidRPr="000B0076" w:rsidR="000B0076">
        <w:rPr>
          <w:rFonts w:ascii="Book Antiqua" w:hAnsi="Book Antiqua" w:cs="TimesNewRomanPSMT"/>
        </w:rPr>
        <w:t xml:space="preserve"> The Utilities’ reporting of dairy RNG suppliers’ compliance with applicable air and water pollution control requirements shall continue until the termination date.</w:t>
      </w:r>
    </w:p>
    <w:p w:rsidRPr="00F64147" w:rsidR="003B7C12" w:rsidP="003B7C12" w:rsidRDefault="003B7C12" w14:paraId="027A48C1" w14:textId="77777777">
      <w:pPr>
        <w:autoSpaceDE w:val="0"/>
        <w:autoSpaceDN w:val="0"/>
        <w:adjustRightInd w:val="0"/>
        <w:spacing w:line="240" w:lineRule="auto"/>
        <w:rPr>
          <w:rFonts w:cs="TimesNewRomanPSMT"/>
          <w:sz w:val="24"/>
          <w:szCs w:val="24"/>
        </w:rPr>
      </w:pPr>
    </w:p>
    <w:p w:rsidRPr="00F64147" w:rsidR="003B7C12" w:rsidP="003B7C12" w:rsidRDefault="003B7C12" w14:paraId="2845D348" w14:textId="77777777">
      <w:pPr>
        <w:pStyle w:val="ListParagraph"/>
        <w:numPr>
          <w:ilvl w:val="0"/>
          <w:numId w:val="11"/>
        </w:numPr>
        <w:tabs>
          <w:tab w:val="center" w:pos="4680"/>
        </w:tabs>
        <w:autoSpaceDE w:val="0"/>
        <w:autoSpaceDN w:val="0"/>
        <w:adjustRightInd w:val="0"/>
        <w:rPr>
          <w:rFonts w:ascii="Book Antiqua" w:hAnsi="Book Antiqua" w:cs="TimesNewRomanPSMT"/>
          <w:b/>
          <w:bCs/>
        </w:rPr>
      </w:pPr>
      <w:r w:rsidRPr="00F64147">
        <w:rPr>
          <w:rFonts w:ascii="Book Antiqua" w:hAnsi="Book Antiqua" w:cs="TimesNewRomanPSMT"/>
          <w:b/>
          <w:bCs/>
        </w:rPr>
        <w:t>RNG Definition</w:t>
      </w:r>
    </w:p>
    <w:p w:rsidRPr="00F64147" w:rsidR="003B7C12" w:rsidP="003B7C12" w:rsidRDefault="003B7C12" w14:paraId="19C7295C" w14:textId="77777777">
      <w:pPr>
        <w:pStyle w:val="ListParagraph"/>
        <w:numPr>
          <w:ilvl w:val="1"/>
          <w:numId w:val="11"/>
        </w:numPr>
        <w:tabs>
          <w:tab w:val="center" w:pos="4680"/>
        </w:tabs>
        <w:autoSpaceDE w:val="0"/>
        <w:autoSpaceDN w:val="0"/>
        <w:adjustRightInd w:val="0"/>
        <w:rPr>
          <w:rFonts w:ascii="Book Antiqua" w:hAnsi="Book Antiqua" w:cs="TimesNewRomanPSMT"/>
        </w:rPr>
      </w:pPr>
      <w:r w:rsidRPr="00F64147">
        <w:rPr>
          <w:rFonts w:ascii="Book Antiqua" w:hAnsi="Book Antiqua" w:cs="TimesNewRomanPSMT"/>
        </w:rPr>
        <w:t xml:space="preserve">RNG, also known as biomethane, is </w:t>
      </w:r>
      <w:r w:rsidRPr="00F64147">
        <w:rPr>
          <w:rFonts w:ascii="Book Antiqua" w:hAnsi="Book Antiqua"/>
        </w:rPr>
        <w:t xml:space="preserve">a biogas emitted from agricultural and waste products, and upgraded to a quality </w:t>
      </w:r>
      <w:proofErr w:type="gramStart"/>
      <w:r w:rsidRPr="00F64147">
        <w:rPr>
          <w:rFonts w:ascii="Book Antiqua" w:hAnsi="Book Antiqua"/>
        </w:rPr>
        <w:t>similar to</w:t>
      </w:r>
      <w:proofErr w:type="gramEnd"/>
      <w:r w:rsidRPr="00F64147">
        <w:rPr>
          <w:rFonts w:ascii="Book Antiqua" w:hAnsi="Book Antiqua"/>
        </w:rPr>
        <w:t xml:space="preserve"> fossil (traditional) natural gas.</w:t>
      </w:r>
    </w:p>
    <w:p w:rsidRPr="00F64147" w:rsidR="003B7C12" w:rsidP="003B7C12" w:rsidRDefault="003B7C12" w14:paraId="088A5B62" w14:textId="77777777">
      <w:pPr>
        <w:pStyle w:val="ListParagraph"/>
        <w:numPr>
          <w:ilvl w:val="1"/>
          <w:numId w:val="11"/>
        </w:numPr>
        <w:tabs>
          <w:tab w:val="center" w:pos="4680"/>
        </w:tabs>
        <w:autoSpaceDE w:val="0"/>
        <w:autoSpaceDN w:val="0"/>
        <w:adjustRightInd w:val="0"/>
        <w:rPr>
          <w:rFonts w:ascii="Book Antiqua" w:hAnsi="Book Antiqua" w:cs="TimesNewRomanPSMT"/>
        </w:rPr>
      </w:pPr>
      <w:r w:rsidRPr="00F64147">
        <w:rPr>
          <w:rFonts w:ascii="Book Antiqua" w:hAnsi="Book Antiqua" w:cs="TimesNewRomanPSMT"/>
        </w:rPr>
        <w:lastRenderedPageBreak/>
        <w:t>RNG procured under the RNG Tariff program must meet the following criteria:</w:t>
      </w:r>
    </w:p>
    <w:p w:rsidRPr="00F64147" w:rsidR="003B7C12" w:rsidP="003B7C12" w:rsidRDefault="003B7C12" w14:paraId="3EE0717A"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The Utilities </w:t>
      </w:r>
      <w:r>
        <w:rPr>
          <w:rFonts w:ascii="Book Antiqua" w:hAnsi="Book Antiqua" w:cs="TimesNewRomanPSMT"/>
        </w:rPr>
        <w:t>shall</w:t>
      </w:r>
      <w:r w:rsidRPr="00F64147">
        <w:rPr>
          <w:rFonts w:ascii="Book Antiqua" w:hAnsi="Book Antiqua" w:cs="TimesNewRomanPSMT"/>
        </w:rPr>
        <w:t xml:space="preserve"> only procure biomethane for the RNG Tariff program as defined in Health &amp; Safety Code § 25420 or pipeline compatible (or eligible) renewable gas derived from biomass conversion as defined in Public Resources Code § 40106.</w:t>
      </w:r>
    </w:p>
    <w:p w:rsidRPr="00F64147" w:rsidR="003B7C12" w:rsidP="003B7C12" w:rsidRDefault="003B7C12" w14:paraId="436E3BF9"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Allowable organic waste sources of RNG shall not include crops grown solely for energy production (commonly referred to as “purpose-grown crops”).</w:t>
      </w:r>
    </w:p>
    <w:p w:rsidRPr="00F64147" w:rsidR="003B7C12" w:rsidP="003B7C12" w:rsidRDefault="003B7C12" w14:paraId="76FF9373"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Utilities maintain </w:t>
      </w:r>
      <w:r>
        <w:rPr>
          <w:rFonts w:ascii="Book Antiqua" w:hAnsi="Book Antiqua" w:cs="TimesNewRomanPSMT"/>
        </w:rPr>
        <w:t xml:space="preserve">certain </w:t>
      </w:r>
      <w:r w:rsidRPr="00F64147">
        <w:rPr>
          <w:rFonts w:ascii="Book Antiqua" w:hAnsi="Book Antiqua" w:cs="TimesNewRomanPSMT"/>
        </w:rPr>
        <w:t xml:space="preserve">flexibility in the location and types of RNG purchased for the RNG Tariff program, subject to the limitations provided by the other provisions in this </w:t>
      </w:r>
      <w:r w:rsidRPr="00F64147" w:rsidDel="000779D6">
        <w:rPr>
          <w:rFonts w:ascii="Book Antiqua" w:hAnsi="Book Antiqua" w:cs="TimesNewRomanPSMT"/>
        </w:rPr>
        <w:t>document</w:t>
      </w:r>
      <w:r w:rsidRPr="00F64147">
        <w:rPr>
          <w:rFonts w:ascii="Book Antiqua" w:hAnsi="Book Antiqua" w:cs="TimesNewRomanPSMT"/>
        </w:rPr>
        <w:t>.</w:t>
      </w:r>
    </w:p>
    <w:p w:rsidRPr="00F64147" w:rsidR="003B7C12" w:rsidP="003B7C12" w:rsidRDefault="003B7C12" w14:paraId="45C8945E"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Utilities shall procure only RNG that has lower carbon intensity than the carbon intensity of traditional natural gas, using a lifecycle analysis based on a modified Greenhouse Gases, Regulated Emissions, and Energy Use in Transportation (“GREET”) methodology for California used by the Low Carbon Fuel Standard (“LCFS”) program.</w:t>
      </w:r>
    </w:p>
    <w:p w:rsidRPr="00F64147" w:rsidR="003B7C12" w:rsidP="003B7C12" w:rsidRDefault="003B7C12" w14:paraId="3AF0C213"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The Utilities shall only procure RNG supplies from in- and out-of-state sources that meet “Applicable </w:t>
      </w:r>
      <w:proofErr w:type="gramStart"/>
      <w:r w:rsidRPr="00F64147">
        <w:rPr>
          <w:rFonts w:ascii="Book Antiqua" w:hAnsi="Book Antiqua" w:cs="TimesNewRomanPSMT"/>
        </w:rPr>
        <w:t>Standards“ consistent</w:t>
      </w:r>
      <w:proofErr w:type="gramEnd"/>
      <w:r w:rsidRPr="00F64147">
        <w:rPr>
          <w:rFonts w:ascii="Book Antiqua" w:hAnsi="Book Antiqua" w:cs="TimesNewRomanPSMT"/>
        </w:rPr>
        <w:t xml:space="preserve"> with the Cap-and-Trade Regulation under California Code of Regulation, Title 17 (17 CCR) Section 95852.2 and 95852.1, respectively. “Applicable Standards” for out-of-state RNG supplies is defined in 17 CCR Section 95852.1.1 as follows:</w:t>
      </w:r>
    </w:p>
    <w:p w:rsidRPr="00F64147" w:rsidR="003B7C12" w:rsidP="003B7C12" w:rsidRDefault="003B7C12" w14:paraId="41522A45" w14:textId="77777777">
      <w:pPr>
        <w:autoSpaceDE w:val="0"/>
        <w:autoSpaceDN w:val="0"/>
        <w:adjustRightInd w:val="0"/>
        <w:spacing w:line="240" w:lineRule="auto"/>
        <w:ind w:left="2520" w:firstLine="0"/>
        <w:rPr>
          <w:rFonts w:cs="TimesNewRomanPSMT"/>
        </w:rPr>
      </w:pPr>
      <w:r w:rsidRPr="00F64147">
        <w:rPr>
          <w:rFonts w:cs="TimesNewRomanPSMT"/>
        </w:rPr>
        <w:t xml:space="preserve">RNG eligible for the biomethane exemption requirements set in the Mandatory Reporting of Greenhouse Gas Emissions (“MRR”) and Cap-and-Trade Regulation, including that the RNG must be either: (A) an increase in the biomass derived fuel production capacity, at a particular site, where an increase is considered any amount over the average production at that site over the last three years; or (B) recovery of the fuel at a site where the fuel was previously being vented or destroyed for at least three years or since commencement of fuel recovery operations, whichever is shorter, without producing useful energy transfer. </w:t>
      </w:r>
    </w:p>
    <w:p w:rsidRPr="00F64147" w:rsidR="003B7C12" w:rsidP="003B7C12" w:rsidRDefault="003B7C12" w14:paraId="082C6AF7"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If there are any changes to the Applicable Standards or any subsequent changes in the state regulation of RNG that apply to the RNG procured under this program, and, if deemed necessary after consultation with the Procurement Advisory Group (PAG), Utilities shall file a Tier2 AL proposing changes to the above Applicable Standards in accordance with the new state law and regulation.</w:t>
      </w:r>
    </w:p>
    <w:p w:rsidRPr="00F64147" w:rsidR="003B7C12" w:rsidP="003B7C12" w:rsidRDefault="003B7C12" w14:paraId="2B104DAA" w14:textId="77777777">
      <w:pPr>
        <w:autoSpaceDE w:val="0"/>
        <w:autoSpaceDN w:val="0"/>
        <w:adjustRightInd w:val="0"/>
        <w:spacing w:line="240" w:lineRule="auto"/>
        <w:rPr>
          <w:rFonts w:cs="TimesNewRomanPSMT"/>
          <w:sz w:val="24"/>
          <w:szCs w:val="24"/>
        </w:rPr>
      </w:pPr>
    </w:p>
    <w:p w:rsidRPr="00F64147" w:rsidR="003B7C12" w:rsidP="003B7C12" w:rsidRDefault="003B7C12" w14:paraId="2B80349F" w14:textId="77777777">
      <w:pPr>
        <w:pStyle w:val="ListParagraph"/>
        <w:numPr>
          <w:ilvl w:val="0"/>
          <w:numId w:val="11"/>
        </w:numPr>
        <w:autoSpaceDE w:val="0"/>
        <w:autoSpaceDN w:val="0"/>
        <w:adjustRightInd w:val="0"/>
        <w:rPr>
          <w:rFonts w:ascii="Book Antiqua" w:hAnsi="Book Antiqua" w:cs="TimesNewRomanPSMT"/>
          <w:b/>
          <w:bCs/>
        </w:rPr>
      </w:pPr>
      <w:r w:rsidRPr="00F64147">
        <w:rPr>
          <w:rFonts w:ascii="Book Antiqua" w:hAnsi="Book Antiqua" w:cs="TimesNewRomanPSMT"/>
          <w:b/>
          <w:bCs/>
        </w:rPr>
        <w:t>Procurement</w:t>
      </w:r>
    </w:p>
    <w:p w:rsidRPr="00F64147" w:rsidR="003B7C12" w:rsidP="003B7C12" w:rsidRDefault="003B7C12" w14:paraId="706F84A3"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General</w:t>
      </w:r>
    </w:p>
    <w:p w:rsidRPr="00F64147" w:rsidR="003B7C12" w:rsidP="003B7C12" w:rsidRDefault="003B7C12" w14:paraId="014048FF"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SoCalGas’</w:t>
      </w:r>
      <w:r w:rsidRPr="00F64147" w:rsidDel="00C56461">
        <w:rPr>
          <w:rFonts w:ascii="Book Antiqua" w:hAnsi="Book Antiqua" w:cs="TimesNewRomanPSMT"/>
          <w:strike/>
        </w:rPr>
        <w:t>s</w:t>
      </w:r>
      <w:r w:rsidRPr="00F64147">
        <w:rPr>
          <w:rFonts w:ascii="Book Antiqua" w:hAnsi="Book Antiqua" w:cs="TimesNewRomanPSMT"/>
        </w:rPr>
        <w:t xml:space="preserve"> Gas Acquisition Department (“Gas Acquisition”) shall be responsible for procuring RNG for the purposes of serving load for SoCalGas and SDG&amp;E customers that voluntarily accept service under the RNG Tariff program.</w:t>
      </w:r>
    </w:p>
    <w:p w:rsidRPr="00F64147" w:rsidR="003B7C12" w:rsidP="003B7C12" w:rsidRDefault="003B7C12" w14:paraId="1A3D01C8"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Gas Acquisition shall have at its disposal all available Commission-approved tools used when contracting for traditional natural gas, including but not limited to storage, regulatory account over / under-collection adjustments, and selling excess RNG supplies.</w:t>
      </w:r>
    </w:p>
    <w:p w:rsidRPr="00F64147" w:rsidR="003B7C12" w:rsidP="003B7C12" w:rsidRDefault="003B7C12" w14:paraId="317A1067"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RNG supplies procured for this program shall be managed using assets already allocated to bundled core customers, including but not limited to, storage inventory capacity, injection and withdrawal rights, interstate capacity, and backbone transportation service.</w:t>
      </w:r>
    </w:p>
    <w:p w:rsidRPr="00F64147" w:rsidR="003B7C12" w:rsidP="003B7C12" w:rsidRDefault="003B7C12" w14:paraId="32D40DFB"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Gas Acquisition may contract with marketers who carry a portfolio of RNG supplies and/or directly with biogas producers and developers.</w:t>
      </w:r>
    </w:p>
    <w:p w:rsidRPr="00F64147" w:rsidR="003B7C12" w:rsidP="003B7C12" w:rsidRDefault="003B7C12" w14:paraId="0C292E1E"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Any initial RNG supplies that are unused may be stored and available for later use. Shortages, if any, may be made-up with surplus supply or with purchases in future months, and may be cured, at a minimum, on an annual basis, as demonstrated in Utilities’ Annual Report required in Section VIII.A, infra. The Utilities’ Annual Report shall include a notation of any months in which there was an RNG supply shortage.</w:t>
      </w:r>
    </w:p>
    <w:p w:rsidRPr="00F64147" w:rsidR="003B7C12" w:rsidP="003B7C12" w:rsidRDefault="003B7C12" w14:paraId="22DADB27"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Separate tracking and reporting tools and procedures may be utilized to account for matching customer participant load with purchased RNG and recording purchase prices and volumes.</w:t>
      </w:r>
    </w:p>
    <w:p w:rsidRPr="00F64147" w:rsidR="003B7C12" w:rsidP="003B7C12" w:rsidRDefault="003B7C12" w14:paraId="41162360"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RNG purchases shall not be included in the Gas Cost Incentive Mechanism (“GCIM”) calculation.</w:t>
      </w:r>
    </w:p>
    <w:p w:rsidRPr="00F64147" w:rsidR="003B7C12" w:rsidP="003B7C12" w:rsidRDefault="003B7C12" w14:paraId="0957DE8D"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At least 50</w:t>
      </w:r>
      <w:r>
        <w:rPr>
          <w:rFonts w:ascii="Book Antiqua" w:hAnsi="Book Antiqua" w:cs="TimesNewRomanPSMT"/>
        </w:rPr>
        <w:t xml:space="preserve"> </w:t>
      </w:r>
      <w:r w:rsidRPr="00F64147">
        <w:rPr>
          <w:rFonts w:ascii="Book Antiqua" w:hAnsi="Book Antiqua" w:cs="TimesNewRomanPSMT"/>
        </w:rPr>
        <w:t xml:space="preserve">percent of the Utilities’ RNG supplies for the program demand on an annual basis must be procured from in-state or out-of-state sources that are delivered to California and meet the eligibility criteria of Pub. Util. Code Section 651(b)(3)(B). </w:t>
      </w:r>
    </w:p>
    <w:p w:rsidRPr="00F64147" w:rsidR="003B7C12" w:rsidP="003B7C12" w:rsidRDefault="003B7C12" w14:paraId="0B0179BA"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RNG purchased for the RNG Tariff program that remains unsubscribed may be used for other eligible RNG programs to the extent the commodity costs for the unsubscribed RNG are recovered from that eligible program.</w:t>
      </w:r>
    </w:p>
    <w:p w:rsidRPr="00F64147" w:rsidR="003B7C12" w:rsidP="003B7C12" w:rsidRDefault="003B7C12" w14:paraId="52A79861"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RNG Contract Terms</w:t>
      </w:r>
    </w:p>
    <w:p w:rsidRPr="00F64147" w:rsidR="003B7C12" w:rsidP="003B7C12" w:rsidRDefault="003B7C12" w14:paraId="028DA9D8" w14:textId="58B6869C">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Utilities are authorized to enter long-term contracts that extend beyond the </w:t>
      </w:r>
      <w:r>
        <w:rPr>
          <w:rFonts w:ascii="Book Antiqua" w:hAnsi="Book Antiqua" w:cs="TimesNewRomanPSMT"/>
        </w:rPr>
        <w:t>program</w:t>
      </w:r>
      <w:r w:rsidRPr="00F64147">
        <w:rPr>
          <w:rFonts w:ascii="Book Antiqua" w:hAnsi="Book Antiqua" w:cs="TimesNewRomanPSMT"/>
        </w:rPr>
        <w:t xml:space="preserve"> </w:t>
      </w:r>
      <w:proofErr w:type="gramStart"/>
      <w:r w:rsidRPr="00F64147">
        <w:rPr>
          <w:rFonts w:ascii="Book Antiqua" w:hAnsi="Book Antiqua" w:cs="TimesNewRomanPSMT"/>
        </w:rPr>
        <w:t>duration  of</w:t>
      </w:r>
      <w:proofErr w:type="gramEnd"/>
      <w:r w:rsidRPr="00F64147">
        <w:rPr>
          <w:rFonts w:ascii="Book Antiqua" w:hAnsi="Book Antiqua" w:cs="TimesNewRomanPSMT"/>
        </w:rPr>
        <w:t xml:space="preserve"> the RNG Tariff program. However, Utilities’ shareholders shall be responsible for the unrecovered procurement costs if the RNG Tariff program is not authorized to be </w:t>
      </w:r>
      <w:r w:rsidRPr="00F64147">
        <w:rPr>
          <w:rFonts w:ascii="Book Antiqua" w:hAnsi="Book Antiqua" w:cs="TimesNewRomanPSMT"/>
        </w:rPr>
        <w:lastRenderedPageBreak/>
        <w:t xml:space="preserve">extended beyond the program duration (as defined in Section II (D), </w:t>
      </w:r>
      <w:r w:rsidRPr="00597D1E">
        <w:rPr>
          <w:rFonts w:ascii="Book Antiqua" w:hAnsi="Book Antiqua" w:cs="TimesNewRomanPSMT"/>
          <w:i/>
          <w:iCs/>
        </w:rPr>
        <w:t>supra</w:t>
      </w:r>
      <w:r w:rsidRPr="00F64147">
        <w:rPr>
          <w:rFonts w:ascii="Book Antiqua" w:hAnsi="Book Antiqua" w:cs="TimesNewRomanPSMT"/>
        </w:rPr>
        <w:t>).</w:t>
      </w:r>
    </w:p>
    <w:p w:rsidR="003B7C12" w:rsidP="003B7C12" w:rsidRDefault="003B7C12" w14:paraId="0FB96677" w14:textId="6D7CE137">
      <w:pPr>
        <w:pStyle w:val="ListParagraph"/>
        <w:numPr>
          <w:ilvl w:val="2"/>
          <w:numId w:val="11"/>
        </w:numPr>
        <w:autoSpaceDE w:val="0"/>
        <w:autoSpaceDN w:val="0"/>
        <w:adjustRightInd w:val="0"/>
        <w:ind w:left="1800" w:hanging="360"/>
        <w:rPr>
          <w:rFonts w:ascii="Book Antiqua" w:hAnsi="Book Antiqua" w:cs="TimesNewRomanPSMT"/>
        </w:rPr>
      </w:pPr>
      <w:proofErr w:type="gramStart"/>
      <w:r w:rsidRPr="00F64147">
        <w:rPr>
          <w:rFonts w:ascii="Book Antiqua" w:hAnsi="Book Antiqua" w:cs="TimesNewRomanPSMT"/>
        </w:rPr>
        <w:t>In the event that</w:t>
      </w:r>
      <w:proofErr w:type="gramEnd"/>
      <w:r w:rsidRPr="00F64147">
        <w:rPr>
          <w:rFonts w:ascii="Book Antiqua" w:hAnsi="Book Antiqua" w:cs="TimesNewRomanPSMT"/>
        </w:rPr>
        <w:t xml:space="preserve"> the Utilities have remaining long-term RNG contract obligations that extend beyond the program duration and the continuation of the RNG Tariff program is not authorized beyond that time, </w:t>
      </w:r>
      <w:r>
        <w:rPr>
          <w:rFonts w:ascii="Book Antiqua" w:hAnsi="Book Antiqua" w:cs="TimesNewRomanPSMT"/>
        </w:rPr>
        <w:t>t</w:t>
      </w:r>
      <w:r w:rsidRPr="00F64147">
        <w:rPr>
          <w:rFonts w:ascii="Book Antiqua" w:hAnsi="Book Antiqua" w:cs="TimesNewRomanPSMT"/>
        </w:rPr>
        <w:t xml:space="preserve">he Utilities’ shareholders shall be responsible for the stranded costs of </w:t>
      </w:r>
      <w:r w:rsidR="00165BE4">
        <w:rPr>
          <w:rFonts w:ascii="Book Antiqua" w:hAnsi="Book Antiqua" w:cs="TimesNewRomanPSMT"/>
        </w:rPr>
        <w:t xml:space="preserve">RNG procured under </w:t>
      </w:r>
      <w:r w:rsidRPr="00F64147">
        <w:rPr>
          <w:rFonts w:ascii="Book Antiqua" w:hAnsi="Book Antiqua" w:cs="TimesNewRomanPSMT"/>
        </w:rPr>
        <w:t>the long-term contracts.</w:t>
      </w:r>
      <w:r>
        <w:rPr>
          <w:rFonts w:ascii="Book Antiqua" w:hAnsi="Book Antiqua" w:cs="TimesNewRomanPSMT"/>
        </w:rPr>
        <w:t xml:space="preserve">  “Stranded </w:t>
      </w:r>
      <w:r w:rsidR="001B788B">
        <w:rPr>
          <w:rFonts w:ascii="Book Antiqua" w:hAnsi="Book Antiqua" w:cs="TimesNewRomanPSMT"/>
        </w:rPr>
        <w:t xml:space="preserve">procurement </w:t>
      </w:r>
      <w:r>
        <w:rPr>
          <w:rFonts w:ascii="Book Antiqua" w:hAnsi="Book Antiqua" w:cs="TimesNewRomanPSMT"/>
        </w:rPr>
        <w:t xml:space="preserve">costs” are </w:t>
      </w:r>
      <w:r w:rsidR="00165BE4">
        <w:rPr>
          <w:rFonts w:ascii="Book Antiqua" w:hAnsi="Book Antiqua" w:cs="TimesNewRomanPSMT"/>
        </w:rPr>
        <w:t>any</w:t>
      </w:r>
      <w:r>
        <w:rPr>
          <w:rFonts w:ascii="Book Antiqua" w:hAnsi="Book Antiqua" w:cs="TimesNewRomanPSMT"/>
        </w:rPr>
        <w:t xml:space="preserve"> excess costs incurred for gas procured (beyond the pilot program duration) because it is RNG, rather than regular fossil-based natural gas</w:t>
      </w:r>
      <w:r w:rsidR="001B788B">
        <w:rPr>
          <w:rFonts w:ascii="Book Antiqua" w:hAnsi="Book Antiqua" w:cs="TimesNewRomanPSMT"/>
        </w:rPr>
        <w:t>,</w:t>
      </w:r>
      <w:r w:rsidR="001533FC">
        <w:rPr>
          <w:rFonts w:ascii="Book Antiqua" w:hAnsi="Book Antiqua" w:cs="TimesNewRomanPSMT"/>
        </w:rPr>
        <w:t xml:space="preserve"> </w:t>
      </w:r>
      <w:proofErr w:type="gramStart"/>
      <w:r w:rsidRPr="001B788B" w:rsidR="001B788B">
        <w:rPr>
          <w:rFonts w:ascii="Book Antiqua" w:hAnsi="Book Antiqua" w:cs="TimesNewRomanPSMT"/>
        </w:rPr>
        <w:t>and also</w:t>
      </w:r>
      <w:proofErr w:type="gramEnd"/>
      <w:r w:rsidRPr="001B788B" w:rsidR="001B788B">
        <w:rPr>
          <w:rFonts w:ascii="Book Antiqua" w:hAnsi="Book Antiqua" w:cs="TimesNewRomanPSMT"/>
        </w:rPr>
        <w:t xml:space="preserve"> include </w:t>
      </w:r>
      <w:r w:rsidR="00282F7B">
        <w:rPr>
          <w:rFonts w:ascii="Book Antiqua" w:hAnsi="Book Antiqua" w:cs="TimesNewRomanPSMT"/>
        </w:rPr>
        <w:t xml:space="preserve">any </w:t>
      </w:r>
      <w:r w:rsidRPr="001B788B" w:rsidR="001B788B">
        <w:rPr>
          <w:rFonts w:ascii="Book Antiqua" w:hAnsi="Book Antiqua" w:cs="TimesNewRomanPSMT"/>
        </w:rPr>
        <w:t>costs of excess RNG during the pilot duration that exceeds amounts needed for participants</w:t>
      </w:r>
      <w:r w:rsidR="000F2A32">
        <w:rPr>
          <w:rFonts w:ascii="Book Antiqua" w:hAnsi="Book Antiqua" w:cs="TimesNewRomanPSMT"/>
        </w:rPr>
        <w:t>. T</w:t>
      </w:r>
      <w:r w:rsidRPr="001B788B" w:rsidR="001B788B">
        <w:rPr>
          <w:rFonts w:ascii="Book Antiqua" w:hAnsi="Book Antiqua" w:cs="TimesNewRomanPSMT"/>
        </w:rPr>
        <w:t>hese costs are the Utilities’ shareholders’ responsibility unless a subsequent Commission decision expressly authorizes cost recovery from customers</w:t>
      </w:r>
      <w:r>
        <w:rPr>
          <w:rFonts w:ascii="Book Antiqua" w:hAnsi="Book Antiqua" w:cs="TimesNewRomanPSMT"/>
        </w:rPr>
        <w:t>.</w:t>
      </w:r>
    </w:p>
    <w:p w:rsidRPr="00940A8F" w:rsidR="00CC7EE1" w:rsidP="00CC7EE1" w:rsidRDefault="00CC7EE1" w14:paraId="4A896D18" w14:textId="77777777">
      <w:pPr>
        <w:pStyle w:val="ListParagraph"/>
        <w:numPr>
          <w:ilvl w:val="2"/>
          <w:numId w:val="11"/>
        </w:numPr>
        <w:autoSpaceDE w:val="0"/>
        <w:autoSpaceDN w:val="0"/>
        <w:adjustRightInd w:val="0"/>
        <w:ind w:left="1800" w:hanging="360"/>
        <w:rPr>
          <w:rFonts w:ascii="Book Antiqua" w:hAnsi="Book Antiqua" w:cs="TimesNewRomanPSMT"/>
        </w:rPr>
      </w:pPr>
      <w:r w:rsidRPr="00940A8F">
        <w:rPr>
          <w:rFonts w:ascii="Book Antiqua" w:hAnsi="Book Antiqua" w:cs="TimesNewRomanPSMT"/>
        </w:rPr>
        <w:t>A contract for procurement of RNG from a dairy</w:t>
      </w:r>
      <w:r>
        <w:rPr>
          <w:rFonts w:ascii="Book Antiqua" w:hAnsi="Book Antiqua" w:cs="TimesNewRomanPSMT"/>
        </w:rPr>
        <w:t xml:space="preserve"> supplier</w:t>
      </w:r>
      <w:r w:rsidRPr="00940A8F">
        <w:rPr>
          <w:rFonts w:ascii="Book Antiqua" w:hAnsi="Book Antiqua" w:cs="TimesNewRomanPSMT"/>
        </w:rPr>
        <w:t xml:space="preserve"> </w:t>
      </w:r>
      <w:r>
        <w:rPr>
          <w:rFonts w:ascii="Book Antiqua" w:hAnsi="Book Antiqua" w:cs="TimesNewRomanPSMT"/>
        </w:rPr>
        <w:t>in California</w:t>
      </w:r>
      <w:r w:rsidRPr="00940A8F">
        <w:rPr>
          <w:rFonts w:ascii="Book Antiqua" w:hAnsi="Book Antiqua" w:cs="TimesNewRomanPSMT"/>
        </w:rPr>
        <w:t xml:space="preserve"> shall require the following:</w:t>
      </w:r>
    </w:p>
    <w:p w:rsidR="00CC7EE1" w:rsidP="00CC7EE1" w:rsidRDefault="00CC7EE1" w14:paraId="152B1228" w14:textId="77777777">
      <w:pPr>
        <w:pStyle w:val="ListParagraph"/>
        <w:numPr>
          <w:ilvl w:val="3"/>
          <w:numId w:val="11"/>
        </w:numPr>
        <w:autoSpaceDE w:val="0"/>
        <w:autoSpaceDN w:val="0"/>
        <w:adjustRightInd w:val="0"/>
        <w:ind w:left="2160"/>
        <w:rPr>
          <w:rFonts w:ascii="Book Antiqua" w:hAnsi="Book Antiqua" w:cs="TimesNewRomanPSMT"/>
        </w:rPr>
      </w:pPr>
      <w:r w:rsidRPr="00C100D7">
        <w:rPr>
          <w:rFonts w:ascii="Book Antiqua" w:hAnsi="Book Antiqua" w:cs="TimesNewRomanPSMT"/>
        </w:rPr>
        <w:t xml:space="preserve">The seller of RNG from a dairy shall provide the Utility (buyer) with an annual report indicating whether the dairy was in compliance with all applicable air and water pollution control standards or requirements for the preceding 12 months, with the report due no later than 30 days after the end of the 12th </w:t>
      </w:r>
      <w:proofErr w:type="gramStart"/>
      <w:r w:rsidRPr="00C100D7">
        <w:rPr>
          <w:rFonts w:ascii="Book Antiqua" w:hAnsi="Book Antiqua" w:cs="TimesNewRomanPSMT"/>
        </w:rPr>
        <w:t>month</w:t>
      </w:r>
      <w:r w:rsidRPr="00940A8F">
        <w:rPr>
          <w:rFonts w:ascii="Book Antiqua" w:hAnsi="Book Antiqua" w:cs="TimesNewRomanPSMT"/>
        </w:rPr>
        <w:t>;</w:t>
      </w:r>
      <w:proofErr w:type="gramEnd"/>
      <w:r w:rsidRPr="00940A8F">
        <w:rPr>
          <w:rFonts w:ascii="Book Antiqua" w:hAnsi="Book Antiqua" w:cs="TimesNewRomanPSMT"/>
        </w:rPr>
        <w:t xml:space="preserve"> </w:t>
      </w:r>
    </w:p>
    <w:p w:rsidR="00CC7EE1" w:rsidP="00CC7EE1" w:rsidRDefault="00CC7EE1" w14:paraId="3064333E" w14:textId="77777777">
      <w:pPr>
        <w:pStyle w:val="ListParagraph"/>
        <w:numPr>
          <w:ilvl w:val="3"/>
          <w:numId w:val="11"/>
        </w:numPr>
        <w:autoSpaceDE w:val="0"/>
        <w:autoSpaceDN w:val="0"/>
        <w:adjustRightInd w:val="0"/>
        <w:ind w:left="2160"/>
        <w:rPr>
          <w:rFonts w:ascii="Book Antiqua" w:hAnsi="Book Antiqua" w:cs="TimesNewRomanPSMT"/>
        </w:rPr>
      </w:pPr>
      <w:r>
        <w:rPr>
          <w:rFonts w:ascii="Book Antiqua" w:hAnsi="Book Antiqua" w:cs="TimesNewRomanPSMT"/>
        </w:rPr>
        <w:t xml:space="preserve"> S</w:t>
      </w:r>
      <w:r w:rsidRPr="00A4747F">
        <w:rPr>
          <w:rFonts w:ascii="Book Antiqua" w:hAnsi="Book Antiqua" w:cs="TimesNewRomanPSMT"/>
        </w:rPr>
        <w:t xml:space="preserve">eller shall describe any incident of noncompliance with an applicable air or water pollution control requirement, including the dates and cause of the incident; and </w:t>
      </w:r>
    </w:p>
    <w:p w:rsidRPr="00F64147" w:rsidR="00CC7EE1" w:rsidP="00C45392" w:rsidRDefault="00CC7EE1" w14:paraId="0BBF721D" w14:textId="4F03633B">
      <w:pPr>
        <w:pStyle w:val="ListParagraph"/>
        <w:numPr>
          <w:ilvl w:val="3"/>
          <w:numId w:val="11"/>
        </w:numPr>
        <w:autoSpaceDE w:val="0"/>
        <w:autoSpaceDN w:val="0"/>
        <w:adjustRightInd w:val="0"/>
        <w:ind w:left="2160"/>
        <w:rPr>
          <w:rFonts w:ascii="Book Antiqua" w:hAnsi="Book Antiqua" w:cs="TimesNewRomanPSMT"/>
        </w:rPr>
      </w:pPr>
      <w:r>
        <w:rPr>
          <w:rFonts w:ascii="Book Antiqua" w:hAnsi="Book Antiqua" w:cs="TimesNewRomanPSMT"/>
        </w:rPr>
        <w:t>S</w:t>
      </w:r>
      <w:r w:rsidRPr="00A4747F">
        <w:rPr>
          <w:rFonts w:ascii="Book Antiqua" w:hAnsi="Book Antiqua" w:cs="TimesNewRomanPSMT"/>
        </w:rPr>
        <w:t>eller must explain the circumstances of any noncompliance, the steps taken by the seller to rectify the noncompliance, and if the noncompliance is ongoing, the expected resolution.  The contract shall accelerate the seller’s reporting requirements, as necessary, to cover less than a year, so compliance information during the third year of the pilot program is available to include in the Utilities’ advice letter filing that seeks approval for the continuation of the RNG Tariff program.</w:t>
      </w:r>
    </w:p>
    <w:p w:rsidRPr="00F64147" w:rsidR="003B7C12" w:rsidP="003B7C12" w:rsidRDefault="003B7C12" w14:paraId="569C900A"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Carbon Content of Sourced RNG</w:t>
      </w:r>
    </w:p>
    <w:p w:rsidRPr="00F64147" w:rsidR="003B7C12" w:rsidP="003B7C12" w:rsidRDefault="003B7C12" w14:paraId="4F4EB1F0"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Utilities </w:t>
      </w:r>
      <w:r>
        <w:rPr>
          <w:rFonts w:ascii="Book Antiqua" w:hAnsi="Book Antiqua" w:cs="TimesNewRomanPSMT"/>
        </w:rPr>
        <w:t>shall</w:t>
      </w:r>
      <w:r w:rsidRPr="00F64147">
        <w:rPr>
          <w:rFonts w:ascii="Book Antiqua" w:hAnsi="Book Antiqua" w:cs="TimesNewRomanPSMT"/>
        </w:rPr>
        <w:t xml:space="preserve"> require RNG suppliers to provide lifecycle GHG emissions calculations in accordance with a modified GREET model used by the LCFS program that includes a carbon intensity baseline based on, but not limited to, energy inputs required for upgrading biogas to be safely injected into the common carrier </w:t>
      </w:r>
      <w:proofErr w:type="gramStart"/>
      <w:r w:rsidRPr="00F64147">
        <w:rPr>
          <w:rFonts w:ascii="Book Antiqua" w:hAnsi="Book Antiqua" w:cs="TimesNewRomanPSMT"/>
        </w:rPr>
        <w:t>pipelines, and</w:t>
      </w:r>
      <w:proofErr w:type="gramEnd"/>
      <w:r w:rsidRPr="00F64147">
        <w:rPr>
          <w:rFonts w:ascii="Book Antiqua" w:hAnsi="Book Antiqua" w:cs="TimesNewRomanPSMT"/>
        </w:rPr>
        <w:t xml:space="preserve"> use this information in evaluating the carbon intensity of RNG supply choices.</w:t>
      </w:r>
    </w:p>
    <w:p w:rsidRPr="00F64147" w:rsidR="003B7C12" w:rsidP="003B7C12" w:rsidRDefault="003B7C12" w14:paraId="190D2A05"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Utilities</w:t>
      </w:r>
      <w:r w:rsidRPr="00F64147" w:rsidDel="00332820">
        <w:rPr>
          <w:rFonts w:ascii="Book Antiqua" w:hAnsi="Book Antiqua" w:cs="TimesNewRomanPSMT"/>
        </w:rPr>
        <w:t xml:space="preserve"> </w:t>
      </w:r>
      <w:r w:rsidRPr="00F64147">
        <w:rPr>
          <w:rFonts w:ascii="Book Antiqua" w:hAnsi="Book Antiqua" w:cs="TimesNewRomanPSMT"/>
        </w:rPr>
        <w:t xml:space="preserve">shall work with stakeholders, including the Commission’s Energy Division staff, the California Air Resources Board </w:t>
      </w:r>
      <w:r w:rsidRPr="00F64147">
        <w:rPr>
          <w:rFonts w:ascii="Book Antiqua" w:hAnsi="Book Antiqua" w:cs="TimesNewRomanPSMT"/>
        </w:rPr>
        <w:lastRenderedPageBreak/>
        <w:t>(“CARB”), and interested parties in A.19</w:t>
      </w:r>
      <w:r w:rsidRPr="00F64147">
        <w:rPr>
          <w:rFonts w:ascii="Book Antiqua" w:hAnsi="Book Antiqua" w:cs="TimesNewRomanPSMT"/>
        </w:rPr>
        <w:noBreakHyphen/>
        <w:t>02</w:t>
      </w:r>
      <w:r w:rsidRPr="00F64147">
        <w:rPr>
          <w:rFonts w:ascii="Book Antiqua" w:hAnsi="Book Antiqua" w:cs="TimesNewRomanPSMT"/>
        </w:rPr>
        <w:noBreakHyphen/>
        <w:t xml:space="preserve">015, to develop a modified GREET model to calculate RNG carbon intensity. </w:t>
      </w:r>
      <w:r w:rsidRPr="00F64147">
        <w:rPr>
          <w:rFonts w:ascii="Book Antiqua" w:hAnsi="Book Antiqua"/>
          <w:highlight w:val="yellow"/>
        </w:rPr>
        <w:t xml:space="preserve"> </w:t>
      </w:r>
    </w:p>
    <w:p w:rsidRPr="00F64147" w:rsidR="003B7C12" w:rsidP="003B7C12" w:rsidRDefault="003B7C12" w14:paraId="2911AF86" w14:textId="6AD8F8EF">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 xml:space="preserve">Utilities shall file a Tier </w:t>
      </w:r>
      <w:r>
        <w:rPr>
          <w:rFonts w:ascii="Book Antiqua" w:hAnsi="Book Antiqua" w:cs="TimesNewRomanPSMT"/>
        </w:rPr>
        <w:t>3</w:t>
      </w:r>
      <w:r w:rsidRPr="00F64147">
        <w:rPr>
          <w:rFonts w:ascii="Book Antiqua" w:hAnsi="Book Antiqua" w:cs="TimesNewRomanPSMT"/>
        </w:rPr>
        <w:t xml:space="preserve"> Advice Letter establishing the methodology to be applied in verifying the carbon intensity of RNG supplies prior to the start of the program. The filing shall include the modified GREET model for the Commission’s review and approval.</w:t>
      </w:r>
    </w:p>
    <w:p w:rsidRPr="00F64147" w:rsidR="003B7C12" w:rsidP="003B7C12" w:rsidRDefault="003B7C12" w14:paraId="268779E1" w14:textId="328C62D6">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Utilities </w:t>
      </w:r>
      <w:r>
        <w:rPr>
          <w:rFonts w:ascii="Book Antiqua" w:hAnsi="Book Antiqua" w:cs="TimesNewRomanPSMT"/>
        </w:rPr>
        <w:t>shall</w:t>
      </w:r>
      <w:r w:rsidRPr="00F64147">
        <w:rPr>
          <w:rFonts w:ascii="Book Antiqua" w:hAnsi="Book Antiqua" w:cs="TimesNewRomanPSMT"/>
        </w:rPr>
        <w:t xml:space="preserve"> develop a bid evaluation methodology for RNG supplies including, among other things, lifecycle GHG emissions using a $/ton </w:t>
      </w:r>
      <w:r w:rsidRPr="00F9428C">
        <w:rPr>
          <w:rFonts w:ascii="Book Antiqua" w:hAnsi="Book Antiqua" w:cs="TimesNewRomanPSMT"/>
        </w:rPr>
        <w:t>CO</w:t>
      </w:r>
      <w:r w:rsidRPr="00185C94" w:rsidR="005F3CC4">
        <w:rPr>
          <w:rFonts w:ascii="Book Antiqua" w:hAnsi="Book Antiqua" w:cs="TimesNewRomanPSMT"/>
          <w:vertAlign w:val="subscript"/>
        </w:rPr>
        <w:t>2</w:t>
      </w:r>
      <w:r w:rsidRPr="00F9428C">
        <w:rPr>
          <w:rFonts w:ascii="Book Antiqua" w:hAnsi="Book Antiqua" w:cs="TimesNewRomanPSMT"/>
        </w:rPr>
        <w:t xml:space="preserve">e </w:t>
      </w:r>
      <w:r w:rsidRPr="00F64147">
        <w:rPr>
          <w:rFonts w:ascii="Book Antiqua" w:hAnsi="Book Antiqua" w:cs="TimesNewRomanPSMT"/>
        </w:rPr>
        <w:t>ranking.</w:t>
      </w:r>
    </w:p>
    <w:p w:rsidR="003B7C12" w:rsidP="003B7C12" w:rsidRDefault="003B7C12" w14:paraId="365B6A2E"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Utilities </w:t>
      </w:r>
      <w:r>
        <w:rPr>
          <w:rFonts w:ascii="Book Antiqua" w:hAnsi="Book Antiqua" w:cs="TimesNewRomanPSMT"/>
        </w:rPr>
        <w:t>shall</w:t>
      </w:r>
      <w:r w:rsidRPr="00F64147">
        <w:rPr>
          <w:rFonts w:ascii="Book Antiqua" w:hAnsi="Book Antiqua" w:cs="TimesNewRomanPSMT"/>
        </w:rPr>
        <w:t xml:space="preserve"> retain an independent third-party verification company to verify that the RNG carbon intensity information provided by the RNG suppliers is consistent with the modified GREET methodology for the LCFS program.</w:t>
      </w:r>
    </w:p>
    <w:p w:rsidRPr="00D54BA8" w:rsidR="00514644" w:rsidP="00D54BA8" w:rsidRDefault="00D54BA8" w14:paraId="47FC523C" w14:textId="258074EC">
      <w:pPr>
        <w:pStyle w:val="ListParagraph"/>
        <w:numPr>
          <w:ilvl w:val="2"/>
          <w:numId w:val="11"/>
        </w:numPr>
        <w:autoSpaceDE w:val="0"/>
        <w:autoSpaceDN w:val="0"/>
        <w:adjustRightInd w:val="0"/>
        <w:ind w:left="1800" w:hanging="360"/>
        <w:rPr>
          <w:rFonts w:ascii="Book Antiqua" w:hAnsi="Book Antiqua" w:cs="TimesNewRomanPSMT"/>
        </w:rPr>
      </w:pPr>
      <w:r w:rsidRPr="00DA0853">
        <w:rPr>
          <w:rFonts w:ascii="Book Antiqua" w:hAnsi="Book Antiqua" w:cs="TimesNewRomanPSMT"/>
        </w:rPr>
        <w:t xml:space="preserve">Utilities shall include a summary of the independent third-party verifier’s findings in their Quarterly </w:t>
      </w:r>
      <w:r>
        <w:rPr>
          <w:rFonts w:ascii="Book Antiqua" w:hAnsi="Book Antiqua" w:cs="TimesNewRomanPSMT"/>
        </w:rPr>
        <w:t xml:space="preserve">Commission </w:t>
      </w:r>
      <w:r w:rsidRPr="00DA0853">
        <w:rPr>
          <w:rFonts w:ascii="Book Antiqua" w:hAnsi="Book Antiqua" w:cs="TimesNewRomanPSMT"/>
        </w:rPr>
        <w:t>Report (</w:t>
      </w:r>
      <w:r w:rsidRPr="00DA0853">
        <w:rPr>
          <w:rFonts w:ascii="Book Antiqua" w:hAnsi="Book Antiqua" w:cs="TimesNewRomanPSMT"/>
          <w:i/>
          <w:iCs/>
        </w:rPr>
        <w:t xml:space="preserve">see </w:t>
      </w:r>
      <w:r w:rsidRPr="00DA0853">
        <w:rPr>
          <w:rFonts w:ascii="Book Antiqua" w:hAnsi="Book Antiqua" w:cs="TimesNewRomanPSMT"/>
        </w:rPr>
        <w:t xml:space="preserve">Section VIII.B, </w:t>
      </w:r>
      <w:r w:rsidRPr="00DA0853">
        <w:rPr>
          <w:rFonts w:ascii="Book Antiqua" w:hAnsi="Book Antiqua" w:cs="TimesNewRomanPSMT"/>
          <w:i/>
          <w:iCs/>
        </w:rPr>
        <w:t>infra</w:t>
      </w:r>
      <w:r w:rsidRPr="00DA0853">
        <w:rPr>
          <w:rFonts w:ascii="Book Antiqua" w:hAnsi="Book Antiqua" w:cs="TimesNewRomanPSMT"/>
        </w:rPr>
        <w:t>).</w:t>
      </w:r>
    </w:p>
    <w:p w:rsidRPr="00F64147" w:rsidR="003B7C12" w:rsidP="003B7C12" w:rsidRDefault="003B7C12" w14:paraId="6C053E73"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Verification and Additionality Requirements</w:t>
      </w:r>
    </w:p>
    <w:p w:rsidRPr="00F64147" w:rsidR="003B7C12" w:rsidP="003B7C12" w:rsidRDefault="003B7C12" w14:paraId="2039B685"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Utilities </w:t>
      </w:r>
      <w:r>
        <w:rPr>
          <w:rFonts w:ascii="Book Antiqua" w:hAnsi="Book Antiqua" w:cs="TimesNewRomanPSMT"/>
        </w:rPr>
        <w:t>shall</w:t>
      </w:r>
      <w:r w:rsidRPr="00F64147">
        <w:rPr>
          <w:rFonts w:ascii="Book Antiqua" w:hAnsi="Book Antiqua" w:cs="TimesNewRomanPSMT"/>
        </w:rPr>
        <w:t xml:space="preserve"> follow the requirements of MRR and the Regulation for the California Cap on Greenhouse Gas Emissions and Market-Based Compliance Mechanisms (“Cap-and-Trade Regulation”).</w:t>
      </w:r>
    </w:p>
    <w:p w:rsidRPr="00F64147" w:rsidR="003B7C12" w:rsidP="003B7C12" w:rsidRDefault="003B7C12" w14:paraId="611BBFCA"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The compliance of purchased RNG supplies with MRR and Cap-and-Trade Regulation </w:t>
      </w:r>
      <w:r>
        <w:rPr>
          <w:rFonts w:ascii="Book Antiqua" w:hAnsi="Book Antiqua" w:cs="TimesNewRomanPSMT"/>
        </w:rPr>
        <w:t>shall</w:t>
      </w:r>
      <w:r w:rsidRPr="00F64147">
        <w:rPr>
          <w:rFonts w:ascii="Book Antiqua" w:hAnsi="Book Antiqua" w:cs="TimesNewRomanPSMT"/>
        </w:rPr>
        <w:t xml:space="preserve"> be verified by a third-party independent verification body, accredited by CARB, as required to receive the biomethane exemption under the Cap-and-Trade Regulation.</w:t>
      </w:r>
    </w:p>
    <w:p w:rsidRPr="00F64147" w:rsidR="003B7C12" w:rsidP="003B7C12" w:rsidRDefault="003B7C12" w14:paraId="0099A06C"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While eligible for a grandfathered exemption pursuant to 17 CCR § 95852.1.1, Utilities shall not procure any supplies or attributes from out-of-state RNG sources contracted before January 1, 2012 to serve RNG Tariff program customers. Even though this requirement in 17 CCR § 95852.1.1 does not apply to in-state RNG supplies, the Utilities shall follow the same requirement.</w:t>
      </w:r>
    </w:p>
    <w:p w:rsidRPr="00F64147" w:rsidR="003B7C12" w:rsidP="003B7C12" w:rsidRDefault="003B7C12" w14:paraId="20AC0243"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Utilities </w:t>
      </w:r>
      <w:r>
        <w:rPr>
          <w:rFonts w:ascii="Book Antiqua" w:hAnsi="Book Antiqua" w:cs="TimesNewRomanPSMT"/>
        </w:rPr>
        <w:t>shall</w:t>
      </w:r>
      <w:r w:rsidRPr="00F64147">
        <w:rPr>
          <w:rFonts w:ascii="Book Antiqua" w:hAnsi="Book Antiqua" w:cs="TimesNewRomanPSMT"/>
        </w:rPr>
        <w:t xml:space="preserve"> neither generate nor sell Renewable Energy Credits (“RECs”) for purposes of the RNG Tariff program.</w:t>
      </w:r>
    </w:p>
    <w:p w:rsidRPr="00F64147" w:rsidR="003B7C12" w:rsidP="003B7C12" w:rsidRDefault="003B7C12" w14:paraId="01DF9292"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If a core customer directly complies with the Cap-and-Trade program as a covered entity or opt-in covered entity, that customer may participate in the RNG Tariff program but will be prohibited within the RNG Tariff program from claiming a reduced emissions obligation under the Cap-and-Trade program to prevent double counting. This prohibition will be included in the RNG Tariff program sheet.</w:t>
      </w:r>
    </w:p>
    <w:p w:rsidRPr="00F64147" w:rsidR="00457A4D" w:rsidP="00457A4D" w:rsidRDefault="003B7C12" w14:paraId="64D1937C" w14:textId="77777777">
      <w:pPr>
        <w:pStyle w:val="ListParagraph"/>
        <w:numPr>
          <w:ilvl w:val="2"/>
          <w:numId w:val="11"/>
        </w:numPr>
        <w:autoSpaceDE w:val="0"/>
        <w:autoSpaceDN w:val="0"/>
        <w:adjustRightInd w:val="0"/>
        <w:ind w:left="1800" w:hanging="360"/>
        <w:rPr>
          <w:rFonts w:ascii="Book Antiqua" w:hAnsi="Book Antiqua" w:cs="TimesNewRomanPSMT"/>
        </w:rPr>
      </w:pPr>
      <w:proofErr w:type="gramStart"/>
      <w:r w:rsidRPr="00F64147">
        <w:rPr>
          <w:rFonts w:ascii="Book Antiqua" w:hAnsi="Book Antiqua" w:cs="TimesNewRomanPSMT"/>
        </w:rPr>
        <w:t>In order to</w:t>
      </w:r>
      <w:proofErr w:type="gramEnd"/>
      <w:r w:rsidRPr="00F64147">
        <w:rPr>
          <w:rFonts w:ascii="Book Antiqua" w:hAnsi="Book Antiqua" w:cs="TimesNewRomanPSMT"/>
        </w:rPr>
        <w:t xml:space="preserve"> prevent double counting, Utilities shall procure all environmental attributes associated with RNG supplies and require sellers to demonstrate that the RNG has not been used to comply with </w:t>
      </w:r>
      <w:r w:rsidRPr="00F64147">
        <w:rPr>
          <w:rFonts w:ascii="Book Antiqua" w:hAnsi="Book Antiqua" w:cs="TimesNewRomanPSMT"/>
        </w:rPr>
        <w:lastRenderedPageBreak/>
        <w:t>environmental or procurement requirements in any other state.</w:t>
      </w:r>
      <w:r w:rsidR="00457A4D">
        <w:rPr>
          <w:rFonts w:ascii="Book Antiqua" w:hAnsi="Book Antiqua" w:cs="TimesNewRomanPSMT"/>
        </w:rPr>
        <w:t xml:space="preserve"> An independent third-party verifier shall verify that t</w:t>
      </w:r>
      <w:r w:rsidRPr="00AD1D9D" w:rsidR="00457A4D">
        <w:rPr>
          <w:rFonts w:ascii="Book Antiqua" w:hAnsi="Book Antiqua" w:cs="TimesNewRomanPSMT"/>
        </w:rPr>
        <w:t xml:space="preserve">he RNG </w:t>
      </w:r>
      <w:r w:rsidR="00457A4D">
        <w:rPr>
          <w:rFonts w:ascii="Book Antiqua" w:hAnsi="Book Antiqua" w:cs="TimesNewRomanPSMT"/>
        </w:rPr>
        <w:t>was</w:t>
      </w:r>
      <w:r w:rsidRPr="00AD1D9D" w:rsidR="00457A4D">
        <w:rPr>
          <w:rFonts w:ascii="Book Antiqua" w:hAnsi="Book Antiqua" w:cs="TimesNewRomanPSMT"/>
        </w:rPr>
        <w:t xml:space="preserve"> delivered by contracted facilities and the environmental attributes of the RNG were not sold, transferred, claimed, or used by the generating facility or other entity</w:t>
      </w:r>
      <w:r w:rsidR="00457A4D">
        <w:rPr>
          <w:rFonts w:ascii="Book Antiqua" w:hAnsi="Book Antiqua" w:cs="TimesNewRomanPSMT"/>
        </w:rPr>
        <w:t>.</w:t>
      </w:r>
    </w:p>
    <w:p w:rsidR="003B7C12" w:rsidP="003B7C12" w:rsidRDefault="003B7C12" w14:paraId="0D98D418"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If any subsequent RNG certification or verification process is adopted by the Commission in a broader Rulemaking proceeding(s), Utilities shall submit a Tier 2 AL</w:t>
      </w:r>
      <w:r>
        <w:rPr>
          <w:rFonts w:ascii="Book Antiqua" w:hAnsi="Book Antiqua" w:cs="TimesNewRomanPSMT"/>
        </w:rPr>
        <w:t xml:space="preserve"> </w:t>
      </w:r>
      <w:r w:rsidRPr="00F64147">
        <w:rPr>
          <w:rFonts w:ascii="Book Antiqua" w:hAnsi="Book Antiqua" w:cs="TimesNewRomanPSMT"/>
        </w:rPr>
        <w:t>proposing modifications to the certification and verification process specified in this section in accordance with the subsequent Commission decisions.  The AL shall</w:t>
      </w:r>
      <w:r w:rsidRPr="00F64147" w:rsidDel="00272C57">
        <w:rPr>
          <w:rFonts w:ascii="Book Antiqua" w:hAnsi="Book Antiqua" w:cs="TimesNewRomanPSMT"/>
        </w:rPr>
        <w:t xml:space="preserve"> </w:t>
      </w:r>
      <w:r w:rsidRPr="00F64147">
        <w:rPr>
          <w:rFonts w:ascii="Book Antiqua" w:hAnsi="Book Antiqua" w:cs="TimesNewRomanPSMT"/>
        </w:rPr>
        <w:t>describe if and how procurement will comply with the newly adopted process</w:t>
      </w:r>
      <w:r w:rsidRPr="00F64147" w:rsidDel="00F159B0">
        <w:rPr>
          <w:rFonts w:ascii="Book Antiqua" w:hAnsi="Book Antiqua" w:cs="TimesNewRomanPSMT"/>
        </w:rPr>
        <w:t xml:space="preserve"> </w:t>
      </w:r>
      <w:r w:rsidRPr="00F64147">
        <w:rPr>
          <w:rFonts w:ascii="Book Antiqua" w:hAnsi="Book Antiqua" w:cs="TimesNewRomanPSMT"/>
        </w:rPr>
        <w:t xml:space="preserve">going forward. </w:t>
      </w:r>
    </w:p>
    <w:p w:rsidRPr="00F64147" w:rsidR="003D0A5B" w:rsidP="003B7C12" w:rsidRDefault="003D0A5B" w14:paraId="27A38C7C" w14:textId="59BAAE86">
      <w:pPr>
        <w:pStyle w:val="ListParagraph"/>
        <w:numPr>
          <w:ilvl w:val="2"/>
          <w:numId w:val="11"/>
        </w:numPr>
        <w:autoSpaceDE w:val="0"/>
        <w:autoSpaceDN w:val="0"/>
        <w:adjustRightInd w:val="0"/>
        <w:ind w:left="1800" w:hanging="360"/>
        <w:rPr>
          <w:rFonts w:ascii="Book Antiqua" w:hAnsi="Book Antiqua" w:cs="TimesNewRomanPSMT"/>
        </w:rPr>
      </w:pPr>
      <w:r w:rsidRPr="001D431A">
        <w:rPr>
          <w:rFonts w:ascii="Book Antiqua" w:hAnsi="Book Antiqua" w:cs="TimesNewRomanPSMT"/>
        </w:rPr>
        <w:t xml:space="preserve">Utilities are required to submit annually, an independent third-party verification report to Energy Division, in a Tier 2 Advice Letter, demonstrating that RNG </w:t>
      </w:r>
      <w:r w:rsidRPr="00E87453">
        <w:rPr>
          <w:rFonts w:ascii="Book Antiqua" w:hAnsi="Book Antiqua" w:cs="TimesNewRomanPSMT"/>
        </w:rPr>
        <w:t xml:space="preserve">supplies for the RNG Tariff program are in compliance with </w:t>
      </w:r>
      <w:r w:rsidRPr="00E87453" w:rsidR="00E87453">
        <w:rPr>
          <w:rFonts w:ascii="Book Antiqua" w:hAnsi="Book Antiqua" w:cs="TimesNewRomanPSMT"/>
        </w:rPr>
        <w:t>the MRR,</w:t>
      </w:r>
      <w:r w:rsidR="00E87453">
        <w:rPr>
          <w:rFonts w:ascii="Book Antiqua" w:hAnsi="Book Antiqua" w:cs="TimesNewRomanPSMT"/>
        </w:rPr>
        <w:t xml:space="preserve"> </w:t>
      </w:r>
      <w:r w:rsidRPr="00E87453" w:rsidR="00E87453">
        <w:rPr>
          <w:rFonts w:ascii="Book Antiqua" w:hAnsi="Book Antiqua" w:cs="TimesNewRomanPSMT"/>
        </w:rPr>
        <w:t>Cap-and-Trade Regulation, at least 50 percent of the RNG procured meets the requirement of Pub.</w:t>
      </w:r>
      <w:r w:rsidR="00E628F8">
        <w:rPr>
          <w:rFonts w:ascii="Book Antiqua" w:hAnsi="Book Antiqua" w:cs="TimesNewRomanPSMT"/>
        </w:rPr>
        <w:t> </w:t>
      </w:r>
      <w:r w:rsidRPr="00E87453" w:rsidR="00E87453">
        <w:rPr>
          <w:rFonts w:ascii="Book Antiqua" w:hAnsi="Book Antiqua" w:cs="TimesNewRomanPSMT"/>
        </w:rPr>
        <w:t>Util.</w:t>
      </w:r>
      <w:r w:rsidR="008B030F">
        <w:rPr>
          <w:rFonts w:ascii="Book Antiqua" w:hAnsi="Book Antiqua" w:cs="TimesNewRomanPSMT"/>
        </w:rPr>
        <w:t> </w:t>
      </w:r>
      <w:r w:rsidRPr="00E87453" w:rsidR="00E87453">
        <w:rPr>
          <w:rFonts w:ascii="Book Antiqua" w:hAnsi="Book Antiqua" w:cs="TimesNewRomanPSMT"/>
        </w:rPr>
        <w:t>Code</w:t>
      </w:r>
      <w:r w:rsidR="008B030F">
        <w:rPr>
          <w:rFonts w:ascii="Book Antiqua" w:hAnsi="Book Antiqua" w:cs="TimesNewRomanPSMT"/>
        </w:rPr>
        <w:t> </w:t>
      </w:r>
      <w:r w:rsidRPr="00E87453" w:rsidR="00E87453">
        <w:rPr>
          <w:rFonts w:ascii="Book Antiqua" w:hAnsi="Book Antiqua" w:cs="TimesNewRomanPSMT"/>
        </w:rPr>
        <w:t>Section</w:t>
      </w:r>
      <w:r w:rsidR="008B030F">
        <w:rPr>
          <w:rFonts w:ascii="Book Antiqua" w:hAnsi="Book Antiqua" w:cs="TimesNewRomanPSMT"/>
        </w:rPr>
        <w:t> </w:t>
      </w:r>
      <w:r w:rsidR="00E87453">
        <w:rPr>
          <w:rFonts w:ascii="Book Antiqua" w:hAnsi="Book Antiqua" w:cs="TimesNewRomanPSMT"/>
        </w:rPr>
        <w:t>651(b)(3)(B</w:t>
      </w:r>
      <w:r w:rsidR="008F32DC">
        <w:rPr>
          <w:rFonts w:ascii="Book Antiqua" w:hAnsi="Book Antiqua" w:cs="TimesNewRomanPSMT"/>
        </w:rPr>
        <w:t>)</w:t>
      </w:r>
      <w:r w:rsidR="00E14D53">
        <w:rPr>
          <w:rFonts w:ascii="Book Antiqua" w:hAnsi="Book Antiqua" w:cs="TimesNewRomanPSMT"/>
        </w:rPr>
        <w:t xml:space="preserve">, and </w:t>
      </w:r>
      <w:r w:rsidR="00507347">
        <w:rPr>
          <w:rFonts w:ascii="Book Antiqua" w:hAnsi="Book Antiqua" w:cs="TimesNewRomanPSMT"/>
        </w:rPr>
        <w:t xml:space="preserve">there was </w:t>
      </w:r>
      <w:r w:rsidR="00E14D53">
        <w:rPr>
          <w:rFonts w:ascii="Book Antiqua" w:hAnsi="Book Antiqua" w:cs="TimesNewRomanPSMT"/>
        </w:rPr>
        <w:t xml:space="preserve">no double counting of </w:t>
      </w:r>
      <w:r w:rsidR="006A57F6">
        <w:rPr>
          <w:rFonts w:ascii="Book Antiqua" w:hAnsi="Book Antiqua" w:cs="TimesNewRomanPSMT"/>
        </w:rPr>
        <w:t>environmental attributes associated with RNG supplies</w:t>
      </w:r>
      <w:r w:rsidR="00E87453">
        <w:rPr>
          <w:rFonts w:ascii="Book Antiqua" w:hAnsi="Book Antiqua" w:cs="TimesNewRomanPSMT"/>
        </w:rPr>
        <w:t xml:space="preserve"> (</w:t>
      </w:r>
      <w:r w:rsidRPr="00E87453" w:rsidR="00E87453">
        <w:rPr>
          <w:rFonts w:ascii="Book Antiqua" w:hAnsi="Book Antiqua" w:cs="TimesNewRomanPSMT"/>
          <w:i/>
          <w:iCs/>
        </w:rPr>
        <w:t>See</w:t>
      </w:r>
      <w:r w:rsidR="00E87453">
        <w:rPr>
          <w:rFonts w:ascii="Book Antiqua" w:hAnsi="Book Antiqua" w:cs="TimesNewRomanPSMT"/>
        </w:rPr>
        <w:t xml:space="preserve"> </w:t>
      </w:r>
      <w:r w:rsidR="00B66133">
        <w:rPr>
          <w:rFonts w:ascii="Book Antiqua" w:hAnsi="Book Antiqua" w:cs="TimesNewRomanPSMT"/>
        </w:rPr>
        <w:t>Section</w:t>
      </w:r>
      <w:r w:rsidR="009665C1">
        <w:rPr>
          <w:rFonts w:ascii="Book Antiqua" w:hAnsi="Book Antiqua" w:cs="TimesNewRomanPSMT"/>
        </w:rPr>
        <w:t>s</w:t>
      </w:r>
      <w:r w:rsidR="00136A00">
        <w:rPr>
          <w:rFonts w:ascii="Book Antiqua" w:hAnsi="Book Antiqua" w:cs="TimesNewRomanPSMT"/>
        </w:rPr>
        <w:t xml:space="preserve"> III(B)</w:t>
      </w:r>
      <w:r w:rsidR="0059648E">
        <w:rPr>
          <w:rFonts w:ascii="Book Antiqua" w:hAnsi="Book Antiqua" w:cs="TimesNewRomanPSMT"/>
        </w:rPr>
        <w:t>(5),</w:t>
      </w:r>
      <w:r w:rsidR="009665C1">
        <w:rPr>
          <w:rFonts w:ascii="Book Antiqua" w:hAnsi="Book Antiqua" w:cs="TimesNewRomanPSMT"/>
        </w:rPr>
        <w:t xml:space="preserve"> IV(</w:t>
      </w:r>
      <w:r w:rsidR="001B274B">
        <w:rPr>
          <w:rFonts w:ascii="Book Antiqua" w:hAnsi="Book Antiqua" w:cs="TimesNewRomanPSMT"/>
        </w:rPr>
        <w:t>A)(8</w:t>
      </w:r>
      <w:r w:rsidR="00616B1B">
        <w:rPr>
          <w:rFonts w:ascii="Book Antiqua" w:hAnsi="Book Antiqua" w:cs="TimesNewRomanPSMT"/>
        </w:rPr>
        <w:t>)</w:t>
      </w:r>
      <w:r w:rsidR="00525A07">
        <w:rPr>
          <w:rFonts w:ascii="Book Antiqua" w:hAnsi="Book Antiqua" w:cs="TimesNewRomanPSMT"/>
        </w:rPr>
        <w:t>, and</w:t>
      </w:r>
      <w:r w:rsidR="00180683">
        <w:rPr>
          <w:rFonts w:ascii="Book Antiqua" w:hAnsi="Book Antiqua" w:cs="TimesNewRomanPSMT"/>
        </w:rPr>
        <w:t xml:space="preserve"> IV(</w:t>
      </w:r>
      <w:r w:rsidR="00A86CEE">
        <w:rPr>
          <w:rFonts w:ascii="Book Antiqua" w:hAnsi="Book Antiqua" w:cs="TimesNewRomanPSMT"/>
        </w:rPr>
        <w:t>C)(6)</w:t>
      </w:r>
      <w:r w:rsidR="00771A24">
        <w:rPr>
          <w:rFonts w:ascii="Book Antiqua" w:hAnsi="Book Antiqua" w:cs="TimesNewRomanPSMT"/>
        </w:rPr>
        <w:t xml:space="preserve">, </w:t>
      </w:r>
      <w:r w:rsidR="00616B1B">
        <w:rPr>
          <w:rFonts w:ascii="Book Antiqua" w:hAnsi="Book Antiqua" w:cs="TimesNewRomanPSMT"/>
        </w:rPr>
        <w:t xml:space="preserve"> </w:t>
      </w:r>
      <w:r w:rsidRPr="00616B1B" w:rsidR="00616B1B">
        <w:rPr>
          <w:rFonts w:ascii="Book Antiqua" w:hAnsi="Book Antiqua" w:cs="TimesNewRomanPSMT"/>
          <w:i/>
          <w:iCs/>
        </w:rPr>
        <w:t>supra</w:t>
      </w:r>
      <w:r w:rsidRPr="00E87453" w:rsidR="00E87453">
        <w:rPr>
          <w:rFonts w:ascii="Book Antiqua" w:hAnsi="Book Antiqua" w:cs="TimesNewRomanPSMT"/>
        </w:rPr>
        <w:t>)</w:t>
      </w:r>
      <w:r w:rsidR="00E87453">
        <w:rPr>
          <w:rFonts w:ascii="Book Antiqua" w:hAnsi="Book Antiqua" w:cs="TimesNewRomanPSMT"/>
        </w:rPr>
        <w:t>.</w:t>
      </w:r>
    </w:p>
    <w:p w:rsidRPr="00F64147" w:rsidR="003B7C12" w:rsidP="003B7C12" w:rsidRDefault="003B7C12" w14:paraId="3B0D4867"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Procurement Advisory Group</w:t>
      </w:r>
    </w:p>
    <w:p w:rsidRPr="00F64147" w:rsidR="003B7C12" w:rsidP="003B7C12" w:rsidRDefault="003B7C12" w14:paraId="079F6D4A" w14:textId="77777777">
      <w:pPr>
        <w:pStyle w:val="ListParagraph"/>
        <w:numPr>
          <w:ilvl w:val="2"/>
          <w:numId w:val="11"/>
        </w:numPr>
        <w:autoSpaceDE w:val="0"/>
        <w:autoSpaceDN w:val="0"/>
        <w:adjustRightInd w:val="0"/>
        <w:rPr>
          <w:rFonts w:ascii="Book Antiqua" w:hAnsi="Book Antiqua" w:cs="TimesNewRomanPSMT"/>
        </w:rPr>
      </w:pPr>
      <w:r w:rsidRPr="00F64147">
        <w:rPr>
          <w:rFonts w:ascii="Book Antiqua" w:hAnsi="Book Antiqua" w:cs="TimesNewRomanPSMT"/>
        </w:rPr>
        <w:t xml:space="preserve">The Utilities </w:t>
      </w:r>
      <w:r>
        <w:rPr>
          <w:rFonts w:ascii="Book Antiqua" w:hAnsi="Book Antiqua" w:cs="TimesNewRomanPSMT"/>
        </w:rPr>
        <w:t>shall</w:t>
      </w:r>
      <w:r w:rsidRPr="00F64147">
        <w:rPr>
          <w:rFonts w:ascii="Book Antiqua" w:hAnsi="Book Antiqua" w:cs="TimesNewRomanPSMT"/>
        </w:rPr>
        <w:t xml:space="preserve"> discuss RNG procurement issues related to the RNG Tariff program with a Procurement Advisory Group (“PAG”), which, consistent with the Utilities’ biweekly procurement meetings, </w:t>
      </w:r>
      <w:r>
        <w:rPr>
          <w:rFonts w:ascii="Book Antiqua" w:hAnsi="Book Antiqua" w:cs="TimesNewRomanPSMT"/>
        </w:rPr>
        <w:t>shall</w:t>
      </w:r>
      <w:r w:rsidRPr="00F64147">
        <w:rPr>
          <w:rFonts w:ascii="Book Antiqua" w:hAnsi="Book Antiqua" w:cs="TimesNewRomanPSMT"/>
        </w:rPr>
        <w:t xml:space="preserve"> consist of the Energy Division of the Commission, the Public Advocates Office of the Commission, The Utility Reform Network, and any other interested non-market participant, subject to an appropriate non-disclosure agreement.</w:t>
      </w:r>
    </w:p>
    <w:p w:rsidRPr="00F64147" w:rsidR="003B7C12" w:rsidP="003B7C12" w:rsidRDefault="003B7C12" w14:paraId="0A306982" w14:textId="77777777">
      <w:pPr>
        <w:pStyle w:val="ListParagraph"/>
        <w:numPr>
          <w:ilvl w:val="2"/>
          <w:numId w:val="11"/>
        </w:numPr>
        <w:autoSpaceDE w:val="0"/>
        <w:autoSpaceDN w:val="0"/>
        <w:adjustRightInd w:val="0"/>
        <w:rPr>
          <w:rFonts w:ascii="Book Antiqua" w:hAnsi="Book Antiqua" w:cs="TimesNewRomanPSMT"/>
        </w:rPr>
      </w:pPr>
      <w:r w:rsidRPr="00F64147">
        <w:rPr>
          <w:rFonts w:ascii="Book Antiqua" w:hAnsi="Book Antiqua" w:cs="TimesNewRomanPSMT"/>
        </w:rPr>
        <w:t xml:space="preserve">The PAG </w:t>
      </w:r>
      <w:r>
        <w:rPr>
          <w:rFonts w:ascii="Book Antiqua" w:hAnsi="Book Antiqua" w:cs="TimesNewRomanPSMT"/>
        </w:rPr>
        <w:t>shall</w:t>
      </w:r>
      <w:r w:rsidRPr="00F64147">
        <w:rPr>
          <w:rFonts w:ascii="Book Antiqua" w:hAnsi="Book Antiqua" w:cs="TimesNewRomanPSMT"/>
        </w:rPr>
        <w:t xml:space="preserve"> be consulted (1) prior to release of each solicitation for RNG supplies for the RNG Tariff program, (2) prior to selection of an RNG supplier for the RNG Tariff program, (3) prior to submission of the first annual report, and (4) as otherwise required by the terms of the RNG Tariff program.</w:t>
      </w:r>
    </w:p>
    <w:p w:rsidRPr="00F64147" w:rsidR="003B7C12" w:rsidP="003B7C12" w:rsidRDefault="003B7C12" w14:paraId="7E4C477C" w14:textId="77777777">
      <w:pPr>
        <w:pStyle w:val="ListParagraph"/>
        <w:numPr>
          <w:ilvl w:val="2"/>
          <w:numId w:val="11"/>
        </w:numPr>
        <w:spacing w:after="160" w:line="259" w:lineRule="auto"/>
        <w:rPr>
          <w:rFonts w:ascii="Book Antiqua" w:hAnsi="Book Antiqua" w:cs="TimesNewRomanPSMT"/>
        </w:rPr>
      </w:pPr>
      <w:r w:rsidRPr="00F64147">
        <w:rPr>
          <w:rFonts w:ascii="Book Antiqua" w:hAnsi="Book Antiqua" w:cs="TimesNewRomanPSMT"/>
        </w:rPr>
        <w:t>The Utilities shall report in their Quarterly Report (</w:t>
      </w:r>
      <w:r w:rsidRPr="0019096A">
        <w:rPr>
          <w:rFonts w:ascii="Book Antiqua" w:hAnsi="Book Antiqua" w:cs="TimesNewRomanPSMT"/>
          <w:i/>
          <w:iCs/>
        </w:rPr>
        <w:t xml:space="preserve">see </w:t>
      </w:r>
      <w:r w:rsidRPr="00F64147">
        <w:rPr>
          <w:rFonts w:ascii="Book Antiqua" w:hAnsi="Book Antiqua" w:cs="TimesNewRomanPSMT"/>
        </w:rPr>
        <w:t xml:space="preserve">Section VIII.B, </w:t>
      </w:r>
      <w:r w:rsidRPr="00F64147">
        <w:rPr>
          <w:rFonts w:ascii="Book Antiqua" w:hAnsi="Book Antiqua" w:cs="TimesNewRomanPSMT"/>
          <w:i/>
          <w:iCs/>
        </w:rPr>
        <w:t>infra</w:t>
      </w:r>
      <w:r w:rsidRPr="00F64147">
        <w:rPr>
          <w:rFonts w:ascii="Book Antiqua" w:hAnsi="Book Antiqua" w:cs="TimesNewRomanPSMT"/>
        </w:rPr>
        <w:t xml:space="preserve">) whether there are any PAG recommendations that the Utilities has not implemented. The Utilities shall list these recommendation(s) and explain why they were or have not implemented. </w:t>
      </w:r>
    </w:p>
    <w:p w:rsidRPr="00F64147" w:rsidR="003B7C12" w:rsidP="003B7C12" w:rsidRDefault="003B7C12" w14:paraId="4F5F6724" w14:textId="77777777">
      <w:pPr>
        <w:autoSpaceDE w:val="0"/>
        <w:autoSpaceDN w:val="0"/>
        <w:adjustRightInd w:val="0"/>
        <w:spacing w:line="240" w:lineRule="auto"/>
        <w:rPr>
          <w:rFonts w:cs="TimesNewRomanPSMT"/>
          <w:sz w:val="24"/>
          <w:szCs w:val="24"/>
        </w:rPr>
      </w:pPr>
    </w:p>
    <w:p w:rsidRPr="00F64147" w:rsidR="003B7C12" w:rsidP="003B7C12" w:rsidRDefault="003B7C12" w14:paraId="1A04BD1A" w14:textId="77777777">
      <w:pPr>
        <w:pStyle w:val="ListParagraph"/>
        <w:numPr>
          <w:ilvl w:val="0"/>
          <w:numId w:val="11"/>
        </w:numPr>
        <w:autoSpaceDE w:val="0"/>
        <w:autoSpaceDN w:val="0"/>
        <w:adjustRightInd w:val="0"/>
        <w:rPr>
          <w:rFonts w:ascii="Book Antiqua" w:hAnsi="Book Antiqua" w:cs="TimesNewRomanPSMT"/>
          <w:b/>
          <w:bCs/>
        </w:rPr>
      </w:pPr>
      <w:r w:rsidRPr="00F64147">
        <w:rPr>
          <w:rFonts w:ascii="Book Antiqua" w:hAnsi="Book Antiqua" w:cs="TimesNewRomanPSMT"/>
          <w:b/>
          <w:bCs/>
        </w:rPr>
        <w:t>RNG Tariff</w:t>
      </w:r>
      <w:r w:rsidRPr="00F64147">
        <w:rPr>
          <w:rFonts w:ascii="Book Antiqua" w:hAnsi="Book Antiqua" w:cs="TimesNewRomanPSMT"/>
          <w:b/>
        </w:rPr>
        <w:t xml:space="preserve"> (Schedule No. G-RNG)</w:t>
      </w:r>
    </w:p>
    <w:p w:rsidRPr="00F64147" w:rsidR="003B7C12" w:rsidP="003B7C12" w:rsidRDefault="003B7C12" w14:paraId="42D74CF0"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Eligibility</w:t>
      </w:r>
    </w:p>
    <w:p w:rsidRPr="00F64147" w:rsidR="003B7C12" w:rsidP="003B7C12" w:rsidRDefault="003B7C12" w14:paraId="58AF5965"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lastRenderedPageBreak/>
        <w:t xml:space="preserve">Residential and Non-residential Procurement Customers are eligible, as defined in Tariff Rule No. 1, on core rates, </w:t>
      </w:r>
      <w:proofErr w:type="gramStart"/>
      <w:r w:rsidRPr="00F64147">
        <w:rPr>
          <w:rFonts w:ascii="Book Antiqua" w:hAnsi="Book Antiqua" w:cs="TimesNewRomanPSMT"/>
        </w:rPr>
        <w:t>with the exception of</w:t>
      </w:r>
      <w:proofErr w:type="gramEnd"/>
      <w:r w:rsidRPr="00F64147">
        <w:rPr>
          <w:rFonts w:ascii="Book Antiqua" w:hAnsi="Book Antiqua" w:cs="TimesNewRomanPSMT"/>
        </w:rPr>
        <w:t xml:space="preserve"> customers receiving transportation-fuel service under Schedule No. G</w:t>
      </w:r>
      <w:r w:rsidRPr="00F64147">
        <w:rPr>
          <w:rFonts w:ascii="Book Antiqua" w:hAnsi="Book Antiqua" w:cs="TimesNewRomanPSMT"/>
        </w:rPr>
        <w:noBreakHyphen/>
        <w:t>NGV. Non-residential customers may elect either a flat Monthly Purchase Amount, or a Purchase Percentage, as defined in terms of the RNG Tariff program. Residential customers are only eligible for the Monthly Purchase Amount.</w:t>
      </w:r>
    </w:p>
    <w:p w:rsidRPr="00F64147" w:rsidR="003B7C12" w:rsidP="003B7C12" w:rsidRDefault="003B7C12" w14:paraId="5A055919"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CARE customers are eligible to participate in the RNG Tariff program but will not receive the CARE discount on monthly RNG charges.</w:t>
      </w:r>
    </w:p>
    <w:p w:rsidRPr="00F64147" w:rsidR="003B7C12" w:rsidP="003B7C12" w:rsidRDefault="003B7C12" w14:paraId="1A37F305"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Subscription Levels</w:t>
      </w:r>
    </w:p>
    <w:p w:rsidRPr="00F64147" w:rsidR="003B7C12" w:rsidP="003B7C12" w:rsidRDefault="003B7C12" w14:paraId="6F72BF9C"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Monthly Purchase Amount: For all residential customers and for nonresidential customers who elect the flat amount option, the Monthly Purchase Amount is a pre-defined dollar amount that the customer selects </w:t>
      </w:r>
      <w:proofErr w:type="gramStart"/>
      <w:r w:rsidRPr="00F64147">
        <w:rPr>
          <w:rFonts w:ascii="Book Antiqua" w:hAnsi="Book Antiqua" w:cs="TimesNewRomanPSMT"/>
        </w:rPr>
        <w:t>for the amount of</w:t>
      </w:r>
      <w:proofErr w:type="gramEnd"/>
      <w:r w:rsidRPr="00F64147">
        <w:rPr>
          <w:rFonts w:ascii="Book Antiqua" w:hAnsi="Book Antiqua" w:cs="TimesNewRomanPSMT"/>
        </w:rPr>
        <w:t xml:space="preserve"> RNG to purchase (e.g., $10, $25, $50 per month).</w:t>
      </w:r>
    </w:p>
    <w:p w:rsidRPr="00F64147" w:rsidR="003B7C12" w:rsidP="003B7C12" w:rsidRDefault="003B7C12" w14:paraId="202DB7BD"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RNG Tariff program will initially offer three purchase amounts for all residential customers (i.e., $10, $25, $50). Should customer research or feedback identify demand for additional subscription levels or different subscription amounts, the Utilities shall be able to modify the subscription levels without Commission approval. However, customers’ monthly purchase amounts cannot be automatically switched to a higher level without their prior consent.</w:t>
      </w:r>
    </w:p>
    <w:p w:rsidRPr="00F64147" w:rsidR="003B7C12" w:rsidP="003B7C12" w:rsidRDefault="003B7C12" w14:paraId="14EE8F13"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CARE customers can participate at a purchase amount 20</w:t>
      </w:r>
      <w:r>
        <w:rPr>
          <w:rFonts w:ascii="Book Antiqua" w:hAnsi="Book Antiqua" w:cs="TimesNewRomanPSMT"/>
        </w:rPr>
        <w:t xml:space="preserve"> </w:t>
      </w:r>
      <w:r w:rsidRPr="00F64147">
        <w:rPr>
          <w:rFonts w:ascii="Book Antiqua" w:hAnsi="Book Antiqua" w:cs="TimesNewRomanPSMT"/>
        </w:rPr>
        <w:t>percent below the lowest Non-CARE residential level (i.e., $8). The 20</w:t>
      </w:r>
      <w:r>
        <w:rPr>
          <w:rFonts w:ascii="Book Antiqua" w:hAnsi="Book Antiqua" w:cs="TimesNewRomanPSMT"/>
        </w:rPr>
        <w:t xml:space="preserve"> </w:t>
      </w:r>
      <w:r w:rsidRPr="00F64147">
        <w:rPr>
          <w:rFonts w:ascii="Book Antiqua" w:hAnsi="Book Antiqua" w:cs="TimesNewRomanPSMT"/>
        </w:rPr>
        <w:t>percent reduction: (a) represents a 20</w:t>
      </w:r>
      <w:r w:rsidRPr="00A86400">
        <w:rPr>
          <w:rFonts w:ascii="Book Antiqua" w:hAnsi="Book Antiqua" w:cs="TimesNewRomanPSMT"/>
        </w:rPr>
        <w:t xml:space="preserve"> </w:t>
      </w:r>
      <w:r w:rsidRPr="00F64147">
        <w:rPr>
          <w:rFonts w:ascii="Book Antiqua" w:hAnsi="Book Antiqua" w:cs="TimesNewRomanPSMT"/>
        </w:rPr>
        <w:t>percent reduced pre-defined dollar amount and a commensurate 20</w:t>
      </w:r>
      <w:r w:rsidRPr="00A86400">
        <w:rPr>
          <w:rFonts w:ascii="Book Antiqua" w:hAnsi="Book Antiqua" w:cs="TimesNewRomanPSMT"/>
        </w:rPr>
        <w:t xml:space="preserve"> </w:t>
      </w:r>
      <w:r w:rsidRPr="00F64147">
        <w:rPr>
          <w:rFonts w:ascii="Book Antiqua" w:hAnsi="Book Antiqua" w:cs="TimesNewRomanPSMT"/>
        </w:rPr>
        <w:t>percent reduction in purchased RNG and (b) is a percentage consistent with the CARE discount currently applicable to gas rates. Should CARE customers want to opt-in at higher purchase amounts, they can opt-in at the Non-CARE residential levels beyond the first tier (i.e., $25 or $50).</w:t>
      </w:r>
    </w:p>
    <w:p w:rsidRPr="00F64147" w:rsidR="003B7C12" w:rsidP="003B7C12" w:rsidRDefault="003B7C12" w14:paraId="1EF39556"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RNG Purchase Percentage: For non-residential customers who elect this option, the RNG Purchase Percentage is a pre-defined percentage of usage per month that the non-residential customer selects to be renewable (i.e., 25</w:t>
      </w:r>
      <w:r w:rsidRPr="00A86400">
        <w:rPr>
          <w:rFonts w:ascii="Book Antiqua" w:hAnsi="Book Antiqua" w:cs="TimesNewRomanPSMT"/>
        </w:rPr>
        <w:t xml:space="preserve"> </w:t>
      </w:r>
      <w:r w:rsidRPr="00F64147">
        <w:rPr>
          <w:rFonts w:ascii="Book Antiqua" w:hAnsi="Book Antiqua" w:cs="TimesNewRomanPSMT"/>
        </w:rPr>
        <w:t>percent, 50</w:t>
      </w:r>
      <w:r w:rsidRPr="00A86400">
        <w:rPr>
          <w:rFonts w:ascii="Book Antiqua" w:hAnsi="Book Antiqua" w:cs="TimesNewRomanPSMT"/>
        </w:rPr>
        <w:t xml:space="preserve"> </w:t>
      </w:r>
      <w:r w:rsidRPr="00F64147">
        <w:rPr>
          <w:rFonts w:ascii="Book Antiqua" w:hAnsi="Book Antiqua" w:cs="TimesNewRomanPSMT"/>
        </w:rPr>
        <w:t>percent, 75</w:t>
      </w:r>
      <w:r w:rsidRPr="00A86400">
        <w:rPr>
          <w:rFonts w:ascii="Book Antiqua" w:hAnsi="Book Antiqua" w:cs="TimesNewRomanPSMT"/>
        </w:rPr>
        <w:t xml:space="preserve"> </w:t>
      </w:r>
      <w:r w:rsidRPr="00F64147">
        <w:rPr>
          <w:rFonts w:ascii="Book Antiqua" w:hAnsi="Book Antiqua" w:cs="TimesNewRomanPSMT"/>
        </w:rPr>
        <w:t>percent, or 100</w:t>
      </w:r>
      <w:r w:rsidRPr="00A86400">
        <w:rPr>
          <w:rFonts w:ascii="Book Antiqua" w:hAnsi="Book Antiqua" w:cs="TimesNewRomanPSMT"/>
        </w:rPr>
        <w:t xml:space="preserve"> </w:t>
      </w:r>
      <w:r w:rsidRPr="00F64147">
        <w:rPr>
          <w:rFonts w:ascii="Book Antiqua" w:hAnsi="Book Antiqua" w:cs="TimesNewRomanPSMT"/>
        </w:rPr>
        <w:t>percent).</w:t>
      </w:r>
    </w:p>
    <w:p w:rsidRPr="00F64147" w:rsidR="003B7C12" w:rsidP="003B7C12" w:rsidRDefault="003B7C12" w14:paraId="01B4B806"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RNG Tariff program will initially offer</w:t>
      </w:r>
      <w:r w:rsidRPr="00F64147">
        <w:rPr>
          <w:rFonts w:ascii="Book Antiqua" w:hAnsi="Book Antiqua" w:cs="TimesNewRomanPSMT"/>
          <w:strike/>
        </w:rPr>
        <w:t xml:space="preserve"> 4</w:t>
      </w:r>
      <w:r w:rsidRPr="00F64147">
        <w:rPr>
          <w:rFonts w:ascii="Book Antiqua" w:hAnsi="Book Antiqua" w:cs="TimesNewRomanPSMT"/>
        </w:rPr>
        <w:t xml:space="preserve"> four percentages for non</w:t>
      </w:r>
      <w:r w:rsidRPr="00F64147">
        <w:rPr>
          <w:rFonts w:ascii="Book Antiqua" w:hAnsi="Book Antiqua" w:cs="TimesNewRomanPSMT"/>
        </w:rPr>
        <w:noBreakHyphen/>
        <w:t>residential customers (i.e., 25</w:t>
      </w:r>
      <w:r w:rsidRPr="00A86400">
        <w:rPr>
          <w:rFonts w:ascii="Book Antiqua" w:hAnsi="Book Antiqua" w:cs="TimesNewRomanPSMT"/>
        </w:rPr>
        <w:t xml:space="preserve"> </w:t>
      </w:r>
      <w:r w:rsidRPr="00F64147">
        <w:rPr>
          <w:rFonts w:ascii="Book Antiqua" w:hAnsi="Book Antiqua" w:cs="TimesNewRomanPSMT"/>
        </w:rPr>
        <w:t>percent, 50</w:t>
      </w:r>
      <w:r w:rsidRPr="00A86400">
        <w:rPr>
          <w:rFonts w:ascii="Book Antiqua" w:hAnsi="Book Antiqua" w:cs="TimesNewRomanPSMT"/>
        </w:rPr>
        <w:t xml:space="preserve"> </w:t>
      </w:r>
      <w:r w:rsidRPr="00F64147">
        <w:rPr>
          <w:rFonts w:ascii="Book Antiqua" w:hAnsi="Book Antiqua" w:cs="TimesNewRomanPSMT"/>
        </w:rPr>
        <w:t>percent, 75</w:t>
      </w:r>
      <w:r w:rsidRPr="00A86400">
        <w:rPr>
          <w:rFonts w:ascii="Book Antiqua" w:hAnsi="Book Antiqua" w:cs="TimesNewRomanPSMT"/>
        </w:rPr>
        <w:t xml:space="preserve"> </w:t>
      </w:r>
      <w:r w:rsidRPr="00F64147">
        <w:rPr>
          <w:rFonts w:ascii="Book Antiqua" w:hAnsi="Book Antiqua" w:cs="TimesNewRomanPSMT"/>
        </w:rPr>
        <w:t>percent, or 100</w:t>
      </w:r>
      <w:r w:rsidRPr="00A86400">
        <w:rPr>
          <w:rFonts w:ascii="Book Antiqua" w:hAnsi="Book Antiqua" w:cs="TimesNewRomanPSMT"/>
        </w:rPr>
        <w:t xml:space="preserve"> </w:t>
      </w:r>
      <w:r w:rsidRPr="00F64147">
        <w:rPr>
          <w:rFonts w:ascii="Book Antiqua" w:hAnsi="Book Antiqua" w:cs="TimesNewRomanPSMT"/>
        </w:rPr>
        <w:t>percent). Should customer research or feedback identify demand for additional percentage levels, the Utilities shall be able to modify the subscription percentages without Commission approval. However, customers’ percentage purchase amounts cannot be automatically switched to a higher level without their prior consent.</w:t>
      </w:r>
    </w:p>
    <w:p w:rsidRPr="00F64147" w:rsidR="003B7C12" w:rsidP="003B7C12" w:rsidRDefault="003B7C12" w14:paraId="0D045F00"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Commitment Periods</w:t>
      </w:r>
    </w:p>
    <w:p w:rsidRPr="00F64147" w:rsidR="003B7C12" w:rsidP="003B7C12" w:rsidRDefault="003B7C12" w14:paraId="7BBD4BE7"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lastRenderedPageBreak/>
        <w:t>A minimum commitment of one year for residential CARE and non-CARE customers will be required when enrolling in the RNG Tariff program. The commitment period will begin on the first billing date following enrollment, unless enrollment is less than 15 days prior to that billing date, then service will begin on the next billing date.</w:t>
      </w:r>
    </w:p>
    <w:p w:rsidRPr="00F64147" w:rsidR="003B7C12" w:rsidP="003B7C12" w:rsidRDefault="003B7C12" w14:paraId="2815EA00"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A minimum commitment of two years for non-residential customers will be required when beginning enrolling in the RNG Tariff program. The commitment period will begin on the first billing date following enrollment, unless enrollment is less than 15 days prior to that billing date, then service will begin on the next billing date.</w:t>
      </w:r>
    </w:p>
    <w:p w:rsidRPr="00F64147" w:rsidR="003B7C12" w:rsidP="003B7C12" w:rsidRDefault="003B7C12" w14:paraId="6BBECDC0"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Enrollment and Disenrollment</w:t>
      </w:r>
    </w:p>
    <w:p w:rsidRPr="00F64147" w:rsidR="003B7C12" w:rsidP="003B7C12" w:rsidRDefault="003B7C12" w14:paraId="11E83118"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A completed enrollment form must be received by the Utility and the eligible customer must accept the terms and conditions of enrollment. Enrolled customers will have 60 days from their enrollment date during which the customer may notify the Utility that they wish to cancel enrollment or decrease their RNG monthly purchase amount or purchase percentage. Enrolled customers may increase their RNG purchase amount or purchase percentage at any time.</w:t>
      </w:r>
    </w:p>
    <w:p w:rsidRPr="00F64147" w:rsidR="003B7C12" w:rsidP="003B7C12" w:rsidRDefault="003B7C12" w14:paraId="13B02064"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A customer’s enrollment is fully transferrable to a customer’s new premises, provided that (1) the customer is still eligible, (2) the new location is within the Utilities’ service territory, and (3) service will be in the customer’s name. The customer must notify the Utility which account the existing enrollment should be transferred to.</w:t>
      </w:r>
    </w:p>
    <w:p w:rsidRPr="00F64147" w:rsidR="003B7C12" w:rsidP="003B7C12" w:rsidRDefault="003B7C12" w14:paraId="66D7586B"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Customers may disenroll from the RNG Tariff program if they close the enrolled account, or they request a payment arrangement or extension and request relief from the program.</w:t>
      </w:r>
    </w:p>
    <w:p w:rsidRPr="00F64147" w:rsidR="003B7C12" w:rsidP="003B7C12" w:rsidRDefault="003B7C12" w14:paraId="6E67F4A2"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Customers subject to service disconnection due to failure to pay for natural gas service will be disenrolled from the RNG Tariff program.</w:t>
      </w:r>
    </w:p>
    <w:p w:rsidRPr="00F64147" w:rsidR="003B7C12" w:rsidP="003B7C12" w:rsidRDefault="003B7C12" w14:paraId="2520DD0B"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Utilities </w:t>
      </w:r>
      <w:r>
        <w:rPr>
          <w:rFonts w:ascii="Book Antiqua" w:hAnsi="Book Antiqua" w:cs="TimesNewRomanPSMT"/>
        </w:rPr>
        <w:t>shall</w:t>
      </w:r>
      <w:r w:rsidRPr="00F64147">
        <w:rPr>
          <w:rFonts w:ascii="Book Antiqua" w:hAnsi="Book Antiqua" w:cs="TimesNewRomanPSMT"/>
        </w:rPr>
        <w:t xml:space="preserve"> notify customers 60 and 45 days prior to the end of their commitment period about their options for disenrollment, re-enrollment, and how to change their RNG Monthly Purchase Amount or Purchase Percentage.</w:t>
      </w:r>
    </w:p>
    <w:p w:rsidRPr="00F64147" w:rsidR="003B7C12" w:rsidP="003B7C12" w:rsidRDefault="003B7C12" w14:paraId="78CCC1F0"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Residential customers, upon completion of the one-year commitment period, may re-enroll for another year, request to disenroll in the program, request to change their RNG Monthly Purchase Amount, or allow their commitment to </w:t>
      </w:r>
      <w:proofErr w:type="gramStart"/>
      <w:r w:rsidRPr="00F64147">
        <w:rPr>
          <w:rFonts w:ascii="Book Antiqua" w:hAnsi="Book Antiqua" w:cs="TimesNewRomanPSMT"/>
        </w:rPr>
        <w:t>continue on</w:t>
      </w:r>
      <w:proofErr w:type="gramEnd"/>
      <w:r w:rsidRPr="00F64147">
        <w:rPr>
          <w:rFonts w:ascii="Book Antiqua" w:hAnsi="Book Antiqua" w:cs="TimesNewRomanPSMT"/>
        </w:rPr>
        <w:t xml:space="preserve"> a month-to-month basis. If a residential customer wishes to change their RNG Monthly Purchase amount, then they must re-enroll for another one-year commitment.</w:t>
      </w:r>
    </w:p>
    <w:p w:rsidRPr="00F64147" w:rsidR="003B7C12" w:rsidP="003B7C12" w:rsidRDefault="003B7C12" w14:paraId="6239174F"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Residential customers must request to disenroll at least 30 days prior to the end of their commitment period. If they do not request to disenroll at least 30 days prior to the end of their commitment period, they will remain in the RNG Tariff program on a month-to-month </w:t>
      </w:r>
      <w:r w:rsidRPr="00F64147">
        <w:rPr>
          <w:rFonts w:ascii="Book Antiqua" w:hAnsi="Book Antiqua" w:cs="TimesNewRomanPSMT"/>
        </w:rPr>
        <w:lastRenderedPageBreak/>
        <w:t>basis until they request to disenroll. When a customer requests to disenroll, re-enrolls, or changes their RNG Monthly Purchase Amount, changes will become effective after one complete billing cycle.</w:t>
      </w:r>
    </w:p>
    <w:p w:rsidRPr="00F64147" w:rsidR="003B7C12" w:rsidP="003B7C12" w:rsidRDefault="003B7C12" w14:paraId="43402D1B" w14:textId="77777777">
      <w:pPr>
        <w:pStyle w:val="ListParagraph"/>
        <w:numPr>
          <w:ilvl w:val="2"/>
          <w:numId w:val="11"/>
        </w:numPr>
        <w:tabs>
          <w:tab w:val="left" w:pos="8190"/>
        </w:tabs>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Residential CARE customers that fail to qualify for CARE at any point during their commitment period, will remain on the reduced CARE rate (if selected; </w:t>
      </w:r>
      <w:r w:rsidRPr="0019096A">
        <w:rPr>
          <w:rFonts w:ascii="Book Antiqua" w:hAnsi="Book Antiqua" w:cs="TimesNewRomanPSMT"/>
          <w:i/>
          <w:iCs/>
        </w:rPr>
        <w:t xml:space="preserve">see </w:t>
      </w:r>
      <w:r w:rsidRPr="00F64147">
        <w:rPr>
          <w:rFonts w:ascii="Book Antiqua" w:hAnsi="Book Antiqua" w:cs="TimesNewRomanPSMT"/>
        </w:rPr>
        <w:t xml:space="preserve">Section V(B)(3), </w:t>
      </w:r>
      <w:r w:rsidRPr="00E422EF">
        <w:rPr>
          <w:rFonts w:ascii="Book Antiqua" w:hAnsi="Book Antiqua" w:cs="TimesNewRomanPSMT"/>
          <w:i/>
          <w:iCs/>
        </w:rPr>
        <w:t>supra</w:t>
      </w:r>
      <w:r w:rsidRPr="00F64147">
        <w:rPr>
          <w:rFonts w:ascii="Book Antiqua" w:hAnsi="Book Antiqua" w:cs="TimesNewRomanPSMT"/>
        </w:rPr>
        <w:t>) until such time as they re-enroll, disenroll or are disenrolled for failure to pay for natural gas service.</w:t>
      </w:r>
    </w:p>
    <w:p w:rsidRPr="00F64147" w:rsidR="003B7C12" w:rsidP="003B7C12" w:rsidRDefault="003B7C12" w14:paraId="100F44DF"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Non-residential customers, upon completion of their two-year commitment period, may re-enroll for another two years, request to disenroll from the program or request to change their RNG Monthly Purchase Amount or Purchase Percentage. If a non-residential customer wishes to change their RNG Monthly Purchase Amount or Purchase Percentage, they must re-enroll for another two-year commitment.</w:t>
      </w:r>
    </w:p>
    <w:p w:rsidRPr="00F64147" w:rsidR="003B7C12" w:rsidP="003B7C12" w:rsidRDefault="003B7C12" w14:paraId="34D1CD3E"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Non-residential customers must request to disenroll at least 30 days prior to the end of their commitment period. If a non-residential customer does not request to disenroll at least 30 days prior to the end of their commitment period, they will remain in the RNG Tariff program for 90-day commitment periods and must request to disenroll at least 30 days prior to the end of a 90-day commitment period. Requests for disenrollment after the 30-day window will become effective after 3 complete billing cycles. If a non-residential customer re-enrolls or decreases their RNG Monthly Purchase Amount or Purchase Percentage, changes will become effective after one complete billing cycle.</w:t>
      </w:r>
    </w:p>
    <w:p w:rsidRPr="00F64147" w:rsidR="003B7C12" w:rsidP="003B7C12" w:rsidRDefault="003B7C12" w14:paraId="6FBBA022"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RNG Tariff program does not modify any aspect of the existing rules and processes for customer participation in the Utilities’ Core Aggregation Transportation (“CAT”) program.</w:t>
      </w:r>
    </w:p>
    <w:p w:rsidRPr="00F64147" w:rsidR="003B7C12" w:rsidP="003B7C12" w:rsidRDefault="003B7C12" w14:paraId="0BFB25AD"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Bill Calculation</w:t>
      </w:r>
    </w:p>
    <w:p w:rsidRPr="00F64147" w:rsidR="003B7C12" w:rsidP="003B7C12" w:rsidRDefault="003B7C12" w14:paraId="3CE111EC"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Monthly Purchase Amount: To calculate the customer’s monthly bill, the Utilities </w:t>
      </w:r>
      <w:r>
        <w:rPr>
          <w:rFonts w:ascii="Book Antiqua" w:hAnsi="Book Antiqua" w:cs="TimesNewRomanPSMT"/>
        </w:rPr>
        <w:t>shall</w:t>
      </w:r>
      <w:r w:rsidRPr="00F64147">
        <w:rPr>
          <w:rFonts w:ascii="Book Antiqua" w:hAnsi="Book Antiqua" w:cs="TimesNewRomanPSMT"/>
        </w:rPr>
        <w:t xml:space="preserve"> first calculate the RNG usage </w:t>
      </w:r>
      <w:proofErr w:type="spellStart"/>
      <w:r w:rsidRPr="00F64147">
        <w:rPr>
          <w:rFonts w:ascii="Book Antiqua" w:hAnsi="Book Antiqua" w:cs="TimesNewRomanPSMT"/>
        </w:rPr>
        <w:t>therms</w:t>
      </w:r>
      <w:proofErr w:type="spellEnd"/>
      <w:r w:rsidRPr="00F64147">
        <w:rPr>
          <w:rFonts w:ascii="Book Antiqua" w:hAnsi="Book Antiqua" w:cs="TimesNewRomanPSMT"/>
        </w:rPr>
        <w:t xml:space="preserve"> quantity by dividing the customer’s Monthly Purchase Amount by the current RNG rate. This RNG usage quantity will be rounded down to the next whole therm. The new RNG usage quantity will be subtracted from the total monthly usage quantity and the remaining usage quantity will be considered the usage quantity served by traditional natural gas. Monthly charges will be calculated by multiplying the RNG usage </w:t>
      </w:r>
      <w:proofErr w:type="spellStart"/>
      <w:r w:rsidRPr="00F64147">
        <w:rPr>
          <w:rFonts w:ascii="Book Antiqua" w:hAnsi="Book Antiqua" w:cs="TimesNewRomanPSMT"/>
        </w:rPr>
        <w:t>therms</w:t>
      </w:r>
      <w:proofErr w:type="spellEnd"/>
      <w:r w:rsidRPr="00F64147">
        <w:rPr>
          <w:rFonts w:ascii="Book Antiqua" w:hAnsi="Book Antiqua" w:cs="TimesNewRomanPSMT"/>
        </w:rPr>
        <w:t xml:space="preserve"> by the current RNG Rate. The traditional natural gas charges will then be calculated by using the customer’s current traditional natural gas </w:t>
      </w:r>
      <w:proofErr w:type="spellStart"/>
      <w:r w:rsidRPr="00F64147">
        <w:rPr>
          <w:rFonts w:ascii="Book Antiqua" w:hAnsi="Book Antiqua" w:cs="TimesNewRomanPSMT"/>
        </w:rPr>
        <w:t>therm</w:t>
      </w:r>
      <w:proofErr w:type="spellEnd"/>
      <w:r w:rsidRPr="00F64147">
        <w:rPr>
          <w:rFonts w:ascii="Book Antiqua" w:hAnsi="Book Antiqua" w:cs="TimesNewRomanPSMT"/>
        </w:rPr>
        <w:t xml:space="preserve"> commodity procurement rate. The customer will incur transportation and other charges for all the natural gas quantity </w:t>
      </w:r>
      <w:r w:rsidRPr="00F64147">
        <w:rPr>
          <w:rFonts w:ascii="Book Antiqua" w:hAnsi="Book Antiqua" w:cs="TimesNewRomanPSMT"/>
        </w:rPr>
        <w:lastRenderedPageBreak/>
        <w:t>consumed (RNG plus traditional natural gas), as done currently per the customer’s traditional natural gas tariff rate. There will be no change to the method used to calculate baseline usage and accordingly, a higher transportation rate will be used for the monthly usage quantities that exceed the baseline allowance. Utility user taxes will be applied as appropriate.</w:t>
      </w:r>
    </w:p>
    <w:p w:rsidRPr="00F64147" w:rsidR="003B7C12" w:rsidP="003B7C12" w:rsidRDefault="003B7C12" w14:paraId="21796DCB"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RNG Purchase Percentage: To calculate the customer’s monthly bill, the Utilities will first calculate the RNG usage </w:t>
      </w:r>
      <w:proofErr w:type="spellStart"/>
      <w:r w:rsidRPr="00F64147">
        <w:rPr>
          <w:rFonts w:ascii="Book Antiqua" w:hAnsi="Book Antiqua" w:cs="TimesNewRomanPSMT"/>
        </w:rPr>
        <w:t>therms</w:t>
      </w:r>
      <w:proofErr w:type="spellEnd"/>
      <w:r w:rsidRPr="00F64147">
        <w:rPr>
          <w:rFonts w:ascii="Book Antiqua" w:hAnsi="Book Antiqua" w:cs="TimesNewRomanPSMT"/>
        </w:rPr>
        <w:t xml:space="preserve"> amount by multiplying the total </w:t>
      </w:r>
      <w:proofErr w:type="spellStart"/>
      <w:r w:rsidRPr="00F64147">
        <w:rPr>
          <w:rFonts w:ascii="Book Antiqua" w:hAnsi="Book Antiqua" w:cs="TimesNewRomanPSMT"/>
        </w:rPr>
        <w:t>therm</w:t>
      </w:r>
      <w:proofErr w:type="spellEnd"/>
      <w:r w:rsidRPr="00F64147">
        <w:rPr>
          <w:rFonts w:ascii="Book Antiqua" w:hAnsi="Book Antiqua" w:cs="TimesNewRomanPSMT"/>
        </w:rPr>
        <w:t xml:space="preserve"> usage for the customer by their RNG Purchase Percentage. The remaining usage will be considered the usage quantity served by traditional natural gas. Monthly charges will be calculated by multiplying the RNG usage </w:t>
      </w:r>
      <w:proofErr w:type="spellStart"/>
      <w:r w:rsidRPr="00F64147">
        <w:rPr>
          <w:rFonts w:ascii="Book Antiqua" w:hAnsi="Book Antiqua" w:cs="TimesNewRomanPSMT"/>
        </w:rPr>
        <w:t>therms</w:t>
      </w:r>
      <w:proofErr w:type="spellEnd"/>
      <w:r w:rsidRPr="00F64147">
        <w:rPr>
          <w:rFonts w:ascii="Book Antiqua" w:hAnsi="Book Antiqua" w:cs="TimesNewRomanPSMT"/>
        </w:rPr>
        <w:t xml:space="preserve"> by the current RNG Rate. The traditional natural gas charges will then be calculated by using the customer’s current traditional natural gas </w:t>
      </w:r>
      <w:proofErr w:type="spellStart"/>
      <w:r w:rsidRPr="00F64147">
        <w:rPr>
          <w:rFonts w:ascii="Book Antiqua" w:hAnsi="Book Antiqua" w:cs="TimesNewRomanPSMT"/>
        </w:rPr>
        <w:t>therm</w:t>
      </w:r>
      <w:proofErr w:type="spellEnd"/>
      <w:r w:rsidRPr="00F64147">
        <w:rPr>
          <w:rFonts w:ascii="Book Antiqua" w:hAnsi="Book Antiqua" w:cs="TimesNewRomanPSMT"/>
        </w:rPr>
        <w:t xml:space="preserve"> commodity procurement rate.</w:t>
      </w:r>
    </w:p>
    <w:p w:rsidRPr="00F64147" w:rsidR="003B7C12" w:rsidP="003B7C12" w:rsidRDefault="003B7C12" w14:paraId="4A75BD2B"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Bill Presentment</w:t>
      </w:r>
    </w:p>
    <w:p w:rsidRPr="00F64147" w:rsidR="003B7C12" w:rsidP="003B7C12" w:rsidRDefault="003B7C12" w14:paraId="21E6EBD8"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The Utilities </w:t>
      </w:r>
      <w:r>
        <w:rPr>
          <w:rFonts w:ascii="Book Antiqua" w:hAnsi="Book Antiqua" w:cs="TimesNewRomanPSMT"/>
        </w:rPr>
        <w:t>shall</w:t>
      </w:r>
      <w:r w:rsidRPr="00F64147">
        <w:rPr>
          <w:rFonts w:ascii="Book Antiqua" w:hAnsi="Book Antiqua" w:cs="TimesNewRomanPSMT"/>
        </w:rPr>
        <w:t xml:space="preserve"> show transportation charges, gas commodity charges, and (if applicable), RNG Tariff program charges separately on the customer’s bill, as described in Section V(E), “Bill Calculation,” above.</w:t>
      </w:r>
    </w:p>
    <w:p w:rsidRPr="00F64147" w:rsidR="003B7C12" w:rsidP="003B7C12" w:rsidRDefault="003B7C12" w14:paraId="32F2936A"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Rates</w:t>
      </w:r>
    </w:p>
    <w:p w:rsidRPr="00F64147" w:rsidR="003B7C12" w:rsidP="003B7C12" w:rsidRDefault="003B7C12" w14:paraId="1F0E0A19"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The RNG rate charged to customers for the RNG Tariff program will be charged on a per </w:t>
      </w:r>
      <w:proofErr w:type="spellStart"/>
      <w:r w:rsidRPr="00F64147">
        <w:rPr>
          <w:rFonts w:ascii="Book Antiqua" w:hAnsi="Book Antiqua" w:cs="TimesNewRomanPSMT"/>
        </w:rPr>
        <w:t>therm</w:t>
      </w:r>
      <w:proofErr w:type="spellEnd"/>
      <w:r w:rsidRPr="00F64147">
        <w:rPr>
          <w:rFonts w:ascii="Book Antiqua" w:hAnsi="Book Antiqua" w:cs="TimesNewRomanPSMT"/>
        </w:rPr>
        <w:t xml:space="preserve"> basis and will consist of: (1) RNG Commodity Charge and (2) Program Charge.</w:t>
      </w:r>
    </w:p>
    <w:p w:rsidRPr="00F64147" w:rsidR="003B7C12" w:rsidP="003B7C12" w:rsidRDefault="003B7C12" w14:paraId="78A62A95"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RNG Commodity Charge will be comprised of the Schedule G-CP “Core Procurement Service” tariff rate less the following Schedule G-CP rate components: (1) adjustment for over or under-collection imbalance in the Core Purchase Gas Account, (2) adjustment for the GCIM reward/penalty pursuant to D.02</w:t>
      </w:r>
      <w:r w:rsidRPr="00F64147">
        <w:rPr>
          <w:rFonts w:ascii="Book Antiqua" w:hAnsi="Book Antiqua" w:cs="TimesNewRomanPSMT"/>
        </w:rPr>
        <w:noBreakHyphen/>
        <w:t>06</w:t>
      </w:r>
      <w:r w:rsidRPr="00F64147">
        <w:rPr>
          <w:rFonts w:ascii="Book Antiqua" w:hAnsi="Book Antiqua" w:cs="TimesNewRomanPSMT"/>
        </w:rPr>
        <w:noBreakHyphen/>
        <w:t>023, (3) authorized franchise fees and uncollectible expenses (“FF&amp;Us”), and (4) authorized core brokerage fee. In addition to the net rate after considering items 1-4 described above, the following rate components will also be included to arrive at the total RNG commodity charge: (5) a premium for RNG purchases defined as the difference in the estimated monthly weighted average cost of RNG purchases (including the cost of any renewable attributes or credits that are bundled with the RNG purchases) and the estimated monthly weighted average cost of traditional natural gas purchases, (6) Renewable Natural Gas Tariff Balancing Account RNG Commodity Charge sub-account over/under-collection adjustment, (7) less the estimated value of an amount reflecting the reduction in Utilities’ cap-</w:t>
      </w:r>
      <w:r w:rsidRPr="00F64147">
        <w:rPr>
          <w:rFonts w:ascii="Book Antiqua" w:hAnsi="Book Antiqua" w:cs="TimesNewRomanPSMT"/>
        </w:rPr>
        <w:lastRenderedPageBreak/>
        <w:t>and-trade obligation from bringing biomethane into the Utilities’ system, (8) authorized FF&amp;Us; and (9) authorized core brokerage fee.</w:t>
      </w:r>
    </w:p>
    <w:p w:rsidRPr="00F64147" w:rsidR="003B7C12" w:rsidP="003B7C12" w:rsidRDefault="003B7C12" w14:paraId="19BC9D9A"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Program Charge: The Program Charge will be comprised of (1) an amortization of administration and marketing costs associated with program oversight, program marketing collateral creation and customer outreach, and (2) an RNGTBA Program Charge sub-account over/under-collection adjustment.</w:t>
      </w:r>
    </w:p>
    <w:p w:rsidRPr="00F64147" w:rsidR="003B7C12" w:rsidP="003B7C12" w:rsidRDefault="003B7C12" w14:paraId="73F6E001"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administration and marketing costs components of the Program Charge shall not exceed 30</w:t>
      </w:r>
      <w:r>
        <w:rPr>
          <w:rFonts w:ascii="Book Antiqua" w:hAnsi="Book Antiqua" w:cs="TimesNewRomanPSMT"/>
        </w:rPr>
        <w:t xml:space="preserve"> </w:t>
      </w:r>
      <w:r w:rsidRPr="00F64147">
        <w:rPr>
          <w:rFonts w:ascii="Book Antiqua" w:hAnsi="Book Antiqua" w:cs="TimesNewRomanPSMT"/>
        </w:rPr>
        <w:t xml:space="preserve">percent of the RNG rate charge to customers for the RNG Tariff program. Any unrecovered administration and marketing costs shall be recorded in the RNG RNGTBA Program Charge subaccount. </w:t>
      </w:r>
    </w:p>
    <w:p w:rsidRPr="00F64147" w:rsidR="003B7C12" w:rsidP="003B7C12" w:rsidRDefault="003B7C12" w14:paraId="60FC7601"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monthly RNG Rate will be calculated during the last week of the month and filed via a Tier 1 advice letter by the last business day of the month to be effective on the first calendar day of the following month.</w:t>
      </w:r>
    </w:p>
    <w:p w:rsidRPr="00F64147" w:rsidR="003B7C12" w:rsidP="003B7C12" w:rsidRDefault="003B7C12" w14:paraId="5047F714"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Program Costs and Cost Recovery</w:t>
      </w:r>
    </w:p>
    <w:p w:rsidRPr="00F64147" w:rsidR="003B7C12" w:rsidP="003B7C12" w:rsidRDefault="003B7C12" w14:paraId="73DE97A0"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Start-up costs will include the development and distribution of marketing material, modification of each Utility’s Customer Information Systems (“CIS”) and modifications to the gas acquisition information system shared by both Utilities. On-going costs annually will include the continued development and distribution of marketing material, and annual administrative costs to manage the RNG Tariff program.</w:t>
      </w:r>
    </w:p>
    <w:p w:rsidRPr="00F64147" w:rsidR="003B7C12" w:rsidP="003B7C12" w:rsidRDefault="003B7C12" w14:paraId="3D6BBB67"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 xml:space="preserve">Utilities will incur approximately $50,000 in costs to modify the shared gas acquisition information system </w:t>
      </w:r>
      <w:proofErr w:type="gramStart"/>
      <w:r w:rsidRPr="00F64147">
        <w:rPr>
          <w:rFonts w:ascii="Book Antiqua" w:hAnsi="Book Antiqua" w:cs="TimesNewRomanPSMT"/>
        </w:rPr>
        <w:t>in order to</w:t>
      </w:r>
      <w:proofErr w:type="gramEnd"/>
      <w:r w:rsidRPr="00F64147">
        <w:rPr>
          <w:rFonts w:ascii="Book Antiqua" w:hAnsi="Book Antiqua" w:cs="TimesNewRomanPSMT"/>
        </w:rPr>
        <w:t xml:space="preserve"> accurately purchase, track and report on RNG acquisition as a separate portfolio for the RNG Tariff program.</w:t>
      </w:r>
    </w:p>
    <w:p w:rsidRPr="00F64147" w:rsidR="003B7C12" w:rsidP="003B7C12" w:rsidRDefault="003B7C12" w14:paraId="69013602"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The SoCalGas RNG Tariff program will incur approximately $74,000 in labor charges during the first year of the program to manage the oversight of system designs and testing for the computer system upgrades, manage marketing collateral creation (including content for webpages, email, and social media), oversee the creation of new accounts and accounting cost tracking procedures, training for Customer Service Representatives (“CSRs”), and design and create regulatory reporting.</w:t>
      </w:r>
    </w:p>
    <w:p w:rsidRPr="00F64147" w:rsidR="003B7C12" w:rsidP="003B7C12" w:rsidRDefault="003B7C12" w14:paraId="6E81D187"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After the second year, SoCalGas labor charges are estimated to decline to approximately $47,000 annually, with a 3</w:t>
      </w:r>
      <w:r w:rsidRPr="00A86400">
        <w:rPr>
          <w:rFonts w:ascii="Book Antiqua" w:hAnsi="Book Antiqua" w:cs="TimesNewRomanPSMT"/>
        </w:rPr>
        <w:t xml:space="preserve"> </w:t>
      </w:r>
      <w:r w:rsidRPr="00F64147">
        <w:rPr>
          <w:rFonts w:ascii="Book Antiqua" w:hAnsi="Book Antiqua" w:cs="TimesNewRomanPSMT"/>
        </w:rPr>
        <w:t>percent average annual cost increase for the designated labor and non-labor expenses.</w:t>
      </w:r>
    </w:p>
    <w:p w:rsidRPr="00F64147" w:rsidR="003B7C12" w:rsidP="003B7C12" w:rsidRDefault="003B7C12" w14:paraId="055009FA"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 xml:space="preserve">The SDG&amp;E RNG Tariff program, once it starts, will incur approximately $74,000 in labor charges during the first year of the program to manage the oversight of business process designs for </w:t>
      </w:r>
      <w:r w:rsidRPr="00F64147">
        <w:rPr>
          <w:rFonts w:ascii="Book Antiqua" w:hAnsi="Book Antiqua" w:cs="TimesNewRomanPSMT"/>
        </w:rPr>
        <w:lastRenderedPageBreak/>
        <w:t>such things as call center scripts and enrollments, oversee the creation of new accounts and accounting cost tracking procedures, training for CSRs, and design and create regulatory reporting.</w:t>
      </w:r>
    </w:p>
    <w:p w:rsidRPr="00F64147" w:rsidR="003B7C12" w:rsidP="003B7C12" w:rsidRDefault="003B7C12" w14:paraId="6A9B7EE1"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 xml:space="preserve">After the second year, the SDG&amp;E Program Administration labor charges are estimated to decline to approximately $47,000, while experiencing </w:t>
      </w:r>
      <w:r w:rsidRPr="003356A6">
        <w:rPr>
          <w:rFonts w:ascii="Book Antiqua" w:hAnsi="Book Antiqua" w:cs="TimesNewRomanPSMT"/>
        </w:rPr>
        <w:t>3</w:t>
      </w:r>
      <w:r>
        <w:rPr>
          <w:rFonts w:ascii="Book Antiqua" w:hAnsi="Book Antiqua" w:cs="TimesNewRomanPSMT"/>
        </w:rPr>
        <w:t xml:space="preserve"> </w:t>
      </w:r>
      <w:r w:rsidRPr="003356A6">
        <w:rPr>
          <w:rFonts w:ascii="Book Antiqua" w:hAnsi="Book Antiqua" w:cs="TimesNewRomanPSMT"/>
        </w:rPr>
        <w:t>percent</w:t>
      </w:r>
      <w:r w:rsidRPr="00F64147">
        <w:rPr>
          <w:rFonts w:ascii="Book Antiqua" w:hAnsi="Book Antiqua" w:cs="TimesNewRomanPSMT"/>
        </w:rPr>
        <w:t xml:space="preserve"> average annual cost increase for the designated labor and non-labor expenses.</w:t>
      </w:r>
    </w:p>
    <w:p w:rsidRPr="00F64147" w:rsidR="003B7C12" w:rsidP="003B7C12" w:rsidRDefault="003B7C12" w14:paraId="6A5F6D61"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SoCalGas estimates the RNG Tariff program will incur approximately $90,000 in program marketing costs during the first year of the program and approximately $60,000 annually thereafter.</w:t>
      </w:r>
    </w:p>
    <w:p w:rsidRPr="00F64147" w:rsidR="003B7C12" w:rsidP="003B7C12" w:rsidRDefault="003B7C12" w14:paraId="69F414CD"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SDG&amp;E estimates the RNG Tariff program will incur approximately $40,000 in program marketing costs annually.</w:t>
      </w:r>
    </w:p>
    <w:p w:rsidRPr="00F64147" w:rsidR="003B7C12" w:rsidP="003B7C12" w:rsidRDefault="003B7C12" w14:paraId="53CEF242"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SoCalGas and SDG&amp;E estimate they will each incur annual Green-e or equivalent program certification fees of $25,000 annually, and $3,000 in travel and miscellaneous expenses per year for the first three years.</w:t>
      </w:r>
    </w:p>
    <w:p w:rsidRPr="00F64147" w:rsidR="003B7C12" w:rsidP="003B7C12" w:rsidRDefault="003B7C12" w14:paraId="4530BC7F" w14:textId="77777777">
      <w:pPr>
        <w:pStyle w:val="ListParagraph"/>
        <w:numPr>
          <w:ilvl w:val="2"/>
          <w:numId w:val="11"/>
        </w:numPr>
        <w:autoSpaceDE w:val="0"/>
        <w:autoSpaceDN w:val="0"/>
        <w:adjustRightInd w:val="0"/>
        <w:rPr>
          <w:rFonts w:ascii="Book Antiqua" w:hAnsi="Book Antiqua" w:cs="TimesNewRomanPSMT"/>
        </w:rPr>
      </w:pPr>
      <w:r w:rsidRPr="00F64147">
        <w:rPr>
          <w:rFonts w:ascii="Book Antiqua" w:hAnsi="Book Antiqua" w:cs="TimesNewRomanPSMT"/>
        </w:rPr>
        <w:t>Administrative and marketing costs for the program would be recovered from RNG Tariff program participants via the RNG Tariff program charge for each Utility.</w:t>
      </w:r>
    </w:p>
    <w:p w:rsidRPr="00F64147" w:rsidR="003B7C12" w:rsidP="003B7C12" w:rsidRDefault="003B7C12" w14:paraId="79BC2AE7" w14:textId="77777777">
      <w:pPr>
        <w:pStyle w:val="ListParagraph"/>
        <w:numPr>
          <w:ilvl w:val="2"/>
          <w:numId w:val="11"/>
        </w:numPr>
        <w:autoSpaceDE w:val="0"/>
        <w:autoSpaceDN w:val="0"/>
        <w:adjustRightInd w:val="0"/>
        <w:rPr>
          <w:rFonts w:ascii="Book Antiqua" w:hAnsi="Book Antiqua" w:cs="TimesNewRomanPSMT"/>
        </w:rPr>
      </w:pPr>
      <w:r w:rsidRPr="00F64147">
        <w:rPr>
          <w:rFonts w:ascii="Book Antiqua" w:hAnsi="Book Antiqua" w:cs="TimesNewRomanPSMT"/>
        </w:rPr>
        <w:t>Funding for the computer system modifications required for SoCalGas’</w:t>
      </w:r>
      <w:r w:rsidRPr="00F64147" w:rsidDel="00C56461">
        <w:rPr>
          <w:rFonts w:ascii="Book Antiqua" w:hAnsi="Book Antiqua" w:cs="TimesNewRomanPSMT"/>
          <w:strike/>
        </w:rPr>
        <w:t>s</w:t>
      </w:r>
      <w:r w:rsidRPr="00F64147">
        <w:rPr>
          <w:rFonts w:ascii="Book Antiqua" w:hAnsi="Book Antiqua" w:cs="TimesNewRomanPSMT"/>
        </w:rPr>
        <w:t xml:space="preserve"> CIS, websites, and the shared gas acquisition information system to accommodate the new RNG Tariff program (IT costs) shall be from its existing capital budgets approved in SoCalGas’</w:t>
      </w:r>
      <w:r w:rsidRPr="00F64147" w:rsidDel="00C56461">
        <w:rPr>
          <w:rFonts w:ascii="Book Antiqua" w:hAnsi="Book Antiqua" w:cs="TimesNewRomanPSMT"/>
          <w:strike/>
        </w:rPr>
        <w:t>s</w:t>
      </w:r>
      <w:r w:rsidRPr="00F64147">
        <w:rPr>
          <w:rFonts w:ascii="Book Antiqua" w:hAnsi="Book Antiqua" w:cs="TimesNewRomanPSMT"/>
        </w:rPr>
        <w:t xml:space="preserve"> Test Year 2019 General Rate Case (“GRC”) Decision (D.)19-09-051.</w:t>
      </w:r>
      <w:r w:rsidRPr="00F64147">
        <w:rPr>
          <w:rFonts w:ascii="Book Antiqua" w:hAnsi="Book Antiqua"/>
        </w:rPr>
        <w:t xml:space="preserve"> </w:t>
      </w:r>
      <w:r w:rsidRPr="00F64147">
        <w:rPr>
          <w:rFonts w:ascii="Book Antiqua" w:hAnsi="Book Antiqua" w:cs="TimesNewRomanPSMT"/>
        </w:rPr>
        <w:t>SDG&amp;E shall recover its IT costs</w:t>
      </w:r>
      <w:r w:rsidRPr="008378C8">
        <w:rPr>
          <w:rFonts w:ascii="Book Antiqua" w:hAnsi="Book Antiqua" w:cs="TimesNewRomanPSMT"/>
        </w:rPr>
        <w:t xml:space="preserve"> </w:t>
      </w:r>
      <w:r w:rsidRPr="00F64147">
        <w:rPr>
          <w:rFonts w:ascii="Book Antiqua" w:hAnsi="Book Antiqua" w:cs="TimesNewRomanPSMT"/>
        </w:rPr>
        <w:t>from its 2022-2023 Attrition</w:t>
      </w:r>
      <w:r>
        <w:rPr>
          <w:rFonts w:ascii="Book Antiqua" w:hAnsi="Book Antiqua" w:cs="TimesNewRomanPSMT"/>
        </w:rPr>
        <w:t xml:space="preserve"> </w:t>
      </w:r>
      <w:r w:rsidRPr="00F64147">
        <w:rPr>
          <w:rFonts w:ascii="Book Antiqua" w:hAnsi="Book Antiqua" w:cs="TimesNewRomanPSMT"/>
        </w:rPr>
        <w:t>Year capital funds authorized in the Commission’s pending decision on SDG&amp;E’s Petition for Modification (D.19</w:t>
      </w:r>
      <w:r w:rsidRPr="00F64147">
        <w:rPr>
          <w:rFonts w:ascii="Book Antiqua" w:hAnsi="Book Antiqua" w:cs="TimesNewRomanPSMT"/>
        </w:rPr>
        <w:noBreakHyphen/>
        <w:t>09</w:t>
      </w:r>
      <w:r w:rsidRPr="00F64147">
        <w:rPr>
          <w:rFonts w:ascii="Book Antiqua" w:hAnsi="Book Antiqua" w:cs="TimesNewRomanPSMT"/>
        </w:rPr>
        <w:noBreakHyphen/>
        <w:t xml:space="preserve">051) in Application 17-10-007 et al. </w:t>
      </w:r>
    </w:p>
    <w:p w:rsidRPr="00F64147" w:rsidR="003B7C12" w:rsidP="003B7C12" w:rsidRDefault="003B7C12" w14:paraId="42C6C6CB"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Any unamortized IT asset balances associated with the RNG Tariff program shall not be included in the incremental rate base in the Utilities’ next GRC, and the costs shall continue to be absorbed by any unused capital funding in their next GRC cycles.</w:t>
      </w:r>
    </w:p>
    <w:p w:rsidRPr="00F64147" w:rsidR="003B7C12" w:rsidP="003B7C12" w:rsidRDefault="003B7C12" w14:paraId="5EC542B8"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If the RNG Tariff program continuation is not authorized and the program is terminated, Utilities shall not request recovery of any unrecovered wind down costs not recovered from program participants (i.e., the recorded balance in the RNGTBA as described in Section VI, infra) in their subsequent GRCs or other ratemaking proceedings.  Such costs shall be recovered from the Utilities’ shareholders.</w:t>
      </w:r>
    </w:p>
    <w:p w:rsidRPr="00F64147" w:rsidR="003B7C12" w:rsidP="003B7C12" w:rsidRDefault="003B7C12" w14:paraId="509D790A" w14:textId="77777777">
      <w:pPr>
        <w:autoSpaceDE w:val="0"/>
        <w:autoSpaceDN w:val="0"/>
        <w:adjustRightInd w:val="0"/>
        <w:spacing w:line="240" w:lineRule="auto"/>
        <w:rPr>
          <w:rFonts w:cs="TimesNewRomanPSMT"/>
          <w:sz w:val="24"/>
          <w:szCs w:val="24"/>
        </w:rPr>
      </w:pPr>
    </w:p>
    <w:p w:rsidRPr="00F64147" w:rsidR="003B7C12" w:rsidP="003B7C12" w:rsidRDefault="003B7C12" w14:paraId="44395990" w14:textId="77777777">
      <w:pPr>
        <w:pStyle w:val="ListParagraph"/>
        <w:numPr>
          <w:ilvl w:val="0"/>
          <w:numId w:val="11"/>
        </w:numPr>
        <w:autoSpaceDE w:val="0"/>
        <w:autoSpaceDN w:val="0"/>
        <w:adjustRightInd w:val="0"/>
        <w:rPr>
          <w:rFonts w:ascii="Book Antiqua" w:hAnsi="Book Antiqua" w:cs="TimesNewRomanPSMT"/>
          <w:b/>
        </w:rPr>
      </w:pPr>
      <w:r w:rsidRPr="00F64147">
        <w:rPr>
          <w:rFonts w:ascii="Book Antiqua" w:hAnsi="Book Antiqua" w:cs="TimesNewRomanPSMT"/>
          <w:b/>
        </w:rPr>
        <w:t>Regulatory Accounting</w:t>
      </w:r>
    </w:p>
    <w:p w:rsidRPr="00F64147" w:rsidR="003B7C12" w:rsidP="003B7C12" w:rsidRDefault="003B7C12" w14:paraId="672DB67D"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Establishment of the Renewable Natural Gas Tariff Balancing Accounts (RNGTBA)</w:t>
      </w:r>
    </w:p>
    <w:p w:rsidRPr="00F64147" w:rsidR="003B7C12" w:rsidP="003B7C12" w:rsidRDefault="003B7C12" w14:paraId="5FBEB6B2"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lastRenderedPageBreak/>
        <w:t>The Utilities shall establish separate two-way RNGTBAs as interest-bearing balancing accounts recorded on the Utilities’ respective financial statements.</w:t>
      </w:r>
    </w:p>
    <w:p w:rsidRPr="00F64147" w:rsidR="003B7C12" w:rsidP="003B7C12" w:rsidRDefault="003B7C12" w14:paraId="3273A9F9"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RNGTBAs</w:t>
      </w:r>
    </w:p>
    <w:p w:rsidRPr="00F64147" w:rsidR="003B7C12" w:rsidP="003B7C12" w:rsidRDefault="003B7C12" w14:paraId="1A4C9119"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For SoCalGas, the RNGTBA consists of two subaccounts: The Commodity Charge Subaccount and the Program Charge Subaccount. The purpose of the Commodity Charge Subaccount is to record the RNG commodity costs the Utilities’ opt-in core customers will pay for RNG purchases to serve customers’ voluntary subscription level as well as to record the corresponding revenues from the RNG Commodity Charge. The purpose of the Program Charge Subaccount is to record the difference between RNGT administrative and marketing program costs and revenues from SoCalGas’</w:t>
      </w:r>
      <w:r w:rsidRPr="00F64147" w:rsidDel="00C56461">
        <w:rPr>
          <w:rFonts w:ascii="Book Antiqua" w:hAnsi="Book Antiqua" w:cs="TimesNewRomanPSMT"/>
          <w:strike/>
        </w:rPr>
        <w:t>s</w:t>
      </w:r>
      <w:r w:rsidRPr="00F64147">
        <w:rPr>
          <w:rFonts w:ascii="Book Antiqua" w:hAnsi="Book Antiqua" w:cs="TimesNewRomanPSMT"/>
        </w:rPr>
        <w:t xml:space="preserve"> RNG Program Charge.</w:t>
      </w:r>
    </w:p>
    <w:p w:rsidRPr="00F64147" w:rsidR="003B7C12" w:rsidP="003B7C12" w:rsidRDefault="003B7C12" w14:paraId="0667252E"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The SDG&amp;E RNGTBA shall only record the difference between RNGT administrative and marketing program costs and the revenues from SDG&amp;E’s RNG Program Charge. The difference between SDG&amp;E’s Commodity costs and revenues shall be recorded in SoCalGas’ RNGTBA Commodity Charge Subaccount.</w:t>
      </w:r>
    </w:p>
    <w:p w:rsidRPr="00F64147" w:rsidR="003B7C12" w:rsidP="003B7C12" w:rsidRDefault="003B7C12" w14:paraId="3E0A18EC"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Utilities shall include a request for authorization to establish new, two-way RNGTBAs in a Tier 1 AL.</w:t>
      </w:r>
    </w:p>
    <w:p w:rsidRPr="00F64147" w:rsidR="003B7C12" w:rsidP="003B7C12" w:rsidRDefault="003B7C12" w14:paraId="246AECF4"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Disposition of the RNGTBA Balances</w:t>
      </w:r>
    </w:p>
    <w:p w:rsidRPr="00F64147" w:rsidR="003B7C12" w:rsidP="003B7C12" w:rsidRDefault="003B7C12" w14:paraId="3511109A"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Commodity Charge Subaccount balance of SoCalGas’</w:t>
      </w:r>
      <w:r w:rsidRPr="00F64147" w:rsidDel="00C56461">
        <w:rPr>
          <w:rFonts w:ascii="Book Antiqua" w:hAnsi="Book Antiqua" w:cs="TimesNewRomanPSMT"/>
          <w:strike/>
        </w:rPr>
        <w:t>s</w:t>
      </w:r>
      <w:r w:rsidRPr="00F64147">
        <w:rPr>
          <w:rFonts w:ascii="Book Antiqua" w:hAnsi="Book Antiqua" w:cs="TimesNewRomanPSMT"/>
        </w:rPr>
        <w:t xml:space="preserve"> RNGTBA shall be incorporated in rates as necessary in connection with the Utilities’ monthly Tier 1 AL</w:t>
      </w:r>
      <w:r w:rsidRPr="00F907A0">
        <w:rPr>
          <w:rFonts w:ascii="Book Antiqua" w:hAnsi="Book Antiqua" w:cs="TimesNewRomanPSMT"/>
        </w:rPr>
        <w:t xml:space="preserve"> </w:t>
      </w:r>
      <w:r w:rsidRPr="00F64147">
        <w:rPr>
          <w:rFonts w:ascii="Book Antiqua" w:hAnsi="Book Antiqua" w:cs="TimesNewRomanPSMT"/>
        </w:rPr>
        <w:t>filing to establish the RNG Commodity Charge.</w:t>
      </w:r>
    </w:p>
    <w:p w:rsidRPr="00F64147" w:rsidR="003B7C12" w:rsidP="003B7C12" w:rsidRDefault="003B7C12" w14:paraId="6AB6B41E"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RNG Program Charge shall be established separately for each Utility based on a forecast of the Utility’s applicable RNGT costs, corresponding customer participation, and accounting for an amortization of such costs.</w:t>
      </w:r>
    </w:p>
    <w:p w:rsidRPr="00F64147" w:rsidR="003B7C12" w:rsidP="003B7C12" w:rsidRDefault="003B7C12" w14:paraId="7E28CA5F"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RNG Program Charge may be updated on an annual basis to amortize any under or over collection balance in the Program Charge Subaccount of the RNGTBA for SoCalGas, and in the RNGTBA for SDG&amp;E.</w:t>
      </w:r>
    </w:p>
    <w:p w:rsidRPr="00F64147" w:rsidR="003B7C12" w:rsidP="003B7C12" w:rsidRDefault="003B7C12" w14:paraId="7DE898CB"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The updated RNG Program Charge </w:t>
      </w:r>
      <w:r>
        <w:rPr>
          <w:rFonts w:ascii="Book Antiqua" w:hAnsi="Book Antiqua" w:cs="TimesNewRomanPSMT"/>
        </w:rPr>
        <w:t>shall</w:t>
      </w:r>
      <w:r w:rsidRPr="00F64147">
        <w:rPr>
          <w:rFonts w:ascii="Book Antiqua" w:hAnsi="Book Antiqua" w:cs="TimesNewRomanPSMT"/>
        </w:rPr>
        <w:t xml:space="preserve"> be reflected in the Utilities’ Tier 1 advice letters establishing the January RNG Rate.</w:t>
      </w:r>
    </w:p>
    <w:p w:rsidRPr="00F64147" w:rsidR="003B7C12" w:rsidP="003B7C12" w:rsidRDefault="003B7C12" w14:paraId="5F3A8E5E" w14:textId="77777777">
      <w:pPr>
        <w:autoSpaceDE w:val="0"/>
        <w:autoSpaceDN w:val="0"/>
        <w:adjustRightInd w:val="0"/>
        <w:spacing w:line="240" w:lineRule="auto"/>
        <w:rPr>
          <w:rFonts w:cs="TimesNewRomanPSMT"/>
          <w:sz w:val="24"/>
          <w:szCs w:val="24"/>
        </w:rPr>
      </w:pPr>
    </w:p>
    <w:p w:rsidRPr="00F64147" w:rsidR="003B7C12" w:rsidP="003B7C12" w:rsidRDefault="003B7C12" w14:paraId="64749845" w14:textId="77777777">
      <w:pPr>
        <w:pStyle w:val="ListParagraph"/>
        <w:numPr>
          <w:ilvl w:val="0"/>
          <w:numId w:val="11"/>
        </w:numPr>
        <w:autoSpaceDE w:val="0"/>
        <w:autoSpaceDN w:val="0"/>
        <w:adjustRightInd w:val="0"/>
        <w:rPr>
          <w:rFonts w:ascii="Book Antiqua" w:hAnsi="Book Antiqua" w:cs="TimesNewRomanPSMT"/>
          <w:b/>
        </w:rPr>
      </w:pPr>
      <w:r w:rsidRPr="00F64147">
        <w:rPr>
          <w:rFonts w:ascii="Book Antiqua" w:hAnsi="Book Antiqua" w:cs="TimesNewRomanPSMT"/>
          <w:b/>
        </w:rPr>
        <w:t>Marketing</w:t>
      </w:r>
    </w:p>
    <w:p w:rsidRPr="00F64147" w:rsidR="003B7C12" w:rsidP="003B7C12" w:rsidRDefault="003B7C12" w14:paraId="68026D06"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Education and Outreach Content and Review</w:t>
      </w:r>
    </w:p>
    <w:p w:rsidRPr="00F64147" w:rsidR="003B7C12" w:rsidP="003B7C12" w:rsidRDefault="003B7C12" w14:paraId="401D76D7"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Education and outreach materials shall be submitted for review and approval in </w:t>
      </w:r>
      <w:r w:rsidRPr="00F64147" w:rsidDel="00143B08">
        <w:rPr>
          <w:rFonts w:ascii="Book Antiqua" w:hAnsi="Book Antiqua" w:cs="TimesNewRomanPSMT"/>
        </w:rPr>
        <w:t xml:space="preserve">a </w:t>
      </w:r>
      <w:r w:rsidRPr="00F64147">
        <w:rPr>
          <w:rFonts w:ascii="Book Antiqua" w:hAnsi="Book Antiqua" w:cs="TimesNewRomanPSMT"/>
        </w:rPr>
        <w:t>Tier 2 AL.</w:t>
      </w:r>
      <w:r w:rsidRPr="00F64147" w:rsidDel="00296B93">
        <w:rPr>
          <w:rFonts w:ascii="Book Antiqua" w:hAnsi="Book Antiqua" w:cs="TimesNewRomanPSMT"/>
        </w:rPr>
        <w:t xml:space="preserve"> </w:t>
      </w:r>
    </w:p>
    <w:p w:rsidRPr="00F64147" w:rsidR="003B7C12" w:rsidP="003B7C12" w:rsidRDefault="003B7C12" w14:paraId="4564F304"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lastRenderedPageBreak/>
        <w:t>The Utilities shall integrate the promotion and enrollment in Energy Efficiency (“EE”) and Demand Response (“DR”) programs in all outreach and education.</w:t>
      </w:r>
    </w:p>
    <w:p w:rsidRPr="00F64147" w:rsidR="003B7C12" w:rsidP="003B7C12" w:rsidRDefault="003B7C12" w14:paraId="4CCBC348"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Education and outreach materials are yet to be developed, but shall include the following information:</w:t>
      </w:r>
    </w:p>
    <w:p w:rsidRPr="00F64147" w:rsidR="003B7C12" w:rsidP="003B7C12" w:rsidRDefault="003B7C12" w14:paraId="400F9166"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Materials shall not state that RNG production cleans water or resolves odor issues.</w:t>
      </w:r>
    </w:p>
    <w:p w:rsidRPr="00F64147" w:rsidR="003B7C12" w:rsidP="003B7C12" w:rsidRDefault="003B7C12" w14:paraId="3049D3A4"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 xml:space="preserve">Materials shall explain that RNG use still produces GHG emissions, and that lifecycle emissions may vary depending on feedstock, production, and refinement methods. </w:t>
      </w:r>
    </w:p>
    <w:p w:rsidRPr="00F64147" w:rsidR="003B7C12" w:rsidP="003B7C12" w:rsidRDefault="003B7C12" w14:paraId="1B490F66"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Materials shall make no comparisons to, or assertions about, the cost, impacts, or desirability of building electrification and shall not include any statements that promote RNG over building electrification.</w:t>
      </w:r>
    </w:p>
    <w:p w:rsidRPr="00F64147" w:rsidR="003B7C12" w:rsidP="003B7C12" w:rsidRDefault="003B7C12" w14:paraId="5CE08735"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Materials shall not include any statements about the costs, impacts, or desirability of building electrification</w:t>
      </w:r>
    </w:p>
    <w:p w:rsidRPr="0083331C" w:rsidR="003B7C12" w:rsidP="003B7C12" w:rsidRDefault="003B7C12" w14:paraId="2CAFDD36" w14:textId="77777777">
      <w:pPr>
        <w:pStyle w:val="ListParagraph"/>
        <w:numPr>
          <w:ilvl w:val="3"/>
          <w:numId w:val="11"/>
        </w:numPr>
        <w:autoSpaceDE w:val="0"/>
        <w:autoSpaceDN w:val="0"/>
        <w:adjustRightInd w:val="0"/>
        <w:ind w:left="2160"/>
      </w:pPr>
      <w:r w:rsidRPr="00D43BBC">
        <w:rPr>
          <w:rFonts w:ascii="Book Antiqua" w:hAnsi="Book Antiqua" w:cs="TimesNewRomanPSMT"/>
        </w:rPr>
        <w:t>The Utilities shall not portray RNG procurement as a solution to local environmental impacts of dairies or other biomethane sources.</w:t>
      </w:r>
      <w:r>
        <w:rPr>
          <w:rFonts w:ascii="Book Antiqua" w:hAnsi="Book Antiqua" w:cs="TimesNewRomanPSMT"/>
        </w:rPr>
        <w:t xml:space="preserve"> M</w:t>
      </w:r>
      <w:r w:rsidRPr="00D43BBC">
        <w:rPr>
          <w:rFonts w:ascii="Book Antiqua" w:hAnsi="Book Antiqua" w:cs="TimesNewRomanPSMT"/>
        </w:rPr>
        <w:t xml:space="preserve">aterials </w:t>
      </w:r>
      <w:r>
        <w:rPr>
          <w:rFonts w:ascii="Book Antiqua" w:hAnsi="Book Antiqua" w:cs="TimesNewRomanPSMT"/>
        </w:rPr>
        <w:t>must include this statement: “</w:t>
      </w:r>
      <w:r w:rsidRPr="00100741">
        <w:rPr>
          <w:rFonts w:ascii="Book Antiqua" w:hAnsi="Book Antiqua" w:cs="TimesNewRomanPSMT"/>
        </w:rPr>
        <w:t>Capturing biogas from dairies to produce renewable natural gas reduces greenhouse gas emissions, but does not mitigate all water, air, and odor pollution from dairies that impacts local communities.</w:t>
      </w:r>
      <w:r>
        <w:rPr>
          <w:rFonts w:ascii="Book Antiqua" w:hAnsi="Book Antiqua" w:cs="TimesNewRomanPSMT"/>
        </w:rPr>
        <w:t>”</w:t>
      </w:r>
      <w:r w:rsidRPr="00100741">
        <w:rPr>
          <w:rFonts w:cs="TimesNewRomanPSMT"/>
        </w:rPr>
        <w:t xml:space="preserve"> </w:t>
      </w:r>
    </w:p>
    <w:p w:rsidR="003B7C12" w:rsidP="003B7C12" w:rsidRDefault="003B7C12" w14:paraId="5CFCA954" w14:textId="4138C7D3">
      <w:pPr>
        <w:pStyle w:val="ListParagraph"/>
        <w:numPr>
          <w:ilvl w:val="3"/>
          <w:numId w:val="11"/>
        </w:numPr>
        <w:autoSpaceDE w:val="0"/>
        <w:autoSpaceDN w:val="0"/>
        <w:adjustRightInd w:val="0"/>
        <w:ind w:left="2160"/>
        <w:rPr>
          <w:rFonts w:ascii="Book Antiqua" w:hAnsi="Book Antiqua" w:cs="TimesNewRomanPSMT"/>
        </w:rPr>
      </w:pPr>
      <w:r w:rsidRPr="00ED7D9F">
        <w:rPr>
          <w:rFonts w:ascii="Book Antiqua" w:hAnsi="Book Antiqua" w:cs="TimesNewRomanPSMT"/>
        </w:rPr>
        <w:t>Materials shall also disclose RNG impact on indoor air quality and must include this statement:</w:t>
      </w:r>
      <w:r>
        <w:rPr>
          <w:rFonts w:ascii="Book Antiqua" w:hAnsi="Book Antiqua" w:cs="TimesNewRomanPSMT"/>
        </w:rPr>
        <w:t xml:space="preserve"> </w:t>
      </w:r>
      <w:r w:rsidRPr="00ED7D9F">
        <w:rPr>
          <w:rFonts w:ascii="Book Antiqua" w:hAnsi="Book Antiqua" w:cs="TimesNewRomanPSMT"/>
        </w:rPr>
        <w:t>“Using renewable natural gas in appliances indoors does not reduce air pollutants in buildings, as compared with using traditional fossil-based natural gas.”</w:t>
      </w:r>
    </w:p>
    <w:p w:rsidRPr="001D431A" w:rsidR="0044450D" w:rsidP="0044450D" w:rsidRDefault="0044450D" w14:paraId="3CFBC366" w14:textId="468ED2FC">
      <w:pPr>
        <w:pStyle w:val="ListParagraph"/>
        <w:numPr>
          <w:ilvl w:val="3"/>
          <w:numId w:val="11"/>
        </w:numPr>
        <w:autoSpaceDE w:val="0"/>
        <w:autoSpaceDN w:val="0"/>
        <w:adjustRightInd w:val="0"/>
        <w:ind w:left="2160"/>
        <w:rPr>
          <w:rFonts w:ascii="Book Antiqua" w:hAnsi="Book Antiqua" w:cs="TimesNewRomanPSMT"/>
        </w:rPr>
      </w:pPr>
      <w:r w:rsidRPr="001D431A">
        <w:rPr>
          <w:rFonts w:ascii="Book Antiqua" w:hAnsi="Book Antiqua" w:cs="TimesNewRomanPSMT"/>
        </w:rPr>
        <w:t>Materials shall include this statement</w:t>
      </w:r>
      <w:proofErr w:type="gramStart"/>
      <w:r w:rsidRPr="001D431A">
        <w:rPr>
          <w:rFonts w:ascii="Book Antiqua" w:hAnsi="Book Antiqua" w:cs="TimesNewRomanPSMT"/>
        </w:rPr>
        <w:t>: ”P</w:t>
      </w:r>
      <w:r w:rsidRPr="001D431A">
        <w:rPr>
          <w:rFonts w:ascii="Book Antiqua" w:hAnsi="Book Antiqua"/>
        </w:rPr>
        <w:t>urchasing</w:t>
      </w:r>
      <w:proofErr w:type="gramEnd"/>
      <w:r w:rsidRPr="001D431A">
        <w:rPr>
          <w:rFonts w:ascii="Book Antiqua" w:hAnsi="Book Antiqua"/>
        </w:rPr>
        <w:t xml:space="preserve"> renewable natural gas (RNG) for the </w:t>
      </w:r>
      <w:r w:rsidR="00641755">
        <w:rPr>
          <w:rFonts w:ascii="Book Antiqua" w:hAnsi="Book Antiqua"/>
        </w:rPr>
        <w:t xml:space="preserve">voluntary pilot </w:t>
      </w:r>
      <w:r w:rsidR="0090737C">
        <w:rPr>
          <w:rFonts w:ascii="Book Antiqua" w:hAnsi="Book Antiqua"/>
        </w:rPr>
        <w:t>RNG Tariff</w:t>
      </w:r>
      <w:r w:rsidR="00127780">
        <w:rPr>
          <w:rFonts w:ascii="Book Antiqua" w:hAnsi="Book Antiqua"/>
        </w:rPr>
        <w:t xml:space="preserve"> </w:t>
      </w:r>
      <w:r w:rsidRPr="001D431A">
        <w:rPr>
          <w:rFonts w:ascii="Book Antiqua" w:hAnsi="Book Antiqua"/>
        </w:rPr>
        <w:t>program reduces the Utilities’ greenhouse gas reduction obligations under the California Air Resources Board’s Cap-and-Trade Regulation. The resulting cost savings will be credited to the RNG Tariff program customers.”</w:t>
      </w:r>
      <w:r w:rsidRPr="001D431A">
        <w:rPr>
          <w:rFonts w:ascii="Segoe UI" w:hAnsi="Segoe UI" w:cs="Segoe UI"/>
          <w:color w:val="FFFFFF" w:themeColor="background1"/>
        </w:rPr>
        <w:t xml:space="preserve"> </w:t>
      </w:r>
    </w:p>
    <w:p w:rsidRPr="00F64147" w:rsidR="003B7C12" w:rsidP="003B7C12" w:rsidRDefault="003B7C12" w14:paraId="63F8ED54"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Program Webpages</w:t>
      </w:r>
    </w:p>
    <w:p w:rsidRPr="00F64147" w:rsidR="003B7C12" w:rsidP="003B7C12" w:rsidRDefault="003B7C12" w14:paraId="5FB5AC58"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The online program webpage shall show the current RNG rate on a per </w:t>
      </w:r>
      <w:proofErr w:type="spellStart"/>
      <w:r w:rsidRPr="00F64147">
        <w:rPr>
          <w:rFonts w:ascii="Book Antiqua" w:hAnsi="Book Antiqua" w:cs="TimesNewRomanPSMT"/>
        </w:rPr>
        <w:t>therm</w:t>
      </w:r>
      <w:proofErr w:type="spellEnd"/>
      <w:r w:rsidRPr="00F64147">
        <w:rPr>
          <w:rFonts w:ascii="Book Antiqua" w:hAnsi="Book Antiqua" w:cs="TimesNewRomanPSMT"/>
        </w:rPr>
        <w:t xml:space="preserve"> basis and explain how customers can compare their current annual energy costs to their estimated energy costs under the RNG Tariff program.</w:t>
      </w:r>
    </w:p>
    <w:p w:rsidRPr="00F64147" w:rsidR="003B7C12" w:rsidP="003B7C12" w:rsidRDefault="003B7C12" w14:paraId="57A19D56"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The program webpages </w:t>
      </w:r>
      <w:r>
        <w:rPr>
          <w:rFonts w:ascii="Book Antiqua" w:hAnsi="Book Antiqua" w:cs="TimesNewRomanPSMT"/>
        </w:rPr>
        <w:t>shall</w:t>
      </w:r>
      <w:r w:rsidRPr="00F64147">
        <w:rPr>
          <w:rFonts w:ascii="Book Antiqua" w:hAnsi="Book Antiqua" w:cs="TimesNewRomanPSMT"/>
        </w:rPr>
        <w:t xml:space="preserve"> contain complete information about the program, the terms and conditions of the program, and a listing of charges included in the RNG Tariff program rate.</w:t>
      </w:r>
    </w:p>
    <w:p w:rsidRPr="00F64147" w:rsidR="003B7C12" w:rsidP="003B7C12" w:rsidRDefault="003B7C12" w14:paraId="6E1DBF43"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The program webpages </w:t>
      </w:r>
      <w:r>
        <w:rPr>
          <w:rFonts w:ascii="Book Antiqua" w:hAnsi="Book Antiqua" w:cs="TimesNewRomanPSMT"/>
        </w:rPr>
        <w:t>shall</w:t>
      </w:r>
      <w:r w:rsidRPr="00F64147">
        <w:rPr>
          <w:rFonts w:ascii="Book Antiqua" w:hAnsi="Book Antiqua" w:cs="TimesNewRomanPSMT"/>
        </w:rPr>
        <w:t xml:space="preserve"> display the sources of RNG purchased for the RNG Tariff program including:</w:t>
      </w:r>
    </w:p>
    <w:p w:rsidRPr="00F64147" w:rsidR="003B7C12" w:rsidP="003B7C12" w:rsidRDefault="003B7C12" w14:paraId="063F5113"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lastRenderedPageBreak/>
        <w:t>The name and location (city and state) of each source of the RNG procured for the RNG Tariff program along with the percentage contribution to the overall supply portfolio.</w:t>
      </w:r>
    </w:p>
    <w:p w:rsidRPr="00F64147" w:rsidR="003B7C12" w:rsidP="003B7C12" w:rsidRDefault="003B7C12" w14:paraId="4615F063"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Feedstock type and percentage.</w:t>
      </w:r>
    </w:p>
    <w:p w:rsidRPr="00F64147" w:rsidR="003B7C12" w:rsidP="003B7C12" w:rsidRDefault="003B7C12" w14:paraId="52B3DF6E"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Carbon intensity by feedstock.</w:t>
      </w:r>
    </w:p>
    <w:p w:rsidRPr="00F64147" w:rsidR="003B7C12" w:rsidP="003B7C12" w:rsidRDefault="003B7C12" w14:paraId="598F5427"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Overall carbon intensity for the RNG Tariff program.</w:t>
      </w:r>
    </w:p>
    <w:p w:rsidRPr="00F64147" w:rsidR="003B7C12" w:rsidP="003B7C12" w:rsidRDefault="003B7C12" w14:paraId="6A9C4A29"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Carbon intensity of traditional natural gas.</w:t>
      </w:r>
    </w:p>
    <w:p w:rsidRPr="00F64147" w:rsidR="003B7C12" w:rsidP="003B7C12" w:rsidRDefault="003B7C12" w14:paraId="08D5F99D"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 xml:space="preserve">The information in a) to e) </w:t>
      </w:r>
      <w:r>
        <w:rPr>
          <w:rFonts w:ascii="Book Antiqua" w:hAnsi="Book Antiqua" w:cs="TimesNewRomanPSMT"/>
        </w:rPr>
        <w:t>shall</w:t>
      </w:r>
      <w:r w:rsidRPr="00F64147">
        <w:rPr>
          <w:rFonts w:ascii="Book Antiqua" w:hAnsi="Book Antiqua" w:cs="TimesNewRomanPSMT"/>
        </w:rPr>
        <w:t xml:space="preserve"> be updated every six months after program implementation; however, it will not be available until procurement contracts for RNG have been finalized.</w:t>
      </w:r>
    </w:p>
    <w:p w:rsidRPr="00E070E1" w:rsidR="003B7C12" w:rsidP="003B7C12" w:rsidRDefault="003B7C12" w14:paraId="13D5B309"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 xml:space="preserve">During program implementation the information </w:t>
      </w:r>
      <w:r>
        <w:rPr>
          <w:rFonts w:ascii="Book Antiqua" w:hAnsi="Book Antiqua" w:cs="TimesNewRomanPSMT"/>
        </w:rPr>
        <w:t>shall</w:t>
      </w:r>
      <w:r w:rsidRPr="00F64147">
        <w:rPr>
          <w:rFonts w:ascii="Book Antiqua" w:hAnsi="Book Antiqua" w:cs="TimesNewRomanPSMT"/>
        </w:rPr>
        <w:t xml:space="preserve"> be updated monthly or as needed when procurement contracts are finalized.</w:t>
      </w:r>
    </w:p>
    <w:p w:rsidRPr="00F64147" w:rsidR="003B7C12" w:rsidP="003B7C12" w:rsidRDefault="003B7C12" w14:paraId="08422030"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Target Markets</w:t>
      </w:r>
    </w:p>
    <w:p w:rsidRPr="00F64147" w:rsidR="003B7C12" w:rsidP="003B7C12" w:rsidRDefault="003B7C12" w14:paraId="6BD98297"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Residential education and outreach will include targeted marketing to residential or commercial buildings that have undergone recent EE or Energy Savings Assistance Program upgrades.</w:t>
      </w:r>
    </w:p>
    <w:p w:rsidRPr="00F64147" w:rsidR="003B7C12" w:rsidP="003B7C12" w:rsidRDefault="003B7C12" w14:paraId="1273BAB1"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Customers participating in the RNG Tariff program shall be directed to the relevant energy efficiency audit and program offerings to promote enrollment in EE and DR programs.</w:t>
      </w:r>
    </w:p>
    <w:p w:rsidRPr="00F64147" w:rsidR="003B7C12" w:rsidP="003B7C12" w:rsidRDefault="003B7C12" w14:paraId="7CCDD810"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Core Transport Agents</w:t>
      </w:r>
    </w:p>
    <w:p w:rsidRPr="00F64147" w:rsidR="003B7C12" w:rsidP="003B7C12" w:rsidRDefault="003B7C12" w14:paraId="7FE6CDC0"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The RNG Tariff program does not prevent any Core Transport Agent (“CTA”) from marketing similar or competing products to new or existing customers.</w:t>
      </w:r>
    </w:p>
    <w:p w:rsidRPr="00F64147" w:rsidR="003B7C12" w:rsidP="003B7C12" w:rsidRDefault="003B7C12" w14:paraId="54704D56"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The Utilities </w:t>
      </w:r>
      <w:r>
        <w:rPr>
          <w:rFonts w:ascii="Book Antiqua" w:hAnsi="Book Antiqua" w:cs="TimesNewRomanPSMT"/>
        </w:rPr>
        <w:t>shall</w:t>
      </w:r>
      <w:r w:rsidRPr="00F64147">
        <w:rPr>
          <w:rFonts w:ascii="Book Antiqua" w:hAnsi="Book Antiqua" w:cs="TimesNewRomanPSMT"/>
        </w:rPr>
        <w:t xml:space="preserve"> not use information gained from their CAT program to market the RNG Tariff program to CTA customers whose contracts are nearing the end of their term</w:t>
      </w:r>
    </w:p>
    <w:p w:rsidRPr="00F64147" w:rsidR="003B7C12" w:rsidP="003B7C12" w:rsidRDefault="003B7C12" w14:paraId="7353CF8E" w14:textId="77777777">
      <w:pPr>
        <w:autoSpaceDE w:val="0"/>
        <w:autoSpaceDN w:val="0"/>
        <w:adjustRightInd w:val="0"/>
        <w:spacing w:line="240" w:lineRule="auto"/>
        <w:rPr>
          <w:rFonts w:cs="TimesNewRomanPSMT"/>
          <w:sz w:val="24"/>
          <w:szCs w:val="24"/>
        </w:rPr>
      </w:pPr>
    </w:p>
    <w:p w:rsidRPr="00F64147" w:rsidR="003B7C12" w:rsidP="003B7C12" w:rsidRDefault="003B7C12" w14:paraId="682BA756" w14:textId="77777777">
      <w:pPr>
        <w:pStyle w:val="ListParagraph"/>
        <w:numPr>
          <w:ilvl w:val="0"/>
          <w:numId w:val="11"/>
        </w:numPr>
        <w:autoSpaceDE w:val="0"/>
        <w:autoSpaceDN w:val="0"/>
        <w:adjustRightInd w:val="0"/>
        <w:rPr>
          <w:rFonts w:ascii="Book Antiqua" w:hAnsi="Book Antiqua" w:cs="TimesNewRomanPSMT"/>
        </w:rPr>
      </w:pPr>
      <w:r w:rsidRPr="00F64147">
        <w:rPr>
          <w:rFonts w:ascii="Book Antiqua" w:hAnsi="Book Antiqua" w:cs="TimesNewRomanPSMT"/>
          <w:b/>
        </w:rPr>
        <w:t>Reporting</w:t>
      </w:r>
    </w:p>
    <w:p w:rsidRPr="00F64147" w:rsidR="003B7C12" w:rsidP="003B7C12" w:rsidRDefault="003B7C12" w14:paraId="6DBF76C4"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Annual Customer Reports</w:t>
      </w:r>
    </w:p>
    <w:p w:rsidRPr="00F64147" w:rsidR="003B7C12" w:rsidP="003B7C12" w:rsidRDefault="003B7C12" w14:paraId="653C25F3"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Utilities shall provide individual customers with an annual report on the customer’s participation in the RNG Tariff program, including:</w:t>
      </w:r>
    </w:p>
    <w:p w:rsidRPr="00F64147" w:rsidR="003B7C12" w:rsidP="003B7C12" w:rsidRDefault="003B7C12" w14:paraId="4F88D915"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Amount of traditional natural gas purchased.</w:t>
      </w:r>
    </w:p>
    <w:p w:rsidRPr="00F64147" w:rsidR="003B7C12" w:rsidP="003B7C12" w:rsidRDefault="003B7C12" w14:paraId="4FFCD37E"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Amount of RNG purchased.</w:t>
      </w:r>
    </w:p>
    <w:p w:rsidRPr="00F64147" w:rsidR="003B7C12" w:rsidP="003B7C12" w:rsidRDefault="005A18AF" w14:paraId="314A72F3" w14:textId="5276EF00">
      <w:pPr>
        <w:pStyle w:val="ListParagraph"/>
        <w:numPr>
          <w:ilvl w:val="3"/>
          <w:numId w:val="11"/>
        </w:numPr>
        <w:autoSpaceDE w:val="0"/>
        <w:autoSpaceDN w:val="0"/>
        <w:adjustRightInd w:val="0"/>
        <w:ind w:left="2160"/>
        <w:rPr>
          <w:rFonts w:ascii="Book Antiqua" w:hAnsi="Book Antiqua" w:cs="TimesNewRomanPSMT"/>
        </w:rPr>
      </w:pPr>
      <w:r>
        <w:rPr>
          <w:rFonts w:ascii="Book Antiqua" w:hAnsi="Book Antiqua" w:cs="TimesNewRomanPSMT"/>
        </w:rPr>
        <w:t>Each</w:t>
      </w:r>
      <w:r w:rsidRPr="00F64147" w:rsidR="003B7C12">
        <w:rPr>
          <w:rFonts w:ascii="Book Antiqua" w:hAnsi="Book Antiqua" w:cs="TimesNewRomanPSMT"/>
        </w:rPr>
        <w:t xml:space="preserve"> individual supplier</w:t>
      </w:r>
      <w:r>
        <w:rPr>
          <w:rFonts w:ascii="Book Antiqua" w:hAnsi="Book Antiqua" w:cs="TimesNewRomanPSMT"/>
        </w:rPr>
        <w:t>’</w:t>
      </w:r>
      <w:r w:rsidRPr="00F64147" w:rsidR="003B7C12">
        <w:rPr>
          <w:rFonts w:ascii="Book Antiqua" w:hAnsi="Book Antiqua" w:cs="TimesNewRomanPSMT"/>
        </w:rPr>
        <w:t xml:space="preserve">s </w:t>
      </w:r>
      <w:r w:rsidR="003B7C12">
        <w:rPr>
          <w:rFonts w:ascii="Book Antiqua" w:hAnsi="Book Antiqua" w:cs="TimesNewRomanPSMT"/>
        </w:rPr>
        <w:t>name, location, feedstock source</w:t>
      </w:r>
      <w:r>
        <w:rPr>
          <w:rFonts w:ascii="Book Antiqua" w:hAnsi="Book Antiqua" w:cs="TimesNewRomanPSMT"/>
        </w:rPr>
        <w:t>,</w:t>
      </w:r>
      <w:r w:rsidR="003B7C12">
        <w:rPr>
          <w:rFonts w:ascii="Book Antiqua" w:hAnsi="Book Antiqua" w:cs="TimesNewRomanPSMT"/>
        </w:rPr>
        <w:t xml:space="preserve"> and the </w:t>
      </w:r>
      <w:r w:rsidRPr="00F64147" w:rsidR="003B7C12">
        <w:rPr>
          <w:rFonts w:ascii="Book Antiqua" w:hAnsi="Book Antiqua" w:cs="TimesNewRomanPSMT"/>
        </w:rPr>
        <w:t>RNG contract prices ($/</w:t>
      </w:r>
      <w:proofErr w:type="spellStart"/>
      <w:r w:rsidRPr="00F64147" w:rsidR="003B7C12">
        <w:rPr>
          <w:rFonts w:ascii="Book Antiqua" w:hAnsi="Book Antiqua" w:cs="TimesNewRomanPSMT"/>
        </w:rPr>
        <w:t>therm</w:t>
      </w:r>
      <w:proofErr w:type="spellEnd"/>
      <w:r w:rsidRPr="00F64147" w:rsidR="003B7C12">
        <w:rPr>
          <w:rFonts w:ascii="Book Antiqua" w:hAnsi="Book Antiqua" w:cs="TimesNewRomanPSMT"/>
        </w:rPr>
        <w:t>)</w:t>
      </w:r>
      <w:r w:rsidR="003B7C12">
        <w:rPr>
          <w:rFonts w:ascii="Book Antiqua" w:hAnsi="Book Antiqua" w:cs="TimesNewRomanPSMT"/>
        </w:rPr>
        <w:t xml:space="preserve"> </w:t>
      </w:r>
      <w:r w:rsidRPr="00F64147" w:rsidR="003B7C12">
        <w:rPr>
          <w:rFonts w:ascii="Book Antiqua" w:hAnsi="Book Antiqua" w:cs="TimesNewRomanPSMT"/>
        </w:rPr>
        <w:t>unless granted confidentiality designation by the Commission.</w:t>
      </w:r>
    </w:p>
    <w:p w:rsidRPr="00F64147" w:rsidR="003B7C12" w:rsidP="003B7C12" w:rsidRDefault="003B7C12" w14:paraId="10289684" w14:textId="4EB87D5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Annual GHG emissions reductions from procured RNG for the program demand, expressed in metric tons of carbon dioxide equivalent (MTCO</w:t>
      </w:r>
      <w:r w:rsidRPr="00185C94" w:rsidR="005F3CC4">
        <w:rPr>
          <w:rFonts w:ascii="Book Antiqua" w:hAnsi="Book Antiqua" w:cs="TimesNewRomanPSMT"/>
          <w:vertAlign w:val="subscript"/>
        </w:rPr>
        <w:t>2</w:t>
      </w:r>
      <w:r w:rsidRPr="00F64147">
        <w:rPr>
          <w:rFonts w:ascii="Book Antiqua" w:hAnsi="Book Antiqua" w:cs="TimesNewRomanPSMT"/>
        </w:rPr>
        <w:t>e).</w:t>
      </w:r>
    </w:p>
    <w:p w:rsidRPr="00F64147" w:rsidR="003B7C12" w:rsidP="003B7C12" w:rsidRDefault="003B7C12" w14:paraId="00230F50"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Overall carbon intensity for the RNG Tariff program.</w:t>
      </w:r>
    </w:p>
    <w:p w:rsidRPr="00F64147" w:rsidR="003B7C12" w:rsidP="003B7C12" w:rsidRDefault="003B7C12" w14:paraId="5C0F1CDE"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Carbon intensity for traditional natural gas.</w:t>
      </w:r>
    </w:p>
    <w:p w:rsidRPr="00F64147" w:rsidR="003B7C12" w:rsidP="003B7C12" w:rsidRDefault="003B7C12" w14:paraId="4AD36251"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Feedstock type percentage.</w:t>
      </w:r>
    </w:p>
    <w:p w:rsidRPr="00F64147" w:rsidR="003B7C12" w:rsidP="003B7C12" w:rsidRDefault="003B7C12" w14:paraId="2A6F9458"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lastRenderedPageBreak/>
        <w:t>Source state by percentage for RNG Tariff program.</w:t>
      </w:r>
    </w:p>
    <w:p w:rsidRPr="00F64147" w:rsidR="003B7C12" w:rsidP="003B7C12" w:rsidRDefault="003B7C12" w14:paraId="159AC26C"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Other RNG news and updates.</w:t>
      </w:r>
    </w:p>
    <w:p w:rsidRPr="00F64147" w:rsidR="003B7C12" w:rsidP="003B7C12" w:rsidRDefault="003B7C12" w14:paraId="6D216387" w14:textId="77777777">
      <w:pPr>
        <w:pStyle w:val="ListParagraph"/>
        <w:numPr>
          <w:ilvl w:val="2"/>
          <w:numId w:val="11"/>
        </w:numPr>
        <w:autoSpaceDE w:val="0"/>
        <w:autoSpaceDN w:val="0"/>
        <w:adjustRightInd w:val="0"/>
        <w:rPr>
          <w:rFonts w:ascii="Book Antiqua" w:hAnsi="Book Antiqua" w:cs="TimesNewRomanPSMT"/>
          <w:strike/>
        </w:rPr>
      </w:pPr>
      <w:r w:rsidRPr="00F64147">
        <w:rPr>
          <w:rFonts w:ascii="Book Antiqua" w:hAnsi="Book Antiqua" w:cs="TimesNewRomanPSMT"/>
        </w:rPr>
        <w:t>This notification shall take the form of an email and the information shall be provided on Utilities’ websites.</w:t>
      </w:r>
    </w:p>
    <w:p w:rsidRPr="00F64147" w:rsidR="003B7C12" w:rsidP="003B7C12" w:rsidRDefault="003B7C12" w14:paraId="34F41805" w14:textId="77777777">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Quarterly Commission Reports</w:t>
      </w:r>
    </w:p>
    <w:p w:rsidRPr="00F64147" w:rsidR="003B7C12" w:rsidP="003B7C12" w:rsidRDefault="003B7C12" w14:paraId="134A59E7"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Utilities shall submit reports on the RNG Tariff program to Energy Division and serve it to the service list of </w:t>
      </w:r>
      <w:proofErr w:type="gramStart"/>
      <w:r w:rsidRPr="00F64147">
        <w:rPr>
          <w:rFonts w:ascii="Book Antiqua" w:hAnsi="Book Antiqua" w:cs="TimesNewRomanPSMT"/>
        </w:rPr>
        <w:t>A.</w:t>
      </w:r>
      <w:proofErr w:type="gramEnd"/>
      <w:r w:rsidRPr="00F64147">
        <w:rPr>
          <w:rFonts w:ascii="Book Antiqua" w:hAnsi="Book Antiqua" w:cs="TimesNewRomanPSMT"/>
        </w:rPr>
        <w:t>19-02-015 within 45 days of the close of each quarter containing quarter-to-date, year-to-date, and program-to-date information.</w:t>
      </w:r>
    </w:p>
    <w:p w:rsidRPr="00F64147" w:rsidR="003B7C12" w:rsidP="003B7C12" w:rsidRDefault="003B7C12" w14:paraId="26679D7B" w14:textId="77777777">
      <w:pPr>
        <w:pStyle w:val="ListParagraph"/>
        <w:numPr>
          <w:ilvl w:val="2"/>
          <w:numId w:val="11"/>
        </w:numPr>
        <w:autoSpaceDE w:val="0"/>
        <w:autoSpaceDN w:val="0"/>
        <w:adjustRightInd w:val="0"/>
        <w:ind w:left="1800" w:hanging="360"/>
        <w:rPr>
          <w:rFonts w:ascii="Book Antiqua" w:hAnsi="Book Antiqua" w:cs="TimesNewRomanPSMT"/>
        </w:rPr>
      </w:pPr>
      <w:r w:rsidRPr="00F64147">
        <w:rPr>
          <w:rFonts w:ascii="Book Antiqua" w:hAnsi="Book Antiqua" w:cs="TimesNewRomanPSMT"/>
        </w:rPr>
        <w:t xml:space="preserve">The content of the quarterly commission reports may change as directed by Energy Division, but initially </w:t>
      </w:r>
      <w:r>
        <w:rPr>
          <w:rFonts w:ascii="Book Antiqua" w:hAnsi="Book Antiqua" w:cs="TimesNewRomanPSMT"/>
        </w:rPr>
        <w:t>shall</w:t>
      </w:r>
      <w:r w:rsidRPr="00F64147">
        <w:rPr>
          <w:rFonts w:ascii="Book Antiqua" w:hAnsi="Book Antiqua" w:cs="TimesNewRomanPSMT"/>
        </w:rPr>
        <w:t xml:space="preserve"> include:</w:t>
      </w:r>
    </w:p>
    <w:p w:rsidRPr="00F64147" w:rsidR="003B7C12" w:rsidP="003B7C12" w:rsidRDefault="003B7C12" w14:paraId="701131C0"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Overall description of RNG Tariff program activity since the previous report.</w:t>
      </w:r>
    </w:p>
    <w:p w:rsidRPr="00F64147" w:rsidR="003B7C12" w:rsidP="003B7C12" w:rsidRDefault="003B7C12" w14:paraId="5EAE8A2F"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Program participation, new customers enrolled, and customers disenrolled by customer type (residential or non-residential).</w:t>
      </w:r>
    </w:p>
    <w:p w:rsidRPr="00F64147" w:rsidR="003B7C12" w:rsidP="003B7C12" w:rsidRDefault="003B7C12" w14:paraId="68F81B97"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Number of customers (residential or non-residential) by each maximum RNG Purchase amount, or in the case of some nonresidential customers, by RNG purchase percentage.</w:t>
      </w:r>
    </w:p>
    <w:p w:rsidRPr="00F64147" w:rsidR="003B7C12" w:rsidP="003B7C12" w:rsidRDefault="003B7C12" w14:paraId="11476CFD"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Summary of all PAG meetings held each quarter, the date on which meetings were held, the participant stakeholders of each meeting, individual topics discussed, and any votes held on action items.</w:t>
      </w:r>
    </w:p>
    <w:p w:rsidRPr="00F64147" w:rsidR="003B7C12" w:rsidP="003B7C12" w:rsidRDefault="003B7C12" w14:paraId="7C2CE66C"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 xml:space="preserve">PAG recommendation(s) that the Utilities did not implement, including a list of the recommendation(s) and an explanation of why </w:t>
      </w:r>
      <w:r w:rsidRPr="00F64147" w:rsidDel="00F94996">
        <w:rPr>
          <w:rFonts w:ascii="Book Antiqua" w:hAnsi="Book Antiqua" w:cs="TimesNewRomanPSMT"/>
        </w:rPr>
        <w:t xml:space="preserve">the Utilities </w:t>
      </w:r>
      <w:r w:rsidRPr="00F64147">
        <w:rPr>
          <w:rFonts w:ascii="Book Antiqua" w:hAnsi="Book Antiqua" w:cs="TimesNewRomanPSMT"/>
        </w:rPr>
        <w:t>do not adopt the PAG’s recommendation(s).</w:t>
      </w:r>
    </w:p>
    <w:p w:rsidRPr="00F64147" w:rsidR="003B7C12" w:rsidP="003B7C12" w:rsidRDefault="003B7C12" w14:paraId="6190A622"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Quantity of and revenues from RNG sold by customer type.</w:t>
      </w:r>
    </w:p>
    <w:p w:rsidRPr="00F64147" w:rsidR="003B7C12" w:rsidP="003B7C12" w:rsidRDefault="003B7C12" w14:paraId="05424B95" w14:textId="77777777">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Expenses incurred for Marketing and Administration.</w:t>
      </w:r>
    </w:p>
    <w:p w:rsidR="003B7C12" w:rsidP="003B7C12" w:rsidRDefault="003B7C12" w14:paraId="5B5A55D0" w14:textId="16AD4508">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GHG emissions reductions achieved, expressed in MTCO</w:t>
      </w:r>
      <w:r w:rsidRPr="00185C94" w:rsidR="005F3CC4">
        <w:rPr>
          <w:rFonts w:ascii="Book Antiqua" w:hAnsi="Book Antiqua" w:cs="TimesNewRomanPSMT"/>
          <w:vertAlign w:val="subscript"/>
        </w:rPr>
        <w:t>2</w:t>
      </w:r>
      <w:r w:rsidRPr="00F64147">
        <w:rPr>
          <w:rFonts w:ascii="Book Antiqua" w:hAnsi="Book Antiqua" w:cs="TimesNewRomanPSMT"/>
        </w:rPr>
        <w:t>e</w:t>
      </w:r>
      <w:r w:rsidRPr="00B06AB5">
        <w:rPr>
          <w:rFonts w:ascii="Book Antiqua" w:hAnsi="Book Antiqua" w:cs="TimesNewRomanPSMT"/>
        </w:rPr>
        <w:t>.</w:t>
      </w:r>
    </w:p>
    <w:p w:rsidRPr="00F64147" w:rsidR="00791EE1" w:rsidP="003B7C12" w:rsidRDefault="008D7750" w14:paraId="7D533C5D" w14:textId="5CB637DA">
      <w:pPr>
        <w:pStyle w:val="ListParagraph"/>
        <w:numPr>
          <w:ilvl w:val="3"/>
          <w:numId w:val="11"/>
        </w:numPr>
        <w:autoSpaceDE w:val="0"/>
        <w:autoSpaceDN w:val="0"/>
        <w:adjustRightInd w:val="0"/>
        <w:ind w:left="2160"/>
        <w:rPr>
          <w:rFonts w:ascii="Book Antiqua" w:hAnsi="Book Antiqua" w:cs="TimesNewRomanPSMT"/>
        </w:rPr>
      </w:pPr>
      <w:r w:rsidRPr="00A2363E">
        <w:rPr>
          <w:rFonts w:ascii="Book Antiqua" w:hAnsi="Book Antiqua" w:cs="TimesNewRomanPSMT"/>
        </w:rPr>
        <w:t>Summary of the independent third-party verification of the RNG carbon intensity information provided by RNG suppliers.</w:t>
      </w:r>
    </w:p>
    <w:p w:rsidRPr="00F64147" w:rsidR="003B7C12" w:rsidP="003B7C12" w:rsidRDefault="003B7C12" w14:paraId="339AFFBA" w14:textId="37BBBF33">
      <w:pPr>
        <w:pStyle w:val="ListParagraph"/>
        <w:numPr>
          <w:ilvl w:val="3"/>
          <w:numId w:val="11"/>
        </w:numPr>
        <w:autoSpaceDE w:val="0"/>
        <w:autoSpaceDN w:val="0"/>
        <w:adjustRightInd w:val="0"/>
        <w:ind w:left="2160"/>
        <w:rPr>
          <w:rFonts w:ascii="Book Antiqua" w:hAnsi="Book Antiqua" w:cs="TimesNewRomanPSMT"/>
        </w:rPr>
      </w:pPr>
      <w:r w:rsidRPr="00F64147">
        <w:rPr>
          <w:rFonts w:ascii="Book Antiqua" w:hAnsi="Book Antiqua" w:cs="TimesNewRomanPSMT"/>
        </w:rPr>
        <w:t>Detailed information on RNG contracts including:</w:t>
      </w:r>
    </w:p>
    <w:p w:rsidRPr="00F64147" w:rsidR="003B7C12" w:rsidP="003B7C12" w:rsidRDefault="003B7C12" w14:paraId="5C516360" w14:textId="77777777">
      <w:pPr>
        <w:pStyle w:val="ListParagraph"/>
        <w:numPr>
          <w:ilvl w:val="4"/>
          <w:numId w:val="11"/>
        </w:numPr>
        <w:autoSpaceDE w:val="0"/>
        <w:autoSpaceDN w:val="0"/>
        <w:adjustRightInd w:val="0"/>
        <w:ind w:left="2520" w:hanging="180"/>
        <w:rPr>
          <w:rFonts w:ascii="Book Antiqua" w:hAnsi="Book Antiqua" w:cs="TimesNewRomanPSMT"/>
        </w:rPr>
      </w:pPr>
      <w:r w:rsidRPr="00F64147">
        <w:rPr>
          <w:rFonts w:ascii="Book Antiqua" w:hAnsi="Book Antiqua" w:cs="TimesNewRomanPSMT"/>
        </w:rPr>
        <w:t>List of RNG suppliers contracting with Gas Acquisition.</w:t>
      </w:r>
    </w:p>
    <w:p w:rsidRPr="00F64147" w:rsidR="003B7C12" w:rsidP="003B7C12" w:rsidRDefault="003B7C12" w14:paraId="395E4DCA" w14:textId="77777777">
      <w:pPr>
        <w:pStyle w:val="ListParagraph"/>
        <w:numPr>
          <w:ilvl w:val="4"/>
          <w:numId w:val="11"/>
        </w:numPr>
        <w:autoSpaceDE w:val="0"/>
        <w:autoSpaceDN w:val="0"/>
        <w:adjustRightInd w:val="0"/>
        <w:ind w:left="2520" w:hanging="180"/>
        <w:rPr>
          <w:rFonts w:ascii="Book Antiqua" w:hAnsi="Book Antiqua" w:cs="TimesNewRomanPSMT"/>
        </w:rPr>
      </w:pPr>
      <w:r w:rsidRPr="00F64147">
        <w:rPr>
          <w:rFonts w:ascii="Book Antiqua" w:hAnsi="Book Antiqua" w:cs="TimesNewRomanPSMT"/>
        </w:rPr>
        <w:t>RNG supplier’s primary location and years of operation.</w:t>
      </w:r>
    </w:p>
    <w:p w:rsidRPr="00F64147" w:rsidR="003B7C12" w:rsidP="003B7C12" w:rsidRDefault="003B7C12" w14:paraId="71DB1825" w14:textId="77777777">
      <w:pPr>
        <w:pStyle w:val="ListParagraph"/>
        <w:numPr>
          <w:ilvl w:val="4"/>
          <w:numId w:val="11"/>
        </w:numPr>
        <w:autoSpaceDE w:val="0"/>
        <w:autoSpaceDN w:val="0"/>
        <w:adjustRightInd w:val="0"/>
        <w:ind w:left="2520" w:hanging="180"/>
        <w:rPr>
          <w:rFonts w:ascii="Book Antiqua" w:hAnsi="Book Antiqua" w:cs="TimesNewRomanPSMT"/>
        </w:rPr>
      </w:pPr>
      <w:r w:rsidRPr="00F64147">
        <w:rPr>
          <w:rFonts w:ascii="Book Antiqua" w:hAnsi="Book Antiqua" w:cs="TimesNewRomanPSMT"/>
        </w:rPr>
        <w:t xml:space="preserve">RNG supplier’s volume of RNG purchased by Gas Acquisition for the year, its cost per </w:t>
      </w:r>
      <w:proofErr w:type="spellStart"/>
      <w:r w:rsidRPr="00F64147">
        <w:rPr>
          <w:rFonts w:ascii="Book Antiqua" w:hAnsi="Book Antiqua" w:cs="TimesNewRomanPSMT"/>
        </w:rPr>
        <w:t>therm</w:t>
      </w:r>
      <w:proofErr w:type="spellEnd"/>
      <w:r w:rsidRPr="00F64147">
        <w:rPr>
          <w:rFonts w:ascii="Book Antiqua" w:hAnsi="Book Antiqua" w:cs="TimesNewRomanPSMT"/>
        </w:rPr>
        <w:t>, and its carbon intensity score.</w:t>
      </w:r>
      <w:r w:rsidRPr="00F64147">
        <w:rPr>
          <w:rFonts w:ascii="Book Antiqua" w:hAnsi="Book Antiqua" w:cs="TimesNewRomanPSMT"/>
          <w:strike/>
        </w:rPr>
        <w:t xml:space="preserve"> </w:t>
      </w:r>
    </w:p>
    <w:p w:rsidRPr="00F64147" w:rsidR="003B7C12" w:rsidP="003B7C12" w:rsidRDefault="003B7C12" w14:paraId="7D3A3481" w14:textId="77777777">
      <w:pPr>
        <w:pStyle w:val="ListParagraph"/>
        <w:numPr>
          <w:ilvl w:val="4"/>
          <w:numId w:val="11"/>
        </w:numPr>
        <w:autoSpaceDE w:val="0"/>
        <w:autoSpaceDN w:val="0"/>
        <w:adjustRightInd w:val="0"/>
        <w:ind w:left="2520" w:hanging="180"/>
        <w:rPr>
          <w:rFonts w:ascii="Book Antiqua" w:hAnsi="Book Antiqua" w:cs="TimesNewRomanPSMT"/>
        </w:rPr>
      </w:pPr>
      <w:r w:rsidRPr="00F64147">
        <w:rPr>
          <w:rFonts w:ascii="Book Antiqua" w:hAnsi="Book Antiqua" w:cs="TimesNewRomanPSMT"/>
        </w:rPr>
        <w:t>A notation of months when there was a shortfall in volume of RNG supply to meet demand.</w:t>
      </w:r>
    </w:p>
    <w:p w:rsidR="00923E87" w:rsidP="00923E87" w:rsidRDefault="00923E87" w14:paraId="27DD135D" w14:textId="77777777">
      <w:pPr>
        <w:pStyle w:val="ListParagraph"/>
        <w:numPr>
          <w:ilvl w:val="1"/>
          <w:numId w:val="11"/>
        </w:numPr>
        <w:autoSpaceDE w:val="0"/>
        <w:autoSpaceDN w:val="0"/>
        <w:adjustRightInd w:val="0"/>
        <w:rPr>
          <w:rFonts w:ascii="Book Antiqua" w:hAnsi="Book Antiqua" w:cs="TimesNewRomanPSMT"/>
        </w:rPr>
      </w:pPr>
      <w:r>
        <w:rPr>
          <w:rFonts w:ascii="Book Antiqua" w:hAnsi="Book Antiqua" w:cs="TimesNewRomanPSMT"/>
        </w:rPr>
        <w:t>Dairy Compliance Reports</w:t>
      </w:r>
    </w:p>
    <w:p w:rsidR="00923E87" w:rsidP="00923E87" w:rsidRDefault="00923E87" w14:paraId="673C9580" w14:textId="77777777">
      <w:pPr>
        <w:pStyle w:val="ListParagraph"/>
        <w:numPr>
          <w:ilvl w:val="2"/>
          <w:numId w:val="11"/>
        </w:numPr>
        <w:autoSpaceDE w:val="0"/>
        <w:autoSpaceDN w:val="0"/>
        <w:adjustRightInd w:val="0"/>
        <w:ind w:left="1800" w:hanging="360"/>
        <w:rPr>
          <w:rFonts w:ascii="Book Antiqua" w:hAnsi="Book Antiqua" w:cs="TimesNewRomanPSMT"/>
        </w:rPr>
      </w:pPr>
      <w:r w:rsidRPr="0031079F">
        <w:rPr>
          <w:rFonts w:ascii="Book Antiqua" w:hAnsi="Book Antiqua" w:cs="TimesNewRomanPSMT"/>
        </w:rPr>
        <w:t xml:space="preserve">The Utilities shall report to the Commission whether in-state dairies under RNG contracts for this pilot program have complied with all applicable air and/or water pollution control standards or requirements, describing any incident of noncompliance, the cause, and when and how it was or will be resolved.  </w:t>
      </w:r>
    </w:p>
    <w:p w:rsidR="00923E87" w:rsidP="00923E87" w:rsidRDefault="00923E87" w14:paraId="1A402A9E" w14:textId="77777777">
      <w:pPr>
        <w:pStyle w:val="ListParagraph"/>
        <w:numPr>
          <w:ilvl w:val="2"/>
          <w:numId w:val="11"/>
        </w:numPr>
        <w:autoSpaceDE w:val="0"/>
        <w:autoSpaceDN w:val="0"/>
        <w:adjustRightInd w:val="0"/>
        <w:ind w:left="1800" w:hanging="360"/>
        <w:rPr>
          <w:rFonts w:ascii="Book Antiqua" w:hAnsi="Book Antiqua" w:cs="TimesNewRomanPSMT"/>
        </w:rPr>
      </w:pPr>
      <w:r w:rsidRPr="0031079F">
        <w:rPr>
          <w:rFonts w:ascii="Book Antiqua" w:hAnsi="Book Antiqua" w:cs="TimesNewRomanPSMT"/>
        </w:rPr>
        <w:lastRenderedPageBreak/>
        <w:t xml:space="preserve">The Utilities shall submit and serve Tier 1 ALs at the same time SoCalGas submits its last Quarterly Commission Report each year to provide that information.  The Tier 1 ALs shall include the compliance reports received from dairy RNG generating facilities.  </w:t>
      </w:r>
    </w:p>
    <w:p w:rsidRPr="0031079F" w:rsidR="00923E87" w:rsidP="00923E87" w:rsidRDefault="00923E87" w14:paraId="2AAF9E15" w14:textId="77777777">
      <w:pPr>
        <w:pStyle w:val="ListParagraph"/>
        <w:numPr>
          <w:ilvl w:val="2"/>
          <w:numId w:val="11"/>
        </w:numPr>
        <w:autoSpaceDE w:val="0"/>
        <w:autoSpaceDN w:val="0"/>
        <w:adjustRightInd w:val="0"/>
        <w:ind w:left="1800" w:hanging="360"/>
        <w:rPr>
          <w:rFonts w:ascii="Book Antiqua" w:hAnsi="Book Antiqua" w:cs="TimesNewRomanPSMT"/>
        </w:rPr>
      </w:pPr>
      <w:r w:rsidRPr="0031079F">
        <w:rPr>
          <w:rFonts w:ascii="Book Antiqua" w:hAnsi="Book Antiqua" w:cs="TimesNewRomanPSMT"/>
        </w:rPr>
        <w:t>The Utilities’ obligation to report on in-state dairy RNG suppliers’ compliance with air and water pollution control requirements shall continue until the pilot program termination.</w:t>
      </w:r>
    </w:p>
    <w:p w:rsidR="00923E87" w:rsidP="00923E87" w:rsidRDefault="00923E87" w14:paraId="2E504553" w14:textId="77777777">
      <w:pPr>
        <w:pStyle w:val="ListParagraph"/>
        <w:numPr>
          <w:ilvl w:val="1"/>
          <w:numId w:val="11"/>
        </w:numPr>
        <w:autoSpaceDE w:val="0"/>
        <w:autoSpaceDN w:val="0"/>
        <w:adjustRightInd w:val="0"/>
        <w:rPr>
          <w:rFonts w:ascii="Book Antiqua" w:hAnsi="Book Antiqua" w:cs="TimesNewRomanPSMT"/>
        </w:rPr>
      </w:pPr>
      <w:r>
        <w:rPr>
          <w:rFonts w:ascii="Book Antiqua" w:hAnsi="Book Antiqua" w:cs="TimesNewRomanPSMT"/>
        </w:rPr>
        <w:t xml:space="preserve">Third-Party Verification Reports </w:t>
      </w:r>
    </w:p>
    <w:p w:rsidR="00923E87" w:rsidP="00923E87" w:rsidRDefault="00923E87" w14:paraId="588055BF" w14:textId="77777777">
      <w:pPr>
        <w:pStyle w:val="ListParagraph"/>
        <w:numPr>
          <w:ilvl w:val="2"/>
          <w:numId w:val="11"/>
        </w:numPr>
        <w:autoSpaceDE w:val="0"/>
        <w:autoSpaceDN w:val="0"/>
        <w:adjustRightInd w:val="0"/>
        <w:ind w:left="1800" w:hanging="360"/>
        <w:rPr>
          <w:rFonts w:ascii="Book Antiqua" w:hAnsi="Book Antiqua" w:cs="TimesNewRomanPSMT"/>
        </w:rPr>
      </w:pPr>
      <w:r w:rsidRPr="006B0BCC">
        <w:rPr>
          <w:rFonts w:ascii="Book Antiqua" w:hAnsi="Book Antiqua" w:cs="TimesNewRomanPSMT"/>
        </w:rPr>
        <w:t xml:space="preserve">The Utilities shall report to the Commission </w:t>
      </w:r>
      <w:r>
        <w:rPr>
          <w:rFonts w:ascii="Book Antiqua" w:hAnsi="Book Antiqua" w:cs="TimesNewRomanPSMT"/>
        </w:rPr>
        <w:t>on compliance and verification</w:t>
      </w:r>
      <w:r w:rsidRPr="006B0BCC">
        <w:rPr>
          <w:rFonts w:ascii="Book Antiqua" w:hAnsi="Book Antiqua" w:cs="TimesNewRomanPSMT"/>
        </w:rPr>
        <w:t xml:space="preserve"> of </w:t>
      </w:r>
      <w:r>
        <w:rPr>
          <w:rFonts w:ascii="Book Antiqua" w:hAnsi="Book Antiqua" w:cs="TimesNewRomanPSMT"/>
        </w:rPr>
        <w:t xml:space="preserve">all RNG sources, performed by </w:t>
      </w:r>
      <w:r w:rsidRPr="006B0BCC">
        <w:rPr>
          <w:rFonts w:ascii="Book Antiqua" w:hAnsi="Book Antiqua" w:cs="TimesNewRomanPSMT"/>
        </w:rPr>
        <w:t xml:space="preserve">an independent third-party verifier </w:t>
      </w:r>
      <w:r>
        <w:rPr>
          <w:rFonts w:ascii="Book Antiqua" w:hAnsi="Book Antiqua" w:cs="TimesNewRomanPSMT"/>
        </w:rPr>
        <w:t>accredited by CARB.</w:t>
      </w:r>
    </w:p>
    <w:p w:rsidRPr="006B0BCC" w:rsidR="00923E87" w:rsidP="00923E87" w:rsidRDefault="00923E87" w14:paraId="4E665CFF" w14:textId="77777777">
      <w:pPr>
        <w:pStyle w:val="ListParagraph"/>
        <w:numPr>
          <w:ilvl w:val="2"/>
          <w:numId w:val="11"/>
        </w:numPr>
        <w:autoSpaceDE w:val="0"/>
        <w:autoSpaceDN w:val="0"/>
        <w:adjustRightInd w:val="0"/>
        <w:ind w:left="1800" w:hanging="360"/>
        <w:rPr>
          <w:rFonts w:ascii="Book Antiqua" w:hAnsi="Book Antiqua" w:cs="TimesNewRomanPSMT"/>
        </w:rPr>
      </w:pPr>
      <w:r>
        <w:rPr>
          <w:rFonts w:ascii="Book Antiqua" w:hAnsi="Book Antiqua" w:cs="TimesNewRomanPSMT"/>
        </w:rPr>
        <w:t xml:space="preserve">The Utilities </w:t>
      </w:r>
      <w:r w:rsidRPr="006B0BCC">
        <w:rPr>
          <w:rFonts w:ascii="Book Antiqua" w:hAnsi="Book Antiqua" w:cs="TimesNewRomanPSMT"/>
        </w:rPr>
        <w:t xml:space="preserve">shall </w:t>
      </w:r>
      <w:r>
        <w:rPr>
          <w:rFonts w:ascii="Book Antiqua" w:hAnsi="Book Antiqua" w:cs="TimesNewRomanPSMT"/>
        </w:rPr>
        <w:t>submit the report in</w:t>
      </w:r>
      <w:r w:rsidRPr="006B0BCC">
        <w:rPr>
          <w:rFonts w:ascii="Book Antiqua" w:hAnsi="Book Antiqua" w:cs="TimesNewRomanPSMT"/>
        </w:rPr>
        <w:t xml:space="preserve"> Tier 2 ALs within 45 days of each one-year anniversary from the program initiation date during the pilot program duration.  The </w:t>
      </w:r>
      <w:r>
        <w:rPr>
          <w:rFonts w:ascii="Book Antiqua" w:hAnsi="Book Antiqua" w:cs="TimesNewRomanPSMT"/>
        </w:rPr>
        <w:t>ALs must</w:t>
      </w:r>
      <w:r w:rsidRPr="006B0BCC">
        <w:rPr>
          <w:rFonts w:ascii="Book Antiqua" w:hAnsi="Book Antiqua" w:cs="TimesNewRomanPSMT"/>
        </w:rPr>
        <w:t xml:space="preserve"> confirm whether the Utilities </w:t>
      </w:r>
      <w:proofErr w:type="gramStart"/>
      <w:r w:rsidRPr="006B0BCC">
        <w:rPr>
          <w:rFonts w:ascii="Book Antiqua" w:hAnsi="Book Antiqua" w:cs="TimesNewRomanPSMT"/>
        </w:rPr>
        <w:t>are in compliance with</w:t>
      </w:r>
      <w:proofErr w:type="gramEnd"/>
      <w:r w:rsidRPr="006B0BCC">
        <w:rPr>
          <w:rFonts w:ascii="Book Antiqua" w:hAnsi="Book Antiqua" w:cs="TimesNewRomanPSMT"/>
        </w:rPr>
        <w:t xml:space="preserve"> the following RNG procurement requirements:</w:t>
      </w:r>
    </w:p>
    <w:p w:rsidRPr="006B0BCC" w:rsidR="00923E87" w:rsidP="00923E87" w:rsidRDefault="00923E87" w14:paraId="480A8FF5" w14:textId="77777777">
      <w:pPr>
        <w:pStyle w:val="ListParagraph"/>
        <w:numPr>
          <w:ilvl w:val="3"/>
          <w:numId w:val="11"/>
        </w:numPr>
        <w:autoSpaceDE w:val="0"/>
        <w:autoSpaceDN w:val="0"/>
        <w:adjustRightInd w:val="0"/>
        <w:ind w:left="2160"/>
        <w:rPr>
          <w:rFonts w:ascii="Book Antiqua" w:hAnsi="Book Antiqua" w:cs="TimesNewRomanPSMT"/>
        </w:rPr>
      </w:pPr>
      <w:r w:rsidRPr="006B0BCC">
        <w:rPr>
          <w:rFonts w:ascii="Book Antiqua" w:hAnsi="Book Antiqua" w:cs="TimesNewRomanPSMT"/>
        </w:rPr>
        <w:t>A minimum of 50 percent of RNG delivered meets the eligibility criteria as set forth in Public Utilities Code Section 651(b)(3)(B).</w:t>
      </w:r>
    </w:p>
    <w:p w:rsidRPr="006B0BCC" w:rsidR="00923E87" w:rsidP="00923E87" w:rsidRDefault="00923E87" w14:paraId="5841845E" w14:textId="77777777">
      <w:pPr>
        <w:pStyle w:val="ListParagraph"/>
        <w:numPr>
          <w:ilvl w:val="3"/>
          <w:numId w:val="11"/>
        </w:numPr>
        <w:autoSpaceDE w:val="0"/>
        <w:autoSpaceDN w:val="0"/>
        <w:adjustRightInd w:val="0"/>
        <w:ind w:left="2160"/>
        <w:rPr>
          <w:rFonts w:ascii="Book Antiqua" w:hAnsi="Book Antiqua" w:cs="TimesNewRomanPSMT"/>
        </w:rPr>
      </w:pPr>
      <w:r w:rsidRPr="006B0BCC">
        <w:rPr>
          <w:rFonts w:ascii="Book Antiqua" w:hAnsi="Book Antiqua" w:cs="TimesNewRomanPSMT"/>
        </w:rPr>
        <w:t xml:space="preserve">RNG supplies purchased meet the </w:t>
      </w:r>
      <w:r>
        <w:rPr>
          <w:rFonts w:ascii="Book Antiqua" w:hAnsi="Book Antiqua" w:cs="TimesNewRomanPSMT"/>
        </w:rPr>
        <w:t>CARB</w:t>
      </w:r>
      <w:r w:rsidRPr="006B0BCC">
        <w:rPr>
          <w:rFonts w:ascii="Book Antiqua" w:hAnsi="Book Antiqua" w:cs="TimesNewRomanPSMT"/>
        </w:rPr>
        <w:t>’s Mandatory Reporting Requirement and Cap-and-Trade Regulation requirements.</w:t>
      </w:r>
    </w:p>
    <w:p w:rsidRPr="006B0BCC" w:rsidR="00923E87" w:rsidP="00923E87" w:rsidRDefault="00923E87" w14:paraId="647FE63C" w14:textId="77777777">
      <w:pPr>
        <w:pStyle w:val="ListParagraph"/>
        <w:numPr>
          <w:ilvl w:val="3"/>
          <w:numId w:val="11"/>
        </w:numPr>
        <w:autoSpaceDE w:val="0"/>
        <w:autoSpaceDN w:val="0"/>
        <w:adjustRightInd w:val="0"/>
        <w:ind w:left="2160"/>
        <w:rPr>
          <w:rFonts w:ascii="Book Antiqua" w:hAnsi="Book Antiqua" w:cs="TimesNewRomanPSMT"/>
        </w:rPr>
      </w:pPr>
      <w:r>
        <w:rPr>
          <w:rFonts w:ascii="Book Antiqua" w:hAnsi="Book Antiqua" w:cs="TimesNewRomanPSMT"/>
        </w:rPr>
        <w:t xml:space="preserve">There is no double counting. </w:t>
      </w:r>
      <w:r w:rsidRPr="006B0BCC">
        <w:rPr>
          <w:rFonts w:ascii="Book Antiqua" w:hAnsi="Book Antiqua" w:cs="TimesNewRomanPSMT"/>
        </w:rPr>
        <w:t xml:space="preserve">The RNG </w:t>
      </w:r>
      <w:r>
        <w:rPr>
          <w:rFonts w:ascii="Book Antiqua" w:hAnsi="Book Antiqua" w:cs="TimesNewRomanPSMT"/>
        </w:rPr>
        <w:t>was</w:t>
      </w:r>
      <w:r w:rsidRPr="006B0BCC">
        <w:rPr>
          <w:rFonts w:ascii="Book Antiqua" w:hAnsi="Book Antiqua" w:cs="TimesNewRomanPSMT"/>
        </w:rPr>
        <w:t xml:space="preserve"> delivered by contracted facilities and the environmental attributes of the RNG were not sold, transferred, claimed, or used by the generating facility or other entity.</w:t>
      </w:r>
    </w:p>
    <w:p w:rsidR="00923E87" w:rsidP="003B7C12" w:rsidRDefault="00F01735" w14:paraId="45429F10" w14:textId="38A2C618">
      <w:pPr>
        <w:pStyle w:val="ListParagraph"/>
        <w:numPr>
          <w:ilvl w:val="1"/>
          <w:numId w:val="11"/>
        </w:numPr>
        <w:autoSpaceDE w:val="0"/>
        <w:autoSpaceDN w:val="0"/>
        <w:adjustRightInd w:val="0"/>
        <w:rPr>
          <w:rFonts w:ascii="Book Antiqua" w:hAnsi="Book Antiqua" w:cs="TimesNewRomanPSMT"/>
        </w:rPr>
      </w:pPr>
      <w:r w:rsidRPr="00F64147">
        <w:rPr>
          <w:rFonts w:ascii="Book Antiqua" w:hAnsi="Book Antiqua" w:cs="TimesNewRomanPSMT"/>
        </w:rPr>
        <w:t>Tables of Report</w:t>
      </w:r>
      <w:r>
        <w:rPr>
          <w:rFonts w:ascii="Book Antiqua" w:hAnsi="Book Antiqua" w:cs="TimesNewRomanPSMT"/>
        </w:rPr>
        <w:t>s</w:t>
      </w:r>
    </w:p>
    <w:p w:rsidRPr="00F64147" w:rsidR="003B7C12" w:rsidP="003B7C12" w:rsidRDefault="003B7C12" w14:paraId="5A12CC74" w14:textId="579653E5">
      <w:pPr>
        <w:pStyle w:val="ListParagraph"/>
        <w:autoSpaceDE w:val="0"/>
        <w:autoSpaceDN w:val="0"/>
        <w:adjustRightInd w:val="0"/>
        <w:ind w:left="1440"/>
        <w:rPr>
          <w:rFonts w:ascii="Book Antiqua" w:hAnsi="Book Antiqua"/>
        </w:rPr>
      </w:pPr>
      <w:r w:rsidRPr="00F64147">
        <w:rPr>
          <w:rFonts w:ascii="Book Antiqua" w:hAnsi="Book Antiqua" w:cs="TimesNewRomanPSMT"/>
        </w:rPr>
        <w:t>The following tables highlight the above reporting requirements</w:t>
      </w:r>
      <w:r w:rsidR="008813A0">
        <w:rPr>
          <w:rFonts w:ascii="Book Antiqua" w:hAnsi="Book Antiqua" w:cs="TimesNewRomanPSMT"/>
        </w:rPr>
        <w:t xml:space="preserve"> and ALs</w:t>
      </w:r>
      <w:r w:rsidRPr="00F64147">
        <w:rPr>
          <w:rFonts w:ascii="Book Antiqua" w:hAnsi="Book Antiqua" w:cs="TimesNewRomanPSMT"/>
        </w:rPr>
        <w:t xml:space="preserve">. In the event of a conflict between the requirements in </w:t>
      </w:r>
      <w:r w:rsidRPr="00F64147">
        <w:rPr>
          <w:rFonts w:ascii="Book Antiqua" w:hAnsi="Book Antiqua"/>
        </w:rPr>
        <w:t>the tables</w:t>
      </w:r>
      <w:r w:rsidRPr="00F64147">
        <w:rPr>
          <w:rFonts w:ascii="Book Antiqua" w:hAnsi="Book Antiqua"/>
          <w:strike/>
        </w:rPr>
        <w:t>,</w:t>
      </w:r>
      <w:r w:rsidRPr="00F64147">
        <w:rPr>
          <w:rFonts w:ascii="Book Antiqua" w:hAnsi="Book Antiqua"/>
        </w:rPr>
        <w:t xml:space="preserve"> and those in the body of this document, the terms in the body of this document shall govern.</w:t>
      </w:r>
    </w:p>
    <w:p w:rsidR="003B7C12" w:rsidP="003B7C12" w:rsidRDefault="003B7C12" w14:paraId="1E3A76A1" w14:textId="77777777">
      <w:pPr>
        <w:pStyle w:val="ListParagraph"/>
        <w:autoSpaceDE w:val="0"/>
        <w:autoSpaceDN w:val="0"/>
        <w:adjustRightInd w:val="0"/>
        <w:ind w:left="1440"/>
        <w:rPr>
          <w:rFonts w:ascii="Book Antiqua" w:hAnsi="Book Antiqua" w:cs="TimesNewRomanPSMT"/>
        </w:rPr>
      </w:pPr>
      <w:r>
        <w:rPr>
          <w:rFonts w:ascii="Book Antiqua" w:hAnsi="Book Antiqua" w:cs="TimesNewRomanPSMT"/>
        </w:rPr>
        <w:br w:type="page"/>
      </w:r>
    </w:p>
    <w:p w:rsidRPr="00F64147" w:rsidR="003B7C12" w:rsidP="003B7C12" w:rsidRDefault="003B7C12" w14:paraId="43E5B4F6" w14:textId="77777777">
      <w:pPr>
        <w:pStyle w:val="ListParagraph"/>
        <w:autoSpaceDE w:val="0"/>
        <w:autoSpaceDN w:val="0"/>
        <w:adjustRightInd w:val="0"/>
        <w:ind w:left="1440"/>
        <w:rPr>
          <w:rFonts w:ascii="Book Antiqua" w:hAnsi="Book Antiqua" w:cs="TimesNewRomanPSMT"/>
        </w:rPr>
      </w:pPr>
    </w:p>
    <w:p w:rsidRPr="00F64147" w:rsidR="003B7C12" w:rsidP="003B7C12" w:rsidRDefault="003B7C12" w14:paraId="5E5C1D3A" w14:textId="77777777">
      <w:pPr>
        <w:pStyle w:val="Standard"/>
        <w:ind w:firstLine="0"/>
        <w:rPr>
          <w:b/>
          <w:bCs/>
        </w:rPr>
      </w:pPr>
      <w:r w:rsidRPr="00F64147">
        <w:rPr>
          <w:b/>
          <w:bCs/>
        </w:rPr>
        <w:t xml:space="preserve">Table 1: </w:t>
      </w:r>
      <w:r w:rsidRPr="00F64147">
        <w:rPr>
          <w:b/>
          <w:bCs/>
        </w:rPr>
        <w:tab/>
        <w:t>Program Webpages</w:t>
      </w:r>
    </w:p>
    <w:tbl>
      <w:tblPr>
        <w:tblStyle w:val="PlainTable11"/>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785"/>
        <w:gridCol w:w="3780"/>
        <w:gridCol w:w="3150"/>
      </w:tblGrid>
      <w:tr w:rsidRPr="00F64147" w:rsidR="003B7C12" w:rsidTr="001B788B" w14:paraId="648F8EEE" w14:textId="77777777">
        <w:trPr>
          <w:cnfStyle w:val="100000000000" w:firstRow="1" w:lastRow="0" w:firstColumn="0" w:lastColumn="0" w:oddVBand="0" w:evenVBand="0" w:oddHBand="0" w:evenHBand="0" w:firstRowFirstColumn="0" w:firstRowLastColumn="0" w:lastRowFirstColumn="0" w:lastRowLastColumn="0"/>
        </w:trPr>
        <w:tc>
          <w:tcPr>
            <w:tcW w:w="2785" w:type="dxa"/>
            <w:shd w:val="clear" w:color="auto" w:fill="D9D9D9" w:themeFill="background1" w:themeFillShade="D9"/>
          </w:tcPr>
          <w:p w:rsidRPr="00F64147" w:rsidR="003B7C12" w:rsidP="001B788B" w:rsidRDefault="003B7C12" w14:paraId="0EDA2E70" w14:textId="77777777">
            <w:pPr>
              <w:spacing w:before="120" w:after="120" w:line="240" w:lineRule="auto"/>
              <w:ind w:firstLine="0"/>
              <w:rPr>
                <w:sz w:val="24"/>
                <w:szCs w:val="24"/>
              </w:rPr>
            </w:pPr>
            <w:r w:rsidRPr="00F64147">
              <w:rPr>
                <w:sz w:val="24"/>
                <w:szCs w:val="24"/>
              </w:rPr>
              <w:t>Data/information</w:t>
            </w:r>
          </w:p>
        </w:tc>
        <w:tc>
          <w:tcPr>
            <w:tcW w:w="3780" w:type="dxa"/>
            <w:shd w:val="clear" w:color="auto" w:fill="D9D9D9" w:themeFill="background1" w:themeFillShade="D9"/>
          </w:tcPr>
          <w:p w:rsidRPr="00F64147" w:rsidR="003B7C12" w:rsidP="001B788B" w:rsidRDefault="003B7C12" w14:paraId="63343588" w14:textId="77777777">
            <w:pPr>
              <w:spacing w:before="120" w:after="120" w:line="240" w:lineRule="auto"/>
              <w:ind w:firstLine="0"/>
              <w:rPr>
                <w:sz w:val="24"/>
                <w:szCs w:val="24"/>
              </w:rPr>
            </w:pPr>
            <w:r w:rsidRPr="00F64147">
              <w:rPr>
                <w:sz w:val="24"/>
                <w:szCs w:val="24"/>
              </w:rPr>
              <w:t>Update Frequency</w:t>
            </w:r>
          </w:p>
        </w:tc>
        <w:tc>
          <w:tcPr>
            <w:tcW w:w="3150" w:type="dxa"/>
            <w:shd w:val="clear" w:color="auto" w:fill="D9D9D9" w:themeFill="background1" w:themeFillShade="D9"/>
          </w:tcPr>
          <w:p w:rsidRPr="00F64147" w:rsidR="003B7C12" w:rsidP="001B788B" w:rsidRDefault="003B7C12" w14:paraId="64F6A11C" w14:textId="77777777">
            <w:pPr>
              <w:spacing w:before="120" w:after="120" w:line="240" w:lineRule="auto"/>
              <w:ind w:firstLine="0"/>
              <w:rPr>
                <w:sz w:val="24"/>
                <w:szCs w:val="24"/>
              </w:rPr>
            </w:pPr>
            <w:r w:rsidRPr="00F64147">
              <w:rPr>
                <w:sz w:val="24"/>
                <w:szCs w:val="24"/>
              </w:rPr>
              <w:t>Notes</w:t>
            </w:r>
          </w:p>
        </w:tc>
      </w:tr>
      <w:tr w:rsidRPr="00F64147" w:rsidR="003B7C12" w:rsidTr="001B788B" w14:paraId="6F25D54C" w14:textId="77777777">
        <w:trPr>
          <w:cnfStyle w:val="000000100000" w:firstRow="0" w:lastRow="0" w:firstColumn="0" w:lastColumn="0" w:oddVBand="0" w:evenVBand="0" w:oddHBand="1" w:evenHBand="0" w:firstRowFirstColumn="0" w:firstRowLastColumn="0" w:lastRowFirstColumn="0" w:lastRowLastColumn="0"/>
        </w:trPr>
        <w:tc>
          <w:tcPr>
            <w:tcW w:w="2785" w:type="dxa"/>
            <w:shd w:val="clear" w:color="auto" w:fill="auto"/>
          </w:tcPr>
          <w:p w:rsidRPr="00F64147" w:rsidR="003B7C12" w:rsidP="001B788B" w:rsidRDefault="003B7C12" w14:paraId="726B1F8B" w14:textId="77777777">
            <w:pPr>
              <w:spacing w:line="240" w:lineRule="auto"/>
              <w:ind w:firstLine="0"/>
              <w:rPr>
                <w:sz w:val="24"/>
                <w:szCs w:val="24"/>
              </w:rPr>
            </w:pPr>
            <w:r w:rsidRPr="00F64147">
              <w:rPr>
                <w:sz w:val="24"/>
                <w:szCs w:val="24"/>
              </w:rPr>
              <w:t>Program information</w:t>
            </w:r>
          </w:p>
        </w:tc>
        <w:tc>
          <w:tcPr>
            <w:tcW w:w="3780" w:type="dxa"/>
            <w:shd w:val="clear" w:color="auto" w:fill="auto"/>
          </w:tcPr>
          <w:p w:rsidRPr="00F64147" w:rsidR="003B7C12" w:rsidP="001B788B" w:rsidRDefault="003B7C12" w14:paraId="12A60498" w14:textId="77777777">
            <w:pPr>
              <w:spacing w:line="240" w:lineRule="auto"/>
              <w:ind w:firstLine="0"/>
              <w:rPr>
                <w:sz w:val="24"/>
                <w:szCs w:val="24"/>
              </w:rPr>
            </w:pPr>
            <w:r w:rsidRPr="00F64147">
              <w:rPr>
                <w:sz w:val="24"/>
                <w:szCs w:val="24"/>
              </w:rPr>
              <w:t>n/a</w:t>
            </w:r>
          </w:p>
        </w:tc>
        <w:tc>
          <w:tcPr>
            <w:tcW w:w="3150" w:type="dxa"/>
            <w:shd w:val="clear" w:color="auto" w:fill="auto"/>
          </w:tcPr>
          <w:p w:rsidRPr="00F64147" w:rsidR="003B7C12" w:rsidP="001B788B" w:rsidRDefault="003B7C12" w14:paraId="060B00AE" w14:textId="77777777">
            <w:pPr>
              <w:spacing w:line="240" w:lineRule="auto"/>
              <w:ind w:firstLine="0"/>
              <w:rPr>
                <w:sz w:val="24"/>
                <w:szCs w:val="24"/>
              </w:rPr>
            </w:pPr>
            <w:r w:rsidRPr="0019096A">
              <w:rPr>
                <w:i/>
                <w:iCs/>
                <w:sz w:val="24"/>
                <w:szCs w:val="24"/>
              </w:rPr>
              <w:t xml:space="preserve">See </w:t>
            </w:r>
            <w:r w:rsidRPr="00F64147">
              <w:rPr>
                <w:sz w:val="24"/>
                <w:szCs w:val="24"/>
              </w:rPr>
              <w:t xml:space="preserve">Section VII, </w:t>
            </w:r>
            <w:r w:rsidRPr="00F64147">
              <w:rPr>
                <w:i/>
                <w:sz w:val="24"/>
                <w:szCs w:val="24"/>
              </w:rPr>
              <w:t>supra</w:t>
            </w:r>
          </w:p>
        </w:tc>
      </w:tr>
      <w:tr w:rsidRPr="00F64147" w:rsidR="003B7C12" w:rsidTr="001B788B" w14:paraId="39E6CB3B" w14:textId="77777777">
        <w:tc>
          <w:tcPr>
            <w:tcW w:w="2785" w:type="dxa"/>
            <w:shd w:val="clear" w:color="auto" w:fill="auto"/>
          </w:tcPr>
          <w:p w:rsidRPr="00F64147" w:rsidR="003B7C12" w:rsidP="001B788B" w:rsidRDefault="003B7C12" w14:paraId="1974A665" w14:textId="77777777">
            <w:pPr>
              <w:spacing w:line="240" w:lineRule="auto"/>
              <w:ind w:firstLine="0"/>
              <w:rPr>
                <w:sz w:val="24"/>
                <w:szCs w:val="24"/>
              </w:rPr>
            </w:pPr>
            <w:r w:rsidRPr="00F64147">
              <w:rPr>
                <w:sz w:val="24"/>
                <w:szCs w:val="24"/>
              </w:rPr>
              <w:t>Carbon intensity of traditional NG</w:t>
            </w:r>
          </w:p>
        </w:tc>
        <w:tc>
          <w:tcPr>
            <w:tcW w:w="3780" w:type="dxa"/>
            <w:shd w:val="clear" w:color="auto" w:fill="auto"/>
          </w:tcPr>
          <w:p w:rsidRPr="00F64147" w:rsidR="003B7C12" w:rsidP="001B788B" w:rsidRDefault="003B7C12" w14:paraId="2B2025D1" w14:textId="77777777">
            <w:pPr>
              <w:spacing w:line="240" w:lineRule="auto"/>
              <w:ind w:firstLine="0"/>
              <w:rPr>
                <w:sz w:val="24"/>
                <w:szCs w:val="24"/>
              </w:rPr>
            </w:pPr>
            <w:r w:rsidRPr="00F64147">
              <w:rPr>
                <w:sz w:val="24"/>
                <w:szCs w:val="24"/>
              </w:rPr>
              <w:t>Annually</w:t>
            </w:r>
          </w:p>
        </w:tc>
        <w:tc>
          <w:tcPr>
            <w:tcW w:w="3150" w:type="dxa"/>
            <w:shd w:val="clear" w:color="auto" w:fill="auto"/>
          </w:tcPr>
          <w:p w:rsidRPr="00F64147" w:rsidR="003B7C12" w:rsidP="001B788B" w:rsidRDefault="003B7C12" w14:paraId="0B579474" w14:textId="77777777">
            <w:pPr>
              <w:spacing w:line="240" w:lineRule="auto"/>
              <w:ind w:firstLine="0"/>
              <w:rPr>
                <w:sz w:val="24"/>
                <w:szCs w:val="24"/>
              </w:rPr>
            </w:pPr>
            <w:r w:rsidRPr="00F64147">
              <w:rPr>
                <w:sz w:val="24"/>
                <w:szCs w:val="24"/>
              </w:rPr>
              <w:t>Available day 1</w:t>
            </w:r>
          </w:p>
        </w:tc>
      </w:tr>
      <w:tr w:rsidRPr="00F64147" w:rsidR="003B7C12" w:rsidTr="001B788B" w14:paraId="217903D8" w14:textId="77777777">
        <w:trPr>
          <w:cnfStyle w:val="000000100000" w:firstRow="0" w:lastRow="0" w:firstColumn="0" w:lastColumn="0" w:oddVBand="0" w:evenVBand="0" w:oddHBand="1" w:evenHBand="0" w:firstRowFirstColumn="0" w:firstRowLastColumn="0" w:lastRowFirstColumn="0" w:lastRowLastColumn="0"/>
        </w:trPr>
        <w:tc>
          <w:tcPr>
            <w:tcW w:w="2785" w:type="dxa"/>
            <w:shd w:val="clear" w:color="auto" w:fill="auto"/>
          </w:tcPr>
          <w:p w:rsidRPr="00F64147" w:rsidR="003B7C12" w:rsidP="001B788B" w:rsidRDefault="003B7C12" w14:paraId="660F6CE6" w14:textId="77777777">
            <w:pPr>
              <w:spacing w:line="240" w:lineRule="auto"/>
              <w:ind w:firstLine="0"/>
              <w:rPr>
                <w:sz w:val="24"/>
                <w:szCs w:val="24"/>
              </w:rPr>
            </w:pPr>
            <w:r w:rsidRPr="00F64147">
              <w:rPr>
                <w:sz w:val="24"/>
                <w:szCs w:val="24"/>
              </w:rPr>
              <w:t>Carbon intensity for the RNG Tariff program</w:t>
            </w:r>
          </w:p>
        </w:tc>
        <w:tc>
          <w:tcPr>
            <w:tcW w:w="3780" w:type="dxa"/>
            <w:shd w:val="clear" w:color="auto" w:fill="auto"/>
          </w:tcPr>
          <w:p w:rsidRPr="00F64147" w:rsidR="003B7C12" w:rsidP="001B788B" w:rsidRDefault="003B7C12" w14:paraId="78D1A4EB" w14:textId="77777777">
            <w:pPr>
              <w:spacing w:line="240" w:lineRule="auto"/>
              <w:ind w:firstLine="0"/>
              <w:rPr>
                <w:sz w:val="24"/>
                <w:szCs w:val="24"/>
              </w:rPr>
            </w:pPr>
            <w:r w:rsidRPr="00F64147">
              <w:rPr>
                <w:sz w:val="24"/>
                <w:szCs w:val="24"/>
              </w:rPr>
              <w:t>Available once an RNG source is contracted, then every 6 months</w:t>
            </w:r>
          </w:p>
        </w:tc>
        <w:tc>
          <w:tcPr>
            <w:tcW w:w="3150" w:type="dxa"/>
            <w:shd w:val="clear" w:color="auto" w:fill="auto"/>
          </w:tcPr>
          <w:p w:rsidRPr="00F64147" w:rsidR="003B7C12" w:rsidP="001B788B" w:rsidRDefault="003B7C12" w14:paraId="1DB0C4C2" w14:textId="77777777">
            <w:pPr>
              <w:spacing w:line="240" w:lineRule="auto"/>
              <w:ind w:firstLine="0"/>
              <w:rPr>
                <w:sz w:val="24"/>
                <w:szCs w:val="24"/>
              </w:rPr>
            </w:pPr>
          </w:p>
        </w:tc>
      </w:tr>
      <w:tr w:rsidRPr="00F64147" w:rsidR="003B7C12" w:rsidTr="001B788B" w14:paraId="2418979C" w14:textId="77777777">
        <w:tc>
          <w:tcPr>
            <w:tcW w:w="2785" w:type="dxa"/>
            <w:shd w:val="clear" w:color="auto" w:fill="auto"/>
          </w:tcPr>
          <w:p w:rsidRPr="00F64147" w:rsidR="003B7C12" w:rsidP="001B788B" w:rsidRDefault="003B7C12" w14:paraId="3A95463E" w14:textId="77777777">
            <w:pPr>
              <w:spacing w:line="240" w:lineRule="auto"/>
              <w:ind w:firstLine="0"/>
              <w:rPr>
                <w:sz w:val="24"/>
                <w:szCs w:val="24"/>
              </w:rPr>
            </w:pPr>
            <w:r w:rsidRPr="00F64147">
              <w:rPr>
                <w:sz w:val="24"/>
                <w:szCs w:val="24"/>
              </w:rPr>
              <w:t xml:space="preserve">Feedstock type percentage </w:t>
            </w:r>
          </w:p>
        </w:tc>
        <w:tc>
          <w:tcPr>
            <w:tcW w:w="3780" w:type="dxa"/>
            <w:shd w:val="clear" w:color="auto" w:fill="auto"/>
          </w:tcPr>
          <w:p w:rsidRPr="00F64147" w:rsidR="003B7C12" w:rsidP="001B788B" w:rsidRDefault="003B7C12" w14:paraId="0BB48B06" w14:textId="77777777">
            <w:pPr>
              <w:spacing w:line="240" w:lineRule="auto"/>
              <w:ind w:firstLine="0"/>
              <w:rPr>
                <w:sz w:val="24"/>
                <w:szCs w:val="24"/>
              </w:rPr>
            </w:pPr>
            <w:r w:rsidRPr="00F64147">
              <w:rPr>
                <w:sz w:val="24"/>
                <w:szCs w:val="24"/>
              </w:rPr>
              <w:t>Available once an RNG source is contracted, then every 6 months</w:t>
            </w:r>
          </w:p>
        </w:tc>
        <w:tc>
          <w:tcPr>
            <w:tcW w:w="3150" w:type="dxa"/>
            <w:shd w:val="clear" w:color="auto" w:fill="auto"/>
          </w:tcPr>
          <w:p w:rsidRPr="00F64147" w:rsidR="003B7C12" w:rsidP="001B788B" w:rsidRDefault="003B7C12" w14:paraId="28461822" w14:textId="77777777">
            <w:pPr>
              <w:spacing w:line="240" w:lineRule="auto"/>
              <w:ind w:firstLine="0"/>
              <w:rPr>
                <w:sz w:val="24"/>
                <w:szCs w:val="24"/>
              </w:rPr>
            </w:pPr>
            <w:r w:rsidRPr="00F64147">
              <w:rPr>
                <w:sz w:val="24"/>
                <w:szCs w:val="24"/>
              </w:rPr>
              <w:t>Pie chart of supply by feedstock</w:t>
            </w:r>
          </w:p>
        </w:tc>
      </w:tr>
      <w:tr w:rsidRPr="00F64147" w:rsidR="003B7C12" w:rsidTr="001B788B" w14:paraId="0FC05432" w14:textId="77777777">
        <w:trPr>
          <w:cnfStyle w:val="000000100000" w:firstRow="0" w:lastRow="0" w:firstColumn="0" w:lastColumn="0" w:oddVBand="0" w:evenVBand="0" w:oddHBand="1" w:evenHBand="0" w:firstRowFirstColumn="0" w:firstRowLastColumn="0" w:lastRowFirstColumn="0" w:lastRowLastColumn="0"/>
        </w:trPr>
        <w:tc>
          <w:tcPr>
            <w:tcW w:w="2785" w:type="dxa"/>
            <w:shd w:val="clear" w:color="auto" w:fill="auto"/>
          </w:tcPr>
          <w:p w:rsidRPr="00F64147" w:rsidR="003B7C12" w:rsidP="001B788B" w:rsidRDefault="003B7C12" w14:paraId="5E7D0B8B" w14:textId="77777777">
            <w:pPr>
              <w:spacing w:line="240" w:lineRule="auto"/>
              <w:ind w:firstLine="0"/>
              <w:rPr>
                <w:sz w:val="24"/>
                <w:szCs w:val="24"/>
              </w:rPr>
            </w:pPr>
            <w:r w:rsidRPr="00F64147">
              <w:rPr>
                <w:sz w:val="24"/>
                <w:szCs w:val="24"/>
              </w:rPr>
              <w:t>Carbon intensity for feedstock</w:t>
            </w:r>
          </w:p>
        </w:tc>
        <w:tc>
          <w:tcPr>
            <w:tcW w:w="3780" w:type="dxa"/>
            <w:shd w:val="clear" w:color="auto" w:fill="auto"/>
          </w:tcPr>
          <w:p w:rsidRPr="00F64147" w:rsidR="003B7C12" w:rsidP="001B788B" w:rsidRDefault="003B7C12" w14:paraId="7E30C575" w14:textId="77777777">
            <w:pPr>
              <w:spacing w:line="240" w:lineRule="auto"/>
              <w:ind w:firstLine="0"/>
              <w:rPr>
                <w:sz w:val="24"/>
                <w:szCs w:val="24"/>
              </w:rPr>
            </w:pPr>
            <w:r w:rsidRPr="00F64147">
              <w:rPr>
                <w:sz w:val="24"/>
                <w:szCs w:val="24"/>
              </w:rPr>
              <w:t>Annually</w:t>
            </w:r>
          </w:p>
        </w:tc>
        <w:tc>
          <w:tcPr>
            <w:tcW w:w="3150" w:type="dxa"/>
            <w:shd w:val="clear" w:color="auto" w:fill="auto"/>
          </w:tcPr>
          <w:p w:rsidRPr="00F64147" w:rsidR="003B7C12" w:rsidP="001B788B" w:rsidRDefault="003B7C12" w14:paraId="30142446" w14:textId="77777777">
            <w:pPr>
              <w:spacing w:line="240" w:lineRule="auto"/>
              <w:ind w:firstLine="0"/>
              <w:rPr>
                <w:sz w:val="24"/>
                <w:szCs w:val="24"/>
              </w:rPr>
            </w:pPr>
            <w:r w:rsidRPr="00F64147">
              <w:rPr>
                <w:sz w:val="24"/>
                <w:szCs w:val="24"/>
              </w:rPr>
              <w:t xml:space="preserve">Available day 1. </w:t>
            </w:r>
          </w:p>
        </w:tc>
      </w:tr>
      <w:tr w:rsidRPr="00F64147" w:rsidR="003B7C12" w:rsidTr="001B788B" w14:paraId="71318760" w14:textId="77777777">
        <w:tc>
          <w:tcPr>
            <w:tcW w:w="2785" w:type="dxa"/>
            <w:shd w:val="clear" w:color="auto" w:fill="auto"/>
          </w:tcPr>
          <w:p w:rsidRPr="00F64147" w:rsidR="003B7C12" w:rsidP="001B788B" w:rsidRDefault="003B7C12" w14:paraId="606AAF92" w14:textId="77777777">
            <w:pPr>
              <w:spacing w:line="240" w:lineRule="auto"/>
              <w:ind w:firstLine="0"/>
              <w:rPr>
                <w:sz w:val="24"/>
                <w:szCs w:val="24"/>
              </w:rPr>
            </w:pPr>
            <w:r w:rsidRPr="00F64147">
              <w:rPr>
                <w:sz w:val="24"/>
                <w:szCs w:val="24"/>
              </w:rPr>
              <w:t xml:space="preserve">Source state percentage </w:t>
            </w:r>
          </w:p>
        </w:tc>
        <w:tc>
          <w:tcPr>
            <w:tcW w:w="3780" w:type="dxa"/>
            <w:shd w:val="clear" w:color="auto" w:fill="auto"/>
          </w:tcPr>
          <w:p w:rsidRPr="00F64147" w:rsidR="003B7C12" w:rsidP="001B788B" w:rsidRDefault="003B7C12" w14:paraId="77DE50B9" w14:textId="77777777">
            <w:pPr>
              <w:spacing w:line="240" w:lineRule="auto"/>
              <w:ind w:firstLine="0"/>
              <w:rPr>
                <w:sz w:val="24"/>
                <w:szCs w:val="24"/>
              </w:rPr>
            </w:pPr>
            <w:r w:rsidRPr="00F64147">
              <w:rPr>
                <w:sz w:val="24"/>
                <w:szCs w:val="24"/>
              </w:rPr>
              <w:t>Available once an RNG source is contracted, then every 6 months</w:t>
            </w:r>
          </w:p>
        </w:tc>
        <w:tc>
          <w:tcPr>
            <w:tcW w:w="3150" w:type="dxa"/>
            <w:shd w:val="clear" w:color="auto" w:fill="auto"/>
          </w:tcPr>
          <w:p w:rsidRPr="00F64147" w:rsidR="003B7C12" w:rsidP="001B788B" w:rsidRDefault="003B7C12" w14:paraId="26CBBD7F" w14:textId="77777777">
            <w:pPr>
              <w:spacing w:line="240" w:lineRule="auto"/>
              <w:ind w:firstLine="0"/>
              <w:rPr>
                <w:sz w:val="24"/>
                <w:szCs w:val="24"/>
              </w:rPr>
            </w:pPr>
            <w:r w:rsidRPr="00F64147">
              <w:rPr>
                <w:sz w:val="24"/>
                <w:szCs w:val="24"/>
              </w:rPr>
              <w:t>Pie chart of supply by state</w:t>
            </w:r>
          </w:p>
        </w:tc>
      </w:tr>
    </w:tbl>
    <w:p w:rsidRPr="00F64147" w:rsidR="003B7C12" w:rsidP="003B7C12" w:rsidRDefault="003B7C12" w14:paraId="142370B4" w14:textId="77777777">
      <w:pPr>
        <w:ind w:firstLine="0"/>
        <w:rPr>
          <w:rFonts w:eastAsia="Calibri" w:cs="Times New Roman"/>
        </w:rPr>
      </w:pPr>
    </w:p>
    <w:p w:rsidRPr="00F64147" w:rsidR="003B7C12" w:rsidP="003B7C12" w:rsidRDefault="003B7C12" w14:paraId="2EA76290" w14:textId="77777777">
      <w:pPr>
        <w:pStyle w:val="Standard"/>
        <w:ind w:firstLine="0"/>
        <w:rPr>
          <w:rFonts w:eastAsia="Calibri"/>
          <w:b/>
          <w:bCs/>
        </w:rPr>
      </w:pPr>
      <w:r w:rsidRPr="00F64147">
        <w:rPr>
          <w:b/>
          <w:bCs/>
        </w:rPr>
        <w:t xml:space="preserve">Table 2: </w:t>
      </w:r>
      <w:r w:rsidRPr="00F64147">
        <w:rPr>
          <w:b/>
          <w:bCs/>
        </w:rPr>
        <w:tab/>
        <w:t>Enrollment Acknowledgement</w:t>
      </w:r>
    </w:p>
    <w:tbl>
      <w:tblPr>
        <w:tblStyle w:val="PlainTable11"/>
        <w:tblW w:w="9985" w:type="dxa"/>
        <w:tblLook w:val="0420" w:firstRow="1" w:lastRow="0" w:firstColumn="0" w:lastColumn="0" w:noHBand="0" w:noVBand="1"/>
      </w:tblPr>
      <w:tblGrid>
        <w:gridCol w:w="3775"/>
        <w:gridCol w:w="2250"/>
        <w:gridCol w:w="3960"/>
      </w:tblGrid>
      <w:tr w:rsidRPr="00F64147" w:rsidR="003B7C12" w:rsidTr="001B788B" w14:paraId="5FD461FB" w14:textId="77777777">
        <w:trPr>
          <w:cnfStyle w:val="100000000000" w:firstRow="1" w:lastRow="0" w:firstColumn="0" w:lastColumn="0" w:oddVBand="0" w:evenVBand="0" w:oddHBand="0" w:evenHBand="0" w:firstRowFirstColumn="0" w:firstRowLastColumn="0" w:lastRowFirstColumn="0" w:lastRowLastColumn="0"/>
        </w:trPr>
        <w:tc>
          <w:tcPr>
            <w:tcW w:w="3775" w:type="dxa"/>
          </w:tcPr>
          <w:p w:rsidRPr="00F64147" w:rsidR="003B7C12" w:rsidP="001B788B" w:rsidRDefault="003B7C12" w14:paraId="667CF87D" w14:textId="77777777">
            <w:pPr>
              <w:spacing w:before="120" w:after="120" w:line="240" w:lineRule="auto"/>
              <w:ind w:firstLine="0"/>
              <w:rPr>
                <w:sz w:val="24"/>
                <w:szCs w:val="24"/>
              </w:rPr>
            </w:pPr>
            <w:r w:rsidRPr="00F64147">
              <w:rPr>
                <w:sz w:val="24"/>
                <w:szCs w:val="24"/>
              </w:rPr>
              <w:t>Data/information</w:t>
            </w:r>
          </w:p>
        </w:tc>
        <w:tc>
          <w:tcPr>
            <w:tcW w:w="2250" w:type="dxa"/>
          </w:tcPr>
          <w:p w:rsidRPr="00F64147" w:rsidR="003B7C12" w:rsidP="001B788B" w:rsidRDefault="003B7C12" w14:paraId="6355CCDE" w14:textId="77777777">
            <w:pPr>
              <w:spacing w:before="120" w:after="120" w:line="240" w:lineRule="auto"/>
              <w:ind w:firstLine="0"/>
              <w:rPr>
                <w:sz w:val="24"/>
                <w:szCs w:val="24"/>
              </w:rPr>
            </w:pPr>
            <w:r w:rsidRPr="00F64147">
              <w:rPr>
                <w:sz w:val="24"/>
                <w:szCs w:val="24"/>
              </w:rPr>
              <w:t>Update Frequency</w:t>
            </w:r>
          </w:p>
        </w:tc>
        <w:tc>
          <w:tcPr>
            <w:tcW w:w="3960" w:type="dxa"/>
          </w:tcPr>
          <w:p w:rsidRPr="00F64147" w:rsidR="003B7C12" w:rsidP="001B788B" w:rsidRDefault="003B7C12" w14:paraId="6DA14B58" w14:textId="77777777">
            <w:pPr>
              <w:spacing w:before="120" w:after="120" w:line="240" w:lineRule="auto"/>
              <w:ind w:firstLine="0"/>
              <w:rPr>
                <w:sz w:val="24"/>
                <w:szCs w:val="24"/>
              </w:rPr>
            </w:pPr>
            <w:r w:rsidRPr="00F64147">
              <w:rPr>
                <w:sz w:val="24"/>
                <w:szCs w:val="24"/>
              </w:rPr>
              <w:t>Notes</w:t>
            </w:r>
          </w:p>
        </w:tc>
      </w:tr>
      <w:tr w:rsidRPr="00F64147" w:rsidR="003B7C12" w:rsidTr="001B788B" w14:paraId="65BBC49E" w14:textId="77777777">
        <w:trPr>
          <w:cnfStyle w:val="000000100000" w:firstRow="0" w:lastRow="0" w:firstColumn="0" w:lastColumn="0" w:oddVBand="0" w:evenVBand="0" w:oddHBand="1" w:evenHBand="0" w:firstRowFirstColumn="0" w:firstRowLastColumn="0" w:lastRowFirstColumn="0" w:lastRowLastColumn="0"/>
        </w:trPr>
        <w:tc>
          <w:tcPr>
            <w:tcW w:w="3775" w:type="dxa"/>
          </w:tcPr>
          <w:p w:rsidRPr="00F64147" w:rsidR="003B7C12" w:rsidP="001B788B" w:rsidRDefault="003B7C12" w14:paraId="71BFD37D" w14:textId="77777777">
            <w:pPr>
              <w:spacing w:line="240" w:lineRule="auto"/>
              <w:ind w:firstLine="0"/>
              <w:rPr>
                <w:sz w:val="24"/>
                <w:szCs w:val="24"/>
              </w:rPr>
            </w:pPr>
            <w:r w:rsidRPr="00F64147">
              <w:rPr>
                <w:sz w:val="24"/>
                <w:szCs w:val="24"/>
              </w:rPr>
              <w:t>Start date for RNG Tariff program</w:t>
            </w:r>
          </w:p>
        </w:tc>
        <w:tc>
          <w:tcPr>
            <w:tcW w:w="2250" w:type="dxa"/>
          </w:tcPr>
          <w:p w:rsidRPr="00F64147" w:rsidR="003B7C12" w:rsidP="001B788B" w:rsidRDefault="003B7C12" w14:paraId="67216588" w14:textId="77777777">
            <w:pPr>
              <w:spacing w:line="240" w:lineRule="auto"/>
              <w:ind w:firstLine="0"/>
              <w:rPr>
                <w:sz w:val="24"/>
                <w:szCs w:val="24"/>
              </w:rPr>
            </w:pPr>
            <w:r w:rsidRPr="00F64147">
              <w:rPr>
                <w:sz w:val="24"/>
                <w:szCs w:val="24"/>
              </w:rPr>
              <w:t>After enrollment</w:t>
            </w:r>
          </w:p>
        </w:tc>
        <w:tc>
          <w:tcPr>
            <w:tcW w:w="3960" w:type="dxa"/>
          </w:tcPr>
          <w:p w:rsidRPr="00F64147" w:rsidR="003B7C12" w:rsidP="001B788B" w:rsidRDefault="003B7C12" w14:paraId="07410DD1" w14:textId="77777777">
            <w:pPr>
              <w:spacing w:line="240" w:lineRule="auto"/>
              <w:ind w:firstLine="0"/>
              <w:rPr>
                <w:sz w:val="24"/>
                <w:szCs w:val="24"/>
              </w:rPr>
            </w:pPr>
            <w:r w:rsidRPr="00F64147">
              <w:rPr>
                <w:sz w:val="24"/>
                <w:szCs w:val="24"/>
              </w:rPr>
              <w:t xml:space="preserve">Send as soon as practicable </w:t>
            </w:r>
          </w:p>
        </w:tc>
      </w:tr>
      <w:tr w:rsidRPr="00F64147" w:rsidR="003B7C12" w:rsidTr="001B788B" w14:paraId="06BC056B" w14:textId="77777777">
        <w:tc>
          <w:tcPr>
            <w:tcW w:w="3775" w:type="dxa"/>
          </w:tcPr>
          <w:p w:rsidRPr="00F64147" w:rsidR="003B7C12" w:rsidP="001B788B" w:rsidRDefault="003B7C12" w14:paraId="6F72DC5A" w14:textId="77777777">
            <w:pPr>
              <w:spacing w:line="240" w:lineRule="auto"/>
              <w:ind w:firstLine="0"/>
              <w:rPr>
                <w:sz w:val="24"/>
                <w:szCs w:val="24"/>
              </w:rPr>
            </w:pPr>
            <w:r w:rsidRPr="00F64147">
              <w:rPr>
                <w:sz w:val="24"/>
                <w:szCs w:val="24"/>
              </w:rPr>
              <w:t>Commitment end date</w:t>
            </w:r>
          </w:p>
        </w:tc>
        <w:tc>
          <w:tcPr>
            <w:tcW w:w="2250" w:type="dxa"/>
          </w:tcPr>
          <w:p w:rsidRPr="00F64147" w:rsidR="003B7C12" w:rsidP="001B788B" w:rsidRDefault="003B7C12" w14:paraId="247C6BAC" w14:textId="77777777">
            <w:pPr>
              <w:spacing w:line="240" w:lineRule="auto"/>
              <w:ind w:firstLine="0"/>
              <w:rPr>
                <w:sz w:val="24"/>
                <w:szCs w:val="24"/>
              </w:rPr>
            </w:pPr>
          </w:p>
        </w:tc>
        <w:tc>
          <w:tcPr>
            <w:tcW w:w="3960" w:type="dxa"/>
          </w:tcPr>
          <w:p w:rsidRPr="00F64147" w:rsidR="003B7C12" w:rsidP="001B788B" w:rsidRDefault="003B7C12" w14:paraId="543B6C71" w14:textId="77777777">
            <w:pPr>
              <w:spacing w:line="240" w:lineRule="auto"/>
              <w:ind w:firstLine="0"/>
              <w:rPr>
                <w:sz w:val="24"/>
                <w:szCs w:val="24"/>
              </w:rPr>
            </w:pPr>
          </w:p>
        </w:tc>
      </w:tr>
      <w:tr w:rsidRPr="00F64147" w:rsidR="003B7C12" w:rsidTr="001B788B" w14:paraId="62B1EC6B" w14:textId="77777777">
        <w:trPr>
          <w:cnfStyle w:val="000000100000" w:firstRow="0" w:lastRow="0" w:firstColumn="0" w:lastColumn="0" w:oddVBand="0" w:evenVBand="0" w:oddHBand="1" w:evenHBand="0" w:firstRowFirstColumn="0" w:firstRowLastColumn="0" w:lastRowFirstColumn="0" w:lastRowLastColumn="0"/>
        </w:trPr>
        <w:tc>
          <w:tcPr>
            <w:tcW w:w="3775" w:type="dxa"/>
          </w:tcPr>
          <w:p w:rsidRPr="00F64147" w:rsidR="003B7C12" w:rsidP="001B788B" w:rsidRDefault="003B7C12" w14:paraId="76288F97" w14:textId="77777777">
            <w:pPr>
              <w:spacing w:line="240" w:lineRule="auto"/>
              <w:ind w:firstLine="0"/>
              <w:rPr>
                <w:sz w:val="24"/>
                <w:szCs w:val="24"/>
              </w:rPr>
            </w:pPr>
            <w:r w:rsidRPr="00F64147">
              <w:rPr>
                <w:sz w:val="24"/>
                <w:szCs w:val="24"/>
              </w:rPr>
              <w:t>Cooling-off period end date</w:t>
            </w:r>
          </w:p>
        </w:tc>
        <w:tc>
          <w:tcPr>
            <w:tcW w:w="2250" w:type="dxa"/>
          </w:tcPr>
          <w:p w:rsidRPr="00F64147" w:rsidR="003B7C12" w:rsidP="001B788B" w:rsidRDefault="003B7C12" w14:paraId="0D199D21" w14:textId="77777777">
            <w:pPr>
              <w:spacing w:line="240" w:lineRule="auto"/>
              <w:ind w:firstLine="0"/>
              <w:rPr>
                <w:sz w:val="24"/>
                <w:szCs w:val="24"/>
              </w:rPr>
            </w:pPr>
          </w:p>
        </w:tc>
        <w:tc>
          <w:tcPr>
            <w:tcW w:w="3960" w:type="dxa"/>
          </w:tcPr>
          <w:p w:rsidRPr="00F64147" w:rsidR="003B7C12" w:rsidP="001B788B" w:rsidRDefault="003B7C12" w14:paraId="2AADA579" w14:textId="77777777">
            <w:pPr>
              <w:spacing w:line="240" w:lineRule="auto"/>
              <w:ind w:firstLine="0"/>
              <w:rPr>
                <w:sz w:val="24"/>
                <w:szCs w:val="24"/>
              </w:rPr>
            </w:pPr>
          </w:p>
        </w:tc>
      </w:tr>
      <w:tr w:rsidRPr="00F64147" w:rsidR="003B7C12" w:rsidTr="001B788B" w14:paraId="48388066" w14:textId="77777777">
        <w:tc>
          <w:tcPr>
            <w:tcW w:w="3775" w:type="dxa"/>
          </w:tcPr>
          <w:p w:rsidRPr="00F64147" w:rsidR="003B7C12" w:rsidP="001B788B" w:rsidRDefault="003B7C12" w14:paraId="5EC7C06D" w14:textId="77777777">
            <w:pPr>
              <w:spacing w:line="240" w:lineRule="auto"/>
              <w:ind w:firstLine="0"/>
              <w:rPr>
                <w:sz w:val="24"/>
                <w:szCs w:val="24"/>
              </w:rPr>
            </w:pPr>
            <w:r w:rsidRPr="00F64147">
              <w:rPr>
                <w:sz w:val="24"/>
                <w:szCs w:val="24"/>
              </w:rPr>
              <w:t>RNG subscription</w:t>
            </w:r>
          </w:p>
        </w:tc>
        <w:tc>
          <w:tcPr>
            <w:tcW w:w="2250" w:type="dxa"/>
          </w:tcPr>
          <w:p w:rsidRPr="00F64147" w:rsidR="003B7C12" w:rsidP="001B788B" w:rsidRDefault="003B7C12" w14:paraId="302E0398" w14:textId="77777777">
            <w:pPr>
              <w:spacing w:line="240" w:lineRule="auto"/>
              <w:ind w:firstLine="0"/>
              <w:rPr>
                <w:sz w:val="24"/>
                <w:szCs w:val="24"/>
              </w:rPr>
            </w:pPr>
          </w:p>
        </w:tc>
        <w:tc>
          <w:tcPr>
            <w:tcW w:w="3960" w:type="dxa"/>
          </w:tcPr>
          <w:p w:rsidRPr="00F64147" w:rsidR="003B7C12" w:rsidP="001B788B" w:rsidRDefault="003B7C12" w14:paraId="704CAA91" w14:textId="77777777">
            <w:pPr>
              <w:spacing w:line="240" w:lineRule="auto"/>
              <w:ind w:firstLine="0"/>
              <w:rPr>
                <w:sz w:val="24"/>
                <w:szCs w:val="24"/>
              </w:rPr>
            </w:pPr>
            <w:r w:rsidRPr="00F64147">
              <w:rPr>
                <w:sz w:val="24"/>
                <w:szCs w:val="24"/>
              </w:rPr>
              <w:t>Either monthly amount or percentage</w:t>
            </w:r>
          </w:p>
        </w:tc>
      </w:tr>
      <w:tr w:rsidRPr="00F64147" w:rsidR="003B7C12" w:rsidTr="001B788B" w14:paraId="3370F423" w14:textId="77777777">
        <w:trPr>
          <w:cnfStyle w:val="000000100000" w:firstRow="0" w:lastRow="0" w:firstColumn="0" w:lastColumn="0" w:oddVBand="0" w:evenVBand="0" w:oddHBand="1" w:evenHBand="0" w:firstRowFirstColumn="0" w:firstRowLastColumn="0" w:lastRowFirstColumn="0" w:lastRowLastColumn="0"/>
        </w:trPr>
        <w:tc>
          <w:tcPr>
            <w:tcW w:w="3775" w:type="dxa"/>
          </w:tcPr>
          <w:p w:rsidRPr="00F64147" w:rsidR="003B7C12" w:rsidP="001B788B" w:rsidRDefault="003B7C12" w14:paraId="3AA2AF7B" w14:textId="77777777">
            <w:pPr>
              <w:spacing w:line="240" w:lineRule="auto"/>
              <w:ind w:firstLine="0"/>
              <w:rPr>
                <w:sz w:val="24"/>
                <w:szCs w:val="24"/>
              </w:rPr>
            </w:pPr>
            <w:r w:rsidRPr="00F64147">
              <w:rPr>
                <w:sz w:val="24"/>
                <w:szCs w:val="24"/>
              </w:rPr>
              <w:t>Current monthly</w:t>
            </w:r>
            <w:r w:rsidRPr="00F64147" w:rsidDel="00DE501E">
              <w:rPr>
                <w:sz w:val="24"/>
                <w:szCs w:val="24"/>
              </w:rPr>
              <w:t xml:space="preserve"> </w:t>
            </w:r>
            <w:r w:rsidRPr="00F64147">
              <w:rPr>
                <w:sz w:val="24"/>
                <w:szCs w:val="24"/>
              </w:rPr>
              <w:t>RNG rate</w:t>
            </w:r>
          </w:p>
        </w:tc>
        <w:tc>
          <w:tcPr>
            <w:tcW w:w="2250" w:type="dxa"/>
          </w:tcPr>
          <w:p w:rsidRPr="00F64147" w:rsidR="003B7C12" w:rsidP="001B788B" w:rsidRDefault="003B7C12" w14:paraId="0E32E724" w14:textId="77777777">
            <w:pPr>
              <w:spacing w:line="240" w:lineRule="auto"/>
              <w:ind w:firstLine="0"/>
              <w:rPr>
                <w:sz w:val="24"/>
                <w:szCs w:val="24"/>
              </w:rPr>
            </w:pPr>
          </w:p>
        </w:tc>
        <w:tc>
          <w:tcPr>
            <w:tcW w:w="3960" w:type="dxa"/>
          </w:tcPr>
          <w:p w:rsidRPr="00F64147" w:rsidR="003B7C12" w:rsidP="001B788B" w:rsidRDefault="003B7C12" w14:paraId="51DA014E" w14:textId="77777777">
            <w:pPr>
              <w:spacing w:line="240" w:lineRule="auto"/>
              <w:ind w:firstLine="0"/>
              <w:rPr>
                <w:sz w:val="24"/>
                <w:szCs w:val="24"/>
              </w:rPr>
            </w:pPr>
          </w:p>
        </w:tc>
      </w:tr>
      <w:tr w:rsidRPr="00F64147" w:rsidR="003B7C12" w:rsidTr="001B788B" w14:paraId="3B55B059" w14:textId="77777777">
        <w:tc>
          <w:tcPr>
            <w:tcW w:w="3775" w:type="dxa"/>
          </w:tcPr>
          <w:p w:rsidRPr="00F64147" w:rsidR="003B7C12" w:rsidP="001B788B" w:rsidRDefault="003B7C12" w14:paraId="0F52C4A6" w14:textId="77777777">
            <w:pPr>
              <w:spacing w:line="240" w:lineRule="auto"/>
              <w:ind w:firstLine="0"/>
              <w:rPr>
                <w:sz w:val="24"/>
                <w:szCs w:val="24"/>
              </w:rPr>
            </w:pPr>
            <w:r w:rsidRPr="00F64147">
              <w:rPr>
                <w:sz w:val="24"/>
                <w:szCs w:val="24"/>
              </w:rPr>
              <w:t>Carbon intensity for the RNG Tariff program</w:t>
            </w:r>
          </w:p>
        </w:tc>
        <w:tc>
          <w:tcPr>
            <w:tcW w:w="2250" w:type="dxa"/>
          </w:tcPr>
          <w:p w:rsidRPr="00F64147" w:rsidR="003B7C12" w:rsidP="001B788B" w:rsidRDefault="003B7C12" w14:paraId="754ED74A" w14:textId="77777777">
            <w:pPr>
              <w:spacing w:line="240" w:lineRule="auto"/>
              <w:ind w:firstLine="0"/>
              <w:rPr>
                <w:sz w:val="24"/>
                <w:szCs w:val="24"/>
              </w:rPr>
            </w:pPr>
          </w:p>
        </w:tc>
        <w:tc>
          <w:tcPr>
            <w:tcW w:w="3960" w:type="dxa"/>
          </w:tcPr>
          <w:p w:rsidRPr="00F64147" w:rsidR="003B7C12" w:rsidP="001B788B" w:rsidRDefault="003B7C12" w14:paraId="6CA61A8E" w14:textId="77777777">
            <w:pPr>
              <w:spacing w:line="240" w:lineRule="auto"/>
              <w:ind w:firstLine="0"/>
              <w:rPr>
                <w:sz w:val="24"/>
                <w:szCs w:val="24"/>
              </w:rPr>
            </w:pPr>
            <w:r w:rsidRPr="00F64147">
              <w:rPr>
                <w:sz w:val="24"/>
                <w:szCs w:val="24"/>
              </w:rPr>
              <w:t>If known, average</w:t>
            </w:r>
          </w:p>
        </w:tc>
      </w:tr>
      <w:tr w:rsidRPr="00F64147" w:rsidR="003B7C12" w:rsidTr="001B788B" w14:paraId="5D739265" w14:textId="77777777">
        <w:trPr>
          <w:cnfStyle w:val="000000100000" w:firstRow="0" w:lastRow="0" w:firstColumn="0" w:lastColumn="0" w:oddVBand="0" w:evenVBand="0" w:oddHBand="1" w:evenHBand="0" w:firstRowFirstColumn="0" w:firstRowLastColumn="0" w:lastRowFirstColumn="0" w:lastRowLastColumn="0"/>
        </w:trPr>
        <w:tc>
          <w:tcPr>
            <w:tcW w:w="3775" w:type="dxa"/>
          </w:tcPr>
          <w:p w:rsidRPr="00F64147" w:rsidR="003B7C12" w:rsidP="001B788B" w:rsidRDefault="003B7C12" w14:paraId="615B1C6C" w14:textId="77777777">
            <w:pPr>
              <w:spacing w:line="240" w:lineRule="auto"/>
              <w:ind w:firstLine="0"/>
              <w:rPr>
                <w:sz w:val="24"/>
                <w:szCs w:val="24"/>
              </w:rPr>
            </w:pPr>
            <w:r w:rsidRPr="00F64147">
              <w:rPr>
                <w:sz w:val="24"/>
                <w:szCs w:val="24"/>
              </w:rPr>
              <w:t xml:space="preserve">Feedstock percentage for RNG Tariff program </w:t>
            </w:r>
          </w:p>
        </w:tc>
        <w:tc>
          <w:tcPr>
            <w:tcW w:w="2250" w:type="dxa"/>
          </w:tcPr>
          <w:p w:rsidRPr="00F64147" w:rsidR="003B7C12" w:rsidP="001B788B" w:rsidRDefault="003B7C12" w14:paraId="7F5E501E" w14:textId="77777777">
            <w:pPr>
              <w:spacing w:line="240" w:lineRule="auto"/>
              <w:ind w:firstLine="0"/>
              <w:rPr>
                <w:sz w:val="24"/>
                <w:szCs w:val="24"/>
              </w:rPr>
            </w:pPr>
          </w:p>
        </w:tc>
        <w:tc>
          <w:tcPr>
            <w:tcW w:w="3960" w:type="dxa"/>
          </w:tcPr>
          <w:p w:rsidRPr="00F64147" w:rsidR="003B7C12" w:rsidP="001B788B" w:rsidRDefault="003B7C12" w14:paraId="60349CE3" w14:textId="77777777">
            <w:pPr>
              <w:spacing w:line="240" w:lineRule="auto"/>
              <w:ind w:firstLine="0"/>
              <w:rPr>
                <w:sz w:val="24"/>
                <w:szCs w:val="24"/>
              </w:rPr>
            </w:pPr>
            <w:r w:rsidRPr="00F64147">
              <w:rPr>
                <w:sz w:val="24"/>
                <w:szCs w:val="24"/>
              </w:rPr>
              <w:t>If known, pie chart of supply by feedstock</w:t>
            </w:r>
          </w:p>
        </w:tc>
      </w:tr>
      <w:tr w:rsidRPr="00F64147" w:rsidR="003B7C12" w:rsidTr="001B788B" w14:paraId="150C8130" w14:textId="77777777">
        <w:tc>
          <w:tcPr>
            <w:tcW w:w="3775" w:type="dxa"/>
          </w:tcPr>
          <w:p w:rsidRPr="00F64147" w:rsidR="003B7C12" w:rsidP="001B788B" w:rsidRDefault="003B7C12" w14:paraId="35C4160B" w14:textId="77777777">
            <w:pPr>
              <w:spacing w:line="240" w:lineRule="auto"/>
              <w:ind w:firstLine="0"/>
              <w:rPr>
                <w:sz w:val="24"/>
                <w:szCs w:val="24"/>
              </w:rPr>
            </w:pPr>
            <w:r w:rsidRPr="00F64147">
              <w:rPr>
                <w:sz w:val="24"/>
                <w:szCs w:val="24"/>
              </w:rPr>
              <w:t>Source state percentage for RNG Tariff program</w:t>
            </w:r>
          </w:p>
        </w:tc>
        <w:tc>
          <w:tcPr>
            <w:tcW w:w="2250" w:type="dxa"/>
          </w:tcPr>
          <w:p w:rsidRPr="00F64147" w:rsidR="003B7C12" w:rsidP="001B788B" w:rsidRDefault="003B7C12" w14:paraId="3E8E664F" w14:textId="77777777">
            <w:pPr>
              <w:spacing w:line="240" w:lineRule="auto"/>
              <w:ind w:firstLine="0"/>
              <w:rPr>
                <w:sz w:val="24"/>
                <w:szCs w:val="24"/>
              </w:rPr>
            </w:pPr>
          </w:p>
          <w:p w:rsidRPr="00F64147" w:rsidR="003B7C12" w:rsidP="001B788B" w:rsidRDefault="003B7C12" w14:paraId="77F7B505" w14:textId="77777777">
            <w:pPr>
              <w:ind w:firstLine="0"/>
              <w:rPr>
                <w:sz w:val="24"/>
                <w:szCs w:val="24"/>
              </w:rPr>
            </w:pPr>
          </w:p>
        </w:tc>
        <w:tc>
          <w:tcPr>
            <w:tcW w:w="3960" w:type="dxa"/>
          </w:tcPr>
          <w:p w:rsidRPr="00F64147" w:rsidR="003B7C12" w:rsidP="001B788B" w:rsidRDefault="003B7C12" w14:paraId="74E8763A" w14:textId="77777777">
            <w:pPr>
              <w:spacing w:line="240" w:lineRule="auto"/>
              <w:ind w:firstLine="0"/>
              <w:rPr>
                <w:sz w:val="24"/>
                <w:szCs w:val="24"/>
              </w:rPr>
            </w:pPr>
            <w:r w:rsidRPr="00F64147">
              <w:rPr>
                <w:sz w:val="24"/>
                <w:szCs w:val="24"/>
              </w:rPr>
              <w:t>If known, pie chart of supply by feedstock</w:t>
            </w:r>
          </w:p>
        </w:tc>
      </w:tr>
      <w:tr w:rsidRPr="00F64147" w:rsidR="003B7C12" w:rsidTr="001B788B" w14:paraId="164FB5C5" w14:textId="77777777">
        <w:trPr>
          <w:cnfStyle w:val="000000100000" w:firstRow="0" w:lastRow="0" w:firstColumn="0" w:lastColumn="0" w:oddVBand="0" w:evenVBand="0" w:oddHBand="1" w:evenHBand="0" w:firstRowFirstColumn="0" w:firstRowLastColumn="0" w:lastRowFirstColumn="0" w:lastRowLastColumn="0"/>
        </w:trPr>
        <w:tc>
          <w:tcPr>
            <w:tcW w:w="3775" w:type="dxa"/>
          </w:tcPr>
          <w:p w:rsidRPr="00F64147" w:rsidR="003B7C12" w:rsidP="001B788B" w:rsidRDefault="003B7C12" w14:paraId="1BC4DA7E" w14:textId="77777777">
            <w:pPr>
              <w:spacing w:line="240" w:lineRule="auto"/>
              <w:ind w:firstLine="0"/>
              <w:rPr>
                <w:sz w:val="24"/>
                <w:szCs w:val="24"/>
              </w:rPr>
            </w:pPr>
            <w:r w:rsidRPr="00F64147">
              <w:rPr>
                <w:sz w:val="24"/>
                <w:szCs w:val="24"/>
              </w:rPr>
              <w:t>Other RNG news and updates</w:t>
            </w:r>
          </w:p>
        </w:tc>
        <w:tc>
          <w:tcPr>
            <w:tcW w:w="2250" w:type="dxa"/>
          </w:tcPr>
          <w:p w:rsidRPr="00F64147" w:rsidR="003B7C12" w:rsidP="001B788B" w:rsidRDefault="003B7C12" w14:paraId="69FED542" w14:textId="77777777">
            <w:pPr>
              <w:spacing w:line="240" w:lineRule="auto"/>
              <w:ind w:firstLine="0"/>
              <w:rPr>
                <w:sz w:val="24"/>
                <w:szCs w:val="24"/>
              </w:rPr>
            </w:pPr>
          </w:p>
          <w:p w:rsidRPr="00F64147" w:rsidR="003B7C12" w:rsidP="001B788B" w:rsidRDefault="003B7C12" w14:paraId="70483BBC" w14:textId="77777777">
            <w:pPr>
              <w:jc w:val="center"/>
              <w:rPr>
                <w:sz w:val="24"/>
                <w:szCs w:val="24"/>
              </w:rPr>
            </w:pPr>
          </w:p>
        </w:tc>
        <w:tc>
          <w:tcPr>
            <w:tcW w:w="3960" w:type="dxa"/>
          </w:tcPr>
          <w:p w:rsidRPr="00F64147" w:rsidR="003B7C12" w:rsidP="001B788B" w:rsidRDefault="003B7C12" w14:paraId="1E2897AE" w14:textId="77777777">
            <w:pPr>
              <w:spacing w:line="240" w:lineRule="auto"/>
              <w:ind w:firstLine="0"/>
              <w:rPr>
                <w:sz w:val="24"/>
                <w:szCs w:val="24"/>
              </w:rPr>
            </w:pPr>
            <w:r w:rsidRPr="00F64147">
              <w:rPr>
                <w:sz w:val="24"/>
                <w:szCs w:val="24"/>
              </w:rPr>
              <w:t xml:space="preserve">Marketing to EE programs and other </w:t>
            </w:r>
          </w:p>
        </w:tc>
      </w:tr>
    </w:tbl>
    <w:p w:rsidR="003B7C12" w:rsidP="003B7C12" w:rsidRDefault="003B7C12" w14:paraId="0AFD0BF4" w14:textId="77777777">
      <w:pPr>
        <w:rPr>
          <w:rFonts w:ascii="Times New Roman" w:hAnsi="Times New Roman" w:eastAsia="Calibri" w:cs="Times New Roman"/>
        </w:rPr>
      </w:pPr>
      <w:r>
        <w:rPr>
          <w:rFonts w:ascii="Times New Roman" w:hAnsi="Times New Roman" w:eastAsia="Calibri" w:cs="Times New Roman"/>
        </w:rPr>
        <w:br w:type="page"/>
      </w:r>
    </w:p>
    <w:p w:rsidRPr="00F64147" w:rsidR="003B7C12" w:rsidP="003B7C12" w:rsidRDefault="003B7C12" w14:paraId="28C04AC3" w14:textId="77777777">
      <w:pPr>
        <w:pStyle w:val="Standard"/>
        <w:ind w:firstLine="0"/>
        <w:rPr>
          <w:b/>
          <w:bCs/>
        </w:rPr>
      </w:pPr>
      <w:r w:rsidRPr="00F64147">
        <w:rPr>
          <w:b/>
          <w:bCs/>
        </w:rPr>
        <w:lastRenderedPageBreak/>
        <w:t xml:space="preserve">Table 3: </w:t>
      </w:r>
      <w:r w:rsidRPr="00F64147">
        <w:rPr>
          <w:b/>
          <w:bCs/>
        </w:rPr>
        <w:tab/>
        <w:t>Annual Customer Report – for customer, for previous year</w:t>
      </w:r>
    </w:p>
    <w:tbl>
      <w:tblPr>
        <w:tblStyle w:val="PlainTable11"/>
        <w:tblW w:w="6589" w:type="dxa"/>
        <w:tblLook w:val="0420" w:firstRow="1" w:lastRow="0" w:firstColumn="0" w:lastColumn="0" w:noHBand="0" w:noVBand="1"/>
      </w:tblPr>
      <w:tblGrid>
        <w:gridCol w:w="3579"/>
        <w:gridCol w:w="3010"/>
      </w:tblGrid>
      <w:tr w:rsidRPr="00F64147" w:rsidR="003B7C12" w:rsidTr="001B788B" w14:paraId="607FEFF1" w14:textId="77777777">
        <w:trPr>
          <w:cnfStyle w:val="100000000000" w:firstRow="1" w:lastRow="0" w:firstColumn="0" w:lastColumn="0" w:oddVBand="0" w:evenVBand="0" w:oddHBand="0" w:evenHBand="0" w:firstRowFirstColumn="0" w:firstRowLastColumn="0" w:lastRowFirstColumn="0" w:lastRowLastColumn="0"/>
        </w:trPr>
        <w:tc>
          <w:tcPr>
            <w:tcW w:w="3579" w:type="dxa"/>
          </w:tcPr>
          <w:p w:rsidRPr="00F64147" w:rsidR="003B7C12" w:rsidP="001B788B" w:rsidRDefault="003B7C12" w14:paraId="7400DA60" w14:textId="77777777">
            <w:pPr>
              <w:spacing w:line="240" w:lineRule="auto"/>
              <w:ind w:firstLine="0"/>
              <w:rPr>
                <w:sz w:val="24"/>
                <w:szCs w:val="24"/>
              </w:rPr>
            </w:pPr>
            <w:r w:rsidRPr="00F64147">
              <w:rPr>
                <w:sz w:val="24"/>
                <w:szCs w:val="24"/>
              </w:rPr>
              <w:t>Data/information</w:t>
            </w:r>
          </w:p>
        </w:tc>
        <w:tc>
          <w:tcPr>
            <w:tcW w:w="3010" w:type="dxa"/>
          </w:tcPr>
          <w:p w:rsidRPr="00F64147" w:rsidR="003B7C12" w:rsidP="001B788B" w:rsidRDefault="003B7C12" w14:paraId="5FC69646" w14:textId="77777777">
            <w:pPr>
              <w:spacing w:line="240" w:lineRule="auto"/>
              <w:ind w:firstLine="0"/>
              <w:rPr>
                <w:sz w:val="24"/>
                <w:szCs w:val="24"/>
              </w:rPr>
            </w:pPr>
            <w:r w:rsidRPr="00F64147">
              <w:rPr>
                <w:sz w:val="24"/>
                <w:szCs w:val="24"/>
              </w:rPr>
              <w:t>Notes</w:t>
            </w:r>
          </w:p>
        </w:tc>
      </w:tr>
      <w:tr w:rsidRPr="00F64147" w:rsidR="003B7C12" w:rsidTr="001B788B" w14:paraId="3148D622" w14:textId="77777777">
        <w:trPr>
          <w:cnfStyle w:val="000000100000" w:firstRow="0" w:lastRow="0" w:firstColumn="0" w:lastColumn="0" w:oddVBand="0" w:evenVBand="0" w:oddHBand="1" w:evenHBand="0" w:firstRowFirstColumn="0" w:firstRowLastColumn="0" w:lastRowFirstColumn="0" w:lastRowLastColumn="0"/>
        </w:trPr>
        <w:tc>
          <w:tcPr>
            <w:tcW w:w="3579" w:type="dxa"/>
          </w:tcPr>
          <w:p w:rsidRPr="00F64147" w:rsidR="003B7C12" w:rsidP="001B788B" w:rsidRDefault="003B7C12" w14:paraId="2724DBB3" w14:textId="77777777">
            <w:pPr>
              <w:spacing w:line="240" w:lineRule="auto"/>
              <w:ind w:firstLine="0"/>
              <w:rPr>
                <w:sz w:val="24"/>
                <w:szCs w:val="24"/>
              </w:rPr>
            </w:pPr>
            <w:r w:rsidRPr="00F64147">
              <w:rPr>
                <w:sz w:val="24"/>
                <w:szCs w:val="24"/>
              </w:rPr>
              <w:t>Amount of traditional NG purchased</w:t>
            </w:r>
          </w:p>
        </w:tc>
        <w:tc>
          <w:tcPr>
            <w:tcW w:w="3010" w:type="dxa"/>
          </w:tcPr>
          <w:p w:rsidRPr="00F64147" w:rsidR="003B7C12" w:rsidP="001B788B" w:rsidRDefault="003B7C12" w14:paraId="4C0D3220" w14:textId="77777777">
            <w:pPr>
              <w:spacing w:line="240" w:lineRule="auto"/>
              <w:ind w:firstLine="0"/>
              <w:rPr>
                <w:sz w:val="24"/>
                <w:szCs w:val="24"/>
              </w:rPr>
            </w:pPr>
            <w:r w:rsidRPr="00F64147">
              <w:rPr>
                <w:sz w:val="24"/>
                <w:szCs w:val="24"/>
              </w:rPr>
              <w:t>Dollars and volume</w:t>
            </w:r>
          </w:p>
        </w:tc>
      </w:tr>
      <w:tr w:rsidRPr="00F64147" w:rsidR="003B7C12" w:rsidTr="001B788B" w14:paraId="674B22F8" w14:textId="77777777">
        <w:tc>
          <w:tcPr>
            <w:tcW w:w="3579" w:type="dxa"/>
          </w:tcPr>
          <w:p w:rsidRPr="00F64147" w:rsidR="003B7C12" w:rsidP="001B788B" w:rsidRDefault="003B7C12" w14:paraId="524BAE64" w14:textId="77777777">
            <w:pPr>
              <w:spacing w:line="240" w:lineRule="auto"/>
              <w:ind w:firstLine="0"/>
              <w:rPr>
                <w:sz w:val="24"/>
                <w:szCs w:val="24"/>
              </w:rPr>
            </w:pPr>
            <w:r w:rsidRPr="00F64147">
              <w:rPr>
                <w:sz w:val="24"/>
                <w:szCs w:val="24"/>
              </w:rPr>
              <w:t>Amount of RNG purchased</w:t>
            </w:r>
          </w:p>
        </w:tc>
        <w:tc>
          <w:tcPr>
            <w:tcW w:w="3010" w:type="dxa"/>
          </w:tcPr>
          <w:p w:rsidRPr="00F64147" w:rsidR="003B7C12" w:rsidP="001B788B" w:rsidRDefault="003B7C12" w14:paraId="3C6E1C94" w14:textId="77777777">
            <w:pPr>
              <w:spacing w:line="240" w:lineRule="auto"/>
              <w:ind w:firstLine="0"/>
              <w:rPr>
                <w:sz w:val="24"/>
                <w:szCs w:val="24"/>
              </w:rPr>
            </w:pPr>
            <w:r w:rsidRPr="00F64147">
              <w:rPr>
                <w:sz w:val="24"/>
                <w:szCs w:val="24"/>
              </w:rPr>
              <w:t>Dollars and volume</w:t>
            </w:r>
          </w:p>
        </w:tc>
      </w:tr>
      <w:tr w:rsidRPr="00F64147" w:rsidR="003B7C12" w:rsidTr="001B788B" w14:paraId="0B89C89E" w14:textId="77777777">
        <w:trPr>
          <w:cnfStyle w:val="000000100000" w:firstRow="0" w:lastRow="0" w:firstColumn="0" w:lastColumn="0" w:oddVBand="0" w:evenVBand="0" w:oddHBand="1" w:evenHBand="0" w:firstRowFirstColumn="0" w:firstRowLastColumn="0" w:lastRowFirstColumn="0" w:lastRowLastColumn="0"/>
        </w:trPr>
        <w:tc>
          <w:tcPr>
            <w:tcW w:w="3579" w:type="dxa"/>
          </w:tcPr>
          <w:p w:rsidRPr="00F64147" w:rsidR="003B7C12" w:rsidP="001B788B" w:rsidRDefault="003B7C12" w14:paraId="48896FB1" w14:textId="3D1D557A">
            <w:pPr>
              <w:spacing w:line="240" w:lineRule="auto"/>
              <w:ind w:firstLine="0"/>
              <w:rPr>
                <w:rFonts w:cstheme="minorHAnsi"/>
                <w:sz w:val="24"/>
                <w:szCs w:val="24"/>
              </w:rPr>
            </w:pPr>
            <w:r w:rsidRPr="00F64147">
              <w:rPr>
                <w:rFonts w:cstheme="minorHAnsi"/>
                <w:sz w:val="24"/>
                <w:szCs w:val="24"/>
              </w:rPr>
              <w:t xml:space="preserve">Cost of RNG purchased, including </w:t>
            </w:r>
            <w:r w:rsidR="00F5063C">
              <w:rPr>
                <w:rFonts w:cstheme="minorHAnsi"/>
                <w:sz w:val="24"/>
                <w:szCs w:val="24"/>
              </w:rPr>
              <w:t xml:space="preserve">each </w:t>
            </w:r>
            <w:r w:rsidRPr="00F64147">
              <w:rPr>
                <w:rFonts w:cstheme="minorHAnsi"/>
                <w:sz w:val="24"/>
                <w:szCs w:val="24"/>
              </w:rPr>
              <w:t>individual supplier</w:t>
            </w:r>
            <w:r w:rsidR="00C009AE">
              <w:rPr>
                <w:rFonts w:cstheme="minorHAnsi"/>
                <w:sz w:val="24"/>
                <w:szCs w:val="24"/>
              </w:rPr>
              <w:t>’</w:t>
            </w:r>
            <w:r w:rsidRPr="00F64147">
              <w:rPr>
                <w:rFonts w:cstheme="minorHAnsi"/>
                <w:sz w:val="24"/>
                <w:szCs w:val="24"/>
              </w:rPr>
              <w:t xml:space="preserve">s </w:t>
            </w:r>
            <w:r w:rsidRPr="00675B02">
              <w:rPr>
                <w:rFonts w:cs="TimesNewRomanPSMT"/>
                <w:sz w:val="24"/>
                <w:szCs w:val="24"/>
              </w:rPr>
              <w:t>name, location, feedstock source</w:t>
            </w:r>
            <w:r w:rsidR="00C009AE">
              <w:rPr>
                <w:rFonts w:cs="TimesNewRomanPSMT"/>
                <w:sz w:val="24"/>
                <w:szCs w:val="24"/>
              </w:rPr>
              <w:t>,</w:t>
            </w:r>
            <w:r w:rsidRPr="00675B02">
              <w:rPr>
                <w:rFonts w:cs="TimesNewRomanPSMT"/>
                <w:sz w:val="24"/>
                <w:szCs w:val="24"/>
              </w:rPr>
              <w:t xml:space="preserve"> and</w:t>
            </w:r>
            <w:r w:rsidRPr="00F64147">
              <w:rPr>
                <w:rFonts w:cstheme="minorHAnsi"/>
                <w:sz w:val="24"/>
                <w:szCs w:val="24"/>
              </w:rPr>
              <w:t xml:space="preserve"> RNG contract prices</w:t>
            </w:r>
            <w:r w:rsidRPr="00AB430D">
              <w:rPr>
                <w:rFonts w:cstheme="minorHAnsi"/>
                <w:sz w:val="24"/>
                <w:szCs w:val="24"/>
              </w:rPr>
              <w:t xml:space="preserve"> </w:t>
            </w:r>
          </w:p>
        </w:tc>
        <w:tc>
          <w:tcPr>
            <w:tcW w:w="3010" w:type="dxa"/>
          </w:tcPr>
          <w:p w:rsidRPr="00F64147" w:rsidR="003B7C12" w:rsidP="001B788B" w:rsidRDefault="003B7C12" w14:paraId="5B8EACD8" w14:textId="77777777">
            <w:pPr>
              <w:spacing w:line="240" w:lineRule="auto"/>
              <w:ind w:firstLine="0"/>
              <w:rPr>
                <w:sz w:val="24"/>
                <w:szCs w:val="24"/>
              </w:rPr>
            </w:pPr>
            <w:r w:rsidRPr="00F64147">
              <w:rPr>
                <w:sz w:val="24"/>
                <w:szCs w:val="24"/>
              </w:rPr>
              <w:t>Average for customer and actual contract prices</w:t>
            </w:r>
          </w:p>
        </w:tc>
      </w:tr>
      <w:tr w:rsidRPr="00F64147" w:rsidR="003B7C12" w:rsidTr="001B788B" w14:paraId="73A16017" w14:textId="77777777">
        <w:tc>
          <w:tcPr>
            <w:tcW w:w="3579" w:type="dxa"/>
          </w:tcPr>
          <w:p w:rsidRPr="00F64147" w:rsidR="003B7C12" w:rsidP="001B788B" w:rsidRDefault="003B7C12" w14:paraId="3FE20953" w14:textId="77777777">
            <w:pPr>
              <w:spacing w:line="240" w:lineRule="auto"/>
              <w:ind w:firstLine="0"/>
              <w:rPr>
                <w:sz w:val="24"/>
                <w:szCs w:val="24"/>
              </w:rPr>
            </w:pPr>
            <w:r w:rsidRPr="00F64147">
              <w:rPr>
                <w:sz w:val="24"/>
                <w:szCs w:val="24"/>
              </w:rPr>
              <w:t>Annual GHG emission reduction</w:t>
            </w:r>
          </w:p>
        </w:tc>
        <w:tc>
          <w:tcPr>
            <w:tcW w:w="3010" w:type="dxa"/>
          </w:tcPr>
          <w:p w:rsidRPr="00F64147" w:rsidR="003B7C12" w:rsidP="001B788B" w:rsidRDefault="003B7C12" w14:paraId="5D8C8A45" w14:textId="77777777">
            <w:pPr>
              <w:spacing w:line="240" w:lineRule="auto"/>
              <w:ind w:firstLine="0"/>
              <w:rPr>
                <w:sz w:val="24"/>
                <w:szCs w:val="24"/>
              </w:rPr>
            </w:pPr>
            <w:r w:rsidRPr="00F64147">
              <w:rPr>
                <w:sz w:val="24"/>
                <w:szCs w:val="24"/>
              </w:rPr>
              <w:t xml:space="preserve">Metric tons </w:t>
            </w:r>
            <w:r w:rsidRPr="00F64147">
              <w:rPr>
                <w:rFonts w:cs="TimesNewRomanPSMT"/>
                <w:sz w:val="24"/>
                <w:szCs w:val="24"/>
              </w:rPr>
              <w:t>of carbon dioxide equivalent</w:t>
            </w:r>
          </w:p>
        </w:tc>
      </w:tr>
      <w:tr w:rsidRPr="00F64147" w:rsidR="003B7C12" w:rsidTr="001B788B" w14:paraId="1ACDFD90" w14:textId="77777777">
        <w:trPr>
          <w:cnfStyle w:val="000000100000" w:firstRow="0" w:lastRow="0" w:firstColumn="0" w:lastColumn="0" w:oddVBand="0" w:evenVBand="0" w:oddHBand="1" w:evenHBand="0" w:firstRowFirstColumn="0" w:firstRowLastColumn="0" w:lastRowFirstColumn="0" w:lastRowLastColumn="0"/>
        </w:trPr>
        <w:tc>
          <w:tcPr>
            <w:tcW w:w="3579" w:type="dxa"/>
          </w:tcPr>
          <w:p w:rsidRPr="00F64147" w:rsidR="003B7C12" w:rsidP="001B788B" w:rsidRDefault="003B7C12" w14:paraId="10F04932" w14:textId="77777777">
            <w:pPr>
              <w:spacing w:line="240" w:lineRule="auto"/>
              <w:ind w:firstLine="0"/>
              <w:rPr>
                <w:sz w:val="24"/>
                <w:szCs w:val="24"/>
              </w:rPr>
            </w:pPr>
            <w:r w:rsidRPr="00F64147">
              <w:rPr>
                <w:sz w:val="24"/>
                <w:szCs w:val="24"/>
              </w:rPr>
              <w:t>Carbon intensity for the RNG Tariff program</w:t>
            </w:r>
          </w:p>
        </w:tc>
        <w:tc>
          <w:tcPr>
            <w:tcW w:w="3010" w:type="dxa"/>
          </w:tcPr>
          <w:p w:rsidRPr="00F64147" w:rsidR="003B7C12" w:rsidP="001B788B" w:rsidRDefault="003B7C12" w14:paraId="6D34B9EF" w14:textId="77777777">
            <w:pPr>
              <w:spacing w:line="240" w:lineRule="auto"/>
              <w:ind w:firstLine="0"/>
              <w:rPr>
                <w:sz w:val="24"/>
                <w:szCs w:val="24"/>
              </w:rPr>
            </w:pPr>
            <w:r w:rsidRPr="00F64147">
              <w:rPr>
                <w:sz w:val="24"/>
                <w:szCs w:val="24"/>
              </w:rPr>
              <w:t>Average</w:t>
            </w:r>
          </w:p>
        </w:tc>
      </w:tr>
      <w:tr w:rsidRPr="00F64147" w:rsidR="003B7C12" w:rsidTr="001B788B" w14:paraId="048B3EC2" w14:textId="77777777">
        <w:tc>
          <w:tcPr>
            <w:tcW w:w="3579" w:type="dxa"/>
          </w:tcPr>
          <w:p w:rsidRPr="00F64147" w:rsidR="003B7C12" w:rsidP="001B788B" w:rsidRDefault="003B7C12" w14:paraId="6B853AFA" w14:textId="77777777">
            <w:pPr>
              <w:spacing w:line="240" w:lineRule="auto"/>
              <w:ind w:firstLine="0"/>
              <w:rPr>
                <w:sz w:val="24"/>
                <w:szCs w:val="24"/>
              </w:rPr>
            </w:pPr>
            <w:r w:rsidRPr="00F64147">
              <w:rPr>
                <w:sz w:val="24"/>
                <w:szCs w:val="24"/>
              </w:rPr>
              <w:t xml:space="preserve">Feedstock percentage for RNG Tariff program </w:t>
            </w:r>
          </w:p>
        </w:tc>
        <w:tc>
          <w:tcPr>
            <w:tcW w:w="3010" w:type="dxa"/>
          </w:tcPr>
          <w:p w:rsidRPr="00F64147" w:rsidR="003B7C12" w:rsidP="001B788B" w:rsidRDefault="003B7C12" w14:paraId="71347577" w14:textId="77777777">
            <w:pPr>
              <w:spacing w:line="240" w:lineRule="auto"/>
              <w:ind w:firstLine="0"/>
              <w:rPr>
                <w:sz w:val="24"/>
                <w:szCs w:val="24"/>
              </w:rPr>
            </w:pPr>
            <w:r w:rsidRPr="00F64147">
              <w:rPr>
                <w:sz w:val="24"/>
                <w:szCs w:val="24"/>
              </w:rPr>
              <w:t>Pie chart of supply by feedstock</w:t>
            </w:r>
          </w:p>
        </w:tc>
      </w:tr>
      <w:tr w:rsidRPr="00F64147" w:rsidR="003B7C12" w:rsidTr="001B788B" w14:paraId="15FD0DBD" w14:textId="77777777">
        <w:trPr>
          <w:cnfStyle w:val="000000100000" w:firstRow="0" w:lastRow="0" w:firstColumn="0" w:lastColumn="0" w:oddVBand="0" w:evenVBand="0" w:oddHBand="1" w:evenHBand="0" w:firstRowFirstColumn="0" w:firstRowLastColumn="0" w:lastRowFirstColumn="0" w:lastRowLastColumn="0"/>
        </w:trPr>
        <w:tc>
          <w:tcPr>
            <w:tcW w:w="3579" w:type="dxa"/>
          </w:tcPr>
          <w:p w:rsidRPr="00F64147" w:rsidR="003B7C12" w:rsidP="001B788B" w:rsidRDefault="003B7C12" w14:paraId="6CF35AEF" w14:textId="77777777">
            <w:pPr>
              <w:spacing w:line="240" w:lineRule="auto"/>
              <w:ind w:firstLine="0"/>
              <w:rPr>
                <w:sz w:val="24"/>
                <w:szCs w:val="24"/>
              </w:rPr>
            </w:pPr>
            <w:r w:rsidRPr="00F64147">
              <w:rPr>
                <w:sz w:val="24"/>
                <w:szCs w:val="24"/>
              </w:rPr>
              <w:t>Source state percentage for RNG Tariff program</w:t>
            </w:r>
          </w:p>
        </w:tc>
        <w:tc>
          <w:tcPr>
            <w:tcW w:w="3010" w:type="dxa"/>
          </w:tcPr>
          <w:p w:rsidRPr="00F64147" w:rsidR="003B7C12" w:rsidP="001B788B" w:rsidRDefault="003B7C12" w14:paraId="4EF48772" w14:textId="77777777">
            <w:pPr>
              <w:spacing w:line="240" w:lineRule="auto"/>
              <w:ind w:firstLine="0"/>
              <w:rPr>
                <w:sz w:val="24"/>
                <w:szCs w:val="24"/>
              </w:rPr>
            </w:pPr>
            <w:r w:rsidRPr="00F64147">
              <w:rPr>
                <w:sz w:val="24"/>
                <w:szCs w:val="24"/>
              </w:rPr>
              <w:t>Pie chart of supply by state</w:t>
            </w:r>
          </w:p>
        </w:tc>
      </w:tr>
      <w:tr w:rsidRPr="00F64147" w:rsidR="003B7C12" w:rsidTr="001B788B" w14:paraId="10B55B98" w14:textId="77777777">
        <w:tc>
          <w:tcPr>
            <w:tcW w:w="3579" w:type="dxa"/>
          </w:tcPr>
          <w:p w:rsidRPr="00F64147" w:rsidR="003B7C12" w:rsidP="001B788B" w:rsidRDefault="003B7C12" w14:paraId="2804BFAA" w14:textId="77777777">
            <w:pPr>
              <w:spacing w:line="240" w:lineRule="auto"/>
              <w:ind w:firstLine="0"/>
              <w:rPr>
                <w:sz w:val="24"/>
                <w:szCs w:val="24"/>
              </w:rPr>
            </w:pPr>
            <w:r w:rsidRPr="00F64147">
              <w:rPr>
                <w:sz w:val="24"/>
                <w:szCs w:val="24"/>
              </w:rPr>
              <w:t>Other RNG news and updates</w:t>
            </w:r>
          </w:p>
        </w:tc>
        <w:tc>
          <w:tcPr>
            <w:tcW w:w="3010" w:type="dxa"/>
          </w:tcPr>
          <w:p w:rsidRPr="00F64147" w:rsidR="003B7C12" w:rsidP="001B788B" w:rsidRDefault="003B7C12" w14:paraId="5939927B" w14:textId="77777777">
            <w:pPr>
              <w:spacing w:line="240" w:lineRule="auto"/>
              <w:ind w:firstLine="0"/>
              <w:rPr>
                <w:sz w:val="24"/>
                <w:szCs w:val="24"/>
              </w:rPr>
            </w:pPr>
            <w:r w:rsidRPr="00F64147">
              <w:rPr>
                <w:sz w:val="24"/>
                <w:szCs w:val="24"/>
              </w:rPr>
              <w:t>Text</w:t>
            </w:r>
          </w:p>
        </w:tc>
      </w:tr>
    </w:tbl>
    <w:p w:rsidRPr="00F64147" w:rsidR="00DE5ED3" w:rsidP="00DE5ED3" w:rsidRDefault="00DE5ED3" w14:paraId="73F867DD" w14:textId="77777777">
      <w:pPr>
        <w:spacing w:after="160" w:line="259" w:lineRule="auto"/>
        <w:ind w:firstLine="0"/>
        <w:rPr>
          <w:rFonts w:eastAsia="Times New Roman" w:cs="Times New Roman"/>
          <w:b/>
          <w:bCs/>
          <w:sz w:val="24"/>
          <w:szCs w:val="24"/>
        </w:rPr>
      </w:pPr>
    </w:p>
    <w:p w:rsidR="00C82306" w:rsidP="00DE5ED3" w:rsidRDefault="00C82306" w14:paraId="3E999AB0" w14:textId="77777777">
      <w:pPr>
        <w:spacing w:line="240" w:lineRule="auto"/>
        <w:ind w:left="1350" w:hanging="1260"/>
        <w:rPr>
          <w:rFonts w:eastAsia="Times New Roman" w:cs="Times New Roman"/>
          <w:b/>
          <w:bCs/>
          <w:sz w:val="24"/>
          <w:szCs w:val="24"/>
        </w:rPr>
      </w:pPr>
      <w:r>
        <w:rPr>
          <w:rFonts w:eastAsia="Times New Roman" w:cs="Times New Roman"/>
          <w:b/>
          <w:bCs/>
          <w:sz w:val="24"/>
          <w:szCs w:val="24"/>
        </w:rPr>
        <w:br w:type="page"/>
      </w:r>
    </w:p>
    <w:p w:rsidRPr="00F64147" w:rsidR="00DE5ED3" w:rsidP="00DE5ED3" w:rsidRDefault="00DE5ED3" w14:paraId="1BB58478" w14:textId="2DEED622">
      <w:pPr>
        <w:spacing w:line="240" w:lineRule="auto"/>
        <w:ind w:left="1350" w:hanging="1260"/>
        <w:rPr>
          <w:rFonts w:eastAsia="Times New Roman" w:cs="Times New Roman"/>
          <w:b/>
          <w:bCs/>
          <w:sz w:val="24"/>
          <w:szCs w:val="24"/>
        </w:rPr>
      </w:pPr>
      <w:r w:rsidRPr="00F64147">
        <w:rPr>
          <w:rFonts w:eastAsia="Times New Roman" w:cs="Times New Roman"/>
          <w:b/>
          <w:bCs/>
          <w:sz w:val="24"/>
          <w:szCs w:val="24"/>
        </w:rPr>
        <w:lastRenderedPageBreak/>
        <w:t xml:space="preserve">Table 4: </w:t>
      </w:r>
      <w:r w:rsidRPr="00F64147">
        <w:rPr>
          <w:rFonts w:eastAsia="Times New Roman" w:cs="Times New Roman"/>
          <w:b/>
          <w:bCs/>
          <w:sz w:val="24"/>
          <w:szCs w:val="24"/>
        </w:rPr>
        <w:tab/>
        <w:t>Quarterly Commission Report – submitted within 45 days of the end of each quarter, under confidentiality designation, if appropriate</w:t>
      </w:r>
    </w:p>
    <w:p w:rsidRPr="00F64147" w:rsidR="00DE5ED3" w:rsidP="00DE5ED3" w:rsidRDefault="00DE5ED3" w14:paraId="1DA7BAC0" w14:textId="77777777">
      <w:pPr>
        <w:spacing w:line="240" w:lineRule="auto"/>
        <w:ind w:firstLine="0"/>
        <w:rPr>
          <w:rFonts w:eastAsia="Calibri" w:cs="Times New Roman"/>
          <w:sz w:val="24"/>
          <w:szCs w:val="24"/>
        </w:rPr>
      </w:pPr>
    </w:p>
    <w:tbl>
      <w:tblPr>
        <w:tblStyle w:val="PlainTable11"/>
        <w:tblW w:w="6749" w:type="dxa"/>
        <w:tblLook w:val="0420" w:firstRow="1" w:lastRow="0" w:firstColumn="0" w:lastColumn="0" w:noHBand="0" w:noVBand="1"/>
      </w:tblPr>
      <w:tblGrid>
        <w:gridCol w:w="3730"/>
        <w:gridCol w:w="3019"/>
      </w:tblGrid>
      <w:tr w:rsidRPr="00F64147" w:rsidR="00F81B16" w:rsidTr="00F81B16" w14:paraId="12968700" w14:textId="77777777">
        <w:trPr>
          <w:cnfStyle w:val="100000000000" w:firstRow="1" w:lastRow="0" w:firstColumn="0" w:lastColumn="0" w:oddVBand="0" w:evenVBand="0" w:oddHBand="0" w:evenHBand="0" w:firstRowFirstColumn="0" w:firstRowLastColumn="0" w:lastRowFirstColumn="0" w:lastRowLastColumn="0"/>
        </w:trPr>
        <w:tc>
          <w:tcPr>
            <w:tcW w:w="3730" w:type="dxa"/>
            <w:vAlign w:val="center"/>
          </w:tcPr>
          <w:p w:rsidRPr="00F64147" w:rsidR="00F81B16" w:rsidP="00DE5ED3" w:rsidRDefault="00F81B16" w14:paraId="46B41258" w14:textId="77777777">
            <w:pPr>
              <w:ind w:firstLine="0"/>
              <w:rPr>
                <w:sz w:val="24"/>
                <w:szCs w:val="24"/>
              </w:rPr>
            </w:pPr>
            <w:r w:rsidRPr="00F64147">
              <w:rPr>
                <w:sz w:val="24"/>
                <w:szCs w:val="24"/>
              </w:rPr>
              <w:t>Data/information</w:t>
            </w:r>
          </w:p>
        </w:tc>
        <w:tc>
          <w:tcPr>
            <w:tcW w:w="3019" w:type="dxa"/>
          </w:tcPr>
          <w:p w:rsidRPr="00F64147" w:rsidR="00F81B16" w:rsidP="00DE5ED3" w:rsidRDefault="00F81B16" w14:paraId="33E27B07" w14:textId="77777777">
            <w:pPr>
              <w:spacing w:line="240" w:lineRule="auto"/>
              <w:ind w:firstLine="0"/>
              <w:rPr>
                <w:sz w:val="24"/>
                <w:szCs w:val="24"/>
              </w:rPr>
            </w:pPr>
            <w:r w:rsidRPr="00F64147">
              <w:rPr>
                <w:sz w:val="24"/>
                <w:szCs w:val="24"/>
              </w:rPr>
              <w:t>Notes</w:t>
            </w:r>
          </w:p>
        </w:tc>
      </w:tr>
      <w:tr w:rsidRPr="00F64147" w:rsidR="00F81B16" w:rsidTr="00F81B16" w14:paraId="77FD2ADB" w14:textId="77777777">
        <w:trPr>
          <w:cnfStyle w:val="000000100000" w:firstRow="0" w:lastRow="0" w:firstColumn="0" w:lastColumn="0" w:oddVBand="0" w:evenVBand="0" w:oddHBand="1" w:evenHBand="0" w:firstRowFirstColumn="0" w:firstRowLastColumn="0" w:lastRowFirstColumn="0" w:lastRowLastColumn="0"/>
        </w:trPr>
        <w:tc>
          <w:tcPr>
            <w:tcW w:w="3730" w:type="dxa"/>
          </w:tcPr>
          <w:p w:rsidRPr="00F64147" w:rsidR="00F81B16" w:rsidP="00DE5ED3" w:rsidRDefault="00F81B16" w14:paraId="33C5BB1B" w14:textId="77777777">
            <w:pPr>
              <w:spacing w:line="240" w:lineRule="auto"/>
              <w:ind w:firstLine="0"/>
              <w:rPr>
                <w:sz w:val="24"/>
                <w:szCs w:val="24"/>
              </w:rPr>
            </w:pPr>
            <w:r w:rsidRPr="00F64147">
              <w:rPr>
                <w:sz w:val="24"/>
                <w:szCs w:val="24"/>
              </w:rPr>
              <w:t>Overall description of program activity since last report</w:t>
            </w:r>
          </w:p>
        </w:tc>
        <w:tc>
          <w:tcPr>
            <w:tcW w:w="3019" w:type="dxa"/>
          </w:tcPr>
          <w:p w:rsidRPr="00F64147" w:rsidR="00F81B16" w:rsidP="00DE5ED3" w:rsidRDefault="00F81B16" w14:paraId="165C8F96" w14:textId="77777777">
            <w:pPr>
              <w:spacing w:line="240" w:lineRule="auto"/>
              <w:ind w:firstLine="0"/>
              <w:rPr>
                <w:sz w:val="24"/>
                <w:szCs w:val="24"/>
              </w:rPr>
            </w:pPr>
            <w:r w:rsidRPr="00F64147">
              <w:rPr>
                <w:sz w:val="24"/>
                <w:szCs w:val="24"/>
              </w:rPr>
              <w:t>Text</w:t>
            </w:r>
          </w:p>
        </w:tc>
      </w:tr>
      <w:tr w:rsidRPr="00F64147" w:rsidR="00F81B16" w:rsidTr="00F81B16" w14:paraId="10BBE1A9" w14:textId="77777777">
        <w:tc>
          <w:tcPr>
            <w:tcW w:w="3730" w:type="dxa"/>
          </w:tcPr>
          <w:p w:rsidRPr="00F64147" w:rsidR="00F81B16" w:rsidP="00DE5ED3" w:rsidRDefault="00F81B16" w14:paraId="46620AB2" w14:textId="77777777">
            <w:pPr>
              <w:spacing w:line="240" w:lineRule="auto"/>
              <w:ind w:firstLine="0"/>
              <w:rPr>
                <w:sz w:val="24"/>
                <w:szCs w:val="24"/>
              </w:rPr>
            </w:pPr>
            <w:r w:rsidRPr="00F64147">
              <w:rPr>
                <w:sz w:val="24"/>
                <w:szCs w:val="24"/>
              </w:rPr>
              <w:t>New customers enrolled</w:t>
            </w:r>
          </w:p>
        </w:tc>
        <w:tc>
          <w:tcPr>
            <w:tcW w:w="3019" w:type="dxa"/>
          </w:tcPr>
          <w:p w:rsidRPr="00F64147" w:rsidR="00F81B16" w:rsidP="00DE5ED3" w:rsidRDefault="00F81B16" w14:paraId="6FA7BAF3" w14:textId="77777777">
            <w:pPr>
              <w:spacing w:line="240" w:lineRule="auto"/>
              <w:ind w:firstLine="0"/>
              <w:rPr>
                <w:sz w:val="24"/>
                <w:szCs w:val="24"/>
              </w:rPr>
            </w:pPr>
            <w:r w:rsidRPr="00F64147">
              <w:rPr>
                <w:sz w:val="24"/>
                <w:szCs w:val="24"/>
              </w:rPr>
              <w:t>By customer type</w:t>
            </w:r>
          </w:p>
        </w:tc>
      </w:tr>
      <w:tr w:rsidRPr="00F64147" w:rsidR="00F81B16" w:rsidTr="00F81B16" w14:paraId="7FA20E37" w14:textId="77777777">
        <w:trPr>
          <w:cnfStyle w:val="000000100000" w:firstRow="0" w:lastRow="0" w:firstColumn="0" w:lastColumn="0" w:oddVBand="0" w:evenVBand="0" w:oddHBand="1" w:evenHBand="0" w:firstRowFirstColumn="0" w:firstRowLastColumn="0" w:lastRowFirstColumn="0" w:lastRowLastColumn="0"/>
        </w:trPr>
        <w:tc>
          <w:tcPr>
            <w:tcW w:w="3730" w:type="dxa"/>
          </w:tcPr>
          <w:p w:rsidRPr="00F64147" w:rsidR="00F81B16" w:rsidP="00DE5ED3" w:rsidRDefault="00F81B16" w14:paraId="12CCBABB" w14:textId="77777777">
            <w:pPr>
              <w:spacing w:line="240" w:lineRule="auto"/>
              <w:ind w:firstLine="0"/>
              <w:rPr>
                <w:sz w:val="24"/>
                <w:szCs w:val="24"/>
              </w:rPr>
            </w:pPr>
            <w:r w:rsidRPr="00F64147">
              <w:rPr>
                <w:sz w:val="24"/>
                <w:szCs w:val="24"/>
              </w:rPr>
              <w:t>Customers dis-enrolled</w:t>
            </w:r>
          </w:p>
        </w:tc>
        <w:tc>
          <w:tcPr>
            <w:tcW w:w="3019" w:type="dxa"/>
          </w:tcPr>
          <w:p w:rsidRPr="00F64147" w:rsidR="00F81B16" w:rsidP="00DE5ED3" w:rsidRDefault="00F81B16" w14:paraId="3608834E" w14:textId="77777777">
            <w:pPr>
              <w:spacing w:line="240" w:lineRule="auto"/>
              <w:ind w:firstLine="0"/>
              <w:rPr>
                <w:sz w:val="24"/>
                <w:szCs w:val="24"/>
              </w:rPr>
            </w:pPr>
            <w:r w:rsidRPr="00F64147">
              <w:rPr>
                <w:sz w:val="24"/>
                <w:szCs w:val="24"/>
              </w:rPr>
              <w:t>By customer type</w:t>
            </w:r>
          </w:p>
        </w:tc>
      </w:tr>
      <w:tr w:rsidRPr="00F64147" w:rsidR="00F81B16" w:rsidTr="00F81B16" w14:paraId="647C10F8" w14:textId="77777777">
        <w:tc>
          <w:tcPr>
            <w:tcW w:w="3730" w:type="dxa"/>
          </w:tcPr>
          <w:p w:rsidRPr="00F64147" w:rsidR="00F81B16" w:rsidP="00DE5ED3" w:rsidRDefault="00F81B16" w14:paraId="07084DBE" w14:textId="77777777">
            <w:pPr>
              <w:spacing w:line="240" w:lineRule="auto"/>
              <w:ind w:firstLine="0"/>
              <w:rPr>
                <w:sz w:val="24"/>
                <w:szCs w:val="24"/>
              </w:rPr>
            </w:pPr>
            <w:r w:rsidRPr="00F64147">
              <w:rPr>
                <w:sz w:val="24"/>
                <w:szCs w:val="24"/>
              </w:rPr>
              <w:t>Number of customers by purchase subscription</w:t>
            </w:r>
          </w:p>
        </w:tc>
        <w:tc>
          <w:tcPr>
            <w:tcW w:w="3019" w:type="dxa"/>
          </w:tcPr>
          <w:p w:rsidRPr="00F64147" w:rsidR="00F81B16" w:rsidP="00DE5ED3" w:rsidRDefault="00F81B16" w14:paraId="2FF1A60D" w14:textId="77777777">
            <w:pPr>
              <w:spacing w:line="240" w:lineRule="auto"/>
              <w:ind w:firstLine="0"/>
              <w:rPr>
                <w:sz w:val="24"/>
                <w:szCs w:val="24"/>
              </w:rPr>
            </w:pPr>
            <w:r w:rsidRPr="00F64147">
              <w:rPr>
                <w:sz w:val="24"/>
                <w:szCs w:val="24"/>
              </w:rPr>
              <w:t>Table by amount, by customer type</w:t>
            </w:r>
          </w:p>
        </w:tc>
      </w:tr>
      <w:tr w:rsidRPr="00F64147" w:rsidR="00F81B16" w:rsidTr="00F81B16" w14:paraId="61EA3F07" w14:textId="77777777">
        <w:trPr>
          <w:cnfStyle w:val="000000100000" w:firstRow="0" w:lastRow="0" w:firstColumn="0" w:lastColumn="0" w:oddVBand="0" w:evenVBand="0" w:oddHBand="1" w:evenHBand="0" w:firstRowFirstColumn="0" w:firstRowLastColumn="0" w:lastRowFirstColumn="0" w:lastRowLastColumn="0"/>
        </w:trPr>
        <w:tc>
          <w:tcPr>
            <w:tcW w:w="3730" w:type="dxa"/>
          </w:tcPr>
          <w:p w:rsidRPr="00F64147" w:rsidR="00F81B16" w:rsidP="00DE5ED3" w:rsidRDefault="00F81B16" w14:paraId="06A3E88B" w14:textId="77777777">
            <w:pPr>
              <w:spacing w:line="240" w:lineRule="auto"/>
              <w:ind w:firstLine="0"/>
              <w:rPr>
                <w:sz w:val="24"/>
                <w:szCs w:val="24"/>
              </w:rPr>
            </w:pPr>
            <w:r w:rsidRPr="00F64147">
              <w:rPr>
                <w:sz w:val="24"/>
                <w:szCs w:val="24"/>
              </w:rPr>
              <w:t>Quantity of RNG sold</w:t>
            </w:r>
          </w:p>
        </w:tc>
        <w:tc>
          <w:tcPr>
            <w:tcW w:w="3019" w:type="dxa"/>
          </w:tcPr>
          <w:p w:rsidRPr="00F64147" w:rsidR="00F81B16" w:rsidP="00DE5ED3" w:rsidRDefault="00F81B16" w14:paraId="3FE22675" w14:textId="77777777">
            <w:pPr>
              <w:spacing w:line="240" w:lineRule="auto"/>
              <w:ind w:firstLine="0"/>
              <w:rPr>
                <w:sz w:val="24"/>
                <w:szCs w:val="24"/>
              </w:rPr>
            </w:pPr>
            <w:r w:rsidRPr="00F64147">
              <w:rPr>
                <w:sz w:val="24"/>
                <w:szCs w:val="24"/>
              </w:rPr>
              <w:t>By customer type</w:t>
            </w:r>
          </w:p>
        </w:tc>
      </w:tr>
      <w:tr w:rsidRPr="00F64147" w:rsidR="00F81B16" w:rsidTr="00F81B16" w14:paraId="5420F2BC" w14:textId="77777777">
        <w:tc>
          <w:tcPr>
            <w:tcW w:w="3730" w:type="dxa"/>
          </w:tcPr>
          <w:p w:rsidRPr="00F64147" w:rsidR="00F81B16" w:rsidP="00DE5ED3" w:rsidRDefault="00F81B16" w14:paraId="7280D84A" w14:textId="77777777">
            <w:pPr>
              <w:spacing w:line="240" w:lineRule="auto"/>
              <w:ind w:firstLine="0"/>
              <w:rPr>
                <w:sz w:val="24"/>
                <w:szCs w:val="24"/>
              </w:rPr>
            </w:pPr>
            <w:r w:rsidRPr="00F64147">
              <w:rPr>
                <w:sz w:val="24"/>
                <w:szCs w:val="24"/>
              </w:rPr>
              <w:t>Revenue of RNG sold</w:t>
            </w:r>
          </w:p>
        </w:tc>
        <w:tc>
          <w:tcPr>
            <w:tcW w:w="3019" w:type="dxa"/>
          </w:tcPr>
          <w:p w:rsidRPr="00F64147" w:rsidR="00F81B16" w:rsidP="00DE5ED3" w:rsidRDefault="00F81B16" w14:paraId="347A5523" w14:textId="77777777">
            <w:pPr>
              <w:spacing w:line="240" w:lineRule="auto"/>
              <w:ind w:firstLine="0"/>
              <w:rPr>
                <w:sz w:val="24"/>
                <w:szCs w:val="24"/>
              </w:rPr>
            </w:pPr>
            <w:r w:rsidRPr="00F64147">
              <w:rPr>
                <w:sz w:val="24"/>
                <w:szCs w:val="24"/>
              </w:rPr>
              <w:t>By customer type</w:t>
            </w:r>
          </w:p>
        </w:tc>
      </w:tr>
      <w:tr w:rsidRPr="00F64147" w:rsidR="00F81B16" w:rsidTr="00F81B16" w14:paraId="013B9F21" w14:textId="77777777">
        <w:trPr>
          <w:cnfStyle w:val="000000100000" w:firstRow="0" w:lastRow="0" w:firstColumn="0" w:lastColumn="0" w:oddVBand="0" w:evenVBand="0" w:oddHBand="1" w:evenHBand="0" w:firstRowFirstColumn="0" w:firstRowLastColumn="0" w:lastRowFirstColumn="0" w:lastRowLastColumn="0"/>
        </w:trPr>
        <w:tc>
          <w:tcPr>
            <w:tcW w:w="3730" w:type="dxa"/>
          </w:tcPr>
          <w:p w:rsidRPr="00F64147" w:rsidR="00F81B16" w:rsidP="00DE5ED3" w:rsidRDefault="00F81B16" w14:paraId="0F0CFA08" w14:textId="77777777">
            <w:pPr>
              <w:spacing w:line="240" w:lineRule="auto"/>
              <w:ind w:firstLine="0"/>
              <w:rPr>
                <w:sz w:val="24"/>
                <w:szCs w:val="24"/>
              </w:rPr>
            </w:pPr>
            <w:r w:rsidRPr="00F64147">
              <w:rPr>
                <w:sz w:val="24"/>
                <w:szCs w:val="24"/>
              </w:rPr>
              <w:t>Overhead expenses</w:t>
            </w:r>
          </w:p>
        </w:tc>
        <w:tc>
          <w:tcPr>
            <w:tcW w:w="3019" w:type="dxa"/>
          </w:tcPr>
          <w:p w:rsidRPr="00F64147" w:rsidR="00F81B16" w:rsidP="00DE5ED3" w:rsidRDefault="00F81B16" w14:paraId="69B288EB" w14:textId="77777777">
            <w:pPr>
              <w:spacing w:line="240" w:lineRule="auto"/>
              <w:ind w:firstLine="0"/>
              <w:rPr>
                <w:sz w:val="24"/>
                <w:szCs w:val="24"/>
              </w:rPr>
            </w:pPr>
            <w:r w:rsidRPr="00F64147">
              <w:rPr>
                <w:sz w:val="24"/>
                <w:szCs w:val="24"/>
              </w:rPr>
              <w:t>Marketing and Administration</w:t>
            </w:r>
          </w:p>
        </w:tc>
      </w:tr>
      <w:tr w:rsidRPr="00F64147" w:rsidR="00F81B16" w:rsidTr="00F81B16" w14:paraId="7D087AB5" w14:textId="77777777">
        <w:tc>
          <w:tcPr>
            <w:tcW w:w="3730" w:type="dxa"/>
          </w:tcPr>
          <w:p w:rsidRPr="00F64147" w:rsidR="00F81B16" w:rsidP="00DE5ED3" w:rsidRDefault="00F81B16" w14:paraId="67545CD9" w14:textId="77777777">
            <w:pPr>
              <w:spacing w:line="240" w:lineRule="auto"/>
              <w:ind w:firstLine="0"/>
              <w:rPr>
                <w:sz w:val="24"/>
                <w:szCs w:val="24"/>
              </w:rPr>
            </w:pPr>
            <w:r w:rsidRPr="00F64147">
              <w:rPr>
                <w:sz w:val="24"/>
                <w:szCs w:val="24"/>
              </w:rPr>
              <w:t>Carbon intensity for the RNG Tariff program</w:t>
            </w:r>
          </w:p>
        </w:tc>
        <w:tc>
          <w:tcPr>
            <w:tcW w:w="3019" w:type="dxa"/>
          </w:tcPr>
          <w:p w:rsidRPr="00F64147" w:rsidR="00F81B16" w:rsidP="00DE5ED3" w:rsidRDefault="00F81B16" w14:paraId="47615BB8" w14:textId="77777777">
            <w:pPr>
              <w:spacing w:line="240" w:lineRule="auto"/>
              <w:ind w:firstLine="0"/>
              <w:rPr>
                <w:sz w:val="24"/>
                <w:szCs w:val="24"/>
              </w:rPr>
            </w:pPr>
            <w:r w:rsidRPr="00F64147">
              <w:rPr>
                <w:sz w:val="24"/>
                <w:szCs w:val="24"/>
              </w:rPr>
              <w:t>Average</w:t>
            </w:r>
          </w:p>
        </w:tc>
      </w:tr>
      <w:tr w:rsidRPr="00F64147" w:rsidR="00F81B16" w:rsidTr="00F81B16" w14:paraId="6B802BA9" w14:textId="77777777">
        <w:trPr>
          <w:cnfStyle w:val="000000100000" w:firstRow="0" w:lastRow="0" w:firstColumn="0" w:lastColumn="0" w:oddVBand="0" w:evenVBand="0" w:oddHBand="1" w:evenHBand="0" w:firstRowFirstColumn="0" w:firstRowLastColumn="0" w:lastRowFirstColumn="0" w:lastRowLastColumn="0"/>
        </w:trPr>
        <w:tc>
          <w:tcPr>
            <w:tcW w:w="3730" w:type="dxa"/>
          </w:tcPr>
          <w:p w:rsidRPr="00F64147" w:rsidR="00F81B16" w:rsidP="00DE5ED3" w:rsidRDefault="00F81B16" w14:paraId="49585BED" w14:textId="77777777">
            <w:pPr>
              <w:spacing w:line="240" w:lineRule="auto"/>
              <w:ind w:firstLine="0"/>
              <w:rPr>
                <w:sz w:val="24"/>
                <w:szCs w:val="24"/>
              </w:rPr>
            </w:pPr>
            <w:r w:rsidRPr="00F64147">
              <w:rPr>
                <w:sz w:val="24"/>
                <w:szCs w:val="24"/>
              </w:rPr>
              <w:t>GHG emissions reductions</w:t>
            </w:r>
          </w:p>
        </w:tc>
        <w:tc>
          <w:tcPr>
            <w:tcW w:w="3019" w:type="dxa"/>
          </w:tcPr>
          <w:p w:rsidRPr="00F64147" w:rsidR="00F81B16" w:rsidP="00DE5ED3" w:rsidRDefault="00F81B16" w14:paraId="62582B40" w14:textId="103DEFE4">
            <w:pPr>
              <w:spacing w:line="240" w:lineRule="auto"/>
              <w:ind w:firstLine="0"/>
              <w:rPr>
                <w:sz w:val="24"/>
                <w:szCs w:val="24"/>
              </w:rPr>
            </w:pPr>
            <w:r w:rsidRPr="00F64147">
              <w:rPr>
                <w:sz w:val="24"/>
                <w:szCs w:val="24"/>
              </w:rPr>
              <w:t>MTCO</w:t>
            </w:r>
            <w:r w:rsidRPr="00185C94" w:rsidR="005F3CC4">
              <w:rPr>
                <w:sz w:val="24"/>
                <w:szCs w:val="24"/>
                <w:vertAlign w:val="subscript"/>
              </w:rPr>
              <w:t>2</w:t>
            </w:r>
            <w:r w:rsidRPr="00F64147">
              <w:rPr>
                <w:sz w:val="24"/>
                <w:szCs w:val="24"/>
              </w:rPr>
              <w:t>e</w:t>
            </w:r>
          </w:p>
        </w:tc>
      </w:tr>
      <w:tr w:rsidRPr="00F64147" w:rsidR="00F81B16" w:rsidTr="00F81B16" w14:paraId="047D1E0D" w14:textId="77777777">
        <w:tc>
          <w:tcPr>
            <w:tcW w:w="3730" w:type="dxa"/>
          </w:tcPr>
          <w:p w:rsidRPr="00F64147" w:rsidR="00F81B16" w:rsidP="00DE5ED3" w:rsidRDefault="00F81B16" w14:paraId="2F17E470" w14:textId="77777777">
            <w:pPr>
              <w:spacing w:line="240" w:lineRule="auto"/>
              <w:ind w:firstLine="0"/>
              <w:rPr>
                <w:rFonts w:cstheme="minorHAnsi"/>
                <w:sz w:val="24"/>
                <w:szCs w:val="24"/>
              </w:rPr>
            </w:pPr>
            <w:r w:rsidRPr="00F64147">
              <w:rPr>
                <w:rFonts w:cstheme="minorHAnsi"/>
                <w:sz w:val="24"/>
                <w:szCs w:val="24"/>
              </w:rPr>
              <w:t>Summary of all PAG meetings held each quarter, and dates on which meetings were held</w:t>
            </w:r>
          </w:p>
        </w:tc>
        <w:tc>
          <w:tcPr>
            <w:tcW w:w="3019" w:type="dxa"/>
          </w:tcPr>
          <w:p w:rsidRPr="00F64147" w:rsidR="00F81B16" w:rsidP="00DE5ED3" w:rsidRDefault="00F81B16" w14:paraId="10ED8E69" w14:textId="77777777">
            <w:pPr>
              <w:spacing w:line="240" w:lineRule="auto"/>
              <w:ind w:firstLine="0"/>
              <w:rPr>
                <w:sz w:val="24"/>
                <w:szCs w:val="24"/>
              </w:rPr>
            </w:pPr>
          </w:p>
        </w:tc>
      </w:tr>
      <w:tr w:rsidRPr="00F64147" w:rsidR="00F81B16" w:rsidTr="00F81B16" w14:paraId="73DB20CC" w14:textId="77777777">
        <w:trPr>
          <w:cnfStyle w:val="000000100000" w:firstRow="0" w:lastRow="0" w:firstColumn="0" w:lastColumn="0" w:oddVBand="0" w:evenVBand="0" w:oddHBand="1" w:evenHBand="0" w:firstRowFirstColumn="0" w:firstRowLastColumn="0" w:lastRowFirstColumn="0" w:lastRowLastColumn="0"/>
        </w:trPr>
        <w:tc>
          <w:tcPr>
            <w:tcW w:w="3730" w:type="dxa"/>
          </w:tcPr>
          <w:p w:rsidRPr="00F64147" w:rsidR="00F81B16" w:rsidP="00DE5ED3" w:rsidRDefault="00F81B16" w14:paraId="4EF68C46" w14:textId="77777777">
            <w:pPr>
              <w:spacing w:line="240" w:lineRule="auto"/>
              <w:ind w:firstLine="0"/>
              <w:rPr>
                <w:sz w:val="24"/>
                <w:szCs w:val="24"/>
              </w:rPr>
            </w:pPr>
            <w:r w:rsidRPr="00F64147">
              <w:rPr>
                <w:rFonts w:cstheme="minorHAnsi"/>
                <w:sz w:val="24"/>
                <w:szCs w:val="24"/>
              </w:rPr>
              <w:t>Participant stakeholders of each meeting, individual topics discussed, and any votes held on action items</w:t>
            </w:r>
          </w:p>
        </w:tc>
        <w:tc>
          <w:tcPr>
            <w:tcW w:w="3019" w:type="dxa"/>
          </w:tcPr>
          <w:p w:rsidRPr="00F64147" w:rsidR="00F81B16" w:rsidP="00DE5ED3" w:rsidRDefault="00F81B16" w14:paraId="623DB1CE" w14:textId="77777777">
            <w:pPr>
              <w:spacing w:line="240" w:lineRule="auto"/>
              <w:ind w:firstLine="0"/>
              <w:rPr>
                <w:sz w:val="24"/>
                <w:szCs w:val="24"/>
              </w:rPr>
            </w:pPr>
          </w:p>
        </w:tc>
      </w:tr>
      <w:tr w:rsidRPr="00F64147" w:rsidR="00F81B16" w:rsidTr="00F81B16" w14:paraId="78FD1782" w14:textId="77777777">
        <w:tc>
          <w:tcPr>
            <w:tcW w:w="3730" w:type="dxa"/>
          </w:tcPr>
          <w:p w:rsidRPr="00F64147" w:rsidR="00F81B16" w:rsidP="00DE5ED3" w:rsidRDefault="00F81B16" w14:paraId="388620B4" w14:textId="77777777">
            <w:pPr>
              <w:spacing w:line="240" w:lineRule="auto"/>
              <w:ind w:firstLine="0"/>
              <w:rPr>
                <w:rFonts w:cstheme="minorHAnsi"/>
                <w:sz w:val="24"/>
                <w:szCs w:val="24"/>
              </w:rPr>
            </w:pPr>
            <w:r w:rsidRPr="00F64147">
              <w:rPr>
                <w:rFonts w:cstheme="minorHAnsi"/>
                <w:sz w:val="24"/>
                <w:szCs w:val="24"/>
              </w:rPr>
              <w:t>PAG recommendation(s) that the Utilities did not implement, including a list of the recommendation(s) and an explanation of why the Utilities do not adopt PAG’s recommendations</w:t>
            </w:r>
          </w:p>
        </w:tc>
        <w:tc>
          <w:tcPr>
            <w:tcW w:w="3019" w:type="dxa"/>
          </w:tcPr>
          <w:p w:rsidRPr="00F64147" w:rsidR="00F81B16" w:rsidP="00DE5ED3" w:rsidRDefault="00F81B16" w14:paraId="2963E962" w14:textId="77777777">
            <w:pPr>
              <w:spacing w:line="240" w:lineRule="auto"/>
              <w:ind w:firstLine="0"/>
              <w:rPr>
                <w:sz w:val="24"/>
                <w:szCs w:val="24"/>
              </w:rPr>
            </w:pPr>
          </w:p>
        </w:tc>
      </w:tr>
      <w:tr w:rsidRPr="00F64147" w:rsidR="00F81B16" w:rsidTr="00F81B16" w14:paraId="21528DC3" w14:textId="77777777">
        <w:trPr>
          <w:gridAfter w:val="1"/>
          <w:cnfStyle w:val="000000100000" w:firstRow="0" w:lastRow="0" w:firstColumn="0" w:lastColumn="0" w:oddVBand="0" w:evenVBand="0" w:oddHBand="1" w:evenHBand="0" w:firstRowFirstColumn="0" w:firstRowLastColumn="0" w:lastRowFirstColumn="0" w:lastRowLastColumn="0"/>
          <w:wAfter w:w="3019" w:type="dxa"/>
        </w:trPr>
        <w:tc>
          <w:tcPr>
            <w:tcW w:w="3730" w:type="dxa"/>
          </w:tcPr>
          <w:p w:rsidRPr="00F64147" w:rsidR="00F81B16" w:rsidP="00DE5ED3" w:rsidRDefault="00F81B16" w14:paraId="207BDE4C" w14:textId="77777777">
            <w:pPr>
              <w:spacing w:line="240" w:lineRule="auto"/>
              <w:ind w:firstLine="0"/>
              <w:rPr>
                <w:b/>
                <w:sz w:val="24"/>
                <w:szCs w:val="24"/>
              </w:rPr>
            </w:pPr>
            <w:r w:rsidRPr="00F64147">
              <w:rPr>
                <w:b/>
                <w:sz w:val="24"/>
                <w:szCs w:val="24"/>
              </w:rPr>
              <w:t>RNG SOURCES</w:t>
            </w:r>
          </w:p>
        </w:tc>
      </w:tr>
      <w:tr w:rsidRPr="00F64147" w:rsidR="00F81B16" w:rsidTr="00F81B16" w14:paraId="00CD2936" w14:textId="77777777">
        <w:tc>
          <w:tcPr>
            <w:tcW w:w="3730" w:type="dxa"/>
          </w:tcPr>
          <w:p w:rsidRPr="00F64147" w:rsidR="00F81B16" w:rsidP="00DE5ED3" w:rsidRDefault="00F81B16" w14:paraId="77154109" w14:textId="77777777">
            <w:pPr>
              <w:spacing w:line="240" w:lineRule="auto"/>
              <w:ind w:firstLine="0"/>
              <w:rPr>
                <w:sz w:val="24"/>
                <w:szCs w:val="24"/>
              </w:rPr>
            </w:pPr>
            <w:r w:rsidRPr="00F64147">
              <w:rPr>
                <w:sz w:val="24"/>
                <w:szCs w:val="24"/>
              </w:rPr>
              <w:t>Name</w:t>
            </w:r>
          </w:p>
        </w:tc>
        <w:tc>
          <w:tcPr>
            <w:tcW w:w="3019" w:type="dxa"/>
          </w:tcPr>
          <w:p w:rsidRPr="00F64147" w:rsidR="00F81B16" w:rsidP="00DE5ED3" w:rsidRDefault="00F81B16" w14:paraId="402FB204" w14:textId="77777777">
            <w:pPr>
              <w:spacing w:line="240" w:lineRule="auto"/>
              <w:ind w:firstLine="0"/>
              <w:rPr>
                <w:sz w:val="24"/>
                <w:szCs w:val="24"/>
              </w:rPr>
            </w:pPr>
          </w:p>
        </w:tc>
      </w:tr>
      <w:tr w:rsidRPr="00F64147" w:rsidR="00F81B16" w:rsidTr="00F81B16" w14:paraId="450FF5D0" w14:textId="77777777">
        <w:trPr>
          <w:cnfStyle w:val="000000100000" w:firstRow="0" w:lastRow="0" w:firstColumn="0" w:lastColumn="0" w:oddVBand="0" w:evenVBand="0" w:oddHBand="1" w:evenHBand="0" w:firstRowFirstColumn="0" w:firstRowLastColumn="0" w:lastRowFirstColumn="0" w:lastRowLastColumn="0"/>
        </w:trPr>
        <w:tc>
          <w:tcPr>
            <w:tcW w:w="3730" w:type="dxa"/>
          </w:tcPr>
          <w:p w:rsidRPr="00F64147" w:rsidR="00F81B16" w:rsidP="00DE5ED3" w:rsidRDefault="00F81B16" w14:paraId="59B2A35B" w14:textId="77777777">
            <w:pPr>
              <w:spacing w:line="240" w:lineRule="auto"/>
              <w:ind w:firstLine="0"/>
              <w:rPr>
                <w:sz w:val="24"/>
                <w:szCs w:val="24"/>
              </w:rPr>
            </w:pPr>
            <w:r w:rsidRPr="00F64147">
              <w:rPr>
                <w:sz w:val="24"/>
                <w:szCs w:val="24"/>
              </w:rPr>
              <w:t xml:space="preserve">City/State </w:t>
            </w:r>
          </w:p>
        </w:tc>
        <w:tc>
          <w:tcPr>
            <w:tcW w:w="3019" w:type="dxa"/>
          </w:tcPr>
          <w:p w:rsidRPr="00F64147" w:rsidR="00F81B16" w:rsidP="00DE5ED3" w:rsidRDefault="00F81B16" w14:paraId="4E4841C5" w14:textId="77777777">
            <w:pPr>
              <w:spacing w:line="240" w:lineRule="auto"/>
              <w:ind w:firstLine="0"/>
              <w:rPr>
                <w:sz w:val="24"/>
                <w:szCs w:val="24"/>
              </w:rPr>
            </w:pPr>
            <w:r w:rsidRPr="00F64147">
              <w:rPr>
                <w:sz w:val="24"/>
                <w:szCs w:val="24"/>
              </w:rPr>
              <w:t>Or nearest town</w:t>
            </w:r>
          </w:p>
        </w:tc>
      </w:tr>
      <w:tr w:rsidRPr="00F64147" w:rsidR="00F81B16" w:rsidTr="00F81B16" w14:paraId="2AA52F22" w14:textId="77777777">
        <w:tc>
          <w:tcPr>
            <w:tcW w:w="3730" w:type="dxa"/>
          </w:tcPr>
          <w:p w:rsidRPr="00F64147" w:rsidR="00F81B16" w:rsidP="00DE5ED3" w:rsidRDefault="00F81B16" w14:paraId="1055FED6" w14:textId="77777777">
            <w:pPr>
              <w:spacing w:line="240" w:lineRule="auto"/>
              <w:ind w:firstLine="0"/>
              <w:rPr>
                <w:sz w:val="24"/>
                <w:szCs w:val="24"/>
              </w:rPr>
            </w:pPr>
            <w:r w:rsidRPr="00F64147">
              <w:rPr>
                <w:sz w:val="24"/>
                <w:szCs w:val="24"/>
              </w:rPr>
              <w:t>Years in Operation</w:t>
            </w:r>
          </w:p>
        </w:tc>
        <w:tc>
          <w:tcPr>
            <w:tcW w:w="3019" w:type="dxa"/>
          </w:tcPr>
          <w:p w:rsidRPr="00F64147" w:rsidR="00F81B16" w:rsidP="00DE5ED3" w:rsidRDefault="00F81B16" w14:paraId="742AD7C9" w14:textId="77777777">
            <w:pPr>
              <w:spacing w:line="240" w:lineRule="auto"/>
              <w:ind w:firstLine="0"/>
              <w:rPr>
                <w:sz w:val="24"/>
                <w:szCs w:val="24"/>
              </w:rPr>
            </w:pPr>
          </w:p>
        </w:tc>
      </w:tr>
      <w:tr w:rsidRPr="00F64147" w:rsidR="00F81B16" w:rsidTr="00F81B16" w14:paraId="559593D3" w14:textId="77777777">
        <w:trPr>
          <w:cnfStyle w:val="000000100000" w:firstRow="0" w:lastRow="0" w:firstColumn="0" w:lastColumn="0" w:oddVBand="0" w:evenVBand="0" w:oddHBand="1" w:evenHBand="0" w:firstRowFirstColumn="0" w:firstRowLastColumn="0" w:lastRowFirstColumn="0" w:lastRowLastColumn="0"/>
        </w:trPr>
        <w:tc>
          <w:tcPr>
            <w:tcW w:w="3730" w:type="dxa"/>
          </w:tcPr>
          <w:p w:rsidRPr="00F64147" w:rsidR="00F81B16" w:rsidP="00DE5ED3" w:rsidRDefault="00F81B16" w14:paraId="1E0E0199" w14:textId="77777777">
            <w:pPr>
              <w:spacing w:line="240" w:lineRule="auto"/>
              <w:ind w:firstLine="0"/>
              <w:rPr>
                <w:sz w:val="24"/>
                <w:szCs w:val="24"/>
              </w:rPr>
            </w:pPr>
            <w:r w:rsidRPr="00F64147">
              <w:rPr>
                <w:sz w:val="24"/>
                <w:szCs w:val="24"/>
              </w:rPr>
              <w:t>Feedstock of source</w:t>
            </w:r>
          </w:p>
        </w:tc>
        <w:tc>
          <w:tcPr>
            <w:tcW w:w="3019" w:type="dxa"/>
          </w:tcPr>
          <w:p w:rsidRPr="00F64147" w:rsidR="00F81B16" w:rsidP="00DE5ED3" w:rsidRDefault="00F81B16" w14:paraId="7006F298" w14:textId="77777777">
            <w:pPr>
              <w:spacing w:line="240" w:lineRule="auto"/>
              <w:ind w:firstLine="0"/>
              <w:rPr>
                <w:sz w:val="24"/>
                <w:szCs w:val="24"/>
              </w:rPr>
            </w:pPr>
          </w:p>
        </w:tc>
      </w:tr>
      <w:tr w:rsidRPr="00F64147" w:rsidR="00F81B16" w:rsidTr="00F81B16" w14:paraId="03404D1F" w14:textId="77777777">
        <w:tc>
          <w:tcPr>
            <w:tcW w:w="3730" w:type="dxa"/>
          </w:tcPr>
          <w:p w:rsidRPr="00F64147" w:rsidR="00F81B16" w:rsidP="00DE5ED3" w:rsidRDefault="00F81B16" w14:paraId="6654E0FD" w14:textId="77777777">
            <w:pPr>
              <w:spacing w:line="240" w:lineRule="auto"/>
              <w:ind w:firstLine="0"/>
              <w:rPr>
                <w:sz w:val="24"/>
                <w:szCs w:val="24"/>
              </w:rPr>
            </w:pPr>
            <w:r w:rsidRPr="00F64147">
              <w:rPr>
                <w:sz w:val="24"/>
                <w:szCs w:val="24"/>
              </w:rPr>
              <w:t>Carbon intensity for the source</w:t>
            </w:r>
          </w:p>
        </w:tc>
        <w:tc>
          <w:tcPr>
            <w:tcW w:w="3019" w:type="dxa"/>
          </w:tcPr>
          <w:p w:rsidRPr="00F64147" w:rsidR="00F81B16" w:rsidP="00DE5ED3" w:rsidRDefault="00F81B16" w14:paraId="29FA529E" w14:textId="77777777">
            <w:pPr>
              <w:spacing w:line="240" w:lineRule="auto"/>
              <w:ind w:firstLine="0"/>
              <w:rPr>
                <w:sz w:val="24"/>
                <w:szCs w:val="24"/>
              </w:rPr>
            </w:pPr>
          </w:p>
        </w:tc>
      </w:tr>
      <w:tr w:rsidRPr="00F64147" w:rsidR="00F81B16" w:rsidTr="00F81B16" w14:paraId="3D8A5F80" w14:textId="77777777">
        <w:trPr>
          <w:cnfStyle w:val="000000100000" w:firstRow="0" w:lastRow="0" w:firstColumn="0" w:lastColumn="0" w:oddVBand="0" w:evenVBand="0" w:oddHBand="1" w:evenHBand="0" w:firstRowFirstColumn="0" w:firstRowLastColumn="0" w:lastRowFirstColumn="0" w:lastRowLastColumn="0"/>
        </w:trPr>
        <w:tc>
          <w:tcPr>
            <w:tcW w:w="3730" w:type="dxa"/>
          </w:tcPr>
          <w:p w:rsidRPr="00F64147" w:rsidR="00F81B16" w:rsidP="00DE5ED3" w:rsidRDefault="00F81B16" w14:paraId="54DB49F2" w14:textId="77777777">
            <w:pPr>
              <w:spacing w:line="240" w:lineRule="auto"/>
              <w:ind w:firstLine="0"/>
              <w:rPr>
                <w:sz w:val="24"/>
                <w:szCs w:val="24"/>
              </w:rPr>
            </w:pPr>
            <w:r w:rsidRPr="00F64147">
              <w:rPr>
                <w:sz w:val="24"/>
                <w:szCs w:val="24"/>
              </w:rPr>
              <w:t>Volume purchased</w:t>
            </w:r>
          </w:p>
        </w:tc>
        <w:tc>
          <w:tcPr>
            <w:tcW w:w="3019" w:type="dxa"/>
          </w:tcPr>
          <w:p w:rsidRPr="00F64147" w:rsidR="00F81B16" w:rsidP="00DE5ED3" w:rsidRDefault="00F81B16" w14:paraId="41C855A5" w14:textId="77777777">
            <w:pPr>
              <w:spacing w:line="240" w:lineRule="auto"/>
              <w:ind w:firstLine="0"/>
              <w:rPr>
                <w:sz w:val="24"/>
                <w:szCs w:val="24"/>
              </w:rPr>
            </w:pPr>
          </w:p>
        </w:tc>
      </w:tr>
      <w:tr w:rsidRPr="00F64147" w:rsidR="00F81B16" w:rsidTr="00F81B16" w14:paraId="75EB3CAF" w14:textId="77777777">
        <w:tc>
          <w:tcPr>
            <w:tcW w:w="3730" w:type="dxa"/>
          </w:tcPr>
          <w:p w:rsidRPr="00F64147" w:rsidR="00F81B16" w:rsidP="00DE5ED3" w:rsidRDefault="00F81B16" w14:paraId="007E9310" w14:textId="77777777">
            <w:pPr>
              <w:spacing w:line="240" w:lineRule="auto"/>
              <w:ind w:firstLine="0"/>
              <w:rPr>
                <w:sz w:val="24"/>
                <w:szCs w:val="24"/>
              </w:rPr>
            </w:pPr>
            <w:r w:rsidRPr="00F64147">
              <w:rPr>
                <w:sz w:val="24"/>
                <w:szCs w:val="24"/>
              </w:rPr>
              <w:t xml:space="preserve">Cost per </w:t>
            </w:r>
            <w:proofErr w:type="spellStart"/>
            <w:r w:rsidRPr="00F64147">
              <w:rPr>
                <w:sz w:val="24"/>
                <w:szCs w:val="24"/>
              </w:rPr>
              <w:t>Therm</w:t>
            </w:r>
            <w:proofErr w:type="spellEnd"/>
          </w:p>
        </w:tc>
        <w:tc>
          <w:tcPr>
            <w:tcW w:w="3019" w:type="dxa"/>
          </w:tcPr>
          <w:p w:rsidRPr="00F64147" w:rsidR="00F81B16" w:rsidP="00DE5ED3" w:rsidRDefault="00F81B16" w14:paraId="2D4CC9EC" w14:textId="77777777">
            <w:pPr>
              <w:spacing w:line="240" w:lineRule="auto"/>
              <w:ind w:firstLine="0"/>
              <w:rPr>
                <w:sz w:val="24"/>
                <w:szCs w:val="24"/>
              </w:rPr>
            </w:pPr>
          </w:p>
        </w:tc>
      </w:tr>
    </w:tbl>
    <w:p w:rsidR="004D332F" w:rsidP="00DE5ED3" w:rsidRDefault="004D332F" w14:paraId="5C83F4E1" w14:textId="26E53F08">
      <w:pPr>
        <w:autoSpaceDE w:val="0"/>
        <w:autoSpaceDN w:val="0"/>
        <w:adjustRightInd w:val="0"/>
        <w:spacing w:line="240" w:lineRule="auto"/>
        <w:rPr>
          <w:rFonts w:ascii="TimesNewRomanPSMT" w:hAnsi="TimesNewRomanPSMT" w:cs="TimesNewRomanPSMT"/>
          <w:strike/>
          <w:color w:val="FF0000"/>
          <w:sz w:val="24"/>
          <w:szCs w:val="24"/>
        </w:rPr>
      </w:pPr>
      <w:r>
        <w:rPr>
          <w:rFonts w:ascii="TimesNewRomanPSMT" w:hAnsi="TimesNewRomanPSMT" w:cs="TimesNewRomanPSMT"/>
          <w:strike/>
          <w:color w:val="FF0000"/>
          <w:sz w:val="24"/>
          <w:szCs w:val="24"/>
        </w:rPr>
        <w:br w:type="page"/>
      </w:r>
    </w:p>
    <w:p w:rsidRPr="00E12D46" w:rsidR="00DE5ED3" w:rsidP="00DE5ED3" w:rsidRDefault="00DE5ED3" w14:paraId="43AFD8F8" w14:textId="77777777">
      <w:pPr>
        <w:autoSpaceDE w:val="0"/>
        <w:autoSpaceDN w:val="0"/>
        <w:adjustRightInd w:val="0"/>
        <w:spacing w:line="240" w:lineRule="auto"/>
        <w:rPr>
          <w:rFonts w:ascii="TimesNewRomanPSMT" w:hAnsi="TimesNewRomanPSMT" w:cs="TimesNewRomanPSMT"/>
          <w:strike/>
          <w:color w:val="FF0000"/>
          <w:sz w:val="24"/>
          <w:szCs w:val="24"/>
        </w:rPr>
      </w:pPr>
    </w:p>
    <w:p w:rsidRPr="00510889" w:rsidR="00D6440E" w:rsidP="00D6440E" w:rsidRDefault="00D6440E" w14:paraId="12FB0555" w14:textId="44664F5B">
      <w:pPr>
        <w:autoSpaceDE w:val="0"/>
        <w:autoSpaceDN w:val="0"/>
        <w:adjustRightInd w:val="0"/>
        <w:spacing w:line="240" w:lineRule="auto"/>
        <w:ind w:firstLine="0"/>
        <w:rPr>
          <w:rFonts w:eastAsia="Times New Roman" w:cs="Times New Roman"/>
          <w:b/>
          <w:bCs/>
          <w:sz w:val="24"/>
          <w:szCs w:val="24"/>
        </w:rPr>
      </w:pPr>
      <w:r w:rsidRPr="00510889">
        <w:rPr>
          <w:rFonts w:eastAsia="Times New Roman" w:cs="Times New Roman"/>
          <w:b/>
          <w:bCs/>
          <w:sz w:val="24"/>
          <w:szCs w:val="24"/>
        </w:rPr>
        <w:t xml:space="preserve">Table 5: </w:t>
      </w:r>
      <w:r w:rsidRPr="00510889">
        <w:rPr>
          <w:rFonts w:eastAsia="Times New Roman" w:cs="Times New Roman"/>
          <w:b/>
          <w:bCs/>
          <w:sz w:val="24"/>
          <w:szCs w:val="24"/>
        </w:rPr>
        <w:tab/>
      </w:r>
      <w:r w:rsidR="00C10456">
        <w:rPr>
          <w:rFonts w:eastAsia="Times New Roman" w:cs="Times New Roman"/>
          <w:b/>
          <w:bCs/>
          <w:sz w:val="24"/>
          <w:szCs w:val="24"/>
        </w:rPr>
        <w:t xml:space="preserve">List of </w:t>
      </w:r>
      <w:r w:rsidR="004D332F">
        <w:rPr>
          <w:rFonts w:eastAsia="Times New Roman" w:cs="Times New Roman"/>
          <w:b/>
          <w:bCs/>
          <w:sz w:val="24"/>
          <w:szCs w:val="24"/>
        </w:rPr>
        <w:t>Advice Letters</w:t>
      </w:r>
      <w:r w:rsidRPr="00510889">
        <w:rPr>
          <w:rFonts w:eastAsia="Times New Roman" w:cs="Times New Roman"/>
          <w:b/>
          <w:bCs/>
          <w:sz w:val="24"/>
          <w:szCs w:val="24"/>
        </w:rPr>
        <w:t xml:space="preserve"> </w:t>
      </w:r>
    </w:p>
    <w:p w:rsidRPr="00510889" w:rsidR="00D6440E" w:rsidP="00D6440E" w:rsidRDefault="00D6440E" w14:paraId="43083C42" w14:textId="77777777">
      <w:pPr>
        <w:autoSpaceDE w:val="0"/>
        <w:autoSpaceDN w:val="0"/>
        <w:adjustRightInd w:val="0"/>
        <w:spacing w:line="240" w:lineRule="auto"/>
        <w:ind w:firstLine="0"/>
        <w:rPr>
          <w:rFonts w:eastAsia="Times New Roman" w:cs="Times New Roman"/>
          <w:b/>
          <w:bCs/>
          <w:sz w:val="24"/>
          <w:szCs w:val="24"/>
        </w:rPr>
      </w:pPr>
    </w:p>
    <w:tbl>
      <w:tblPr>
        <w:tblStyle w:val="TableGrid"/>
        <w:tblW w:w="9903" w:type="dxa"/>
        <w:tblLook w:val="04A0" w:firstRow="1" w:lastRow="0" w:firstColumn="1" w:lastColumn="0" w:noHBand="0" w:noVBand="1"/>
      </w:tblPr>
      <w:tblGrid>
        <w:gridCol w:w="671"/>
        <w:gridCol w:w="656"/>
        <w:gridCol w:w="3748"/>
        <w:gridCol w:w="1426"/>
        <w:gridCol w:w="1439"/>
        <w:gridCol w:w="1963"/>
      </w:tblGrid>
      <w:tr w:rsidRPr="00510889" w:rsidR="00D6440E" w:rsidTr="004355E2" w14:paraId="361EB01A" w14:textId="77777777">
        <w:tc>
          <w:tcPr>
            <w:tcW w:w="535" w:type="dxa"/>
          </w:tcPr>
          <w:p w:rsidRPr="00510889" w:rsidR="00D6440E" w:rsidP="004355E2" w:rsidRDefault="00D6440E" w14:paraId="2DFC9A87" w14:textId="77777777">
            <w:pPr>
              <w:autoSpaceDE w:val="0"/>
              <w:autoSpaceDN w:val="0"/>
              <w:adjustRightInd w:val="0"/>
              <w:spacing w:line="240" w:lineRule="auto"/>
              <w:ind w:firstLine="0"/>
              <w:jc w:val="center"/>
              <w:rPr>
                <w:rFonts w:ascii="TimesNewRomanPSMT" w:hAnsi="TimesNewRomanPSMT" w:cs="TimesNewRomanPSMT"/>
                <w:b/>
                <w:bCs/>
                <w:sz w:val="24"/>
                <w:szCs w:val="24"/>
              </w:rPr>
            </w:pPr>
            <w:r w:rsidRPr="00510889">
              <w:rPr>
                <w:rFonts w:ascii="TimesNewRomanPSMT" w:hAnsi="TimesNewRomanPSMT" w:cs="TimesNewRomanPSMT"/>
                <w:b/>
                <w:bCs/>
                <w:sz w:val="24"/>
                <w:szCs w:val="24"/>
              </w:rPr>
              <w:t xml:space="preserve">OP1 </w:t>
            </w:r>
          </w:p>
        </w:tc>
        <w:tc>
          <w:tcPr>
            <w:tcW w:w="656" w:type="dxa"/>
          </w:tcPr>
          <w:p w:rsidRPr="00510889" w:rsidR="00D6440E" w:rsidP="004355E2" w:rsidRDefault="00D6440E" w14:paraId="4EC0EBC2" w14:textId="77777777">
            <w:pPr>
              <w:autoSpaceDE w:val="0"/>
              <w:autoSpaceDN w:val="0"/>
              <w:adjustRightInd w:val="0"/>
              <w:spacing w:line="240" w:lineRule="auto"/>
              <w:ind w:firstLine="0"/>
              <w:jc w:val="center"/>
              <w:rPr>
                <w:rFonts w:ascii="TimesNewRomanPSMT" w:hAnsi="TimesNewRomanPSMT" w:cs="TimesNewRomanPSMT"/>
                <w:b/>
                <w:bCs/>
                <w:sz w:val="24"/>
                <w:szCs w:val="24"/>
              </w:rPr>
            </w:pPr>
            <w:r w:rsidRPr="00510889">
              <w:rPr>
                <w:rFonts w:ascii="TimesNewRomanPSMT" w:hAnsi="TimesNewRomanPSMT" w:cs="TimesNewRomanPSMT"/>
                <w:b/>
                <w:bCs/>
                <w:sz w:val="24"/>
                <w:szCs w:val="24"/>
              </w:rPr>
              <w:t>Tier</w:t>
            </w:r>
          </w:p>
        </w:tc>
        <w:tc>
          <w:tcPr>
            <w:tcW w:w="3838" w:type="dxa"/>
          </w:tcPr>
          <w:p w:rsidRPr="00510889" w:rsidR="00D6440E" w:rsidP="004355E2" w:rsidRDefault="00D6440E" w14:paraId="5A214C97" w14:textId="77777777">
            <w:pPr>
              <w:autoSpaceDE w:val="0"/>
              <w:autoSpaceDN w:val="0"/>
              <w:adjustRightInd w:val="0"/>
              <w:spacing w:line="240" w:lineRule="auto"/>
              <w:ind w:firstLine="0"/>
              <w:rPr>
                <w:rFonts w:ascii="TimesNewRomanPSMT" w:hAnsi="TimesNewRomanPSMT" w:cs="TimesNewRomanPSMT"/>
                <w:b/>
                <w:bCs/>
                <w:sz w:val="24"/>
                <w:szCs w:val="24"/>
              </w:rPr>
            </w:pPr>
            <w:r w:rsidRPr="00510889">
              <w:rPr>
                <w:rFonts w:ascii="TimesNewRomanPSMT" w:hAnsi="TimesNewRomanPSMT" w:cs="TimesNewRomanPSMT"/>
                <w:b/>
                <w:bCs/>
                <w:sz w:val="24"/>
                <w:szCs w:val="24"/>
              </w:rPr>
              <w:t>Subject</w:t>
            </w:r>
          </w:p>
        </w:tc>
        <w:tc>
          <w:tcPr>
            <w:tcW w:w="1440" w:type="dxa"/>
          </w:tcPr>
          <w:p w:rsidRPr="00510889" w:rsidR="00D6440E" w:rsidP="004355E2" w:rsidRDefault="00D6440E" w14:paraId="4A8411E6" w14:textId="77777777">
            <w:pPr>
              <w:autoSpaceDE w:val="0"/>
              <w:autoSpaceDN w:val="0"/>
              <w:adjustRightInd w:val="0"/>
              <w:spacing w:line="240" w:lineRule="auto"/>
              <w:ind w:firstLine="0"/>
              <w:rPr>
                <w:rFonts w:ascii="TimesNewRomanPSMT" w:hAnsi="TimesNewRomanPSMT" w:cs="TimesNewRomanPSMT"/>
                <w:b/>
                <w:bCs/>
                <w:sz w:val="24"/>
                <w:szCs w:val="24"/>
              </w:rPr>
            </w:pPr>
            <w:r w:rsidRPr="00510889">
              <w:rPr>
                <w:rFonts w:ascii="TimesNewRomanPSMT" w:hAnsi="TimesNewRomanPSMT" w:cs="TimesNewRomanPSMT"/>
                <w:b/>
                <w:bCs/>
                <w:sz w:val="24"/>
                <w:szCs w:val="24"/>
              </w:rPr>
              <w:t>Utility</w:t>
            </w:r>
          </w:p>
        </w:tc>
        <w:tc>
          <w:tcPr>
            <w:tcW w:w="1446" w:type="dxa"/>
          </w:tcPr>
          <w:p w:rsidRPr="00510889" w:rsidR="00D6440E" w:rsidP="004355E2" w:rsidRDefault="00D6440E" w14:paraId="47AF849D" w14:textId="77777777">
            <w:pPr>
              <w:autoSpaceDE w:val="0"/>
              <w:autoSpaceDN w:val="0"/>
              <w:adjustRightInd w:val="0"/>
              <w:spacing w:line="240" w:lineRule="auto"/>
              <w:ind w:firstLine="0"/>
              <w:rPr>
                <w:rFonts w:ascii="TimesNewRomanPSMT" w:hAnsi="TimesNewRomanPSMT" w:cs="TimesNewRomanPSMT"/>
                <w:b/>
                <w:bCs/>
                <w:sz w:val="24"/>
                <w:szCs w:val="24"/>
              </w:rPr>
            </w:pPr>
            <w:r w:rsidRPr="00510889">
              <w:rPr>
                <w:rFonts w:ascii="TimesNewRomanPSMT" w:hAnsi="TimesNewRomanPSMT" w:cs="TimesNewRomanPSMT"/>
                <w:b/>
                <w:bCs/>
                <w:sz w:val="24"/>
                <w:szCs w:val="24"/>
              </w:rPr>
              <w:t>Frequency</w:t>
            </w:r>
          </w:p>
        </w:tc>
        <w:tc>
          <w:tcPr>
            <w:tcW w:w="1988" w:type="dxa"/>
          </w:tcPr>
          <w:p w:rsidRPr="00510889" w:rsidR="00D6440E" w:rsidP="004355E2" w:rsidRDefault="00D6440E" w14:paraId="337F4FA1" w14:textId="77777777">
            <w:pPr>
              <w:autoSpaceDE w:val="0"/>
              <w:autoSpaceDN w:val="0"/>
              <w:adjustRightInd w:val="0"/>
              <w:spacing w:line="240" w:lineRule="auto"/>
              <w:ind w:firstLine="0"/>
              <w:rPr>
                <w:rFonts w:ascii="TimesNewRomanPSMT" w:hAnsi="TimesNewRomanPSMT" w:cs="TimesNewRomanPSMT"/>
                <w:b/>
                <w:bCs/>
                <w:sz w:val="24"/>
                <w:szCs w:val="24"/>
              </w:rPr>
            </w:pPr>
            <w:r w:rsidRPr="00510889">
              <w:rPr>
                <w:rFonts w:ascii="TimesNewRomanPSMT" w:hAnsi="TimesNewRomanPSMT" w:cs="TimesNewRomanPSMT"/>
                <w:b/>
                <w:bCs/>
                <w:sz w:val="24"/>
                <w:szCs w:val="24"/>
              </w:rPr>
              <w:t xml:space="preserve">Due Date </w:t>
            </w:r>
          </w:p>
        </w:tc>
      </w:tr>
      <w:tr w:rsidRPr="00510889" w:rsidR="00D6440E" w:rsidTr="004D332F" w14:paraId="26636449" w14:textId="77777777">
        <w:tc>
          <w:tcPr>
            <w:tcW w:w="535" w:type="dxa"/>
          </w:tcPr>
          <w:p w:rsidRPr="00510889" w:rsidR="00D6440E" w:rsidP="004D332F" w:rsidRDefault="00D6440E" w14:paraId="52569C67"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(a)</w:t>
            </w:r>
          </w:p>
        </w:tc>
        <w:tc>
          <w:tcPr>
            <w:tcW w:w="656" w:type="dxa"/>
          </w:tcPr>
          <w:p w:rsidRPr="00510889" w:rsidR="00D6440E" w:rsidP="004355E2" w:rsidRDefault="00D6440E" w14:paraId="5FBAF5C8"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1</w:t>
            </w:r>
          </w:p>
        </w:tc>
        <w:tc>
          <w:tcPr>
            <w:tcW w:w="3838" w:type="dxa"/>
          </w:tcPr>
          <w:p w:rsidRPr="00510889" w:rsidR="00D6440E" w:rsidP="00D6440E" w:rsidRDefault="00D6440E" w14:paraId="2273D5BF" w14:textId="77777777">
            <w:pPr>
              <w:pStyle w:val="ListParagraph"/>
              <w:numPr>
                <w:ilvl w:val="0"/>
                <w:numId w:val="48"/>
              </w:numPr>
              <w:autoSpaceDE w:val="0"/>
              <w:autoSpaceDN w:val="0"/>
              <w:adjustRightInd w:val="0"/>
              <w:rPr>
                <w:rFonts w:ascii="TimesNewRomanPSMT" w:hAnsi="TimesNewRomanPSMT" w:cs="TimesNewRomanPSMT"/>
              </w:rPr>
            </w:pPr>
            <w:r w:rsidRPr="00510889">
              <w:rPr>
                <w:rFonts w:ascii="TimesNewRomanPSMT" w:hAnsi="TimesNewRomanPSMT" w:cs="TimesNewRomanPSMT"/>
              </w:rPr>
              <w:t>The Utilities’ Decision on Pilot Program Implementation</w:t>
            </w:r>
          </w:p>
          <w:p w:rsidRPr="00510889" w:rsidR="00D6440E" w:rsidP="00D6440E" w:rsidRDefault="00D6440E" w14:paraId="50DBBCEE" w14:textId="77777777">
            <w:pPr>
              <w:pStyle w:val="ListParagraph"/>
              <w:numPr>
                <w:ilvl w:val="0"/>
                <w:numId w:val="48"/>
              </w:numPr>
              <w:autoSpaceDE w:val="0"/>
              <w:autoSpaceDN w:val="0"/>
              <w:adjustRightInd w:val="0"/>
              <w:rPr>
                <w:rFonts w:ascii="TimesNewRomanPSMT" w:hAnsi="TimesNewRomanPSMT" w:cs="TimesNewRomanPSMT"/>
              </w:rPr>
            </w:pPr>
            <w:r w:rsidRPr="00510889">
              <w:rPr>
                <w:rFonts w:ascii="TimesNewRomanPSMT" w:hAnsi="TimesNewRomanPSMT" w:cs="TimesNewRomanPSMT"/>
              </w:rPr>
              <w:t>Establishment of Two-Way RNG Tariff Balancing Accounts</w:t>
            </w:r>
          </w:p>
        </w:tc>
        <w:tc>
          <w:tcPr>
            <w:tcW w:w="1440" w:type="dxa"/>
          </w:tcPr>
          <w:p w:rsidRPr="00510889" w:rsidR="00D6440E" w:rsidP="004355E2" w:rsidRDefault="00D6440E" w14:paraId="18EBC750"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SoCalGas</w:t>
            </w:r>
          </w:p>
          <w:p w:rsidRPr="00510889" w:rsidR="00D6440E" w:rsidP="004355E2" w:rsidRDefault="00D6440E" w14:paraId="2849FB2A"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SDG&amp;E</w:t>
            </w:r>
          </w:p>
        </w:tc>
        <w:tc>
          <w:tcPr>
            <w:tcW w:w="1446" w:type="dxa"/>
            <w:vAlign w:val="center"/>
          </w:tcPr>
          <w:p w:rsidRPr="00510889" w:rsidR="00D6440E" w:rsidP="004355E2" w:rsidRDefault="00D6440E" w14:paraId="39354F74"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One-Time</w:t>
            </w:r>
          </w:p>
        </w:tc>
        <w:tc>
          <w:tcPr>
            <w:tcW w:w="1988" w:type="dxa"/>
          </w:tcPr>
          <w:p w:rsidRPr="00510889" w:rsidR="00D6440E" w:rsidP="004355E2" w:rsidRDefault="00D6440E" w14:paraId="4D35DCC6"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Within six months from the issuance of the decision on A.19</w:t>
            </w:r>
            <w:r w:rsidRPr="00510889">
              <w:rPr>
                <w:rFonts w:ascii="TimesNewRomanPSMT" w:hAnsi="TimesNewRomanPSMT" w:cs="TimesNewRomanPSMT"/>
                <w:sz w:val="24"/>
                <w:szCs w:val="24"/>
              </w:rPr>
              <w:noBreakHyphen/>
              <w:t>02</w:t>
            </w:r>
            <w:r w:rsidRPr="00510889">
              <w:rPr>
                <w:rFonts w:ascii="TimesNewRomanPSMT" w:hAnsi="TimesNewRomanPSMT" w:cs="TimesNewRomanPSMT"/>
                <w:sz w:val="24"/>
                <w:szCs w:val="24"/>
              </w:rPr>
              <w:noBreakHyphen/>
              <w:t>015.</w:t>
            </w:r>
          </w:p>
        </w:tc>
      </w:tr>
      <w:tr w:rsidRPr="00510889" w:rsidR="00D6440E" w:rsidTr="004D332F" w14:paraId="46F5214C" w14:textId="77777777">
        <w:trPr>
          <w:trHeight w:val="58"/>
        </w:trPr>
        <w:tc>
          <w:tcPr>
            <w:tcW w:w="535" w:type="dxa"/>
            <w:vMerge w:val="restart"/>
          </w:tcPr>
          <w:p w:rsidRPr="00510889" w:rsidR="00D6440E" w:rsidP="004D332F" w:rsidRDefault="00D6440E" w14:paraId="4E0AFB84"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(b)</w:t>
            </w:r>
          </w:p>
        </w:tc>
        <w:tc>
          <w:tcPr>
            <w:tcW w:w="656" w:type="dxa"/>
          </w:tcPr>
          <w:p w:rsidRPr="00510889" w:rsidR="00D6440E" w:rsidP="004355E2" w:rsidRDefault="00D6440E" w14:paraId="165FDD3C"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3</w:t>
            </w:r>
          </w:p>
        </w:tc>
        <w:tc>
          <w:tcPr>
            <w:tcW w:w="3838" w:type="dxa"/>
          </w:tcPr>
          <w:p w:rsidRPr="00510889" w:rsidR="00D6440E" w:rsidP="00D6440E" w:rsidRDefault="00D6440E" w14:paraId="76B6F7F2" w14:textId="77777777">
            <w:pPr>
              <w:pStyle w:val="ListParagraph"/>
              <w:numPr>
                <w:ilvl w:val="0"/>
                <w:numId w:val="49"/>
              </w:numPr>
              <w:autoSpaceDE w:val="0"/>
              <w:autoSpaceDN w:val="0"/>
              <w:adjustRightInd w:val="0"/>
              <w:rPr>
                <w:rFonts w:ascii="TimesNewRomanPSMT" w:hAnsi="TimesNewRomanPSMT" w:cs="TimesNewRomanPSMT"/>
              </w:rPr>
            </w:pPr>
            <w:r w:rsidRPr="00510889">
              <w:rPr>
                <w:rFonts w:ascii="TimesNewRomanPSMT" w:hAnsi="TimesNewRomanPSMT" w:cs="TimesNewRomanPSMT"/>
              </w:rPr>
              <w:t>Modified GREET Methodology</w:t>
            </w:r>
          </w:p>
        </w:tc>
        <w:tc>
          <w:tcPr>
            <w:tcW w:w="1440" w:type="dxa"/>
          </w:tcPr>
          <w:p w:rsidRPr="00510889" w:rsidR="00D6440E" w:rsidP="004355E2" w:rsidRDefault="00D6440E" w14:paraId="6453051C"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The Utilities Jointly</w:t>
            </w:r>
          </w:p>
        </w:tc>
        <w:tc>
          <w:tcPr>
            <w:tcW w:w="1446" w:type="dxa"/>
            <w:vMerge w:val="restart"/>
            <w:vAlign w:val="center"/>
          </w:tcPr>
          <w:p w:rsidRPr="00510889" w:rsidR="00D6440E" w:rsidP="004355E2" w:rsidRDefault="00D6440E" w14:paraId="5FF7E94C"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One-Time</w:t>
            </w:r>
          </w:p>
        </w:tc>
        <w:tc>
          <w:tcPr>
            <w:tcW w:w="1988" w:type="dxa"/>
            <w:vMerge w:val="restart"/>
            <w:vAlign w:val="center"/>
          </w:tcPr>
          <w:p w:rsidRPr="00510889" w:rsidR="00D6440E" w:rsidP="004355E2" w:rsidRDefault="00D6440E" w14:paraId="44BDF88D"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Within 12 months from the Utilities’ submission of the Tier 1 ALs in OP1(a) above.</w:t>
            </w:r>
          </w:p>
        </w:tc>
      </w:tr>
      <w:tr w:rsidRPr="00510889" w:rsidR="00D6440E" w:rsidTr="004D332F" w14:paraId="7BC3CF12" w14:textId="77777777">
        <w:tc>
          <w:tcPr>
            <w:tcW w:w="535" w:type="dxa"/>
            <w:vMerge/>
          </w:tcPr>
          <w:p w:rsidRPr="00510889" w:rsidR="00D6440E" w:rsidP="004D332F" w:rsidRDefault="00D6440E" w14:paraId="450B45EA" w14:textId="77777777">
            <w:pPr>
              <w:autoSpaceDE w:val="0"/>
              <w:autoSpaceDN w:val="0"/>
              <w:adjustRightInd w:val="0"/>
              <w:spacing w:line="240" w:lineRule="auto"/>
              <w:ind w:firstLine="0"/>
              <w:jc w:val="center"/>
              <w:rPr>
                <w:rFonts w:ascii="TimesNewRomanPSMT" w:hAnsi="TimesNewRomanPSMT" w:cs="TimesNewRomanPSMT"/>
                <w:sz w:val="24"/>
                <w:szCs w:val="24"/>
              </w:rPr>
            </w:pPr>
          </w:p>
        </w:tc>
        <w:tc>
          <w:tcPr>
            <w:tcW w:w="656" w:type="dxa"/>
          </w:tcPr>
          <w:p w:rsidRPr="00510889" w:rsidR="00D6440E" w:rsidP="004355E2" w:rsidRDefault="00D6440E" w14:paraId="5C85EBA9"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2</w:t>
            </w:r>
          </w:p>
        </w:tc>
        <w:tc>
          <w:tcPr>
            <w:tcW w:w="3838" w:type="dxa"/>
          </w:tcPr>
          <w:p w:rsidRPr="00510889" w:rsidR="00D6440E" w:rsidP="00D6440E" w:rsidRDefault="00D6440E" w14:paraId="18AEA171" w14:textId="77777777">
            <w:pPr>
              <w:pStyle w:val="ListParagraph"/>
              <w:numPr>
                <w:ilvl w:val="0"/>
                <w:numId w:val="49"/>
              </w:numPr>
              <w:autoSpaceDE w:val="0"/>
              <w:autoSpaceDN w:val="0"/>
              <w:adjustRightInd w:val="0"/>
              <w:rPr>
                <w:rFonts w:ascii="TimesNewRomanPSMT" w:hAnsi="TimesNewRomanPSMT" w:cs="TimesNewRomanPSMT"/>
              </w:rPr>
            </w:pPr>
            <w:r w:rsidRPr="00510889">
              <w:rPr>
                <w:rFonts w:ascii="TimesNewRomanPSMT" w:hAnsi="TimesNewRomanPSMT" w:cs="TimesNewRomanPSMT"/>
              </w:rPr>
              <w:t xml:space="preserve">Voluntary Pilot RNG Tariff Program Implementation </w:t>
            </w:r>
          </w:p>
        </w:tc>
        <w:tc>
          <w:tcPr>
            <w:tcW w:w="1440" w:type="dxa"/>
          </w:tcPr>
          <w:p w:rsidRPr="00510889" w:rsidR="00D6440E" w:rsidP="004355E2" w:rsidRDefault="00D6440E" w14:paraId="7E7426DE"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SoCalGas</w:t>
            </w:r>
          </w:p>
          <w:p w:rsidRPr="00510889" w:rsidR="00D6440E" w:rsidP="004355E2" w:rsidRDefault="00D6440E" w14:paraId="4904030A"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SDG&amp;E</w:t>
            </w:r>
          </w:p>
        </w:tc>
        <w:tc>
          <w:tcPr>
            <w:tcW w:w="1446" w:type="dxa"/>
            <w:vMerge/>
          </w:tcPr>
          <w:p w:rsidRPr="00510889" w:rsidR="00D6440E" w:rsidP="004355E2" w:rsidRDefault="00D6440E" w14:paraId="39F58228" w14:textId="77777777">
            <w:pPr>
              <w:autoSpaceDE w:val="0"/>
              <w:autoSpaceDN w:val="0"/>
              <w:adjustRightInd w:val="0"/>
              <w:spacing w:line="240" w:lineRule="auto"/>
              <w:ind w:firstLine="0"/>
              <w:rPr>
                <w:rFonts w:ascii="TimesNewRomanPSMT" w:hAnsi="TimesNewRomanPSMT" w:cs="TimesNewRomanPSMT"/>
                <w:sz w:val="24"/>
                <w:szCs w:val="24"/>
              </w:rPr>
            </w:pPr>
          </w:p>
        </w:tc>
        <w:tc>
          <w:tcPr>
            <w:tcW w:w="1988" w:type="dxa"/>
            <w:vMerge/>
          </w:tcPr>
          <w:p w:rsidRPr="00510889" w:rsidR="00D6440E" w:rsidP="004355E2" w:rsidRDefault="00D6440E" w14:paraId="1A8F051C" w14:textId="77777777">
            <w:pPr>
              <w:autoSpaceDE w:val="0"/>
              <w:autoSpaceDN w:val="0"/>
              <w:adjustRightInd w:val="0"/>
              <w:spacing w:line="240" w:lineRule="auto"/>
              <w:ind w:firstLine="0"/>
              <w:rPr>
                <w:rFonts w:ascii="TimesNewRomanPSMT" w:hAnsi="TimesNewRomanPSMT" w:cs="TimesNewRomanPSMT"/>
                <w:sz w:val="24"/>
                <w:szCs w:val="24"/>
              </w:rPr>
            </w:pPr>
          </w:p>
        </w:tc>
      </w:tr>
      <w:tr w:rsidRPr="00510889" w:rsidR="00D6440E" w:rsidTr="004D332F" w14:paraId="138103A8" w14:textId="77777777">
        <w:tc>
          <w:tcPr>
            <w:tcW w:w="535" w:type="dxa"/>
            <w:vMerge/>
          </w:tcPr>
          <w:p w:rsidRPr="00510889" w:rsidR="00D6440E" w:rsidP="004D332F" w:rsidRDefault="00D6440E" w14:paraId="21EBE5D2" w14:textId="77777777">
            <w:pPr>
              <w:autoSpaceDE w:val="0"/>
              <w:autoSpaceDN w:val="0"/>
              <w:adjustRightInd w:val="0"/>
              <w:spacing w:line="240" w:lineRule="auto"/>
              <w:ind w:firstLine="0"/>
              <w:jc w:val="center"/>
              <w:rPr>
                <w:rFonts w:ascii="TimesNewRomanPSMT" w:hAnsi="TimesNewRomanPSMT" w:cs="TimesNewRomanPSMT"/>
                <w:sz w:val="24"/>
                <w:szCs w:val="24"/>
              </w:rPr>
            </w:pPr>
          </w:p>
        </w:tc>
        <w:tc>
          <w:tcPr>
            <w:tcW w:w="656" w:type="dxa"/>
          </w:tcPr>
          <w:p w:rsidRPr="00510889" w:rsidR="00D6440E" w:rsidP="004355E2" w:rsidRDefault="00D6440E" w14:paraId="71DC5B90"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2</w:t>
            </w:r>
          </w:p>
        </w:tc>
        <w:tc>
          <w:tcPr>
            <w:tcW w:w="3838" w:type="dxa"/>
          </w:tcPr>
          <w:p w:rsidRPr="00510889" w:rsidR="00D6440E" w:rsidP="00D6440E" w:rsidRDefault="00D6440E" w14:paraId="2DB19EF2" w14:textId="77777777">
            <w:pPr>
              <w:pStyle w:val="ListParagraph"/>
              <w:numPr>
                <w:ilvl w:val="0"/>
                <w:numId w:val="49"/>
              </w:numPr>
              <w:autoSpaceDE w:val="0"/>
              <w:autoSpaceDN w:val="0"/>
              <w:adjustRightInd w:val="0"/>
              <w:rPr>
                <w:rFonts w:ascii="TimesNewRomanPSMT" w:hAnsi="TimesNewRomanPSMT" w:cs="TimesNewRomanPSMT"/>
              </w:rPr>
            </w:pPr>
            <w:r w:rsidRPr="00510889">
              <w:rPr>
                <w:rFonts w:ascii="TimesNewRomanPSMT" w:hAnsi="TimesNewRomanPSMT" w:cs="TimesNewRomanPSMT"/>
              </w:rPr>
              <w:t>Marketing Materials</w:t>
            </w:r>
          </w:p>
        </w:tc>
        <w:tc>
          <w:tcPr>
            <w:tcW w:w="1440" w:type="dxa"/>
          </w:tcPr>
          <w:p w:rsidRPr="00510889" w:rsidR="00D6440E" w:rsidP="004355E2" w:rsidRDefault="00D6440E" w14:paraId="122B78AB"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SoCalGas</w:t>
            </w:r>
          </w:p>
          <w:p w:rsidRPr="00510889" w:rsidR="00D6440E" w:rsidP="004355E2" w:rsidRDefault="00D6440E" w14:paraId="28C0E7ED"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SDG&amp;E or the Utilities Jointly</w:t>
            </w:r>
          </w:p>
        </w:tc>
        <w:tc>
          <w:tcPr>
            <w:tcW w:w="1446" w:type="dxa"/>
            <w:vMerge/>
          </w:tcPr>
          <w:p w:rsidRPr="00510889" w:rsidR="00D6440E" w:rsidP="004355E2" w:rsidRDefault="00D6440E" w14:paraId="0B8E4498" w14:textId="77777777">
            <w:pPr>
              <w:autoSpaceDE w:val="0"/>
              <w:autoSpaceDN w:val="0"/>
              <w:adjustRightInd w:val="0"/>
              <w:spacing w:line="240" w:lineRule="auto"/>
              <w:ind w:firstLine="0"/>
              <w:rPr>
                <w:rFonts w:ascii="TimesNewRomanPSMT" w:hAnsi="TimesNewRomanPSMT" w:cs="TimesNewRomanPSMT"/>
                <w:sz w:val="24"/>
                <w:szCs w:val="24"/>
              </w:rPr>
            </w:pPr>
          </w:p>
        </w:tc>
        <w:tc>
          <w:tcPr>
            <w:tcW w:w="1988" w:type="dxa"/>
            <w:vMerge/>
          </w:tcPr>
          <w:p w:rsidRPr="00510889" w:rsidR="00D6440E" w:rsidP="004355E2" w:rsidRDefault="00D6440E" w14:paraId="6BEA385C" w14:textId="77777777">
            <w:pPr>
              <w:autoSpaceDE w:val="0"/>
              <w:autoSpaceDN w:val="0"/>
              <w:adjustRightInd w:val="0"/>
              <w:spacing w:line="240" w:lineRule="auto"/>
              <w:ind w:firstLine="0"/>
              <w:rPr>
                <w:rFonts w:ascii="TimesNewRomanPSMT" w:hAnsi="TimesNewRomanPSMT" w:cs="TimesNewRomanPSMT"/>
                <w:sz w:val="24"/>
                <w:szCs w:val="24"/>
              </w:rPr>
            </w:pPr>
          </w:p>
        </w:tc>
      </w:tr>
      <w:tr w:rsidRPr="00510889" w:rsidR="00D6440E" w:rsidTr="004D332F" w14:paraId="6F7EDE71" w14:textId="77777777">
        <w:tc>
          <w:tcPr>
            <w:tcW w:w="535" w:type="dxa"/>
          </w:tcPr>
          <w:p w:rsidRPr="00510889" w:rsidR="00D6440E" w:rsidP="004D332F" w:rsidRDefault="00D6440E" w14:paraId="5775FC9A"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(c)</w:t>
            </w:r>
          </w:p>
        </w:tc>
        <w:tc>
          <w:tcPr>
            <w:tcW w:w="656" w:type="dxa"/>
          </w:tcPr>
          <w:p w:rsidRPr="00510889" w:rsidR="00D6440E" w:rsidP="004355E2" w:rsidRDefault="00D6440E" w14:paraId="64687F1A"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1</w:t>
            </w:r>
          </w:p>
        </w:tc>
        <w:tc>
          <w:tcPr>
            <w:tcW w:w="3838" w:type="dxa"/>
          </w:tcPr>
          <w:p w:rsidRPr="00510889" w:rsidR="00D6440E" w:rsidP="004355E2" w:rsidRDefault="00D6440E" w14:paraId="17E0FC83" w14:textId="1E305378">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 xml:space="preserve">Dairy RNG Suppliers’ Compliance with Air and Water Pollution Control </w:t>
            </w:r>
            <w:r w:rsidR="008808E7">
              <w:rPr>
                <w:rFonts w:ascii="TimesNewRomanPSMT" w:hAnsi="TimesNewRomanPSMT" w:cs="TimesNewRomanPSMT"/>
                <w:sz w:val="24"/>
                <w:szCs w:val="24"/>
              </w:rPr>
              <w:t xml:space="preserve">Standards or </w:t>
            </w:r>
            <w:r w:rsidRPr="00510889">
              <w:rPr>
                <w:rFonts w:ascii="TimesNewRomanPSMT" w:hAnsi="TimesNewRomanPSMT" w:cs="TimesNewRomanPSMT"/>
                <w:sz w:val="24"/>
                <w:szCs w:val="24"/>
              </w:rPr>
              <w:t xml:space="preserve">Requirements </w:t>
            </w:r>
          </w:p>
        </w:tc>
        <w:tc>
          <w:tcPr>
            <w:tcW w:w="1440" w:type="dxa"/>
          </w:tcPr>
          <w:p w:rsidRPr="00510889" w:rsidR="00D6440E" w:rsidP="004355E2" w:rsidRDefault="00D6440E" w14:paraId="2D43EEEE"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The Utilities Jointly</w:t>
            </w:r>
          </w:p>
        </w:tc>
        <w:tc>
          <w:tcPr>
            <w:tcW w:w="1446" w:type="dxa"/>
            <w:vMerge w:val="restart"/>
            <w:vAlign w:val="center"/>
          </w:tcPr>
          <w:p w:rsidRPr="00510889" w:rsidR="00D6440E" w:rsidP="004355E2" w:rsidRDefault="00D6440E" w14:paraId="2231E2ED"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Annual</w:t>
            </w:r>
          </w:p>
        </w:tc>
        <w:tc>
          <w:tcPr>
            <w:tcW w:w="1988" w:type="dxa"/>
          </w:tcPr>
          <w:p w:rsidRPr="00510889" w:rsidR="00D6440E" w:rsidP="004355E2" w:rsidRDefault="00D6440E" w14:paraId="6EDB55FE"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Same time as SoCalGas’ last Quarterly Commission Report each year.</w:t>
            </w:r>
          </w:p>
        </w:tc>
      </w:tr>
      <w:tr w:rsidRPr="00510889" w:rsidR="00D6440E" w:rsidTr="004D332F" w14:paraId="32AEAB61" w14:textId="77777777">
        <w:tc>
          <w:tcPr>
            <w:tcW w:w="535" w:type="dxa"/>
          </w:tcPr>
          <w:p w:rsidRPr="00510889" w:rsidR="00D6440E" w:rsidP="004D332F" w:rsidRDefault="00D6440E" w14:paraId="712887EA"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(d)</w:t>
            </w:r>
          </w:p>
        </w:tc>
        <w:tc>
          <w:tcPr>
            <w:tcW w:w="656" w:type="dxa"/>
          </w:tcPr>
          <w:p w:rsidRPr="00510889" w:rsidR="00D6440E" w:rsidP="004355E2" w:rsidRDefault="00D6440E" w14:paraId="3AF30761"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2</w:t>
            </w:r>
          </w:p>
        </w:tc>
        <w:tc>
          <w:tcPr>
            <w:tcW w:w="3838" w:type="dxa"/>
          </w:tcPr>
          <w:p w:rsidRPr="00510889" w:rsidR="00D6440E" w:rsidP="004355E2" w:rsidRDefault="00D6440E" w14:paraId="186EF952"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Third-Party Verification Regarding Utilities’ Compliance with RNG Procurement Requirements</w:t>
            </w:r>
          </w:p>
        </w:tc>
        <w:tc>
          <w:tcPr>
            <w:tcW w:w="1440" w:type="dxa"/>
          </w:tcPr>
          <w:p w:rsidRPr="00510889" w:rsidR="00D6440E" w:rsidP="004355E2" w:rsidRDefault="00D6440E" w14:paraId="745F7389"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SoCalGas</w:t>
            </w:r>
          </w:p>
          <w:p w:rsidRPr="00510889" w:rsidR="00D6440E" w:rsidP="004355E2" w:rsidRDefault="00D6440E" w14:paraId="0CE04A2E"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SDG&amp;E</w:t>
            </w:r>
          </w:p>
        </w:tc>
        <w:tc>
          <w:tcPr>
            <w:tcW w:w="1446" w:type="dxa"/>
            <w:vMerge/>
          </w:tcPr>
          <w:p w:rsidRPr="00510889" w:rsidR="00D6440E" w:rsidP="004355E2" w:rsidRDefault="00D6440E" w14:paraId="138A807C" w14:textId="77777777">
            <w:pPr>
              <w:autoSpaceDE w:val="0"/>
              <w:autoSpaceDN w:val="0"/>
              <w:adjustRightInd w:val="0"/>
              <w:spacing w:line="240" w:lineRule="auto"/>
              <w:ind w:firstLine="0"/>
              <w:rPr>
                <w:rFonts w:ascii="TimesNewRomanPSMT" w:hAnsi="TimesNewRomanPSMT" w:cs="TimesNewRomanPSMT"/>
                <w:sz w:val="24"/>
                <w:szCs w:val="24"/>
              </w:rPr>
            </w:pPr>
          </w:p>
        </w:tc>
        <w:tc>
          <w:tcPr>
            <w:tcW w:w="1988" w:type="dxa"/>
          </w:tcPr>
          <w:p w:rsidRPr="00510889" w:rsidR="00D6440E" w:rsidP="004355E2" w:rsidRDefault="00D6440E" w14:paraId="436FCA3F"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 xml:space="preserve">Within 45 days of each one-year anniversary from the program initiation date during the program duration. </w:t>
            </w:r>
          </w:p>
        </w:tc>
      </w:tr>
      <w:tr w:rsidRPr="00510889" w:rsidR="00D6440E" w:rsidTr="004D332F" w14:paraId="542A6FF2" w14:textId="77777777">
        <w:tc>
          <w:tcPr>
            <w:tcW w:w="535" w:type="dxa"/>
          </w:tcPr>
          <w:p w:rsidRPr="00510889" w:rsidR="00D6440E" w:rsidP="004D332F" w:rsidRDefault="00D6440E" w14:paraId="71F16F91"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(e)</w:t>
            </w:r>
          </w:p>
        </w:tc>
        <w:tc>
          <w:tcPr>
            <w:tcW w:w="656" w:type="dxa"/>
          </w:tcPr>
          <w:p w:rsidRPr="00510889" w:rsidR="00D6440E" w:rsidP="004355E2" w:rsidRDefault="00D6440E" w14:paraId="56520AE1"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3</w:t>
            </w:r>
          </w:p>
        </w:tc>
        <w:tc>
          <w:tcPr>
            <w:tcW w:w="3838" w:type="dxa"/>
          </w:tcPr>
          <w:p w:rsidRPr="00510889" w:rsidR="00D6440E" w:rsidP="004355E2" w:rsidRDefault="00D6440E" w14:paraId="247847A9"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Program Modifications</w:t>
            </w:r>
          </w:p>
        </w:tc>
        <w:tc>
          <w:tcPr>
            <w:tcW w:w="1440" w:type="dxa"/>
          </w:tcPr>
          <w:p w:rsidRPr="00510889" w:rsidR="00D6440E" w:rsidP="004355E2" w:rsidRDefault="00D6440E" w14:paraId="3561E3C7"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SoCalGas</w:t>
            </w:r>
          </w:p>
          <w:p w:rsidRPr="00510889" w:rsidR="00D6440E" w:rsidP="004355E2" w:rsidRDefault="00D6440E" w14:paraId="076C2AC7"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SDG&amp;E</w:t>
            </w:r>
          </w:p>
        </w:tc>
        <w:tc>
          <w:tcPr>
            <w:tcW w:w="1446" w:type="dxa"/>
          </w:tcPr>
          <w:p w:rsidRPr="00510889" w:rsidR="00D6440E" w:rsidP="004355E2" w:rsidRDefault="00D6440E" w14:paraId="5BB1D3D5"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[at the Utilities’ Discretion]</w:t>
            </w:r>
          </w:p>
        </w:tc>
        <w:tc>
          <w:tcPr>
            <w:tcW w:w="1988" w:type="dxa"/>
          </w:tcPr>
          <w:p w:rsidRPr="00510889" w:rsidR="00D6440E" w:rsidP="004355E2" w:rsidRDefault="00D6440E" w14:paraId="50186D6B" w14:textId="77777777">
            <w:pPr>
              <w:autoSpaceDE w:val="0"/>
              <w:autoSpaceDN w:val="0"/>
              <w:adjustRightInd w:val="0"/>
              <w:spacing w:line="240" w:lineRule="auto"/>
              <w:ind w:firstLine="0"/>
              <w:rPr>
                <w:rFonts w:ascii="TimesNewRomanPSMT" w:hAnsi="TimesNewRomanPSMT" w:cs="TimesNewRomanPSMT"/>
                <w:sz w:val="24"/>
                <w:szCs w:val="24"/>
              </w:rPr>
            </w:pPr>
            <w:proofErr w:type="spellStart"/>
            <w:r w:rsidRPr="00510889">
              <w:rPr>
                <w:rFonts w:ascii="TimesNewRomanPSMT" w:hAnsi="TimesNewRomanPSMT" w:cs="TimesNewRomanPSMT"/>
                <w:sz w:val="24"/>
                <w:szCs w:val="24"/>
              </w:rPr>
              <w:t>na</w:t>
            </w:r>
            <w:proofErr w:type="spellEnd"/>
          </w:p>
        </w:tc>
      </w:tr>
      <w:tr w:rsidRPr="00510889" w:rsidR="00D6440E" w:rsidTr="004D332F" w14:paraId="44F561E0" w14:textId="77777777">
        <w:tc>
          <w:tcPr>
            <w:tcW w:w="535" w:type="dxa"/>
          </w:tcPr>
          <w:p w:rsidRPr="00510889" w:rsidR="00D6440E" w:rsidP="004D332F" w:rsidRDefault="00D6440E" w14:paraId="7B157B17"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(f)</w:t>
            </w:r>
          </w:p>
        </w:tc>
        <w:tc>
          <w:tcPr>
            <w:tcW w:w="656" w:type="dxa"/>
          </w:tcPr>
          <w:p w:rsidRPr="00510889" w:rsidR="00D6440E" w:rsidP="004355E2" w:rsidRDefault="00D6440E" w14:paraId="02201BF1" w14:textId="77777777">
            <w:pPr>
              <w:autoSpaceDE w:val="0"/>
              <w:autoSpaceDN w:val="0"/>
              <w:adjustRightInd w:val="0"/>
              <w:spacing w:line="240" w:lineRule="auto"/>
              <w:ind w:firstLine="0"/>
              <w:jc w:val="center"/>
              <w:rPr>
                <w:rFonts w:ascii="TimesNewRomanPSMT" w:hAnsi="TimesNewRomanPSMT" w:cs="TimesNewRomanPSMT"/>
                <w:sz w:val="24"/>
                <w:szCs w:val="24"/>
              </w:rPr>
            </w:pPr>
            <w:r w:rsidRPr="00510889">
              <w:rPr>
                <w:rFonts w:ascii="TimesNewRomanPSMT" w:hAnsi="TimesNewRomanPSMT" w:cs="TimesNewRomanPSMT"/>
                <w:sz w:val="24"/>
                <w:szCs w:val="24"/>
              </w:rPr>
              <w:t>3</w:t>
            </w:r>
          </w:p>
        </w:tc>
        <w:tc>
          <w:tcPr>
            <w:tcW w:w="3838" w:type="dxa"/>
          </w:tcPr>
          <w:p w:rsidRPr="00510889" w:rsidR="00D6440E" w:rsidP="004355E2" w:rsidRDefault="00D6440E" w14:paraId="24DCA653"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Program Review and Approval for Continuation</w:t>
            </w:r>
          </w:p>
        </w:tc>
        <w:tc>
          <w:tcPr>
            <w:tcW w:w="1440" w:type="dxa"/>
          </w:tcPr>
          <w:p w:rsidRPr="00510889" w:rsidR="00D6440E" w:rsidP="004355E2" w:rsidRDefault="00D6440E" w14:paraId="3FE5735B"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SoCalGas</w:t>
            </w:r>
          </w:p>
          <w:p w:rsidRPr="00510889" w:rsidR="00D6440E" w:rsidP="004355E2" w:rsidRDefault="00D6440E" w14:paraId="60873330"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SDG&amp;E</w:t>
            </w:r>
          </w:p>
        </w:tc>
        <w:tc>
          <w:tcPr>
            <w:tcW w:w="1446" w:type="dxa"/>
          </w:tcPr>
          <w:p w:rsidRPr="00510889" w:rsidR="00D6440E" w:rsidP="004355E2" w:rsidRDefault="00D6440E" w14:paraId="3DC39D11"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One-Time</w:t>
            </w:r>
          </w:p>
        </w:tc>
        <w:tc>
          <w:tcPr>
            <w:tcW w:w="1988" w:type="dxa"/>
          </w:tcPr>
          <w:p w:rsidRPr="00510889" w:rsidR="00D6440E" w:rsidP="004355E2" w:rsidRDefault="00D6440E" w14:paraId="146D6CD8" w14:textId="77777777">
            <w:pPr>
              <w:autoSpaceDE w:val="0"/>
              <w:autoSpaceDN w:val="0"/>
              <w:adjustRightInd w:val="0"/>
              <w:spacing w:line="240" w:lineRule="auto"/>
              <w:ind w:firstLine="0"/>
              <w:rPr>
                <w:rFonts w:ascii="TimesNewRomanPSMT" w:hAnsi="TimesNewRomanPSMT" w:cs="TimesNewRomanPSMT"/>
                <w:sz w:val="24"/>
                <w:szCs w:val="24"/>
              </w:rPr>
            </w:pPr>
            <w:r w:rsidRPr="00510889">
              <w:rPr>
                <w:rFonts w:ascii="TimesNewRomanPSMT" w:hAnsi="TimesNewRomanPSMT" w:cs="TimesNewRomanPSMT"/>
                <w:sz w:val="24"/>
                <w:szCs w:val="24"/>
              </w:rPr>
              <w:t>Third-Year Anniversary from the Program Initiation Date</w:t>
            </w:r>
          </w:p>
        </w:tc>
      </w:tr>
    </w:tbl>
    <w:p w:rsidRPr="00510889" w:rsidR="00D6440E" w:rsidP="00D6440E" w:rsidRDefault="00D6440E" w14:paraId="14B8AC30" w14:textId="77777777">
      <w:pPr>
        <w:autoSpaceDE w:val="0"/>
        <w:autoSpaceDN w:val="0"/>
        <w:adjustRightInd w:val="0"/>
        <w:spacing w:line="240" w:lineRule="auto"/>
        <w:ind w:firstLine="0"/>
        <w:rPr>
          <w:rFonts w:ascii="TimesNewRomanPSMT" w:hAnsi="TimesNewRomanPSMT" w:cs="TimesNewRomanPSMT"/>
          <w:strike/>
          <w:sz w:val="24"/>
          <w:szCs w:val="24"/>
        </w:rPr>
      </w:pPr>
    </w:p>
    <w:p w:rsidRPr="00D6440E" w:rsidR="00A17822" w:rsidP="00D6440E" w:rsidRDefault="00D6440E" w14:paraId="2C92803B" w14:textId="0BB270CD">
      <w:pPr>
        <w:ind w:firstLine="0"/>
        <w:rPr>
          <w:b/>
          <w:bCs/>
          <w:sz w:val="24"/>
          <w:szCs w:val="24"/>
        </w:rPr>
      </w:pPr>
      <w:r w:rsidRPr="00D6440E">
        <w:rPr>
          <w:sz w:val="24"/>
          <w:szCs w:val="24"/>
        </w:rPr>
        <w:t>[Note: OP1 refers to Ordering Paragraph 1 of the decision on A.19-02-015]</w:t>
      </w:r>
    </w:p>
    <w:p w:rsidR="00290851" w:rsidP="00A00499" w:rsidRDefault="00A00499" w14:paraId="27C4A096" w14:textId="5DB96632">
      <w:pPr>
        <w:ind w:firstLine="0"/>
        <w:jc w:val="center"/>
        <w:rPr>
          <w:b/>
          <w:bCs/>
          <w:szCs w:val="26"/>
        </w:rPr>
        <w:sectPr w:rsidR="00290851" w:rsidSect="00CE587D">
          <w:headerReference w:type="default" r:id="rId16"/>
          <w:footerReference w:type="default" r:id="rId17"/>
          <w:headerReference w:type="first" r:id="rId18"/>
          <w:footerReference w:type="first" r:id="rId19"/>
          <w:pgSz w:w="12240" w:h="15840"/>
          <w:pgMar w:top="1728" w:right="1440" w:bottom="1440" w:left="1440" w:header="720" w:footer="720" w:gutter="0"/>
          <w:pgNumType w:start="1"/>
          <w:cols w:space="720"/>
          <w:titlePg/>
          <w:docGrid w:linePitch="360"/>
        </w:sectPr>
      </w:pPr>
      <w:r w:rsidRPr="00A00499">
        <w:rPr>
          <w:b/>
          <w:bCs/>
          <w:szCs w:val="26"/>
        </w:rPr>
        <w:t>(End of Appendix A)</w:t>
      </w:r>
    </w:p>
    <w:p w:rsidR="00D40C41" w:rsidP="00723C8C" w:rsidRDefault="00D40C41" w14:paraId="69DC4B89" w14:textId="65898337">
      <w:pPr>
        <w:ind w:firstLine="0"/>
        <w:jc w:val="center"/>
        <w:rPr>
          <w:b/>
          <w:bCs/>
          <w:sz w:val="56"/>
          <w:szCs w:val="56"/>
        </w:rPr>
      </w:pPr>
    </w:p>
    <w:p w:rsidR="00CE587D" w:rsidP="00CE587D" w:rsidRDefault="00CE587D" w14:paraId="24F144F4" w14:textId="3A0FD28E">
      <w:pPr>
        <w:ind w:firstLine="0"/>
        <w:jc w:val="center"/>
        <w:rPr>
          <w:b/>
          <w:sz w:val="56"/>
          <w:szCs w:val="56"/>
        </w:rPr>
      </w:pPr>
    </w:p>
    <w:p w:rsidR="00CE18D5" w:rsidP="00CE587D" w:rsidRDefault="00CE18D5" w14:paraId="0C0D5F5D" w14:textId="78103B16">
      <w:pPr>
        <w:ind w:firstLine="0"/>
        <w:jc w:val="center"/>
        <w:rPr>
          <w:b/>
          <w:sz w:val="56"/>
          <w:szCs w:val="56"/>
        </w:rPr>
      </w:pPr>
    </w:p>
    <w:p w:rsidR="00CE18D5" w:rsidP="00CE587D" w:rsidRDefault="00CE18D5" w14:paraId="21B7C610" w14:textId="22360C16">
      <w:pPr>
        <w:ind w:firstLine="0"/>
        <w:jc w:val="center"/>
        <w:rPr>
          <w:b/>
          <w:sz w:val="56"/>
          <w:szCs w:val="56"/>
        </w:rPr>
      </w:pPr>
    </w:p>
    <w:p w:rsidR="00CE18D5" w:rsidP="00CE587D" w:rsidRDefault="00CE18D5" w14:paraId="0E7A6B48" w14:textId="097260FB">
      <w:pPr>
        <w:ind w:firstLine="0"/>
        <w:jc w:val="center"/>
        <w:rPr>
          <w:b/>
          <w:sz w:val="56"/>
          <w:szCs w:val="56"/>
        </w:rPr>
      </w:pPr>
    </w:p>
    <w:p w:rsidR="00CE18D5" w:rsidP="00CE587D" w:rsidRDefault="00CE18D5" w14:paraId="03FF3D07" w14:textId="77777777">
      <w:pPr>
        <w:ind w:firstLine="0"/>
        <w:jc w:val="center"/>
        <w:rPr>
          <w:b/>
          <w:sz w:val="56"/>
          <w:szCs w:val="56"/>
        </w:rPr>
      </w:pPr>
    </w:p>
    <w:p w:rsidR="00E03041" w:rsidP="00CE587D" w:rsidRDefault="0054315C" w14:paraId="6B62924E" w14:textId="677BBAA8">
      <w:pPr>
        <w:ind w:firstLine="0"/>
        <w:jc w:val="center"/>
        <w:rPr>
          <w:b/>
          <w:bCs/>
          <w:sz w:val="56"/>
          <w:szCs w:val="56"/>
        </w:rPr>
        <w:sectPr w:rsidR="00E03041" w:rsidSect="00E03041">
          <w:footerReference w:type="default" r:id="rId20"/>
          <w:headerReference w:type="first" r:id="rId21"/>
          <w:footerReference w:type="first" r:id="rId22"/>
          <w:pgSz w:w="12240" w:h="15840"/>
          <w:pgMar w:top="1728" w:right="1440" w:bottom="1440" w:left="1440" w:header="720" w:footer="720" w:gutter="0"/>
          <w:pgNumType w:start="3"/>
          <w:cols w:space="720"/>
          <w:titlePg/>
          <w:docGrid w:linePitch="360"/>
        </w:sectPr>
      </w:pPr>
      <w:r w:rsidRPr="00CE587D">
        <w:rPr>
          <w:b/>
          <w:bCs/>
          <w:sz w:val="56"/>
          <w:szCs w:val="56"/>
        </w:rPr>
        <w:t xml:space="preserve">APPENDIX </w:t>
      </w:r>
      <w:r w:rsidR="008209C9">
        <w:rPr>
          <w:b/>
          <w:bCs/>
          <w:sz w:val="56"/>
          <w:szCs w:val="56"/>
        </w:rPr>
        <w:t>B</w:t>
      </w:r>
    </w:p>
    <w:p w:rsidR="00FF528F" w:rsidP="004943C6" w:rsidRDefault="004943C6" w14:paraId="3D605B77" w14:textId="10B4AB88">
      <w:pPr>
        <w:ind w:firstLine="0"/>
        <w:jc w:val="center"/>
        <w:rPr>
          <w:b/>
          <w:bCs/>
          <w:caps/>
        </w:rPr>
      </w:pPr>
      <w:r w:rsidRPr="004943C6">
        <w:rPr>
          <w:b/>
          <w:bCs/>
          <w:caps/>
        </w:rPr>
        <w:lastRenderedPageBreak/>
        <w:t xml:space="preserve">Appendix </w:t>
      </w:r>
      <w:r w:rsidR="008209C9">
        <w:rPr>
          <w:b/>
          <w:bCs/>
          <w:caps/>
        </w:rPr>
        <w:t>B</w:t>
      </w:r>
    </w:p>
    <w:p w:rsidR="008209C9" w:rsidP="008209C9" w:rsidRDefault="008209C9" w14:paraId="122CF4B8" w14:textId="77777777">
      <w:pPr>
        <w:pStyle w:val="ALJBodyText"/>
        <w:spacing w:after="240"/>
        <w:jc w:val="center"/>
        <w:rPr>
          <w:b/>
        </w:rPr>
      </w:pPr>
      <w:r>
        <w:rPr>
          <w:b/>
        </w:rPr>
        <w:t xml:space="preserve">Abbreviations, </w:t>
      </w:r>
      <w:r w:rsidRPr="00515DD9">
        <w:rPr>
          <w:b/>
        </w:rPr>
        <w:t>Acronyms</w:t>
      </w:r>
      <w:r>
        <w:rPr>
          <w:b/>
        </w:rPr>
        <w:t>, and Definitions</w:t>
      </w:r>
      <w:r w:rsidRPr="00723C8C">
        <w:rPr>
          <w:b/>
        </w:rPr>
        <w:t xml:space="preserve"> </w:t>
      </w:r>
    </w:p>
    <w:tbl>
      <w:tblPr>
        <w:tblStyle w:val="TableGrid"/>
        <w:tblW w:w="9630" w:type="dxa"/>
        <w:tblInd w:w="-5" w:type="dxa"/>
        <w:tblLook w:val="04A0" w:firstRow="1" w:lastRow="0" w:firstColumn="1" w:lastColumn="0" w:noHBand="0" w:noVBand="1"/>
      </w:tblPr>
      <w:tblGrid>
        <w:gridCol w:w="2790"/>
        <w:gridCol w:w="6840"/>
      </w:tblGrid>
      <w:tr w:rsidR="008209C9" w:rsidTr="001B788B" w14:paraId="634FA87B" w14:textId="77777777">
        <w:tc>
          <w:tcPr>
            <w:tcW w:w="2790" w:type="dxa"/>
          </w:tcPr>
          <w:p w:rsidRPr="00466624" w:rsidR="008209C9" w:rsidP="001B788B" w:rsidRDefault="008209C9" w14:paraId="61B4F88E" w14:textId="77777777">
            <w:pPr>
              <w:pStyle w:val="ALJBodyText"/>
              <w:tabs>
                <w:tab w:val="left" w:pos="2520"/>
              </w:tabs>
              <w:spacing w:line="240" w:lineRule="auto"/>
              <w:ind w:firstLine="0"/>
              <w:rPr>
                <w:sz w:val="24"/>
                <w:szCs w:val="24"/>
              </w:rPr>
            </w:pPr>
            <w:r w:rsidRPr="00466624">
              <w:rPr>
                <w:sz w:val="24"/>
                <w:szCs w:val="24"/>
              </w:rPr>
              <w:t>A.</w:t>
            </w:r>
          </w:p>
        </w:tc>
        <w:tc>
          <w:tcPr>
            <w:tcW w:w="6840" w:type="dxa"/>
          </w:tcPr>
          <w:p w:rsidRPr="00466624" w:rsidR="008209C9" w:rsidP="001B788B" w:rsidRDefault="008209C9" w14:paraId="76B044E3" w14:textId="77777777">
            <w:pPr>
              <w:pStyle w:val="ALJBodyText"/>
              <w:tabs>
                <w:tab w:val="left" w:pos="2520"/>
              </w:tabs>
              <w:spacing w:line="240" w:lineRule="auto"/>
              <w:ind w:firstLine="0"/>
              <w:rPr>
                <w:sz w:val="24"/>
                <w:szCs w:val="24"/>
              </w:rPr>
            </w:pPr>
            <w:r w:rsidRPr="00466624">
              <w:rPr>
                <w:sz w:val="24"/>
                <w:szCs w:val="24"/>
              </w:rPr>
              <w:t>Application</w:t>
            </w:r>
          </w:p>
        </w:tc>
      </w:tr>
      <w:tr w:rsidR="008209C9" w:rsidTr="001B788B" w14:paraId="6DD52D08" w14:textId="77777777">
        <w:tc>
          <w:tcPr>
            <w:tcW w:w="2790" w:type="dxa"/>
          </w:tcPr>
          <w:p w:rsidRPr="00466624" w:rsidR="008209C9" w:rsidP="001B788B" w:rsidRDefault="008209C9" w14:paraId="01FF65CE" w14:textId="77777777">
            <w:pPr>
              <w:pStyle w:val="ALJBodyText"/>
              <w:tabs>
                <w:tab w:val="left" w:pos="2520"/>
              </w:tabs>
              <w:spacing w:line="240" w:lineRule="auto"/>
              <w:ind w:firstLine="0"/>
              <w:rPr>
                <w:sz w:val="24"/>
                <w:szCs w:val="24"/>
              </w:rPr>
            </w:pPr>
            <w:r w:rsidRPr="00466624">
              <w:rPr>
                <w:sz w:val="24"/>
                <w:szCs w:val="24"/>
              </w:rPr>
              <w:t>Additionality</w:t>
            </w:r>
          </w:p>
        </w:tc>
        <w:tc>
          <w:tcPr>
            <w:tcW w:w="6840" w:type="dxa"/>
          </w:tcPr>
          <w:p w:rsidRPr="00466624" w:rsidR="008209C9" w:rsidP="001B788B" w:rsidRDefault="008209C9" w14:paraId="3DF151A0" w14:textId="77777777">
            <w:pPr>
              <w:pStyle w:val="ALJBodyText"/>
              <w:tabs>
                <w:tab w:val="left" w:pos="2520"/>
              </w:tabs>
              <w:spacing w:line="240" w:lineRule="auto"/>
              <w:ind w:firstLine="0"/>
              <w:rPr>
                <w:sz w:val="24"/>
                <w:szCs w:val="24"/>
              </w:rPr>
            </w:pPr>
            <w:r w:rsidRPr="00466624">
              <w:rPr>
                <w:sz w:val="24"/>
                <w:szCs w:val="24"/>
              </w:rPr>
              <w:t>The use of a biomethane source that was not previously being captured for use as RNG.</w:t>
            </w:r>
          </w:p>
        </w:tc>
      </w:tr>
      <w:tr w:rsidR="008209C9" w:rsidTr="001B788B" w14:paraId="06D5FECC" w14:textId="77777777">
        <w:tc>
          <w:tcPr>
            <w:tcW w:w="2790" w:type="dxa"/>
          </w:tcPr>
          <w:p w:rsidRPr="00466624" w:rsidR="008209C9" w:rsidP="001B788B" w:rsidRDefault="008209C9" w14:paraId="262D8ECF" w14:textId="77777777">
            <w:pPr>
              <w:pStyle w:val="ALJBodyText"/>
              <w:tabs>
                <w:tab w:val="left" w:pos="2520"/>
              </w:tabs>
              <w:spacing w:line="240" w:lineRule="auto"/>
              <w:ind w:firstLine="0"/>
              <w:rPr>
                <w:sz w:val="24"/>
                <w:szCs w:val="24"/>
              </w:rPr>
            </w:pPr>
            <w:r w:rsidRPr="00466624">
              <w:rPr>
                <w:sz w:val="24"/>
                <w:szCs w:val="24"/>
              </w:rPr>
              <w:t>AECA</w:t>
            </w:r>
          </w:p>
        </w:tc>
        <w:tc>
          <w:tcPr>
            <w:tcW w:w="6840" w:type="dxa"/>
          </w:tcPr>
          <w:p w:rsidRPr="00466624" w:rsidR="008209C9" w:rsidP="001B788B" w:rsidRDefault="008209C9" w14:paraId="3CCC5B43" w14:textId="77777777">
            <w:pPr>
              <w:pStyle w:val="ALJBodyText"/>
              <w:tabs>
                <w:tab w:val="left" w:pos="2520"/>
              </w:tabs>
              <w:spacing w:line="240" w:lineRule="auto"/>
              <w:ind w:firstLine="0"/>
              <w:rPr>
                <w:sz w:val="24"/>
                <w:szCs w:val="24"/>
              </w:rPr>
            </w:pPr>
            <w:r w:rsidRPr="00466624">
              <w:rPr>
                <w:sz w:val="24"/>
                <w:szCs w:val="24"/>
              </w:rPr>
              <w:t>Agricultural Energy Consumers Association</w:t>
            </w:r>
          </w:p>
        </w:tc>
      </w:tr>
      <w:tr w:rsidR="008209C9" w:rsidTr="001B788B" w14:paraId="34757AEE" w14:textId="77777777">
        <w:tc>
          <w:tcPr>
            <w:tcW w:w="2790" w:type="dxa"/>
          </w:tcPr>
          <w:p w:rsidRPr="00466624" w:rsidR="008209C9" w:rsidP="001B788B" w:rsidRDefault="008209C9" w14:paraId="5A9C8956" w14:textId="77777777">
            <w:pPr>
              <w:pStyle w:val="ALJBodyText"/>
              <w:tabs>
                <w:tab w:val="left" w:pos="2520"/>
              </w:tabs>
              <w:spacing w:line="240" w:lineRule="auto"/>
              <w:ind w:firstLine="0"/>
              <w:rPr>
                <w:sz w:val="24"/>
                <w:szCs w:val="24"/>
              </w:rPr>
            </w:pPr>
            <w:r w:rsidRPr="00466624">
              <w:rPr>
                <w:sz w:val="24"/>
                <w:szCs w:val="24"/>
              </w:rPr>
              <w:t>AL</w:t>
            </w:r>
          </w:p>
        </w:tc>
        <w:tc>
          <w:tcPr>
            <w:tcW w:w="6840" w:type="dxa"/>
          </w:tcPr>
          <w:p w:rsidRPr="00466624" w:rsidR="008209C9" w:rsidP="001B788B" w:rsidRDefault="008209C9" w14:paraId="424D8F0B" w14:textId="77777777">
            <w:pPr>
              <w:pStyle w:val="ALJBodyText"/>
              <w:tabs>
                <w:tab w:val="left" w:pos="2520"/>
              </w:tabs>
              <w:spacing w:line="240" w:lineRule="auto"/>
              <w:ind w:firstLine="0"/>
              <w:rPr>
                <w:sz w:val="24"/>
                <w:szCs w:val="24"/>
              </w:rPr>
            </w:pPr>
            <w:r w:rsidRPr="00466624">
              <w:rPr>
                <w:sz w:val="24"/>
                <w:szCs w:val="24"/>
              </w:rPr>
              <w:t>Advice Letter</w:t>
            </w:r>
          </w:p>
        </w:tc>
      </w:tr>
      <w:tr w:rsidR="008209C9" w:rsidTr="001B788B" w14:paraId="57060542" w14:textId="77777777">
        <w:tc>
          <w:tcPr>
            <w:tcW w:w="2790" w:type="dxa"/>
          </w:tcPr>
          <w:p w:rsidRPr="00466624" w:rsidR="008209C9" w:rsidP="001B788B" w:rsidRDefault="008209C9" w14:paraId="19F9BF73" w14:textId="77777777">
            <w:pPr>
              <w:pStyle w:val="ALJBodyText"/>
              <w:tabs>
                <w:tab w:val="left" w:pos="2520"/>
              </w:tabs>
              <w:spacing w:line="240" w:lineRule="auto"/>
              <w:ind w:firstLine="0"/>
              <w:rPr>
                <w:sz w:val="24"/>
                <w:szCs w:val="24"/>
              </w:rPr>
            </w:pPr>
            <w:r w:rsidRPr="00466624">
              <w:rPr>
                <w:sz w:val="24"/>
                <w:szCs w:val="24"/>
              </w:rPr>
              <w:t>Applicable Standards for Out-of-State RNG Supplies</w:t>
            </w:r>
          </w:p>
        </w:tc>
        <w:tc>
          <w:tcPr>
            <w:tcW w:w="6840" w:type="dxa"/>
          </w:tcPr>
          <w:p w:rsidRPr="00466624" w:rsidR="008209C9" w:rsidP="001B788B" w:rsidRDefault="008209C9" w14:paraId="1D326117" w14:textId="77777777">
            <w:pPr>
              <w:pStyle w:val="ALJBodyText"/>
              <w:tabs>
                <w:tab w:val="left" w:pos="2520"/>
              </w:tabs>
              <w:spacing w:line="240" w:lineRule="auto"/>
              <w:ind w:firstLine="0"/>
              <w:rPr>
                <w:sz w:val="24"/>
                <w:szCs w:val="24"/>
              </w:rPr>
            </w:pPr>
            <w:r w:rsidRPr="00466624">
              <w:rPr>
                <w:sz w:val="24"/>
                <w:szCs w:val="24"/>
              </w:rPr>
              <w:t>As defined in 17 CCR Section 95852.1.1:</w:t>
            </w:r>
          </w:p>
          <w:p w:rsidRPr="00466624" w:rsidR="008209C9" w:rsidP="001B788B" w:rsidRDefault="008209C9" w14:paraId="30C37FAE" w14:textId="77777777">
            <w:pPr>
              <w:pStyle w:val="ALJBodyText"/>
              <w:tabs>
                <w:tab w:val="left" w:pos="2520"/>
              </w:tabs>
              <w:spacing w:line="240" w:lineRule="auto"/>
              <w:ind w:firstLine="0"/>
              <w:rPr>
                <w:sz w:val="24"/>
                <w:szCs w:val="24"/>
              </w:rPr>
            </w:pPr>
            <w:r w:rsidRPr="00466624">
              <w:rPr>
                <w:sz w:val="24"/>
                <w:szCs w:val="24"/>
              </w:rPr>
              <w:t>RNG eligible for the biomethane exemption requirements set in the Mandatory Reporting of Greenhouse Gas Emissions (“MRR”) and Cap-and-Trade Regulation, including that the RNG must be either: (A) an increase in the biomass derived fuel production capacity, at a particular site, where an increase is considered any amount over the average production at that site over the last three years; or (B) recovery of the fuel at a site where the fuel was previously being vented or destroyed for at least three years or since commencement of fuel recovery operations, whichever is shorter, without producing useful energy transfer.</w:t>
            </w:r>
          </w:p>
        </w:tc>
      </w:tr>
      <w:tr w:rsidR="008209C9" w:rsidTr="001B788B" w14:paraId="419F96A8" w14:textId="77777777">
        <w:tc>
          <w:tcPr>
            <w:tcW w:w="2790" w:type="dxa"/>
          </w:tcPr>
          <w:p w:rsidRPr="00466624" w:rsidR="008209C9" w:rsidP="001B788B" w:rsidRDefault="008209C9" w14:paraId="1D04A705" w14:textId="77777777">
            <w:pPr>
              <w:pStyle w:val="ALJBodyText"/>
              <w:tabs>
                <w:tab w:val="left" w:pos="2520"/>
              </w:tabs>
              <w:spacing w:line="240" w:lineRule="auto"/>
              <w:ind w:firstLine="0"/>
              <w:rPr>
                <w:sz w:val="24"/>
                <w:szCs w:val="24"/>
              </w:rPr>
            </w:pPr>
            <w:r w:rsidRPr="00466624">
              <w:rPr>
                <w:sz w:val="24"/>
                <w:szCs w:val="24"/>
              </w:rPr>
              <w:t>BAC</w:t>
            </w:r>
          </w:p>
        </w:tc>
        <w:tc>
          <w:tcPr>
            <w:tcW w:w="6840" w:type="dxa"/>
          </w:tcPr>
          <w:p w:rsidRPr="00466624" w:rsidR="008209C9" w:rsidP="001B788B" w:rsidRDefault="008209C9" w14:paraId="56882FD3" w14:textId="77777777">
            <w:pPr>
              <w:pStyle w:val="ALJBodyText"/>
              <w:tabs>
                <w:tab w:val="left" w:pos="2520"/>
              </w:tabs>
              <w:spacing w:line="240" w:lineRule="auto"/>
              <w:ind w:firstLine="0"/>
              <w:rPr>
                <w:sz w:val="24"/>
                <w:szCs w:val="24"/>
              </w:rPr>
            </w:pPr>
            <w:r w:rsidRPr="00466624">
              <w:rPr>
                <w:sz w:val="24"/>
                <w:szCs w:val="24"/>
              </w:rPr>
              <w:t>Bioenergy Association of California</w:t>
            </w:r>
          </w:p>
        </w:tc>
      </w:tr>
      <w:tr w:rsidR="008209C9" w:rsidTr="001B788B" w14:paraId="3F123C8C" w14:textId="77777777">
        <w:tc>
          <w:tcPr>
            <w:tcW w:w="2790" w:type="dxa"/>
          </w:tcPr>
          <w:p w:rsidRPr="00466624" w:rsidR="008209C9" w:rsidP="001B788B" w:rsidRDefault="008209C9" w14:paraId="22637F2E" w14:textId="77777777">
            <w:pPr>
              <w:pStyle w:val="ALJBodyText"/>
              <w:tabs>
                <w:tab w:val="left" w:pos="2520"/>
              </w:tabs>
              <w:spacing w:line="240" w:lineRule="auto"/>
              <w:ind w:firstLine="0"/>
              <w:rPr>
                <w:sz w:val="24"/>
                <w:szCs w:val="24"/>
              </w:rPr>
            </w:pPr>
            <w:r w:rsidRPr="00466624">
              <w:rPr>
                <w:sz w:val="24"/>
                <w:szCs w:val="24"/>
              </w:rPr>
              <w:t>Biogas</w:t>
            </w:r>
          </w:p>
        </w:tc>
        <w:tc>
          <w:tcPr>
            <w:tcW w:w="6840" w:type="dxa"/>
          </w:tcPr>
          <w:p w:rsidRPr="00466624" w:rsidR="008209C9" w:rsidP="001B788B" w:rsidRDefault="008209C9" w14:paraId="5E12BA83" w14:textId="77777777">
            <w:pPr>
              <w:pStyle w:val="ALJBodyText"/>
              <w:tabs>
                <w:tab w:val="left" w:pos="2520"/>
              </w:tabs>
              <w:spacing w:line="240" w:lineRule="auto"/>
              <w:ind w:firstLine="0"/>
              <w:rPr>
                <w:sz w:val="24"/>
                <w:szCs w:val="24"/>
              </w:rPr>
            </w:pPr>
            <w:r w:rsidRPr="00466624">
              <w:rPr>
                <w:sz w:val="24"/>
                <w:szCs w:val="24"/>
              </w:rPr>
              <w:t>Gas resulting from the decomposition of organic matter under anaerobic conditions. The principal constituents are methane and carbon dioxide.</w:t>
            </w:r>
          </w:p>
          <w:p w:rsidRPr="00466624" w:rsidR="008209C9" w:rsidP="001B788B" w:rsidRDefault="008209C9" w14:paraId="0F8A1347" w14:textId="77777777">
            <w:pPr>
              <w:pStyle w:val="ALJBodyText"/>
              <w:tabs>
                <w:tab w:val="left" w:pos="2520"/>
              </w:tabs>
              <w:spacing w:line="240" w:lineRule="auto"/>
              <w:ind w:firstLine="0"/>
              <w:rPr>
                <w:sz w:val="24"/>
                <w:szCs w:val="24"/>
              </w:rPr>
            </w:pPr>
            <w:r w:rsidRPr="00466624">
              <w:rPr>
                <w:sz w:val="24"/>
                <w:szCs w:val="24"/>
              </w:rPr>
              <w:t>(</w:t>
            </w:r>
            <w:hyperlink w:history="1" r:id="rId23">
              <w:r w:rsidRPr="00466624">
                <w:rPr>
                  <w:rStyle w:val="Hyperlink"/>
                  <w:sz w:val="24"/>
                  <w:szCs w:val="24"/>
                </w:rPr>
                <w:t>https://www.epa.gov/lmop/renewable-natural-gas</w:t>
              </w:r>
            </w:hyperlink>
            <w:r w:rsidRPr="00466624">
              <w:rPr>
                <w:sz w:val="24"/>
                <w:szCs w:val="24"/>
              </w:rPr>
              <w:t xml:space="preserve">)  </w:t>
            </w:r>
          </w:p>
        </w:tc>
      </w:tr>
      <w:tr w:rsidR="008209C9" w:rsidTr="001B788B" w14:paraId="3FF38E8B" w14:textId="77777777">
        <w:tc>
          <w:tcPr>
            <w:tcW w:w="2790" w:type="dxa"/>
          </w:tcPr>
          <w:p w:rsidRPr="00466624" w:rsidR="008209C9" w:rsidP="001B788B" w:rsidRDefault="008209C9" w14:paraId="39A991B7" w14:textId="77777777">
            <w:pPr>
              <w:pStyle w:val="ALJBodyText"/>
              <w:tabs>
                <w:tab w:val="left" w:pos="2520"/>
              </w:tabs>
              <w:spacing w:line="240" w:lineRule="auto"/>
              <w:ind w:firstLine="0"/>
              <w:rPr>
                <w:sz w:val="24"/>
                <w:szCs w:val="24"/>
              </w:rPr>
            </w:pPr>
            <w:r w:rsidRPr="00466624">
              <w:rPr>
                <w:sz w:val="24"/>
                <w:szCs w:val="24"/>
              </w:rPr>
              <w:t>Cap-and-Trade Regulation</w:t>
            </w:r>
          </w:p>
        </w:tc>
        <w:tc>
          <w:tcPr>
            <w:tcW w:w="6840" w:type="dxa"/>
          </w:tcPr>
          <w:p w:rsidRPr="00466624" w:rsidR="008209C9" w:rsidP="001B788B" w:rsidRDefault="008209C9" w14:paraId="3947DE91" w14:textId="77777777">
            <w:pPr>
              <w:pStyle w:val="ALJBodyText"/>
              <w:tabs>
                <w:tab w:val="left" w:pos="2520"/>
              </w:tabs>
              <w:spacing w:line="240" w:lineRule="auto"/>
              <w:ind w:firstLine="0"/>
              <w:rPr>
                <w:sz w:val="24"/>
                <w:szCs w:val="24"/>
              </w:rPr>
            </w:pPr>
            <w:r w:rsidRPr="00466624">
              <w:rPr>
                <w:sz w:val="24"/>
                <w:szCs w:val="24"/>
              </w:rPr>
              <w:t>California Cap on Greenhouse Gas Emissions and Market-Based Compliance Mechanisms</w:t>
            </w:r>
          </w:p>
          <w:p w:rsidRPr="00466624" w:rsidR="008209C9" w:rsidP="001B788B" w:rsidRDefault="008209C9" w14:paraId="15322649" w14:textId="77777777">
            <w:pPr>
              <w:pStyle w:val="ALJBodyText"/>
              <w:tabs>
                <w:tab w:val="left" w:pos="2520"/>
              </w:tabs>
              <w:spacing w:line="240" w:lineRule="auto"/>
              <w:ind w:firstLine="0"/>
              <w:rPr>
                <w:sz w:val="24"/>
                <w:szCs w:val="24"/>
              </w:rPr>
            </w:pPr>
            <w:r w:rsidRPr="00466624">
              <w:rPr>
                <w:sz w:val="24"/>
                <w:szCs w:val="24"/>
              </w:rPr>
              <w:t>(</w:t>
            </w:r>
            <w:hyperlink w:history="1" r:id="rId24">
              <w:r w:rsidRPr="00466624">
                <w:rPr>
                  <w:rStyle w:val="Hyperlink"/>
                  <w:sz w:val="24"/>
                  <w:szCs w:val="24"/>
                </w:rPr>
                <w:t>https://ww2.arb.ca.gov/our-work/programs/cap-and-trade-program/cap-and-trade-regulation</w:t>
              </w:r>
            </w:hyperlink>
            <w:r w:rsidRPr="00466624">
              <w:rPr>
                <w:sz w:val="24"/>
                <w:szCs w:val="24"/>
              </w:rPr>
              <w:t xml:space="preserve">) </w:t>
            </w:r>
          </w:p>
        </w:tc>
      </w:tr>
      <w:tr w:rsidR="008209C9" w:rsidTr="001B788B" w14:paraId="18BE0AFD" w14:textId="77777777">
        <w:tc>
          <w:tcPr>
            <w:tcW w:w="2790" w:type="dxa"/>
          </w:tcPr>
          <w:p w:rsidRPr="00466624" w:rsidR="008209C9" w:rsidP="001B788B" w:rsidRDefault="008209C9" w14:paraId="7DB04408" w14:textId="77777777">
            <w:pPr>
              <w:pStyle w:val="ALJBodyText"/>
              <w:tabs>
                <w:tab w:val="left" w:pos="2520"/>
              </w:tabs>
              <w:spacing w:line="240" w:lineRule="auto"/>
              <w:ind w:firstLine="0"/>
              <w:rPr>
                <w:sz w:val="24"/>
                <w:szCs w:val="24"/>
              </w:rPr>
            </w:pPr>
            <w:r w:rsidRPr="00466624">
              <w:rPr>
                <w:sz w:val="24"/>
                <w:szCs w:val="24"/>
              </w:rPr>
              <w:t>Cal Advocates</w:t>
            </w:r>
          </w:p>
        </w:tc>
        <w:tc>
          <w:tcPr>
            <w:tcW w:w="6840" w:type="dxa"/>
          </w:tcPr>
          <w:p w:rsidRPr="00466624" w:rsidR="008209C9" w:rsidP="001B788B" w:rsidRDefault="008209C9" w14:paraId="6E2EE96E" w14:textId="77777777">
            <w:pPr>
              <w:pStyle w:val="ALJBodyText"/>
              <w:tabs>
                <w:tab w:val="left" w:pos="2520"/>
              </w:tabs>
              <w:spacing w:line="240" w:lineRule="auto"/>
              <w:ind w:firstLine="0"/>
              <w:rPr>
                <w:sz w:val="24"/>
                <w:szCs w:val="24"/>
                <w:lang w:val="en"/>
              </w:rPr>
            </w:pPr>
            <w:r w:rsidRPr="00466624">
              <w:rPr>
                <w:sz w:val="24"/>
                <w:szCs w:val="24"/>
              </w:rPr>
              <w:t xml:space="preserve">Public Advocate’s Office of the Public Utilities Commission (Senate Bill 854 (Stats. 2018, Ch. 51, codified by Pub. Util. Code Section 309.5(a)), referred to as </w:t>
            </w:r>
            <w:r w:rsidRPr="00466624">
              <w:rPr>
                <w:sz w:val="24"/>
                <w:szCs w:val="24"/>
                <w:lang w:val="en"/>
              </w:rPr>
              <w:t>The Commission’s Public Advocates Office</w:t>
            </w:r>
          </w:p>
        </w:tc>
      </w:tr>
      <w:tr w:rsidR="008209C9" w:rsidTr="001B788B" w14:paraId="47745F4B" w14:textId="77777777">
        <w:tc>
          <w:tcPr>
            <w:tcW w:w="2790" w:type="dxa"/>
          </w:tcPr>
          <w:p w:rsidRPr="00466624" w:rsidR="008209C9" w:rsidP="001B788B" w:rsidRDefault="008209C9" w14:paraId="4DB84049" w14:textId="77777777">
            <w:pPr>
              <w:pStyle w:val="ALJBodyText"/>
              <w:tabs>
                <w:tab w:val="left" w:pos="2520"/>
              </w:tabs>
              <w:spacing w:line="240" w:lineRule="auto"/>
              <w:ind w:firstLine="0"/>
              <w:rPr>
                <w:sz w:val="24"/>
                <w:szCs w:val="24"/>
              </w:rPr>
            </w:pPr>
            <w:r w:rsidRPr="00466624">
              <w:rPr>
                <w:sz w:val="24"/>
                <w:szCs w:val="24"/>
              </w:rPr>
              <w:t>CARB</w:t>
            </w:r>
          </w:p>
        </w:tc>
        <w:tc>
          <w:tcPr>
            <w:tcW w:w="6840" w:type="dxa"/>
          </w:tcPr>
          <w:p w:rsidRPr="00466624" w:rsidR="008209C9" w:rsidP="001B788B" w:rsidRDefault="008209C9" w14:paraId="30870916" w14:textId="77777777">
            <w:pPr>
              <w:pStyle w:val="ALJBodyText"/>
              <w:tabs>
                <w:tab w:val="left" w:pos="2520"/>
              </w:tabs>
              <w:spacing w:line="240" w:lineRule="auto"/>
              <w:ind w:firstLine="0"/>
              <w:rPr>
                <w:sz w:val="24"/>
                <w:szCs w:val="24"/>
              </w:rPr>
            </w:pPr>
            <w:r w:rsidRPr="00466624">
              <w:rPr>
                <w:sz w:val="24"/>
                <w:szCs w:val="24"/>
                <w:lang w:val="en"/>
              </w:rPr>
              <w:t>California Air Resources Board</w:t>
            </w:r>
          </w:p>
        </w:tc>
      </w:tr>
      <w:tr w:rsidR="008209C9" w:rsidTr="001B788B" w14:paraId="3C907A89" w14:textId="77777777">
        <w:tc>
          <w:tcPr>
            <w:tcW w:w="2790" w:type="dxa"/>
          </w:tcPr>
          <w:p w:rsidRPr="00466624" w:rsidR="008209C9" w:rsidP="001B788B" w:rsidRDefault="008209C9" w14:paraId="567892F7" w14:textId="77777777">
            <w:pPr>
              <w:pStyle w:val="ALJBodyText"/>
              <w:tabs>
                <w:tab w:val="left" w:pos="2520"/>
              </w:tabs>
              <w:spacing w:line="240" w:lineRule="auto"/>
              <w:ind w:firstLine="0"/>
              <w:rPr>
                <w:rFonts w:cs="TimesNewRomanPSMT"/>
                <w:sz w:val="24"/>
                <w:szCs w:val="24"/>
              </w:rPr>
            </w:pPr>
            <w:r w:rsidRPr="00466624">
              <w:rPr>
                <w:rFonts w:cs="TimesNewRomanPSMT"/>
                <w:sz w:val="24"/>
                <w:szCs w:val="24"/>
              </w:rPr>
              <w:t>CCR</w:t>
            </w:r>
          </w:p>
        </w:tc>
        <w:tc>
          <w:tcPr>
            <w:tcW w:w="6840" w:type="dxa"/>
          </w:tcPr>
          <w:p w:rsidRPr="00466624" w:rsidR="008209C9" w:rsidP="001B788B" w:rsidRDefault="008209C9" w14:paraId="6AAAFBF3" w14:textId="77777777">
            <w:pPr>
              <w:pStyle w:val="ALJBodyText"/>
              <w:tabs>
                <w:tab w:val="left" w:pos="2520"/>
              </w:tabs>
              <w:spacing w:line="240" w:lineRule="auto"/>
              <w:ind w:firstLine="0"/>
              <w:rPr>
                <w:rFonts w:cs="TimesNewRomanPSMT"/>
                <w:sz w:val="24"/>
                <w:szCs w:val="24"/>
              </w:rPr>
            </w:pPr>
            <w:r w:rsidRPr="00466624">
              <w:rPr>
                <w:sz w:val="24"/>
                <w:szCs w:val="24"/>
              </w:rPr>
              <w:t xml:space="preserve">California Code of Regulation </w:t>
            </w:r>
          </w:p>
        </w:tc>
      </w:tr>
      <w:tr w:rsidR="008209C9" w:rsidTr="001B788B" w14:paraId="6F2BEF42" w14:textId="77777777">
        <w:tc>
          <w:tcPr>
            <w:tcW w:w="2790" w:type="dxa"/>
          </w:tcPr>
          <w:p w:rsidRPr="00466624" w:rsidR="008209C9" w:rsidP="001B788B" w:rsidRDefault="008209C9" w14:paraId="0DB9AAC5" w14:textId="77777777">
            <w:pPr>
              <w:pStyle w:val="ALJBodyText"/>
              <w:tabs>
                <w:tab w:val="left" w:pos="2520"/>
              </w:tabs>
              <w:spacing w:line="240" w:lineRule="auto"/>
              <w:ind w:firstLine="0"/>
              <w:rPr>
                <w:rFonts w:cs="TimesNewRomanPSMT"/>
                <w:sz w:val="24"/>
                <w:szCs w:val="24"/>
              </w:rPr>
            </w:pPr>
            <w:r w:rsidRPr="00466624">
              <w:rPr>
                <w:sz w:val="24"/>
                <w:szCs w:val="24"/>
              </w:rPr>
              <w:t>CUE</w:t>
            </w:r>
          </w:p>
        </w:tc>
        <w:tc>
          <w:tcPr>
            <w:tcW w:w="6840" w:type="dxa"/>
          </w:tcPr>
          <w:p w:rsidRPr="00466624" w:rsidR="008209C9" w:rsidP="001B788B" w:rsidRDefault="008209C9" w14:paraId="26D9089B" w14:textId="77777777">
            <w:pPr>
              <w:pStyle w:val="ALJBodyText"/>
              <w:tabs>
                <w:tab w:val="left" w:pos="2520"/>
              </w:tabs>
              <w:spacing w:line="240" w:lineRule="auto"/>
              <w:ind w:firstLine="0"/>
              <w:rPr>
                <w:sz w:val="24"/>
                <w:szCs w:val="24"/>
                <w:lang w:val="en"/>
              </w:rPr>
            </w:pPr>
            <w:r w:rsidRPr="00466624">
              <w:rPr>
                <w:sz w:val="24"/>
                <w:szCs w:val="24"/>
              </w:rPr>
              <w:t>Coalition of California Utility Employees</w:t>
            </w:r>
          </w:p>
        </w:tc>
      </w:tr>
      <w:tr w:rsidR="008209C9" w:rsidTr="001B788B" w14:paraId="4318B535" w14:textId="77777777">
        <w:tc>
          <w:tcPr>
            <w:tcW w:w="2790" w:type="dxa"/>
          </w:tcPr>
          <w:p w:rsidRPr="00466624" w:rsidR="008209C9" w:rsidP="001B788B" w:rsidRDefault="008209C9" w14:paraId="0386A5B9" w14:textId="77777777">
            <w:pPr>
              <w:pStyle w:val="ALJBodyText"/>
              <w:tabs>
                <w:tab w:val="left" w:pos="2520"/>
              </w:tabs>
              <w:spacing w:line="240" w:lineRule="auto"/>
              <w:ind w:firstLine="0"/>
              <w:rPr>
                <w:sz w:val="24"/>
                <w:szCs w:val="24"/>
              </w:rPr>
            </w:pPr>
            <w:r w:rsidRPr="00466624">
              <w:rPr>
                <w:sz w:val="24"/>
                <w:szCs w:val="24"/>
              </w:rPr>
              <w:t>D.</w:t>
            </w:r>
          </w:p>
        </w:tc>
        <w:tc>
          <w:tcPr>
            <w:tcW w:w="6840" w:type="dxa"/>
          </w:tcPr>
          <w:p w:rsidRPr="00466624" w:rsidR="008209C9" w:rsidP="001B788B" w:rsidRDefault="008209C9" w14:paraId="5F906FAA" w14:textId="77777777">
            <w:pPr>
              <w:pStyle w:val="ALJBodyText"/>
              <w:tabs>
                <w:tab w:val="left" w:pos="2520"/>
              </w:tabs>
              <w:spacing w:line="240" w:lineRule="auto"/>
              <w:ind w:firstLine="0"/>
              <w:rPr>
                <w:sz w:val="24"/>
                <w:szCs w:val="24"/>
              </w:rPr>
            </w:pPr>
            <w:r w:rsidRPr="00466624">
              <w:rPr>
                <w:sz w:val="24"/>
                <w:szCs w:val="24"/>
              </w:rPr>
              <w:t>Decision</w:t>
            </w:r>
          </w:p>
        </w:tc>
      </w:tr>
      <w:tr w:rsidR="008209C9" w:rsidTr="001B788B" w14:paraId="670C1C20" w14:textId="77777777">
        <w:tc>
          <w:tcPr>
            <w:tcW w:w="2790" w:type="dxa"/>
          </w:tcPr>
          <w:p w:rsidRPr="00466624" w:rsidR="008209C9" w:rsidP="001B788B" w:rsidRDefault="008209C9" w14:paraId="25EC940A" w14:textId="77777777">
            <w:pPr>
              <w:pStyle w:val="ALJBodyText"/>
              <w:tabs>
                <w:tab w:val="left" w:pos="2520"/>
              </w:tabs>
              <w:spacing w:line="240" w:lineRule="auto"/>
              <w:ind w:firstLine="0"/>
              <w:rPr>
                <w:rFonts w:cs="TimesNewRomanPSMT"/>
                <w:sz w:val="24"/>
                <w:szCs w:val="24"/>
              </w:rPr>
            </w:pPr>
            <w:r w:rsidRPr="00466624">
              <w:rPr>
                <w:sz w:val="24"/>
                <w:szCs w:val="24"/>
              </w:rPr>
              <w:t>EDF</w:t>
            </w:r>
          </w:p>
        </w:tc>
        <w:tc>
          <w:tcPr>
            <w:tcW w:w="6840" w:type="dxa"/>
          </w:tcPr>
          <w:p w:rsidRPr="00466624" w:rsidR="008209C9" w:rsidP="001B788B" w:rsidRDefault="008209C9" w14:paraId="7FF7F8AE" w14:textId="77777777">
            <w:pPr>
              <w:pStyle w:val="ALJBodyText"/>
              <w:tabs>
                <w:tab w:val="left" w:pos="2520"/>
              </w:tabs>
              <w:spacing w:line="240" w:lineRule="auto"/>
              <w:ind w:firstLine="0"/>
              <w:rPr>
                <w:sz w:val="24"/>
                <w:szCs w:val="24"/>
                <w:lang w:val="en"/>
              </w:rPr>
            </w:pPr>
            <w:r w:rsidRPr="00466624">
              <w:rPr>
                <w:sz w:val="24"/>
                <w:szCs w:val="24"/>
              </w:rPr>
              <w:t>Environmental Defense Fund</w:t>
            </w:r>
          </w:p>
        </w:tc>
      </w:tr>
      <w:tr w:rsidR="008209C9" w:rsidTr="001B788B" w14:paraId="69296532" w14:textId="77777777">
        <w:tc>
          <w:tcPr>
            <w:tcW w:w="2790" w:type="dxa"/>
          </w:tcPr>
          <w:p w:rsidRPr="00466624" w:rsidR="008209C9" w:rsidP="001B788B" w:rsidRDefault="008209C9" w14:paraId="569FEDA3" w14:textId="77777777">
            <w:pPr>
              <w:pStyle w:val="ALJBodyText"/>
              <w:tabs>
                <w:tab w:val="left" w:pos="2520"/>
              </w:tabs>
              <w:spacing w:line="240" w:lineRule="auto"/>
              <w:ind w:firstLine="0"/>
              <w:rPr>
                <w:rFonts w:cs="TimesNewRomanPSMT"/>
                <w:sz w:val="24"/>
                <w:szCs w:val="24"/>
              </w:rPr>
            </w:pPr>
            <w:r w:rsidRPr="00466624">
              <w:rPr>
                <w:rFonts w:cs="TimesNewRomanPSMT"/>
                <w:sz w:val="24"/>
                <w:szCs w:val="24"/>
              </w:rPr>
              <w:t>FF&amp;U</w:t>
            </w:r>
          </w:p>
        </w:tc>
        <w:tc>
          <w:tcPr>
            <w:tcW w:w="6840" w:type="dxa"/>
          </w:tcPr>
          <w:p w:rsidRPr="00466624" w:rsidR="008209C9" w:rsidP="001B788B" w:rsidRDefault="008209C9" w14:paraId="506C6346" w14:textId="77777777">
            <w:pPr>
              <w:pStyle w:val="ALJBodyText"/>
              <w:tabs>
                <w:tab w:val="left" w:pos="2520"/>
              </w:tabs>
              <w:spacing w:line="240" w:lineRule="auto"/>
              <w:ind w:firstLine="0"/>
              <w:rPr>
                <w:sz w:val="24"/>
                <w:szCs w:val="24"/>
                <w:lang w:val="en"/>
              </w:rPr>
            </w:pPr>
            <w:r w:rsidRPr="00466624">
              <w:rPr>
                <w:sz w:val="24"/>
                <w:szCs w:val="24"/>
                <w:lang w:val="en"/>
              </w:rPr>
              <w:t>Commission authorized franchise fees and uncollectible expenses.</w:t>
            </w:r>
          </w:p>
        </w:tc>
      </w:tr>
      <w:tr w:rsidR="008209C9" w:rsidTr="001B788B" w14:paraId="59388911" w14:textId="77777777">
        <w:tc>
          <w:tcPr>
            <w:tcW w:w="2790" w:type="dxa"/>
          </w:tcPr>
          <w:p w:rsidRPr="00466624" w:rsidR="008209C9" w:rsidP="001B788B" w:rsidRDefault="008209C9" w14:paraId="741C1729" w14:textId="77777777">
            <w:pPr>
              <w:pStyle w:val="ALJBodyText"/>
              <w:tabs>
                <w:tab w:val="left" w:pos="2520"/>
              </w:tabs>
              <w:spacing w:line="240" w:lineRule="auto"/>
              <w:ind w:firstLine="0"/>
              <w:rPr>
                <w:rFonts w:cs="TimesNewRomanPSMT"/>
                <w:sz w:val="24"/>
                <w:szCs w:val="24"/>
              </w:rPr>
            </w:pPr>
            <w:r w:rsidRPr="00466624">
              <w:rPr>
                <w:rFonts w:cs="TimesNewRomanPSMT"/>
                <w:sz w:val="24"/>
                <w:szCs w:val="24"/>
              </w:rPr>
              <w:lastRenderedPageBreak/>
              <w:t>GHG</w:t>
            </w:r>
          </w:p>
        </w:tc>
        <w:tc>
          <w:tcPr>
            <w:tcW w:w="6840" w:type="dxa"/>
          </w:tcPr>
          <w:p w:rsidRPr="00466624" w:rsidR="008209C9" w:rsidP="001B788B" w:rsidRDefault="008209C9" w14:paraId="74B18497" w14:textId="77777777">
            <w:pPr>
              <w:pStyle w:val="ALJBodyText"/>
              <w:tabs>
                <w:tab w:val="left" w:pos="2520"/>
              </w:tabs>
              <w:spacing w:line="240" w:lineRule="auto"/>
              <w:ind w:firstLine="0"/>
              <w:rPr>
                <w:rFonts w:cs="TimesNewRomanPSMT"/>
                <w:sz w:val="24"/>
                <w:szCs w:val="24"/>
              </w:rPr>
            </w:pPr>
            <w:r w:rsidRPr="00466624">
              <w:rPr>
                <w:sz w:val="24"/>
                <w:szCs w:val="24"/>
                <w:lang w:val="en"/>
              </w:rPr>
              <w:t>Greenhouse Gas</w:t>
            </w:r>
          </w:p>
        </w:tc>
      </w:tr>
      <w:tr w:rsidR="008209C9" w:rsidTr="001B788B" w14:paraId="36AD2658" w14:textId="77777777">
        <w:tc>
          <w:tcPr>
            <w:tcW w:w="2790" w:type="dxa"/>
          </w:tcPr>
          <w:p w:rsidRPr="00466624" w:rsidR="008209C9" w:rsidP="001B788B" w:rsidRDefault="008209C9" w14:paraId="68EF46E3" w14:textId="77777777">
            <w:pPr>
              <w:pStyle w:val="ALJBodyText"/>
              <w:tabs>
                <w:tab w:val="left" w:pos="2520"/>
              </w:tabs>
              <w:spacing w:line="240" w:lineRule="auto"/>
              <w:ind w:firstLine="0"/>
              <w:rPr>
                <w:sz w:val="24"/>
                <w:szCs w:val="24"/>
              </w:rPr>
            </w:pPr>
            <w:r w:rsidRPr="00466624">
              <w:rPr>
                <w:sz w:val="24"/>
                <w:szCs w:val="24"/>
              </w:rPr>
              <w:t>GRC</w:t>
            </w:r>
          </w:p>
        </w:tc>
        <w:tc>
          <w:tcPr>
            <w:tcW w:w="6840" w:type="dxa"/>
          </w:tcPr>
          <w:p w:rsidRPr="00466624" w:rsidR="008209C9" w:rsidP="001B788B" w:rsidRDefault="008209C9" w14:paraId="3E7F5A04" w14:textId="77777777">
            <w:pPr>
              <w:pStyle w:val="ALJBodyText"/>
              <w:tabs>
                <w:tab w:val="left" w:pos="2520"/>
              </w:tabs>
              <w:spacing w:line="240" w:lineRule="auto"/>
              <w:ind w:firstLine="0"/>
              <w:rPr>
                <w:sz w:val="24"/>
                <w:szCs w:val="24"/>
                <w:lang w:val="en"/>
              </w:rPr>
            </w:pPr>
            <w:r w:rsidRPr="00466624">
              <w:rPr>
                <w:sz w:val="24"/>
                <w:szCs w:val="24"/>
                <w:lang w:val="en"/>
              </w:rPr>
              <w:t>General Rate Case</w:t>
            </w:r>
          </w:p>
        </w:tc>
      </w:tr>
      <w:tr w:rsidR="008209C9" w:rsidTr="001B788B" w14:paraId="1BAEF0E8" w14:textId="77777777">
        <w:tc>
          <w:tcPr>
            <w:tcW w:w="2790" w:type="dxa"/>
          </w:tcPr>
          <w:p w:rsidRPr="00466624" w:rsidR="008209C9" w:rsidP="001B788B" w:rsidRDefault="008209C9" w14:paraId="2BA4BE1C" w14:textId="77777777">
            <w:pPr>
              <w:pStyle w:val="ALJBodyText"/>
              <w:tabs>
                <w:tab w:val="left" w:pos="2520"/>
              </w:tabs>
              <w:spacing w:line="240" w:lineRule="auto"/>
              <w:ind w:firstLine="0"/>
              <w:rPr>
                <w:sz w:val="24"/>
                <w:szCs w:val="24"/>
              </w:rPr>
            </w:pPr>
            <w:r w:rsidRPr="00466624">
              <w:rPr>
                <w:sz w:val="24"/>
                <w:szCs w:val="24"/>
              </w:rPr>
              <w:t>GREET</w:t>
            </w:r>
          </w:p>
        </w:tc>
        <w:tc>
          <w:tcPr>
            <w:tcW w:w="6840" w:type="dxa"/>
          </w:tcPr>
          <w:p w:rsidRPr="00466624" w:rsidR="008209C9" w:rsidP="001B788B" w:rsidRDefault="008209C9" w14:paraId="6A1DFE3A" w14:textId="7E25347A">
            <w:pPr>
              <w:pStyle w:val="ALJBodyText"/>
              <w:tabs>
                <w:tab w:val="left" w:pos="2520"/>
              </w:tabs>
              <w:spacing w:line="240" w:lineRule="auto"/>
              <w:ind w:firstLine="0"/>
              <w:rPr>
                <w:sz w:val="24"/>
                <w:szCs w:val="24"/>
              </w:rPr>
            </w:pPr>
            <w:r w:rsidRPr="00466624">
              <w:rPr>
                <w:sz w:val="24"/>
                <w:szCs w:val="24"/>
                <w:lang w:val="en"/>
              </w:rPr>
              <w:t xml:space="preserve">Greenhouse Gases, Regulated Emissions, and Energy Use in Transportation methodology for the </w:t>
            </w:r>
            <w:r>
              <w:rPr>
                <w:sz w:val="24"/>
                <w:szCs w:val="24"/>
                <w:lang w:val="en"/>
              </w:rPr>
              <w:t xml:space="preserve">LCFS </w:t>
            </w:r>
            <w:r w:rsidRPr="00466624">
              <w:rPr>
                <w:sz w:val="24"/>
                <w:szCs w:val="24"/>
                <w:lang w:val="en"/>
              </w:rPr>
              <w:t>program.</w:t>
            </w:r>
          </w:p>
        </w:tc>
      </w:tr>
      <w:tr w:rsidR="008209C9" w:rsidTr="001B788B" w14:paraId="10221EBC" w14:textId="77777777">
        <w:tc>
          <w:tcPr>
            <w:tcW w:w="2790" w:type="dxa"/>
          </w:tcPr>
          <w:p w:rsidRPr="00466624" w:rsidR="008209C9" w:rsidP="001B788B" w:rsidRDefault="008209C9" w14:paraId="215CB519" w14:textId="77777777">
            <w:pPr>
              <w:pStyle w:val="ALJBodyText"/>
              <w:tabs>
                <w:tab w:val="left" w:pos="2520"/>
              </w:tabs>
              <w:spacing w:line="240" w:lineRule="auto"/>
              <w:ind w:firstLine="0"/>
              <w:rPr>
                <w:sz w:val="24"/>
                <w:szCs w:val="24"/>
              </w:rPr>
            </w:pPr>
            <w:r w:rsidRPr="00466624">
              <w:rPr>
                <w:sz w:val="24"/>
                <w:szCs w:val="24"/>
              </w:rPr>
              <w:t>GTSR</w:t>
            </w:r>
          </w:p>
        </w:tc>
        <w:tc>
          <w:tcPr>
            <w:tcW w:w="6840" w:type="dxa"/>
          </w:tcPr>
          <w:p w:rsidRPr="00466624" w:rsidR="008209C9" w:rsidP="001B788B" w:rsidRDefault="008209C9" w14:paraId="7C9C3820" w14:textId="77777777">
            <w:pPr>
              <w:pStyle w:val="ALJBodyText"/>
              <w:tabs>
                <w:tab w:val="left" w:pos="2520"/>
              </w:tabs>
              <w:spacing w:line="240" w:lineRule="auto"/>
              <w:ind w:firstLine="0"/>
              <w:rPr>
                <w:sz w:val="24"/>
                <w:szCs w:val="24"/>
              </w:rPr>
            </w:pPr>
            <w:r w:rsidRPr="00466624">
              <w:rPr>
                <w:sz w:val="24"/>
                <w:szCs w:val="24"/>
              </w:rPr>
              <w:t xml:space="preserve">Green Tariff Shared Renewables </w:t>
            </w:r>
          </w:p>
        </w:tc>
      </w:tr>
      <w:tr w:rsidR="008209C9" w:rsidTr="001B788B" w14:paraId="0DB0F5E4" w14:textId="77777777">
        <w:tc>
          <w:tcPr>
            <w:tcW w:w="2790" w:type="dxa"/>
          </w:tcPr>
          <w:p w:rsidRPr="00466624" w:rsidR="008209C9" w:rsidP="001B788B" w:rsidRDefault="008209C9" w14:paraId="0801D68F" w14:textId="77777777">
            <w:pPr>
              <w:pStyle w:val="ALJBodyText"/>
              <w:tabs>
                <w:tab w:val="left" w:pos="2520"/>
              </w:tabs>
              <w:spacing w:line="240" w:lineRule="auto"/>
              <w:ind w:firstLine="0"/>
              <w:rPr>
                <w:sz w:val="24"/>
                <w:szCs w:val="24"/>
              </w:rPr>
            </w:pPr>
            <w:r w:rsidRPr="00466624">
              <w:rPr>
                <w:sz w:val="24"/>
                <w:szCs w:val="24"/>
              </w:rPr>
              <w:t>IT Costs</w:t>
            </w:r>
          </w:p>
        </w:tc>
        <w:tc>
          <w:tcPr>
            <w:tcW w:w="6840" w:type="dxa"/>
          </w:tcPr>
          <w:p w:rsidRPr="00466624" w:rsidR="008209C9" w:rsidP="001B788B" w:rsidRDefault="008209C9" w14:paraId="4990F1A2" w14:textId="77777777">
            <w:pPr>
              <w:pStyle w:val="ALJBodyText"/>
              <w:tabs>
                <w:tab w:val="left" w:pos="2520"/>
              </w:tabs>
              <w:spacing w:line="240" w:lineRule="auto"/>
              <w:ind w:firstLine="0"/>
              <w:rPr>
                <w:sz w:val="24"/>
                <w:szCs w:val="24"/>
              </w:rPr>
            </w:pPr>
            <w:r w:rsidRPr="00466624">
              <w:rPr>
                <w:sz w:val="24"/>
                <w:szCs w:val="24"/>
              </w:rPr>
              <w:t>Information Technology costs.</w:t>
            </w:r>
          </w:p>
          <w:p w:rsidRPr="00466624" w:rsidR="008209C9" w:rsidP="001B788B" w:rsidRDefault="008209C9" w14:paraId="5892AAD8" w14:textId="77777777">
            <w:pPr>
              <w:pStyle w:val="ALJBodyText"/>
              <w:tabs>
                <w:tab w:val="left" w:pos="2520"/>
              </w:tabs>
              <w:spacing w:line="240" w:lineRule="auto"/>
              <w:ind w:firstLine="0"/>
              <w:rPr>
                <w:sz w:val="24"/>
                <w:szCs w:val="24"/>
              </w:rPr>
            </w:pPr>
            <w:r w:rsidRPr="00466624">
              <w:rPr>
                <w:sz w:val="24"/>
                <w:szCs w:val="24"/>
              </w:rPr>
              <w:t>The Utilities’ computer system programing costs to build website tools and modify its billing and customer information systems.</w:t>
            </w:r>
          </w:p>
        </w:tc>
      </w:tr>
      <w:tr w:rsidR="008209C9" w:rsidTr="001B788B" w14:paraId="1EB65B2F" w14:textId="77777777">
        <w:tc>
          <w:tcPr>
            <w:tcW w:w="2790" w:type="dxa"/>
          </w:tcPr>
          <w:p w:rsidRPr="00466624" w:rsidR="008209C9" w:rsidP="001B788B" w:rsidRDefault="008209C9" w14:paraId="58D5E200" w14:textId="77777777">
            <w:pPr>
              <w:pStyle w:val="ALJBodyText"/>
              <w:tabs>
                <w:tab w:val="left" w:pos="2520"/>
              </w:tabs>
              <w:spacing w:line="240" w:lineRule="auto"/>
              <w:ind w:firstLine="0"/>
              <w:rPr>
                <w:rFonts w:cs="TimesNewRomanPSMT"/>
                <w:sz w:val="24"/>
                <w:szCs w:val="24"/>
              </w:rPr>
            </w:pPr>
            <w:r w:rsidRPr="00466624">
              <w:rPr>
                <w:sz w:val="24"/>
                <w:szCs w:val="24"/>
              </w:rPr>
              <w:t>JCMS</w:t>
            </w:r>
          </w:p>
        </w:tc>
        <w:tc>
          <w:tcPr>
            <w:tcW w:w="6840" w:type="dxa"/>
          </w:tcPr>
          <w:p w:rsidRPr="00466624" w:rsidR="008209C9" w:rsidP="001B788B" w:rsidRDefault="008209C9" w14:paraId="204C005B" w14:textId="77777777">
            <w:pPr>
              <w:pStyle w:val="ALJBodyText"/>
              <w:tabs>
                <w:tab w:val="left" w:pos="2520"/>
              </w:tabs>
              <w:spacing w:line="240" w:lineRule="auto"/>
              <w:ind w:firstLine="0"/>
              <w:rPr>
                <w:sz w:val="24"/>
                <w:szCs w:val="24"/>
              </w:rPr>
            </w:pPr>
            <w:r w:rsidRPr="00466624">
              <w:rPr>
                <w:sz w:val="24"/>
                <w:szCs w:val="24"/>
              </w:rPr>
              <w:t>Joint Case Management Statement</w:t>
            </w:r>
          </w:p>
        </w:tc>
      </w:tr>
      <w:tr w:rsidR="008209C9" w:rsidTr="001B788B" w14:paraId="6EBE60D8" w14:textId="77777777">
        <w:tc>
          <w:tcPr>
            <w:tcW w:w="2790" w:type="dxa"/>
          </w:tcPr>
          <w:p w:rsidRPr="00466624" w:rsidR="008209C9" w:rsidP="001B788B" w:rsidRDefault="008209C9" w14:paraId="54D4CF6C" w14:textId="77777777">
            <w:pPr>
              <w:pStyle w:val="ALJBodyText"/>
              <w:tabs>
                <w:tab w:val="left" w:pos="2520"/>
              </w:tabs>
              <w:spacing w:line="240" w:lineRule="auto"/>
              <w:ind w:firstLine="0"/>
              <w:rPr>
                <w:rFonts w:cs="TimesNewRomanPSMT"/>
                <w:sz w:val="24"/>
                <w:szCs w:val="24"/>
              </w:rPr>
            </w:pPr>
            <w:r w:rsidRPr="00466624">
              <w:rPr>
                <w:rFonts w:cs="TimesNewRomanPSMT"/>
                <w:sz w:val="24"/>
                <w:szCs w:val="24"/>
              </w:rPr>
              <w:t>LC</w:t>
            </w:r>
          </w:p>
        </w:tc>
        <w:tc>
          <w:tcPr>
            <w:tcW w:w="6840" w:type="dxa"/>
          </w:tcPr>
          <w:p w:rsidRPr="00466624" w:rsidR="008209C9" w:rsidP="001B788B" w:rsidRDefault="008209C9" w14:paraId="032648AA" w14:textId="77777777">
            <w:pPr>
              <w:pStyle w:val="ALJBodyText"/>
              <w:tabs>
                <w:tab w:val="left" w:pos="2520"/>
              </w:tabs>
              <w:spacing w:line="240" w:lineRule="auto"/>
              <w:ind w:firstLine="0"/>
              <w:rPr>
                <w:sz w:val="24"/>
                <w:szCs w:val="24"/>
              </w:rPr>
            </w:pPr>
            <w:r w:rsidRPr="00466624">
              <w:rPr>
                <w:sz w:val="24"/>
                <w:szCs w:val="24"/>
              </w:rPr>
              <w:t>Leadership Counsel for Justice and Accountability</w:t>
            </w:r>
          </w:p>
        </w:tc>
      </w:tr>
      <w:tr w:rsidR="008209C9" w:rsidTr="001B788B" w14:paraId="1F5F9E4D" w14:textId="77777777">
        <w:tc>
          <w:tcPr>
            <w:tcW w:w="2790" w:type="dxa"/>
          </w:tcPr>
          <w:p w:rsidRPr="00466624" w:rsidR="008209C9" w:rsidP="001B788B" w:rsidRDefault="008209C9" w14:paraId="18963C6E" w14:textId="77777777">
            <w:pPr>
              <w:pStyle w:val="ALJBodyText"/>
              <w:tabs>
                <w:tab w:val="left" w:pos="2520"/>
              </w:tabs>
              <w:spacing w:line="240" w:lineRule="auto"/>
              <w:ind w:firstLine="0"/>
              <w:rPr>
                <w:rFonts w:cs="TimesNewRomanPSMT"/>
                <w:sz w:val="24"/>
                <w:szCs w:val="24"/>
              </w:rPr>
            </w:pPr>
            <w:r w:rsidRPr="00466624">
              <w:rPr>
                <w:rFonts w:cs="TimesNewRomanPSMT"/>
                <w:sz w:val="24"/>
                <w:szCs w:val="24"/>
              </w:rPr>
              <w:t>LCFS</w:t>
            </w:r>
          </w:p>
        </w:tc>
        <w:tc>
          <w:tcPr>
            <w:tcW w:w="6840" w:type="dxa"/>
          </w:tcPr>
          <w:p w:rsidRPr="00466624" w:rsidR="008209C9" w:rsidP="001B788B" w:rsidRDefault="008209C9" w14:paraId="5698F90A" w14:textId="77777777">
            <w:pPr>
              <w:pStyle w:val="ALJBodyText"/>
              <w:tabs>
                <w:tab w:val="left" w:pos="2520"/>
              </w:tabs>
              <w:spacing w:line="240" w:lineRule="auto"/>
              <w:ind w:firstLine="0"/>
              <w:rPr>
                <w:sz w:val="24"/>
                <w:szCs w:val="24"/>
              </w:rPr>
            </w:pPr>
            <w:r w:rsidRPr="00466624">
              <w:rPr>
                <w:sz w:val="24"/>
                <w:szCs w:val="24"/>
              </w:rPr>
              <w:t>Low Carbon Fuel Standard</w:t>
            </w:r>
          </w:p>
          <w:p w:rsidRPr="00466624" w:rsidR="008209C9" w:rsidP="001B788B" w:rsidRDefault="008209C9" w14:paraId="4596CD7F" w14:textId="77777777">
            <w:pPr>
              <w:pStyle w:val="ALJBodyText"/>
              <w:tabs>
                <w:tab w:val="left" w:pos="2520"/>
              </w:tabs>
              <w:spacing w:line="240" w:lineRule="auto"/>
              <w:ind w:firstLine="0"/>
              <w:rPr>
                <w:sz w:val="24"/>
                <w:szCs w:val="24"/>
                <w:lang w:val="en"/>
              </w:rPr>
            </w:pPr>
            <w:r w:rsidRPr="00466624">
              <w:rPr>
                <w:sz w:val="24"/>
                <w:szCs w:val="24"/>
                <w:lang w:val="en"/>
              </w:rPr>
              <w:t>Under the AB 32 (Stat. 2006, Ch. 488) Scoping Plan, CARB identified the LCFS as one of the nine discrete early action measures to reduce California's GHG emissions that cause climate change. The LCFS is a program designed to decrease the carbon intensity of California's transportation fuel pool and provide an increasing range of low-carbon and renewable alternatives, which reduce petroleum dependency and achieve air quality benefits. (</w:t>
            </w:r>
            <w:hyperlink w:history="1" r:id="rId25">
              <w:r w:rsidRPr="00466624">
                <w:rPr>
                  <w:rStyle w:val="Hyperlink"/>
                  <w:sz w:val="24"/>
                  <w:szCs w:val="24"/>
                  <w:lang w:val="en"/>
                </w:rPr>
                <w:t>https://ww2.arb.ca.gov/our-work/programs/low-carbon-fuel-standard</w:t>
              </w:r>
            </w:hyperlink>
            <w:r w:rsidRPr="00466624">
              <w:rPr>
                <w:sz w:val="24"/>
                <w:szCs w:val="24"/>
                <w:lang w:val="en"/>
              </w:rPr>
              <w:t>)</w:t>
            </w:r>
          </w:p>
          <w:p w:rsidRPr="00466624" w:rsidR="008209C9" w:rsidP="001B788B" w:rsidRDefault="008209C9" w14:paraId="45566B4F" w14:textId="77777777">
            <w:pPr>
              <w:pStyle w:val="ALJBodyText"/>
              <w:tabs>
                <w:tab w:val="left" w:pos="2520"/>
              </w:tabs>
              <w:spacing w:line="240" w:lineRule="auto"/>
              <w:ind w:firstLine="0"/>
              <w:rPr>
                <w:sz w:val="24"/>
                <w:szCs w:val="24"/>
              </w:rPr>
            </w:pPr>
            <w:r w:rsidRPr="00466624">
              <w:rPr>
                <w:sz w:val="24"/>
                <w:szCs w:val="24"/>
                <w:lang w:val="en"/>
              </w:rPr>
              <w:t xml:space="preserve">The LCFS regulation is governed by 17 CCR Sections </w:t>
            </w:r>
            <w:r w:rsidRPr="00466624">
              <w:rPr>
                <w:sz w:val="24"/>
                <w:szCs w:val="24"/>
              </w:rPr>
              <w:t>95480-95503. The current LCFS regulation can be found at: (</w:t>
            </w:r>
            <w:hyperlink w:history="1" r:id="rId26">
              <w:r w:rsidRPr="00466624">
                <w:rPr>
                  <w:rStyle w:val="Hyperlink"/>
                  <w:sz w:val="24"/>
                  <w:szCs w:val="24"/>
                </w:rPr>
                <w:t>https://ww2.arb.ca.gov/sites/default/files/2020-07/2020_lcfs_fro_oal-approved_unofficial_06302020.pdf</w:t>
              </w:r>
            </w:hyperlink>
            <w:r w:rsidRPr="00466624">
              <w:rPr>
                <w:sz w:val="24"/>
                <w:szCs w:val="24"/>
              </w:rPr>
              <w:t xml:space="preserve">.)   </w:t>
            </w:r>
            <w:r w:rsidRPr="00466624">
              <w:rPr>
                <w:sz w:val="24"/>
                <w:szCs w:val="24"/>
                <w:lang w:val="en"/>
              </w:rPr>
              <w:t xml:space="preserve"> </w:t>
            </w:r>
          </w:p>
        </w:tc>
      </w:tr>
      <w:tr w:rsidR="008209C9" w:rsidTr="001B788B" w14:paraId="6BA6913D" w14:textId="77777777">
        <w:tc>
          <w:tcPr>
            <w:tcW w:w="2790" w:type="dxa"/>
          </w:tcPr>
          <w:p w:rsidRPr="00466624" w:rsidR="008209C9" w:rsidP="001B788B" w:rsidRDefault="008209C9" w14:paraId="3248B954" w14:textId="77777777">
            <w:pPr>
              <w:pStyle w:val="ALJBodyText"/>
              <w:tabs>
                <w:tab w:val="left" w:pos="2520"/>
              </w:tabs>
              <w:spacing w:line="240" w:lineRule="auto"/>
              <w:ind w:firstLine="0"/>
              <w:rPr>
                <w:rFonts w:cs="TimesNewRomanPSMT"/>
                <w:sz w:val="24"/>
                <w:szCs w:val="24"/>
              </w:rPr>
            </w:pPr>
            <w:r>
              <w:t>M-RETS</w:t>
            </w:r>
          </w:p>
        </w:tc>
        <w:tc>
          <w:tcPr>
            <w:tcW w:w="6840" w:type="dxa"/>
          </w:tcPr>
          <w:p w:rsidRPr="00466624" w:rsidR="008209C9" w:rsidP="001B788B" w:rsidRDefault="008209C9" w14:paraId="2AFA9EB0" w14:textId="77777777">
            <w:pPr>
              <w:pStyle w:val="ALJBodyText"/>
              <w:tabs>
                <w:tab w:val="left" w:pos="2520"/>
              </w:tabs>
              <w:spacing w:line="240" w:lineRule="auto"/>
              <w:ind w:firstLine="0"/>
              <w:rPr>
                <w:rFonts w:cs="TimesNewRomanPSMT"/>
                <w:sz w:val="24"/>
                <w:szCs w:val="24"/>
                <w:lang w:val="en"/>
              </w:rPr>
            </w:pPr>
            <w:r>
              <w:t>Midwest Renewable Energy Tracking System</w:t>
            </w:r>
          </w:p>
        </w:tc>
      </w:tr>
      <w:tr w:rsidR="008209C9" w:rsidTr="001B788B" w14:paraId="22720B3A" w14:textId="77777777">
        <w:tc>
          <w:tcPr>
            <w:tcW w:w="2790" w:type="dxa"/>
          </w:tcPr>
          <w:p w:rsidRPr="00466624" w:rsidR="008209C9" w:rsidP="001B788B" w:rsidRDefault="008209C9" w14:paraId="701EC00D" w14:textId="77777777">
            <w:pPr>
              <w:pStyle w:val="ALJBodyText"/>
              <w:tabs>
                <w:tab w:val="left" w:pos="2520"/>
              </w:tabs>
              <w:spacing w:line="240" w:lineRule="auto"/>
              <w:ind w:firstLine="0"/>
              <w:rPr>
                <w:rFonts w:cs="TimesNewRomanPSMT"/>
                <w:sz w:val="24"/>
                <w:szCs w:val="24"/>
              </w:rPr>
            </w:pPr>
            <w:r w:rsidRPr="00466624">
              <w:rPr>
                <w:rFonts w:cs="TimesNewRomanPSMT"/>
                <w:sz w:val="24"/>
                <w:szCs w:val="24"/>
              </w:rPr>
              <w:t>MRR</w:t>
            </w:r>
          </w:p>
        </w:tc>
        <w:tc>
          <w:tcPr>
            <w:tcW w:w="6840" w:type="dxa"/>
          </w:tcPr>
          <w:p w:rsidRPr="00466624" w:rsidR="008209C9" w:rsidP="001B788B" w:rsidRDefault="008209C9" w14:paraId="66BAAC54" w14:textId="77777777">
            <w:pPr>
              <w:pStyle w:val="ALJBodyText"/>
              <w:tabs>
                <w:tab w:val="left" w:pos="2520"/>
              </w:tabs>
              <w:spacing w:line="240" w:lineRule="auto"/>
              <w:ind w:firstLine="0"/>
              <w:rPr>
                <w:rFonts w:cs="TimesNewRomanPSMT"/>
                <w:sz w:val="24"/>
                <w:szCs w:val="24"/>
              </w:rPr>
            </w:pPr>
            <w:r w:rsidRPr="00466624">
              <w:rPr>
                <w:rFonts w:cs="TimesNewRomanPSMT"/>
                <w:sz w:val="24"/>
                <w:szCs w:val="24"/>
                <w:lang w:val="en"/>
              </w:rPr>
              <w:t>Mandatory Reporting of Greenhouse Gas Emissions</w:t>
            </w:r>
          </w:p>
        </w:tc>
      </w:tr>
      <w:tr w:rsidR="008209C9" w:rsidTr="001B788B" w14:paraId="64E004EA" w14:textId="77777777">
        <w:tc>
          <w:tcPr>
            <w:tcW w:w="2790" w:type="dxa"/>
          </w:tcPr>
          <w:p w:rsidRPr="00466624" w:rsidR="008209C9" w:rsidP="001B788B" w:rsidRDefault="008209C9" w14:paraId="0C257B74" w14:textId="3328C935">
            <w:pPr>
              <w:pStyle w:val="ALJBodyText"/>
              <w:tabs>
                <w:tab w:val="left" w:pos="2520"/>
              </w:tabs>
              <w:spacing w:line="240" w:lineRule="auto"/>
              <w:ind w:firstLine="0"/>
              <w:rPr>
                <w:sz w:val="24"/>
                <w:szCs w:val="24"/>
              </w:rPr>
            </w:pPr>
            <w:r w:rsidRPr="00466624">
              <w:rPr>
                <w:sz w:val="24"/>
                <w:szCs w:val="24"/>
              </w:rPr>
              <w:t>MTCO</w:t>
            </w:r>
            <w:r w:rsidRPr="000F5C29" w:rsidR="005F3CC4">
              <w:rPr>
                <w:sz w:val="24"/>
                <w:szCs w:val="24"/>
                <w:vertAlign w:val="subscript"/>
              </w:rPr>
              <w:t>2</w:t>
            </w:r>
            <w:r w:rsidRPr="00466624">
              <w:rPr>
                <w:sz w:val="24"/>
                <w:szCs w:val="24"/>
              </w:rPr>
              <w:t>e</w:t>
            </w:r>
          </w:p>
        </w:tc>
        <w:tc>
          <w:tcPr>
            <w:tcW w:w="6840" w:type="dxa"/>
          </w:tcPr>
          <w:p w:rsidRPr="00466624" w:rsidR="008209C9" w:rsidP="001B788B" w:rsidRDefault="008209C9" w14:paraId="14FDBA47" w14:textId="77777777">
            <w:pPr>
              <w:pStyle w:val="ALJBodyText"/>
              <w:tabs>
                <w:tab w:val="left" w:pos="2520"/>
              </w:tabs>
              <w:spacing w:line="240" w:lineRule="auto"/>
              <w:ind w:firstLine="0"/>
              <w:rPr>
                <w:sz w:val="24"/>
                <w:szCs w:val="24"/>
              </w:rPr>
            </w:pPr>
            <w:r w:rsidRPr="00466624">
              <w:rPr>
                <w:rFonts w:cs="TimesNewRomanPSMT"/>
                <w:sz w:val="24"/>
                <w:szCs w:val="24"/>
              </w:rPr>
              <w:t>Metric Tons of Carbon Dioxide Equivalent</w:t>
            </w:r>
          </w:p>
        </w:tc>
      </w:tr>
      <w:tr w:rsidR="008209C9" w:rsidTr="001B788B" w14:paraId="7DA94CC4" w14:textId="77777777">
        <w:tc>
          <w:tcPr>
            <w:tcW w:w="2790" w:type="dxa"/>
          </w:tcPr>
          <w:p w:rsidRPr="00466624" w:rsidR="008209C9" w:rsidP="001B788B" w:rsidRDefault="008209C9" w14:paraId="01297E05" w14:textId="77777777">
            <w:pPr>
              <w:pStyle w:val="ALJBodyText"/>
              <w:tabs>
                <w:tab w:val="left" w:pos="2520"/>
              </w:tabs>
              <w:spacing w:line="240" w:lineRule="auto"/>
              <w:ind w:firstLine="0"/>
              <w:rPr>
                <w:sz w:val="24"/>
                <w:szCs w:val="24"/>
              </w:rPr>
            </w:pPr>
            <w:r w:rsidRPr="00466624">
              <w:rPr>
                <w:sz w:val="24"/>
                <w:szCs w:val="24"/>
              </w:rPr>
              <w:t>Non-Settling Parties</w:t>
            </w:r>
          </w:p>
        </w:tc>
        <w:tc>
          <w:tcPr>
            <w:tcW w:w="6840" w:type="dxa"/>
          </w:tcPr>
          <w:p w:rsidRPr="00466624" w:rsidR="008209C9" w:rsidP="001B788B" w:rsidRDefault="008209C9" w14:paraId="2FD446B5" w14:textId="745B35BC">
            <w:pPr>
              <w:pStyle w:val="ALJBodyText"/>
              <w:tabs>
                <w:tab w:val="left" w:pos="2520"/>
              </w:tabs>
              <w:spacing w:line="240" w:lineRule="auto"/>
              <w:ind w:firstLine="0"/>
              <w:rPr>
                <w:sz w:val="24"/>
                <w:szCs w:val="24"/>
              </w:rPr>
            </w:pPr>
            <w:r>
              <w:t xml:space="preserve">Five non-settling parties raised specific issues:  CUE, </w:t>
            </w:r>
            <w:r w:rsidRPr="00466624">
              <w:rPr>
                <w:sz w:val="24"/>
                <w:szCs w:val="24"/>
              </w:rPr>
              <w:t>TURN, LC, SC, and Wild Tree</w:t>
            </w:r>
            <w:r>
              <w:t xml:space="preserve">.  Four parties took no position on the Settlement Agreement:  PG&amp;E, SCE, the Association of Bay Area Governments, and </w:t>
            </w:r>
            <w:proofErr w:type="spellStart"/>
            <w:r>
              <w:t>Seahold</w:t>
            </w:r>
            <w:proofErr w:type="spellEnd"/>
            <w:r>
              <w:t>, LLC.</w:t>
            </w:r>
          </w:p>
        </w:tc>
      </w:tr>
      <w:tr w:rsidR="008209C9" w:rsidTr="001B788B" w14:paraId="2834C722" w14:textId="77777777">
        <w:tc>
          <w:tcPr>
            <w:tcW w:w="2790" w:type="dxa"/>
          </w:tcPr>
          <w:p w:rsidRPr="00466624" w:rsidR="008209C9" w:rsidP="001B788B" w:rsidRDefault="008209C9" w14:paraId="62F2FDB0" w14:textId="77777777">
            <w:pPr>
              <w:pStyle w:val="ALJBodyText"/>
              <w:tabs>
                <w:tab w:val="left" w:pos="2520"/>
              </w:tabs>
              <w:spacing w:line="240" w:lineRule="auto"/>
              <w:ind w:firstLine="0"/>
              <w:rPr>
                <w:sz w:val="24"/>
                <w:szCs w:val="24"/>
              </w:rPr>
            </w:pPr>
            <w:r w:rsidRPr="00466624">
              <w:rPr>
                <w:sz w:val="24"/>
                <w:szCs w:val="24"/>
              </w:rPr>
              <w:t>PG&amp;E</w:t>
            </w:r>
          </w:p>
        </w:tc>
        <w:tc>
          <w:tcPr>
            <w:tcW w:w="6840" w:type="dxa"/>
          </w:tcPr>
          <w:p w:rsidRPr="00466624" w:rsidR="008209C9" w:rsidP="001B788B" w:rsidRDefault="008209C9" w14:paraId="1EFB428C" w14:textId="77777777">
            <w:pPr>
              <w:pStyle w:val="ALJBodyText"/>
              <w:tabs>
                <w:tab w:val="left" w:pos="2520"/>
              </w:tabs>
              <w:spacing w:line="240" w:lineRule="auto"/>
              <w:ind w:firstLine="0"/>
              <w:rPr>
                <w:sz w:val="24"/>
                <w:szCs w:val="24"/>
                <w:lang w:val="en"/>
              </w:rPr>
            </w:pPr>
            <w:r w:rsidRPr="00466624">
              <w:rPr>
                <w:sz w:val="24"/>
                <w:szCs w:val="24"/>
              </w:rPr>
              <w:t>Pacific Gas and Electric Company</w:t>
            </w:r>
          </w:p>
        </w:tc>
      </w:tr>
      <w:tr w:rsidR="008209C9" w:rsidTr="001B788B" w14:paraId="595F25DB" w14:textId="77777777">
        <w:tc>
          <w:tcPr>
            <w:tcW w:w="2790" w:type="dxa"/>
          </w:tcPr>
          <w:p w:rsidRPr="00466624" w:rsidR="008209C9" w:rsidP="001B788B" w:rsidRDefault="008209C9" w14:paraId="0BC827C4" w14:textId="77777777">
            <w:pPr>
              <w:pStyle w:val="ALJBodyText"/>
              <w:tabs>
                <w:tab w:val="left" w:pos="2520"/>
              </w:tabs>
              <w:spacing w:line="240" w:lineRule="auto"/>
              <w:ind w:firstLine="0"/>
              <w:rPr>
                <w:sz w:val="24"/>
                <w:szCs w:val="24"/>
              </w:rPr>
            </w:pPr>
            <w:r w:rsidRPr="00466624">
              <w:rPr>
                <w:sz w:val="24"/>
                <w:szCs w:val="24"/>
              </w:rPr>
              <w:t>Pilot Program Timeline</w:t>
            </w:r>
          </w:p>
        </w:tc>
        <w:tc>
          <w:tcPr>
            <w:tcW w:w="6840" w:type="dxa"/>
          </w:tcPr>
          <w:p w:rsidRPr="00466624" w:rsidR="008209C9" w:rsidP="001B788B" w:rsidRDefault="008209C9" w14:paraId="18AA3776" w14:textId="77777777">
            <w:pPr>
              <w:pStyle w:val="ALJBodyText"/>
              <w:tabs>
                <w:tab w:val="left" w:pos="2520"/>
              </w:tabs>
              <w:spacing w:line="240" w:lineRule="auto"/>
              <w:ind w:firstLine="0"/>
              <w:rPr>
                <w:rFonts w:cs="TimesNewRomanPSMT"/>
                <w:sz w:val="24"/>
                <w:szCs w:val="24"/>
              </w:rPr>
            </w:pPr>
            <w:r w:rsidRPr="00466624">
              <w:rPr>
                <w:sz w:val="24"/>
                <w:szCs w:val="24"/>
                <w:u w:val="single"/>
              </w:rPr>
              <w:t>Program Initiation:</w:t>
            </w:r>
            <w:r w:rsidRPr="00466624">
              <w:rPr>
                <w:rFonts w:cs="TimesNewRomanPSMT"/>
                <w:sz w:val="24"/>
                <w:szCs w:val="24"/>
              </w:rPr>
              <w:t xml:space="preserve"> The date of the Utilities’ first customer bill for participation in the program</w:t>
            </w:r>
          </w:p>
          <w:p w:rsidRPr="00466624" w:rsidR="008209C9" w:rsidP="001B788B" w:rsidRDefault="008209C9" w14:paraId="551E789E" w14:textId="77777777">
            <w:pPr>
              <w:pStyle w:val="ALJBodyText"/>
              <w:tabs>
                <w:tab w:val="left" w:pos="2520"/>
              </w:tabs>
              <w:spacing w:line="240" w:lineRule="auto"/>
              <w:ind w:firstLine="0"/>
              <w:rPr>
                <w:rFonts w:cs="TimesNewRomanPSMT"/>
                <w:sz w:val="24"/>
                <w:szCs w:val="24"/>
              </w:rPr>
            </w:pPr>
            <w:r w:rsidRPr="00466624">
              <w:rPr>
                <w:rFonts w:cs="TimesNewRomanPSMT"/>
                <w:sz w:val="24"/>
                <w:szCs w:val="24"/>
                <w:u w:val="single"/>
              </w:rPr>
              <w:t>Pilot Period:</w:t>
            </w:r>
            <w:r w:rsidRPr="00466624">
              <w:rPr>
                <w:rFonts w:cs="TimesNewRomanPSMT"/>
                <w:sz w:val="24"/>
                <w:szCs w:val="24"/>
              </w:rPr>
              <w:t xml:space="preserve"> Three years from the program initiation date.</w:t>
            </w:r>
          </w:p>
          <w:p w:rsidRPr="00466624" w:rsidR="008209C9" w:rsidP="001B788B" w:rsidRDefault="008209C9" w14:paraId="0D061B92" w14:textId="77777777">
            <w:pPr>
              <w:pStyle w:val="ALJBodyText"/>
              <w:tabs>
                <w:tab w:val="left" w:pos="2520"/>
              </w:tabs>
              <w:spacing w:line="240" w:lineRule="auto"/>
              <w:ind w:firstLine="0"/>
              <w:rPr>
                <w:rFonts w:cs="TimesNewRomanPSMT"/>
                <w:sz w:val="24"/>
                <w:szCs w:val="24"/>
              </w:rPr>
            </w:pPr>
            <w:r w:rsidRPr="00466624">
              <w:rPr>
                <w:rFonts w:cs="TimesNewRomanPSMT"/>
                <w:sz w:val="24"/>
                <w:szCs w:val="24"/>
                <w:u w:val="single"/>
              </w:rPr>
              <w:t xml:space="preserve">Program Review: </w:t>
            </w:r>
            <w:r w:rsidRPr="00466624">
              <w:rPr>
                <w:rFonts w:cs="TimesNewRomanPSMT"/>
                <w:sz w:val="24"/>
                <w:szCs w:val="24"/>
              </w:rPr>
              <w:t xml:space="preserve">Submission of a Tier 3 AL at the end of the pilot period. </w:t>
            </w:r>
          </w:p>
          <w:p w:rsidRPr="00466624" w:rsidR="008209C9" w:rsidP="001B788B" w:rsidRDefault="008209C9" w14:paraId="3E5C5F2B" w14:textId="531E1074">
            <w:pPr>
              <w:pStyle w:val="ALJBodyText"/>
              <w:tabs>
                <w:tab w:val="left" w:pos="2520"/>
              </w:tabs>
              <w:spacing w:line="240" w:lineRule="auto"/>
              <w:ind w:firstLine="0"/>
              <w:rPr>
                <w:rFonts w:cs="TimesNewRomanPSMT"/>
                <w:sz w:val="24"/>
                <w:szCs w:val="24"/>
                <w:u w:val="single"/>
              </w:rPr>
            </w:pPr>
            <w:r w:rsidRPr="00466624">
              <w:rPr>
                <w:rFonts w:cs="TimesNewRomanPSMT"/>
                <w:sz w:val="24"/>
                <w:szCs w:val="24"/>
                <w:u w:val="single"/>
              </w:rPr>
              <w:t>Termination Date:</w:t>
            </w:r>
            <w:r w:rsidRPr="00466624">
              <w:rPr>
                <w:rFonts w:cs="TimesNewRomanPSMT"/>
                <w:sz w:val="24"/>
                <w:szCs w:val="24"/>
              </w:rPr>
              <w:t xml:space="preserve"> Two years from the Commission’s decision </w:t>
            </w:r>
            <w:r>
              <w:rPr>
                <w:rFonts w:cs="TimesNewRomanPSMT"/>
                <w:sz w:val="24"/>
                <w:szCs w:val="24"/>
              </w:rPr>
              <w:t>if the continuation of the pilot program is not approved</w:t>
            </w:r>
            <w:r w:rsidRPr="00466624">
              <w:rPr>
                <w:rFonts w:cs="TimesNewRomanPSMT"/>
                <w:sz w:val="24"/>
                <w:szCs w:val="24"/>
              </w:rPr>
              <w:t>.</w:t>
            </w:r>
            <w:r w:rsidRPr="00466624">
              <w:rPr>
                <w:rFonts w:cs="TimesNewRomanPSMT"/>
                <w:sz w:val="24"/>
                <w:szCs w:val="24"/>
                <w:u w:val="single"/>
              </w:rPr>
              <w:t xml:space="preserve"> </w:t>
            </w:r>
          </w:p>
          <w:p w:rsidRPr="00466624" w:rsidR="008209C9" w:rsidP="001B788B" w:rsidRDefault="008209C9" w14:paraId="78BBD81F" w14:textId="77777777">
            <w:pPr>
              <w:pStyle w:val="ALJBodyText"/>
              <w:tabs>
                <w:tab w:val="left" w:pos="2520"/>
              </w:tabs>
              <w:spacing w:line="240" w:lineRule="auto"/>
              <w:ind w:firstLine="0"/>
              <w:rPr>
                <w:sz w:val="24"/>
                <w:szCs w:val="24"/>
                <w:lang w:val="en"/>
              </w:rPr>
            </w:pPr>
            <w:r w:rsidRPr="00466624">
              <w:rPr>
                <w:sz w:val="24"/>
                <w:szCs w:val="24"/>
                <w:u w:val="single"/>
                <w:lang w:val="en"/>
              </w:rPr>
              <w:lastRenderedPageBreak/>
              <w:t xml:space="preserve">Program Duration: </w:t>
            </w:r>
            <w:r w:rsidRPr="00466624">
              <w:rPr>
                <w:sz w:val="24"/>
                <w:szCs w:val="24"/>
                <w:lang w:val="en"/>
              </w:rPr>
              <w:t>From the initiation to termination dates.</w:t>
            </w:r>
            <w:r>
              <w:rPr>
                <w:sz w:val="24"/>
                <w:szCs w:val="24"/>
                <w:lang w:val="en"/>
              </w:rPr>
              <w:t xml:space="preserve">  </w:t>
            </w:r>
            <w:r w:rsidRPr="00C05767">
              <w:rPr>
                <w:sz w:val="24"/>
                <w:szCs w:val="24"/>
              </w:rPr>
              <w:t>The pilot program duration may slightly exceed five years (three pilot, the program review period, plus two transition years)</w:t>
            </w:r>
          </w:p>
        </w:tc>
      </w:tr>
      <w:tr w:rsidR="008209C9" w:rsidTr="001B788B" w14:paraId="725AED12" w14:textId="77777777">
        <w:tc>
          <w:tcPr>
            <w:tcW w:w="2790" w:type="dxa"/>
          </w:tcPr>
          <w:p w:rsidRPr="00466624" w:rsidR="008209C9" w:rsidP="001B788B" w:rsidRDefault="008209C9" w14:paraId="323C217E" w14:textId="77777777">
            <w:pPr>
              <w:pStyle w:val="ALJBodyText"/>
              <w:tabs>
                <w:tab w:val="left" w:pos="2520"/>
              </w:tabs>
              <w:spacing w:line="240" w:lineRule="auto"/>
              <w:ind w:firstLine="0"/>
              <w:rPr>
                <w:sz w:val="24"/>
                <w:szCs w:val="24"/>
              </w:rPr>
            </w:pPr>
            <w:r w:rsidRPr="00466624">
              <w:rPr>
                <w:sz w:val="24"/>
                <w:szCs w:val="24"/>
              </w:rPr>
              <w:lastRenderedPageBreak/>
              <w:t>RNG</w:t>
            </w:r>
          </w:p>
        </w:tc>
        <w:tc>
          <w:tcPr>
            <w:tcW w:w="6840" w:type="dxa"/>
          </w:tcPr>
          <w:p w:rsidRPr="00466624" w:rsidR="008209C9" w:rsidP="001B788B" w:rsidRDefault="008209C9" w14:paraId="47DDBDEF" w14:textId="77777777">
            <w:pPr>
              <w:pStyle w:val="ALJBodyText"/>
              <w:tabs>
                <w:tab w:val="left" w:pos="2520"/>
              </w:tabs>
              <w:spacing w:line="240" w:lineRule="auto"/>
              <w:ind w:firstLine="0"/>
              <w:rPr>
                <w:sz w:val="24"/>
                <w:szCs w:val="24"/>
                <w:lang w:val="en"/>
              </w:rPr>
            </w:pPr>
            <w:r w:rsidRPr="00466624">
              <w:rPr>
                <w:sz w:val="24"/>
                <w:szCs w:val="24"/>
                <w:lang w:val="en"/>
              </w:rPr>
              <w:t xml:space="preserve">Biogas that has been upgraded for use in place of fossil natural gas by removing water and other harmful contaminants that cause odor and pollution such as sulfur and carbon dioxide. </w:t>
            </w:r>
          </w:p>
          <w:p w:rsidRPr="00466624" w:rsidR="008209C9" w:rsidP="001B788B" w:rsidRDefault="008209C9" w14:paraId="20CC4787" w14:textId="77777777">
            <w:pPr>
              <w:pStyle w:val="ALJBodyText"/>
              <w:tabs>
                <w:tab w:val="left" w:pos="2520"/>
              </w:tabs>
              <w:spacing w:line="240" w:lineRule="auto"/>
              <w:ind w:firstLine="0"/>
              <w:rPr>
                <w:sz w:val="24"/>
                <w:szCs w:val="24"/>
                <w:lang w:val="en"/>
              </w:rPr>
            </w:pPr>
            <w:r w:rsidRPr="00466624">
              <w:rPr>
                <w:sz w:val="24"/>
                <w:szCs w:val="24"/>
                <w:lang w:val="en"/>
              </w:rPr>
              <w:t>The biogas used to produce RNG comes from a variety of sources, including municipal solid waste landfills, digesters at water resource recovery facilities (wastewater treatment plants), livestock farms, food production facilities and organic waste management operations.</w:t>
            </w:r>
          </w:p>
          <w:p w:rsidRPr="00466624" w:rsidR="008209C9" w:rsidP="001B788B" w:rsidRDefault="008209C9" w14:paraId="57E0C761" w14:textId="77777777">
            <w:pPr>
              <w:pStyle w:val="ALJBodyText"/>
              <w:tabs>
                <w:tab w:val="left" w:pos="2520"/>
              </w:tabs>
              <w:spacing w:line="240" w:lineRule="auto"/>
              <w:ind w:firstLine="0"/>
              <w:rPr>
                <w:sz w:val="24"/>
                <w:szCs w:val="24"/>
              </w:rPr>
            </w:pPr>
            <w:r w:rsidRPr="00466624">
              <w:rPr>
                <w:sz w:val="24"/>
                <w:szCs w:val="24"/>
              </w:rPr>
              <w:t xml:space="preserve">RNG end uses include vehicle fuel, electricity generation, and utility gas services through local use or pipeline injection. </w:t>
            </w:r>
          </w:p>
          <w:p w:rsidRPr="00466624" w:rsidR="008209C9" w:rsidP="001B788B" w:rsidRDefault="008209C9" w14:paraId="654DBD10" w14:textId="77777777">
            <w:pPr>
              <w:pStyle w:val="ALJBodyText"/>
              <w:tabs>
                <w:tab w:val="left" w:pos="2520"/>
              </w:tabs>
              <w:spacing w:line="240" w:lineRule="auto"/>
              <w:ind w:firstLine="0"/>
              <w:rPr>
                <w:sz w:val="24"/>
                <w:szCs w:val="24"/>
              </w:rPr>
            </w:pPr>
            <w:r w:rsidRPr="00466624">
              <w:rPr>
                <w:sz w:val="24"/>
                <w:szCs w:val="24"/>
              </w:rPr>
              <w:t>(</w:t>
            </w:r>
            <w:hyperlink w:history="1" r:id="rId27">
              <w:r w:rsidRPr="00466624">
                <w:rPr>
                  <w:rStyle w:val="Hyperlink"/>
                  <w:sz w:val="24"/>
                  <w:szCs w:val="24"/>
                </w:rPr>
                <w:t>https://www.epa.gov/lmop/renewable-natural-gas</w:t>
              </w:r>
            </w:hyperlink>
            <w:r w:rsidRPr="00466624">
              <w:rPr>
                <w:sz w:val="24"/>
                <w:szCs w:val="24"/>
              </w:rPr>
              <w:t xml:space="preserve">)  </w:t>
            </w:r>
          </w:p>
        </w:tc>
      </w:tr>
      <w:tr w:rsidR="008209C9" w:rsidTr="001B788B" w14:paraId="6FF49AB1" w14:textId="77777777">
        <w:tc>
          <w:tcPr>
            <w:tcW w:w="2790" w:type="dxa"/>
          </w:tcPr>
          <w:p w:rsidRPr="00466624" w:rsidR="008209C9" w:rsidP="001B788B" w:rsidRDefault="008209C9" w14:paraId="2545B8B6" w14:textId="77777777">
            <w:pPr>
              <w:pStyle w:val="ALJBodyText"/>
              <w:tabs>
                <w:tab w:val="left" w:pos="2520"/>
              </w:tabs>
              <w:spacing w:line="240" w:lineRule="auto"/>
              <w:ind w:firstLine="0"/>
              <w:rPr>
                <w:sz w:val="24"/>
                <w:szCs w:val="24"/>
              </w:rPr>
            </w:pPr>
            <w:r w:rsidRPr="00466624">
              <w:rPr>
                <w:sz w:val="24"/>
                <w:szCs w:val="24"/>
              </w:rPr>
              <w:t>RNGC</w:t>
            </w:r>
          </w:p>
        </w:tc>
        <w:tc>
          <w:tcPr>
            <w:tcW w:w="6840" w:type="dxa"/>
          </w:tcPr>
          <w:p w:rsidRPr="00466624" w:rsidR="008209C9" w:rsidP="001B788B" w:rsidRDefault="008209C9" w14:paraId="7ECBEA9E" w14:textId="77777777">
            <w:pPr>
              <w:pStyle w:val="ALJBodyText"/>
              <w:tabs>
                <w:tab w:val="left" w:pos="2520"/>
              </w:tabs>
              <w:spacing w:line="240" w:lineRule="auto"/>
              <w:ind w:firstLine="0"/>
              <w:rPr>
                <w:sz w:val="24"/>
                <w:szCs w:val="24"/>
              </w:rPr>
            </w:pPr>
            <w:r w:rsidRPr="00466624">
              <w:rPr>
                <w:sz w:val="24"/>
                <w:szCs w:val="24"/>
              </w:rPr>
              <w:t>Coalition for Renewable Natural Gas</w:t>
            </w:r>
          </w:p>
        </w:tc>
      </w:tr>
      <w:tr w:rsidR="008209C9" w:rsidTr="001B788B" w14:paraId="5EFA535D" w14:textId="77777777">
        <w:tc>
          <w:tcPr>
            <w:tcW w:w="2790" w:type="dxa"/>
          </w:tcPr>
          <w:p w:rsidRPr="00466624" w:rsidR="008209C9" w:rsidP="001B788B" w:rsidRDefault="008209C9" w14:paraId="15DF7CB4" w14:textId="77777777">
            <w:pPr>
              <w:pStyle w:val="ALJBodyText"/>
              <w:tabs>
                <w:tab w:val="left" w:pos="2520"/>
              </w:tabs>
              <w:spacing w:line="240" w:lineRule="auto"/>
              <w:ind w:firstLine="0"/>
              <w:rPr>
                <w:sz w:val="24"/>
                <w:szCs w:val="24"/>
              </w:rPr>
            </w:pPr>
            <w:r w:rsidRPr="00466624">
              <w:rPr>
                <w:sz w:val="24"/>
                <w:szCs w:val="24"/>
              </w:rPr>
              <w:t>RNGTBA</w:t>
            </w:r>
          </w:p>
        </w:tc>
        <w:tc>
          <w:tcPr>
            <w:tcW w:w="6840" w:type="dxa"/>
          </w:tcPr>
          <w:p w:rsidRPr="00466624" w:rsidR="008209C9" w:rsidP="001B788B" w:rsidRDefault="008209C9" w14:paraId="39BFB75E" w14:textId="77777777">
            <w:pPr>
              <w:pStyle w:val="ALJBodyText"/>
              <w:tabs>
                <w:tab w:val="left" w:pos="2520"/>
              </w:tabs>
              <w:spacing w:line="240" w:lineRule="auto"/>
              <w:ind w:firstLine="0"/>
              <w:rPr>
                <w:sz w:val="24"/>
                <w:szCs w:val="24"/>
              </w:rPr>
            </w:pPr>
            <w:r w:rsidRPr="00466624">
              <w:rPr>
                <w:sz w:val="24"/>
                <w:szCs w:val="24"/>
              </w:rPr>
              <w:t>Renewable Natural Gas Tariff Balancing Account</w:t>
            </w:r>
          </w:p>
          <w:p w:rsidRPr="00466624" w:rsidR="008209C9" w:rsidP="001B788B" w:rsidRDefault="008209C9" w14:paraId="0AEA70E9" w14:textId="77777777">
            <w:pPr>
              <w:pStyle w:val="ALJBodyText"/>
              <w:tabs>
                <w:tab w:val="left" w:pos="2520"/>
              </w:tabs>
              <w:spacing w:line="240" w:lineRule="auto"/>
              <w:ind w:firstLine="0"/>
              <w:rPr>
                <w:sz w:val="24"/>
                <w:szCs w:val="24"/>
              </w:rPr>
            </w:pPr>
            <w:r w:rsidRPr="00466624">
              <w:rPr>
                <w:sz w:val="24"/>
                <w:szCs w:val="24"/>
              </w:rPr>
              <w:t xml:space="preserve">A two-way balancing account for recovery of the costs of RNG procurement and administrative costs. </w:t>
            </w:r>
          </w:p>
        </w:tc>
      </w:tr>
      <w:tr w:rsidR="008209C9" w:rsidTr="001B788B" w14:paraId="7C83E865" w14:textId="77777777">
        <w:tc>
          <w:tcPr>
            <w:tcW w:w="2790" w:type="dxa"/>
          </w:tcPr>
          <w:p w:rsidRPr="00466624" w:rsidR="008209C9" w:rsidP="001B788B" w:rsidRDefault="008209C9" w14:paraId="445D03E1" w14:textId="77777777">
            <w:pPr>
              <w:pStyle w:val="ALJBodyText"/>
              <w:tabs>
                <w:tab w:val="left" w:pos="2520"/>
              </w:tabs>
              <w:spacing w:line="240" w:lineRule="auto"/>
              <w:ind w:firstLine="0"/>
              <w:rPr>
                <w:sz w:val="24"/>
                <w:szCs w:val="24"/>
              </w:rPr>
            </w:pPr>
            <w:r w:rsidRPr="00466624">
              <w:rPr>
                <w:sz w:val="24"/>
                <w:szCs w:val="24"/>
              </w:rPr>
              <w:t>SB</w:t>
            </w:r>
          </w:p>
        </w:tc>
        <w:tc>
          <w:tcPr>
            <w:tcW w:w="6840" w:type="dxa"/>
          </w:tcPr>
          <w:p w:rsidRPr="00466624" w:rsidR="008209C9" w:rsidP="001B788B" w:rsidRDefault="008209C9" w14:paraId="3F6ABA8F" w14:textId="77777777">
            <w:pPr>
              <w:pStyle w:val="ALJBodyText"/>
              <w:tabs>
                <w:tab w:val="left" w:pos="2520"/>
              </w:tabs>
              <w:spacing w:line="240" w:lineRule="auto"/>
              <w:ind w:firstLine="0"/>
              <w:rPr>
                <w:sz w:val="24"/>
                <w:szCs w:val="24"/>
              </w:rPr>
            </w:pPr>
            <w:r w:rsidRPr="00466624">
              <w:rPr>
                <w:sz w:val="24"/>
                <w:szCs w:val="24"/>
              </w:rPr>
              <w:t>Senate Bill</w:t>
            </w:r>
          </w:p>
        </w:tc>
      </w:tr>
      <w:tr w:rsidR="008209C9" w:rsidTr="001B788B" w14:paraId="5DA6B953" w14:textId="77777777">
        <w:tc>
          <w:tcPr>
            <w:tcW w:w="2790" w:type="dxa"/>
          </w:tcPr>
          <w:p w:rsidRPr="00466624" w:rsidR="008209C9" w:rsidP="001B788B" w:rsidRDefault="008209C9" w14:paraId="6B7772D5" w14:textId="77777777">
            <w:pPr>
              <w:pStyle w:val="ALJBodyText"/>
              <w:tabs>
                <w:tab w:val="left" w:pos="2520"/>
              </w:tabs>
              <w:spacing w:line="240" w:lineRule="auto"/>
              <w:ind w:firstLine="0"/>
              <w:rPr>
                <w:sz w:val="24"/>
                <w:szCs w:val="24"/>
              </w:rPr>
            </w:pPr>
            <w:r w:rsidRPr="00466624">
              <w:rPr>
                <w:sz w:val="24"/>
                <w:szCs w:val="24"/>
              </w:rPr>
              <w:t>SB 1440</w:t>
            </w:r>
          </w:p>
        </w:tc>
        <w:tc>
          <w:tcPr>
            <w:tcW w:w="6840" w:type="dxa"/>
          </w:tcPr>
          <w:p w:rsidRPr="00466624" w:rsidR="008209C9" w:rsidP="001B788B" w:rsidRDefault="008209C9" w14:paraId="607D573A" w14:textId="77777777">
            <w:pPr>
              <w:pStyle w:val="ALJBodyText"/>
              <w:tabs>
                <w:tab w:val="left" w:pos="2520"/>
              </w:tabs>
              <w:spacing w:line="240" w:lineRule="auto"/>
              <w:ind w:firstLine="0"/>
              <w:rPr>
                <w:sz w:val="24"/>
                <w:szCs w:val="24"/>
              </w:rPr>
            </w:pPr>
            <w:r w:rsidRPr="00466624">
              <w:rPr>
                <w:sz w:val="24"/>
                <w:szCs w:val="24"/>
              </w:rPr>
              <w:t>Stat. 2018, Ch. 739, Sect. 1, codified by Pub. Util. Code Sections 650-651 (Effective January 1, 2019)</w:t>
            </w:r>
          </w:p>
          <w:p w:rsidRPr="00466624" w:rsidR="008209C9" w:rsidP="001B788B" w:rsidRDefault="008209C9" w14:paraId="43884408" w14:textId="77777777">
            <w:pPr>
              <w:pStyle w:val="ALJBodyText"/>
              <w:tabs>
                <w:tab w:val="left" w:pos="2520"/>
              </w:tabs>
              <w:spacing w:line="240" w:lineRule="auto"/>
              <w:ind w:firstLine="0"/>
              <w:rPr>
                <w:sz w:val="24"/>
                <w:szCs w:val="24"/>
              </w:rPr>
            </w:pPr>
            <w:r w:rsidRPr="00466624">
              <w:rPr>
                <w:sz w:val="24"/>
                <w:szCs w:val="24"/>
              </w:rPr>
              <w:t>SB 1440 requires the Commission, in consultation with CARB, to consider adopting specific biomethane procurement targets or goals for each gas utility.</w:t>
            </w:r>
          </w:p>
        </w:tc>
      </w:tr>
      <w:tr w:rsidR="008209C9" w:rsidTr="001B788B" w14:paraId="7BEE3341" w14:textId="77777777">
        <w:tc>
          <w:tcPr>
            <w:tcW w:w="2790" w:type="dxa"/>
          </w:tcPr>
          <w:p w:rsidRPr="00466624" w:rsidR="008209C9" w:rsidP="001B788B" w:rsidRDefault="008209C9" w14:paraId="60209DDC" w14:textId="77777777">
            <w:pPr>
              <w:pStyle w:val="ALJBodyText"/>
              <w:tabs>
                <w:tab w:val="left" w:pos="2520"/>
              </w:tabs>
              <w:spacing w:line="240" w:lineRule="auto"/>
              <w:ind w:firstLine="0"/>
              <w:rPr>
                <w:sz w:val="24"/>
                <w:szCs w:val="24"/>
              </w:rPr>
            </w:pPr>
            <w:r w:rsidRPr="00466624">
              <w:rPr>
                <w:sz w:val="24"/>
                <w:szCs w:val="24"/>
              </w:rPr>
              <w:t>SC</w:t>
            </w:r>
          </w:p>
        </w:tc>
        <w:tc>
          <w:tcPr>
            <w:tcW w:w="6840" w:type="dxa"/>
          </w:tcPr>
          <w:p w:rsidRPr="00466624" w:rsidR="008209C9" w:rsidP="001B788B" w:rsidRDefault="008209C9" w14:paraId="5E54F2A9" w14:textId="77777777">
            <w:pPr>
              <w:pStyle w:val="ALJBodyText"/>
              <w:tabs>
                <w:tab w:val="left" w:pos="2520"/>
              </w:tabs>
              <w:spacing w:line="240" w:lineRule="auto"/>
              <w:ind w:firstLine="0"/>
              <w:rPr>
                <w:sz w:val="24"/>
                <w:szCs w:val="24"/>
              </w:rPr>
            </w:pPr>
            <w:r w:rsidRPr="00466624">
              <w:rPr>
                <w:sz w:val="24"/>
                <w:szCs w:val="24"/>
              </w:rPr>
              <w:t>Sierra Club</w:t>
            </w:r>
          </w:p>
        </w:tc>
      </w:tr>
      <w:tr w:rsidR="008209C9" w:rsidTr="001B788B" w14:paraId="0BEBBBAF" w14:textId="77777777">
        <w:tc>
          <w:tcPr>
            <w:tcW w:w="2790" w:type="dxa"/>
          </w:tcPr>
          <w:p w:rsidRPr="00466624" w:rsidR="008209C9" w:rsidP="001B788B" w:rsidRDefault="008209C9" w14:paraId="7C313A19" w14:textId="77777777">
            <w:pPr>
              <w:pStyle w:val="ALJBodyText"/>
              <w:tabs>
                <w:tab w:val="left" w:pos="2520"/>
              </w:tabs>
              <w:spacing w:line="240" w:lineRule="auto"/>
              <w:ind w:firstLine="0"/>
              <w:rPr>
                <w:sz w:val="24"/>
                <w:szCs w:val="24"/>
              </w:rPr>
            </w:pPr>
            <w:r w:rsidRPr="00466624">
              <w:rPr>
                <w:sz w:val="24"/>
                <w:szCs w:val="24"/>
              </w:rPr>
              <w:t>SCE</w:t>
            </w:r>
          </w:p>
        </w:tc>
        <w:tc>
          <w:tcPr>
            <w:tcW w:w="6840" w:type="dxa"/>
          </w:tcPr>
          <w:p w:rsidRPr="00466624" w:rsidR="008209C9" w:rsidP="001B788B" w:rsidRDefault="008209C9" w14:paraId="078ECA18" w14:textId="77777777">
            <w:pPr>
              <w:pStyle w:val="ALJBodyText"/>
              <w:tabs>
                <w:tab w:val="left" w:pos="2520"/>
              </w:tabs>
              <w:spacing w:line="240" w:lineRule="auto"/>
              <w:ind w:firstLine="0"/>
              <w:rPr>
                <w:sz w:val="24"/>
                <w:szCs w:val="24"/>
              </w:rPr>
            </w:pPr>
            <w:r w:rsidRPr="00466624">
              <w:rPr>
                <w:sz w:val="24"/>
                <w:szCs w:val="24"/>
              </w:rPr>
              <w:t>Southern California Edison Company</w:t>
            </w:r>
          </w:p>
        </w:tc>
      </w:tr>
      <w:tr w:rsidR="008209C9" w:rsidTr="001B788B" w14:paraId="6EBD1726" w14:textId="77777777">
        <w:tc>
          <w:tcPr>
            <w:tcW w:w="2790" w:type="dxa"/>
          </w:tcPr>
          <w:p w:rsidRPr="00466624" w:rsidR="008209C9" w:rsidP="001B788B" w:rsidRDefault="008209C9" w14:paraId="6D8BEE8E" w14:textId="77777777">
            <w:pPr>
              <w:pStyle w:val="ALJBodyText"/>
              <w:tabs>
                <w:tab w:val="left" w:pos="2520"/>
              </w:tabs>
              <w:spacing w:line="240" w:lineRule="auto"/>
              <w:ind w:firstLine="0"/>
              <w:rPr>
                <w:sz w:val="24"/>
                <w:szCs w:val="24"/>
              </w:rPr>
            </w:pPr>
            <w:r w:rsidRPr="00466624">
              <w:rPr>
                <w:sz w:val="24"/>
                <w:szCs w:val="24"/>
              </w:rPr>
              <w:t>SDG&amp;E</w:t>
            </w:r>
          </w:p>
        </w:tc>
        <w:tc>
          <w:tcPr>
            <w:tcW w:w="6840" w:type="dxa"/>
          </w:tcPr>
          <w:p w:rsidRPr="00466624" w:rsidR="008209C9" w:rsidP="001B788B" w:rsidRDefault="008209C9" w14:paraId="2C4BB074" w14:textId="77777777">
            <w:pPr>
              <w:pStyle w:val="ALJBodyText"/>
              <w:tabs>
                <w:tab w:val="left" w:pos="2520"/>
              </w:tabs>
              <w:spacing w:line="240" w:lineRule="auto"/>
              <w:ind w:firstLine="0"/>
              <w:rPr>
                <w:sz w:val="24"/>
                <w:szCs w:val="24"/>
              </w:rPr>
            </w:pPr>
            <w:r w:rsidRPr="00466624">
              <w:rPr>
                <w:sz w:val="24"/>
                <w:szCs w:val="24"/>
              </w:rPr>
              <w:t>San Diego Gas &amp; Electric Company</w:t>
            </w:r>
          </w:p>
        </w:tc>
      </w:tr>
      <w:tr w:rsidR="008209C9" w:rsidTr="001B788B" w14:paraId="393D1722" w14:textId="77777777">
        <w:tc>
          <w:tcPr>
            <w:tcW w:w="2790" w:type="dxa"/>
          </w:tcPr>
          <w:p w:rsidRPr="00466624" w:rsidR="008209C9" w:rsidP="001B788B" w:rsidRDefault="008209C9" w14:paraId="672DF1CE" w14:textId="77777777">
            <w:pPr>
              <w:pStyle w:val="ALJBodyText"/>
              <w:tabs>
                <w:tab w:val="left" w:pos="2520"/>
              </w:tabs>
              <w:spacing w:line="240" w:lineRule="auto"/>
              <w:ind w:firstLine="0"/>
              <w:rPr>
                <w:sz w:val="24"/>
                <w:szCs w:val="24"/>
              </w:rPr>
            </w:pPr>
            <w:r w:rsidRPr="00466624">
              <w:rPr>
                <w:sz w:val="24"/>
                <w:szCs w:val="24"/>
              </w:rPr>
              <w:t>Settling Parties</w:t>
            </w:r>
          </w:p>
        </w:tc>
        <w:tc>
          <w:tcPr>
            <w:tcW w:w="6840" w:type="dxa"/>
          </w:tcPr>
          <w:p w:rsidRPr="00466624" w:rsidR="008209C9" w:rsidP="001B788B" w:rsidRDefault="008209C9" w14:paraId="68A26657" w14:textId="77777777">
            <w:pPr>
              <w:pStyle w:val="ALJBodyText"/>
              <w:tabs>
                <w:tab w:val="left" w:pos="2520"/>
              </w:tabs>
              <w:spacing w:line="240" w:lineRule="auto"/>
              <w:ind w:firstLine="0"/>
              <w:rPr>
                <w:sz w:val="24"/>
                <w:szCs w:val="24"/>
              </w:rPr>
            </w:pPr>
            <w:r w:rsidRPr="00466624">
              <w:rPr>
                <w:sz w:val="24"/>
                <w:szCs w:val="24"/>
              </w:rPr>
              <w:t xml:space="preserve">The Utilities, AECA, BAC, Cal Advocates, EDF, RNGC, and SFE </w:t>
            </w:r>
          </w:p>
        </w:tc>
      </w:tr>
      <w:tr w:rsidR="008209C9" w:rsidTr="001B788B" w14:paraId="64E698D1" w14:textId="77777777">
        <w:tc>
          <w:tcPr>
            <w:tcW w:w="2790" w:type="dxa"/>
          </w:tcPr>
          <w:p w:rsidRPr="00466624" w:rsidR="008209C9" w:rsidP="001B788B" w:rsidRDefault="008209C9" w14:paraId="77AD5308" w14:textId="77777777">
            <w:pPr>
              <w:pStyle w:val="ALJBodyText"/>
              <w:tabs>
                <w:tab w:val="left" w:pos="2520"/>
              </w:tabs>
              <w:spacing w:line="240" w:lineRule="auto"/>
              <w:ind w:firstLine="0"/>
              <w:rPr>
                <w:sz w:val="24"/>
                <w:szCs w:val="24"/>
              </w:rPr>
            </w:pPr>
            <w:r w:rsidRPr="00466624">
              <w:rPr>
                <w:sz w:val="24"/>
                <w:szCs w:val="24"/>
              </w:rPr>
              <w:t>SFE</w:t>
            </w:r>
          </w:p>
        </w:tc>
        <w:tc>
          <w:tcPr>
            <w:tcW w:w="6840" w:type="dxa"/>
          </w:tcPr>
          <w:p w:rsidRPr="00466624" w:rsidR="008209C9" w:rsidP="001B788B" w:rsidRDefault="008209C9" w14:paraId="4F575862" w14:textId="77777777">
            <w:pPr>
              <w:pStyle w:val="ALJBodyText"/>
              <w:tabs>
                <w:tab w:val="left" w:pos="2520"/>
              </w:tabs>
              <w:spacing w:line="240" w:lineRule="auto"/>
              <w:ind w:firstLine="0"/>
              <w:rPr>
                <w:sz w:val="24"/>
                <w:szCs w:val="24"/>
              </w:rPr>
            </w:pPr>
            <w:r w:rsidRPr="00466624">
              <w:rPr>
                <w:sz w:val="24"/>
                <w:szCs w:val="24"/>
              </w:rPr>
              <w:t>SFE Energy California, Inc.</w:t>
            </w:r>
          </w:p>
        </w:tc>
      </w:tr>
      <w:tr w:rsidR="008209C9" w:rsidTr="001B788B" w14:paraId="6486BB51" w14:textId="77777777">
        <w:tc>
          <w:tcPr>
            <w:tcW w:w="2790" w:type="dxa"/>
          </w:tcPr>
          <w:p w:rsidRPr="00466624" w:rsidR="008209C9" w:rsidP="001B788B" w:rsidRDefault="008209C9" w14:paraId="7D81755F" w14:textId="77777777">
            <w:pPr>
              <w:pStyle w:val="ALJBodyText"/>
              <w:tabs>
                <w:tab w:val="left" w:pos="2520"/>
              </w:tabs>
              <w:spacing w:line="240" w:lineRule="auto"/>
              <w:ind w:firstLine="0"/>
              <w:rPr>
                <w:rFonts w:cs="TimesNewRomanPSMT"/>
                <w:sz w:val="24"/>
                <w:szCs w:val="24"/>
              </w:rPr>
            </w:pPr>
            <w:r w:rsidRPr="00466624">
              <w:rPr>
                <w:sz w:val="24"/>
                <w:szCs w:val="24"/>
              </w:rPr>
              <w:t>SLCP</w:t>
            </w:r>
          </w:p>
        </w:tc>
        <w:tc>
          <w:tcPr>
            <w:tcW w:w="6840" w:type="dxa"/>
          </w:tcPr>
          <w:p w:rsidRPr="00466624" w:rsidR="008209C9" w:rsidP="001B788B" w:rsidRDefault="008209C9" w14:paraId="6A80A97B" w14:textId="77777777">
            <w:pPr>
              <w:pStyle w:val="ALJBodyText"/>
              <w:tabs>
                <w:tab w:val="left" w:pos="2520"/>
              </w:tabs>
              <w:spacing w:line="240" w:lineRule="auto"/>
              <w:ind w:firstLine="0"/>
              <w:rPr>
                <w:sz w:val="24"/>
                <w:szCs w:val="24"/>
              </w:rPr>
            </w:pPr>
            <w:r w:rsidRPr="00466624">
              <w:rPr>
                <w:sz w:val="24"/>
                <w:szCs w:val="24"/>
              </w:rPr>
              <w:t>Short-Lived Climate Pollutants</w:t>
            </w:r>
          </w:p>
          <w:p w:rsidRPr="00CC3461" w:rsidR="008209C9" w:rsidP="001B788B" w:rsidRDefault="008209C9" w14:paraId="64F2CA25" w14:textId="77777777">
            <w:pPr>
              <w:pStyle w:val="ALJBodyText"/>
              <w:tabs>
                <w:tab w:val="left" w:pos="2520"/>
              </w:tabs>
              <w:spacing w:line="240" w:lineRule="auto"/>
              <w:ind w:firstLine="0"/>
              <w:rPr>
                <w:rFonts w:cs="TimesNewRomanPSMT"/>
                <w:sz w:val="24"/>
                <w:szCs w:val="24"/>
              </w:rPr>
            </w:pPr>
            <w:r w:rsidRPr="0083331C">
              <w:rPr>
                <w:sz w:val="24"/>
                <w:lang w:val="en"/>
              </w:rPr>
              <w:t>SLCP are powerful climate forcers that have relatively short atmospheric lifetimes.  These pollutants include the greenhouse gases (GHG) methane and hydrofluorocarbons (HFC), and anthropogenic black carbon.  Because SLCP impacts are especially strong over the short term, acting now to reduce their emissions can have an immediate beneficial impact on climate change and public health.</w:t>
            </w:r>
          </w:p>
          <w:p w:rsidRPr="00466624" w:rsidR="008209C9" w:rsidP="001B788B" w:rsidRDefault="008209C9" w14:paraId="5141CDF3" w14:textId="77777777">
            <w:pPr>
              <w:pStyle w:val="ALJBodyText"/>
              <w:tabs>
                <w:tab w:val="left" w:pos="2520"/>
              </w:tabs>
              <w:spacing w:line="240" w:lineRule="auto"/>
              <w:ind w:firstLine="0"/>
              <w:rPr>
                <w:rFonts w:cs="TimesNewRomanPSMT"/>
                <w:sz w:val="24"/>
                <w:szCs w:val="24"/>
              </w:rPr>
            </w:pPr>
            <w:r w:rsidRPr="00466624">
              <w:rPr>
                <w:sz w:val="24"/>
                <w:szCs w:val="24"/>
              </w:rPr>
              <w:t>(</w:t>
            </w:r>
            <w:hyperlink w:history="1" r:id="rId28">
              <w:r w:rsidRPr="00466624">
                <w:rPr>
                  <w:rStyle w:val="Hyperlink"/>
                  <w:rFonts w:cs="TimesNewRomanPSMT"/>
                  <w:sz w:val="24"/>
                  <w:szCs w:val="24"/>
                </w:rPr>
                <w:t>https://ww2.arb.ca.gov/our-work/programs/slcp</w:t>
              </w:r>
            </w:hyperlink>
            <w:r w:rsidRPr="00466624">
              <w:rPr>
                <w:rStyle w:val="Hyperlink"/>
                <w:sz w:val="24"/>
                <w:szCs w:val="24"/>
              </w:rPr>
              <w:t>)</w:t>
            </w:r>
          </w:p>
        </w:tc>
      </w:tr>
      <w:tr w:rsidR="008209C9" w:rsidTr="001B788B" w14:paraId="0920D853" w14:textId="77777777">
        <w:tc>
          <w:tcPr>
            <w:tcW w:w="2790" w:type="dxa"/>
          </w:tcPr>
          <w:p w:rsidRPr="00466624" w:rsidR="008209C9" w:rsidP="001B788B" w:rsidRDefault="008209C9" w14:paraId="1FCCFCAD" w14:textId="77777777">
            <w:pPr>
              <w:pStyle w:val="ALJBodyText"/>
              <w:tabs>
                <w:tab w:val="left" w:pos="2520"/>
              </w:tabs>
              <w:spacing w:line="240" w:lineRule="auto"/>
              <w:ind w:firstLine="0"/>
              <w:rPr>
                <w:sz w:val="24"/>
                <w:szCs w:val="24"/>
              </w:rPr>
            </w:pPr>
            <w:r w:rsidRPr="00466624">
              <w:rPr>
                <w:sz w:val="24"/>
                <w:szCs w:val="24"/>
              </w:rPr>
              <w:t>SoCalGas</w:t>
            </w:r>
          </w:p>
        </w:tc>
        <w:tc>
          <w:tcPr>
            <w:tcW w:w="6840" w:type="dxa"/>
          </w:tcPr>
          <w:p w:rsidRPr="00466624" w:rsidR="008209C9" w:rsidP="001B788B" w:rsidRDefault="008209C9" w14:paraId="1606420E" w14:textId="77777777">
            <w:pPr>
              <w:pStyle w:val="ALJBodyText"/>
              <w:tabs>
                <w:tab w:val="left" w:pos="2520"/>
              </w:tabs>
              <w:spacing w:line="240" w:lineRule="auto"/>
              <w:ind w:firstLine="0"/>
              <w:rPr>
                <w:sz w:val="24"/>
                <w:szCs w:val="24"/>
              </w:rPr>
            </w:pPr>
            <w:r w:rsidRPr="00466624">
              <w:rPr>
                <w:sz w:val="24"/>
                <w:szCs w:val="24"/>
              </w:rPr>
              <w:t>Southern California Gas Company</w:t>
            </w:r>
          </w:p>
        </w:tc>
      </w:tr>
      <w:tr w:rsidR="008209C9" w:rsidTr="001B788B" w14:paraId="1547DC79" w14:textId="77777777">
        <w:tc>
          <w:tcPr>
            <w:tcW w:w="2790" w:type="dxa"/>
          </w:tcPr>
          <w:p w:rsidRPr="00466624" w:rsidR="008209C9" w:rsidP="001B788B" w:rsidRDefault="008209C9" w14:paraId="4C179555" w14:textId="77777777">
            <w:pPr>
              <w:pStyle w:val="ALJBodyText"/>
              <w:tabs>
                <w:tab w:val="left" w:pos="2520"/>
              </w:tabs>
              <w:spacing w:line="240" w:lineRule="auto"/>
              <w:ind w:firstLine="0"/>
              <w:rPr>
                <w:sz w:val="24"/>
                <w:szCs w:val="24"/>
              </w:rPr>
            </w:pPr>
            <w:r w:rsidRPr="00466624">
              <w:rPr>
                <w:sz w:val="24"/>
                <w:szCs w:val="24"/>
              </w:rPr>
              <w:lastRenderedPageBreak/>
              <w:t>TURN</w:t>
            </w:r>
          </w:p>
        </w:tc>
        <w:tc>
          <w:tcPr>
            <w:tcW w:w="6840" w:type="dxa"/>
          </w:tcPr>
          <w:p w:rsidRPr="00466624" w:rsidR="008209C9" w:rsidP="001B788B" w:rsidRDefault="008209C9" w14:paraId="3FC8CC06" w14:textId="77777777">
            <w:pPr>
              <w:pStyle w:val="ALJBodyText"/>
              <w:tabs>
                <w:tab w:val="left" w:pos="2520"/>
              </w:tabs>
              <w:spacing w:line="240" w:lineRule="auto"/>
              <w:ind w:firstLine="0"/>
              <w:rPr>
                <w:sz w:val="24"/>
                <w:szCs w:val="24"/>
              </w:rPr>
            </w:pPr>
            <w:r w:rsidRPr="00466624">
              <w:rPr>
                <w:sz w:val="24"/>
                <w:szCs w:val="24"/>
              </w:rPr>
              <w:t>The Utility Reform Network</w:t>
            </w:r>
          </w:p>
        </w:tc>
      </w:tr>
      <w:tr w:rsidR="008209C9" w:rsidTr="001B788B" w14:paraId="0C6150EB" w14:textId="77777777">
        <w:tc>
          <w:tcPr>
            <w:tcW w:w="2790" w:type="dxa"/>
          </w:tcPr>
          <w:p w:rsidRPr="00466624" w:rsidR="008209C9" w:rsidP="001B788B" w:rsidRDefault="008209C9" w14:paraId="00E1BCB7" w14:textId="77777777">
            <w:pPr>
              <w:pStyle w:val="ALJBodyText"/>
              <w:tabs>
                <w:tab w:val="left" w:pos="2520"/>
              </w:tabs>
              <w:spacing w:line="240" w:lineRule="auto"/>
              <w:ind w:firstLine="0"/>
              <w:rPr>
                <w:sz w:val="24"/>
                <w:szCs w:val="24"/>
              </w:rPr>
            </w:pPr>
            <w:r w:rsidRPr="00466624">
              <w:rPr>
                <w:sz w:val="24"/>
                <w:szCs w:val="24"/>
              </w:rPr>
              <w:t>Utilities</w:t>
            </w:r>
          </w:p>
        </w:tc>
        <w:tc>
          <w:tcPr>
            <w:tcW w:w="6840" w:type="dxa"/>
          </w:tcPr>
          <w:p w:rsidRPr="00466624" w:rsidR="008209C9" w:rsidP="001B788B" w:rsidRDefault="008209C9" w14:paraId="6F117924" w14:textId="77777777">
            <w:pPr>
              <w:pStyle w:val="ALJBodyText"/>
              <w:tabs>
                <w:tab w:val="left" w:pos="2520"/>
              </w:tabs>
              <w:spacing w:line="240" w:lineRule="auto"/>
              <w:ind w:firstLine="0"/>
              <w:rPr>
                <w:sz w:val="24"/>
                <w:szCs w:val="24"/>
              </w:rPr>
            </w:pPr>
            <w:r w:rsidRPr="00466624">
              <w:rPr>
                <w:sz w:val="24"/>
                <w:szCs w:val="24"/>
              </w:rPr>
              <w:t>SoCalGas and SDG&amp;E</w:t>
            </w:r>
          </w:p>
        </w:tc>
      </w:tr>
      <w:tr w:rsidR="008209C9" w:rsidTr="001B788B" w14:paraId="260CC8D3" w14:textId="77777777">
        <w:tc>
          <w:tcPr>
            <w:tcW w:w="2790" w:type="dxa"/>
          </w:tcPr>
          <w:p w:rsidRPr="00466624" w:rsidR="008209C9" w:rsidP="001B788B" w:rsidRDefault="008209C9" w14:paraId="0C6A0989" w14:textId="77777777">
            <w:pPr>
              <w:pStyle w:val="ALJBodyText"/>
              <w:tabs>
                <w:tab w:val="left" w:pos="2520"/>
              </w:tabs>
              <w:spacing w:line="240" w:lineRule="auto"/>
              <w:ind w:firstLine="0"/>
              <w:rPr>
                <w:sz w:val="24"/>
                <w:szCs w:val="24"/>
              </w:rPr>
            </w:pPr>
            <w:r w:rsidRPr="00466624">
              <w:rPr>
                <w:sz w:val="24"/>
                <w:szCs w:val="24"/>
              </w:rPr>
              <w:t>Wild Tree</w:t>
            </w:r>
          </w:p>
        </w:tc>
        <w:tc>
          <w:tcPr>
            <w:tcW w:w="6840" w:type="dxa"/>
          </w:tcPr>
          <w:p w:rsidRPr="00466624" w:rsidR="008209C9" w:rsidP="001B788B" w:rsidRDefault="008209C9" w14:paraId="5AFC8F28" w14:textId="77777777">
            <w:pPr>
              <w:pStyle w:val="ALJBodyText"/>
              <w:tabs>
                <w:tab w:val="left" w:pos="2520"/>
              </w:tabs>
              <w:spacing w:line="240" w:lineRule="auto"/>
              <w:ind w:firstLine="0"/>
              <w:rPr>
                <w:sz w:val="24"/>
                <w:szCs w:val="24"/>
              </w:rPr>
            </w:pPr>
            <w:r w:rsidRPr="00466624">
              <w:rPr>
                <w:sz w:val="24"/>
                <w:szCs w:val="24"/>
              </w:rPr>
              <w:t>Wild Tree Foundation</w:t>
            </w:r>
          </w:p>
        </w:tc>
      </w:tr>
      <w:tr w:rsidR="008209C9" w:rsidTr="001B788B" w14:paraId="3679C590" w14:textId="77777777">
        <w:tc>
          <w:tcPr>
            <w:tcW w:w="2790" w:type="dxa"/>
          </w:tcPr>
          <w:p w:rsidRPr="00466624" w:rsidR="008209C9" w:rsidP="001B788B" w:rsidRDefault="008209C9" w14:paraId="53811194" w14:textId="77777777">
            <w:pPr>
              <w:pStyle w:val="ALJBodyText"/>
              <w:keepNext/>
              <w:keepLines/>
              <w:tabs>
                <w:tab w:val="left" w:pos="2520"/>
              </w:tabs>
              <w:spacing w:line="240" w:lineRule="auto"/>
              <w:ind w:firstLine="0"/>
              <w:rPr>
                <w:sz w:val="24"/>
                <w:szCs w:val="24"/>
              </w:rPr>
            </w:pPr>
            <w:r w:rsidRPr="00466624">
              <w:rPr>
                <w:sz w:val="24"/>
                <w:szCs w:val="24"/>
              </w:rPr>
              <w:t>Wind Down Costs</w:t>
            </w:r>
          </w:p>
        </w:tc>
        <w:tc>
          <w:tcPr>
            <w:tcW w:w="6840" w:type="dxa"/>
          </w:tcPr>
          <w:p w:rsidRPr="00466624" w:rsidR="008209C9" w:rsidP="001B788B" w:rsidRDefault="008209C9" w14:paraId="198C4D2F" w14:textId="77777777">
            <w:pPr>
              <w:pStyle w:val="ALJBodyText"/>
              <w:keepNext/>
              <w:keepLines/>
              <w:tabs>
                <w:tab w:val="left" w:pos="2520"/>
              </w:tabs>
              <w:spacing w:line="240" w:lineRule="auto"/>
              <w:ind w:firstLine="0"/>
              <w:rPr>
                <w:sz w:val="24"/>
                <w:szCs w:val="24"/>
              </w:rPr>
            </w:pPr>
            <w:r w:rsidRPr="00466624">
              <w:rPr>
                <w:sz w:val="24"/>
                <w:szCs w:val="24"/>
              </w:rPr>
              <w:t xml:space="preserve">Costs not recovered from program participants during the program </w:t>
            </w:r>
            <w:proofErr w:type="gramStart"/>
            <w:r w:rsidRPr="00466624">
              <w:rPr>
                <w:sz w:val="24"/>
                <w:szCs w:val="24"/>
              </w:rPr>
              <w:t>in the event that</w:t>
            </w:r>
            <w:proofErr w:type="gramEnd"/>
            <w:r w:rsidRPr="00466624">
              <w:rPr>
                <w:sz w:val="24"/>
                <w:szCs w:val="24"/>
              </w:rPr>
              <w:t xml:space="preserve"> the program is terminated at the end of five years.  Wind down costs include unrecovered non-IT costs, e.g., administrative and marketing and RNG procurement costs. </w:t>
            </w:r>
          </w:p>
        </w:tc>
      </w:tr>
    </w:tbl>
    <w:p w:rsidR="00BB653D" w:rsidP="00CD2042" w:rsidRDefault="00BB653D" w14:paraId="591F2A96" w14:textId="77777777">
      <w:pPr>
        <w:ind w:firstLine="0"/>
        <w:jc w:val="center"/>
        <w:rPr>
          <w:b/>
          <w:sz w:val="24"/>
          <w:szCs w:val="24"/>
        </w:rPr>
      </w:pPr>
    </w:p>
    <w:p w:rsidRPr="009E5A97" w:rsidR="00BB653D" w:rsidP="00BB653D" w:rsidRDefault="00BB653D" w14:paraId="3C4810A9" w14:textId="436A06CF">
      <w:pPr>
        <w:ind w:firstLine="0"/>
        <w:jc w:val="center"/>
        <w:rPr>
          <w:b/>
          <w:sz w:val="24"/>
          <w:szCs w:val="24"/>
        </w:rPr>
      </w:pPr>
      <w:r w:rsidRPr="0080443E">
        <w:rPr>
          <w:b/>
          <w:sz w:val="24"/>
          <w:szCs w:val="24"/>
        </w:rPr>
        <w:t>(END OF A</w:t>
      </w:r>
      <w:r>
        <w:rPr>
          <w:b/>
          <w:sz w:val="24"/>
          <w:szCs w:val="24"/>
        </w:rPr>
        <w:t>PPENDIX</w:t>
      </w:r>
      <w:r w:rsidRPr="0080443E">
        <w:rPr>
          <w:b/>
          <w:sz w:val="24"/>
          <w:szCs w:val="24"/>
        </w:rPr>
        <w:t xml:space="preserve"> </w:t>
      </w:r>
      <w:r w:rsidR="008209C9">
        <w:rPr>
          <w:b/>
          <w:sz w:val="24"/>
          <w:szCs w:val="24"/>
        </w:rPr>
        <w:t>B</w:t>
      </w:r>
      <w:r>
        <w:rPr>
          <w:b/>
          <w:sz w:val="24"/>
          <w:szCs w:val="24"/>
        </w:rPr>
        <w:t>)</w:t>
      </w:r>
    </w:p>
    <w:p w:rsidRPr="00A00499" w:rsidR="00BB653D" w:rsidP="007F38E0" w:rsidRDefault="00BB653D" w14:paraId="79E18180" w14:textId="4203A040">
      <w:pPr>
        <w:pStyle w:val="ALJBodyText"/>
        <w:tabs>
          <w:tab w:val="left" w:pos="7290"/>
        </w:tabs>
        <w:ind w:firstLine="0"/>
        <w:rPr>
          <w:b/>
          <w:bCs/>
          <w:szCs w:val="26"/>
        </w:rPr>
      </w:pPr>
    </w:p>
    <w:sectPr w:rsidRPr="00A00499" w:rsidR="00BB653D" w:rsidSect="00CE587D">
      <w:headerReference w:type="first" r:id="rId29"/>
      <w:footerReference w:type="first" r:id="rId30"/>
      <w:pgSz w:w="12240" w:h="15840"/>
      <w:pgMar w:top="172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B91A" w14:textId="77777777" w:rsidR="00CA2A68" w:rsidRDefault="00CA2A68" w:rsidP="0098138E">
      <w:pPr>
        <w:spacing w:line="240" w:lineRule="auto"/>
      </w:pPr>
      <w:r>
        <w:separator/>
      </w:r>
    </w:p>
  </w:endnote>
  <w:endnote w:type="continuationSeparator" w:id="0">
    <w:p w14:paraId="099E00B1" w14:textId="77777777" w:rsidR="00CA2A68" w:rsidRDefault="00CA2A68" w:rsidP="0098138E">
      <w:pPr>
        <w:spacing w:line="240" w:lineRule="auto"/>
      </w:pPr>
      <w:r>
        <w:continuationSeparator/>
      </w:r>
    </w:p>
  </w:endnote>
  <w:endnote w:type="continuationNotice" w:id="1">
    <w:p w14:paraId="7CFCE3D3" w14:textId="77777777" w:rsidR="00CA2A68" w:rsidRDefault="00CA2A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20000A87" w:usb1="08000000" w:usb2="00000008" w:usb3="00000000" w:csb0="000001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260298"/>
      <w:docPartObj>
        <w:docPartGallery w:val="Page Numbers (Bottom of Page)"/>
        <w:docPartUnique/>
      </w:docPartObj>
    </w:sdtPr>
    <w:sdtEndPr>
      <w:rPr>
        <w:noProof/>
      </w:rPr>
    </w:sdtEndPr>
    <w:sdtContent>
      <w:p w14:paraId="14BFE1BA" w14:textId="457F7C66" w:rsidR="001412FF" w:rsidRDefault="002375B8" w:rsidP="00DB4DB1">
        <w:pPr>
          <w:pStyle w:val="Footer"/>
          <w:ind w:firstLine="0"/>
        </w:pPr>
        <w:r w:rsidRPr="002375B8">
          <w:rPr>
            <w:sz w:val="16"/>
            <w:szCs w:val="16"/>
          </w:rPr>
          <w:t>356268059</w:t>
        </w:r>
        <w:r w:rsidR="001412FF">
          <w:rPr>
            <w:sz w:val="16"/>
            <w:szCs w:val="16"/>
          </w:rPr>
          <w:tab/>
          <w:t xml:space="preserve"> - </w:t>
        </w:r>
        <w:r w:rsidR="001412FF">
          <w:fldChar w:fldCharType="begin"/>
        </w:r>
        <w:r w:rsidR="001412FF">
          <w:instrText xml:space="preserve"> PAGE   \* MERGEFORMAT </w:instrText>
        </w:r>
        <w:r w:rsidR="001412FF">
          <w:fldChar w:fldCharType="separate"/>
        </w:r>
        <w:r w:rsidR="001412FF">
          <w:rPr>
            <w:noProof/>
          </w:rPr>
          <w:t>2</w:t>
        </w:r>
        <w:r w:rsidR="001412FF">
          <w:rPr>
            <w:noProof/>
          </w:rPr>
          <w:fldChar w:fldCharType="end"/>
        </w:r>
        <w:r w:rsidR="001412FF">
          <w:rPr>
            <w:noProof/>
          </w:rPr>
          <w:t xml:space="preserve"> -</w:t>
        </w:r>
      </w:p>
    </w:sdtContent>
  </w:sdt>
  <w:p w14:paraId="204357C4" w14:textId="77777777" w:rsidR="001412FF" w:rsidRPr="00BF001C" w:rsidRDefault="001412FF" w:rsidP="00F051FB">
    <w:pPr>
      <w:tabs>
        <w:tab w:val="center" w:pos="4680"/>
      </w:tabs>
      <w:ind w:firstLine="0"/>
      <w:rPr>
        <w:noProof/>
        <w:szCs w:val="26"/>
      </w:rPr>
    </w:pPr>
    <w:r>
      <w:rPr>
        <w:noProof/>
        <w:szCs w:val="2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527135"/>
      <w:docPartObj>
        <w:docPartGallery w:val="Page Numbers (Bottom of Page)"/>
        <w:docPartUnique/>
      </w:docPartObj>
    </w:sdtPr>
    <w:sdtEndPr>
      <w:rPr>
        <w:noProof/>
      </w:rPr>
    </w:sdtEndPr>
    <w:sdtContent>
      <w:p w14:paraId="372D21CA" w14:textId="4F81DB5E" w:rsidR="001412FF" w:rsidRDefault="001412FF">
        <w:pPr>
          <w:pStyle w:val="Footer"/>
          <w:jc w:val="center"/>
        </w:pPr>
        <w:r>
          <w:t>B-</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E6BD805" w14:textId="77777777" w:rsidR="001412FF" w:rsidRDefault="001412FF" w:rsidP="00EA0775">
    <w:pPr>
      <w:tabs>
        <w:tab w:val="center" w:pos="4680"/>
      </w:tabs>
      <w:ind w:firstLine="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AA912" w14:textId="77777777" w:rsidR="001412FF" w:rsidRDefault="001412FF"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D193" w14:textId="0CA94BA1" w:rsidR="001412FF" w:rsidRDefault="001412FF" w:rsidP="007E0FEE">
    <w:pPr>
      <w:ind w:firstLine="0"/>
      <w:jc w:val="center"/>
    </w:pPr>
    <w:r>
      <w:t>-</w:t>
    </w:r>
    <w:sdt>
      <w:sdtPr>
        <w:id w:val="-103404340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r>
      <w:rPr>
        <w:noProof/>
      </w:rPr>
      <w:t>-</w:t>
    </w:r>
  </w:p>
  <w:p w14:paraId="53333117" w14:textId="77777777" w:rsidR="001412FF" w:rsidRDefault="001412F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61CB" w14:textId="0A7F77F3" w:rsidR="001412FF" w:rsidRDefault="001412FF" w:rsidP="007E0FEE">
    <w:pPr>
      <w:ind w:firstLine="0"/>
      <w:jc w:val="center"/>
    </w:pPr>
    <w:r>
      <w:t>-</w:t>
    </w:r>
    <w:sdt>
      <w:sdtPr>
        <w:id w:val="-1931725549"/>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B4E0" w14:textId="0FF56582" w:rsidR="001412FF" w:rsidRDefault="001412FF">
    <w:pPr>
      <w:pStyle w:val="Footer"/>
      <w:jc w:val="center"/>
    </w:pPr>
  </w:p>
  <w:p w14:paraId="23E2E851" w14:textId="77777777" w:rsidR="001412FF" w:rsidRPr="00BF001C" w:rsidRDefault="001412FF" w:rsidP="00F051FB">
    <w:pPr>
      <w:tabs>
        <w:tab w:val="center" w:pos="4680"/>
      </w:tabs>
      <w:ind w:firstLine="0"/>
      <w:rPr>
        <w:noProof/>
        <w:szCs w:val="2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CF3" w14:textId="48BCA13C" w:rsidR="001412FF" w:rsidRDefault="001412FF" w:rsidP="007E0FEE">
    <w:pPr>
      <w:ind w:firstLine="0"/>
      <w:jc w:val="center"/>
    </w:pPr>
    <w:r>
      <w:t>A-</w:t>
    </w:r>
    <w:sdt>
      <w:sdtPr>
        <w:id w:val="-8856364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8E59" w14:textId="68B33426" w:rsidR="001412FF" w:rsidRPr="00BF001C" w:rsidRDefault="001412FF" w:rsidP="00CE18D5">
    <w:pPr>
      <w:tabs>
        <w:tab w:val="center" w:pos="4680"/>
      </w:tabs>
      <w:ind w:firstLine="0"/>
      <w:jc w:val="center"/>
      <w:rPr>
        <w:noProof/>
        <w:szCs w:val="26"/>
      </w:rPr>
    </w:pPr>
    <w:r>
      <w:rPr>
        <w:noProof/>
        <w:szCs w:val="26"/>
      </w:rPr>
      <w:t>A-</w:t>
    </w:r>
    <w:r w:rsidRPr="00CE18D5">
      <w:rPr>
        <w:noProof/>
        <w:szCs w:val="26"/>
      </w:rPr>
      <w:fldChar w:fldCharType="begin"/>
    </w:r>
    <w:r w:rsidRPr="00CE18D5">
      <w:rPr>
        <w:noProof/>
        <w:szCs w:val="26"/>
      </w:rPr>
      <w:instrText xml:space="preserve"> PAGE   \* MERGEFORMAT </w:instrText>
    </w:r>
    <w:r w:rsidRPr="00CE18D5">
      <w:rPr>
        <w:noProof/>
        <w:szCs w:val="26"/>
      </w:rPr>
      <w:fldChar w:fldCharType="separate"/>
    </w:r>
    <w:r w:rsidRPr="00CE18D5">
      <w:rPr>
        <w:noProof/>
        <w:szCs w:val="26"/>
      </w:rPr>
      <w:t>1</w:t>
    </w:r>
    <w:r w:rsidRPr="00CE18D5">
      <w:rPr>
        <w:noProof/>
        <w:szCs w:val="2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24B86" w14:textId="3A5349FD" w:rsidR="001412FF" w:rsidRDefault="001412FF" w:rsidP="007E0FEE">
    <w:pPr>
      <w:ind w:firstLine="0"/>
      <w:jc w:val="center"/>
    </w:pPr>
    <w:r>
      <w:t>B-</w:t>
    </w:r>
    <w:sdt>
      <w:sdtPr>
        <w:id w:val="-5124535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C137" w14:textId="18848F86" w:rsidR="001412FF" w:rsidRDefault="001412FF" w:rsidP="00EA0775">
    <w:pPr>
      <w:tabs>
        <w:tab w:val="center" w:pos="4680"/>
      </w:tabs>
      <w:ind w:firstLine="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31522" w14:textId="77777777" w:rsidR="00CA2A68" w:rsidRDefault="00CA2A68" w:rsidP="00DF58E7">
      <w:pPr>
        <w:spacing w:line="240" w:lineRule="auto"/>
        <w:ind w:firstLine="0"/>
      </w:pPr>
      <w:r>
        <w:separator/>
      </w:r>
    </w:p>
  </w:footnote>
  <w:footnote w:type="continuationSeparator" w:id="0">
    <w:p w14:paraId="5405E13A" w14:textId="77777777" w:rsidR="00CA2A68" w:rsidRDefault="00CA2A68" w:rsidP="00DF58E7">
      <w:pPr>
        <w:spacing w:line="240" w:lineRule="auto"/>
        <w:ind w:firstLine="0"/>
      </w:pPr>
      <w:r>
        <w:continuationSeparator/>
      </w:r>
    </w:p>
  </w:footnote>
  <w:footnote w:type="continuationNotice" w:id="1">
    <w:p w14:paraId="5605471D" w14:textId="77777777" w:rsidR="00CA2A68" w:rsidRPr="00DF58E7" w:rsidRDefault="00CA2A68" w:rsidP="00DF58E7">
      <w:pPr>
        <w:spacing w:line="240" w:lineRule="auto"/>
        <w:ind w:firstLine="0"/>
        <w:jc w:val="right"/>
        <w:rPr>
          <w:i/>
          <w:sz w:val="22"/>
        </w:rPr>
      </w:pPr>
    </w:p>
  </w:footnote>
  <w:footnote w:id="2">
    <w:p w14:paraId="4B241930" w14:textId="43C98A27" w:rsidR="001412FF" w:rsidRDefault="001412FF" w:rsidP="001C4A46">
      <w:pPr>
        <w:pStyle w:val="FootnoteText"/>
      </w:pPr>
      <w:r>
        <w:rPr>
          <w:rStyle w:val="FootnoteReference"/>
        </w:rPr>
        <w:footnoteRef/>
      </w:r>
      <w:r>
        <w:t xml:space="preserve">  Appendix B lists all abbreviations, acronyms, and definitions for this decision.</w:t>
      </w:r>
    </w:p>
  </w:footnote>
  <w:footnote w:id="3">
    <w:p w14:paraId="42E72260" w14:textId="77777777" w:rsidR="001412FF" w:rsidRDefault="001412FF" w:rsidP="001C4A46">
      <w:pPr>
        <w:pStyle w:val="FootnoteText"/>
      </w:pPr>
      <w:r>
        <w:rPr>
          <w:rStyle w:val="FootnoteReference"/>
        </w:rPr>
        <w:footnoteRef/>
      </w:r>
      <w:r>
        <w:t xml:space="preserve">  Application at 1.</w:t>
      </w:r>
    </w:p>
  </w:footnote>
  <w:footnote w:id="4">
    <w:p w14:paraId="381E91D8" w14:textId="1B543C3B" w:rsidR="001412FF" w:rsidRDefault="001412FF" w:rsidP="001C4A46">
      <w:pPr>
        <w:pStyle w:val="FootnoteText"/>
      </w:pPr>
      <w:r>
        <w:rPr>
          <w:rStyle w:val="FootnoteReference"/>
        </w:rPr>
        <w:footnoteRef/>
      </w:r>
      <w:r>
        <w:t xml:space="preserve">  The principal constituents of biogas are methane and carbon dioxide.</w:t>
      </w:r>
    </w:p>
  </w:footnote>
  <w:footnote w:id="5">
    <w:p w14:paraId="07CDE490" w14:textId="0ECFB04F" w:rsidR="001412FF" w:rsidRDefault="001412FF" w:rsidP="001C4A46">
      <w:pPr>
        <w:pStyle w:val="FootnoteText"/>
      </w:pPr>
      <w:r>
        <w:rPr>
          <w:rStyle w:val="FootnoteReference"/>
        </w:rPr>
        <w:footnoteRef/>
      </w:r>
      <w:r>
        <w:t xml:space="preserve">  </w:t>
      </w:r>
      <w:hyperlink r:id="rId1" w:history="1">
        <w:r w:rsidRPr="007634FA">
          <w:rPr>
            <w:rStyle w:val="Hyperlink"/>
          </w:rPr>
          <w:t>https://www.epa.gov/lmop/renewable-natural-gas</w:t>
        </w:r>
      </w:hyperlink>
      <w:r>
        <w:t xml:space="preserve">.  </w:t>
      </w:r>
    </w:p>
  </w:footnote>
  <w:footnote w:id="6">
    <w:p w14:paraId="00C61AAB" w14:textId="77777777" w:rsidR="001412FF" w:rsidRDefault="001412FF" w:rsidP="001C4A46">
      <w:pPr>
        <w:pStyle w:val="FootnoteText"/>
      </w:pPr>
      <w:r>
        <w:rPr>
          <w:rStyle w:val="FootnoteReference"/>
        </w:rPr>
        <w:footnoteRef/>
      </w:r>
      <w:r>
        <w:t xml:space="preserve">  Utilities’ Direct Testimony, Chapter 1 (Exhibit SCG/SDGE-01) at 2</w:t>
      </w:r>
      <w:r>
        <w:noBreakHyphen/>
        <w:t>6.</w:t>
      </w:r>
    </w:p>
  </w:footnote>
  <w:footnote w:id="7">
    <w:p w14:paraId="4AF9C7FF" w14:textId="25C5CE50" w:rsidR="001412FF" w:rsidRDefault="001412FF" w:rsidP="001C4A46">
      <w:pPr>
        <w:pStyle w:val="FootnoteText"/>
      </w:pPr>
      <w:r>
        <w:rPr>
          <w:rStyle w:val="FootnoteReference"/>
        </w:rPr>
        <w:footnoteRef/>
      </w:r>
      <w:r>
        <w:t xml:space="preserve"> Currently over 70 percent of the natural gas vehicles in California operate using RNG.  (</w:t>
      </w:r>
      <w:r w:rsidRPr="00A23477">
        <w:rPr>
          <w:i/>
          <w:iCs/>
        </w:rPr>
        <w:t>Id. At</w:t>
      </w:r>
      <w:r>
        <w:rPr>
          <w:i/>
          <w:iCs/>
        </w:rPr>
        <w:t> </w:t>
      </w:r>
      <w:r w:rsidRPr="00A23477">
        <w:rPr>
          <w:i/>
          <w:iCs/>
        </w:rPr>
        <w:t>4.</w:t>
      </w:r>
      <w:r>
        <w:t>)</w:t>
      </w:r>
    </w:p>
  </w:footnote>
  <w:footnote w:id="8">
    <w:p w14:paraId="6B7A4C1D" w14:textId="77777777" w:rsidR="001412FF" w:rsidRDefault="001412FF" w:rsidP="001C4A46">
      <w:pPr>
        <w:pStyle w:val="FootnoteText"/>
      </w:pPr>
      <w:r>
        <w:rPr>
          <w:rStyle w:val="FootnoteReference"/>
        </w:rPr>
        <w:footnoteRef/>
      </w:r>
      <w:r>
        <w:t xml:space="preserve">  D.15-01-051.  For more, </w:t>
      </w:r>
      <w:r w:rsidRPr="0019096A">
        <w:rPr>
          <w:i/>
          <w:iCs/>
        </w:rPr>
        <w:t xml:space="preserve">see </w:t>
      </w:r>
      <w:r>
        <w:t xml:space="preserve">GTSR program description on the Commission’s web page at </w:t>
      </w:r>
      <w:hyperlink r:id="rId2" w:history="1">
        <w:r w:rsidRPr="00F10091">
          <w:rPr>
            <w:rStyle w:val="Hyperlink"/>
          </w:rPr>
          <w:t>https://www.cpuc.ca.gov/General.aspx?id=12181</w:t>
        </w:r>
      </w:hyperlink>
      <w:r>
        <w:t>.</w:t>
      </w:r>
    </w:p>
  </w:footnote>
  <w:footnote w:id="9">
    <w:p w14:paraId="4DC6EEF8" w14:textId="77777777" w:rsidR="001412FF" w:rsidRDefault="001412FF" w:rsidP="001C4A46">
      <w:pPr>
        <w:pStyle w:val="FootnoteText"/>
      </w:pPr>
      <w:r>
        <w:rPr>
          <w:rStyle w:val="FootnoteReference"/>
        </w:rPr>
        <w:footnoteRef/>
      </w:r>
      <w:r>
        <w:t xml:space="preserve">  An official Exhibit Index was attached to the June 8, 2020 ALJ Ruling.</w:t>
      </w:r>
    </w:p>
  </w:footnote>
  <w:footnote w:id="10">
    <w:p w14:paraId="63CA7270" w14:textId="77777777" w:rsidR="001412FF" w:rsidRDefault="001412FF" w:rsidP="001C4A46">
      <w:pPr>
        <w:pStyle w:val="FootnoteText"/>
      </w:pPr>
      <w:r>
        <w:rPr>
          <w:rStyle w:val="FootnoteReference"/>
        </w:rPr>
        <w:footnoteRef/>
      </w:r>
      <w:r>
        <w:t xml:space="preserve"> This issue is described in detail in Section 6.2.1 of this decision.</w:t>
      </w:r>
    </w:p>
  </w:footnote>
  <w:footnote w:id="11">
    <w:p w14:paraId="6895246D" w14:textId="77777777" w:rsidR="001412FF" w:rsidRDefault="001412FF" w:rsidP="001C4A46">
      <w:pPr>
        <w:pStyle w:val="FootnoteText"/>
      </w:pPr>
      <w:r>
        <w:rPr>
          <w:rStyle w:val="FootnoteReference"/>
        </w:rPr>
        <w:footnoteRef/>
      </w:r>
      <w:r>
        <w:t xml:space="preserve">  For example, $10, $20, $30, or $50 per month.  </w:t>
      </w:r>
      <w:r w:rsidRPr="0019096A">
        <w:rPr>
          <w:i/>
          <w:iCs/>
        </w:rPr>
        <w:t xml:space="preserve">See </w:t>
      </w:r>
      <w:r>
        <w:t xml:space="preserve">Utilities’ Direct Testimony, Chapter 2 (Exhibit SCG/SDGE-02), Attachment B. </w:t>
      </w:r>
    </w:p>
  </w:footnote>
  <w:footnote w:id="12">
    <w:p w14:paraId="3CA35F76" w14:textId="77777777" w:rsidR="001412FF" w:rsidRDefault="001412FF" w:rsidP="001C4A46">
      <w:pPr>
        <w:pStyle w:val="FootnoteText"/>
      </w:pPr>
      <w:r>
        <w:rPr>
          <w:rStyle w:val="FootnoteReference"/>
        </w:rPr>
        <w:footnoteRef/>
      </w:r>
      <w:r>
        <w:t xml:space="preserve">  For example, 25 percent, 50 percent, 75 percent, or 100 percent. (</w:t>
      </w:r>
      <w:r w:rsidRPr="0092238E">
        <w:rPr>
          <w:i/>
          <w:iCs/>
        </w:rPr>
        <w:t>Id</w:t>
      </w:r>
      <w:r>
        <w:t>)</w:t>
      </w:r>
    </w:p>
  </w:footnote>
  <w:footnote w:id="13">
    <w:p w14:paraId="629200FD" w14:textId="77777777" w:rsidR="001412FF" w:rsidRDefault="001412FF" w:rsidP="001C4A46">
      <w:pPr>
        <w:pStyle w:val="FootnoteText"/>
      </w:pPr>
      <w:r>
        <w:rPr>
          <w:rStyle w:val="FootnoteReference"/>
        </w:rPr>
        <w:footnoteRef/>
      </w:r>
      <w:r>
        <w:t xml:space="preserve">  Utilities’ Direct Testimony, Chapter 3 (Exhibit SCG/SDGE-03) at 6. </w:t>
      </w:r>
    </w:p>
  </w:footnote>
  <w:footnote w:id="14">
    <w:p w14:paraId="163CE2EC" w14:textId="77777777" w:rsidR="001412FF" w:rsidRDefault="001412FF" w:rsidP="001C4A46">
      <w:pPr>
        <w:pStyle w:val="FootnoteText"/>
      </w:pPr>
      <w:r>
        <w:rPr>
          <w:rStyle w:val="FootnoteReference"/>
        </w:rPr>
        <w:footnoteRef/>
      </w:r>
      <w:r>
        <w:t xml:space="preserve">  Utilities’ Second Supplemental Testimony (Exhibit SCG/SDGE-10), Attachment D.</w:t>
      </w:r>
    </w:p>
  </w:footnote>
  <w:footnote w:id="15">
    <w:p w14:paraId="38DA389F" w14:textId="77777777" w:rsidR="001412FF" w:rsidRDefault="001412FF" w:rsidP="001C4A46">
      <w:pPr>
        <w:pStyle w:val="FootnoteText"/>
      </w:pPr>
      <w:r>
        <w:rPr>
          <w:rStyle w:val="FootnoteReference"/>
        </w:rPr>
        <w:footnoteRef/>
      </w:r>
      <w:r>
        <w:t xml:space="preserve">  Utilities’ Direct Testimony, Chapter 2 (Exhibit SCG/SDGE-02) at 12 to 13.</w:t>
      </w:r>
    </w:p>
  </w:footnote>
  <w:footnote w:id="16">
    <w:p w14:paraId="26BB1124" w14:textId="77777777" w:rsidR="001412FF" w:rsidRDefault="001412FF" w:rsidP="001C4A46">
      <w:pPr>
        <w:pStyle w:val="FootnoteText"/>
      </w:pPr>
      <w:r>
        <w:rPr>
          <w:rStyle w:val="FootnoteReference"/>
        </w:rPr>
        <w:footnoteRef/>
      </w:r>
      <w:r>
        <w:t xml:space="preserve">  Utilities’ Second Supplemental Testimony (Exhibit SCG/SDGE-10) at 14.</w:t>
      </w:r>
    </w:p>
  </w:footnote>
  <w:footnote w:id="17">
    <w:p w14:paraId="718D62B3" w14:textId="77777777" w:rsidR="001412FF" w:rsidRDefault="001412FF" w:rsidP="001C4A46">
      <w:pPr>
        <w:pStyle w:val="FootnoteText"/>
      </w:pPr>
      <w:r>
        <w:rPr>
          <w:rStyle w:val="FootnoteReference"/>
        </w:rPr>
        <w:footnoteRef/>
      </w:r>
      <w:r>
        <w:t xml:space="preserve">  Application at 14 and 15.</w:t>
      </w:r>
    </w:p>
  </w:footnote>
  <w:footnote w:id="18">
    <w:p w14:paraId="581057F3" w14:textId="77777777" w:rsidR="001412FF" w:rsidRDefault="001412FF" w:rsidP="001C4A46">
      <w:pPr>
        <w:pStyle w:val="FootnoteText"/>
      </w:pPr>
      <w:r>
        <w:rPr>
          <w:rStyle w:val="FootnoteReference"/>
        </w:rPr>
        <w:footnoteRef/>
      </w:r>
      <w:r>
        <w:t xml:space="preserve">  PG&amp;E’s Response to the Application at 2.</w:t>
      </w:r>
    </w:p>
  </w:footnote>
  <w:footnote w:id="19">
    <w:p w14:paraId="060AE6EA" w14:textId="77777777" w:rsidR="001412FF" w:rsidRDefault="001412FF" w:rsidP="001C4A46">
      <w:pPr>
        <w:pStyle w:val="FootnoteText"/>
      </w:pPr>
      <w:r>
        <w:rPr>
          <w:rStyle w:val="FootnoteReference"/>
        </w:rPr>
        <w:footnoteRef/>
      </w:r>
      <w:r>
        <w:t xml:space="preserve"> “Additionality” refers to the use of a biomethane source that was not previously being captured for use as RNG.</w:t>
      </w:r>
    </w:p>
  </w:footnote>
  <w:footnote w:id="20">
    <w:p w14:paraId="6B49461E" w14:textId="77777777" w:rsidR="001412FF" w:rsidRPr="00220A95" w:rsidRDefault="001412FF" w:rsidP="001C4A46">
      <w:pPr>
        <w:pStyle w:val="FootnoteText"/>
        <w:rPr>
          <w:lang w:val="es-ES"/>
        </w:rPr>
      </w:pPr>
      <w:r>
        <w:rPr>
          <w:rStyle w:val="FootnoteReference"/>
        </w:rPr>
        <w:footnoteRef/>
      </w:r>
      <w:r>
        <w:t xml:space="preserve">  As codified in </w:t>
      </w:r>
      <w:r w:rsidRPr="00CC5D56">
        <w:rPr>
          <w:szCs w:val="22"/>
        </w:rPr>
        <w:t>Pub. Util. Code</w:t>
      </w:r>
      <w:r w:rsidRPr="00795C65">
        <w:rPr>
          <w:sz w:val="24"/>
          <w:szCs w:val="24"/>
        </w:rPr>
        <w:t xml:space="preserve"> </w:t>
      </w:r>
      <w:r w:rsidRPr="00220A95">
        <w:rPr>
          <w:lang w:val="es-ES"/>
        </w:rPr>
        <w:t>§ 651.</w:t>
      </w:r>
    </w:p>
  </w:footnote>
  <w:footnote w:id="21">
    <w:p w14:paraId="7513E60E" w14:textId="77777777" w:rsidR="001412FF" w:rsidRPr="00220A95" w:rsidRDefault="001412FF" w:rsidP="001C4A46">
      <w:pPr>
        <w:pStyle w:val="FootnoteText"/>
        <w:rPr>
          <w:lang w:val="es-ES"/>
        </w:rPr>
      </w:pPr>
      <w:r>
        <w:rPr>
          <w:rStyle w:val="FootnoteReference"/>
        </w:rPr>
        <w:footnoteRef/>
      </w:r>
      <w:r w:rsidRPr="00220A95">
        <w:rPr>
          <w:lang w:val="es-ES"/>
        </w:rPr>
        <w:t xml:space="preserve">  </w:t>
      </w:r>
      <w:r w:rsidRPr="00CC5D56">
        <w:rPr>
          <w:szCs w:val="22"/>
        </w:rPr>
        <w:t>Pub. Util. Code</w:t>
      </w:r>
      <w:r>
        <w:rPr>
          <w:lang w:val="es-ES"/>
        </w:rPr>
        <w:t xml:space="preserve"> </w:t>
      </w:r>
      <w:r w:rsidRPr="00220A95">
        <w:rPr>
          <w:lang w:val="es-ES"/>
        </w:rPr>
        <w:t xml:space="preserve">§ 399.11 </w:t>
      </w:r>
      <w:r w:rsidRPr="002D6F0E">
        <w:rPr>
          <w:i/>
          <w:iCs/>
          <w:lang w:val="es-ES"/>
        </w:rPr>
        <w:t>et seq</w:t>
      </w:r>
      <w:r w:rsidRPr="00171D34">
        <w:rPr>
          <w:lang w:val="es-ES"/>
        </w:rPr>
        <w:t>.</w:t>
      </w:r>
    </w:p>
  </w:footnote>
  <w:footnote w:id="22">
    <w:p w14:paraId="176D9C5A" w14:textId="77777777" w:rsidR="001412FF" w:rsidRDefault="001412FF" w:rsidP="001C4A46">
      <w:pPr>
        <w:pStyle w:val="FootnoteText"/>
      </w:pPr>
      <w:r>
        <w:rPr>
          <w:rStyle w:val="FootnoteReference"/>
        </w:rPr>
        <w:footnoteRef/>
      </w:r>
      <w:r>
        <w:t xml:space="preserve">  Joint Motion for Approval of Settlement Agreement at 5.</w:t>
      </w:r>
    </w:p>
  </w:footnote>
  <w:footnote w:id="23">
    <w:p w14:paraId="6313E682" w14:textId="77777777" w:rsidR="001412FF" w:rsidRDefault="001412FF" w:rsidP="001C4A46">
      <w:pPr>
        <w:pStyle w:val="FootnoteText"/>
      </w:pPr>
      <w:r>
        <w:rPr>
          <w:rStyle w:val="FootnoteReference"/>
        </w:rPr>
        <w:footnoteRef/>
      </w:r>
      <w:r>
        <w:t xml:space="preserve">  </w:t>
      </w:r>
      <w:r w:rsidRPr="00D72F30">
        <w:rPr>
          <w:i/>
          <w:iCs/>
        </w:rPr>
        <w:t>Id.</w:t>
      </w:r>
    </w:p>
  </w:footnote>
  <w:footnote w:id="24">
    <w:p w14:paraId="0D7F03D0" w14:textId="77777777" w:rsidR="001412FF" w:rsidRPr="00B14A6B" w:rsidRDefault="001412FF" w:rsidP="001C4A46">
      <w:pPr>
        <w:pStyle w:val="Default"/>
        <w:rPr>
          <w:rFonts w:ascii="Book Antiqua" w:hAnsi="Book Antiqua"/>
          <w:sz w:val="22"/>
          <w:szCs w:val="22"/>
        </w:rPr>
      </w:pPr>
      <w:r>
        <w:rPr>
          <w:rStyle w:val="FootnoteReference"/>
        </w:rPr>
        <w:footnoteRef/>
      </w:r>
      <w:r w:rsidRPr="00572332">
        <w:rPr>
          <w:rFonts w:ascii="Book Antiqua" w:hAnsi="Book Antiqua"/>
          <w:sz w:val="22"/>
          <w:szCs w:val="22"/>
        </w:rPr>
        <w:t xml:space="preserve">  </w:t>
      </w:r>
      <w:r w:rsidRPr="00B14A6B">
        <w:rPr>
          <w:rFonts w:ascii="Book Antiqua" w:hAnsi="Book Antiqua"/>
          <w:sz w:val="22"/>
          <w:szCs w:val="22"/>
        </w:rPr>
        <w:t xml:space="preserve">Assembly Bill 32 requires California to return to 1990 levels of </w:t>
      </w:r>
      <w:r>
        <w:rPr>
          <w:rFonts w:ascii="Book Antiqua" w:hAnsi="Book Antiqua"/>
          <w:sz w:val="22"/>
          <w:szCs w:val="22"/>
        </w:rPr>
        <w:t>GHG</w:t>
      </w:r>
      <w:r w:rsidRPr="00B14A6B">
        <w:rPr>
          <w:rFonts w:ascii="Book Antiqua" w:hAnsi="Book Antiqua"/>
          <w:sz w:val="22"/>
          <w:szCs w:val="22"/>
        </w:rPr>
        <w:t xml:space="preserve"> emissions by 2020.  The Cap-and-Trade Program is a key element of California’s climate plan. It sets a statewide limit on sources responsible for 85 percent of California’s greenhouse gas </w:t>
      </w:r>
      <w:r w:rsidRPr="00B14A6B">
        <w:rPr>
          <w:rFonts w:ascii="Book Antiqua" w:hAnsi="Book Antiqua"/>
          <w:sz w:val="22"/>
          <w:szCs w:val="22"/>
        </w:rPr>
        <w:t>emissions, and establishes a price signal needed to drive long-term investment in cleaner fuels and more efficient use of energy.</w:t>
      </w:r>
    </w:p>
    <w:p w14:paraId="5CC1FC55" w14:textId="77777777" w:rsidR="001412FF" w:rsidRPr="00B14A6B" w:rsidRDefault="00CA2A68" w:rsidP="001C4A46">
      <w:pPr>
        <w:pStyle w:val="FootnoteText"/>
      </w:pPr>
      <w:hyperlink r:id="rId3" w:history="1">
        <w:r w:rsidR="001412FF" w:rsidRPr="00B14A6B">
          <w:rPr>
            <w:rStyle w:val="Hyperlink"/>
            <w:szCs w:val="22"/>
          </w:rPr>
          <w:t>https://ww2.arb.ca.gov/our-work/programs/cap-and-trade-program/cap-and-trade-regulation</w:t>
        </w:r>
      </w:hyperlink>
      <w:r w:rsidR="001412FF">
        <w:rPr>
          <w:szCs w:val="22"/>
        </w:rPr>
        <w:t xml:space="preserve">.  </w:t>
      </w:r>
    </w:p>
  </w:footnote>
  <w:footnote w:id="25">
    <w:p w14:paraId="18FA2472" w14:textId="77777777" w:rsidR="001412FF" w:rsidRDefault="001412FF" w:rsidP="001C4A46">
      <w:pPr>
        <w:pStyle w:val="FootnoteText"/>
      </w:pPr>
      <w:r>
        <w:rPr>
          <w:rStyle w:val="FootnoteReference"/>
        </w:rPr>
        <w:footnoteRef/>
      </w:r>
      <w:r>
        <w:t xml:space="preserve">  </w:t>
      </w:r>
      <w:r w:rsidRPr="00F06D70">
        <w:rPr>
          <w:i/>
          <w:iCs/>
        </w:rPr>
        <w:t>Id</w:t>
      </w:r>
      <w:r>
        <w:t xml:space="preserve">. at 6 and </w:t>
      </w:r>
      <w:r w:rsidRPr="00786692">
        <w:rPr>
          <w:i/>
          <w:iCs/>
        </w:rPr>
        <w:t>Id.,</w:t>
      </w:r>
      <w:r>
        <w:t xml:space="preserve"> Attachment A at 4.</w:t>
      </w:r>
    </w:p>
  </w:footnote>
  <w:footnote w:id="26">
    <w:p w14:paraId="4F54DB8A" w14:textId="77777777" w:rsidR="001412FF" w:rsidRDefault="001412FF" w:rsidP="001C4A46">
      <w:pPr>
        <w:pStyle w:val="FootnoteText"/>
      </w:pPr>
      <w:r>
        <w:rPr>
          <w:rStyle w:val="FootnoteReference"/>
        </w:rPr>
        <w:footnoteRef/>
      </w:r>
      <w:r>
        <w:t xml:space="preserve">  Participation by TURN and other non-market participants is subject to an appropriate non-disclosure agreement.  (</w:t>
      </w:r>
      <w:r w:rsidRPr="00F06D70">
        <w:rPr>
          <w:i/>
          <w:iCs/>
        </w:rPr>
        <w:t>Id.</w:t>
      </w:r>
      <w:r>
        <w:t xml:space="preserve">)  Commission staff may not disclose confidential items pursuant to the Pub. Util. Code.  </w:t>
      </w:r>
    </w:p>
  </w:footnote>
  <w:footnote w:id="27">
    <w:p w14:paraId="05772AD5" w14:textId="77777777" w:rsidR="001412FF" w:rsidRDefault="001412FF" w:rsidP="001C4A46">
      <w:pPr>
        <w:pStyle w:val="FootnoteText"/>
      </w:pPr>
      <w:r>
        <w:rPr>
          <w:rStyle w:val="FootnoteReference"/>
        </w:rPr>
        <w:footnoteRef/>
      </w:r>
      <w:r>
        <w:t xml:space="preserve">  The Settling Parties’ Joint Response to the ALJ June 10, 2020 Ruling at 2 to 3.</w:t>
      </w:r>
    </w:p>
  </w:footnote>
  <w:footnote w:id="28">
    <w:p w14:paraId="47B2DDDB" w14:textId="77777777" w:rsidR="001412FF" w:rsidRDefault="001412FF" w:rsidP="001C4A46">
      <w:pPr>
        <w:pStyle w:val="FootnoteText"/>
      </w:pPr>
      <w:r>
        <w:rPr>
          <w:rStyle w:val="FootnoteReference"/>
        </w:rPr>
        <w:footnoteRef/>
      </w:r>
      <w:r>
        <w:t xml:space="preserve">  Five non-settling parties raised specific issues:  CUE, TURN, LC, SC, and Wild Tree.  Four parties took no position on the Settlement Agreement:  PG&amp;E, SCE, the Association of Bay Area Governments, and Seahold, LLC.</w:t>
      </w:r>
    </w:p>
  </w:footnote>
  <w:footnote w:id="29">
    <w:p w14:paraId="33F60868" w14:textId="77777777" w:rsidR="001412FF" w:rsidRPr="00220A95" w:rsidRDefault="001412FF" w:rsidP="001C4A46">
      <w:pPr>
        <w:pStyle w:val="FootnoteText"/>
        <w:rPr>
          <w:lang w:val="es-ES"/>
        </w:rPr>
      </w:pPr>
      <w:r>
        <w:rPr>
          <w:rStyle w:val="FootnoteReference"/>
        </w:rPr>
        <w:footnoteRef/>
      </w:r>
      <w:r>
        <w:t xml:space="preserve">  Stats. 2018, Ch. 739, Sec. 1, codified by Pub. </w:t>
      </w:r>
      <w:r>
        <w:rPr>
          <w:lang w:val="es-ES"/>
        </w:rPr>
        <w:t>Util</w:t>
      </w:r>
      <w:r w:rsidRPr="00220A95">
        <w:rPr>
          <w:lang w:val="es-ES"/>
        </w:rPr>
        <w:t xml:space="preserve">. </w:t>
      </w:r>
      <w:r>
        <w:rPr>
          <w:lang w:val="es-ES"/>
        </w:rPr>
        <w:t xml:space="preserve">Code </w:t>
      </w:r>
      <w:r w:rsidRPr="00220A95">
        <w:rPr>
          <w:lang w:val="es-ES"/>
        </w:rPr>
        <w:t>§§ 650-651.</w:t>
      </w:r>
    </w:p>
  </w:footnote>
  <w:footnote w:id="30">
    <w:p w14:paraId="00AD3C33" w14:textId="77777777" w:rsidR="001412FF" w:rsidRPr="00220A95" w:rsidRDefault="001412FF" w:rsidP="001C4A46">
      <w:pPr>
        <w:pStyle w:val="FootnoteText"/>
        <w:rPr>
          <w:lang w:val="es-ES"/>
        </w:rPr>
      </w:pPr>
      <w:r>
        <w:rPr>
          <w:rStyle w:val="FootnoteReference"/>
        </w:rPr>
        <w:footnoteRef/>
      </w:r>
      <w:r w:rsidRPr="00220A95">
        <w:rPr>
          <w:lang w:val="es-ES"/>
        </w:rPr>
        <w:t xml:space="preserve">  Pub. Util. Code § 651(a).</w:t>
      </w:r>
    </w:p>
  </w:footnote>
  <w:footnote w:id="31">
    <w:p w14:paraId="10EB2FC5" w14:textId="77777777" w:rsidR="001412FF" w:rsidRDefault="001412FF" w:rsidP="001C4A46">
      <w:pPr>
        <w:pStyle w:val="FootnoteText"/>
      </w:pPr>
      <w:r>
        <w:rPr>
          <w:rStyle w:val="FootnoteReference"/>
        </w:rPr>
        <w:footnoteRef/>
      </w:r>
      <w:r>
        <w:t xml:space="preserve">  Enacted by SB 1440.</w:t>
      </w:r>
    </w:p>
  </w:footnote>
  <w:footnote w:id="32">
    <w:p w14:paraId="299457BC" w14:textId="3088AC3A" w:rsidR="001412FF" w:rsidRDefault="001412FF" w:rsidP="001C4A46">
      <w:pPr>
        <w:pStyle w:val="FootnoteText"/>
      </w:pPr>
      <w:r>
        <w:rPr>
          <w:rStyle w:val="FootnoteReference"/>
        </w:rPr>
        <w:footnoteRef/>
      </w:r>
      <w:r>
        <w:t xml:space="preserve">  Pub. Util. Code </w:t>
      </w:r>
      <w:r w:rsidRPr="003271F1">
        <w:t>§</w:t>
      </w:r>
      <w:r>
        <w:t xml:space="preserve"> </w:t>
      </w:r>
      <w:r w:rsidRPr="00767198">
        <w:t>651</w:t>
      </w:r>
      <w:r>
        <w:t xml:space="preserve">.  Also, 17 CRR </w:t>
      </w:r>
      <w:r w:rsidRPr="00DC2BED">
        <w:rPr>
          <w:szCs w:val="22"/>
        </w:rPr>
        <w:t>§</w:t>
      </w:r>
      <w:r>
        <w:rPr>
          <w:szCs w:val="22"/>
        </w:rPr>
        <w:t> 95852.1.1(a)(2)(A) &amp; (B).</w:t>
      </w:r>
    </w:p>
  </w:footnote>
  <w:footnote w:id="33">
    <w:p w14:paraId="3AF68AFF" w14:textId="77777777" w:rsidR="001412FF" w:rsidRDefault="001412FF" w:rsidP="001C4A46">
      <w:pPr>
        <w:pStyle w:val="FootnoteText"/>
      </w:pPr>
      <w:r>
        <w:rPr>
          <w:rStyle w:val="FootnoteReference"/>
        </w:rPr>
        <w:footnoteRef/>
      </w:r>
      <w:r>
        <w:t xml:space="preserve">  Wild Tree’s Comments on the Settlement Agreement at 10.  </w:t>
      </w:r>
    </w:p>
  </w:footnote>
  <w:footnote w:id="34">
    <w:p w14:paraId="1F3F239B" w14:textId="77777777" w:rsidR="001412FF" w:rsidRDefault="001412FF" w:rsidP="001C4A46">
      <w:pPr>
        <w:pStyle w:val="FootnoteText"/>
      </w:pPr>
      <w:r>
        <w:rPr>
          <w:rStyle w:val="FootnoteReference"/>
        </w:rPr>
        <w:footnoteRef/>
      </w:r>
      <w:r>
        <w:t xml:space="preserve">  TURN’s Opening Brief at 10.  LC/SC’s Reply Brief at 2 to 3.</w:t>
      </w:r>
    </w:p>
  </w:footnote>
  <w:footnote w:id="35">
    <w:p w14:paraId="5445ADB3" w14:textId="06440CC2" w:rsidR="001412FF" w:rsidRDefault="001412FF" w:rsidP="001C4A46">
      <w:pPr>
        <w:pStyle w:val="FootnoteText"/>
      </w:pPr>
      <w:r>
        <w:rPr>
          <w:rStyle w:val="FootnoteReference"/>
        </w:rPr>
        <w:footnoteRef/>
      </w:r>
      <w:r>
        <w:t xml:space="preserve">  In the initially proposed program as part of the Application, the </w:t>
      </w:r>
      <w:r>
        <w:t xml:space="preserve">Utilities  request full flexibility in RNG procurement in order to optimize the cost-effectiveness and diversity of RNG sources from within California and out-of-state. (Utilities’ Direct Testimony, Chapter 3 (Exhibit SCG/SDG&amp;E-03) at 3.) </w:t>
      </w:r>
    </w:p>
  </w:footnote>
  <w:footnote w:id="36">
    <w:p w14:paraId="1025954E" w14:textId="77777777" w:rsidR="001412FF" w:rsidRDefault="001412FF" w:rsidP="001C4A46">
      <w:pPr>
        <w:pStyle w:val="FootnoteText"/>
      </w:pPr>
      <w:r>
        <w:rPr>
          <w:rStyle w:val="FootnoteReference"/>
        </w:rPr>
        <w:footnoteRef/>
      </w:r>
      <w:r>
        <w:t xml:space="preserve">  LC/SC’s Comments on the Settlement Agreement at 2 and 6.  TURN’s Comments on the Settling Parties at 6.  </w:t>
      </w:r>
    </w:p>
  </w:footnote>
  <w:footnote w:id="37">
    <w:p w14:paraId="0CDD8CAF" w14:textId="77777777" w:rsidR="001412FF" w:rsidRDefault="001412FF" w:rsidP="001C4A46">
      <w:pPr>
        <w:pStyle w:val="FootnoteText"/>
      </w:pPr>
      <w:r>
        <w:rPr>
          <w:rStyle w:val="FootnoteReference"/>
        </w:rPr>
        <w:footnoteRef/>
      </w:r>
      <w:r>
        <w:t xml:space="preserve">  TURN’s Comments on the Settlement Agreement at 7.  LC/SC’s Comments on the Settlement Agreement at 6-7. </w:t>
      </w:r>
    </w:p>
  </w:footnote>
  <w:footnote w:id="38">
    <w:p w14:paraId="2A6AC3A8" w14:textId="77777777" w:rsidR="001412FF" w:rsidRDefault="001412FF" w:rsidP="001C4A46">
      <w:pPr>
        <w:pStyle w:val="FootnoteText"/>
      </w:pPr>
      <w:r>
        <w:rPr>
          <w:rStyle w:val="FootnoteReference"/>
        </w:rPr>
        <w:footnoteRef/>
      </w:r>
      <w:r>
        <w:t xml:space="preserve">  TURN’s Reply Brief at 4. </w:t>
      </w:r>
    </w:p>
  </w:footnote>
  <w:footnote w:id="39">
    <w:p w14:paraId="5CE0D2B4" w14:textId="77777777" w:rsidR="001412FF" w:rsidRDefault="001412FF" w:rsidP="001C4A46">
      <w:pPr>
        <w:pStyle w:val="FootnoteText"/>
      </w:pPr>
      <w:r>
        <w:rPr>
          <w:rStyle w:val="FootnoteReference"/>
        </w:rPr>
        <w:footnoteRef/>
      </w:r>
      <w:r>
        <w:t xml:space="preserve">  Utilities’ Rebuttal Testimony, Chapter 8 (Exhibit SCG/SDGE-08) at 5.  </w:t>
      </w:r>
    </w:p>
  </w:footnote>
  <w:footnote w:id="40">
    <w:p w14:paraId="380038F4" w14:textId="77777777" w:rsidR="001412FF" w:rsidRDefault="001412FF" w:rsidP="001C4A46">
      <w:pPr>
        <w:pStyle w:val="FootnoteText"/>
      </w:pPr>
      <w:r>
        <w:rPr>
          <w:rStyle w:val="FootnoteReference"/>
        </w:rPr>
        <w:footnoteRef/>
      </w:r>
      <w:r>
        <w:t xml:space="preserve">  </w:t>
      </w:r>
      <w:hyperlink r:id="rId4" w:history="1">
        <w:r w:rsidRPr="00194463">
          <w:rPr>
            <w:rStyle w:val="Hyperlink"/>
          </w:rPr>
          <w:t>http://www.rngcoalition.com/rng-production-facilities</w:t>
        </w:r>
      </w:hyperlink>
      <w:r>
        <w:t xml:space="preserve"> (Exhibit SCG/SDGE-08 at 8).  </w:t>
      </w:r>
    </w:p>
  </w:footnote>
  <w:footnote w:id="41">
    <w:p w14:paraId="3B4A1ABE" w14:textId="77777777" w:rsidR="001412FF" w:rsidRDefault="001412FF" w:rsidP="001C4A46">
      <w:pPr>
        <w:pStyle w:val="FootnoteText"/>
      </w:pPr>
      <w:r>
        <w:rPr>
          <w:rStyle w:val="FootnoteReference"/>
        </w:rPr>
        <w:footnoteRef/>
      </w:r>
      <w:r>
        <w:t xml:space="preserve">  </w:t>
      </w:r>
      <w:r w:rsidRPr="00A07B20">
        <w:t>Including in-state landfill gas as a</w:t>
      </w:r>
      <w:r>
        <w:t>n</w:t>
      </w:r>
      <w:r w:rsidRPr="00A07B20">
        <w:t xml:space="preserve"> </w:t>
      </w:r>
      <w:r>
        <w:t xml:space="preserve">RNG </w:t>
      </w:r>
      <w:r w:rsidRPr="00A07B20">
        <w:t xml:space="preserve">source </w:t>
      </w:r>
      <w:r>
        <w:t>not only</w:t>
      </w:r>
      <w:r w:rsidRPr="00A07B20" w:rsidDel="00BC3057">
        <w:t xml:space="preserve"> </w:t>
      </w:r>
      <w:r w:rsidRPr="00A07B20">
        <w:t>reduce</w:t>
      </w:r>
      <w:r>
        <w:t>s</w:t>
      </w:r>
      <w:r w:rsidRPr="00A07B20">
        <w:t xml:space="preserve"> GHG emissions</w:t>
      </w:r>
      <w:r w:rsidDel="000B3993">
        <w:t>,</w:t>
      </w:r>
      <w:r>
        <w:t xml:space="preserve"> but other contaminants </w:t>
      </w:r>
      <w:r w:rsidDel="00E31D0B">
        <w:t xml:space="preserve">in landfill gas </w:t>
      </w:r>
      <w:r>
        <w:t xml:space="preserve">that are emitted when </w:t>
      </w:r>
      <w:r w:rsidDel="00E31D0B">
        <w:t>flaring occurs</w:t>
      </w:r>
      <w:r>
        <w:t xml:space="preserve"> are </w:t>
      </w:r>
      <w:r w:rsidDel="000B3993">
        <w:t xml:space="preserve">also </w:t>
      </w:r>
      <w:r>
        <w:t>removed in the RNG production process</w:t>
      </w:r>
      <w:r w:rsidRPr="00A07B20">
        <w:t>.</w:t>
      </w:r>
      <w:r>
        <w:t xml:space="preserve"> (</w:t>
      </w:r>
      <w:r w:rsidRPr="0085518E">
        <w:t>https://www.epa.gov/lmop/renewable-natural-gas</w:t>
      </w:r>
      <w:r>
        <w:t>)</w:t>
      </w:r>
    </w:p>
  </w:footnote>
  <w:footnote w:id="42">
    <w:p w14:paraId="24F0D0DA" w14:textId="7BAA203A" w:rsidR="001412FF" w:rsidRDefault="001412FF" w:rsidP="001C4A46">
      <w:pPr>
        <w:pStyle w:val="FootnoteText"/>
      </w:pPr>
      <w:r>
        <w:rPr>
          <w:rStyle w:val="FootnoteReference"/>
        </w:rPr>
        <w:footnoteRef/>
      </w:r>
      <w:r>
        <w:t xml:space="preserve">  The pilot </w:t>
      </w:r>
      <w:r w:rsidRPr="00C06C07">
        <w:t>program duration may</w:t>
      </w:r>
      <w:r>
        <w:t xml:space="preserve"> slightly exceed five years (three-year pilot, the program review period, plus two-year transition).  </w:t>
      </w:r>
    </w:p>
  </w:footnote>
  <w:footnote w:id="43">
    <w:p w14:paraId="361B75E7" w14:textId="77777777" w:rsidR="001412FF" w:rsidRDefault="001412FF" w:rsidP="001C4A46">
      <w:pPr>
        <w:pStyle w:val="FootnoteText"/>
      </w:pPr>
      <w:r>
        <w:rPr>
          <w:rStyle w:val="FootnoteReference"/>
        </w:rPr>
        <w:footnoteRef/>
      </w:r>
      <w:r>
        <w:t xml:space="preserve">  TURN’s Opening Brief at 5 to 8.  CUE’s Opening Brief at 4.</w:t>
      </w:r>
    </w:p>
  </w:footnote>
  <w:footnote w:id="44">
    <w:p w14:paraId="5686DC5C" w14:textId="77777777" w:rsidR="001412FF" w:rsidRDefault="001412FF" w:rsidP="001C4A46">
      <w:pPr>
        <w:pStyle w:val="FootnoteText"/>
      </w:pPr>
      <w:r>
        <w:rPr>
          <w:rStyle w:val="FootnoteReference"/>
        </w:rPr>
        <w:footnoteRef/>
      </w:r>
      <w:r>
        <w:t xml:space="preserve">  Utilities’ Reply Brief at 6 to 7.</w:t>
      </w:r>
    </w:p>
  </w:footnote>
  <w:footnote w:id="45">
    <w:p w14:paraId="0EC08D2B" w14:textId="77777777" w:rsidR="001412FF" w:rsidRDefault="001412FF" w:rsidP="001C4A46">
      <w:pPr>
        <w:pStyle w:val="FootnoteText"/>
      </w:pPr>
      <w:r>
        <w:rPr>
          <w:rStyle w:val="FootnoteReference"/>
        </w:rPr>
        <w:footnoteRef/>
      </w:r>
      <w:r>
        <w:t xml:space="preserve">  TURN’s Opening Brief at 5 to 9.  CUE’s Opening Brief at 4.  LC/SC’s Opening Comments at 9.  Wild Tree’s Opening Brief at 6.</w:t>
      </w:r>
    </w:p>
  </w:footnote>
  <w:footnote w:id="46">
    <w:p w14:paraId="0BF452A3" w14:textId="77777777" w:rsidR="001412FF" w:rsidRDefault="001412FF" w:rsidP="001C4A46">
      <w:pPr>
        <w:pStyle w:val="FootnoteText"/>
      </w:pPr>
      <w:r>
        <w:rPr>
          <w:rStyle w:val="FootnoteReference"/>
        </w:rPr>
        <w:footnoteRef/>
      </w:r>
      <w:r>
        <w:t xml:space="preserve">  Wild Tree’s Opening Brief at 12.</w:t>
      </w:r>
    </w:p>
  </w:footnote>
  <w:footnote w:id="47">
    <w:p w14:paraId="3712EA8B" w14:textId="77777777" w:rsidR="001412FF" w:rsidRDefault="001412FF" w:rsidP="001C4A46">
      <w:pPr>
        <w:pStyle w:val="FootnoteText"/>
      </w:pPr>
      <w:r>
        <w:rPr>
          <w:rStyle w:val="FootnoteReference"/>
        </w:rPr>
        <w:footnoteRef/>
      </w:r>
      <w:r>
        <w:t xml:space="preserve"> Green-E is a clean energy certification program of the nonprofit Center for Resource Solutions.  </w:t>
      </w:r>
    </w:p>
  </w:footnote>
  <w:footnote w:id="48">
    <w:p w14:paraId="6BBC9A3B" w14:textId="77777777" w:rsidR="001412FF" w:rsidRDefault="001412FF" w:rsidP="001C4A46">
      <w:pPr>
        <w:pStyle w:val="FootnoteText"/>
        <w:tabs>
          <w:tab w:val="left" w:pos="6093"/>
        </w:tabs>
      </w:pPr>
      <w:r>
        <w:rPr>
          <w:rStyle w:val="FootnoteReference"/>
        </w:rPr>
        <w:footnoteRef/>
      </w:r>
      <w:r>
        <w:t xml:space="preserve">  </w:t>
      </w:r>
      <w:r w:rsidRPr="00FA1E05">
        <w:rPr>
          <w:i/>
          <w:iCs/>
        </w:rPr>
        <w:t>Id.</w:t>
      </w:r>
      <w:r>
        <w:t xml:space="preserve"> at 20 to 21.</w:t>
      </w:r>
      <w:r>
        <w:tab/>
      </w:r>
    </w:p>
  </w:footnote>
  <w:footnote w:id="49">
    <w:p w14:paraId="3D75AB11" w14:textId="77777777" w:rsidR="001412FF" w:rsidRDefault="001412FF" w:rsidP="001C4A46">
      <w:pPr>
        <w:pStyle w:val="FootnoteText"/>
      </w:pPr>
      <w:r>
        <w:rPr>
          <w:rStyle w:val="FootnoteReference"/>
        </w:rPr>
        <w:footnoteRef/>
      </w:r>
      <w:r>
        <w:t xml:space="preserve">  Utilities’ Reply Brief at 10 and 11.</w:t>
      </w:r>
    </w:p>
  </w:footnote>
  <w:footnote w:id="50">
    <w:p w14:paraId="663078B9" w14:textId="77777777" w:rsidR="001412FF" w:rsidRDefault="001412FF" w:rsidP="001C4A46">
      <w:pPr>
        <w:pStyle w:val="FootnoteText"/>
      </w:pPr>
      <w:r>
        <w:rPr>
          <w:rStyle w:val="FootnoteReference"/>
        </w:rPr>
        <w:footnoteRef/>
      </w:r>
      <w:r>
        <w:t xml:space="preserve">  SDG&amp;E estimates 2,178 to 8,702 RNG program participants in Year 5 and SoCalGas’ estimate is 14,435 to 57,696 (Utilities’ Second Supplemental Testimony, Exhibit SCG/SDGE-10, Attachment D).</w:t>
      </w:r>
    </w:p>
  </w:footnote>
  <w:footnote w:id="51">
    <w:p w14:paraId="6C945155" w14:textId="77777777" w:rsidR="001412FF" w:rsidRDefault="001412FF" w:rsidP="001C4A46">
      <w:pPr>
        <w:pStyle w:val="FootnoteText"/>
      </w:pPr>
      <w:r>
        <w:rPr>
          <w:rStyle w:val="FootnoteReference"/>
        </w:rPr>
        <w:footnoteRef/>
      </w:r>
      <w:r>
        <w:t xml:space="preserve">  Utilities’ Opening Brief at 41 to 43.</w:t>
      </w:r>
    </w:p>
  </w:footnote>
  <w:footnote w:id="52">
    <w:p w14:paraId="11011AF3" w14:textId="77777777" w:rsidR="001412FF" w:rsidRDefault="001412FF" w:rsidP="001C4A46">
      <w:pPr>
        <w:pStyle w:val="FootnoteText"/>
      </w:pPr>
      <w:r>
        <w:rPr>
          <w:rStyle w:val="FootnoteReference"/>
        </w:rPr>
        <w:footnoteRef/>
      </w:r>
      <w:r>
        <w:t xml:space="preserve">  TURN’s Opening Brief at 19.  D.15-01-051 implemented </w:t>
      </w:r>
      <w:r>
        <w:rPr>
          <w:bCs/>
        </w:rPr>
        <w:t>SB</w:t>
      </w:r>
      <w:r w:rsidRPr="00BD60C7">
        <w:rPr>
          <w:bCs/>
        </w:rPr>
        <w:t xml:space="preserve"> 43</w:t>
      </w:r>
      <w:r>
        <w:rPr>
          <w:bCs/>
        </w:rPr>
        <w:t xml:space="preserve"> (Stats. 2013, Ch. 413 (Wolk))</w:t>
      </w:r>
      <w:r w:rsidRPr="00BD60C7">
        <w:rPr>
          <w:bCs/>
        </w:rPr>
        <w:t>.  SB 43</w:t>
      </w:r>
      <w:r>
        <w:rPr>
          <w:bCs/>
        </w:rPr>
        <w:t xml:space="preserve"> sets a formal requirement for the three large electrical utilities to implement the GTSR program.</w:t>
      </w:r>
    </w:p>
  </w:footnote>
  <w:footnote w:id="53">
    <w:p w14:paraId="7273937F" w14:textId="77777777" w:rsidR="001412FF" w:rsidRDefault="001412FF" w:rsidP="001C4A46">
      <w:pPr>
        <w:pStyle w:val="FootnoteText"/>
      </w:pPr>
      <w:r>
        <w:rPr>
          <w:rStyle w:val="FootnoteReference"/>
        </w:rPr>
        <w:footnoteRef/>
      </w:r>
      <w:r>
        <w:t xml:space="preserve"> LC/SC’s Opening Brief at 17.</w:t>
      </w:r>
    </w:p>
  </w:footnote>
  <w:footnote w:id="54">
    <w:p w14:paraId="56EE6A51" w14:textId="77777777" w:rsidR="001412FF" w:rsidRDefault="001412FF" w:rsidP="001C4A46">
      <w:pPr>
        <w:pStyle w:val="FootnoteText"/>
      </w:pPr>
      <w:r>
        <w:rPr>
          <w:rStyle w:val="FootnoteReference"/>
        </w:rPr>
        <w:footnoteRef/>
      </w:r>
      <w:r>
        <w:t xml:space="preserve"> Utilities’ Second Supplemental Testimony (Exhibit SCG/SDGE-10, Attachment B).</w:t>
      </w:r>
    </w:p>
  </w:footnote>
  <w:footnote w:id="55">
    <w:p w14:paraId="137196F2" w14:textId="77777777" w:rsidR="001412FF" w:rsidRDefault="001412FF" w:rsidP="001C4A46">
      <w:pPr>
        <w:pStyle w:val="FootnoteText"/>
      </w:pPr>
      <w:r>
        <w:rPr>
          <w:rStyle w:val="FootnoteReference"/>
        </w:rPr>
        <w:footnoteRef/>
      </w:r>
      <w:r>
        <w:t xml:space="preserve">  LC/SC’s Opening Comments on Proposed Decision at 8 to 10.  Also </w:t>
      </w:r>
      <w:r w:rsidRPr="0019096A">
        <w:rPr>
          <w:i/>
          <w:iCs/>
        </w:rPr>
        <w:t xml:space="preserve">see </w:t>
      </w:r>
      <w:r>
        <w:t xml:space="preserve">LC/SC’s Direct Testimony (Exhibit LC/SC-01) at 34. </w:t>
      </w:r>
    </w:p>
  </w:footnote>
  <w:footnote w:id="56">
    <w:p w14:paraId="07B87C83" w14:textId="1AF4E258" w:rsidR="001412FF" w:rsidRDefault="001412FF" w:rsidP="001C4A46">
      <w:pPr>
        <w:pStyle w:val="FootnoteText"/>
        <w:rPr>
          <w:color w:val="1F497D"/>
        </w:rPr>
      </w:pPr>
      <w:r>
        <w:rPr>
          <w:rStyle w:val="FootnoteReference"/>
        </w:rPr>
        <w:footnoteRef/>
      </w:r>
      <w:r>
        <w:t xml:space="preserve"> LC/SC’s Reply Comments on Proposed Decision at 3-4.  Also </w:t>
      </w:r>
      <w:r w:rsidRPr="0019096A">
        <w:rPr>
          <w:i/>
          <w:iCs/>
        </w:rPr>
        <w:t xml:space="preserve">See </w:t>
      </w:r>
      <w:r>
        <w:t xml:space="preserve">CARB, Resolution 20-32, adopted on November 19, 2020 </w:t>
      </w:r>
      <w:r>
        <w:rPr>
          <w:color w:val="1F497D"/>
        </w:rPr>
        <w:t>discussing indoor air pollution from gas appliances.</w:t>
      </w:r>
    </w:p>
    <w:p w14:paraId="4B8D62B7" w14:textId="77777777" w:rsidR="001412FF" w:rsidRDefault="001412FF" w:rsidP="001C4A46">
      <w:pPr>
        <w:pStyle w:val="FootnoteText"/>
      </w:pPr>
      <w:r>
        <w:t>(</w:t>
      </w:r>
      <w:r w:rsidRPr="003C05B2">
        <w:rPr>
          <w:color w:val="1F497D"/>
        </w:rPr>
        <w:t>https://ww3.arb.ca.gov/board/res/2020/res20-32.pdf</w:t>
      </w:r>
      <w:r>
        <w:rPr>
          <w:color w:val="1F497D"/>
        </w:rPr>
        <w:t>)</w:t>
      </w:r>
    </w:p>
  </w:footnote>
  <w:footnote w:id="57">
    <w:p w14:paraId="0A10D802" w14:textId="48A34249" w:rsidR="001412FF" w:rsidRDefault="001412FF" w:rsidP="001C4A46">
      <w:pPr>
        <w:pStyle w:val="FootnoteText"/>
      </w:pPr>
      <w:r>
        <w:rPr>
          <w:rStyle w:val="FootnoteReference"/>
        </w:rPr>
        <w:footnoteRef/>
      </w:r>
      <w:r>
        <w:t xml:space="preserve"> LC/SC’s Opening Comments on Proposed Decision at 8 to 9.</w:t>
      </w:r>
    </w:p>
  </w:footnote>
  <w:footnote w:id="58">
    <w:p w14:paraId="433B69D1" w14:textId="77777777" w:rsidR="001412FF" w:rsidRDefault="001412FF" w:rsidP="001C4A46">
      <w:pPr>
        <w:pStyle w:val="FootnoteText"/>
      </w:pPr>
      <w:r w:rsidRPr="003E109C">
        <w:rPr>
          <w:rStyle w:val="FootnoteReference"/>
        </w:rPr>
        <w:footnoteRef/>
      </w:r>
      <w:r w:rsidRPr="003E109C">
        <w:t xml:space="preserve"> </w:t>
      </w:r>
      <w:r w:rsidRPr="00D17E17">
        <w:rPr>
          <w:i/>
          <w:iCs/>
        </w:rPr>
        <w:t>See</w:t>
      </w:r>
      <w:r w:rsidRPr="003E109C">
        <w:t xml:space="preserve"> D.17-12-004 (dairy pilot program) and D.15-06-029; D.16-12-043; and D.19-12-009 (biomethane interconnection incentive program).</w:t>
      </w:r>
    </w:p>
  </w:footnote>
  <w:footnote w:id="59">
    <w:p w14:paraId="7CFCF018" w14:textId="4B4A3093" w:rsidR="001412FF" w:rsidRDefault="001412FF" w:rsidP="00EE54D9">
      <w:pPr>
        <w:pStyle w:val="FootnoteText"/>
      </w:pPr>
      <w:r w:rsidRPr="00CD3217">
        <w:rPr>
          <w:rStyle w:val="FootnoteReference"/>
        </w:rPr>
        <w:footnoteRef/>
      </w:r>
      <w:r w:rsidRPr="00CD3217">
        <w:t xml:space="preserve"> These requirements are modeled on the measures adopted by the Commission for Bioenergy Renewable Auction Mechanism Program procurement in D. 18-12-003 and Resolution E-4977 (January 31, 2019</w:t>
      </w:r>
      <w:r>
        <w:t xml:space="preserve"> </w:t>
      </w:r>
      <w:r w:rsidRPr="00CD3217">
        <w:t>at 15 to16), to monitor whether facilities providing sustainable forestry feedstock for electricity generation complied with air pollution control requirements.</w:t>
      </w:r>
    </w:p>
  </w:footnote>
  <w:footnote w:id="60">
    <w:p w14:paraId="0E93C421" w14:textId="77777777" w:rsidR="001412FF" w:rsidRDefault="001412FF" w:rsidP="00EE54D9">
      <w:pPr>
        <w:pStyle w:val="FootnoteText"/>
      </w:pPr>
      <w:r>
        <w:rPr>
          <w:rStyle w:val="FootnoteReference"/>
        </w:rPr>
        <w:footnoteRef/>
      </w:r>
      <w:r>
        <w:t xml:space="preserve">  As discussed earlier, </w:t>
      </w:r>
      <w:r w:rsidRPr="00932E0D">
        <w:t xml:space="preserve">SoCalGas’ Gas Acquisition Department would purchase RNG on behalf of both SoCalGas’ and SDG&amp;E’s program participants procuring RNG supplies from sources within California and out-of-state.  </w:t>
      </w:r>
    </w:p>
  </w:footnote>
  <w:footnote w:id="61">
    <w:p w14:paraId="55D7DFC2" w14:textId="77777777" w:rsidR="001412FF" w:rsidRDefault="001412FF" w:rsidP="00EE54D9">
      <w:pPr>
        <w:pStyle w:val="FootnoteText"/>
      </w:pPr>
      <w:r>
        <w:rPr>
          <w:rStyle w:val="FootnoteReference"/>
        </w:rPr>
        <w:footnoteRef/>
      </w:r>
      <w:r>
        <w:t xml:space="preserve">  17 CCR </w:t>
      </w:r>
      <w:r w:rsidRPr="00DC2BED">
        <w:rPr>
          <w:szCs w:val="22"/>
        </w:rPr>
        <w:t>§</w:t>
      </w:r>
      <w:r>
        <w:rPr>
          <w:szCs w:val="22"/>
        </w:rPr>
        <w:t> 95852.1.</w:t>
      </w:r>
    </w:p>
  </w:footnote>
  <w:footnote w:id="62">
    <w:p w14:paraId="59574D64" w14:textId="77777777" w:rsidR="001412FF" w:rsidRDefault="001412FF" w:rsidP="001C4A46">
      <w:pPr>
        <w:pStyle w:val="FootnoteText"/>
      </w:pPr>
      <w:r>
        <w:rPr>
          <w:rStyle w:val="FootnoteReference"/>
        </w:rPr>
        <w:footnoteRef/>
      </w:r>
      <w:r>
        <w:t xml:space="preserve">  </w:t>
      </w:r>
      <w:r w:rsidRPr="00D511E9">
        <w:rPr>
          <w:i/>
          <w:iCs/>
        </w:rPr>
        <w:t>Id.</w:t>
      </w:r>
      <w:r>
        <w:t>, Attachment A at 19.</w:t>
      </w:r>
    </w:p>
  </w:footnote>
  <w:footnote w:id="63">
    <w:p w14:paraId="5F6E0455" w14:textId="29F6F804" w:rsidR="001412FF" w:rsidRDefault="001412FF" w:rsidP="00E94554">
      <w:pPr>
        <w:pStyle w:val="FootnoteText"/>
      </w:pPr>
      <w:r>
        <w:rPr>
          <w:rStyle w:val="FootnoteReference"/>
        </w:rPr>
        <w:footnoteRef/>
      </w:r>
      <w:r>
        <w:t xml:space="preserve"> </w:t>
      </w:r>
      <w:r w:rsidRPr="001D1D16">
        <w:rPr>
          <w:i/>
          <w:iCs/>
        </w:rPr>
        <w:t>See</w:t>
      </w:r>
      <w:r>
        <w:t xml:space="preserve"> Pub. Util. Code Sections 1802(j) and 1803(a).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FDD09" w14:textId="4E555E55" w:rsidR="001412FF" w:rsidRDefault="001412FF" w:rsidP="00EE4315">
    <w:pPr>
      <w:pStyle w:val="Header"/>
      <w:tabs>
        <w:tab w:val="clear" w:pos="4680"/>
      </w:tabs>
      <w:ind w:firstLine="0"/>
      <w:rPr>
        <w:b/>
      </w:rPr>
    </w:pPr>
    <w:r>
      <w:t>A.19-02-</w:t>
    </w:r>
    <w:proofErr w:type="gramStart"/>
    <w:r>
      <w:t>015  ALJ</w:t>
    </w:r>
    <w:proofErr w:type="gramEnd"/>
    <w:r>
      <w:t>/SCL/</w:t>
    </w:r>
    <w:proofErr w:type="spellStart"/>
    <w:r>
      <w:t>avs</w:t>
    </w:r>
    <w:proofErr w:type="spellEnd"/>
    <w:r>
      <w:tab/>
    </w:r>
  </w:p>
  <w:p w14:paraId="6B9F70B8" w14:textId="77777777" w:rsidR="001412FF" w:rsidRDefault="001412FF" w:rsidP="00B3087D">
    <w:pPr>
      <w:pStyle w:val="Header"/>
      <w:tabs>
        <w:tab w:val="clear" w:pos="4680"/>
      </w:tabs>
      <w:ind w:firstLine="0"/>
      <w:rPr>
        <w:i/>
        <w:color w:val="FF0000"/>
      </w:rPr>
    </w:pPr>
  </w:p>
  <w:p w14:paraId="5EB42380" w14:textId="77777777" w:rsidR="001412FF" w:rsidRPr="00B3087D" w:rsidRDefault="001412FF" w:rsidP="00B3087D">
    <w:pPr>
      <w:pStyle w:val="Header"/>
      <w:tabs>
        <w:tab w:val="clear" w:pos="4680"/>
      </w:tabs>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4A2A" w14:textId="3C10C4A9" w:rsidR="001412FF" w:rsidRDefault="001412FF" w:rsidP="00EA0775">
    <w:pPr>
      <w:pStyle w:val="Header"/>
      <w:tabs>
        <w:tab w:val="clear" w:pos="4680"/>
      </w:tabs>
      <w:ind w:firstLine="0"/>
      <w:rPr>
        <w:b/>
      </w:rPr>
    </w:pPr>
    <w:bookmarkStart w:id="57" w:name="_Hlk54278156"/>
    <w:bookmarkStart w:id="58" w:name="_Hlk54278157"/>
    <w:r>
      <w:t>A.19-02-</w:t>
    </w:r>
    <w:proofErr w:type="gramStart"/>
    <w:r>
      <w:t>015  ALJ</w:t>
    </w:r>
    <w:proofErr w:type="gramEnd"/>
    <w:r>
      <w:t>/SCL/</w:t>
    </w:r>
    <w:proofErr w:type="spellStart"/>
    <w:r>
      <w:t>avs</w:t>
    </w:r>
    <w:proofErr w:type="spellEnd"/>
    <w:r>
      <w:tab/>
    </w:r>
  </w:p>
  <w:p w14:paraId="3317072F" w14:textId="157B62A7" w:rsidR="001412FF" w:rsidRDefault="001412FF" w:rsidP="00EA0775">
    <w:pPr>
      <w:pStyle w:val="Header"/>
      <w:tabs>
        <w:tab w:val="clear" w:pos="4680"/>
      </w:tabs>
      <w:ind w:firstLine="0"/>
      <w:rPr>
        <w:i/>
      </w:rPr>
    </w:pPr>
  </w:p>
  <w:bookmarkEnd w:id="57"/>
  <w:bookmarkEnd w:id="58"/>
  <w:p w14:paraId="39846C92" w14:textId="77777777" w:rsidR="001412FF" w:rsidRPr="000D44BB" w:rsidRDefault="001412FF" w:rsidP="00EA0775">
    <w:pPr>
      <w:pStyle w:val="Header"/>
      <w:tabs>
        <w:tab w:val="clear" w:pos="4680"/>
      </w:tabs>
      <w:ind w:firstLine="0"/>
      <w:rPr>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1E9C" w14:textId="412C6C1E" w:rsidR="001412FF" w:rsidRDefault="001412FF" w:rsidP="00CE18D5">
    <w:pPr>
      <w:pStyle w:val="Header"/>
      <w:tabs>
        <w:tab w:val="clear" w:pos="4680"/>
      </w:tabs>
      <w:ind w:firstLine="0"/>
      <w:rPr>
        <w:b/>
      </w:rPr>
    </w:pPr>
    <w:r>
      <w:t>A.19-02-</w:t>
    </w:r>
    <w:proofErr w:type="gramStart"/>
    <w:r>
      <w:t>015  ALJ</w:t>
    </w:r>
    <w:proofErr w:type="gramEnd"/>
    <w:r>
      <w:t>/SCL/</w:t>
    </w:r>
    <w:proofErr w:type="spellStart"/>
    <w:r>
      <w:t>avs</w:t>
    </w:r>
    <w:proofErr w:type="spellEnd"/>
    <w:r>
      <w:tab/>
    </w:r>
  </w:p>
  <w:p w14:paraId="5763CABA" w14:textId="77777777" w:rsidR="001412FF" w:rsidRDefault="001412FF" w:rsidP="00CE18D5">
    <w:pPr>
      <w:pStyle w:val="Header"/>
      <w:tabs>
        <w:tab w:val="clear" w:pos="4680"/>
      </w:tabs>
      <w:ind w:firstLine="0"/>
      <w:rPr>
        <w:i/>
      </w:rPr>
    </w:pPr>
  </w:p>
  <w:p w14:paraId="2A653629" w14:textId="77777777" w:rsidR="001412FF" w:rsidRPr="000D44BB" w:rsidRDefault="001412FF" w:rsidP="00CE18D5">
    <w:pPr>
      <w:pStyle w:val="Header"/>
      <w:tabs>
        <w:tab w:val="clear" w:pos="4680"/>
      </w:tabs>
      <w:ind w:firstLine="0"/>
      <w:rPr>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F721" w14:textId="44FA8696" w:rsidR="001412FF" w:rsidRDefault="001412FF" w:rsidP="00EA0775">
    <w:pPr>
      <w:pStyle w:val="Header"/>
      <w:tabs>
        <w:tab w:val="clear" w:pos="4680"/>
      </w:tabs>
      <w:ind w:firstLine="0"/>
      <w:rPr>
        <w:b/>
      </w:rPr>
    </w:pPr>
    <w:r>
      <w:t>A.19-02-</w:t>
    </w:r>
    <w:proofErr w:type="gramStart"/>
    <w:r>
      <w:t>015  ALJ</w:t>
    </w:r>
    <w:proofErr w:type="gramEnd"/>
    <w:r>
      <w:t>/SCL/</w:t>
    </w:r>
    <w:proofErr w:type="spellStart"/>
    <w:r>
      <w:t>avs</w:t>
    </w:r>
    <w:proofErr w:type="spellEnd"/>
    <w:r>
      <w:tab/>
    </w:r>
  </w:p>
  <w:p w14:paraId="32DF3FDA" w14:textId="77777777" w:rsidR="001412FF" w:rsidRPr="000D44BB" w:rsidRDefault="001412FF" w:rsidP="00EA0775">
    <w:pPr>
      <w:pStyle w:val="Header"/>
      <w:tabs>
        <w:tab w:val="clear" w:pos="4680"/>
      </w:tabs>
      <w:ind w:firstLine="0"/>
      <w:rPr>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34AC" w14:textId="3AD97F6F" w:rsidR="001412FF" w:rsidRDefault="001412FF" w:rsidP="00CE18D5">
    <w:pPr>
      <w:pStyle w:val="Header"/>
      <w:tabs>
        <w:tab w:val="clear" w:pos="4680"/>
      </w:tabs>
      <w:ind w:firstLine="0"/>
      <w:rPr>
        <w:b/>
      </w:rPr>
    </w:pPr>
    <w:r>
      <w:t>A.19-02-</w:t>
    </w:r>
    <w:proofErr w:type="gramStart"/>
    <w:r>
      <w:t>015  ALJ</w:t>
    </w:r>
    <w:proofErr w:type="gramEnd"/>
    <w:r>
      <w:t>/SCL/</w:t>
    </w:r>
    <w:proofErr w:type="spellStart"/>
    <w:r>
      <w:t>avs</w:t>
    </w:r>
    <w:proofErr w:type="spellEnd"/>
    <w:r>
      <w:tab/>
    </w:r>
  </w:p>
  <w:p w14:paraId="650FF6E0" w14:textId="77777777" w:rsidR="001412FF" w:rsidRDefault="001412FF" w:rsidP="00CE18D5">
    <w:pPr>
      <w:pStyle w:val="Header"/>
      <w:tabs>
        <w:tab w:val="clear" w:pos="4680"/>
      </w:tabs>
      <w:ind w:firstLine="0"/>
      <w:rPr>
        <w:i/>
      </w:rPr>
    </w:pPr>
  </w:p>
  <w:p w14:paraId="307ED401" w14:textId="77777777" w:rsidR="001412FF" w:rsidRPr="000D44BB" w:rsidRDefault="001412FF" w:rsidP="00CE18D5">
    <w:pPr>
      <w:pStyle w:val="Header"/>
      <w:tabs>
        <w:tab w:val="clear" w:pos="4680"/>
      </w:tabs>
      <w:ind w:firstLine="0"/>
      <w:rPr>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A675" w14:textId="3F77B2C5" w:rsidR="001412FF" w:rsidRDefault="001412FF" w:rsidP="00CE18D5">
    <w:pPr>
      <w:pStyle w:val="Header"/>
      <w:tabs>
        <w:tab w:val="clear" w:pos="4680"/>
      </w:tabs>
      <w:ind w:firstLine="0"/>
      <w:rPr>
        <w:b/>
      </w:rPr>
    </w:pPr>
    <w:r>
      <w:t>A.19-02-</w:t>
    </w:r>
    <w:proofErr w:type="gramStart"/>
    <w:r>
      <w:t>015  ALJ</w:t>
    </w:r>
    <w:proofErr w:type="gramEnd"/>
    <w:r>
      <w:t>/SCL/</w:t>
    </w:r>
    <w:proofErr w:type="spellStart"/>
    <w:r>
      <w:t>avs</w:t>
    </w:r>
    <w:proofErr w:type="spellEnd"/>
    <w:r>
      <w:tab/>
    </w:r>
  </w:p>
  <w:p w14:paraId="263CED7C" w14:textId="77777777" w:rsidR="001412FF" w:rsidRDefault="001412FF" w:rsidP="00CE18D5">
    <w:pPr>
      <w:pStyle w:val="Header"/>
      <w:tabs>
        <w:tab w:val="clear" w:pos="4680"/>
      </w:tabs>
      <w:ind w:firstLine="0"/>
      <w:rPr>
        <w:i/>
      </w:rPr>
    </w:pPr>
  </w:p>
  <w:p w14:paraId="0A6F80EC" w14:textId="77777777" w:rsidR="001412FF" w:rsidRPr="000D44BB" w:rsidRDefault="001412FF" w:rsidP="00CE18D5">
    <w:pPr>
      <w:pStyle w:val="Header"/>
      <w:tabs>
        <w:tab w:val="clear" w:pos="4680"/>
      </w:tabs>
      <w:ind w:firstLine="0"/>
      <w:rPr>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8E2E" w14:textId="6E11F745" w:rsidR="001412FF" w:rsidRDefault="001412FF" w:rsidP="00CE18D5">
    <w:pPr>
      <w:pStyle w:val="Header"/>
      <w:tabs>
        <w:tab w:val="clear" w:pos="4680"/>
      </w:tabs>
      <w:ind w:firstLine="0"/>
      <w:rPr>
        <w:b/>
      </w:rPr>
    </w:pPr>
    <w:r>
      <w:t>A.19-02-</w:t>
    </w:r>
    <w:proofErr w:type="gramStart"/>
    <w:r>
      <w:t>015  ALJ</w:t>
    </w:r>
    <w:proofErr w:type="gramEnd"/>
    <w:r>
      <w:t>/SCL/</w:t>
    </w:r>
    <w:proofErr w:type="spellStart"/>
    <w:r>
      <w:t>avs</w:t>
    </w:r>
    <w:proofErr w:type="spellEnd"/>
    <w:r>
      <w:tab/>
    </w:r>
  </w:p>
  <w:p w14:paraId="387F2A72" w14:textId="77777777" w:rsidR="001412FF" w:rsidRDefault="001412FF" w:rsidP="00CE18D5">
    <w:pPr>
      <w:pStyle w:val="Header"/>
      <w:tabs>
        <w:tab w:val="clear" w:pos="4680"/>
      </w:tabs>
      <w:ind w:firstLine="0"/>
      <w:rPr>
        <w:i/>
      </w:rPr>
    </w:pPr>
  </w:p>
  <w:p w14:paraId="018C3587" w14:textId="77777777" w:rsidR="001412FF" w:rsidRPr="000D44BB" w:rsidRDefault="001412FF" w:rsidP="00CE18D5">
    <w:pPr>
      <w:pStyle w:val="Header"/>
      <w:tabs>
        <w:tab w:val="clear" w:pos="4680"/>
      </w:tabs>
      <w:ind w:firstLine="0"/>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9922D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E3234"/>
    <w:multiLevelType w:val="hybridMultilevel"/>
    <w:tmpl w:val="FBEAF0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830066"/>
    <w:multiLevelType w:val="hybridMultilevel"/>
    <w:tmpl w:val="E1866A56"/>
    <w:lvl w:ilvl="0" w:tplc="0409000F">
      <w:start w:val="1"/>
      <w:numFmt w:val="decimal"/>
      <w:lvlText w:val="%1."/>
      <w:lvlJc w:val="left"/>
      <w:pPr>
        <w:ind w:left="180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01A28"/>
    <w:multiLevelType w:val="hybridMultilevel"/>
    <w:tmpl w:val="36769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C1C14"/>
    <w:multiLevelType w:val="hybridMultilevel"/>
    <w:tmpl w:val="18F4A5AC"/>
    <w:styleLink w:val="FoFCoLOP"/>
    <w:lvl w:ilvl="0" w:tplc="41084D7A">
      <w:start w:val="1"/>
      <w:numFmt w:val="decimal"/>
      <w:lvlText w:val="%1."/>
      <w:lvlJc w:val="right"/>
      <w:pPr>
        <w:ind w:left="0" w:firstLine="540"/>
      </w:pPr>
      <w:rPr>
        <w:rFonts w:hint="default"/>
      </w:rPr>
    </w:lvl>
    <w:lvl w:ilvl="1" w:tplc="CE00632C">
      <w:start w:val="1"/>
      <w:numFmt w:val="lowerLetter"/>
      <w:lvlText w:val="(%2)"/>
      <w:lvlJc w:val="right"/>
      <w:pPr>
        <w:ind w:left="1152" w:hanging="72"/>
      </w:pPr>
      <w:rPr>
        <w:rFonts w:hint="default"/>
      </w:rPr>
    </w:lvl>
    <w:lvl w:ilvl="2" w:tplc="1F267728">
      <w:start w:val="1"/>
      <w:numFmt w:val="none"/>
      <w:lvlText w:val=""/>
      <w:lvlJc w:val="left"/>
      <w:pPr>
        <w:ind w:left="720" w:firstLine="0"/>
      </w:pPr>
      <w:rPr>
        <w:rFonts w:hint="default"/>
      </w:rPr>
    </w:lvl>
    <w:lvl w:ilvl="3" w:tplc="D9005064">
      <w:start w:val="1"/>
      <w:numFmt w:val="none"/>
      <w:lvlText w:val=""/>
      <w:lvlJc w:val="left"/>
      <w:pPr>
        <w:ind w:left="720" w:firstLine="0"/>
      </w:pPr>
      <w:rPr>
        <w:rFonts w:hint="default"/>
      </w:rPr>
    </w:lvl>
    <w:lvl w:ilvl="4" w:tplc="93629E64">
      <w:start w:val="1"/>
      <w:numFmt w:val="none"/>
      <w:lvlText w:val=""/>
      <w:lvlJc w:val="left"/>
      <w:pPr>
        <w:ind w:left="720" w:firstLine="0"/>
      </w:pPr>
      <w:rPr>
        <w:rFonts w:hint="default"/>
      </w:rPr>
    </w:lvl>
    <w:lvl w:ilvl="5" w:tplc="E60AB5A6">
      <w:start w:val="1"/>
      <w:numFmt w:val="none"/>
      <w:lvlText w:val=""/>
      <w:lvlJc w:val="left"/>
      <w:pPr>
        <w:ind w:left="720" w:firstLine="0"/>
      </w:pPr>
      <w:rPr>
        <w:rFonts w:hint="default"/>
      </w:rPr>
    </w:lvl>
    <w:lvl w:ilvl="6" w:tplc="11EC0878">
      <w:start w:val="1"/>
      <w:numFmt w:val="none"/>
      <w:lvlText w:val=""/>
      <w:lvlJc w:val="left"/>
      <w:pPr>
        <w:ind w:left="720" w:firstLine="0"/>
      </w:pPr>
      <w:rPr>
        <w:rFonts w:hint="default"/>
      </w:rPr>
    </w:lvl>
    <w:lvl w:ilvl="7" w:tplc="56CC3CDA">
      <w:start w:val="1"/>
      <w:numFmt w:val="none"/>
      <w:lvlText w:val=""/>
      <w:lvlJc w:val="left"/>
      <w:pPr>
        <w:ind w:left="720" w:firstLine="0"/>
      </w:pPr>
      <w:rPr>
        <w:rFonts w:hint="default"/>
      </w:rPr>
    </w:lvl>
    <w:lvl w:ilvl="8" w:tplc="DD2EEDD8">
      <w:start w:val="1"/>
      <w:numFmt w:val="none"/>
      <w:lvlText w:val=""/>
      <w:lvlJc w:val="left"/>
      <w:pPr>
        <w:ind w:left="720" w:firstLine="0"/>
      </w:pPr>
      <w:rPr>
        <w:rFonts w:hint="default"/>
      </w:rPr>
    </w:lvl>
  </w:abstractNum>
  <w:abstractNum w:abstractNumId="5" w15:restartNumberingAfterBreak="0">
    <w:nsid w:val="15F056CB"/>
    <w:multiLevelType w:val="hybridMultilevel"/>
    <w:tmpl w:val="18F4A5AC"/>
    <w:numStyleLink w:val="FoFCoLOP"/>
  </w:abstractNum>
  <w:abstractNum w:abstractNumId="6" w15:restartNumberingAfterBreak="0">
    <w:nsid w:val="20B921A8"/>
    <w:multiLevelType w:val="multilevel"/>
    <w:tmpl w:val="7EF850D0"/>
    <w:lvl w:ilvl="0">
      <w:start w:val="1"/>
      <w:numFmt w:val="decimal"/>
      <w:pStyle w:val="FoF"/>
      <w:lvlText w:val="%1."/>
      <w:lvlJc w:val="right"/>
      <w:pPr>
        <w:ind w:left="-90" w:firstLine="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right"/>
      <w:pPr>
        <w:ind w:left="1062" w:hanging="72"/>
      </w:pPr>
      <w:rPr>
        <w:rFonts w:hint="default"/>
      </w:rPr>
    </w:lvl>
    <w:lvl w:ilvl="2">
      <w:start w:val="1"/>
      <w:numFmt w:val="none"/>
      <w:lvlText w:val=""/>
      <w:lvlJc w:val="left"/>
      <w:pPr>
        <w:ind w:left="630" w:firstLine="0"/>
      </w:pPr>
      <w:rPr>
        <w:rFonts w:hint="default"/>
      </w:rPr>
    </w:lvl>
    <w:lvl w:ilvl="3">
      <w:start w:val="1"/>
      <w:numFmt w:val="lowerRoman"/>
      <w:lvlText w:val="%4."/>
      <w:lvlJc w:val="right"/>
      <w:pPr>
        <w:ind w:left="630" w:firstLine="0"/>
      </w:pPr>
      <w:rPr>
        <w:rFonts w:hint="default"/>
      </w:rPr>
    </w:lvl>
    <w:lvl w:ilvl="4">
      <w:start w:val="1"/>
      <w:numFmt w:val="none"/>
      <w:lvlText w:val=""/>
      <w:lvlJc w:val="left"/>
      <w:pPr>
        <w:ind w:left="630" w:firstLine="0"/>
      </w:pPr>
      <w:rPr>
        <w:rFonts w:hint="default"/>
      </w:rPr>
    </w:lvl>
    <w:lvl w:ilvl="5">
      <w:start w:val="1"/>
      <w:numFmt w:val="none"/>
      <w:lvlText w:val=""/>
      <w:lvlJc w:val="left"/>
      <w:pPr>
        <w:ind w:left="630" w:firstLine="0"/>
      </w:pPr>
      <w:rPr>
        <w:rFonts w:hint="default"/>
      </w:rPr>
    </w:lvl>
    <w:lvl w:ilvl="6">
      <w:start w:val="1"/>
      <w:numFmt w:val="none"/>
      <w:lvlText w:val=""/>
      <w:lvlJc w:val="left"/>
      <w:pPr>
        <w:ind w:left="630" w:firstLine="0"/>
      </w:pPr>
      <w:rPr>
        <w:rFonts w:hint="default"/>
      </w:rPr>
    </w:lvl>
    <w:lvl w:ilvl="7">
      <w:start w:val="1"/>
      <w:numFmt w:val="none"/>
      <w:lvlText w:val=""/>
      <w:lvlJc w:val="left"/>
      <w:pPr>
        <w:ind w:left="630" w:firstLine="0"/>
      </w:pPr>
      <w:rPr>
        <w:rFonts w:hint="default"/>
      </w:rPr>
    </w:lvl>
    <w:lvl w:ilvl="8">
      <w:start w:val="1"/>
      <w:numFmt w:val="none"/>
      <w:lvlText w:val=""/>
      <w:lvlJc w:val="left"/>
      <w:pPr>
        <w:ind w:left="630" w:firstLine="0"/>
      </w:pPr>
      <w:rPr>
        <w:rFonts w:hint="default"/>
      </w:rPr>
    </w:lvl>
  </w:abstractNum>
  <w:abstractNum w:abstractNumId="7" w15:restartNumberingAfterBreak="0">
    <w:nsid w:val="2D0F504C"/>
    <w:multiLevelType w:val="hybridMultilevel"/>
    <w:tmpl w:val="98DE1C12"/>
    <w:lvl w:ilvl="0" w:tplc="48A2CF2C">
      <w:start w:val="1"/>
      <w:numFmt w:val="lowerRoman"/>
      <w:lvlText w:val="%1)"/>
      <w:lvlJc w:val="left"/>
      <w:pPr>
        <w:ind w:left="360" w:hanging="360"/>
      </w:pPr>
      <w:rPr>
        <w:rFonts w:ascii="TimesNewRomanPSMT" w:eastAsiaTheme="minorHAnsi" w:hAnsi="TimesNewRomanPSMT" w:cs="TimesNewRomanPSM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9" w15:restartNumberingAfterBreak="0">
    <w:nsid w:val="3FF011AE"/>
    <w:multiLevelType w:val="hybridMultilevel"/>
    <w:tmpl w:val="FC084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407FCC"/>
    <w:multiLevelType w:val="hybridMultilevel"/>
    <w:tmpl w:val="997CB05C"/>
    <w:lvl w:ilvl="0" w:tplc="EC7E5124">
      <w:start w:val="1"/>
      <w:numFmt w:val="upperRoman"/>
      <w:lvlText w:val="%1."/>
      <w:lvlJc w:val="left"/>
      <w:pPr>
        <w:ind w:left="1080" w:hanging="720"/>
      </w:pPr>
      <w:rPr>
        <w:rFonts w:hint="default"/>
      </w:rPr>
    </w:lvl>
    <w:lvl w:ilvl="1" w:tplc="7060B53C">
      <w:start w:val="1"/>
      <w:numFmt w:val="upperLetter"/>
      <w:lvlText w:val="%2."/>
      <w:lvlJc w:val="left"/>
      <w:pPr>
        <w:ind w:left="1440" w:hanging="360"/>
      </w:pPr>
      <w:rPr>
        <w:rFonts w:hint="default"/>
      </w:rPr>
    </w:lvl>
    <w:lvl w:ilvl="2" w:tplc="423A0458">
      <w:start w:val="1"/>
      <w:numFmt w:val="decimal"/>
      <w:lvlText w:val="%3."/>
      <w:lvlJc w:val="left"/>
      <w:pPr>
        <w:ind w:left="1710" w:hanging="180"/>
      </w:pPr>
      <w:rPr>
        <w:rFonts w:hint="default"/>
        <w:strike w:val="0"/>
      </w:r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51B26F7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042D7"/>
    <w:multiLevelType w:val="hybridMultilevel"/>
    <w:tmpl w:val="18F4A5AC"/>
    <w:numStyleLink w:val="FoFCoLOP"/>
  </w:abstractNum>
  <w:abstractNum w:abstractNumId="12" w15:restartNumberingAfterBreak="0">
    <w:nsid w:val="5C8110A1"/>
    <w:multiLevelType w:val="hybridMultilevel"/>
    <w:tmpl w:val="98DE1C12"/>
    <w:lvl w:ilvl="0" w:tplc="48A2CF2C">
      <w:start w:val="1"/>
      <w:numFmt w:val="lowerRoman"/>
      <w:lvlText w:val="%1)"/>
      <w:lvlJc w:val="left"/>
      <w:pPr>
        <w:ind w:left="360" w:hanging="360"/>
      </w:pPr>
      <w:rPr>
        <w:rFonts w:ascii="TimesNewRomanPSMT" w:eastAsiaTheme="minorHAnsi" w:hAnsi="TimesNewRomanPSMT" w:cs="TimesNewRomanPSM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A25780"/>
    <w:multiLevelType w:val="hybridMultilevel"/>
    <w:tmpl w:val="3C526EDE"/>
    <w:numStyleLink w:val="Headings"/>
  </w:abstractNum>
  <w:abstractNum w:abstractNumId="14" w15:restartNumberingAfterBreak="0">
    <w:nsid w:val="665B0166"/>
    <w:multiLevelType w:val="hybridMultilevel"/>
    <w:tmpl w:val="C546AA4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C472B0E"/>
    <w:multiLevelType w:val="hybridMultilevel"/>
    <w:tmpl w:val="B4001566"/>
    <w:lvl w:ilvl="0" w:tplc="EC7E5124">
      <w:start w:val="1"/>
      <w:numFmt w:val="upperRoman"/>
      <w:lvlText w:val="%1."/>
      <w:lvlJc w:val="left"/>
      <w:pPr>
        <w:ind w:left="1080" w:hanging="720"/>
      </w:pPr>
      <w:rPr>
        <w:rFonts w:hint="default"/>
      </w:rPr>
    </w:lvl>
    <w:lvl w:ilvl="1" w:tplc="7060B53C">
      <w:start w:val="1"/>
      <w:numFmt w:val="upperLetter"/>
      <w:lvlText w:val="%2."/>
      <w:lvlJc w:val="left"/>
      <w:pPr>
        <w:ind w:left="1440" w:hanging="360"/>
      </w:pPr>
      <w:rPr>
        <w:rFonts w:hint="default"/>
      </w:rPr>
    </w:lvl>
    <w:lvl w:ilvl="2" w:tplc="F702CC4E">
      <w:start w:val="1"/>
      <w:numFmt w:val="decimal"/>
      <w:lvlText w:val="%3."/>
      <w:lvlJc w:val="left"/>
      <w:pPr>
        <w:ind w:left="1710" w:hanging="180"/>
      </w:pPr>
      <w:rPr>
        <w:rFonts w:hint="default"/>
      </w:r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51B26F7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A0AFE"/>
    <w:multiLevelType w:val="hybridMultilevel"/>
    <w:tmpl w:val="18F4A5AC"/>
    <w:numStyleLink w:val="FoFCoLOP"/>
  </w:abstractNum>
  <w:abstractNum w:abstractNumId="17" w15:restartNumberingAfterBreak="0">
    <w:nsid w:val="7C593D76"/>
    <w:multiLevelType w:val="hybridMultilevel"/>
    <w:tmpl w:val="294241C4"/>
    <w:lvl w:ilvl="0" w:tplc="7060B53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 w:ilvl="0" w:tplc="73700BEC">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tplc="C1F216FC">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tplc="1CA696F6">
        <w:start w:val="1"/>
        <w:numFmt w:val="decimal"/>
        <w:pStyle w:val="Heading3"/>
        <w:lvlText w:val="%1.%2.%3."/>
        <w:lvlJc w:val="left"/>
        <w:pPr>
          <w:tabs>
            <w:tab w:val="num" w:pos="1656"/>
          </w:tabs>
          <w:ind w:left="1656" w:hanging="936"/>
        </w:pPr>
        <w:rPr>
          <w:rFonts w:ascii="Arial" w:hAnsi="Arial" w:hint="default"/>
          <w:b/>
          <w:bCs w:val="0"/>
          <w:i w:val="0"/>
          <w:iCs w:val="0"/>
          <w:caps w:val="0"/>
          <w:strike w:val="0"/>
          <w:dstrike w:val="0"/>
          <w:outline w:val="0"/>
          <w:shadow w:val="0"/>
          <w:emboss w:val="0"/>
          <w:imprint w:val="0"/>
          <w:vanish w:val="0"/>
          <w:spacing w:val="0"/>
          <w:w w:val="100"/>
          <w:kern w:val="0"/>
          <w:position w:val="0"/>
          <w:sz w:val="26"/>
          <w:u w:val="none"/>
          <w:effect w:val="none"/>
          <w:vertAlign w:val="baseline"/>
          <w:em w:val="none"/>
          <w14:ligatures w14:val="none"/>
          <w14:numForm w14:val="default"/>
          <w14:numSpacing w14:val="default"/>
          <w14:stylisticSets/>
          <w14:cntxtAlts w14:val="0"/>
        </w:rPr>
      </w:lvl>
    </w:lvlOverride>
    <w:lvlOverride w:ilvl="3">
      <w:lvl w:ilvl="3" w:tplc="C318ECB6">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tplc="AAF86CFC">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tplc="966C1B8C">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tplc="1876C544">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tplc="73503F40">
        <w:start w:val="1"/>
        <w:numFmt w:val="lowerLetter"/>
        <w:pStyle w:val="ListAlpha"/>
        <w:lvlText w:val="%8."/>
        <w:lvlJc w:val="left"/>
        <w:pPr>
          <w:ind w:left="1080" w:hanging="360"/>
        </w:pPr>
        <w:rPr>
          <w:rFonts w:ascii="Book Antiqua" w:hAnsi="Book Antiqua" w:hint="default"/>
          <w:sz w:val="26"/>
        </w:rPr>
      </w:lvl>
    </w:lvlOverride>
    <w:lvlOverride w:ilvl="8">
      <w:lvl w:ilvl="8" w:tplc="0A6629A4">
        <w:start w:val="1"/>
        <w:numFmt w:val="none"/>
        <w:lvlText w:val=""/>
        <w:lvlJc w:val="left"/>
        <w:pPr>
          <w:ind w:left="3240" w:hanging="360"/>
        </w:pPr>
        <w:rPr>
          <w:rFonts w:hint="default"/>
        </w:rPr>
      </w:lvl>
    </w:lvlOverride>
  </w:num>
  <w:num w:numId="2">
    <w:abstractNumId w:val="4"/>
  </w:num>
  <w:num w:numId="3">
    <w:abstractNumId w:val="11"/>
  </w:num>
  <w:num w:numId="4">
    <w:abstractNumId w:val="5"/>
  </w:num>
  <w:num w:numId="5">
    <w:abstractNumId w:val="16"/>
  </w:num>
  <w:num w:numId="6">
    <w:abstractNumId w:val="8"/>
  </w:num>
  <w:num w:numId="7">
    <w:abstractNumId w:val="0"/>
  </w:num>
  <w:num w:numId="8">
    <w:abstractNumId w:val="13"/>
    <w:lvlOverride w:ilvl="0">
      <w:lvl w:ilvl="0" w:tplc="73700BEC">
        <w:numFmt w:val="decimal"/>
        <w:pStyle w:val="Heading1"/>
        <w:lvlText w:val=""/>
        <w:lvlJc w:val="left"/>
      </w:lvl>
    </w:lvlOverride>
    <w:lvlOverride w:ilvl="1">
      <w:lvl w:ilvl="1" w:tplc="C1F216FC">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tplc="1CA696F6">
        <w:start w:val="1"/>
        <w:numFmt w:val="decimal"/>
        <w:pStyle w:val="Heading3"/>
        <w:lvlText w:val="%1.%2.%3."/>
        <w:lvlJc w:val="left"/>
        <w:pPr>
          <w:tabs>
            <w:tab w:val="num" w:pos="1656"/>
          </w:tabs>
          <w:ind w:left="1656" w:hanging="93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9"/>
  </w:num>
  <w:num w:numId="10">
    <w:abstractNumId w:val="2"/>
  </w:num>
  <w:num w:numId="11">
    <w:abstractNumId w:val="10"/>
  </w:num>
  <w:num w:numId="12">
    <w:abstractNumId w:val="1"/>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 w:ilvl="0" w:tplc="7D5CA7AC">
        <w:start w:val="1"/>
        <w:numFmt w:val="decimal"/>
        <w:lvlText w:val="%1."/>
        <w:lvlJc w:val="right"/>
        <w:pPr>
          <w:ind w:left="0" w:firstLine="540"/>
        </w:pPr>
        <w:rPr>
          <w:rFonts w:hint="default"/>
        </w:rPr>
      </w:lvl>
    </w:lvlOverride>
  </w:num>
  <w:num w:numId="18">
    <w:abstractNumId w:val="11"/>
    <w:lvlOverride w:ilvl="0">
      <w:startOverride w:val="1"/>
      <w:lvl w:ilvl="0" w:tplc="D33664B2">
        <w:start w:val="1"/>
        <w:numFmt w:val="decimal"/>
        <w:lvlText w:val="%1."/>
        <w:lvlJc w:val="right"/>
        <w:pPr>
          <w:ind w:left="0" w:firstLine="540"/>
        </w:pPr>
        <w:rPr>
          <w:rFonts w:hint="default"/>
        </w:rPr>
      </w:lvl>
    </w:lvlOverride>
    <w:lvlOverride w:ilvl="1">
      <w:startOverride w:val="1"/>
      <w:lvl w:ilvl="1" w:tplc="72DA8A38">
        <w:start w:val="1"/>
        <w:numFmt w:val="decimal"/>
        <w:lvlText w:val=""/>
        <w:lvlJc w:val="left"/>
      </w:lvl>
    </w:lvlOverride>
    <w:lvlOverride w:ilvl="2">
      <w:startOverride w:val="1"/>
      <w:lvl w:ilvl="2" w:tplc="2B18B744">
        <w:start w:val="1"/>
        <w:numFmt w:val="decimal"/>
        <w:lvlText w:val=""/>
        <w:lvlJc w:val="left"/>
      </w:lvl>
    </w:lvlOverride>
    <w:lvlOverride w:ilvl="3">
      <w:startOverride w:val="1"/>
      <w:lvl w:ilvl="3" w:tplc="469A05CA">
        <w:start w:val="1"/>
        <w:numFmt w:val="decimal"/>
        <w:lvlText w:val=""/>
        <w:lvlJc w:val="left"/>
      </w:lvl>
    </w:lvlOverride>
    <w:lvlOverride w:ilvl="4">
      <w:startOverride w:val="1"/>
      <w:lvl w:ilvl="4" w:tplc="6ECE54B0">
        <w:start w:val="1"/>
        <w:numFmt w:val="decimal"/>
        <w:lvlText w:val=""/>
        <w:lvlJc w:val="left"/>
      </w:lvl>
    </w:lvlOverride>
  </w:num>
  <w:num w:numId="19">
    <w:abstractNumId w:val="11"/>
    <w:lvlOverride w:ilvl="0">
      <w:startOverride w:val="1"/>
      <w:lvl w:ilvl="0" w:tplc="D33664B2">
        <w:start w:val="1"/>
        <w:numFmt w:val="decimal"/>
        <w:lvlText w:val="%1."/>
        <w:lvlJc w:val="right"/>
        <w:pPr>
          <w:ind w:left="0" w:firstLine="540"/>
        </w:pPr>
        <w:rPr>
          <w:rFonts w:hint="default"/>
        </w:rPr>
      </w:lvl>
    </w:lvlOverride>
    <w:lvlOverride w:ilvl="1">
      <w:startOverride w:val="1"/>
      <w:lvl w:ilvl="1" w:tplc="72DA8A38">
        <w:start w:val="1"/>
        <w:numFmt w:val="decimal"/>
        <w:lvlText w:val=""/>
        <w:lvlJc w:val="left"/>
      </w:lvl>
    </w:lvlOverride>
    <w:lvlOverride w:ilvl="2">
      <w:startOverride w:val="1"/>
      <w:lvl w:ilvl="2" w:tplc="2B18B744">
        <w:start w:val="1"/>
        <w:numFmt w:val="decimal"/>
        <w:lvlText w:val=""/>
        <w:lvlJc w:val="left"/>
      </w:lvl>
    </w:lvlOverride>
    <w:lvlOverride w:ilvl="3">
      <w:startOverride w:val="1"/>
      <w:lvl w:ilvl="3" w:tplc="469A05CA">
        <w:start w:val="1"/>
        <w:numFmt w:val="decimal"/>
        <w:lvlText w:val=""/>
        <w:lvlJc w:val="left"/>
      </w:lvl>
    </w:lvlOverride>
    <w:lvlOverride w:ilvl="4">
      <w:startOverride w:val="1"/>
      <w:lvl w:ilvl="4" w:tplc="6ECE54B0">
        <w:start w:val="1"/>
        <w:numFmt w:val="decimal"/>
        <w:lvlText w:val=""/>
        <w:lvlJc w:val="left"/>
      </w:lvl>
    </w:lvlOverride>
    <w:lvlOverride w:ilvl="5">
      <w:startOverride w:val="1"/>
      <w:lvl w:ilvl="5" w:tplc="55FAEAA2">
        <w:start w:val="1"/>
        <w:numFmt w:val="decimal"/>
        <w:lvlText w:val=""/>
        <w:lvlJc w:val="left"/>
      </w:lvl>
    </w:lvlOverride>
    <w:lvlOverride w:ilvl="6">
      <w:startOverride w:val="1"/>
      <w:lvl w:ilvl="6" w:tplc="DA546208">
        <w:start w:val="1"/>
        <w:numFmt w:val="decimal"/>
        <w:lvlText w:val=""/>
        <w:lvlJc w:val="left"/>
      </w:lvl>
    </w:lvlOverride>
  </w:num>
  <w:num w:numId="20">
    <w:abstractNumId w:val="6"/>
  </w:num>
  <w:num w:numId="21">
    <w:abstractNumId w:val="14"/>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 w:ilvl="0" w:tplc="73700BEC">
        <w:numFmt w:val="decimal"/>
        <w:pStyle w:val="Heading1"/>
        <w:lvlText w:val=""/>
        <w:lvlJc w:val="left"/>
      </w:lvl>
    </w:lvlOverride>
    <w:lvlOverride w:ilvl="1">
      <w:lvl w:ilvl="1" w:tplc="C1F216FC">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tplc="1CA696F6">
        <w:start w:val="1"/>
        <w:numFmt w:val="decimal"/>
        <w:pStyle w:val="Heading3"/>
        <w:lvlText w:val="%1.%2.%3."/>
        <w:lvlJc w:val="left"/>
        <w:pPr>
          <w:tabs>
            <w:tab w:val="num" w:pos="1656"/>
          </w:tabs>
          <w:ind w:left="1656" w:hanging="93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13"/>
    <w:lvlOverride w:ilvl="0">
      <w:lvl w:ilvl="0" w:tplc="73700BEC">
        <w:numFmt w:val="decimal"/>
        <w:pStyle w:val="Heading1"/>
        <w:lvlText w:val=""/>
        <w:lvlJc w:val="left"/>
      </w:lvl>
    </w:lvlOverride>
    <w:lvlOverride w:ilvl="1">
      <w:lvl w:ilvl="1" w:tplc="C1F216FC">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tplc="1CA696F6">
        <w:start w:val="1"/>
        <w:numFmt w:val="decimal"/>
        <w:pStyle w:val="Heading3"/>
        <w:lvlText w:val="%1.%2.%3."/>
        <w:lvlJc w:val="left"/>
        <w:pPr>
          <w:tabs>
            <w:tab w:val="num" w:pos="1656"/>
          </w:tabs>
          <w:ind w:left="1656" w:hanging="93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3"/>
    <w:lvlOverride w:ilvl="0">
      <w:lvl w:ilvl="0" w:tplc="73700BEC">
        <w:start w:val="1"/>
        <w:numFmt w:val="decimal"/>
        <w:pStyle w:val="Heading1"/>
        <w:lvlText w:val="%1."/>
        <w:lvlJc w:val="left"/>
        <w:pPr>
          <w:ind w:left="360" w:hanging="360"/>
        </w:pPr>
      </w:lvl>
    </w:lvlOverride>
    <w:lvlOverride w:ilvl="1">
      <w:lvl w:ilvl="1" w:tplc="C1F216FC" w:tentative="1">
        <w:start w:val="1"/>
        <w:numFmt w:val="lowerLetter"/>
        <w:pStyle w:val="Heading2"/>
        <w:lvlText w:val="%2."/>
        <w:lvlJc w:val="left"/>
        <w:pPr>
          <w:ind w:left="1080" w:hanging="360"/>
        </w:pPr>
      </w:lvl>
    </w:lvlOverride>
    <w:lvlOverride w:ilvl="2">
      <w:lvl w:ilvl="2" w:tplc="1CA696F6" w:tentative="1">
        <w:start w:val="1"/>
        <w:numFmt w:val="lowerRoman"/>
        <w:pStyle w:val="Heading3"/>
        <w:lvlText w:val="%3."/>
        <w:lvlJc w:val="right"/>
        <w:pPr>
          <w:ind w:left="1800" w:hanging="180"/>
        </w:pPr>
      </w:lvl>
    </w:lvlOverride>
    <w:lvlOverride w:ilvl="3">
      <w:lvl w:ilvl="3" w:tplc="C318ECB6" w:tentative="1">
        <w:start w:val="1"/>
        <w:numFmt w:val="decimal"/>
        <w:pStyle w:val="Heading4"/>
        <w:lvlText w:val="%4."/>
        <w:lvlJc w:val="left"/>
        <w:pPr>
          <w:ind w:left="2520" w:hanging="360"/>
        </w:pPr>
      </w:lvl>
    </w:lvlOverride>
    <w:lvlOverride w:ilvl="4">
      <w:lvl w:ilvl="4" w:tplc="AAF86CFC" w:tentative="1">
        <w:start w:val="1"/>
        <w:numFmt w:val="lowerLetter"/>
        <w:pStyle w:val="Heading5"/>
        <w:lvlText w:val="%5."/>
        <w:lvlJc w:val="left"/>
        <w:pPr>
          <w:ind w:left="3240" w:hanging="360"/>
        </w:pPr>
      </w:lvl>
    </w:lvlOverride>
    <w:lvlOverride w:ilvl="5">
      <w:lvl w:ilvl="5" w:tplc="966C1B8C" w:tentative="1">
        <w:start w:val="1"/>
        <w:numFmt w:val="lowerRoman"/>
        <w:pStyle w:val="Heading6"/>
        <w:lvlText w:val="%6."/>
        <w:lvlJc w:val="right"/>
        <w:pPr>
          <w:ind w:left="3960" w:hanging="180"/>
        </w:pPr>
      </w:lvl>
    </w:lvlOverride>
    <w:lvlOverride w:ilvl="6">
      <w:lvl w:ilvl="6" w:tplc="1876C544" w:tentative="1">
        <w:start w:val="1"/>
        <w:numFmt w:val="decimal"/>
        <w:pStyle w:val="ListNum"/>
        <w:lvlText w:val="%7."/>
        <w:lvlJc w:val="left"/>
        <w:pPr>
          <w:ind w:left="4680" w:hanging="360"/>
        </w:pPr>
      </w:lvl>
    </w:lvlOverride>
    <w:lvlOverride w:ilvl="7">
      <w:lvl w:ilvl="7" w:tplc="73503F40" w:tentative="1">
        <w:start w:val="1"/>
        <w:numFmt w:val="lowerLetter"/>
        <w:pStyle w:val="ListAlpha"/>
        <w:lvlText w:val="%8."/>
        <w:lvlJc w:val="left"/>
        <w:pPr>
          <w:ind w:left="5400" w:hanging="360"/>
        </w:pPr>
      </w:lvl>
    </w:lvlOverride>
    <w:lvlOverride w:ilvl="8">
      <w:lvl w:ilvl="8" w:tplc="0A6629A4" w:tentative="1">
        <w:start w:val="1"/>
        <w:numFmt w:val="lowerRoman"/>
        <w:lvlText w:val="%9."/>
        <w:lvlJc w:val="right"/>
        <w:pPr>
          <w:ind w:left="6120" w:hanging="180"/>
        </w:pPr>
      </w:lvl>
    </w:lvlOverride>
  </w:num>
  <w:num w:numId="29">
    <w:abstractNumId w:val="13"/>
    <w:lvlOverride w:ilvl="0">
      <w:lvl w:ilvl="0" w:tplc="73700BEC">
        <w:start w:val="1"/>
        <w:numFmt w:val="decimal"/>
        <w:pStyle w:val="Heading1"/>
        <w:lvlText w:val="%1."/>
        <w:lvlJc w:val="left"/>
        <w:pPr>
          <w:ind w:left="360" w:hanging="360"/>
        </w:pPr>
      </w:lvl>
    </w:lvlOverride>
    <w:lvlOverride w:ilvl="1">
      <w:lvl w:ilvl="1" w:tplc="C1F216FC" w:tentative="1">
        <w:start w:val="1"/>
        <w:numFmt w:val="lowerLetter"/>
        <w:pStyle w:val="Heading2"/>
        <w:lvlText w:val="%2."/>
        <w:lvlJc w:val="left"/>
        <w:pPr>
          <w:ind w:left="1080" w:hanging="360"/>
        </w:pPr>
      </w:lvl>
    </w:lvlOverride>
    <w:lvlOverride w:ilvl="2">
      <w:lvl w:ilvl="2" w:tplc="1CA696F6" w:tentative="1">
        <w:start w:val="1"/>
        <w:numFmt w:val="lowerRoman"/>
        <w:pStyle w:val="Heading3"/>
        <w:lvlText w:val="%3."/>
        <w:lvlJc w:val="right"/>
        <w:pPr>
          <w:ind w:left="1800" w:hanging="180"/>
        </w:pPr>
      </w:lvl>
    </w:lvlOverride>
    <w:lvlOverride w:ilvl="3">
      <w:lvl w:ilvl="3" w:tplc="C318ECB6" w:tentative="1">
        <w:start w:val="1"/>
        <w:numFmt w:val="decimal"/>
        <w:pStyle w:val="Heading4"/>
        <w:lvlText w:val="%4."/>
        <w:lvlJc w:val="left"/>
        <w:pPr>
          <w:ind w:left="2520" w:hanging="360"/>
        </w:pPr>
      </w:lvl>
    </w:lvlOverride>
    <w:lvlOverride w:ilvl="4">
      <w:lvl w:ilvl="4" w:tplc="AAF86CFC" w:tentative="1">
        <w:start w:val="1"/>
        <w:numFmt w:val="lowerLetter"/>
        <w:pStyle w:val="Heading5"/>
        <w:lvlText w:val="%5."/>
        <w:lvlJc w:val="left"/>
        <w:pPr>
          <w:ind w:left="3240" w:hanging="360"/>
        </w:pPr>
      </w:lvl>
    </w:lvlOverride>
    <w:lvlOverride w:ilvl="5">
      <w:lvl w:ilvl="5" w:tplc="966C1B8C" w:tentative="1">
        <w:start w:val="1"/>
        <w:numFmt w:val="lowerRoman"/>
        <w:pStyle w:val="Heading6"/>
        <w:lvlText w:val="%6."/>
        <w:lvlJc w:val="right"/>
        <w:pPr>
          <w:ind w:left="3960" w:hanging="180"/>
        </w:pPr>
      </w:lvl>
    </w:lvlOverride>
    <w:lvlOverride w:ilvl="6">
      <w:lvl w:ilvl="6" w:tplc="1876C544" w:tentative="1">
        <w:start w:val="1"/>
        <w:numFmt w:val="decimal"/>
        <w:pStyle w:val="ListNum"/>
        <w:lvlText w:val="%7."/>
        <w:lvlJc w:val="left"/>
        <w:pPr>
          <w:ind w:left="4680" w:hanging="360"/>
        </w:pPr>
      </w:lvl>
    </w:lvlOverride>
    <w:lvlOverride w:ilvl="7">
      <w:lvl w:ilvl="7" w:tplc="73503F40" w:tentative="1">
        <w:start w:val="1"/>
        <w:numFmt w:val="lowerLetter"/>
        <w:pStyle w:val="ListAlpha"/>
        <w:lvlText w:val="%8."/>
        <w:lvlJc w:val="left"/>
        <w:pPr>
          <w:ind w:left="5400" w:hanging="360"/>
        </w:pPr>
      </w:lvl>
    </w:lvlOverride>
    <w:lvlOverride w:ilvl="8">
      <w:lvl w:ilvl="8" w:tplc="0A6629A4" w:tentative="1">
        <w:start w:val="1"/>
        <w:numFmt w:val="lowerRoman"/>
        <w:lvlText w:val="%9."/>
        <w:lvlJc w:val="right"/>
        <w:pPr>
          <w:ind w:left="6120" w:hanging="180"/>
        </w:pPr>
      </w:lvl>
    </w:lvlOverride>
  </w:num>
  <w:num w:numId="30">
    <w:abstractNumId w:val="13"/>
    <w:lvlOverride w:ilvl="0">
      <w:lvl w:ilvl="0" w:tplc="73700BEC">
        <w:numFmt w:val="decimal"/>
        <w:pStyle w:val="Heading1"/>
        <w:lvlText w:val=""/>
        <w:lvlJc w:val="left"/>
      </w:lvl>
    </w:lvlOverride>
    <w:lvlOverride w:ilvl="1">
      <w:lvl w:ilvl="1" w:tplc="C1F216FC">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tplc="1CA696F6">
        <w:start w:val="1"/>
        <w:numFmt w:val="decimal"/>
        <w:pStyle w:val="Heading3"/>
        <w:lvlText w:val="%1.%2.%3."/>
        <w:lvlJc w:val="left"/>
        <w:pPr>
          <w:tabs>
            <w:tab w:val="num" w:pos="1656"/>
          </w:tabs>
          <w:ind w:left="1656" w:hanging="93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13"/>
    <w:lvlOverride w:ilvl="0">
      <w:lvl w:ilvl="0" w:tplc="73700BEC">
        <w:numFmt w:val="decimal"/>
        <w:pStyle w:val="Heading1"/>
        <w:lvlText w:val=""/>
        <w:lvlJc w:val="left"/>
      </w:lvl>
    </w:lvlOverride>
    <w:lvlOverride w:ilvl="1">
      <w:lvl w:ilvl="1" w:tplc="C1F216FC">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tplc="1CA696F6">
        <w:start w:val="1"/>
        <w:numFmt w:val="decimal"/>
        <w:pStyle w:val="Heading3"/>
        <w:lvlText w:val="%1.%2.%3."/>
        <w:lvlJc w:val="left"/>
        <w:pPr>
          <w:tabs>
            <w:tab w:val="num" w:pos="1656"/>
          </w:tabs>
          <w:ind w:left="1656" w:hanging="93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6"/>
  </w:num>
  <w:num w:numId="40">
    <w:abstractNumId w:val="13"/>
    <w:lvlOverride w:ilvl="0">
      <w:lvl w:ilvl="0" w:tplc="73700BEC">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tplc="C1F216FC">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tplc="1CA696F6">
        <w:start w:val="1"/>
        <w:numFmt w:val="decimal"/>
        <w:pStyle w:val="Heading3"/>
        <w:lvlText w:val="%1.%2.%3."/>
        <w:lvlJc w:val="left"/>
        <w:pPr>
          <w:tabs>
            <w:tab w:val="num" w:pos="1656"/>
          </w:tabs>
          <w:ind w:left="1656" w:hanging="936"/>
        </w:pPr>
        <w:rPr>
          <w:rFonts w:hint="default"/>
          <w:bCs w:val="0"/>
          <w:i w:val="0"/>
          <w:iCs w:val="0"/>
          <w:caps w:val="0"/>
          <w:strike w:val="0"/>
          <w:dstrike w:val="0"/>
          <w:outline w:val="0"/>
          <w:shadow w:val="0"/>
          <w:emboss w:val="0"/>
          <w:imprint w:val="0"/>
          <w:vanish w:val="0"/>
          <w:color w:val="auto"/>
          <w:spacing w:val="0"/>
          <w:w w:val="100"/>
          <w:kern w:val="0"/>
          <w:position w:val="0"/>
          <w:u w:val="none"/>
          <w:effect w:val="none"/>
          <w:vertAlign w:val="baseline"/>
          <w:em w:val="none"/>
          <w14:ligatures w14:val="none"/>
          <w14:numForm w14:val="default"/>
          <w14:numSpacing w14:val="default"/>
          <w14:stylisticSets/>
          <w14:cntxtAlts w14:val="0"/>
        </w:rPr>
      </w:lvl>
    </w:lvlOverride>
    <w:lvlOverride w:ilvl="3">
      <w:lvl w:ilvl="3" w:tplc="C318ECB6">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tplc="AAF86CFC">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tplc="966C1B8C">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tplc="1876C544">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tplc="73503F40">
        <w:start w:val="1"/>
        <w:numFmt w:val="lowerLetter"/>
        <w:pStyle w:val="ListAlpha"/>
        <w:lvlText w:val="%8."/>
        <w:lvlJc w:val="left"/>
        <w:pPr>
          <w:ind w:left="1080" w:hanging="360"/>
        </w:pPr>
        <w:rPr>
          <w:rFonts w:ascii="Book Antiqua" w:hAnsi="Book Antiqua" w:hint="default"/>
          <w:sz w:val="26"/>
        </w:rPr>
      </w:lvl>
    </w:lvlOverride>
    <w:lvlOverride w:ilvl="8">
      <w:lvl w:ilvl="8" w:tplc="0A6629A4">
        <w:start w:val="1"/>
        <w:numFmt w:val="none"/>
        <w:lvlText w:val=""/>
        <w:lvlJc w:val="left"/>
        <w:pPr>
          <w:ind w:left="3240" w:hanging="360"/>
        </w:pPr>
        <w:rPr>
          <w:rFonts w:hint="default"/>
        </w:rPr>
      </w:lvl>
    </w:lvlOverride>
  </w:num>
  <w:num w:numId="41">
    <w:abstractNumId w:val="13"/>
    <w:lvlOverride w:ilvl="0">
      <w:lvl w:ilvl="0" w:tplc="73700BEC">
        <w:start w:val="1"/>
        <w:numFmt w:val="decimal"/>
        <w:pStyle w:val="Heading1"/>
        <w:lvlText w:val=""/>
        <w:lvlJc w:val="left"/>
        <w:pPr>
          <w:ind w:left="0" w:firstLine="0"/>
        </w:pPr>
        <w:rPr>
          <w:rFonts w:hint="default"/>
        </w:rPr>
      </w:lvl>
    </w:lvlOverride>
    <w:lvlOverride w:ilvl="1">
      <w:lvl w:ilvl="1" w:tplc="C1F216FC">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tplc="1CA696F6">
        <w:start w:val="1"/>
        <w:numFmt w:val="decimal"/>
        <w:pStyle w:val="Heading3"/>
        <w:lvlText w:val="%1.%2.%3."/>
        <w:lvlJc w:val="left"/>
        <w:pPr>
          <w:tabs>
            <w:tab w:val="num" w:pos="1656"/>
          </w:tabs>
          <w:ind w:left="1656" w:hanging="936"/>
        </w:pPr>
        <w:rPr>
          <w:rFonts w:ascii="Arial" w:hAnsi="Arial" w:hint="default"/>
          <w:b/>
          <w:bCs w:val="0"/>
          <w:i w:val="0"/>
          <w:iCs w:val="0"/>
          <w:caps w:val="0"/>
          <w:strike w:val="0"/>
          <w:dstrike w:val="0"/>
          <w:outline w:val="0"/>
          <w:shadow w:val="0"/>
          <w:emboss w:val="0"/>
          <w:imprint w:val="0"/>
          <w:vanish w:val="0"/>
          <w:spacing w:val="0"/>
          <w:w w:val="100"/>
          <w:kern w:val="0"/>
          <w:position w:val="0"/>
          <w:sz w:val="26"/>
          <w:u w:val="none"/>
          <w:effect w:val="none"/>
          <w:vertAlign w:val="baseline"/>
          <w:em w:val="none"/>
          <w14:ligatures w14:val="none"/>
          <w14:numForm w14:val="default"/>
          <w14:numSpacing w14:val="default"/>
          <w14:stylisticSets/>
          <w14:cntxtAlts w14:val="0"/>
        </w:rPr>
      </w:lvl>
    </w:lvlOverride>
    <w:lvlOverride w:ilvl="3">
      <w:lvl w:ilvl="3" w:tplc="C318ECB6">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tplc="AAF86CFC">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tplc="966C1B8C">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tplc="1876C544">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tplc="73503F40">
        <w:start w:val="1"/>
        <w:numFmt w:val="lowerLetter"/>
        <w:pStyle w:val="ListAlpha"/>
        <w:lvlText w:val="%8."/>
        <w:lvlJc w:val="left"/>
        <w:pPr>
          <w:ind w:left="1080" w:hanging="360"/>
        </w:pPr>
        <w:rPr>
          <w:rFonts w:ascii="Book Antiqua" w:hAnsi="Book Antiqua" w:hint="default"/>
          <w:sz w:val="26"/>
        </w:rPr>
      </w:lvl>
    </w:lvlOverride>
    <w:lvlOverride w:ilvl="8">
      <w:lvl w:ilvl="8" w:tplc="0A6629A4">
        <w:start w:val="1"/>
        <w:numFmt w:val="none"/>
        <w:lvlText w:val=""/>
        <w:lvlJc w:val="left"/>
        <w:pPr>
          <w:ind w:left="3240" w:hanging="360"/>
        </w:pPr>
        <w:rPr>
          <w:rFonts w:hint="default"/>
        </w:rPr>
      </w:lvl>
    </w:lvlOverride>
  </w:num>
  <w:num w:numId="42">
    <w:abstractNumId w:val="13"/>
  </w:num>
  <w:num w:numId="43">
    <w:abstractNumId w:val="6"/>
  </w:num>
  <w:num w:numId="44">
    <w:abstractNumId w:val="6"/>
  </w:num>
  <w:num w:numId="45">
    <w:abstractNumId w:val="6"/>
  </w:num>
  <w:num w:numId="46">
    <w:abstractNumId w:val="6"/>
  </w:num>
  <w:num w:numId="47">
    <w:abstractNumId w:val="6"/>
  </w:num>
  <w:num w:numId="48">
    <w:abstractNumId w:val="7"/>
  </w:num>
  <w:num w:numId="4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E5"/>
    <w:rsid w:val="00000903"/>
    <w:rsid w:val="00000D3F"/>
    <w:rsid w:val="00000F6A"/>
    <w:rsid w:val="00001424"/>
    <w:rsid w:val="00001474"/>
    <w:rsid w:val="000014C2"/>
    <w:rsid w:val="00001780"/>
    <w:rsid w:val="00001891"/>
    <w:rsid w:val="00001A37"/>
    <w:rsid w:val="00001ABB"/>
    <w:rsid w:val="00001D32"/>
    <w:rsid w:val="00002CC6"/>
    <w:rsid w:val="000030AC"/>
    <w:rsid w:val="00003171"/>
    <w:rsid w:val="000038CF"/>
    <w:rsid w:val="000038DA"/>
    <w:rsid w:val="00003B21"/>
    <w:rsid w:val="00003EDA"/>
    <w:rsid w:val="00003F41"/>
    <w:rsid w:val="000044F2"/>
    <w:rsid w:val="000047F7"/>
    <w:rsid w:val="00004B56"/>
    <w:rsid w:val="00004DC9"/>
    <w:rsid w:val="00004DEB"/>
    <w:rsid w:val="000050C1"/>
    <w:rsid w:val="00005502"/>
    <w:rsid w:val="00005590"/>
    <w:rsid w:val="00005711"/>
    <w:rsid w:val="00005769"/>
    <w:rsid w:val="0000578F"/>
    <w:rsid w:val="0000586E"/>
    <w:rsid w:val="00005A52"/>
    <w:rsid w:val="00005EB1"/>
    <w:rsid w:val="00005EC7"/>
    <w:rsid w:val="0000609F"/>
    <w:rsid w:val="00006117"/>
    <w:rsid w:val="00006330"/>
    <w:rsid w:val="0000660A"/>
    <w:rsid w:val="000067AE"/>
    <w:rsid w:val="00006820"/>
    <w:rsid w:val="00006941"/>
    <w:rsid w:val="00006A20"/>
    <w:rsid w:val="00006DBC"/>
    <w:rsid w:val="0000769A"/>
    <w:rsid w:val="00007969"/>
    <w:rsid w:val="00007A70"/>
    <w:rsid w:val="00007DD6"/>
    <w:rsid w:val="00010892"/>
    <w:rsid w:val="00010A8A"/>
    <w:rsid w:val="0001137D"/>
    <w:rsid w:val="00011608"/>
    <w:rsid w:val="00011961"/>
    <w:rsid w:val="00011C65"/>
    <w:rsid w:val="00011ECC"/>
    <w:rsid w:val="00012164"/>
    <w:rsid w:val="000126E2"/>
    <w:rsid w:val="00012A5D"/>
    <w:rsid w:val="00012D65"/>
    <w:rsid w:val="00012E4F"/>
    <w:rsid w:val="000131ED"/>
    <w:rsid w:val="00013823"/>
    <w:rsid w:val="000139CA"/>
    <w:rsid w:val="00013C3E"/>
    <w:rsid w:val="0001421B"/>
    <w:rsid w:val="00014C86"/>
    <w:rsid w:val="00014DDF"/>
    <w:rsid w:val="000151EE"/>
    <w:rsid w:val="00015317"/>
    <w:rsid w:val="000158AD"/>
    <w:rsid w:val="000160D4"/>
    <w:rsid w:val="0001625F"/>
    <w:rsid w:val="0001645C"/>
    <w:rsid w:val="00016561"/>
    <w:rsid w:val="00016A01"/>
    <w:rsid w:val="00016F49"/>
    <w:rsid w:val="00016F58"/>
    <w:rsid w:val="00016F86"/>
    <w:rsid w:val="0001722D"/>
    <w:rsid w:val="00017394"/>
    <w:rsid w:val="000174F5"/>
    <w:rsid w:val="000175BD"/>
    <w:rsid w:val="0001775E"/>
    <w:rsid w:val="00017AF7"/>
    <w:rsid w:val="00017D60"/>
    <w:rsid w:val="00017EDF"/>
    <w:rsid w:val="0002017B"/>
    <w:rsid w:val="00020483"/>
    <w:rsid w:val="000207B6"/>
    <w:rsid w:val="00020AF3"/>
    <w:rsid w:val="00020B05"/>
    <w:rsid w:val="00020C7A"/>
    <w:rsid w:val="00020DAE"/>
    <w:rsid w:val="000212BA"/>
    <w:rsid w:val="0002143B"/>
    <w:rsid w:val="00021AA1"/>
    <w:rsid w:val="000221CA"/>
    <w:rsid w:val="0002291D"/>
    <w:rsid w:val="000229A6"/>
    <w:rsid w:val="00022A81"/>
    <w:rsid w:val="00022EFC"/>
    <w:rsid w:val="000233F8"/>
    <w:rsid w:val="00023AAA"/>
    <w:rsid w:val="00023BE6"/>
    <w:rsid w:val="00023C57"/>
    <w:rsid w:val="00023FC1"/>
    <w:rsid w:val="00024001"/>
    <w:rsid w:val="0002405B"/>
    <w:rsid w:val="0002450D"/>
    <w:rsid w:val="000249E3"/>
    <w:rsid w:val="00024B0E"/>
    <w:rsid w:val="00024B2F"/>
    <w:rsid w:val="00024D55"/>
    <w:rsid w:val="000250C2"/>
    <w:rsid w:val="0002519A"/>
    <w:rsid w:val="000251EC"/>
    <w:rsid w:val="00025B19"/>
    <w:rsid w:val="00026317"/>
    <w:rsid w:val="00026325"/>
    <w:rsid w:val="00026405"/>
    <w:rsid w:val="0002673A"/>
    <w:rsid w:val="00026CD9"/>
    <w:rsid w:val="000271B1"/>
    <w:rsid w:val="000271E8"/>
    <w:rsid w:val="000273AB"/>
    <w:rsid w:val="000276D7"/>
    <w:rsid w:val="00027854"/>
    <w:rsid w:val="000279F1"/>
    <w:rsid w:val="00030041"/>
    <w:rsid w:val="0003013B"/>
    <w:rsid w:val="00030765"/>
    <w:rsid w:val="000307CC"/>
    <w:rsid w:val="00031BD0"/>
    <w:rsid w:val="00031C33"/>
    <w:rsid w:val="00031C34"/>
    <w:rsid w:val="00032BA3"/>
    <w:rsid w:val="00032DC6"/>
    <w:rsid w:val="00032F52"/>
    <w:rsid w:val="0003314F"/>
    <w:rsid w:val="00033454"/>
    <w:rsid w:val="00033491"/>
    <w:rsid w:val="00033821"/>
    <w:rsid w:val="00033D9C"/>
    <w:rsid w:val="00033E4C"/>
    <w:rsid w:val="00033F3F"/>
    <w:rsid w:val="00034CAD"/>
    <w:rsid w:val="000351FB"/>
    <w:rsid w:val="000357E6"/>
    <w:rsid w:val="00036608"/>
    <w:rsid w:val="000366C0"/>
    <w:rsid w:val="00036835"/>
    <w:rsid w:val="00036D34"/>
    <w:rsid w:val="00037618"/>
    <w:rsid w:val="000378D2"/>
    <w:rsid w:val="000378ED"/>
    <w:rsid w:val="00040536"/>
    <w:rsid w:val="00040888"/>
    <w:rsid w:val="00040A3D"/>
    <w:rsid w:val="000413CC"/>
    <w:rsid w:val="000414BB"/>
    <w:rsid w:val="000421CD"/>
    <w:rsid w:val="000424A2"/>
    <w:rsid w:val="0004286E"/>
    <w:rsid w:val="00042CA0"/>
    <w:rsid w:val="00042E84"/>
    <w:rsid w:val="0004373C"/>
    <w:rsid w:val="00043E8B"/>
    <w:rsid w:val="0004426F"/>
    <w:rsid w:val="00044AA8"/>
    <w:rsid w:val="00044E16"/>
    <w:rsid w:val="00044F6E"/>
    <w:rsid w:val="00044FFF"/>
    <w:rsid w:val="00045827"/>
    <w:rsid w:val="00045BAE"/>
    <w:rsid w:val="0004602D"/>
    <w:rsid w:val="0004628E"/>
    <w:rsid w:val="000467FB"/>
    <w:rsid w:val="00046E3E"/>
    <w:rsid w:val="00046F50"/>
    <w:rsid w:val="000476FF"/>
    <w:rsid w:val="00047782"/>
    <w:rsid w:val="0004785E"/>
    <w:rsid w:val="000504AB"/>
    <w:rsid w:val="00050C51"/>
    <w:rsid w:val="00050CCE"/>
    <w:rsid w:val="00050D27"/>
    <w:rsid w:val="00050D7F"/>
    <w:rsid w:val="000510D2"/>
    <w:rsid w:val="00051169"/>
    <w:rsid w:val="000511D6"/>
    <w:rsid w:val="00051714"/>
    <w:rsid w:val="00051F27"/>
    <w:rsid w:val="000521ED"/>
    <w:rsid w:val="000524E9"/>
    <w:rsid w:val="0005291D"/>
    <w:rsid w:val="00052C22"/>
    <w:rsid w:val="00053450"/>
    <w:rsid w:val="0005395B"/>
    <w:rsid w:val="00053A86"/>
    <w:rsid w:val="00053B67"/>
    <w:rsid w:val="00053E25"/>
    <w:rsid w:val="00053E8B"/>
    <w:rsid w:val="000543BB"/>
    <w:rsid w:val="00055303"/>
    <w:rsid w:val="0005569B"/>
    <w:rsid w:val="00055870"/>
    <w:rsid w:val="00055C75"/>
    <w:rsid w:val="00055E3E"/>
    <w:rsid w:val="00055F93"/>
    <w:rsid w:val="000562E3"/>
    <w:rsid w:val="000575BB"/>
    <w:rsid w:val="00057B41"/>
    <w:rsid w:val="00057D3C"/>
    <w:rsid w:val="0006035A"/>
    <w:rsid w:val="00060B46"/>
    <w:rsid w:val="00060E05"/>
    <w:rsid w:val="000613C9"/>
    <w:rsid w:val="00061416"/>
    <w:rsid w:val="00061512"/>
    <w:rsid w:val="000618B6"/>
    <w:rsid w:val="000618B9"/>
    <w:rsid w:val="000621E5"/>
    <w:rsid w:val="000625F4"/>
    <w:rsid w:val="00062805"/>
    <w:rsid w:val="000629D4"/>
    <w:rsid w:val="000632DE"/>
    <w:rsid w:val="00063701"/>
    <w:rsid w:val="00063992"/>
    <w:rsid w:val="00063D88"/>
    <w:rsid w:val="00064A83"/>
    <w:rsid w:val="00064D9E"/>
    <w:rsid w:val="00065358"/>
    <w:rsid w:val="000657EE"/>
    <w:rsid w:val="000658A6"/>
    <w:rsid w:val="00065CD1"/>
    <w:rsid w:val="00066357"/>
    <w:rsid w:val="000666B2"/>
    <w:rsid w:val="00066713"/>
    <w:rsid w:val="000667F2"/>
    <w:rsid w:val="00066A35"/>
    <w:rsid w:val="00066C7F"/>
    <w:rsid w:val="00066D60"/>
    <w:rsid w:val="00066F10"/>
    <w:rsid w:val="00067268"/>
    <w:rsid w:val="00067349"/>
    <w:rsid w:val="00067466"/>
    <w:rsid w:val="00067845"/>
    <w:rsid w:val="00069EF8"/>
    <w:rsid w:val="00070182"/>
    <w:rsid w:val="00070226"/>
    <w:rsid w:val="0007027A"/>
    <w:rsid w:val="000703CF"/>
    <w:rsid w:val="00070A2B"/>
    <w:rsid w:val="00070C10"/>
    <w:rsid w:val="00070E20"/>
    <w:rsid w:val="00071110"/>
    <w:rsid w:val="0007115A"/>
    <w:rsid w:val="00071244"/>
    <w:rsid w:val="0007185F"/>
    <w:rsid w:val="00071BF4"/>
    <w:rsid w:val="00071D74"/>
    <w:rsid w:val="00071DD1"/>
    <w:rsid w:val="00072856"/>
    <w:rsid w:val="00072884"/>
    <w:rsid w:val="0007295B"/>
    <w:rsid w:val="00072D6B"/>
    <w:rsid w:val="00072E24"/>
    <w:rsid w:val="00073239"/>
    <w:rsid w:val="0007360B"/>
    <w:rsid w:val="00073E23"/>
    <w:rsid w:val="00073EC7"/>
    <w:rsid w:val="00073F2F"/>
    <w:rsid w:val="000741DA"/>
    <w:rsid w:val="00074912"/>
    <w:rsid w:val="0007499F"/>
    <w:rsid w:val="00074C39"/>
    <w:rsid w:val="00074C98"/>
    <w:rsid w:val="00074D36"/>
    <w:rsid w:val="00074DB1"/>
    <w:rsid w:val="000751B6"/>
    <w:rsid w:val="0007552E"/>
    <w:rsid w:val="00075932"/>
    <w:rsid w:val="00075E23"/>
    <w:rsid w:val="00076909"/>
    <w:rsid w:val="00076A2F"/>
    <w:rsid w:val="00076ADF"/>
    <w:rsid w:val="00076B26"/>
    <w:rsid w:val="00076B30"/>
    <w:rsid w:val="00076E54"/>
    <w:rsid w:val="000772B8"/>
    <w:rsid w:val="00077535"/>
    <w:rsid w:val="00077766"/>
    <w:rsid w:val="000779D6"/>
    <w:rsid w:val="00080211"/>
    <w:rsid w:val="000802BE"/>
    <w:rsid w:val="0008045E"/>
    <w:rsid w:val="00080A62"/>
    <w:rsid w:val="00080AE1"/>
    <w:rsid w:val="00080CAA"/>
    <w:rsid w:val="00080DF9"/>
    <w:rsid w:val="00080EED"/>
    <w:rsid w:val="0008145D"/>
    <w:rsid w:val="000814B5"/>
    <w:rsid w:val="0008240A"/>
    <w:rsid w:val="000828A5"/>
    <w:rsid w:val="000828D0"/>
    <w:rsid w:val="00083C3A"/>
    <w:rsid w:val="00083F0F"/>
    <w:rsid w:val="0008428C"/>
    <w:rsid w:val="000845E1"/>
    <w:rsid w:val="00084698"/>
    <w:rsid w:val="00084A8A"/>
    <w:rsid w:val="00084E92"/>
    <w:rsid w:val="00085069"/>
    <w:rsid w:val="000853C2"/>
    <w:rsid w:val="000854C6"/>
    <w:rsid w:val="00085F2D"/>
    <w:rsid w:val="00086112"/>
    <w:rsid w:val="0008619B"/>
    <w:rsid w:val="00086859"/>
    <w:rsid w:val="000868B7"/>
    <w:rsid w:val="00086C30"/>
    <w:rsid w:val="00086CB6"/>
    <w:rsid w:val="00086D98"/>
    <w:rsid w:val="0008750A"/>
    <w:rsid w:val="00087C26"/>
    <w:rsid w:val="00090198"/>
    <w:rsid w:val="0009024B"/>
    <w:rsid w:val="0009024D"/>
    <w:rsid w:val="000904F2"/>
    <w:rsid w:val="00091321"/>
    <w:rsid w:val="000913CE"/>
    <w:rsid w:val="00091518"/>
    <w:rsid w:val="00091EDB"/>
    <w:rsid w:val="00092399"/>
    <w:rsid w:val="000926F1"/>
    <w:rsid w:val="00092CE7"/>
    <w:rsid w:val="00093036"/>
    <w:rsid w:val="0009342C"/>
    <w:rsid w:val="000937E8"/>
    <w:rsid w:val="000938D1"/>
    <w:rsid w:val="00093B19"/>
    <w:rsid w:val="00093E3E"/>
    <w:rsid w:val="00094010"/>
    <w:rsid w:val="00094278"/>
    <w:rsid w:val="000942F4"/>
    <w:rsid w:val="00094B47"/>
    <w:rsid w:val="00094D96"/>
    <w:rsid w:val="00094DB0"/>
    <w:rsid w:val="00094EB8"/>
    <w:rsid w:val="00095188"/>
    <w:rsid w:val="000955CE"/>
    <w:rsid w:val="00095710"/>
    <w:rsid w:val="00095805"/>
    <w:rsid w:val="000961C3"/>
    <w:rsid w:val="00097028"/>
    <w:rsid w:val="00097299"/>
    <w:rsid w:val="000972C0"/>
    <w:rsid w:val="000973C8"/>
    <w:rsid w:val="00097B05"/>
    <w:rsid w:val="000A01FE"/>
    <w:rsid w:val="000A0788"/>
    <w:rsid w:val="000A12F7"/>
    <w:rsid w:val="000A1714"/>
    <w:rsid w:val="000A17A7"/>
    <w:rsid w:val="000A1F00"/>
    <w:rsid w:val="000A273E"/>
    <w:rsid w:val="000A279F"/>
    <w:rsid w:val="000A2A31"/>
    <w:rsid w:val="000A2A46"/>
    <w:rsid w:val="000A2AA1"/>
    <w:rsid w:val="000A2AA9"/>
    <w:rsid w:val="000A359C"/>
    <w:rsid w:val="000A37C6"/>
    <w:rsid w:val="000A427C"/>
    <w:rsid w:val="000A4295"/>
    <w:rsid w:val="000A4672"/>
    <w:rsid w:val="000A48D5"/>
    <w:rsid w:val="000A49E6"/>
    <w:rsid w:val="000A4E09"/>
    <w:rsid w:val="000A506C"/>
    <w:rsid w:val="000A507D"/>
    <w:rsid w:val="000A51E7"/>
    <w:rsid w:val="000A56F2"/>
    <w:rsid w:val="000A5AEA"/>
    <w:rsid w:val="000A5CCA"/>
    <w:rsid w:val="000A6875"/>
    <w:rsid w:val="000A6C97"/>
    <w:rsid w:val="000A6E05"/>
    <w:rsid w:val="000A6E29"/>
    <w:rsid w:val="000A72C7"/>
    <w:rsid w:val="000A78D4"/>
    <w:rsid w:val="000A7AE8"/>
    <w:rsid w:val="000A7D69"/>
    <w:rsid w:val="000A7E7B"/>
    <w:rsid w:val="000B0076"/>
    <w:rsid w:val="000B0453"/>
    <w:rsid w:val="000B0B41"/>
    <w:rsid w:val="000B0CF9"/>
    <w:rsid w:val="000B119A"/>
    <w:rsid w:val="000B11CE"/>
    <w:rsid w:val="000B12FA"/>
    <w:rsid w:val="000B156E"/>
    <w:rsid w:val="000B1611"/>
    <w:rsid w:val="000B1637"/>
    <w:rsid w:val="000B2A4D"/>
    <w:rsid w:val="000B339D"/>
    <w:rsid w:val="000B3C15"/>
    <w:rsid w:val="000B3CBA"/>
    <w:rsid w:val="000B422A"/>
    <w:rsid w:val="000B4389"/>
    <w:rsid w:val="000B4447"/>
    <w:rsid w:val="000B4F10"/>
    <w:rsid w:val="000B50FA"/>
    <w:rsid w:val="000B5AF4"/>
    <w:rsid w:val="000B5C42"/>
    <w:rsid w:val="000B5FE0"/>
    <w:rsid w:val="000B612D"/>
    <w:rsid w:val="000B61AC"/>
    <w:rsid w:val="000B68F7"/>
    <w:rsid w:val="000B6A04"/>
    <w:rsid w:val="000B6AC2"/>
    <w:rsid w:val="000B6D4C"/>
    <w:rsid w:val="000B7051"/>
    <w:rsid w:val="000B7C2E"/>
    <w:rsid w:val="000B7E52"/>
    <w:rsid w:val="000B7F22"/>
    <w:rsid w:val="000C01B2"/>
    <w:rsid w:val="000C03B6"/>
    <w:rsid w:val="000C07B0"/>
    <w:rsid w:val="000C08BF"/>
    <w:rsid w:val="000C0B23"/>
    <w:rsid w:val="000C0FA6"/>
    <w:rsid w:val="000C10C9"/>
    <w:rsid w:val="000C12AC"/>
    <w:rsid w:val="000C1724"/>
    <w:rsid w:val="000C1AB8"/>
    <w:rsid w:val="000C1CD1"/>
    <w:rsid w:val="000C284A"/>
    <w:rsid w:val="000C2F6C"/>
    <w:rsid w:val="000C3570"/>
    <w:rsid w:val="000C38B7"/>
    <w:rsid w:val="000C3A53"/>
    <w:rsid w:val="000C3A81"/>
    <w:rsid w:val="000C3B9A"/>
    <w:rsid w:val="000C4B98"/>
    <w:rsid w:val="000C4F63"/>
    <w:rsid w:val="000C5222"/>
    <w:rsid w:val="000C52F0"/>
    <w:rsid w:val="000C580E"/>
    <w:rsid w:val="000C59FA"/>
    <w:rsid w:val="000C5A09"/>
    <w:rsid w:val="000C5BAC"/>
    <w:rsid w:val="000C6395"/>
    <w:rsid w:val="000C6AD6"/>
    <w:rsid w:val="000C6E78"/>
    <w:rsid w:val="000C6F95"/>
    <w:rsid w:val="000C759E"/>
    <w:rsid w:val="000C762B"/>
    <w:rsid w:val="000C7744"/>
    <w:rsid w:val="000C7C14"/>
    <w:rsid w:val="000C7D63"/>
    <w:rsid w:val="000C7E5B"/>
    <w:rsid w:val="000C7ECB"/>
    <w:rsid w:val="000D005C"/>
    <w:rsid w:val="000D0078"/>
    <w:rsid w:val="000D0101"/>
    <w:rsid w:val="000D0211"/>
    <w:rsid w:val="000D0471"/>
    <w:rsid w:val="000D0522"/>
    <w:rsid w:val="000D053C"/>
    <w:rsid w:val="000D0C6A"/>
    <w:rsid w:val="000D0F0D"/>
    <w:rsid w:val="000D13CA"/>
    <w:rsid w:val="000D172D"/>
    <w:rsid w:val="000D18AB"/>
    <w:rsid w:val="000D1C3E"/>
    <w:rsid w:val="000D25A8"/>
    <w:rsid w:val="000D26A8"/>
    <w:rsid w:val="000D2859"/>
    <w:rsid w:val="000D2A8B"/>
    <w:rsid w:val="000D2DC7"/>
    <w:rsid w:val="000D31F6"/>
    <w:rsid w:val="000D39EC"/>
    <w:rsid w:val="000D3CCA"/>
    <w:rsid w:val="000D3E72"/>
    <w:rsid w:val="000D44BB"/>
    <w:rsid w:val="000D45E7"/>
    <w:rsid w:val="000D46FA"/>
    <w:rsid w:val="000D50A1"/>
    <w:rsid w:val="000D51B8"/>
    <w:rsid w:val="000D51C0"/>
    <w:rsid w:val="000D52E5"/>
    <w:rsid w:val="000D56B9"/>
    <w:rsid w:val="000D58B6"/>
    <w:rsid w:val="000D5F5B"/>
    <w:rsid w:val="000D65EA"/>
    <w:rsid w:val="000D6BA4"/>
    <w:rsid w:val="000D6C25"/>
    <w:rsid w:val="000D6F47"/>
    <w:rsid w:val="000D722D"/>
    <w:rsid w:val="000D7623"/>
    <w:rsid w:val="000D7A35"/>
    <w:rsid w:val="000E00D8"/>
    <w:rsid w:val="000E0731"/>
    <w:rsid w:val="000E0F1F"/>
    <w:rsid w:val="000E1408"/>
    <w:rsid w:val="000E1409"/>
    <w:rsid w:val="000E1A86"/>
    <w:rsid w:val="000E1BBF"/>
    <w:rsid w:val="000E1D6F"/>
    <w:rsid w:val="000E24E8"/>
    <w:rsid w:val="000E251E"/>
    <w:rsid w:val="000E265D"/>
    <w:rsid w:val="000E270A"/>
    <w:rsid w:val="000E286C"/>
    <w:rsid w:val="000E2AE6"/>
    <w:rsid w:val="000E2BC2"/>
    <w:rsid w:val="000E2C06"/>
    <w:rsid w:val="000E2C13"/>
    <w:rsid w:val="000E3177"/>
    <w:rsid w:val="000E334E"/>
    <w:rsid w:val="000E341F"/>
    <w:rsid w:val="000E3694"/>
    <w:rsid w:val="000E36C4"/>
    <w:rsid w:val="000E3994"/>
    <w:rsid w:val="000E4091"/>
    <w:rsid w:val="000E486D"/>
    <w:rsid w:val="000E4952"/>
    <w:rsid w:val="000E4C53"/>
    <w:rsid w:val="000E4CAA"/>
    <w:rsid w:val="000E50C6"/>
    <w:rsid w:val="000E50E9"/>
    <w:rsid w:val="000E55A0"/>
    <w:rsid w:val="000E5899"/>
    <w:rsid w:val="000E5A78"/>
    <w:rsid w:val="000E5CAC"/>
    <w:rsid w:val="000E5EB0"/>
    <w:rsid w:val="000E61D0"/>
    <w:rsid w:val="000E6D06"/>
    <w:rsid w:val="000E71A5"/>
    <w:rsid w:val="000E7688"/>
    <w:rsid w:val="000E768B"/>
    <w:rsid w:val="000E7DFD"/>
    <w:rsid w:val="000E7F30"/>
    <w:rsid w:val="000F088F"/>
    <w:rsid w:val="000F093A"/>
    <w:rsid w:val="000F0C06"/>
    <w:rsid w:val="000F0DB5"/>
    <w:rsid w:val="000F135B"/>
    <w:rsid w:val="000F15F1"/>
    <w:rsid w:val="000F16A8"/>
    <w:rsid w:val="000F1739"/>
    <w:rsid w:val="000F19A1"/>
    <w:rsid w:val="000F1A56"/>
    <w:rsid w:val="000F1B54"/>
    <w:rsid w:val="000F1CA8"/>
    <w:rsid w:val="000F2380"/>
    <w:rsid w:val="000F2A32"/>
    <w:rsid w:val="000F2BD8"/>
    <w:rsid w:val="000F2BFB"/>
    <w:rsid w:val="000F2F08"/>
    <w:rsid w:val="000F2FF0"/>
    <w:rsid w:val="000F368F"/>
    <w:rsid w:val="000F3B6F"/>
    <w:rsid w:val="000F3C83"/>
    <w:rsid w:val="000F3CFB"/>
    <w:rsid w:val="000F413E"/>
    <w:rsid w:val="000F41DA"/>
    <w:rsid w:val="000F4AC8"/>
    <w:rsid w:val="000F4BFB"/>
    <w:rsid w:val="000F4D7E"/>
    <w:rsid w:val="000F5C29"/>
    <w:rsid w:val="000F5EB3"/>
    <w:rsid w:val="000F5FDD"/>
    <w:rsid w:val="000F6189"/>
    <w:rsid w:val="000F623E"/>
    <w:rsid w:val="000F633D"/>
    <w:rsid w:val="000F65B3"/>
    <w:rsid w:val="000F66FD"/>
    <w:rsid w:val="000F6765"/>
    <w:rsid w:val="000F68E0"/>
    <w:rsid w:val="000F6C46"/>
    <w:rsid w:val="000F6CDA"/>
    <w:rsid w:val="000F7008"/>
    <w:rsid w:val="000F70DC"/>
    <w:rsid w:val="000F7100"/>
    <w:rsid w:val="000F7873"/>
    <w:rsid w:val="000F7B87"/>
    <w:rsid w:val="000F7EF7"/>
    <w:rsid w:val="00100253"/>
    <w:rsid w:val="001007D5"/>
    <w:rsid w:val="001009F8"/>
    <w:rsid w:val="00100A02"/>
    <w:rsid w:val="00100A8C"/>
    <w:rsid w:val="00100CCB"/>
    <w:rsid w:val="00101035"/>
    <w:rsid w:val="0010113C"/>
    <w:rsid w:val="00101781"/>
    <w:rsid w:val="001018B4"/>
    <w:rsid w:val="001018FB"/>
    <w:rsid w:val="00101EF2"/>
    <w:rsid w:val="0010241F"/>
    <w:rsid w:val="00102588"/>
    <w:rsid w:val="00102BD2"/>
    <w:rsid w:val="00102D76"/>
    <w:rsid w:val="0010314F"/>
    <w:rsid w:val="001031B6"/>
    <w:rsid w:val="001031C9"/>
    <w:rsid w:val="00103257"/>
    <w:rsid w:val="0010340D"/>
    <w:rsid w:val="00103B52"/>
    <w:rsid w:val="00104780"/>
    <w:rsid w:val="0010492D"/>
    <w:rsid w:val="00104A51"/>
    <w:rsid w:val="00104D0A"/>
    <w:rsid w:val="00104E5C"/>
    <w:rsid w:val="00105066"/>
    <w:rsid w:val="001051B1"/>
    <w:rsid w:val="00105943"/>
    <w:rsid w:val="001059EF"/>
    <w:rsid w:val="00106296"/>
    <w:rsid w:val="0010675B"/>
    <w:rsid w:val="001068B1"/>
    <w:rsid w:val="001069AF"/>
    <w:rsid w:val="00106B33"/>
    <w:rsid w:val="00106C13"/>
    <w:rsid w:val="001072D9"/>
    <w:rsid w:val="00107BCD"/>
    <w:rsid w:val="00110C78"/>
    <w:rsid w:val="00110FF5"/>
    <w:rsid w:val="001116F5"/>
    <w:rsid w:val="001117EE"/>
    <w:rsid w:val="00111DA1"/>
    <w:rsid w:val="00111F12"/>
    <w:rsid w:val="00111F65"/>
    <w:rsid w:val="00112D71"/>
    <w:rsid w:val="00113014"/>
    <w:rsid w:val="00113259"/>
    <w:rsid w:val="001132C8"/>
    <w:rsid w:val="00113A0E"/>
    <w:rsid w:val="00113EE1"/>
    <w:rsid w:val="001140E3"/>
    <w:rsid w:val="001143DD"/>
    <w:rsid w:val="00114687"/>
    <w:rsid w:val="00114B17"/>
    <w:rsid w:val="00114C07"/>
    <w:rsid w:val="00114CBF"/>
    <w:rsid w:val="00114F34"/>
    <w:rsid w:val="00115101"/>
    <w:rsid w:val="00115627"/>
    <w:rsid w:val="0011593C"/>
    <w:rsid w:val="00115F5B"/>
    <w:rsid w:val="00116A0B"/>
    <w:rsid w:val="0011706B"/>
    <w:rsid w:val="001173A0"/>
    <w:rsid w:val="0011741D"/>
    <w:rsid w:val="00117D88"/>
    <w:rsid w:val="00117DF2"/>
    <w:rsid w:val="00117F06"/>
    <w:rsid w:val="001200B3"/>
    <w:rsid w:val="001200E6"/>
    <w:rsid w:val="0012022B"/>
    <w:rsid w:val="00120805"/>
    <w:rsid w:val="00120936"/>
    <w:rsid w:val="00120CB0"/>
    <w:rsid w:val="00120CC6"/>
    <w:rsid w:val="00121067"/>
    <w:rsid w:val="00121089"/>
    <w:rsid w:val="001210E9"/>
    <w:rsid w:val="00121761"/>
    <w:rsid w:val="0012184E"/>
    <w:rsid w:val="00121BF4"/>
    <w:rsid w:val="00121CDB"/>
    <w:rsid w:val="00122553"/>
    <w:rsid w:val="00122EB4"/>
    <w:rsid w:val="00123396"/>
    <w:rsid w:val="001239CC"/>
    <w:rsid w:val="00123EB6"/>
    <w:rsid w:val="001241EF"/>
    <w:rsid w:val="001243D1"/>
    <w:rsid w:val="001248B2"/>
    <w:rsid w:val="00124D15"/>
    <w:rsid w:val="00124D23"/>
    <w:rsid w:val="00124EC1"/>
    <w:rsid w:val="00124F01"/>
    <w:rsid w:val="00125676"/>
    <w:rsid w:val="0012581D"/>
    <w:rsid w:val="00125D2C"/>
    <w:rsid w:val="00125D8B"/>
    <w:rsid w:val="00127624"/>
    <w:rsid w:val="00127780"/>
    <w:rsid w:val="00127A3D"/>
    <w:rsid w:val="00130678"/>
    <w:rsid w:val="00130AC6"/>
    <w:rsid w:val="00130C12"/>
    <w:rsid w:val="001314CB"/>
    <w:rsid w:val="0013177B"/>
    <w:rsid w:val="00131B3B"/>
    <w:rsid w:val="00131B6D"/>
    <w:rsid w:val="00131C46"/>
    <w:rsid w:val="00131CB3"/>
    <w:rsid w:val="00131E85"/>
    <w:rsid w:val="001321D1"/>
    <w:rsid w:val="00132816"/>
    <w:rsid w:val="00132CC7"/>
    <w:rsid w:val="0013347B"/>
    <w:rsid w:val="00133532"/>
    <w:rsid w:val="0013377E"/>
    <w:rsid w:val="00133B8D"/>
    <w:rsid w:val="00133BDB"/>
    <w:rsid w:val="0013411F"/>
    <w:rsid w:val="0013450C"/>
    <w:rsid w:val="0013452B"/>
    <w:rsid w:val="00134871"/>
    <w:rsid w:val="00134AA8"/>
    <w:rsid w:val="00134F3D"/>
    <w:rsid w:val="0013513C"/>
    <w:rsid w:val="001352BD"/>
    <w:rsid w:val="001355F2"/>
    <w:rsid w:val="00135910"/>
    <w:rsid w:val="00135A9C"/>
    <w:rsid w:val="00135B00"/>
    <w:rsid w:val="00135B86"/>
    <w:rsid w:val="0013647F"/>
    <w:rsid w:val="00136A00"/>
    <w:rsid w:val="00136A78"/>
    <w:rsid w:val="00136D66"/>
    <w:rsid w:val="0013703B"/>
    <w:rsid w:val="00137060"/>
    <w:rsid w:val="0013706A"/>
    <w:rsid w:val="00137286"/>
    <w:rsid w:val="00137B23"/>
    <w:rsid w:val="00137CD8"/>
    <w:rsid w:val="00137E3B"/>
    <w:rsid w:val="0014058E"/>
    <w:rsid w:val="00140D57"/>
    <w:rsid w:val="00140F7E"/>
    <w:rsid w:val="00141064"/>
    <w:rsid w:val="001412FF"/>
    <w:rsid w:val="001413BF"/>
    <w:rsid w:val="001414FC"/>
    <w:rsid w:val="001416C7"/>
    <w:rsid w:val="001419A7"/>
    <w:rsid w:val="00141A3A"/>
    <w:rsid w:val="00141BE9"/>
    <w:rsid w:val="00141DC7"/>
    <w:rsid w:val="00142977"/>
    <w:rsid w:val="001429DA"/>
    <w:rsid w:val="00142A45"/>
    <w:rsid w:val="00142E7B"/>
    <w:rsid w:val="00143017"/>
    <w:rsid w:val="001433F2"/>
    <w:rsid w:val="0014350F"/>
    <w:rsid w:val="001438E7"/>
    <w:rsid w:val="00143B08"/>
    <w:rsid w:val="00143B91"/>
    <w:rsid w:val="00143C6C"/>
    <w:rsid w:val="00143C8F"/>
    <w:rsid w:val="00143EA3"/>
    <w:rsid w:val="001442D7"/>
    <w:rsid w:val="001446E4"/>
    <w:rsid w:val="00144FB8"/>
    <w:rsid w:val="00145163"/>
    <w:rsid w:val="0014517D"/>
    <w:rsid w:val="0014518F"/>
    <w:rsid w:val="0014559F"/>
    <w:rsid w:val="001455F7"/>
    <w:rsid w:val="0014585F"/>
    <w:rsid w:val="0014599E"/>
    <w:rsid w:val="00145BF1"/>
    <w:rsid w:val="00145DEC"/>
    <w:rsid w:val="001460D0"/>
    <w:rsid w:val="00146180"/>
    <w:rsid w:val="0014690B"/>
    <w:rsid w:val="00146949"/>
    <w:rsid w:val="001469FA"/>
    <w:rsid w:val="00146AAD"/>
    <w:rsid w:val="00146ADA"/>
    <w:rsid w:val="00146DB5"/>
    <w:rsid w:val="00146EDF"/>
    <w:rsid w:val="00146F73"/>
    <w:rsid w:val="00147A19"/>
    <w:rsid w:val="0015024F"/>
    <w:rsid w:val="0015038C"/>
    <w:rsid w:val="001504CF"/>
    <w:rsid w:val="001506B3"/>
    <w:rsid w:val="001510EC"/>
    <w:rsid w:val="0015114C"/>
    <w:rsid w:val="0015121E"/>
    <w:rsid w:val="00151390"/>
    <w:rsid w:val="001519CC"/>
    <w:rsid w:val="0015218F"/>
    <w:rsid w:val="0015221D"/>
    <w:rsid w:val="00152293"/>
    <w:rsid w:val="0015249E"/>
    <w:rsid w:val="001526A4"/>
    <w:rsid w:val="001528E6"/>
    <w:rsid w:val="00152A26"/>
    <w:rsid w:val="00152A86"/>
    <w:rsid w:val="00152B84"/>
    <w:rsid w:val="00152C5F"/>
    <w:rsid w:val="00152D3C"/>
    <w:rsid w:val="00153395"/>
    <w:rsid w:val="001533FC"/>
    <w:rsid w:val="001537C5"/>
    <w:rsid w:val="00153B53"/>
    <w:rsid w:val="00153C18"/>
    <w:rsid w:val="001552F8"/>
    <w:rsid w:val="001558F2"/>
    <w:rsid w:val="00155BFA"/>
    <w:rsid w:val="001565EE"/>
    <w:rsid w:val="00156648"/>
    <w:rsid w:val="00156EE2"/>
    <w:rsid w:val="001570C4"/>
    <w:rsid w:val="001573EA"/>
    <w:rsid w:val="00157582"/>
    <w:rsid w:val="001575CC"/>
    <w:rsid w:val="0015782E"/>
    <w:rsid w:val="00157B6B"/>
    <w:rsid w:val="00160452"/>
    <w:rsid w:val="001608EA"/>
    <w:rsid w:val="001612F9"/>
    <w:rsid w:val="00161440"/>
    <w:rsid w:val="00161596"/>
    <w:rsid w:val="001616B5"/>
    <w:rsid w:val="001617AF"/>
    <w:rsid w:val="00161C83"/>
    <w:rsid w:val="001626BA"/>
    <w:rsid w:val="001639D2"/>
    <w:rsid w:val="00164286"/>
    <w:rsid w:val="001642F7"/>
    <w:rsid w:val="00164B1A"/>
    <w:rsid w:val="00164C28"/>
    <w:rsid w:val="00164C70"/>
    <w:rsid w:val="00164EAC"/>
    <w:rsid w:val="001653D3"/>
    <w:rsid w:val="001657D5"/>
    <w:rsid w:val="00165BA4"/>
    <w:rsid w:val="00165BE4"/>
    <w:rsid w:val="00165E7D"/>
    <w:rsid w:val="00166779"/>
    <w:rsid w:val="00166867"/>
    <w:rsid w:val="0016695C"/>
    <w:rsid w:val="00166A6B"/>
    <w:rsid w:val="001676D3"/>
    <w:rsid w:val="00167DC7"/>
    <w:rsid w:val="00170228"/>
    <w:rsid w:val="001705FE"/>
    <w:rsid w:val="001707B9"/>
    <w:rsid w:val="00170ACA"/>
    <w:rsid w:val="0017113C"/>
    <w:rsid w:val="00171998"/>
    <w:rsid w:val="00171A67"/>
    <w:rsid w:val="00171A79"/>
    <w:rsid w:val="00171D34"/>
    <w:rsid w:val="0017220A"/>
    <w:rsid w:val="0017263B"/>
    <w:rsid w:val="00172821"/>
    <w:rsid w:val="00172A48"/>
    <w:rsid w:val="0017312F"/>
    <w:rsid w:val="001734E1"/>
    <w:rsid w:val="00173B00"/>
    <w:rsid w:val="00173BFF"/>
    <w:rsid w:val="0017424C"/>
    <w:rsid w:val="0017446D"/>
    <w:rsid w:val="001746C1"/>
    <w:rsid w:val="00174968"/>
    <w:rsid w:val="00174E91"/>
    <w:rsid w:val="00175404"/>
    <w:rsid w:val="00175906"/>
    <w:rsid w:val="00175908"/>
    <w:rsid w:val="001759E9"/>
    <w:rsid w:val="00175ECC"/>
    <w:rsid w:val="00176555"/>
    <w:rsid w:val="00176930"/>
    <w:rsid w:val="00176A1A"/>
    <w:rsid w:val="00176DC0"/>
    <w:rsid w:val="0017713E"/>
    <w:rsid w:val="001772C1"/>
    <w:rsid w:val="00180063"/>
    <w:rsid w:val="001801A5"/>
    <w:rsid w:val="00180253"/>
    <w:rsid w:val="001802C9"/>
    <w:rsid w:val="001805BE"/>
    <w:rsid w:val="00180683"/>
    <w:rsid w:val="0018068C"/>
    <w:rsid w:val="00180B71"/>
    <w:rsid w:val="0018118C"/>
    <w:rsid w:val="001813F3"/>
    <w:rsid w:val="0018146B"/>
    <w:rsid w:val="0018215D"/>
    <w:rsid w:val="00182357"/>
    <w:rsid w:val="001824CC"/>
    <w:rsid w:val="0018265D"/>
    <w:rsid w:val="00182708"/>
    <w:rsid w:val="00182870"/>
    <w:rsid w:val="0018354C"/>
    <w:rsid w:val="00183613"/>
    <w:rsid w:val="001836B6"/>
    <w:rsid w:val="00183D97"/>
    <w:rsid w:val="00183DC6"/>
    <w:rsid w:val="0018423A"/>
    <w:rsid w:val="00184331"/>
    <w:rsid w:val="00184535"/>
    <w:rsid w:val="00184C8A"/>
    <w:rsid w:val="001850B4"/>
    <w:rsid w:val="00185539"/>
    <w:rsid w:val="00185C94"/>
    <w:rsid w:val="00186069"/>
    <w:rsid w:val="00186731"/>
    <w:rsid w:val="00186957"/>
    <w:rsid w:val="00186DB3"/>
    <w:rsid w:val="001877D4"/>
    <w:rsid w:val="00187AD2"/>
    <w:rsid w:val="00187D4A"/>
    <w:rsid w:val="00187D4B"/>
    <w:rsid w:val="001904BD"/>
    <w:rsid w:val="0019055D"/>
    <w:rsid w:val="0019096A"/>
    <w:rsid w:val="00190BC3"/>
    <w:rsid w:val="00191091"/>
    <w:rsid w:val="001910F9"/>
    <w:rsid w:val="0019151D"/>
    <w:rsid w:val="00191C86"/>
    <w:rsid w:val="00191E0F"/>
    <w:rsid w:val="00192313"/>
    <w:rsid w:val="00192541"/>
    <w:rsid w:val="00192628"/>
    <w:rsid w:val="001926ED"/>
    <w:rsid w:val="00192C43"/>
    <w:rsid w:val="001931B7"/>
    <w:rsid w:val="001939DA"/>
    <w:rsid w:val="00193D7F"/>
    <w:rsid w:val="00194389"/>
    <w:rsid w:val="00194F47"/>
    <w:rsid w:val="001952C4"/>
    <w:rsid w:val="0019574C"/>
    <w:rsid w:val="00195750"/>
    <w:rsid w:val="001958B6"/>
    <w:rsid w:val="0019590F"/>
    <w:rsid w:val="001959DD"/>
    <w:rsid w:val="00195B83"/>
    <w:rsid w:val="00195C0C"/>
    <w:rsid w:val="00195C97"/>
    <w:rsid w:val="0019616B"/>
    <w:rsid w:val="0019641B"/>
    <w:rsid w:val="00196547"/>
    <w:rsid w:val="00196A2D"/>
    <w:rsid w:val="00196CED"/>
    <w:rsid w:val="00197342"/>
    <w:rsid w:val="0019776F"/>
    <w:rsid w:val="00197AD7"/>
    <w:rsid w:val="00197B6E"/>
    <w:rsid w:val="00197DAB"/>
    <w:rsid w:val="00197E8E"/>
    <w:rsid w:val="001A026F"/>
    <w:rsid w:val="001A100E"/>
    <w:rsid w:val="001A103C"/>
    <w:rsid w:val="001A10C8"/>
    <w:rsid w:val="001A1462"/>
    <w:rsid w:val="001A158A"/>
    <w:rsid w:val="001A1C78"/>
    <w:rsid w:val="001A1E97"/>
    <w:rsid w:val="001A20AC"/>
    <w:rsid w:val="001A2462"/>
    <w:rsid w:val="001A259F"/>
    <w:rsid w:val="001A2755"/>
    <w:rsid w:val="001A278F"/>
    <w:rsid w:val="001A2C9F"/>
    <w:rsid w:val="001A2E91"/>
    <w:rsid w:val="001A2ECC"/>
    <w:rsid w:val="001A33AE"/>
    <w:rsid w:val="001A34F1"/>
    <w:rsid w:val="001A3597"/>
    <w:rsid w:val="001A37CA"/>
    <w:rsid w:val="001A454E"/>
    <w:rsid w:val="001A4A30"/>
    <w:rsid w:val="001A4E8C"/>
    <w:rsid w:val="001A50D6"/>
    <w:rsid w:val="001A541D"/>
    <w:rsid w:val="001A5545"/>
    <w:rsid w:val="001A56DE"/>
    <w:rsid w:val="001A5820"/>
    <w:rsid w:val="001A5AFF"/>
    <w:rsid w:val="001A62DC"/>
    <w:rsid w:val="001A647A"/>
    <w:rsid w:val="001A65F8"/>
    <w:rsid w:val="001A67A2"/>
    <w:rsid w:val="001A6A37"/>
    <w:rsid w:val="001A6C16"/>
    <w:rsid w:val="001A712F"/>
    <w:rsid w:val="001A719C"/>
    <w:rsid w:val="001A720B"/>
    <w:rsid w:val="001A7299"/>
    <w:rsid w:val="001A7782"/>
    <w:rsid w:val="001A7BA2"/>
    <w:rsid w:val="001A7FD2"/>
    <w:rsid w:val="001B0269"/>
    <w:rsid w:val="001B0308"/>
    <w:rsid w:val="001B038A"/>
    <w:rsid w:val="001B093A"/>
    <w:rsid w:val="001B0B70"/>
    <w:rsid w:val="001B0B78"/>
    <w:rsid w:val="001B0D24"/>
    <w:rsid w:val="001B11C1"/>
    <w:rsid w:val="001B140C"/>
    <w:rsid w:val="001B1559"/>
    <w:rsid w:val="001B1A53"/>
    <w:rsid w:val="001B2438"/>
    <w:rsid w:val="001B274B"/>
    <w:rsid w:val="001B2A78"/>
    <w:rsid w:val="001B2BD4"/>
    <w:rsid w:val="001B2C2F"/>
    <w:rsid w:val="001B2C86"/>
    <w:rsid w:val="001B2EDB"/>
    <w:rsid w:val="001B2F32"/>
    <w:rsid w:val="001B3152"/>
    <w:rsid w:val="001B3346"/>
    <w:rsid w:val="001B346A"/>
    <w:rsid w:val="001B3497"/>
    <w:rsid w:val="001B36BD"/>
    <w:rsid w:val="001B3779"/>
    <w:rsid w:val="001B3ABE"/>
    <w:rsid w:val="001B3B08"/>
    <w:rsid w:val="001B3B0A"/>
    <w:rsid w:val="001B49B9"/>
    <w:rsid w:val="001B5038"/>
    <w:rsid w:val="001B50AF"/>
    <w:rsid w:val="001B5480"/>
    <w:rsid w:val="001B5D63"/>
    <w:rsid w:val="001B5DEB"/>
    <w:rsid w:val="001B61AB"/>
    <w:rsid w:val="001B6519"/>
    <w:rsid w:val="001B6949"/>
    <w:rsid w:val="001B6D8E"/>
    <w:rsid w:val="001B7404"/>
    <w:rsid w:val="001B7728"/>
    <w:rsid w:val="001B786A"/>
    <w:rsid w:val="001B788B"/>
    <w:rsid w:val="001B7F09"/>
    <w:rsid w:val="001C0C00"/>
    <w:rsid w:val="001C0F22"/>
    <w:rsid w:val="001C11B8"/>
    <w:rsid w:val="001C12C4"/>
    <w:rsid w:val="001C1465"/>
    <w:rsid w:val="001C1630"/>
    <w:rsid w:val="001C17F7"/>
    <w:rsid w:val="001C1C64"/>
    <w:rsid w:val="001C1EA9"/>
    <w:rsid w:val="001C218D"/>
    <w:rsid w:val="001C2305"/>
    <w:rsid w:val="001C28A2"/>
    <w:rsid w:val="001C2D68"/>
    <w:rsid w:val="001C2EC4"/>
    <w:rsid w:val="001C2F3A"/>
    <w:rsid w:val="001C3124"/>
    <w:rsid w:val="001C3338"/>
    <w:rsid w:val="001C3389"/>
    <w:rsid w:val="001C3598"/>
    <w:rsid w:val="001C363F"/>
    <w:rsid w:val="001C3781"/>
    <w:rsid w:val="001C3884"/>
    <w:rsid w:val="001C3898"/>
    <w:rsid w:val="001C3A1E"/>
    <w:rsid w:val="001C3A42"/>
    <w:rsid w:val="001C3A5F"/>
    <w:rsid w:val="001C3CBC"/>
    <w:rsid w:val="001C4565"/>
    <w:rsid w:val="001C4780"/>
    <w:rsid w:val="001C4A46"/>
    <w:rsid w:val="001C4E8B"/>
    <w:rsid w:val="001C55D5"/>
    <w:rsid w:val="001C5802"/>
    <w:rsid w:val="001C581D"/>
    <w:rsid w:val="001C5A58"/>
    <w:rsid w:val="001C5BC4"/>
    <w:rsid w:val="001C628A"/>
    <w:rsid w:val="001C6461"/>
    <w:rsid w:val="001C6702"/>
    <w:rsid w:val="001C6A08"/>
    <w:rsid w:val="001C6BF4"/>
    <w:rsid w:val="001C7553"/>
    <w:rsid w:val="001C763C"/>
    <w:rsid w:val="001C7866"/>
    <w:rsid w:val="001D0C7D"/>
    <w:rsid w:val="001D116A"/>
    <w:rsid w:val="001D1806"/>
    <w:rsid w:val="001D1830"/>
    <w:rsid w:val="001D1AF5"/>
    <w:rsid w:val="001D1D16"/>
    <w:rsid w:val="001D1FA5"/>
    <w:rsid w:val="001D22AA"/>
    <w:rsid w:val="001D2A35"/>
    <w:rsid w:val="001D2E07"/>
    <w:rsid w:val="001D3020"/>
    <w:rsid w:val="001D30D7"/>
    <w:rsid w:val="001D41EF"/>
    <w:rsid w:val="001D4765"/>
    <w:rsid w:val="001D47AB"/>
    <w:rsid w:val="001D4BFC"/>
    <w:rsid w:val="001D4CA9"/>
    <w:rsid w:val="001D4EB7"/>
    <w:rsid w:val="001D513E"/>
    <w:rsid w:val="001D5629"/>
    <w:rsid w:val="001D5AE1"/>
    <w:rsid w:val="001D6582"/>
    <w:rsid w:val="001D6992"/>
    <w:rsid w:val="001D7415"/>
    <w:rsid w:val="001D749D"/>
    <w:rsid w:val="001D7AF0"/>
    <w:rsid w:val="001D7C7D"/>
    <w:rsid w:val="001E01E1"/>
    <w:rsid w:val="001E1285"/>
    <w:rsid w:val="001E19C7"/>
    <w:rsid w:val="001E19EE"/>
    <w:rsid w:val="001E1B48"/>
    <w:rsid w:val="001E1C96"/>
    <w:rsid w:val="001E1FBD"/>
    <w:rsid w:val="001E23DB"/>
    <w:rsid w:val="001E2400"/>
    <w:rsid w:val="001E271C"/>
    <w:rsid w:val="001E281F"/>
    <w:rsid w:val="001E2A62"/>
    <w:rsid w:val="001E2A65"/>
    <w:rsid w:val="001E2AE9"/>
    <w:rsid w:val="001E2C0C"/>
    <w:rsid w:val="001E3331"/>
    <w:rsid w:val="001E3B91"/>
    <w:rsid w:val="001E3D51"/>
    <w:rsid w:val="001E3E88"/>
    <w:rsid w:val="001E401C"/>
    <w:rsid w:val="001E4549"/>
    <w:rsid w:val="001E4E3D"/>
    <w:rsid w:val="001E4F4A"/>
    <w:rsid w:val="001E51A1"/>
    <w:rsid w:val="001E649A"/>
    <w:rsid w:val="001E64EC"/>
    <w:rsid w:val="001E6528"/>
    <w:rsid w:val="001E7075"/>
    <w:rsid w:val="001E789C"/>
    <w:rsid w:val="001E7F2D"/>
    <w:rsid w:val="001F05FC"/>
    <w:rsid w:val="001F069A"/>
    <w:rsid w:val="001F09DB"/>
    <w:rsid w:val="001F0D86"/>
    <w:rsid w:val="001F0F7B"/>
    <w:rsid w:val="001F0F9C"/>
    <w:rsid w:val="001F1399"/>
    <w:rsid w:val="001F165C"/>
    <w:rsid w:val="001F1EAA"/>
    <w:rsid w:val="001F1EAF"/>
    <w:rsid w:val="001F1F4E"/>
    <w:rsid w:val="001F2616"/>
    <w:rsid w:val="001F2819"/>
    <w:rsid w:val="001F28A6"/>
    <w:rsid w:val="001F30B8"/>
    <w:rsid w:val="001F30D2"/>
    <w:rsid w:val="001F34EF"/>
    <w:rsid w:val="001F37D0"/>
    <w:rsid w:val="001F38B1"/>
    <w:rsid w:val="001F3AC9"/>
    <w:rsid w:val="001F3D10"/>
    <w:rsid w:val="001F3E4A"/>
    <w:rsid w:val="001F4468"/>
    <w:rsid w:val="001F4B82"/>
    <w:rsid w:val="001F5518"/>
    <w:rsid w:val="001F566E"/>
    <w:rsid w:val="001F5AB5"/>
    <w:rsid w:val="001F5BE3"/>
    <w:rsid w:val="001F5D3A"/>
    <w:rsid w:val="001F5F62"/>
    <w:rsid w:val="001F616F"/>
    <w:rsid w:val="001F66F6"/>
    <w:rsid w:val="001F6BF3"/>
    <w:rsid w:val="001F7067"/>
    <w:rsid w:val="001F70E2"/>
    <w:rsid w:val="001F73F5"/>
    <w:rsid w:val="00200023"/>
    <w:rsid w:val="0020007C"/>
    <w:rsid w:val="002005ED"/>
    <w:rsid w:val="00200A2C"/>
    <w:rsid w:val="00201615"/>
    <w:rsid w:val="00201800"/>
    <w:rsid w:val="00201B3B"/>
    <w:rsid w:val="00201C34"/>
    <w:rsid w:val="00201D59"/>
    <w:rsid w:val="00201E2F"/>
    <w:rsid w:val="00202175"/>
    <w:rsid w:val="002027D0"/>
    <w:rsid w:val="00202EF8"/>
    <w:rsid w:val="00202FB8"/>
    <w:rsid w:val="002034E2"/>
    <w:rsid w:val="0020356A"/>
    <w:rsid w:val="00203A26"/>
    <w:rsid w:val="00203D62"/>
    <w:rsid w:val="00204303"/>
    <w:rsid w:val="002043EC"/>
    <w:rsid w:val="00204694"/>
    <w:rsid w:val="002054E2"/>
    <w:rsid w:val="002059A1"/>
    <w:rsid w:val="002059FB"/>
    <w:rsid w:val="00205C0E"/>
    <w:rsid w:val="00205E72"/>
    <w:rsid w:val="002063C9"/>
    <w:rsid w:val="00206419"/>
    <w:rsid w:val="00206FC3"/>
    <w:rsid w:val="00207195"/>
    <w:rsid w:val="002071BF"/>
    <w:rsid w:val="002077FA"/>
    <w:rsid w:val="00207F08"/>
    <w:rsid w:val="00210462"/>
    <w:rsid w:val="00211097"/>
    <w:rsid w:val="0021158C"/>
    <w:rsid w:val="00212166"/>
    <w:rsid w:val="0021322B"/>
    <w:rsid w:val="0021367C"/>
    <w:rsid w:val="002137EB"/>
    <w:rsid w:val="00213F4B"/>
    <w:rsid w:val="002145FF"/>
    <w:rsid w:val="002147C1"/>
    <w:rsid w:val="00214A73"/>
    <w:rsid w:val="00214AD3"/>
    <w:rsid w:val="00214CBB"/>
    <w:rsid w:val="0021520F"/>
    <w:rsid w:val="002153E0"/>
    <w:rsid w:val="002154C6"/>
    <w:rsid w:val="00215B15"/>
    <w:rsid w:val="0021619B"/>
    <w:rsid w:val="002162BE"/>
    <w:rsid w:val="0021633E"/>
    <w:rsid w:val="00216717"/>
    <w:rsid w:val="002168C7"/>
    <w:rsid w:val="0021762C"/>
    <w:rsid w:val="00217EF5"/>
    <w:rsid w:val="002200CA"/>
    <w:rsid w:val="00220352"/>
    <w:rsid w:val="00220542"/>
    <w:rsid w:val="00220619"/>
    <w:rsid w:val="002209DA"/>
    <w:rsid w:val="00220A95"/>
    <w:rsid w:val="00221123"/>
    <w:rsid w:val="0022123D"/>
    <w:rsid w:val="002212F0"/>
    <w:rsid w:val="00221C66"/>
    <w:rsid w:val="00221F29"/>
    <w:rsid w:val="0022201B"/>
    <w:rsid w:val="00222336"/>
    <w:rsid w:val="00222369"/>
    <w:rsid w:val="002225F5"/>
    <w:rsid w:val="002227A5"/>
    <w:rsid w:val="00222B67"/>
    <w:rsid w:val="002230C7"/>
    <w:rsid w:val="002231D2"/>
    <w:rsid w:val="002232C3"/>
    <w:rsid w:val="00223584"/>
    <w:rsid w:val="00223955"/>
    <w:rsid w:val="00223F5F"/>
    <w:rsid w:val="00224110"/>
    <w:rsid w:val="002245F3"/>
    <w:rsid w:val="00224ABC"/>
    <w:rsid w:val="00224F2A"/>
    <w:rsid w:val="002259B8"/>
    <w:rsid w:val="002259D8"/>
    <w:rsid w:val="002264F9"/>
    <w:rsid w:val="002265D3"/>
    <w:rsid w:val="00226F98"/>
    <w:rsid w:val="00227086"/>
    <w:rsid w:val="00227189"/>
    <w:rsid w:val="00227335"/>
    <w:rsid w:val="00227367"/>
    <w:rsid w:val="00227F2A"/>
    <w:rsid w:val="00230CFC"/>
    <w:rsid w:val="00231951"/>
    <w:rsid w:val="002319F5"/>
    <w:rsid w:val="00231D8A"/>
    <w:rsid w:val="00232885"/>
    <w:rsid w:val="0023346A"/>
    <w:rsid w:val="002336F7"/>
    <w:rsid w:val="002338E7"/>
    <w:rsid w:val="00233A23"/>
    <w:rsid w:val="00233B59"/>
    <w:rsid w:val="00233C6C"/>
    <w:rsid w:val="00234500"/>
    <w:rsid w:val="00234755"/>
    <w:rsid w:val="00235250"/>
    <w:rsid w:val="0023546F"/>
    <w:rsid w:val="00235A67"/>
    <w:rsid w:val="00235EA2"/>
    <w:rsid w:val="0023640D"/>
    <w:rsid w:val="00236512"/>
    <w:rsid w:val="00236828"/>
    <w:rsid w:val="00236D9A"/>
    <w:rsid w:val="002374A3"/>
    <w:rsid w:val="002374B8"/>
    <w:rsid w:val="002375B8"/>
    <w:rsid w:val="00237A7F"/>
    <w:rsid w:val="00237E7D"/>
    <w:rsid w:val="0024055C"/>
    <w:rsid w:val="00240608"/>
    <w:rsid w:val="00240746"/>
    <w:rsid w:val="00240893"/>
    <w:rsid w:val="002408A5"/>
    <w:rsid w:val="0024096E"/>
    <w:rsid w:val="00240D35"/>
    <w:rsid w:val="00241185"/>
    <w:rsid w:val="00241534"/>
    <w:rsid w:val="00241AC0"/>
    <w:rsid w:val="00241C12"/>
    <w:rsid w:val="00241F5D"/>
    <w:rsid w:val="00242817"/>
    <w:rsid w:val="00242AEA"/>
    <w:rsid w:val="00242CFD"/>
    <w:rsid w:val="00243043"/>
    <w:rsid w:val="002432F1"/>
    <w:rsid w:val="002436B0"/>
    <w:rsid w:val="00243DC0"/>
    <w:rsid w:val="00244654"/>
    <w:rsid w:val="0024480B"/>
    <w:rsid w:val="002448AC"/>
    <w:rsid w:val="00244C10"/>
    <w:rsid w:val="00244DCD"/>
    <w:rsid w:val="00244F1A"/>
    <w:rsid w:val="00245056"/>
    <w:rsid w:val="002451E4"/>
    <w:rsid w:val="002452E3"/>
    <w:rsid w:val="00245317"/>
    <w:rsid w:val="002455C5"/>
    <w:rsid w:val="002458E5"/>
    <w:rsid w:val="00245C4D"/>
    <w:rsid w:val="00245F3F"/>
    <w:rsid w:val="002466ED"/>
    <w:rsid w:val="00246A93"/>
    <w:rsid w:val="00246ABF"/>
    <w:rsid w:val="00246DBE"/>
    <w:rsid w:val="00246F2A"/>
    <w:rsid w:val="00247228"/>
    <w:rsid w:val="00247477"/>
    <w:rsid w:val="00247664"/>
    <w:rsid w:val="002476C2"/>
    <w:rsid w:val="0024793E"/>
    <w:rsid w:val="00247B39"/>
    <w:rsid w:val="002505B5"/>
    <w:rsid w:val="002506C3"/>
    <w:rsid w:val="002507B2"/>
    <w:rsid w:val="002508B9"/>
    <w:rsid w:val="00250D08"/>
    <w:rsid w:val="00251176"/>
    <w:rsid w:val="00251246"/>
    <w:rsid w:val="002513B0"/>
    <w:rsid w:val="00251540"/>
    <w:rsid w:val="00251872"/>
    <w:rsid w:val="00251BDF"/>
    <w:rsid w:val="002524BA"/>
    <w:rsid w:val="00252799"/>
    <w:rsid w:val="00252BC7"/>
    <w:rsid w:val="0025350A"/>
    <w:rsid w:val="00253ACD"/>
    <w:rsid w:val="00254771"/>
    <w:rsid w:val="0025485A"/>
    <w:rsid w:val="00254DEE"/>
    <w:rsid w:val="0025511E"/>
    <w:rsid w:val="0025567B"/>
    <w:rsid w:val="00255A19"/>
    <w:rsid w:val="002568DE"/>
    <w:rsid w:val="00256979"/>
    <w:rsid w:val="00256980"/>
    <w:rsid w:val="00256CEF"/>
    <w:rsid w:val="00256E55"/>
    <w:rsid w:val="00257623"/>
    <w:rsid w:val="0025772F"/>
    <w:rsid w:val="002601D4"/>
    <w:rsid w:val="00260AA5"/>
    <w:rsid w:val="00260EEE"/>
    <w:rsid w:val="00260EF8"/>
    <w:rsid w:val="0026184B"/>
    <w:rsid w:val="00262303"/>
    <w:rsid w:val="002623F0"/>
    <w:rsid w:val="002624B0"/>
    <w:rsid w:val="00262B55"/>
    <w:rsid w:val="00262FE2"/>
    <w:rsid w:val="00263063"/>
    <w:rsid w:val="00263ECC"/>
    <w:rsid w:val="00264504"/>
    <w:rsid w:val="0026480F"/>
    <w:rsid w:val="0026488F"/>
    <w:rsid w:val="00264F0B"/>
    <w:rsid w:val="002650FB"/>
    <w:rsid w:val="00265799"/>
    <w:rsid w:val="00265B0D"/>
    <w:rsid w:val="002661EB"/>
    <w:rsid w:val="002666D1"/>
    <w:rsid w:val="002669AC"/>
    <w:rsid w:val="00266D55"/>
    <w:rsid w:val="00266EC1"/>
    <w:rsid w:val="00267187"/>
    <w:rsid w:val="00267688"/>
    <w:rsid w:val="00267AE2"/>
    <w:rsid w:val="00267E80"/>
    <w:rsid w:val="00270440"/>
    <w:rsid w:val="00270497"/>
    <w:rsid w:val="0027081D"/>
    <w:rsid w:val="00270C34"/>
    <w:rsid w:val="00270F56"/>
    <w:rsid w:val="00271327"/>
    <w:rsid w:val="0027187C"/>
    <w:rsid w:val="00272C57"/>
    <w:rsid w:val="002730E8"/>
    <w:rsid w:val="002732DB"/>
    <w:rsid w:val="0027356F"/>
    <w:rsid w:val="002735EA"/>
    <w:rsid w:val="00273858"/>
    <w:rsid w:val="0027392E"/>
    <w:rsid w:val="00273EAF"/>
    <w:rsid w:val="00274460"/>
    <w:rsid w:val="0027486A"/>
    <w:rsid w:val="00274CD8"/>
    <w:rsid w:val="00274FCA"/>
    <w:rsid w:val="002750A9"/>
    <w:rsid w:val="00275B12"/>
    <w:rsid w:val="00275B23"/>
    <w:rsid w:val="00275C1C"/>
    <w:rsid w:val="0027640D"/>
    <w:rsid w:val="00276415"/>
    <w:rsid w:val="002770A8"/>
    <w:rsid w:val="002771B1"/>
    <w:rsid w:val="00277A8A"/>
    <w:rsid w:val="00277C21"/>
    <w:rsid w:val="00277CA7"/>
    <w:rsid w:val="00280C0B"/>
    <w:rsid w:val="00280D7D"/>
    <w:rsid w:val="002811BD"/>
    <w:rsid w:val="002812DA"/>
    <w:rsid w:val="00281574"/>
    <w:rsid w:val="00281682"/>
    <w:rsid w:val="00281824"/>
    <w:rsid w:val="00281A2C"/>
    <w:rsid w:val="00281D1D"/>
    <w:rsid w:val="00281D35"/>
    <w:rsid w:val="002823B4"/>
    <w:rsid w:val="002829FC"/>
    <w:rsid w:val="00282C63"/>
    <w:rsid w:val="00282F7B"/>
    <w:rsid w:val="00283638"/>
    <w:rsid w:val="00283A0B"/>
    <w:rsid w:val="00283E74"/>
    <w:rsid w:val="00284350"/>
    <w:rsid w:val="002848CA"/>
    <w:rsid w:val="00284BC7"/>
    <w:rsid w:val="0028503D"/>
    <w:rsid w:val="00285390"/>
    <w:rsid w:val="002856E5"/>
    <w:rsid w:val="00285AD3"/>
    <w:rsid w:val="00285D43"/>
    <w:rsid w:val="00285E1E"/>
    <w:rsid w:val="00286287"/>
    <w:rsid w:val="00286824"/>
    <w:rsid w:val="00286A4C"/>
    <w:rsid w:val="00286BBB"/>
    <w:rsid w:val="002870E7"/>
    <w:rsid w:val="00287504"/>
    <w:rsid w:val="0028762F"/>
    <w:rsid w:val="002878F7"/>
    <w:rsid w:val="00287972"/>
    <w:rsid w:val="00287BC5"/>
    <w:rsid w:val="002900AE"/>
    <w:rsid w:val="0029058B"/>
    <w:rsid w:val="00290851"/>
    <w:rsid w:val="00291298"/>
    <w:rsid w:val="00291775"/>
    <w:rsid w:val="002917F6"/>
    <w:rsid w:val="00291DCE"/>
    <w:rsid w:val="0029220F"/>
    <w:rsid w:val="002922A7"/>
    <w:rsid w:val="00293A98"/>
    <w:rsid w:val="00293C5B"/>
    <w:rsid w:val="00293DEE"/>
    <w:rsid w:val="00293E0F"/>
    <w:rsid w:val="00293F58"/>
    <w:rsid w:val="00293FF7"/>
    <w:rsid w:val="00294820"/>
    <w:rsid w:val="00294ADD"/>
    <w:rsid w:val="002954D4"/>
    <w:rsid w:val="00295613"/>
    <w:rsid w:val="0029562D"/>
    <w:rsid w:val="00295AE5"/>
    <w:rsid w:val="00295F2E"/>
    <w:rsid w:val="0029604D"/>
    <w:rsid w:val="00296270"/>
    <w:rsid w:val="002967A5"/>
    <w:rsid w:val="00296886"/>
    <w:rsid w:val="00296B93"/>
    <w:rsid w:val="00296C87"/>
    <w:rsid w:val="002971BC"/>
    <w:rsid w:val="002972D6"/>
    <w:rsid w:val="0029734D"/>
    <w:rsid w:val="00297500"/>
    <w:rsid w:val="00297624"/>
    <w:rsid w:val="00297BBE"/>
    <w:rsid w:val="00297F44"/>
    <w:rsid w:val="002A020F"/>
    <w:rsid w:val="002A06A4"/>
    <w:rsid w:val="002A07E2"/>
    <w:rsid w:val="002A0887"/>
    <w:rsid w:val="002A09B7"/>
    <w:rsid w:val="002A0B5D"/>
    <w:rsid w:val="002A1077"/>
    <w:rsid w:val="002A108C"/>
    <w:rsid w:val="002A1122"/>
    <w:rsid w:val="002A130A"/>
    <w:rsid w:val="002A137B"/>
    <w:rsid w:val="002A1569"/>
    <w:rsid w:val="002A1AB4"/>
    <w:rsid w:val="002A1AC8"/>
    <w:rsid w:val="002A1BD6"/>
    <w:rsid w:val="002A1C03"/>
    <w:rsid w:val="002A215C"/>
    <w:rsid w:val="002A27E7"/>
    <w:rsid w:val="002A3351"/>
    <w:rsid w:val="002A33D6"/>
    <w:rsid w:val="002A33DC"/>
    <w:rsid w:val="002A3C96"/>
    <w:rsid w:val="002A4294"/>
    <w:rsid w:val="002A4613"/>
    <w:rsid w:val="002A4BDA"/>
    <w:rsid w:val="002A5576"/>
    <w:rsid w:val="002A5AE4"/>
    <w:rsid w:val="002A5BDB"/>
    <w:rsid w:val="002A5DAD"/>
    <w:rsid w:val="002A64A1"/>
    <w:rsid w:val="002A6787"/>
    <w:rsid w:val="002A7577"/>
    <w:rsid w:val="002A75EC"/>
    <w:rsid w:val="002B053A"/>
    <w:rsid w:val="002B099D"/>
    <w:rsid w:val="002B10B6"/>
    <w:rsid w:val="002B1408"/>
    <w:rsid w:val="002B2129"/>
    <w:rsid w:val="002B21FB"/>
    <w:rsid w:val="002B27CF"/>
    <w:rsid w:val="002B2D4F"/>
    <w:rsid w:val="002B2D6E"/>
    <w:rsid w:val="002B3138"/>
    <w:rsid w:val="002B3165"/>
    <w:rsid w:val="002B32D1"/>
    <w:rsid w:val="002B39F5"/>
    <w:rsid w:val="002B408A"/>
    <w:rsid w:val="002B5A68"/>
    <w:rsid w:val="002B5C83"/>
    <w:rsid w:val="002B64A7"/>
    <w:rsid w:val="002B6869"/>
    <w:rsid w:val="002B70E2"/>
    <w:rsid w:val="002B73AA"/>
    <w:rsid w:val="002B745F"/>
    <w:rsid w:val="002B7546"/>
    <w:rsid w:val="002B7C0F"/>
    <w:rsid w:val="002B7D91"/>
    <w:rsid w:val="002C0420"/>
    <w:rsid w:val="002C056D"/>
    <w:rsid w:val="002C07CE"/>
    <w:rsid w:val="002C08F2"/>
    <w:rsid w:val="002C0C28"/>
    <w:rsid w:val="002C0D08"/>
    <w:rsid w:val="002C0E7C"/>
    <w:rsid w:val="002C1424"/>
    <w:rsid w:val="002C142A"/>
    <w:rsid w:val="002C1702"/>
    <w:rsid w:val="002C1748"/>
    <w:rsid w:val="002C19D4"/>
    <w:rsid w:val="002C19E7"/>
    <w:rsid w:val="002C1A79"/>
    <w:rsid w:val="002C1CEC"/>
    <w:rsid w:val="002C1E5B"/>
    <w:rsid w:val="002C1FA1"/>
    <w:rsid w:val="002C2259"/>
    <w:rsid w:val="002C272B"/>
    <w:rsid w:val="002C2B58"/>
    <w:rsid w:val="002C2C2F"/>
    <w:rsid w:val="002C2D8E"/>
    <w:rsid w:val="002C2D93"/>
    <w:rsid w:val="002C2EDC"/>
    <w:rsid w:val="002C3012"/>
    <w:rsid w:val="002C3248"/>
    <w:rsid w:val="002C3460"/>
    <w:rsid w:val="002C35AF"/>
    <w:rsid w:val="002C38AB"/>
    <w:rsid w:val="002C40C0"/>
    <w:rsid w:val="002C42E1"/>
    <w:rsid w:val="002C45A0"/>
    <w:rsid w:val="002C4765"/>
    <w:rsid w:val="002C4CAB"/>
    <w:rsid w:val="002C4DBD"/>
    <w:rsid w:val="002C5084"/>
    <w:rsid w:val="002C50D4"/>
    <w:rsid w:val="002C5288"/>
    <w:rsid w:val="002C591F"/>
    <w:rsid w:val="002C5CBD"/>
    <w:rsid w:val="002C605A"/>
    <w:rsid w:val="002C6099"/>
    <w:rsid w:val="002C73BE"/>
    <w:rsid w:val="002C78E3"/>
    <w:rsid w:val="002C7998"/>
    <w:rsid w:val="002C7FE9"/>
    <w:rsid w:val="002D0018"/>
    <w:rsid w:val="002D0375"/>
    <w:rsid w:val="002D0CA7"/>
    <w:rsid w:val="002D0CAA"/>
    <w:rsid w:val="002D0DC5"/>
    <w:rsid w:val="002D190C"/>
    <w:rsid w:val="002D1B7C"/>
    <w:rsid w:val="002D1CE3"/>
    <w:rsid w:val="002D2101"/>
    <w:rsid w:val="002D2B47"/>
    <w:rsid w:val="002D2DFB"/>
    <w:rsid w:val="002D2FC8"/>
    <w:rsid w:val="002D3055"/>
    <w:rsid w:val="002D332F"/>
    <w:rsid w:val="002D386C"/>
    <w:rsid w:val="002D39BA"/>
    <w:rsid w:val="002D3B65"/>
    <w:rsid w:val="002D3CA0"/>
    <w:rsid w:val="002D42EF"/>
    <w:rsid w:val="002D43DC"/>
    <w:rsid w:val="002D471D"/>
    <w:rsid w:val="002D4A6C"/>
    <w:rsid w:val="002D4B34"/>
    <w:rsid w:val="002D4EFD"/>
    <w:rsid w:val="002D570E"/>
    <w:rsid w:val="002D6BFC"/>
    <w:rsid w:val="002D6C10"/>
    <w:rsid w:val="002D6F0E"/>
    <w:rsid w:val="002D7062"/>
    <w:rsid w:val="002D7109"/>
    <w:rsid w:val="002D74F8"/>
    <w:rsid w:val="002D7A96"/>
    <w:rsid w:val="002E0223"/>
    <w:rsid w:val="002E022A"/>
    <w:rsid w:val="002E0B60"/>
    <w:rsid w:val="002E0C32"/>
    <w:rsid w:val="002E1349"/>
    <w:rsid w:val="002E1350"/>
    <w:rsid w:val="002E13E3"/>
    <w:rsid w:val="002E1624"/>
    <w:rsid w:val="002E1A3A"/>
    <w:rsid w:val="002E1C5B"/>
    <w:rsid w:val="002E2035"/>
    <w:rsid w:val="002E2219"/>
    <w:rsid w:val="002E2299"/>
    <w:rsid w:val="002E22D1"/>
    <w:rsid w:val="002E2870"/>
    <w:rsid w:val="002E2EC6"/>
    <w:rsid w:val="002E2F8A"/>
    <w:rsid w:val="002E3763"/>
    <w:rsid w:val="002E3C5B"/>
    <w:rsid w:val="002E3E16"/>
    <w:rsid w:val="002E3EDB"/>
    <w:rsid w:val="002E4011"/>
    <w:rsid w:val="002E4D90"/>
    <w:rsid w:val="002E529C"/>
    <w:rsid w:val="002E55EA"/>
    <w:rsid w:val="002E5855"/>
    <w:rsid w:val="002E5F47"/>
    <w:rsid w:val="002E6227"/>
    <w:rsid w:val="002E6858"/>
    <w:rsid w:val="002E6A48"/>
    <w:rsid w:val="002E6CA7"/>
    <w:rsid w:val="002E6FDA"/>
    <w:rsid w:val="002F00D4"/>
    <w:rsid w:val="002F031B"/>
    <w:rsid w:val="002F03B6"/>
    <w:rsid w:val="002F0B79"/>
    <w:rsid w:val="002F133E"/>
    <w:rsid w:val="002F189C"/>
    <w:rsid w:val="002F18B5"/>
    <w:rsid w:val="002F1A3C"/>
    <w:rsid w:val="002F1CAB"/>
    <w:rsid w:val="002F1E41"/>
    <w:rsid w:val="002F25DF"/>
    <w:rsid w:val="002F2A07"/>
    <w:rsid w:val="002F2BC3"/>
    <w:rsid w:val="002F2C91"/>
    <w:rsid w:val="002F2D38"/>
    <w:rsid w:val="002F31D7"/>
    <w:rsid w:val="002F335D"/>
    <w:rsid w:val="002F3737"/>
    <w:rsid w:val="002F4180"/>
    <w:rsid w:val="002F41DE"/>
    <w:rsid w:val="002F42D6"/>
    <w:rsid w:val="002F4329"/>
    <w:rsid w:val="002F4628"/>
    <w:rsid w:val="002F4D6B"/>
    <w:rsid w:val="002F4EBC"/>
    <w:rsid w:val="002F577D"/>
    <w:rsid w:val="002F5D93"/>
    <w:rsid w:val="002F5DCD"/>
    <w:rsid w:val="002F5E16"/>
    <w:rsid w:val="002F6172"/>
    <w:rsid w:val="002F654F"/>
    <w:rsid w:val="002F6FA4"/>
    <w:rsid w:val="002F7446"/>
    <w:rsid w:val="002F76C4"/>
    <w:rsid w:val="002F7C2A"/>
    <w:rsid w:val="003004F3"/>
    <w:rsid w:val="00300C18"/>
    <w:rsid w:val="00300DD3"/>
    <w:rsid w:val="00300F4B"/>
    <w:rsid w:val="003016FC"/>
    <w:rsid w:val="0030176D"/>
    <w:rsid w:val="003018B4"/>
    <w:rsid w:val="00301E31"/>
    <w:rsid w:val="00302733"/>
    <w:rsid w:val="00302807"/>
    <w:rsid w:val="00303177"/>
    <w:rsid w:val="0030338C"/>
    <w:rsid w:val="00303497"/>
    <w:rsid w:val="00303618"/>
    <w:rsid w:val="00303A7A"/>
    <w:rsid w:val="00303BE8"/>
    <w:rsid w:val="00303C55"/>
    <w:rsid w:val="00303C64"/>
    <w:rsid w:val="003042D3"/>
    <w:rsid w:val="00304C2C"/>
    <w:rsid w:val="00304C82"/>
    <w:rsid w:val="00304D48"/>
    <w:rsid w:val="00304E61"/>
    <w:rsid w:val="00304F3E"/>
    <w:rsid w:val="003050F2"/>
    <w:rsid w:val="00305B99"/>
    <w:rsid w:val="00306124"/>
    <w:rsid w:val="00306162"/>
    <w:rsid w:val="00306716"/>
    <w:rsid w:val="00307167"/>
    <w:rsid w:val="00307BD1"/>
    <w:rsid w:val="00307D37"/>
    <w:rsid w:val="00307DA9"/>
    <w:rsid w:val="00310BB2"/>
    <w:rsid w:val="003110DB"/>
    <w:rsid w:val="003110F9"/>
    <w:rsid w:val="0031157B"/>
    <w:rsid w:val="0031163E"/>
    <w:rsid w:val="0031181D"/>
    <w:rsid w:val="00311963"/>
    <w:rsid w:val="00311AAA"/>
    <w:rsid w:val="00311B2A"/>
    <w:rsid w:val="00312269"/>
    <w:rsid w:val="003122F5"/>
    <w:rsid w:val="0031234F"/>
    <w:rsid w:val="003124A1"/>
    <w:rsid w:val="00312626"/>
    <w:rsid w:val="00312ADA"/>
    <w:rsid w:val="00312AFC"/>
    <w:rsid w:val="003131B3"/>
    <w:rsid w:val="0031330D"/>
    <w:rsid w:val="00313452"/>
    <w:rsid w:val="003135DA"/>
    <w:rsid w:val="0031392B"/>
    <w:rsid w:val="00313FF3"/>
    <w:rsid w:val="003143C4"/>
    <w:rsid w:val="00314902"/>
    <w:rsid w:val="003149D3"/>
    <w:rsid w:val="00314FAC"/>
    <w:rsid w:val="0031556F"/>
    <w:rsid w:val="00316071"/>
    <w:rsid w:val="003160A1"/>
    <w:rsid w:val="003166F6"/>
    <w:rsid w:val="00316D03"/>
    <w:rsid w:val="00317DED"/>
    <w:rsid w:val="0031F202"/>
    <w:rsid w:val="003204E5"/>
    <w:rsid w:val="00320930"/>
    <w:rsid w:val="00320ACF"/>
    <w:rsid w:val="00320BA0"/>
    <w:rsid w:val="0032119D"/>
    <w:rsid w:val="00321969"/>
    <w:rsid w:val="00322A34"/>
    <w:rsid w:val="00322B6D"/>
    <w:rsid w:val="00322C79"/>
    <w:rsid w:val="00323312"/>
    <w:rsid w:val="0032348B"/>
    <w:rsid w:val="003237FD"/>
    <w:rsid w:val="00323DD7"/>
    <w:rsid w:val="00323EA9"/>
    <w:rsid w:val="00324080"/>
    <w:rsid w:val="00324618"/>
    <w:rsid w:val="00324F22"/>
    <w:rsid w:val="0032551F"/>
    <w:rsid w:val="003260E6"/>
    <w:rsid w:val="00326506"/>
    <w:rsid w:val="0032660B"/>
    <w:rsid w:val="003266C6"/>
    <w:rsid w:val="00326D8E"/>
    <w:rsid w:val="0032702D"/>
    <w:rsid w:val="00327172"/>
    <w:rsid w:val="003271F1"/>
    <w:rsid w:val="00327215"/>
    <w:rsid w:val="003278AE"/>
    <w:rsid w:val="0032798F"/>
    <w:rsid w:val="00327B7C"/>
    <w:rsid w:val="00330362"/>
    <w:rsid w:val="00330D89"/>
    <w:rsid w:val="00330E9F"/>
    <w:rsid w:val="00331157"/>
    <w:rsid w:val="00331709"/>
    <w:rsid w:val="0033188F"/>
    <w:rsid w:val="00331E74"/>
    <w:rsid w:val="003321F3"/>
    <w:rsid w:val="00332805"/>
    <w:rsid w:val="00332820"/>
    <w:rsid w:val="0033287C"/>
    <w:rsid w:val="003331CF"/>
    <w:rsid w:val="00333244"/>
    <w:rsid w:val="00333988"/>
    <w:rsid w:val="003340DF"/>
    <w:rsid w:val="0033427F"/>
    <w:rsid w:val="003343BA"/>
    <w:rsid w:val="0033444A"/>
    <w:rsid w:val="003348AF"/>
    <w:rsid w:val="003356A6"/>
    <w:rsid w:val="00335CA8"/>
    <w:rsid w:val="0033625B"/>
    <w:rsid w:val="0033641E"/>
    <w:rsid w:val="0033667E"/>
    <w:rsid w:val="00336827"/>
    <w:rsid w:val="00336AA3"/>
    <w:rsid w:val="00336FBB"/>
    <w:rsid w:val="0033786F"/>
    <w:rsid w:val="00337C2C"/>
    <w:rsid w:val="00337F7F"/>
    <w:rsid w:val="00337FFA"/>
    <w:rsid w:val="00340110"/>
    <w:rsid w:val="003402D8"/>
    <w:rsid w:val="0034043D"/>
    <w:rsid w:val="003405CE"/>
    <w:rsid w:val="003406B7"/>
    <w:rsid w:val="003410FF"/>
    <w:rsid w:val="003411EF"/>
    <w:rsid w:val="00341219"/>
    <w:rsid w:val="00341428"/>
    <w:rsid w:val="00341784"/>
    <w:rsid w:val="0034189A"/>
    <w:rsid w:val="00341BFD"/>
    <w:rsid w:val="00341DD8"/>
    <w:rsid w:val="00342435"/>
    <w:rsid w:val="00342642"/>
    <w:rsid w:val="003426CF"/>
    <w:rsid w:val="003427FD"/>
    <w:rsid w:val="003431D0"/>
    <w:rsid w:val="003433C0"/>
    <w:rsid w:val="00343527"/>
    <w:rsid w:val="00343903"/>
    <w:rsid w:val="00343DCB"/>
    <w:rsid w:val="00343E5C"/>
    <w:rsid w:val="00343F21"/>
    <w:rsid w:val="003441C0"/>
    <w:rsid w:val="00344594"/>
    <w:rsid w:val="00344840"/>
    <w:rsid w:val="00344FB8"/>
    <w:rsid w:val="00345ABE"/>
    <w:rsid w:val="00345D54"/>
    <w:rsid w:val="00346D5E"/>
    <w:rsid w:val="00346DC4"/>
    <w:rsid w:val="00347070"/>
    <w:rsid w:val="00347080"/>
    <w:rsid w:val="00347093"/>
    <w:rsid w:val="00347657"/>
    <w:rsid w:val="00347781"/>
    <w:rsid w:val="003477C9"/>
    <w:rsid w:val="003500EE"/>
    <w:rsid w:val="003501D1"/>
    <w:rsid w:val="00350322"/>
    <w:rsid w:val="003506DF"/>
    <w:rsid w:val="003507D5"/>
    <w:rsid w:val="00350965"/>
    <w:rsid w:val="00350D52"/>
    <w:rsid w:val="00350E64"/>
    <w:rsid w:val="00350EF1"/>
    <w:rsid w:val="00351059"/>
    <w:rsid w:val="00351103"/>
    <w:rsid w:val="0035115E"/>
    <w:rsid w:val="00351174"/>
    <w:rsid w:val="003511EC"/>
    <w:rsid w:val="0035130F"/>
    <w:rsid w:val="0035141F"/>
    <w:rsid w:val="00352034"/>
    <w:rsid w:val="0035218D"/>
    <w:rsid w:val="003523D1"/>
    <w:rsid w:val="003526E0"/>
    <w:rsid w:val="0035273D"/>
    <w:rsid w:val="00352B86"/>
    <w:rsid w:val="00353969"/>
    <w:rsid w:val="00353A1C"/>
    <w:rsid w:val="00353BF1"/>
    <w:rsid w:val="00354E00"/>
    <w:rsid w:val="00354FD5"/>
    <w:rsid w:val="00354FE4"/>
    <w:rsid w:val="00355132"/>
    <w:rsid w:val="003553FB"/>
    <w:rsid w:val="0035566C"/>
    <w:rsid w:val="00355AAA"/>
    <w:rsid w:val="00355DC0"/>
    <w:rsid w:val="00356657"/>
    <w:rsid w:val="003567E2"/>
    <w:rsid w:val="0035682A"/>
    <w:rsid w:val="003568DC"/>
    <w:rsid w:val="00356963"/>
    <w:rsid w:val="00356C92"/>
    <w:rsid w:val="00356D81"/>
    <w:rsid w:val="0035761D"/>
    <w:rsid w:val="00357864"/>
    <w:rsid w:val="00357F99"/>
    <w:rsid w:val="0036017B"/>
    <w:rsid w:val="0036042C"/>
    <w:rsid w:val="00361124"/>
    <w:rsid w:val="0036121F"/>
    <w:rsid w:val="0036135A"/>
    <w:rsid w:val="0036167A"/>
    <w:rsid w:val="00361867"/>
    <w:rsid w:val="00361BD8"/>
    <w:rsid w:val="00361DBC"/>
    <w:rsid w:val="0036253E"/>
    <w:rsid w:val="00362755"/>
    <w:rsid w:val="00362AE7"/>
    <w:rsid w:val="00362BDE"/>
    <w:rsid w:val="00362D1C"/>
    <w:rsid w:val="00362E7E"/>
    <w:rsid w:val="0036315C"/>
    <w:rsid w:val="003637B2"/>
    <w:rsid w:val="0036393B"/>
    <w:rsid w:val="003639C4"/>
    <w:rsid w:val="00363B67"/>
    <w:rsid w:val="00364066"/>
    <w:rsid w:val="00364128"/>
    <w:rsid w:val="00364180"/>
    <w:rsid w:val="003644A6"/>
    <w:rsid w:val="00364669"/>
    <w:rsid w:val="003647B5"/>
    <w:rsid w:val="003648B7"/>
    <w:rsid w:val="00364EFB"/>
    <w:rsid w:val="0036506D"/>
    <w:rsid w:val="00365375"/>
    <w:rsid w:val="003659D9"/>
    <w:rsid w:val="00365ECE"/>
    <w:rsid w:val="00366FBB"/>
    <w:rsid w:val="00367305"/>
    <w:rsid w:val="00367537"/>
    <w:rsid w:val="0036778D"/>
    <w:rsid w:val="003678FE"/>
    <w:rsid w:val="00367914"/>
    <w:rsid w:val="00367D82"/>
    <w:rsid w:val="00367F28"/>
    <w:rsid w:val="00367FB6"/>
    <w:rsid w:val="00370094"/>
    <w:rsid w:val="0037063E"/>
    <w:rsid w:val="00370A60"/>
    <w:rsid w:val="003715F1"/>
    <w:rsid w:val="00371809"/>
    <w:rsid w:val="00371DA5"/>
    <w:rsid w:val="00371F21"/>
    <w:rsid w:val="0037294B"/>
    <w:rsid w:val="00372D9A"/>
    <w:rsid w:val="0037397C"/>
    <w:rsid w:val="00373B93"/>
    <w:rsid w:val="00373C1D"/>
    <w:rsid w:val="00373C9B"/>
    <w:rsid w:val="003745AC"/>
    <w:rsid w:val="00374B3E"/>
    <w:rsid w:val="00374D9A"/>
    <w:rsid w:val="003751BC"/>
    <w:rsid w:val="00375256"/>
    <w:rsid w:val="0037529C"/>
    <w:rsid w:val="00375497"/>
    <w:rsid w:val="0037606E"/>
    <w:rsid w:val="0037612A"/>
    <w:rsid w:val="003765BE"/>
    <w:rsid w:val="00376C7B"/>
    <w:rsid w:val="003771F4"/>
    <w:rsid w:val="003778BA"/>
    <w:rsid w:val="00377ADA"/>
    <w:rsid w:val="00377E74"/>
    <w:rsid w:val="00377EDE"/>
    <w:rsid w:val="00380781"/>
    <w:rsid w:val="003809A0"/>
    <w:rsid w:val="00380CD1"/>
    <w:rsid w:val="003818C0"/>
    <w:rsid w:val="00381EA4"/>
    <w:rsid w:val="00381FB7"/>
    <w:rsid w:val="003821C0"/>
    <w:rsid w:val="0038244F"/>
    <w:rsid w:val="00382CAA"/>
    <w:rsid w:val="00382E4A"/>
    <w:rsid w:val="00382F26"/>
    <w:rsid w:val="003831D5"/>
    <w:rsid w:val="00383DB2"/>
    <w:rsid w:val="00383DEB"/>
    <w:rsid w:val="00383FC6"/>
    <w:rsid w:val="00384199"/>
    <w:rsid w:val="003841C6"/>
    <w:rsid w:val="00384D94"/>
    <w:rsid w:val="00385188"/>
    <w:rsid w:val="00386098"/>
    <w:rsid w:val="00386BAE"/>
    <w:rsid w:val="00386D67"/>
    <w:rsid w:val="00386D94"/>
    <w:rsid w:val="00387C71"/>
    <w:rsid w:val="00387E56"/>
    <w:rsid w:val="003904ED"/>
    <w:rsid w:val="00390617"/>
    <w:rsid w:val="00390CE1"/>
    <w:rsid w:val="00390DAA"/>
    <w:rsid w:val="00390EEE"/>
    <w:rsid w:val="003917A4"/>
    <w:rsid w:val="00391A92"/>
    <w:rsid w:val="00391B4A"/>
    <w:rsid w:val="00391BE3"/>
    <w:rsid w:val="00391E3A"/>
    <w:rsid w:val="00391F24"/>
    <w:rsid w:val="00392073"/>
    <w:rsid w:val="003926D5"/>
    <w:rsid w:val="003937D3"/>
    <w:rsid w:val="00393C62"/>
    <w:rsid w:val="003946E2"/>
    <w:rsid w:val="00394D2D"/>
    <w:rsid w:val="00394E78"/>
    <w:rsid w:val="003954BB"/>
    <w:rsid w:val="00395840"/>
    <w:rsid w:val="00395970"/>
    <w:rsid w:val="00395B8D"/>
    <w:rsid w:val="00395CA5"/>
    <w:rsid w:val="00395EE4"/>
    <w:rsid w:val="00396296"/>
    <w:rsid w:val="00396520"/>
    <w:rsid w:val="00396A2D"/>
    <w:rsid w:val="00396F2E"/>
    <w:rsid w:val="00396F51"/>
    <w:rsid w:val="0039724C"/>
    <w:rsid w:val="003972EA"/>
    <w:rsid w:val="003972F9"/>
    <w:rsid w:val="00397AEF"/>
    <w:rsid w:val="003A0061"/>
    <w:rsid w:val="003A02B9"/>
    <w:rsid w:val="003A0410"/>
    <w:rsid w:val="003A0439"/>
    <w:rsid w:val="003A04E0"/>
    <w:rsid w:val="003A11E9"/>
    <w:rsid w:val="003A1558"/>
    <w:rsid w:val="003A163E"/>
    <w:rsid w:val="003A16A0"/>
    <w:rsid w:val="003A16F8"/>
    <w:rsid w:val="003A1F28"/>
    <w:rsid w:val="003A2857"/>
    <w:rsid w:val="003A29A5"/>
    <w:rsid w:val="003A29F0"/>
    <w:rsid w:val="003A2BBE"/>
    <w:rsid w:val="003A3092"/>
    <w:rsid w:val="003A31AD"/>
    <w:rsid w:val="003A371B"/>
    <w:rsid w:val="003A371F"/>
    <w:rsid w:val="003A38F0"/>
    <w:rsid w:val="003A3B43"/>
    <w:rsid w:val="003A3E9E"/>
    <w:rsid w:val="003A4CA5"/>
    <w:rsid w:val="003A4FD1"/>
    <w:rsid w:val="003A50D5"/>
    <w:rsid w:val="003A522E"/>
    <w:rsid w:val="003A5238"/>
    <w:rsid w:val="003A6141"/>
    <w:rsid w:val="003A61BD"/>
    <w:rsid w:val="003A64D3"/>
    <w:rsid w:val="003A68D9"/>
    <w:rsid w:val="003A6A05"/>
    <w:rsid w:val="003A6BA5"/>
    <w:rsid w:val="003A6D47"/>
    <w:rsid w:val="003A7925"/>
    <w:rsid w:val="003A7949"/>
    <w:rsid w:val="003A7B62"/>
    <w:rsid w:val="003B07B0"/>
    <w:rsid w:val="003B0DDD"/>
    <w:rsid w:val="003B11C8"/>
    <w:rsid w:val="003B1F10"/>
    <w:rsid w:val="003B1F66"/>
    <w:rsid w:val="003B210D"/>
    <w:rsid w:val="003B22E7"/>
    <w:rsid w:val="003B25C9"/>
    <w:rsid w:val="003B27C6"/>
    <w:rsid w:val="003B286E"/>
    <w:rsid w:val="003B2F9D"/>
    <w:rsid w:val="003B30BB"/>
    <w:rsid w:val="003B3526"/>
    <w:rsid w:val="003B3B0C"/>
    <w:rsid w:val="003B3EA6"/>
    <w:rsid w:val="003B4157"/>
    <w:rsid w:val="003B473E"/>
    <w:rsid w:val="003B47CB"/>
    <w:rsid w:val="003B4822"/>
    <w:rsid w:val="003B49F5"/>
    <w:rsid w:val="003B505C"/>
    <w:rsid w:val="003B5C02"/>
    <w:rsid w:val="003B6916"/>
    <w:rsid w:val="003B6C36"/>
    <w:rsid w:val="003B6E85"/>
    <w:rsid w:val="003B6FC8"/>
    <w:rsid w:val="003B7369"/>
    <w:rsid w:val="003B74E7"/>
    <w:rsid w:val="003B7527"/>
    <w:rsid w:val="003B7C12"/>
    <w:rsid w:val="003B7F2D"/>
    <w:rsid w:val="003B7F63"/>
    <w:rsid w:val="003B7FE2"/>
    <w:rsid w:val="003B7FF2"/>
    <w:rsid w:val="003C007C"/>
    <w:rsid w:val="003C0241"/>
    <w:rsid w:val="003C0832"/>
    <w:rsid w:val="003C08C4"/>
    <w:rsid w:val="003C0F9F"/>
    <w:rsid w:val="003C105E"/>
    <w:rsid w:val="003C108A"/>
    <w:rsid w:val="003C16C7"/>
    <w:rsid w:val="003C16DE"/>
    <w:rsid w:val="003C1B55"/>
    <w:rsid w:val="003C1CE0"/>
    <w:rsid w:val="003C1D2A"/>
    <w:rsid w:val="003C1F50"/>
    <w:rsid w:val="003C257D"/>
    <w:rsid w:val="003C2880"/>
    <w:rsid w:val="003C28B1"/>
    <w:rsid w:val="003C2C1D"/>
    <w:rsid w:val="003C3245"/>
    <w:rsid w:val="003C3B01"/>
    <w:rsid w:val="003C3F1E"/>
    <w:rsid w:val="003C4693"/>
    <w:rsid w:val="003C4EF2"/>
    <w:rsid w:val="003C4F3F"/>
    <w:rsid w:val="003C512F"/>
    <w:rsid w:val="003C514F"/>
    <w:rsid w:val="003C569B"/>
    <w:rsid w:val="003C577C"/>
    <w:rsid w:val="003C5CFF"/>
    <w:rsid w:val="003C60DA"/>
    <w:rsid w:val="003C63EF"/>
    <w:rsid w:val="003C6C14"/>
    <w:rsid w:val="003C6EBE"/>
    <w:rsid w:val="003C701E"/>
    <w:rsid w:val="003C7025"/>
    <w:rsid w:val="003C71A9"/>
    <w:rsid w:val="003C7C0C"/>
    <w:rsid w:val="003D06AD"/>
    <w:rsid w:val="003D081E"/>
    <w:rsid w:val="003D0A5B"/>
    <w:rsid w:val="003D115E"/>
    <w:rsid w:val="003D14B8"/>
    <w:rsid w:val="003D18F5"/>
    <w:rsid w:val="003D1B0B"/>
    <w:rsid w:val="003D1DC7"/>
    <w:rsid w:val="003D1F87"/>
    <w:rsid w:val="003D219D"/>
    <w:rsid w:val="003D236A"/>
    <w:rsid w:val="003D25D3"/>
    <w:rsid w:val="003D2928"/>
    <w:rsid w:val="003D2FED"/>
    <w:rsid w:val="003D3C28"/>
    <w:rsid w:val="003D3FD4"/>
    <w:rsid w:val="003D4093"/>
    <w:rsid w:val="003D41AD"/>
    <w:rsid w:val="003D4273"/>
    <w:rsid w:val="003D452E"/>
    <w:rsid w:val="003D462C"/>
    <w:rsid w:val="003D4825"/>
    <w:rsid w:val="003D4A57"/>
    <w:rsid w:val="003D4D37"/>
    <w:rsid w:val="003D5146"/>
    <w:rsid w:val="003D5619"/>
    <w:rsid w:val="003D5B5F"/>
    <w:rsid w:val="003D5E06"/>
    <w:rsid w:val="003D6527"/>
    <w:rsid w:val="003D687C"/>
    <w:rsid w:val="003D735B"/>
    <w:rsid w:val="003D743C"/>
    <w:rsid w:val="003D74DB"/>
    <w:rsid w:val="003E01BB"/>
    <w:rsid w:val="003E0838"/>
    <w:rsid w:val="003E0B84"/>
    <w:rsid w:val="003E1005"/>
    <w:rsid w:val="003E1767"/>
    <w:rsid w:val="003E1901"/>
    <w:rsid w:val="003E1E9A"/>
    <w:rsid w:val="003E1FF3"/>
    <w:rsid w:val="003E2D56"/>
    <w:rsid w:val="003E2D8A"/>
    <w:rsid w:val="003E2E1C"/>
    <w:rsid w:val="003E2EB2"/>
    <w:rsid w:val="003E3531"/>
    <w:rsid w:val="003E3617"/>
    <w:rsid w:val="003E3B38"/>
    <w:rsid w:val="003E3B5C"/>
    <w:rsid w:val="003E3C7A"/>
    <w:rsid w:val="003E3D69"/>
    <w:rsid w:val="003E3E46"/>
    <w:rsid w:val="003E411C"/>
    <w:rsid w:val="003E445D"/>
    <w:rsid w:val="003E460B"/>
    <w:rsid w:val="003E4C06"/>
    <w:rsid w:val="003E4CDB"/>
    <w:rsid w:val="003E5216"/>
    <w:rsid w:val="003E535D"/>
    <w:rsid w:val="003E550F"/>
    <w:rsid w:val="003E589B"/>
    <w:rsid w:val="003E5F3D"/>
    <w:rsid w:val="003E60F2"/>
    <w:rsid w:val="003E6A51"/>
    <w:rsid w:val="003E6EE4"/>
    <w:rsid w:val="003E7883"/>
    <w:rsid w:val="003E7D86"/>
    <w:rsid w:val="003E7EBD"/>
    <w:rsid w:val="003E7ED0"/>
    <w:rsid w:val="003E7EDA"/>
    <w:rsid w:val="003F069A"/>
    <w:rsid w:val="003F0951"/>
    <w:rsid w:val="003F09D9"/>
    <w:rsid w:val="003F0BA3"/>
    <w:rsid w:val="003F0C70"/>
    <w:rsid w:val="003F0CB9"/>
    <w:rsid w:val="003F109F"/>
    <w:rsid w:val="003F10CF"/>
    <w:rsid w:val="003F11FF"/>
    <w:rsid w:val="003F1A63"/>
    <w:rsid w:val="003F1FB0"/>
    <w:rsid w:val="003F2096"/>
    <w:rsid w:val="003F2102"/>
    <w:rsid w:val="003F28BB"/>
    <w:rsid w:val="003F2BBE"/>
    <w:rsid w:val="003F2D53"/>
    <w:rsid w:val="003F2FCE"/>
    <w:rsid w:val="003F356F"/>
    <w:rsid w:val="003F37A5"/>
    <w:rsid w:val="003F383C"/>
    <w:rsid w:val="003F3870"/>
    <w:rsid w:val="003F3BAB"/>
    <w:rsid w:val="003F3E0B"/>
    <w:rsid w:val="003F4329"/>
    <w:rsid w:val="003F461E"/>
    <w:rsid w:val="003F4751"/>
    <w:rsid w:val="003F48ED"/>
    <w:rsid w:val="003F4B9B"/>
    <w:rsid w:val="003F4E1F"/>
    <w:rsid w:val="003F52BB"/>
    <w:rsid w:val="003F5322"/>
    <w:rsid w:val="003F5603"/>
    <w:rsid w:val="003F5A02"/>
    <w:rsid w:val="003F5A48"/>
    <w:rsid w:val="003F5AEB"/>
    <w:rsid w:val="003F6748"/>
    <w:rsid w:val="003F73D9"/>
    <w:rsid w:val="003F75F5"/>
    <w:rsid w:val="003F77B6"/>
    <w:rsid w:val="003F78E5"/>
    <w:rsid w:val="003F797B"/>
    <w:rsid w:val="003F7D9A"/>
    <w:rsid w:val="0040009D"/>
    <w:rsid w:val="004000B8"/>
    <w:rsid w:val="004002A4"/>
    <w:rsid w:val="00400699"/>
    <w:rsid w:val="0040086E"/>
    <w:rsid w:val="0040093A"/>
    <w:rsid w:val="00400BB9"/>
    <w:rsid w:val="00400D5A"/>
    <w:rsid w:val="00401264"/>
    <w:rsid w:val="0040149D"/>
    <w:rsid w:val="00401771"/>
    <w:rsid w:val="00401CE7"/>
    <w:rsid w:val="0040209D"/>
    <w:rsid w:val="0040216F"/>
    <w:rsid w:val="004025FF"/>
    <w:rsid w:val="00402668"/>
    <w:rsid w:val="0040273A"/>
    <w:rsid w:val="0040274B"/>
    <w:rsid w:val="0040286D"/>
    <w:rsid w:val="00402C25"/>
    <w:rsid w:val="00402DA4"/>
    <w:rsid w:val="00403F52"/>
    <w:rsid w:val="00404386"/>
    <w:rsid w:val="004043FF"/>
    <w:rsid w:val="00404420"/>
    <w:rsid w:val="0040452B"/>
    <w:rsid w:val="0040479A"/>
    <w:rsid w:val="00404B07"/>
    <w:rsid w:val="00404B08"/>
    <w:rsid w:val="00404B52"/>
    <w:rsid w:val="0040519F"/>
    <w:rsid w:val="004056A8"/>
    <w:rsid w:val="00405861"/>
    <w:rsid w:val="004059A1"/>
    <w:rsid w:val="00405E01"/>
    <w:rsid w:val="00405EE0"/>
    <w:rsid w:val="004065BD"/>
    <w:rsid w:val="00406613"/>
    <w:rsid w:val="0040669F"/>
    <w:rsid w:val="00406DB6"/>
    <w:rsid w:val="00406E5E"/>
    <w:rsid w:val="004072C4"/>
    <w:rsid w:val="00407387"/>
    <w:rsid w:val="004074BC"/>
    <w:rsid w:val="00407504"/>
    <w:rsid w:val="00407625"/>
    <w:rsid w:val="00407686"/>
    <w:rsid w:val="00407A28"/>
    <w:rsid w:val="00407C2E"/>
    <w:rsid w:val="00407C6F"/>
    <w:rsid w:val="00407DE8"/>
    <w:rsid w:val="00407E74"/>
    <w:rsid w:val="00410963"/>
    <w:rsid w:val="00410ABB"/>
    <w:rsid w:val="00410C0E"/>
    <w:rsid w:val="00410D6F"/>
    <w:rsid w:val="00410FAC"/>
    <w:rsid w:val="004112BA"/>
    <w:rsid w:val="00411949"/>
    <w:rsid w:val="00411BBE"/>
    <w:rsid w:val="00411EE2"/>
    <w:rsid w:val="0041249F"/>
    <w:rsid w:val="00412534"/>
    <w:rsid w:val="00412727"/>
    <w:rsid w:val="00412883"/>
    <w:rsid w:val="00412898"/>
    <w:rsid w:val="00412C83"/>
    <w:rsid w:val="00413588"/>
    <w:rsid w:val="00413832"/>
    <w:rsid w:val="00413871"/>
    <w:rsid w:val="00414369"/>
    <w:rsid w:val="00414575"/>
    <w:rsid w:val="004149A2"/>
    <w:rsid w:val="00414AA9"/>
    <w:rsid w:val="00414E80"/>
    <w:rsid w:val="00414F9C"/>
    <w:rsid w:val="004150D3"/>
    <w:rsid w:val="004152BF"/>
    <w:rsid w:val="00415342"/>
    <w:rsid w:val="004153D6"/>
    <w:rsid w:val="004159DA"/>
    <w:rsid w:val="004168B1"/>
    <w:rsid w:val="00416971"/>
    <w:rsid w:val="00416E45"/>
    <w:rsid w:val="004171C1"/>
    <w:rsid w:val="004173E2"/>
    <w:rsid w:val="004176F4"/>
    <w:rsid w:val="00417918"/>
    <w:rsid w:val="00417954"/>
    <w:rsid w:val="00417AA6"/>
    <w:rsid w:val="00417E72"/>
    <w:rsid w:val="00417EA3"/>
    <w:rsid w:val="00420021"/>
    <w:rsid w:val="00420057"/>
    <w:rsid w:val="004201EE"/>
    <w:rsid w:val="00420741"/>
    <w:rsid w:val="004209CF"/>
    <w:rsid w:val="00420C6B"/>
    <w:rsid w:val="00420CA7"/>
    <w:rsid w:val="004213A4"/>
    <w:rsid w:val="0042144E"/>
    <w:rsid w:val="004217E6"/>
    <w:rsid w:val="00421A77"/>
    <w:rsid w:val="00421A8B"/>
    <w:rsid w:val="00422201"/>
    <w:rsid w:val="004222E0"/>
    <w:rsid w:val="00422385"/>
    <w:rsid w:val="004223C1"/>
    <w:rsid w:val="00422616"/>
    <w:rsid w:val="004228CD"/>
    <w:rsid w:val="00422BCE"/>
    <w:rsid w:val="00423407"/>
    <w:rsid w:val="004236F8"/>
    <w:rsid w:val="0042391B"/>
    <w:rsid w:val="00423CA1"/>
    <w:rsid w:val="00423F97"/>
    <w:rsid w:val="004242E6"/>
    <w:rsid w:val="00425098"/>
    <w:rsid w:val="00425C4D"/>
    <w:rsid w:val="00425CDC"/>
    <w:rsid w:val="00425F7D"/>
    <w:rsid w:val="00426014"/>
    <w:rsid w:val="0042656C"/>
    <w:rsid w:val="00426E7A"/>
    <w:rsid w:val="00427109"/>
    <w:rsid w:val="00427CF7"/>
    <w:rsid w:val="00427FA2"/>
    <w:rsid w:val="004303DE"/>
    <w:rsid w:val="0043084A"/>
    <w:rsid w:val="00430BA8"/>
    <w:rsid w:val="00430CFC"/>
    <w:rsid w:val="00430ED0"/>
    <w:rsid w:val="0043108E"/>
    <w:rsid w:val="00431833"/>
    <w:rsid w:val="0043185F"/>
    <w:rsid w:val="00431ACB"/>
    <w:rsid w:val="00432212"/>
    <w:rsid w:val="00433A76"/>
    <w:rsid w:val="00433D8F"/>
    <w:rsid w:val="004340F2"/>
    <w:rsid w:val="00434170"/>
    <w:rsid w:val="004343A8"/>
    <w:rsid w:val="00434F3E"/>
    <w:rsid w:val="0043521B"/>
    <w:rsid w:val="0043529F"/>
    <w:rsid w:val="004355E2"/>
    <w:rsid w:val="00435ABB"/>
    <w:rsid w:val="00435B7B"/>
    <w:rsid w:val="0043600D"/>
    <w:rsid w:val="0043686F"/>
    <w:rsid w:val="00436CC6"/>
    <w:rsid w:val="004371D3"/>
    <w:rsid w:val="004377AB"/>
    <w:rsid w:val="004378F4"/>
    <w:rsid w:val="00437F24"/>
    <w:rsid w:val="004400E2"/>
    <w:rsid w:val="0044016F"/>
    <w:rsid w:val="0044023C"/>
    <w:rsid w:val="004402FE"/>
    <w:rsid w:val="00440C26"/>
    <w:rsid w:val="004414FA"/>
    <w:rsid w:val="004415D2"/>
    <w:rsid w:val="0044172D"/>
    <w:rsid w:val="00441BB7"/>
    <w:rsid w:val="00442110"/>
    <w:rsid w:val="004428DA"/>
    <w:rsid w:val="00442A0B"/>
    <w:rsid w:val="00442A91"/>
    <w:rsid w:val="00442B0C"/>
    <w:rsid w:val="00442BBE"/>
    <w:rsid w:val="00442DAB"/>
    <w:rsid w:val="00442DD3"/>
    <w:rsid w:val="00443123"/>
    <w:rsid w:val="0044344B"/>
    <w:rsid w:val="0044352A"/>
    <w:rsid w:val="004436AF"/>
    <w:rsid w:val="004437CE"/>
    <w:rsid w:val="004438D5"/>
    <w:rsid w:val="00444102"/>
    <w:rsid w:val="00444421"/>
    <w:rsid w:val="0044450D"/>
    <w:rsid w:val="00444585"/>
    <w:rsid w:val="00444D92"/>
    <w:rsid w:val="00444ED3"/>
    <w:rsid w:val="00445255"/>
    <w:rsid w:val="0044534E"/>
    <w:rsid w:val="00445690"/>
    <w:rsid w:val="00445B36"/>
    <w:rsid w:val="00445CE8"/>
    <w:rsid w:val="00446017"/>
    <w:rsid w:val="00446139"/>
    <w:rsid w:val="004464E9"/>
    <w:rsid w:val="00446A48"/>
    <w:rsid w:val="00446A69"/>
    <w:rsid w:val="00446C3A"/>
    <w:rsid w:val="0044786E"/>
    <w:rsid w:val="0044794A"/>
    <w:rsid w:val="00447A16"/>
    <w:rsid w:val="00450F00"/>
    <w:rsid w:val="0045135E"/>
    <w:rsid w:val="0045143F"/>
    <w:rsid w:val="00451719"/>
    <w:rsid w:val="0045172C"/>
    <w:rsid w:val="0045187F"/>
    <w:rsid w:val="0045197E"/>
    <w:rsid w:val="00451B4C"/>
    <w:rsid w:val="00451BC9"/>
    <w:rsid w:val="00451E06"/>
    <w:rsid w:val="004520BA"/>
    <w:rsid w:val="00452228"/>
    <w:rsid w:val="0045255C"/>
    <w:rsid w:val="00452760"/>
    <w:rsid w:val="00452BEC"/>
    <w:rsid w:val="00453257"/>
    <w:rsid w:val="004535C2"/>
    <w:rsid w:val="004538D5"/>
    <w:rsid w:val="00453DB3"/>
    <w:rsid w:val="004542BD"/>
    <w:rsid w:val="004542CC"/>
    <w:rsid w:val="00454B83"/>
    <w:rsid w:val="00454D97"/>
    <w:rsid w:val="00454F4E"/>
    <w:rsid w:val="004550A5"/>
    <w:rsid w:val="00455163"/>
    <w:rsid w:val="004553DF"/>
    <w:rsid w:val="00455674"/>
    <w:rsid w:val="0045571E"/>
    <w:rsid w:val="004557BD"/>
    <w:rsid w:val="00455D78"/>
    <w:rsid w:val="00455F3D"/>
    <w:rsid w:val="00455F8D"/>
    <w:rsid w:val="00456545"/>
    <w:rsid w:val="00456871"/>
    <w:rsid w:val="0045720D"/>
    <w:rsid w:val="00457278"/>
    <w:rsid w:val="0045731B"/>
    <w:rsid w:val="00457845"/>
    <w:rsid w:val="00457A4D"/>
    <w:rsid w:val="004602AD"/>
    <w:rsid w:val="004602FD"/>
    <w:rsid w:val="004603C2"/>
    <w:rsid w:val="0046046E"/>
    <w:rsid w:val="00460493"/>
    <w:rsid w:val="00460709"/>
    <w:rsid w:val="00460B7D"/>
    <w:rsid w:val="00461240"/>
    <w:rsid w:val="00461612"/>
    <w:rsid w:val="0046165C"/>
    <w:rsid w:val="00461BA6"/>
    <w:rsid w:val="00461D97"/>
    <w:rsid w:val="00461F34"/>
    <w:rsid w:val="00462259"/>
    <w:rsid w:val="00462285"/>
    <w:rsid w:val="00462299"/>
    <w:rsid w:val="00462619"/>
    <w:rsid w:val="0046289B"/>
    <w:rsid w:val="00462958"/>
    <w:rsid w:val="00462C23"/>
    <w:rsid w:val="00462DD7"/>
    <w:rsid w:val="00463670"/>
    <w:rsid w:val="004645BA"/>
    <w:rsid w:val="00464687"/>
    <w:rsid w:val="00464BA8"/>
    <w:rsid w:val="00464C99"/>
    <w:rsid w:val="00464F52"/>
    <w:rsid w:val="00464FBC"/>
    <w:rsid w:val="0046501A"/>
    <w:rsid w:val="004651B6"/>
    <w:rsid w:val="004651F7"/>
    <w:rsid w:val="0046521A"/>
    <w:rsid w:val="00465232"/>
    <w:rsid w:val="00465290"/>
    <w:rsid w:val="00465434"/>
    <w:rsid w:val="004654C1"/>
    <w:rsid w:val="004654CB"/>
    <w:rsid w:val="00465A86"/>
    <w:rsid w:val="00465FD4"/>
    <w:rsid w:val="004660D9"/>
    <w:rsid w:val="004665E9"/>
    <w:rsid w:val="00466624"/>
    <w:rsid w:val="00466636"/>
    <w:rsid w:val="004669A5"/>
    <w:rsid w:val="00466EC8"/>
    <w:rsid w:val="004676E1"/>
    <w:rsid w:val="00467725"/>
    <w:rsid w:val="00467BE1"/>
    <w:rsid w:val="00467BF7"/>
    <w:rsid w:val="004707D0"/>
    <w:rsid w:val="00471C84"/>
    <w:rsid w:val="00471CC7"/>
    <w:rsid w:val="00471D07"/>
    <w:rsid w:val="004721BD"/>
    <w:rsid w:val="00472308"/>
    <w:rsid w:val="00472517"/>
    <w:rsid w:val="00472550"/>
    <w:rsid w:val="0047358A"/>
    <w:rsid w:val="0047401C"/>
    <w:rsid w:val="00474146"/>
    <w:rsid w:val="00474251"/>
    <w:rsid w:val="004742C0"/>
    <w:rsid w:val="004747B0"/>
    <w:rsid w:val="00474FC0"/>
    <w:rsid w:val="004755AD"/>
    <w:rsid w:val="0047565C"/>
    <w:rsid w:val="004757F6"/>
    <w:rsid w:val="00475B56"/>
    <w:rsid w:val="00476558"/>
    <w:rsid w:val="00476D92"/>
    <w:rsid w:val="00476DEA"/>
    <w:rsid w:val="0047706C"/>
    <w:rsid w:val="004770A3"/>
    <w:rsid w:val="004773C7"/>
    <w:rsid w:val="0047748B"/>
    <w:rsid w:val="004800DA"/>
    <w:rsid w:val="004809FA"/>
    <w:rsid w:val="00480CB0"/>
    <w:rsid w:val="00480D22"/>
    <w:rsid w:val="00480DD4"/>
    <w:rsid w:val="00481524"/>
    <w:rsid w:val="00481567"/>
    <w:rsid w:val="00481F91"/>
    <w:rsid w:val="00482135"/>
    <w:rsid w:val="004828B7"/>
    <w:rsid w:val="00482BBC"/>
    <w:rsid w:val="00483209"/>
    <w:rsid w:val="00483604"/>
    <w:rsid w:val="00483693"/>
    <w:rsid w:val="00483825"/>
    <w:rsid w:val="00483E6E"/>
    <w:rsid w:val="004842FC"/>
    <w:rsid w:val="00484431"/>
    <w:rsid w:val="004847A4"/>
    <w:rsid w:val="00484D9F"/>
    <w:rsid w:val="004850FD"/>
    <w:rsid w:val="0048520B"/>
    <w:rsid w:val="004855D9"/>
    <w:rsid w:val="00485739"/>
    <w:rsid w:val="00485D31"/>
    <w:rsid w:val="00485DCE"/>
    <w:rsid w:val="004865CE"/>
    <w:rsid w:val="00486B44"/>
    <w:rsid w:val="00486CC4"/>
    <w:rsid w:val="00486FD3"/>
    <w:rsid w:val="004875FD"/>
    <w:rsid w:val="004877C5"/>
    <w:rsid w:val="00490299"/>
    <w:rsid w:val="0049072D"/>
    <w:rsid w:val="0049092F"/>
    <w:rsid w:val="00490F90"/>
    <w:rsid w:val="00491148"/>
    <w:rsid w:val="0049140F"/>
    <w:rsid w:val="004916BD"/>
    <w:rsid w:val="0049188D"/>
    <w:rsid w:val="00491C13"/>
    <w:rsid w:val="00492961"/>
    <w:rsid w:val="00492A2A"/>
    <w:rsid w:val="00492E5D"/>
    <w:rsid w:val="0049376D"/>
    <w:rsid w:val="00493E04"/>
    <w:rsid w:val="004943C6"/>
    <w:rsid w:val="004948D2"/>
    <w:rsid w:val="00494BB0"/>
    <w:rsid w:val="004952BE"/>
    <w:rsid w:val="004955A5"/>
    <w:rsid w:val="00495A74"/>
    <w:rsid w:val="00495CCD"/>
    <w:rsid w:val="004960DE"/>
    <w:rsid w:val="004963DD"/>
    <w:rsid w:val="0049649D"/>
    <w:rsid w:val="00496A91"/>
    <w:rsid w:val="00496DBD"/>
    <w:rsid w:val="004973F8"/>
    <w:rsid w:val="00497631"/>
    <w:rsid w:val="0049765A"/>
    <w:rsid w:val="00497662"/>
    <w:rsid w:val="004976C6"/>
    <w:rsid w:val="00497749"/>
    <w:rsid w:val="00497C68"/>
    <w:rsid w:val="0049CE1A"/>
    <w:rsid w:val="004A048F"/>
    <w:rsid w:val="004A085C"/>
    <w:rsid w:val="004A0C67"/>
    <w:rsid w:val="004A117F"/>
    <w:rsid w:val="004A11B6"/>
    <w:rsid w:val="004A12AA"/>
    <w:rsid w:val="004A13F2"/>
    <w:rsid w:val="004A1E35"/>
    <w:rsid w:val="004A24E1"/>
    <w:rsid w:val="004A28A9"/>
    <w:rsid w:val="004A2AB6"/>
    <w:rsid w:val="004A2E10"/>
    <w:rsid w:val="004A2FDB"/>
    <w:rsid w:val="004A3016"/>
    <w:rsid w:val="004A3819"/>
    <w:rsid w:val="004A4021"/>
    <w:rsid w:val="004A42C7"/>
    <w:rsid w:val="004A451C"/>
    <w:rsid w:val="004A478A"/>
    <w:rsid w:val="004A4849"/>
    <w:rsid w:val="004A4BD8"/>
    <w:rsid w:val="004A4D4F"/>
    <w:rsid w:val="004A4FEF"/>
    <w:rsid w:val="004A5046"/>
    <w:rsid w:val="004A539C"/>
    <w:rsid w:val="004A5880"/>
    <w:rsid w:val="004A5952"/>
    <w:rsid w:val="004A5AAA"/>
    <w:rsid w:val="004A5EAD"/>
    <w:rsid w:val="004A5EE3"/>
    <w:rsid w:val="004A6185"/>
    <w:rsid w:val="004A6361"/>
    <w:rsid w:val="004A6789"/>
    <w:rsid w:val="004A6A8D"/>
    <w:rsid w:val="004A6A96"/>
    <w:rsid w:val="004A6C3F"/>
    <w:rsid w:val="004A7829"/>
    <w:rsid w:val="004A7E2F"/>
    <w:rsid w:val="004B0553"/>
    <w:rsid w:val="004B08FB"/>
    <w:rsid w:val="004B0CF5"/>
    <w:rsid w:val="004B1177"/>
    <w:rsid w:val="004B151D"/>
    <w:rsid w:val="004B181F"/>
    <w:rsid w:val="004B1CD5"/>
    <w:rsid w:val="004B1F25"/>
    <w:rsid w:val="004B209E"/>
    <w:rsid w:val="004B219B"/>
    <w:rsid w:val="004B225A"/>
    <w:rsid w:val="004B298A"/>
    <w:rsid w:val="004B32B8"/>
    <w:rsid w:val="004B34EA"/>
    <w:rsid w:val="004B36FC"/>
    <w:rsid w:val="004B3712"/>
    <w:rsid w:val="004B39C5"/>
    <w:rsid w:val="004B3B7C"/>
    <w:rsid w:val="004B3BF1"/>
    <w:rsid w:val="004B4A4A"/>
    <w:rsid w:val="004B508A"/>
    <w:rsid w:val="004B52BC"/>
    <w:rsid w:val="004B5494"/>
    <w:rsid w:val="004B54E5"/>
    <w:rsid w:val="004B5955"/>
    <w:rsid w:val="004B59F0"/>
    <w:rsid w:val="004B5D98"/>
    <w:rsid w:val="004B5DFE"/>
    <w:rsid w:val="004B6652"/>
    <w:rsid w:val="004B68AD"/>
    <w:rsid w:val="004B6ADE"/>
    <w:rsid w:val="004B747C"/>
    <w:rsid w:val="004C0CC2"/>
    <w:rsid w:val="004C0E33"/>
    <w:rsid w:val="004C10A1"/>
    <w:rsid w:val="004C16BA"/>
    <w:rsid w:val="004C19EF"/>
    <w:rsid w:val="004C1B2F"/>
    <w:rsid w:val="004C20F9"/>
    <w:rsid w:val="004C2260"/>
    <w:rsid w:val="004C235B"/>
    <w:rsid w:val="004C240A"/>
    <w:rsid w:val="004C2EF1"/>
    <w:rsid w:val="004C3CEA"/>
    <w:rsid w:val="004C3E51"/>
    <w:rsid w:val="004C4372"/>
    <w:rsid w:val="004C4565"/>
    <w:rsid w:val="004C4568"/>
    <w:rsid w:val="004C487F"/>
    <w:rsid w:val="004C6030"/>
    <w:rsid w:val="004C60AD"/>
    <w:rsid w:val="004C6449"/>
    <w:rsid w:val="004C6472"/>
    <w:rsid w:val="004C65AB"/>
    <w:rsid w:val="004C6B6E"/>
    <w:rsid w:val="004C6FE2"/>
    <w:rsid w:val="004C73DF"/>
    <w:rsid w:val="004C7762"/>
    <w:rsid w:val="004C783C"/>
    <w:rsid w:val="004C784D"/>
    <w:rsid w:val="004C7A2B"/>
    <w:rsid w:val="004C7D3A"/>
    <w:rsid w:val="004C7DA1"/>
    <w:rsid w:val="004D0308"/>
    <w:rsid w:val="004D0748"/>
    <w:rsid w:val="004D084E"/>
    <w:rsid w:val="004D0871"/>
    <w:rsid w:val="004D08CB"/>
    <w:rsid w:val="004D094A"/>
    <w:rsid w:val="004D15D4"/>
    <w:rsid w:val="004D18AE"/>
    <w:rsid w:val="004D1B6E"/>
    <w:rsid w:val="004D218C"/>
    <w:rsid w:val="004D2245"/>
    <w:rsid w:val="004D250F"/>
    <w:rsid w:val="004D2CAE"/>
    <w:rsid w:val="004D332F"/>
    <w:rsid w:val="004D355A"/>
    <w:rsid w:val="004D3BB0"/>
    <w:rsid w:val="004D40FE"/>
    <w:rsid w:val="004D422E"/>
    <w:rsid w:val="004D459D"/>
    <w:rsid w:val="004D4EB1"/>
    <w:rsid w:val="004D5056"/>
    <w:rsid w:val="004D51F2"/>
    <w:rsid w:val="004D52AC"/>
    <w:rsid w:val="004D5367"/>
    <w:rsid w:val="004D561C"/>
    <w:rsid w:val="004D5644"/>
    <w:rsid w:val="004D57BC"/>
    <w:rsid w:val="004D5C0C"/>
    <w:rsid w:val="004D5C75"/>
    <w:rsid w:val="004D5CEF"/>
    <w:rsid w:val="004D5DE7"/>
    <w:rsid w:val="004D6295"/>
    <w:rsid w:val="004D655E"/>
    <w:rsid w:val="004D657F"/>
    <w:rsid w:val="004D6B91"/>
    <w:rsid w:val="004D6EFB"/>
    <w:rsid w:val="004D6FC9"/>
    <w:rsid w:val="004D6FE3"/>
    <w:rsid w:val="004D743C"/>
    <w:rsid w:val="004D7866"/>
    <w:rsid w:val="004D7908"/>
    <w:rsid w:val="004D7A1B"/>
    <w:rsid w:val="004D7A73"/>
    <w:rsid w:val="004D7C8A"/>
    <w:rsid w:val="004D7CCA"/>
    <w:rsid w:val="004E0260"/>
    <w:rsid w:val="004E0398"/>
    <w:rsid w:val="004E06C0"/>
    <w:rsid w:val="004E1226"/>
    <w:rsid w:val="004E12E8"/>
    <w:rsid w:val="004E15B0"/>
    <w:rsid w:val="004E1677"/>
    <w:rsid w:val="004E1717"/>
    <w:rsid w:val="004E172E"/>
    <w:rsid w:val="004E185C"/>
    <w:rsid w:val="004E1F81"/>
    <w:rsid w:val="004E212A"/>
    <w:rsid w:val="004E221F"/>
    <w:rsid w:val="004E23AE"/>
    <w:rsid w:val="004E2B6B"/>
    <w:rsid w:val="004E2C6F"/>
    <w:rsid w:val="004E2E18"/>
    <w:rsid w:val="004E3490"/>
    <w:rsid w:val="004E391E"/>
    <w:rsid w:val="004E3B80"/>
    <w:rsid w:val="004E3D73"/>
    <w:rsid w:val="004E400C"/>
    <w:rsid w:val="004E4D84"/>
    <w:rsid w:val="004E4F5F"/>
    <w:rsid w:val="004E5C9E"/>
    <w:rsid w:val="004E5FF0"/>
    <w:rsid w:val="004E682F"/>
    <w:rsid w:val="004E739F"/>
    <w:rsid w:val="004E7734"/>
    <w:rsid w:val="004F0209"/>
    <w:rsid w:val="004F0BD7"/>
    <w:rsid w:val="004F0E6D"/>
    <w:rsid w:val="004F1030"/>
    <w:rsid w:val="004F1589"/>
    <w:rsid w:val="004F1AB7"/>
    <w:rsid w:val="004F1C34"/>
    <w:rsid w:val="004F1E4B"/>
    <w:rsid w:val="004F2702"/>
    <w:rsid w:val="004F336A"/>
    <w:rsid w:val="004F3497"/>
    <w:rsid w:val="004F34E7"/>
    <w:rsid w:val="004F3503"/>
    <w:rsid w:val="004F39C3"/>
    <w:rsid w:val="004F3ADD"/>
    <w:rsid w:val="004F3BB6"/>
    <w:rsid w:val="004F3DEE"/>
    <w:rsid w:val="004F43DB"/>
    <w:rsid w:val="004F451B"/>
    <w:rsid w:val="004F45A8"/>
    <w:rsid w:val="004F464A"/>
    <w:rsid w:val="004F4980"/>
    <w:rsid w:val="004F4AAF"/>
    <w:rsid w:val="004F4BED"/>
    <w:rsid w:val="004F4E28"/>
    <w:rsid w:val="004F4FA2"/>
    <w:rsid w:val="004F5728"/>
    <w:rsid w:val="004F583F"/>
    <w:rsid w:val="004F5D26"/>
    <w:rsid w:val="004F5FD3"/>
    <w:rsid w:val="004F5FEC"/>
    <w:rsid w:val="004F6128"/>
    <w:rsid w:val="004F6165"/>
    <w:rsid w:val="004F6D95"/>
    <w:rsid w:val="004F6DFD"/>
    <w:rsid w:val="004F6FD2"/>
    <w:rsid w:val="004F7204"/>
    <w:rsid w:val="004F7998"/>
    <w:rsid w:val="004F7C49"/>
    <w:rsid w:val="00500290"/>
    <w:rsid w:val="005005E0"/>
    <w:rsid w:val="005009D5"/>
    <w:rsid w:val="00500E1D"/>
    <w:rsid w:val="00501201"/>
    <w:rsid w:val="00501838"/>
    <w:rsid w:val="0050187D"/>
    <w:rsid w:val="005018A8"/>
    <w:rsid w:val="00501B03"/>
    <w:rsid w:val="005027F9"/>
    <w:rsid w:val="005029DA"/>
    <w:rsid w:val="00502FAE"/>
    <w:rsid w:val="00503328"/>
    <w:rsid w:val="005034A9"/>
    <w:rsid w:val="00503504"/>
    <w:rsid w:val="005035D2"/>
    <w:rsid w:val="00503679"/>
    <w:rsid w:val="0050389C"/>
    <w:rsid w:val="00503CA8"/>
    <w:rsid w:val="00503FF5"/>
    <w:rsid w:val="00504129"/>
    <w:rsid w:val="00504C82"/>
    <w:rsid w:val="00504FAA"/>
    <w:rsid w:val="00505A39"/>
    <w:rsid w:val="00505AFF"/>
    <w:rsid w:val="00505E0E"/>
    <w:rsid w:val="00505E4A"/>
    <w:rsid w:val="00505ED9"/>
    <w:rsid w:val="00506017"/>
    <w:rsid w:val="00506243"/>
    <w:rsid w:val="00506482"/>
    <w:rsid w:val="00506814"/>
    <w:rsid w:val="0050691C"/>
    <w:rsid w:val="00506C61"/>
    <w:rsid w:val="00506E5E"/>
    <w:rsid w:val="00506EA1"/>
    <w:rsid w:val="005070B0"/>
    <w:rsid w:val="00507347"/>
    <w:rsid w:val="00507B7F"/>
    <w:rsid w:val="00507E7F"/>
    <w:rsid w:val="0051034F"/>
    <w:rsid w:val="0051075D"/>
    <w:rsid w:val="0051077F"/>
    <w:rsid w:val="00510A1F"/>
    <w:rsid w:val="00510D58"/>
    <w:rsid w:val="00511290"/>
    <w:rsid w:val="00511675"/>
    <w:rsid w:val="00511791"/>
    <w:rsid w:val="0051193D"/>
    <w:rsid w:val="00511A56"/>
    <w:rsid w:val="00511C88"/>
    <w:rsid w:val="00511E71"/>
    <w:rsid w:val="00512271"/>
    <w:rsid w:val="0051236C"/>
    <w:rsid w:val="005123C5"/>
    <w:rsid w:val="0051245F"/>
    <w:rsid w:val="005124AE"/>
    <w:rsid w:val="00512500"/>
    <w:rsid w:val="00512854"/>
    <w:rsid w:val="00512A0A"/>
    <w:rsid w:val="00512D5C"/>
    <w:rsid w:val="00512FF2"/>
    <w:rsid w:val="005134FB"/>
    <w:rsid w:val="005139A3"/>
    <w:rsid w:val="00513CB5"/>
    <w:rsid w:val="00513EC4"/>
    <w:rsid w:val="005140CF"/>
    <w:rsid w:val="005141B0"/>
    <w:rsid w:val="005143A5"/>
    <w:rsid w:val="00514644"/>
    <w:rsid w:val="0051474E"/>
    <w:rsid w:val="005147D7"/>
    <w:rsid w:val="00514BC1"/>
    <w:rsid w:val="00514F31"/>
    <w:rsid w:val="005152F3"/>
    <w:rsid w:val="00515327"/>
    <w:rsid w:val="0051533B"/>
    <w:rsid w:val="005154D5"/>
    <w:rsid w:val="00515692"/>
    <w:rsid w:val="005156F4"/>
    <w:rsid w:val="00515C90"/>
    <w:rsid w:val="00515CD9"/>
    <w:rsid w:val="005162A9"/>
    <w:rsid w:val="00516562"/>
    <w:rsid w:val="00516620"/>
    <w:rsid w:val="005166E7"/>
    <w:rsid w:val="00516992"/>
    <w:rsid w:val="005172DE"/>
    <w:rsid w:val="0051734C"/>
    <w:rsid w:val="00517439"/>
    <w:rsid w:val="005175F8"/>
    <w:rsid w:val="00517AEA"/>
    <w:rsid w:val="00517B0D"/>
    <w:rsid w:val="00520C0F"/>
    <w:rsid w:val="005210CA"/>
    <w:rsid w:val="0052131C"/>
    <w:rsid w:val="0052133D"/>
    <w:rsid w:val="00521384"/>
    <w:rsid w:val="00521AF9"/>
    <w:rsid w:val="00521D08"/>
    <w:rsid w:val="005221D0"/>
    <w:rsid w:val="00522FF2"/>
    <w:rsid w:val="005235AD"/>
    <w:rsid w:val="005237B9"/>
    <w:rsid w:val="005238D2"/>
    <w:rsid w:val="00523BC5"/>
    <w:rsid w:val="00523C28"/>
    <w:rsid w:val="005240BF"/>
    <w:rsid w:val="0052480A"/>
    <w:rsid w:val="00524AA6"/>
    <w:rsid w:val="00524C20"/>
    <w:rsid w:val="00524C7A"/>
    <w:rsid w:val="00524EA0"/>
    <w:rsid w:val="00525011"/>
    <w:rsid w:val="00525031"/>
    <w:rsid w:val="0052536B"/>
    <w:rsid w:val="005254AD"/>
    <w:rsid w:val="00525908"/>
    <w:rsid w:val="0052590D"/>
    <w:rsid w:val="00525A07"/>
    <w:rsid w:val="00526028"/>
    <w:rsid w:val="0052663D"/>
    <w:rsid w:val="005267F2"/>
    <w:rsid w:val="0052684B"/>
    <w:rsid w:val="00526DDC"/>
    <w:rsid w:val="0052746F"/>
    <w:rsid w:val="0052751D"/>
    <w:rsid w:val="0052788B"/>
    <w:rsid w:val="005278FB"/>
    <w:rsid w:val="00527B55"/>
    <w:rsid w:val="00527EA0"/>
    <w:rsid w:val="0053077F"/>
    <w:rsid w:val="005308AA"/>
    <w:rsid w:val="00530A0D"/>
    <w:rsid w:val="00530A50"/>
    <w:rsid w:val="00530B78"/>
    <w:rsid w:val="0053157A"/>
    <w:rsid w:val="00531710"/>
    <w:rsid w:val="00531AF3"/>
    <w:rsid w:val="00531DC9"/>
    <w:rsid w:val="005320DC"/>
    <w:rsid w:val="0053237F"/>
    <w:rsid w:val="005328AA"/>
    <w:rsid w:val="00532ABA"/>
    <w:rsid w:val="00532EC9"/>
    <w:rsid w:val="00532FF6"/>
    <w:rsid w:val="00532FFE"/>
    <w:rsid w:val="00533047"/>
    <w:rsid w:val="0053325F"/>
    <w:rsid w:val="00533589"/>
    <w:rsid w:val="0053363B"/>
    <w:rsid w:val="005338FE"/>
    <w:rsid w:val="00533F71"/>
    <w:rsid w:val="00534252"/>
    <w:rsid w:val="005346E0"/>
    <w:rsid w:val="00534CD0"/>
    <w:rsid w:val="00534D06"/>
    <w:rsid w:val="00535020"/>
    <w:rsid w:val="005352E4"/>
    <w:rsid w:val="0053538C"/>
    <w:rsid w:val="005367CC"/>
    <w:rsid w:val="00536905"/>
    <w:rsid w:val="00536A61"/>
    <w:rsid w:val="00536B9C"/>
    <w:rsid w:val="00537032"/>
    <w:rsid w:val="005373BC"/>
    <w:rsid w:val="00537758"/>
    <w:rsid w:val="00537B22"/>
    <w:rsid w:val="005400AE"/>
    <w:rsid w:val="0054021F"/>
    <w:rsid w:val="00540565"/>
    <w:rsid w:val="005407B7"/>
    <w:rsid w:val="005408E3"/>
    <w:rsid w:val="00540A2E"/>
    <w:rsid w:val="00540BD1"/>
    <w:rsid w:val="00540D8F"/>
    <w:rsid w:val="00540E41"/>
    <w:rsid w:val="0054100E"/>
    <w:rsid w:val="00541125"/>
    <w:rsid w:val="00541A75"/>
    <w:rsid w:val="00541B28"/>
    <w:rsid w:val="0054222B"/>
    <w:rsid w:val="005426A0"/>
    <w:rsid w:val="00542854"/>
    <w:rsid w:val="00542B37"/>
    <w:rsid w:val="00542D94"/>
    <w:rsid w:val="0054315C"/>
    <w:rsid w:val="00543810"/>
    <w:rsid w:val="00543841"/>
    <w:rsid w:val="0054392A"/>
    <w:rsid w:val="00543E65"/>
    <w:rsid w:val="0054407D"/>
    <w:rsid w:val="0054497F"/>
    <w:rsid w:val="00544B6A"/>
    <w:rsid w:val="0054572B"/>
    <w:rsid w:val="00546524"/>
    <w:rsid w:val="00546783"/>
    <w:rsid w:val="00546813"/>
    <w:rsid w:val="00546B12"/>
    <w:rsid w:val="00546C64"/>
    <w:rsid w:val="00546EBF"/>
    <w:rsid w:val="005471DA"/>
    <w:rsid w:val="005473A4"/>
    <w:rsid w:val="00547AC7"/>
    <w:rsid w:val="00547B19"/>
    <w:rsid w:val="00550043"/>
    <w:rsid w:val="00550529"/>
    <w:rsid w:val="005507FB"/>
    <w:rsid w:val="00550C40"/>
    <w:rsid w:val="00550D3B"/>
    <w:rsid w:val="00550D96"/>
    <w:rsid w:val="005514C7"/>
    <w:rsid w:val="00551775"/>
    <w:rsid w:val="005517BB"/>
    <w:rsid w:val="00551B4A"/>
    <w:rsid w:val="00551C89"/>
    <w:rsid w:val="005520DC"/>
    <w:rsid w:val="005525CE"/>
    <w:rsid w:val="00552699"/>
    <w:rsid w:val="00552776"/>
    <w:rsid w:val="00552C6B"/>
    <w:rsid w:val="00552FA6"/>
    <w:rsid w:val="005533D1"/>
    <w:rsid w:val="00553C39"/>
    <w:rsid w:val="00553C65"/>
    <w:rsid w:val="00554016"/>
    <w:rsid w:val="005545BC"/>
    <w:rsid w:val="00554798"/>
    <w:rsid w:val="005550A2"/>
    <w:rsid w:val="0055520D"/>
    <w:rsid w:val="005555A1"/>
    <w:rsid w:val="00555919"/>
    <w:rsid w:val="00555EE5"/>
    <w:rsid w:val="00556006"/>
    <w:rsid w:val="0055600B"/>
    <w:rsid w:val="00556046"/>
    <w:rsid w:val="00556066"/>
    <w:rsid w:val="005560C5"/>
    <w:rsid w:val="005560F5"/>
    <w:rsid w:val="0055612F"/>
    <w:rsid w:val="00556440"/>
    <w:rsid w:val="00556B82"/>
    <w:rsid w:val="0055709C"/>
    <w:rsid w:val="0055776F"/>
    <w:rsid w:val="00557C98"/>
    <w:rsid w:val="00557DEF"/>
    <w:rsid w:val="00560114"/>
    <w:rsid w:val="00560AFB"/>
    <w:rsid w:val="00560C04"/>
    <w:rsid w:val="00560E53"/>
    <w:rsid w:val="005610DB"/>
    <w:rsid w:val="00561115"/>
    <w:rsid w:val="005617D6"/>
    <w:rsid w:val="00561C11"/>
    <w:rsid w:val="00561E5F"/>
    <w:rsid w:val="00562175"/>
    <w:rsid w:val="00562715"/>
    <w:rsid w:val="005629D5"/>
    <w:rsid w:val="00562C0F"/>
    <w:rsid w:val="00562F8E"/>
    <w:rsid w:val="005638F4"/>
    <w:rsid w:val="00563C90"/>
    <w:rsid w:val="00563D51"/>
    <w:rsid w:val="00563D68"/>
    <w:rsid w:val="00564110"/>
    <w:rsid w:val="0056432E"/>
    <w:rsid w:val="005645F7"/>
    <w:rsid w:val="005647D1"/>
    <w:rsid w:val="005648F1"/>
    <w:rsid w:val="00564D41"/>
    <w:rsid w:val="00564F62"/>
    <w:rsid w:val="0056522A"/>
    <w:rsid w:val="0056585A"/>
    <w:rsid w:val="005663C7"/>
    <w:rsid w:val="00566F9E"/>
    <w:rsid w:val="0056707C"/>
    <w:rsid w:val="005676F8"/>
    <w:rsid w:val="0056797C"/>
    <w:rsid w:val="0057009C"/>
    <w:rsid w:val="0057031C"/>
    <w:rsid w:val="005704C0"/>
    <w:rsid w:val="00570857"/>
    <w:rsid w:val="00570876"/>
    <w:rsid w:val="00570944"/>
    <w:rsid w:val="005709B9"/>
    <w:rsid w:val="00570F17"/>
    <w:rsid w:val="00571071"/>
    <w:rsid w:val="005711AB"/>
    <w:rsid w:val="00571713"/>
    <w:rsid w:val="0057178E"/>
    <w:rsid w:val="00571B31"/>
    <w:rsid w:val="00571C85"/>
    <w:rsid w:val="00572160"/>
    <w:rsid w:val="00572253"/>
    <w:rsid w:val="00572332"/>
    <w:rsid w:val="00572A98"/>
    <w:rsid w:val="00572D37"/>
    <w:rsid w:val="00572D5A"/>
    <w:rsid w:val="00573120"/>
    <w:rsid w:val="0057328A"/>
    <w:rsid w:val="00573395"/>
    <w:rsid w:val="00573F10"/>
    <w:rsid w:val="00573FFC"/>
    <w:rsid w:val="00574302"/>
    <w:rsid w:val="00574857"/>
    <w:rsid w:val="00574B5F"/>
    <w:rsid w:val="0057512C"/>
    <w:rsid w:val="005751D1"/>
    <w:rsid w:val="005751F7"/>
    <w:rsid w:val="00575423"/>
    <w:rsid w:val="00575C6B"/>
    <w:rsid w:val="00575F44"/>
    <w:rsid w:val="00575FC3"/>
    <w:rsid w:val="005764EF"/>
    <w:rsid w:val="00576B42"/>
    <w:rsid w:val="00576E58"/>
    <w:rsid w:val="00576EC0"/>
    <w:rsid w:val="00576F77"/>
    <w:rsid w:val="005772B4"/>
    <w:rsid w:val="0057766C"/>
    <w:rsid w:val="00577A00"/>
    <w:rsid w:val="00577BDA"/>
    <w:rsid w:val="0058052E"/>
    <w:rsid w:val="00580819"/>
    <w:rsid w:val="005808E6"/>
    <w:rsid w:val="00580A14"/>
    <w:rsid w:val="00580A37"/>
    <w:rsid w:val="00580CE8"/>
    <w:rsid w:val="00580E39"/>
    <w:rsid w:val="00580F72"/>
    <w:rsid w:val="00581158"/>
    <w:rsid w:val="00581190"/>
    <w:rsid w:val="0058295D"/>
    <w:rsid w:val="00582D77"/>
    <w:rsid w:val="00582D82"/>
    <w:rsid w:val="0058370C"/>
    <w:rsid w:val="00583B95"/>
    <w:rsid w:val="00583F6C"/>
    <w:rsid w:val="00584559"/>
    <w:rsid w:val="00584871"/>
    <w:rsid w:val="005848DE"/>
    <w:rsid w:val="00584927"/>
    <w:rsid w:val="00585051"/>
    <w:rsid w:val="005852CD"/>
    <w:rsid w:val="00585390"/>
    <w:rsid w:val="005853EB"/>
    <w:rsid w:val="00585B01"/>
    <w:rsid w:val="00585BEB"/>
    <w:rsid w:val="00586167"/>
    <w:rsid w:val="005869C7"/>
    <w:rsid w:val="00586B3A"/>
    <w:rsid w:val="00586C13"/>
    <w:rsid w:val="00586D09"/>
    <w:rsid w:val="00586F76"/>
    <w:rsid w:val="00587516"/>
    <w:rsid w:val="00587587"/>
    <w:rsid w:val="005906C7"/>
    <w:rsid w:val="00590876"/>
    <w:rsid w:val="005908DA"/>
    <w:rsid w:val="00590940"/>
    <w:rsid w:val="00590972"/>
    <w:rsid w:val="00590B2A"/>
    <w:rsid w:val="00591300"/>
    <w:rsid w:val="005918F2"/>
    <w:rsid w:val="00591C36"/>
    <w:rsid w:val="00591E66"/>
    <w:rsid w:val="00591F2B"/>
    <w:rsid w:val="005921EA"/>
    <w:rsid w:val="00592242"/>
    <w:rsid w:val="005924BB"/>
    <w:rsid w:val="00592EAB"/>
    <w:rsid w:val="00592F24"/>
    <w:rsid w:val="00593467"/>
    <w:rsid w:val="0059376F"/>
    <w:rsid w:val="00593848"/>
    <w:rsid w:val="005939A5"/>
    <w:rsid w:val="005940A5"/>
    <w:rsid w:val="005944FF"/>
    <w:rsid w:val="005945E9"/>
    <w:rsid w:val="005947E5"/>
    <w:rsid w:val="00594915"/>
    <w:rsid w:val="00594C30"/>
    <w:rsid w:val="005956CA"/>
    <w:rsid w:val="00595CBD"/>
    <w:rsid w:val="00595E1A"/>
    <w:rsid w:val="00596040"/>
    <w:rsid w:val="005961E0"/>
    <w:rsid w:val="0059648E"/>
    <w:rsid w:val="00596797"/>
    <w:rsid w:val="005967A4"/>
    <w:rsid w:val="005968E3"/>
    <w:rsid w:val="00596C07"/>
    <w:rsid w:val="00596D04"/>
    <w:rsid w:val="00596E92"/>
    <w:rsid w:val="00596FF1"/>
    <w:rsid w:val="00597181"/>
    <w:rsid w:val="00597192"/>
    <w:rsid w:val="005972B1"/>
    <w:rsid w:val="00597D1E"/>
    <w:rsid w:val="00597FB6"/>
    <w:rsid w:val="005A0723"/>
    <w:rsid w:val="005A0BC1"/>
    <w:rsid w:val="005A12C6"/>
    <w:rsid w:val="005A13CC"/>
    <w:rsid w:val="005A148C"/>
    <w:rsid w:val="005A16FD"/>
    <w:rsid w:val="005A18AF"/>
    <w:rsid w:val="005A2048"/>
    <w:rsid w:val="005A2310"/>
    <w:rsid w:val="005A23A7"/>
    <w:rsid w:val="005A29E0"/>
    <w:rsid w:val="005A2A1B"/>
    <w:rsid w:val="005A2C4A"/>
    <w:rsid w:val="005A3015"/>
    <w:rsid w:val="005A33C0"/>
    <w:rsid w:val="005A347C"/>
    <w:rsid w:val="005A3687"/>
    <w:rsid w:val="005A38F1"/>
    <w:rsid w:val="005A3B74"/>
    <w:rsid w:val="005A417F"/>
    <w:rsid w:val="005A47FF"/>
    <w:rsid w:val="005A4E51"/>
    <w:rsid w:val="005A5A3F"/>
    <w:rsid w:val="005A5DCE"/>
    <w:rsid w:val="005A5ED5"/>
    <w:rsid w:val="005A5FC9"/>
    <w:rsid w:val="005A68ED"/>
    <w:rsid w:val="005A6AAF"/>
    <w:rsid w:val="005A6EA6"/>
    <w:rsid w:val="005A6EF3"/>
    <w:rsid w:val="005A6F75"/>
    <w:rsid w:val="005A70BA"/>
    <w:rsid w:val="005A7811"/>
    <w:rsid w:val="005A7892"/>
    <w:rsid w:val="005A7F3E"/>
    <w:rsid w:val="005B01A5"/>
    <w:rsid w:val="005B05F4"/>
    <w:rsid w:val="005B0864"/>
    <w:rsid w:val="005B0967"/>
    <w:rsid w:val="005B0A30"/>
    <w:rsid w:val="005B0CEE"/>
    <w:rsid w:val="005B100E"/>
    <w:rsid w:val="005B12BE"/>
    <w:rsid w:val="005B1A13"/>
    <w:rsid w:val="005B1DF6"/>
    <w:rsid w:val="005B2A88"/>
    <w:rsid w:val="005B2D3F"/>
    <w:rsid w:val="005B2DF9"/>
    <w:rsid w:val="005B2FB7"/>
    <w:rsid w:val="005B3272"/>
    <w:rsid w:val="005B3758"/>
    <w:rsid w:val="005B37E7"/>
    <w:rsid w:val="005B3872"/>
    <w:rsid w:val="005B38C9"/>
    <w:rsid w:val="005B395E"/>
    <w:rsid w:val="005B3AB9"/>
    <w:rsid w:val="005B3B4C"/>
    <w:rsid w:val="005B40FC"/>
    <w:rsid w:val="005B4955"/>
    <w:rsid w:val="005B4CE5"/>
    <w:rsid w:val="005B5228"/>
    <w:rsid w:val="005B54C7"/>
    <w:rsid w:val="005B5545"/>
    <w:rsid w:val="005B554B"/>
    <w:rsid w:val="005B57C9"/>
    <w:rsid w:val="005B5901"/>
    <w:rsid w:val="005B5947"/>
    <w:rsid w:val="005B5F49"/>
    <w:rsid w:val="005B5F94"/>
    <w:rsid w:val="005B615F"/>
    <w:rsid w:val="005B63A0"/>
    <w:rsid w:val="005B6771"/>
    <w:rsid w:val="005B6F8E"/>
    <w:rsid w:val="005B73F0"/>
    <w:rsid w:val="005B75CE"/>
    <w:rsid w:val="005B77A0"/>
    <w:rsid w:val="005B78FD"/>
    <w:rsid w:val="005B7AAE"/>
    <w:rsid w:val="005B7CDB"/>
    <w:rsid w:val="005B7DCC"/>
    <w:rsid w:val="005B7DF2"/>
    <w:rsid w:val="005C0E5A"/>
    <w:rsid w:val="005C0E8B"/>
    <w:rsid w:val="005C1ABD"/>
    <w:rsid w:val="005C1B65"/>
    <w:rsid w:val="005C1B98"/>
    <w:rsid w:val="005C1BD9"/>
    <w:rsid w:val="005C1DDF"/>
    <w:rsid w:val="005C214D"/>
    <w:rsid w:val="005C234C"/>
    <w:rsid w:val="005C247B"/>
    <w:rsid w:val="005C2592"/>
    <w:rsid w:val="005C25BA"/>
    <w:rsid w:val="005C2B93"/>
    <w:rsid w:val="005C2C00"/>
    <w:rsid w:val="005C2E23"/>
    <w:rsid w:val="005C2EA8"/>
    <w:rsid w:val="005C2F68"/>
    <w:rsid w:val="005C30D5"/>
    <w:rsid w:val="005C34FB"/>
    <w:rsid w:val="005C3519"/>
    <w:rsid w:val="005C36C7"/>
    <w:rsid w:val="005C39DD"/>
    <w:rsid w:val="005C44E7"/>
    <w:rsid w:val="005C4FE8"/>
    <w:rsid w:val="005C5131"/>
    <w:rsid w:val="005C57F1"/>
    <w:rsid w:val="005C580E"/>
    <w:rsid w:val="005C5829"/>
    <w:rsid w:val="005C74A7"/>
    <w:rsid w:val="005C75DA"/>
    <w:rsid w:val="005D0264"/>
    <w:rsid w:val="005D0AE9"/>
    <w:rsid w:val="005D0BC4"/>
    <w:rsid w:val="005D12F7"/>
    <w:rsid w:val="005D14EC"/>
    <w:rsid w:val="005D19D0"/>
    <w:rsid w:val="005D1AA4"/>
    <w:rsid w:val="005D1E6E"/>
    <w:rsid w:val="005D22BA"/>
    <w:rsid w:val="005D2ADD"/>
    <w:rsid w:val="005D2B6E"/>
    <w:rsid w:val="005D2D02"/>
    <w:rsid w:val="005D3956"/>
    <w:rsid w:val="005D39DE"/>
    <w:rsid w:val="005D3B56"/>
    <w:rsid w:val="005D405B"/>
    <w:rsid w:val="005D4311"/>
    <w:rsid w:val="005D4454"/>
    <w:rsid w:val="005D452E"/>
    <w:rsid w:val="005D4995"/>
    <w:rsid w:val="005D4F7B"/>
    <w:rsid w:val="005D4FD7"/>
    <w:rsid w:val="005D562E"/>
    <w:rsid w:val="005D5840"/>
    <w:rsid w:val="005D5CC1"/>
    <w:rsid w:val="005D5DE6"/>
    <w:rsid w:val="005D5E22"/>
    <w:rsid w:val="005D65EF"/>
    <w:rsid w:val="005D664F"/>
    <w:rsid w:val="005D6B96"/>
    <w:rsid w:val="005D6DE2"/>
    <w:rsid w:val="005D6FB4"/>
    <w:rsid w:val="005D7173"/>
    <w:rsid w:val="005D749B"/>
    <w:rsid w:val="005D77DC"/>
    <w:rsid w:val="005E0250"/>
    <w:rsid w:val="005E05B6"/>
    <w:rsid w:val="005E0A43"/>
    <w:rsid w:val="005E0A79"/>
    <w:rsid w:val="005E0C21"/>
    <w:rsid w:val="005E0D61"/>
    <w:rsid w:val="005E11C0"/>
    <w:rsid w:val="005E1227"/>
    <w:rsid w:val="005E132E"/>
    <w:rsid w:val="005E18CA"/>
    <w:rsid w:val="005E1A26"/>
    <w:rsid w:val="005E1BD0"/>
    <w:rsid w:val="005E1F6F"/>
    <w:rsid w:val="005E251E"/>
    <w:rsid w:val="005E2C4E"/>
    <w:rsid w:val="005E3083"/>
    <w:rsid w:val="005E30BA"/>
    <w:rsid w:val="005E32DC"/>
    <w:rsid w:val="005E39EE"/>
    <w:rsid w:val="005E3C64"/>
    <w:rsid w:val="005E3D45"/>
    <w:rsid w:val="005E4029"/>
    <w:rsid w:val="005E4306"/>
    <w:rsid w:val="005E43C2"/>
    <w:rsid w:val="005E4545"/>
    <w:rsid w:val="005E4A99"/>
    <w:rsid w:val="005E4ADD"/>
    <w:rsid w:val="005E4D1E"/>
    <w:rsid w:val="005E533F"/>
    <w:rsid w:val="005E53B9"/>
    <w:rsid w:val="005E54BD"/>
    <w:rsid w:val="005E698C"/>
    <w:rsid w:val="005E6CB2"/>
    <w:rsid w:val="005E6CBB"/>
    <w:rsid w:val="005E6DFC"/>
    <w:rsid w:val="005E6E2F"/>
    <w:rsid w:val="005E6EA5"/>
    <w:rsid w:val="005E6FBA"/>
    <w:rsid w:val="005E7198"/>
    <w:rsid w:val="005E7B77"/>
    <w:rsid w:val="005F11A8"/>
    <w:rsid w:val="005F126E"/>
    <w:rsid w:val="005F1EB6"/>
    <w:rsid w:val="005F1F55"/>
    <w:rsid w:val="005F219A"/>
    <w:rsid w:val="005F34A2"/>
    <w:rsid w:val="005F34C6"/>
    <w:rsid w:val="005F3CC4"/>
    <w:rsid w:val="005F3CDC"/>
    <w:rsid w:val="005F4379"/>
    <w:rsid w:val="005F46C0"/>
    <w:rsid w:val="005F4803"/>
    <w:rsid w:val="005F4920"/>
    <w:rsid w:val="005F4F8D"/>
    <w:rsid w:val="005F5C2F"/>
    <w:rsid w:val="005F634E"/>
    <w:rsid w:val="005F6986"/>
    <w:rsid w:val="005F6BF3"/>
    <w:rsid w:val="005F6D37"/>
    <w:rsid w:val="005F6EE2"/>
    <w:rsid w:val="005F6F0D"/>
    <w:rsid w:val="005F74D2"/>
    <w:rsid w:val="00600322"/>
    <w:rsid w:val="0060054B"/>
    <w:rsid w:val="00600676"/>
    <w:rsid w:val="006017A5"/>
    <w:rsid w:val="00601809"/>
    <w:rsid w:val="00601B0B"/>
    <w:rsid w:val="006021AF"/>
    <w:rsid w:val="006022B7"/>
    <w:rsid w:val="006026E6"/>
    <w:rsid w:val="00602BA1"/>
    <w:rsid w:val="00602CEC"/>
    <w:rsid w:val="00602EA3"/>
    <w:rsid w:val="00602EB9"/>
    <w:rsid w:val="0060302A"/>
    <w:rsid w:val="00603117"/>
    <w:rsid w:val="006037F9"/>
    <w:rsid w:val="00603964"/>
    <w:rsid w:val="0060406C"/>
    <w:rsid w:val="00604526"/>
    <w:rsid w:val="006045FD"/>
    <w:rsid w:val="00605674"/>
    <w:rsid w:val="006056FF"/>
    <w:rsid w:val="00605BC3"/>
    <w:rsid w:val="00605D89"/>
    <w:rsid w:val="00605EAC"/>
    <w:rsid w:val="006060A8"/>
    <w:rsid w:val="00606136"/>
    <w:rsid w:val="006067BC"/>
    <w:rsid w:val="0060686B"/>
    <w:rsid w:val="00606CA9"/>
    <w:rsid w:val="00606F60"/>
    <w:rsid w:val="00606F6F"/>
    <w:rsid w:val="0060706B"/>
    <w:rsid w:val="0060727C"/>
    <w:rsid w:val="00607290"/>
    <w:rsid w:val="006074DD"/>
    <w:rsid w:val="00607859"/>
    <w:rsid w:val="00607953"/>
    <w:rsid w:val="00607E85"/>
    <w:rsid w:val="006102B4"/>
    <w:rsid w:val="0061085B"/>
    <w:rsid w:val="00611311"/>
    <w:rsid w:val="00611620"/>
    <w:rsid w:val="00611706"/>
    <w:rsid w:val="00611747"/>
    <w:rsid w:val="0061195B"/>
    <w:rsid w:val="0061206B"/>
    <w:rsid w:val="006121EA"/>
    <w:rsid w:val="006124A4"/>
    <w:rsid w:val="00613997"/>
    <w:rsid w:val="00613CAD"/>
    <w:rsid w:val="00613EAF"/>
    <w:rsid w:val="006147B1"/>
    <w:rsid w:val="006148E1"/>
    <w:rsid w:val="00615266"/>
    <w:rsid w:val="006158EE"/>
    <w:rsid w:val="006161B1"/>
    <w:rsid w:val="0061650C"/>
    <w:rsid w:val="00616602"/>
    <w:rsid w:val="00616916"/>
    <w:rsid w:val="0061697B"/>
    <w:rsid w:val="00616B1B"/>
    <w:rsid w:val="00616DA5"/>
    <w:rsid w:val="00616F65"/>
    <w:rsid w:val="00617D54"/>
    <w:rsid w:val="00620B79"/>
    <w:rsid w:val="00621286"/>
    <w:rsid w:val="00621D16"/>
    <w:rsid w:val="0062224F"/>
    <w:rsid w:val="0062226C"/>
    <w:rsid w:val="0062255D"/>
    <w:rsid w:val="00622AC3"/>
    <w:rsid w:val="00622DB6"/>
    <w:rsid w:val="00622DEF"/>
    <w:rsid w:val="00622E00"/>
    <w:rsid w:val="00623021"/>
    <w:rsid w:val="00623151"/>
    <w:rsid w:val="00623418"/>
    <w:rsid w:val="006234E7"/>
    <w:rsid w:val="00623AC5"/>
    <w:rsid w:val="00623C3F"/>
    <w:rsid w:val="00623C8B"/>
    <w:rsid w:val="006243C8"/>
    <w:rsid w:val="0062458B"/>
    <w:rsid w:val="0062507B"/>
    <w:rsid w:val="006252EB"/>
    <w:rsid w:val="006258EC"/>
    <w:rsid w:val="0062598A"/>
    <w:rsid w:val="00625E18"/>
    <w:rsid w:val="00626004"/>
    <w:rsid w:val="00626222"/>
    <w:rsid w:val="00626663"/>
    <w:rsid w:val="00626708"/>
    <w:rsid w:val="0062677A"/>
    <w:rsid w:val="00626D12"/>
    <w:rsid w:val="00626F10"/>
    <w:rsid w:val="00626F84"/>
    <w:rsid w:val="006276AB"/>
    <w:rsid w:val="00627A96"/>
    <w:rsid w:val="006309D1"/>
    <w:rsid w:val="00630E29"/>
    <w:rsid w:val="006311A9"/>
    <w:rsid w:val="006314A8"/>
    <w:rsid w:val="00631716"/>
    <w:rsid w:val="00631829"/>
    <w:rsid w:val="00632207"/>
    <w:rsid w:val="00632767"/>
    <w:rsid w:val="00632D2D"/>
    <w:rsid w:val="00632EF4"/>
    <w:rsid w:val="00633205"/>
    <w:rsid w:val="006335EA"/>
    <w:rsid w:val="00633852"/>
    <w:rsid w:val="0063436E"/>
    <w:rsid w:val="006344DA"/>
    <w:rsid w:val="0063491C"/>
    <w:rsid w:val="00634C76"/>
    <w:rsid w:val="00634F30"/>
    <w:rsid w:val="0063551A"/>
    <w:rsid w:val="006359F6"/>
    <w:rsid w:val="00635A0B"/>
    <w:rsid w:val="00635D19"/>
    <w:rsid w:val="0063600A"/>
    <w:rsid w:val="00636059"/>
    <w:rsid w:val="0063652C"/>
    <w:rsid w:val="00636844"/>
    <w:rsid w:val="006368A7"/>
    <w:rsid w:val="00636DF0"/>
    <w:rsid w:val="00636FFD"/>
    <w:rsid w:val="006370E0"/>
    <w:rsid w:val="0063728E"/>
    <w:rsid w:val="00637496"/>
    <w:rsid w:val="006378A7"/>
    <w:rsid w:val="00637D50"/>
    <w:rsid w:val="00637F00"/>
    <w:rsid w:val="00637F0C"/>
    <w:rsid w:val="00640061"/>
    <w:rsid w:val="0064016D"/>
    <w:rsid w:val="00640764"/>
    <w:rsid w:val="0064091A"/>
    <w:rsid w:val="00640A25"/>
    <w:rsid w:val="00640C27"/>
    <w:rsid w:val="00640C5E"/>
    <w:rsid w:val="00640F6C"/>
    <w:rsid w:val="006410D3"/>
    <w:rsid w:val="00641293"/>
    <w:rsid w:val="00641676"/>
    <w:rsid w:val="00641755"/>
    <w:rsid w:val="0064183F"/>
    <w:rsid w:val="00641A79"/>
    <w:rsid w:val="00641AED"/>
    <w:rsid w:val="00641E7A"/>
    <w:rsid w:val="00641FD0"/>
    <w:rsid w:val="00642164"/>
    <w:rsid w:val="00642257"/>
    <w:rsid w:val="00642A40"/>
    <w:rsid w:val="00642B83"/>
    <w:rsid w:val="006432B9"/>
    <w:rsid w:val="00643474"/>
    <w:rsid w:val="00643724"/>
    <w:rsid w:val="00643831"/>
    <w:rsid w:val="00643AA2"/>
    <w:rsid w:val="00643DC0"/>
    <w:rsid w:val="00643F96"/>
    <w:rsid w:val="00643FF4"/>
    <w:rsid w:val="006443AD"/>
    <w:rsid w:val="00644C45"/>
    <w:rsid w:val="00644F09"/>
    <w:rsid w:val="0064506A"/>
    <w:rsid w:val="00645139"/>
    <w:rsid w:val="006452BE"/>
    <w:rsid w:val="00645582"/>
    <w:rsid w:val="006458CB"/>
    <w:rsid w:val="0064644D"/>
    <w:rsid w:val="006467AF"/>
    <w:rsid w:val="006468A4"/>
    <w:rsid w:val="006468C0"/>
    <w:rsid w:val="00646ADD"/>
    <w:rsid w:val="00646BF7"/>
    <w:rsid w:val="0064709D"/>
    <w:rsid w:val="0064714D"/>
    <w:rsid w:val="006471F8"/>
    <w:rsid w:val="00647347"/>
    <w:rsid w:val="0064763D"/>
    <w:rsid w:val="00647681"/>
    <w:rsid w:val="0064787D"/>
    <w:rsid w:val="00650227"/>
    <w:rsid w:val="0065090F"/>
    <w:rsid w:val="00650EE7"/>
    <w:rsid w:val="00650F99"/>
    <w:rsid w:val="00650FA4"/>
    <w:rsid w:val="0065103B"/>
    <w:rsid w:val="006510A7"/>
    <w:rsid w:val="006513D1"/>
    <w:rsid w:val="00651503"/>
    <w:rsid w:val="006517A4"/>
    <w:rsid w:val="00652060"/>
    <w:rsid w:val="006521EE"/>
    <w:rsid w:val="0065275D"/>
    <w:rsid w:val="006529CC"/>
    <w:rsid w:val="006533CB"/>
    <w:rsid w:val="0065341D"/>
    <w:rsid w:val="00653435"/>
    <w:rsid w:val="00653966"/>
    <w:rsid w:val="00653C5A"/>
    <w:rsid w:val="0065408C"/>
    <w:rsid w:val="00654187"/>
    <w:rsid w:val="00654359"/>
    <w:rsid w:val="006546D4"/>
    <w:rsid w:val="00654D4E"/>
    <w:rsid w:val="00654DF0"/>
    <w:rsid w:val="00654E5C"/>
    <w:rsid w:val="006551EE"/>
    <w:rsid w:val="006552F1"/>
    <w:rsid w:val="00655331"/>
    <w:rsid w:val="00655495"/>
    <w:rsid w:val="006558E7"/>
    <w:rsid w:val="00655954"/>
    <w:rsid w:val="00656248"/>
    <w:rsid w:val="00656ABC"/>
    <w:rsid w:val="00656D2D"/>
    <w:rsid w:val="00657062"/>
    <w:rsid w:val="0065711B"/>
    <w:rsid w:val="0065754E"/>
    <w:rsid w:val="0065777B"/>
    <w:rsid w:val="00657E51"/>
    <w:rsid w:val="006600E2"/>
    <w:rsid w:val="0066010F"/>
    <w:rsid w:val="00660366"/>
    <w:rsid w:val="006609AE"/>
    <w:rsid w:val="00660C21"/>
    <w:rsid w:val="00660DF5"/>
    <w:rsid w:val="006610C0"/>
    <w:rsid w:val="0066118A"/>
    <w:rsid w:val="00661222"/>
    <w:rsid w:val="00661257"/>
    <w:rsid w:val="00661398"/>
    <w:rsid w:val="0066153C"/>
    <w:rsid w:val="00661542"/>
    <w:rsid w:val="00661658"/>
    <w:rsid w:val="006618CB"/>
    <w:rsid w:val="00661AFE"/>
    <w:rsid w:val="00661C1A"/>
    <w:rsid w:val="0066238E"/>
    <w:rsid w:val="00662A5F"/>
    <w:rsid w:val="00663816"/>
    <w:rsid w:val="00663D3F"/>
    <w:rsid w:val="00663FB9"/>
    <w:rsid w:val="0066457A"/>
    <w:rsid w:val="0066460D"/>
    <w:rsid w:val="006653BE"/>
    <w:rsid w:val="0066557C"/>
    <w:rsid w:val="00665679"/>
    <w:rsid w:val="00665AA3"/>
    <w:rsid w:val="00665BD8"/>
    <w:rsid w:val="006660F1"/>
    <w:rsid w:val="006669C7"/>
    <w:rsid w:val="00667021"/>
    <w:rsid w:val="00667156"/>
    <w:rsid w:val="00667700"/>
    <w:rsid w:val="0066785D"/>
    <w:rsid w:val="006678DA"/>
    <w:rsid w:val="006679A9"/>
    <w:rsid w:val="00670042"/>
    <w:rsid w:val="00670236"/>
    <w:rsid w:val="0067054B"/>
    <w:rsid w:val="006705A3"/>
    <w:rsid w:val="00670ADA"/>
    <w:rsid w:val="00670C5D"/>
    <w:rsid w:val="0067108F"/>
    <w:rsid w:val="006710C5"/>
    <w:rsid w:val="006711E6"/>
    <w:rsid w:val="00671304"/>
    <w:rsid w:val="00671381"/>
    <w:rsid w:val="0067144B"/>
    <w:rsid w:val="006715C4"/>
    <w:rsid w:val="0067193F"/>
    <w:rsid w:val="0067198A"/>
    <w:rsid w:val="00671FF3"/>
    <w:rsid w:val="006727C2"/>
    <w:rsid w:val="006728CD"/>
    <w:rsid w:val="00672A20"/>
    <w:rsid w:val="0067352A"/>
    <w:rsid w:val="006736E1"/>
    <w:rsid w:val="00673815"/>
    <w:rsid w:val="00673986"/>
    <w:rsid w:val="00673D1C"/>
    <w:rsid w:val="00673F47"/>
    <w:rsid w:val="006743C0"/>
    <w:rsid w:val="006745EC"/>
    <w:rsid w:val="006746EE"/>
    <w:rsid w:val="006746F6"/>
    <w:rsid w:val="0067479D"/>
    <w:rsid w:val="006748F6"/>
    <w:rsid w:val="00674D2D"/>
    <w:rsid w:val="00674DBF"/>
    <w:rsid w:val="00674E77"/>
    <w:rsid w:val="006754A3"/>
    <w:rsid w:val="0067579C"/>
    <w:rsid w:val="00675D68"/>
    <w:rsid w:val="00676061"/>
    <w:rsid w:val="006761C3"/>
    <w:rsid w:val="00676D5D"/>
    <w:rsid w:val="00676E78"/>
    <w:rsid w:val="006770C9"/>
    <w:rsid w:val="0067715E"/>
    <w:rsid w:val="00677528"/>
    <w:rsid w:val="00677860"/>
    <w:rsid w:val="00677CE3"/>
    <w:rsid w:val="0068087B"/>
    <w:rsid w:val="00680F00"/>
    <w:rsid w:val="006813C4"/>
    <w:rsid w:val="006814AA"/>
    <w:rsid w:val="00681530"/>
    <w:rsid w:val="00681536"/>
    <w:rsid w:val="00681670"/>
    <w:rsid w:val="0068175F"/>
    <w:rsid w:val="006817B6"/>
    <w:rsid w:val="00681FF3"/>
    <w:rsid w:val="00682193"/>
    <w:rsid w:val="006821F5"/>
    <w:rsid w:val="00682E56"/>
    <w:rsid w:val="00683A4D"/>
    <w:rsid w:val="00683F60"/>
    <w:rsid w:val="0068468F"/>
    <w:rsid w:val="0068514B"/>
    <w:rsid w:val="00685787"/>
    <w:rsid w:val="00685AFB"/>
    <w:rsid w:val="00685B78"/>
    <w:rsid w:val="00686517"/>
    <w:rsid w:val="006868E1"/>
    <w:rsid w:val="00686FDC"/>
    <w:rsid w:val="00687DB8"/>
    <w:rsid w:val="00687E3E"/>
    <w:rsid w:val="0069077B"/>
    <w:rsid w:val="00690FB7"/>
    <w:rsid w:val="00691106"/>
    <w:rsid w:val="00691772"/>
    <w:rsid w:val="00691929"/>
    <w:rsid w:val="0069207A"/>
    <w:rsid w:val="00692258"/>
    <w:rsid w:val="0069236B"/>
    <w:rsid w:val="006924F7"/>
    <w:rsid w:val="00692E6F"/>
    <w:rsid w:val="00692FAF"/>
    <w:rsid w:val="00693204"/>
    <w:rsid w:val="006933A8"/>
    <w:rsid w:val="00693740"/>
    <w:rsid w:val="0069414B"/>
    <w:rsid w:val="0069479A"/>
    <w:rsid w:val="00694922"/>
    <w:rsid w:val="006952CF"/>
    <w:rsid w:val="006955FA"/>
    <w:rsid w:val="006958CC"/>
    <w:rsid w:val="00695980"/>
    <w:rsid w:val="00695B19"/>
    <w:rsid w:val="00696232"/>
    <w:rsid w:val="006969B7"/>
    <w:rsid w:val="00696A51"/>
    <w:rsid w:val="00696BD3"/>
    <w:rsid w:val="00696CA4"/>
    <w:rsid w:val="00696CCF"/>
    <w:rsid w:val="006970A1"/>
    <w:rsid w:val="006977B8"/>
    <w:rsid w:val="00697FA0"/>
    <w:rsid w:val="006A0038"/>
    <w:rsid w:val="006A04BF"/>
    <w:rsid w:val="006A085D"/>
    <w:rsid w:val="006A0BC9"/>
    <w:rsid w:val="006A11AA"/>
    <w:rsid w:val="006A1B87"/>
    <w:rsid w:val="006A24E2"/>
    <w:rsid w:val="006A2557"/>
    <w:rsid w:val="006A2761"/>
    <w:rsid w:val="006A27AD"/>
    <w:rsid w:val="006A27FC"/>
    <w:rsid w:val="006A2A31"/>
    <w:rsid w:val="006A2AC0"/>
    <w:rsid w:val="006A2F59"/>
    <w:rsid w:val="006A3479"/>
    <w:rsid w:val="006A39C5"/>
    <w:rsid w:val="006A3A1D"/>
    <w:rsid w:val="006A3AA9"/>
    <w:rsid w:val="006A3D32"/>
    <w:rsid w:val="006A40B4"/>
    <w:rsid w:val="006A438A"/>
    <w:rsid w:val="006A46E4"/>
    <w:rsid w:val="006A471A"/>
    <w:rsid w:val="006A4A4C"/>
    <w:rsid w:val="006A4D06"/>
    <w:rsid w:val="006A529C"/>
    <w:rsid w:val="006A57F6"/>
    <w:rsid w:val="006A5A86"/>
    <w:rsid w:val="006A5CDB"/>
    <w:rsid w:val="006A5F5B"/>
    <w:rsid w:val="006A6CFF"/>
    <w:rsid w:val="006A6E6F"/>
    <w:rsid w:val="006A7368"/>
    <w:rsid w:val="006A7493"/>
    <w:rsid w:val="006A750A"/>
    <w:rsid w:val="006A7680"/>
    <w:rsid w:val="006A76A1"/>
    <w:rsid w:val="006A7A71"/>
    <w:rsid w:val="006A7AA1"/>
    <w:rsid w:val="006A7FB3"/>
    <w:rsid w:val="006B0402"/>
    <w:rsid w:val="006B0D9E"/>
    <w:rsid w:val="006B10EC"/>
    <w:rsid w:val="006B1399"/>
    <w:rsid w:val="006B14CB"/>
    <w:rsid w:val="006B17E0"/>
    <w:rsid w:val="006B1A50"/>
    <w:rsid w:val="006B27D0"/>
    <w:rsid w:val="006B2A50"/>
    <w:rsid w:val="006B2B0E"/>
    <w:rsid w:val="006B2B22"/>
    <w:rsid w:val="006B31AE"/>
    <w:rsid w:val="006B32CF"/>
    <w:rsid w:val="006B3A82"/>
    <w:rsid w:val="006B3BE1"/>
    <w:rsid w:val="006B3E10"/>
    <w:rsid w:val="006B4334"/>
    <w:rsid w:val="006B479E"/>
    <w:rsid w:val="006B4930"/>
    <w:rsid w:val="006B4ED7"/>
    <w:rsid w:val="006B5208"/>
    <w:rsid w:val="006B5211"/>
    <w:rsid w:val="006B5561"/>
    <w:rsid w:val="006B559F"/>
    <w:rsid w:val="006B63AA"/>
    <w:rsid w:val="006B7012"/>
    <w:rsid w:val="006B7071"/>
    <w:rsid w:val="006B7537"/>
    <w:rsid w:val="006B7AA6"/>
    <w:rsid w:val="006B7C15"/>
    <w:rsid w:val="006C03C3"/>
    <w:rsid w:val="006C0571"/>
    <w:rsid w:val="006C070F"/>
    <w:rsid w:val="006C0856"/>
    <w:rsid w:val="006C0C35"/>
    <w:rsid w:val="006C0FF5"/>
    <w:rsid w:val="006C109A"/>
    <w:rsid w:val="006C12F9"/>
    <w:rsid w:val="006C14A3"/>
    <w:rsid w:val="006C191F"/>
    <w:rsid w:val="006C1B87"/>
    <w:rsid w:val="006C1F10"/>
    <w:rsid w:val="006C1F22"/>
    <w:rsid w:val="006C213B"/>
    <w:rsid w:val="006C246A"/>
    <w:rsid w:val="006C28D0"/>
    <w:rsid w:val="006C3307"/>
    <w:rsid w:val="006C383F"/>
    <w:rsid w:val="006C390F"/>
    <w:rsid w:val="006C3BBD"/>
    <w:rsid w:val="006C3DFC"/>
    <w:rsid w:val="006C480D"/>
    <w:rsid w:val="006C4D47"/>
    <w:rsid w:val="006C5037"/>
    <w:rsid w:val="006C5164"/>
    <w:rsid w:val="006C5AC0"/>
    <w:rsid w:val="006C5B56"/>
    <w:rsid w:val="006C5FC7"/>
    <w:rsid w:val="006C67B0"/>
    <w:rsid w:val="006C6D00"/>
    <w:rsid w:val="006C7069"/>
    <w:rsid w:val="006C722B"/>
    <w:rsid w:val="006C723F"/>
    <w:rsid w:val="006C772B"/>
    <w:rsid w:val="006C7B3A"/>
    <w:rsid w:val="006D0136"/>
    <w:rsid w:val="006D034B"/>
    <w:rsid w:val="006D13D8"/>
    <w:rsid w:val="006D175B"/>
    <w:rsid w:val="006D19CB"/>
    <w:rsid w:val="006D1F44"/>
    <w:rsid w:val="006D1FC7"/>
    <w:rsid w:val="006D24C8"/>
    <w:rsid w:val="006D2582"/>
    <w:rsid w:val="006D2DA0"/>
    <w:rsid w:val="006D3C05"/>
    <w:rsid w:val="006D3D30"/>
    <w:rsid w:val="006D3FB6"/>
    <w:rsid w:val="006D486D"/>
    <w:rsid w:val="006D4A89"/>
    <w:rsid w:val="006D4D87"/>
    <w:rsid w:val="006D54A4"/>
    <w:rsid w:val="006D54DA"/>
    <w:rsid w:val="006D58EA"/>
    <w:rsid w:val="006D5E3C"/>
    <w:rsid w:val="006D6206"/>
    <w:rsid w:val="006D630D"/>
    <w:rsid w:val="006D669B"/>
    <w:rsid w:val="006D6754"/>
    <w:rsid w:val="006D68D1"/>
    <w:rsid w:val="006D79B1"/>
    <w:rsid w:val="006D7A4D"/>
    <w:rsid w:val="006D7B37"/>
    <w:rsid w:val="006D7C02"/>
    <w:rsid w:val="006E07C8"/>
    <w:rsid w:val="006E13E4"/>
    <w:rsid w:val="006E165D"/>
    <w:rsid w:val="006E1A9E"/>
    <w:rsid w:val="006E1EB9"/>
    <w:rsid w:val="006E1F3A"/>
    <w:rsid w:val="006E20FB"/>
    <w:rsid w:val="006E23A8"/>
    <w:rsid w:val="006E2518"/>
    <w:rsid w:val="006E265B"/>
    <w:rsid w:val="006E276A"/>
    <w:rsid w:val="006E29C7"/>
    <w:rsid w:val="006E2BF7"/>
    <w:rsid w:val="006E2C76"/>
    <w:rsid w:val="006E334C"/>
    <w:rsid w:val="006E3A2F"/>
    <w:rsid w:val="006E3CF4"/>
    <w:rsid w:val="006E3E03"/>
    <w:rsid w:val="006E4169"/>
    <w:rsid w:val="006E41FB"/>
    <w:rsid w:val="006E430F"/>
    <w:rsid w:val="006E44AD"/>
    <w:rsid w:val="006E44B9"/>
    <w:rsid w:val="006E44EB"/>
    <w:rsid w:val="006E46AA"/>
    <w:rsid w:val="006E48BC"/>
    <w:rsid w:val="006E496D"/>
    <w:rsid w:val="006E4D1B"/>
    <w:rsid w:val="006E58C6"/>
    <w:rsid w:val="006E5A2E"/>
    <w:rsid w:val="006E5AE8"/>
    <w:rsid w:val="006E5E28"/>
    <w:rsid w:val="006E6250"/>
    <w:rsid w:val="006E6574"/>
    <w:rsid w:val="006E6722"/>
    <w:rsid w:val="006E6C63"/>
    <w:rsid w:val="006E6C7D"/>
    <w:rsid w:val="006E7B15"/>
    <w:rsid w:val="006E7D48"/>
    <w:rsid w:val="006F00CE"/>
    <w:rsid w:val="006F0787"/>
    <w:rsid w:val="006F1190"/>
    <w:rsid w:val="006F1916"/>
    <w:rsid w:val="006F1AB6"/>
    <w:rsid w:val="006F1C0B"/>
    <w:rsid w:val="006F21D4"/>
    <w:rsid w:val="006F2F60"/>
    <w:rsid w:val="006F33B2"/>
    <w:rsid w:val="006F3A42"/>
    <w:rsid w:val="006F3C9E"/>
    <w:rsid w:val="006F41DD"/>
    <w:rsid w:val="006F4650"/>
    <w:rsid w:val="006F466A"/>
    <w:rsid w:val="006F475E"/>
    <w:rsid w:val="006F47FA"/>
    <w:rsid w:val="006F486F"/>
    <w:rsid w:val="006F4ABF"/>
    <w:rsid w:val="006F4CA3"/>
    <w:rsid w:val="006F593F"/>
    <w:rsid w:val="006F5A34"/>
    <w:rsid w:val="006F5D1D"/>
    <w:rsid w:val="006F5F3A"/>
    <w:rsid w:val="006F6630"/>
    <w:rsid w:val="006F6642"/>
    <w:rsid w:val="006F673D"/>
    <w:rsid w:val="006F685E"/>
    <w:rsid w:val="006F6931"/>
    <w:rsid w:val="006F6E4D"/>
    <w:rsid w:val="006F76D1"/>
    <w:rsid w:val="006F76E7"/>
    <w:rsid w:val="006F7892"/>
    <w:rsid w:val="006F79FF"/>
    <w:rsid w:val="006F7BCF"/>
    <w:rsid w:val="00700034"/>
    <w:rsid w:val="0070016E"/>
    <w:rsid w:val="00700204"/>
    <w:rsid w:val="00700267"/>
    <w:rsid w:val="007009F2"/>
    <w:rsid w:val="00700B36"/>
    <w:rsid w:val="00700C87"/>
    <w:rsid w:val="007014E6"/>
    <w:rsid w:val="00701709"/>
    <w:rsid w:val="0070172A"/>
    <w:rsid w:val="0070195E"/>
    <w:rsid w:val="00701A62"/>
    <w:rsid w:val="00702196"/>
    <w:rsid w:val="007022E9"/>
    <w:rsid w:val="007024D9"/>
    <w:rsid w:val="00702C22"/>
    <w:rsid w:val="00702D14"/>
    <w:rsid w:val="00703085"/>
    <w:rsid w:val="00703174"/>
    <w:rsid w:val="00703349"/>
    <w:rsid w:val="0070346E"/>
    <w:rsid w:val="0070358B"/>
    <w:rsid w:val="00703A2E"/>
    <w:rsid w:val="00703BA5"/>
    <w:rsid w:val="00703F9E"/>
    <w:rsid w:val="007042AA"/>
    <w:rsid w:val="00704628"/>
    <w:rsid w:val="00704D28"/>
    <w:rsid w:val="00704D32"/>
    <w:rsid w:val="007050E9"/>
    <w:rsid w:val="00705115"/>
    <w:rsid w:val="00705326"/>
    <w:rsid w:val="00705701"/>
    <w:rsid w:val="00705A8C"/>
    <w:rsid w:val="00705F59"/>
    <w:rsid w:val="00706365"/>
    <w:rsid w:val="007066CC"/>
    <w:rsid w:val="00706A86"/>
    <w:rsid w:val="00706B3A"/>
    <w:rsid w:val="00706FF7"/>
    <w:rsid w:val="007076DC"/>
    <w:rsid w:val="0070771E"/>
    <w:rsid w:val="00710189"/>
    <w:rsid w:val="007106A8"/>
    <w:rsid w:val="00710832"/>
    <w:rsid w:val="00710B28"/>
    <w:rsid w:val="00710B63"/>
    <w:rsid w:val="00710CBE"/>
    <w:rsid w:val="00710E13"/>
    <w:rsid w:val="00710F18"/>
    <w:rsid w:val="007113D7"/>
    <w:rsid w:val="0071196B"/>
    <w:rsid w:val="00711A01"/>
    <w:rsid w:val="00711AB4"/>
    <w:rsid w:val="0071256A"/>
    <w:rsid w:val="0071385F"/>
    <w:rsid w:val="00713986"/>
    <w:rsid w:val="0071404A"/>
    <w:rsid w:val="007141BF"/>
    <w:rsid w:val="00714204"/>
    <w:rsid w:val="00714324"/>
    <w:rsid w:val="00714CF2"/>
    <w:rsid w:val="007151DC"/>
    <w:rsid w:val="007151E1"/>
    <w:rsid w:val="0071541A"/>
    <w:rsid w:val="007154AB"/>
    <w:rsid w:val="00715531"/>
    <w:rsid w:val="007156B9"/>
    <w:rsid w:val="007157DA"/>
    <w:rsid w:val="00715CB2"/>
    <w:rsid w:val="00715EB8"/>
    <w:rsid w:val="00715EEC"/>
    <w:rsid w:val="007161ED"/>
    <w:rsid w:val="0071646B"/>
    <w:rsid w:val="0071699D"/>
    <w:rsid w:val="00716B1D"/>
    <w:rsid w:val="007173CF"/>
    <w:rsid w:val="00717592"/>
    <w:rsid w:val="00717885"/>
    <w:rsid w:val="00717EB1"/>
    <w:rsid w:val="0072054A"/>
    <w:rsid w:val="00720817"/>
    <w:rsid w:val="00720A9C"/>
    <w:rsid w:val="00721B6A"/>
    <w:rsid w:val="00721E31"/>
    <w:rsid w:val="00722711"/>
    <w:rsid w:val="00722850"/>
    <w:rsid w:val="00722A41"/>
    <w:rsid w:val="00722AF6"/>
    <w:rsid w:val="00722B80"/>
    <w:rsid w:val="007232D9"/>
    <w:rsid w:val="00723466"/>
    <w:rsid w:val="007236BA"/>
    <w:rsid w:val="00723AAB"/>
    <w:rsid w:val="00723C8C"/>
    <w:rsid w:val="00723D5F"/>
    <w:rsid w:val="00723DA0"/>
    <w:rsid w:val="00723DCA"/>
    <w:rsid w:val="00724238"/>
    <w:rsid w:val="0072446D"/>
    <w:rsid w:val="0072458C"/>
    <w:rsid w:val="00724685"/>
    <w:rsid w:val="007246F8"/>
    <w:rsid w:val="00724BC6"/>
    <w:rsid w:val="00724C62"/>
    <w:rsid w:val="00724D8D"/>
    <w:rsid w:val="00724DCE"/>
    <w:rsid w:val="00724F62"/>
    <w:rsid w:val="00725427"/>
    <w:rsid w:val="007259E6"/>
    <w:rsid w:val="00725C9E"/>
    <w:rsid w:val="007260C2"/>
    <w:rsid w:val="00726442"/>
    <w:rsid w:val="00726C1A"/>
    <w:rsid w:val="00726E9C"/>
    <w:rsid w:val="00727340"/>
    <w:rsid w:val="00727E89"/>
    <w:rsid w:val="00727F3E"/>
    <w:rsid w:val="007305D5"/>
    <w:rsid w:val="0073083E"/>
    <w:rsid w:val="007310D5"/>
    <w:rsid w:val="007322A3"/>
    <w:rsid w:val="00732620"/>
    <w:rsid w:val="007326F7"/>
    <w:rsid w:val="00732A46"/>
    <w:rsid w:val="00732FEF"/>
    <w:rsid w:val="0073306D"/>
    <w:rsid w:val="00733183"/>
    <w:rsid w:val="00733431"/>
    <w:rsid w:val="0073353F"/>
    <w:rsid w:val="00733B9B"/>
    <w:rsid w:val="00734200"/>
    <w:rsid w:val="0073443F"/>
    <w:rsid w:val="00734455"/>
    <w:rsid w:val="00734760"/>
    <w:rsid w:val="00734B0D"/>
    <w:rsid w:val="0073506C"/>
    <w:rsid w:val="007352B8"/>
    <w:rsid w:val="00735380"/>
    <w:rsid w:val="0073590C"/>
    <w:rsid w:val="00735A91"/>
    <w:rsid w:val="00736840"/>
    <w:rsid w:val="00736915"/>
    <w:rsid w:val="00737561"/>
    <w:rsid w:val="00737674"/>
    <w:rsid w:val="007376FE"/>
    <w:rsid w:val="00737E30"/>
    <w:rsid w:val="007400A8"/>
    <w:rsid w:val="00740D21"/>
    <w:rsid w:val="00740EAA"/>
    <w:rsid w:val="00741320"/>
    <w:rsid w:val="0074169E"/>
    <w:rsid w:val="00741D94"/>
    <w:rsid w:val="00741F8B"/>
    <w:rsid w:val="00742339"/>
    <w:rsid w:val="0074254E"/>
    <w:rsid w:val="00742660"/>
    <w:rsid w:val="007426AB"/>
    <w:rsid w:val="00742777"/>
    <w:rsid w:val="00742895"/>
    <w:rsid w:val="007428EA"/>
    <w:rsid w:val="00742D80"/>
    <w:rsid w:val="00742E45"/>
    <w:rsid w:val="00742E5E"/>
    <w:rsid w:val="00742F18"/>
    <w:rsid w:val="00743256"/>
    <w:rsid w:val="00743960"/>
    <w:rsid w:val="00743D9D"/>
    <w:rsid w:val="007444B6"/>
    <w:rsid w:val="007445DF"/>
    <w:rsid w:val="007447AF"/>
    <w:rsid w:val="007448AB"/>
    <w:rsid w:val="007457CF"/>
    <w:rsid w:val="00745BD0"/>
    <w:rsid w:val="00745C98"/>
    <w:rsid w:val="00745D17"/>
    <w:rsid w:val="0074699D"/>
    <w:rsid w:val="00746FB7"/>
    <w:rsid w:val="007473FD"/>
    <w:rsid w:val="0074753B"/>
    <w:rsid w:val="007477FF"/>
    <w:rsid w:val="00747C69"/>
    <w:rsid w:val="00747CB1"/>
    <w:rsid w:val="00750110"/>
    <w:rsid w:val="00750289"/>
    <w:rsid w:val="007503D9"/>
    <w:rsid w:val="007507E9"/>
    <w:rsid w:val="00750816"/>
    <w:rsid w:val="00750D45"/>
    <w:rsid w:val="007511D2"/>
    <w:rsid w:val="0075132A"/>
    <w:rsid w:val="007513BA"/>
    <w:rsid w:val="007517BA"/>
    <w:rsid w:val="00751AA6"/>
    <w:rsid w:val="00751BA5"/>
    <w:rsid w:val="00752B96"/>
    <w:rsid w:val="007532F6"/>
    <w:rsid w:val="00753EB8"/>
    <w:rsid w:val="0075413F"/>
    <w:rsid w:val="0075425F"/>
    <w:rsid w:val="00754312"/>
    <w:rsid w:val="007543BD"/>
    <w:rsid w:val="007544C8"/>
    <w:rsid w:val="007547BD"/>
    <w:rsid w:val="00754CCB"/>
    <w:rsid w:val="00754D40"/>
    <w:rsid w:val="00754E88"/>
    <w:rsid w:val="00754EB4"/>
    <w:rsid w:val="00754F12"/>
    <w:rsid w:val="007554A6"/>
    <w:rsid w:val="007566BD"/>
    <w:rsid w:val="00756902"/>
    <w:rsid w:val="00756FA0"/>
    <w:rsid w:val="0075701E"/>
    <w:rsid w:val="00757E5F"/>
    <w:rsid w:val="00757EE9"/>
    <w:rsid w:val="00760016"/>
    <w:rsid w:val="007602BD"/>
    <w:rsid w:val="00760726"/>
    <w:rsid w:val="00760AD0"/>
    <w:rsid w:val="00760C93"/>
    <w:rsid w:val="007612A6"/>
    <w:rsid w:val="00761E7A"/>
    <w:rsid w:val="00761EAF"/>
    <w:rsid w:val="00761EB3"/>
    <w:rsid w:val="0076218A"/>
    <w:rsid w:val="00762737"/>
    <w:rsid w:val="00762787"/>
    <w:rsid w:val="00762943"/>
    <w:rsid w:val="00762BA8"/>
    <w:rsid w:val="00762FC9"/>
    <w:rsid w:val="0076322C"/>
    <w:rsid w:val="00763381"/>
    <w:rsid w:val="007634A2"/>
    <w:rsid w:val="007638DF"/>
    <w:rsid w:val="00763971"/>
    <w:rsid w:val="00764066"/>
    <w:rsid w:val="007642B9"/>
    <w:rsid w:val="007644D3"/>
    <w:rsid w:val="007647EC"/>
    <w:rsid w:val="00764BFE"/>
    <w:rsid w:val="00764CF9"/>
    <w:rsid w:val="007657C1"/>
    <w:rsid w:val="00765903"/>
    <w:rsid w:val="00765E59"/>
    <w:rsid w:val="00765FE5"/>
    <w:rsid w:val="00766257"/>
    <w:rsid w:val="007662FB"/>
    <w:rsid w:val="007669A4"/>
    <w:rsid w:val="00767198"/>
    <w:rsid w:val="007671DF"/>
    <w:rsid w:val="0076729E"/>
    <w:rsid w:val="0076779F"/>
    <w:rsid w:val="007677BE"/>
    <w:rsid w:val="00767807"/>
    <w:rsid w:val="00767A53"/>
    <w:rsid w:val="00770051"/>
    <w:rsid w:val="00770E05"/>
    <w:rsid w:val="00770E23"/>
    <w:rsid w:val="00770E3B"/>
    <w:rsid w:val="00771925"/>
    <w:rsid w:val="00771A24"/>
    <w:rsid w:val="00771D54"/>
    <w:rsid w:val="007723BD"/>
    <w:rsid w:val="007727BB"/>
    <w:rsid w:val="007728C3"/>
    <w:rsid w:val="00772BC5"/>
    <w:rsid w:val="00772CFA"/>
    <w:rsid w:val="007737C8"/>
    <w:rsid w:val="00773A18"/>
    <w:rsid w:val="00774112"/>
    <w:rsid w:val="00774856"/>
    <w:rsid w:val="007754D5"/>
    <w:rsid w:val="007756E1"/>
    <w:rsid w:val="00775AB5"/>
    <w:rsid w:val="00775E59"/>
    <w:rsid w:val="00775FC4"/>
    <w:rsid w:val="007760F7"/>
    <w:rsid w:val="00776169"/>
    <w:rsid w:val="0077664C"/>
    <w:rsid w:val="007769BD"/>
    <w:rsid w:val="00777348"/>
    <w:rsid w:val="007773CB"/>
    <w:rsid w:val="0077755F"/>
    <w:rsid w:val="00777D9B"/>
    <w:rsid w:val="007803D1"/>
    <w:rsid w:val="007804C9"/>
    <w:rsid w:val="00780714"/>
    <w:rsid w:val="00780740"/>
    <w:rsid w:val="00780A87"/>
    <w:rsid w:val="00780AAA"/>
    <w:rsid w:val="00780FA5"/>
    <w:rsid w:val="007810D4"/>
    <w:rsid w:val="007814C8"/>
    <w:rsid w:val="007818EE"/>
    <w:rsid w:val="00781D1E"/>
    <w:rsid w:val="00781F86"/>
    <w:rsid w:val="00782313"/>
    <w:rsid w:val="007824A4"/>
    <w:rsid w:val="0078252A"/>
    <w:rsid w:val="0078256F"/>
    <w:rsid w:val="00782787"/>
    <w:rsid w:val="0078282E"/>
    <w:rsid w:val="00782937"/>
    <w:rsid w:val="00782FE3"/>
    <w:rsid w:val="0078312C"/>
    <w:rsid w:val="00783214"/>
    <w:rsid w:val="007833FF"/>
    <w:rsid w:val="007834E6"/>
    <w:rsid w:val="00783C64"/>
    <w:rsid w:val="007840A6"/>
    <w:rsid w:val="0078433A"/>
    <w:rsid w:val="0078443E"/>
    <w:rsid w:val="007849BA"/>
    <w:rsid w:val="00784D52"/>
    <w:rsid w:val="00785273"/>
    <w:rsid w:val="007852F6"/>
    <w:rsid w:val="00785353"/>
    <w:rsid w:val="00785377"/>
    <w:rsid w:val="007854E4"/>
    <w:rsid w:val="0078589B"/>
    <w:rsid w:val="00785FAE"/>
    <w:rsid w:val="00785FF2"/>
    <w:rsid w:val="00786019"/>
    <w:rsid w:val="00786090"/>
    <w:rsid w:val="007862C6"/>
    <w:rsid w:val="00786373"/>
    <w:rsid w:val="00786421"/>
    <w:rsid w:val="00786546"/>
    <w:rsid w:val="00786650"/>
    <w:rsid w:val="00786692"/>
    <w:rsid w:val="00786860"/>
    <w:rsid w:val="007868A1"/>
    <w:rsid w:val="0078696B"/>
    <w:rsid w:val="00786E37"/>
    <w:rsid w:val="00786F5C"/>
    <w:rsid w:val="007873E7"/>
    <w:rsid w:val="007874D9"/>
    <w:rsid w:val="00787A1B"/>
    <w:rsid w:val="00787E07"/>
    <w:rsid w:val="00790218"/>
    <w:rsid w:val="0079119A"/>
    <w:rsid w:val="00791693"/>
    <w:rsid w:val="007916BE"/>
    <w:rsid w:val="0079179D"/>
    <w:rsid w:val="00791AEF"/>
    <w:rsid w:val="00791AF0"/>
    <w:rsid w:val="00791DAF"/>
    <w:rsid w:val="00791EE1"/>
    <w:rsid w:val="00792461"/>
    <w:rsid w:val="00792565"/>
    <w:rsid w:val="0079256D"/>
    <w:rsid w:val="00792741"/>
    <w:rsid w:val="00792A6E"/>
    <w:rsid w:val="00793199"/>
    <w:rsid w:val="007931C7"/>
    <w:rsid w:val="00793B2D"/>
    <w:rsid w:val="00793B75"/>
    <w:rsid w:val="00793CE3"/>
    <w:rsid w:val="00793F60"/>
    <w:rsid w:val="007940ED"/>
    <w:rsid w:val="00794202"/>
    <w:rsid w:val="00794321"/>
    <w:rsid w:val="007944FE"/>
    <w:rsid w:val="00794E06"/>
    <w:rsid w:val="00794F68"/>
    <w:rsid w:val="00795154"/>
    <w:rsid w:val="007951B8"/>
    <w:rsid w:val="007955D5"/>
    <w:rsid w:val="007956B8"/>
    <w:rsid w:val="00795C65"/>
    <w:rsid w:val="0079604D"/>
    <w:rsid w:val="0079668A"/>
    <w:rsid w:val="00796A54"/>
    <w:rsid w:val="007979B8"/>
    <w:rsid w:val="007A00CD"/>
    <w:rsid w:val="007A064B"/>
    <w:rsid w:val="007A0D31"/>
    <w:rsid w:val="007A12EC"/>
    <w:rsid w:val="007A1B3E"/>
    <w:rsid w:val="007A1C80"/>
    <w:rsid w:val="007A1D98"/>
    <w:rsid w:val="007A20A5"/>
    <w:rsid w:val="007A2389"/>
    <w:rsid w:val="007A2507"/>
    <w:rsid w:val="007A270E"/>
    <w:rsid w:val="007A27C1"/>
    <w:rsid w:val="007A2D3C"/>
    <w:rsid w:val="007A2E6E"/>
    <w:rsid w:val="007A35B0"/>
    <w:rsid w:val="007A3930"/>
    <w:rsid w:val="007A39AF"/>
    <w:rsid w:val="007A3B2E"/>
    <w:rsid w:val="007A3C4E"/>
    <w:rsid w:val="007A3DED"/>
    <w:rsid w:val="007A3ED7"/>
    <w:rsid w:val="007A406D"/>
    <w:rsid w:val="007A47FB"/>
    <w:rsid w:val="007A5098"/>
    <w:rsid w:val="007A564B"/>
    <w:rsid w:val="007A5804"/>
    <w:rsid w:val="007A5919"/>
    <w:rsid w:val="007A5AA0"/>
    <w:rsid w:val="007A5AD5"/>
    <w:rsid w:val="007A5B07"/>
    <w:rsid w:val="007A5E9F"/>
    <w:rsid w:val="007A5FBE"/>
    <w:rsid w:val="007A5FF7"/>
    <w:rsid w:val="007A6146"/>
    <w:rsid w:val="007A62B0"/>
    <w:rsid w:val="007A64E7"/>
    <w:rsid w:val="007A6662"/>
    <w:rsid w:val="007A69B8"/>
    <w:rsid w:val="007A6B89"/>
    <w:rsid w:val="007A7072"/>
    <w:rsid w:val="007A74E4"/>
    <w:rsid w:val="007A762F"/>
    <w:rsid w:val="007A76F8"/>
    <w:rsid w:val="007A7CAE"/>
    <w:rsid w:val="007B0553"/>
    <w:rsid w:val="007B0832"/>
    <w:rsid w:val="007B0A14"/>
    <w:rsid w:val="007B0BC6"/>
    <w:rsid w:val="007B10A0"/>
    <w:rsid w:val="007B12D8"/>
    <w:rsid w:val="007B142C"/>
    <w:rsid w:val="007B1671"/>
    <w:rsid w:val="007B17A2"/>
    <w:rsid w:val="007B1F83"/>
    <w:rsid w:val="007B23A0"/>
    <w:rsid w:val="007B272B"/>
    <w:rsid w:val="007B2A11"/>
    <w:rsid w:val="007B2D9B"/>
    <w:rsid w:val="007B2E58"/>
    <w:rsid w:val="007B3474"/>
    <w:rsid w:val="007B36EC"/>
    <w:rsid w:val="007B3B0C"/>
    <w:rsid w:val="007B3EBC"/>
    <w:rsid w:val="007B3F08"/>
    <w:rsid w:val="007B3FCD"/>
    <w:rsid w:val="007B4766"/>
    <w:rsid w:val="007B4BD4"/>
    <w:rsid w:val="007B4F23"/>
    <w:rsid w:val="007B4F65"/>
    <w:rsid w:val="007B51A3"/>
    <w:rsid w:val="007B5855"/>
    <w:rsid w:val="007B5EF7"/>
    <w:rsid w:val="007B607E"/>
    <w:rsid w:val="007B60F9"/>
    <w:rsid w:val="007B63DB"/>
    <w:rsid w:val="007B65C0"/>
    <w:rsid w:val="007B6A8E"/>
    <w:rsid w:val="007B6E64"/>
    <w:rsid w:val="007B7B08"/>
    <w:rsid w:val="007B7B2F"/>
    <w:rsid w:val="007B7BEF"/>
    <w:rsid w:val="007B7E55"/>
    <w:rsid w:val="007C0234"/>
    <w:rsid w:val="007C03F8"/>
    <w:rsid w:val="007C04A0"/>
    <w:rsid w:val="007C0523"/>
    <w:rsid w:val="007C05F7"/>
    <w:rsid w:val="007C0E7B"/>
    <w:rsid w:val="007C192D"/>
    <w:rsid w:val="007C1D65"/>
    <w:rsid w:val="007C2223"/>
    <w:rsid w:val="007C227C"/>
    <w:rsid w:val="007C29F4"/>
    <w:rsid w:val="007C2A22"/>
    <w:rsid w:val="007C32B1"/>
    <w:rsid w:val="007C35B6"/>
    <w:rsid w:val="007C35CB"/>
    <w:rsid w:val="007C369D"/>
    <w:rsid w:val="007C3788"/>
    <w:rsid w:val="007C3CF5"/>
    <w:rsid w:val="007C3DB6"/>
    <w:rsid w:val="007C3F36"/>
    <w:rsid w:val="007C4043"/>
    <w:rsid w:val="007C4068"/>
    <w:rsid w:val="007C41E1"/>
    <w:rsid w:val="007C4201"/>
    <w:rsid w:val="007C4216"/>
    <w:rsid w:val="007C4904"/>
    <w:rsid w:val="007C4FFD"/>
    <w:rsid w:val="007C512B"/>
    <w:rsid w:val="007C520B"/>
    <w:rsid w:val="007C5366"/>
    <w:rsid w:val="007C5636"/>
    <w:rsid w:val="007C58A9"/>
    <w:rsid w:val="007C5A0C"/>
    <w:rsid w:val="007C5DBF"/>
    <w:rsid w:val="007C6292"/>
    <w:rsid w:val="007C69C3"/>
    <w:rsid w:val="007C6C6C"/>
    <w:rsid w:val="007C6E96"/>
    <w:rsid w:val="007C6E9B"/>
    <w:rsid w:val="007C7215"/>
    <w:rsid w:val="007C74AA"/>
    <w:rsid w:val="007D017D"/>
    <w:rsid w:val="007D05DA"/>
    <w:rsid w:val="007D0795"/>
    <w:rsid w:val="007D0909"/>
    <w:rsid w:val="007D09FA"/>
    <w:rsid w:val="007D0E2B"/>
    <w:rsid w:val="007D15BF"/>
    <w:rsid w:val="007D1E39"/>
    <w:rsid w:val="007D1FBA"/>
    <w:rsid w:val="007D21C5"/>
    <w:rsid w:val="007D2A46"/>
    <w:rsid w:val="007D2A8B"/>
    <w:rsid w:val="007D2DF4"/>
    <w:rsid w:val="007D30F6"/>
    <w:rsid w:val="007D3354"/>
    <w:rsid w:val="007D3AB1"/>
    <w:rsid w:val="007D3EC4"/>
    <w:rsid w:val="007D478B"/>
    <w:rsid w:val="007D4B3C"/>
    <w:rsid w:val="007D4BB7"/>
    <w:rsid w:val="007D5266"/>
    <w:rsid w:val="007D5547"/>
    <w:rsid w:val="007D59D3"/>
    <w:rsid w:val="007D5C5F"/>
    <w:rsid w:val="007D5C97"/>
    <w:rsid w:val="007D5E3C"/>
    <w:rsid w:val="007D696D"/>
    <w:rsid w:val="007D6C98"/>
    <w:rsid w:val="007D7068"/>
    <w:rsid w:val="007D725B"/>
    <w:rsid w:val="007D73C2"/>
    <w:rsid w:val="007D74C5"/>
    <w:rsid w:val="007D79CA"/>
    <w:rsid w:val="007D7BCE"/>
    <w:rsid w:val="007D7DBE"/>
    <w:rsid w:val="007E01A8"/>
    <w:rsid w:val="007E05DC"/>
    <w:rsid w:val="007E0760"/>
    <w:rsid w:val="007E0D42"/>
    <w:rsid w:val="007E0D75"/>
    <w:rsid w:val="007E0FEE"/>
    <w:rsid w:val="007E103F"/>
    <w:rsid w:val="007E1631"/>
    <w:rsid w:val="007E1853"/>
    <w:rsid w:val="007E1886"/>
    <w:rsid w:val="007E1A12"/>
    <w:rsid w:val="007E1C6C"/>
    <w:rsid w:val="007E24ED"/>
    <w:rsid w:val="007E2DE8"/>
    <w:rsid w:val="007E2FF4"/>
    <w:rsid w:val="007E3094"/>
    <w:rsid w:val="007E30BA"/>
    <w:rsid w:val="007E34C6"/>
    <w:rsid w:val="007E37ED"/>
    <w:rsid w:val="007E43EE"/>
    <w:rsid w:val="007E4C8D"/>
    <w:rsid w:val="007E4FBE"/>
    <w:rsid w:val="007E5188"/>
    <w:rsid w:val="007E5DC6"/>
    <w:rsid w:val="007E5E56"/>
    <w:rsid w:val="007E7739"/>
    <w:rsid w:val="007E7811"/>
    <w:rsid w:val="007E7FED"/>
    <w:rsid w:val="007F0094"/>
    <w:rsid w:val="007F02AD"/>
    <w:rsid w:val="007F0492"/>
    <w:rsid w:val="007F0D8C"/>
    <w:rsid w:val="007F0E0A"/>
    <w:rsid w:val="007F0F5B"/>
    <w:rsid w:val="007F1017"/>
    <w:rsid w:val="007F1110"/>
    <w:rsid w:val="007F118E"/>
    <w:rsid w:val="007F12A6"/>
    <w:rsid w:val="007F151F"/>
    <w:rsid w:val="007F1559"/>
    <w:rsid w:val="007F164D"/>
    <w:rsid w:val="007F19CB"/>
    <w:rsid w:val="007F1E05"/>
    <w:rsid w:val="007F2017"/>
    <w:rsid w:val="007F23CC"/>
    <w:rsid w:val="007F27F8"/>
    <w:rsid w:val="007F2C87"/>
    <w:rsid w:val="007F2DF4"/>
    <w:rsid w:val="007F313E"/>
    <w:rsid w:val="007F38E0"/>
    <w:rsid w:val="007F3D05"/>
    <w:rsid w:val="007F3F17"/>
    <w:rsid w:val="007F4014"/>
    <w:rsid w:val="007F55A3"/>
    <w:rsid w:val="007F5673"/>
    <w:rsid w:val="007F5B85"/>
    <w:rsid w:val="007F5B9F"/>
    <w:rsid w:val="007F5E03"/>
    <w:rsid w:val="007F6451"/>
    <w:rsid w:val="007F652E"/>
    <w:rsid w:val="007F67ED"/>
    <w:rsid w:val="007F6D67"/>
    <w:rsid w:val="007F6EAF"/>
    <w:rsid w:val="007F735A"/>
    <w:rsid w:val="007F7947"/>
    <w:rsid w:val="007F7BCD"/>
    <w:rsid w:val="007F7FAD"/>
    <w:rsid w:val="00800919"/>
    <w:rsid w:val="008009AA"/>
    <w:rsid w:val="008009B8"/>
    <w:rsid w:val="00800CFC"/>
    <w:rsid w:val="00800FA9"/>
    <w:rsid w:val="0080103A"/>
    <w:rsid w:val="008011B0"/>
    <w:rsid w:val="0080178E"/>
    <w:rsid w:val="00801867"/>
    <w:rsid w:val="008019EA"/>
    <w:rsid w:val="00801AC4"/>
    <w:rsid w:val="00801F88"/>
    <w:rsid w:val="00802088"/>
    <w:rsid w:val="0080214A"/>
    <w:rsid w:val="00802C85"/>
    <w:rsid w:val="0080345A"/>
    <w:rsid w:val="008035F8"/>
    <w:rsid w:val="008038F7"/>
    <w:rsid w:val="00803DF9"/>
    <w:rsid w:val="008041AE"/>
    <w:rsid w:val="008045CC"/>
    <w:rsid w:val="00804744"/>
    <w:rsid w:val="00804902"/>
    <w:rsid w:val="00804996"/>
    <w:rsid w:val="00804C98"/>
    <w:rsid w:val="008059F6"/>
    <w:rsid w:val="00805E4D"/>
    <w:rsid w:val="008060F4"/>
    <w:rsid w:val="008062FF"/>
    <w:rsid w:val="00806729"/>
    <w:rsid w:val="0080718F"/>
    <w:rsid w:val="008076A2"/>
    <w:rsid w:val="008076AA"/>
    <w:rsid w:val="008079F4"/>
    <w:rsid w:val="00807A28"/>
    <w:rsid w:val="00807F53"/>
    <w:rsid w:val="00810374"/>
    <w:rsid w:val="00810380"/>
    <w:rsid w:val="00810587"/>
    <w:rsid w:val="00810605"/>
    <w:rsid w:val="0081076B"/>
    <w:rsid w:val="00810909"/>
    <w:rsid w:val="00810B33"/>
    <w:rsid w:val="00810B59"/>
    <w:rsid w:val="00810B73"/>
    <w:rsid w:val="00810BA8"/>
    <w:rsid w:val="00810F61"/>
    <w:rsid w:val="008110F0"/>
    <w:rsid w:val="00811416"/>
    <w:rsid w:val="0081168E"/>
    <w:rsid w:val="00811A32"/>
    <w:rsid w:val="00811CF8"/>
    <w:rsid w:val="00811E05"/>
    <w:rsid w:val="008126C8"/>
    <w:rsid w:val="00812899"/>
    <w:rsid w:val="00812B08"/>
    <w:rsid w:val="00812BB3"/>
    <w:rsid w:val="00813111"/>
    <w:rsid w:val="0081372C"/>
    <w:rsid w:val="008137F1"/>
    <w:rsid w:val="00813C7E"/>
    <w:rsid w:val="0081404F"/>
    <w:rsid w:val="0081419D"/>
    <w:rsid w:val="00814900"/>
    <w:rsid w:val="00814B13"/>
    <w:rsid w:val="00814B7E"/>
    <w:rsid w:val="0081551E"/>
    <w:rsid w:val="00815C6F"/>
    <w:rsid w:val="00815CBF"/>
    <w:rsid w:val="0081615B"/>
    <w:rsid w:val="00816E05"/>
    <w:rsid w:val="00817B0C"/>
    <w:rsid w:val="00817EF9"/>
    <w:rsid w:val="008209C9"/>
    <w:rsid w:val="00820AB0"/>
    <w:rsid w:val="008211CF"/>
    <w:rsid w:val="0082149C"/>
    <w:rsid w:val="00821542"/>
    <w:rsid w:val="00821A7A"/>
    <w:rsid w:val="00821F25"/>
    <w:rsid w:val="00822045"/>
    <w:rsid w:val="00822282"/>
    <w:rsid w:val="008222F5"/>
    <w:rsid w:val="00822870"/>
    <w:rsid w:val="00822BF6"/>
    <w:rsid w:val="00822C79"/>
    <w:rsid w:val="00822D1B"/>
    <w:rsid w:val="00823019"/>
    <w:rsid w:val="0082352D"/>
    <w:rsid w:val="008235AC"/>
    <w:rsid w:val="00823B26"/>
    <w:rsid w:val="00823EDB"/>
    <w:rsid w:val="00824102"/>
    <w:rsid w:val="008241DF"/>
    <w:rsid w:val="0082420E"/>
    <w:rsid w:val="00824265"/>
    <w:rsid w:val="00824633"/>
    <w:rsid w:val="008248D0"/>
    <w:rsid w:val="0082495C"/>
    <w:rsid w:val="00824EF0"/>
    <w:rsid w:val="008253A6"/>
    <w:rsid w:val="008253FC"/>
    <w:rsid w:val="00825864"/>
    <w:rsid w:val="008261A9"/>
    <w:rsid w:val="008261AC"/>
    <w:rsid w:val="008261D3"/>
    <w:rsid w:val="00826421"/>
    <w:rsid w:val="00826875"/>
    <w:rsid w:val="00826F71"/>
    <w:rsid w:val="0082721C"/>
    <w:rsid w:val="0082739C"/>
    <w:rsid w:val="0082767A"/>
    <w:rsid w:val="00827831"/>
    <w:rsid w:val="00830785"/>
    <w:rsid w:val="00830975"/>
    <w:rsid w:val="00830E18"/>
    <w:rsid w:val="0083149B"/>
    <w:rsid w:val="008317B8"/>
    <w:rsid w:val="00831868"/>
    <w:rsid w:val="00831A9F"/>
    <w:rsid w:val="00831E34"/>
    <w:rsid w:val="00831F5A"/>
    <w:rsid w:val="0083274E"/>
    <w:rsid w:val="008328BC"/>
    <w:rsid w:val="0083331C"/>
    <w:rsid w:val="008337E2"/>
    <w:rsid w:val="008339BB"/>
    <w:rsid w:val="00833C81"/>
    <w:rsid w:val="00833F3E"/>
    <w:rsid w:val="008343E2"/>
    <w:rsid w:val="00834457"/>
    <w:rsid w:val="0083489A"/>
    <w:rsid w:val="00834B4A"/>
    <w:rsid w:val="00834F33"/>
    <w:rsid w:val="0083528A"/>
    <w:rsid w:val="008356E9"/>
    <w:rsid w:val="008358CF"/>
    <w:rsid w:val="00835E6F"/>
    <w:rsid w:val="00836370"/>
    <w:rsid w:val="00836BB9"/>
    <w:rsid w:val="0083709B"/>
    <w:rsid w:val="008378C8"/>
    <w:rsid w:val="00837AAF"/>
    <w:rsid w:val="00837BE2"/>
    <w:rsid w:val="00840352"/>
    <w:rsid w:val="0084094C"/>
    <w:rsid w:val="00840B8A"/>
    <w:rsid w:val="00840BCF"/>
    <w:rsid w:val="00840DFB"/>
    <w:rsid w:val="00842069"/>
    <w:rsid w:val="0084250F"/>
    <w:rsid w:val="00842844"/>
    <w:rsid w:val="00842BB5"/>
    <w:rsid w:val="00842D4A"/>
    <w:rsid w:val="00842EFF"/>
    <w:rsid w:val="0084313A"/>
    <w:rsid w:val="008432CA"/>
    <w:rsid w:val="00843407"/>
    <w:rsid w:val="00843648"/>
    <w:rsid w:val="008444FC"/>
    <w:rsid w:val="00844E82"/>
    <w:rsid w:val="00844F18"/>
    <w:rsid w:val="008450F8"/>
    <w:rsid w:val="008451DD"/>
    <w:rsid w:val="008457DA"/>
    <w:rsid w:val="00845880"/>
    <w:rsid w:val="008458CF"/>
    <w:rsid w:val="00845951"/>
    <w:rsid w:val="008459A9"/>
    <w:rsid w:val="00846274"/>
    <w:rsid w:val="00846BAF"/>
    <w:rsid w:val="00846C5D"/>
    <w:rsid w:val="00847494"/>
    <w:rsid w:val="008477AE"/>
    <w:rsid w:val="00847B56"/>
    <w:rsid w:val="008508F7"/>
    <w:rsid w:val="00851938"/>
    <w:rsid w:val="00851E75"/>
    <w:rsid w:val="00851F91"/>
    <w:rsid w:val="008521C1"/>
    <w:rsid w:val="008522AD"/>
    <w:rsid w:val="00852814"/>
    <w:rsid w:val="00852C0A"/>
    <w:rsid w:val="00852D7B"/>
    <w:rsid w:val="00852E55"/>
    <w:rsid w:val="008530C7"/>
    <w:rsid w:val="008535B3"/>
    <w:rsid w:val="008537D8"/>
    <w:rsid w:val="00853CD2"/>
    <w:rsid w:val="00853E22"/>
    <w:rsid w:val="00854059"/>
    <w:rsid w:val="0085411D"/>
    <w:rsid w:val="00854253"/>
    <w:rsid w:val="008544C3"/>
    <w:rsid w:val="008547F5"/>
    <w:rsid w:val="00854CE3"/>
    <w:rsid w:val="0085513D"/>
    <w:rsid w:val="0085518E"/>
    <w:rsid w:val="00855CC5"/>
    <w:rsid w:val="008564B9"/>
    <w:rsid w:val="0085721C"/>
    <w:rsid w:val="0085729B"/>
    <w:rsid w:val="00857CC0"/>
    <w:rsid w:val="00857E55"/>
    <w:rsid w:val="00857E6B"/>
    <w:rsid w:val="00860D65"/>
    <w:rsid w:val="00860E9A"/>
    <w:rsid w:val="0086110F"/>
    <w:rsid w:val="00861395"/>
    <w:rsid w:val="0086139B"/>
    <w:rsid w:val="00861983"/>
    <w:rsid w:val="00861F22"/>
    <w:rsid w:val="0086226B"/>
    <w:rsid w:val="008624E5"/>
    <w:rsid w:val="008626E8"/>
    <w:rsid w:val="0086272B"/>
    <w:rsid w:val="008627F1"/>
    <w:rsid w:val="00863187"/>
    <w:rsid w:val="00863221"/>
    <w:rsid w:val="008640DD"/>
    <w:rsid w:val="0086419A"/>
    <w:rsid w:val="0086433E"/>
    <w:rsid w:val="00864B76"/>
    <w:rsid w:val="00864BCE"/>
    <w:rsid w:val="00864D9E"/>
    <w:rsid w:val="00865361"/>
    <w:rsid w:val="00865564"/>
    <w:rsid w:val="0086579F"/>
    <w:rsid w:val="00865BD7"/>
    <w:rsid w:val="00865F0F"/>
    <w:rsid w:val="0086619D"/>
    <w:rsid w:val="008662F8"/>
    <w:rsid w:val="00866354"/>
    <w:rsid w:val="00866808"/>
    <w:rsid w:val="008668B3"/>
    <w:rsid w:val="008669B5"/>
    <w:rsid w:val="00866E5F"/>
    <w:rsid w:val="00867000"/>
    <w:rsid w:val="00867137"/>
    <w:rsid w:val="00867A41"/>
    <w:rsid w:val="008700E6"/>
    <w:rsid w:val="00870147"/>
    <w:rsid w:val="008701FB"/>
    <w:rsid w:val="0087023B"/>
    <w:rsid w:val="008702BA"/>
    <w:rsid w:val="00870B0D"/>
    <w:rsid w:val="008710B4"/>
    <w:rsid w:val="008715C8"/>
    <w:rsid w:val="008716CF"/>
    <w:rsid w:val="0087199A"/>
    <w:rsid w:val="00872CCD"/>
    <w:rsid w:val="00872D3A"/>
    <w:rsid w:val="00872E08"/>
    <w:rsid w:val="00872F47"/>
    <w:rsid w:val="0087339B"/>
    <w:rsid w:val="00873A38"/>
    <w:rsid w:val="00873FE0"/>
    <w:rsid w:val="00874056"/>
    <w:rsid w:val="008745A9"/>
    <w:rsid w:val="00874E3B"/>
    <w:rsid w:val="00875C9D"/>
    <w:rsid w:val="00875DE0"/>
    <w:rsid w:val="00875E3A"/>
    <w:rsid w:val="00875F41"/>
    <w:rsid w:val="008760C1"/>
    <w:rsid w:val="00876115"/>
    <w:rsid w:val="00876223"/>
    <w:rsid w:val="00876881"/>
    <w:rsid w:val="00876D10"/>
    <w:rsid w:val="00876DBF"/>
    <w:rsid w:val="0087750F"/>
    <w:rsid w:val="00877696"/>
    <w:rsid w:val="008776CD"/>
    <w:rsid w:val="008778FE"/>
    <w:rsid w:val="00877EC5"/>
    <w:rsid w:val="00877EDE"/>
    <w:rsid w:val="00877F86"/>
    <w:rsid w:val="00880627"/>
    <w:rsid w:val="008806CB"/>
    <w:rsid w:val="008808E7"/>
    <w:rsid w:val="00880BAC"/>
    <w:rsid w:val="00880C95"/>
    <w:rsid w:val="00880E0C"/>
    <w:rsid w:val="008811C4"/>
    <w:rsid w:val="0088121A"/>
    <w:rsid w:val="008812D4"/>
    <w:rsid w:val="008813A0"/>
    <w:rsid w:val="008815A0"/>
    <w:rsid w:val="00881AA6"/>
    <w:rsid w:val="00881B77"/>
    <w:rsid w:val="00881C3D"/>
    <w:rsid w:val="00882153"/>
    <w:rsid w:val="00882558"/>
    <w:rsid w:val="008825F4"/>
    <w:rsid w:val="00882659"/>
    <w:rsid w:val="00882F3E"/>
    <w:rsid w:val="00883F1B"/>
    <w:rsid w:val="00883FE6"/>
    <w:rsid w:val="0088493E"/>
    <w:rsid w:val="00884D21"/>
    <w:rsid w:val="00884ECB"/>
    <w:rsid w:val="00885711"/>
    <w:rsid w:val="00885928"/>
    <w:rsid w:val="00885A04"/>
    <w:rsid w:val="00885BCD"/>
    <w:rsid w:val="00885D8A"/>
    <w:rsid w:val="00886900"/>
    <w:rsid w:val="00886CA6"/>
    <w:rsid w:val="00886D35"/>
    <w:rsid w:val="0088702D"/>
    <w:rsid w:val="00887389"/>
    <w:rsid w:val="008874F6"/>
    <w:rsid w:val="00887827"/>
    <w:rsid w:val="00887901"/>
    <w:rsid w:val="00890743"/>
    <w:rsid w:val="008907E0"/>
    <w:rsid w:val="00890E35"/>
    <w:rsid w:val="00891195"/>
    <w:rsid w:val="00891214"/>
    <w:rsid w:val="00891964"/>
    <w:rsid w:val="00891AA0"/>
    <w:rsid w:val="00891D21"/>
    <w:rsid w:val="00891DF8"/>
    <w:rsid w:val="0089224D"/>
    <w:rsid w:val="00892384"/>
    <w:rsid w:val="008929D2"/>
    <w:rsid w:val="00892B8A"/>
    <w:rsid w:val="00892F95"/>
    <w:rsid w:val="008931B3"/>
    <w:rsid w:val="00893203"/>
    <w:rsid w:val="00893538"/>
    <w:rsid w:val="00893B5C"/>
    <w:rsid w:val="00893B8A"/>
    <w:rsid w:val="00893C2F"/>
    <w:rsid w:val="00894596"/>
    <w:rsid w:val="0089484D"/>
    <w:rsid w:val="00894856"/>
    <w:rsid w:val="00894D8E"/>
    <w:rsid w:val="0089517A"/>
    <w:rsid w:val="00895389"/>
    <w:rsid w:val="0089571D"/>
    <w:rsid w:val="00896CEA"/>
    <w:rsid w:val="008975E8"/>
    <w:rsid w:val="008977D5"/>
    <w:rsid w:val="0089788F"/>
    <w:rsid w:val="00897ADF"/>
    <w:rsid w:val="00897D3E"/>
    <w:rsid w:val="008A077E"/>
    <w:rsid w:val="008A07B6"/>
    <w:rsid w:val="008A0855"/>
    <w:rsid w:val="008A0AC2"/>
    <w:rsid w:val="008A147B"/>
    <w:rsid w:val="008A179F"/>
    <w:rsid w:val="008A1BB1"/>
    <w:rsid w:val="008A1E28"/>
    <w:rsid w:val="008A2408"/>
    <w:rsid w:val="008A2686"/>
    <w:rsid w:val="008A2C49"/>
    <w:rsid w:val="008A2D46"/>
    <w:rsid w:val="008A3091"/>
    <w:rsid w:val="008A34D2"/>
    <w:rsid w:val="008A3A1C"/>
    <w:rsid w:val="008A3E84"/>
    <w:rsid w:val="008A4021"/>
    <w:rsid w:val="008A43CD"/>
    <w:rsid w:val="008A46A8"/>
    <w:rsid w:val="008A492C"/>
    <w:rsid w:val="008A4958"/>
    <w:rsid w:val="008A4CD2"/>
    <w:rsid w:val="008A4DC4"/>
    <w:rsid w:val="008A4DDD"/>
    <w:rsid w:val="008A4F3F"/>
    <w:rsid w:val="008A5B21"/>
    <w:rsid w:val="008A5E5D"/>
    <w:rsid w:val="008A5E8B"/>
    <w:rsid w:val="008A60ED"/>
    <w:rsid w:val="008A61B0"/>
    <w:rsid w:val="008A683E"/>
    <w:rsid w:val="008A6A3A"/>
    <w:rsid w:val="008A748B"/>
    <w:rsid w:val="008A773B"/>
    <w:rsid w:val="008A77C7"/>
    <w:rsid w:val="008A79D9"/>
    <w:rsid w:val="008A7CB4"/>
    <w:rsid w:val="008A7DBC"/>
    <w:rsid w:val="008B0176"/>
    <w:rsid w:val="008B030F"/>
    <w:rsid w:val="008B0864"/>
    <w:rsid w:val="008B1081"/>
    <w:rsid w:val="008B10D3"/>
    <w:rsid w:val="008B1FDD"/>
    <w:rsid w:val="008B2D2E"/>
    <w:rsid w:val="008B2E6C"/>
    <w:rsid w:val="008B2F51"/>
    <w:rsid w:val="008B3279"/>
    <w:rsid w:val="008B35F8"/>
    <w:rsid w:val="008B3867"/>
    <w:rsid w:val="008B3A45"/>
    <w:rsid w:val="008B3B26"/>
    <w:rsid w:val="008B3F41"/>
    <w:rsid w:val="008B3F89"/>
    <w:rsid w:val="008B4267"/>
    <w:rsid w:val="008B4819"/>
    <w:rsid w:val="008B482F"/>
    <w:rsid w:val="008B4D90"/>
    <w:rsid w:val="008B5655"/>
    <w:rsid w:val="008B57BC"/>
    <w:rsid w:val="008B5942"/>
    <w:rsid w:val="008B5ACF"/>
    <w:rsid w:val="008B6119"/>
    <w:rsid w:val="008B63B3"/>
    <w:rsid w:val="008B6664"/>
    <w:rsid w:val="008B6820"/>
    <w:rsid w:val="008B6A9A"/>
    <w:rsid w:val="008B6C77"/>
    <w:rsid w:val="008B72A9"/>
    <w:rsid w:val="008B7AFC"/>
    <w:rsid w:val="008C01C3"/>
    <w:rsid w:val="008C0759"/>
    <w:rsid w:val="008C0C77"/>
    <w:rsid w:val="008C17BA"/>
    <w:rsid w:val="008C1855"/>
    <w:rsid w:val="008C18AB"/>
    <w:rsid w:val="008C1A10"/>
    <w:rsid w:val="008C1B01"/>
    <w:rsid w:val="008C1C4B"/>
    <w:rsid w:val="008C1DE8"/>
    <w:rsid w:val="008C1E48"/>
    <w:rsid w:val="008C1F3D"/>
    <w:rsid w:val="008C2149"/>
    <w:rsid w:val="008C25E8"/>
    <w:rsid w:val="008C278E"/>
    <w:rsid w:val="008C3313"/>
    <w:rsid w:val="008C3407"/>
    <w:rsid w:val="008C34E7"/>
    <w:rsid w:val="008C359D"/>
    <w:rsid w:val="008C38D8"/>
    <w:rsid w:val="008C38E8"/>
    <w:rsid w:val="008C3CD8"/>
    <w:rsid w:val="008C40B6"/>
    <w:rsid w:val="008C4642"/>
    <w:rsid w:val="008C49E7"/>
    <w:rsid w:val="008C4F65"/>
    <w:rsid w:val="008C4F89"/>
    <w:rsid w:val="008C4FEB"/>
    <w:rsid w:val="008C52A8"/>
    <w:rsid w:val="008C55C7"/>
    <w:rsid w:val="008C5622"/>
    <w:rsid w:val="008C57A0"/>
    <w:rsid w:val="008C58F7"/>
    <w:rsid w:val="008C5CAE"/>
    <w:rsid w:val="008C6187"/>
    <w:rsid w:val="008C62E7"/>
    <w:rsid w:val="008C64D6"/>
    <w:rsid w:val="008C65E5"/>
    <w:rsid w:val="008C6B43"/>
    <w:rsid w:val="008C7413"/>
    <w:rsid w:val="008C7BE2"/>
    <w:rsid w:val="008C7C3E"/>
    <w:rsid w:val="008C7D3D"/>
    <w:rsid w:val="008C7D8E"/>
    <w:rsid w:val="008D04D7"/>
    <w:rsid w:val="008D0B4C"/>
    <w:rsid w:val="008D0E25"/>
    <w:rsid w:val="008D0F96"/>
    <w:rsid w:val="008D16B7"/>
    <w:rsid w:val="008D1971"/>
    <w:rsid w:val="008D1AA2"/>
    <w:rsid w:val="008D1D35"/>
    <w:rsid w:val="008D203D"/>
    <w:rsid w:val="008D2445"/>
    <w:rsid w:val="008D25DE"/>
    <w:rsid w:val="008D2C6C"/>
    <w:rsid w:val="008D2F86"/>
    <w:rsid w:val="008D30D1"/>
    <w:rsid w:val="008D3652"/>
    <w:rsid w:val="008D3B54"/>
    <w:rsid w:val="008D4700"/>
    <w:rsid w:val="008D47A1"/>
    <w:rsid w:val="008D4A0B"/>
    <w:rsid w:val="008D4A67"/>
    <w:rsid w:val="008D5430"/>
    <w:rsid w:val="008D582B"/>
    <w:rsid w:val="008D66E8"/>
    <w:rsid w:val="008D6725"/>
    <w:rsid w:val="008D68AF"/>
    <w:rsid w:val="008D6C19"/>
    <w:rsid w:val="008D6F1A"/>
    <w:rsid w:val="008D757A"/>
    <w:rsid w:val="008D7689"/>
    <w:rsid w:val="008D7750"/>
    <w:rsid w:val="008D799D"/>
    <w:rsid w:val="008D7C54"/>
    <w:rsid w:val="008D7D90"/>
    <w:rsid w:val="008E0190"/>
    <w:rsid w:val="008E0871"/>
    <w:rsid w:val="008E0906"/>
    <w:rsid w:val="008E0C6E"/>
    <w:rsid w:val="008E0E9F"/>
    <w:rsid w:val="008E15C4"/>
    <w:rsid w:val="008E17D4"/>
    <w:rsid w:val="008E1CA5"/>
    <w:rsid w:val="008E1E41"/>
    <w:rsid w:val="008E1EC8"/>
    <w:rsid w:val="008E21D2"/>
    <w:rsid w:val="008E2392"/>
    <w:rsid w:val="008E33FE"/>
    <w:rsid w:val="008E347A"/>
    <w:rsid w:val="008E38CC"/>
    <w:rsid w:val="008E4095"/>
    <w:rsid w:val="008E4485"/>
    <w:rsid w:val="008E449C"/>
    <w:rsid w:val="008E44F8"/>
    <w:rsid w:val="008E4520"/>
    <w:rsid w:val="008E4990"/>
    <w:rsid w:val="008E4D80"/>
    <w:rsid w:val="008E4E46"/>
    <w:rsid w:val="008E5D76"/>
    <w:rsid w:val="008E5EBC"/>
    <w:rsid w:val="008E5EDD"/>
    <w:rsid w:val="008E689F"/>
    <w:rsid w:val="008E6AE6"/>
    <w:rsid w:val="008E6C6B"/>
    <w:rsid w:val="008E6CB8"/>
    <w:rsid w:val="008E6D27"/>
    <w:rsid w:val="008E6E94"/>
    <w:rsid w:val="008E74E1"/>
    <w:rsid w:val="008E7645"/>
    <w:rsid w:val="008F0116"/>
    <w:rsid w:val="008F067E"/>
    <w:rsid w:val="008F077B"/>
    <w:rsid w:val="008F0946"/>
    <w:rsid w:val="008F0D31"/>
    <w:rsid w:val="008F0E35"/>
    <w:rsid w:val="008F143D"/>
    <w:rsid w:val="008F1E3B"/>
    <w:rsid w:val="008F2397"/>
    <w:rsid w:val="008F260B"/>
    <w:rsid w:val="008F2CB1"/>
    <w:rsid w:val="008F2E4F"/>
    <w:rsid w:val="008F30AC"/>
    <w:rsid w:val="008F32DC"/>
    <w:rsid w:val="008F33A0"/>
    <w:rsid w:val="008F3486"/>
    <w:rsid w:val="008F37CF"/>
    <w:rsid w:val="008F37E8"/>
    <w:rsid w:val="008F3E1C"/>
    <w:rsid w:val="008F4823"/>
    <w:rsid w:val="008F4E7A"/>
    <w:rsid w:val="008F502C"/>
    <w:rsid w:val="008F517E"/>
    <w:rsid w:val="008F51C2"/>
    <w:rsid w:val="008F5570"/>
    <w:rsid w:val="008F5778"/>
    <w:rsid w:val="008F57B8"/>
    <w:rsid w:val="008F5C56"/>
    <w:rsid w:val="008F5CA0"/>
    <w:rsid w:val="008F5E56"/>
    <w:rsid w:val="008F65D3"/>
    <w:rsid w:val="008F6869"/>
    <w:rsid w:val="008F6CE8"/>
    <w:rsid w:val="008F75AB"/>
    <w:rsid w:val="008F7CCB"/>
    <w:rsid w:val="008F7F52"/>
    <w:rsid w:val="0090021A"/>
    <w:rsid w:val="00900C99"/>
    <w:rsid w:val="00900D63"/>
    <w:rsid w:val="00900F12"/>
    <w:rsid w:val="00901560"/>
    <w:rsid w:val="00901F97"/>
    <w:rsid w:val="00902618"/>
    <w:rsid w:val="0090262C"/>
    <w:rsid w:val="00902B6F"/>
    <w:rsid w:val="009030D2"/>
    <w:rsid w:val="0090319A"/>
    <w:rsid w:val="00903253"/>
    <w:rsid w:val="00903CBB"/>
    <w:rsid w:val="009046AD"/>
    <w:rsid w:val="00905555"/>
    <w:rsid w:val="009058C7"/>
    <w:rsid w:val="00906C42"/>
    <w:rsid w:val="0090737C"/>
    <w:rsid w:val="00907694"/>
    <w:rsid w:val="009079ED"/>
    <w:rsid w:val="0091046F"/>
    <w:rsid w:val="009107F8"/>
    <w:rsid w:val="00910BF7"/>
    <w:rsid w:val="0091112D"/>
    <w:rsid w:val="009112F3"/>
    <w:rsid w:val="00911BE1"/>
    <w:rsid w:val="00911C83"/>
    <w:rsid w:val="00911FF6"/>
    <w:rsid w:val="009123C7"/>
    <w:rsid w:val="00912572"/>
    <w:rsid w:val="0091284A"/>
    <w:rsid w:val="00912879"/>
    <w:rsid w:val="00912A83"/>
    <w:rsid w:val="009131F4"/>
    <w:rsid w:val="00913305"/>
    <w:rsid w:val="009133D3"/>
    <w:rsid w:val="00913D17"/>
    <w:rsid w:val="00913D42"/>
    <w:rsid w:val="0091422E"/>
    <w:rsid w:val="009145AC"/>
    <w:rsid w:val="00915024"/>
    <w:rsid w:val="009150DA"/>
    <w:rsid w:val="009152EC"/>
    <w:rsid w:val="00915BE7"/>
    <w:rsid w:val="00915C4E"/>
    <w:rsid w:val="00915E09"/>
    <w:rsid w:val="00915E66"/>
    <w:rsid w:val="00915E9A"/>
    <w:rsid w:val="009161D8"/>
    <w:rsid w:val="00916686"/>
    <w:rsid w:val="00916991"/>
    <w:rsid w:val="00916C53"/>
    <w:rsid w:val="00916CAE"/>
    <w:rsid w:val="00916DED"/>
    <w:rsid w:val="00916F3D"/>
    <w:rsid w:val="0091E0C9"/>
    <w:rsid w:val="0092007E"/>
    <w:rsid w:val="00920599"/>
    <w:rsid w:val="00920F44"/>
    <w:rsid w:val="00921538"/>
    <w:rsid w:val="00921BF1"/>
    <w:rsid w:val="00921F7E"/>
    <w:rsid w:val="00922117"/>
    <w:rsid w:val="0092238E"/>
    <w:rsid w:val="00922670"/>
    <w:rsid w:val="009227A4"/>
    <w:rsid w:val="00922AE7"/>
    <w:rsid w:val="00922B46"/>
    <w:rsid w:val="00922CD9"/>
    <w:rsid w:val="00923145"/>
    <w:rsid w:val="009233E4"/>
    <w:rsid w:val="00923602"/>
    <w:rsid w:val="009239B3"/>
    <w:rsid w:val="00923D1A"/>
    <w:rsid w:val="00923E87"/>
    <w:rsid w:val="00923FC9"/>
    <w:rsid w:val="00924002"/>
    <w:rsid w:val="0092401C"/>
    <w:rsid w:val="00924633"/>
    <w:rsid w:val="00924714"/>
    <w:rsid w:val="009247D3"/>
    <w:rsid w:val="009249F3"/>
    <w:rsid w:val="00924A0A"/>
    <w:rsid w:val="00924B66"/>
    <w:rsid w:val="00924EE3"/>
    <w:rsid w:val="009250E7"/>
    <w:rsid w:val="00925441"/>
    <w:rsid w:val="0092554F"/>
    <w:rsid w:val="00925586"/>
    <w:rsid w:val="00925AFA"/>
    <w:rsid w:val="00926082"/>
    <w:rsid w:val="0092639D"/>
    <w:rsid w:val="009267B2"/>
    <w:rsid w:val="009268C0"/>
    <w:rsid w:val="009268D5"/>
    <w:rsid w:val="00926A44"/>
    <w:rsid w:val="00926AD2"/>
    <w:rsid w:val="00926C2A"/>
    <w:rsid w:val="00927108"/>
    <w:rsid w:val="0092711C"/>
    <w:rsid w:val="00927739"/>
    <w:rsid w:val="009279CD"/>
    <w:rsid w:val="00930236"/>
    <w:rsid w:val="00930715"/>
    <w:rsid w:val="009307FC"/>
    <w:rsid w:val="00930C4E"/>
    <w:rsid w:val="00930C8E"/>
    <w:rsid w:val="00930E3D"/>
    <w:rsid w:val="00931246"/>
    <w:rsid w:val="009315C8"/>
    <w:rsid w:val="009316A9"/>
    <w:rsid w:val="00931B5B"/>
    <w:rsid w:val="0093210F"/>
    <w:rsid w:val="00932198"/>
    <w:rsid w:val="009325EB"/>
    <w:rsid w:val="00932865"/>
    <w:rsid w:val="00932A79"/>
    <w:rsid w:val="00932B18"/>
    <w:rsid w:val="00932E2E"/>
    <w:rsid w:val="0093320E"/>
    <w:rsid w:val="00933304"/>
    <w:rsid w:val="00933E37"/>
    <w:rsid w:val="00933F49"/>
    <w:rsid w:val="009340F0"/>
    <w:rsid w:val="0093493B"/>
    <w:rsid w:val="00934D68"/>
    <w:rsid w:val="00935812"/>
    <w:rsid w:val="00935CDE"/>
    <w:rsid w:val="00935D93"/>
    <w:rsid w:val="009360F6"/>
    <w:rsid w:val="00936376"/>
    <w:rsid w:val="0093674A"/>
    <w:rsid w:val="00936F10"/>
    <w:rsid w:val="009372DB"/>
    <w:rsid w:val="00937655"/>
    <w:rsid w:val="009377B7"/>
    <w:rsid w:val="00937E47"/>
    <w:rsid w:val="0094036E"/>
    <w:rsid w:val="0094076A"/>
    <w:rsid w:val="00940F1A"/>
    <w:rsid w:val="00941056"/>
    <w:rsid w:val="00941378"/>
    <w:rsid w:val="0094144D"/>
    <w:rsid w:val="009419C4"/>
    <w:rsid w:val="00941A75"/>
    <w:rsid w:val="00941DC1"/>
    <w:rsid w:val="00942140"/>
    <w:rsid w:val="00942985"/>
    <w:rsid w:val="00942AC9"/>
    <w:rsid w:val="00942BC0"/>
    <w:rsid w:val="00943194"/>
    <w:rsid w:val="0094337C"/>
    <w:rsid w:val="00943607"/>
    <w:rsid w:val="009437A3"/>
    <w:rsid w:val="00943A63"/>
    <w:rsid w:val="009440AC"/>
    <w:rsid w:val="00944CA3"/>
    <w:rsid w:val="00945392"/>
    <w:rsid w:val="0094566C"/>
    <w:rsid w:val="0094570D"/>
    <w:rsid w:val="00945E8E"/>
    <w:rsid w:val="009462DB"/>
    <w:rsid w:val="0094673E"/>
    <w:rsid w:val="00946915"/>
    <w:rsid w:val="00946A82"/>
    <w:rsid w:val="00947A0A"/>
    <w:rsid w:val="00950445"/>
    <w:rsid w:val="0095094E"/>
    <w:rsid w:val="00951249"/>
    <w:rsid w:val="0095138B"/>
    <w:rsid w:val="009516B5"/>
    <w:rsid w:val="009517AC"/>
    <w:rsid w:val="009519D7"/>
    <w:rsid w:val="00951CC6"/>
    <w:rsid w:val="00951DE1"/>
    <w:rsid w:val="00951EBB"/>
    <w:rsid w:val="00951F28"/>
    <w:rsid w:val="00951F6A"/>
    <w:rsid w:val="0095217C"/>
    <w:rsid w:val="0095251B"/>
    <w:rsid w:val="00952940"/>
    <w:rsid w:val="00952D20"/>
    <w:rsid w:val="00952EC9"/>
    <w:rsid w:val="00953587"/>
    <w:rsid w:val="00953603"/>
    <w:rsid w:val="00953694"/>
    <w:rsid w:val="009541D1"/>
    <w:rsid w:val="00954B8B"/>
    <w:rsid w:val="00954DC6"/>
    <w:rsid w:val="009552B0"/>
    <w:rsid w:val="009557F4"/>
    <w:rsid w:val="00955E92"/>
    <w:rsid w:val="00956208"/>
    <w:rsid w:val="009563C5"/>
    <w:rsid w:val="00956526"/>
    <w:rsid w:val="0095655D"/>
    <w:rsid w:val="00956693"/>
    <w:rsid w:val="00956805"/>
    <w:rsid w:val="00956B87"/>
    <w:rsid w:val="00956CFD"/>
    <w:rsid w:val="00956D5A"/>
    <w:rsid w:val="00956D7C"/>
    <w:rsid w:val="00956E06"/>
    <w:rsid w:val="009570B1"/>
    <w:rsid w:val="009570D2"/>
    <w:rsid w:val="00957274"/>
    <w:rsid w:val="009577EE"/>
    <w:rsid w:val="00957D42"/>
    <w:rsid w:val="00960085"/>
    <w:rsid w:val="009606FA"/>
    <w:rsid w:val="00960974"/>
    <w:rsid w:val="00960A5F"/>
    <w:rsid w:val="00960E57"/>
    <w:rsid w:val="00961012"/>
    <w:rsid w:val="0096172E"/>
    <w:rsid w:val="0096180A"/>
    <w:rsid w:val="0096193C"/>
    <w:rsid w:val="00961BB8"/>
    <w:rsid w:val="00962432"/>
    <w:rsid w:val="0096273A"/>
    <w:rsid w:val="009627D1"/>
    <w:rsid w:val="00962944"/>
    <w:rsid w:val="009629C3"/>
    <w:rsid w:val="0096306E"/>
    <w:rsid w:val="0096313A"/>
    <w:rsid w:val="009638C0"/>
    <w:rsid w:val="00963959"/>
    <w:rsid w:val="00963DF4"/>
    <w:rsid w:val="00963EE9"/>
    <w:rsid w:val="00964336"/>
    <w:rsid w:val="00964648"/>
    <w:rsid w:val="0096489F"/>
    <w:rsid w:val="009648DB"/>
    <w:rsid w:val="00965008"/>
    <w:rsid w:val="0096517A"/>
    <w:rsid w:val="009663E6"/>
    <w:rsid w:val="0096640B"/>
    <w:rsid w:val="009665C1"/>
    <w:rsid w:val="009665D9"/>
    <w:rsid w:val="0096694F"/>
    <w:rsid w:val="009669C8"/>
    <w:rsid w:val="00966A1A"/>
    <w:rsid w:val="0096701E"/>
    <w:rsid w:val="00967189"/>
    <w:rsid w:val="00967197"/>
    <w:rsid w:val="00967503"/>
    <w:rsid w:val="00971194"/>
    <w:rsid w:val="00971361"/>
    <w:rsid w:val="009713E5"/>
    <w:rsid w:val="00971579"/>
    <w:rsid w:val="009717E7"/>
    <w:rsid w:val="009717EA"/>
    <w:rsid w:val="00971895"/>
    <w:rsid w:val="00971D7D"/>
    <w:rsid w:val="00971F9E"/>
    <w:rsid w:val="009722B7"/>
    <w:rsid w:val="00972A27"/>
    <w:rsid w:val="00972A28"/>
    <w:rsid w:val="00972CF5"/>
    <w:rsid w:val="00973486"/>
    <w:rsid w:val="0097357E"/>
    <w:rsid w:val="00973B68"/>
    <w:rsid w:val="00974172"/>
    <w:rsid w:val="0097465B"/>
    <w:rsid w:val="009748AF"/>
    <w:rsid w:val="00974C7E"/>
    <w:rsid w:val="00975763"/>
    <w:rsid w:val="00975849"/>
    <w:rsid w:val="009758BF"/>
    <w:rsid w:val="00975AE0"/>
    <w:rsid w:val="00975EB9"/>
    <w:rsid w:val="00975F24"/>
    <w:rsid w:val="00976284"/>
    <w:rsid w:val="0097631C"/>
    <w:rsid w:val="0097639D"/>
    <w:rsid w:val="00976604"/>
    <w:rsid w:val="00976990"/>
    <w:rsid w:val="00976EBD"/>
    <w:rsid w:val="00976F5B"/>
    <w:rsid w:val="0097712D"/>
    <w:rsid w:val="00977667"/>
    <w:rsid w:val="00977A4D"/>
    <w:rsid w:val="00977D61"/>
    <w:rsid w:val="0098014A"/>
    <w:rsid w:val="00980A47"/>
    <w:rsid w:val="00980E6A"/>
    <w:rsid w:val="00981276"/>
    <w:rsid w:val="0098138E"/>
    <w:rsid w:val="009813BB"/>
    <w:rsid w:val="009819A2"/>
    <w:rsid w:val="00981C49"/>
    <w:rsid w:val="00981CE8"/>
    <w:rsid w:val="00981F4C"/>
    <w:rsid w:val="009821A3"/>
    <w:rsid w:val="009822B0"/>
    <w:rsid w:val="009828C5"/>
    <w:rsid w:val="00982979"/>
    <w:rsid w:val="00982B3E"/>
    <w:rsid w:val="00983256"/>
    <w:rsid w:val="0098337F"/>
    <w:rsid w:val="00983915"/>
    <w:rsid w:val="00983B98"/>
    <w:rsid w:val="00983CF3"/>
    <w:rsid w:val="00983DCC"/>
    <w:rsid w:val="00983EE1"/>
    <w:rsid w:val="0098416D"/>
    <w:rsid w:val="00984642"/>
    <w:rsid w:val="0098480A"/>
    <w:rsid w:val="00984978"/>
    <w:rsid w:val="00984B83"/>
    <w:rsid w:val="0098516D"/>
    <w:rsid w:val="00985665"/>
    <w:rsid w:val="009856FC"/>
    <w:rsid w:val="00985A2F"/>
    <w:rsid w:val="00985A3D"/>
    <w:rsid w:val="00985CBF"/>
    <w:rsid w:val="00985EF7"/>
    <w:rsid w:val="00986436"/>
    <w:rsid w:val="0098655A"/>
    <w:rsid w:val="0098664E"/>
    <w:rsid w:val="00986969"/>
    <w:rsid w:val="00986D41"/>
    <w:rsid w:val="00986DA3"/>
    <w:rsid w:val="00987684"/>
    <w:rsid w:val="0098780A"/>
    <w:rsid w:val="009879E3"/>
    <w:rsid w:val="00987B99"/>
    <w:rsid w:val="00990277"/>
    <w:rsid w:val="009902B1"/>
    <w:rsid w:val="00990383"/>
    <w:rsid w:val="00990755"/>
    <w:rsid w:val="00990774"/>
    <w:rsid w:val="0099077F"/>
    <w:rsid w:val="00990971"/>
    <w:rsid w:val="00990A63"/>
    <w:rsid w:val="00990AD6"/>
    <w:rsid w:val="00990C68"/>
    <w:rsid w:val="00991120"/>
    <w:rsid w:val="009913B4"/>
    <w:rsid w:val="0099144D"/>
    <w:rsid w:val="00991D95"/>
    <w:rsid w:val="00991EC8"/>
    <w:rsid w:val="00992197"/>
    <w:rsid w:val="009922E8"/>
    <w:rsid w:val="00992730"/>
    <w:rsid w:val="00992778"/>
    <w:rsid w:val="009927EF"/>
    <w:rsid w:val="00992CBF"/>
    <w:rsid w:val="00992CFD"/>
    <w:rsid w:val="00992D4A"/>
    <w:rsid w:val="009939E0"/>
    <w:rsid w:val="00993D08"/>
    <w:rsid w:val="00993F46"/>
    <w:rsid w:val="009945D1"/>
    <w:rsid w:val="00996405"/>
    <w:rsid w:val="0099679C"/>
    <w:rsid w:val="009967A5"/>
    <w:rsid w:val="00996C99"/>
    <w:rsid w:val="00996E62"/>
    <w:rsid w:val="00996F2B"/>
    <w:rsid w:val="009975DF"/>
    <w:rsid w:val="00997978"/>
    <w:rsid w:val="00997CEB"/>
    <w:rsid w:val="00997DA6"/>
    <w:rsid w:val="009A0106"/>
    <w:rsid w:val="009A0258"/>
    <w:rsid w:val="009A0363"/>
    <w:rsid w:val="009A0377"/>
    <w:rsid w:val="009A094C"/>
    <w:rsid w:val="009A0E80"/>
    <w:rsid w:val="009A138A"/>
    <w:rsid w:val="009A151B"/>
    <w:rsid w:val="009A1930"/>
    <w:rsid w:val="009A199B"/>
    <w:rsid w:val="009A1E90"/>
    <w:rsid w:val="009A2065"/>
    <w:rsid w:val="009A259C"/>
    <w:rsid w:val="009A2C76"/>
    <w:rsid w:val="009A2E46"/>
    <w:rsid w:val="009A2F9E"/>
    <w:rsid w:val="009A30F4"/>
    <w:rsid w:val="009A331D"/>
    <w:rsid w:val="009A34F1"/>
    <w:rsid w:val="009A3539"/>
    <w:rsid w:val="009A4316"/>
    <w:rsid w:val="009A43C1"/>
    <w:rsid w:val="009A46F3"/>
    <w:rsid w:val="009A4740"/>
    <w:rsid w:val="009A48BB"/>
    <w:rsid w:val="009A49AE"/>
    <w:rsid w:val="009A4E69"/>
    <w:rsid w:val="009A5985"/>
    <w:rsid w:val="009A65D1"/>
    <w:rsid w:val="009A6AAA"/>
    <w:rsid w:val="009A6E6C"/>
    <w:rsid w:val="009A75E6"/>
    <w:rsid w:val="009A77BD"/>
    <w:rsid w:val="009A7A5D"/>
    <w:rsid w:val="009A7F79"/>
    <w:rsid w:val="009B01D0"/>
    <w:rsid w:val="009B052A"/>
    <w:rsid w:val="009B0B32"/>
    <w:rsid w:val="009B0B50"/>
    <w:rsid w:val="009B0C64"/>
    <w:rsid w:val="009B0DFA"/>
    <w:rsid w:val="009B184C"/>
    <w:rsid w:val="009B2344"/>
    <w:rsid w:val="009B2396"/>
    <w:rsid w:val="009B28AA"/>
    <w:rsid w:val="009B3A71"/>
    <w:rsid w:val="009B3A89"/>
    <w:rsid w:val="009B41FD"/>
    <w:rsid w:val="009B4C43"/>
    <w:rsid w:val="009B50E4"/>
    <w:rsid w:val="009B545C"/>
    <w:rsid w:val="009B548A"/>
    <w:rsid w:val="009B609F"/>
    <w:rsid w:val="009B6252"/>
    <w:rsid w:val="009B62BB"/>
    <w:rsid w:val="009B664A"/>
    <w:rsid w:val="009B66EF"/>
    <w:rsid w:val="009B6829"/>
    <w:rsid w:val="009B6A4D"/>
    <w:rsid w:val="009B6BF8"/>
    <w:rsid w:val="009B6D64"/>
    <w:rsid w:val="009B7039"/>
    <w:rsid w:val="009B70E4"/>
    <w:rsid w:val="009B750E"/>
    <w:rsid w:val="009B75A4"/>
    <w:rsid w:val="009B77B1"/>
    <w:rsid w:val="009B794A"/>
    <w:rsid w:val="009B7A1E"/>
    <w:rsid w:val="009B7EEE"/>
    <w:rsid w:val="009C04FB"/>
    <w:rsid w:val="009C0674"/>
    <w:rsid w:val="009C0BEE"/>
    <w:rsid w:val="009C0CBC"/>
    <w:rsid w:val="009C0E47"/>
    <w:rsid w:val="009C1AE0"/>
    <w:rsid w:val="009C1F52"/>
    <w:rsid w:val="009C2042"/>
    <w:rsid w:val="009C2704"/>
    <w:rsid w:val="009C2759"/>
    <w:rsid w:val="009C28D0"/>
    <w:rsid w:val="009C2DBE"/>
    <w:rsid w:val="009C396A"/>
    <w:rsid w:val="009C3B35"/>
    <w:rsid w:val="009C4008"/>
    <w:rsid w:val="009C4247"/>
    <w:rsid w:val="009C437C"/>
    <w:rsid w:val="009C4EA2"/>
    <w:rsid w:val="009C4F60"/>
    <w:rsid w:val="009C4F65"/>
    <w:rsid w:val="009C54A0"/>
    <w:rsid w:val="009C5788"/>
    <w:rsid w:val="009C58F1"/>
    <w:rsid w:val="009C5A42"/>
    <w:rsid w:val="009C62D4"/>
    <w:rsid w:val="009C63E5"/>
    <w:rsid w:val="009C6531"/>
    <w:rsid w:val="009C6A94"/>
    <w:rsid w:val="009C77AF"/>
    <w:rsid w:val="009C7CEA"/>
    <w:rsid w:val="009C7E32"/>
    <w:rsid w:val="009D092A"/>
    <w:rsid w:val="009D0B9D"/>
    <w:rsid w:val="009D0F97"/>
    <w:rsid w:val="009D1068"/>
    <w:rsid w:val="009D108B"/>
    <w:rsid w:val="009D1553"/>
    <w:rsid w:val="009D195A"/>
    <w:rsid w:val="009D25CA"/>
    <w:rsid w:val="009D2701"/>
    <w:rsid w:val="009D2844"/>
    <w:rsid w:val="009D2A34"/>
    <w:rsid w:val="009D2AAA"/>
    <w:rsid w:val="009D30D4"/>
    <w:rsid w:val="009D325D"/>
    <w:rsid w:val="009D34EF"/>
    <w:rsid w:val="009D3823"/>
    <w:rsid w:val="009D3D56"/>
    <w:rsid w:val="009D3F8B"/>
    <w:rsid w:val="009D3FA8"/>
    <w:rsid w:val="009D4100"/>
    <w:rsid w:val="009D44E8"/>
    <w:rsid w:val="009D46ED"/>
    <w:rsid w:val="009D47FD"/>
    <w:rsid w:val="009D5EBD"/>
    <w:rsid w:val="009D661E"/>
    <w:rsid w:val="009D667E"/>
    <w:rsid w:val="009D6812"/>
    <w:rsid w:val="009D758F"/>
    <w:rsid w:val="009D767C"/>
    <w:rsid w:val="009D78D3"/>
    <w:rsid w:val="009D7948"/>
    <w:rsid w:val="009E02E7"/>
    <w:rsid w:val="009E06AD"/>
    <w:rsid w:val="009E0A09"/>
    <w:rsid w:val="009E0BFC"/>
    <w:rsid w:val="009E151E"/>
    <w:rsid w:val="009E180D"/>
    <w:rsid w:val="009E1F8B"/>
    <w:rsid w:val="009E2343"/>
    <w:rsid w:val="009E278B"/>
    <w:rsid w:val="009E2A81"/>
    <w:rsid w:val="009E2E4D"/>
    <w:rsid w:val="009E2E55"/>
    <w:rsid w:val="009E30D0"/>
    <w:rsid w:val="009E3226"/>
    <w:rsid w:val="009E325A"/>
    <w:rsid w:val="009E3B16"/>
    <w:rsid w:val="009E3F5E"/>
    <w:rsid w:val="009E42EE"/>
    <w:rsid w:val="009E432F"/>
    <w:rsid w:val="009E442D"/>
    <w:rsid w:val="009E447D"/>
    <w:rsid w:val="009E44C9"/>
    <w:rsid w:val="009E47D9"/>
    <w:rsid w:val="009E4BB1"/>
    <w:rsid w:val="009E4F46"/>
    <w:rsid w:val="009E4F64"/>
    <w:rsid w:val="009E5189"/>
    <w:rsid w:val="009E524B"/>
    <w:rsid w:val="009E5469"/>
    <w:rsid w:val="009E5994"/>
    <w:rsid w:val="009E5A97"/>
    <w:rsid w:val="009E5EC3"/>
    <w:rsid w:val="009E5F61"/>
    <w:rsid w:val="009E6225"/>
    <w:rsid w:val="009E6613"/>
    <w:rsid w:val="009E69F5"/>
    <w:rsid w:val="009E6BE9"/>
    <w:rsid w:val="009E6C1C"/>
    <w:rsid w:val="009E6C5C"/>
    <w:rsid w:val="009E6FF2"/>
    <w:rsid w:val="009E71C5"/>
    <w:rsid w:val="009E7430"/>
    <w:rsid w:val="009E74A1"/>
    <w:rsid w:val="009E7587"/>
    <w:rsid w:val="009E78FE"/>
    <w:rsid w:val="009E7C20"/>
    <w:rsid w:val="009E7C7F"/>
    <w:rsid w:val="009E7DEE"/>
    <w:rsid w:val="009F02A8"/>
    <w:rsid w:val="009F0AB2"/>
    <w:rsid w:val="009F0E1F"/>
    <w:rsid w:val="009F1273"/>
    <w:rsid w:val="009F1998"/>
    <w:rsid w:val="009F1B1C"/>
    <w:rsid w:val="009F2193"/>
    <w:rsid w:val="009F277F"/>
    <w:rsid w:val="009F2865"/>
    <w:rsid w:val="009F2984"/>
    <w:rsid w:val="009F3331"/>
    <w:rsid w:val="009F3959"/>
    <w:rsid w:val="009F539B"/>
    <w:rsid w:val="009F5D78"/>
    <w:rsid w:val="009F5EA0"/>
    <w:rsid w:val="009F5FAF"/>
    <w:rsid w:val="009F6694"/>
    <w:rsid w:val="009F685B"/>
    <w:rsid w:val="009F6DF9"/>
    <w:rsid w:val="009F6FFD"/>
    <w:rsid w:val="009F7402"/>
    <w:rsid w:val="009F763D"/>
    <w:rsid w:val="009F7923"/>
    <w:rsid w:val="009F79A7"/>
    <w:rsid w:val="009F7B83"/>
    <w:rsid w:val="009F7C33"/>
    <w:rsid w:val="009F7D02"/>
    <w:rsid w:val="009F7DBA"/>
    <w:rsid w:val="009F7E58"/>
    <w:rsid w:val="009F7F6B"/>
    <w:rsid w:val="00A00499"/>
    <w:rsid w:val="00A0098D"/>
    <w:rsid w:val="00A009AE"/>
    <w:rsid w:val="00A00AD3"/>
    <w:rsid w:val="00A00BA5"/>
    <w:rsid w:val="00A014A2"/>
    <w:rsid w:val="00A015A7"/>
    <w:rsid w:val="00A018B6"/>
    <w:rsid w:val="00A01953"/>
    <w:rsid w:val="00A01A5C"/>
    <w:rsid w:val="00A01B7B"/>
    <w:rsid w:val="00A01DB9"/>
    <w:rsid w:val="00A026D9"/>
    <w:rsid w:val="00A02B37"/>
    <w:rsid w:val="00A02C5C"/>
    <w:rsid w:val="00A03088"/>
    <w:rsid w:val="00A032F6"/>
    <w:rsid w:val="00A0332E"/>
    <w:rsid w:val="00A03E05"/>
    <w:rsid w:val="00A03E54"/>
    <w:rsid w:val="00A042C9"/>
    <w:rsid w:val="00A042FC"/>
    <w:rsid w:val="00A04494"/>
    <w:rsid w:val="00A044E8"/>
    <w:rsid w:val="00A04699"/>
    <w:rsid w:val="00A049D5"/>
    <w:rsid w:val="00A049FB"/>
    <w:rsid w:val="00A04DBB"/>
    <w:rsid w:val="00A0517C"/>
    <w:rsid w:val="00A05319"/>
    <w:rsid w:val="00A058F8"/>
    <w:rsid w:val="00A05C8F"/>
    <w:rsid w:val="00A06833"/>
    <w:rsid w:val="00A06EDD"/>
    <w:rsid w:val="00A07152"/>
    <w:rsid w:val="00A07311"/>
    <w:rsid w:val="00A07A23"/>
    <w:rsid w:val="00A07ABE"/>
    <w:rsid w:val="00A07B20"/>
    <w:rsid w:val="00A07B3E"/>
    <w:rsid w:val="00A10382"/>
    <w:rsid w:val="00A10450"/>
    <w:rsid w:val="00A10A20"/>
    <w:rsid w:val="00A10F4B"/>
    <w:rsid w:val="00A11211"/>
    <w:rsid w:val="00A115A4"/>
    <w:rsid w:val="00A11A2E"/>
    <w:rsid w:val="00A11B98"/>
    <w:rsid w:val="00A1290B"/>
    <w:rsid w:val="00A12E43"/>
    <w:rsid w:val="00A12EBF"/>
    <w:rsid w:val="00A1361A"/>
    <w:rsid w:val="00A13732"/>
    <w:rsid w:val="00A13764"/>
    <w:rsid w:val="00A13885"/>
    <w:rsid w:val="00A13936"/>
    <w:rsid w:val="00A13D5F"/>
    <w:rsid w:val="00A13D8B"/>
    <w:rsid w:val="00A14C7B"/>
    <w:rsid w:val="00A14C82"/>
    <w:rsid w:val="00A14DFF"/>
    <w:rsid w:val="00A156DD"/>
    <w:rsid w:val="00A159FE"/>
    <w:rsid w:val="00A15A9D"/>
    <w:rsid w:val="00A15F19"/>
    <w:rsid w:val="00A160B3"/>
    <w:rsid w:val="00A1664A"/>
    <w:rsid w:val="00A169CC"/>
    <w:rsid w:val="00A16BA5"/>
    <w:rsid w:val="00A16F1D"/>
    <w:rsid w:val="00A1721B"/>
    <w:rsid w:val="00A17244"/>
    <w:rsid w:val="00A175CB"/>
    <w:rsid w:val="00A17822"/>
    <w:rsid w:val="00A17840"/>
    <w:rsid w:val="00A178FF"/>
    <w:rsid w:val="00A17CE0"/>
    <w:rsid w:val="00A17D65"/>
    <w:rsid w:val="00A17E96"/>
    <w:rsid w:val="00A203F1"/>
    <w:rsid w:val="00A20433"/>
    <w:rsid w:val="00A20699"/>
    <w:rsid w:val="00A20844"/>
    <w:rsid w:val="00A208BB"/>
    <w:rsid w:val="00A20D59"/>
    <w:rsid w:val="00A20EB4"/>
    <w:rsid w:val="00A212D2"/>
    <w:rsid w:val="00A21799"/>
    <w:rsid w:val="00A21E5C"/>
    <w:rsid w:val="00A22619"/>
    <w:rsid w:val="00A22643"/>
    <w:rsid w:val="00A229CD"/>
    <w:rsid w:val="00A22A82"/>
    <w:rsid w:val="00A22B93"/>
    <w:rsid w:val="00A23477"/>
    <w:rsid w:val="00A238F7"/>
    <w:rsid w:val="00A23988"/>
    <w:rsid w:val="00A23A5D"/>
    <w:rsid w:val="00A23C21"/>
    <w:rsid w:val="00A23D48"/>
    <w:rsid w:val="00A23E35"/>
    <w:rsid w:val="00A23F67"/>
    <w:rsid w:val="00A24C67"/>
    <w:rsid w:val="00A25EEF"/>
    <w:rsid w:val="00A260FF"/>
    <w:rsid w:val="00A26359"/>
    <w:rsid w:val="00A26509"/>
    <w:rsid w:val="00A26932"/>
    <w:rsid w:val="00A26CB1"/>
    <w:rsid w:val="00A26FD6"/>
    <w:rsid w:val="00A27067"/>
    <w:rsid w:val="00A27331"/>
    <w:rsid w:val="00A27438"/>
    <w:rsid w:val="00A27652"/>
    <w:rsid w:val="00A2790B"/>
    <w:rsid w:val="00A27B7D"/>
    <w:rsid w:val="00A27E2B"/>
    <w:rsid w:val="00A27FF3"/>
    <w:rsid w:val="00A30366"/>
    <w:rsid w:val="00A30506"/>
    <w:rsid w:val="00A307B7"/>
    <w:rsid w:val="00A30DCF"/>
    <w:rsid w:val="00A31287"/>
    <w:rsid w:val="00A31557"/>
    <w:rsid w:val="00A31566"/>
    <w:rsid w:val="00A31C71"/>
    <w:rsid w:val="00A31FCD"/>
    <w:rsid w:val="00A31FD6"/>
    <w:rsid w:val="00A323E6"/>
    <w:rsid w:val="00A3259C"/>
    <w:rsid w:val="00A328E8"/>
    <w:rsid w:val="00A32FE7"/>
    <w:rsid w:val="00A33143"/>
    <w:rsid w:val="00A33155"/>
    <w:rsid w:val="00A332F7"/>
    <w:rsid w:val="00A33577"/>
    <w:rsid w:val="00A33713"/>
    <w:rsid w:val="00A33C1E"/>
    <w:rsid w:val="00A34043"/>
    <w:rsid w:val="00A34683"/>
    <w:rsid w:val="00A34F68"/>
    <w:rsid w:val="00A3563F"/>
    <w:rsid w:val="00A3568E"/>
    <w:rsid w:val="00A35A59"/>
    <w:rsid w:val="00A35C3E"/>
    <w:rsid w:val="00A35FFC"/>
    <w:rsid w:val="00A360A5"/>
    <w:rsid w:val="00A36315"/>
    <w:rsid w:val="00A3670E"/>
    <w:rsid w:val="00A36CAC"/>
    <w:rsid w:val="00A36FF3"/>
    <w:rsid w:val="00A378F1"/>
    <w:rsid w:val="00A379F4"/>
    <w:rsid w:val="00A37C46"/>
    <w:rsid w:val="00A4024B"/>
    <w:rsid w:val="00A407D6"/>
    <w:rsid w:val="00A40D0D"/>
    <w:rsid w:val="00A40F48"/>
    <w:rsid w:val="00A4125F"/>
    <w:rsid w:val="00A414B5"/>
    <w:rsid w:val="00A419BE"/>
    <w:rsid w:val="00A41B72"/>
    <w:rsid w:val="00A42141"/>
    <w:rsid w:val="00A42306"/>
    <w:rsid w:val="00A425C9"/>
    <w:rsid w:val="00A42C3B"/>
    <w:rsid w:val="00A42DC9"/>
    <w:rsid w:val="00A42F13"/>
    <w:rsid w:val="00A430FD"/>
    <w:rsid w:val="00A433B0"/>
    <w:rsid w:val="00A43506"/>
    <w:rsid w:val="00A43704"/>
    <w:rsid w:val="00A43916"/>
    <w:rsid w:val="00A43924"/>
    <w:rsid w:val="00A43928"/>
    <w:rsid w:val="00A43A8C"/>
    <w:rsid w:val="00A43FF8"/>
    <w:rsid w:val="00A44AE9"/>
    <w:rsid w:val="00A44B07"/>
    <w:rsid w:val="00A44E2B"/>
    <w:rsid w:val="00A44E8D"/>
    <w:rsid w:val="00A45317"/>
    <w:rsid w:val="00A46524"/>
    <w:rsid w:val="00A46763"/>
    <w:rsid w:val="00A47318"/>
    <w:rsid w:val="00A47BA6"/>
    <w:rsid w:val="00A47DCE"/>
    <w:rsid w:val="00A47E90"/>
    <w:rsid w:val="00A50020"/>
    <w:rsid w:val="00A5064F"/>
    <w:rsid w:val="00A5085D"/>
    <w:rsid w:val="00A51014"/>
    <w:rsid w:val="00A5105B"/>
    <w:rsid w:val="00A51134"/>
    <w:rsid w:val="00A51343"/>
    <w:rsid w:val="00A51AEF"/>
    <w:rsid w:val="00A51E6D"/>
    <w:rsid w:val="00A52135"/>
    <w:rsid w:val="00A524FE"/>
    <w:rsid w:val="00A52822"/>
    <w:rsid w:val="00A52861"/>
    <w:rsid w:val="00A52960"/>
    <w:rsid w:val="00A52A93"/>
    <w:rsid w:val="00A52A9F"/>
    <w:rsid w:val="00A52B96"/>
    <w:rsid w:val="00A52BC8"/>
    <w:rsid w:val="00A52C1E"/>
    <w:rsid w:val="00A52E62"/>
    <w:rsid w:val="00A52FB1"/>
    <w:rsid w:val="00A53830"/>
    <w:rsid w:val="00A5393B"/>
    <w:rsid w:val="00A53C51"/>
    <w:rsid w:val="00A5414A"/>
    <w:rsid w:val="00A544FC"/>
    <w:rsid w:val="00A54DD9"/>
    <w:rsid w:val="00A54DF3"/>
    <w:rsid w:val="00A54E19"/>
    <w:rsid w:val="00A556FA"/>
    <w:rsid w:val="00A559BA"/>
    <w:rsid w:val="00A55A2A"/>
    <w:rsid w:val="00A55ACD"/>
    <w:rsid w:val="00A55E56"/>
    <w:rsid w:val="00A56353"/>
    <w:rsid w:val="00A563B5"/>
    <w:rsid w:val="00A56462"/>
    <w:rsid w:val="00A567F0"/>
    <w:rsid w:val="00A568B1"/>
    <w:rsid w:val="00A56A37"/>
    <w:rsid w:val="00A56B55"/>
    <w:rsid w:val="00A56E43"/>
    <w:rsid w:val="00A573A2"/>
    <w:rsid w:val="00A57456"/>
    <w:rsid w:val="00A57ABB"/>
    <w:rsid w:val="00A57C3D"/>
    <w:rsid w:val="00A57C4B"/>
    <w:rsid w:val="00A57FB3"/>
    <w:rsid w:val="00A60181"/>
    <w:rsid w:val="00A60330"/>
    <w:rsid w:val="00A6098C"/>
    <w:rsid w:val="00A60A62"/>
    <w:rsid w:val="00A60B94"/>
    <w:rsid w:val="00A60F65"/>
    <w:rsid w:val="00A6258A"/>
    <w:rsid w:val="00A62809"/>
    <w:rsid w:val="00A629C4"/>
    <w:rsid w:val="00A62A17"/>
    <w:rsid w:val="00A62DC1"/>
    <w:rsid w:val="00A639EE"/>
    <w:rsid w:val="00A63D26"/>
    <w:rsid w:val="00A64154"/>
    <w:rsid w:val="00A645FC"/>
    <w:rsid w:val="00A64745"/>
    <w:rsid w:val="00A64E6C"/>
    <w:rsid w:val="00A650AB"/>
    <w:rsid w:val="00A652A5"/>
    <w:rsid w:val="00A656BF"/>
    <w:rsid w:val="00A66291"/>
    <w:rsid w:val="00A663C8"/>
    <w:rsid w:val="00A66525"/>
    <w:rsid w:val="00A671FD"/>
    <w:rsid w:val="00A67B93"/>
    <w:rsid w:val="00A6EB2C"/>
    <w:rsid w:val="00A7018F"/>
    <w:rsid w:val="00A7038C"/>
    <w:rsid w:val="00A704D0"/>
    <w:rsid w:val="00A70BB5"/>
    <w:rsid w:val="00A70C87"/>
    <w:rsid w:val="00A711D3"/>
    <w:rsid w:val="00A71599"/>
    <w:rsid w:val="00A71D36"/>
    <w:rsid w:val="00A71E86"/>
    <w:rsid w:val="00A72180"/>
    <w:rsid w:val="00A722F5"/>
    <w:rsid w:val="00A725A4"/>
    <w:rsid w:val="00A72AF5"/>
    <w:rsid w:val="00A72B07"/>
    <w:rsid w:val="00A72D6C"/>
    <w:rsid w:val="00A74292"/>
    <w:rsid w:val="00A7439B"/>
    <w:rsid w:val="00A74A28"/>
    <w:rsid w:val="00A74A46"/>
    <w:rsid w:val="00A74AF8"/>
    <w:rsid w:val="00A74E96"/>
    <w:rsid w:val="00A75A95"/>
    <w:rsid w:val="00A769B1"/>
    <w:rsid w:val="00A76D9F"/>
    <w:rsid w:val="00A7730F"/>
    <w:rsid w:val="00A7737A"/>
    <w:rsid w:val="00A7754E"/>
    <w:rsid w:val="00A779CB"/>
    <w:rsid w:val="00A77B6B"/>
    <w:rsid w:val="00A77E02"/>
    <w:rsid w:val="00A80318"/>
    <w:rsid w:val="00A806BB"/>
    <w:rsid w:val="00A8080E"/>
    <w:rsid w:val="00A80BC8"/>
    <w:rsid w:val="00A80E62"/>
    <w:rsid w:val="00A81618"/>
    <w:rsid w:val="00A81FA1"/>
    <w:rsid w:val="00A81FC2"/>
    <w:rsid w:val="00A822A3"/>
    <w:rsid w:val="00A8263F"/>
    <w:rsid w:val="00A828C9"/>
    <w:rsid w:val="00A829A1"/>
    <w:rsid w:val="00A82B77"/>
    <w:rsid w:val="00A82EF1"/>
    <w:rsid w:val="00A8348A"/>
    <w:rsid w:val="00A83540"/>
    <w:rsid w:val="00A839D4"/>
    <w:rsid w:val="00A83C4F"/>
    <w:rsid w:val="00A83C72"/>
    <w:rsid w:val="00A84555"/>
    <w:rsid w:val="00A8474B"/>
    <w:rsid w:val="00A8486E"/>
    <w:rsid w:val="00A848C1"/>
    <w:rsid w:val="00A84A28"/>
    <w:rsid w:val="00A84E35"/>
    <w:rsid w:val="00A857A8"/>
    <w:rsid w:val="00A859DD"/>
    <w:rsid w:val="00A85ADC"/>
    <w:rsid w:val="00A85DC8"/>
    <w:rsid w:val="00A85E19"/>
    <w:rsid w:val="00A86205"/>
    <w:rsid w:val="00A86400"/>
    <w:rsid w:val="00A865B1"/>
    <w:rsid w:val="00A86CEE"/>
    <w:rsid w:val="00A86E85"/>
    <w:rsid w:val="00A86FCC"/>
    <w:rsid w:val="00A87022"/>
    <w:rsid w:val="00A87187"/>
    <w:rsid w:val="00A8732E"/>
    <w:rsid w:val="00A876FC"/>
    <w:rsid w:val="00A87D53"/>
    <w:rsid w:val="00A87FA0"/>
    <w:rsid w:val="00A902A8"/>
    <w:rsid w:val="00A90568"/>
    <w:rsid w:val="00A908FD"/>
    <w:rsid w:val="00A90CA1"/>
    <w:rsid w:val="00A90CA8"/>
    <w:rsid w:val="00A9119C"/>
    <w:rsid w:val="00A91259"/>
    <w:rsid w:val="00A912D4"/>
    <w:rsid w:val="00A9174A"/>
    <w:rsid w:val="00A91CA8"/>
    <w:rsid w:val="00A91D25"/>
    <w:rsid w:val="00A920E0"/>
    <w:rsid w:val="00A92D0D"/>
    <w:rsid w:val="00A92F9D"/>
    <w:rsid w:val="00A93595"/>
    <w:rsid w:val="00A9380D"/>
    <w:rsid w:val="00A940BC"/>
    <w:rsid w:val="00A94303"/>
    <w:rsid w:val="00A9476A"/>
    <w:rsid w:val="00A9482E"/>
    <w:rsid w:val="00A94831"/>
    <w:rsid w:val="00A948D8"/>
    <w:rsid w:val="00A94C03"/>
    <w:rsid w:val="00A94C2A"/>
    <w:rsid w:val="00A94CE5"/>
    <w:rsid w:val="00A95FFE"/>
    <w:rsid w:val="00A964A2"/>
    <w:rsid w:val="00A964FE"/>
    <w:rsid w:val="00A965C8"/>
    <w:rsid w:val="00A969C1"/>
    <w:rsid w:val="00A96F98"/>
    <w:rsid w:val="00A9709D"/>
    <w:rsid w:val="00A9719E"/>
    <w:rsid w:val="00A97281"/>
    <w:rsid w:val="00A974BC"/>
    <w:rsid w:val="00A978B4"/>
    <w:rsid w:val="00A97F2F"/>
    <w:rsid w:val="00AA0031"/>
    <w:rsid w:val="00AA0128"/>
    <w:rsid w:val="00AA047A"/>
    <w:rsid w:val="00AA062B"/>
    <w:rsid w:val="00AA066E"/>
    <w:rsid w:val="00AA07BC"/>
    <w:rsid w:val="00AA0DFF"/>
    <w:rsid w:val="00AA173F"/>
    <w:rsid w:val="00AA1DD6"/>
    <w:rsid w:val="00AA1E45"/>
    <w:rsid w:val="00AA1F8F"/>
    <w:rsid w:val="00AA21F7"/>
    <w:rsid w:val="00AA232A"/>
    <w:rsid w:val="00AA282C"/>
    <w:rsid w:val="00AA2D25"/>
    <w:rsid w:val="00AA2EAC"/>
    <w:rsid w:val="00AA33F6"/>
    <w:rsid w:val="00AA361D"/>
    <w:rsid w:val="00AA36CA"/>
    <w:rsid w:val="00AA373A"/>
    <w:rsid w:val="00AA4249"/>
    <w:rsid w:val="00AA4A89"/>
    <w:rsid w:val="00AA4BBF"/>
    <w:rsid w:val="00AA5348"/>
    <w:rsid w:val="00AA583F"/>
    <w:rsid w:val="00AA62D0"/>
    <w:rsid w:val="00AA6B26"/>
    <w:rsid w:val="00AA6B87"/>
    <w:rsid w:val="00AA6E3F"/>
    <w:rsid w:val="00AA7221"/>
    <w:rsid w:val="00AA7DFA"/>
    <w:rsid w:val="00AA7E21"/>
    <w:rsid w:val="00AB0B30"/>
    <w:rsid w:val="00AB0B81"/>
    <w:rsid w:val="00AB11BB"/>
    <w:rsid w:val="00AB1380"/>
    <w:rsid w:val="00AB1506"/>
    <w:rsid w:val="00AB1AC1"/>
    <w:rsid w:val="00AB1C5C"/>
    <w:rsid w:val="00AB203A"/>
    <w:rsid w:val="00AB26A7"/>
    <w:rsid w:val="00AB31DD"/>
    <w:rsid w:val="00AB33CB"/>
    <w:rsid w:val="00AB39C2"/>
    <w:rsid w:val="00AB39C9"/>
    <w:rsid w:val="00AB3A98"/>
    <w:rsid w:val="00AB3B04"/>
    <w:rsid w:val="00AB3F45"/>
    <w:rsid w:val="00AB4622"/>
    <w:rsid w:val="00AB4C90"/>
    <w:rsid w:val="00AB511F"/>
    <w:rsid w:val="00AB55F3"/>
    <w:rsid w:val="00AB5610"/>
    <w:rsid w:val="00AB56F3"/>
    <w:rsid w:val="00AB56FD"/>
    <w:rsid w:val="00AB6193"/>
    <w:rsid w:val="00AB6613"/>
    <w:rsid w:val="00AB6C8F"/>
    <w:rsid w:val="00AB6FC2"/>
    <w:rsid w:val="00AB71DF"/>
    <w:rsid w:val="00AB7875"/>
    <w:rsid w:val="00AB7BBC"/>
    <w:rsid w:val="00AB7CE5"/>
    <w:rsid w:val="00AC02CB"/>
    <w:rsid w:val="00AC141E"/>
    <w:rsid w:val="00AC18BA"/>
    <w:rsid w:val="00AC34AF"/>
    <w:rsid w:val="00AC3C8A"/>
    <w:rsid w:val="00AC48B2"/>
    <w:rsid w:val="00AC491E"/>
    <w:rsid w:val="00AC4B98"/>
    <w:rsid w:val="00AC4BE3"/>
    <w:rsid w:val="00AC4CDB"/>
    <w:rsid w:val="00AC4F7C"/>
    <w:rsid w:val="00AC506D"/>
    <w:rsid w:val="00AC50BC"/>
    <w:rsid w:val="00AC51AC"/>
    <w:rsid w:val="00AC617C"/>
    <w:rsid w:val="00AC6228"/>
    <w:rsid w:val="00AC6614"/>
    <w:rsid w:val="00AC68EE"/>
    <w:rsid w:val="00AC6A87"/>
    <w:rsid w:val="00AC74B2"/>
    <w:rsid w:val="00AC7549"/>
    <w:rsid w:val="00AC7854"/>
    <w:rsid w:val="00AC7A25"/>
    <w:rsid w:val="00AC7A88"/>
    <w:rsid w:val="00AC7E79"/>
    <w:rsid w:val="00AC7FC7"/>
    <w:rsid w:val="00AD005E"/>
    <w:rsid w:val="00AD0060"/>
    <w:rsid w:val="00AD04B7"/>
    <w:rsid w:val="00AD0549"/>
    <w:rsid w:val="00AD0B22"/>
    <w:rsid w:val="00AD0BEF"/>
    <w:rsid w:val="00AD0CC7"/>
    <w:rsid w:val="00AD10D9"/>
    <w:rsid w:val="00AD1390"/>
    <w:rsid w:val="00AD1A7F"/>
    <w:rsid w:val="00AD1C8B"/>
    <w:rsid w:val="00AD22C7"/>
    <w:rsid w:val="00AD2781"/>
    <w:rsid w:val="00AD28D7"/>
    <w:rsid w:val="00AD2B45"/>
    <w:rsid w:val="00AD2C27"/>
    <w:rsid w:val="00AD2DD3"/>
    <w:rsid w:val="00AD307E"/>
    <w:rsid w:val="00AD316E"/>
    <w:rsid w:val="00AD3D00"/>
    <w:rsid w:val="00AD3DED"/>
    <w:rsid w:val="00AD3F36"/>
    <w:rsid w:val="00AD4AA0"/>
    <w:rsid w:val="00AD5167"/>
    <w:rsid w:val="00AD5A77"/>
    <w:rsid w:val="00AD5E38"/>
    <w:rsid w:val="00AD600F"/>
    <w:rsid w:val="00AD6376"/>
    <w:rsid w:val="00AD6592"/>
    <w:rsid w:val="00AD6ADD"/>
    <w:rsid w:val="00AD6FEC"/>
    <w:rsid w:val="00AD70FE"/>
    <w:rsid w:val="00AD72F6"/>
    <w:rsid w:val="00AD7656"/>
    <w:rsid w:val="00AD76A7"/>
    <w:rsid w:val="00AD7E54"/>
    <w:rsid w:val="00AE046D"/>
    <w:rsid w:val="00AE0EB3"/>
    <w:rsid w:val="00AE10BF"/>
    <w:rsid w:val="00AE112E"/>
    <w:rsid w:val="00AE1AC7"/>
    <w:rsid w:val="00AE1D10"/>
    <w:rsid w:val="00AE20E9"/>
    <w:rsid w:val="00AE25CE"/>
    <w:rsid w:val="00AE2771"/>
    <w:rsid w:val="00AE2783"/>
    <w:rsid w:val="00AE2DE7"/>
    <w:rsid w:val="00AE2E36"/>
    <w:rsid w:val="00AE2F87"/>
    <w:rsid w:val="00AE30C7"/>
    <w:rsid w:val="00AE33BB"/>
    <w:rsid w:val="00AE43DF"/>
    <w:rsid w:val="00AE4A82"/>
    <w:rsid w:val="00AE4BFF"/>
    <w:rsid w:val="00AE53FC"/>
    <w:rsid w:val="00AE59E1"/>
    <w:rsid w:val="00AE5AE7"/>
    <w:rsid w:val="00AE5EBA"/>
    <w:rsid w:val="00AE660A"/>
    <w:rsid w:val="00AE6650"/>
    <w:rsid w:val="00AE6829"/>
    <w:rsid w:val="00AE738D"/>
    <w:rsid w:val="00AE741E"/>
    <w:rsid w:val="00AE7F66"/>
    <w:rsid w:val="00AEFD96"/>
    <w:rsid w:val="00AF01D9"/>
    <w:rsid w:val="00AF04B5"/>
    <w:rsid w:val="00AF0B2A"/>
    <w:rsid w:val="00AF0B5C"/>
    <w:rsid w:val="00AF1286"/>
    <w:rsid w:val="00AF170C"/>
    <w:rsid w:val="00AF1C1E"/>
    <w:rsid w:val="00AF1D35"/>
    <w:rsid w:val="00AF1FFC"/>
    <w:rsid w:val="00AF2197"/>
    <w:rsid w:val="00AF2548"/>
    <w:rsid w:val="00AF2BD2"/>
    <w:rsid w:val="00AF2D8A"/>
    <w:rsid w:val="00AF3319"/>
    <w:rsid w:val="00AF34A2"/>
    <w:rsid w:val="00AF3534"/>
    <w:rsid w:val="00AF35D4"/>
    <w:rsid w:val="00AF36C0"/>
    <w:rsid w:val="00AF370C"/>
    <w:rsid w:val="00AF3B64"/>
    <w:rsid w:val="00AF3FCD"/>
    <w:rsid w:val="00AF4113"/>
    <w:rsid w:val="00AF4644"/>
    <w:rsid w:val="00AF4797"/>
    <w:rsid w:val="00AF4D73"/>
    <w:rsid w:val="00AF4FD1"/>
    <w:rsid w:val="00AF5454"/>
    <w:rsid w:val="00AF563F"/>
    <w:rsid w:val="00AF5A89"/>
    <w:rsid w:val="00AF63E4"/>
    <w:rsid w:val="00AF66F4"/>
    <w:rsid w:val="00AF672C"/>
    <w:rsid w:val="00AF68A3"/>
    <w:rsid w:val="00AF6940"/>
    <w:rsid w:val="00AF69A8"/>
    <w:rsid w:val="00AF6AE5"/>
    <w:rsid w:val="00AF7057"/>
    <w:rsid w:val="00AF71BE"/>
    <w:rsid w:val="00AF71DE"/>
    <w:rsid w:val="00AF7267"/>
    <w:rsid w:val="00AF74B0"/>
    <w:rsid w:val="00AF77FC"/>
    <w:rsid w:val="00AF7907"/>
    <w:rsid w:val="00AF7AD7"/>
    <w:rsid w:val="00AF7D4D"/>
    <w:rsid w:val="00AF7F40"/>
    <w:rsid w:val="00B0063D"/>
    <w:rsid w:val="00B013AB"/>
    <w:rsid w:val="00B0141D"/>
    <w:rsid w:val="00B014CF"/>
    <w:rsid w:val="00B014F2"/>
    <w:rsid w:val="00B01935"/>
    <w:rsid w:val="00B01F7E"/>
    <w:rsid w:val="00B02442"/>
    <w:rsid w:val="00B025A0"/>
    <w:rsid w:val="00B025D1"/>
    <w:rsid w:val="00B0264F"/>
    <w:rsid w:val="00B02C9E"/>
    <w:rsid w:val="00B03188"/>
    <w:rsid w:val="00B03477"/>
    <w:rsid w:val="00B03689"/>
    <w:rsid w:val="00B037E9"/>
    <w:rsid w:val="00B03A54"/>
    <w:rsid w:val="00B03C09"/>
    <w:rsid w:val="00B04042"/>
    <w:rsid w:val="00B04069"/>
    <w:rsid w:val="00B04107"/>
    <w:rsid w:val="00B0446D"/>
    <w:rsid w:val="00B044A9"/>
    <w:rsid w:val="00B04BA2"/>
    <w:rsid w:val="00B04D6F"/>
    <w:rsid w:val="00B04F3F"/>
    <w:rsid w:val="00B04F48"/>
    <w:rsid w:val="00B0563F"/>
    <w:rsid w:val="00B058F7"/>
    <w:rsid w:val="00B05A2F"/>
    <w:rsid w:val="00B05BD9"/>
    <w:rsid w:val="00B05BFE"/>
    <w:rsid w:val="00B05D4B"/>
    <w:rsid w:val="00B063A8"/>
    <w:rsid w:val="00B066F2"/>
    <w:rsid w:val="00B06934"/>
    <w:rsid w:val="00B06AB5"/>
    <w:rsid w:val="00B07084"/>
    <w:rsid w:val="00B0734F"/>
    <w:rsid w:val="00B07520"/>
    <w:rsid w:val="00B07CBF"/>
    <w:rsid w:val="00B10121"/>
    <w:rsid w:val="00B1013F"/>
    <w:rsid w:val="00B102CE"/>
    <w:rsid w:val="00B1034F"/>
    <w:rsid w:val="00B10DE0"/>
    <w:rsid w:val="00B115D4"/>
    <w:rsid w:val="00B11A8E"/>
    <w:rsid w:val="00B11F54"/>
    <w:rsid w:val="00B12089"/>
    <w:rsid w:val="00B124AA"/>
    <w:rsid w:val="00B126FB"/>
    <w:rsid w:val="00B12F5D"/>
    <w:rsid w:val="00B13215"/>
    <w:rsid w:val="00B1423E"/>
    <w:rsid w:val="00B14A6B"/>
    <w:rsid w:val="00B14BEE"/>
    <w:rsid w:val="00B14F54"/>
    <w:rsid w:val="00B14FF3"/>
    <w:rsid w:val="00B16054"/>
    <w:rsid w:val="00B166CD"/>
    <w:rsid w:val="00B16F38"/>
    <w:rsid w:val="00B17102"/>
    <w:rsid w:val="00B1778A"/>
    <w:rsid w:val="00B17F81"/>
    <w:rsid w:val="00B20041"/>
    <w:rsid w:val="00B204D5"/>
    <w:rsid w:val="00B2059C"/>
    <w:rsid w:val="00B2071F"/>
    <w:rsid w:val="00B20883"/>
    <w:rsid w:val="00B20A39"/>
    <w:rsid w:val="00B20A4F"/>
    <w:rsid w:val="00B20C48"/>
    <w:rsid w:val="00B21B19"/>
    <w:rsid w:val="00B21F8C"/>
    <w:rsid w:val="00B2206A"/>
    <w:rsid w:val="00B2215B"/>
    <w:rsid w:val="00B224B8"/>
    <w:rsid w:val="00B229EA"/>
    <w:rsid w:val="00B22E64"/>
    <w:rsid w:val="00B2373C"/>
    <w:rsid w:val="00B23CD9"/>
    <w:rsid w:val="00B23D68"/>
    <w:rsid w:val="00B23EE8"/>
    <w:rsid w:val="00B23F6C"/>
    <w:rsid w:val="00B2457D"/>
    <w:rsid w:val="00B247B9"/>
    <w:rsid w:val="00B250FA"/>
    <w:rsid w:val="00B25333"/>
    <w:rsid w:val="00B253DC"/>
    <w:rsid w:val="00B25562"/>
    <w:rsid w:val="00B259E4"/>
    <w:rsid w:val="00B25CD4"/>
    <w:rsid w:val="00B25E4D"/>
    <w:rsid w:val="00B25EAB"/>
    <w:rsid w:val="00B25FB2"/>
    <w:rsid w:val="00B2621B"/>
    <w:rsid w:val="00B264B8"/>
    <w:rsid w:val="00B2656F"/>
    <w:rsid w:val="00B2694C"/>
    <w:rsid w:val="00B26B9B"/>
    <w:rsid w:val="00B27579"/>
    <w:rsid w:val="00B27D25"/>
    <w:rsid w:val="00B30106"/>
    <w:rsid w:val="00B305A4"/>
    <w:rsid w:val="00B306B2"/>
    <w:rsid w:val="00B3087D"/>
    <w:rsid w:val="00B30AD4"/>
    <w:rsid w:val="00B30E31"/>
    <w:rsid w:val="00B31371"/>
    <w:rsid w:val="00B31820"/>
    <w:rsid w:val="00B31AFD"/>
    <w:rsid w:val="00B31DEA"/>
    <w:rsid w:val="00B31FA3"/>
    <w:rsid w:val="00B3244C"/>
    <w:rsid w:val="00B324B1"/>
    <w:rsid w:val="00B3278C"/>
    <w:rsid w:val="00B32791"/>
    <w:rsid w:val="00B32B49"/>
    <w:rsid w:val="00B33818"/>
    <w:rsid w:val="00B33CA1"/>
    <w:rsid w:val="00B34107"/>
    <w:rsid w:val="00B341C4"/>
    <w:rsid w:val="00B34329"/>
    <w:rsid w:val="00B343C8"/>
    <w:rsid w:val="00B34794"/>
    <w:rsid w:val="00B34E41"/>
    <w:rsid w:val="00B34FBA"/>
    <w:rsid w:val="00B35379"/>
    <w:rsid w:val="00B355DB"/>
    <w:rsid w:val="00B3595C"/>
    <w:rsid w:val="00B35A82"/>
    <w:rsid w:val="00B35CE6"/>
    <w:rsid w:val="00B35D1E"/>
    <w:rsid w:val="00B36104"/>
    <w:rsid w:val="00B3631C"/>
    <w:rsid w:val="00B365CA"/>
    <w:rsid w:val="00B36670"/>
    <w:rsid w:val="00B3674D"/>
    <w:rsid w:val="00B3675D"/>
    <w:rsid w:val="00B3680F"/>
    <w:rsid w:val="00B37895"/>
    <w:rsid w:val="00B379CC"/>
    <w:rsid w:val="00B37CF3"/>
    <w:rsid w:val="00B37EB6"/>
    <w:rsid w:val="00B40140"/>
    <w:rsid w:val="00B4056A"/>
    <w:rsid w:val="00B40862"/>
    <w:rsid w:val="00B411C0"/>
    <w:rsid w:val="00B41447"/>
    <w:rsid w:val="00B4156C"/>
    <w:rsid w:val="00B41AAE"/>
    <w:rsid w:val="00B4249A"/>
    <w:rsid w:val="00B42AC6"/>
    <w:rsid w:val="00B42B73"/>
    <w:rsid w:val="00B42CAA"/>
    <w:rsid w:val="00B42DDC"/>
    <w:rsid w:val="00B435C8"/>
    <w:rsid w:val="00B4362C"/>
    <w:rsid w:val="00B43683"/>
    <w:rsid w:val="00B436AA"/>
    <w:rsid w:val="00B43785"/>
    <w:rsid w:val="00B43930"/>
    <w:rsid w:val="00B439F4"/>
    <w:rsid w:val="00B43B00"/>
    <w:rsid w:val="00B44082"/>
    <w:rsid w:val="00B44B24"/>
    <w:rsid w:val="00B45038"/>
    <w:rsid w:val="00B45745"/>
    <w:rsid w:val="00B45B03"/>
    <w:rsid w:val="00B45DD9"/>
    <w:rsid w:val="00B4616F"/>
    <w:rsid w:val="00B466B2"/>
    <w:rsid w:val="00B467F0"/>
    <w:rsid w:val="00B470E4"/>
    <w:rsid w:val="00B478BF"/>
    <w:rsid w:val="00B47F74"/>
    <w:rsid w:val="00B47F7E"/>
    <w:rsid w:val="00B50408"/>
    <w:rsid w:val="00B50569"/>
    <w:rsid w:val="00B5060B"/>
    <w:rsid w:val="00B51035"/>
    <w:rsid w:val="00B5125A"/>
    <w:rsid w:val="00B512FE"/>
    <w:rsid w:val="00B514A4"/>
    <w:rsid w:val="00B516E8"/>
    <w:rsid w:val="00B51BC4"/>
    <w:rsid w:val="00B51DAF"/>
    <w:rsid w:val="00B51FDA"/>
    <w:rsid w:val="00B52419"/>
    <w:rsid w:val="00B524BB"/>
    <w:rsid w:val="00B5256C"/>
    <w:rsid w:val="00B527E2"/>
    <w:rsid w:val="00B52FCC"/>
    <w:rsid w:val="00B52FDE"/>
    <w:rsid w:val="00B5353E"/>
    <w:rsid w:val="00B53646"/>
    <w:rsid w:val="00B537B2"/>
    <w:rsid w:val="00B546D9"/>
    <w:rsid w:val="00B5470D"/>
    <w:rsid w:val="00B5497D"/>
    <w:rsid w:val="00B54A29"/>
    <w:rsid w:val="00B54E2A"/>
    <w:rsid w:val="00B54ECF"/>
    <w:rsid w:val="00B553EE"/>
    <w:rsid w:val="00B55688"/>
    <w:rsid w:val="00B558BF"/>
    <w:rsid w:val="00B55EF2"/>
    <w:rsid w:val="00B568FC"/>
    <w:rsid w:val="00B56AF6"/>
    <w:rsid w:val="00B56CF3"/>
    <w:rsid w:val="00B56E7E"/>
    <w:rsid w:val="00B56EE5"/>
    <w:rsid w:val="00B5752F"/>
    <w:rsid w:val="00B57567"/>
    <w:rsid w:val="00B57874"/>
    <w:rsid w:val="00B57875"/>
    <w:rsid w:val="00B57C75"/>
    <w:rsid w:val="00B57E4E"/>
    <w:rsid w:val="00B6017D"/>
    <w:rsid w:val="00B60421"/>
    <w:rsid w:val="00B60487"/>
    <w:rsid w:val="00B60781"/>
    <w:rsid w:val="00B60B0A"/>
    <w:rsid w:val="00B61088"/>
    <w:rsid w:val="00B61143"/>
    <w:rsid w:val="00B611A0"/>
    <w:rsid w:val="00B618BC"/>
    <w:rsid w:val="00B61CC6"/>
    <w:rsid w:val="00B61E65"/>
    <w:rsid w:val="00B61ECD"/>
    <w:rsid w:val="00B62082"/>
    <w:rsid w:val="00B622BB"/>
    <w:rsid w:val="00B62999"/>
    <w:rsid w:val="00B62AE9"/>
    <w:rsid w:val="00B62C72"/>
    <w:rsid w:val="00B62E84"/>
    <w:rsid w:val="00B62FDC"/>
    <w:rsid w:val="00B6306A"/>
    <w:rsid w:val="00B6311A"/>
    <w:rsid w:val="00B63293"/>
    <w:rsid w:val="00B63340"/>
    <w:rsid w:val="00B6385A"/>
    <w:rsid w:val="00B638A4"/>
    <w:rsid w:val="00B6394A"/>
    <w:rsid w:val="00B63C28"/>
    <w:rsid w:val="00B63D5A"/>
    <w:rsid w:val="00B63E80"/>
    <w:rsid w:val="00B643F6"/>
    <w:rsid w:val="00B64863"/>
    <w:rsid w:val="00B650C8"/>
    <w:rsid w:val="00B650CA"/>
    <w:rsid w:val="00B651B6"/>
    <w:rsid w:val="00B65241"/>
    <w:rsid w:val="00B65464"/>
    <w:rsid w:val="00B65478"/>
    <w:rsid w:val="00B65863"/>
    <w:rsid w:val="00B65A09"/>
    <w:rsid w:val="00B6608E"/>
    <w:rsid w:val="00B66133"/>
    <w:rsid w:val="00B662B4"/>
    <w:rsid w:val="00B66913"/>
    <w:rsid w:val="00B67AB6"/>
    <w:rsid w:val="00B67ED7"/>
    <w:rsid w:val="00B67EF1"/>
    <w:rsid w:val="00B7000C"/>
    <w:rsid w:val="00B7010D"/>
    <w:rsid w:val="00B702FE"/>
    <w:rsid w:val="00B708DF"/>
    <w:rsid w:val="00B70909"/>
    <w:rsid w:val="00B71382"/>
    <w:rsid w:val="00B71D78"/>
    <w:rsid w:val="00B7228C"/>
    <w:rsid w:val="00B72554"/>
    <w:rsid w:val="00B725B3"/>
    <w:rsid w:val="00B72991"/>
    <w:rsid w:val="00B72C81"/>
    <w:rsid w:val="00B7331B"/>
    <w:rsid w:val="00B73411"/>
    <w:rsid w:val="00B73731"/>
    <w:rsid w:val="00B73761"/>
    <w:rsid w:val="00B73CCE"/>
    <w:rsid w:val="00B7406B"/>
    <w:rsid w:val="00B7427D"/>
    <w:rsid w:val="00B7436A"/>
    <w:rsid w:val="00B74569"/>
    <w:rsid w:val="00B74B9B"/>
    <w:rsid w:val="00B74DD8"/>
    <w:rsid w:val="00B74F5C"/>
    <w:rsid w:val="00B7529A"/>
    <w:rsid w:val="00B75836"/>
    <w:rsid w:val="00B758C5"/>
    <w:rsid w:val="00B75F25"/>
    <w:rsid w:val="00B76128"/>
    <w:rsid w:val="00B763EC"/>
    <w:rsid w:val="00B76E8D"/>
    <w:rsid w:val="00B773F4"/>
    <w:rsid w:val="00B774F9"/>
    <w:rsid w:val="00B7776F"/>
    <w:rsid w:val="00B7785E"/>
    <w:rsid w:val="00B77992"/>
    <w:rsid w:val="00B77AE0"/>
    <w:rsid w:val="00B77D39"/>
    <w:rsid w:val="00B77FDE"/>
    <w:rsid w:val="00B804CA"/>
    <w:rsid w:val="00B80B18"/>
    <w:rsid w:val="00B80DE8"/>
    <w:rsid w:val="00B8107A"/>
    <w:rsid w:val="00B813E2"/>
    <w:rsid w:val="00B817B5"/>
    <w:rsid w:val="00B818AB"/>
    <w:rsid w:val="00B81B67"/>
    <w:rsid w:val="00B826F2"/>
    <w:rsid w:val="00B828FC"/>
    <w:rsid w:val="00B84027"/>
    <w:rsid w:val="00B84A89"/>
    <w:rsid w:val="00B84D0C"/>
    <w:rsid w:val="00B852DF"/>
    <w:rsid w:val="00B85A1A"/>
    <w:rsid w:val="00B85AB1"/>
    <w:rsid w:val="00B86324"/>
    <w:rsid w:val="00B86614"/>
    <w:rsid w:val="00B868AE"/>
    <w:rsid w:val="00B868F3"/>
    <w:rsid w:val="00B86C8F"/>
    <w:rsid w:val="00B86D09"/>
    <w:rsid w:val="00B8706A"/>
    <w:rsid w:val="00B87133"/>
    <w:rsid w:val="00B872A7"/>
    <w:rsid w:val="00B876F3"/>
    <w:rsid w:val="00B87941"/>
    <w:rsid w:val="00B87E81"/>
    <w:rsid w:val="00B905C5"/>
    <w:rsid w:val="00B905DF"/>
    <w:rsid w:val="00B9093E"/>
    <w:rsid w:val="00B90F8B"/>
    <w:rsid w:val="00B9128C"/>
    <w:rsid w:val="00B91B9F"/>
    <w:rsid w:val="00B9202C"/>
    <w:rsid w:val="00B92793"/>
    <w:rsid w:val="00B9289E"/>
    <w:rsid w:val="00B929F5"/>
    <w:rsid w:val="00B92B90"/>
    <w:rsid w:val="00B92C18"/>
    <w:rsid w:val="00B93136"/>
    <w:rsid w:val="00B9329A"/>
    <w:rsid w:val="00B935C0"/>
    <w:rsid w:val="00B936E1"/>
    <w:rsid w:val="00B938E0"/>
    <w:rsid w:val="00B93B83"/>
    <w:rsid w:val="00B93C01"/>
    <w:rsid w:val="00B93D8A"/>
    <w:rsid w:val="00B9472C"/>
    <w:rsid w:val="00B94933"/>
    <w:rsid w:val="00B94AD7"/>
    <w:rsid w:val="00B94E62"/>
    <w:rsid w:val="00B953C8"/>
    <w:rsid w:val="00B95D4F"/>
    <w:rsid w:val="00B96059"/>
    <w:rsid w:val="00B9615E"/>
    <w:rsid w:val="00B961D3"/>
    <w:rsid w:val="00B96615"/>
    <w:rsid w:val="00B967FC"/>
    <w:rsid w:val="00B969C8"/>
    <w:rsid w:val="00B9772C"/>
    <w:rsid w:val="00BA001D"/>
    <w:rsid w:val="00BA015A"/>
    <w:rsid w:val="00BA01CC"/>
    <w:rsid w:val="00BA0401"/>
    <w:rsid w:val="00BA042F"/>
    <w:rsid w:val="00BA0634"/>
    <w:rsid w:val="00BA0997"/>
    <w:rsid w:val="00BA0E41"/>
    <w:rsid w:val="00BA1269"/>
    <w:rsid w:val="00BA1D06"/>
    <w:rsid w:val="00BA213C"/>
    <w:rsid w:val="00BA27A0"/>
    <w:rsid w:val="00BA281C"/>
    <w:rsid w:val="00BA2872"/>
    <w:rsid w:val="00BA2B30"/>
    <w:rsid w:val="00BA2C01"/>
    <w:rsid w:val="00BA3050"/>
    <w:rsid w:val="00BA30D3"/>
    <w:rsid w:val="00BA3219"/>
    <w:rsid w:val="00BA34FD"/>
    <w:rsid w:val="00BA3D92"/>
    <w:rsid w:val="00BA3E9C"/>
    <w:rsid w:val="00BA42B0"/>
    <w:rsid w:val="00BA471A"/>
    <w:rsid w:val="00BA4E59"/>
    <w:rsid w:val="00BA4FC8"/>
    <w:rsid w:val="00BA5152"/>
    <w:rsid w:val="00BA5663"/>
    <w:rsid w:val="00BA56FC"/>
    <w:rsid w:val="00BA5A3A"/>
    <w:rsid w:val="00BA5FBB"/>
    <w:rsid w:val="00BA62E5"/>
    <w:rsid w:val="00BA6332"/>
    <w:rsid w:val="00BA6513"/>
    <w:rsid w:val="00BA778A"/>
    <w:rsid w:val="00BA77F0"/>
    <w:rsid w:val="00BA7E7A"/>
    <w:rsid w:val="00BB0243"/>
    <w:rsid w:val="00BB0272"/>
    <w:rsid w:val="00BB05BF"/>
    <w:rsid w:val="00BB09AE"/>
    <w:rsid w:val="00BB0A8D"/>
    <w:rsid w:val="00BB126A"/>
    <w:rsid w:val="00BB1867"/>
    <w:rsid w:val="00BB1975"/>
    <w:rsid w:val="00BB19C9"/>
    <w:rsid w:val="00BB1CE4"/>
    <w:rsid w:val="00BB1D5E"/>
    <w:rsid w:val="00BB1FE3"/>
    <w:rsid w:val="00BB26A3"/>
    <w:rsid w:val="00BB276F"/>
    <w:rsid w:val="00BB2847"/>
    <w:rsid w:val="00BB2F6C"/>
    <w:rsid w:val="00BB3113"/>
    <w:rsid w:val="00BB364D"/>
    <w:rsid w:val="00BB3AB6"/>
    <w:rsid w:val="00BB444F"/>
    <w:rsid w:val="00BB45EB"/>
    <w:rsid w:val="00BB4D98"/>
    <w:rsid w:val="00BB4DEC"/>
    <w:rsid w:val="00BB527D"/>
    <w:rsid w:val="00BB56B9"/>
    <w:rsid w:val="00BB570E"/>
    <w:rsid w:val="00BB59E8"/>
    <w:rsid w:val="00BB5ED6"/>
    <w:rsid w:val="00BB605F"/>
    <w:rsid w:val="00BB61B3"/>
    <w:rsid w:val="00BB653D"/>
    <w:rsid w:val="00BB694A"/>
    <w:rsid w:val="00BB7351"/>
    <w:rsid w:val="00BB7490"/>
    <w:rsid w:val="00BB7830"/>
    <w:rsid w:val="00BB79DA"/>
    <w:rsid w:val="00BC013B"/>
    <w:rsid w:val="00BC0150"/>
    <w:rsid w:val="00BC09A7"/>
    <w:rsid w:val="00BC0D6C"/>
    <w:rsid w:val="00BC11AA"/>
    <w:rsid w:val="00BC132A"/>
    <w:rsid w:val="00BC140F"/>
    <w:rsid w:val="00BC2AF0"/>
    <w:rsid w:val="00BC2D9B"/>
    <w:rsid w:val="00BC3057"/>
    <w:rsid w:val="00BC3E82"/>
    <w:rsid w:val="00BC41BF"/>
    <w:rsid w:val="00BC450F"/>
    <w:rsid w:val="00BC4767"/>
    <w:rsid w:val="00BC500D"/>
    <w:rsid w:val="00BC520C"/>
    <w:rsid w:val="00BC5311"/>
    <w:rsid w:val="00BC559A"/>
    <w:rsid w:val="00BC592E"/>
    <w:rsid w:val="00BC5B6E"/>
    <w:rsid w:val="00BC5C65"/>
    <w:rsid w:val="00BC6044"/>
    <w:rsid w:val="00BC60D4"/>
    <w:rsid w:val="00BC6131"/>
    <w:rsid w:val="00BC614D"/>
    <w:rsid w:val="00BC65C1"/>
    <w:rsid w:val="00BC6D6B"/>
    <w:rsid w:val="00BC72F9"/>
    <w:rsid w:val="00BC758F"/>
    <w:rsid w:val="00BC7DFB"/>
    <w:rsid w:val="00BC7F1A"/>
    <w:rsid w:val="00BD04E3"/>
    <w:rsid w:val="00BD0667"/>
    <w:rsid w:val="00BD06ED"/>
    <w:rsid w:val="00BD08D5"/>
    <w:rsid w:val="00BD0FBC"/>
    <w:rsid w:val="00BD0FEC"/>
    <w:rsid w:val="00BD1383"/>
    <w:rsid w:val="00BD162B"/>
    <w:rsid w:val="00BD16F5"/>
    <w:rsid w:val="00BD178F"/>
    <w:rsid w:val="00BD1D59"/>
    <w:rsid w:val="00BD20E5"/>
    <w:rsid w:val="00BD2214"/>
    <w:rsid w:val="00BD2AB1"/>
    <w:rsid w:val="00BD2B9F"/>
    <w:rsid w:val="00BD2C1F"/>
    <w:rsid w:val="00BD31E5"/>
    <w:rsid w:val="00BD32FD"/>
    <w:rsid w:val="00BD3AE3"/>
    <w:rsid w:val="00BD3EDE"/>
    <w:rsid w:val="00BD40DD"/>
    <w:rsid w:val="00BD496D"/>
    <w:rsid w:val="00BD4B1D"/>
    <w:rsid w:val="00BD4B3F"/>
    <w:rsid w:val="00BD54B7"/>
    <w:rsid w:val="00BD555D"/>
    <w:rsid w:val="00BD5838"/>
    <w:rsid w:val="00BD5A91"/>
    <w:rsid w:val="00BD5FAD"/>
    <w:rsid w:val="00BD605B"/>
    <w:rsid w:val="00BD6384"/>
    <w:rsid w:val="00BD63C1"/>
    <w:rsid w:val="00BD6B6D"/>
    <w:rsid w:val="00BD76C1"/>
    <w:rsid w:val="00BD780D"/>
    <w:rsid w:val="00BD7B89"/>
    <w:rsid w:val="00BD7E78"/>
    <w:rsid w:val="00BD7F67"/>
    <w:rsid w:val="00BE0296"/>
    <w:rsid w:val="00BE0620"/>
    <w:rsid w:val="00BE065D"/>
    <w:rsid w:val="00BE0A29"/>
    <w:rsid w:val="00BE0C42"/>
    <w:rsid w:val="00BE0EF4"/>
    <w:rsid w:val="00BE1253"/>
    <w:rsid w:val="00BE14C5"/>
    <w:rsid w:val="00BE1A97"/>
    <w:rsid w:val="00BE1BA6"/>
    <w:rsid w:val="00BE1D6E"/>
    <w:rsid w:val="00BE1D91"/>
    <w:rsid w:val="00BE1FEB"/>
    <w:rsid w:val="00BE239D"/>
    <w:rsid w:val="00BE24DC"/>
    <w:rsid w:val="00BE26C9"/>
    <w:rsid w:val="00BE2908"/>
    <w:rsid w:val="00BE2FAA"/>
    <w:rsid w:val="00BE3163"/>
    <w:rsid w:val="00BE3843"/>
    <w:rsid w:val="00BE3C1E"/>
    <w:rsid w:val="00BE3D8E"/>
    <w:rsid w:val="00BE451B"/>
    <w:rsid w:val="00BE4A13"/>
    <w:rsid w:val="00BE4ACD"/>
    <w:rsid w:val="00BE4B92"/>
    <w:rsid w:val="00BE4EB9"/>
    <w:rsid w:val="00BE4F17"/>
    <w:rsid w:val="00BE5059"/>
    <w:rsid w:val="00BE541F"/>
    <w:rsid w:val="00BE6301"/>
    <w:rsid w:val="00BE649B"/>
    <w:rsid w:val="00BE6CC1"/>
    <w:rsid w:val="00BE6D5B"/>
    <w:rsid w:val="00BE7338"/>
    <w:rsid w:val="00BE75C7"/>
    <w:rsid w:val="00BE76B9"/>
    <w:rsid w:val="00BE7C44"/>
    <w:rsid w:val="00BE7D28"/>
    <w:rsid w:val="00BE7FC5"/>
    <w:rsid w:val="00BF001C"/>
    <w:rsid w:val="00BF0913"/>
    <w:rsid w:val="00BF0A04"/>
    <w:rsid w:val="00BF1E9F"/>
    <w:rsid w:val="00BF1FCC"/>
    <w:rsid w:val="00BF20CA"/>
    <w:rsid w:val="00BF240B"/>
    <w:rsid w:val="00BF2AF8"/>
    <w:rsid w:val="00BF2BFF"/>
    <w:rsid w:val="00BF3049"/>
    <w:rsid w:val="00BF3AA9"/>
    <w:rsid w:val="00BF3C88"/>
    <w:rsid w:val="00BF3F0F"/>
    <w:rsid w:val="00BF3F85"/>
    <w:rsid w:val="00BF45C0"/>
    <w:rsid w:val="00BF5767"/>
    <w:rsid w:val="00BF5769"/>
    <w:rsid w:val="00BF5A3B"/>
    <w:rsid w:val="00BF5A6D"/>
    <w:rsid w:val="00BF5D0E"/>
    <w:rsid w:val="00BF5DEC"/>
    <w:rsid w:val="00BF6B6D"/>
    <w:rsid w:val="00BF6CEB"/>
    <w:rsid w:val="00BF6D2E"/>
    <w:rsid w:val="00BF6E2D"/>
    <w:rsid w:val="00BF7267"/>
    <w:rsid w:val="00BF78A6"/>
    <w:rsid w:val="00BF7BD5"/>
    <w:rsid w:val="00C00006"/>
    <w:rsid w:val="00C00082"/>
    <w:rsid w:val="00C001AB"/>
    <w:rsid w:val="00C00483"/>
    <w:rsid w:val="00C00732"/>
    <w:rsid w:val="00C00762"/>
    <w:rsid w:val="00C009AE"/>
    <w:rsid w:val="00C00B2B"/>
    <w:rsid w:val="00C00E59"/>
    <w:rsid w:val="00C00F9E"/>
    <w:rsid w:val="00C0179A"/>
    <w:rsid w:val="00C01C34"/>
    <w:rsid w:val="00C01F1F"/>
    <w:rsid w:val="00C0215D"/>
    <w:rsid w:val="00C030E7"/>
    <w:rsid w:val="00C032BB"/>
    <w:rsid w:val="00C033C8"/>
    <w:rsid w:val="00C0367F"/>
    <w:rsid w:val="00C03699"/>
    <w:rsid w:val="00C03893"/>
    <w:rsid w:val="00C03B09"/>
    <w:rsid w:val="00C03C56"/>
    <w:rsid w:val="00C0473A"/>
    <w:rsid w:val="00C04BE8"/>
    <w:rsid w:val="00C04CC3"/>
    <w:rsid w:val="00C0572F"/>
    <w:rsid w:val="00C05854"/>
    <w:rsid w:val="00C05A16"/>
    <w:rsid w:val="00C05D21"/>
    <w:rsid w:val="00C05D51"/>
    <w:rsid w:val="00C05E87"/>
    <w:rsid w:val="00C05EC0"/>
    <w:rsid w:val="00C068FE"/>
    <w:rsid w:val="00C069DD"/>
    <w:rsid w:val="00C06C60"/>
    <w:rsid w:val="00C0711A"/>
    <w:rsid w:val="00C071CE"/>
    <w:rsid w:val="00C071F4"/>
    <w:rsid w:val="00C0741B"/>
    <w:rsid w:val="00C07540"/>
    <w:rsid w:val="00C07A81"/>
    <w:rsid w:val="00C07ACE"/>
    <w:rsid w:val="00C10104"/>
    <w:rsid w:val="00C10307"/>
    <w:rsid w:val="00C1040D"/>
    <w:rsid w:val="00C10456"/>
    <w:rsid w:val="00C10686"/>
    <w:rsid w:val="00C10B5F"/>
    <w:rsid w:val="00C10E5F"/>
    <w:rsid w:val="00C11110"/>
    <w:rsid w:val="00C11CFB"/>
    <w:rsid w:val="00C11F0C"/>
    <w:rsid w:val="00C11FD2"/>
    <w:rsid w:val="00C12AB0"/>
    <w:rsid w:val="00C12CB5"/>
    <w:rsid w:val="00C12D12"/>
    <w:rsid w:val="00C1317B"/>
    <w:rsid w:val="00C13430"/>
    <w:rsid w:val="00C13D01"/>
    <w:rsid w:val="00C13F5A"/>
    <w:rsid w:val="00C14504"/>
    <w:rsid w:val="00C145C7"/>
    <w:rsid w:val="00C148C7"/>
    <w:rsid w:val="00C14CE5"/>
    <w:rsid w:val="00C14DC3"/>
    <w:rsid w:val="00C15359"/>
    <w:rsid w:val="00C157A0"/>
    <w:rsid w:val="00C15C96"/>
    <w:rsid w:val="00C15CDF"/>
    <w:rsid w:val="00C15D7D"/>
    <w:rsid w:val="00C15F8B"/>
    <w:rsid w:val="00C16B70"/>
    <w:rsid w:val="00C16EA5"/>
    <w:rsid w:val="00C16F2E"/>
    <w:rsid w:val="00C1713F"/>
    <w:rsid w:val="00C173A8"/>
    <w:rsid w:val="00C174D7"/>
    <w:rsid w:val="00C17505"/>
    <w:rsid w:val="00C1783D"/>
    <w:rsid w:val="00C17AEE"/>
    <w:rsid w:val="00C17D2F"/>
    <w:rsid w:val="00C20307"/>
    <w:rsid w:val="00C20CCC"/>
    <w:rsid w:val="00C20DDD"/>
    <w:rsid w:val="00C2113A"/>
    <w:rsid w:val="00C2125C"/>
    <w:rsid w:val="00C2145A"/>
    <w:rsid w:val="00C223DF"/>
    <w:rsid w:val="00C22739"/>
    <w:rsid w:val="00C22D03"/>
    <w:rsid w:val="00C22EE0"/>
    <w:rsid w:val="00C23531"/>
    <w:rsid w:val="00C237DD"/>
    <w:rsid w:val="00C23CEA"/>
    <w:rsid w:val="00C240DF"/>
    <w:rsid w:val="00C242AA"/>
    <w:rsid w:val="00C244B3"/>
    <w:rsid w:val="00C24657"/>
    <w:rsid w:val="00C24956"/>
    <w:rsid w:val="00C24ADC"/>
    <w:rsid w:val="00C250F1"/>
    <w:rsid w:val="00C252A8"/>
    <w:rsid w:val="00C2551B"/>
    <w:rsid w:val="00C258F8"/>
    <w:rsid w:val="00C25AD5"/>
    <w:rsid w:val="00C25B79"/>
    <w:rsid w:val="00C25C49"/>
    <w:rsid w:val="00C25CC4"/>
    <w:rsid w:val="00C26124"/>
    <w:rsid w:val="00C26419"/>
    <w:rsid w:val="00C2682E"/>
    <w:rsid w:val="00C26AF1"/>
    <w:rsid w:val="00C26C93"/>
    <w:rsid w:val="00C26E0F"/>
    <w:rsid w:val="00C2759E"/>
    <w:rsid w:val="00C27C58"/>
    <w:rsid w:val="00C30B09"/>
    <w:rsid w:val="00C30EBD"/>
    <w:rsid w:val="00C313E5"/>
    <w:rsid w:val="00C31630"/>
    <w:rsid w:val="00C31843"/>
    <w:rsid w:val="00C320B2"/>
    <w:rsid w:val="00C3216F"/>
    <w:rsid w:val="00C327F6"/>
    <w:rsid w:val="00C32B6F"/>
    <w:rsid w:val="00C32E91"/>
    <w:rsid w:val="00C33217"/>
    <w:rsid w:val="00C3340E"/>
    <w:rsid w:val="00C3363D"/>
    <w:rsid w:val="00C3368A"/>
    <w:rsid w:val="00C336E7"/>
    <w:rsid w:val="00C33708"/>
    <w:rsid w:val="00C3380B"/>
    <w:rsid w:val="00C3381D"/>
    <w:rsid w:val="00C33B43"/>
    <w:rsid w:val="00C33D5B"/>
    <w:rsid w:val="00C34126"/>
    <w:rsid w:val="00C34228"/>
    <w:rsid w:val="00C34308"/>
    <w:rsid w:val="00C3460B"/>
    <w:rsid w:val="00C34B59"/>
    <w:rsid w:val="00C34B78"/>
    <w:rsid w:val="00C34E7D"/>
    <w:rsid w:val="00C35301"/>
    <w:rsid w:val="00C35491"/>
    <w:rsid w:val="00C355A7"/>
    <w:rsid w:val="00C35668"/>
    <w:rsid w:val="00C35835"/>
    <w:rsid w:val="00C35BC5"/>
    <w:rsid w:val="00C35DE1"/>
    <w:rsid w:val="00C35EB8"/>
    <w:rsid w:val="00C36174"/>
    <w:rsid w:val="00C3653E"/>
    <w:rsid w:val="00C36587"/>
    <w:rsid w:val="00C369E8"/>
    <w:rsid w:val="00C36CCB"/>
    <w:rsid w:val="00C36E29"/>
    <w:rsid w:val="00C371C4"/>
    <w:rsid w:val="00C3731E"/>
    <w:rsid w:val="00C37CB9"/>
    <w:rsid w:val="00C405D9"/>
    <w:rsid w:val="00C407F1"/>
    <w:rsid w:val="00C40C6F"/>
    <w:rsid w:val="00C40C87"/>
    <w:rsid w:val="00C4115C"/>
    <w:rsid w:val="00C413A9"/>
    <w:rsid w:val="00C42BBC"/>
    <w:rsid w:val="00C42EED"/>
    <w:rsid w:val="00C42FB8"/>
    <w:rsid w:val="00C44254"/>
    <w:rsid w:val="00C445E0"/>
    <w:rsid w:val="00C4472B"/>
    <w:rsid w:val="00C4505B"/>
    <w:rsid w:val="00C45158"/>
    <w:rsid w:val="00C45275"/>
    <w:rsid w:val="00C45378"/>
    <w:rsid w:val="00C45392"/>
    <w:rsid w:val="00C46156"/>
    <w:rsid w:val="00C462D2"/>
    <w:rsid w:val="00C4631A"/>
    <w:rsid w:val="00C46367"/>
    <w:rsid w:val="00C47287"/>
    <w:rsid w:val="00C473CA"/>
    <w:rsid w:val="00C47795"/>
    <w:rsid w:val="00C47849"/>
    <w:rsid w:val="00C4798B"/>
    <w:rsid w:val="00C47A06"/>
    <w:rsid w:val="00C504B3"/>
    <w:rsid w:val="00C50AC9"/>
    <w:rsid w:val="00C51092"/>
    <w:rsid w:val="00C52255"/>
    <w:rsid w:val="00C522DB"/>
    <w:rsid w:val="00C52419"/>
    <w:rsid w:val="00C5289A"/>
    <w:rsid w:val="00C52B09"/>
    <w:rsid w:val="00C53243"/>
    <w:rsid w:val="00C534EA"/>
    <w:rsid w:val="00C53B06"/>
    <w:rsid w:val="00C53C39"/>
    <w:rsid w:val="00C5404A"/>
    <w:rsid w:val="00C54641"/>
    <w:rsid w:val="00C5465F"/>
    <w:rsid w:val="00C55795"/>
    <w:rsid w:val="00C55B4A"/>
    <w:rsid w:val="00C5613D"/>
    <w:rsid w:val="00C56461"/>
    <w:rsid w:val="00C56F2A"/>
    <w:rsid w:val="00C5700E"/>
    <w:rsid w:val="00C57501"/>
    <w:rsid w:val="00C578BC"/>
    <w:rsid w:val="00C57AE5"/>
    <w:rsid w:val="00C57E39"/>
    <w:rsid w:val="00C60121"/>
    <w:rsid w:val="00C60574"/>
    <w:rsid w:val="00C60647"/>
    <w:rsid w:val="00C607C4"/>
    <w:rsid w:val="00C608A5"/>
    <w:rsid w:val="00C608B0"/>
    <w:rsid w:val="00C60957"/>
    <w:rsid w:val="00C60A70"/>
    <w:rsid w:val="00C60C69"/>
    <w:rsid w:val="00C6194C"/>
    <w:rsid w:val="00C61B61"/>
    <w:rsid w:val="00C61B83"/>
    <w:rsid w:val="00C61C96"/>
    <w:rsid w:val="00C6259C"/>
    <w:rsid w:val="00C62636"/>
    <w:rsid w:val="00C62CA6"/>
    <w:rsid w:val="00C62DB8"/>
    <w:rsid w:val="00C63374"/>
    <w:rsid w:val="00C63896"/>
    <w:rsid w:val="00C6445C"/>
    <w:rsid w:val="00C6454D"/>
    <w:rsid w:val="00C64A70"/>
    <w:rsid w:val="00C64CFF"/>
    <w:rsid w:val="00C64E75"/>
    <w:rsid w:val="00C6564A"/>
    <w:rsid w:val="00C65FB0"/>
    <w:rsid w:val="00C66A8B"/>
    <w:rsid w:val="00C675C2"/>
    <w:rsid w:val="00C67754"/>
    <w:rsid w:val="00C67AC2"/>
    <w:rsid w:val="00C7034D"/>
    <w:rsid w:val="00C7057C"/>
    <w:rsid w:val="00C70944"/>
    <w:rsid w:val="00C70B8C"/>
    <w:rsid w:val="00C712B1"/>
    <w:rsid w:val="00C717E3"/>
    <w:rsid w:val="00C719C1"/>
    <w:rsid w:val="00C71C64"/>
    <w:rsid w:val="00C7208A"/>
    <w:rsid w:val="00C72341"/>
    <w:rsid w:val="00C724A3"/>
    <w:rsid w:val="00C726C3"/>
    <w:rsid w:val="00C726D5"/>
    <w:rsid w:val="00C72951"/>
    <w:rsid w:val="00C729E8"/>
    <w:rsid w:val="00C72A1F"/>
    <w:rsid w:val="00C72FCA"/>
    <w:rsid w:val="00C7367F"/>
    <w:rsid w:val="00C73C6B"/>
    <w:rsid w:val="00C73C87"/>
    <w:rsid w:val="00C73DE4"/>
    <w:rsid w:val="00C74160"/>
    <w:rsid w:val="00C743B5"/>
    <w:rsid w:val="00C74A47"/>
    <w:rsid w:val="00C75137"/>
    <w:rsid w:val="00C753AB"/>
    <w:rsid w:val="00C75B6E"/>
    <w:rsid w:val="00C75E39"/>
    <w:rsid w:val="00C77119"/>
    <w:rsid w:val="00C77476"/>
    <w:rsid w:val="00C776C5"/>
    <w:rsid w:val="00C77863"/>
    <w:rsid w:val="00C77B6B"/>
    <w:rsid w:val="00C77D69"/>
    <w:rsid w:val="00C80451"/>
    <w:rsid w:val="00C8065A"/>
    <w:rsid w:val="00C80A1C"/>
    <w:rsid w:val="00C80B7E"/>
    <w:rsid w:val="00C80BBF"/>
    <w:rsid w:val="00C80C01"/>
    <w:rsid w:val="00C8121D"/>
    <w:rsid w:val="00C813AF"/>
    <w:rsid w:val="00C81DCC"/>
    <w:rsid w:val="00C82170"/>
    <w:rsid w:val="00C82306"/>
    <w:rsid w:val="00C82442"/>
    <w:rsid w:val="00C82DCC"/>
    <w:rsid w:val="00C8327A"/>
    <w:rsid w:val="00C83299"/>
    <w:rsid w:val="00C83C3B"/>
    <w:rsid w:val="00C840F1"/>
    <w:rsid w:val="00C845F2"/>
    <w:rsid w:val="00C858A8"/>
    <w:rsid w:val="00C8591F"/>
    <w:rsid w:val="00C85AD6"/>
    <w:rsid w:val="00C85BAD"/>
    <w:rsid w:val="00C86EC2"/>
    <w:rsid w:val="00C87845"/>
    <w:rsid w:val="00C87AD3"/>
    <w:rsid w:val="00C87E70"/>
    <w:rsid w:val="00C87EE1"/>
    <w:rsid w:val="00C87EF0"/>
    <w:rsid w:val="00C87F60"/>
    <w:rsid w:val="00C87FCE"/>
    <w:rsid w:val="00C909DE"/>
    <w:rsid w:val="00C90CA8"/>
    <w:rsid w:val="00C90DE9"/>
    <w:rsid w:val="00C913A1"/>
    <w:rsid w:val="00C91AD1"/>
    <w:rsid w:val="00C92232"/>
    <w:rsid w:val="00C93770"/>
    <w:rsid w:val="00C93ECC"/>
    <w:rsid w:val="00C940C6"/>
    <w:rsid w:val="00C94551"/>
    <w:rsid w:val="00C94A55"/>
    <w:rsid w:val="00C94DD9"/>
    <w:rsid w:val="00C94F60"/>
    <w:rsid w:val="00C95172"/>
    <w:rsid w:val="00C95191"/>
    <w:rsid w:val="00C952FF"/>
    <w:rsid w:val="00C9585A"/>
    <w:rsid w:val="00C960DD"/>
    <w:rsid w:val="00C96653"/>
    <w:rsid w:val="00C96BBB"/>
    <w:rsid w:val="00C97126"/>
    <w:rsid w:val="00C97685"/>
    <w:rsid w:val="00C97C20"/>
    <w:rsid w:val="00CA04B4"/>
    <w:rsid w:val="00CA0B63"/>
    <w:rsid w:val="00CA0D90"/>
    <w:rsid w:val="00CA0EF6"/>
    <w:rsid w:val="00CA0FF3"/>
    <w:rsid w:val="00CA1037"/>
    <w:rsid w:val="00CA13EF"/>
    <w:rsid w:val="00CA1FBD"/>
    <w:rsid w:val="00CA2154"/>
    <w:rsid w:val="00CA2271"/>
    <w:rsid w:val="00CA22B3"/>
    <w:rsid w:val="00CA2366"/>
    <w:rsid w:val="00CA24A9"/>
    <w:rsid w:val="00CA2547"/>
    <w:rsid w:val="00CA2608"/>
    <w:rsid w:val="00CA2870"/>
    <w:rsid w:val="00CA29B9"/>
    <w:rsid w:val="00CA2A68"/>
    <w:rsid w:val="00CA37A7"/>
    <w:rsid w:val="00CA3A5C"/>
    <w:rsid w:val="00CA3CA2"/>
    <w:rsid w:val="00CA4391"/>
    <w:rsid w:val="00CA4597"/>
    <w:rsid w:val="00CA45EF"/>
    <w:rsid w:val="00CA54C7"/>
    <w:rsid w:val="00CA5B03"/>
    <w:rsid w:val="00CA5C93"/>
    <w:rsid w:val="00CA5FC5"/>
    <w:rsid w:val="00CA6007"/>
    <w:rsid w:val="00CA675B"/>
    <w:rsid w:val="00CA6915"/>
    <w:rsid w:val="00CA6BAB"/>
    <w:rsid w:val="00CA6CC9"/>
    <w:rsid w:val="00CA6DFA"/>
    <w:rsid w:val="00CA734A"/>
    <w:rsid w:val="00CA746E"/>
    <w:rsid w:val="00CA7718"/>
    <w:rsid w:val="00CA792C"/>
    <w:rsid w:val="00CB02B6"/>
    <w:rsid w:val="00CB0385"/>
    <w:rsid w:val="00CB060A"/>
    <w:rsid w:val="00CB0C3F"/>
    <w:rsid w:val="00CB0E6B"/>
    <w:rsid w:val="00CB1A41"/>
    <w:rsid w:val="00CB1AC3"/>
    <w:rsid w:val="00CB1B2E"/>
    <w:rsid w:val="00CB1E49"/>
    <w:rsid w:val="00CB21E2"/>
    <w:rsid w:val="00CB221C"/>
    <w:rsid w:val="00CB239B"/>
    <w:rsid w:val="00CB249D"/>
    <w:rsid w:val="00CB27DF"/>
    <w:rsid w:val="00CB2880"/>
    <w:rsid w:val="00CB2A9E"/>
    <w:rsid w:val="00CB2FD2"/>
    <w:rsid w:val="00CB3456"/>
    <w:rsid w:val="00CB35FB"/>
    <w:rsid w:val="00CB4756"/>
    <w:rsid w:val="00CB4C41"/>
    <w:rsid w:val="00CB4D4A"/>
    <w:rsid w:val="00CB4EB9"/>
    <w:rsid w:val="00CB530D"/>
    <w:rsid w:val="00CB53DC"/>
    <w:rsid w:val="00CB543E"/>
    <w:rsid w:val="00CB5888"/>
    <w:rsid w:val="00CB5953"/>
    <w:rsid w:val="00CB5A61"/>
    <w:rsid w:val="00CB5B86"/>
    <w:rsid w:val="00CB5CE0"/>
    <w:rsid w:val="00CB5D53"/>
    <w:rsid w:val="00CB5E44"/>
    <w:rsid w:val="00CB6414"/>
    <w:rsid w:val="00CB6664"/>
    <w:rsid w:val="00CB6708"/>
    <w:rsid w:val="00CB67CF"/>
    <w:rsid w:val="00CB7142"/>
    <w:rsid w:val="00CB738A"/>
    <w:rsid w:val="00CB748D"/>
    <w:rsid w:val="00CB752B"/>
    <w:rsid w:val="00CB7538"/>
    <w:rsid w:val="00CB7947"/>
    <w:rsid w:val="00CB7A8E"/>
    <w:rsid w:val="00CB7A9E"/>
    <w:rsid w:val="00CB7D2D"/>
    <w:rsid w:val="00CB7EA8"/>
    <w:rsid w:val="00CB7ECB"/>
    <w:rsid w:val="00CC0488"/>
    <w:rsid w:val="00CC04E2"/>
    <w:rsid w:val="00CC05E7"/>
    <w:rsid w:val="00CC11BB"/>
    <w:rsid w:val="00CC1465"/>
    <w:rsid w:val="00CC146B"/>
    <w:rsid w:val="00CC175E"/>
    <w:rsid w:val="00CC211B"/>
    <w:rsid w:val="00CC22CD"/>
    <w:rsid w:val="00CC23B9"/>
    <w:rsid w:val="00CC27E2"/>
    <w:rsid w:val="00CC2856"/>
    <w:rsid w:val="00CC2D5C"/>
    <w:rsid w:val="00CC2EBC"/>
    <w:rsid w:val="00CC3552"/>
    <w:rsid w:val="00CC367A"/>
    <w:rsid w:val="00CC37C0"/>
    <w:rsid w:val="00CC46D0"/>
    <w:rsid w:val="00CC472C"/>
    <w:rsid w:val="00CC473A"/>
    <w:rsid w:val="00CC47BC"/>
    <w:rsid w:val="00CC5330"/>
    <w:rsid w:val="00CC5350"/>
    <w:rsid w:val="00CC54E9"/>
    <w:rsid w:val="00CC593B"/>
    <w:rsid w:val="00CC5950"/>
    <w:rsid w:val="00CC5D56"/>
    <w:rsid w:val="00CC60D8"/>
    <w:rsid w:val="00CC623A"/>
    <w:rsid w:val="00CC698B"/>
    <w:rsid w:val="00CC6A99"/>
    <w:rsid w:val="00CC6E12"/>
    <w:rsid w:val="00CC6EA3"/>
    <w:rsid w:val="00CC72E1"/>
    <w:rsid w:val="00CC751B"/>
    <w:rsid w:val="00CC755F"/>
    <w:rsid w:val="00CC7827"/>
    <w:rsid w:val="00CC789F"/>
    <w:rsid w:val="00CC7DDF"/>
    <w:rsid w:val="00CC7DFA"/>
    <w:rsid w:val="00CC7EE1"/>
    <w:rsid w:val="00CD0042"/>
    <w:rsid w:val="00CD0206"/>
    <w:rsid w:val="00CD07E5"/>
    <w:rsid w:val="00CD0B76"/>
    <w:rsid w:val="00CD0EC8"/>
    <w:rsid w:val="00CD1992"/>
    <w:rsid w:val="00CD1B8C"/>
    <w:rsid w:val="00CD1F7F"/>
    <w:rsid w:val="00CD2042"/>
    <w:rsid w:val="00CD2145"/>
    <w:rsid w:val="00CD25BB"/>
    <w:rsid w:val="00CD2EAB"/>
    <w:rsid w:val="00CD305B"/>
    <w:rsid w:val="00CD3303"/>
    <w:rsid w:val="00CD3603"/>
    <w:rsid w:val="00CD3730"/>
    <w:rsid w:val="00CD37B9"/>
    <w:rsid w:val="00CD3A16"/>
    <w:rsid w:val="00CD41D1"/>
    <w:rsid w:val="00CD429E"/>
    <w:rsid w:val="00CD51C3"/>
    <w:rsid w:val="00CD5614"/>
    <w:rsid w:val="00CD61A7"/>
    <w:rsid w:val="00CD63AF"/>
    <w:rsid w:val="00CD6652"/>
    <w:rsid w:val="00CD6F82"/>
    <w:rsid w:val="00CD72A9"/>
    <w:rsid w:val="00CD72DD"/>
    <w:rsid w:val="00CD7427"/>
    <w:rsid w:val="00CD761A"/>
    <w:rsid w:val="00CE01FE"/>
    <w:rsid w:val="00CE0875"/>
    <w:rsid w:val="00CE0B49"/>
    <w:rsid w:val="00CE0BCB"/>
    <w:rsid w:val="00CE1179"/>
    <w:rsid w:val="00CE12ED"/>
    <w:rsid w:val="00CE14E3"/>
    <w:rsid w:val="00CE18D5"/>
    <w:rsid w:val="00CE1A8D"/>
    <w:rsid w:val="00CE1D55"/>
    <w:rsid w:val="00CE1D99"/>
    <w:rsid w:val="00CE21FB"/>
    <w:rsid w:val="00CE2320"/>
    <w:rsid w:val="00CE23A8"/>
    <w:rsid w:val="00CE26E2"/>
    <w:rsid w:val="00CE2B12"/>
    <w:rsid w:val="00CE2B89"/>
    <w:rsid w:val="00CE2DE1"/>
    <w:rsid w:val="00CE2DF7"/>
    <w:rsid w:val="00CE2E4E"/>
    <w:rsid w:val="00CE2E91"/>
    <w:rsid w:val="00CE2EEA"/>
    <w:rsid w:val="00CE2FC6"/>
    <w:rsid w:val="00CE346B"/>
    <w:rsid w:val="00CE349C"/>
    <w:rsid w:val="00CE3617"/>
    <w:rsid w:val="00CE37AA"/>
    <w:rsid w:val="00CE3BB1"/>
    <w:rsid w:val="00CE4211"/>
    <w:rsid w:val="00CE4891"/>
    <w:rsid w:val="00CE4AC5"/>
    <w:rsid w:val="00CE4B8B"/>
    <w:rsid w:val="00CE516C"/>
    <w:rsid w:val="00CE51CF"/>
    <w:rsid w:val="00CE51E8"/>
    <w:rsid w:val="00CE539F"/>
    <w:rsid w:val="00CE5411"/>
    <w:rsid w:val="00CE587D"/>
    <w:rsid w:val="00CE5B12"/>
    <w:rsid w:val="00CE5E33"/>
    <w:rsid w:val="00CE5F9B"/>
    <w:rsid w:val="00CE618B"/>
    <w:rsid w:val="00CE634D"/>
    <w:rsid w:val="00CE6496"/>
    <w:rsid w:val="00CE6604"/>
    <w:rsid w:val="00CE67E2"/>
    <w:rsid w:val="00CE67FF"/>
    <w:rsid w:val="00CE6D37"/>
    <w:rsid w:val="00CE6D5A"/>
    <w:rsid w:val="00CE786A"/>
    <w:rsid w:val="00CE7B1D"/>
    <w:rsid w:val="00CE7EDB"/>
    <w:rsid w:val="00CE7FA2"/>
    <w:rsid w:val="00CF05EC"/>
    <w:rsid w:val="00CF05F5"/>
    <w:rsid w:val="00CF06B2"/>
    <w:rsid w:val="00CF0B9C"/>
    <w:rsid w:val="00CF0BCD"/>
    <w:rsid w:val="00CF0CFF"/>
    <w:rsid w:val="00CF10B1"/>
    <w:rsid w:val="00CF12A4"/>
    <w:rsid w:val="00CF136F"/>
    <w:rsid w:val="00CF1722"/>
    <w:rsid w:val="00CF1FCA"/>
    <w:rsid w:val="00CF1FDC"/>
    <w:rsid w:val="00CF200B"/>
    <w:rsid w:val="00CF2CFC"/>
    <w:rsid w:val="00CF2E63"/>
    <w:rsid w:val="00CF3055"/>
    <w:rsid w:val="00CF332A"/>
    <w:rsid w:val="00CF3444"/>
    <w:rsid w:val="00CF359C"/>
    <w:rsid w:val="00CF362E"/>
    <w:rsid w:val="00CF3E9F"/>
    <w:rsid w:val="00CF43F1"/>
    <w:rsid w:val="00CF46EA"/>
    <w:rsid w:val="00CF497E"/>
    <w:rsid w:val="00CF5177"/>
    <w:rsid w:val="00CF51DA"/>
    <w:rsid w:val="00CF57B2"/>
    <w:rsid w:val="00CF5BFF"/>
    <w:rsid w:val="00CF5C21"/>
    <w:rsid w:val="00CF620D"/>
    <w:rsid w:val="00CF63DD"/>
    <w:rsid w:val="00CF6674"/>
    <w:rsid w:val="00CF69DA"/>
    <w:rsid w:val="00CF6C00"/>
    <w:rsid w:val="00CF6DC5"/>
    <w:rsid w:val="00CF6F49"/>
    <w:rsid w:val="00CF6FC5"/>
    <w:rsid w:val="00CF70B5"/>
    <w:rsid w:val="00CF7404"/>
    <w:rsid w:val="00CF7A50"/>
    <w:rsid w:val="00CF7F16"/>
    <w:rsid w:val="00D006C7"/>
    <w:rsid w:val="00D00794"/>
    <w:rsid w:val="00D007DC"/>
    <w:rsid w:val="00D00AA3"/>
    <w:rsid w:val="00D00BFA"/>
    <w:rsid w:val="00D00CD5"/>
    <w:rsid w:val="00D01410"/>
    <w:rsid w:val="00D018A8"/>
    <w:rsid w:val="00D01A57"/>
    <w:rsid w:val="00D01B37"/>
    <w:rsid w:val="00D01C43"/>
    <w:rsid w:val="00D020A0"/>
    <w:rsid w:val="00D02AB0"/>
    <w:rsid w:val="00D038AF"/>
    <w:rsid w:val="00D038ED"/>
    <w:rsid w:val="00D03A2F"/>
    <w:rsid w:val="00D03AB8"/>
    <w:rsid w:val="00D03B69"/>
    <w:rsid w:val="00D04021"/>
    <w:rsid w:val="00D0430B"/>
    <w:rsid w:val="00D04342"/>
    <w:rsid w:val="00D045EB"/>
    <w:rsid w:val="00D0464D"/>
    <w:rsid w:val="00D04733"/>
    <w:rsid w:val="00D04766"/>
    <w:rsid w:val="00D04F9E"/>
    <w:rsid w:val="00D05091"/>
    <w:rsid w:val="00D05776"/>
    <w:rsid w:val="00D05A09"/>
    <w:rsid w:val="00D05CC2"/>
    <w:rsid w:val="00D05D4D"/>
    <w:rsid w:val="00D062B7"/>
    <w:rsid w:val="00D065E6"/>
    <w:rsid w:val="00D072FF"/>
    <w:rsid w:val="00D07462"/>
    <w:rsid w:val="00D0750F"/>
    <w:rsid w:val="00D0795D"/>
    <w:rsid w:val="00D07D6C"/>
    <w:rsid w:val="00D07F73"/>
    <w:rsid w:val="00D105D4"/>
    <w:rsid w:val="00D10796"/>
    <w:rsid w:val="00D10BD7"/>
    <w:rsid w:val="00D10EE0"/>
    <w:rsid w:val="00D1115D"/>
    <w:rsid w:val="00D122B6"/>
    <w:rsid w:val="00D1261C"/>
    <w:rsid w:val="00D129CB"/>
    <w:rsid w:val="00D12CEE"/>
    <w:rsid w:val="00D12FC3"/>
    <w:rsid w:val="00D13014"/>
    <w:rsid w:val="00D1306E"/>
    <w:rsid w:val="00D131D9"/>
    <w:rsid w:val="00D13C9C"/>
    <w:rsid w:val="00D13DE3"/>
    <w:rsid w:val="00D1447E"/>
    <w:rsid w:val="00D1452A"/>
    <w:rsid w:val="00D14580"/>
    <w:rsid w:val="00D1478F"/>
    <w:rsid w:val="00D147C8"/>
    <w:rsid w:val="00D14844"/>
    <w:rsid w:val="00D14D0F"/>
    <w:rsid w:val="00D14F91"/>
    <w:rsid w:val="00D15011"/>
    <w:rsid w:val="00D1528E"/>
    <w:rsid w:val="00D156CC"/>
    <w:rsid w:val="00D158E4"/>
    <w:rsid w:val="00D159D2"/>
    <w:rsid w:val="00D15E99"/>
    <w:rsid w:val="00D15FEF"/>
    <w:rsid w:val="00D1654F"/>
    <w:rsid w:val="00D165EB"/>
    <w:rsid w:val="00D1673B"/>
    <w:rsid w:val="00D16835"/>
    <w:rsid w:val="00D16B5F"/>
    <w:rsid w:val="00D16C4F"/>
    <w:rsid w:val="00D16E71"/>
    <w:rsid w:val="00D17B17"/>
    <w:rsid w:val="00D17CE4"/>
    <w:rsid w:val="00D17E17"/>
    <w:rsid w:val="00D2041C"/>
    <w:rsid w:val="00D208B0"/>
    <w:rsid w:val="00D20912"/>
    <w:rsid w:val="00D20ACC"/>
    <w:rsid w:val="00D21745"/>
    <w:rsid w:val="00D219A9"/>
    <w:rsid w:val="00D21BA2"/>
    <w:rsid w:val="00D21FA9"/>
    <w:rsid w:val="00D226B7"/>
    <w:rsid w:val="00D226FC"/>
    <w:rsid w:val="00D22795"/>
    <w:rsid w:val="00D22A96"/>
    <w:rsid w:val="00D24374"/>
    <w:rsid w:val="00D24735"/>
    <w:rsid w:val="00D2477D"/>
    <w:rsid w:val="00D24D79"/>
    <w:rsid w:val="00D25ADE"/>
    <w:rsid w:val="00D25B2E"/>
    <w:rsid w:val="00D2629A"/>
    <w:rsid w:val="00D2633D"/>
    <w:rsid w:val="00D264D5"/>
    <w:rsid w:val="00D266FF"/>
    <w:rsid w:val="00D267B1"/>
    <w:rsid w:val="00D268F5"/>
    <w:rsid w:val="00D2709E"/>
    <w:rsid w:val="00D27669"/>
    <w:rsid w:val="00D279FF"/>
    <w:rsid w:val="00D3010E"/>
    <w:rsid w:val="00D3012B"/>
    <w:rsid w:val="00D3014E"/>
    <w:rsid w:val="00D3022B"/>
    <w:rsid w:val="00D305BD"/>
    <w:rsid w:val="00D30A03"/>
    <w:rsid w:val="00D30D30"/>
    <w:rsid w:val="00D31048"/>
    <w:rsid w:val="00D31050"/>
    <w:rsid w:val="00D3199D"/>
    <w:rsid w:val="00D31B0B"/>
    <w:rsid w:val="00D31B60"/>
    <w:rsid w:val="00D32057"/>
    <w:rsid w:val="00D320FB"/>
    <w:rsid w:val="00D322A5"/>
    <w:rsid w:val="00D325B2"/>
    <w:rsid w:val="00D32A03"/>
    <w:rsid w:val="00D32C41"/>
    <w:rsid w:val="00D32CEE"/>
    <w:rsid w:val="00D32D9A"/>
    <w:rsid w:val="00D32DF4"/>
    <w:rsid w:val="00D33029"/>
    <w:rsid w:val="00D3303C"/>
    <w:rsid w:val="00D3319A"/>
    <w:rsid w:val="00D33675"/>
    <w:rsid w:val="00D3384F"/>
    <w:rsid w:val="00D33950"/>
    <w:rsid w:val="00D33A3E"/>
    <w:rsid w:val="00D33ECA"/>
    <w:rsid w:val="00D3416B"/>
    <w:rsid w:val="00D34B72"/>
    <w:rsid w:val="00D35395"/>
    <w:rsid w:val="00D3595F"/>
    <w:rsid w:val="00D359DF"/>
    <w:rsid w:val="00D35AEF"/>
    <w:rsid w:val="00D35B8F"/>
    <w:rsid w:val="00D35C7C"/>
    <w:rsid w:val="00D366D9"/>
    <w:rsid w:val="00D368D7"/>
    <w:rsid w:val="00D36F87"/>
    <w:rsid w:val="00D371BD"/>
    <w:rsid w:val="00D375FB"/>
    <w:rsid w:val="00D37643"/>
    <w:rsid w:val="00D37854"/>
    <w:rsid w:val="00D37ADF"/>
    <w:rsid w:val="00D40621"/>
    <w:rsid w:val="00D40691"/>
    <w:rsid w:val="00D406F7"/>
    <w:rsid w:val="00D407D4"/>
    <w:rsid w:val="00D40C41"/>
    <w:rsid w:val="00D411FF"/>
    <w:rsid w:val="00D41B07"/>
    <w:rsid w:val="00D41EAA"/>
    <w:rsid w:val="00D42891"/>
    <w:rsid w:val="00D42C90"/>
    <w:rsid w:val="00D43125"/>
    <w:rsid w:val="00D4316E"/>
    <w:rsid w:val="00D43297"/>
    <w:rsid w:val="00D4342D"/>
    <w:rsid w:val="00D4366A"/>
    <w:rsid w:val="00D4376C"/>
    <w:rsid w:val="00D437ED"/>
    <w:rsid w:val="00D438EC"/>
    <w:rsid w:val="00D43CFB"/>
    <w:rsid w:val="00D43EED"/>
    <w:rsid w:val="00D44062"/>
    <w:rsid w:val="00D44307"/>
    <w:rsid w:val="00D44360"/>
    <w:rsid w:val="00D44776"/>
    <w:rsid w:val="00D44815"/>
    <w:rsid w:val="00D44DB6"/>
    <w:rsid w:val="00D4501B"/>
    <w:rsid w:val="00D45124"/>
    <w:rsid w:val="00D452FD"/>
    <w:rsid w:val="00D4537B"/>
    <w:rsid w:val="00D453C5"/>
    <w:rsid w:val="00D45479"/>
    <w:rsid w:val="00D45681"/>
    <w:rsid w:val="00D4568A"/>
    <w:rsid w:val="00D45A2C"/>
    <w:rsid w:val="00D45B9C"/>
    <w:rsid w:val="00D460F1"/>
    <w:rsid w:val="00D4702F"/>
    <w:rsid w:val="00D475D8"/>
    <w:rsid w:val="00D4771C"/>
    <w:rsid w:val="00D4786B"/>
    <w:rsid w:val="00D47AF8"/>
    <w:rsid w:val="00D47C02"/>
    <w:rsid w:val="00D5005A"/>
    <w:rsid w:val="00D50119"/>
    <w:rsid w:val="00D50484"/>
    <w:rsid w:val="00D50A3F"/>
    <w:rsid w:val="00D50B50"/>
    <w:rsid w:val="00D50DE5"/>
    <w:rsid w:val="00D50EE4"/>
    <w:rsid w:val="00D51147"/>
    <w:rsid w:val="00D511E9"/>
    <w:rsid w:val="00D51550"/>
    <w:rsid w:val="00D5270F"/>
    <w:rsid w:val="00D52735"/>
    <w:rsid w:val="00D52BF9"/>
    <w:rsid w:val="00D52C0E"/>
    <w:rsid w:val="00D52CFC"/>
    <w:rsid w:val="00D530C4"/>
    <w:rsid w:val="00D546E4"/>
    <w:rsid w:val="00D54A95"/>
    <w:rsid w:val="00D54BA8"/>
    <w:rsid w:val="00D550DA"/>
    <w:rsid w:val="00D553DC"/>
    <w:rsid w:val="00D5573D"/>
    <w:rsid w:val="00D55D45"/>
    <w:rsid w:val="00D55EFA"/>
    <w:rsid w:val="00D564ED"/>
    <w:rsid w:val="00D5663D"/>
    <w:rsid w:val="00D56A88"/>
    <w:rsid w:val="00D56AAA"/>
    <w:rsid w:val="00D56EC3"/>
    <w:rsid w:val="00D570E5"/>
    <w:rsid w:val="00D5713B"/>
    <w:rsid w:val="00D571A2"/>
    <w:rsid w:val="00D571F6"/>
    <w:rsid w:val="00D5749E"/>
    <w:rsid w:val="00D576D5"/>
    <w:rsid w:val="00D57850"/>
    <w:rsid w:val="00D57B5E"/>
    <w:rsid w:val="00D57E56"/>
    <w:rsid w:val="00D57E6B"/>
    <w:rsid w:val="00D601FA"/>
    <w:rsid w:val="00D60529"/>
    <w:rsid w:val="00D60D68"/>
    <w:rsid w:val="00D60E62"/>
    <w:rsid w:val="00D6143B"/>
    <w:rsid w:val="00D6152C"/>
    <w:rsid w:val="00D61819"/>
    <w:rsid w:val="00D6186F"/>
    <w:rsid w:val="00D619C5"/>
    <w:rsid w:val="00D61D62"/>
    <w:rsid w:val="00D61E4F"/>
    <w:rsid w:val="00D627CA"/>
    <w:rsid w:val="00D6296D"/>
    <w:rsid w:val="00D62DA0"/>
    <w:rsid w:val="00D62EE7"/>
    <w:rsid w:val="00D62FB4"/>
    <w:rsid w:val="00D63181"/>
    <w:rsid w:val="00D6348F"/>
    <w:rsid w:val="00D635AB"/>
    <w:rsid w:val="00D63B2B"/>
    <w:rsid w:val="00D63C0A"/>
    <w:rsid w:val="00D63CE2"/>
    <w:rsid w:val="00D63E7B"/>
    <w:rsid w:val="00D6422C"/>
    <w:rsid w:val="00D64232"/>
    <w:rsid w:val="00D6440E"/>
    <w:rsid w:val="00D64787"/>
    <w:rsid w:val="00D64B69"/>
    <w:rsid w:val="00D64F14"/>
    <w:rsid w:val="00D65175"/>
    <w:rsid w:val="00D651EA"/>
    <w:rsid w:val="00D6522C"/>
    <w:rsid w:val="00D65905"/>
    <w:rsid w:val="00D65912"/>
    <w:rsid w:val="00D65DCB"/>
    <w:rsid w:val="00D661DB"/>
    <w:rsid w:val="00D66AD8"/>
    <w:rsid w:val="00D673DB"/>
    <w:rsid w:val="00D67616"/>
    <w:rsid w:val="00D7057B"/>
    <w:rsid w:val="00D710DA"/>
    <w:rsid w:val="00D71373"/>
    <w:rsid w:val="00D71FE7"/>
    <w:rsid w:val="00D72311"/>
    <w:rsid w:val="00D7260E"/>
    <w:rsid w:val="00D72740"/>
    <w:rsid w:val="00D72873"/>
    <w:rsid w:val="00D72B5E"/>
    <w:rsid w:val="00D72F30"/>
    <w:rsid w:val="00D73025"/>
    <w:rsid w:val="00D737CD"/>
    <w:rsid w:val="00D74271"/>
    <w:rsid w:val="00D74556"/>
    <w:rsid w:val="00D74D62"/>
    <w:rsid w:val="00D74D98"/>
    <w:rsid w:val="00D74E50"/>
    <w:rsid w:val="00D751CF"/>
    <w:rsid w:val="00D7551A"/>
    <w:rsid w:val="00D75792"/>
    <w:rsid w:val="00D75C0E"/>
    <w:rsid w:val="00D76085"/>
    <w:rsid w:val="00D764E0"/>
    <w:rsid w:val="00D76ADF"/>
    <w:rsid w:val="00D76C45"/>
    <w:rsid w:val="00D76CB9"/>
    <w:rsid w:val="00D76F3E"/>
    <w:rsid w:val="00D7795F"/>
    <w:rsid w:val="00D77D32"/>
    <w:rsid w:val="00D806A7"/>
    <w:rsid w:val="00D808DB"/>
    <w:rsid w:val="00D80AE1"/>
    <w:rsid w:val="00D80CFD"/>
    <w:rsid w:val="00D80D39"/>
    <w:rsid w:val="00D80F1F"/>
    <w:rsid w:val="00D811EF"/>
    <w:rsid w:val="00D8124B"/>
    <w:rsid w:val="00D81320"/>
    <w:rsid w:val="00D81375"/>
    <w:rsid w:val="00D81384"/>
    <w:rsid w:val="00D814CF"/>
    <w:rsid w:val="00D8156E"/>
    <w:rsid w:val="00D81923"/>
    <w:rsid w:val="00D82A43"/>
    <w:rsid w:val="00D82A5C"/>
    <w:rsid w:val="00D82DB5"/>
    <w:rsid w:val="00D82F7B"/>
    <w:rsid w:val="00D833C6"/>
    <w:rsid w:val="00D836E3"/>
    <w:rsid w:val="00D83A7D"/>
    <w:rsid w:val="00D83B73"/>
    <w:rsid w:val="00D83E69"/>
    <w:rsid w:val="00D84186"/>
    <w:rsid w:val="00D84235"/>
    <w:rsid w:val="00D84A76"/>
    <w:rsid w:val="00D85843"/>
    <w:rsid w:val="00D85A80"/>
    <w:rsid w:val="00D85E43"/>
    <w:rsid w:val="00D860C8"/>
    <w:rsid w:val="00D8627F"/>
    <w:rsid w:val="00D8632F"/>
    <w:rsid w:val="00D864BA"/>
    <w:rsid w:val="00D8676D"/>
    <w:rsid w:val="00D86B83"/>
    <w:rsid w:val="00D86C7D"/>
    <w:rsid w:val="00D87424"/>
    <w:rsid w:val="00D878BD"/>
    <w:rsid w:val="00D87D20"/>
    <w:rsid w:val="00D87FF8"/>
    <w:rsid w:val="00D90642"/>
    <w:rsid w:val="00D90818"/>
    <w:rsid w:val="00D908C1"/>
    <w:rsid w:val="00D91171"/>
    <w:rsid w:val="00D9157F"/>
    <w:rsid w:val="00D91650"/>
    <w:rsid w:val="00D918CA"/>
    <w:rsid w:val="00D91BF3"/>
    <w:rsid w:val="00D91D1E"/>
    <w:rsid w:val="00D91EEB"/>
    <w:rsid w:val="00D91F86"/>
    <w:rsid w:val="00D91FA4"/>
    <w:rsid w:val="00D92034"/>
    <w:rsid w:val="00D92AB9"/>
    <w:rsid w:val="00D92B4B"/>
    <w:rsid w:val="00D93B61"/>
    <w:rsid w:val="00D9403F"/>
    <w:rsid w:val="00D94831"/>
    <w:rsid w:val="00D949CA"/>
    <w:rsid w:val="00D94A57"/>
    <w:rsid w:val="00D9544D"/>
    <w:rsid w:val="00D95581"/>
    <w:rsid w:val="00D95677"/>
    <w:rsid w:val="00D95745"/>
    <w:rsid w:val="00D95B3F"/>
    <w:rsid w:val="00D95EFE"/>
    <w:rsid w:val="00D9600E"/>
    <w:rsid w:val="00D963FA"/>
    <w:rsid w:val="00D97122"/>
    <w:rsid w:val="00D9739E"/>
    <w:rsid w:val="00D97878"/>
    <w:rsid w:val="00D97D08"/>
    <w:rsid w:val="00D97D44"/>
    <w:rsid w:val="00DA0121"/>
    <w:rsid w:val="00DA0B26"/>
    <w:rsid w:val="00DA154E"/>
    <w:rsid w:val="00DA18A7"/>
    <w:rsid w:val="00DA2783"/>
    <w:rsid w:val="00DA2BB2"/>
    <w:rsid w:val="00DA2D88"/>
    <w:rsid w:val="00DA3235"/>
    <w:rsid w:val="00DA351F"/>
    <w:rsid w:val="00DA4014"/>
    <w:rsid w:val="00DA45C9"/>
    <w:rsid w:val="00DA4A9B"/>
    <w:rsid w:val="00DA4FBC"/>
    <w:rsid w:val="00DA50BB"/>
    <w:rsid w:val="00DA562C"/>
    <w:rsid w:val="00DA5790"/>
    <w:rsid w:val="00DA5AFE"/>
    <w:rsid w:val="00DA5BFA"/>
    <w:rsid w:val="00DA5E1D"/>
    <w:rsid w:val="00DA5F32"/>
    <w:rsid w:val="00DA6172"/>
    <w:rsid w:val="00DA6184"/>
    <w:rsid w:val="00DA63C2"/>
    <w:rsid w:val="00DA65FC"/>
    <w:rsid w:val="00DA67C8"/>
    <w:rsid w:val="00DA695D"/>
    <w:rsid w:val="00DA6DD7"/>
    <w:rsid w:val="00DA6E65"/>
    <w:rsid w:val="00DA6FA7"/>
    <w:rsid w:val="00DA72B3"/>
    <w:rsid w:val="00DA7300"/>
    <w:rsid w:val="00DA7939"/>
    <w:rsid w:val="00DA7B5D"/>
    <w:rsid w:val="00DB0593"/>
    <w:rsid w:val="00DB09F3"/>
    <w:rsid w:val="00DB09F5"/>
    <w:rsid w:val="00DB0C8D"/>
    <w:rsid w:val="00DB1195"/>
    <w:rsid w:val="00DB12CE"/>
    <w:rsid w:val="00DB23EF"/>
    <w:rsid w:val="00DB2417"/>
    <w:rsid w:val="00DB29A5"/>
    <w:rsid w:val="00DB2C0F"/>
    <w:rsid w:val="00DB2CB6"/>
    <w:rsid w:val="00DB31F4"/>
    <w:rsid w:val="00DB3809"/>
    <w:rsid w:val="00DB4179"/>
    <w:rsid w:val="00DB4DB1"/>
    <w:rsid w:val="00DB5145"/>
    <w:rsid w:val="00DB54C6"/>
    <w:rsid w:val="00DB5924"/>
    <w:rsid w:val="00DB61B5"/>
    <w:rsid w:val="00DB67AB"/>
    <w:rsid w:val="00DB6964"/>
    <w:rsid w:val="00DB6BF7"/>
    <w:rsid w:val="00DB6CD4"/>
    <w:rsid w:val="00DB6D3D"/>
    <w:rsid w:val="00DB6EAE"/>
    <w:rsid w:val="00DB6FAA"/>
    <w:rsid w:val="00DB7043"/>
    <w:rsid w:val="00DB7058"/>
    <w:rsid w:val="00DB73DC"/>
    <w:rsid w:val="00DB7967"/>
    <w:rsid w:val="00DC0156"/>
    <w:rsid w:val="00DC0186"/>
    <w:rsid w:val="00DC0565"/>
    <w:rsid w:val="00DC0A53"/>
    <w:rsid w:val="00DC1B33"/>
    <w:rsid w:val="00DC2E61"/>
    <w:rsid w:val="00DC30BF"/>
    <w:rsid w:val="00DC3498"/>
    <w:rsid w:val="00DC3547"/>
    <w:rsid w:val="00DC3779"/>
    <w:rsid w:val="00DC3930"/>
    <w:rsid w:val="00DC39BF"/>
    <w:rsid w:val="00DC3B63"/>
    <w:rsid w:val="00DC3F6E"/>
    <w:rsid w:val="00DC4065"/>
    <w:rsid w:val="00DC4367"/>
    <w:rsid w:val="00DC44D6"/>
    <w:rsid w:val="00DC4618"/>
    <w:rsid w:val="00DC4AEB"/>
    <w:rsid w:val="00DC4D5F"/>
    <w:rsid w:val="00DC4F3A"/>
    <w:rsid w:val="00DC518F"/>
    <w:rsid w:val="00DC5435"/>
    <w:rsid w:val="00DC5531"/>
    <w:rsid w:val="00DC5772"/>
    <w:rsid w:val="00DC5C07"/>
    <w:rsid w:val="00DC6037"/>
    <w:rsid w:val="00DC63D7"/>
    <w:rsid w:val="00DC65C2"/>
    <w:rsid w:val="00DC6760"/>
    <w:rsid w:val="00DC6855"/>
    <w:rsid w:val="00DC6B01"/>
    <w:rsid w:val="00DC6B76"/>
    <w:rsid w:val="00DC7B1C"/>
    <w:rsid w:val="00DC7B7A"/>
    <w:rsid w:val="00DC7C8A"/>
    <w:rsid w:val="00DC7F4A"/>
    <w:rsid w:val="00DD02A6"/>
    <w:rsid w:val="00DD038B"/>
    <w:rsid w:val="00DD03A9"/>
    <w:rsid w:val="00DD0704"/>
    <w:rsid w:val="00DD07C5"/>
    <w:rsid w:val="00DD0954"/>
    <w:rsid w:val="00DD0964"/>
    <w:rsid w:val="00DD0D9F"/>
    <w:rsid w:val="00DD15E8"/>
    <w:rsid w:val="00DD19EA"/>
    <w:rsid w:val="00DD1C97"/>
    <w:rsid w:val="00DD1CA2"/>
    <w:rsid w:val="00DD1DB2"/>
    <w:rsid w:val="00DD2420"/>
    <w:rsid w:val="00DD2CB5"/>
    <w:rsid w:val="00DD32AB"/>
    <w:rsid w:val="00DD368D"/>
    <w:rsid w:val="00DD3716"/>
    <w:rsid w:val="00DD3DE3"/>
    <w:rsid w:val="00DD3FC1"/>
    <w:rsid w:val="00DD42FE"/>
    <w:rsid w:val="00DD466A"/>
    <w:rsid w:val="00DD4F26"/>
    <w:rsid w:val="00DD57F1"/>
    <w:rsid w:val="00DD60B8"/>
    <w:rsid w:val="00DD6C67"/>
    <w:rsid w:val="00DD6F1F"/>
    <w:rsid w:val="00DD74F8"/>
    <w:rsid w:val="00DE05E5"/>
    <w:rsid w:val="00DE0931"/>
    <w:rsid w:val="00DE0933"/>
    <w:rsid w:val="00DE0E63"/>
    <w:rsid w:val="00DE1785"/>
    <w:rsid w:val="00DE179F"/>
    <w:rsid w:val="00DE1F34"/>
    <w:rsid w:val="00DE1FEE"/>
    <w:rsid w:val="00DE2069"/>
    <w:rsid w:val="00DE21D2"/>
    <w:rsid w:val="00DE235C"/>
    <w:rsid w:val="00DE2C0A"/>
    <w:rsid w:val="00DE2CF8"/>
    <w:rsid w:val="00DE3634"/>
    <w:rsid w:val="00DE38F2"/>
    <w:rsid w:val="00DE3B60"/>
    <w:rsid w:val="00DE3E5C"/>
    <w:rsid w:val="00DE40CD"/>
    <w:rsid w:val="00DE4232"/>
    <w:rsid w:val="00DE49AC"/>
    <w:rsid w:val="00DE4ECA"/>
    <w:rsid w:val="00DE5140"/>
    <w:rsid w:val="00DE5343"/>
    <w:rsid w:val="00DE547B"/>
    <w:rsid w:val="00DE5641"/>
    <w:rsid w:val="00DE5836"/>
    <w:rsid w:val="00DE5D63"/>
    <w:rsid w:val="00DE5DD6"/>
    <w:rsid w:val="00DE5ED3"/>
    <w:rsid w:val="00DE6004"/>
    <w:rsid w:val="00DE662F"/>
    <w:rsid w:val="00DE6734"/>
    <w:rsid w:val="00DE6D3F"/>
    <w:rsid w:val="00DE6E5E"/>
    <w:rsid w:val="00DE708F"/>
    <w:rsid w:val="00DE712D"/>
    <w:rsid w:val="00DE7226"/>
    <w:rsid w:val="00DE73E2"/>
    <w:rsid w:val="00DE74FC"/>
    <w:rsid w:val="00DE7A84"/>
    <w:rsid w:val="00DE7CF3"/>
    <w:rsid w:val="00DF00A3"/>
    <w:rsid w:val="00DF0374"/>
    <w:rsid w:val="00DF03D8"/>
    <w:rsid w:val="00DF0618"/>
    <w:rsid w:val="00DF0785"/>
    <w:rsid w:val="00DF0858"/>
    <w:rsid w:val="00DF0B65"/>
    <w:rsid w:val="00DF0E49"/>
    <w:rsid w:val="00DF1048"/>
    <w:rsid w:val="00DF1345"/>
    <w:rsid w:val="00DF1425"/>
    <w:rsid w:val="00DF14D1"/>
    <w:rsid w:val="00DF1EE0"/>
    <w:rsid w:val="00DF2347"/>
    <w:rsid w:val="00DF24E3"/>
    <w:rsid w:val="00DF28B2"/>
    <w:rsid w:val="00DF2975"/>
    <w:rsid w:val="00DF3B19"/>
    <w:rsid w:val="00DF3EA7"/>
    <w:rsid w:val="00DF4439"/>
    <w:rsid w:val="00DF443E"/>
    <w:rsid w:val="00DF464A"/>
    <w:rsid w:val="00DF58E7"/>
    <w:rsid w:val="00DF5914"/>
    <w:rsid w:val="00DF5B3A"/>
    <w:rsid w:val="00DF5BC1"/>
    <w:rsid w:val="00DF61D6"/>
    <w:rsid w:val="00DF6393"/>
    <w:rsid w:val="00DF6B7E"/>
    <w:rsid w:val="00DF6C70"/>
    <w:rsid w:val="00DF6FE9"/>
    <w:rsid w:val="00DF71EB"/>
    <w:rsid w:val="00DF76ED"/>
    <w:rsid w:val="00DF7A2F"/>
    <w:rsid w:val="00DF7AA1"/>
    <w:rsid w:val="00DF7ECC"/>
    <w:rsid w:val="00E00333"/>
    <w:rsid w:val="00E00C00"/>
    <w:rsid w:val="00E00FFD"/>
    <w:rsid w:val="00E012FC"/>
    <w:rsid w:val="00E01505"/>
    <w:rsid w:val="00E01AD4"/>
    <w:rsid w:val="00E01B18"/>
    <w:rsid w:val="00E01F91"/>
    <w:rsid w:val="00E02816"/>
    <w:rsid w:val="00E0297A"/>
    <w:rsid w:val="00E02F1F"/>
    <w:rsid w:val="00E02F34"/>
    <w:rsid w:val="00E02F76"/>
    <w:rsid w:val="00E03041"/>
    <w:rsid w:val="00E03326"/>
    <w:rsid w:val="00E03404"/>
    <w:rsid w:val="00E036CC"/>
    <w:rsid w:val="00E037F9"/>
    <w:rsid w:val="00E03AF2"/>
    <w:rsid w:val="00E045E4"/>
    <w:rsid w:val="00E04776"/>
    <w:rsid w:val="00E05EC8"/>
    <w:rsid w:val="00E06789"/>
    <w:rsid w:val="00E06E9C"/>
    <w:rsid w:val="00E070E1"/>
    <w:rsid w:val="00E072B9"/>
    <w:rsid w:val="00E072C4"/>
    <w:rsid w:val="00E076AB"/>
    <w:rsid w:val="00E0778B"/>
    <w:rsid w:val="00E079A8"/>
    <w:rsid w:val="00E07C0B"/>
    <w:rsid w:val="00E07DEC"/>
    <w:rsid w:val="00E07E0A"/>
    <w:rsid w:val="00E10C0A"/>
    <w:rsid w:val="00E10EBC"/>
    <w:rsid w:val="00E11545"/>
    <w:rsid w:val="00E11876"/>
    <w:rsid w:val="00E11D06"/>
    <w:rsid w:val="00E12EFC"/>
    <w:rsid w:val="00E13932"/>
    <w:rsid w:val="00E139A5"/>
    <w:rsid w:val="00E13A78"/>
    <w:rsid w:val="00E142FF"/>
    <w:rsid w:val="00E143F4"/>
    <w:rsid w:val="00E146D5"/>
    <w:rsid w:val="00E14C74"/>
    <w:rsid w:val="00E14CC1"/>
    <w:rsid w:val="00E14CD5"/>
    <w:rsid w:val="00E14D53"/>
    <w:rsid w:val="00E15B37"/>
    <w:rsid w:val="00E15C6A"/>
    <w:rsid w:val="00E15D40"/>
    <w:rsid w:val="00E1627E"/>
    <w:rsid w:val="00E165F3"/>
    <w:rsid w:val="00E16F7D"/>
    <w:rsid w:val="00E16F9D"/>
    <w:rsid w:val="00E16FB8"/>
    <w:rsid w:val="00E17FA1"/>
    <w:rsid w:val="00E20200"/>
    <w:rsid w:val="00E2040B"/>
    <w:rsid w:val="00E2049D"/>
    <w:rsid w:val="00E205DC"/>
    <w:rsid w:val="00E20DA6"/>
    <w:rsid w:val="00E20F3E"/>
    <w:rsid w:val="00E214DD"/>
    <w:rsid w:val="00E21565"/>
    <w:rsid w:val="00E218EF"/>
    <w:rsid w:val="00E21AEB"/>
    <w:rsid w:val="00E21D7B"/>
    <w:rsid w:val="00E21DB9"/>
    <w:rsid w:val="00E21DC5"/>
    <w:rsid w:val="00E21ED3"/>
    <w:rsid w:val="00E224B2"/>
    <w:rsid w:val="00E22757"/>
    <w:rsid w:val="00E2298A"/>
    <w:rsid w:val="00E22E39"/>
    <w:rsid w:val="00E23606"/>
    <w:rsid w:val="00E23CBB"/>
    <w:rsid w:val="00E24023"/>
    <w:rsid w:val="00E2404F"/>
    <w:rsid w:val="00E241BA"/>
    <w:rsid w:val="00E243B7"/>
    <w:rsid w:val="00E24EF8"/>
    <w:rsid w:val="00E25173"/>
    <w:rsid w:val="00E25561"/>
    <w:rsid w:val="00E256CA"/>
    <w:rsid w:val="00E25AB0"/>
    <w:rsid w:val="00E2670C"/>
    <w:rsid w:val="00E26831"/>
    <w:rsid w:val="00E26B84"/>
    <w:rsid w:val="00E2712D"/>
    <w:rsid w:val="00E2714B"/>
    <w:rsid w:val="00E273AC"/>
    <w:rsid w:val="00E27AC8"/>
    <w:rsid w:val="00E3011E"/>
    <w:rsid w:val="00E30294"/>
    <w:rsid w:val="00E30734"/>
    <w:rsid w:val="00E30BC2"/>
    <w:rsid w:val="00E30BE8"/>
    <w:rsid w:val="00E30BF8"/>
    <w:rsid w:val="00E30D53"/>
    <w:rsid w:val="00E31369"/>
    <w:rsid w:val="00E31574"/>
    <w:rsid w:val="00E3220F"/>
    <w:rsid w:val="00E329DB"/>
    <w:rsid w:val="00E32CCF"/>
    <w:rsid w:val="00E32F5A"/>
    <w:rsid w:val="00E33395"/>
    <w:rsid w:val="00E33494"/>
    <w:rsid w:val="00E334C9"/>
    <w:rsid w:val="00E33B82"/>
    <w:rsid w:val="00E33FCC"/>
    <w:rsid w:val="00E3400F"/>
    <w:rsid w:val="00E3406D"/>
    <w:rsid w:val="00E34697"/>
    <w:rsid w:val="00E34AB1"/>
    <w:rsid w:val="00E34BEE"/>
    <w:rsid w:val="00E34D7C"/>
    <w:rsid w:val="00E34F8E"/>
    <w:rsid w:val="00E35209"/>
    <w:rsid w:val="00E35342"/>
    <w:rsid w:val="00E35682"/>
    <w:rsid w:val="00E3591E"/>
    <w:rsid w:val="00E35960"/>
    <w:rsid w:val="00E3659A"/>
    <w:rsid w:val="00E36A46"/>
    <w:rsid w:val="00E36B79"/>
    <w:rsid w:val="00E36D1B"/>
    <w:rsid w:val="00E36FD6"/>
    <w:rsid w:val="00E371EB"/>
    <w:rsid w:val="00E37332"/>
    <w:rsid w:val="00E37371"/>
    <w:rsid w:val="00E374A2"/>
    <w:rsid w:val="00E374F5"/>
    <w:rsid w:val="00E3790D"/>
    <w:rsid w:val="00E37AD3"/>
    <w:rsid w:val="00E37AE1"/>
    <w:rsid w:val="00E37B59"/>
    <w:rsid w:val="00E37D67"/>
    <w:rsid w:val="00E4014A"/>
    <w:rsid w:val="00E405D7"/>
    <w:rsid w:val="00E40985"/>
    <w:rsid w:val="00E409BE"/>
    <w:rsid w:val="00E40BD0"/>
    <w:rsid w:val="00E40C83"/>
    <w:rsid w:val="00E40E30"/>
    <w:rsid w:val="00E41329"/>
    <w:rsid w:val="00E413DD"/>
    <w:rsid w:val="00E416C3"/>
    <w:rsid w:val="00E41A73"/>
    <w:rsid w:val="00E41CDF"/>
    <w:rsid w:val="00E41F55"/>
    <w:rsid w:val="00E4216F"/>
    <w:rsid w:val="00E422EF"/>
    <w:rsid w:val="00E4312C"/>
    <w:rsid w:val="00E4357A"/>
    <w:rsid w:val="00E435C2"/>
    <w:rsid w:val="00E436AF"/>
    <w:rsid w:val="00E43710"/>
    <w:rsid w:val="00E43BFA"/>
    <w:rsid w:val="00E43D24"/>
    <w:rsid w:val="00E44316"/>
    <w:rsid w:val="00E443DA"/>
    <w:rsid w:val="00E4522D"/>
    <w:rsid w:val="00E45C56"/>
    <w:rsid w:val="00E4617E"/>
    <w:rsid w:val="00E462E0"/>
    <w:rsid w:val="00E46574"/>
    <w:rsid w:val="00E465A4"/>
    <w:rsid w:val="00E467B4"/>
    <w:rsid w:val="00E46855"/>
    <w:rsid w:val="00E46895"/>
    <w:rsid w:val="00E46997"/>
    <w:rsid w:val="00E46B23"/>
    <w:rsid w:val="00E470EA"/>
    <w:rsid w:val="00E474DA"/>
    <w:rsid w:val="00E47F9C"/>
    <w:rsid w:val="00E501A5"/>
    <w:rsid w:val="00E501C5"/>
    <w:rsid w:val="00E5022D"/>
    <w:rsid w:val="00E507A2"/>
    <w:rsid w:val="00E50B0B"/>
    <w:rsid w:val="00E50DDD"/>
    <w:rsid w:val="00E5120D"/>
    <w:rsid w:val="00E513B1"/>
    <w:rsid w:val="00E51571"/>
    <w:rsid w:val="00E5165F"/>
    <w:rsid w:val="00E51DC4"/>
    <w:rsid w:val="00E52240"/>
    <w:rsid w:val="00E52629"/>
    <w:rsid w:val="00E5275E"/>
    <w:rsid w:val="00E52F6E"/>
    <w:rsid w:val="00E53297"/>
    <w:rsid w:val="00E53336"/>
    <w:rsid w:val="00E53438"/>
    <w:rsid w:val="00E53652"/>
    <w:rsid w:val="00E537E3"/>
    <w:rsid w:val="00E53D0C"/>
    <w:rsid w:val="00E53D67"/>
    <w:rsid w:val="00E54084"/>
    <w:rsid w:val="00E545AD"/>
    <w:rsid w:val="00E5471B"/>
    <w:rsid w:val="00E55997"/>
    <w:rsid w:val="00E56615"/>
    <w:rsid w:val="00E56B8F"/>
    <w:rsid w:val="00E56CEB"/>
    <w:rsid w:val="00E571CD"/>
    <w:rsid w:val="00E5736B"/>
    <w:rsid w:val="00E57E18"/>
    <w:rsid w:val="00E60393"/>
    <w:rsid w:val="00E60613"/>
    <w:rsid w:val="00E60B25"/>
    <w:rsid w:val="00E61196"/>
    <w:rsid w:val="00E611CC"/>
    <w:rsid w:val="00E611E4"/>
    <w:rsid w:val="00E62283"/>
    <w:rsid w:val="00E62596"/>
    <w:rsid w:val="00E626C8"/>
    <w:rsid w:val="00E628F8"/>
    <w:rsid w:val="00E62BA1"/>
    <w:rsid w:val="00E6313A"/>
    <w:rsid w:val="00E63204"/>
    <w:rsid w:val="00E635C9"/>
    <w:rsid w:val="00E63986"/>
    <w:rsid w:val="00E63A53"/>
    <w:rsid w:val="00E63AC0"/>
    <w:rsid w:val="00E63DFC"/>
    <w:rsid w:val="00E6420D"/>
    <w:rsid w:val="00E643BF"/>
    <w:rsid w:val="00E64ACF"/>
    <w:rsid w:val="00E6503A"/>
    <w:rsid w:val="00E656E3"/>
    <w:rsid w:val="00E65ADD"/>
    <w:rsid w:val="00E6614D"/>
    <w:rsid w:val="00E66F8C"/>
    <w:rsid w:val="00E6712F"/>
    <w:rsid w:val="00E67538"/>
    <w:rsid w:val="00E677D6"/>
    <w:rsid w:val="00E67D61"/>
    <w:rsid w:val="00E67FAE"/>
    <w:rsid w:val="00E70217"/>
    <w:rsid w:val="00E7026D"/>
    <w:rsid w:val="00E703CF"/>
    <w:rsid w:val="00E704BB"/>
    <w:rsid w:val="00E7051B"/>
    <w:rsid w:val="00E7089D"/>
    <w:rsid w:val="00E70B0E"/>
    <w:rsid w:val="00E70CA4"/>
    <w:rsid w:val="00E711BB"/>
    <w:rsid w:val="00E71673"/>
    <w:rsid w:val="00E72069"/>
    <w:rsid w:val="00E7221D"/>
    <w:rsid w:val="00E72372"/>
    <w:rsid w:val="00E72528"/>
    <w:rsid w:val="00E725AD"/>
    <w:rsid w:val="00E725FC"/>
    <w:rsid w:val="00E726AE"/>
    <w:rsid w:val="00E72759"/>
    <w:rsid w:val="00E72996"/>
    <w:rsid w:val="00E7336A"/>
    <w:rsid w:val="00E73C51"/>
    <w:rsid w:val="00E73C8F"/>
    <w:rsid w:val="00E74057"/>
    <w:rsid w:val="00E740FD"/>
    <w:rsid w:val="00E744EC"/>
    <w:rsid w:val="00E744EF"/>
    <w:rsid w:val="00E7469E"/>
    <w:rsid w:val="00E7489B"/>
    <w:rsid w:val="00E751E0"/>
    <w:rsid w:val="00E75800"/>
    <w:rsid w:val="00E75CF1"/>
    <w:rsid w:val="00E75F81"/>
    <w:rsid w:val="00E75FDF"/>
    <w:rsid w:val="00E76163"/>
    <w:rsid w:val="00E765A2"/>
    <w:rsid w:val="00E7689E"/>
    <w:rsid w:val="00E76A54"/>
    <w:rsid w:val="00E76B6B"/>
    <w:rsid w:val="00E7717D"/>
    <w:rsid w:val="00E77487"/>
    <w:rsid w:val="00E77B86"/>
    <w:rsid w:val="00E8004A"/>
    <w:rsid w:val="00E80154"/>
    <w:rsid w:val="00E80451"/>
    <w:rsid w:val="00E81C43"/>
    <w:rsid w:val="00E826CF"/>
    <w:rsid w:val="00E82E1D"/>
    <w:rsid w:val="00E83227"/>
    <w:rsid w:val="00E833DA"/>
    <w:rsid w:val="00E83796"/>
    <w:rsid w:val="00E83818"/>
    <w:rsid w:val="00E8396B"/>
    <w:rsid w:val="00E84387"/>
    <w:rsid w:val="00E847B2"/>
    <w:rsid w:val="00E847F0"/>
    <w:rsid w:val="00E8484D"/>
    <w:rsid w:val="00E852FB"/>
    <w:rsid w:val="00E85B81"/>
    <w:rsid w:val="00E862A1"/>
    <w:rsid w:val="00E864F2"/>
    <w:rsid w:val="00E865D0"/>
    <w:rsid w:val="00E867F2"/>
    <w:rsid w:val="00E869DC"/>
    <w:rsid w:val="00E86EC8"/>
    <w:rsid w:val="00E86F56"/>
    <w:rsid w:val="00E87138"/>
    <w:rsid w:val="00E8716A"/>
    <w:rsid w:val="00E873FD"/>
    <w:rsid w:val="00E87453"/>
    <w:rsid w:val="00E87467"/>
    <w:rsid w:val="00E87788"/>
    <w:rsid w:val="00E8793D"/>
    <w:rsid w:val="00E87944"/>
    <w:rsid w:val="00E87AE4"/>
    <w:rsid w:val="00E87C0D"/>
    <w:rsid w:val="00E87F3A"/>
    <w:rsid w:val="00E87F58"/>
    <w:rsid w:val="00E904CB"/>
    <w:rsid w:val="00E90520"/>
    <w:rsid w:val="00E90686"/>
    <w:rsid w:val="00E907CB"/>
    <w:rsid w:val="00E9141A"/>
    <w:rsid w:val="00E91D64"/>
    <w:rsid w:val="00E91D86"/>
    <w:rsid w:val="00E91D9E"/>
    <w:rsid w:val="00E9227A"/>
    <w:rsid w:val="00E92A47"/>
    <w:rsid w:val="00E92BB1"/>
    <w:rsid w:val="00E93136"/>
    <w:rsid w:val="00E9315A"/>
    <w:rsid w:val="00E93AC6"/>
    <w:rsid w:val="00E9422A"/>
    <w:rsid w:val="00E9437C"/>
    <w:rsid w:val="00E94554"/>
    <w:rsid w:val="00E94D20"/>
    <w:rsid w:val="00E94DC0"/>
    <w:rsid w:val="00E952C2"/>
    <w:rsid w:val="00E952EC"/>
    <w:rsid w:val="00E95326"/>
    <w:rsid w:val="00E959B9"/>
    <w:rsid w:val="00E959F0"/>
    <w:rsid w:val="00E95D46"/>
    <w:rsid w:val="00E95EF4"/>
    <w:rsid w:val="00E95FD1"/>
    <w:rsid w:val="00E961D1"/>
    <w:rsid w:val="00E96336"/>
    <w:rsid w:val="00E96588"/>
    <w:rsid w:val="00E96A66"/>
    <w:rsid w:val="00E96AAD"/>
    <w:rsid w:val="00E96DB0"/>
    <w:rsid w:val="00E96E08"/>
    <w:rsid w:val="00E971F0"/>
    <w:rsid w:val="00E97695"/>
    <w:rsid w:val="00E97DA4"/>
    <w:rsid w:val="00EA01B3"/>
    <w:rsid w:val="00EA0775"/>
    <w:rsid w:val="00EA1032"/>
    <w:rsid w:val="00EA103F"/>
    <w:rsid w:val="00EA1653"/>
    <w:rsid w:val="00EA186E"/>
    <w:rsid w:val="00EA19DF"/>
    <w:rsid w:val="00EA1B06"/>
    <w:rsid w:val="00EA1D10"/>
    <w:rsid w:val="00EA1D24"/>
    <w:rsid w:val="00EA1D35"/>
    <w:rsid w:val="00EA2238"/>
    <w:rsid w:val="00EA236D"/>
    <w:rsid w:val="00EA252A"/>
    <w:rsid w:val="00EA28AE"/>
    <w:rsid w:val="00EA3067"/>
    <w:rsid w:val="00EA34EF"/>
    <w:rsid w:val="00EA36C6"/>
    <w:rsid w:val="00EA396F"/>
    <w:rsid w:val="00EA3BCF"/>
    <w:rsid w:val="00EA4394"/>
    <w:rsid w:val="00EA43E0"/>
    <w:rsid w:val="00EA496F"/>
    <w:rsid w:val="00EA4B1F"/>
    <w:rsid w:val="00EA4E6B"/>
    <w:rsid w:val="00EA53C8"/>
    <w:rsid w:val="00EA54EB"/>
    <w:rsid w:val="00EA57F0"/>
    <w:rsid w:val="00EA6298"/>
    <w:rsid w:val="00EA6337"/>
    <w:rsid w:val="00EA6AF3"/>
    <w:rsid w:val="00EA6F11"/>
    <w:rsid w:val="00EA7236"/>
    <w:rsid w:val="00EA757F"/>
    <w:rsid w:val="00EB1052"/>
    <w:rsid w:val="00EB1593"/>
    <w:rsid w:val="00EB1594"/>
    <w:rsid w:val="00EB1964"/>
    <w:rsid w:val="00EB1BC4"/>
    <w:rsid w:val="00EB20B7"/>
    <w:rsid w:val="00EB267D"/>
    <w:rsid w:val="00EB2B78"/>
    <w:rsid w:val="00EB2F2B"/>
    <w:rsid w:val="00EB2F5D"/>
    <w:rsid w:val="00EB2FB2"/>
    <w:rsid w:val="00EB32E6"/>
    <w:rsid w:val="00EB33C1"/>
    <w:rsid w:val="00EB3534"/>
    <w:rsid w:val="00EB36C7"/>
    <w:rsid w:val="00EB370C"/>
    <w:rsid w:val="00EB3BE5"/>
    <w:rsid w:val="00EB3C87"/>
    <w:rsid w:val="00EB40F0"/>
    <w:rsid w:val="00EB413D"/>
    <w:rsid w:val="00EB4362"/>
    <w:rsid w:val="00EB4648"/>
    <w:rsid w:val="00EB4FCA"/>
    <w:rsid w:val="00EB50EA"/>
    <w:rsid w:val="00EB5105"/>
    <w:rsid w:val="00EB5187"/>
    <w:rsid w:val="00EB54BC"/>
    <w:rsid w:val="00EB5A9F"/>
    <w:rsid w:val="00EB5B6C"/>
    <w:rsid w:val="00EB5F04"/>
    <w:rsid w:val="00EB6907"/>
    <w:rsid w:val="00EB6D62"/>
    <w:rsid w:val="00EB6DDA"/>
    <w:rsid w:val="00EB78ED"/>
    <w:rsid w:val="00EB795A"/>
    <w:rsid w:val="00EC0239"/>
    <w:rsid w:val="00EC0574"/>
    <w:rsid w:val="00EC0BE1"/>
    <w:rsid w:val="00EC12DD"/>
    <w:rsid w:val="00EC14F5"/>
    <w:rsid w:val="00EC187B"/>
    <w:rsid w:val="00EC18D3"/>
    <w:rsid w:val="00EC1C5E"/>
    <w:rsid w:val="00EC1CCB"/>
    <w:rsid w:val="00EC20CA"/>
    <w:rsid w:val="00EC220D"/>
    <w:rsid w:val="00EC24CA"/>
    <w:rsid w:val="00EC2681"/>
    <w:rsid w:val="00EC2C69"/>
    <w:rsid w:val="00EC3079"/>
    <w:rsid w:val="00EC30F9"/>
    <w:rsid w:val="00EC31FE"/>
    <w:rsid w:val="00EC382A"/>
    <w:rsid w:val="00EC476A"/>
    <w:rsid w:val="00EC48C3"/>
    <w:rsid w:val="00EC4991"/>
    <w:rsid w:val="00EC49FF"/>
    <w:rsid w:val="00EC4CAA"/>
    <w:rsid w:val="00EC4FA6"/>
    <w:rsid w:val="00EC5404"/>
    <w:rsid w:val="00EC55B1"/>
    <w:rsid w:val="00EC5844"/>
    <w:rsid w:val="00EC5D7C"/>
    <w:rsid w:val="00EC610B"/>
    <w:rsid w:val="00EC6ABA"/>
    <w:rsid w:val="00EC7137"/>
    <w:rsid w:val="00EC7568"/>
    <w:rsid w:val="00EC760D"/>
    <w:rsid w:val="00EC7FAC"/>
    <w:rsid w:val="00ED00CA"/>
    <w:rsid w:val="00ED0205"/>
    <w:rsid w:val="00ED0946"/>
    <w:rsid w:val="00ED0B3F"/>
    <w:rsid w:val="00ED0D06"/>
    <w:rsid w:val="00ED0F44"/>
    <w:rsid w:val="00ED0FE8"/>
    <w:rsid w:val="00ED1436"/>
    <w:rsid w:val="00ED1499"/>
    <w:rsid w:val="00ED1557"/>
    <w:rsid w:val="00ED1BFA"/>
    <w:rsid w:val="00ED1C38"/>
    <w:rsid w:val="00ED1D8B"/>
    <w:rsid w:val="00ED2443"/>
    <w:rsid w:val="00ED2B63"/>
    <w:rsid w:val="00ED2C58"/>
    <w:rsid w:val="00ED2CDE"/>
    <w:rsid w:val="00ED3051"/>
    <w:rsid w:val="00ED319B"/>
    <w:rsid w:val="00ED32D3"/>
    <w:rsid w:val="00ED3612"/>
    <w:rsid w:val="00ED3644"/>
    <w:rsid w:val="00ED3B06"/>
    <w:rsid w:val="00ED3DBC"/>
    <w:rsid w:val="00ED4073"/>
    <w:rsid w:val="00ED423F"/>
    <w:rsid w:val="00ED42AF"/>
    <w:rsid w:val="00ED43A8"/>
    <w:rsid w:val="00ED4576"/>
    <w:rsid w:val="00ED46B2"/>
    <w:rsid w:val="00ED4AA6"/>
    <w:rsid w:val="00ED4B53"/>
    <w:rsid w:val="00ED4C97"/>
    <w:rsid w:val="00ED5033"/>
    <w:rsid w:val="00ED5229"/>
    <w:rsid w:val="00ED522F"/>
    <w:rsid w:val="00ED524A"/>
    <w:rsid w:val="00ED5545"/>
    <w:rsid w:val="00ED5725"/>
    <w:rsid w:val="00ED5A7F"/>
    <w:rsid w:val="00ED5C5E"/>
    <w:rsid w:val="00ED5E95"/>
    <w:rsid w:val="00ED5FA0"/>
    <w:rsid w:val="00ED6073"/>
    <w:rsid w:val="00ED6E35"/>
    <w:rsid w:val="00ED7031"/>
    <w:rsid w:val="00ED704D"/>
    <w:rsid w:val="00ED79B6"/>
    <w:rsid w:val="00ED7C8D"/>
    <w:rsid w:val="00ED7E96"/>
    <w:rsid w:val="00EE0704"/>
    <w:rsid w:val="00EE0B5E"/>
    <w:rsid w:val="00EE0B80"/>
    <w:rsid w:val="00EE0CE1"/>
    <w:rsid w:val="00EE10EC"/>
    <w:rsid w:val="00EE1C77"/>
    <w:rsid w:val="00EE1D52"/>
    <w:rsid w:val="00EE1DC5"/>
    <w:rsid w:val="00EE29DD"/>
    <w:rsid w:val="00EE2CC5"/>
    <w:rsid w:val="00EE2CFC"/>
    <w:rsid w:val="00EE2F19"/>
    <w:rsid w:val="00EE2FD7"/>
    <w:rsid w:val="00EE3060"/>
    <w:rsid w:val="00EE315D"/>
    <w:rsid w:val="00EE35F4"/>
    <w:rsid w:val="00EE3BA9"/>
    <w:rsid w:val="00EE40B2"/>
    <w:rsid w:val="00EE4315"/>
    <w:rsid w:val="00EE4DC9"/>
    <w:rsid w:val="00EE4F4E"/>
    <w:rsid w:val="00EE4F9A"/>
    <w:rsid w:val="00EE546F"/>
    <w:rsid w:val="00EE54D9"/>
    <w:rsid w:val="00EE5B57"/>
    <w:rsid w:val="00EE5D0B"/>
    <w:rsid w:val="00EE636D"/>
    <w:rsid w:val="00EE6388"/>
    <w:rsid w:val="00EE65F2"/>
    <w:rsid w:val="00EE6679"/>
    <w:rsid w:val="00EE66EB"/>
    <w:rsid w:val="00EE6BA4"/>
    <w:rsid w:val="00EE6D06"/>
    <w:rsid w:val="00EE6D67"/>
    <w:rsid w:val="00EE6D9D"/>
    <w:rsid w:val="00EE6F1F"/>
    <w:rsid w:val="00EE70D1"/>
    <w:rsid w:val="00EE74B3"/>
    <w:rsid w:val="00EE7E53"/>
    <w:rsid w:val="00EF0243"/>
    <w:rsid w:val="00EF0511"/>
    <w:rsid w:val="00EF06ED"/>
    <w:rsid w:val="00EF0D47"/>
    <w:rsid w:val="00EF1076"/>
    <w:rsid w:val="00EF1243"/>
    <w:rsid w:val="00EF16EC"/>
    <w:rsid w:val="00EF1783"/>
    <w:rsid w:val="00EF1AD6"/>
    <w:rsid w:val="00EF1D15"/>
    <w:rsid w:val="00EF1D83"/>
    <w:rsid w:val="00EF21D3"/>
    <w:rsid w:val="00EF2906"/>
    <w:rsid w:val="00EF2A3B"/>
    <w:rsid w:val="00EF2D34"/>
    <w:rsid w:val="00EF2FA3"/>
    <w:rsid w:val="00EF3252"/>
    <w:rsid w:val="00EF379A"/>
    <w:rsid w:val="00EF3852"/>
    <w:rsid w:val="00EF404C"/>
    <w:rsid w:val="00EF41B5"/>
    <w:rsid w:val="00EF41D9"/>
    <w:rsid w:val="00EF4242"/>
    <w:rsid w:val="00EF42BE"/>
    <w:rsid w:val="00EF4E6C"/>
    <w:rsid w:val="00EF4EF9"/>
    <w:rsid w:val="00EF5AF4"/>
    <w:rsid w:val="00EF5C30"/>
    <w:rsid w:val="00EF5E2F"/>
    <w:rsid w:val="00EF5F2F"/>
    <w:rsid w:val="00EF5FC8"/>
    <w:rsid w:val="00EF6042"/>
    <w:rsid w:val="00EF6531"/>
    <w:rsid w:val="00EF6925"/>
    <w:rsid w:val="00EF6A35"/>
    <w:rsid w:val="00EF6B46"/>
    <w:rsid w:val="00EF6DF3"/>
    <w:rsid w:val="00EF743F"/>
    <w:rsid w:val="00EF7650"/>
    <w:rsid w:val="00EF7674"/>
    <w:rsid w:val="00EF77F1"/>
    <w:rsid w:val="00EF7B31"/>
    <w:rsid w:val="00EF7B57"/>
    <w:rsid w:val="00EF7BDC"/>
    <w:rsid w:val="00F00937"/>
    <w:rsid w:val="00F0094B"/>
    <w:rsid w:val="00F00C1B"/>
    <w:rsid w:val="00F01177"/>
    <w:rsid w:val="00F011AE"/>
    <w:rsid w:val="00F01735"/>
    <w:rsid w:val="00F017DD"/>
    <w:rsid w:val="00F0182A"/>
    <w:rsid w:val="00F018A0"/>
    <w:rsid w:val="00F018A4"/>
    <w:rsid w:val="00F01B1B"/>
    <w:rsid w:val="00F01B6E"/>
    <w:rsid w:val="00F0209E"/>
    <w:rsid w:val="00F02159"/>
    <w:rsid w:val="00F02373"/>
    <w:rsid w:val="00F02654"/>
    <w:rsid w:val="00F02AA8"/>
    <w:rsid w:val="00F02BD0"/>
    <w:rsid w:val="00F02ED8"/>
    <w:rsid w:val="00F02F57"/>
    <w:rsid w:val="00F02FA3"/>
    <w:rsid w:val="00F035BA"/>
    <w:rsid w:val="00F0389F"/>
    <w:rsid w:val="00F03A79"/>
    <w:rsid w:val="00F04154"/>
    <w:rsid w:val="00F0421F"/>
    <w:rsid w:val="00F04395"/>
    <w:rsid w:val="00F0453F"/>
    <w:rsid w:val="00F04648"/>
    <w:rsid w:val="00F0490F"/>
    <w:rsid w:val="00F04B77"/>
    <w:rsid w:val="00F04C7C"/>
    <w:rsid w:val="00F04CCE"/>
    <w:rsid w:val="00F04D7F"/>
    <w:rsid w:val="00F051D0"/>
    <w:rsid w:val="00F051FB"/>
    <w:rsid w:val="00F05500"/>
    <w:rsid w:val="00F05757"/>
    <w:rsid w:val="00F05B93"/>
    <w:rsid w:val="00F06126"/>
    <w:rsid w:val="00F062EF"/>
    <w:rsid w:val="00F064C0"/>
    <w:rsid w:val="00F064C2"/>
    <w:rsid w:val="00F066F7"/>
    <w:rsid w:val="00F06954"/>
    <w:rsid w:val="00F06D70"/>
    <w:rsid w:val="00F06EE0"/>
    <w:rsid w:val="00F071CA"/>
    <w:rsid w:val="00F07303"/>
    <w:rsid w:val="00F07C1A"/>
    <w:rsid w:val="00F07E09"/>
    <w:rsid w:val="00F07E88"/>
    <w:rsid w:val="00F07EB5"/>
    <w:rsid w:val="00F07F39"/>
    <w:rsid w:val="00F07FA3"/>
    <w:rsid w:val="00F07FC7"/>
    <w:rsid w:val="00F1060C"/>
    <w:rsid w:val="00F109EC"/>
    <w:rsid w:val="00F10AD9"/>
    <w:rsid w:val="00F10BCB"/>
    <w:rsid w:val="00F10C99"/>
    <w:rsid w:val="00F11073"/>
    <w:rsid w:val="00F1148D"/>
    <w:rsid w:val="00F11799"/>
    <w:rsid w:val="00F12536"/>
    <w:rsid w:val="00F125CE"/>
    <w:rsid w:val="00F12F3B"/>
    <w:rsid w:val="00F13CC5"/>
    <w:rsid w:val="00F13DBB"/>
    <w:rsid w:val="00F13E31"/>
    <w:rsid w:val="00F13E95"/>
    <w:rsid w:val="00F14785"/>
    <w:rsid w:val="00F147E3"/>
    <w:rsid w:val="00F149ED"/>
    <w:rsid w:val="00F14D20"/>
    <w:rsid w:val="00F14EC5"/>
    <w:rsid w:val="00F15022"/>
    <w:rsid w:val="00F150B4"/>
    <w:rsid w:val="00F15138"/>
    <w:rsid w:val="00F153BF"/>
    <w:rsid w:val="00F1593C"/>
    <w:rsid w:val="00F159B0"/>
    <w:rsid w:val="00F15F7A"/>
    <w:rsid w:val="00F162C2"/>
    <w:rsid w:val="00F162D5"/>
    <w:rsid w:val="00F1660E"/>
    <w:rsid w:val="00F16AD7"/>
    <w:rsid w:val="00F16FF9"/>
    <w:rsid w:val="00F1733E"/>
    <w:rsid w:val="00F17D9A"/>
    <w:rsid w:val="00F17DB2"/>
    <w:rsid w:val="00F20C68"/>
    <w:rsid w:val="00F20DDC"/>
    <w:rsid w:val="00F21307"/>
    <w:rsid w:val="00F22109"/>
    <w:rsid w:val="00F2233A"/>
    <w:rsid w:val="00F224DA"/>
    <w:rsid w:val="00F22952"/>
    <w:rsid w:val="00F22AA3"/>
    <w:rsid w:val="00F22B3D"/>
    <w:rsid w:val="00F22EA3"/>
    <w:rsid w:val="00F22F7E"/>
    <w:rsid w:val="00F233D6"/>
    <w:rsid w:val="00F23A92"/>
    <w:rsid w:val="00F23DDC"/>
    <w:rsid w:val="00F245CB"/>
    <w:rsid w:val="00F24752"/>
    <w:rsid w:val="00F24787"/>
    <w:rsid w:val="00F24B50"/>
    <w:rsid w:val="00F24B9D"/>
    <w:rsid w:val="00F2578B"/>
    <w:rsid w:val="00F257FD"/>
    <w:rsid w:val="00F25934"/>
    <w:rsid w:val="00F25A5C"/>
    <w:rsid w:val="00F25A85"/>
    <w:rsid w:val="00F25E97"/>
    <w:rsid w:val="00F263A8"/>
    <w:rsid w:val="00F265AD"/>
    <w:rsid w:val="00F26A69"/>
    <w:rsid w:val="00F26E6B"/>
    <w:rsid w:val="00F26ED3"/>
    <w:rsid w:val="00F270AE"/>
    <w:rsid w:val="00F273FF"/>
    <w:rsid w:val="00F27976"/>
    <w:rsid w:val="00F27A86"/>
    <w:rsid w:val="00F27B96"/>
    <w:rsid w:val="00F27BC3"/>
    <w:rsid w:val="00F27C9D"/>
    <w:rsid w:val="00F27DAE"/>
    <w:rsid w:val="00F302CB"/>
    <w:rsid w:val="00F30A89"/>
    <w:rsid w:val="00F3120C"/>
    <w:rsid w:val="00F3137A"/>
    <w:rsid w:val="00F3138C"/>
    <w:rsid w:val="00F314A4"/>
    <w:rsid w:val="00F3151A"/>
    <w:rsid w:val="00F317DD"/>
    <w:rsid w:val="00F31C2A"/>
    <w:rsid w:val="00F32030"/>
    <w:rsid w:val="00F323EB"/>
    <w:rsid w:val="00F32856"/>
    <w:rsid w:val="00F32C68"/>
    <w:rsid w:val="00F32F35"/>
    <w:rsid w:val="00F33023"/>
    <w:rsid w:val="00F333AF"/>
    <w:rsid w:val="00F336E8"/>
    <w:rsid w:val="00F337C9"/>
    <w:rsid w:val="00F33CD3"/>
    <w:rsid w:val="00F33D84"/>
    <w:rsid w:val="00F341C5"/>
    <w:rsid w:val="00F34305"/>
    <w:rsid w:val="00F346A2"/>
    <w:rsid w:val="00F34832"/>
    <w:rsid w:val="00F348C9"/>
    <w:rsid w:val="00F349B9"/>
    <w:rsid w:val="00F34E87"/>
    <w:rsid w:val="00F34EF4"/>
    <w:rsid w:val="00F35609"/>
    <w:rsid w:val="00F359C9"/>
    <w:rsid w:val="00F35A35"/>
    <w:rsid w:val="00F35C15"/>
    <w:rsid w:val="00F35C7E"/>
    <w:rsid w:val="00F35CEC"/>
    <w:rsid w:val="00F35D3F"/>
    <w:rsid w:val="00F36257"/>
    <w:rsid w:val="00F3632A"/>
    <w:rsid w:val="00F365C6"/>
    <w:rsid w:val="00F366EE"/>
    <w:rsid w:val="00F3674D"/>
    <w:rsid w:val="00F36768"/>
    <w:rsid w:val="00F36C70"/>
    <w:rsid w:val="00F36CE6"/>
    <w:rsid w:val="00F370C3"/>
    <w:rsid w:val="00F370E7"/>
    <w:rsid w:val="00F3711B"/>
    <w:rsid w:val="00F371FA"/>
    <w:rsid w:val="00F37239"/>
    <w:rsid w:val="00F3734B"/>
    <w:rsid w:val="00F37827"/>
    <w:rsid w:val="00F37ADE"/>
    <w:rsid w:val="00F37F12"/>
    <w:rsid w:val="00F40672"/>
    <w:rsid w:val="00F40762"/>
    <w:rsid w:val="00F40DD9"/>
    <w:rsid w:val="00F40EF5"/>
    <w:rsid w:val="00F40FBF"/>
    <w:rsid w:val="00F41102"/>
    <w:rsid w:val="00F4115F"/>
    <w:rsid w:val="00F418D2"/>
    <w:rsid w:val="00F41C05"/>
    <w:rsid w:val="00F422E4"/>
    <w:rsid w:val="00F424A5"/>
    <w:rsid w:val="00F42ABA"/>
    <w:rsid w:val="00F42E4A"/>
    <w:rsid w:val="00F43258"/>
    <w:rsid w:val="00F4361F"/>
    <w:rsid w:val="00F43862"/>
    <w:rsid w:val="00F4397F"/>
    <w:rsid w:val="00F43A3D"/>
    <w:rsid w:val="00F43E81"/>
    <w:rsid w:val="00F4434A"/>
    <w:rsid w:val="00F44663"/>
    <w:rsid w:val="00F44951"/>
    <w:rsid w:val="00F44960"/>
    <w:rsid w:val="00F44D5F"/>
    <w:rsid w:val="00F44E14"/>
    <w:rsid w:val="00F44EE9"/>
    <w:rsid w:val="00F45673"/>
    <w:rsid w:val="00F45678"/>
    <w:rsid w:val="00F459BF"/>
    <w:rsid w:val="00F4619D"/>
    <w:rsid w:val="00F4625D"/>
    <w:rsid w:val="00F46A13"/>
    <w:rsid w:val="00F46BCA"/>
    <w:rsid w:val="00F46EF3"/>
    <w:rsid w:val="00F47859"/>
    <w:rsid w:val="00F47F35"/>
    <w:rsid w:val="00F50002"/>
    <w:rsid w:val="00F5014A"/>
    <w:rsid w:val="00F505AF"/>
    <w:rsid w:val="00F5063C"/>
    <w:rsid w:val="00F50E9C"/>
    <w:rsid w:val="00F510BF"/>
    <w:rsid w:val="00F51386"/>
    <w:rsid w:val="00F51709"/>
    <w:rsid w:val="00F51EA3"/>
    <w:rsid w:val="00F51F99"/>
    <w:rsid w:val="00F5219D"/>
    <w:rsid w:val="00F524B9"/>
    <w:rsid w:val="00F5266A"/>
    <w:rsid w:val="00F527F0"/>
    <w:rsid w:val="00F528DD"/>
    <w:rsid w:val="00F52D2E"/>
    <w:rsid w:val="00F53121"/>
    <w:rsid w:val="00F53897"/>
    <w:rsid w:val="00F53B5B"/>
    <w:rsid w:val="00F53B6C"/>
    <w:rsid w:val="00F53DD0"/>
    <w:rsid w:val="00F541A7"/>
    <w:rsid w:val="00F54276"/>
    <w:rsid w:val="00F54C65"/>
    <w:rsid w:val="00F54EF9"/>
    <w:rsid w:val="00F55597"/>
    <w:rsid w:val="00F55A03"/>
    <w:rsid w:val="00F55C1E"/>
    <w:rsid w:val="00F55E6C"/>
    <w:rsid w:val="00F5604F"/>
    <w:rsid w:val="00F560B7"/>
    <w:rsid w:val="00F5695D"/>
    <w:rsid w:val="00F56B84"/>
    <w:rsid w:val="00F56C91"/>
    <w:rsid w:val="00F5742A"/>
    <w:rsid w:val="00F57949"/>
    <w:rsid w:val="00F57FD8"/>
    <w:rsid w:val="00F60990"/>
    <w:rsid w:val="00F61474"/>
    <w:rsid w:val="00F617B7"/>
    <w:rsid w:val="00F61B68"/>
    <w:rsid w:val="00F61B95"/>
    <w:rsid w:val="00F625F3"/>
    <w:rsid w:val="00F6275A"/>
    <w:rsid w:val="00F62A4D"/>
    <w:rsid w:val="00F62B7A"/>
    <w:rsid w:val="00F62C79"/>
    <w:rsid w:val="00F62FFE"/>
    <w:rsid w:val="00F63642"/>
    <w:rsid w:val="00F636C8"/>
    <w:rsid w:val="00F6377E"/>
    <w:rsid w:val="00F6397D"/>
    <w:rsid w:val="00F63EA4"/>
    <w:rsid w:val="00F640D6"/>
    <w:rsid w:val="00F64147"/>
    <w:rsid w:val="00F6443E"/>
    <w:rsid w:val="00F64554"/>
    <w:rsid w:val="00F648E1"/>
    <w:rsid w:val="00F64A80"/>
    <w:rsid w:val="00F64CAE"/>
    <w:rsid w:val="00F6508E"/>
    <w:rsid w:val="00F65547"/>
    <w:rsid w:val="00F65B21"/>
    <w:rsid w:val="00F66268"/>
    <w:rsid w:val="00F668C2"/>
    <w:rsid w:val="00F66C91"/>
    <w:rsid w:val="00F67189"/>
    <w:rsid w:val="00F6729F"/>
    <w:rsid w:val="00F67516"/>
    <w:rsid w:val="00F67788"/>
    <w:rsid w:val="00F678A8"/>
    <w:rsid w:val="00F6794B"/>
    <w:rsid w:val="00F67D53"/>
    <w:rsid w:val="00F67D6C"/>
    <w:rsid w:val="00F67F72"/>
    <w:rsid w:val="00F67FEB"/>
    <w:rsid w:val="00F70151"/>
    <w:rsid w:val="00F70531"/>
    <w:rsid w:val="00F70665"/>
    <w:rsid w:val="00F708FA"/>
    <w:rsid w:val="00F70A93"/>
    <w:rsid w:val="00F70BC8"/>
    <w:rsid w:val="00F70CF8"/>
    <w:rsid w:val="00F717A8"/>
    <w:rsid w:val="00F717B8"/>
    <w:rsid w:val="00F71884"/>
    <w:rsid w:val="00F71B96"/>
    <w:rsid w:val="00F7221C"/>
    <w:rsid w:val="00F724B6"/>
    <w:rsid w:val="00F7293E"/>
    <w:rsid w:val="00F72D7A"/>
    <w:rsid w:val="00F731BC"/>
    <w:rsid w:val="00F7377B"/>
    <w:rsid w:val="00F7380D"/>
    <w:rsid w:val="00F73C56"/>
    <w:rsid w:val="00F73F02"/>
    <w:rsid w:val="00F74629"/>
    <w:rsid w:val="00F748B9"/>
    <w:rsid w:val="00F74EF3"/>
    <w:rsid w:val="00F750D2"/>
    <w:rsid w:val="00F75918"/>
    <w:rsid w:val="00F75978"/>
    <w:rsid w:val="00F75D5C"/>
    <w:rsid w:val="00F76234"/>
    <w:rsid w:val="00F76632"/>
    <w:rsid w:val="00F76650"/>
    <w:rsid w:val="00F76FE2"/>
    <w:rsid w:val="00F77141"/>
    <w:rsid w:val="00F77491"/>
    <w:rsid w:val="00F7791F"/>
    <w:rsid w:val="00F77DA8"/>
    <w:rsid w:val="00F77F7B"/>
    <w:rsid w:val="00F8015D"/>
    <w:rsid w:val="00F8068C"/>
    <w:rsid w:val="00F8100B"/>
    <w:rsid w:val="00F81947"/>
    <w:rsid w:val="00F819E2"/>
    <w:rsid w:val="00F81A7A"/>
    <w:rsid w:val="00F81B16"/>
    <w:rsid w:val="00F81C7D"/>
    <w:rsid w:val="00F82415"/>
    <w:rsid w:val="00F82460"/>
    <w:rsid w:val="00F82478"/>
    <w:rsid w:val="00F8308E"/>
    <w:rsid w:val="00F83285"/>
    <w:rsid w:val="00F83398"/>
    <w:rsid w:val="00F834A7"/>
    <w:rsid w:val="00F83554"/>
    <w:rsid w:val="00F8387A"/>
    <w:rsid w:val="00F83950"/>
    <w:rsid w:val="00F83BCA"/>
    <w:rsid w:val="00F83E19"/>
    <w:rsid w:val="00F843F9"/>
    <w:rsid w:val="00F84C59"/>
    <w:rsid w:val="00F8545A"/>
    <w:rsid w:val="00F85619"/>
    <w:rsid w:val="00F85C91"/>
    <w:rsid w:val="00F85CDA"/>
    <w:rsid w:val="00F862C7"/>
    <w:rsid w:val="00F86643"/>
    <w:rsid w:val="00F86816"/>
    <w:rsid w:val="00F86897"/>
    <w:rsid w:val="00F86C3E"/>
    <w:rsid w:val="00F8728C"/>
    <w:rsid w:val="00F87CF5"/>
    <w:rsid w:val="00F87FBB"/>
    <w:rsid w:val="00F8B3DE"/>
    <w:rsid w:val="00F90352"/>
    <w:rsid w:val="00F907A0"/>
    <w:rsid w:val="00F907DF"/>
    <w:rsid w:val="00F90BE0"/>
    <w:rsid w:val="00F90D72"/>
    <w:rsid w:val="00F9101A"/>
    <w:rsid w:val="00F914BA"/>
    <w:rsid w:val="00F91646"/>
    <w:rsid w:val="00F916A2"/>
    <w:rsid w:val="00F917D0"/>
    <w:rsid w:val="00F91810"/>
    <w:rsid w:val="00F9187B"/>
    <w:rsid w:val="00F92385"/>
    <w:rsid w:val="00F92480"/>
    <w:rsid w:val="00F928F0"/>
    <w:rsid w:val="00F9291B"/>
    <w:rsid w:val="00F92E2D"/>
    <w:rsid w:val="00F92F34"/>
    <w:rsid w:val="00F933F9"/>
    <w:rsid w:val="00F93810"/>
    <w:rsid w:val="00F93A33"/>
    <w:rsid w:val="00F93C3F"/>
    <w:rsid w:val="00F93E9F"/>
    <w:rsid w:val="00F9428C"/>
    <w:rsid w:val="00F9437E"/>
    <w:rsid w:val="00F94462"/>
    <w:rsid w:val="00F94996"/>
    <w:rsid w:val="00F94ECE"/>
    <w:rsid w:val="00F952D6"/>
    <w:rsid w:val="00F95370"/>
    <w:rsid w:val="00F95410"/>
    <w:rsid w:val="00F955F5"/>
    <w:rsid w:val="00F95C7E"/>
    <w:rsid w:val="00F9662E"/>
    <w:rsid w:val="00F96A1B"/>
    <w:rsid w:val="00F96AE6"/>
    <w:rsid w:val="00F97345"/>
    <w:rsid w:val="00F97445"/>
    <w:rsid w:val="00F97735"/>
    <w:rsid w:val="00F97864"/>
    <w:rsid w:val="00F9798E"/>
    <w:rsid w:val="00F97A1F"/>
    <w:rsid w:val="00FA0067"/>
    <w:rsid w:val="00FA0A35"/>
    <w:rsid w:val="00FA1210"/>
    <w:rsid w:val="00FA1382"/>
    <w:rsid w:val="00FA158E"/>
    <w:rsid w:val="00FA195E"/>
    <w:rsid w:val="00FA1B4F"/>
    <w:rsid w:val="00FA1E05"/>
    <w:rsid w:val="00FA1E2F"/>
    <w:rsid w:val="00FA23D2"/>
    <w:rsid w:val="00FA2884"/>
    <w:rsid w:val="00FA29AC"/>
    <w:rsid w:val="00FA2A10"/>
    <w:rsid w:val="00FA319C"/>
    <w:rsid w:val="00FA31AF"/>
    <w:rsid w:val="00FA34A9"/>
    <w:rsid w:val="00FA3A1C"/>
    <w:rsid w:val="00FA3CE8"/>
    <w:rsid w:val="00FA3DB7"/>
    <w:rsid w:val="00FA40DF"/>
    <w:rsid w:val="00FA44E4"/>
    <w:rsid w:val="00FA45C5"/>
    <w:rsid w:val="00FA46C4"/>
    <w:rsid w:val="00FA4C39"/>
    <w:rsid w:val="00FA4E3A"/>
    <w:rsid w:val="00FA51BD"/>
    <w:rsid w:val="00FA5791"/>
    <w:rsid w:val="00FA5BFE"/>
    <w:rsid w:val="00FA5F21"/>
    <w:rsid w:val="00FA5F4A"/>
    <w:rsid w:val="00FA600A"/>
    <w:rsid w:val="00FA62F1"/>
    <w:rsid w:val="00FA6983"/>
    <w:rsid w:val="00FA69EB"/>
    <w:rsid w:val="00FA6AB3"/>
    <w:rsid w:val="00FA6BB7"/>
    <w:rsid w:val="00FA6CC0"/>
    <w:rsid w:val="00FA7144"/>
    <w:rsid w:val="00FA763D"/>
    <w:rsid w:val="00FA79DD"/>
    <w:rsid w:val="00FB021C"/>
    <w:rsid w:val="00FB09CE"/>
    <w:rsid w:val="00FB0C0A"/>
    <w:rsid w:val="00FB0DF6"/>
    <w:rsid w:val="00FB0ED9"/>
    <w:rsid w:val="00FB0FC8"/>
    <w:rsid w:val="00FB1232"/>
    <w:rsid w:val="00FB14DC"/>
    <w:rsid w:val="00FB167E"/>
    <w:rsid w:val="00FB1ACD"/>
    <w:rsid w:val="00FB24E9"/>
    <w:rsid w:val="00FB2584"/>
    <w:rsid w:val="00FB2C8B"/>
    <w:rsid w:val="00FB2E4B"/>
    <w:rsid w:val="00FB2E96"/>
    <w:rsid w:val="00FB3258"/>
    <w:rsid w:val="00FB325E"/>
    <w:rsid w:val="00FB34DB"/>
    <w:rsid w:val="00FB368B"/>
    <w:rsid w:val="00FB37F2"/>
    <w:rsid w:val="00FB3812"/>
    <w:rsid w:val="00FB3A91"/>
    <w:rsid w:val="00FB3BFA"/>
    <w:rsid w:val="00FB3C41"/>
    <w:rsid w:val="00FB4141"/>
    <w:rsid w:val="00FB4546"/>
    <w:rsid w:val="00FB491E"/>
    <w:rsid w:val="00FB4B6B"/>
    <w:rsid w:val="00FB4D11"/>
    <w:rsid w:val="00FB4D41"/>
    <w:rsid w:val="00FB5090"/>
    <w:rsid w:val="00FB56D0"/>
    <w:rsid w:val="00FB5834"/>
    <w:rsid w:val="00FB5BD2"/>
    <w:rsid w:val="00FB619D"/>
    <w:rsid w:val="00FB62E4"/>
    <w:rsid w:val="00FB6662"/>
    <w:rsid w:val="00FB6A5B"/>
    <w:rsid w:val="00FB6AF6"/>
    <w:rsid w:val="00FB6CDF"/>
    <w:rsid w:val="00FB6EB1"/>
    <w:rsid w:val="00FB6EE8"/>
    <w:rsid w:val="00FB6F3A"/>
    <w:rsid w:val="00FB7006"/>
    <w:rsid w:val="00FB7302"/>
    <w:rsid w:val="00FB7A46"/>
    <w:rsid w:val="00FB7EC5"/>
    <w:rsid w:val="00FB7FFC"/>
    <w:rsid w:val="00FC006F"/>
    <w:rsid w:val="00FC0074"/>
    <w:rsid w:val="00FC010D"/>
    <w:rsid w:val="00FC0194"/>
    <w:rsid w:val="00FC0715"/>
    <w:rsid w:val="00FC0756"/>
    <w:rsid w:val="00FC075F"/>
    <w:rsid w:val="00FC0A61"/>
    <w:rsid w:val="00FC0EFD"/>
    <w:rsid w:val="00FC1188"/>
    <w:rsid w:val="00FC1E14"/>
    <w:rsid w:val="00FC1E88"/>
    <w:rsid w:val="00FC1F9C"/>
    <w:rsid w:val="00FC20B5"/>
    <w:rsid w:val="00FC28C1"/>
    <w:rsid w:val="00FC2E5B"/>
    <w:rsid w:val="00FC30E0"/>
    <w:rsid w:val="00FC325B"/>
    <w:rsid w:val="00FC3BF7"/>
    <w:rsid w:val="00FC3EA6"/>
    <w:rsid w:val="00FC42A4"/>
    <w:rsid w:val="00FC45C4"/>
    <w:rsid w:val="00FC47E9"/>
    <w:rsid w:val="00FC47F9"/>
    <w:rsid w:val="00FC489B"/>
    <w:rsid w:val="00FC4DCB"/>
    <w:rsid w:val="00FC4F80"/>
    <w:rsid w:val="00FC5567"/>
    <w:rsid w:val="00FC55A1"/>
    <w:rsid w:val="00FC5778"/>
    <w:rsid w:val="00FC57B4"/>
    <w:rsid w:val="00FC5833"/>
    <w:rsid w:val="00FC5CF6"/>
    <w:rsid w:val="00FC6297"/>
    <w:rsid w:val="00FC661D"/>
    <w:rsid w:val="00FC6664"/>
    <w:rsid w:val="00FC68D1"/>
    <w:rsid w:val="00FC6D08"/>
    <w:rsid w:val="00FC6FB6"/>
    <w:rsid w:val="00FC70A4"/>
    <w:rsid w:val="00FC7223"/>
    <w:rsid w:val="00FC761E"/>
    <w:rsid w:val="00FC78E8"/>
    <w:rsid w:val="00FC8932"/>
    <w:rsid w:val="00FD0323"/>
    <w:rsid w:val="00FD070A"/>
    <w:rsid w:val="00FD0C06"/>
    <w:rsid w:val="00FD1004"/>
    <w:rsid w:val="00FD104A"/>
    <w:rsid w:val="00FD1928"/>
    <w:rsid w:val="00FD19CD"/>
    <w:rsid w:val="00FD19FB"/>
    <w:rsid w:val="00FD1CB0"/>
    <w:rsid w:val="00FD2909"/>
    <w:rsid w:val="00FD2D6D"/>
    <w:rsid w:val="00FD3C32"/>
    <w:rsid w:val="00FD4365"/>
    <w:rsid w:val="00FD43AB"/>
    <w:rsid w:val="00FD4A7A"/>
    <w:rsid w:val="00FD53D0"/>
    <w:rsid w:val="00FD57AF"/>
    <w:rsid w:val="00FD5EEA"/>
    <w:rsid w:val="00FD62DF"/>
    <w:rsid w:val="00FD6774"/>
    <w:rsid w:val="00FD6D09"/>
    <w:rsid w:val="00FD7378"/>
    <w:rsid w:val="00FD7821"/>
    <w:rsid w:val="00FD7E85"/>
    <w:rsid w:val="00FE082C"/>
    <w:rsid w:val="00FE0AB5"/>
    <w:rsid w:val="00FE0C08"/>
    <w:rsid w:val="00FE0F35"/>
    <w:rsid w:val="00FE11F8"/>
    <w:rsid w:val="00FE1220"/>
    <w:rsid w:val="00FE13A2"/>
    <w:rsid w:val="00FE16C3"/>
    <w:rsid w:val="00FE1ADB"/>
    <w:rsid w:val="00FE1FF4"/>
    <w:rsid w:val="00FE20A8"/>
    <w:rsid w:val="00FE20DF"/>
    <w:rsid w:val="00FE2351"/>
    <w:rsid w:val="00FE24B2"/>
    <w:rsid w:val="00FE305E"/>
    <w:rsid w:val="00FE337D"/>
    <w:rsid w:val="00FE375F"/>
    <w:rsid w:val="00FE3CEF"/>
    <w:rsid w:val="00FE483F"/>
    <w:rsid w:val="00FE4A51"/>
    <w:rsid w:val="00FE503F"/>
    <w:rsid w:val="00FE50BC"/>
    <w:rsid w:val="00FE5447"/>
    <w:rsid w:val="00FE5580"/>
    <w:rsid w:val="00FE5904"/>
    <w:rsid w:val="00FE598D"/>
    <w:rsid w:val="00FE5C94"/>
    <w:rsid w:val="00FE5EC6"/>
    <w:rsid w:val="00FE60AA"/>
    <w:rsid w:val="00FE60B5"/>
    <w:rsid w:val="00FE622F"/>
    <w:rsid w:val="00FE624E"/>
    <w:rsid w:val="00FE680B"/>
    <w:rsid w:val="00FE7B28"/>
    <w:rsid w:val="00FE7BF7"/>
    <w:rsid w:val="00FF03BD"/>
    <w:rsid w:val="00FF06C0"/>
    <w:rsid w:val="00FF07F7"/>
    <w:rsid w:val="00FF09F0"/>
    <w:rsid w:val="00FF0CC1"/>
    <w:rsid w:val="00FF110C"/>
    <w:rsid w:val="00FF13D0"/>
    <w:rsid w:val="00FF148F"/>
    <w:rsid w:val="00FF15CA"/>
    <w:rsid w:val="00FF1627"/>
    <w:rsid w:val="00FF1995"/>
    <w:rsid w:val="00FF2203"/>
    <w:rsid w:val="00FF2793"/>
    <w:rsid w:val="00FF2EDD"/>
    <w:rsid w:val="00FF2F6A"/>
    <w:rsid w:val="00FF33F4"/>
    <w:rsid w:val="00FF377D"/>
    <w:rsid w:val="00FF38F0"/>
    <w:rsid w:val="00FF3D4B"/>
    <w:rsid w:val="00FF4349"/>
    <w:rsid w:val="00FF4409"/>
    <w:rsid w:val="00FF4A3D"/>
    <w:rsid w:val="00FF528F"/>
    <w:rsid w:val="00FF548D"/>
    <w:rsid w:val="00FF5B1C"/>
    <w:rsid w:val="00FF5F24"/>
    <w:rsid w:val="00FF6056"/>
    <w:rsid w:val="00FF617D"/>
    <w:rsid w:val="00FF6256"/>
    <w:rsid w:val="00FF6CF5"/>
    <w:rsid w:val="00FF7013"/>
    <w:rsid w:val="00FF725E"/>
    <w:rsid w:val="00FF74C2"/>
    <w:rsid w:val="00FF774A"/>
    <w:rsid w:val="00FF7A99"/>
    <w:rsid w:val="01008B49"/>
    <w:rsid w:val="010F8EDA"/>
    <w:rsid w:val="0111EA41"/>
    <w:rsid w:val="012E8FA9"/>
    <w:rsid w:val="013C5FB7"/>
    <w:rsid w:val="016B4473"/>
    <w:rsid w:val="016EFA0D"/>
    <w:rsid w:val="019EB85C"/>
    <w:rsid w:val="01DD00CC"/>
    <w:rsid w:val="01F1C25E"/>
    <w:rsid w:val="01F7F735"/>
    <w:rsid w:val="020C3160"/>
    <w:rsid w:val="021EC6BE"/>
    <w:rsid w:val="022A0A9C"/>
    <w:rsid w:val="022AC5B3"/>
    <w:rsid w:val="024BACFF"/>
    <w:rsid w:val="0258E4F6"/>
    <w:rsid w:val="026A7B3E"/>
    <w:rsid w:val="027E5779"/>
    <w:rsid w:val="02AAEA39"/>
    <w:rsid w:val="02CB8B03"/>
    <w:rsid w:val="02D3B40D"/>
    <w:rsid w:val="02DDC0F5"/>
    <w:rsid w:val="030DAF14"/>
    <w:rsid w:val="031ECBEA"/>
    <w:rsid w:val="031F4E20"/>
    <w:rsid w:val="034717E6"/>
    <w:rsid w:val="035E5EF4"/>
    <w:rsid w:val="036AA4EE"/>
    <w:rsid w:val="036D5032"/>
    <w:rsid w:val="038D6AB9"/>
    <w:rsid w:val="03BFC119"/>
    <w:rsid w:val="03D79271"/>
    <w:rsid w:val="03E08E00"/>
    <w:rsid w:val="03E9B605"/>
    <w:rsid w:val="03F5EDE3"/>
    <w:rsid w:val="044BAB7C"/>
    <w:rsid w:val="045E2727"/>
    <w:rsid w:val="04668C75"/>
    <w:rsid w:val="0482DFC5"/>
    <w:rsid w:val="048A98C9"/>
    <w:rsid w:val="049C9B66"/>
    <w:rsid w:val="04A83BC4"/>
    <w:rsid w:val="04ABD765"/>
    <w:rsid w:val="04BF84E7"/>
    <w:rsid w:val="04C8EE6F"/>
    <w:rsid w:val="04EE4C20"/>
    <w:rsid w:val="04F36B4A"/>
    <w:rsid w:val="04F3BCE6"/>
    <w:rsid w:val="051B0D4F"/>
    <w:rsid w:val="0525C9B3"/>
    <w:rsid w:val="05436148"/>
    <w:rsid w:val="055F6CB9"/>
    <w:rsid w:val="0584B4AB"/>
    <w:rsid w:val="0599B7AB"/>
    <w:rsid w:val="0599E495"/>
    <w:rsid w:val="05A09484"/>
    <w:rsid w:val="05B2A72D"/>
    <w:rsid w:val="05B788A2"/>
    <w:rsid w:val="05C5B49E"/>
    <w:rsid w:val="05F7D889"/>
    <w:rsid w:val="0605B4C7"/>
    <w:rsid w:val="06444010"/>
    <w:rsid w:val="06482C40"/>
    <w:rsid w:val="064CDAA0"/>
    <w:rsid w:val="06510DB2"/>
    <w:rsid w:val="0673F137"/>
    <w:rsid w:val="06800D99"/>
    <w:rsid w:val="06A3CB5C"/>
    <w:rsid w:val="06ACB8D9"/>
    <w:rsid w:val="06CB4418"/>
    <w:rsid w:val="06ED3DC2"/>
    <w:rsid w:val="070B22EA"/>
    <w:rsid w:val="070BA7F0"/>
    <w:rsid w:val="070E3A94"/>
    <w:rsid w:val="0726933D"/>
    <w:rsid w:val="072EC6CA"/>
    <w:rsid w:val="07333D4F"/>
    <w:rsid w:val="0742F3EC"/>
    <w:rsid w:val="074B00A3"/>
    <w:rsid w:val="0756FD14"/>
    <w:rsid w:val="07603D2F"/>
    <w:rsid w:val="0766E69C"/>
    <w:rsid w:val="077FE5B2"/>
    <w:rsid w:val="0786D82D"/>
    <w:rsid w:val="07A16207"/>
    <w:rsid w:val="07EC2888"/>
    <w:rsid w:val="07EC9121"/>
    <w:rsid w:val="0803BF3C"/>
    <w:rsid w:val="0813CD69"/>
    <w:rsid w:val="082F4299"/>
    <w:rsid w:val="0841D7E1"/>
    <w:rsid w:val="084A38CA"/>
    <w:rsid w:val="0857442A"/>
    <w:rsid w:val="087572F6"/>
    <w:rsid w:val="08B7FD2A"/>
    <w:rsid w:val="08C88409"/>
    <w:rsid w:val="08CCBCEB"/>
    <w:rsid w:val="08FA9E9D"/>
    <w:rsid w:val="09177455"/>
    <w:rsid w:val="0958A6AE"/>
    <w:rsid w:val="0969AF78"/>
    <w:rsid w:val="0983B7D6"/>
    <w:rsid w:val="0990620A"/>
    <w:rsid w:val="099B868E"/>
    <w:rsid w:val="09B02A69"/>
    <w:rsid w:val="09B3BFE0"/>
    <w:rsid w:val="0A1201AE"/>
    <w:rsid w:val="0A34309C"/>
    <w:rsid w:val="0A3A3CA3"/>
    <w:rsid w:val="0A477791"/>
    <w:rsid w:val="0A614D8C"/>
    <w:rsid w:val="0A6B5A62"/>
    <w:rsid w:val="0A73BE81"/>
    <w:rsid w:val="0A895341"/>
    <w:rsid w:val="0A8E37B4"/>
    <w:rsid w:val="0AB46611"/>
    <w:rsid w:val="0AD12751"/>
    <w:rsid w:val="0AD8941A"/>
    <w:rsid w:val="0AE1E9B4"/>
    <w:rsid w:val="0AEE10B5"/>
    <w:rsid w:val="0B057515"/>
    <w:rsid w:val="0B12496F"/>
    <w:rsid w:val="0B2168FF"/>
    <w:rsid w:val="0B344DAF"/>
    <w:rsid w:val="0B80466A"/>
    <w:rsid w:val="0B998F83"/>
    <w:rsid w:val="0B9A31BD"/>
    <w:rsid w:val="0BC69A74"/>
    <w:rsid w:val="0BE1562A"/>
    <w:rsid w:val="0BE4D821"/>
    <w:rsid w:val="0BE8DFC4"/>
    <w:rsid w:val="0BF80480"/>
    <w:rsid w:val="0C4E3731"/>
    <w:rsid w:val="0C51D54F"/>
    <w:rsid w:val="0C5627A4"/>
    <w:rsid w:val="0C57049A"/>
    <w:rsid w:val="0C5CA3CA"/>
    <w:rsid w:val="0C60FAAC"/>
    <w:rsid w:val="0C7408A5"/>
    <w:rsid w:val="0C759FC4"/>
    <w:rsid w:val="0CA0B2CF"/>
    <w:rsid w:val="0CA65007"/>
    <w:rsid w:val="0CABA3C3"/>
    <w:rsid w:val="0CC07BDF"/>
    <w:rsid w:val="0CDA5221"/>
    <w:rsid w:val="0D038C23"/>
    <w:rsid w:val="0D174056"/>
    <w:rsid w:val="0D55E733"/>
    <w:rsid w:val="0D5EA5C5"/>
    <w:rsid w:val="0D8ED0EC"/>
    <w:rsid w:val="0DAE02C6"/>
    <w:rsid w:val="0DBF5A70"/>
    <w:rsid w:val="0DCA91AF"/>
    <w:rsid w:val="0DCF8E63"/>
    <w:rsid w:val="0DEBDCF8"/>
    <w:rsid w:val="0DEC5A5A"/>
    <w:rsid w:val="0DF02909"/>
    <w:rsid w:val="0E212452"/>
    <w:rsid w:val="0E2F8C6E"/>
    <w:rsid w:val="0E3B47B5"/>
    <w:rsid w:val="0E5ED6B8"/>
    <w:rsid w:val="0E68EB2B"/>
    <w:rsid w:val="0E6B93D7"/>
    <w:rsid w:val="0E6CDD30"/>
    <w:rsid w:val="0E881390"/>
    <w:rsid w:val="0E8A3EF0"/>
    <w:rsid w:val="0EA4B9DA"/>
    <w:rsid w:val="0EB0C1B4"/>
    <w:rsid w:val="0EB6F992"/>
    <w:rsid w:val="0EBA1D10"/>
    <w:rsid w:val="0EC57EAA"/>
    <w:rsid w:val="0EC7EA00"/>
    <w:rsid w:val="0ED3332F"/>
    <w:rsid w:val="0EE7725C"/>
    <w:rsid w:val="0F081EB9"/>
    <w:rsid w:val="0F0C7B61"/>
    <w:rsid w:val="0F43D16A"/>
    <w:rsid w:val="0F485934"/>
    <w:rsid w:val="0F49415A"/>
    <w:rsid w:val="0F6ACA13"/>
    <w:rsid w:val="0F804891"/>
    <w:rsid w:val="0F8FE8AF"/>
    <w:rsid w:val="0FA9E081"/>
    <w:rsid w:val="0FBAFA1D"/>
    <w:rsid w:val="0FC80E12"/>
    <w:rsid w:val="0FD6F55C"/>
    <w:rsid w:val="0FE1DCCE"/>
    <w:rsid w:val="0FECD23C"/>
    <w:rsid w:val="0FF58C2A"/>
    <w:rsid w:val="1005ECDC"/>
    <w:rsid w:val="100FABC8"/>
    <w:rsid w:val="1010BE76"/>
    <w:rsid w:val="1030CC90"/>
    <w:rsid w:val="1050140A"/>
    <w:rsid w:val="1070E615"/>
    <w:rsid w:val="109921D0"/>
    <w:rsid w:val="109DC2D4"/>
    <w:rsid w:val="10CEC3F6"/>
    <w:rsid w:val="10E5B568"/>
    <w:rsid w:val="10ECF1D9"/>
    <w:rsid w:val="10F533D8"/>
    <w:rsid w:val="1105EB0D"/>
    <w:rsid w:val="110B3EA5"/>
    <w:rsid w:val="1136CB6E"/>
    <w:rsid w:val="11572AA6"/>
    <w:rsid w:val="119027D2"/>
    <w:rsid w:val="1196E620"/>
    <w:rsid w:val="11A9F4EE"/>
    <w:rsid w:val="11AB2384"/>
    <w:rsid w:val="11AF5E4B"/>
    <w:rsid w:val="11BB4011"/>
    <w:rsid w:val="11BF64D3"/>
    <w:rsid w:val="11C6DB1A"/>
    <w:rsid w:val="11C6EB67"/>
    <w:rsid w:val="11D6C242"/>
    <w:rsid w:val="11E70DEA"/>
    <w:rsid w:val="11EEA422"/>
    <w:rsid w:val="120C2F8D"/>
    <w:rsid w:val="1211B4D5"/>
    <w:rsid w:val="12159F94"/>
    <w:rsid w:val="1219255D"/>
    <w:rsid w:val="122091A2"/>
    <w:rsid w:val="12227524"/>
    <w:rsid w:val="1232ED56"/>
    <w:rsid w:val="126054F3"/>
    <w:rsid w:val="12A30A10"/>
    <w:rsid w:val="12B97186"/>
    <w:rsid w:val="12D5DE21"/>
    <w:rsid w:val="12D87768"/>
    <w:rsid w:val="12F1FC01"/>
    <w:rsid w:val="1311F4C9"/>
    <w:rsid w:val="1317A27A"/>
    <w:rsid w:val="132C99EE"/>
    <w:rsid w:val="1336EAB6"/>
    <w:rsid w:val="1340B537"/>
    <w:rsid w:val="138F0526"/>
    <w:rsid w:val="1393E092"/>
    <w:rsid w:val="139CB8FB"/>
    <w:rsid w:val="139EC711"/>
    <w:rsid w:val="13A9F9F3"/>
    <w:rsid w:val="13B35CCA"/>
    <w:rsid w:val="13D82FA2"/>
    <w:rsid w:val="13F6AA2C"/>
    <w:rsid w:val="13FABD47"/>
    <w:rsid w:val="142852A7"/>
    <w:rsid w:val="143112F4"/>
    <w:rsid w:val="1438B348"/>
    <w:rsid w:val="143DC804"/>
    <w:rsid w:val="1441B077"/>
    <w:rsid w:val="14423BEB"/>
    <w:rsid w:val="1472D688"/>
    <w:rsid w:val="147A9F85"/>
    <w:rsid w:val="14850EE8"/>
    <w:rsid w:val="14B32C31"/>
    <w:rsid w:val="14B7D26A"/>
    <w:rsid w:val="14C77C2E"/>
    <w:rsid w:val="14C971A6"/>
    <w:rsid w:val="14E34A40"/>
    <w:rsid w:val="14FAAE38"/>
    <w:rsid w:val="154EDD75"/>
    <w:rsid w:val="157C26ED"/>
    <w:rsid w:val="1597B63F"/>
    <w:rsid w:val="159AE9FC"/>
    <w:rsid w:val="15C6E63E"/>
    <w:rsid w:val="15CF06EB"/>
    <w:rsid w:val="15E75825"/>
    <w:rsid w:val="160DAF3D"/>
    <w:rsid w:val="1639F7B4"/>
    <w:rsid w:val="1642F6F6"/>
    <w:rsid w:val="16595D28"/>
    <w:rsid w:val="165BB2EE"/>
    <w:rsid w:val="167E3E3B"/>
    <w:rsid w:val="16849236"/>
    <w:rsid w:val="16A04A3A"/>
    <w:rsid w:val="16A3D6AF"/>
    <w:rsid w:val="16ACE5F6"/>
    <w:rsid w:val="16AE73C0"/>
    <w:rsid w:val="16D01967"/>
    <w:rsid w:val="17056474"/>
    <w:rsid w:val="17144445"/>
    <w:rsid w:val="1718F1B2"/>
    <w:rsid w:val="17355923"/>
    <w:rsid w:val="1763DF00"/>
    <w:rsid w:val="176B4406"/>
    <w:rsid w:val="177D119E"/>
    <w:rsid w:val="17A3F060"/>
    <w:rsid w:val="17A8A546"/>
    <w:rsid w:val="17CEF927"/>
    <w:rsid w:val="17CF157F"/>
    <w:rsid w:val="17DB9591"/>
    <w:rsid w:val="17E28297"/>
    <w:rsid w:val="17E77E15"/>
    <w:rsid w:val="17F13E08"/>
    <w:rsid w:val="18070A5B"/>
    <w:rsid w:val="1816999D"/>
    <w:rsid w:val="181FDCFC"/>
    <w:rsid w:val="18230A6E"/>
    <w:rsid w:val="1838243A"/>
    <w:rsid w:val="1839DA95"/>
    <w:rsid w:val="18561B7D"/>
    <w:rsid w:val="1861AA7A"/>
    <w:rsid w:val="1872C584"/>
    <w:rsid w:val="18965246"/>
    <w:rsid w:val="18AC76B9"/>
    <w:rsid w:val="18BC4880"/>
    <w:rsid w:val="18DFFA0A"/>
    <w:rsid w:val="18E2FEE4"/>
    <w:rsid w:val="18FF686B"/>
    <w:rsid w:val="190B852B"/>
    <w:rsid w:val="1926554E"/>
    <w:rsid w:val="192C82EA"/>
    <w:rsid w:val="1930A88C"/>
    <w:rsid w:val="1964DF69"/>
    <w:rsid w:val="1984E24E"/>
    <w:rsid w:val="19966B09"/>
    <w:rsid w:val="19D4313A"/>
    <w:rsid w:val="1A1F42ED"/>
    <w:rsid w:val="1A27A73B"/>
    <w:rsid w:val="1A2CE957"/>
    <w:rsid w:val="1A3BC4C9"/>
    <w:rsid w:val="1A3C1F45"/>
    <w:rsid w:val="1A5E9AE3"/>
    <w:rsid w:val="1A782DF7"/>
    <w:rsid w:val="1A7D73AE"/>
    <w:rsid w:val="1A7E92C5"/>
    <w:rsid w:val="1A8625FD"/>
    <w:rsid w:val="1A92ED07"/>
    <w:rsid w:val="1AC15A0C"/>
    <w:rsid w:val="1ACC46F1"/>
    <w:rsid w:val="1AF68221"/>
    <w:rsid w:val="1B0BB8BB"/>
    <w:rsid w:val="1B4A97A7"/>
    <w:rsid w:val="1B9477D5"/>
    <w:rsid w:val="1B9C8518"/>
    <w:rsid w:val="1BACD44A"/>
    <w:rsid w:val="1BCE128B"/>
    <w:rsid w:val="1BE1116F"/>
    <w:rsid w:val="1BF101F2"/>
    <w:rsid w:val="1C009D01"/>
    <w:rsid w:val="1C1803AA"/>
    <w:rsid w:val="1C19F108"/>
    <w:rsid w:val="1C35168D"/>
    <w:rsid w:val="1C5E66F2"/>
    <w:rsid w:val="1C72552B"/>
    <w:rsid w:val="1C8BBCDA"/>
    <w:rsid w:val="1C96AF18"/>
    <w:rsid w:val="1C96E6FF"/>
    <w:rsid w:val="1CAEB73D"/>
    <w:rsid w:val="1CBD235B"/>
    <w:rsid w:val="1CC6E37B"/>
    <w:rsid w:val="1CD91530"/>
    <w:rsid w:val="1CEA0412"/>
    <w:rsid w:val="1CEF8575"/>
    <w:rsid w:val="1D020618"/>
    <w:rsid w:val="1D1BD970"/>
    <w:rsid w:val="1D39C259"/>
    <w:rsid w:val="1D3D4BE5"/>
    <w:rsid w:val="1D4900D5"/>
    <w:rsid w:val="1D52304D"/>
    <w:rsid w:val="1D573CCB"/>
    <w:rsid w:val="1D7F2792"/>
    <w:rsid w:val="1D826BCE"/>
    <w:rsid w:val="1D9F3B74"/>
    <w:rsid w:val="1DB18379"/>
    <w:rsid w:val="1DBFFE04"/>
    <w:rsid w:val="1DE02782"/>
    <w:rsid w:val="1DFCFCA5"/>
    <w:rsid w:val="1E69D719"/>
    <w:rsid w:val="1E85CFCC"/>
    <w:rsid w:val="1E8819E8"/>
    <w:rsid w:val="1E9C41A9"/>
    <w:rsid w:val="1E9E37CC"/>
    <w:rsid w:val="1EF61CF3"/>
    <w:rsid w:val="1EFE2F2A"/>
    <w:rsid w:val="1EFF3656"/>
    <w:rsid w:val="1F05CB08"/>
    <w:rsid w:val="1F15B111"/>
    <w:rsid w:val="1F27D73F"/>
    <w:rsid w:val="1F465ECE"/>
    <w:rsid w:val="1F98D1EB"/>
    <w:rsid w:val="1FAE853D"/>
    <w:rsid w:val="1FCDE201"/>
    <w:rsid w:val="1FD018A3"/>
    <w:rsid w:val="1FEB86CB"/>
    <w:rsid w:val="1FFC6C3B"/>
    <w:rsid w:val="201BB4A4"/>
    <w:rsid w:val="202A64DD"/>
    <w:rsid w:val="20374735"/>
    <w:rsid w:val="2045244F"/>
    <w:rsid w:val="2047DB5A"/>
    <w:rsid w:val="204F8C47"/>
    <w:rsid w:val="2054528A"/>
    <w:rsid w:val="2057C6CB"/>
    <w:rsid w:val="20858F41"/>
    <w:rsid w:val="209B75F9"/>
    <w:rsid w:val="20AB0FD7"/>
    <w:rsid w:val="20CCC247"/>
    <w:rsid w:val="20D952E5"/>
    <w:rsid w:val="20E75FD6"/>
    <w:rsid w:val="20EECB55"/>
    <w:rsid w:val="212385BF"/>
    <w:rsid w:val="2123FF77"/>
    <w:rsid w:val="2131764A"/>
    <w:rsid w:val="21356FA7"/>
    <w:rsid w:val="214A3A85"/>
    <w:rsid w:val="21722EC2"/>
    <w:rsid w:val="217EAE99"/>
    <w:rsid w:val="21897193"/>
    <w:rsid w:val="219A9E52"/>
    <w:rsid w:val="219C43A9"/>
    <w:rsid w:val="21B44649"/>
    <w:rsid w:val="21E4F2AD"/>
    <w:rsid w:val="2211C1EF"/>
    <w:rsid w:val="222B2BCE"/>
    <w:rsid w:val="224660F6"/>
    <w:rsid w:val="22548092"/>
    <w:rsid w:val="22568C6E"/>
    <w:rsid w:val="225A4FE6"/>
    <w:rsid w:val="226EA9D5"/>
    <w:rsid w:val="2285B197"/>
    <w:rsid w:val="228BC254"/>
    <w:rsid w:val="22D90D65"/>
    <w:rsid w:val="22DC7877"/>
    <w:rsid w:val="230A7E09"/>
    <w:rsid w:val="234354DD"/>
    <w:rsid w:val="2346DE89"/>
    <w:rsid w:val="234ABCCE"/>
    <w:rsid w:val="234BB8CA"/>
    <w:rsid w:val="23514DDC"/>
    <w:rsid w:val="23517F77"/>
    <w:rsid w:val="2360A919"/>
    <w:rsid w:val="23654659"/>
    <w:rsid w:val="238396BC"/>
    <w:rsid w:val="23872B1F"/>
    <w:rsid w:val="23915E8D"/>
    <w:rsid w:val="239FE5F9"/>
    <w:rsid w:val="23B731B2"/>
    <w:rsid w:val="23BAC624"/>
    <w:rsid w:val="23C49DE2"/>
    <w:rsid w:val="23CD6884"/>
    <w:rsid w:val="23D21349"/>
    <w:rsid w:val="23DAAF71"/>
    <w:rsid w:val="23E0AC54"/>
    <w:rsid w:val="23F51F23"/>
    <w:rsid w:val="2400A192"/>
    <w:rsid w:val="240AB9C5"/>
    <w:rsid w:val="24306E19"/>
    <w:rsid w:val="244451CE"/>
    <w:rsid w:val="24764A1E"/>
    <w:rsid w:val="249403CB"/>
    <w:rsid w:val="24B80E93"/>
    <w:rsid w:val="24C2D70A"/>
    <w:rsid w:val="24C7A1E5"/>
    <w:rsid w:val="24FEF322"/>
    <w:rsid w:val="250FA2F2"/>
    <w:rsid w:val="254A4407"/>
    <w:rsid w:val="2560175E"/>
    <w:rsid w:val="25875FCB"/>
    <w:rsid w:val="2594A78B"/>
    <w:rsid w:val="25ADBA3B"/>
    <w:rsid w:val="25C05408"/>
    <w:rsid w:val="25C59B07"/>
    <w:rsid w:val="25EEC8D6"/>
    <w:rsid w:val="264075A0"/>
    <w:rsid w:val="26646A88"/>
    <w:rsid w:val="266BE92E"/>
    <w:rsid w:val="266CEF93"/>
    <w:rsid w:val="267A32BC"/>
    <w:rsid w:val="2697DE80"/>
    <w:rsid w:val="26C837A7"/>
    <w:rsid w:val="26FBAE46"/>
    <w:rsid w:val="2708C9E0"/>
    <w:rsid w:val="270F6E83"/>
    <w:rsid w:val="272B90EA"/>
    <w:rsid w:val="27526435"/>
    <w:rsid w:val="27542B9A"/>
    <w:rsid w:val="275F568B"/>
    <w:rsid w:val="2766476F"/>
    <w:rsid w:val="2767A4F6"/>
    <w:rsid w:val="276E004E"/>
    <w:rsid w:val="277ECDF6"/>
    <w:rsid w:val="278BCC2C"/>
    <w:rsid w:val="27B7D883"/>
    <w:rsid w:val="27C1C006"/>
    <w:rsid w:val="27D5B1EA"/>
    <w:rsid w:val="27EE5250"/>
    <w:rsid w:val="28017B82"/>
    <w:rsid w:val="2801FC77"/>
    <w:rsid w:val="280C3CD6"/>
    <w:rsid w:val="281182AD"/>
    <w:rsid w:val="28181FCE"/>
    <w:rsid w:val="28219085"/>
    <w:rsid w:val="282EA719"/>
    <w:rsid w:val="285C3F41"/>
    <w:rsid w:val="28784B65"/>
    <w:rsid w:val="288E402A"/>
    <w:rsid w:val="289E66DE"/>
    <w:rsid w:val="291AEE14"/>
    <w:rsid w:val="292DBB36"/>
    <w:rsid w:val="2938A2B0"/>
    <w:rsid w:val="29424F09"/>
    <w:rsid w:val="29635476"/>
    <w:rsid w:val="2971C9EC"/>
    <w:rsid w:val="2981325F"/>
    <w:rsid w:val="29989529"/>
    <w:rsid w:val="29C9E14A"/>
    <w:rsid w:val="29F5C448"/>
    <w:rsid w:val="2A031439"/>
    <w:rsid w:val="2A098FBC"/>
    <w:rsid w:val="2A0A0BCD"/>
    <w:rsid w:val="2A125733"/>
    <w:rsid w:val="2A329BA5"/>
    <w:rsid w:val="2A5B7D02"/>
    <w:rsid w:val="2A720B8B"/>
    <w:rsid w:val="2A786B9E"/>
    <w:rsid w:val="2A878452"/>
    <w:rsid w:val="2A8CA1D3"/>
    <w:rsid w:val="2A95607D"/>
    <w:rsid w:val="2A9B856D"/>
    <w:rsid w:val="2AA9A446"/>
    <w:rsid w:val="2AAFC5D2"/>
    <w:rsid w:val="2ABF87D3"/>
    <w:rsid w:val="2ACF9186"/>
    <w:rsid w:val="2AF0DA67"/>
    <w:rsid w:val="2B0142F2"/>
    <w:rsid w:val="2B0E7F82"/>
    <w:rsid w:val="2B1D8DF5"/>
    <w:rsid w:val="2B32D464"/>
    <w:rsid w:val="2B41BA8F"/>
    <w:rsid w:val="2B44EC3C"/>
    <w:rsid w:val="2B50E4A9"/>
    <w:rsid w:val="2B6607AA"/>
    <w:rsid w:val="2B7FA516"/>
    <w:rsid w:val="2B850C11"/>
    <w:rsid w:val="2BCFE0EA"/>
    <w:rsid w:val="2BD3FC95"/>
    <w:rsid w:val="2BE59CBE"/>
    <w:rsid w:val="2C00E9B3"/>
    <w:rsid w:val="2C1D690E"/>
    <w:rsid w:val="2C21405D"/>
    <w:rsid w:val="2C3669C5"/>
    <w:rsid w:val="2C3F3409"/>
    <w:rsid w:val="2C80B417"/>
    <w:rsid w:val="2CAD1F44"/>
    <w:rsid w:val="2CAFF446"/>
    <w:rsid w:val="2CB0B66B"/>
    <w:rsid w:val="2CB8710F"/>
    <w:rsid w:val="2CC36B87"/>
    <w:rsid w:val="2CE82AC4"/>
    <w:rsid w:val="2D24759C"/>
    <w:rsid w:val="2D2B5F52"/>
    <w:rsid w:val="2D44C152"/>
    <w:rsid w:val="2D5A63F9"/>
    <w:rsid w:val="2D5B1200"/>
    <w:rsid w:val="2D601FBA"/>
    <w:rsid w:val="2D6CDA65"/>
    <w:rsid w:val="2D90F8F5"/>
    <w:rsid w:val="2DB6863B"/>
    <w:rsid w:val="2DB76A80"/>
    <w:rsid w:val="2DD368FD"/>
    <w:rsid w:val="2DD640C2"/>
    <w:rsid w:val="2E083022"/>
    <w:rsid w:val="2E40CDC7"/>
    <w:rsid w:val="2E43D181"/>
    <w:rsid w:val="2E481923"/>
    <w:rsid w:val="2E4B84D1"/>
    <w:rsid w:val="2E61EDA6"/>
    <w:rsid w:val="2E8F5435"/>
    <w:rsid w:val="2E971DB6"/>
    <w:rsid w:val="2EC1BF7B"/>
    <w:rsid w:val="2ED1D12A"/>
    <w:rsid w:val="2F082CF1"/>
    <w:rsid w:val="2F14395E"/>
    <w:rsid w:val="2F1CD538"/>
    <w:rsid w:val="2F37781C"/>
    <w:rsid w:val="2F51C0C1"/>
    <w:rsid w:val="2F5AFBF9"/>
    <w:rsid w:val="2F71D908"/>
    <w:rsid w:val="2F73736C"/>
    <w:rsid w:val="2F8730C4"/>
    <w:rsid w:val="2F8DBAED"/>
    <w:rsid w:val="2FB64AE5"/>
    <w:rsid w:val="2FD99B06"/>
    <w:rsid w:val="2FE59C42"/>
    <w:rsid w:val="2FED8EF3"/>
    <w:rsid w:val="302B99C2"/>
    <w:rsid w:val="3039CE2E"/>
    <w:rsid w:val="30459661"/>
    <w:rsid w:val="305306CA"/>
    <w:rsid w:val="3068F7D8"/>
    <w:rsid w:val="3098DE5D"/>
    <w:rsid w:val="309936DC"/>
    <w:rsid w:val="30BE43E8"/>
    <w:rsid w:val="30E3095A"/>
    <w:rsid w:val="30EC67E7"/>
    <w:rsid w:val="30FEC4FD"/>
    <w:rsid w:val="310B1BFC"/>
    <w:rsid w:val="310C5935"/>
    <w:rsid w:val="3114F6E2"/>
    <w:rsid w:val="312BC852"/>
    <w:rsid w:val="313897A1"/>
    <w:rsid w:val="313A30E1"/>
    <w:rsid w:val="314D6D78"/>
    <w:rsid w:val="314F7916"/>
    <w:rsid w:val="31512351"/>
    <w:rsid w:val="31602140"/>
    <w:rsid w:val="31C32CEA"/>
    <w:rsid w:val="31F5F596"/>
    <w:rsid w:val="321A7874"/>
    <w:rsid w:val="3224D2E3"/>
    <w:rsid w:val="3227876D"/>
    <w:rsid w:val="323767B5"/>
    <w:rsid w:val="323F48E9"/>
    <w:rsid w:val="32454464"/>
    <w:rsid w:val="3253B38D"/>
    <w:rsid w:val="327B9225"/>
    <w:rsid w:val="32BA8E36"/>
    <w:rsid w:val="32BC23D5"/>
    <w:rsid w:val="32CDF46A"/>
    <w:rsid w:val="32D36FC5"/>
    <w:rsid w:val="32EE6F0B"/>
    <w:rsid w:val="330CC985"/>
    <w:rsid w:val="3342FBA9"/>
    <w:rsid w:val="33527980"/>
    <w:rsid w:val="3355B739"/>
    <w:rsid w:val="33567F23"/>
    <w:rsid w:val="33640976"/>
    <w:rsid w:val="336EE326"/>
    <w:rsid w:val="3370BD30"/>
    <w:rsid w:val="3377BA97"/>
    <w:rsid w:val="3387F59E"/>
    <w:rsid w:val="33B2D8B1"/>
    <w:rsid w:val="33B9236A"/>
    <w:rsid w:val="33BAC081"/>
    <w:rsid w:val="33BACE46"/>
    <w:rsid w:val="33C0F577"/>
    <w:rsid w:val="33C9E9F5"/>
    <w:rsid w:val="33CEF148"/>
    <w:rsid w:val="33D2E4CC"/>
    <w:rsid w:val="33D814BF"/>
    <w:rsid w:val="3400D026"/>
    <w:rsid w:val="34125290"/>
    <w:rsid w:val="34125EAF"/>
    <w:rsid w:val="341CF19D"/>
    <w:rsid w:val="3432D721"/>
    <w:rsid w:val="343A420D"/>
    <w:rsid w:val="344A4F3A"/>
    <w:rsid w:val="345548DD"/>
    <w:rsid w:val="345B2CF2"/>
    <w:rsid w:val="34954FCE"/>
    <w:rsid w:val="34A71327"/>
    <w:rsid w:val="34CD72B9"/>
    <w:rsid w:val="34E833FC"/>
    <w:rsid w:val="34F06A56"/>
    <w:rsid w:val="350A1345"/>
    <w:rsid w:val="3511CA50"/>
    <w:rsid w:val="35193F01"/>
    <w:rsid w:val="353B07F2"/>
    <w:rsid w:val="3544555D"/>
    <w:rsid w:val="35513E9A"/>
    <w:rsid w:val="35522A65"/>
    <w:rsid w:val="3553E8DB"/>
    <w:rsid w:val="355451CC"/>
    <w:rsid w:val="356DBB46"/>
    <w:rsid w:val="3576D76E"/>
    <w:rsid w:val="35773600"/>
    <w:rsid w:val="3577C4BF"/>
    <w:rsid w:val="357CD2C0"/>
    <w:rsid w:val="3584AF97"/>
    <w:rsid w:val="359B9460"/>
    <w:rsid w:val="35BD4585"/>
    <w:rsid w:val="35DF7E1D"/>
    <w:rsid w:val="35E5A055"/>
    <w:rsid w:val="35EA1DDB"/>
    <w:rsid w:val="35ED37B7"/>
    <w:rsid w:val="35F55BCF"/>
    <w:rsid w:val="35F9FE32"/>
    <w:rsid w:val="365D44FD"/>
    <w:rsid w:val="3670A603"/>
    <w:rsid w:val="368BB967"/>
    <w:rsid w:val="36D1B7BF"/>
    <w:rsid w:val="36E34ADA"/>
    <w:rsid w:val="36E82E5B"/>
    <w:rsid w:val="36FF85B8"/>
    <w:rsid w:val="3701E69F"/>
    <w:rsid w:val="371A0F0A"/>
    <w:rsid w:val="3748588D"/>
    <w:rsid w:val="376EE58D"/>
    <w:rsid w:val="37919813"/>
    <w:rsid w:val="379636C3"/>
    <w:rsid w:val="379942C1"/>
    <w:rsid w:val="37A9275C"/>
    <w:rsid w:val="37B71BBE"/>
    <w:rsid w:val="37CB5146"/>
    <w:rsid w:val="38007F4C"/>
    <w:rsid w:val="38193A44"/>
    <w:rsid w:val="381B1D58"/>
    <w:rsid w:val="381D15CA"/>
    <w:rsid w:val="382EB168"/>
    <w:rsid w:val="384BAFE1"/>
    <w:rsid w:val="385A7DF8"/>
    <w:rsid w:val="385AAA54"/>
    <w:rsid w:val="388EE13E"/>
    <w:rsid w:val="38A5BCAF"/>
    <w:rsid w:val="38BB8E48"/>
    <w:rsid w:val="38CD24C2"/>
    <w:rsid w:val="38D60DC2"/>
    <w:rsid w:val="38F38FD9"/>
    <w:rsid w:val="38F72EC2"/>
    <w:rsid w:val="392EA359"/>
    <w:rsid w:val="394A5C93"/>
    <w:rsid w:val="39611440"/>
    <w:rsid w:val="396154DD"/>
    <w:rsid w:val="396B62FF"/>
    <w:rsid w:val="396D3F73"/>
    <w:rsid w:val="396EEAB7"/>
    <w:rsid w:val="3991A2AD"/>
    <w:rsid w:val="39C9D9ED"/>
    <w:rsid w:val="39D9FF30"/>
    <w:rsid w:val="39FB8C4A"/>
    <w:rsid w:val="3A0CA96A"/>
    <w:rsid w:val="3A35C557"/>
    <w:rsid w:val="3A394220"/>
    <w:rsid w:val="3A39603E"/>
    <w:rsid w:val="3A4EBAE4"/>
    <w:rsid w:val="3A52C392"/>
    <w:rsid w:val="3A830DD5"/>
    <w:rsid w:val="3A9FBD0B"/>
    <w:rsid w:val="3AC7DC1E"/>
    <w:rsid w:val="3AD350C7"/>
    <w:rsid w:val="3AFB3D15"/>
    <w:rsid w:val="3B00DB57"/>
    <w:rsid w:val="3B01F1BE"/>
    <w:rsid w:val="3B17E3C0"/>
    <w:rsid w:val="3B3AC0C4"/>
    <w:rsid w:val="3B3C73CF"/>
    <w:rsid w:val="3B4893AF"/>
    <w:rsid w:val="3B4B999B"/>
    <w:rsid w:val="3B4CA521"/>
    <w:rsid w:val="3B6595F1"/>
    <w:rsid w:val="3B65D964"/>
    <w:rsid w:val="3B66CADA"/>
    <w:rsid w:val="3B77CEE9"/>
    <w:rsid w:val="3B97592F"/>
    <w:rsid w:val="3B9D3143"/>
    <w:rsid w:val="3BB8DABC"/>
    <w:rsid w:val="3BEA1B69"/>
    <w:rsid w:val="3BF468BC"/>
    <w:rsid w:val="3BF4B12B"/>
    <w:rsid w:val="3C080458"/>
    <w:rsid w:val="3C0E6264"/>
    <w:rsid w:val="3C23BC55"/>
    <w:rsid w:val="3C34E6CE"/>
    <w:rsid w:val="3C415D5C"/>
    <w:rsid w:val="3C577CD8"/>
    <w:rsid w:val="3C65C0B0"/>
    <w:rsid w:val="3C73E435"/>
    <w:rsid w:val="3C7F135E"/>
    <w:rsid w:val="3C8411AB"/>
    <w:rsid w:val="3C86C1A7"/>
    <w:rsid w:val="3C87D1A5"/>
    <w:rsid w:val="3C9F1637"/>
    <w:rsid w:val="3CB80E51"/>
    <w:rsid w:val="3CCC1B5D"/>
    <w:rsid w:val="3CCC41FE"/>
    <w:rsid w:val="3CD2BEB2"/>
    <w:rsid w:val="3CDDF0BD"/>
    <w:rsid w:val="3CE1C7FF"/>
    <w:rsid w:val="3CFC1A93"/>
    <w:rsid w:val="3D250848"/>
    <w:rsid w:val="3D29A8B3"/>
    <w:rsid w:val="3D2D3675"/>
    <w:rsid w:val="3D2D46F7"/>
    <w:rsid w:val="3D3EC72E"/>
    <w:rsid w:val="3D499A3E"/>
    <w:rsid w:val="3D4CE319"/>
    <w:rsid w:val="3D4D97E6"/>
    <w:rsid w:val="3D50214A"/>
    <w:rsid w:val="3D59BF9D"/>
    <w:rsid w:val="3D66C996"/>
    <w:rsid w:val="3D818873"/>
    <w:rsid w:val="3D89AE05"/>
    <w:rsid w:val="3DB6F3EC"/>
    <w:rsid w:val="3E05B3C2"/>
    <w:rsid w:val="3E0D7C65"/>
    <w:rsid w:val="3E0F9156"/>
    <w:rsid w:val="3E0FDB09"/>
    <w:rsid w:val="3E213076"/>
    <w:rsid w:val="3E34E4EF"/>
    <w:rsid w:val="3E532278"/>
    <w:rsid w:val="3E5DACF2"/>
    <w:rsid w:val="3E64F668"/>
    <w:rsid w:val="3E857275"/>
    <w:rsid w:val="3E8C3714"/>
    <w:rsid w:val="3EBDBCFC"/>
    <w:rsid w:val="3EC68754"/>
    <w:rsid w:val="3EF29CFA"/>
    <w:rsid w:val="3EFEA3F3"/>
    <w:rsid w:val="3F14CC8D"/>
    <w:rsid w:val="3F379DDA"/>
    <w:rsid w:val="3F6C4608"/>
    <w:rsid w:val="3F7C20EC"/>
    <w:rsid w:val="3F7D4AC4"/>
    <w:rsid w:val="3F9B1D07"/>
    <w:rsid w:val="3FD3E567"/>
    <w:rsid w:val="3FE9A49B"/>
    <w:rsid w:val="3FE9B3D2"/>
    <w:rsid w:val="3FECFFF5"/>
    <w:rsid w:val="401D159B"/>
    <w:rsid w:val="4028169C"/>
    <w:rsid w:val="40388988"/>
    <w:rsid w:val="40403B57"/>
    <w:rsid w:val="405313F4"/>
    <w:rsid w:val="40586FD7"/>
    <w:rsid w:val="405D6133"/>
    <w:rsid w:val="4099760B"/>
    <w:rsid w:val="40A8950F"/>
    <w:rsid w:val="40AB4BB3"/>
    <w:rsid w:val="40AB83AF"/>
    <w:rsid w:val="40C86796"/>
    <w:rsid w:val="40DD8CCA"/>
    <w:rsid w:val="40E5DF4E"/>
    <w:rsid w:val="40EA89B0"/>
    <w:rsid w:val="411E7899"/>
    <w:rsid w:val="412C41E3"/>
    <w:rsid w:val="4133A90A"/>
    <w:rsid w:val="4142BA96"/>
    <w:rsid w:val="4150E79A"/>
    <w:rsid w:val="41742C3F"/>
    <w:rsid w:val="417A3254"/>
    <w:rsid w:val="417BA3A4"/>
    <w:rsid w:val="4180666F"/>
    <w:rsid w:val="418C2100"/>
    <w:rsid w:val="41927FB3"/>
    <w:rsid w:val="41998885"/>
    <w:rsid w:val="41A035A9"/>
    <w:rsid w:val="41E4F687"/>
    <w:rsid w:val="4209EBBD"/>
    <w:rsid w:val="420DBCB5"/>
    <w:rsid w:val="4212BFAD"/>
    <w:rsid w:val="42175990"/>
    <w:rsid w:val="423033DE"/>
    <w:rsid w:val="4233A56B"/>
    <w:rsid w:val="424A562F"/>
    <w:rsid w:val="425743F9"/>
    <w:rsid w:val="426A8653"/>
    <w:rsid w:val="4275BBE7"/>
    <w:rsid w:val="427DAC0C"/>
    <w:rsid w:val="42822B53"/>
    <w:rsid w:val="42989946"/>
    <w:rsid w:val="42A1F0C2"/>
    <w:rsid w:val="42B1F0AE"/>
    <w:rsid w:val="42B458CA"/>
    <w:rsid w:val="42EDA7C9"/>
    <w:rsid w:val="430A884B"/>
    <w:rsid w:val="43110949"/>
    <w:rsid w:val="432115E5"/>
    <w:rsid w:val="43352CA3"/>
    <w:rsid w:val="433BB16E"/>
    <w:rsid w:val="43596052"/>
    <w:rsid w:val="436DB298"/>
    <w:rsid w:val="4381C720"/>
    <w:rsid w:val="43820EFF"/>
    <w:rsid w:val="4385F7B8"/>
    <w:rsid w:val="4394AAA0"/>
    <w:rsid w:val="43A72AE2"/>
    <w:rsid w:val="43D42873"/>
    <w:rsid w:val="43E05579"/>
    <w:rsid w:val="43E1B754"/>
    <w:rsid w:val="43E28B39"/>
    <w:rsid w:val="43E92A31"/>
    <w:rsid w:val="444B5897"/>
    <w:rsid w:val="44719BA0"/>
    <w:rsid w:val="4471C3C2"/>
    <w:rsid w:val="44723865"/>
    <w:rsid w:val="448B6A41"/>
    <w:rsid w:val="44992D3C"/>
    <w:rsid w:val="44AF65E9"/>
    <w:rsid w:val="44CB2F80"/>
    <w:rsid w:val="44CD08CB"/>
    <w:rsid w:val="45132257"/>
    <w:rsid w:val="4514D242"/>
    <w:rsid w:val="4523F3BC"/>
    <w:rsid w:val="454761C8"/>
    <w:rsid w:val="4561FD59"/>
    <w:rsid w:val="4577C25D"/>
    <w:rsid w:val="4580623C"/>
    <w:rsid w:val="458BCEC1"/>
    <w:rsid w:val="4598A449"/>
    <w:rsid w:val="459DD60E"/>
    <w:rsid w:val="45B72729"/>
    <w:rsid w:val="45C33261"/>
    <w:rsid w:val="45CAD38A"/>
    <w:rsid w:val="45D20BFC"/>
    <w:rsid w:val="45D22A56"/>
    <w:rsid w:val="45F9BDA6"/>
    <w:rsid w:val="4606FA50"/>
    <w:rsid w:val="46382AC6"/>
    <w:rsid w:val="46499D0B"/>
    <w:rsid w:val="464C8D4B"/>
    <w:rsid w:val="466CE603"/>
    <w:rsid w:val="46C4CDEF"/>
    <w:rsid w:val="46E4052E"/>
    <w:rsid w:val="46EEBDE2"/>
    <w:rsid w:val="4703D665"/>
    <w:rsid w:val="4733D449"/>
    <w:rsid w:val="4768FCBA"/>
    <w:rsid w:val="476AA5CB"/>
    <w:rsid w:val="478CB06C"/>
    <w:rsid w:val="47906775"/>
    <w:rsid w:val="479BCD6F"/>
    <w:rsid w:val="47A14DBC"/>
    <w:rsid w:val="47B202D6"/>
    <w:rsid w:val="47D6671D"/>
    <w:rsid w:val="47D68FEF"/>
    <w:rsid w:val="47EB1C86"/>
    <w:rsid w:val="47ED48E4"/>
    <w:rsid w:val="47F98FE3"/>
    <w:rsid w:val="481627D5"/>
    <w:rsid w:val="481EFC3A"/>
    <w:rsid w:val="48213617"/>
    <w:rsid w:val="4846867A"/>
    <w:rsid w:val="48605B46"/>
    <w:rsid w:val="487D43FD"/>
    <w:rsid w:val="48850F60"/>
    <w:rsid w:val="488D5CC0"/>
    <w:rsid w:val="48972EC8"/>
    <w:rsid w:val="489892D9"/>
    <w:rsid w:val="48A39234"/>
    <w:rsid w:val="48B493BF"/>
    <w:rsid w:val="48B604F0"/>
    <w:rsid w:val="48CE142C"/>
    <w:rsid w:val="48D0A15B"/>
    <w:rsid w:val="48D1979F"/>
    <w:rsid w:val="48D448F5"/>
    <w:rsid w:val="493C77F0"/>
    <w:rsid w:val="49602411"/>
    <w:rsid w:val="4967BA01"/>
    <w:rsid w:val="49789491"/>
    <w:rsid w:val="497C08D8"/>
    <w:rsid w:val="499E6C9C"/>
    <w:rsid w:val="49B013C5"/>
    <w:rsid w:val="49B150A2"/>
    <w:rsid w:val="49B7233C"/>
    <w:rsid w:val="49CC2D85"/>
    <w:rsid w:val="4A21D7B7"/>
    <w:rsid w:val="4A2BA45D"/>
    <w:rsid w:val="4A3A2CFE"/>
    <w:rsid w:val="4A77FCEC"/>
    <w:rsid w:val="4A7DD22B"/>
    <w:rsid w:val="4AA2CDA1"/>
    <w:rsid w:val="4AAB1ECA"/>
    <w:rsid w:val="4ABA92AA"/>
    <w:rsid w:val="4ABE7868"/>
    <w:rsid w:val="4AC682CD"/>
    <w:rsid w:val="4ACCC0B1"/>
    <w:rsid w:val="4AD0EB20"/>
    <w:rsid w:val="4AE81E68"/>
    <w:rsid w:val="4B1E3355"/>
    <w:rsid w:val="4B21776A"/>
    <w:rsid w:val="4B2930B6"/>
    <w:rsid w:val="4B57AE58"/>
    <w:rsid w:val="4B71413B"/>
    <w:rsid w:val="4B79AEDD"/>
    <w:rsid w:val="4B81378E"/>
    <w:rsid w:val="4B93350D"/>
    <w:rsid w:val="4B9337E3"/>
    <w:rsid w:val="4BB2C33F"/>
    <w:rsid w:val="4BB70174"/>
    <w:rsid w:val="4BDC31AF"/>
    <w:rsid w:val="4BF17093"/>
    <w:rsid w:val="4BFD825C"/>
    <w:rsid w:val="4C531BB4"/>
    <w:rsid w:val="4C82C317"/>
    <w:rsid w:val="4C8479F5"/>
    <w:rsid w:val="4C9928E5"/>
    <w:rsid w:val="4C9CEABF"/>
    <w:rsid w:val="4CBA38D1"/>
    <w:rsid w:val="4CD54096"/>
    <w:rsid w:val="4CE1541D"/>
    <w:rsid w:val="4CE629C9"/>
    <w:rsid w:val="4CE62D47"/>
    <w:rsid w:val="4CE6552E"/>
    <w:rsid w:val="4CECA4BC"/>
    <w:rsid w:val="4D2BAEB8"/>
    <w:rsid w:val="4D393425"/>
    <w:rsid w:val="4D39D084"/>
    <w:rsid w:val="4D685316"/>
    <w:rsid w:val="4D6C0CA1"/>
    <w:rsid w:val="4D7B268A"/>
    <w:rsid w:val="4D834556"/>
    <w:rsid w:val="4D87AFDC"/>
    <w:rsid w:val="4D9FFDAC"/>
    <w:rsid w:val="4DA0D330"/>
    <w:rsid w:val="4DAD5488"/>
    <w:rsid w:val="4DAE567E"/>
    <w:rsid w:val="4DC6A0DE"/>
    <w:rsid w:val="4DDCA39A"/>
    <w:rsid w:val="4DDE98C5"/>
    <w:rsid w:val="4E00C53B"/>
    <w:rsid w:val="4E0AAD1F"/>
    <w:rsid w:val="4E1756FE"/>
    <w:rsid w:val="4E39B701"/>
    <w:rsid w:val="4E52E772"/>
    <w:rsid w:val="4E8DA51F"/>
    <w:rsid w:val="4E9099F1"/>
    <w:rsid w:val="4E90B6BA"/>
    <w:rsid w:val="4EA54432"/>
    <w:rsid w:val="4ECD7425"/>
    <w:rsid w:val="4EE53D38"/>
    <w:rsid w:val="4EECEE3C"/>
    <w:rsid w:val="4EF01610"/>
    <w:rsid w:val="4F2D3700"/>
    <w:rsid w:val="4F4127F1"/>
    <w:rsid w:val="4F4275F6"/>
    <w:rsid w:val="4F4C6AF4"/>
    <w:rsid w:val="4F5F7D37"/>
    <w:rsid w:val="4F63E186"/>
    <w:rsid w:val="4F76C409"/>
    <w:rsid w:val="4F772ADC"/>
    <w:rsid w:val="4F8628EF"/>
    <w:rsid w:val="4F918E7D"/>
    <w:rsid w:val="4FBA7B28"/>
    <w:rsid w:val="4FBC03CD"/>
    <w:rsid w:val="4FCBFA1B"/>
    <w:rsid w:val="4FCC2CF3"/>
    <w:rsid w:val="4FD545D8"/>
    <w:rsid w:val="4FD8E1A3"/>
    <w:rsid w:val="4FE72429"/>
    <w:rsid w:val="4FF1EB8C"/>
    <w:rsid w:val="4FF9C458"/>
    <w:rsid w:val="5016FEA4"/>
    <w:rsid w:val="5021672B"/>
    <w:rsid w:val="502E5CA3"/>
    <w:rsid w:val="503EB855"/>
    <w:rsid w:val="504690E5"/>
    <w:rsid w:val="50516F3B"/>
    <w:rsid w:val="5057AE85"/>
    <w:rsid w:val="50615521"/>
    <w:rsid w:val="507C672A"/>
    <w:rsid w:val="508F2BC0"/>
    <w:rsid w:val="5096C12B"/>
    <w:rsid w:val="50A17406"/>
    <w:rsid w:val="50B21956"/>
    <w:rsid w:val="50C3AED3"/>
    <w:rsid w:val="50DEF075"/>
    <w:rsid w:val="510B822F"/>
    <w:rsid w:val="510F14B7"/>
    <w:rsid w:val="511EA8B1"/>
    <w:rsid w:val="513AE603"/>
    <w:rsid w:val="5164F186"/>
    <w:rsid w:val="516970D7"/>
    <w:rsid w:val="516B4EA9"/>
    <w:rsid w:val="519BC6AA"/>
    <w:rsid w:val="519DE422"/>
    <w:rsid w:val="51A344FB"/>
    <w:rsid w:val="51B09DD6"/>
    <w:rsid w:val="51B6200F"/>
    <w:rsid w:val="51B8AB33"/>
    <w:rsid w:val="51BF05F3"/>
    <w:rsid w:val="51C2A00B"/>
    <w:rsid w:val="51E2EC6F"/>
    <w:rsid w:val="51E3AACA"/>
    <w:rsid w:val="51F0DAB6"/>
    <w:rsid w:val="5202524B"/>
    <w:rsid w:val="5211E53B"/>
    <w:rsid w:val="525AF06A"/>
    <w:rsid w:val="52681AD8"/>
    <w:rsid w:val="529A53C7"/>
    <w:rsid w:val="529E6506"/>
    <w:rsid w:val="52B9E3CD"/>
    <w:rsid w:val="52BAC762"/>
    <w:rsid w:val="52C9F70A"/>
    <w:rsid w:val="530FA13C"/>
    <w:rsid w:val="5320FD0D"/>
    <w:rsid w:val="53233389"/>
    <w:rsid w:val="5326DBF3"/>
    <w:rsid w:val="5334EF00"/>
    <w:rsid w:val="5340753A"/>
    <w:rsid w:val="53451D2E"/>
    <w:rsid w:val="5349EE78"/>
    <w:rsid w:val="535AC8C8"/>
    <w:rsid w:val="535DE62C"/>
    <w:rsid w:val="535EC880"/>
    <w:rsid w:val="537A3A1F"/>
    <w:rsid w:val="537D29AE"/>
    <w:rsid w:val="53991965"/>
    <w:rsid w:val="539C6977"/>
    <w:rsid w:val="53A38902"/>
    <w:rsid w:val="53AB5524"/>
    <w:rsid w:val="53AF1319"/>
    <w:rsid w:val="53C35DD3"/>
    <w:rsid w:val="53D144ED"/>
    <w:rsid w:val="53DE8838"/>
    <w:rsid w:val="53EB098E"/>
    <w:rsid w:val="541CD827"/>
    <w:rsid w:val="546D4B23"/>
    <w:rsid w:val="546E539C"/>
    <w:rsid w:val="5493CBC4"/>
    <w:rsid w:val="54BCB9CE"/>
    <w:rsid w:val="5516A35B"/>
    <w:rsid w:val="55318580"/>
    <w:rsid w:val="5563900A"/>
    <w:rsid w:val="55865714"/>
    <w:rsid w:val="559C8451"/>
    <w:rsid w:val="55AFDC9D"/>
    <w:rsid w:val="55CDD64F"/>
    <w:rsid w:val="55E0074A"/>
    <w:rsid w:val="56057D6D"/>
    <w:rsid w:val="560998CA"/>
    <w:rsid w:val="560FAC69"/>
    <w:rsid w:val="5616FB23"/>
    <w:rsid w:val="56171AFB"/>
    <w:rsid w:val="561AC39B"/>
    <w:rsid w:val="561DCC05"/>
    <w:rsid w:val="5626483B"/>
    <w:rsid w:val="5632C8E9"/>
    <w:rsid w:val="563B8779"/>
    <w:rsid w:val="564E3F0F"/>
    <w:rsid w:val="567F7AD6"/>
    <w:rsid w:val="569E10C4"/>
    <w:rsid w:val="56AE5B3A"/>
    <w:rsid w:val="56B2512E"/>
    <w:rsid w:val="56DF0F51"/>
    <w:rsid w:val="56F9E4D2"/>
    <w:rsid w:val="5705FE3E"/>
    <w:rsid w:val="570F9DA6"/>
    <w:rsid w:val="57130260"/>
    <w:rsid w:val="57271B04"/>
    <w:rsid w:val="5729D676"/>
    <w:rsid w:val="574A099B"/>
    <w:rsid w:val="57550B04"/>
    <w:rsid w:val="5779879B"/>
    <w:rsid w:val="5779A1F1"/>
    <w:rsid w:val="578A8513"/>
    <w:rsid w:val="57930832"/>
    <w:rsid w:val="57B22EE1"/>
    <w:rsid w:val="57EEC4DC"/>
    <w:rsid w:val="580040C4"/>
    <w:rsid w:val="581C8EC9"/>
    <w:rsid w:val="58324961"/>
    <w:rsid w:val="58577A60"/>
    <w:rsid w:val="585D46EF"/>
    <w:rsid w:val="5871CE30"/>
    <w:rsid w:val="5876AFE6"/>
    <w:rsid w:val="588069C6"/>
    <w:rsid w:val="58929D35"/>
    <w:rsid w:val="58BCEB34"/>
    <w:rsid w:val="58DA2758"/>
    <w:rsid w:val="58FBAE45"/>
    <w:rsid w:val="59089831"/>
    <w:rsid w:val="590D0F58"/>
    <w:rsid w:val="59204245"/>
    <w:rsid w:val="594CDDEC"/>
    <w:rsid w:val="59505E28"/>
    <w:rsid w:val="5952E57A"/>
    <w:rsid w:val="59841857"/>
    <w:rsid w:val="59913B74"/>
    <w:rsid w:val="59A29A8F"/>
    <w:rsid w:val="59B9B024"/>
    <w:rsid w:val="59BCAC3E"/>
    <w:rsid w:val="59E0CE3E"/>
    <w:rsid w:val="59F0ACB6"/>
    <w:rsid w:val="5A11591A"/>
    <w:rsid w:val="5A1566B3"/>
    <w:rsid w:val="5A570BBA"/>
    <w:rsid w:val="5A6814F9"/>
    <w:rsid w:val="5A814A59"/>
    <w:rsid w:val="5AC84071"/>
    <w:rsid w:val="5ACE05B6"/>
    <w:rsid w:val="5AD195EC"/>
    <w:rsid w:val="5AFE1174"/>
    <w:rsid w:val="5B6DF371"/>
    <w:rsid w:val="5B74D668"/>
    <w:rsid w:val="5B77A0E0"/>
    <w:rsid w:val="5BB398D5"/>
    <w:rsid w:val="5BBD75E9"/>
    <w:rsid w:val="5BEB3ED4"/>
    <w:rsid w:val="5C09BF3E"/>
    <w:rsid w:val="5C144A64"/>
    <w:rsid w:val="5C27CBC7"/>
    <w:rsid w:val="5C2B22B0"/>
    <w:rsid w:val="5C3FFDD4"/>
    <w:rsid w:val="5C5DEBA2"/>
    <w:rsid w:val="5C87945E"/>
    <w:rsid w:val="5C8DE3CA"/>
    <w:rsid w:val="5C9B7F41"/>
    <w:rsid w:val="5CA3EBBB"/>
    <w:rsid w:val="5CAD124B"/>
    <w:rsid w:val="5CBAB19F"/>
    <w:rsid w:val="5CBBE8B8"/>
    <w:rsid w:val="5CBE6C18"/>
    <w:rsid w:val="5CC96ED0"/>
    <w:rsid w:val="5CD44D6E"/>
    <w:rsid w:val="5CDF588F"/>
    <w:rsid w:val="5CEE5BC1"/>
    <w:rsid w:val="5CFE10A2"/>
    <w:rsid w:val="5D322766"/>
    <w:rsid w:val="5D42B29A"/>
    <w:rsid w:val="5D9F9C4C"/>
    <w:rsid w:val="5DE27D16"/>
    <w:rsid w:val="5DE97CE7"/>
    <w:rsid w:val="5DFF6455"/>
    <w:rsid w:val="5E1C5A37"/>
    <w:rsid w:val="5E4C0841"/>
    <w:rsid w:val="5E77C2D5"/>
    <w:rsid w:val="5E817A16"/>
    <w:rsid w:val="5E994A3B"/>
    <w:rsid w:val="5E9E2EAB"/>
    <w:rsid w:val="5EA473CB"/>
    <w:rsid w:val="5ED01798"/>
    <w:rsid w:val="5EE45AA2"/>
    <w:rsid w:val="5F043765"/>
    <w:rsid w:val="5F058CBC"/>
    <w:rsid w:val="5F150426"/>
    <w:rsid w:val="5F26C0BC"/>
    <w:rsid w:val="5F42EFA8"/>
    <w:rsid w:val="5F452184"/>
    <w:rsid w:val="5F639F21"/>
    <w:rsid w:val="5F75AF5D"/>
    <w:rsid w:val="5F8C6307"/>
    <w:rsid w:val="5F8FC131"/>
    <w:rsid w:val="5F9384D2"/>
    <w:rsid w:val="5F9EFD32"/>
    <w:rsid w:val="5FA25AC4"/>
    <w:rsid w:val="5FC1CF4D"/>
    <w:rsid w:val="5FC58F89"/>
    <w:rsid w:val="5FCF3E60"/>
    <w:rsid w:val="60097BAA"/>
    <w:rsid w:val="600A3C43"/>
    <w:rsid w:val="600E1E05"/>
    <w:rsid w:val="602B8489"/>
    <w:rsid w:val="602D3F6F"/>
    <w:rsid w:val="60633C49"/>
    <w:rsid w:val="6066F336"/>
    <w:rsid w:val="607269C9"/>
    <w:rsid w:val="6075C82C"/>
    <w:rsid w:val="608C45CF"/>
    <w:rsid w:val="609A2FDF"/>
    <w:rsid w:val="60B28BD5"/>
    <w:rsid w:val="60B5A8C9"/>
    <w:rsid w:val="60BA56F2"/>
    <w:rsid w:val="60BF1305"/>
    <w:rsid w:val="60DBBF0D"/>
    <w:rsid w:val="60F498FF"/>
    <w:rsid w:val="6101414A"/>
    <w:rsid w:val="61236A3C"/>
    <w:rsid w:val="613C2796"/>
    <w:rsid w:val="614D26B1"/>
    <w:rsid w:val="61835ACF"/>
    <w:rsid w:val="618DBAA2"/>
    <w:rsid w:val="6192FF0D"/>
    <w:rsid w:val="61B64499"/>
    <w:rsid w:val="61BA5B62"/>
    <w:rsid w:val="6228707B"/>
    <w:rsid w:val="624BE509"/>
    <w:rsid w:val="62783DAE"/>
    <w:rsid w:val="6286124E"/>
    <w:rsid w:val="628CC141"/>
    <w:rsid w:val="62999F7F"/>
    <w:rsid w:val="62A09C16"/>
    <w:rsid w:val="62AFB165"/>
    <w:rsid w:val="62B19B33"/>
    <w:rsid w:val="62B41479"/>
    <w:rsid w:val="62D90B6E"/>
    <w:rsid w:val="6322FA45"/>
    <w:rsid w:val="63303B11"/>
    <w:rsid w:val="633ACB56"/>
    <w:rsid w:val="633B5F4B"/>
    <w:rsid w:val="634627C1"/>
    <w:rsid w:val="637861BD"/>
    <w:rsid w:val="638324A1"/>
    <w:rsid w:val="6392A669"/>
    <w:rsid w:val="63B25B28"/>
    <w:rsid w:val="63B34DE3"/>
    <w:rsid w:val="63BF0A84"/>
    <w:rsid w:val="63C397B9"/>
    <w:rsid w:val="63E2DBA9"/>
    <w:rsid w:val="63F07BCF"/>
    <w:rsid w:val="63F0ED76"/>
    <w:rsid w:val="63FA3D96"/>
    <w:rsid w:val="64373C67"/>
    <w:rsid w:val="643CAD2D"/>
    <w:rsid w:val="649E2CA9"/>
    <w:rsid w:val="64A02670"/>
    <w:rsid w:val="64A73814"/>
    <w:rsid w:val="64BB9D2F"/>
    <w:rsid w:val="64E54916"/>
    <w:rsid w:val="64EAE8C5"/>
    <w:rsid w:val="64F420D0"/>
    <w:rsid w:val="64FFF39B"/>
    <w:rsid w:val="65158D5D"/>
    <w:rsid w:val="653ABA40"/>
    <w:rsid w:val="654EC719"/>
    <w:rsid w:val="6569EAED"/>
    <w:rsid w:val="6575D46B"/>
    <w:rsid w:val="657601A7"/>
    <w:rsid w:val="65828925"/>
    <w:rsid w:val="6583C95E"/>
    <w:rsid w:val="658CB35E"/>
    <w:rsid w:val="65904F5E"/>
    <w:rsid w:val="6590FBCC"/>
    <w:rsid w:val="65AA1EE7"/>
    <w:rsid w:val="65B1AAA6"/>
    <w:rsid w:val="65B78194"/>
    <w:rsid w:val="65B9561B"/>
    <w:rsid w:val="65B98222"/>
    <w:rsid w:val="65C732E7"/>
    <w:rsid w:val="65DFD9F3"/>
    <w:rsid w:val="65E7E8C8"/>
    <w:rsid w:val="65FB3AA6"/>
    <w:rsid w:val="660AAEC4"/>
    <w:rsid w:val="661344E6"/>
    <w:rsid w:val="663E152F"/>
    <w:rsid w:val="667BA927"/>
    <w:rsid w:val="6691EB8A"/>
    <w:rsid w:val="66A75BBF"/>
    <w:rsid w:val="66B00A48"/>
    <w:rsid w:val="66B76495"/>
    <w:rsid w:val="66D9C345"/>
    <w:rsid w:val="66DBC40D"/>
    <w:rsid w:val="66F02756"/>
    <w:rsid w:val="66F48BBA"/>
    <w:rsid w:val="672395EF"/>
    <w:rsid w:val="673F102A"/>
    <w:rsid w:val="67653C34"/>
    <w:rsid w:val="677A2112"/>
    <w:rsid w:val="6781910E"/>
    <w:rsid w:val="6786139D"/>
    <w:rsid w:val="678CD751"/>
    <w:rsid w:val="67B67EB5"/>
    <w:rsid w:val="67BB06A9"/>
    <w:rsid w:val="67EBA8F7"/>
    <w:rsid w:val="67F5C596"/>
    <w:rsid w:val="67FA12D2"/>
    <w:rsid w:val="680959C2"/>
    <w:rsid w:val="68146CF6"/>
    <w:rsid w:val="681F0A4E"/>
    <w:rsid w:val="68339FBF"/>
    <w:rsid w:val="683507B8"/>
    <w:rsid w:val="6856248D"/>
    <w:rsid w:val="68756109"/>
    <w:rsid w:val="68A01A0E"/>
    <w:rsid w:val="68B68B23"/>
    <w:rsid w:val="68C10710"/>
    <w:rsid w:val="68C95D14"/>
    <w:rsid w:val="68C99A7D"/>
    <w:rsid w:val="68CFC97D"/>
    <w:rsid w:val="68E240BF"/>
    <w:rsid w:val="68F26B16"/>
    <w:rsid w:val="6903CDE1"/>
    <w:rsid w:val="69205095"/>
    <w:rsid w:val="6928A41D"/>
    <w:rsid w:val="696F25CA"/>
    <w:rsid w:val="69A3158F"/>
    <w:rsid w:val="69AA8847"/>
    <w:rsid w:val="69B48F80"/>
    <w:rsid w:val="69C4E551"/>
    <w:rsid w:val="69D025BB"/>
    <w:rsid w:val="69D110C1"/>
    <w:rsid w:val="69E347FC"/>
    <w:rsid w:val="69F52474"/>
    <w:rsid w:val="69F97595"/>
    <w:rsid w:val="6A071788"/>
    <w:rsid w:val="6A10B60E"/>
    <w:rsid w:val="6A10BCFF"/>
    <w:rsid w:val="6A16EFCF"/>
    <w:rsid w:val="6A6557B0"/>
    <w:rsid w:val="6A656248"/>
    <w:rsid w:val="6A742394"/>
    <w:rsid w:val="6A8AB0A8"/>
    <w:rsid w:val="6AC399D7"/>
    <w:rsid w:val="6AD02D01"/>
    <w:rsid w:val="6B10D8C6"/>
    <w:rsid w:val="6B2E72EC"/>
    <w:rsid w:val="6B5E16E7"/>
    <w:rsid w:val="6B65FBF5"/>
    <w:rsid w:val="6BA9592E"/>
    <w:rsid w:val="6BBAB86C"/>
    <w:rsid w:val="6BCD6E57"/>
    <w:rsid w:val="6BD0F82A"/>
    <w:rsid w:val="6BE8E1E7"/>
    <w:rsid w:val="6BE9085C"/>
    <w:rsid w:val="6C274228"/>
    <w:rsid w:val="6C466230"/>
    <w:rsid w:val="6C4F9A6F"/>
    <w:rsid w:val="6C6B9B19"/>
    <w:rsid w:val="6C70501D"/>
    <w:rsid w:val="6C858A77"/>
    <w:rsid w:val="6C8EA327"/>
    <w:rsid w:val="6C8F8A16"/>
    <w:rsid w:val="6C94B3F8"/>
    <w:rsid w:val="6CAB5C5D"/>
    <w:rsid w:val="6CC01631"/>
    <w:rsid w:val="6CD5B569"/>
    <w:rsid w:val="6CDCC8F3"/>
    <w:rsid w:val="6D11F6A1"/>
    <w:rsid w:val="6D1D9D5C"/>
    <w:rsid w:val="6D290887"/>
    <w:rsid w:val="6D453478"/>
    <w:rsid w:val="6D65D1DF"/>
    <w:rsid w:val="6D6DFB3C"/>
    <w:rsid w:val="6D749199"/>
    <w:rsid w:val="6D8EC367"/>
    <w:rsid w:val="6D95B99E"/>
    <w:rsid w:val="6D9BA2F5"/>
    <w:rsid w:val="6DABB9C2"/>
    <w:rsid w:val="6DB12C1F"/>
    <w:rsid w:val="6DBBB83D"/>
    <w:rsid w:val="6DE67567"/>
    <w:rsid w:val="6DEAB2D9"/>
    <w:rsid w:val="6E028D58"/>
    <w:rsid w:val="6E0DAD2F"/>
    <w:rsid w:val="6E0ED9B1"/>
    <w:rsid w:val="6E2E25E5"/>
    <w:rsid w:val="6E39273F"/>
    <w:rsid w:val="6E6ABA6D"/>
    <w:rsid w:val="6E76B0AB"/>
    <w:rsid w:val="6E885F29"/>
    <w:rsid w:val="6E926AA7"/>
    <w:rsid w:val="6EA57D15"/>
    <w:rsid w:val="6ED03200"/>
    <w:rsid w:val="6EE4302E"/>
    <w:rsid w:val="6EF5D9D2"/>
    <w:rsid w:val="6EF9F762"/>
    <w:rsid w:val="6F08EC24"/>
    <w:rsid w:val="6F0E71C6"/>
    <w:rsid w:val="6F1A1C63"/>
    <w:rsid w:val="6F3834A8"/>
    <w:rsid w:val="6F3AA2E6"/>
    <w:rsid w:val="6F4CF18C"/>
    <w:rsid w:val="6F51B316"/>
    <w:rsid w:val="6F5609EB"/>
    <w:rsid w:val="6F61C395"/>
    <w:rsid w:val="6F61CEAC"/>
    <w:rsid w:val="6F70C3E3"/>
    <w:rsid w:val="6F70CD76"/>
    <w:rsid w:val="6F86F731"/>
    <w:rsid w:val="6F9441CC"/>
    <w:rsid w:val="6FA22044"/>
    <w:rsid w:val="6FB333CD"/>
    <w:rsid w:val="6FBACC57"/>
    <w:rsid w:val="6FC278B7"/>
    <w:rsid w:val="6FD5A9FF"/>
    <w:rsid w:val="70084E2A"/>
    <w:rsid w:val="700956C4"/>
    <w:rsid w:val="70157C6A"/>
    <w:rsid w:val="701CA162"/>
    <w:rsid w:val="70335F8C"/>
    <w:rsid w:val="7037D8A7"/>
    <w:rsid w:val="70424D29"/>
    <w:rsid w:val="7070DCC3"/>
    <w:rsid w:val="70840DFB"/>
    <w:rsid w:val="7090DA4D"/>
    <w:rsid w:val="709C1B3D"/>
    <w:rsid w:val="70A6CF94"/>
    <w:rsid w:val="70AA9272"/>
    <w:rsid w:val="70CBC552"/>
    <w:rsid w:val="70CD8C73"/>
    <w:rsid w:val="70D2115C"/>
    <w:rsid w:val="70D39695"/>
    <w:rsid w:val="70F28028"/>
    <w:rsid w:val="70FD7369"/>
    <w:rsid w:val="71123E32"/>
    <w:rsid w:val="711DE7A7"/>
    <w:rsid w:val="71215987"/>
    <w:rsid w:val="71250427"/>
    <w:rsid w:val="7127F665"/>
    <w:rsid w:val="712E87CF"/>
    <w:rsid w:val="7147EB4A"/>
    <w:rsid w:val="7173EEF8"/>
    <w:rsid w:val="71784EC4"/>
    <w:rsid w:val="71862F29"/>
    <w:rsid w:val="71A4083F"/>
    <w:rsid w:val="71B8F981"/>
    <w:rsid w:val="71B97E35"/>
    <w:rsid w:val="71E35F21"/>
    <w:rsid w:val="7204A152"/>
    <w:rsid w:val="720B4DF6"/>
    <w:rsid w:val="722E8068"/>
    <w:rsid w:val="723AF1F2"/>
    <w:rsid w:val="725E613E"/>
    <w:rsid w:val="728023D2"/>
    <w:rsid w:val="7286CECC"/>
    <w:rsid w:val="72AD531D"/>
    <w:rsid w:val="72B490B6"/>
    <w:rsid w:val="72E82BD6"/>
    <w:rsid w:val="72F35D88"/>
    <w:rsid w:val="73134589"/>
    <w:rsid w:val="733256A0"/>
    <w:rsid w:val="73338CC8"/>
    <w:rsid w:val="734D29BC"/>
    <w:rsid w:val="735E0987"/>
    <w:rsid w:val="736A7133"/>
    <w:rsid w:val="736B6336"/>
    <w:rsid w:val="737C0854"/>
    <w:rsid w:val="73864A2C"/>
    <w:rsid w:val="7393C641"/>
    <w:rsid w:val="73B12A76"/>
    <w:rsid w:val="73B94F59"/>
    <w:rsid w:val="73D5EEA0"/>
    <w:rsid w:val="742B163D"/>
    <w:rsid w:val="745C5AC9"/>
    <w:rsid w:val="745DE691"/>
    <w:rsid w:val="7480EF57"/>
    <w:rsid w:val="748416D4"/>
    <w:rsid w:val="74975FF7"/>
    <w:rsid w:val="74A3BAAC"/>
    <w:rsid w:val="74A5EA2D"/>
    <w:rsid w:val="74AB23D8"/>
    <w:rsid w:val="74AB68F5"/>
    <w:rsid w:val="74B6FC99"/>
    <w:rsid w:val="74CB0E69"/>
    <w:rsid w:val="74CDD885"/>
    <w:rsid w:val="74E854B4"/>
    <w:rsid w:val="74E98598"/>
    <w:rsid w:val="74EB23C1"/>
    <w:rsid w:val="7516FD0F"/>
    <w:rsid w:val="75191B16"/>
    <w:rsid w:val="752CAEDE"/>
    <w:rsid w:val="757E0BCA"/>
    <w:rsid w:val="7585E79E"/>
    <w:rsid w:val="758860CD"/>
    <w:rsid w:val="75ABBBE0"/>
    <w:rsid w:val="75C8375C"/>
    <w:rsid w:val="7609EDE8"/>
    <w:rsid w:val="760A9165"/>
    <w:rsid w:val="76141259"/>
    <w:rsid w:val="761D6132"/>
    <w:rsid w:val="76216E23"/>
    <w:rsid w:val="76816DC3"/>
    <w:rsid w:val="7686199D"/>
    <w:rsid w:val="7695EDD4"/>
    <w:rsid w:val="7698FDD7"/>
    <w:rsid w:val="76A480B9"/>
    <w:rsid w:val="76B1F787"/>
    <w:rsid w:val="76C0A17D"/>
    <w:rsid w:val="76EB4A62"/>
    <w:rsid w:val="771425F8"/>
    <w:rsid w:val="77197CC2"/>
    <w:rsid w:val="771EC1C1"/>
    <w:rsid w:val="7782C9E8"/>
    <w:rsid w:val="77968629"/>
    <w:rsid w:val="779AD10C"/>
    <w:rsid w:val="77D9A018"/>
    <w:rsid w:val="77EADEA9"/>
    <w:rsid w:val="77F9CDFB"/>
    <w:rsid w:val="78020B0D"/>
    <w:rsid w:val="78046082"/>
    <w:rsid w:val="78217D78"/>
    <w:rsid w:val="78295AE3"/>
    <w:rsid w:val="782AEA29"/>
    <w:rsid w:val="78494146"/>
    <w:rsid w:val="784C942E"/>
    <w:rsid w:val="784FA8FD"/>
    <w:rsid w:val="7859FA38"/>
    <w:rsid w:val="7860A2F1"/>
    <w:rsid w:val="7863C1B8"/>
    <w:rsid w:val="786CC3FA"/>
    <w:rsid w:val="787897EF"/>
    <w:rsid w:val="789E6A22"/>
    <w:rsid w:val="78A1E8B8"/>
    <w:rsid w:val="78A88B2B"/>
    <w:rsid w:val="78B91CB6"/>
    <w:rsid w:val="78BE4036"/>
    <w:rsid w:val="78CC6E48"/>
    <w:rsid w:val="78E3CD82"/>
    <w:rsid w:val="78F677BE"/>
    <w:rsid w:val="78FEBE51"/>
    <w:rsid w:val="7905123E"/>
    <w:rsid w:val="795D36A5"/>
    <w:rsid w:val="798859DC"/>
    <w:rsid w:val="798FC34A"/>
    <w:rsid w:val="799B3EF2"/>
    <w:rsid w:val="79B64935"/>
    <w:rsid w:val="79D6969D"/>
    <w:rsid w:val="79F2BBED"/>
    <w:rsid w:val="79F2FD6A"/>
    <w:rsid w:val="79F90B15"/>
    <w:rsid w:val="7A245233"/>
    <w:rsid w:val="7A340509"/>
    <w:rsid w:val="7A42856B"/>
    <w:rsid w:val="7A505E09"/>
    <w:rsid w:val="7A50E658"/>
    <w:rsid w:val="7A657A4D"/>
    <w:rsid w:val="7AAF335C"/>
    <w:rsid w:val="7AB1F694"/>
    <w:rsid w:val="7ACB4B17"/>
    <w:rsid w:val="7B5ADDCB"/>
    <w:rsid w:val="7B612ACC"/>
    <w:rsid w:val="7B70DF44"/>
    <w:rsid w:val="7B7A0B0D"/>
    <w:rsid w:val="7B7B9646"/>
    <w:rsid w:val="7BA497D3"/>
    <w:rsid w:val="7BB791FA"/>
    <w:rsid w:val="7BD56F72"/>
    <w:rsid w:val="7BDA5BBF"/>
    <w:rsid w:val="7BEC01A7"/>
    <w:rsid w:val="7BFB9209"/>
    <w:rsid w:val="7C047FF7"/>
    <w:rsid w:val="7C386A75"/>
    <w:rsid w:val="7C62B5A3"/>
    <w:rsid w:val="7C9E3A35"/>
    <w:rsid w:val="7CBEFA21"/>
    <w:rsid w:val="7CCB4193"/>
    <w:rsid w:val="7CDD53AE"/>
    <w:rsid w:val="7D1D5AF4"/>
    <w:rsid w:val="7D20CF77"/>
    <w:rsid w:val="7D2DBCCD"/>
    <w:rsid w:val="7D3A19BE"/>
    <w:rsid w:val="7D4C7368"/>
    <w:rsid w:val="7D7B6FE2"/>
    <w:rsid w:val="7D856DB7"/>
    <w:rsid w:val="7D902234"/>
    <w:rsid w:val="7D9C60D0"/>
    <w:rsid w:val="7DBEF6B9"/>
    <w:rsid w:val="7DC44E8D"/>
    <w:rsid w:val="7DE21F4E"/>
    <w:rsid w:val="7DEAAC19"/>
    <w:rsid w:val="7E04392E"/>
    <w:rsid w:val="7E18C12D"/>
    <w:rsid w:val="7E1F5B2C"/>
    <w:rsid w:val="7E2DF7DE"/>
    <w:rsid w:val="7E56FED3"/>
    <w:rsid w:val="7E7792E1"/>
    <w:rsid w:val="7E8D3148"/>
    <w:rsid w:val="7EA81354"/>
    <w:rsid w:val="7EAA31B8"/>
    <w:rsid w:val="7EC11AA0"/>
    <w:rsid w:val="7EC4EE62"/>
    <w:rsid w:val="7ECCE4CF"/>
    <w:rsid w:val="7ED0E759"/>
    <w:rsid w:val="7EDA81C3"/>
    <w:rsid w:val="7EFB10A5"/>
    <w:rsid w:val="7EFBFF74"/>
    <w:rsid w:val="7F05FDBC"/>
    <w:rsid w:val="7F14AC3E"/>
    <w:rsid w:val="7F204A6C"/>
    <w:rsid w:val="7F3BF3F4"/>
    <w:rsid w:val="7F53AFC9"/>
    <w:rsid w:val="7F6B6AEB"/>
    <w:rsid w:val="7F7163D7"/>
    <w:rsid w:val="7F7F5FC9"/>
    <w:rsid w:val="7FB3A57C"/>
    <w:rsid w:val="7FDD6F80"/>
    <w:rsid w:val="7FF1CC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79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CB7947"/>
    <w:pPr>
      <w:numPr>
        <w:numId w:val="28"/>
      </w:numPr>
      <w:ind w:left="720" w:right="2160" w:hanging="72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26"/>
      </w:numPr>
      <w:ind w:right="2160"/>
      <w:outlineLvl w:val="1"/>
    </w:pPr>
  </w:style>
  <w:style w:type="paragraph" w:styleId="Heading3">
    <w:name w:val="heading 3"/>
    <w:basedOn w:val="Dummy"/>
    <w:next w:val="Standard"/>
    <w:link w:val="Heading3Char"/>
    <w:uiPriority w:val="4"/>
    <w:qFormat/>
    <w:rsid w:val="002071BF"/>
    <w:pPr>
      <w:numPr>
        <w:ilvl w:val="2"/>
        <w:numId w:val="1"/>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26"/>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26"/>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26"/>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071BF"/>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1,Footnote Text Char Char Char2,Footnote Text Char2 Char Char1,Footnote Text Char Char Char Char1,Footnote Text Char2 Char Char Char Char1,Footnote Text Char Char Char Char Char Char1,fn Char1"/>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o + Times New Roman,Style 58,Footnote,Style 8"/>
    <w:basedOn w:val="DefaultParagraphFont"/>
    <w:uiPriority w:val="99"/>
    <w:unhideWhenUsed/>
    <w:rsid w:val="00DF58E7"/>
    <w:rPr>
      <w:vertAlign w:val="superscript"/>
    </w:rPr>
  </w:style>
  <w:style w:type="paragraph" w:customStyle="1" w:styleId="FoF">
    <w:name w:val="FoF"/>
    <w:basedOn w:val="CoL"/>
    <w:uiPriority w:val="6"/>
    <w:qFormat/>
    <w:rsid w:val="00BC5B6E"/>
    <w:pPr>
      <w:numPr>
        <w:numId w:val="22"/>
      </w:numPr>
    </w:pPr>
    <w:rPr>
      <w14:scene3d>
        <w14:camera w14:prst="orthographicFront"/>
        <w14:lightRig w14:rig="threePt" w14:dir="t">
          <w14:rot w14:lat="0" w14:lon="0" w14:rev="0"/>
        </w14:lightRig>
      </w14:scene3d>
    </w:r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FoF"/>
    <w:uiPriority w:val="8"/>
    <w:qFormat/>
    <w:rsid w:val="005141B0"/>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26"/>
      </w:numPr>
      <w:spacing w:after="120" w:line="240" w:lineRule="auto"/>
    </w:pPr>
  </w:style>
  <w:style w:type="paragraph" w:styleId="ListBullet">
    <w:name w:val="List Bullet"/>
    <w:basedOn w:val="Standard"/>
    <w:uiPriority w:val="4"/>
    <w:qFormat/>
    <w:rsid w:val="001F2819"/>
    <w:pPr>
      <w:numPr>
        <w:numId w:val="7"/>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26"/>
      </w:numPr>
      <w:spacing w:after="120" w:line="240" w:lineRule="auto"/>
    </w:pPr>
  </w:style>
  <w:style w:type="paragraph" w:styleId="ListParagraph">
    <w:name w:val="List Paragraph"/>
    <w:basedOn w:val="Normal"/>
    <w:link w:val="ListParagraphChar"/>
    <w:uiPriority w:val="34"/>
    <w:qFormat/>
    <w:rsid w:val="003C6C14"/>
    <w:pPr>
      <w:spacing w:line="240" w:lineRule="auto"/>
      <w:ind w:left="720" w:firstLine="0"/>
      <w:contextualSpacing/>
    </w:pPr>
    <w:rPr>
      <w:rFonts w:asciiTheme="minorHAnsi" w:hAnsiTheme="minorHAnsi"/>
      <w:sz w:val="24"/>
      <w:szCs w:val="24"/>
    </w:rPr>
  </w:style>
  <w:style w:type="character" w:customStyle="1" w:styleId="ListLabel3">
    <w:name w:val="ListLabel 3"/>
    <w:rsid w:val="003C6C14"/>
    <w:rPr>
      <w:u w:val="none"/>
    </w:rPr>
  </w:style>
  <w:style w:type="character" w:customStyle="1" w:styleId="ListParagraphChar">
    <w:name w:val="List Paragraph Char"/>
    <w:basedOn w:val="DefaultParagraphFont"/>
    <w:link w:val="ListParagraph"/>
    <w:uiPriority w:val="34"/>
    <w:rsid w:val="003C6C14"/>
    <w:rPr>
      <w:sz w:val="24"/>
      <w:szCs w:val="24"/>
    </w:rPr>
  </w:style>
  <w:style w:type="paragraph" w:customStyle="1" w:styleId="num1">
    <w:name w:val="num1"/>
    <w:basedOn w:val="Normal"/>
    <w:rsid w:val="001B6D8E"/>
    <w:pPr>
      <w:tabs>
        <w:tab w:val="left" w:pos="-720"/>
      </w:tabs>
      <w:suppressAutoHyphens/>
      <w:ind w:firstLine="360"/>
    </w:pPr>
    <w:rPr>
      <w:rFonts w:ascii="Palatino" w:eastAsia="Times New Roman" w:hAnsi="Palatino" w:cs="Times New Roman"/>
      <w:szCs w:val="20"/>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uiPriority w:val="99"/>
    <w:rsid w:val="00E2049D"/>
    <w:rPr>
      <w:rFonts w:ascii="Book Antiqua" w:hAnsi="Book Antiqua"/>
      <w:sz w:val="22"/>
    </w:rPr>
  </w:style>
  <w:style w:type="character" w:styleId="CommentReference">
    <w:name w:val="annotation reference"/>
    <w:basedOn w:val="DefaultParagraphFont"/>
    <w:uiPriority w:val="99"/>
    <w:semiHidden/>
    <w:unhideWhenUsed/>
    <w:rsid w:val="00F06126"/>
    <w:rPr>
      <w:sz w:val="16"/>
      <w:szCs w:val="16"/>
    </w:rPr>
  </w:style>
  <w:style w:type="paragraph" w:styleId="CommentText">
    <w:name w:val="annotation text"/>
    <w:basedOn w:val="Normal"/>
    <w:link w:val="CommentTextChar"/>
    <w:uiPriority w:val="99"/>
    <w:semiHidden/>
    <w:unhideWhenUsed/>
    <w:rsid w:val="00F06126"/>
    <w:pPr>
      <w:spacing w:line="240" w:lineRule="auto"/>
    </w:pPr>
    <w:rPr>
      <w:sz w:val="20"/>
      <w:szCs w:val="20"/>
    </w:rPr>
  </w:style>
  <w:style w:type="character" w:customStyle="1" w:styleId="CommentTextChar">
    <w:name w:val="Comment Text Char"/>
    <w:basedOn w:val="DefaultParagraphFont"/>
    <w:link w:val="CommentText"/>
    <w:uiPriority w:val="99"/>
    <w:semiHidden/>
    <w:rsid w:val="00F0612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F06126"/>
    <w:rPr>
      <w:b/>
      <w:bCs/>
    </w:rPr>
  </w:style>
  <w:style w:type="character" w:customStyle="1" w:styleId="CommentSubjectChar">
    <w:name w:val="Comment Subject Char"/>
    <w:basedOn w:val="CommentTextChar"/>
    <w:link w:val="CommentSubject"/>
    <w:uiPriority w:val="99"/>
    <w:semiHidden/>
    <w:rsid w:val="00F06126"/>
    <w:rPr>
      <w:rFonts w:ascii="Book Antiqua" w:hAnsi="Book Antiqua"/>
      <w:b/>
      <w:bCs/>
      <w:sz w:val="20"/>
      <w:szCs w:val="20"/>
    </w:rPr>
  </w:style>
  <w:style w:type="paragraph" w:customStyle="1" w:styleId="standard0">
    <w:name w:val="standard"/>
    <w:basedOn w:val="Normal"/>
    <w:link w:val="standardChar"/>
    <w:rsid w:val="00515327"/>
    <w:rPr>
      <w:rFonts w:eastAsia="Times New Roman" w:cs="Times New Roman"/>
      <w:szCs w:val="20"/>
    </w:rPr>
  </w:style>
  <w:style w:type="character" w:customStyle="1" w:styleId="standardChar">
    <w:name w:val="standard Char"/>
    <w:link w:val="standard0"/>
    <w:rsid w:val="00515327"/>
    <w:rPr>
      <w:rFonts w:ascii="Book Antiqua" w:eastAsia="Times New Roman" w:hAnsi="Book Antiqua" w:cs="Times New Roman"/>
      <w:sz w:val="26"/>
      <w:szCs w:val="20"/>
    </w:rPr>
  </w:style>
  <w:style w:type="paragraph" w:customStyle="1" w:styleId="ALJBodyText">
    <w:name w:val="ALJ Body Text"/>
    <w:basedOn w:val="Normal"/>
    <w:link w:val="ALJBodyTextChar"/>
    <w:qFormat/>
    <w:rsid w:val="00CE587D"/>
    <w:rPr>
      <w:rFonts w:cs="Times New Roman"/>
      <w:szCs w:val="20"/>
    </w:rPr>
  </w:style>
  <w:style w:type="character" w:customStyle="1" w:styleId="ALJBodyTextChar">
    <w:name w:val="ALJ Body Text Char"/>
    <w:basedOn w:val="DefaultParagraphFont"/>
    <w:link w:val="ALJBodyText"/>
    <w:rsid w:val="00CE587D"/>
    <w:rPr>
      <w:rFonts w:ascii="Book Antiqua" w:hAnsi="Book Antiqua" w:cs="Times New Roman"/>
      <w:sz w:val="26"/>
      <w:szCs w:val="20"/>
    </w:rPr>
  </w:style>
  <w:style w:type="character" w:styleId="Strong">
    <w:name w:val="Strong"/>
    <w:basedOn w:val="DefaultParagraphFont"/>
    <w:uiPriority w:val="22"/>
    <w:qFormat/>
    <w:rsid w:val="000562E3"/>
    <w:rPr>
      <w:b/>
      <w:bCs/>
    </w:rPr>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Revision">
    <w:name w:val="Revision"/>
    <w:hidden/>
    <w:uiPriority w:val="99"/>
    <w:semiHidden/>
    <w:rsid w:val="00D91650"/>
    <w:pPr>
      <w:spacing w:after="0" w:line="240" w:lineRule="auto"/>
    </w:pPr>
    <w:rPr>
      <w:rFonts w:ascii="Book Antiqua" w:hAnsi="Book Antiqua"/>
      <w:sz w:val="26"/>
    </w:rPr>
  </w:style>
  <w:style w:type="character" w:styleId="FollowedHyperlink">
    <w:name w:val="FollowedHyperlink"/>
    <w:basedOn w:val="DefaultParagraphFont"/>
    <w:uiPriority w:val="99"/>
    <w:semiHidden/>
    <w:unhideWhenUsed/>
    <w:rsid w:val="00D35395"/>
    <w:rPr>
      <w:color w:val="954F72" w:themeColor="followedHyperlink"/>
      <w:u w:val="single"/>
    </w:rPr>
  </w:style>
  <w:style w:type="paragraph" w:styleId="NormalWeb">
    <w:name w:val="Normal (Web)"/>
    <w:basedOn w:val="Normal"/>
    <w:uiPriority w:val="99"/>
    <w:unhideWhenUsed/>
    <w:rsid w:val="00F4434A"/>
    <w:pPr>
      <w:spacing w:before="100" w:beforeAutospacing="1" w:after="100" w:afterAutospacing="1" w:line="240" w:lineRule="auto"/>
      <w:ind w:firstLine="0"/>
    </w:pPr>
    <w:rPr>
      <w:rFonts w:ascii="Times New Roman" w:eastAsia="Times New Roman" w:hAnsi="Times New Roman" w:cs="Times New Roman"/>
      <w:sz w:val="24"/>
      <w:szCs w:val="24"/>
      <w:lang w:eastAsia="zh-CN"/>
    </w:rPr>
  </w:style>
  <w:style w:type="table" w:customStyle="1" w:styleId="PlainTable11">
    <w:name w:val="Plain Table 11"/>
    <w:basedOn w:val="TableNormal"/>
    <w:next w:val="PlainTable1"/>
    <w:uiPriority w:val="41"/>
    <w:rsid w:val="00D40C41"/>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40C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A28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003">
      <w:bodyDiv w:val="1"/>
      <w:marLeft w:val="0"/>
      <w:marRight w:val="0"/>
      <w:marTop w:val="0"/>
      <w:marBottom w:val="0"/>
      <w:divBdr>
        <w:top w:val="none" w:sz="0" w:space="0" w:color="auto"/>
        <w:left w:val="none" w:sz="0" w:space="0" w:color="auto"/>
        <w:bottom w:val="none" w:sz="0" w:space="0" w:color="auto"/>
        <w:right w:val="none" w:sz="0" w:space="0" w:color="auto"/>
      </w:divBdr>
      <w:divsChild>
        <w:div w:id="1795634700">
          <w:marLeft w:val="0"/>
          <w:marRight w:val="0"/>
          <w:marTop w:val="0"/>
          <w:marBottom w:val="0"/>
          <w:divBdr>
            <w:top w:val="none" w:sz="0" w:space="0" w:color="auto"/>
            <w:left w:val="none" w:sz="0" w:space="0" w:color="auto"/>
            <w:bottom w:val="none" w:sz="0" w:space="0" w:color="auto"/>
            <w:right w:val="none" w:sz="0" w:space="0" w:color="auto"/>
          </w:divBdr>
          <w:divsChild>
            <w:div w:id="103615845">
              <w:marLeft w:val="0"/>
              <w:marRight w:val="0"/>
              <w:marTop w:val="0"/>
              <w:marBottom w:val="0"/>
              <w:divBdr>
                <w:top w:val="none" w:sz="0" w:space="0" w:color="auto"/>
                <w:left w:val="none" w:sz="0" w:space="0" w:color="auto"/>
                <w:bottom w:val="none" w:sz="0" w:space="0" w:color="auto"/>
                <w:right w:val="none" w:sz="0" w:space="0" w:color="auto"/>
              </w:divBdr>
              <w:divsChild>
                <w:div w:id="3580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7235">
      <w:bodyDiv w:val="1"/>
      <w:marLeft w:val="0"/>
      <w:marRight w:val="0"/>
      <w:marTop w:val="0"/>
      <w:marBottom w:val="0"/>
      <w:divBdr>
        <w:top w:val="none" w:sz="0" w:space="0" w:color="auto"/>
        <w:left w:val="none" w:sz="0" w:space="0" w:color="auto"/>
        <w:bottom w:val="none" w:sz="0" w:space="0" w:color="auto"/>
        <w:right w:val="none" w:sz="0" w:space="0" w:color="auto"/>
      </w:divBdr>
      <w:divsChild>
        <w:div w:id="2062053350">
          <w:marLeft w:val="0"/>
          <w:marRight w:val="0"/>
          <w:marTop w:val="0"/>
          <w:marBottom w:val="0"/>
          <w:divBdr>
            <w:top w:val="none" w:sz="0" w:space="0" w:color="auto"/>
            <w:left w:val="none" w:sz="0" w:space="0" w:color="auto"/>
            <w:bottom w:val="none" w:sz="0" w:space="0" w:color="auto"/>
            <w:right w:val="none" w:sz="0" w:space="0" w:color="auto"/>
          </w:divBdr>
          <w:divsChild>
            <w:div w:id="1292903476">
              <w:marLeft w:val="0"/>
              <w:marRight w:val="0"/>
              <w:marTop w:val="0"/>
              <w:marBottom w:val="0"/>
              <w:divBdr>
                <w:top w:val="none" w:sz="0" w:space="0" w:color="auto"/>
                <w:left w:val="none" w:sz="0" w:space="0" w:color="auto"/>
                <w:bottom w:val="none" w:sz="0" w:space="0" w:color="auto"/>
                <w:right w:val="none" w:sz="0" w:space="0" w:color="auto"/>
              </w:divBdr>
              <w:divsChild>
                <w:div w:id="1689409911">
                  <w:marLeft w:val="0"/>
                  <w:marRight w:val="0"/>
                  <w:marTop w:val="0"/>
                  <w:marBottom w:val="0"/>
                  <w:divBdr>
                    <w:top w:val="none" w:sz="0" w:space="0" w:color="auto"/>
                    <w:left w:val="none" w:sz="0" w:space="0" w:color="auto"/>
                    <w:bottom w:val="none" w:sz="0" w:space="0" w:color="auto"/>
                    <w:right w:val="none" w:sz="0" w:space="0" w:color="auto"/>
                  </w:divBdr>
                  <w:divsChild>
                    <w:div w:id="936912721">
                      <w:marLeft w:val="0"/>
                      <w:marRight w:val="0"/>
                      <w:marTop w:val="0"/>
                      <w:marBottom w:val="0"/>
                      <w:divBdr>
                        <w:top w:val="none" w:sz="0" w:space="0" w:color="auto"/>
                        <w:left w:val="none" w:sz="0" w:space="0" w:color="auto"/>
                        <w:bottom w:val="none" w:sz="0" w:space="0" w:color="auto"/>
                        <w:right w:val="none" w:sz="0" w:space="0" w:color="auto"/>
                      </w:divBdr>
                      <w:divsChild>
                        <w:div w:id="1813255918">
                          <w:marLeft w:val="0"/>
                          <w:marRight w:val="0"/>
                          <w:marTop w:val="0"/>
                          <w:marBottom w:val="0"/>
                          <w:divBdr>
                            <w:top w:val="none" w:sz="0" w:space="0" w:color="auto"/>
                            <w:left w:val="none" w:sz="0" w:space="0" w:color="auto"/>
                            <w:bottom w:val="none" w:sz="0" w:space="0" w:color="auto"/>
                            <w:right w:val="none" w:sz="0" w:space="0" w:color="auto"/>
                          </w:divBdr>
                          <w:divsChild>
                            <w:div w:id="1333146490">
                              <w:marLeft w:val="0"/>
                              <w:marRight w:val="0"/>
                              <w:marTop w:val="0"/>
                              <w:marBottom w:val="0"/>
                              <w:divBdr>
                                <w:top w:val="none" w:sz="0" w:space="0" w:color="auto"/>
                                <w:left w:val="none" w:sz="0" w:space="0" w:color="auto"/>
                                <w:bottom w:val="none" w:sz="0" w:space="0" w:color="auto"/>
                                <w:right w:val="none" w:sz="0" w:space="0" w:color="auto"/>
                              </w:divBdr>
                              <w:divsChild>
                                <w:div w:id="1859074451">
                                  <w:marLeft w:val="0"/>
                                  <w:marRight w:val="0"/>
                                  <w:marTop w:val="0"/>
                                  <w:marBottom w:val="0"/>
                                  <w:divBdr>
                                    <w:top w:val="none" w:sz="0" w:space="0" w:color="auto"/>
                                    <w:left w:val="none" w:sz="0" w:space="0" w:color="auto"/>
                                    <w:bottom w:val="none" w:sz="0" w:space="0" w:color="auto"/>
                                    <w:right w:val="none" w:sz="0" w:space="0" w:color="auto"/>
                                  </w:divBdr>
                                  <w:divsChild>
                                    <w:div w:id="2017225114">
                                      <w:marLeft w:val="0"/>
                                      <w:marRight w:val="0"/>
                                      <w:marTop w:val="0"/>
                                      <w:marBottom w:val="0"/>
                                      <w:divBdr>
                                        <w:top w:val="none" w:sz="0" w:space="0" w:color="auto"/>
                                        <w:left w:val="none" w:sz="0" w:space="0" w:color="auto"/>
                                        <w:bottom w:val="none" w:sz="0" w:space="0" w:color="auto"/>
                                        <w:right w:val="none" w:sz="0" w:space="0" w:color="auto"/>
                                      </w:divBdr>
                                      <w:divsChild>
                                        <w:div w:id="906526669">
                                          <w:marLeft w:val="0"/>
                                          <w:marRight w:val="0"/>
                                          <w:marTop w:val="0"/>
                                          <w:marBottom w:val="0"/>
                                          <w:divBdr>
                                            <w:top w:val="none" w:sz="0" w:space="0" w:color="auto"/>
                                            <w:left w:val="none" w:sz="0" w:space="0" w:color="auto"/>
                                            <w:bottom w:val="none" w:sz="0" w:space="0" w:color="auto"/>
                                            <w:right w:val="none" w:sz="0" w:space="0" w:color="auto"/>
                                          </w:divBdr>
                                          <w:divsChild>
                                            <w:div w:id="1743595874">
                                              <w:marLeft w:val="0"/>
                                              <w:marRight w:val="0"/>
                                              <w:marTop w:val="0"/>
                                              <w:marBottom w:val="0"/>
                                              <w:divBdr>
                                                <w:top w:val="none" w:sz="0" w:space="0" w:color="auto"/>
                                                <w:left w:val="none" w:sz="0" w:space="0" w:color="auto"/>
                                                <w:bottom w:val="none" w:sz="0" w:space="0" w:color="auto"/>
                                                <w:right w:val="none" w:sz="0" w:space="0" w:color="auto"/>
                                              </w:divBdr>
                                              <w:divsChild>
                                                <w:div w:id="1340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06886">
      <w:bodyDiv w:val="1"/>
      <w:marLeft w:val="0"/>
      <w:marRight w:val="0"/>
      <w:marTop w:val="0"/>
      <w:marBottom w:val="0"/>
      <w:divBdr>
        <w:top w:val="none" w:sz="0" w:space="0" w:color="auto"/>
        <w:left w:val="none" w:sz="0" w:space="0" w:color="auto"/>
        <w:bottom w:val="none" w:sz="0" w:space="0" w:color="auto"/>
        <w:right w:val="none" w:sz="0" w:space="0" w:color="auto"/>
      </w:divBdr>
    </w:div>
    <w:div w:id="113402257">
      <w:bodyDiv w:val="1"/>
      <w:marLeft w:val="0"/>
      <w:marRight w:val="0"/>
      <w:marTop w:val="0"/>
      <w:marBottom w:val="0"/>
      <w:divBdr>
        <w:top w:val="none" w:sz="0" w:space="0" w:color="auto"/>
        <w:left w:val="none" w:sz="0" w:space="0" w:color="auto"/>
        <w:bottom w:val="none" w:sz="0" w:space="0" w:color="auto"/>
        <w:right w:val="none" w:sz="0" w:space="0" w:color="auto"/>
      </w:divBdr>
    </w:div>
    <w:div w:id="307365924">
      <w:bodyDiv w:val="1"/>
      <w:marLeft w:val="0"/>
      <w:marRight w:val="0"/>
      <w:marTop w:val="0"/>
      <w:marBottom w:val="0"/>
      <w:divBdr>
        <w:top w:val="none" w:sz="0" w:space="0" w:color="auto"/>
        <w:left w:val="none" w:sz="0" w:space="0" w:color="auto"/>
        <w:bottom w:val="none" w:sz="0" w:space="0" w:color="auto"/>
        <w:right w:val="none" w:sz="0" w:space="0" w:color="auto"/>
      </w:divBdr>
    </w:div>
    <w:div w:id="345711432">
      <w:bodyDiv w:val="1"/>
      <w:marLeft w:val="0"/>
      <w:marRight w:val="0"/>
      <w:marTop w:val="0"/>
      <w:marBottom w:val="0"/>
      <w:divBdr>
        <w:top w:val="none" w:sz="0" w:space="0" w:color="auto"/>
        <w:left w:val="none" w:sz="0" w:space="0" w:color="auto"/>
        <w:bottom w:val="none" w:sz="0" w:space="0" w:color="auto"/>
        <w:right w:val="none" w:sz="0" w:space="0" w:color="auto"/>
      </w:divBdr>
    </w:div>
    <w:div w:id="435370594">
      <w:bodyDiv w:val="1"/>
      <w:marLeft w:val="0"/>
      <w:marRight w:val="0"/>
      <w:marTop w:val="0"/>
      <w:marBottom w:val="0"/>
      <w:divBdr>
        <w:top w:val="none" w:sz="0" w:space="0" w:color="auto"/>
        <w:left w:val="none" w:sz="0" w:space="0" w:color="auto"/>
        <w:bottom w:val="none" w:sz="0" w:space="0" w:color="auto"/>
        <w:right w:val="none" w:sz="0" w:space="0" w:color="auto"/>
      </w:divBdr>
    </w:div>
    <w:div w:id="522061358">
      <w:bodyDiv w:val="1"/>
      <w:marLeft w:val="0"/>
      <w:marRight w:val="0"/>
      <w:marTop w:val="0"/>
      <w:marBottom w:val="0"/>
      <w:divBdr>
        <w:top w:val="none" w:sz="0" w:space="0" w:color="auto"/>
        <w:left w:val="none" w:sz="0" w:space="0" w:color="auto"/>
        <w:bottom w:val="none" w:sz="0" w:space="0" w:color="auto"/>
        <w:right w:val="none" w:sz="0" w:space="0" w:color="auto"/>
      </w:divBdr>
    </w:div>
    <w:div w:id="549926447">
      <w:bodyDiv w:val="1"/>
      <w:marLeft w:val="0"/>
      <w:marRight w:val="0"/>
      <w:marTop w:val="0"/>
      <w:marBottom w:val="0"/>
      <w:divBdr>
        <w:top w:val="none" w:sz="0" w:space="0" w:color="auto"/>
        <w:left w:val="none" w:sz="0" w:space="0" w:color="auto"/>
        <w:bottom w:val="none" w:sz="0" w:space="0" w:color="auto"/>
        <w:right w:val="none" w:sz="0" w:space="0" w:color="auto"/>
      </w:divBdr>
      <w:divsChild>
        <w:div w:id="400370842">
          <w:marLeft w:val="0"/>
          <w:marRight w:val="0"/>
          <w:marTop w:val="0"/>
          <w:marBottom w:val="0"/>
          <w:divBdr>
            <w:top w:val="none" w:sz="0" w:space="0" w:color="auto"/>
            <w:left w:val="none" w:sz="0" w:space="0" w:color="auto"/>
            <w:bottom w:val="none" w:sz="0" w:space="0" w:color="auto"/>
            <w:right w:val="none" w:sz="0" w:space="0" w:color="auto"/>
          </w:divBdr>
          <w:divsChild>
            <w:div w:id="250160575">
              <w:marLeft w:val="0"/>
              <w:marRight w:val="0"/>
              <w:marTop w:val="0"/>
              <w:marBottom w:val="0"/>
              <w:divBdr>
                <w:top w:val="none" w:sz="0" w:space="0" w:color="auto"/>
                <w:left w:val="none" w:sz="0" w:space="0" w:color="auto"/>
                <w:bottom w:val="none" w:sz="0" w:space="0" w:color="auto"/>
                <w:right w:val="none" w:sz="0" w:space="0" w:color="auto"/>
              </w:divBdr>
              <w:divsChild>
                <w:div w:id="215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9299">
      <w:bodyDiv w:val="1"/>
      <w:marLeft w:val="0"/>
      <w:marRight w:val="0"/>
      <w:marTop w:val="0"/>
      <w:marBottom w:val="0"/>
      <w:divBdr>
        <w:top w:val="none" w:sz="0" w:space="0" w:color="auto"/>
        <w:left w:val="none" w:sz="0" w:space="0" w:color="auto"/>
        <w:bottom w:val="none" w:sz="0" w:space="0" w:color="auto"/>
        <w:right w:val="none" w:sz="0" w:space="0" w:color="auto"/>
      </w:divBdr>
    </w:div>
    <w:div w:id="781412653">
      <w:bodyDiv w:val="1"/>
      <w:marLeft w:val="0"/>
      <w:marRight w:val="0"/>
      <w:marTop w:val="0"/>
      <w:marBottom w:val="0"/>
      <w:divBdr>
        <w:top w:val="none" w:sz="0" w:space="0" w:color="auto"/>
        <w:left w:val="none" w:sz="0" w:space="0" w:color="auto"/>
        <w:bottom w:val="none" w:sz="0" w:space="0" w:color="auto"/>
        <w:right w:val="none" w:sz="0" w:space="0" w:color="auto"/>
      </w:divBdr>
      <w:divsChild>
        <w:div w:id="964771509">
          <w:marLeft w:val="0"/>
          <w:marRight w:val="0"/>
          <w:marTop w:val="0"/>
          <w:marBottom w:val="0"/>
          <w:divBdr>
            <w:top w:val="none" w:sz="0" w:space="0" w:color="auto"/>
            <w:left w:val="none" w:sz="0" w:space="0" w:color="auto"/>
            <w:bottom w:val="none" w:sz="0" w:space="0" w:color="auto"/>
            <w:right w:val="none" w:sz="0" w:space="0" w:color="auto"/>
          </w:divBdr>
          <w:divsChild>
            <w:div w:id="829366329">
              <w:marLeft w:val="0"/>
              <w:marRight w:val="0"/>
              <w:marTop w:val="0"/>
              <w:marBottom w:val="0"/>
              <w:divBdr>
                <w:top w:val="none" w:sz="0" w:space="0" w:color="auto"/>
                <w:left w:val="none" w:sz="0" w:space="0" w:color="auto"/>
                <w:bottom w:val="none" w:sz="0" w:space="0" w:color="auto"/>
                <w:right w:val="none" w:sz="0" w:space="0" w:color="auto"/>
              </w:divBdr>
              <w:divsChild>
                <w:div w:id="7197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0848">
      <w:bodyDiv w:val="1"/>
      <w:marLeft w:val="0"/>
      <w:marRight w:val="0"/>
      <w:marTop w:val="0"/>
      <w:marBottom w:val="0"/>
      <w:divBdr>
        <w:top w:val="none" w:sz="0" w:space="0" w:color="auto"/>
        <w:left w:val="none" w:sz="0" w:space="0" w:color="auto"/>
        <w:bottom w:val="none" w:sz="0" w:space="0" w:color="auto"/>
        <w:right w:val="none" w:sz="0" w:space="0" w:color="auto"/>
      </w:divBdr>
    </w:div>
    <w:div w:id="1328557233">
      <w:bodyDiv w:val="1"/>
      <w:marLeft w:val="0"/>
      <w:marRight w:val="0"/>
      <w:marTop w:val="0"/>
      <w:marBottom w:val="0"/>
      <w:divBdr>
        <w:top w:val="none" w:sz="0" w:space="0" w:color="auto"/>
        <w:left w:val="none" w:sz="0" w:space="0" w:color="auto"/>
        <w:bottom w:val="none" w:sz="0" w:space="0" w:color="auto"/>
        <w:right w:val="none" w:sz="0" w:space="0" w:color="auto"/>
      </w:divBdr>
    </w:div>
    <w:div w:id="17544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yperlink" Target="https://ww2.arb.ca.gov/sites/default/files/2020-07/2020_lcfs_fro_oal-approved_unofficial_06302020.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s://ww2.arb.ca.gov/our-work/programs/low-carbon-fuel-standard"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2.arb.ca.gov/our-work/programs/cap-and-trade-program/cap-and-trade-regul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epa.gov/lmop/renewable-natural-gas" TargetMode="External"/><Relationship Id="rId28" Type="http://schemas.openxmlformats.org/officeDocument/2006/relationships/hyperlink" Target="https://ww2.arb.ca.gov/our-work/programs/slcp"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yperlink" Target="https://www.epa.gov/lmop/renewable-natural-gas" TargetMode="Externa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3" Type="http://schemas.openxmlformats.org/officeDocument/2006/relationships/hyperlink" Target="https://ww2.arb.ca.gov/our-work/programs/cap-and-trade-program/cap-and-trade-regulation" TargetMode="External"/><Relationship Id="rId2" Type="http://schemas.openxmlformats.org/officeDocument/2006/relationships/hyperlink" Target="https://www.cpuc.ca.gov/General.aspx?id=12181" TargetMode="External"/><Relationship Id="rId1" Type="http://schemas.openxmlformats.org/officeDocument/2006/relationships/hyperlink" Target="https://www.epa.gov/lmop/renewable-natural-gas" TargetMode="External"/><Relationship Id="rId4" Type="http://schemas.openxmlformats.org/officeDocument/2006/relationships/hyperlink" Target="http://www.rngcoalition.com/rng-production-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ACFD-7241-4469-9677-0867A427E65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87</ap:Pages>
  <ap:Words>21954</ap:Words>
  <ap:Characters>125144</ap:Characters>
  <ap:Application>Microsoft Office Word</ap:Application>
  <ap:DocSecurity>0</ap:DocSecurity>
  <ap:Lines>1042</ap:Lines>
  <ap:Paragraphs>293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146805</ap:CharactersWithSpaces>
  <ap:SharedDoc>false</ap:SharedDoc>
  <ap:HLinks>
    <vt:vector baseType="variant" size="264">
      <vt:variant>
        <vt:i4>4456468</vt:i4>
      </vt:variant>
      <vt:variant>
        <vt:i4>228</vt:i4>
      </vt:variant>
      <vt:variant>
        <vt:i4>0</vt:i4>
      </vt:variant>
      <vt:variant>
        <vt:i4>5</vt:i4>
      </vt:variant>
      <vt:variant>
        <vt:lpwstr>https://ww2.arb.ca.gov/our-work/programs/slcp</vt:lpwstr>
      </vt:variant>
      <vt:variant>
        <vt:lpwstr/>
      </vt:variant>
      <vt:variant>
        <vt:i4>3604576</vt:i4>
      </vt:variant>
      <vt:variant>
        <vt:i4>225</vt:i4>
      </vt:variant>
      <vt:variant>
        <vt:i4>0</vt:i4>
      </vt:variant>
      <vt:variant>
        <vt:i4>5</vt:i4>
      </vt:variant>
      <vt:variant>
        <vt:lpwstr>https://www.epa.gov/lmop/renewable-natural-gas</vt:lpwstr>
      </vt:variant>
      <vt:variant>
        <vt:lpwstr/>
      </vt:variant>
      <vt:variant>
        <vt:i4>6029344</vt:i4>
      </vt:variant>
      <vt:variant>
        <vt:i4>222</vt:i4>
      </vt:variant>
      <vt:variant>
        <vt:i4>0</vt:i4>
      </vt:variant>
      <vt:variant>
        <vt:i4>5</vt:i4>
      </vt:variant>
      <vt:variant>
        <vt:lpwstr>https://ww2.arb.ca.gov/sites/default/files/2020-07/2020_lcfs_fro_oal-approved_unofficial_06302020.pdf</vt:lpwstr>
      </vt:variant>
      <vt:variant>
        <vt:lpwstr/>
      </vt:variant>
      <vt:variant>
        <vt:i4>65538</vt:i4>
      </vt:variant>
      <vt:variant>
        <vt:i4>219</vt:i4>
      </vt:variant>
      <vt:variant>
        <vt:i4>0</vt:i4>
      </vt:variant>
      <vt:variant>
        <vt:i4>5</vt:i4>
      </vt:variant>
      <vt:variant>
        <vt:lpwstr>https://ww2.arb.ca.gov/our-work/programs/low-carbon-fuel-standard</vt:lpwstr>
      </vt:variant>
      <vt:variant>
        <vt:lpwstr/>
      </vt:variant>
      <vt:variant>
        <vt:i4>3539003</vt:i4>
      </vt:variant>
      <vt:variant>
        <vt:i4>216</vt:i4>
      </vt:variant>
      <vt:variant>
        <vt:i4>0</vt:i4>
      </vt:variant>
      <vt:variant>
        <vt:i4>5</vt:i4>
      </vt:variant>
      <vt:variant>
        <vt:lpwstr>https://ww2.arb.ca.gov/our-work/programs/cap-and-trade-program/cap-and-trade-regulation</vt:lpwstr>
      </vt:variant>
      <vt:variant>
        <vt:lpwstr/>
      </vt:variant>
      <vt:variant>
        <vt:i4>3604576</vt:i4>
      </vt:variant>
      <vt:variant>
        <vt:i4>213</vt:i4>
      </vt:variant>
      <vt:variant>
        <vt:i4>0</vt:i4>
      </vt:variant>
      <vt:variant>
        <vt:i4>5</vt:i4>
      </vt:variant>
      <vt:variant>
        <vt:lpwstr>https://www.epa.gov/lmop/renewable-natural-gas</vt:lpwstr>
      </vt:variant>
      <vt:variant>
        <vt:lpwstr/>
      </vt:variant>
      <vt:variant>
        <vt:i4>1966133</vt:i4>
      </vt:variant>
      <vt:variant>
        <vt:i4>206</vt:i4>
      </vt:variant>
      <vt:variant>
        <vt:i4>0</vt:i4>
      </vt:variant>
      <vt:variant>
        <vt:i4>5</vt:i4>
      </vt:variant>
      <vt:variant>
        <vt:lpwstr/>
      </vt:variant>
      <vt:variant>
        <vt:lpwstr>_Toc54168398</vt:lpwstr>
      </vt:variant>
      <vt:variant>
        <vt:i4>1114165</vt:i4>
      </vt:variant>
      <vt:variant>
        <vt:i4>200</vt:i4>
      </vt:variant>
      <vt:variant>
        <vt:i4>0</vt:i4>
      </vt:variant>
      <vt:variant>
        <vt:i4>5</vt:i4>
      </vt:variant>
      <vt:variant>
        <vt:lpwstr/>
      </vt:variant>
      <vt:variant>
        <vt:lpwstr>_Toc54168397</vt:lpwstr>
      </vt:variant>
      <vt:variant>
        <vt:i4>1048629</vt:i4>
      </vt:variant>
      <vt:variant>
        <vt:i4>194</vt:i4>
      </vt:variant>
      <vt:variant>
        <vt:i4>0</vt:i4>
      </vt:variant>
      <vt:variant>
        <vt:i4>5</vt:i4>
      </vt:variant>
      <vt:variant>
        <vt:lpwstr/>
      </vt:variant>
      <vt:variant>
        <vt:lpwstr>_Toc54168396</vt:lpwstr>
      </vt:variant>
      <vt:variant>
        <vt:i4>1245237</vt:i4>
      </vt:variant>
      <vt:variant>
        <vt:i4>188</vt:i4>
      </vt:variant>
      <vt:variant>
        <vt:i4>0</vt:i4>
      </vt:variant>
      <vt:variant>
        <vt:i4>5</vt:i4>
      </vt:variant>
      <vt:variant>
        <vt:lpwstr/>
      </vt:variant>
      <vt:variant>
        <vt:lpwstr>_Toc54168395</vt:lpwstr>
      </vt:variant>
      <vt:variant>
        <vt:i4>1179701</vt:i4>
      </vt:variant>
      <vt:variant>
        <vt:i4>182</vt:i4>
      </vt:variant>
      <vt:variant>
        <vt:i4>0</vt:i4>
      </vt:variant>
      <vt:variant>
        <vt:i4>5</vt:i4>
      </vt:variant>
      <vt:variant>
        <vt:lpwstr/>
      </vt:variant>
      <vt:variant>
        <vt:lpwstr>_Toc54168394</vt:lpwstr>
      </vt:variant>
      <vt:variant>
        <vt:i4>1376309</vt:i4>
      </vt:variant>
      <vt:variant>
        <vt:i4>176</vt:i4>
      </vt:variant>
      <vt:variant>
        <vt:i4>0</vt:i4>
      </vt:variant>
      <vt:variant>
        <vt:i4>5</vt:i4>
      </vt:variant>
      <vt:variant>
        <vt:lpwstr/>
      </vt:variant>
      <vt:variant>
        <vt:lpwstr>_Toc54168393</vt:lpwstr>
      </vt:variant>
      <vt:variant>
        <vt:i4>1310773</vt:i4>
      </vt:variant>
      <vt:variant>
        <vt:i4>170</vt:i4>
      </vt:variant>
      <vt:variant>
        <vt:i4>0</vt:i4>
      </vt:variant>
      <vt:variant>
        <vt:i4>5</vt:i4>
      </vt:variant>
      <vt:variant>
        <vt:lpwstr/>
      </vt:variant>
      <vt:variant>
        <vt:lpwstr>_Toc54168392</vt:lpwstr>
      </vt:variant>
      <vt:variant>
        <vt:i4>1507381</vt:i4>
      </vt:variant>
      <vt:variant>
        <vt:i4>164</vt:i4>
      </vt:variant>
      <vt:variant>
        <vt:i4>0</vt:i4>
      </vt:variant>
      <vt:variant>
        <vt:i4>5</vt:i4>
      </vt:variant>
      <vt:variant>
        <vt:lpwstr/>
      </vt:variant>
      <vt:variant>
        <vt:lpwstr>_Toc54168391</vt:lpwstr>
      </vt:variant>
      <vt:variant>
        <vt:i4>1441845</vt:i4>
      </vt:variant>
      <vt:variant>
        <vt:i4>158</vt:i4>
      </vt:variant>
      <vt:variant>
        <vt:i4>0</vt:i4>
      </vt:variant>
      <vt:variant>
        <vt:i4>5</vt:i4>
      </vt:variant>
      <vt:variant>
        <vt:lpwstr/>
      </vt:variant>
      <vt:variant>
        <vt:lpwstr>_Toc54168390</vt:lpwstr>
      </vt:variant>
      <vt:variant>
        <vt:i4>2031668</vt:i4>
      </vt:variant>
      <vt:variant>
        <vt:i4>152</vt:i4>
      </vt:variant>
      <vt:variant>
        <vt:i4>0</vt:i4>
      </vt:variant>
      <vt:variant>
        <vt:i4>5</vt:i4>
      </vt:variant>
      <vt:variant>
        <vt:lpwstr/>
      </vt:variant>
      <vt:variant>
        <vt:lpwstr>_Toc54168389</vt:lpwstr>
      </vt:variant>
      <vt:variant>
        <vt:i4>1966132</vt:i4>
      </vt:variant>
      <vt:variant>
        <vt:i4>146</vt:i4>
      </vt:variant>
      <vt:variant>
        <vt:i4>0</vt:i4>
      </vt:variant>
      <vt:variant>
        <vt:i4>5</vt:i4>
      </vt:variant>
      <vt:variant>
        <vt:lpwstr/>
      </vt:variant>
      <vt:variant>
        <vt:lpwstr>_Toc54168388</vt:lpwstr>
      </vt:variant>
      <vt:variant>
        <vt:i4>1114164</vt:i4>
      </vt:variant>
      <vt:variant>
        <vt:i4>140</vt:i4>
      </vt:variant>
      <vt:variant>
        <vt:i4>0</vt:i4>
      </vt:variant>
      <vt:variant>
        <vt:i4>5</vt:i4>
      </vt:variant>
      <vt:variant>
        <vt:lpwstr/>
      </vt:variant>
      <vt:variant>
        <vt:lpwstr>_Toc54168387</vt:lpwstr>
      </vt:variant>
      <vt:variant>
        <vt:i4>1048628</vt:i4>
      </vt:variant>
      <vt:variant>
        <vt:i4>134</vt:i4>
      </vt:variant>
      <vt:variant>
        <vt:i4>0</vt:i4>
      </vt:variant>
      <vt:variant>
        <vt:i4>5</vt:i4>
      </vt:variant>
      <vt:variant>
        <vt:lpwstr/>
      </vt:variant>
      <vt:variant>
        <vt:lpwstr>_Toc54168386</vt:lpwstr>
      </vt:variant>
      <vt:variant>
        <vt:i4>1245236</vt:i4>
      </vt:variant>
      <vt:variant>
        <vt:i4>128</vt:i4>
      </vt:variant>
      <vt:variant>
        <vt:i4>0</vt:i4>
      </vt:variant>
      <vt:variant>
        <vt:i4>5</vt:i4>
      </vt:variant>
      <vt:variant>
        <vt:lpwstr/>
      </vt:variant>
      <vt:variant>
        <vt:lpwstr>_Toc54168385</vt:lpwstr>
      </vt:variant>
      <vt:variant>
        <vt:i4>1179700</vt:i4>
      </vt:variant>
      <vt:variant>
        <vt:i4>122</vt:i4>
      </vt:variant>
      <vt:variant>
        <vt:i4>0</vt:i4>
      </vt:variant>
      <vt:variant>
        <vt:i4>5</vt:i4>
      </vt:variant>
      <vt:variant>
        <vt:lpwstr/>
      </vt:variant>
      <vt:variant>
        <vt:lpwstr>_Toc54168384</vt:lpwstr>
      </vt:variant>
      <vt:variant>
        <vt:i4>1376308</vt:i4>
      </vt:variant>
      <vt:variant>
        <vt:i4>116</vt:i4>
      </vt:variant>
      <vt:variant>
        <vt:i4>0</vt:i4>
      </vt:variant>
      <vt:variant>
        <vt:i4>5</vt:i4>
      </vt:variant>
      <vt:variant>
        <vt:lpwstr/>
      </vt:variant>
      <vt:variant>
        <vt:lpwstr>_Toc54168383</vt:lpwstr>
      </vt:variant>
      <vt:variant>
        <vt:i4>1310772</vt:i4>
      </vt:variant>
      <vt:variant>
        <vt:i4>110</vt:i4>
      </vt:variant>
      <vt:variant>
        <vt:i4>0</vt:i4>
      </vt:variant>
      <vt:variant>
        <vt:i4>5</vt:i4>
      </vt:variant>
      <vt:variant>
        <vt:lpwstr/>
      </vt:variant>
      <vt:variant>
        <vt:lpwstr>_Toc54168382</vt:lpwstr>
      </vt:variant>
      <vt:variant>
        <vt:i4>1507380</vt:i4>
      </vt:variant>
      <vt:variant>
        <vt:i4>104</vt:i4>
      </vt:variant>
      <vt:variant>
        <vt:i4>0</vt:i4>
      </vt:variant>
      <vt:variant>
        <vt:i4>5</vt:i4>
      </vt:variant>
      <vt:variant>
        <vt:lpwstr/>
      </vt:variant>
      <vt:variant>
        <vt:lpwstr>_Toc54168381</vt:lpwstr>
      </vt:variant>
      <vt:variant>
        <vt:i4>1441844</vt:i4>
      </vt:variant>
      <vt:variant>
        <vt:i4>98</vt:i4>
      </vt:variant>
      <vt:variant>
        <vt:i4>0</vt:i4>
      </vt:variant>
      <vt:variant>
        <vt:i4>5</vt:i4>
      </vt:variant>
      <vt:variant>
        <vt:lpwstr/>
      </vt:variant>
      <vt:variant>
        <vt:lpwstr>_Toc54168380</vt:lpwstr>
      </vt:variant>
      <vt:variant>
        <vt:i4>2031675</vt:i4>
      </vt:variant>
      <vt:variant>
        <vt:i4>92</vt:i4>
      </vt:variant>
      <vt:variant>
        <vt:i4>0</vt:i4>
      </vt:variant>
      <vt:variant>
        <vt:i4>5</vt:i4>
      </vt:variant>
      <vt:variant>
        <vt:lpwstr/>
      </vt:variant>
      <vt:variant>
        <vt:lpwstr>_Toc54168379</vt:lpwstr>
      </vt:variant>
      <vt:variant>
        <vt:i4>1966139</vt:i4>
      </vt:variant>
      <vt:variant>
        <vt:i4>86</vt:i4>
      </vt:variant>
      <vt:variant>
        <vt:i4>0</vt:i4>
      </vt:variant>
      <vt:variant>
        <vt:i4>5</vt:i4>
      </vt:variant>
      <vt:variant>
        <vt:lpwstr/>
      </vt:variant>
      <vt:variant>
        <vt:lpwstr>_Toc54168378</vt:lpwstr>
      </vt:variant>
      <vt:variant>
        <vt:i4>1114171</vt:i4>
      </vt:variant>
      <vt:variant>
        <vt:i4>80</vt:i4>
      </vt:variant>
      <vt:variant>
        <vt:i4>0</vt:i4>
      </vt:variant>
      <vt:variant>
        <vt:i4>5</vt:i4>
      </vt:variant>
      <vt:variant>
        <vt:lpwstr/>
      </vt:variant>
      <vt:variant>
        <vt:lpwstr>_Toc54168377</vt:lpwstr>
      </vt:variant>
      <vt:variant>
        <vt:i4>1048635</vt:i4>
      </vt:variant>
      <vt:variant>
        <vt:i4>74</vt:i4>
      </vt:variant>
      <vt:variant>
        <vt:i4>0</vt:i4>
      </vt:variant>
      <vt:variant>
        <vt:i4>5</vt:i4>
      </vt:variant>
      <vt:variant>
        <vt:lpwstr/>
      </vt:variant>
      <vt:variant>
        <vt:lpwstr>_Toc54168376</vt:lpwstr>
      </vt:variant>
      <vt:variant>
        <vt:i4>1245243</vt:i4>
      </vt:variant>
      <vt:variant>
        <vt:i4>68</vt:i4>
      </vt:variant>
      <vt:variant>
        <vt:i4>0</vt:i4>
      </vt:variant>
      <vt:variant>
        <vt:i4>5</vt:i4>
      </vt:variant>
      <vt:variant>
        <vt:lpwstr/>
      </vt:variant>
      <vt:variant>
        <vt:lpwstr>_Toc54168375</vt:lpwstr>
      </vt:variant>
      <vt:variant>
        <vt:i4>1179707</vt:i4>
      </vt:variant>
      <vt:variant>
        <vt:i4>62</vt:i4>
      </vt:variant>
      <vt:variant>
        <vt:i4>0</vt:i4>
      </vt:variant>
      <vt:variant>
        <vt:i4>5</vt:i4>
      </vt:variant>
      <vt:variant>
        <vt:lpwstr/>
      </vt:variant>
      <vt:variant>
        <vt:lpwstr>_Toc54168374</vt:lpwstr>
      </vt:variant>
      <vt:variant>
        <vt:i4>1376315</vt:i4>
      </vt:variant>
      <vt:variant>
        <vt:i4>56</vt:i4>
      </vt:variant>
      <vt:variant>
        <vt:i4>0</vt:i4>
      </vt:variant>
      <vt:variant>
        <vt:i4>5</vt:i4>
      </vt:variant>
      <vt:variant>
        <vt:lpwstr/>
      </vt:variant>
      <vt:variant>
        <vt:lpwstr>_Toc54168373</vt:lpwstr>
      </vt:variant>
      <vt:variant>
        <vt:i4>1310779</vt:i4>
      </vt:variant>
      <vt:variant>
        <vt:i4>50</vt:i4>
      </vt:variant>
      <vt:variant>
        <vt:i4>0</vt:i4>
      </vt:variant>
      <vt:variant>
        <vt:i4>5</vt:i4>
      </vt:variant>
      <vt:variant>
        <vt:lpwstr/>
      </vt:variant>
      <vt:variant>
        <vt:lpwstr>_Toc54168372</vt:lpwstr>
      </vt:variant>
      <vt:variant>
        <vt:i4>1507387</vt:i4>
      </vt:variant>
      <vt:variant>
        <vt:i4>44</vt:i4>
      </vt:variant>
      <vt:variant>
        <vt:i4>0</vt:i4>
      </vt:variant>
      <vt:variant>
        <vt:i4>5</vt:i4>
      </vt:variant>
      <vt:variant>
        <vt:lpwstr/>
      </vt:variant>
      <vt:variant>
        <vt:lpwstr>_Toc54168371</vt:lpwstr>
      </vt:variant>
      <vt:variant>
        <vt:i4>1441851</vt:i4>
      </vt:variant>
      <vt:variant>
        <vt:i4>38</vt:i4>
      </vt:variant>
      <vt:variant>
        <vt:i4>0</vt:i4>
      </vt:variant>
      <vt:variant>
        <vt:i4>5</vt:i4>
      </vt:variant>
      <vt:variant>
        <vt:lpwstr/>
      </vt:variant>
      <vt:variant>
        <vt:lpwstr>_Toc54168370</vt:lpwstr>
      </vt:variant>
      <vt:variant>
        <vt:i4>2031674</vt:i4>
      </vt:variant>
      <vt:variant>
        <vt:i4>32</vt:i4>
      </vt:variant>
      <vt:variant>
        <vt:i4>0</vt:i4>
      </vt:variant>
      <vt:variant>
        <vt:i4>5</vt:i4>
      </vt:variant>
      <vt:variant>
        <vt:lpwstr/>
      </vt:variant>
      <vt:variant>
        <vt:lpwstr>_Toc54168369</vt:lpwstr>
      </vt:variant>
      <vt:variant>
        <vt:i4>1966138</vt:i4>
      </vt:variant>
      <vt:variant>
        <vt:i4>26</vt:i4>
      </vt:variant>
      <vt:variant>
        <vt:i4>0</vt:i4>
      </vt:variant>
      <vt:variant>
        <vt:i4>5</vt:i4>
      </vt:variant>
      <vt:variant>
        <vt:lpwstr/>
      </vt:variant>
      <vt:variant>
        <vt:lpwstr>_Toc54168368</vt:lpwstr>
      </vt:variant>
      <vt:variant>
        <vt:i4>1114170</vt:i4>
      </vt:variant>
      <vt:variant>
        <vt:i4>20</vt:i4>
      </vt:variant>
      <vt:variant>
        <vt:i4>0</vt:i4>
      </vt:variant>
      <vt:variant>
        <vt:i4>5</vt:i4>
      </vt:variant>
      <vt:variant>
        <vt:lpwstr/>
      </vt:variant>
      <vt:variant>
        <vt:lpwstr>_Toc54168367</vt:lpwstr>
      </vt:variant>
      <vt:variant>
        <vt:i4>1048634</vt:i4>
      </vt:variant>
      <vt:variant>
        <vt:i4>14</vt:i4>
      </vt:variant>
      <vt:variant>
        <vt:i4>0</vt:i4>
      </vt:variant>
      <vt:variant>
        <vt:i4>5</vt:i4>
      </vt:variant>
      <vt:variant>
        <vt:lpwstr/>
      </vt:variant>
      <vt:variant>
        <vt:lpwstr>_Toc54168366</vt:lpwstr>
      </vt:variant>
      <vt:variant>
        <vt:i4>1245242</vt:i4>
      </vt:variant>
      <vt:variant>
        <vt:i4>8</vt:i4>
      </vt:variant>
      <vt:variant>
        <vt:i4>0</vt:i4>
      </vt:variant>
      <vt:variant>
        <vt:i4>5</vt:i4>
      </vt:variant>
      <vt:variant>
        <vt:lpwstr/>
      </vt:variant>
      <vt:variant>
        <vt:lpwstr>_Toc54168365</vt:lpwstr>
      </vt:variant>
      <vt:variant>
        <vt:i4>1179706</vt:i4>
      </vt:variant>
      <vt:variant>
        <vt:i4>2</vt:i4>
      </vt:variant>
      <vt:variant>
        <vt:i4>0</vt:i4>
      </vt:variant>
      <vt:variant>
        <vt:i4>5</vt:i4>
      </vt:variant>
      <vt:variant>
        <vt:lpwstr/>
      </vt:variant>
      <vt:variant>
        <vt:lpwstr>_Toc54168364</vt:lpwstr>
      </vt:variant>
      <vt:variant>
        <vt:i4>65565</vt:i4>
      </vt:variant>
      <vt:variant>
        <vt:i4>6</vt:i4>
      </vt:variant>
      <vt:variant>
        <vt:i4>0</vt:i4>
      </vt:variant>
      <vt:variant>
        <vt:i4>5</vt:i4>
      </vt:variant>
      <vt:variant>
        <vt:lpwstr>http://www.rngcoalition.com/rng-production-facilities</vt:lpwstr>
      </vt:variant>
      <vt:variant>
        <vt:lpwstr/>
      </vt:variant>
      <vt:variant>
        <vt:i4>3539003</vt:i4>
      </vt:variant>
      <vt:variant>
        <vt:i4>3</vt:i4>
      </vt:variant>
      <vt:variant>
        <vt:i4>0</vt:i4>
      </vt:variant>
      <vt:variant>
        <vt:i4>5</vt:i4>
      </vt:variant>
      <vt:variant>
        <vt:lpwstr>https://ww2.arb.ca.gov/our-work/programs/cap-and-trade-program/cap-and-trade-regulation</vt:lpwstr>
      </vt:variant>
      <vt:variant>
        <vt:lpwstr/>
      </vt:variant>
      <vt:variant>
        <vt:i4>4980821</vt:i4>
      </vt:variant>
      <vt:variant>
        <vt:i4>0</vt:i4>
      </vt:variant>
      <vt:variant>
        <vt:i4>0</vt:i4>
      </vt:variant>
      <vt:variant>
        <vt:i4>5</vt:i4>
      </vt:variant>
      <vt:variant>
        <vt:lpwstr>https://www.cpuc.ca.gov/General.aspx?id=12181</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2020-12-22T13:28:26Z</dcterms:created>
  <dcterms:modified xsi:type="dcterms:W3CDTF">2020-12-22T13:28:26Z</dcterms:modified>
</cp:coreProperties>
</file>