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BD0B98" w:rsidRDefault="003740A5" w14:paraId="174D7C9A" w14:textId="6EE658AD">
      <w:pPr>
        <w:tabs>
          <w:tab w:val="center" w:pos="4410"/>
          <w:tab w:val="right" w:pos="9360"/>
        </w:tabs>
        <w:spacing w:line="240" w:lineRule="auto"/>
        <w:ind w:firstLine="0"/>
      </w:pPr>
      <w:r>
        <w:t>ALJ</w:t>
      </w:r>
      <w:r w:rsidR="00DA7B5D">
        <w:t>/</w:t>
      </w:r>
      <w:r>
        <w:t>JF2</w:t>
      </w:r>
      <w:r w:rsidR="00DA7B5D">
        <w:t>/</w:t>
      </w:r>
      <w:r w:rsidR="00616F21">
        <w:t>jnf</w:t>
      </w:r>
      <w:r w:rsidR="00BD0B98">
        <w:tab/>
      </w:r>
      <w:r w:rsidR="00DA7B5D">
        <w:tab/>
      </w:r>
      <w:r w:rsidR="00EA395E">
        <w:rPr>
          <w:b/>
        </w:rPr>
        <w:t>Date of Issuance 12/22/2020</w:t>
      </w:r>
    </w:p>
    <w:p w:rsidR="00DA7B5D" w:rsidP="00632207" w:rsidRDefault="00DA7B5D" w14:paraId="12B1D346" w14:textId="5AE98AEF">
      <w:pPr>
        <w:spacing w:line="240" w:lineRule="auto"/>
        <w:jc w:val="right"/>
        <w:rPr>
          <w:b/>
        </w:rPr>
      </w:pPr>
    </w:p>
    <w:p w:rsidR="00DA7B5D" w:rsidP="008F0116" w:rsidRDefault="00DA7B5D" w14:paraId="4B02E82A" w14:textId="77777777">
      <w:pPr>
        <w:ind w:firstLine="0"/>
      </w:pPr>
    </w:p>
    <w:p w:rsidRPr="00EE3060" w:rsidR="00DA7B5D" w:rsidP="0098655A" w:rsidRDefault="00DA7B5D" w14:paraId="499174E4" w14:textId="726F5A88">
      <w:pPr>
        <w:ind w:left="1080" w:hanging="1080"/>
      </w:pPr>
      <w:r>
        <w:t>Decision</w:t>
      </w:r>
      <w:r w:rsidR="00EA395E">
        <w:t xml:space="preserve"> 20-12-</w:t>
      </w:r>
      <w:proofErr w:type="gramStart"/>
      <w:r w:rsidR="00EA395E">
        <w:t>044  December</w:t>
      </w:r>
      <w:proofErr w:type="gramEnd"/>
      <w:r w:rsidR="00EA395E">
        <w:t xml:space="preserve"> 17, 2020</w:t>
      </w:r>
    </w:p>
    <w:p w:rsidR="00DA7B5D" w:rsidP="00BB0243" w:rsidRDefault="00DA7B5D" w14:paraId="6C3E1C4D" w14:textId="77777777">
      <w:pPr>
        <w:spacing w:line="240" w:lineRule="auto"/>
        <w:jc w:val="center"/>
        <w:rPr>
          <w:u w:val="single"/>
        </w:rPr>
      </w:pPr>
    </w:p>
    <w:p w:rsidR="00DA7B5D" w:rsidP="00BB0243" w:rsidRDefault="00DA7B5D" w14:paraId="25D0AF22"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51DB7A4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21626008"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616F21" w14:paraId="6BEDCD5A" w14:textId="29670C0D">
            <w:pPr>
              <w:spacing w:line="240" w:lineRule="auto"/>
              <w:ind w:firstLine="0"/>
              <w:rPr>
                <w:rFonts w:cs="Arial"/>
                <w:szCs w:val="26"/>
              </w:rPr>
            </w:pPr>
            <w:r w:rsidRPr="00616F21">
              <w:t>Order Instituting Rulemaking to Continue Electric Integrated Resource Planning and Related Procurement Processes.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3740A5" w14:paraId="1CEBE950" w14:textId="213E2199">
            <w:pPr>
              <w:spacing w:line="240" w:lineRule="auto"/>
              <w:ind w:firstLine="0"/>
              <w:jc w:val="center"/>
              <w:rPr>
                <w:rFonts w:cs="Arial"/>
                <w:szCs w:val="26"/>
              </w:rPr>
            </w:pPr>
            <w:r>
              <w:rPr>
                <w:rFonts w:cs="Arial"/>
                <w:szCs w:val="26"/>
              </w:rPr>
              <w:t>R</w:t>
            </w:r>
            <w:r w:rsidR="00616F21">
              <w:rPr>
                <w:rFonts w:cs="Arial"/>
                <w:szCs w:val="26"/>
              </w:rPr>
              <w:t xml:space="preserve">ulemaking </w:t>
            </w:r>
            <w:r>
              <w:rPr>
                <w:rFonts w:cs="Arial"/>
                <w:szCs w:val="26"/>
              </w:rPr>
              <w:t>20-05-003</w:t>
            </w:r>
          </w:p>
        </w:tc>
      </w:tr>
    </w:tbl>
    <w:p w:rsidR="00DA7B5D" w:rsidP="008F0116" w:rsidRDefault="00DA7B5D" w14:paraId="560ACEB3" w14:textId="77777777">
      <w:pPr>
        <w:spacing w:line="240" w:lineRule="auto"/>
        <w:ind w:firstLine="0"/>
        <w:rPr>
          <w:rFonts w:ascii="Arial" w:hAnsi="Arial" w:cs="Arial"/>
          <w:sz w:val="24"/>
          <w:szCs w:val="24"/>
        </w:rPr>
      </w:pPr>
    </w:p>
    <w:p w:rsidR="00DA7B5D" w:rsidP="008F0116" w:rsidRDefault="00DA7B5D" w14:paraId="77A880EA" w14:textId="77777777">
      <w:pPr>
        <w:spacing w:line="240" w:lineRule="auto"/>
        <w:ind w:firstLine="0"/>
        <w:rPr>
          <w:rFonts w:ascii="Arial" w:hAnsi="Arial" w:cs="Arial"/>
          <w:sz w:val="24"/>
          <w:szCs w:val="24"/>
        </w:rPr>
      </w:pPr>
    </w:p>
    <w:p w:rsidR="00F92385" w:rsidP="00B3087D" w:rsidRDefault="003740A5" w14:paraId="6DD60161" w14:textId="0FA9CF5A">
      <w:pPr>
        <w:pStyle w:val="Dummy"/>
        <w:jc w:val="center"/>
      </w:pPr>
      <w:bookmarkStart w:name="_Toc58842625" w:id="0"/>
      <w:r>
        <w:t xml:space="preserve">DECISION ESTABLISHING PROCESS FOR BACKSTOP </w:t>
      </w:r>
      <w:r w:rsidR="00282B59">
        <w:br/>
      </w:r>
      <w:r>
        <w:t>PROCUREMENT REQUIRED BY DECISION 19-11-016</w:t>
      </w:r>
      <w:bookmarkEnd w:id="0"/>
    </w:p>
    <w:p w:rsidR="00616F21" w:rsidP="00616F21" w:rsidRDefault="00616F21" w14:paraId="014FFBCF" w14:textId="77777777"/>
    <w:p w:rsidRPr="00616F21" w:rsidR="00616F21" w:rsidP="00616F21" w:rsidRDefault="00616F21" w14:paraId="166693B0" w14:textId="45FFCC5E">
      <w:pPr>
        <w:sectPr w:rsidRPr="00616F21" w:rsidR="00616F21" w:rsidSect="00616F21">
          <w:headerReference w:type="first" r:id="rId8"/>
          <w:footerReference w:type="first" r:id="rId9"/>
          <w:pgSz w:w="12240" w:h="15840"/>
          <w:pgMar w:top="1440" w:right="1440" w:bottom="1440" w:left="1440" w:header="720" w:footer="720" w:gutter="0"/>
          <w:pgNumType w:start="1"/>
          <w:cols w:space="720"/>
          <w:titlePg/>
          <w:docGrid w:linePitch="360"/>
        </w:sectPr>
      </w:pPr>
    </w:p>
    <w:p w:rsidRPr="001E2A62" w:rsidR="00D50119" w:rsidP="00F76650" w:rsidRDefault="00D50119" w14:paraId="783C7205"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41EF14AA"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0E409F" w:rsidP="000E409F" w:rsidRDefault="008C7413" w14:paraId="7B014864" w14:textId="69F4679D">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58842625">
            <w:r w:rsidRPr="00B765C1" w:rsidR="000E409F">
              <w:rPr>
                <w:rStyle w:val="Hyperlink"/>
                <w:noProof/>
              </w:rPr>
              <w:t>DECISION ESTABLISHING PROCESS FOR BACKSTOP  PROCUREMENT REQUIRED BY DECISION 19-11-016</w:t>
            </w:r>
            <w:r w:rsidR="000E409F">
              <w:rPr>
                <w:noProof/>
                <w:webHidden/>
              </w:rPr>
              <w:tab/>
            </w:r>
            <w:r w:rsidR="000E409F">
              <w:rPr>
                <w:noProof/>
                <w:webHidden/>
              </w:rPr>
              <w:fldChar w:fldCharType="begin"/>
            </w:r>
            <w:r w:rsidR="000E409F">
              <w:rPr>
                <w:noProof/>
                <w:webHidden/>
              </w:rPr>
              <w:instrText xml:space="preserve"> PAGEREF _Toc58842625 \h </w:instrText>
            </w:r>
            <w:r w:rsidR="000E409F">
              <w:rPr>
                <w:noProof/>
                <w:webHidden/>
              </w:rPr>
            </w:r>
            <w:r w:rsidR="000E409F">
              <w:rPr>
                <w:noProof/>
                <w:webHidden/>
              </w:rPr>
              <w:fldChar w:fldCharType="separate"/>
            </w:r>
            <w:r w:rsidR="000E409F">
              <w:rPr>
                <w:noProof/>
                <w:webHidden/>
              </w:rPr>
              <w:t>1</w:t>
            </w:r>
            <w:r w:rsidR="000E409F">
              <w:rPr>
                <w:noProof/>
                <w:webHidden/>
              </w:rPr>
              <w:fldChar w:fldCharType="end"/>
            </w:r>
          </w:hyperlink>
        </w:p>
        <w:p w:rsidR="000E409F" w:rsidRDefault="004A2454" w14:paraId="7B432773" w14:textId="39AF8B92">
          <w:pPr>
            <w:pStyle w:val="TOC1"/>
            <w:tabs>
              <w:tab w:val="right" w:leader="dot" w:pos="9350"/>
            </w:tabs>
            <w:rPr>
              <w:rFonts w:asciiTheme="minorHAnsi" w:hAnsiTheme="minorHAnsi" w:cstheme="minorBidi"/>
              <w:noProof/>
              <w:sz w:val="22"/>
            </w:rPr>
          </w:pPr>
          <w:hyperlink w:history="1" w:anchor="_Toc58842626">
            <w:r w:rsidRPr="00B765C1" w:rsidR="000E409F">
              <w:rPr>
                <w:rStyle w:val="Hyperlink"/>
                <w:noProof/>
              </w:rPr>
              <w:t>Summary</w:t>
            </w:r>
            <w:r w:rsidR="000E409F">
              <w:rPr>
                <w:noProof/>
                <w:webHidden/>
              </w:rPr>
              <w:tab/>
            </w:r>
            <w:r w:rsidR="000E409F">
              <w:rPr>
                <w:noProof/>
                <w:webHidden/>
              </w:rPr>
              <w:fldChar w:fldCharType="begin"/>
            </w:r>
            <w:r w:rsidR="000E409F">
              <w:rPr>
                <w:noProof/>
                <w:webHidden/>
              </w:rPr>
              <w:instrText xml:space="preserve"> PAGEREF _Toc58842626 \h </w:instrText>
            </w:r>
            <w:r w:rsidR="000E409F">
              <w:rPr>
                <w:noProof/>
                <w:webHidden/>
              </w:rPr>
            </w:r>
            <w:r w:rsidR="000E409F">
              <w:rPr>
                <w:noProof/>
                <w:webHidden/>
              </w:rPr>
              <w:fldChar w:fldCharType="separate"/>
            </w:r>
            <w:r w:rsidR="000E409F">
              <w:rPr>
                <w:noProof/>
                <w:webHidden/>
              </w:rPr>
              <w:t>2</w:t>
            </w:r>
            <w:r w:rsidR="000E409F">
              <w:rPr>
                <w:noProof/>
                <w:webHidden/>
              </w:rPr>
              <w:fldChar w:fldCharType="end"/>
            </w:r>
          </w:hyperlink>
        </w:p>
        <w:p w:rsidR="000E409F" w:rsidRDefault="004A2454" w14:paraId="5A4D622F" w14:textId="1FC9D05B">
          <w:pPr>
            <w:pStyle w:val="TOC1"/>
            <w:tabs>
              <w:tab w:val="right" w:leader="dot" w:pos="9350"/>
            </w:tabs>
            <w:rPr>
              <w:rFonts w:asciiTheme="minorHAnsi" w:hAnsiTheme="minorHAnsi" w:cstheme="minorBidi"/>
              <w:noProof/>
              <w:sz w:val="22"/>
            </w:rPr>
          </w:pPr>
          <w:hyperlink w:history="1" w:anchor="_Toc58842627">
            <w:r w:rsidRPr="00B765C1" w:rsidR="000E409F">
              <w:rPr>
                <w:rStyle w:val="Hyperlink"/>
                <w:noProof/>
              </w:rPr>
              <w:t>1.</w:t>
            </w:r>
            <w:r w:rsidR="000E409F">
              <w:rPr>
                <w:rFonts w:asciiTheme="minorHAnsi" w:hAnsiTheme="minorHAnsi" w:cstheme="minorBidi"/>
                <w:noProof/>
                <w:sz w:val="22"/>
              </w:rPr>
              <w:tab/>
            </w:r>
            <w:r w:rsidRPr="00B765C1" w:rsidR="000E409F">
              <w:rPr>
                <w:rStyle w:val="Hyperlink"/>
                <w:noProof/>
              </w:rPr>
              <w:t>Background</w:t>
            </w:r>
            <w:r w:rsidR="000E409F">
              <w:rPr>
                <w:noProof/>
                <w:webHidden/>
              </w:rPr>
              <w:tab/>
            </w:r>
            <w:r w:rsidR="000E409F">
              <w:rPr>
                <w:noProof/>
                <w:webHidden/>
              </w:rPr>
              <w:fldChar w:fldCharType="begin"/>
            </w:r>
            <w:r w:rsidR="000E409F">
              <w:rPr>
                <w:noProof/>
                <w:webHidden/>
              </w:rPr>
              <w:instrText xml:space="preserve"> PAGEREF _Toc58842627 \h </w:instrText>
            </w:r>
            <w:r w:rsidR="000E409F">
              <w:rPr>
                <w:noProof/>
                <w:webHidden/>
              </w:rPr>
            </w:r>
            <w:r w:rsidR="000E409F">
              <w:rPr>
                <w:noProof/>
                <w:webHidden/>
              </w:rPr>
              <w:fldChar w:fldCharType="separate"/>
            </w:r>
            <w:r w:rsidR="000E409F">
              <w:rPr>
                <w:noProof/>
                <w:webHidden/>
              </w:rPr>
              <w:t>2</w:t>
            </w:r>
            <w:r w:rsidR="000E409F">
              <w:rPr>
                <w:noProof/>
                <w:webHidden/>
              </w:rPr>
              <w:fldChar w:fldCharType="end"/>
            </w:r>
          </w:hyperlink>
        </w:p>
        <w:p w:rsidR="000E409F" w:rsidRDefault="004A2454" w14:paraId="65BC8535" w14:textId="7AE64B9C">
          <w:pPr>
            <w:pStyle w:val="TOC1"/>
            <w:tabs>
              <w:tab w:val="right" w:leader="dot" w:pos="9350"/>
            </w:tabs>
            <w:rPr>
              <w:rFonts w:asciiTheme="minorHAnsi" w:hAnsiTheme="minorHAnsi" w:cstheme="minorBidi"/>
              <w:noProof/>
              <w:sz w:val="22"/>
            </w:rPr>
          </w:pPr>
          <w:hyperlink w:history="1" w:anchor="_Toc58842628">
            <w:r w:rsidRPr="00B765C1" w:rsidR="000E409F">
              <w:rPr>
                <w:rStyle w:val="Hyperlink"/>
                <w:noProof/>
              </w:rPr>
              <w:t>2.</w:t>
            </w:r>
            <w:r w:rsidR="000E409F">
              <w:rPr>
                <w:rFonts w:asciiTheme="minorHAnsi" w:hAnsiTheme="minorHAnsi" w:cstheme="minorBidi"/>
                <w:noProof/>
                <w:sz w:val="22"/>
              </w:rPr>
              <w:tab/>
            </w:r>
            <w:r w:rsidRPr="00B765C1" w:rsidR="000E409F">
              <w:rPr>
                <w:rStyle w:val="Hyperlink"/>
                <w:noProof/>
              </w:rPr>
              <w:t>Initial Commission Staff Proposal for the Backstop Procurement Process</w:t>
            </w:r>
            <w:r w:rsidR="000E409F">
              <w:rPr>
                <w:noProof/>
                <w:webHidden/>
              </w:rPr>
              <w:tab/>
            </w:r>
            <w:r w:rsidR="000E409F">
              <w:rPr>
                <w:noProof/>
                <w:webHidden/>
              </w:rPr>
              <w:fldChar w:fldCharType="begin"/>
            </w:r>
            <w:r w:rsidR="000E409F">
              <w:rPr>
                <w:noProof/>
                <w:webHidden/>
              </w:rPr>
              <w:instrText xml:space="preserve"> PAGEREF _Toc58842628 \h </w:instrText>
            </w:r>
            <w:r w:rsidR="000E409F">
              <w:rPr>
                <w:noProof/>
                <w:webHidden/>
              </w:rPr>
            </w:r>
            <w:r w:rsidR="000E409F">
              <w:rPr>
                <w:noProof/>
                <w:webHidden/>
              </w:rPr>
              <w:fldChar w:fldCharType="separate"/>
            </w:r>
            <w:r w:rsidR="000E409F">
              <w:rPr>
                <w:noProof/>
                <w:webHidden/>
              </w:rPr>
              <w:t>4</w:t>
            </w:r>
            <w:r w:rsidR="000E409F">
              <w:rPr>
                <w:noProof/>
                <w:webHidden/>
              </w:rPr>
              <w:fldChar w:fldCharType="end"/>
            </w:r>
          </w:hyperlink>
        </w:p>
        <w:p w:rsidR="000E409F" w:rsidRDefault="004A2454" w14:paraId="0C4F1DD2" w14:textId="3E47178B">
          <w:pPr>
            <w:pStyle w:val="TOC1"/>
            <w:tabs>
              <w:tab w:val="right" w:leader="dot" w:pos="9350"/>
            </w:tabs>
            <w:rPr>
              <w:rFonts w:asciiTheme="minorHAnsi" w:hAnsiTheme="minorHAnsi" w:cstheme="minorBidi"/>
              <w:noProof/>
              <w:sz w:val="22"/>
            </w:rPr>
          </w:pPr>
          <w:hyperlink w:history="1" w:anchor="_Toc58842629">
            <w:r w:rsidRPr="00B765C1" w:rsidR="000E409F">
              <w:rPr>
                <w:rStyle w:val="Hyperlink"/>
                <w:noProof/>
              </w:rPr>
              <w:t>3.</w:t>
            </w:r>
            <w:r w:rsidR="000E409F">
              <w:rPr>
                <w:rFonts w:asciiTheme="minorHAnsi" w:hAnsiTheme="minorHAnsi" w:cstheme="minorBidi"/>
                <w:noProof/>
                <w:sz w:val="22"/>
              </w:rPr>
              <w:tab/>
            </w:r>
            <w:r w:rsidRPr="00B765C1" w:rsidR="000E409F">
              <w:rPr>
                <w:rStyle w:val="Hyperlink"/>
                <w:noProof/>
              </w:rPr>
              <w:t>Comments of Parties</w:t>
            </w:r>
            <w:r w:rsidR="000E409F">
              <w:rPr>
                <w:noProof/>
                <w:webHidden/>
              </w:rPr>
              <w:tab/>
            </w:r>
            <w:r w:rsidR="000E409F">
              <w:rPr>
                <w:noProof/>
                <w:webHidden/>
              </w:rPr>
              <w:fldChar w:fldCharType="begin"/>
            </w:r>
            <w:r w:rsidR="000E409F">
              <w:rPr>
                <w:noProof/>
                <w:webHidden/>
              </w:rPr>
              <w:instrText xml:space="preserve"> PAGEREF _Toc58842629 \h </w:instrText>
            </w:r>
            <w:r w:rsidR="000E409F">
              <w:rPr>
                <w:noProof/>
                <w:webHidden/>
              </w:rPr>
            </w:r>
            <w:r w:rsidR="000E409F">
              <w:rPr>
                <w:noProof/>
                <w:webHidden/>
              </w:rPr>
              <w:fldChar w:fldCharType="separate"/>
            </w:r>
            <w:r w:rsidR="000E409F">
              <w:rPr>
                <w:noProof/>
                <w:webHidden/>
              </w:rPr>
              <w:t>8</w:t>
            </w:r>
            <w:r w:rsidR="000E409F">
              <w:rPr>
                <w:noProof/>
                <w:webHidden/>
              </w:rPr>
              <w:fldChar w:fldCharType="end"/>
            </w:r>
          </w:hyperlink>
        </w:p>
        <w:p w:rsidR="000E409F" w:rsidRDefault="004A2454" w14:paraId="5237B36A" w14:textId="40DADC38">
          <w:pPr>
            <w:pStyle w:val="TOC2"/>
            <w:tabs>
              <w:tab w:val="right" w:leader="dot" w:pos="9350"/>
            </w:tabs>
            <w:rPr>
              <w:rFonts w:asciiTheme="minorHAnsi" w:hAnsiTheme="minorHAnsi" w:cstheme="minorBidi"/>
              <w:noProof/>
              <w:sz w:val="22"/>
            </w:rPr>
          </w:pPr>
          <w:hyperlink w:history="1" w:anchor="_Toc58842630">
            <w:r w:rsidRPr="00B765C1" w:rsidR="000E409F">
              <w:rPr>
                <w:rStyle w:val="Hyperlink"/>
                <w:noProof/>
              </w:rPr>
              <w:t>3.1.</w:t>
            </w:r>
            <w:r w:rsidR="000E409F">
              <w:rPr>
                <w:rFonts w:asciiTheme="minorHAnsi" w:hAnsiTheme="minorHAnsi" w:cstheme="minorBidi"/>
                <w:noProof/>
                <w:sz w:val="22"/>
              </w:rPr>
              <w:tab/>
            </w:r>
            <w:r w:rsidRPr="00B765C1" w:rsidR="000E409F">
              <w:rPr>
                <w:rStyle w:val="Hyperlink"/>
                <w:noProof/>
              </w:rPr>
              <w:t>Comments Related to Triggers and Milestones</w:t>
            </w:r>
            <w:r w:rsidR="000E409F">
              <w:rPr>
                <w:noProof/>
                <w:webHidden/>
              </w:rPr>
              <w:tab/>
            </w:r>
            <w:r w:rsidR="000E409F">
              <w:rPr>
                <w:noProof/>
                <w:webHidden/>
              </w:rPr>
              <w:fldChar w:fldCharType="begin"/>
            </w:r>
            <w:r w:rsidR="000E409F">
              <w:rPr>
                <w:noProof/>
                <w:webHidden/>
              </w:rPr>
              <w:instrText xml:space="preserve"> PAGEREF _Toc58842630 \h </w:instrText>
            </w:r>
            <w:r w:rsidR="000E409F">
              <w:rPr>
                <w:noProof/>
                <w:webHidden/>
              </w:rPr>
            </w:r>
            <w:r w:rsidR="000E409F">
              <w:rPr>
                <w:noProof/>
                <w:webHidden/>
              </w:rPr>
              <w:fldChar w:fldCharType="separate"/>
            </w:r>
            <w:r w:rsidR="000E409F">
              <w:rPr>
                <w:noProof/>
                <w:webHidden/>
              </w:rPr>
              <w:t>9</w:t>
            </w:r>
            <w:r w:rsidR="000E409F">
              <w:rPr>
                <w:noProof/>
                <w:webHidden/>
              </w:rPr>
              <w:fldChar w:fldCharType="end"/>
            </w:r>
          </w:hyperlink>
        </w:p>
        <w:p w:rsidR="000E409F" w:rsidRDefault="004A2454" w14:paraId="3DEAD734" w14:textId="13D63667">
          <w:pPr>
            <w:pStyle w:val="TOC2"/>
            <w:tabs>
              <w:tab w:val="right" w:leader="dot" w:pos="9350"/>
            </w:tabs>
            <w:rPr>
              <w:rFonts w:asciiTheme="minorHAnsi" w:hAnsiTheme="minorHAnsi" w:cstheme="minorBidi"/>
              <w:noProof/>
              <w:sz w:val="22"/>
            </w:rPr>
          </w:pPr>
          <w:hyperlink w:history="1" w:anchor="_Toc58842631">
            <w:r w:rsidRPr="00B765C1" w:rsidR="000E409F">
              <w:rPr>
                <w:rStyle w:val="Hyperlink"/>
                <w:noProof/>
              </w:rPr>
              <w:t>3.2.</w:t>
            </w:r>
            <w:r w:rsidR="000E409F">
              <w:rPr>
                <w:rFonts w:asciiTheme="minorHAnsi" w:hAnsiTheme="minorHAnsi" w:cstheme="minorBidi"/>
                <w:noProof/>
                <w:sz w:val="22"/>
              </w:rPr>
              <w:tab/>
            </w:r>
            <w:r w:rsidRPr="00B765C1" w:rsidR="000E409F">
              <w:rPr>
                <w:rStyle w:val="Hyperlink"/>
                <w:noProof/>
              </w:rPr>
              <w:t>Comments Related to Partial Backstop Procurement</w:t>
            </w:r>
            <w:r w:rsidR="000E409F">
              <w:rPr>
                <w:noProof/>
                <w:webHidden/>
              </w:rPr>
              <w:tab/>
            </w:r>
            <w:r w:rsidR="000E409F">
              <w:rPr>
                <w:noProof/>
                <w:webHidden/>
              </w:rPr>
              <w:fldChar w:fldCharType="begin"/>
            </w:r>
            <w:r w:rsidR="000E409F">
              <w:rPr>
                <w:noProof/>
                <w:webHidden/>
              </w:rPr>
              <w:instrText xml:space="preserve"> PAGEREF _Toc58842631 \h </w:instrText>
            </w:r>
            <w:r w:rsidR="000E409F">
              <w:rPr>
                <w:noProof/>
                <w:webHidden/>
              </w:rPr>
            </w:r>
            <w:r w:rsidR="000E409F">
              <w:rPr>
                <w:noProof/>
                <w:webHidden/>
              </w:rPr>
              <w:fldChar w:fldCharType="separate"/>
            </w:r>
            <w:r w:rsidR="000E409F">
              <w:rPr>
                <w:noProof/>
                <w:webHidden/>
              </w:rPr>
              <w:t>11</w:t>
            </w:r>
            <w:r w:rsidR="000E409F">
              <w:rPr>
                <w:noProof/>
                <w:webHidden/>
              </w:rPr>
              <w:fldChar w:fldCharType="end"/>
            </w:r>
          </w:hyperlink>
        </w:p>
        <w:p w:rsidR="000E409F" w:rsidRDefault="004A2454" w14:paraId="754EBCBB" w14:textId="2F5132F0">
          <w:pPr>
            <w:pStyle w:val="TOC2"/>
            <w:tabs>
              <w:tab w:val="right" w:leader="dot" w:pos="9350"/>
            </w:tabs>
            <w:rPr>
              <w:rFonts w:asciiTheme="minorHAnsi" w:hAnsiTheme="minorHAnsi" w:cstheme="minorBidi"/>
              <w:noProof/>
              <w:sz w:val="22"/>
            </w:rPr>
          </w:pPr>
          <w:hyperlink w:history="1" w:anchor="_Toc58842632">
            <w:r w:rsidRPr="00B765C1" w:rsidR="000E409F">
              <w:rPr>
                <w:rStyle w:val="Hyperlink"/>
                <w:noProof/>
              </w:rPr>
              <w:t>3.3.</w:t>
            </w:r>
            <w:r w:rsidR="000E409F">
              <w:rPr>
                <w:rFonts w:asciiTheme="minorHAnsi" w:hAnsiTheme="minorHAnsi" w:cstheme="minorBidi"/>
                <w:noProof/>
                <w:sz w:val="22"/>
              </w:rPr>
              <w:tab/>
            </w:r>
            <w:r w:rsidRPr="00B765C1" w:rsidR="000E409F">
              <w:rPr>
                <w:rStyle w:val="Hyperlink"/>
                <w:noProof/>
              </w:rPr>
              <w:t>Comments on Possibility of Extensions</w:t>
            </w:r>
            <w:r w:rsidR="000E409F">
              <w:rPr>
                <w:noProof/>
                <w:webHidden/>
              </w:rPr>
              <w:tab/>
            </w:r>
            <w:r w:rsidR="000E409F">
              <w:rPr>
                <w:noProof/>
                <w:webHidden/>
              </w:rPr>
              <w:fldChar w:fldCharType="begin"/>
            </w:r>
            <w:r w:rsidR="000E409F">
              <w:rPr>
                <w:noProof/>
                <w:webHidden/>
              </w:rPr>
              <w:instrText xml:space="preserve"> PAGEREF _Toc58842632 \h </w:instrText>
            </w:r>
            <w:r w:rsidR="000E409F">
              <w:rPr>
                <w:noProof/>
                <w:webHidden/>
              </w:rPr>
            </w:r>
            <w:r w:rsidR="000E409F">
              <w:rPr>
                <w:noProof/>
                <w:webHidden/>
              </w:rPr>
              <w:fldChar w:fldCharType="separate"/>
            </w:r>
            <w:r w:rsidR="000E409F">
              <w:rPr>
                <w:noProof/>
                <w:webHidden/>
              </w:rPr>
              <w:t>11</w:t>
            </w:r>
            <w:r w:rsidR="000E409F">
              <w:rPr>
                <w:noProof/>
                <w:webHidden/>
              </w:rPr>
              <w:fldChar w:fldCharType="end"/>
            </w:r>
          </w:hyperlink>
        </w:p>
        <w:p w:rsidR="000E409F" w:rsidRDefault="004A2454" w14:paraId="68AB3FC7" w14:textId="5E20612E">
          <w:pPr>
            <w:pStyle w:val="TOC1"/>
            <w:tabs>
              <w:tab w:val="right" w:leader="dot" w:pos="9350"/>
            </w:tabs>
            <w:rPr>
              <w:rFonts w:asciiTheme="minorHAnsi" w:hAnsiTheme="minorHAnsi" w:cstheme="minorBidi"/>
              <w:noProof/>
              <w:sz w:val="22"/>
            </w:rPr>
          </w:pPr>
          <w:hyperlink w:history="1" w:anchor="_Toc58842633">
            <w:r w:rsidRPr="00B765C1" w:rsidR="000E409F">
              <w:rPr>
                <w:rStyle w:val="Hyperlink"/>
                <w:noProof/>
              </w:rPr>
              <w:t>4.</w:t>
            </w:r>
            <w:r w:rsidR="000E409F">
              <w:rPr>
                <w:rFonts w:asciiTheme="minorHAnsi" w:hAnsiTheme="minorHAnsi" w:cstheme="minorBidi"/>
                <w:noProof/>
                <w:sz w:val="22"/>
              </w:rPr>
              <w:tab/>
            </w:r>
            <w:r w:rsidRPr="00B765C1" w:rsidR="000E409F">
              <w:rPr>
                <w:rStyle w:val="Hyperlink"/>
                <w:noProof/>
              </w:rPr>
              <w:t>Discussion and Conclusion</w:t>
            </w:r>
            <w:r w:rsidR="000E409F">
              <w:rPr>
                <w:noProof/>
                <w:webHidden/>
              </w:rPr>
              <w:tab/>
            </w:r>
            <w:r w:rsidR="000E409F">
              <w:rPr>
                <w:noProof/>
                <w:webHidden/>
              </w:rPr>
              <w:fldChar w:fldCharType="begin"/>
            </w:r>
            <w:r w:rsidR="000E409F">
              <w:rPr>
                <w:noProof/>
                <w:webHidden/>
              </w:rPr>
              <w:instrText xml:space="preserve"> PAGEREF _Toc58842633 \h </w:instrText>
            </w:r>
            <w:r w:rsidR="000E409F">
              <w:rPr>
                <w:noProof/>
                <w:webHidden/>
              </w:rPr>
            </w:r>
            <w:r w:rsidR="000E409F">
              <w:rPr>
                <w:noProof/>
                <w:webHidden/>
              </w:rPr>
              <w:fldChar w:fldCharType="separate"/>
            </w:r>
            <w:r w:rsidR="000E409F">
              <w:rPr>
                <w:noProof/>
                <w:webHidden/>
              </w:rPr>
              <w:t>12</w:t>
            </w:r>
            <w:r w:rsidR="000E409F">
              <w:rPr>
                <w:noProof/>
                <w:webHidden/>
              </w:rPr>
              <w:fldChar w:fldCharType="end"/>
            </w:r>
          </w:hyperlink>
        </w:p>
        <w:p w:rsidR="000E409F" w:rsidRDefault="004A2454" w14:paraId="0CBA9A3A" w14:textId="7D7AD23D">
          <w:pPr>
            <w:pStyle w:val="TOC1"/>
            <w:tabs>
              <w:tab w:val="right" w:leader="dot" w:pos="9350"/>
            </w:tabs>
            <w:rPr>
              <w:rFonts w:asciiTheme="minorHAnsi" w:hAnsiTheme="minorHAnsi" w:cstheme="minorBidi"/>
              <w:noProof/>
              <w:sz w:val="22"/>
            </w:rPr>
          </w:pPr>
          <w:hyperlink w:history="1" w:anchor="_Toc58842634">
            <w:r w:rsidRPr="00B765C1" w:rsidR="000E409F">
              <w:rPr>
                <w:rStyle w:val="Hyperlink"/>
                <w:noProof/>
              </w:rPr>
              <w:t>5.</w:t>
            </w:r>
            <w:r w:rsidR="000E409F">
              <w:rPr>
                <w:rFonts w:asciiTheme="minorHAnsi" w:hAnsiTheme="minorHAnsi" w:cstheme="minorBidi"/>
                <w:noProof/>
                <w:sz w:val="22"/>
              </w:rPr>
              <w:tab/>
            </w:r>
            <w:r w:rsidRPr="00B765C1" w:rsidR="000E409F">
              <w:rPr>
                <w:rStyle w:val="Hyperlink"/>
                <w:noProof/>
              </w:rPr>
              <w:t>Comments on Proposed Decision</w:t>
            </w:r>
            <w:r w:rsidR="000E409F">
              <w:rPr>
                <w:noProof/>
                <w:webHidden/>
              </w:rPr>
              <w:tab/>
            </w:r>
            <w:r w:rsidR="000E409F">
              <w:rPr>
                <w:noProof/>
                <w:webHidden/>
              </w:rPr>
              <w:fldChar w:fldCharType="begin"/>
            </w:r>
            <w:r w:rsidR="000E409F">
              <w:rPr>
                <w:noProof/>
                <w:webHidden/>
              </w:rPr>
              <w:instrText xml:space="preserve"> PAGEREF _Toc58842634 \h </w:instrText>
            </w:r>
            <w:r w:rsidR="000E409F">
              <w:rPr>
                <w:noProof/>
                <w:webHidden/>
              </w:rPr>
            </w:r>
            <w:r w:rsidR="000E409F">
              <w:rPr>
                <w:noProof/>
                <w:webHidden/>
              </w:rPr>
              <w:fldChar w:fldCharType="separate"/>
            </w:r>
            <w:r w:rsidR="000E409F">
              <w:rPr>
                <w:noProof/>
                <w:webHidden/>
              </w:rPr>
              <w:t>21</w:t>
            </w:r>
            <w:r w:rsidR="000E409F">
              <w:rPr>
                <w:noProof/>
                <w:webHidden/>
              </w:rPr>
              <w:fldChar w:fldCharType="end"/>
            </w:r>
          </w:hyperlink>
        </w:p>
        <w:p w:rsidR="000E409F" w:rsidRDefault="004A2454" w14:paraId="6DBB49E1" w14:textId="5F7E8D39">
          <w:pPr>
            <w:pStyle w:val="TOC1"/>
            <w:tabs>
              <w:tab w:val="right" w:leader="dot" w:pos="9350"/>
            </w:tabs>
            <w:rPr>
              <w:rFonts w:asciiTheme="minorHAnsi" w:hAnsiTheme="minorHAnsi" w:cstheme="minorBidi"/>
              <w:noProof/>
              <w:sz w:val="22"/>
            </w:rPr>
          </w:pPr>
          <w:hyperlink w:history="1" w:anchor="_Toc58842635">
            <w:r w:rsidRPr="00B765C1" w:rsidR="000E409F">
              <w:rPr>
                <w:rStyle w:val="Hyperlink"/>
                <w:noProof/>
              </w:rPr>
              <w:t>6.</w:t>
            </w:r>
            <w:r w:rsidR="000E409F">
              <w:rPr>
                <w:rFonts w:asciiTheme="minorHAnsi" w:hAnsiTheme="minorHAnsi" w:cstheme="minorBidi"/>
                <w:noProof/>
                <w:sz w:val="22"/>
              </w:rPr>
              <w:tab/>
            </w:r>
            <w:r w:rsidRPr="00B765C1" w:rsidR="000E409F">
              <w:rPr>
                <w:rStyle w:val="Hyperlink"/>
                <w:noProof/>
              </w:rPr>
              <w:t>Assignment of Proceeding</w:t>
            </w:r>
            <w:r w:rsidR="000E409F">
              <w:rPr>
                <w:noProof/>
                <w:webHidden/>
              </w:rPr>
              <w:tab/>
            </w:r>
            <w:r w:rsidR="000E409F">
              <w:rPr>
                <w:noProof/>
                <w:webHidden/>
              </w:rPr>
              <w:fldChar w:fldCharType="begin"/>
            </w:r>
            <w:r w:rsidR="000E409F">
              <w:rPr>
                <w:noProof/>
                <w:webHidden/>
              </w:rPr>
              <w:instrText xml:space="preserve"> PAGEREF _Toc58842635 \h </w:instrText>
            </w:r>
            <w:r w:rsidR="000E409F">
              <w:rPr>
                <w:noProof/>
                <w:webHidden/>
              </w:rPr>
            </w:r>
            <w:r w:rsidR="000E409F">
              <w:rPr>
                <w:noProof/>
                <w:webHidden/>
              </w:rPr>
              <w:fldChar w:fldCharType="separate"/>
            </w:r>
            <w:r w:rsidR="000E409F">
              <w:rPr>
                <w:noProof/>
                <w:webHidden/>
              </w:rPr>
              <w:t>25</w:t>
            </w:r>
            <w:r w:rsidR="000E409F">
              <w:rPr>
                <w:noProof/>
                <w:webHidden/>
              </w:rPr>
              <w:fldChar w:fldCharType="end"/>
            </w:r>
          </w:hyperlink>
        </w:p>
        <w:p w:rsidR="000E409F" w:rsidRDefault="004A2454" w14:paraId="450E4063" w14:textId="12385EE9">
          <w:pPr>
            <w:pStyle w:val="TOC1"/>
            <w:tabs>
              <w:tab w:val="right" w:leader="dot" w:pos="9350"/>
            </w:tabs>
            <w:rPr>
              <w:rFonts w:asciiTheme="minorHAnsi" w:hAnsiTheme="minorHAnsi" w:cstheme="minorBidi"/>
              <w:noProof/>
              <w:sz w:val="22"/>
            </w:rPr>
          </w:pPr>
          <w:hyperlink w:history="1" w:anchor="_Toc58842636">
            <w:r w:rsidRPr="00B765C1" w:rsidR="000E409F">
              <w:rPr>
                <w:rStyle w:val="Hyperlink"/>
                <w:noProof/>
              </w:rPr>
              <w:t>Findings of Fact</w:t>
            </w:r>
            <w:r w:rsidR="000E409F">
              <w:rPr>
                <w:noProof/>
                <w:webHidden/>
              </w:rPr>
              <w:tab/>
            </w:r>
            <w:r w:rsidR="000E409F">
              <w:rPr>
                <w:noProof/>
                <w:webHidden/>
              </w:rPr>
              <w:fldChar w:fldCharType="begin"/>
            </w:r>
            <w:r w:rsidR="000E409F">
              <w:rPr>
                <w:noProof/>
                <w:webHidden/>
              </w:rPr>
              <w:instrText xml:space="preserve"> PAGEREF _Toc58842636 \h </w:instrText>
            </w:r>
            <w:r w:rsidR="000E409F">
              <w:rPr>
                <w:noProof/>
                <w:webHidden/>
              </w:rPr>
            </w:r>
            <w:r w:rsidR="000E409F">
              <w:rPr>
                <w:noProof/>
                <w:webHidden/>
              </w:rPr>
              <w:fldChar w:fldCharType="separate"/>
            </w:r>
            <w:r w:rsidR="000E409F">
              <w:rPr>
                <w:noProof/>
                <w:webHidden/>
              </w:rPr>
              <w:t>26</w:t>
            </w:r>
            <w:r w:rsidR="000E409F">
              <w:rPr>
                <w:noProof/>
                <w:webHidden/>
              </w:rPr>
              <w:fldChar w:fldCharType="end"/>
            </w:r>
          </w:hyperlink>
        </w:p>
        <w:p w:rsidR="000E409F" w:rsidRDefault="004A2454" w14:paraId="4EC8F559" w14:textId="30326E9C">
          <w:pPr>
            <w:pStyle w:val="TOC1"/>
            <w:tabs>
              <w:tab w:val="right" w:leader="dot" w:pos="9350"/>
            </w:tabs>
            <w:rPr>
              <w:rFonts w:asciiTheme="minorHAnsi" w:hAnsiTheme="minorHAnsi" w:cstheme="minorBidi"/>
              <w:noProof/>
              <w:sz w:val="22"/>
            </w:rPr>
          </w:pPr>
          <w:hyperlink w:history="1" w:anchor="_Toc58842637">
            <w:r w:rsidRPr="00B765C1" w:rsidR="000E409F">
              <w:rPr>
                <w:rStyle w:val="Hyperlink"/>
                <w:noProof/>
              </w:rPr>
              <w:t>Conclusions of Law</w:t>
            </w:r>
            <w:r w:rsidR="000E409F">
              <w:rPr>
                <w:noProof/>
                <w:webHidden/>
              </w:rPr>
              <w:tab/>
            </w:r>
            <w:r w:rsidR="000E409F">
              <w:rPr>
                <w:noProof/>
                <w:webHidden/>
              </w:rPr>
              <w:fldChar w:fldCharType="begin"/>
            </w:r>
            <w:r w:rsidR="000E409F">
              <w:rPr>
                <w:noProof/>
                <w:webHidden/>
              </w:rPr>
              <w:instrText xml:space="preserve"> PAGEREF _Toc58842637 \h </w:instrText>
            </w:r>
            <w:r w:rsidR="000E409F">
              <w:rPr>
                <w:noProof/>
                <w:webHidden/>
              </w:rPr>
            </w:r>
            <w:r w:rsidR="000E409F">
              <w:rPr>
                <w:noProof/>
                <w:webHidden/>
              </w:rPr>
              <w:fldChar w:fldCharType="separate"/>
            </w:r>
            <w:r w:rsidR="000E409F">
              <w:rPr>
                <w:noProof/>
                <w:webHidden/>
              </w:rPr>
              <w:t>27</w:t>
            </w:r>
            <w:r w:rsidR="000E409F">
              <w:rPr>
                <w:noProof/>
                <w:webHidden/>
              </w:rPr>
              <w:fldChar w:fldCharType="end"/>
            </w:r>
          </w:hyperlink>
        </w:p>
        <w:p w:rsidR="000E409F" w:rsidRDefault="004A2454" w14:paraId="0E7939F1" w14:textId="6A48D40B">
          <w:pPr>
            <w:pStyle w:val="TOC1"/>
            <w:tabs>
              <w:tab w:val="right" w:leader="dot" w:pos="9350"/>
            </w:tabs>
            <w:rPr>
              <w:rFonts w:asciiTheme="minorHAnsi" w:hAnsiTheme="minorHAnsi" w:cstheme="minorBidi"/>
              <w:noProof/>
              <w:sz w:val="22"/>
            </w:rPr>
          </w:pPr>
          <w:hyperlink w:history="1" w:anchor="_Toc58842638">
            <w:r w:rsidRPr="00B765C1" w:rsidR="000E409F">
              <w:rPr>
                <w:rStyle w:val="Hyperlink"/>
                <w:noProof/>
              </w:rPr>
              <w:t>ORDER</w:t>
            </w:r>
            <w:r w:rsidR="000E409F">
              <w:rPr>
                <w:noProof/>
                <w:webHidden/>
              </w:rPr>
              <w:tab/>
            </w:r>
            <w:r w:rsidR="000E409F">
              <w:rPr>
                <w:noProof/>
                <w:webHidden/>
              </w:rPr>
              <w:fldChar w:fldCharType="begin"/>
            </w:r>
            <w:r w:rsidR="000E409F">
              <w:rPr>
                <w:noProof/>
                <w:webHidden/>
              </w:rPr>
              <w:instrText xml:space="preserve"> PAGEREF _Toc58842638 \h </w:instrText>
            </w:r>
            <w:r w:rsidR="000E409F">
              <w:rPr>
                <w:noProof/>
                <w:webHidden/>
              </w:rPr>
            </w:r>
            <w:r w:rsidR="000E409F">
              <w:rPr>
                <w:noProof/>
                <w:webHidden/>
              </w:rPr>
              <w:fldChar w:fldCharType="separate"/>
            </w:r>
            <w:r w:rsidR="000E409F">
              <w:rPr>
                <w:noProof/>
                <w:webHidden/>
              </w:rPr>
              <w:t>31</w:t>
            </w:r>
            <w:r w:rsidR="000E409F">
              <w:rPr>
                <w:noProof/>
                <w:webHidden/>
              </w:rPr>
              <w:fldChar w:fldCharType="end"/>
            </w:r>
          </w:hyperlink>
        </w:p>
        <w:p w:rsidR="00D82A43" w:rsidP="008C7413" w:rsidRDefault="008C7413" w14:paraId="1BBED6CF" w14:textId="5BB08786">
          <w:pPr>
            <w:pStyle w:val="TOC1"/>
            <w:tabs>
              <w:tab w:val="right" w:leader="dot" w:pos="9350"/>
            </w:tabs>
          </w:pPr>
          <w:r>
            <w:rPr>
              <w:rFonts w:asciiTheme="minorHAnsi" w:hAnsiTheme="minorHAnsi"/>
              <w:sz w:val="22"/>
            </w:rPr>
            <w:fldChar w:fldCharType="end"/>
          </w:r>
        </w:p>
      </w:sdtContent>
    </w:sdt>
    <w:p w:rsidR="00616F21" w:rsidRDefault="00616F21" w14:paraId="7E85E503" w14:textId="77777777">
      <w:pPr>
        <w:spacing w:after="160" w:line="259" w:lineRule="auto"/>
        <w:ind w:firstLine="0"/>
        <w:sectPr w:rsidR="00616F21" w:rsidSect="00616F21">
          <w:headerReference w:type="default" r:id="rId10"/>
          <w:footerReference w:type="default" r:id="rId11"/>
          <w:pgSz w:w="12240" w:h="15840"/>
          <w:pgMar w:top="1728" w:right="1440" w:bottom="1440" w:left="1440" w:header="720" w:footer="720" w:gutter="0"/>
          <w:pgNumType w:fmt="lowerRoman" w:start="1"/>
          <w:cols w:space="720"/>
          <w:docGrid w:linePitch="360"/>
        </w:sectPr>
      </w:pPr>
    </w:p>
    <w:p w:rsidR="0098655A" w:rsidP="00D82A43" w:rsidRDefault="003740A5" w14:paraId="7A6C3AC0" w14:textId="776EA1AA">
      <w:pPr>
        <w:pStyle w:val="Main"/>
        <w:spacing w:after="240"/>
      </w:pPr>
      <w:r>
        <w:lastRenderedPageBreak/>
        <w:t xml:space="preserve">DECISION ESTABLISHING PROCESS FOR BACKSTOP </w:t>
      </w:r>
      <w:r w:rsidR="00282B59">
        <w:br/>
      </w:r>
      <w:r>
        <w:t>PROCUREMENT REQUIRED BY DECISION</w:t>
      </w:r>
      <w:r w:rsidR="00670C18">
        <w:t> </w:t>
      </w:r>
      <w:r>
        <w:t>19-11-016</w:t>
      </w:r>
    </w:p>
    <w:p w:rsidR="005A148C" w:rsidP="005A148C" w:rsidRDefault="005A148C" w14:paraId="2516CEAA" w14:textId="77777777">
      <w:pPr>
        <w:pStyle w:val="Dummy"/>
      </w:pPr>
      <w:bookmarkStart w:name="_Toc8123714" w:id="1"/>
      <w:bookmarkStart w:name="_Toc58842626" w:id="2"/>
      <w:r>
        <w:t>Summary</w:t>
      </w:r>
      <w:bookmarkEnd w:id="1"/>
      <w:bookmarkEnd w:id="2"/>
    </w:p>
    <w:p w:rsidR="0073353F" w:rsidP="006E6574" w:rsidRDefault="00AD6953" w14:paraId="2BC1A444" w14:textId="15F3E6E7">
      <w:pPr>
        <w:pStyle w:val="Standard"/>
      </w:pPr>
      <w:r>
        <w:t>This decision adopts requirements for all load-serving entities (LSEs) required to procure electric capacity by Decision (D.)</w:t>
      </w:r>
      <w:r w:rsidR="00282B59">
        <w:t> </w:t>
      </w:r>
      <w:r>
        <w:t>19-11-016</w:t>
      </w:r>
      <w:r w:rsidR="00B15FEF">
        <w:t>,</w:t>
      </w:r>
      <w:r w:rsidR="001A577C">
        <w:t xml:space="preserve"> that</w:t>
      </w:r>
      <w:r w:rsidR="00B15FEF">
        <w:t xml:space="preserve"> did not opt out of providing </w:t>
      </w:r>
      <w:r w:rsidR="001A577C">
        <w:t>their</w:t>
      </w:r>
      <w:r w:rsidR="00B15FEF">
        <w:t xml:space="preserve"> assigned capacity,</w:t>
      </w:r>
      <w:r>
        <w:t xml:space="preserve"> to file bi-annual updates of their procurement progress relative to contractual </w:t>
      </w:r>
      <w:r w:rsidR="001A577C">
        <w:t xml:space="preserve">and procurement </w:t>
      </w:r>
      <w:r>
        <w:t>milestones defined in this decision.  The compliance filing information is required on February</w:t>
      </w:r>
      <w:r w:rsidR="00282B59">
        <w:t> </w:t>
      </w:r>
      <w:r>
        <w:t>1 and August</w:t>
      </w:r>
      <w:r w:rsidR="00282B59">
        <w:t> </w:t>
      </w:r>
      <w:r>
        <w:t xml:space="preserve">1 of 2021, 2022, and 2023.  </w:t>
      </w:r>
      <w:r w:rsidR="00671624">
        <w:t>These dates supersede the reporting requirement dates in D.19-11-016</w:t>
      </w:r>
      <w:r w:rsidR="00DD5ADF">
        <w:t>, except for the standing filing date of May 1 each year for all integrated resource planning (IRP) related procurement data</w:t>
      </w:r>
      <w:r w:rsidR="00671624">
        <w:t xml:space="preserve">.  </w:t>
      </w:r>
      <w:r>
        <w:t xml:space="preserve">The decision also lays </w:t>
      </w:r>
      <w:r w:rsidR="00517608">
        <w:t xml:space="preserve">out </w:t>
      </w:r>
      <w:r>
        <w:t>general criteria for Commission staff to use in reviewing the procurement information provided by LSEs.</w:t>
      </w:r>
    </w:p>
    <w:p w:rsidR="00AD6953" w:rsidP="006E6574" w:rsidRDefault="00AD6953" w14:paraId="0AF72789" w14:textId="408C1E7E">
      <w:pPr>
        <w:pStyle w:val="Standard"/>
      </w:pPr>
      <w:r>
        <w:t xml:space="preserve">After review of contractual progress of all LSEs </w:t>
      </w:r>
      <w:r w:rsidR="001A577C">
        <w:t xml:space="preserve">self-providing capacity </w:t>
      </w:r>
      <w:r>
        <w:t>toward the D.19</w:t>
      </w:r>
      <w:r w:rsidR="00670C18">
        <w:noBreakHyphen/>
      </w:r>
      <w:r>
        <w:t>11</w:t>
      </w:r>
      <w:r w:rsidR="00670C18">
        <w:noBreakHyphen/>
      </w:r>
      <w:r>
        <w:t>016 procurement requirements, Commission staff are required to bring</w:t>
      </w:r>
      <w:r w:rsidR="0013064A">
        <w:t xml:space="preserve"> a resolution</w:t>
      </w:r>
      <w:r>
        <w:t xml:space="preserve"> before the Commission for a vote</w:t>
      </w:r>
      <w:r w:rsidR="0013064A">
        <w:t>,</w:t>
      </w:r>
      <w:r>
        <w:t xml:space="preserve"> recommending initiation of backstop procurement by </w:t>
      </w:r>
      <w:proofErr w:type="gramStart"/>
      <w:r>
        <w:t>particular investor-owned</w:t>
      </w:r>
      <w:proofErr w:type="gramEnd"/>
      <w:r>
        <w:t xml:space="preserve"> utilities if the procurement activities of other </w:t>
      </w:r>
      <w:r w:rsidR="0013064A">
        <w:t xml:space="preserve">self-providing </w:t>
      </w:r>
      <w:r>
        <w:t>LSEs</w:t>
      </w:r>
      <w:r w:rsidR="005008B7">
        <w:t xml:space="preserve"> with customers in their service territory</w:t>
      </w:r>
      <w:r>
        <w:t xml:space="preserve"> are determined to be falling short of procurement goals. </w:t>
      </w:r>
    </w:p>
    <w:p w:rsidR="00AD6953" w:rsidP="006E6574" w:rsidRDefault="00AD6953" w14:paraId="226122B4" w14:textId="6923F7A7">
      <w:pPr>
        <w:pStyle w:val="Standard"/>
      </w:pPr>
      <w:r>
        <w:t xml:space="preserve">The details of the cost allocation of any backstop procurement required by the Commission will be addressed in a subsequent decision.  This proceeding remains open. </w:t>
      </w:r>
    </w:p>
    <w:p w:rsidRPr="00121089" w:rsidR="005A148C" w:rsidP="003272B8" w:rsidRDefault="002C7FE9" w14:paraId="3EC78717" w14:textId="77777777">
      <w:pPr>
        <w:pStyle w:val="Heading1"/>
        <w:numPr>
          <w:ilvl w:val="0"/>
          <w:numId w:val="1"/>
        </w:numPr>
        <w:ind w:left="360" w:hanging="360"/>
      </w:pPr>
      <w:bookmarkStart w:name="_Toc8123715" w:id="3"/>
      <w:bookmarkStart w:name="_Toc58842627" w:id="4"/>
      <w:r w:rsidRPr="00121089">
        <w:t>Background</w:t>
      </w:r>
      <w:bookmarkEnd w:id="3"/>
      <w:bookmarkEnd w:id="4"/>
    </w:p>
    <w:p w:rsidR="00EA5BAA" w:rsidP="00A6160E" w:rsidRDefault="005008B7" w14:paraId="19292DEF" w14:textId="5A7AA7E8">
      <w:pPr>
        <w:pStyle w:val="Standard"/>
        <w:ind w:right="-180"/>
      </w:pPr>
      <w:r>
        <w:t xml:space="preserve">To ensure reliability of electricity supplies, </w:t>
      </w:r>
      <w:r w:rsidR="002A777E">
        <w:t>Decision</w:t>
      </w:r>
      <w:r w:rsidR="00282B59">
        <w:t> </w:t>
      </w:r>
      <w:r>
        <w:t xml:space="preserve">(D.) </w:t>
      </w:r>
      <w:r w:rsidR="002A777E">
        <w:t>19-11-016 required all load-serving entities (LSEs) subject to the Commission’s int</w:t>
      </w:r>
      <w:r w:rsidR="00EA5BAA">
        <w:t>egrated resources planning (IRP) authority under Sections</w:t>
      </w:r>
      <w:r w:rsidR="00282B59">
        <w:t> </w:t>
      </w:r>
      <w:r w:rsidR="00EA5BAA">
        <w:t xml:space="preserve">454.51 and 454.52 of the Public Utilities </w:t>
      </w:r>
      <w:r w:rsidR="00EA5BAA">
        <w:lastRenderedPageBreak/>
        <w:t xml:space="preserve">Code to procure their proportional share of </w:t>
      </w:r>
      <w:r w:rsidRPr="006A2D5B" w:rsidR="00EA5BAA">
        <w:t>3,300</w:t>
      </w:r>
      <w:r w:rsidRPr="006A2D5B" w:rsidR="001405E1">
        <w:t> </w:t>
      </w:r>
      <w:r w:rsidRPr="006A2D5B" w:rsidR="00EA5BAA">
        <w:t>megawatts (</w:t>
      </w:r>
      <w:r w:rsidR="00EA5BAA">
        <w:t>MW) of resource adequacy capacity over a three</w:t>
      </w:r>
      <w:r w:rsidR="00670C18">
        <w:noBreakHyphen/>
      </w:r>
      <w:r w:rsidR="00EA5BAA">
        <w:t>year period beginning in 2021.</w:t>
      </w:r>
    </w:p>
    <w:p w:rsidR="00EA5BAA" w:rsidP="006E6574" w:rsidRDefault="00EA5BAA" w14:paraId="480CE8A2" w14:textId="26D6D37F">
      <w:pPr>
        <w:pStyle w:val="Standard"/>
      </w:pPr>
      <w:r>
        <w:t xml:space="preserve">Non-utility LSEs were given the option to self-procure their required capacity or to opt out and have the incumbent utility procure the capacity on their behalf, with the costs of that procurement being allocated on a basis </w:t>
      </w:r>
      <w:proofErr w:type="gramStart"/>
      <w:r>
        <w:t>similar to</w:t>
      </w:r>
      <w:proofErr w:type="gramEnd"/>
      <w:r>
        <w:t xml:space="preserve"> the cost allocation mechanism (CAM) established in D.06</w:t>
      </w:r>
      <w:r w:rsidR="00670C18">
        <w:noBreakHyphen/>
      </w:r>
      <w:r>
        <w:t>07</w:t>
      </w:r>
      <w:r w:rsidR="00670C18">
        <w:noBreakHyphen/>
      </w:r>
      <w:r>
        <w:t>029 and D.14</w:t>
      </w:r>
      <w:r w:rsidR="00670C18">
        <w:noBreakHyphen/>
      </w:r>
      <w:r>
        <w:t>06</w:t>
      </w:r>
      <w:r w:rsidR="00670C18">
        <w:noBreakHyphen/>
      </w:r>
      <w:r>
        <w:t xml:space="preserve">050.  LSEs had only the option to opt out entirely for the full amount of their requirement or </w:t>
      </w:r>
      <w:r w:rsidR="0013064A">
        <w:t>to “self-provide”</w:t>
      </w:r>
      <w:r w:rsidR="001A577C">
        <w:t xml:space="preserve"> </w:t>
      </w:r>
      <w:proofErr w:type="gramStart"/>
      <w:r w:rsidR="001A577C">
        <w:t>all of</w:t>
      </w:r>
      <w:proofErr w:type="gramEnd"/>
      <w:r w:rsidR="0013064A">
        <w:t xml:space="preserve"> their own capacity</w:t>
      </w:r>
      <w:r>
        <w:t xml:space="preserve">; partial opt-out options were not allowed for this </w:t>
      </w:r>
      <w:r w:rsidR="001A577C">
        <w:t xml:space="preserve">particular </w:t>
      </w:r>
      <w:r>
        <w:t>procurement</w:t>
      </w:r>
      <w:r w:rsidR="00884FAB">
        <w:t xml:space="preserve"> </w:t>
      </w:r>
      <w:r w:rsidR="001A577C">
        <w:t>obligation</w:t>
      </w:r>
      <w:r>
        <w:t>.</w:t>
      </w:r>
    </w:p>
    <w:p w:rsidR="00EA5BAA" w:rsidP="006E6574" w:rsidRDefault="00EA5BAA" w14:paraId="7E999526" w14:textId="1A7C6D8E">
      <w:pPr>
        <w:pStyle w:val="Standard"/>
      </w:pPr>
      <w:r>
        <w:t>D.19</w:t>
      </w:r>
      <w:r w:rsidR="00670C18">
        <w:noBreakHyphen/>
      </w:r>
      <w:r>
        <w:t>11</w:t>
      </w:r>
      <w:r w:rsidR="00670C18">
        <w:noBreakHyphen/>
      </w:r>
      <w:r>
        <w:t>016 also identified the risk that LSEs could choose to self</w:t>
      </w:r>
      <w:r w:rsidR="00670C18">
        <w:noBreakHyphen/>
      </w:r>
      <w:r>
        <w:t>pr</w:t>
      </w:r>
      <w:r w:rsidR="001A577C">
        <w:t>ovide</w:t>
      </w:r>
      <w:r>
        <w:t xml:space="preserve"> resources but could ultimately fail to do so, in whole or in part, for a variety of reasons.  This situation would result in the need for additional resources to be procured on an emergency basis, potentially at higher cost.  Thus, there would be a need for backstop procurement, with an associated cost allocation policy and mechanism that may or may not be different from the one utilized for LSEs who opted out of procuring in advance.</w:t>
      </w:r>
    </w:p>
    <w:p w:rsidR="00EA5BAA" w:rsidP="006E6574" w:rsidRDefault="00EA5BAA" w14:paraId="232A5510" w14:textId="1C99A563">
      <w:pPr>
        <w:pStyle w:val="Standard"/>
      </w:pPr>
      <w:r>
        <w:t>A workshop on these topics was held on February</w:t>
      </w:r>
      <w:r w:rsidR="00282B59">
        <w:t> </w:t>
      </w:r>
      <w:r>
        <w:t>3,</w:t>
      </w:r>
      <w:r w:rsidR="00282B59">
        <w:t> </w:t>
      </w:r>
      <w:r>
        <w:t xml:space="preserve">2020, which included robust stakeholder discussion of options for both cost allocation and backstop procurement.  On June 5, 2020, an </w:t>
      </w:r>
      <w:r w:rsidR="00282B59">
        <w:t>A</w:t>
      </w:r>
      <w:r>
        <w:t xml:space="preserve">dministrative </w:t>
      </w:r>
      <w:r w:rsidR="00282B59">
        <w:t>L</w:t>
      </w:r>
      <w:r>
        <w:t xml:space="preserve">aw </w:t>
      </w:r>
      <w:r w:rsidR="00282B59">
        <w:t>J</w:t>
      </w:r>
      <w:r>
        <w:t xml:space="preserve">udge’s (ALJ’s) ruling (ALJ Ruling) was issued, including backstop and cost allocation process recommendations from Commission staff, and seeking comments from parties in response to the proposals contained in the ALJ Ruling. </w:t>
      </w:r>
    </w:p>
    <w:p w:rsidR="00D97D09" w:rsidP="006E6574" w:rsidRDefault="005A2612" w14:paraId="7A24158E" w14:textId="791F9BB8">
      <w:pPr>
        <w:pStyle w:val="Standard"/>
      </w:pPr>
      <w:r>
        <w:t>On</w:t>
      </w:r>
      <w:r w:rsidR="00D97D09">
        <w:t xml:space="preserve"> July</w:t>
      </w:r>
      <w:r w:rsidR="00A6160E">
        <w:t> </w:t>
      </w:r>
      <w:r w:rsidR="00D97D09">
        <w:t>22,</w:t>
      </w:r>
      <w:r w:rsidR="00A6160E">
        <w:t> </w:t>
      </w:r>
      <w:r w:rsidR="00D97D09">
        <w:t xml:space="preserve">2020, the following parties filed comments in response to the ALJ Ruling: </w:t>
      </w:r>
      <w:r>
        <w:t xml:space="preserve">Alliance for Retail Energy Markets (AReM); American Wind Energy Association of California (AWEA); </w:t>
      </w:r>
      <w:r w:rsidR="00D97D09">
        <w:t xml:space="preserve">California Community Choice Association </w:t>
      </w:r>
      <w:r w:rsidR="00D97D09">
        <w:lastRenderedPageBreak/>
        <w:t>(CalCCA); California Large Energy Consumers Association (CLECA); Public Advocates Office</w:t>
      </w:r>
      <w:r w:rsidR="00282B59">
        <w:t xml:space="preserve"> of the California Public Utilities Commission</w:t>
      </w:r>
      <w:r w:rsidR="00D97D09">
        <w:t xml:space="preserve"> (Cal Advocates); Calpine Energy Solutions, LLC (Calpine Solutions); </w:t>
      </w:r>
      <w:r>
        <w:t xml:space="preserve">Constellation New Energy, Inc. (Constellation); CPower, California Efficiency and Demand Management Council (CEDMC), and Enel North America, Inc. (Enel), jointly; </w:t>
      </w:r>
      <w:r w:rsidR="00D97D09">
        <w:t xml:space="preserve">Green Power Institute (GPI); Pacific Gas and Electric Company (PG&amp;E); Protect Our Communities Foundation (PCF); San Diego Gas &amp; Electric Company (SDG&amp;E); Shell Energy North America (Shell); </w:t>
      </w:r>
      <w:r>
        <w:t xml:space="preserve">and </w:t>
      </w:r>
      <w:r w:rsidR="00D97D09">
        <w:t>Southern California Edison Company (SCE)</w:t>
      </w:r>
      <w:r>
        <w:t>.</w:t>
      </w:r>
      <w:r w:rsidR="00FD2ECC">
        <w:t xml:space="preserve">  </w:t>
      </w:r>
    </w:p>
    <w:p w:rsidR="005A2612" w:rsidP="006E6574" w:rsidRDefault="005A2612" w14:paraId="390D4AC5" w14:textId="70D5EAA6">
      <w:pPr>
        <w:pStyle w:val="Standard"/>
      </w:pPr>
      <w:r>
        <w:t>Reply comments in response to the ALJ Ruling were filed on August</w:t>
      </w:r>
      <w:r w:rsidR="00282B59">
        <w:t> </w:t>
      </w:r>
      <w:r>
        <w:t>7,</w:t>
      </w:r>
      <w:r w:rsidR="00282B59">
        <w:t> </w:t>
      </w:r>
      <w:r>
        <w:t xml:space="preserve">2020 by the following parties: AReM; AWEA; CalCCA; Constellation; GPI; PCF; PG&amp;E; SCE; SDG&amp;E; The Utility Reform Network (TURN); and Women’s Energy Matters (WEM). </w:t>
      </w:r>
    </w:p>
    <w:p w:rsidR="00EE3060" w:rsidP="006E6574" w:rsidRDefault="00EA5BAA" w14:paraId="1D0A01FA" w14:textId="49C04215">
      <w:pPr>
        <w:pStyle w:val="Standard"/>
      </w:pPr>
      <w:r>
        <w:t xml:space="preserve">This decision addresses </w:t>
      </w:r>
      <w:r w:rsidR="005A2612">
        <w:t xml:space="preserve">only </w:t>
      </w:r>
      <w:r>
        <w:t>the backstop procurement process and requirements.  A subsequent decision will address the associated cost allocation issues</w:t>
      </w:r>
      <w:r w:rsidR="0063491C">
        <w:t>.</w:t>
      </w:r>
    </w:p>
    <w:p w:rsidR="00FD2ECC" w:rsidP="00FD2ECC" w:rsidRDefault="00FD2ECC" w14:paraId="6FB40C46" w14:textId="66E438A8">
      <w:pPr>
        <w:pStyle w:val="Standard"/>
      </w:pPr>
      <w:r>
        <w:t xml:space="preserve">The comments and/or reply comments of </w:t>
      </w:r>
      <w:r w:rsidR="0013064A">
        <w:t xml:space="preserve">Shell, </w:t>
      </w:r>
      <w:r>
        <w:t>Calpine Solutions, Constellation, and CLECA addressed cost allocation issues only, so they are not further discussed in this decision, but will be included in the subsequent decision on cost allocation.</w:t>
      </w:r>
    </w:p>
    <w:p w:rsidR="005A148C" w:rsidP="003272B8" w:rsidRDefault="00AD6953" w14:paraId="23FA837A" w14:textId="739ADB25">
      <w:pPr>
        <w:pStyle w:val="Heading1"/>
        <w:numPr>
          <w:ilvl w:val="0"/>
          <w:numId w:val="1"/>
        </w:numPr>
        <w:ind w:left="360" w:hanging="360"/>
      </w:pPr>
      <w:bookmarkStart w:name="_Toc58842628" w:id="5"/>
      <w:r>
        <w:t xml:space="preserve">Initial </w:t>
      </w:r>
      <w:r w:rsidR="00534B8B">
        <w:t xml:space="preserve">Commission Staff </w:t>
      </w:r>
      <w:r>
        <w:t>Proposal</w:t>
      </w:r>
      <w:r w:rsidR="00534B8B">
        <w:t xml:space="preserve"> for the</w:t>
      </w:r>
      <w:r w:rsidR="00D4484B">
        <w:br/>
      </w:r>
      <w:r w:rsidR="00534B8B">
        <w:t>Backstop Procurement Process</w:t>
      </w:r>
      <w:bookmarkEnd w:id="5"/>
    </w:p>
    <w:p w:rsidR="00C5169C" w:rsidP="006E6574" w:rsidRDefault="00C5169C" w14:paraId="0A26F1D0" w14:textId="32839FD4">
      <w:pPr>
        <w:pStyle w:val="Standard"/>
      </w:pPr>
      <w:r>
        <w:t>The backstop procurement mechanism contemplated by D.19</w:t>
      </w:r>
      <w:r w:rsidR="00670C18">
        <w:noBreakHyphen/>
      </w:r>
      <w:r>
        <w:t>11</w:t>
      </w:r>
      <w:r w:rsidR="00670C18">
        <w:noBreakHyphen/>
      </w:r>
      <w:r>
        <w:t>016 assumed that backstop procurement would be needed when LSEs that planned to self-</w:t>
      </w:r>
      <w:r w:rsidR="0013064A">
        <w:t xml:space="preserve">provide </w:t>
      </w:r>
      <w:r>
        <w:t xml:space="preserve">their required capacity </w:t>
      </w:r>
      <w:r w:rsidR="00884FAB">
        <w:t>were unable</w:t>
      </w:r>
      <w:r>
        <w:t xml:space="preserve"> to do so for a variety of reasons.  D.19</w:t>
      </w:r>
      <w:r w:rsidR="00670C18">
        <w:noBreakHyphen/>
      </w:r>
      <w:r>
        <w:t>11</w:t>
      </w:r>
      <w:r w:rsidR="00670C18">
        <w:noBreakHyphen/>
      </w:r>
      <w:r>
        <w:t xml:space="preserve">016 determined that if this happens, the Commission may </w:t>
      </w:r>
      <w:r>
        <w:lastRenderedPageBreak/>
        <w:t xml:space="preserve">order the relevant investor-owned utility (IOU) to conduct procurement on behalf of the LSE that has failed to procure its allocated share of capacity and/or on behalf of its customers.  </w:t>
      </w:r>
    </w:p>
    <w:p w:rsidR="0063491C" w:rsidP="006E6574" w:rsidRDefault="00C5169C" w14:paraId="5C92A6E0" w14:textId="7E97472D">
      <w:pPr>
        <w:pStyle w:val="Standard"/>
      </w:pPr>
      <w:r>
        <w:t>This construct requires defining when and how to determine that the procurement efforts of community choice aggregators (CCAs) and electric service providers (ESPs) who elected to self-pro</w:t>
      </w:r>
      <w:r w:rsidR="001A577C">
        <w:t>vide</w:t>
      </w:r>
      <w:r>
        <w:t xml:space="preserve"> their capacity requirements have failed, and how IOUs may be directed to conduct backstop procurement.  </w:t>
      </w:r>
    </w:p>
    <w:p w:rsidR="00C5169C" w:rsidP="006E6574" w:rsidRDefault="00C5169C" w14:paraId="17EA3369" w14:textId="0D8C7905">
      <w:pPr>
        <w:pStyle w:val="Standard"/>
      </w:pPr>
      <w:r>
        <w:t>The June</w:t>
      </w:r>
      <w:r w:rsidR="00D4484B">
        <w:t> </w:t>
      </w:r>
      <w:r>
        <w:t>5,</w:t>
      </w:r>
      <w:r w:rsidR="00D4484B">
        <w:t> </w:t>
      </w:r>
      <w:r>
        <w:t xml:space="preserve">2020 ALJ Ruling contained a process </w:t>
      </w:r>
      <w:r w:rsidR="00195118">
        <w:t>recommended</w:t>
      </w:r>
      <w:r>
        <w:t xml:space="preserve"> by Commission staff to address the following principles established in D.19-11-016:</w:t>
      </w:r>
    </w:p>
    <w:p w:rsidR="00C5169C" w:rsidP="00721419" w:rsidRDefault="00C5169C" w14:paraId="67935AEA" w14:textId="47BFE87F">
      <w:pPr>
        <w:pStyle w:val="Standard"/>
        <w:numPr>
          <w:ilvl w:val="0"/>
          <w:numId w:val="9"/>
        </w:numPr>
        <w:spacing w:after="120" w:line="240" w:lineRule="auto"/>
        <w:ind w:left="1080" w:right="1440"/>
      </w:pPr>
      <w:r>
        <w:t>The mechanism should be put in place as soon as possible, to help LSEs and developers understand the risks of project delay or failure.</w:t>
      </w:r>
    </w:p>
    <w:p w:rsidR="00C5169C" w:rsidP="00721419" w:rsidRDefault="00C5169C" w14:paraId="2847367E" w14:textId="252E0B32">
      <w:pPr>
        <w:pStyle w:val="Standard"/>
        <w:numPr>
          <w:ilvl w:val="0"/>
          <w:numId w:val="9"/>
        </w:numPr>
        <w:spacing w:after="120" w:line="240" w:lineRule="auto"/>
        <w:ind w:left="1080" w:right="1440"/>
      </w:pPr>
      <w:r>
        <w:t>The determination of when backstop procurement is required should be made early enough for the associated IOU to conduct procurement that comes online by, or as soon as possible after, August</w:t>
      </w:r>
      <w:r w:rsidR="00670C18">
        <w:t> </w:t>
      </w:r>
      <w:r>
        <w:t>1 of 2021, 2022, and 2023, for each of the three tranches of procurement required by D.19</w:t>
      </w:r>
      <w:r w:rsidR="00670C18">
        <w:noBreakHyphen/>
      </w:r>
      <w:r>
        <w:t>11</w:t>
      </w:r>
      <w:r w:rsidR="00670C18">
        <w:noBreakHyphen/>
      </w:r>
      <w:r>
        <w:t>016.</w:t>
      </w:r>
    </w:p>
    <w:p w:rsidR="00AD53E2" w:rsidP="00721419" w:rsidRDefault="00C5169C" w14:paraId="32C7D28E" w14:textId="5A117B2E">
      <w:pPr>
        <w:pStyle w:val="Standard"/>
        <w:numPr>
          <w:ilvl w:val="0"/>
          <w:numId w:val="9"/>
        </w:numPr>
        <w:spacing w:after="120" w:line="240" w:lineRule="auto"/>
        <w:ind w:left="1080" w:right="1440"/>
      </w:pPr>
      <w:r>
        <w:t>The mechanism should not disincentivize self</w:t>
      </w:r>
      <w:r w:rsidR="00670C18">
        <w:noBreakHyphen/>
      </w:r>
      <w:r>
        <w:t>procuring LSEs from being successful with their full procurement requirement.</w:t>
      </w:r>
    </w:p>
    <w:p w:rsidR="00C5169C" w:rsidP="009448FC" w:rsidRDefault="00C5169C" w14:paraId="389994CB" w14:textId="0C928E46">
      <w:pPr>
        <w:pStyle w:val="Standard"/>
        <w:spacing w:before="120"/>
      </w:pPr>
      <w:r>
        <w:t xml:space="preserve">To address these principles and define when and how backstop procurement should be initiated, Commission staff proposed trigger points, which are dates based on estimates of typical project development and contracting timelines.  On the trigger date, </w:t>
      </w:r>
      <w:r w:rsidR="00884FAB">
        <w:t xml:space="preserve">the </w:t>
      </w:r>
      <w:r>
        <w:t>LSEs would be required to make a formal compliance filing in the proceeding, with a showing including the indicated information, in order not to trigger backstop procurement.</w:t>
      </w:r>
      <w:r w:rsidR="00D4484B">
        <w:br/>
      </w:r>
      <w:r>
        <w:t>The table below includes the trigger point proposal of Commission staff that was included in the June</w:t>
      </w:r>
      <w:r w:rsidR="00670C18">
        <w:t> </w:t>
      </w:r>
      <w:r>
        <w:t>5,</w:t>
      </w:r>
      <w:r w:rsidR="00670C18">
        <w:t> </w:t>
      </w:r>
      <w:r>
        <w:t>2020 ALJ Ruling.</w:t>
      </w:r>
    </w:p>
    <w:tbl>
      <w:tblPr>
        <w:tblStyle w:val="TableGrid"/>
        <w:tblpPr w:leftFromText="180" w:rightFromText="180" w:vertAnchor="text" w:tblpXSpec="center" w:tblpY="1"/>
        <w:tblOverlap w:val="never"/>
        <w:tblW w:w="9535" w:type="dxa"/>
        <w:tblLook w:val="04A0" w:firstRow="1" w:lastRow="0" w:firstColumn="1" w:lastColumn="0" w:noHBand="0" w:noVBand="1"/>
      </w:tblPr>
      <w:tblGrid>
        <w:gridCol w:w="2335"/>
        <w:gridCol w:w="2340"/>
        <w:gridCol w:w="4860"/>
      </w:tblGrid>
      <w:tr w:rsidRPr="00E72E61" w:rsidR="00C5169C" w:rsidTr="00AD53E2" w14:paraId="1B07ED14" w14:textId="77777777">
        <w:trPr>
          <w:tblHeader/>
        </w:trPr>
        <w:tc>
          <w:tcPr>
            <w:tcW w:w="2335" w:type="dxa"/>
            <w:vAlign w:val="center"/>
          </w:tcPr>
          <w:p w:rsidRPr="00E72E61" w:rsidR="00C5169C" w:rsidP="00D4484B" w:rsidRDefault="00C5169C" w14:paraId="7D1345D7" w14:textId="77777777">
            <w:pPr>
              <w:keepNext/>
              <w:keepLines/>
              <w:spacing w:after="120" w:line="240" w:lineRule="auto"/>
              <w:ind w:firstLine="0"/>
              <w:rPr>
                <w:b/>
                <w:bCs/>
              </w:rPr>
            </w:pPr>
            <w:r w:rsidRPr="00E72E61">
              <w:rPr>
                <w:b/>
                <w:bCs/>
              </w:rPr>
              <w:lastRenderedPageBreak/>
              <w:t>Resource Milestone</w:t>
            </w:r>
          </w:p>
        </w:tc>
        <w:tc>
          <w:tcPr>
            <w:tcW w:w="2340" w:type="dxa"/>
            <w:vAlign w:val="center"/>
          </w:tcPr>
          <w:p w:rsidRPr="00E72E61" w:rsidR="00C5169C" w:rsidP="00D4484B" w:rsidRDefault="00C5169C" w14:paraId="676B3A05" w14:textId="77777777">
            <w:pPr>
              <w:keepNext/>
              <w:keepLines/>
              <w:spacing w:after="120" w:line="240" w:lineRule="auto"/>
              <w:ind w:firstLine="0"/>
              <w:rPr>
                <w:b/>
                <w:bCs/>
              </w:rPr>
            </w:pPr>
            <w:r>
              <w:rPr>
                <w:b/>
                <w:bCs/>
              </w:rPr>
              <w:t xml:space="preserve">Proposed </w:t>
            </w:r>
            <w:r w:rsidRPr="00E72E61">
              <w:rPr>
                <w:b/>
                <w:bCs/>
              </w:rPr>
              <w:t>Trigger Point</w:t>
            </w:r>
            <w:r w:rsidRPr="00E72E61">
              <w:rPr>
                <w:b/>
                <w:bCs/>
                <w:vertAlign w:val="superscript"/>
              </w:rPr>
              <w:footnoteReference w:id="2"/>
            </w:r>
          </w:p>
        </w:tc>
        <w:tc>
          <w:tcPr>
            <w:tcW w:w="4860" w:type="dxa"/>
            <w:vAlign w:val="center"/>
          </w:tcPr>
          <w:p w:rsidRPr="00E72E61" w:rsidR="00C5169C" w:rsidP="00D4484B" w:rsidRDefault="00C5169C" w14:paraId="179DC7D5" w14:textId="610B7388">
            <w:pPr>
              <w:keepNext/>
              <w:keepLines/>
              <w:spacing w:after="120" w:line="240" w:lineRule="auto"/>
              <w:ind w:firstLine="0"/>
              <w:rPr>
                <w:b/>
                <w:bCs/>
              </w:rPr>
            </w:pPr>
            <w:r>
              <w:rPr>
                <w:b/>
                <w:bCs/>
              </w:rPr>
              <w:t xml:space="preserve">Proposed </w:t>
            </w:r>
            <w:r w:rsidRPr="00E72E61">
              <w:rPr>
                <w:b/>
                <w:bCs/>
              </w:rPr>
              <w:t>Showing</w:t>
            </w:r>
            <w:r>
              <w:rPr>
                <w:b/>
                <w:bCs/>
              </w:rPr>
              <w:t xml:space="preserve"> Requirement, in formal compliance filing</w:t>
            </w:r>
          </w:p>
        </w:tc>
      </w:tr>
      <w:tr w:rsidRPr="00E72E61" w:rsidR="00C5169C" w:rsidTr="00AD53E2" w14:paraId="6CDE1546" w14:textId="77777777">
        <w:tc>
          <w:tcPr>
            <w:tcW w:w="2335" w:type="dxa"/>
          </w:tcPr>
          <w:p w:rsidRPr="00E72E61" w:rsidR="00C5169C" w:rsidP="00282B59" w:rsidRDefault="00C5169C" w14:paraId="1A1EE2AC" w14:textId="77777777">
            <w:pPr>
              <w:keepNext/>
              <w:keepLines/>
              <w:spacing w:after="120" w:line="240" w:lineRule="auto"/>
              <w:ind w:firstLine="0"/>
            </w:pPr>
            <w:r w:rsidRPr="00E72E61">
              <w:rPr>
                <w:u w:val="single"/>
              </w:rPr>
              <w:t>Milestone #1</w:t>
            </w:r>
            <w:r w:rsidRPr="00E72E61">
              <w:t>: Contracts for new construction</w:t>
            </w:r>
            <w:r>
              <w:t>;</w:t>
            </w:r>
            <w:r w:rsidRPr="00E72E61">
              <w:t xml:space="preserve"> or </w:t>
            </w:r>
            <w:r>
              <w:t>d</w:t>
            </w:r>
            <w:r w:rsidRPr="00E72E61">
              <w:t xml:space="preserve">escription of </w:t>
            </w:r>
            <w:r>
              <w:t>“g</w:t>
            </w:r>
            <w:r w:rsidRPr="00E72E61">
              <w:t>ood</w:t>
            </w:r>
            <w:r>
              <w:t xml:space="preserve"> f</w:t>
            </w:r>
            <w:r w:rsidRPr="00E72E61">
              <w:t>aith</w:t>
            </w:r>
            <w:r>
              <w:t>”</w:t>
            </w:r>
            <w:r w:rsidRPr="00E72E61">
              <w:t xml:space="preserve"> </w:t>
            </w:r>
            <w:r>
              <w:t>p</w:t>
            </w:r>
            <w:r w:rsidRPr="00E72E61">
              <w:t xml:space="preserve">rogress for demand response, </w:t>
            </w:r>
            <w:proofErr w:type="gramStart"/>
            <w:r>
              <w:t>i</w:t>
            </w:r>
            <w:r w:rsidRPr="00E72E61">
              <w:t>mports</w:t>
            </w:r>
            <w:proofErr w:type="gramEnd"/>
            <w:r w:rsidRPr="00E72E61">
              <w:t xml:space="preserve"> or sales of excess resources between LSEs</w:t>
            </w:r>
          </w:p>
        </w:tc>
        <w:tc>
          <w:tcPr>
            <w:tcW w:w="2340" w:type="dxa"/>
          </w:tcPr>
          <w:p w:rsidRPr="00E72E61" w:rsidR="00C5169C" w:rsidP="00282B59" w:rsidRDefault="00C5169C" w14:paraId="2DEAA21F" w14:textId="77777777">
            <w:pPr>
              <w:keepNext/>
              <w:keepLines/>
              <w:spacing w:after="120" w:line="240" w:lineRule="auto"/>
              <w:ind w:firstLine="0"/>
            </w:pPr>
            <w:r w:rsidRPr="00E72E61">
              <w:t>September 1, 2020</w:t>
            </w:r>
          </w:p>
        </w:tc>
        <w:tc>
          <w:tcPr>
            <w:tcW w:w="4860" w:type="dxa"/>
          </w:tcPr>
          <w:p w:rsidRPr="00E72E61" w:rsidR="00C5169C" w:rsidP="00721419" w:rsidRDefault="00C5169C" w14:paraId="2EC5845C" w14:textId="3EF2977B">
            <w:pPr>
              <w:keepNext/>
              <w:keepLines/>
              <w:numPr>
                <w:ilvl w:val="0"/>
                <w:numId w:val="10"/>
              </w:numPr>
              <w:spacing w:after="288" w:afterLines="120" w:line="240" w:lineRule="auto"/>
              <w:ind w:left="360"/>
            </w:pPr>
            <w:r w:rsidRPr="00E72E61">
              <w:t xml:space="preserve">Contract(s) for incremental resources included in LSE’s Integrated Resource Plan (IRP) filed on or before September 1, 2020. </w:t>
            </w:r>
            <w:r w:rsidR="00AD53E2">
              <w:br/>
            </w:r>
            <w:r w:rsidR="00AD53E2">
              <w:br/>
            </w:r>
            <w:r w:rsidRPr="00E72E61">
              <w:t xml:space="preserve">If contracts are with another LSE that has procured excess incremental resources, the counterparty LSE’s IRP filing must indicate this transaction and must show that they meet their procurement requirements after </w:t>
            </w:r>
            <w:r>
              <w:t>subtracting</w:t>
            </w:r>
            <w:r w:rsidRPr="00E72E61">
              <w:t xml:space="preserve"> the excess procurement they have resold.</w:t>
            </w:r>
          </w:p>
          <w:p w:rsidRPr="00E72E61" w:rsidR="00C5169C" w:rsidP="00721419" w:rsidRDefault="00C5169C" w14:paraId="6A7385BA" w14:textId="3813B8C3">
            <w:pPr>
              <w:keepNext/>
              <w:keepLines/>
              <w:numPr>
                <w:ilvl w:val="0"/>
                <w:numId w:val="10"/>
              </w:numPr>
              <w:spacing w:after="120" w:line="240" w:lineRule="auto"/>
              <w:ind w:left="360"/>
            </w:pPr>
            <w:r w:rsidRPr="00E72E61">
              <w:t xml:space="preserve">While contracts for new generation or storage </w:t>
            </w:r>
            <w:r>
              <w:t>construction</w:t>
            </w:r>
            <w:r w:rsidRPr="00E72E61">
              <w:t xml:space="preserve"> must be in place by this milestone, descriptions of anticipated resources and negotiation status for </w:t>
            </w:r>
            <w:r w:rsidRPr="00E72E61">
              <w:rPr>
                <w:u w:val="single"/>
              </w:rPr>
              <w:t>other</w:t>
            </w:r>
            <w:r w:rsidRPr="00E72E61">
              <w:t xml:space="preserve"> allowable resources not under contract by this milestone (e.g., demand response, </w:t>
            </w:r>
            <w:r>
              <w:t>i</w:t>
            </w:r>
            <w:r w:rsidRPr="00E72E61">
              <w:t>mports, or purchases of excess procurement from other LSEs) are acceptable at this time.</w:t>
            </w:r>
          </w:p>
        </w:tc>
      </w:tr>
      <w:tr w:rsidRPr="00E72E61" w:rsidR="00C5169C" w:rsidTr="00282B59" w14:paraId="07E60A45" w14:textId="77777777">
        <w:trPr>
          <w:trHeight w:val="7010"/>
        </w:trPr>
        <w:tc>
          <w:tcPr>
            <w:tcW w:w="2335" w:type="dxa"/>
          </w:tcPr>
          <w:p w:rsidRPr="00E72E61" w:rsidR="00C5169C" w:rsidP="00282B59" w:rsidRDefault="00C5169C" w14:paraId="1EE2FD11" w14:textId="20B7E17E">
            <w:pPr>
              <w:keepNext/>
              <w:keepLines/>
              <w:spacing w:after="288" w:afterLines="120" w:line="240" w:lineRule="auto"/>
              <w:ind w:firstLine="0"/>
            </w:pPr>
            <w:r w:rsidRPr="00E72E61">
              <w:rPr>
                <w:u w:val="single"/>
              </w:rPr>
              <w:lastRenderedPageBreak/>
              <w:t>Milestone #2</w:t>
            </w:r>
            <w:r w:rsidRPr="00E72E61">
              <w:t xml:space="preserve">:  Notice to Proceed for new construction and final contract deadline for demand response, imports, or sales of excess new resources between LSEs </w:t>
            </w:r>
          </w:p>
        </w:tc>
        <w:tc>
          <w:tcPr>
            <w:tcW w:w="2340" w:type="dxa"/>
          </w:tcPr>
          <w:p w:rsidRPr="00E72E61" w:rsidR="00C5169C" w:rsidP="00282B59" w:rsidRDefault="00C5169C" w14:paraId="0513388A" w14:textId="6C190160">
            <w:pPr>
              <w:keepNext/>
              <w:keepLines/>
              <w:spacing w:after="288" w:afterLines="120" w:line="240" w:lineRule="auto"/>
              <w:ind w:firstLine="0"/>
            </w:pPr>
            <w:r w:rsidRPr="00E72E61">
              <w:t>February 1, 2021</w:t>
            </w:r>
          </w:p>
        </w:tc>
        <w:tc>
          <w:tcPr>
            <w:tcW w:w="4860" w:type="dxa"/>
          </w:tcPr>
          <w:p w:rsidRPr="00E72E61" w:rsidR="00C5169C" w:rsidP="00721419" w:rsidRDefault="00C5169C" w14:paraId="60CB73D0" w14:textId="52E00E0C">
            <w:pPr>
              <w:keepNext/>
              <w:keepLines/>
              <w:numPr>
                <w:ilvl w:val="0"/>
                <w:numId w:val="10"/>
              </w:numPr>
              <w:spacing w:after="288" w:afterLines="120" w:line="240" w:lineRule="auto"/>
              <w:ind w:left="360"/>
            </w:pPr>
            <w:r w:rsidRPr="00E72E61">
              <w:t>For new construction, evidence of Notice</w:t>
            </w:r>
            <w:r>
              <w:t>(</w:t>
            </w:r>
            <w:r w:rsidRPr="00E72E61">
              <w:t>s</w:t>
            </w:r>
            <w:r>
              <w:t>)</w:t>
            </w:r>
            <w:r w:rsidRPr="00E72E61">
              <w:t xml:space="preserve"> to Proceed.</w:t>
            </w:r>
          </w:p>
          <w:p w:rsidRPr="00E72E61" w:rsidR="00C5169C" w:rsidP="00721419" w:rsidRDefault="00C5169C" w14:paraId="7826E9D8" w14:textId="31634381">
            <w:pPr>
              <w:keepNext/>
              <w:keepLines/>
              <w:numPr>
                <w:ilvl w:val="0"/>
                <w:numId w:val="10"/>
              </w:numPr>
              <w:spacing w:after="288" w:afterLines="120" w:line="240" w:lineRule="auto"/>
              <w:ind w:left="360"/>
            </w:pPr>
            <w:r w:rsidRPr="00E72E61">
              <w:t xml:space="preserve">Contracts for other forms of allowable incremental IRP procurement (e.g., demand response, </w:t>
            </w:r>
            <w:r>
              <w:t>i</w:t>
            </w:r>
            <w:r w:rsidRPr="00E72E61">
              <w:t>mports, or sales of excess new resources between LSEs) that were not under contract by September</w:t>
            </w:r>
            <w:r w:rsidR="00670C18">
              <w:t> </w:t>
            </w:r>
            <w:r w:rsidRPr="00E72E61">
              <w:t>1,</w:t>
            </w:r>
            <w:r w:rsidR="00670C18">
              <w:t> </w:t>
            </w:r>
            <w:r w:rsidRPr="00E72E61">
              <w:t xml:space="preserve">2020. </w:t>
            </w:r>
            <w:r w:rsidRPr="00E72E61">
              <w:br/>
            </w:r>
            <w:r w:rsidRPr="00E72E61">
              <w:br/>
              <w:t xml:space="preserve">As noted in the September 1, 2020, milestone, if contracts are with another LSE that has procured excess incremental resources, the counterparty LSE’s IRP filing must indicate this transaction and must show that they meet their procurement requirements after </w:t>
            </w:r>
            <w:r>
              <w:t>subtracting</w:t>
            </w:r>
            <w:r w:rsidRPr="00E72E61">
              <w:t xml:space="preserve"> the excess procurement they have resold. </w:t>
            </w:r>
          </w:p>
        </w:tc>
      </w:tr>
      <w:tr w:rsidRPr="00E72E61" w:rsidR="00C5169C" w:rsidTr="00AD53E2" w14:paraId="54ADDACB" w14:textId="77777777">
        <w:tc>
          <w:tcPr>
            <w:tcW w:w="2335" w:type="dxa"/>
          </w:tcPr>
          <w:p w:rsidRPr="00E72E61" w:rsidR="00C5169C" w:rsidP="00282B59" w:rsidRDefault="00C5169C" w14:paraId="1F24A3DA" w14:textId="77777777">
            <w:pPr>
              <w:keepNext/>
              <w:keepLines/>
              <w:spacing w:after="288" w:afterLines="120" w:line="240" w:lineRule="auto"/>
              <w:ind w:firstLine="0"/>
            </w:pPr>
            <w:r w:rsidRPr="00121CD5">
              <w:rPr>
                <w:u w:val="single"/>
              </w:rPr>
              <w:t xml:space="preserve">Milestone #3: </w:t>
            </w:r>
            <w:r w:rsidRPr="00E72E61">
              <w:t>Commercial operation date</w:t>
            </w:r>
          </w:p>
        </w:tc>
        <w:tc>
          <w:tcPr>
            <w:tcW w:w="2340" w:type="dxa"/>
          </w:tcPr>
          <w:p w:rsidRPr="00E72E61" w:rsidR="00C5169C" w:rsidP="00282B59" w:rsidRDefault="00C5169C" w14:paraId="5BAEB12B" w14:textId="77777777">
            <w:pPr>
              <w:keepNext/>
              <w:keepLines/>
              <w:spacing w:after="288" w:afterLines="120" w:line="240" w:lineRule="auto"/>
              <w:ind w:firstLine="0"/>
            </w:pPr>
            <w:r w:rsidRPr="00E72E61">
              <w:t>August 1, 2021</w:t>
            </w:r>
          </w:p>
        </w:tc>
        <w:tc>
          <w:tcPr>
            <w:tcW w:w="4860" w:type="dxa"/>
          </w:tcPr>
          <w:p w:rsidRPr="00E72E61" w:rsidR="00C5169C" w:rsidP="00721419" w:rsidRDefault="00C5169C" w14:paraId="57CFA9B1" w14:textId="77777777">
            <w:pPr>
              <w:keepNext/>
              <w:keepLines/>
              <w:numPr>
                <w:ilvl w:val="0"/>
                <w:numId w:val="10"/>
              </w:numPr>
              <w:spacing w:after="288" w:afterLines="120" w:line="240" w:lineRule="auto"/>
              <w:ind w:left="360"/>
            </w:pPr>
            <w:r w:rsidRPr="00E72E61">
              <w:t>For new construction, independent verification that resource is online and fully commissioned.</w:t>
            </w:r>
          </w:p>
        </w:tc>
      </w:tr>
    </w:tbl>
    <w:p w:rsidR="00C5169C" w:rsidP="00760A41" w:rsidRDefault="00FD2ECC" w14:paraId="3C5A0F5D" w14:textId="2540AD52">
      <w:pPr>
        <w:pStyle w:val="Standard"/>
        <w:spacing w:before="240"/>
      </w:pPr>
      <w:r>
        <w:t>As proposed, fo</w:t>
      </w:r>
      <w:r w:rsidR="00C5169C">
        <w:t xml:space="preserve">r the trigger points shown in the above table, all milestones would need to be achieved by an LSE to avoid backstop procurement being required for the applicable </w:t>
      </w:r>
      <w:r w:rsidR="00884FAB">
        <w:t xml:space="preserve">annual </w:t>
      </w:r>
      <w:r w:rsidR="00C5169C">
        <w:t xml:space="preserve">tranche of procurement.  Compliance would be </w:t>
      </w:r>
      <w:r w:rsidR="005008B7">
        <w:t>reviewed by the Commission and determined</w:t>
      </w:r>
      <w:r w:rsidR="00C5169C">
        <w:t xml:space="preserve"> on a resource-specific basis, and </w:t>
      </w:r>
      <w:r>
        <w:t>could</w:t>
      </w:r>
      <w:r w:rsidR="00C5169C">
        <w:t xml:space="preserve"> be partial, since an LSE may succeed in developing some but not </w:t>
      </w:r>
      <w:proofErr w:type="gramStart"/>
      <w:r w:rsidR="00C5169C">
        <w:t>all of</w:t>
      </w:r>
      <w:proofErr w:type="gramEnd"/>
      <w:r w:rsidR="00C5169C">
        <w:t xml:space="preserve"> their required capacity.  For example, an LSE could be successful in developing one type of resource, while failing to develop another.  Alternatively, an LSE could be successful in contracting for some of its obligation, but not all of it.  </w:t>
      </w:r>
    </w:p>
    <w:p w:rsidR="00C5169C" w:rsidP="009269B8" w:rsidRDefault="00C5169C" w14:paraId="6429748A" w14:textId="0AE1183E">
      <w:pPr>
        <w:pStyle w:val="Standard"/>
        <w:ind w:right="90"/>
      </w:pPr>
      <w:r>
        <w:lastRenderedPageBreak/>
        <w:t>Commission staff proposed that, upon failure being demonstrated at one of the above trigger points, Commission staff would have a maximum of 30</w:t>
      </w:r>
      <w:r w:rsidR="00BB6701">
        <w:t> </w:t>
      </w:r>
      <w:r>
        <w:t>days to informally notify the deficient LSE that backstop procurement will be</w:t>
      </w:r>
      <w:r w:rsidR="009269B8">
        <w:t xml:space="preserve"> </w:t>
      </w:r>
      <w:r>
        <w:t xml:space="preserve">necessary, and to notify the relevant IOU to commence backstop procurement for the capacity of the failed resource or capacity amount only.  A formal ALJ and/or Commissioner ruling </w:t>
      </w:r>
      <w:r w:rsidR="00FD2ECC">
        <w:t>was proposed to</w:t>
      </w:r>
      <w:r>
        <w:t xml:space="preserve"> be issued in parallel, memorializing the backstop procurement requirements.</w:t>
      </w:r>
    </w:p>
    <w:p w:rsidRPr="0063491C" w:rsidR="00C5169C" w:rsidP="00BB6701" w:rsidRDefault="00FD2ECC" w14:paraId="6B88E056" w14:textId="3EB6F4E6">
      <w:pPr>
        <w:pStyle w:val="Standard"/>
      </w:pPr>
      <w:r>
        <w:t xml:space="preserve">Commission staff proposed that the </w:t>
      </w:r>
      <w:r w:rsidR="00C5169C">
        <w:t>IOU would begin conducting backstop procurement if Commission staff confirm</w:t>
      </w:r>
      <w:r>
        <w:t>ed</w:t>
      </w:r>
      <w:r w:rsidR="00C5169C">
        <w:t xml:space="preserve"> failure based on any of the proposed trigger points, though to minimize potential “just in time” procurement cost premiums, LSEs would also be encouraged to proactively communicate procurement failures and the need for backstop procurement informally and/or formally as soon as the need is known to the LSE.</w:t>
      </w:r>
    </w:p>
    <w:p w:rsidR="005A148C" w:rsidP="003272B8" w:rsidRDefault="00534B8B" w14:paraId="0118CB20" w14:textId="220A91FD">
      <w:pPr>
        <w:pStyle w:val="Heading1"/>
        <w:numPr>
          <w:ilvl w:val="0"/>
          <w:numId w:val="1"/>
        </w:numPr>
        <w:ind w:left="360" w:hanging="360"/>
      </w:pPr>
      <w:bookmarkStart w:name="_Toc58842629" w:id="6"/>
      <w:r>
        <w:t>Comments of Parties</w:t>
      </w:r>
      <w:bookmarkEnd w:id="6"/>
    </w:p>
    <w:p w:rsidR="005939A5" w:rsidP="00A44E8D" w:rsidRDefault="004A63C5" w14:paraId="2F3545BF" w14:textId="43256C27">
      <w:pPr>
        <w:pStyle w:val="Standard"/>
      </w:pPr>
      <w:r>
        <w:t>Overall, most parties commenting on the Commission staff’s backstop procurement trigger proposal contained in the June</w:t>
      </w:r>
      <w:r w:rsidR="00760A41">
        <w:t> </w:t>
      </w:r>
      <w:r>
        <w:t>5,</w:t>
      </w:r>
      <w:r w:rsidR="00760A41">
        <w:t> </w:t>
      </w:r>
      <w:r>
        <w:t>2020 ALJ ruling and summarized in Section 2 above generally supported the proposal.  GPI, PCF, and WEM generally opposed the proposal, primarily arguing that there is no need to reinvent existing procurement compliance arrangements that are already provided by the resource adequacy program</w:t>
      </w:r>
      <w:r w:rsidR="0013064A">
        <w:t xml:space="preserve"> (GPI, PCF, and WEM) and that the suspected incremental resource adequacy need may be narrowed by the impacts of the COVID-19 pandemic (GPI and WEM)</w:t>
      </w:r>
      <w:r>
        <w:t>.</w:t>
      </w:r>
    </w:p>
    <w:p w:rsidR="0045766F" w:rsidP="00201801" w:rsidRDefault="0045766F" w14:paraId="7288A185" w14:textId="4C87DBF8">
      <w:pPr>
        <w:pStyle w:val="Heading2"/>
        <w:numPr>
          <w:ilvl w:val="1"/>
          <w:numId w:val="1"/>
        </w:numPr>
      </w:pPr>
      <w:bookmarkStart w:name="_Toc58842630" w:id="7"/>
      <w:r>
        <w:t>Comments Related to Triggers and Milestones</w:t>
      </w:r>
      <w:bookmarkEnd w:id="7"/>
    </w:p>
    <w:p w:rsidR="00201801" w:rsidP="00201801" w:rsidRDefault="00201801" w14:paraId="09A0B4D7" w14:textId="6D61C6D4">
      <w:pPr>
        <w:pStyle w:val="Standard"/>
      </w:pPr>
      <w:r>
        <w:t xml:space="preserve">Most parties commented in support of having milestones and triggers </w:t>
      </w:r>
      <w:proofErr w:type="gramStart"/>
      <w:r>
        <w:t>similar to</w:t>
      </w:r>
      <w:proofErr w:type="gramEnd"/>
      <w:r>
        <w:t xml:space="preserve"> those suggested by Commission staff, with some variations.  SDG&amp;E supported having multiple milestones required, but only one determination per </w:t>
      </w:r>
      <w:r>
        <w:lastRenderedPageBreak/>
        <w:t xml:space="preserve">year for backstop procurement being required of the IOUs.  SDG&amp;E also suggested that the first milestone should be the trigger for all three tranches of procurement, not just for 2021. </w:t>
      </w:r>
      <w:r w:rsidR="002A23FB">
        <w:t xml:space="preserve"> PG&amp;E originally proposed one annual filing and one annual backstop determination. </w:t>
      </w:r>
    </w:p>
    <w:p w:rsidR="00201801" w:rsidP="00201801" w:rsidRDefault="00201801" w14:paraId="7239AB48" w14:textId="3DC64305">
      <w:pPr>
        <w:pStyle w:val="Standard"/>
      </w:pPr>
      <w:r>
        <w:t>SCE proposed a revised trigger for the first milestone</w:t>
      </w:r>
      <w:r w:rsidR="005A696A">
        <w:t>, suggesting January</w:t>
      </w:r>
      <w:r w:rsidR="00760A41">
        <w:t> </w:t>
      </w:r>
      <w:r w:rsidR="005A696A">
        <w:t>1,</w:t>
      </w:r>
      <w:r w:rsidR="00760A41">
        <w:t> </w:t>
      </w:r>
      <w:r w:rsidR="005A696A">
        <w:t>2021 for the 2022 and 2023 tranches.  PG&amp;E</w:t>
      </w:r>
      <w:r w:rsidR="002A23FB">
        <w:t xml:space="preserve">, </w:t>
      </w:r>
      <w:r w:rsidR="005A696A">
        <w:t>CalCCA</w:t>
      </w:r>
      <w:r w:rsidR="002A23FB">
        <w:t>, and TURN</w:t>
      </w:r>
      <w:r w:rsidR="005A696A">
        <w:t xml:space="preserve"> also supported this proposal, though CalCCA </w:t>
      </w:r>
      <w:r w:rsidR="008619F9">
        <w:t>suggested</w:t>
      </w:r>
      <w:r w:rsidR="005A696A">
        <w:t xml:space="preserve"> a</w:t>
      </w:r>
      <w:r w:rsidR="008619F9">
        <w:t>n</w:t>
      </w:r>
      <w:r w:rsidR="005A696A">
        <w:t xml:space="preserve"> amendment to include</w:t>
      </w:r>
      <w:r w:rsidR="008619F9">
        <w:t xml:space="preserve"> the</w:t>
      </w:r>
      <w:r w:rsidR="005A696A">
        <w:t xml:space="preserve"> 2021</w:t>
      </w:r>
      <w:r w:rsidR="008619F9">
        <w:t xml:space="preserve"> tranche of procurement</w:t>
      </w:r>
      <w:r w:rsidR="005A696A">
        <w:t xml:space="preserve"> in the same milestone, since otherwise the staff</w:t>
      </w:r>
      <w:r w:rsidR="00760A41">
        <w:noBreakHyphen/>
      </w:r>
      <w:r w:rsidR="005A696A">
        <w:t>proposed milestone of September</w:t>
      </w:r>
      <w:r w:rsidR="00760A41">
        <w:t> </w:t>
      </w:r>
      <w:r w:rsidR="005A696A">
        <w:t>1,</w:t>
      </w:r>
      <w:r w:rsidR="00760A41">
        <w:t> </w:t>
      </w:r>
      <w:r w:rsidR="005A696A">
        <w:t>2020</w:t>
      </w:r>
      <w:r w:rsidR="00760A41">
        <w:t>,</w:t>
      </w:r>
      <w:r w:rsidR="005A696A">
        <w:t xml:space="preserve"> would be in the past due to the passage of time.  </w:t>
      </w:r>
    </w:p>
    <w:p w:rsidR="008C0DE1" w:rsidP="00201801" w:rsidRDefault="00201801" w14:paraId="283BCF97" w14:textId="4787622D">
      <w:pPr>
        <w:pStyle w:val="Standard"/>
      </w:pPr>
      <w:r>
        <w:t xml:space="preserve">SCE </w:t>
      </w:r>
      <w:r w:rsidR="008619F9">
        <w:t xml:space="preserve">also </w:t>
      </w:r>
      <w:r>
        <w:t>commented that the second and third milestones should only be check</w:t>
      </w:r>
      <w:r w:rsidR="00760A41">
        <w:noBreakHyphen/>
      </w:r>
      <w:r>
        <w:t xml:space="preserve">ins, but not trigger points.  </w:t>
      </w:r>
      <w:r w:rsidR="008C0DE1">
        <w:t xml:space="preserve">CalCCA suggested that an LSE should be required to file a Tier 2 advice letter if their procurement is delayed, seeking an extension with appropriate justification and a plan for remediation. </w:t>
      </w:r>
    </w:p>
    <w:p w:rsidR="0014722C" w:rsidP="00201801" w:rsidRDefault="00201801" w14:paraId="6EA5DC66" w14:textId="6A0ECEF9">
      <w:pPr>
        <w:pStyle w:val="Standard"/>
      </w:pPr>
      <w:r>
        <w:t>SCE also suggested that deficient LSEs should be required to submit a remediation plan for how they will bring resources online in 30</w:t>
      </w:r>
      <w:r w:rsidR="00760A41">
        <w:noBreakHyphen/>
      </w:r>
      <w:r>
        <w:t xml:space="preserve">90 days. </w:t>
      </w:r>
      <w:r w:rsidR="00760A41">
        <w:t xml:space="preserve"> </w:t>
      </w:r>
      <w:r w:rsidR="008619F9">
        <w:t xml:space="preserve">In addition, SCE </w:t>
      </w:r>
      <w:proofErr w:type="gramStart"/>
      <w:r w:rsidR="008619F9">
        <w:t>recommended</w:t>
      </w:r>
      <w:proofErr w:type="gramEnd"/>
      <w:r w:rsidR="002A23FB">
        <w:t xml:space="preserve"> and TURN agreed</w:t>
      </w:r>
      <w:r w:rsidR="008619F9">
        <w:t xml:space="preserve"> that showings required at each milestone should include site control, interconnection status, and other standards.  </w:t>
      </w:r>
    </w:p>
    <w:p w:rsidR="002A23FB" w:rsidP="00201801" w:rsidRDefault="002A23FB" w14:paraId="55270AC9" w14:textId="5434B103">
      <w:pPr>
        <w:pStyle w:val="Standard"/>
      </w:pPr>
      <w:r>
        <w:t xml:space="preserve">Cal Advocates suggested that the milestone dates for the second and third tranches of procurement were too late. </w:t>
      </w:r>
    </w:p>
    <w:p w:rsidR="0014722C" w:rsidP="00201801" w:rsidRDefault="0014722C" w14:paraId="1D7D2673" w14:textId="156FE390">
      <w:pPr>
        <w:pStyle w:val="Standard"/>
      </w:pPr>
      <w:r>
        <w:t xml:space="preserve">CalCCA commented that the requirement for a “notice to proceed” should be broadened to include other potential contractual language related to start of construction on a new project. </w:t>
      </w:r>
    </w:p>
    <w:p w:rsidR="00201801" w:rsidP="00201801" w:rsidRDefault="008619F9" w14:paraId="130E8EBD" w14:textId="40CAC6CA">
      <w:pPr>
        <w:pStyle w:val="Standard"/>
      </w:pPr>
      <w:r>
        <w:lastRenderedPageBreak/>
        <w:t xml:space="preserve">PG&amp;E added that the Commission should </w:t>
      </w:r>
      <w:r w:rsidR="008C0DE1">
        <w:t>include</w:t>
      </w:r>
      <w:r>
        <w:t xml:space="preserve"> the senior executive attestation requirement </w:t>
      </w:r>
      <w:r w:rsidR="008C0DE1">
        <w:t>for</w:t>
      </w:r>
      <w:r>
        <w:t xml:space="preserve"> the showings submitted.</w:t>
      </w:r>
      <w:r w:rsidR="008C0DE1">
        <w:t xml:space="preserve">  Cal Advocates and AReM also suggested that the independent verification requirements for LSEs should be more specifically defined. </w:t>
      </w:r>
    </w:p>
    <w:p w:rsidR="008619F9" w:rsidP="00201801" w:rsidRDefault="008619F9" w14:paraId="1EF81A88" w14:textId="6B5FEAAC">
      <w:pPr>
        <w:pStyle w:val="Standard"/>
      </w:pPr>
      <w:r>
        <w:t xml:space="preserve">AReM was generally concerned that too much information would be required in the milestone showings.  AWEA was concerned to ensure the confidentiality of contract information. </w:t>
      </w:r>
    </w:p>
    <w:p w:rsidR="00E32E3C" w:rsidP="00201801" w:rsidRDefault="00E32E3C" w14:paraId="59BAB01C" w14:textId="3A67B82E">
      <w:pPr>
        <w:pStyle w:val="Standard"/>
      </w:pPr>
      <w:r>
        <w:t>CEDMC requested using criteria adopted in D.16</w:t>
      </w:r>
      <w:r w:rsidR="00760A41">
        <w:noBreakHyphen/>
      </w:r>
      <w:r>
        <w:t>11</w:t>
      </w:r>
      <w:r w:rsidR="00760A41">
        <w:noBreakHyphen/>
      </w:r>
      <w:r>
        <w:t>036 to be used for showings including demand response resources.</w:t>
      </w:r>
    </w:p>
    <w:p w:rsidR="008619F9" w:rsidP="00201801" w:rsidRDefault="008619F9" w14:paraId="705D2A3C" w14:textId="746A2EA4">
      <w:pPr>
        <w:pStyle w:val="Standard"/>
      </w:pPr>
      <w:r>
        <w:t>GPI was concerned with showing requirements related to imports, suggesting that some portion should be required to be shown a</w:t>
      </w:r>
      <w:r w:rsidR="00884FAB">
        <w:t>t</w:t>
      </w:r>
      <w:r>
        <w:t xml:space="preserve"> the first trigger point or else a separate schedule should be established.  GPI also maintain</w:t>
      </w:r>
      <w:r w:rsidR="008C0DE1">
        <w:t>ed</w:t>
      </w:r>
      <w:r>
        <w:t xml:space="preserve"> that both options should be done in alignment with normal system resource adequacy requirements.</w:t>
      </w:r>
    </w:p>
    <w:p w:rsidR="008619F9" w:rsidP="00201801" w:rsidRDefault="008C0DE1" w14:paraId="12B17BE6" w14:textId="4EA6A8F5">
      <w:pPr>
        <w:pStyle w:val="Standard"/>
      </w:pPr>
      <w:r>
        <w:t xml:space="preserve">Finally, the staff proposal did not propose a deadline for when backstop procurement needed to be online and delivering.  PG&amp;E </w:t>
      </w:r>
      <w:r w:rsidR="002A23FB">
        <w:t xml:space="preserve">suggested </w:t>
      </w:r>
      <w:r>
        <w:t xml:space="preserve">that </w:t>
      </w:r>
      <w:r w:rsidR="002A23FB">
        <w:t>backstop procurement would require</w:t>
      </w:r>
      <w:r>
        <w:t xml:space="preserve"> a 24</w:t>
      </w:r>
      <w:r w:rsidR="00730553">
        <w:noBreakHyphen/>
      </w:r>
      <w:r>
        <w:t>month timeline, while CalCCA opposed this suggestion.</w:t>
      </w:r>
    </w:p>
    <w:p w:rsidR="0045766F" w:rsidP="00201801" w:rsidRDefault="0045766F" w14:paraId="29F26F9F" w14:textId="4282461E">
      <w:pPr>
        <w:pStyle w:val="Heading2"/>
        <w:numPr>
          <w:ilvl w:val="1"/>
          <w:numId w:val="1"/>
        </w:numPr>
      </w:pPr>
      <w:bookmarkStart w:name="_Toc58842631" w:id="8"/>
      <w:r>
        <w:t>Comments Related to Partial Backstop Procurement</w:t>
      </w:r>
      <w:bookmarkEnd w:id="8"/>
    </w:p>
    <w:p w:rsidR="00C964AE" w:rsidP="00C964AE" w:rsidRDefault="00C964AE" w14:paraId="1AC8D1FB" w14:textId="1EEED64B">
      <w:pPr>
        <w:pStyle w:val="Standard"/>
      </w:pPr>
      <w:r>
        <w:t>Several parties also commented on whether “partial backstop” procurement should be allowed, meaning backstop procurement within each annual tranche of the D.19</w:t>
      </w:r>
      <w:r w:rsidR="00730553">
        <w:noBreakHyphen/>
      </w:r>
      <w:r>
        <w:t>11</w:t>
      </w:r>
      <w:r w:rsidR="00730553">
        <w:noBreakHyphen/>
      </w:r>
      <w:r>
        <w:t xml:space="preserve">016 requirements. </w:t>
      </w:r>
    </w:p>
    <w:p w:rsidR="00C964AE" w:rsidP="00C964AE" w:rsidRDefault="00C964AE" w14:paraId="0BF3EEEC" w14:textId="78BD01D6">
      <w:pPr>
        <w:pStyle w:val="Standard"/>
      </w:pPr>
      <w:r>
        <w:t xml:space="preserve">CalCCA commented that the backstop requirements should be </w:t>
      </w:r>
      <w:r w:rsidR="005A7757">
        <w:t xml:space="preserve">instituted </w:t>
      </w:r>
      <w:r>
        <w:t>by tranche.  SCE</w:t>
      </w:r>
      <w:r w:rsidR="002A23FB">
        <w:t xml:space="preserve"> and</w:t>
      </w:r>
      <w:r>
        <w:t xml:space="preserve"> SDG&amp;E disagreed, arguing that on</w:t>
      </w:r>
      <w:r w:rsidR="005A7757">
        <w:t>c</w:t>
      </w:r>
      <w:r>
        <w:t xml:space="preserve">e backstop procurement requirements are triggered, the IOU should take over the rest of the procurement </w:t>
      </w:r>
      <w:r>
        <w:lastRenderedPageBreak/>
        <w:t xml:space="preserve">responsibility for </w:t>
      </w:r>
      <w:proofErr w:type="gramStart"/>
      <w:r>
        <w:t>all of</w:t>
      </w:r>
      <w:proofErr w:type="gramEnd"/>
      <w:r>
        <w:t xml:space="preserve"> the capacity required by D.19</w:t>
      </w:r>
      <w:r w:rsidR="00730553">
        <w:noBreakHyphen/>
      </w:r>
      <w:r>
        <w:t>11</w:t>
      </w:r>
      <w:r w:rsidR="00730553">
        <w:noBreakHyphen/>
      </w:r>
      <w:r>
        <w:t>016.</w:t>
      </w:r>
      <w:r w:rsidR="00730553">
        <w:t xml:space="preserve">  </w:t>
      </w:r>
      <w:r w:rsidR="002A23FB">
        <w:t xml:space="preserve">AReM supported the possibility of “partial backstop” but noted that it may cause severe equity and fairness concerns.  </w:t>
      </w:r>
      <w:r>
        <w:t>PG&amp;E’s reasoning for rejecting “partial backstop”</w:t>
      </w:r>
      <w:r w:rsidR="005A7757">
        <w:t xml:space="preserve"> </w:t>
      </w:r>
      <w:r>
        <w:t>procurement for each tranche was because of the multiple solicitations that would be required by each IOU on an annual basis</w:t>
      </w:r>
      <w:r w:rsidR="000B3008">
        <w:t xml:space="preserve"> to perform the backstop procurement duties</w:t>
      </w:r>
      <w:r>
        <w:t xml:space="preserve">.  </w:t>
      </w:r>
    </w:p>
    <w:p w:rsidRPr="00C964AE" w:rsidR="005A7757" w:rsidP="00C964AE" w:rsidRDefault="005A7757" w14:paraId="16BF90EB" w14:textId="3E8DD208">
      <w:pPr>
        <w:pStyle w:val="Standard"/>
      </w:pPr>
      <w:r>
        <w:t xml:space="preserve">SCE </w:t>
      </w:r>
      <w:r w:rsidR="002A23FB">
        <w:t xml:space="preserve">and SDG&amp;E </w:t>
      </w:r>
      <w:r>
        <w:t xml:space="preserve">also argued that an IOU should not be required to stop </w:t>
      </w:r>
      <w:r w:rsidR="000B3008">
        <w:t xml:space="preserve">its </w:t>
      </w:r>
      <w:r>
        <w:t xml:space="preserve">backstop procurement efforts once they are underway, since this would result in wasted efforts and expenses.  AReM argued that this possibility should be </w:t>
      </w:r>
      <w:proofErr w:type="gramStart"/>
      <w:r>
        <w:t>considered, if</w:t>
      </w:r>
      <w:proofErr w:type="gramEnd"/>
      <w:r>
        <w:t xml:space="preserve"> an LSE can catch up on its required procurement and IOU procurement can be cancelled.  AReM further suggested that the IOU could be compensated for its costs, even if the ultimate procurement is cancelled.  CalCCA argued that this situation should be treated on a case-by-case basis, depending on the circumstances.</w:t>
      </w:r>
    </w:p>
    <w:p w:rsidR="0045766F" w:rsidP="00201801" w:rsidRDefault="0045766F" w14:paraId="084E8283" w14:textId="0C14D1C5">
      <w:pPr>
        <w:pStyle w:val="Heading2"/>
        <w:numPr>
          <w:ilvl w:val="1"/>
          <w:numId w:val="1"/>
        </w:numPr>
      </w:pPr>
      <w:bookmarkStart w:name="_Toc58842632" w:id="9"/>
      <w:r>
        <w:t>Comments on Possibility of Extensions</w:t>
      </w:r>
      <w:bookmarkEnd w:id="9"/>
    </w:p>
    <w:p w:rsidR="0045766F" w:rsidP="00A44E8D" w:rsidRDefault="001E44C9" w14:paraId="15C0291E" w14:textId="48B9DC1E">
      <w:pPr>
        <w:pStyle w:val="Standard"/>
      </w:pPr>
      <w:r>
        <w:t>Several parties, in their comments, supported allowing extensions to deadlines for LSEs whose showing include</w:t>
      </w:r>
      <w:r w:rsidR="000B3008">
        <w:t>d</w:t>
      </w:r>
      <w:r>
        <w:t xml:space="preserve"> deficiencies in capacity required.  SDG&amp;E suggested allowing up to two </w:t>
      </w:r>
      <w:proofErr w:type="gramStart"/>
      <w:r>
        <w:t>weeks, if</w:t>
      </w:r>
      <w:proofErr w:type="gramEnd"/>
      <w:r>
        <w:t xml:space="preserve"> this allows the Commission not to initiate backstop procurement.  AReM suggested up to one month, or three</w:t>
      </w:r>
      <w:r w:rsidR="00730553">
        <w:t> </w:t>
      </w:r>
      <w:r>
        <w:t xml:space="preserve">months if there is a Force Majeure event.  CEDMC suggested extensions of up to one month for all milestones for demand response resources.  </w:t>
      </w:r>
      <w:r w:rsidR="002A23FB">
        <w:t xml:space="preserve">CalCCA suggested extensions on a case-by-case basis based on the reason for the delay, project feasibility, revised timeline, and impact on system reliability. </w:t>
      </w:r>
    </w:p>
    <w:p w:rsidR="004A63C5" w:rsidP="001E44C9" w:rsidRDefault="001E44C9" w14:paraId="3491CAF2" w14:textId="4AE1AACC">
      <w:pPr>
        <w:pStyle w:val="Standard"/>
      </w:pPr>
      <w:r>
        <w:t>Meanwhile, Cal Advocates suggested that backstop procurement by the IOUs be initiated within ten days of a determination by the Commission, a suggestion which was supported by AWEA</w:t>
      </w:r>
      <w:r w:rsidR="000B3008">
        <w:t>,</w:t>
      </w:r>
      <w:r>
        <w:t xml:space="preserve"> but opposed by PG&amp;E as too short. </w:t>
      </w:r>
    </w:p>
    <w:p w:rsidR="005939A5" w:rsidP="003272B8" w:rsidRDefault="005939A5" w14:paraId="29C16FEE" w14:textId="38AFFC46">
      <w:pPr>
        <w:pStyle w:val="Heading1"/>
        <w:numPr>
          <w:ilvl w:val="0"/>
          <w:numId w:val="1"/>
        </w:numPr>
        <w:ind w:left="360" w:hanging="360"/>
      </w:pPr>
      <w:bookmarkStart w:name="_Toc8123720" w:id="10"/>
      <w:bookmarkStart w:name="_Toc58842633" w:id="11"/>
      <w:r>
        <w:lastRenderedPageBreak/>
        <w:t xml:space="preserve">Discussion </w:t>
      </w:r>
      <w:bookmarkEnd w:id="10"/>
      <w:r w:rsidR="004144D6">
        <w:t>and Conclusion</w:t>
      </w:r>
      <w:bookmarkEnd w:id="11"/>
    </w:p>
    <w:p w:rsidR="00642F2F" w:rsidP="00343E5C" w:rsidRDefault="00AE6360" w14:paraId="41A7B33E" w14:textId="05FC62CF">
      <w:pPr>
        <w:pStyle w:val="Standard"/>
      </w:pPr>
      <w:r>
        <w:t>As a starting point, we disagree with those parties who argue that the resource adequacy program provides enough structure to address compliance with the capacity requirements of D.19</w:t>
      </w:r>
      <w:r w:rsidR="00730553">
        <w:noBreakHyphen/>
      </w:r>
      <w:r>
        <w:t>11</w:t>
      </w:r>
      <w:r w:rsidR="00730553">
        <w:noBreakHyphen/>
      </w:r>
      <w:r>
        <w:t>016</w:t>
      </w:r>
      <w:r w:rsidR="00642F2F">
        <w:t xml:space="preserve">.  </w:t>
      </w:r>
      <w:r>
        <w:t xml:space="preserve">That decision structured a procurement requirement that, although it required capacity to </w:t>
      </w:r>
      <w:r w:rsidR="00EA2ED7">
        <w:t>fit into</w:t>
      </w:r>
      <w:r>
        <w:t xml:space="preserve"> the resource adequacy paradigm, is structured somewhat differently than the typical annual resource adequacy compliance showings.  Therefore, we find that we need to set out a </w:t>
      </w:r>
      <w:r w:rsidR="00EA2ED7">
        <w:t>process for determining whether to trigger backstop procurement for purposes of the capacity required in D.19</w:t>
      </w:r>
      <w:r w:rsidR="00730553">
        <w:noBreakHyphen/>
      </w:r>
      <w:r w:rsidR="00EA2ED7">
        <w:t>11</w:t>
      </w:r>
      <w:r w:rsidR="00730553">
        <w:noBreakHyphen/>
      </w:r>
      <w:r w:rsidR="00EA2ED7">
        <w:t>016.</w:t>
      </w:r>
      <w:r w:rsidR="00EF0DC0">
        <w:t xml:space="preserve">  </w:t>
      </w:r>
    </w:p>
    <w:p w:rsidR="00AE6360" w:rsidP="00343E5C" w:rsidRDefault="00642F2F" w14:paraId="18521804" w14:textId="1A190CB4">
      <w:pPr>
        <w:pStyle w:val="Standard"/>
      </w:pPr>
      <w:r>
        <w:t>We also disagree that this incremental capacity has been made unnecessary by the impacts of the COVID-19 pandemic.  T</w:t>
      </w:r>
      <w:r w:rsidR="00EF0DC0">
        <w:t>he August 2020 reliability</w:t>
      </w:r>
      <w:r>
        <w:t xml:space="preserve">-related rotating outages </w:t>
      </w:r>
      <w:r w:rsidR="00EF0DC0">
        <w:t xml:space="preserve">demonstrated the continued need for system capacity, despite </w:t>
      </w:r>
      <w:r>
        <w:t xml:space="preserve">somewhat </w:t>
      </w:r>
      <w:r w:rsidR="00EF0DC0">
        <w:t xml:space="preserve">altered load patterns </w:t>
      </w:r>
      <w:r>
        <w:t>related</w:t>
      </w:r>
      <w:r w:rsidR="00EF0DC0">
        <w:t xml:space="preserve"> to the COVID-19 pandemic.</w:t>
      </w:r>
    </w:p>
    <w:p w:rsidR="00343E5C" w:rsidP="00343E5C" w:rsidRDefault="0013266A" w14:paraId="70959E66" w14:textId="1318D08F">
      <w:pPr>
        <w:pStyle w:val="Standard"/>
      </w:pPr>
      <w:r>
        <w:t>In crafting a final structure for backstop procurement for the capacity required by D.19</w:t>
      </w:r>
      <w:r w:rsidR="00730553">
        <w:noBreakHyphen/>
      </w:r>
      <w:r>
        <w:t>11</w:t>
      </w:r>
      <w:r w:rsidR="00730553">
        <w:noBreakHyphen/>
      </w:r>
      <w:r>
        <w:t xml:space="preserve">016, we are balancing the urgency of capacity procurement with the desire not to duplicate efforts or costs.  On the one hand, the urgency to ensure successful procurement has only been heightened by the </w:t>
      </w:r>
      <w:r w:rsidR="00642F2F">
        <w:t>August</w:t>
      </w:r>
      <w:r w:rsidR="00E5267F">
        <w:t> </w:t>
      </w:r>
      <w:r w:rsidR="00642F2F">
        <w:t xml:space="preserve">2020 </w:t>
      </w:r>
      <w:r>
        <w:t xml:space="preserve">rotating outages, caused in part by the tight </w:t>
      </w:r>
      <w:r w:rsidR="00602315">
        <w:t xml:space="preserve">availability of electricity </w:t>
      </w:r>
      <w:r>
        <w:t xml:space="preserve">capacity </w:t>
      </w:r>
      <w:r w:rsidR="00602315">
        <w:t>on the system</w:t>
      </w:r>
      <w:r>
        <w:t>.  On the other hand, if a non-IOU LSE is intending to self</w:t>
      </w:r>
      <w:r w:rsidR="00730553">
        <w:noBreakHyphen/>
      </w:r>
      <w:r>
        <w:t>pro</w:t>
      </w:r>
      <w:r w:rsidR="00642F2F">
        <w:t>vide capacity</w:t>
      </w:r>
      <w:r>
        <w:t xml:space="preserve">, and is suffering only minor delays or other obstacles, it may not make sense to ask an IOU to step in and conduct procurement instead, creating additional costs and </w:t>
      </w:r>
      <w:r w:rsidR="00602315">
        <w:t xml:space="preserve">potential for </w:t>
      </w:r>
      <w:r>
        <w:t>duplicating efforts</w:t>
      </w:r>
      <w:r w:rsidR="00642F2F">
        <w:t>.</w:t>
      </w:r>
    </w:p>
    <w:p w:rsidR="0013266A" w:rsidP="0013266A" w:rsidRDefault="0013266A" w14:paraId="4AAD6A34" w14:textId="6050366E">
      <w:pPr>
        <w:pStyle w:val="Standard"/>
      </w:pPr>
      <w:r>
        <w:t xml:space="preserve">Thus, although we are adopting a basic structure in this decision, as detailed further in this section, there will also be a need for some judgment to be </w:t>
      </w:r>
      <w:r w:rsidR="00602315">
        <w:t>used</w:t>
      </w:r>
      <w:r>
        <w:t xml:space="preserve"> in determinations to order backstop procurement, in ways that may not be </w:t>
      </w:r>
      <w:r>
        <w:lastRenderedPageBreak/>
        <w:t xml:space="preserve">able to be readily assessed in theory up front.  </w:t>
      </w:r>
      <w:r w:rsidR="00BC606B">
        <w:t>W</w:t>
      </w:r>
      <w:r>
        <w:t xml:space="preserve">e adopt a structure, but also will require Commission staff to bring forward resolutions for Commission votes if backstop procurement is recommended, to ensure the Commission has a chance to weigh the factors involved and render judgment depending on the </w:t>
      </w:r>
      <w:proofErr w:type="gramStart"/>
      <w:r>
        <w:t>particular circumstances</w:t>
      </w:r>
      <w:proofErr w:type="gramEnd"/>
      <w:r>
        <w:t xml:space="preserve"> that occur </w:t>
      </w:r>
      <w:r w:rsidR="00602315">
        <w:t>as LSEs proceed to acquire additional electric capacity</w:t>
      </w:r>
      <w:r>
        <w:t>.  In this decision, we include general criteria for Commission staff to utilize in bringing forward backstop procurement recommendations.</w:t>
      </w:r>
    </w:p>
    <w:p w:rsidR="00A87D9B" w:rsidP="0013266A" w:rsidRDefault="004E6E8B" w14:paraId="44EC2BF2" w14:textId="0733C74F">
      <w:pPr>
        <w:pStyle w:val="Standard"/>
      </w:pPr>
      <w:r>
        <w:t>The basic structure we adopt is as follows.  Twice a year, on February</w:t>
      </w:r>
      <w:r w:rsidR="00730553">
        <w:t> </w:t>
      </w:r>
      <w:r>
        <w:t>1 and August</w:t>
      </w:r>
      <w:r w:rsidR="00730553">
        <w:t> </w:t>
      </w:r>
      <w:r>
        <w:t xml:space="preserve">1, between 2021 and 2023, each </w:t>
      </w:r>
      <w:r w:rsidR="00EF0DC0">
        <w:t xml:space="preserve">self-providing </w:t>
      </w:r>
      <w:r>
        <w:t xml:space="preserve">LSE </w:t>
      </w:r>
      <w:r w:rsidR="00EF0DC0">
        <w:t xml:space="preserve">(including the IOUs) </w:t>
      </w:r>
      <w:r>
        <w:t xml:space="preserve">will be required to make a compliance filing that includes information about its status </w:t>
      </w:r>
      <w:r w:rsidR="00602315">
        <w:t>in</w:t>
      </w:r>
      <w:r>
        <w:t xml:space="preserve"> </w:t>
      </w:r>
      <w:r w:rsidR="00602315">
        <w:t>procuring</w:t>
      </w:r>
      <w:r>
        <w:t xml:space="preserve"> the capacity required in D.19</w:t>
      </w:r>
      <w:r w:rsidR="00730553">
        <w:noBreakHyphen/>
      </w:r>
      <w:r>
        <w:t>11</w:t>
      </w:r>
      <w:r w:rsidR="00730553">
        <w:noBreakHyphen/>
      </w:r>
      <w:r>
        <w:t xml:space="preserve">016.  </w:t>
      </w:r>
      <w:r w:rsidR="00A87D9B">
        <w:t xml:space="preserve">Thus, each </w:t>
      </w:r>
      <w:r w:rsidR="00642F2F">
        <w:t xml:space="preserve">self-providing </w:t>
      </w:r>
      <w:r w:rsidR="00A87D9B">
        <w:t>LSE will make filings on February</w:t>
      </w:r>
      <w:r w:rsidR="00730553">
        <w:t> </w:t>
      </w:r>
      <w:r w:rsidR="00A87D9B">
        <w:t>1,</w:t>
      </w:r>
      <w:r w:rsidR="00730553">
        <w:t> </w:t>
      </w:r>
      <w:r w:rsidR="00A87D9B">
        <w:t>2021, August</w:t>
      </w:r>
      <w:r w:rsidR="00730553">
        <w:t> </w:t>
      </w:r>
      <w:r w:rsidR="00A87D9B">
        <w:t>1,</w:t>
      </w:r>
      <w:r w:rsidR="00730553">
        <w:t> </w:t>
      </w:r>
      <w:r w:rsidR="00A87D9B">
        <w:t>2021, February</w:t>
      </w:r>
      <w:r w:rsidR="00730553">
        <w:t> </w:t>
      </w:r>
      <w:r w:rsidR="00A87D9B">
        <w:t>1,</w:t>
      </w:r>
      <w:r w:rsidR="00730553">
        <w:t> </w:t>
      </w:r>
      <w:r w:rsidR="00A87D9B">
        <w:t>2022, August</w:t>
      </w:r>
      <w:r w:rsidR="00730553">
        <w:t> </w:t>
      </w:r>
      <w:r w:rsidR="00A87D9B">
        <w:t>1,</w:t>
      </w:r>
      <w:r w:rsidR="00730553">
        <w:t> </w:t>
      </w:r>
      <w:r w:rsidR="00A87D9B">
        <w:t>2022, February</w:t>
      </w:r>
      <w:r w:rsidR="00730553">
        <w:t> </w:t>
      </w:r>
      <w:r w:rsidR="00A87D9B">
        <w:t>1,</w:t>
      </w:r>
      <w:r w:rsidR="00730553">
        <w:t> </w:t>
      </w:r>
      <w:r w:rsidR="00A87D9B">
        <w:t>2023, and August</w:t>
      </w:r>
      <w:r w:rsidR="00730553">
        <w:t> </w:t>
      </w:r>
      <w:r w:rsidR="00A87D9B">
        <w:t>1,</w:t>
      </w:r>
      <w:r w:rsidR="00730553">
        <w:t> </w:t>
      </w:r>
      <w:r w:rsidR="00A87D9B">
        <w:t>2023, detailing the status of its procurement to satisfy the D.19</w:t>
      </w:r>
      <w:r w:rsidR="00730553">
        <w:noBreakHyphen/>
      </w:r>
      <w:r w:rsidR="00A87D9B">
        <w:t>11</w:t>
      </w:r>
      <w:r w:rsidR="00730553">
        <w:noBreakHyphen/>
      </w:r>
      <w:r w:rsidR="00A87D9B">
        <w:t>016 capacity requirements.</w:t>
      </w:r>
    </w:p>
    <w:p w:rsidR="004E6E8B" w:rsidP="0013266A" w:rsidRDefault="00671624" w14:paraId="01D0663B" w14:textId="054F6AF3">
      <w:pPr>
        <w:pStyle w:val="Standard"/>
      </w:pPr>
      <w:r>
        <w:t>These compliance filing requirements supersede the dates included in D.19-11-016</w:t>
      </w:r>
      <w:r w:rsidR="00AF2C86">
        <w:t>, except for the standing IRP procurement filing date of May</w:t>
      </w:r>
      <w:r w:rsidR="000E409F">
        <w:t> </w:t>
      </w:r>
      <w:r w:rsidR="00AF2C86">
        <w:t>1 annually</w:t>
      </w:r>
      <w:r>
        <w:t xml:space="preserve">.  </w:t>
      </w:r>
      <w:r w:rsidR="004E6E8B">
        <w:t>The compliance filing</w:t>
      </w:r>
      <w:r w:rsidR="009C495E">
        <w:t>s</w:t>
      </w:r>
      <w:r w:rsidR="004E6E8B">
        <w:t xml:space="preserve"> shall be filed in this docket, </w:t>
      </w:r>
      <w:proofErr w:type="gramStart"/>
      <w:r w:rsidR="004E6E8B">
        <w:t>and also</w:t>
      </w:r>
      <w:proofErr w:type="gramEnd"/>
      <w:r w:rsidR="004E6E8B">
        <w:t xml:space="preserve"> provided to Commission staff</w:t>
      </w:r>
      <w:r w:rsidR="002C3476">
        <w:t xml:space="preserve"> simultaneously</w:t>
      </w:r>
      <w:r w:rsidR="004E6E8B">
        <w:t>.  Because for many LSEs the filings will necessarily contain contractual information</w:t>
      </w:r>
      <w:r w:rsidR="002C3476">
        <w:t xml:space="preserve"> that is subject to confidential treatment</w:t>
      </w:r>
      <w:r w:rsidR="004E6E8B">
        <w:t xml:space="preserve">, the LSEs may make their compliance filings accompanied by motions to file under </w:t>
      </w:r>
      <w:proofErr w:type="gramStart"/>
      <w:r w:rsidR="004E6E8B">
        <w:t>seal, but</w:t>
      </w:r>
      <w:proofErr w:type="gramEnd"/>
      <w:r w:rsidR="004E6E8B">
        <w:t xml:space="preserve"> must </w:t>
      </w:r>
      <w:r w:rsidR="00A87D9B">
        <w:t xml:space="preserve">justify the request for confidentiality and </w:t>
      </w:r>
      <w:r w:rsidR="004E6E8B">
        <w:t>also include a public version that provides meaningful information about procurement status</w:t>
      </w:r>
      <w:r w:rsidR="00A87D9B">
        <w:t xml:space="preserve"> for each of the three years (2021-2023)</w:t>
      </w:r>
      <w:r w:rsidR="004E6E8B">
        <w:t xml:space="preserve">, </w:t>
      </w:r>
      <w:r w:rsidR="002C3476">
        <w:t xml:space="preserve">at least </w:t>
      </w:r>
      <w:r w:rsidR="00FD62D1">
        <w:t>in</w:t>
      </w:r>
      <w:r w:rsidR="004E6E8B">
        <w:t xml:space="preserve"> aggregate</w:t>
      </w:r>
      <w:r w:rsidR="00FD62D1">
        <w:t>d form</w:t>
      </w:r>
      <w:r w:rsidR="004E6E8B">
        <w:t xml:space="preserve">. </w:t>
      </w:r>
    </w:p>
    <w:p w:rsidR="0027721C" w:rsidP="0013266A" w:rsidRDefault="0027721C" w14:paraId="4089C66E" w14:textId="3DD12968">
      <w:pPr>
        <w:pStyle w:val="Standard"/>
      </w:pPr>
      <w:r>
        <w:t xml:space="preserve">As suggested by SCE and CCSF in comments on the proposed decision, we will require Commission staff to develop and update, from time to time, a </w:t>
      </w:r>
      <w:r>
        <w:lastRenderedPageBreak/>
        <w:t xml:space="preserve">template for the </w:t>
      </w:r>
      <w:proofErr w:type="gramStart"/>
      <w:r>
        <w:t>publicly-available</w:t>
      </w:r>
      <w:proofErr w:type="gramEnd"/>
      <w:r>
        <w:t xml:space="preserve"> contract and/or project information to be included in the compliance filings.  Commission staff will post this template on the Commission’s web site, and provide notice to LSEs and stakeholders as soon as possible, but no later than January 8, 2021. </w:t>
      </w:r>
    </w:p>
    <w:p w:rsidR="0013266A" w:rsidP="0013266A" w:rsidRDefault="00A87D9B" w14:paraId="2F665CB3" w14:textId="1AA30127">
      <w:pPr>
        <w:pStyle w:val="Standard"/>
      </w:pPr>
      <w:r>
        <w:t xml:space="preserve">Unlike Commission staff’s initial proposal, we will </w:t>
      </w:r>
      <w:r w:rsidR="00602315">
        <w:t>requir</w:t>
      </w:r>
      <w:r w:rsidR="00B417FC">
        <w:t>e</w:t>
      </w:r>
      <w:r w:rsidR="00602315">
        <w:t xml:space="preserve"> that</w:t>
      </w:r>
      <w:r>
        <w:t xml:space="preserve"> the showing</w:t>
      </w:r>
      <w:r w:rsidR="00602315">
        <w:t>s</w:t>
      </w:r>
      <w:r>
        <w:t xml:space="preserve"> at each date include information about all three years of procurement requirements beginning February</w:t>
      </w:r>
      <w:r w:rsidR="00730553">
        <w:t> </w:t>
      </w:r>
      <w:r>
        <w:t>1,</w:t>
      </w:r>
      <w:r w:rsidR="00730553">
        <w:t> </w:t>
      </w:r>
      <w:r>
        <w:t xml:space="preserve">2021, to the extent such milestone information is available. </w:t>
      </w:r>
      <w:r w:rsidR="00C15D67">
        <w:t xml:space="preserve"> This is essentially the proposal</w:t>
      </w:r>
      <w:r w:rsidR="0084254C">
        <w:t xml:space="preserve"> in SCE’s comments</w:t>
      </w:r>
      <w:r w:rsidR="00EF0DC0">
        <w:t xml:space="preserve"> for the first milestone</w:t>
      </w:r>
      <w:r w:rsidR="00C15D67">
        <w:t>, as modified by CalCCA’s suggestion to deal with 2021 procurement</w:t>
      </w:r>
      <w:r w:rsidR="00EF0DC0">
        <w:t>, though we are adding requirements to show progress toward all three milestones for all three years in each compliance filing</w:t>
      </w:r>
      <w:r w:rsidR="00C15D67">
        <w:t xml:space="preserve">. </w:t>
      </w:r>
    </w:p>
    <w:p w:rsidR="00A87D9B" w:rsidP="0013266A" w:rsidRDefault="00A87D9B" w14:paraId="6D6EF89E" w14:textId="3D70F304">
      <w:pPr>
        <w:pStyle w:val="Standard"/>
      </w:pPr>
      <w:r>
        <w:t>The milestones will still be defined as suggested by Commission staff, in the following manner:</w:t>
      </w:r>
    </w:p>
    <w:p w:rsidR="00A87D9B" w:rsidP="0013266A" w:rsidRDefault="00A87D9B" w14:paraId="3127C695" w14:textId="2A3C6939">
      <w:pPr>
        <w:pStyle w:val="Standard"/>
      </w:pPr>
      <w:r w:rsidRPr="00A87D9B">
        <w:rPr>
          <w:u w:val="single"/>
        </w:rPr>
        <w:t>Milestone 1</w:t>
      </w:r>
      <w:r>
        <w:t xml:space="preserve">: </w:t>
      </w:r>
      <w:r w:rsidR="00990317">
        <w:t>For real increases via new or expanded net qualifying capacity (NQC) as defined by the California Independent System Operator (CAISO), t</w:t>
      </w:r>
      <w:r w:rsidR="0084254C">
        <w:t xml:space="preserve">his milestone is defined by the LSE </w:t>
      </w:r>
      <w:r w:rsidR="005008B7">
        <w:t>demonstrati</w:t>
      </w:r>
      <w:r w:rsidR="00990317">
        <w:t>ng</w:t>
      </w:r>
      <w:r w:rsidR="005008B7">
        <w:t xml:space="preserve"> </w:t>
      </w:r>
      <w:r w:rsidR="0084254C">
        <w:t xml:space="preserve">having a contract in place with a </w:t>
      </w:r>
      <w:r w:rsidR="005138DB">
        <w:t xml:space="preserve">resource developer </w:t>
      </w:r>
      <w:r w:rsidR="00642F2F">
        <w:t>for the provision of</w:t>
      </w:r>
      <w:r w:rsidR="005138DB">
        <w:t xml:space="preserve"> a </w:t>
      </w:r>
      <w:r w:rsidR="0084254C">
        <w:t xml:space="preserve">commercial technology, </w:t>
      </w:r>
      <w:r w:rsidR="00642F2F">
        <w:t>a</w:t>
      </w:r>
      <w:r w:rsidR="00990317">
        <w:t>n</w:t>
      </w:r>
      <w:r w:rsidR="00642F2F">
        <w:t xml:space="preserve"> </w:t>
      </w:r>
      <w:r w:rsidR="0084254C">
        <w:t xml:space="preserve">interconnection </w:t>
      </w:r>
      <w:r w:rsidR="00990317">
        <w:t xml:space="preserve">agreement </w:t>
      </w:r>
      <w:r w:rsidR="00642F2F">
        <w:t xml:space="preserve">with a demonstrated path </w:t>
      </w:r>
      <w:r w:rsidR="0084254C">
        <w:t>toward deliverability</w:t>
      </w:r>
      <w:r w:rsidR="005138DB">
        <w:t xml:space="preserve"> by the online date required by D.19-11-016</w:t>
      </w:r>
      <w:r w:rsidR="00642F2F">
        <w:t>, signed land leases or title deeds demonstrating project site control, and a project timeline</w:t>
      </w:r>
      <w:r w:rsidR="0084254C">
        <w:t>.  For this milestone, the LSE may also include intended procurement from demand response resources</w:t>
      </w:r>
      <w:r w:rsidR="005008B7">
        <w:t xml:space="preserve"> that will not result in total demand response for the LSE in excess of the resource adequacy program demand response maximum cumulative capacity bucket</w:t>
      </w:r>
      <w:r w:rsidR="0084254C">
        <w:t>, as well as allowable imports, as limited by D.19</w:t>
      </w:r>
      <w:r w:rsidR="00730553">
        <w:noBreakHyphen/>
      </w:r>
      <w:r w:rsidR="0084254C">
        <w:t>11</w:t>
      </w:r>
      <w:r w:rsidR="00730553">
        <w:noBreakHyphen/>
      </w:r>
      <w:r w:rsidR="0084254C">
        <w:t>016 to no more than 20</w:t>
      </w:r>
      <w:r w:rsidR="00730553">
        <w:t> </w:t>
      </w:r>
      <w:r w:rsidR="0084254C">
        <w:t>percent of their requirement in each tranche.</w:t>
      </w:r>
      <w:r w:rsidR="006A311F">
        <w:t xml:space="preserve">  </w:t>
      </w:r>
    </w:p>
    <w:p w:rsidR="0084254C" w:rsidP="0013266A" w:rsidRDefault="0084254C" w14:paraId="4A134507" w14:textId="17C175AD">
      <w:pPr>
        <w:pStyle w:val="Standard"/>
      </w:pPr>
      <w:r w:rsidRPr="0084254C">
        <w:rPr>
          <w:u w:val="single"/>
        </w:rPr>
        <w:lastRenderedPageBreak/>
        <w:t>Milestone 2:</w:t>
      </w:r>
      <w:r>
        <w:t xml:space="preserve"> Meeting this milestone is demonstrated by a showing of a “notice to proceed” or similar contractual evidence of construction commencement for new construction projects</w:t>
      </w:r>
      <w:r w:rsidR="005008B7">
        <w:t xml:space="preserve"> that will result in new NQC as of D.19-11-016 and available by August 1 of each year (2021-2023)</w:t>
      </w:r>
      <w:r>
        <w:t xml:space="preserve">, as well as executed contracts for demand response, imports, </w:t>
      </w:r>
      <w:r w:rsidR="005008B7">
        <w:t>and/</w:t>
      </w:r>
      <w:r>
        <w:t xml:space="preserve">or sales of excess resources between LSEs. </w:t>
      </w:r>
    </w:p>
    <w:p w:rsidR="0084254C" w:rsidP="0013266A" w:rsidRDefault="0084254C" w14:paraId="660F5C95" w14:textId="68601A34">
      <w:pPr>
        <w:pStyle w:val="Standard"/>
      </w:pPr>
      <w:r w:rsidRPr="0084254C">
        <w:rPr>
          <w:u w:val="single"/>
        </w:rPr>
        <w:t>Milestone 3:</w:t>
      </w:r>
      <w:r>
        <w:t xml:space="preserve"> This milestone is defined by evidence of a project being online and capable of delivering energy</w:t>
      </w:r>
      <w:r w:rsidR="00A51BAC">
        <w:t xml:space="preserve">, </w:t>
      </w:r>
      <w:r w:rsidR="00602315">
        <w:t xml:space="preserve">or </w:t>
      </w:r>
      <w:r w:rsidR="00A51BAC">
        <w:t>in the case of demand response,</w:t>
      </w:r>
      <w:r w:rsidR="002851E2">
        <w:t xml:space="preserve"> load reduction</w:t>
      </w:r>
      <w:r>
        <w:t xml:space="preserve">.  </w:t>
      </w:r>
    </w:p>
    <w:p w:rsidR="002851E2" w:rsidP="0013266A" w:rsidRDefault="001C21C4" w14:paraId="2AE567E4" w14:textId="3A7FB221">
      <w:pPr>
        <w:pStyle w:val="Standard"/>
      </w:pPr>
      <w:r>
        <w:t>All LSEs will be required to show evidence of the amount of capacity reaching each milestone</w:t>
      </w:r>
      <w:r w:rsidR="00990317">
        <w:t>, for all three compliance years (2021-2023)</w:t>
      </w:r>
      <w:r>
        <w:t xml:space="preserve"> at each of the six compliance filing deadlines in the next three years.  LSEs should strive to provide as much information to the Commission as possible about contract and project status, to allow an informed determination about the need for backstop procurement as early as possible.</w:t>
      </w:r>
    </w:p>
    <w:p w:rsidR="00990317" w:rsidP="000E409F" w:rsidRDefault="001E358F" w14:paraId="4FAA7326" w14:textId="33619B70">
      <w:pPr>
        <w:pStyle w:val="Standard"/>
        <w:ind w:right="-90"/>
      </w:pPr>
      <w:r>
        <w:t xml:space="preserve">As suggested by CCSF in comments on the proposed decision, once projects have achieved commercial operation, they need only submit information for Milestone 3.  For other projects, </w:t>
      </w:r>
      <w:r w:rsidR="00990317">
        <w:t>LSEs are required to provide information about all milestones for all three years in each compliance filing</w:t>
      </w:r>
      <w:r w:rsidR="00AF2C86">
        <w:t>.</w:t>
      </w:r>
      <w:r w:rsidR="00990317">
        <w:t xml:space="preserve"> </w:t>
      </w:r>
      <w:r w:rsidR="000E409F">
        <w:t xml:space="preserve"> </w:t>
      </w:r>
      <w:r w:rsidR="00990317">
        <w:t xml:space="preserve">Commission staff will evaluate the need for backstop procurement </w:t>
      </w:r>
      <w:r w:rsidR="00184989">
        <w:t xml:space="preserve">to be required by the Commission </w:t>
      </w:r>
      <w:r w:rsidR="00990317">
        <w:t xml:space="preserve">based on progress towards Milestones </w:t>
      </w:r>
      <w:r w:rsidR="005B0E67">
        <w:t xml:space="preserve">1 and </w:t>
      </w:r>
      <w:r w:rsidR="00990317">
        <w:t>2 for the year in which the capacity is required to come online by August 1.  For example, as part of the February</w:t>
      </w:r>
      <w:r w:rsidR="00E5267F">
        <w:t> </w:t>
      </w:r>
      <w:r w:rsidR="00990317">
        <w:t>1,</w:t>
      </w:r>
      <w:r w:rsidR="00E5267F">
        <w:t> </w:t>
      </w:r>
      <w:r w:rsidR="00990317">
        <w:t>2021</w:t>
      </w:r>
      <w:r w:rsidR="00184989">
        <w:t xml:space="preserve"> compliance filing</w:t>
      </w:r>
      <w:r w:rsidR="00990317">
        <w:t xml:space="preserve">, </w:t>
      </w:r>
      <w:r w:rsidR="00184989">
        <w:t xml:space="preserve">an </w:t>
      </w:r>
      <w:r w:rsidR="00990317">
        <w:t xml:space="preserve">LSE </w:t>
      </w:r>
      <w:r w:rsidR="005B0E67">
        <w:t xml:space="preserve">may </w:t>
      </w:r>
      <w:r w:rsidR="00990317">
        <w:t xml:space="preserve">include information showing that </w:t>
      </w:r>
      <w:r w:rsidR="00184989">
        <w:t>it</w:t>
      </w:r>
      <w:r w:rsidR="00990317">
        <w:t xml:space="preserve"> do</w:t>
      </w:r>
      <w:r w:rsidR="00184989">
        <w:t>es</w:t>
      </w:r>
      <w:r w:rsidR="00990317">
        <w:t xml:space="preserve"> not have enough capacity </w:t>
      </w:r>
      <w:r w:rsidR="005B0E67">
        <w:t>under contract and</w:t>
      </w:r>
      <w:r w:rsidR="00990317">
        <w:t xml:space="preserve"> with a “notice to proceed” to meet </w:t>
      </w:r>
      <w:r w:rsidR="00184989">
        <w:t>its</w:t>
      </w:r>
      <w:r w:rsidR="00990317">
        <w:t xml:space="preserve"> August</w:t>
      </w:r>
      <w:r w:rsidR="00E5267F">
        <w:t> </w:t>
      </w:r>
      <w:r w:rsidR="00990317">
        <w:t>1,</w:t>
      </w:r>
      <w:r w:rsidR="00E5267F">
        <w:t> </w:t>
      </w:r>
      <w:r w:rsidR="00990317">
        <w:t>2022 capacity obligation</w:t>
      </w:r>
      <w:r w:rsidR="00184989">
        <w:t>.  B</w:t>
      </w:r>
      <w:r w:rsidR="00990317">
        <w:t xml:space="preserve">ut that </w:t>
      </w:r>
      <w:r w:rsidR="005B0E67">
        <w:t>situation</w:t>
      </w:r>
      <w:r w:rsidR="00990317">
        <w:t xml:space="preserve"> will only result in a </w:t>
      </w:r>
      <w:r w:rsidR="00990317">
        <w:lastRenderedPageBreak/>
        <w:t>recommendation for backstop procurement if the same deficiency</w:t>
      </w:r>
      <w:r w:rsidR="00184989">
        <w:t xml:space="preserve"> for the August</w:t>
      </w:r>
      <w:r w:rsidR="000E409F">
        <w:t> </w:t>
      </w:r>
      <w:r w:rsidR="00184989">
        <w:t>1,</w:t>
      </w:r>
      <w:r w:rsidR="000E409F">
        <w:t> </w:t>
      </w:r>
      <w:r w:rsidR="00184989">
        <w:t>2022 required capacity</w:t>
      </w:r>
      <w:r w:rsidR="00990317">
        <w:t xml:space="preserve"> still exists in the February 1, 2022 compliance filing. </w:t>
      </w:r>
    </w:p>
    <w:p w:rsidR="001C21C4" w:rsidP="0013266A" w:rsidRDefault="001C21C4" w14:paraId="19149A64" w14:textId="7FB96C64">
      <w:pPr>
        <w:pStyle w:val="Standard"/>
      </w:pPr>
      <w:r>
        <w:t>We will also slightly modify the staff proposal for when backstop procurement may be triggered, and how.  In terms of when, there will be a total of four dates which may trigger backstop procurement requirements of IOUs</w:t>
      </w:r>
      <w:r w:rsidR="007920A1">
        <w:t xml:space="preserve">.  </w:t>
      </w:r>
    </w:p>
    <w:p w:rsidR="007920A1" w:rsidP="0013266A" w:rsidRDefault="007920A1" w14:paraId="12B6AFBC" w14:textId="07802C52">
      <w:pPr>
        <w:pStyle w:val="Standard"/>
      </w:pPr>
      <w:r>
        <w:t>The four dates on which backstop procurement may be triggered are after each of the February</w:t>
      </w:r>
      <w:r w:rsidR="00730553">
        <w:t> </w:t>
      </w:r>
      <w:r>
        <w:t>1 compliance filings required over the next three</w:t>
      </w:r>
      <w:r w:rsidR="00730553">
        <w:t> </w:t>
      </w:r>
      <w:r>
        <w:t xml:space="preserve">years, and a fourth trigger point </w:t>
      </w:r>
      <w:proofErr w:type="gramStart"/>
      <w:r>
        <w:t>at</w:t>
      </w:r>
      <w:proofErr w:type="gramEnd"/>
      <w:r>
        <w:t xml:space="preserve"> August</w:t>
      </w:r>
      <w:r w:rsidR="00730553">
        <w:t> </w:t>
      </w:r>
      <w:r>
        <w:t>1,</w:t>
      </w:r>
      <w:r w:rsidR="00730553">
        <w:t> </w:t>
      </w:r>
      <w:r>
        <w:t>2023, to address any procurement that has not been achieved as of that date, for all of the required 3,300</w:t>
      </w:r>
      <w:r w:rsidR="00730553">
        <w:t> </w:t>
      </w:r>
      <w:r>
        <w:t>MW of capacity ordered in D.19</w:t>
      </w:r>
      <w:r w:rsidR="00730553">
        <w:noBreakHyphen/>
      </w:r>
      <w:r>
        <w:t>11</w:t>
      </w:r>
      <w:r w:rsidR="00730553">
        <w:noBreakHyphen/>
      </w:r>
      <w:r>
        <w:t>016.</w:t>
      </w:r>
      <w:r w:rsidR="00602315">
        <w:t xml:space="preserve">  </w:t>
      </w:r>
      <w:r w:rsidR="006510FF">
        <w:t>We choose these trigger points because it will likely be unreasonable and unre</w:t>
      </w:r>
      <w:r w:rsidR="00ED47CF">
        <w:t>a</w:t>
      </w:r>
      <w:r w:rsidR="006510FF">
        <w:t xml:space="preserve">listic to have IOUs conducting </w:t>
      </w:r>
      <w:r w:rsidR="0026223B">
        <w:t xml:space="preserve">multiple </w:t>
      </w:r>
      <w:r w:rsidR="005138DB">
        <w:t>requests for offers (</w:t>
      </w:r>
      <w:r w:rsidR="006510FF">
        <w:t>RFOs</w:t>
      </w:r>
      <w:r w:rsidR="005138DB">
        <w:t>)</w:t>
      </w:r>
      <w:r w:rsidR="006510FF">
        <w:t xml:space="preserve"> per year for purposes of this backstop requirement, in addition to their regular capacity procurement </w:t>
      </w:r>
      <w:r w:rsidR="00ED47CF">
        <w:t xml:space="preserve">to serve their own load </w:t>
      </w:r>
      <w:r w:rsidR="006510FF">
        <w:t xml:space="preserve">during this time period.  At the same time, there will be a need to ensure that enough capacity is procured </w:t>
      </w:r>
      <w:r w:rsidR="00ED47CF">
        <w:t>to achieve the requirements of D.19</w:t>
      </w:r>
      <w:r w:rsidR="00730553">
        <w:noBreakHyphen/>
      </w:r>
      <w:r w:rsidR="00ED47CF">
        <w:t>11</w:t>
      </w:r>
      <w:r w:rsidR="00730553">
        <w:noBreakHyphen/>
      </w:r>
      <w:r w:rsidR="00ED47CF">
        <w:t>016 in the end.  Therefore, the fourth trigger may be considered a true-up or clean-up of previous procurement efforts that may not have achieved their full requirement levels.</w:t>
      </w:r>
    </w:p>
    <w:p w:rsidR="007920A1" w:rsidP="0013266A" w:rsidRDefault="00AA1E86" w14:paraId="2EE90F3F" w14:textId="47CD35C1">
      <w:pPr>
        <w:pStyle w:val="Standard"/>
      </w:pPr>
      <w:r>
        <w:t xml:space="preserve">Backstop procurement will be triggered by Commission staff reviewing the compliance filing showings of all </w:t>
      </w:r>
      <w:r w:rsidR="005138DB">
        <w:t xml:space="preserve">self-providing </w:t>
      </w:r>
      <w:proofErr w:type="gramStart"/>
      <w:r>
        <w:t>LSEs, and</w:t>
      </w:r>
      <w:proofErr w:type="gramEnd"/>
      <w:r>
        <w:t xml:space="preserve"> bringing a resolution on its own motion before the Commission to require a certain amount of backstop procurement.  The resolution brough</w:t>
      </w:r>
      <w:r w:rsidR="005138DB">
        <w:t>t</w:t>
      </w:r>
      <w:r>
        <w:t xml:space="preserve"> by Commission staff will specify the amount of backstop procurement required</w:t>
      </w:r>
      <w:r w:rsidR="005138DB">
        <w:t xml:space="preserve"> of a particular IOU</w:t>
      </w:r>
      <w:r>
        <w:t>, on behalf of which LSE, and for which of the three tranches (2021, 2022, or 2023).</w:t>
      </w:r>
      <w:r w:rsidR="00C1589F">
        <w:t xml:space="preserve">  We are selecting this approach because it balances the need for a relatively quick </w:t>
      </w:r>
      <w:r w:rsidR="00C1589F">
        <w:lastRenderedPageBreak/>
        <w:t>turnaround analysis with the importance of having the full Commission weigh in on requiring backstop procurement, since it will be difficult to anticipate completely up front the kinds of issues that may be raised by the LSEs’ compliance filings.</w:t>
      </w:r>
    </w:p>
    <w:p w:rsidR="00922B03" w:rsidP="0013266A" w:rsidRDefault="009C495E" w14:paraId="4350EE16" w14:textId="65F19560">
      <w:pPr>
        <w:pStyle w:val="Standard"/>
      </w:pPr>
      <w:r>
        <w:t>We are not adopting, as recommended by several parties, automatic extensions of between two weeks and three months.  Rather, Commission staff will evaluate individual circumstances of specific LSEs and specific contracts and recommend to the Commission whether backstop procurement is warranted or whether LSEs should be allowed to continue pursuing contracts that are slightly but reasonably delayed.</w:t>
      </w:r>
      <w:r w:rsidR="007B0BA3">
        <w:t xml:space="preserve">  </w:t>
      </w:r>
      <w:r w:rsidR="00922B03">
        <w:t xml:space="preserve">Commission staff may make such determinations public, but staff do not need to make a formal written determination to accept a delay as </w:t>
      </w:r>
      <w:r w:rsidR="00495047">
        <w:t xml:space="preserve">reasonable and </w:t>
      </w:r>
      <w:r w:rsidR="00922B03">
        <w:t xml:space="preserve">warranted.  Instead, staff’s failure to introduce a </w:t>
      </w:r>
      <w:r w:rsidR="00495047">
        <w:t>r</w:t>
      </w:r>
      <w:r w:rsidR="00922B03">
        <w:t xml:space="preserve">esolution for Commission consideration ordering backstop procurement will serve as acceptance of the identified delay.  </w:t>
      </w:r>
    </w:p>
    <w:p w:rsidR="00B806FE" w:rsidP="0013266A" w:rsidRDefault="00B806FE" w14:paraId="7FFC6414" w14:textId="0C2E64D5">
      <w:pPr>
        <w:pStyle w:val="Standard"/>
      </w:pPr>
      <w:r>
        <w:t>We also make explicit, as requested by AWEA in comments on the proposed decision, that a resource that is delayed in one year</w:t>
      </w:r>
      <w:r w:rsidR="00EE3993">
        <w:t xml:space="preserve">, even if backstop procurement is triggered to cover the shortfall, </w:t>
      </w:r>
      <w:r>
        <w:t xml:space="preserve">will still </w:t>
      </w:r>
      <w:r w:rsidR="00BC606B">
        <w:t xml:space="preserve">be allowed to </w:t>
      </w:r>
      <w:r>
        <w:t xml:space="preserve">count toward procurement requirements in later years, assuming it comes online before the next annual deadline. </w:t>
      </w:r>
    </w:p>
    <w:p w:rsidR="009C495E" w:rsidP="0013266A" w:rsidRDefault="007B0BA3" w14:paraId="4A795E32" w14:textId="0B57D346">
      <w:pPr>
        <w:pStyle w:val="Standard"/>
      </w:pPr>
      <w:r>
        <w:t xml:space="preserve">Likewise, we will not make a blanket determination at the outset about whether “partial” backstop procurement will be triggered or not.  Because we are providing for multiple trigger dates, it is likely that “partial” backstop will occur in the case of some LSEs, perhaps for some years and not others, depending on the progress of individual procurement efforts.  </w:t>
      </w:r>
    </w:p>
    <w:p w:rsidR="00AA1E86" w:rsidP="0013266A" w:rsidRDefault="009B3F31" w14:paraId="2B300C86" w14:textId="06598536">
      <w:pPr>
        <w:pStyle w:val="Standard"/>
      </w:pPr>
      <w:r>
        <w:lastRenderedPageBreak/>
        <w:t>On</w:t>
      </w:r>
      <w:r w:rsidR="00E818F3">
        <w:t>c</w:t>
      </w:r>
      <w:r>
        <w:t xml:space="preserve">e the Commission </w:t>
      </w:r>
      <w:r w:rsidR="00DB6AC4">
        <w:t xml:space="preserve">evaluates Commission staff’s recommendations and </w:t>
      </w:r>
      <w:r>
        <w:t xml:space="preserve">adopts a resolution requiring backstop procurement amounts </w:t>
      </w:r>
      <w:r w:rsidR="004D5833">
        <w:t xml:space="preserve">for </w:t>
      </w:r>
      <w:r>
        <w:t>any IOU, that IOU will be required to initiate a</w:t>
      </w:r>
      <w:r w:rsidR="005138DB">
        <w:t>n</w:t>
      </w:r>
      <w:r>
        <w:t xml:space="preserve"> RFO no later than 60</w:t>
      </w:r>
      <w:r w:rsidR="00730553">
        <w:t> </w:t>
      </w:r>
      <w:r>
        <w:t xml:space="preserve">days after the Commission issues the resolution.  </w:t>
      </w:r>
      <w:r w:rsidR="00C1589F">
        <w:t>Several parties asked for a 30</w:t>
      </w:r>
      <w:r w:rsidR="00730553">
        <w:noBreakHyphen/>
      </w:r>
      <w:r w:rsidR="00C1589F">
        <w:t>day requirement; the IOUs preferred no deadline, so 60</w:t>
      </w:r>
      <w:r w:rsidR="00730553">
        <w:t> </w:t>
      </w:r>
      <w:r w:rsidR="00C1589F">
        <w:t xml:space="preserve">days is a reasonable compromise.  </w:t>
      </w:r>
      <w:r w:rsidR="00602315">
        <w:t>The except</w:t>
      </w:r>
      <w:r w:rsidR="00C1589F">
        <w:t>ion</w:t>
      </w:r>
      <w:r w:rsidR="00602315">
        <w:t xml:space="preserve"> to this requirement </w:t>
      </w:r>
      <w:r w:rsidR="005138DB">
        <w:t xml:space="preserve">to issue an RFO </w:t>
      </w:r>
      <w:r w:rsidR="00602315">
        <w:t>will be for the fourth and final trigger, where an IOU may choose to initiate a new RFO or possibly pick or negotiate with additional offers from a prior RFO to round out any procurement required after August</w:t>
      </w:r>
      <w:r w:rsidR="00730553">
        <w:t> </w:t>
      </w:r>
      <w:r w:rsidR="00602315">
        <w:t>1,</w:t>
      </w:r>
      <w:r w:rsidR="00730553">
        <w:t> </w:t>
      </w:r>
      <w:r w:rsidR="00602315">
        <w:t>2023</w:t>
      </w:r>
      <w:r w:rsidR="005138DB">
        <w:t>, to be online by Summer 2024</w:t>
      </w:r>
      <w:r w:rsidR="00602315">
        <w:t>.</w:t>
      </w:r>
    </w:p>
    <w:p w:rsidR="00602315" w:rsidP="0013266A" w:rsidRDefault="00602315" w14:paraId="5F1B3E4B" w14:textId="5982CB4D">
      <w:pPr>
        <w:pStyle w:val="Standard"/>
      </w:pPr>
      <w:r>
        <w:t xml:space="preserve">Any RFO issued by an IOU to select backstop procurement should target capacity being in place by summer of the following year.  </w:t>
      </w:r>
      <w:proofErr w:type="gramStart"/>
      <w:r>
        <w:t>So</w:t>
      </w:r>
      <w:proofErr w:type="gramEnd"/>
      <w:r>
        <w:t xml:space="preserve"> for example, if after the February</w:t>
      </w:r>
      <w:r w:rsidR="00730553">
        <w:t> </w:t>
      </w:r>
      <w:r>
        <w:t>1,</w:t>
      </w:r>
      <w:r w:rsidR="00730553">
        <w:t> </w:t>
      </w:r>
      <w:r>
        <w:t>2021 trigger date the Commission adopts a resolution by May</w:t>
      </w:r>
      <w:r w:rsidR="00730553">
        <w:t> </w:t>
      </w:r>
      <w:r>
        <w:t>2021 requiring a certain amount of backstop procurement, the RFO will be required to be issued by July</w:t>
      </w:r>
      <w:r w:rsidR="00922B03">
        <w:t xml:space="preserve"> 2021</w:t>
      </w:r>
      <w:r>
        <w:t>, for deliveries to begin during the summer of 2022.  The IOUs conducting the backstop procurement will have some discretion to adjust the timing of the deliveries depending on the offers received and their costs</w:t>
      </w:r>
      <w:r w:rsidR="009C08B0">
        <w:t xml:space="preserve">, </w:t>
      </w:r>
      <w:r w:rsidR="00BE0CE5">
        <w:t>to avoid raising costs unnecessarily or too narrowly constraining the types of projects that can reasonably compete to deliver the capacity</w:t>
      </w:r>
      <w:r w:rsidR="009C08B0">
        <w:t>.</w:t>
      </w:r>
      <w:r w:rsidR="00922B03">
        <w:t xml:space="preserve">  The backstop procurement costs will be the full responsibility of the </w:t>
      </w:r>
      <w:r w:rsidR="00495047">
        <w:t>deficient</w:t>
      </w:r>
      <w:r w:rsidR="00922B03">
        <w:t xml:space="preserve"> LSE for the duration of the contract.</w:t>
      </w:r>
    </w:p>
    <w:p w:rsidR="009B3F31" w:rsidP="0013266A" w:rsidRDefault="00602315" w14:paraId="3959DB32" w14:textId="09BE401D">
      <w:pPr>
        <w:pStyle w:val="Standard"/>
      </w:pPr>
      <w:r>
        <w:t>Also g</w:t>
      </w:r>
      <w:r w:rsidR="004B63E8">
        <w:t xml:space="preserve">enerally speaking, </w:t>
      </w:r>
      <w:r w:rsidR="00495047">
        <w:t xml:space="preserve">as discussed above, </w:t>
      </w:r>
      <w:r w:rsidR="00922B03">
        <w:t xml:space="preserve">Milestone 2 and 3 </w:t>
      </w:r>
      <w:r w:rsidR="004B63E8">
        <w:t>trigger</w:t>
      </w:r>
      <w:r w:rsidR="00922B03">
        <w:t>s</w:t>
      </w:r>
      <w:r w:rsidR="004B63E8">
        <w:t xml:space="preserve"> of backstop procurement requirements will be for the tranche of procurement required by August</w:t>
      </w:r>
      <w:r w:rsidR="00730553">
        <w:t> </w:t>
      </w:r>
      <w:r w:rsidR="004B63E8">
        <w:t xml:space="preserve">1 of the year in which the showing is made and not for subsequent years.  However, Commission staff will review </w:t>
      </w:r>
      <w:proofErr w:type="gramStart"/>
      <w:r w:rsidR="004B63E8">
        <w:t>all of</w:t>
      </w:r>
      <w:proofErr w:type="gramEnd"/>
      <w:r w:rsidR="004B63E8">
        <w:t xml:space="preserve"> the materials provided by all LSEs</w:t>
      </w:r>
      <w:r w:rsidR="00BE0CE5">
        <w:t xml:space="preserve"> on each compliance filing date</w:t>
      </w:r>
      <w:r w:rsidR="004B63E8">
        <w:t xml:space="preserve">, and if there are systematic </w:t>
      </w:r>
      <w:r w:rsidR="004B63E8">
        <w:lastRenderedPageBreak/>
        <w:t>issues with particular LSEs and/or if an LSE itself requests additional backstop assistance</w:t>
      </w:r>
      <w:r w:rsidR="006510FF">
        <w:t xml:space="preserve"> covering additional years</w:t>
      </w:r>
      <w:r w:rsidR="004B63E8">
        <w:t xml:space="preserve">, Commission staff will have the discretion to recommend backstop procurement for future years based on the information available in the most recent compliance filing. </w:t>
      </w:r>
    </w:p>
    <w:p w:rsidR="008C035E" w:rsidP="0013266A" w:rsidRDefault="008C035E" w14:paraId="5B5623FE" w14:textId="058D5251">
      <w:pPr>
        <w:pStyle w:val="Standard"/>
      </w:pPr>
      <w:r>
        <w:t xml:space="preserve">We also note that the absence of a backstop trigger on the August 1 compliance dated required in </w:t>
      </w:r>
      <w:r w:rsidR="00EE3993">
        <w:t>D</w:t>
      </w:r>
      <w:r>
        <w:t xml:space="preserve">.19-11-016 for each of the years 2021-2023 does not relieve any LSE of its obligation to comply with D.19-11-016.  The </w:t>
      </w:r>
      <w:r w:rsidR="00EE3993">
        <w:t>C</w:t>
      </w:r>
      <w:r>
        <w:t xml:space="preserve">ommission may still initiate compliance and/or enforcement actions regardless of </w:t>
      </w:r>
      <w:proofErr w:type="gramStart"/>
      <w:r>
        <w:t>whether or not</w:t>
      </w:r>
      <w:proofErr w:type="gramEnd"/>
      <w:r>
        <w:t xml:space="preserve"> backstop procurement is triggered to be conducted by an IOU by the terms of this decision. </w:t>
      </w:r>
    </w:p>
    <w:p w:rsidR="004B63E8" w:rsidP="0013266A" w:rsidRDefault="00211933" w14:paraId="0E1B5A03" w14:textId="613FA98C">
      <w:pPr>
        <w:pStyle w:val="Standard"/>
      </w:pPr>
      <w:r>
        <w:t xml:space="preserve">Other criteria that Commission staff </w:t>
      </w:r>
      <w:r w:rsidR="006510FF">
        <w:t>will</w:t>
      </w:r>
      <w:r>
        <w:t xml:space="preserve"> use to evaluate the showings of each LSE include the following categories and factors:</w:t>
      </w:r>
    </w:p>
    <w:p w:rsidRPr="00211933" w:rsidR="00211933" w:rsidP="00760A41" w:rsidRDefault="00211933" w14:paraId="0912B838" w14:textId="5A94A2BA">
      <w:pPr>
        <w:pStyle w:val="Standard"/>
        <w:keepNext/>
        <w:keepLines/>
        <w:rPr>
          <w:u w:val="single"/>
        </w:rPr>
      </w:pPr>
      <w:r w:rsidRPr="00211933">
        <w:rPr>
          <w:u w:val="single"/>
        </w:rPr>
        <w:t xml:space="preserve">Resource-specific </w:t>
      </w:r>
      <w:r>
        <w:rPr>
          <w:u w:val="single"/>
        </w:rPr>
        <w:t>considerations</w:t>
      </w:r>
      <w:r w:rsidRPr="00211933">
        <w:rPr>
          <w:u w:val="single"/>
        </w:rPr>
        <w:t>:</w:t>
      </w:r>
    </w:p>
    <w:p w:rsidR="00BA0FBC" w:rsidP="00721419" w:rsidRDefault="005138DB" w14:paraId="10A19D3D" w14:textId="62AE44AB">
      <w:pPr>
        <w:pStyle w:val="Standard"/>
        <w:keepNext/>
        <w:keepLines/>
        <w:numPr>
          <w:ilvl w:val="0"/>
          <w:numId w:val="11"/>
        </w:numPr>
        <w:spacing w:after="120" w:line="240" w:lineRule="auto"/>
        <w:ind w:left="1440" w:right="1440"/>
      </w:pPr>
      <w:r>
        <w:t>Whether there is complete c</w:t>
      </w:r>
      <w:r w:rsidR="00211933">
        <w:t>ontract failure or delay</w:t>
      </w:r>
    </w:p>
    <w:p w:rsidR="00211933" w:rsidP="00721419" w:rsidRDefault="00211933" w14:paraId="5990CDF8" w14:textId="1B17E579">
      <w:pPr>
        <w:pStyle w:val="Standard"/>
        <w:numPr>
          <w:ilvl w:val="0"/>
          <w:numId w:val="11"/>
        </w:numPr>
        <w:spacing w:after="120" w:line="240" w:lineRule="auto"/>
        <w:ind w:left="1440" w:right="1440"/>
      </w:pPr>
      <w:r>
        <w:t>Length of delay estimated</w:t>
      </w:r>
    </w:p>
    <w:p w:rsidR="00211933" w:rsidP="00721419" w:rsidRDefault="00211933" w14:paraId="7ECB14AA" w14:textId="31B5CE8A">
      <w:pPr>
        <w:pStyle w:val="Standard"/>
        <w:numPr>
          <w:ilvl w:val="0"/>
          <w:numId w:val="11"/>
        </w:numPr>
        <w:spacing w:after="120" w:line="240" w:lineRule="auto"/>
        <w:ind w:left="1440" w:right="1440"/>
      </w:pPr>
      <w:r>
        <w:t>Whether a project has failed to meet multiple milestones</w:t>
      </w:r>
    </w:p>
    <w:p w:rsidR="00A4145B" w:rsidP="00721419" w:rsidRDefault="00A4145B" w14:paraId="6BA55841" w14:textId="16619B71">
      <w:pPr>
        <w:pStyle w:val="Standard"/>
        <w:numPr>
          <w:ilvl w:val="0"/>
          <w:numId w:val="11"/>
        </w:numPr>
        <w:spacing w:after="120" w:line="240" w:lineRule="auto"/>
        <w:ind w:left="1440" w:right="1440"/>
      </w:pPr>
      <w:r>
        <w:t xml:space="preserve">Whether the delay is related to interconnection or transmission </w:t>
      </w:r>
    </w:p>
    <w:p w:rsidR="00211933" w:rsidP="00721419" w:rsidRDefault="00211933" w14:paraId="26C1422D" w14:textId="18756B62">
      <w:pPr>
        <w:pStyle w:val="Standard"/>
        <w:numPr>
          <w:ilvl w:val="0"/>
          <w:numId w:val="11"/>
        </w:numPr>
        <w:spacing w:after="120" w:line="240" w:lineRule="auto"/>
        <w:ind w:left="1440" w:right="1440"/>
      </w:pPr>
      <w:r>
        <w:t>Project stage</w:t>
      </w:r>
      <w:r w:rsidR="005138DB">
        <w:t xml:space="preserve"> of development</w:t>
      </w:r>
    </w:p>
    <w:p w:rsidR="00211933" w:rsidP="00721419" w:rsidRDefault="00211933" w14:paraId="5C803ED8" w14:textId="0D334163">
      <w:pPr>
        <w:pStyle w:val="Standard"/>
        <w:numPr>
          <w:ilvl w:val="0"/>
          <w:numId w:val="11"/>
        </w:numPr>
        <w:spacing w:after="120" w:line="240" w:lineRule="auto"/>
        <w:ind w:left="1440" w:right="1440"/>
      </w:pPr>
      <w:r>
        <w:t>Quality of LSE or developer remediation plan (including diagnosis for the delay/failure and achievable mitigation steps, backed up by evidence)</w:t>
      </w:r>
    </w:p>
    <w:p w:rsidRPr="00211933" w:rsidR="00211933" w:rsidP="00760A41" w:rsidRDefault="00211933" w14:paraId="02603B0D" w14:textId="0C15B3FA">
      <w:pPr>
        <w:pStyle w:val="Standard"/>
        <w:keepNext/>
        <w:keepLines/>
        <w:rPr>
          <w:u w:val="single"/>
        </w:rPr>
      </w:pPr>
      <w:r w:rsidRPr="00211933">
        <w:rPr>
          <w:u w:val="single"/>
        </w:rPr>
        <w:t>LSE</w:t>
      </w:r>
      <w:r>
        <w:rPr>
          <w:u w:val="single"/>
        </w:rPr>
        <w:t>-</w:t>
      </w:r>
      <w:r w:rsidRPr="00211933">
        <w:rPr>
          <w:u w:val="single"/>
        </w:rPr>
        <w:t xml:space="preserve">specific </w:t>
      </w:r>
      <w:r>
        <w:rPr>
          <w:u w:val="single"/>
        </w:rPr>
        <w:t>considerations</w:t>
      </w:r>
      <w:r w:rsidRPr="00211933">
        <w:rPr>
          <w:u w:val="single"/>
        </w:rPr>
        <w:t>:</w:t>
      </w:r>
    </w:p>
    <w:p w:rsidR="00211933" w:rsidP="00721419" w:rsidRDefault="00211933" w14:paraId="5627D679" w14:textId="162B4118">
      <w:pPr>
        <w:pStyle w:val="Standard"/>
        <w:keepNext/>
        <w:keepLines/>
        <w:numPr>
          <w:ilvl w:val="0"/>
          <w:numId w:val="11"/>
        </w:numPr>
        <w:spacing w:after="120" w:line="240" w:lineRule="auto"/>
        <w:ind w:left="1440" w:right="1440"/>
      </w:pPr>
      <w:r>
        <w:t>Pattern of success in meeting previous milestones</w:t>
      </w:r>
    </w:p>
    <w:p w:rsidR="00211933" w:rsidP="00721419" w:rsidRDefault="00211933" w14:paraId="146CF51C" w14:textId="678CBB83">
      <w:pPr>
        <w:pStyle w:val="Standard"/>
        <w:numPr>
          <w:ilvl w:val="0"/>
          <w:numId w:val="11"/>
        </w:numPr>
        <w:spacing w:after="120" w:line="240" w:lineRule="auto"/>
        <w:ind w:left="1440" w:right="1440"/>
      </w:pPr>
      <w:r>
        <w:t>Quality of mitigation or remediation plan</w:t>
      </w:r>
    </w:p>
    <w:p w:rsidR="00211933" w:rsidP="00721419" w:rsidRDefault="00211933" w14:paraId="1D028016" w14:textId="4294E64A">
      <w:pPr>
        <w:pStyle w:val="Standard"/>
        <w:numPr>
          <w:ilvl w:val="0"/>
          <w:numId w:val="11"/>
        </w:numPr>
        <w:spacing w:after="120" w:line="240" w:lineRule="auto"/>
        <w:ind w:left="1440" w:right="1440"/>
      </w:pPr>
      <w:r>
        <w:t>Thoroughness of documentation</w:t>
      </w:r>
    </w:p>
    <w:p w:rsidR="005421DF" w:rsidP="0013266A" w:rsidRDefault="005421DF" w14:paraId="3AFA7B08" w14:textId="5F3735EE">
      <w:pPr>
        <w:pStyle w:val="Standard"/>
      </w:pPr>
      <w:r>
        <w:lastRenderedPageBreak/>
        <w:t xml:space="preserve">The above factors are not a complete </w:t>
      </w:r>
      <w:proofErr w:type="gramStart"/>
      <w:r>
        <w:t>list, but</w:t>
      </w:r>
      <w:proofErr w:type="gramEnd"/>
      <w:r>
        <w:t xml:space="preserve"> represent an indicative set of criteria that should be looked at when recommending a determination for backstop procurement being required</w:t>
      </w:r>
      <w:r w:rsidR="009C1E0F">
        <w:t xml:space="preserve"> by the Commission</w:t>
      </w:r>
      <w:r>
        <w:t xml:space="preserve">. </w:t>
      </w:r>
    </w:p>
    <w:p w:rsidR="006510FF" w:rsidP="0013266A" w:rsidRDefault="006510FF" w14:paraId="70FEA645" w14:textId="255EAB51">
      <w:pPr>
        <w:pStyle w:val="Standard"/>
      </w:pPr>
      <w:r>
        <w:t>Commission staff will also check information included in the first compliance filing (February</w:t>
      </w:r>
      <w:r w:rsidR="007608EC">
        <w:t> </w:t>
      </w:r>
      <w:r>
        <w:t>1,</w:t>
      </w:r>
      <w:r w:rsidR="007608EC">
        <w:t> </w:t>
      </w:r>
      <w:r>
        <w:t>2021) against information included in individual IRP filings on September</w:t>
      </w:r>
      <w:r w:rsidR="007608EC">
        <w:t> </w:t>
      </w:r>
      <w:r>
        <w:t>1,</w:t>
      </w:r>
      <w:r w:rsidR="007608EC">
        <w:t> </w:t>
      </w:r>
      <w:r>
        <w:t>2020, or subsequently updated</w:t>
      </w:r>
      <w:r w:rsidR="009C1E0F">
        <w:t xml:space="preserve"> in their resource data templates required with their individual IRPs</w:t>
      </w:r>
      <w:r>
        <w:t>.  If there are discrepancies or inconsistencies after cross-checking</w:t>
      </w:r>
      <w:r w:rsidR="009C1E0F">
        <w:t xml:space="preserve"> and reviewing the attestations by each LSE’s senior executive</w:t>
      </w:r>
      <w:r>
        <w:t xml:space="preserve">, </w:t>
      </w:r>
      <w:r w:rsidR="005138DB">
        <w:t>C</w:t>
      </w:r>
      <w:r>
        <w:t xml:space="preserve">ommission staff will request that LSEs submit </w:t>
      </w:r>
      <w:r w:rsidR="005138DB">
        <w:t xml:space="preserve">explanatory </w:t>
      </w:r>
      <w:r>
        <w:t xml:space="preserve">documentation.  </w:t>
      </w:r>
    </w:p>
    <w:p w:rsidR="0084254C" w:rsidP="00A72AA7" w:rsidRDefault="00EB7222" w14:paraId="5BF3EEE7" w14:textId="053C8426">
      <w:pPr>
        <w:pStyle w:val="Standard"/>
      </w:pPr>
      <w:r>
        <w:t>Once the Commission has adopted a resolution to require backstop procurement by an IOU, the IOU</w:t>
      </w:r>
      <w:r w:rsidR="005138DB">
        <w:t>’</w:t>
      </w:r>
      <w:r>
        <w:t xml:space="preserve">s costs of procuring the backstop procurement, along with its administrative costs in conducting the backstop procurement, will be allocated in the CAM-like fashion to be detailed in a subsequent decision.  </w:t>
      </w:r>
      <w:r w:rsidR="009E1B0C">
        <w:t>The original LSE on whose behalf the IOU is undertaking backstop procurement may, of course, continue to procure</w:t>
      </w:r>
      <w:r w:rsidR="00A72AA7">
        <w:t xml:space="preserve"> electric capacity on </w:t>
      </w:r>
      <w:r w:rsidR="00BD0667">
        <w:t xml:space="preserve">its </w:t>
      </w:r>
      <w:r w:rsidR="00A72AA7">
        <w:t>own</w:t>
      </w:r>
      <w:r w:rsidR="009E1B0C">
        <w:t xml:space="preserve">, but once the backstop procurement is authorized/required by the Commission, the IOU is obligated to follow through and </w:t>
      </w:r>
      <w:r w:rsidR="00193C5F">
        <w:t xml:space="preserve">will </w:t>
      </w:r>
      <w:r w:rsidR="009E1B0C">
        <w:t>have its costs recovered for the length of the contract period for the resources procured.</w:t>
      </w:r>
      <w:r w:rsidR="006510FF">
        <w:t xml:space="preserve">  This is to </w:t>
      </w:r>
      <w:r w:rsidR="005138DB">
        <w:t xml:space="preserve">reduce the risk </w:t>
      </w:r>
      <w:r w:rsidR="006510FF">
        <w:t>that efforts and costs are duplicated by multiple LSEs</w:t>
      </w:r>
      <w:r w:rsidR="00A72AA7">
        <w:t xml:space="preserve"> and that IOUs are not left with stranded costs in their efforts to comply with Commission requirements on behalf of LSEs who naturally compete to deliver electricity to the same customers</w:t>
      </w:r>
      <w:r w:rsidR="006510FF">
        <w:t xml:space="preserve">. </w:t>
      </w:r>
    </w:p>
    <w:p w:rsidRPr="00343E5C" w:rsidR="00063EC9" w:rsidP="00A72AA7" w:rsidRDefault="00063EC9" w14:paraId="2999E4D7" w14:textId="53E9164C">
      <w:pPr>
        <w:pStyle w:val="Standard"/>
      </w:pPr>
      <w:r>
        <w:t>Finally, as with all capacity procurement associated with the requirements of D.19</w:t>
      </w:r>
      <w:r w:rsidR="007608EC">
        <w:noBreakHyphen/>
      </w:r>
      <w:r>
        <w:t>11</w:t>
      </w:r>
      <w:r w:rsidR="007608EC">
        <w:noBreakHyphen/>
      </w:r>
      <w:r>
        <w:t xml:space="preserve">016, once an IOU has conducted backstop procurement, it shall bring </w:t>
      </w:r>
      <w:r>
        <w:lastRenderedPageBreak/>
        <w:t>a Tier 3 advice letter to the Commission for approval of the contracts associated with that backstop procurement.  This will ensure that the Commission reviews and approves of the reasonableness of this procurement</w:t>
      </w:r>
      <w:r w:rsidR="00922B03">
        <w:t xml:space="preserve"> and assigns the full costs</w:t>
      </w:r>
      <w:r w:rsidR="006518B5">
        <w:t xml:space="preserve">, for the duration of the contract, </w:t>
      </w:r>
      <w:r w:rsidR="00922B03">
        <w:t xml:space="preserve">to the LSE </w:t>
      </w:r>
      <w:r w:rsidR="00D371E7">
        <w:t xml:space="preserve">and/or customers </w:t>
      </w:r>
      <w:r w:rsidR="00922B03">
        <w:t xml:space="preserve">on whose behalf the procurement </w:t>
      </w:r>
      <w:r w:rsidR="006B2ADA">
        <w:t>has been</w:t>
      </w:r>
      <w:r w:rsidR="00922B03">
        <w:t xml:space="preserve"> conducted</w:t>
      </w:r>
      <w:r>
        <w:t xml:space="preserve">. </w:t>
      </w:r>
    </w:p>
    <w:p w:rsidR="005939A5" w:rsidP="003272B8" w:rsidRDefault="005939A5" w14:paraId="36EAA345" w14:textId="77777777">
      <w:pPr>
        <w:pStyle w:val="Heading1"/>
        <w:numPr>
          <w:ilvl w:val="0"/>
          <w:numId w:val="1"/>
        </w:numPr>
        <w:ind w:left="360" w:hanging="360"/>
      </w:pPr>
      <w:bookmarkStart w:name="_Toc8123723" w:id="12"/>
      <w:bookmarkStart w:name="_Toc58842634" w:id="13"/>
      <w:r>
        <w:t>Comments on Proposed Decision</w:t>
      </w:r>
      <w:bookmarkEnd w:id="12"/>
      <w:bookmarkEnd w:id="13"/>
    </w:p>
    <w:p w:rsidR="00E92E07" w:rsidP="00760A41" w:rsidRDefault="00760A41" w14:paraId="5380670E" w14:textId="77777777">
      <w:pPr>
        <w:pStyle w:val="Standard"/>
      </w:pPr>
      <w:bookmarkStart w:name="_Toc42619816" w:id="14"/>
      <w:bookmarkStart w:name="_Toc8123724" w:id="15"/>
      <w:r>
        <w:t xml:space="preserve">The proposed decision of </w:t>
      </w:r>
      <w:r w:rsidR="00517608">
        <w:t>Administrative Law Judge Fitch</w:t>
      </w:r>
      <w:r>
        <w:t xml:space="preserve"> in this matter was mailed to</w:t>
      </w:r>
      <w:bookmarkEnd w:id="14"/>
      <w:r>
        <w:t xml:space="preserve"> </w:t>
      </w:r>
      <w:bookmarkStart w:name="_Toc42619817" w:id="16"/>
      <w:r>
        <w:t>the parties in accordance with Pub. Util. Code section 311 and comments were allowed</w:t>
      </w:r>
      <w:bookmarkEnd w:id="16"/>
      <w:r>
        <w:t xml:space="preserve"> </w:t>
      </w:r>
      <w:bookmarkStart w:name="_Toc42619818" w:id="17"/>
      <w:r>
        <w:t>under Rule 14.3 of the Commission’s Rules of Practice and Procedure.</w:t>
      </w:r>
      <w:bookmarkEnd w:id="17"/>
      <w:r>
        <w:t xml:space="preserve">  </w:t>
      </w:r>
      <w:bookmarkStart w:name="_Toc42619819" w:id="18"/>
    </w:p>
    <w:p w:rsidR="004D5431" w:rsidP="00760A41" w:rsidRDefault="00760A41" w14:paraId="51C6AEBF" w14:textId="65536D1D">
      <w:pPr>
        <w:pStyle w:val="Standard"/>
      </w:pPr>
      <w:r>
        <w:t xml:space="preserve">Comments were filed </w:t>
      </w:r>
      <w:r w:rsidR="00E92E07">
        <w:t>on December 3, 2020</w:t>
      </w:r>
      <w:r w:rsidR="000E409F">
        <w:t>,</w:t>
      </w:r>
      <w:r w:rsidR="00E92E07">
        <w:t xml:space="preserve"> by the following parties: Advanced Energy Economy (AEE); AWEA; CalCCA; CAISO; </w:t>
      </w:r>
      <w:r w:rsidR="004D5431">
        <w:t>City and County of San Francisco (CCSF); GPI; PG&amp;E; PCF; SCE; and TURN</w:t>
      </w:r>
      <w:r>
        <w:t xml:space="preserve">.  </w:t>
      </w:r>
    </w:p>
    <w:p w:rsidR="00760A41" w:rsidP="00760A41" w:rsidRDefault="00760A41" w14:paraId="654E3A65" w14:textId="21A66D4D">
      <w:pPr>
        <w:pStyle w:val="Standard"/>
      </w:pPr>
      <w:r>
        <w:t>Reply comments were filed</w:t>
      </w:r>
      <w:bookmarkEnd w:id="18"/>
      <w:r>
        <w:t xml:space="preserve"> </w:t>
      </w:r>
      <w:bookmarkStart w:name="_Toc42619820" w:id="19"/>
      <w:r>
        <w:t xml:space="preserve">on </w:t>
      </w:r>
      <w:bookmarkEnd w:id="19"/>
      <w:r w:rsidR="004D5431">
        <w:t xml:space="preserve">December 8, 2020 by the following parties: </w:t>
      </w:r>
      <w:r w:rsidR="00E5289A">
        <w:t xml:space="preserve">AReM; </w:t>
      </w:r>
      <w:r w:rsidR="00511B03">
        <w:t xml:space="preserve">CalCCA; GPI; </w:t>
      </w:r>
      <w:r w:rsidR="004D5431">
        <w:t xml:space="preserve">PCF; </w:t>
      </w:r>
      <w:r w:rsidR="00511B03">
        <w:t xml:space="preserve">PG&amp;E; </w:t>
      </w:r>
      <w:r w:rsidR="004D5431">
        <w:t>SCE</w:t>
      </w:r>
      <w:r w:rsidR="00E5289A">
        <w:t xml:space="preserve">; </w:t>
      </w:r>
      <w:r w:rsidR="00AB7F79">
        <w:t xml:space="preserve">and </w:t>
      </w:r>
      <w:r w:rsidR="00E5289A">
        <w:t>SDG&amp;E</w:t>
      </w:r>
      <w:r w:rsidR="004D5431">
        <w:t>.</w:t>
      </w:r>
    </w:p>
    <w:p w:rsidR="00AB7F79" w:rsidP="00760A41" w:rsidRDefault="00AB7F79" w14:paraId="3AF8419D" w14:textId="69206261">
      <w:pPr>
        <w:pStyle w:val="Standard"/>
      </w:pPr>
      <w:r>
        <w:t>This section summarizes some of the themes in party comments.  Changes in response to the comments summarized below have been made in the body of the decision.</w:t>
      </w:r>
    </w:p>
    <w:p w:rsidR="00AB7F79" w:rsidP="00760A41" w:rsidRDefault="00AB7F79" w14:paraId="52645AF4" w14:textId="35FC4C40">
      <w:pPr>
        <w:pStyle w:val="Standard"/>
      </w:pPr>
      <w:r>
        <w:t xml:space="preserve">First, for clarity, SCE requested that the decision explicitly state that the February 1 and August 1 compliance filing dates in this decision supersede the dates specified in D.19-11-016.  SCE is correct, and we have made this explicit in this decision.  LSEs are only required to report on procurement progress toward the requirements of D.19-11-016 on February 1 and August 1 of 2021-2023.  </w:t>
      </w:r>
      <w:r w:rsidR="00EE3993">
        <w:t>This does not supersede the standing requirement to file all IRP-related procurement data every year on May 1.</w:t>
      </w:r>
    </w:p>
    <w:p w:rsidR="00C62A92" w:rsidP="00760A41" w:rsidRDefault="0027721C" w14:paraId="7F0B18A5" w14:textId="4C8DCF45">
      <w:pPr>
        <w:pStyle w:val="Standard"/>
      </w:pPr>
      <w:r>
        <w:lastRenderedPageBreak/>
        <w:t>Next, s</w:t>
      </w:r>
      <w:r w:rsidR="00AB7F79">
        <w:t xml:space="preserve">everal parties, including AWEA, CalCCA, and CCSF requested that LSEs be allowed to provide officer attestations of the status of contracts and projects, in lieu of confidential documentation.  </w:t>
      </w:r>
      <w:r w:rsidR="00671624">
        <w:t xml:space="preserve">We are not making this change, because of prior extensive experience with incomplete and/or misleading representations in attestations, because of their lack of detail that Commission staff can verify.  </w:t>
      </w:r>
    </w:p>
    <w:p w:rsidR="00AB7F79" w:rsidP="00760A41" w:rsidRDefault="00671624" w14:paraId="1A6B1AC0" w14:textId="77556CD2">
      <w:pPr>
        <w:pStyle w:val="Standard"/>
      </w:pPr>
      <w:r>
        <w:t>However, we do accept the suggestion from CCSF</w:t>
      </w:r>
      <w:r w:rsidR="0027721C">
        <w:t xml:space="preserve"> and </w:t>
      </w:r>
      <w:r w:rsidR="001B7968">
        <w:t>AEE</w:t>
      </w:r>
      <w:r>
        <w:t xml:space="preserve"> that there should be a standard template used by all filers for the publicly available portion of their compliance filings, to make it easy for stakeholders and staff alike to quickly assess status of procurement efforts. </w:t>
      </w:r>
      <w:r w:rsidR="000E409F">
        <w:t xml:space="preserve"> </w:t>
      </w:r>
      <w:r>
        <w:t>Therefore, we have included direction to Commission staff to provide a standard template to all LSEs, and publicly posted on the Commission’s web site</w:t>
      </w:r>
      <w:r w:rsidR="0027721C">
        <w:t xml:space="preserve"> as soon as possible, but</w:t>
      </w:r>
      <w:r>
        <w:t xml:space="preserve"> no later than January 8, 2021.  </w:t>
      </w:r>
      <w:r w:rsidR="00EE3993">
        <w:t xml:space="preserve">After February 1, 2021, </w:t>
      </w:r>
      <w:r>
        <w:t xml:space="preserve">Commission staff may update the template from time to time, to improve it based on experience with the compliance </w:t>
      </w:r>
      <w:proofErr w:type="gramStart"/>
      <w:r>
        <w:t>filings, and</w:t>
      </w:r>
      <w:proofErr w:type="gramEnd"/>
      <w:r>
        <w:t xml:space="preserve"> provide notice to LSEs and parties.</w:t>
      </w:r>
    </w:p>
    <w:p w:rsidR="00C62A92" w:rsidP="00760A41" w:rsidRDefault="001E358F" w14:paraId="6A7D3F6D" w14:textId="5191BE66">
      <w:pPr>
        <w:pStyle w:val="Standard"/>
      </w:pPr>
      <w:r>
        <w:t xml:space="preserve">CCSF also requested that projects that have reached commercial operation only be required to file information related to Milestone 3.  This is logical, and we have made this explicit in the decision. </w:t>
      </w:r>
    </w:p>
    <w:p w:rsidR="009265B6" w:rsidP="00760A41" w:rsidRDefault="009265B6" w14:paraId="5F422CDD" w14:textId="24E74B2E">
      <w:pPr>
        <w:pStyle w:val="Standard"/>
      </w:pPr>
      <w:r>
        <w:t>AWEA requested that we make explicit that resources that are delayed coming online for a particular year</w:t>
      </w:r>
      <w:r w:rsidR="00EE3993">
        <w:t xml:space="preserve">, even if they trigger backstop procurement, </w:t>
      </w:r>
      <w:r>
        <w:t>may still count toward later year requirements.  This is also logical, and we have made this explicit in the decision.</w:t>
      </w:r>
    </w:p>
    <w:p w:rsidR="0065416F" w:rsidP="00760A41" w:rsidRDefault="0065416F" w14:paraId="12C9E49D" w14:textId="20C4D2E9">
      <w:pPr>
        <w:pStyle w:val="Standard"/>
      </w:pPr>
      <w:r>
        <w:t xml:space="preserve">In addition, AWEA requested that we add to the criteria for consideration of the reasonableness of delays an explicit reference to transmission or interconnection delays, as distinct from delays related to the resource </w:t>
      </w:r>
      <w:r>
        <w:lastRenderedPageBreak/>
        <w:t xml:space="preserve">development itself.  We </w:t>
      </w:r>
      <w:r w:rsidR="00EE3993">
        <w:t>have</w:t>
      </w:r>
      <w:r>
        <w:t xml:space="preserve"> add</w:t>
      </w:r>
      <w:r w:rsidR="00EE3993">
        <w:t>ed</w:t>
      </w:r>
      <w:r>
        <w:t xml:space="preserve"> this criterion.  However, we will not go so far as to suggest that backstop procurement should not be triggered if a delay is related to interconnection or transmission development, because unless the delay is </w:t>
      </w:r>
      <w:r w:rsidR="0041028C">
        <w:t xml:space="preserve">very short, </w:t>
      </w:r>
      <w:r>
        <w:t xml:space="preserve">the need for the capacity </w:t>
      </w:r>
      <w:r w:rsidR="0041028C">
        <w:t xml:space="preserve">and energy will still exist in the near term. </w:t>
      </w:r>
      <w:r w:rsidR="00EE3993">
        <w:t xml:space="preserve"> In addition, as pointed out by PCF, LSEs should have taken transmission development needs into account in their contracting. </w:t>
      </w:r>
    </w:p>
    <w:p w:rsidR="009265B6" w:rsidP="00760A41" w:rsidRDefault="003A3177" w14:paraId="27821D65" w14:textId="11EFC806">
      <w:pPr>
        <w:pStyle w:val="Standard"/>
      </w:pPr>
      <w:r>
        <w:t xml:space="preserve">PG&amp;E and SCE requested in their comments that they not be required to issue new RFOs for backstop procurement, and instead be permitted to utilize bilateral negotiations and/or results from previous RFOs.  </w:t>
      </w:r>
      <w:r w:rsidR="00132DE9">
        <w:t xml:space="preserve">PCF, in reply comments, disagreed.  </w:t>
      </w:r>
      <w:r>
        <w:t xml:space="preserve">While we appreciate that </w:t>
      </w:r>
      <w:r w:rsidR="00132DE9">
        <w:t>flexibility not to issue RFOs</w:t>
      </w:r>
      <w:r>
        <w:t xml:space="preserve"> could create some administrative efficiency and potentially save time, we believe the importance of transparency associated with RFOs outweighs any </w:t>
      </w:r>
      <w:r w:rsidR="008D0110">
        <w:t xml:space="preserve">potential </w:t>
      </w:r>
      <w:r>
        <w:t>administrative advantages</w:t>
      </w:r>
      <w:r w:rsidR="008D0110">
        <w:t xml:space="preserve"> in avoiding them</w:t>
      </w:r>
      <w:r>
        <w:t xml:space="preserve">, since this procurement will be initiated on behalf of another LSE’s customers.  The exception to the RFO requirement will remain for any backstop procurement triggered at the fourth and final trigger after August 1, 2023. </w:t>
      </w:r>
    </w:p>
    <w:p w:rsidR="008D0110" w:rsidP="00760A41" w:rsidRDefault="008D0110" w14:paraId="1600F762" w14:textId="1AE0FFEF">
      <w:pPr>
        <w:pStyle w:val="Standard"/>
      </w:pPr>
      <w:r>
        <w:t xml:space="preserve">PG&amp;E and SCE also requested in their comments that IOUs conducting backstop procurement be afforded 24 months to bring new resources online.  We also decline to make this change.  IOUs should make their best efforts to bring the backstop resources online as quickly as possible.  </w:t>
      </w:r>
      <w:r w:rsidR="005E2571">
        <w:t xml:space="preserve">If the timeline </w:t>
      </w:r>
      <w:r w:rsidR="00EE3993">
        <w:t>becomes</w:t>
      </w:r>
      <w:r w:rsidR="005E2571">
        <w:t xml:space="preserve"> a major issue </w:t>
      </w:r>
      <w:proofErr w:type="gramStart"/>
      <w:r w:rsidR="005E2571">
        <w:t>during the course of</w:t>
      </w:r>
      <w:proofErr w:type="gramEnd"/>
      <w:r w:rsidR="005E2571">
        <w:t xml:space="preserve"> the Commission requiring backstop procurement, we will consider addressing this question again at a later date. </w:t>
      </w:r>
    </w:p>
    <w:p w:rsidR="006656E4" w:rsidP="00760A41" w:rsidRDefault="006656E4" w14:paraId="586F2E75" w14:textId="171150E1">
      <w:pPr>
        <w:pStyle w:val="Standard"/>
      </w:pPr>
      <w:r>
        <w:t xml:space="preserve">SCE also requested that the Commission commit to processing the Tier 3 advice letters associated with backstop procurement as expeditiously as possible.  That is our goal with all procurement advice letters, especially when there is </w:t>
      </w:r>
      <w:r>
        <w:lastRenderedPageBreak/>
        <w:t>immi</w:t>
      </w:r>
      <w:r w:rsidR="00F618F4">
        <w:t>n</w:t>
      </w:r>
      <w:r>
        <w:t xml:space="preserve">ent capacity need, so Commission staff will make their best efforts to expedite these advice letters, </w:t>
      </w:r>
      <w:proofErr w:type="gramStart"/>
      <w:r>
        <w:t>similar to</w:t>
      </w:r>
      <w:proofErr w:type="gramEnd"/>
      <w:r>
        <w:t xml:space="preserve"> all others associated with D.19-11-016. </w:t>
      </w:r>
    </w:p>
    <w:p w:rsidR="0063157A" w:rsidP="00760A41" w:rsidRDefault="0063157A" w14:paraId="0E588987" w14:textId="222501FD">
      <w:pPr>
        <w:pStyle w:val="Standard"/>
      </w:pPr>
      <w:r>
        <w:t xml:space="preserve">In addition, SCE requested that the defined milestones be modified to separate an interconnection study in Milestone 1 and a signed interconnection agreement in Milestone 2.  While these steps could be separated, we decline to make this change because as a practical matter, we are only assessing whether to trigger backstop procurement once a year (except in the final year), and therefore the separation of these interconnection steps will be less likely to be meaningful. </w:t>
      </w:r>
    </w:p>
    <w:p w:rsidR="00EE3993" w:rsidP="00760A41" w:rsidRDefault="00EE3993" w14:paraId="28667932" w14:textId="7D559673">
      <w:pPr>
        <w:pStyle w:val="Standard"/>
      </w:pPr>
      <w:r>
        <w:t>SCE also suggested that a failure to meet Milestone 1 on both February</w:t>
      </w:r>
      <w:r w:rsidR="000E409F">
        <w:t> </w:t>
      </w:r>
      <w:r>
        <w:t>1,</w:t>
      </w:r>
      <w:r w:rsidR="000E409F">
        <w:t> </w:t>
      </w:r>
      <w:r>
        <w:t>2021</w:t>
      </w:r>
      <w:r w:rsidR="000E409F">
        <w:t>,</w:t>
      </w:r>
      <w:r>
        <w:t xml:space="preserve"> and February</w:t>
      </w:r>
      <w:r w:rsidR="000E409F">
        <w:t> </w:t>
      </w:r>
      <w:r>
        <w:t>1,</w:t>
      </w:r>
      <w:r w:rsidR="000E409F">
        <w:t> </w:t>
      </w:r>
      <w:r>
        <w:t xml:space="preserve">2022, should result in automatic triggering of backstop procurement.  While we agree this sounds reasonable, we are staying away from automatic triggering in favor of the Commission issuing guidance in the form of resolutions for specific backstop procurement needs. </w:t>
      </w:r>
    </w:p>
    <w:p w:rsidR="002975DE" w:rsidP="00760A41" w:rsidRDefault="002975DE" w14:paraId="00CA063B" w14:textId="44C72F18">
      <w:pPr>
        <w:pStyle w:val="Standard"/>
      </w:pPr>
      <w:r>
        <w:t>TURN’s comments</w:t>
      </w:r>
      <w:r w:rsidR="00AC2E5D">
        <w:t>, and SDG&amp;E’s replies,</w:t>
      </w:r>
      <w:r>
        <w:t xml:space="preserve"> requested that the Commission make clear that nothing in this decision precludes any determinations in the resource adequacy or other proceedings about a central procurement entity, including the possibility that the backstop function defined herein could be transferred to such an entity in the future.  We agree with TURN, and do not believe that any language in this decision forecloses any options for our deliberations on a central procurement entity. </w:t>
      </w:r>
    </w:p>
    <w:p w:rsidR="00B36756" w:rsidP="00760A41" w:rsidRDefault="00B36756" w14:paraId="4FCEF86F" w14:textId="7FA17826">
      <w:pPr>
        <w:pStyle w:val="Standard"/>
      </w:pPr>
      <w:r>
        <w:t xml:space="preserve">There was also much discussion in party comments on the proposed decision (primarily from </w:t>
      </w:r>
      <w:r w:rsidR="00132DE9">
        <w:t xml:space="preserve">CalCCA, </w:t>
      </w:r>
      <w:r>
        <w:t>GPI, PCF, and PG&amp;E</w:t>
      </w:r>
      <w:r w:rsidR="00AC2E5D">
        <w:t>;</w:t>
      </w:r>
      <w:r w:rsidR="003F5F20">
        <w:t xml:space="preserve"> </w:t>
      </w:r>
      <w:r w:rsidR="00AC2E5D">
        <w:t xml:space="preserve">with SCE </w:t>
      </w:r>
      <w:r w:rsidR="003F5F20">
        <w:t>and SDG&amp;E in reply comments</w:t>
      </w:r>
      <w:r>
        <w:t xml:space="preserve">) about whether the Commission should or should not threaten penalties for failure to meet either the D.19-11-016 requirements or </w:t>
      </w:r>
      <w:r w:rsidR="00907958">
        <w:t>responsibilities associated with the</w:t>
      </w:r>
      <w:r>
        <w:t xml:space="preserve"> framework laid out in this decision.  We </w:t>
      </w:r>
      <w:r>
        <w:lastRenderedPageBreak/>
        <w:t xml:space="preserve">decline to add any detail at this stage, beyond the statements already included in the decision, and </w:t>
      </w:r>
      <w:r w:rsidR="00907958">
        <w:t>encourage</w:t>
      </w:r>
      <w:r>
        <w:t xml:space="preserve"> all parties </w:t>
      </w:r>
      <w:r w:rsidR="00907958">
        <w:t xml:space="preserve">to </w:t>
      </w:r>
      <w:r>
        <w:t xml:space="preserve">make their best efforts to execute their procurement responsibilities expeditiously. </w:t>
      </w:r>
    </w:p>
    <w:p w:rsidR="00B36756" w:rsidP="00760A41" w:rsidRDefault="00B36756" w14:paraId="7668A7EA" w14:textId="1DE7A669">
      <w:pPr>
        <w:pStyle w:val="Standard"/>
      </w:pPr>
      <w:r>
        <w:t>We also do not make any modifications to address TURN’s request that we clarify the manner of provision of confidential material to non-market participants, not because we disagree, but because AReM objects and because non-disclosure agreements are not the subject of this decision.</w:t>
      </w:r>
    </w:p>
    <w:p w:rsidR="005939A5" w:rsidP="003272B8" w:rsidRDefault="005939A5" w14:paraId="57BA930F" w14:textId="77777777">
      <w:pPr>
        <w:pStyle w:val="Heading1"/>
        <w:numPr>
          <w:ilvl w:val="0"/>
          <w:numId w:val="1"/>
        </w:numPr>
        <w:ind w:left="360" w:hanging="360"/>
      </w:pPr>
      <w:bookmarkStart w:name="_Toc58842635" w:id="20"/>
      <w:r>
        <w:t>Assignment of Proceeding</w:t>
      </w:r>
      <w:bookmarkEnd w:id="15"/>
      <w:bookmarkEnd w:id="20"/>
    </w:p>
    <w:p w:rsidR="005939A5" w:rsidP="006E6574" w:rsidRDefault="00534B8B" w14:paraId="2BA88157" w14:textId="2F0EA39D">
      <w:pPr>
        <w:pStyle w:val="Standard"/>
      </w:pPr>
      <w:r>
        <w:t>Liane M. Randolph</w:t>
      </w:r>
      <w:r w:rsidR="005939A5">
        <w:t xml:space="preserve"> is the assigned Commissioner and </w:t>
      </w:r>
      <w:r>
        <w:t>Julie A. Fitch</w:t>
      </w:r>
      <w:r w:rsidR="005939A5">
        <w:t xml:space="preserve"> is the assigned ALJ in this proceeding.</w:t>
      </w:r>
    </w:p>
    <w:p w:rsidR="005939A5" w:rsidP="005939A5" w:rsidRDefault="005939A5" w14:paraId="7A76A6BE" w14:textId="77777777">
      <w:pPr>
        <w:pStyle w:val="Dummy"/>
      </w:pPr>
      <w:bookmarkStart w:name="_Toc8123725" w:id="21"/>
      <w:bookmarkStart w:name="_Toc58842636" w:id="22"/>
      <w:r>
        <w:t>Findings of Fact</w:t>
      </w:r>
      <w:bookmarkEnd w:id="21"/>
      <w:bookmarkEnd w:id="22"/>
    </w:p>
    <w:p w:rsidRPr="001E2A62" w:rsidR="00F62B7A" w:rsidP="001E2A62" w:rsidRDefault="00195118" w14:paraId="34E7B372" w14:textId="58C69FC9">
      <w:pPr>
        <w:pStyle w:val="FoF"/>
      </w:pPr>
      <w:r>
        <w:t>Decision 19</w:t>
      </w:r>
      <w:r w:rsidR="007608EC">
        <w:noBreakHyphen/>
      </w:r>
      <w:r>
        <w:t>11</w:t>
      </w:r>
      <w:r w:rsidR="007608EC">
        <w:noBreakHyphen/>
      </w:r>
      <w:r>
        <w:t>016 required all LSEs subject to the Commission’s IRP authority to procure their proportional share of 3,300</w:t>
      </w:r>
      <w:r w:rsidR="007608EC">
        <w:t> </w:t>
      </w:r>
      <w:r>
        <w:t>MW of resource adequacy capacity over a three</w:t>
      </w:r>
      <w:r w:rsidR="007608EC">
        <w:noBreakHyphen/>
      </w:r>
      <w:r>
        <w:t>year period between 2021 and 2023.</w:t>
      </w:r>
    </w:p>
    <w:p w:rsidR="00F62B7A" w:rsidP="001E2A62" w:rsidRDefault="00195118" w14:paraId="37DBEFF6" w14:textId="5A9BF767">
      <w:pPr>
        <w:pStyle w:val="FoF"/>
      </w:pPr>
      <w:r>
        <w:t>D.19</w:t>
      </w:r>
      <w:r w:rsidR="007608EC">
        <w:noBreakHyphen/>
      </w:r>
      <w:r>
        <w:t>11</w:t>
      </w:r>
      <w:r w:rsidR="007608EC">
        <w:noBreakHyphen/>
      </w:r>
      <w:r>
        <w:t>016 found that the 3,300</w:t>
      </w:r>
      <w:r w:rsidR="007608EC">
        <w:t> </w:t>
      </w:r>
      <w:r>
        <w:t>MW of capacity is needed to maintain system reliability between 2021 and 2023.</w:t>
      </w:r>
    </w:p>
    <w:p w:rsidR="00195118" w:rsidP="001E2A62" w:rsidRDefault="00195118" w14:paraId="04D5265B" w14:textId="3D6A2277">
      <w:pPr>
        <w:pStyle w:val="FoF"/>
      </w:pPr>
      <w:r>
        <w:t>Rotating outages initiated by the California Independent System Operator in August</w:t>
      </w:r>
      <w:r w:rsidR="007608EC">
        <w:t> </w:t>
      </w:r>
      <w:r>
        <w:t>2020 heighten the importance of electric capacity to support electric system reliability.</w:t>
      </w:r>
    </w:p>
    <w:p w:rsidR="00195118" w:rsidP="001E2A62" w:rsidRDefault="00195118" w14:paraId="2B50C52B" w14:textId="5F288EE8">
      <w:pPr>
        <w:pStyle w:val="FoF"/>
      </w:pPr>
      <w:r>
        <w:t>LSEs may try, in good faith, to procure their share of electric capacity required in D.19</w:t>
      </w:r>
      <w:r w:rsidR="007608EC">
        <w:noBreakHyphen/>
      </w:r>
      <w:r>
        <w:t>11</w:t>
      </w:r>
      <w:r w:rsidR="007608EC">
        <w:noBreakHyphen/>
      </w:r>
      <w:proofErr w:type="gramStart"/>
      <w:r>
        <w:t>016, but</w:t>
      </w:r>
      <w:proofErr w:type="gramEnd"/>
      <w:r>
        <w:t xml:space="preserve"> may fail for any number of reasons. </w:t>
      </w:r>
    </w:p>
    <w:p w:rsidR="000262A2" w:rsidP="001E2A62" w:rsidRDefault="000262A2" w14:paraId="7E7341C5" w14:textId="349DC6D4">
      <w:pPr>
        <w:pStyle w:val="FoF"/>
      </w:pPr>
      <w:r>
        <w:t>D.19</w:t>
      </w:r>
      <w:r w:rsidR="007608EC">
        <w:noBreakHyphen/>
      </w:r>
      <w:r>
        <w:t>11</w:t>
      </w:r>
      <w:r w:rsidR="007608EC">
        <w:noBreakHyphen/>
      </w:r>
      <w:r>
        <w:t xml:space="preserve">016 provided that if backstop procurement </w:t>
      </w:r>
      <w:proofErr w:type="gramStart"/>
      <w:r>
        <w:t>was</w:t>
      </w:r>
      <w:proofErr w:type="gramEnd"/>
      <w:r>
        <w:t xml:space="preserve"> needed for LSEs who intended to provide their own share of capacity but failed to do so, the IOUs would be required to step in and provide backstop procurement.</w:t>
      </w:r>
    </w:p>
    <w:p w:rsidR="000262A2" w:rsidP="001E2A62" w:rsidRDefault="000262A2" w14:paraId="76F78507" w14:textId="4E2DCC70">
      <w:pPr>
        <w:pStyle w:val="FoF"/>
      </w:pPr>
      <w:r>
        <w:t>In a June</w:t>
      </w:r>
      <w:r w:rsidR="007608EC">
        <w:t> </w:t>
      </w:r>
      <w:r>
        <w:t>5,</w:t>
      </w:r>
      <w:r w:rsidR="007608EC">
        <w:t> </w:t>
      </w:r>
      <w:r>
        <w:t>2020 ALJ Ruling, Commission staff recommended defin</w:t>
      </w:r>
      <w:r w:rsidR="0007074E">
        <w:t>ed milestones to be reported by LSEs toward their D.19</w:t>
      </w:r>
      <w:r w:rsidR="007608EC">
        <w:noBreakHyphen/>
      </w:r>
      <w:r w:rsidR="0007074E">
        <w:t>11</w:t>
      </w:r>
      <w:r w:rsidR="007608EC">
        <w:noBreakHyphen/>
      </w:r>
      <w:r w:rsidR="0007074E">
        <w:t xml:space="preserve">016 capacity </w:t>
      </w:r>
      <w:r w:rsidR="0007074E">
        <w:lastRenderedPageBreak/>
        <w:t xml:space="preserve">procurement, and trigger dates on which the Commission should require documentation to </w:t>
      </w:r>
      <w:proofErr w:type="gramStart"/>
      <w:r w:rsidR="0007074E">
        <w:t>make a determination</w:t>
      </w:r>
      <w:proofErr w:type="gramEnd"/>
      <w:r w:rsidR="0007074E">
        <w:t xml:space="preserve"> about the need for backstop procurement.</w:t>
      </w:r>
    </w:p>
    <w:p w:rsidRPr="001E2A62" w:rsidR="0007074E" w:rsidP="001E2A62" w:rsidRDefault="00C11260" w14:paraId="17E27B84" w14:textId="23E17614">
      <w:pPr>
        <w:pStyle w:val="FoF"/>
      </w:pPr>
      <w:r>
        <w:t xml:space="preserve">The normal resource adequacy annual compliance regime does not fully address the </w:t>
      </w:r>
      <w:r w:rsidR="00A27483">
        <w:t xml:space="preserve">issues </w:t>
      </w:r>
      <w:r>
        <w:t>associated with determining the need for backstop procurement associated with D.19</w:t>
      </w:r>
      <w:r w:rsidR="007608EC">
        <w:noBreakHyphen/>
      </w:r>
      <w:r>
        <w:t>11</w:t>
      </w:r>
      <w:r w:rsidR="007608EC">
        <w:noBreakHyphen/>
      </w:r>
      <w:r>
        <w:t xml:space="preserve">016. </w:t>
      </w:r>
    </w:p>
    <w:p w:rsidR="008E6AE6" w:rsidP="001E2A62" w:rsidRDefault="009363C5" w14:paraId="0B917827" w14:textId="51FB811B">
      <w:pPr>
        <w:pStyle w:val="FoF"/>
      </w:pPr>
      <w:r>
        <w:t xml:space="preserve">Procurement progress is characterized generally by milestones toward ultimate provision of capacity </w:t>
      </w:r>
      <w:r w:rsidR="00A27483">
        <w:t xml:space="preserve">by </w:t>
      </w:r>
      <w:r>
        <w:t xml:space="preserve">the LSEs, including, but not limited to, </w:t>
      </w:r>
      <w:r w:rsidR="00A27483">
        <w:t xml:space="preserve">a signed contract with a resource developer for </w:t>
      </w:r>
      <w:r>
        <w:t>provision of a commercial technology, a</w:t>
      </w:r>
      <w:r w:rsidR="00A27483">
        <w:t>n</w:t>
      </w:r>
      <w:r>
        <w:t xml:space="preserve"> interconnection agreement with a </w:t>
      </w:r>
      <w:r w:rsidR="00A27483">
        <w:t xml:space="preserve">demonstrated </w:t>
      </w:r>
      <w:r>
        <w:t>path toward project deliverability</w:t>
      </w:r>
      <w:r w:rsidR="00A27483">
        <w:t xml:space="preserve"> by the required online date</w:t>
      </w:r>
      <w:r>
        <w:t>, signed land leases or title deeds</w:t>
      </w:r>
      <w:r w:rsidR="00A27483">
        <w:t xml:space="preserve"> demonstrating project site control</w:t>
      </w:r>
      <w:r>
        <w:t>, a project timeline</w:t>
      </w:r>
      <w:r w:rsidR="00A27483">
        <w:t xml:space="preserve"> in a signed contract</w:t>
      </w:r>
      <w:r>
        <w:t>, documentation of a “notice to proceed” or other evidence of construction commencement (for new construction projects)</w:t>
      </w:r>
      <w:r w:rsidR="00FB208E">
        <w:t>, and evidence of a project being in service and capable of delivering energy</w:t>
      </w:r>
      <w:r>
        <w:t xml:space="preserve">. </w:t>
      </w:r>
    </w:p>
    <w:p w:rsidR="00C4029F" w:rsidP="001E2A62" w:rsidRDefault="00C4029F" w14:paraId="3894CFB0" w14:textId="27A06002">
      <w:pPr>
        <w:pStyle w:val="FoF"/>
      </w:pPr>
      <w:r>
        <w:t xml:space="preserve">A common format for collecting </w:t>
      </w:r>
      <w:r w:rsidR="007B03EF">
        <w:t xml:space="preserve">public </w:t>
      </w:r>
      <w:r>
        <w:t>LSE procurement progress information will facilitate Commission and stakeholder review.</w:t>
      </w:r>
    </w:p>
    <w:p w:rsidR="00FB208E" w:rsidP="001E2A62" w:rsidRDefault="00C50C9E" w14:paraId="0D44B534" w14:textId="02760E04">
      <w:pPr>
        <w:pStyle w:val="FoF"/>
      </w:pPr>
      <w:r>
        <w:t xml:space="preserve">Commission staff, after review of LSE compliance materials, is always authorized to bring a resolution before the Commission on its own motion. </w:t>
      </w:r>
    </w:p>
    <w:p w:rsidR="00094DBF" w:rsidP="001E2A62" w:rsidRDefault="00094DBF" w14:paraId="06045C44" w14:textId="0E301AC3">
      <w:pPr>
        <w:pStyle w:val="FoF"/>
      </w:pPr>
      <w:r>
        <w:t>D.19</w:t>
      </w:r>
      <w:r w:rsidR="007608EC">
        <w:noBreakHyphen/>
      </w:r>
      <w:r>
        <w:t>11</w:t>
      </w:r>
      <w:r w:rsidR="007608EC">
        <w:noBreakHyphen/>
      </w:r>
      <w:r>
        <w:t>016 requires IOUs to bring Tier 3 advice letters to the Commission for contracts to provide their own share of the required electric capacity.</w:t>
      </w:r>
    </w:p>
    <w:p w:rsidRPr="001E2A62" w:rsidR="00B770A3" w:rsidP="001E2A62" w:rsidRDefault="00B770A3" w14:paraId="7122FF98" w14:textId="61676A50">
      <w:pPr>
        <w:pStyle w:val="FoF"/>
      </w:pPr>
      <w:r>
        <w:t xml:space="preserve">An IOU conducting backstop procurement on behalf of another LSE will incur both procurement and administrative costs associated with performing this function. </w:t>
      </w:r>
    </w:p>
    <w:p w:rsidR="005939A5" w:rsidP="005939A5" w:rsidRDefault="005939A5" w14:paraId="66BB2417" w14:textId="77777777">
      <w:pPr>
        <w:pStyle w:val="Dummy"/>
      </w:pPr>
      <w:bookmarkStart w:name="_Toc8123726" w:id="23"/>
      <w:bookmarkStart w:name="_Toc58842637" w:id="24"/>
      <w:r>
        <w:lastRenderedPageBreak/>
        <w:t>Conclusions of Law</w:t>
      </w:r>
      <w:bookmarkEnd w:id="23"/>
      <w:bookmarkEnd w:id="24"/>
    </w:p>
    <w:p w:rsidRPr="001E2A62" w:rsidR="00932865" w:rsidP="001E2A62" w:rsidRDefault="000262A2" w14:paraId="346481D7" w14:textId="130A0D79">
      <w:pPr>
        <w:pStyle w:val="CoL"/>
      </w:pPr>
      <w:r>
        <w:t>The Commission must determine when and how the procurement efforts of LSEs have failed</w:t>
      </w:r>
      <w:r w:rsidR="00297666">
        <w:t xml:space="preserve"> with respect to the capacity procurement requirements of D.19</w:t>
      </w:r>
      <w:r w:rsidR="007608EC">
        <w:noBreakHyphen/>
      </w:r>
      <w:r w:rsidR="00297666">
        <w:t>11</w:t>
      </w:r>
      <w:r w:rsidR="007608EC">
        <w:noBreakHyphen/>
      </w:r>
      <w:r w:rsidR="00297666">
        <w:t>016</w:t>
      </w:r>
      <w:r>
        <w:t>, and an IOU is required to step in an</w:t>
      </w:r>
      <w:r w:rsidR="00B770A3">
        <w:t>d</w:t>
      </w:r>
      <w:r>
        <w:t xml:space="preserve"> conduct backstop procurement. </w:t>
      </w:r>
    </w:p>
    <w:p w:rsidR="00932865" w:rsidP="001E2A62" w:rsidRDefault="00297666" w14:paraId="0ED5D5C6" w14:textId="4675B3DB">
      <w:pPr>
        <w:pStyle w:val="CoL"/>
      </w:pPr>
      <w:r>
        <w:t xml:space="preserve">In </w:t>
      </w:r>
      <w:r w:rsidR="003C67F2">
        <w:t>determining the structure of backstop procurement requirements associated with D.19</w:t>
      </w:r>
      <w:r w:rsidR="007608EC">
        <w:noBreakHyphen/>
      </w:r>
      <w:r w:rsidR="003C67F2">
        <w:t>11</w:t>
      </w:r>
      <w:r w:rsidR="007608EC">
        <w:noBreakHyphen/>
      </w:r>
      <w:r w:rsidR="003C67F2">
        <w:t>016, the Commission should balance urgency of capacity delivery with the risk of duplicating efforts and costs.</w:t>
      </w:r>
    </w:p>
    <w:p w:rsidR="003C67F2" w:rsidP="00721419" w:rsidRDefault="00D83C3C" w14:paraId="6BB7E262" w14:textId="0F3158F2">
      <w:pPr>
        <w:pStyle w:val="CoL"/>
        <w:ind w:firstLine="547"/>
      </w:pPr>
      <w:r>
        <w:t xml:space="preserve">Commission staff should recommend the need for backstop procurement based on compliance filings of LSEs, but the Commission itself should </w:t>
      </w:r>
      <w:proofErr w:type="gramStart"/>
      <w:r>
        <w:t>make a determination</w:t>
      </w:r>
      <w:proofErr w:type="gramEnd"/>
      <w:r>
        <w:t xml:space="preserve"> to order an IOU to conduct backstop procurement and have the costs allocated.</w:t>
      </w:r>
    </w:p>
    <w:p w:rsidR="00D83C3C" w:rsidP="00721419" w:rsidRDefault="00507836" w14:paraId="732DEA38" w14:textId="7B5038C2">
      <w:pPr>
        <w:pStyle w:val="CoL"/>
        <w:ind w:firstLine="547"/>
      </w:pPr>
      <w:r>
        <w:t>Requiring biennial procurement status compliance filings on February</w:t>
      </w:r>
      <w:r w:rsidR="007608EC">
        <w:t> </w:t>
      </w:r>
      <w:r>
        <w:t>1 and August</w:t>
      </w:r>
      <w:r w:rsidR="007608EC">
        <w:t> </w:t>
      </w:r>
      <w:r>
        <w:t xml:space="preserve">1 of 2021, 2022, and 2023 should give the Commission adequate information on which to base </w:t>
      </w:r>
      <w:r w:rsidR="0095426A">
        <w:t>backstop procurement determinations.</w:t>
      </w:r>
      <w:r w:rsidR="00671624">
        <w:t xml:space="preserve">  These filing dates should supersede the ones adopted in D.19-11-016</w:t>
      </w:r>
      <w:r w:rsidR="007B03EF">
        <w:t>, except for the standing May 1 annual filing requirement for all IRP-related procurement data</w:t>
      </w:r>
      <w:r w:rsidR="00671624">
        <w:t>.</w:t>
      </w:r>
    </w:p>
    <w:p w:rsidRPr="001E2A62" w:rsidR="009363C5" w:rsidP="00721419" w:rsidRDefault="009363C5" w14:paraId="5851A92B" w14:textId="3297F677">
      <w:pPr>
        <w:pStyle w:val="CoL"/>
        <w:ind w:firstLine="547"/>
      </w:pPr>
      <w:r>
        <w:t>All biennial procurement status compliance filings should contain information about procurement activities for all capacity required in D.19</w:t>
      </w:r>
      <w:r w:rsidR="007608EC">
        <w:noBreakHyphen/>
      </w:r>
      <w:r>
        <w:t>11</w:t>
      </w:r>
      <w:r w:rsidR="007608EC">
        <w:noBreakHyphen/>
      </w:r>
      <w:r>
        <w:t xml:space="preserve">016 for 2021, 2022, and 2023. </w:t>
      </w:r>
    </w:p>
    <w:p w:rsidR="008F143D" w:rsidP="00721419" w:rsidRDefault="0095426A" w14:paraId="3C76B70A" w14:textId="0EEFB23A">
      <w:pPr>
        <w:pStyle w:val="CoL"/>
        <w:ind w:firstLine="547"/>
      </w:pPr>
      <w:r>
        <w:t xml:space="preserve">LSEs who wish to file particular contract and status information confidentially should be required to justify the need to file that information under </w:t>
      </w:r>
      <w:proofErr w:type="gramStart"/>
      <w:r>
        <w:t>seal, and</w:t>
      </w:r>
      <w:proofErr w:type="gramEnd"/>
      <w:r>
        <w:t xml:space="preserve"> should also be required to provide summary information in a public manner </w:t>
      </w:r>
      <w:r w:rsidR="00907958">
        <w:t xml:space="preserve">in a standard format developed by Commission staff </w:t>
      </w:r>
      <w:r>
        <w:t>so that all parties may assess progress toward procurement requirements of D.19</w:t>
      </w:r>
      <w:r w:rsidR="007608EC">
        <w:noBreakHyphen/>
      </w:r>
      <w:r>
        <w:t>11</w:t>
      </w:r>
      <w:r w:rsidR="007608EC">
        <w:noBreakHyphen/>
      </w:r>
      <w:r>
        <w:t>016.</w:t>
      </w:r>
    </w:p>
    <w:p w:rsidR="009A5D16" w:rsidP="00721419" w:rsidRDefault="009A5D16" w14:paraId="3CF7E0F3" w14:textId="559A98C8">
      <w:pPr>
        <w:pStyle w:val="CoL"/>
        <w:ind w:firstLine="547"/>
      </w:pPr>
      <w:r>
        <w:lastRenderedPageBreak/>
        <w:t xml:space="preserve">It is reasonable for the Commission to </w:t>
      </w:r>
      <w:r w:rsidR="00532EC6">
        <w:t>define three milestones associated with the August</w:t>
      </w:r>
      <w:r w:rsidR="007608EC">
        <w:t> </w:t>
      </w:r>
      <w:r w:rsidR="00532EC6">
        <w:t>1 capacity delivery dates required in 2021, 2022, and 2023, as follows:</w:t>
      </w:r>
    </w:p>
    <w:p w:rsidR="00532EC6" w:rsidP="00230EF3" w:rsidRDefault="00532EC6" w14:paraId="24266E74" w14:textId="786E8AAD">
      <w:pPr>
        <w:numPr>
          <w:ilvl w:val="1"/>
          <w:numId w:val="4"/>
        </w:numPr>
        <w:spacing w:after="120" w:line="240" w:lineRule="auto"/>
        <w:ind w:left="1170" w:right="1440" w:hanging="180"/>
      </w:pPr>
      <w:r w:rsidRPr="00B37747">
        <w:rPr>
          <w:u w:val="single"/>
        </w:rPr>
        <w:t>Milestone 1:</w:t>
      </w:r>
      <w:r>
        <w:t xml:space="preserve"> a </w:t>
      </w:r>
      <w:r w:rsidR="00A27483">
        <w:t xml:space="preserve">signed </w:t>
      </w:r>
      <w:r>
        <w:t xml:space="preserve">contract with a </w:t>
      </w:r>
      <w:r w:rsidR="00A27483">
        <w:t xml:space="preserve">resource developer for provision of a </w:t>
      </w:r>
      <w:r>
        <w:t>commercial technology, an identified resource developer, a</w:t>
      </w:r>
      <w:r w:rsidR="00A27483">
        <w:t>n interconnection agreement with a</w:t>
      </w:r>
      <w:r>
        <w:t xml:space="preserve"> demonstrated path toward deliverability</w:t>
      </w:r>
      <w:r w:rsidR="00A27483">
        <w:t xml:space="preserve"> by the required online date, signed land leases or title deeds demonstrating site control, and a project timeline</w:t>
      </w:r>
      <w:r>
        <w:t xml:space="preserve">.  This milestone may also show intended procurement from demand response resources, as well as allowable imports. </w:t>
      </w:r>
    </w:p>
    <w:p w:rsidR="00532EC6" w:rsidP="00230EF3" w:rsidRDefault="00532EC6" w14:paraId="172CDEFA" w14:textId="5DE72376">
      <w:pPr>
        <w:numPr>
          <w:ilvl w:val="1"/>
          <w:numId w:val="4"/>
        </w:numPr>
        <w:spacing w:after="120" w:line="240" w:lineRule="auto"/>
        <w:ind w:left="1170" w:right="1440" w:hanging="180"/>
      </w:pPr>
      <w:r w:rsidRPr="00721419">
        <w:rPr>
          <w:u w:val="single"/>
        </w:rPr>
        <w:t>Milestone 2</w:t>
      </w:r>
      <w:r w:rsidRPr="00B37747">
        <w:rPr>
          <w:u w:val="single"/>
        </w:rPr>
        <w:t>:</w:t>
      </w:r>
      <w:r>
        <w:t xml:space="preserve"> a showing of a “notice to proc</w:t>
      </w:r>
      <w:r w:rsidR="00B37747">
        <w:t>e</w:t>
      </w:r>
      <w:r>
        <w:t>ed” or similar contractual evidence of construction commencement for new construction projects, as well as executed contracts for demand response, imports, or sales of excess resources between LSEs.</w:t>
      </w:r>
    </w:p>
    <w:p w:rsidR="00532EC6" w:rsidP="00230EF3" w:rsidRDefault="00532EC6" w14:paraId="5363B963" w14:textId="6EDD9E7C">
      <w:pPr>
        <w:numPr>
          <w:ilvl w:val="1"/>
          <w:numId w:val="4"/>
        </w:numPr>
        <w:spacing w:after="120" w:line="240" w:lineRule="auto"/>
        <w:ind w:left="1170" w:right="1440" w:hanging="180"/>
      </w:pPr>
      <w:r w:rsidRPr="00721419">
        <w:rPr>
          <w:u w:val="single"/>
        </w:rPr>
        <w:t>Milestone 3</w:t>
      </w:r>
      <w:r w:rsidRPr="00B37747">
        <w:rPr>
          <w:u w:val="single"/>
        </w:rPr>
        <w:t>:</w:t>
      </w:r>
      <w:r>
        <w:t xml:space="preserve"> evidence of a project being online and capable of delivering energy, or in the case of demand response, load reduction.</w:t>
      </w:r>
    </w:p>
    <w:p w:rsidR="009A5D16" w:rsidP="00721419" w:rsidRDefault="009A5D16" w14:paraId="0AF16BC8" w14:textId="0AD709DA">
      <w:pPr>
        <w:pStyle w:val="CoL"/>
        <w:ind w:firstLine="547"/>
      </w:pPr>
      <w:r>
        <w:t xml:space="preserve">The Commission should require each compliance filing to contain information </w:t>
      </w:r>
      <w:r w:rsidR="00532EC6">
        <w:t>addressing the defined milestones in each of the three</w:t>
      </w:r>
      <w:r w:rsidR="00230EF3">
        <w:t> </w:t>
      </w:r>
      <w:r w:rsidR="00532EC6">
        <w:t>years for which capacity is required by D.19</w:t>
      </w:r>
      <w:r w:rsidR="00230EF3">
        <w:noBreakHyphen/>
      </w:r>
      <w:r w:rsidR="00532EC6">
        <w:t>11</w:t>
      </w:r>
      <w:r w:rsidR="00230EF3">
        <w:noBreakHyphen/>
      </w:r>
      <w:r w:rsidR="00532EC6">
        <w:t>016 (2021, 2022, and 2023).</w:t>
      </w:r>
    </w:p>
    <w:p w:rsidR="008476D0" w:rsidP="00721419" w:rsidRDefault="008476D0" w14:paraId="76A1A2C5" w14:textId="18C1E311">
      <w:pPr>
        <w:pStyle w:val="CoL"/>
        <w:ind w:firstLine="547"/>
      </w:pPr>
      <w:r>
        <w:t>Once a project has reached commercial operation, LSEs should only be required to file information addressing Milestone 3 for the project.</w:t>
      </w:r>
    </w:p>
    <w:p w:rsidR="00C4029F" w:rsidP="00721419" w:rsidRDefault="00C4029F" w14:paraId="58A66DA0" w14:textId="18FF4F7B">
      <w:pPr>
        <w:pStyle w:val="CoL"/>
        <w:ind w:firstLine="547"/>
      </w:pPr>
      <w:r>
        <w:t>Commission staff should develop, by no later than January 8, 2021, and maintain a template for public reporting of procurement information related to D.19-11-016.</w:t>
      </w:r>
    </w:p>
    <w:p w:rsidR="00532EC6" w:rsidP="00721419" w:rsidRDefault="00532EC6" w14:paraId="076D75E6" w14:textId="298C2551">
      <w:pPr>
        <w:pStyle w:val="CoL"/>
        <w:ind w:firstLine="547"/>
      </w:pPr>
      <w:r>
        <w:t xml:space="preserve">The Commission should always distinguish between backstop procurement required to serve load of other LSEs and supplemental </w:t>
      </w:r>
      <w:r>
        <w:lastRenderedPageBreak/>
        <w:t>procurement required to address the IOU’s individual capacity procurement responsibility.</w:t>
      </w:r>
    </w:p>
    <w:p w:rsidR="00532EC6" w:rsidP="00721419" w:rsidRDefault="00532EC6" w14:paraId="00807097" w14:textId="4E3818F2">
      <w:pPr>
        <w:pStyle w:val="CoL"/>
        <w:ind w:firstLine="547"/>
      </w:pPr>
      <w:r>
        <w:t>It is reasonable to set February</w:t>
      </w:r>
      <w:r w:rsidR="00230EF3">
        <w:t> </w:t>
      </w:r>
      <w:r>
        <w:t xml:space="preserve">1 of 2021, 2022, and 2023 as the primary trigger dates </w:t>
      </w:r>
      <w:r w:rsidR="00C50C9E">
        <w:t>after</w:t>
      </w:r>
      <w:r>
        <w:t xml:space="preserve"> which backstop procurement may be ordered </w:t>
      </w:r>
      <w:r w:rsidR="00C50C9E">
        <w:t>by the Commission, as well as August</w:t>
      </w:r>
      <w:r w:rsidR="00230EF3">
        <w:t> </w:t>
      </w:r>
      <w:r w:rsidR="00C50C9E">
        <w:t>1,</w:t>
      </w:r>
      <w:r w:rsidR="00230EF3">
        <w:t> </w:t>
      </w:r>
      <w:r w:rsidR="00C50C9E">
        <w:t>2023 if additional backstop procurement is determined to be needed at this final compliance date.</w:t>
      </w:r>
    </w:p>
    <w:p w:rsidR="00EE68C6" w:rsidP="00721419" w:rsidRDefault="00EE68C6" w14:paraId="09DEA9BE" w14:textId="1E01A282">
      <w:pPr>
        <w:pStyle w:val="CoL"/>
        <w:ind w:firstLine="547"/>
      </w:pPr>
      <w:r>
        <w:t>Resources procured by LSEs that are delayed coming online</w:t>
      </w:r>
      <w:r w:rsidR="007B03EF">
        <w:t>, even if the delay results in an order for backstop procurement,</w:t>
      </w:r>
      <w:r>
        <w:t xml:space="preserve"> should still </w:t>
      </w:r>
      <w:r w:rsidR="007B03EF">
        <w:t xml:space="preserve">be eligible to </w:t>
      </w:r>
      <w:r>
        <w:t>count toward compliance requirements in later years, if the resource</w:t>
      </w:r>
      <w:r w:rsidR="00AC2E5D">
        <w:t>s</w:t>
      </w:r>
      <w:r>
        <w:t xml:space="preserve"> come online by the next August 1 deadline</w:t>
      </w:r>
      <w:r w:rsidR="00F34D73">
        <w:t xml:space="preserve"> in D.19-11-016.</w:t>
      </w:r>
    </w:p>
    <w:p w:rsidR="00C50C9E" w:rsidP="00721419" w:rsidRDefault="00C50C9E" w14:paraId="0D91D3CF" w14:textId="2E6593AA">
      <w:pPr>
        <w:pStyle w:val="CoL"/>
        <w:ind w:firstLine="547"/>
      </w:pPr>
      <w:r>
        <w:t>The Commission should utilize the staff resolution process for recommended backstop procurement after each trigger date, to allow the Commission itself to vote to require backstop procurement to commence.</w:t>
      </w:r>
    </w:p>
    <w:p w:rsidR="00890E4B" w:rsidP="00721419" w:rsidRDefault="00890E4B" w14:paraId="5D22136A" w14:textId="5C8F3F9D">
      <w:pPr>
        <w:pStyle w:val="CoL"/>
        <w:ind w:firstLine="547"/>
      </w:pPr>
      <w:r>
        <w:t>In analyzing whether backstop procurement should be recommended, Commission staff should utilize the general criteria outlined in Section 4 of this decision, evaluating resource-specific considerations</w:t>
      </w:r>
      <w:r w:rsidR="0026223B">
        <w:t xml:space="preserve"> and</w:t>
      </w:r>
      <w:r>
        <w:t xml:space="preserve"> LSE-specific considerations, </w:t>
      </w:r>
      <w:r w:rsidR="0026223B">
        <w:t xml:space="preserve">as well as </w:t>
      </w:r>
      <w:r>
        <w:t xml:space="preserve">general procurement conditions. </w:t>
      </w:r>
    </w:p>
    <w:p w:rsidR="00AC2E21" w:rsidP="00721419" w:rsidRDefault="00AC2E21" w14:paraId="58E6F9B2" w14:textId="6FEC26DD">
      <w:pPr>
        <w:pStyle w:val="CoL"/>
        <w:ind w:firstLine="547"/>
      </w:pPr>
      <w:r>
        <w:t xml:space="preserve">The Commission should not adopt any up-front standards for whether contract extensions should be automatic and for how long; rather, Commission staff should evaluate this situation on a case-specific basis when reviewing the LSE compliance filings. </w:t>
      </w:r>
    </w:p>
    <w:p w:rsidR="00B770A3" w:rsidP="00721419" w:rsidRDefault="00B770A3" w14:paraId="0D46FBFC" w14:textId="1DF5DF78">
      <w:pPr>
        <w:pStyle w:val="CoL"/>
        <w:ind w:firstLine="547"/>
      </w:pPr>
      <w:r>
        <w:t xml:space="preserve">Commission staff should compare information on contracts included in the individual IRPs filed in this docket, as subsequently supplemented or amended, against representations made in compliance filings required by this </w:t>
      </w:r>
      <w:proofErr w:type="gramStart"/>
      <w:r>
        <w:t>decision, and</w:t>
      </w:r>
      <w:proofErr w:type="gramEnd"/>
      <w:r>
        <w:t xml:space="preserve"> request any supplemental information or documentation to explain differences.</w:t>
      </w:r>
    </w:p>
    <w:p w:rsidR="00C50C9E" w:rsidP="00721419" w:rsidRDefault="00811213" w14:paraId="6A4F62C4" w14:textId="0219FF42">
      <w:pPr>
        <w:pStyle w:val="CoL"/>
        <w:ind w:firstLine="547"/>
      </w:pPr>
      <w:r>
        <w:lastRenderedPageBreak/>
        <w:t>IOUs being required to conduct backstop procurement should be required to initiate an RFO no more than 60</w:t>
      </w:r>
      <w:r w:rsidR="00230EF3">
        <w:t> </w:t>
      </w:r>
      <w:r>
        <w:t>days after the Commission adopts the resolution requiring backstop procurement</w:t>
      </w:r>
      <w:r w:rsidR="0026223B">
        <w:t>, though an RFO may not be required for backstop procurement triggered after the final compliance filing</w:t>
      </w:r>
      <w:r>
        <w:t>.</w:t>
      </w:r>
    </w:p>
    <w:p w:rsidR="00811213" w:rsidP="00721419" w:rsidRDefault="00811213" w14:paraId="29EC02F2" w14:textId="6E1F589A">
      <w:pPr>
        <w:pStyle w:val="CoL"/>
        <w:ind w:firstLine="547"/>
      </w:pPr>
      <w:r>
        <w:t>Backstop procurement initiated in one year should generally aim for capacity to be online and delivering by the summer of the following year.</w:t>
      </w:r>
    </w:p>
    <w:p w:rsidR="00E25984" w:rsidP="00721419" w:rsidRDefault="00E25984" w14:paraId="43970A93" w14:textId="0E0B54F8">
      <w:pPr>
        <w:pStyle w:val="CoL"/>
        <w:ind w:firstLine="547"/>
      </w:pPr>
      <w:r>
        <w:t>IOUs conducting backstop procurement should have some discretion, based on capacity offers received, to adjust the timing of the deliveries</w:t>
      </w:r>
      <w:r w:rsidR="00094DBF">
        <w:t>, depending on cost-benefit evaluations.</w:t>
      </w:r>
    </w:p>
    <w:p w:rsidR="00B770A3" w:rsidP="00721419" w:rsidRDefault="00B770A3" w14:paraId="63C77580" w14:textId="454790B5">
      <w:pPr>
        <w:pStyle w:val="CoL"/>
        <w:ind w:firstLine="547"/>
      </w:pPr>
      <w:r>
        <w:t xml:space="preserve">After the Commission requires an IOU to initiate backstop procurement by adopting a resolution brought forward by Commission staff, all administrative and procurement costs associated with the backstop procurement </w:t>
      </w:r>
      <w:r w:rsidR="004144D6">
        <w:t>should</w:t>
      </w:r>
      <w:r>
        <w:t xml:space="preserve"> be eligible for cost recovery. </w:t>
      </w:r>
      <w:r w:rsidR="00DB270B">
        <w:t xml:space="preserve"> The manner of such cost recovery will be addressed in a subsequent decision in this proceeding.</w:t>
      </w:r>
    </w:p>
    <w:p w:rsidR="00094DBF" w:rsidP="00721419" w:rsidRDefault="00094DBF" w14:paraId="064CAB37" w14:textId="114C0E67">
      <w:pPr>
        <w:pStyle w:val="CoL"/>
        <w:ind w:firstLine="547"/>
      </w:pPr>
      <w:r>
        <w:t>As with capacity contracted to meet the requirements of D.19</w:t>
      </w:r>
      <w:r w:rsidR="006F36FB">
        <w:noBreakHyphen/>
      </w:r>
      <w:r>
        <w:t>11</w:t>
      </w:r>
      <w:r w:rsidR="006F36FB">
        <w:noBreakHyphen/>
      </w:r>
      <w:r>
        <w:t xml:space="preserve">016 generally, IOUs should be required to bring Tier 3 advice letters to the Commission for approval of backstop procurement capacity. </w:t>
      </w:r>
    </w:p>
    <w:p w:rsidRPr="001E2A62" w:rsidR="0063157A" w:rsidP="00721419" w:rsidRDefault="0063157A" w14:paraId="2DD13287" w14:textId="4A1808AA">
      <w:pPr>
        <w:pStyle w:val="CoL"/>
        <w:ind w:firstLine="547"/>
      </w:pPr>
      <w:r>
        <w:t xml:space="preserve">The Commission should act expeditiously on the IOU Tier 3 advice letters. </w:t>
      </w:r>
    </w:p>
    <w:p w:rsidR="00BB0243" w:rsidP="008E05A3" w:rsidRDefault="005939A5" w14:paraId="3158D79F" w14:textId="77777777">
      <w:pPr>
        <w:pStyle w:val="Mainex"/>
        <w:spacing w:after="120"/>
      </w:pPr>
      <w:bookmarkStart w:name="_Toc58842638" w:id="25"/>
      <w:r>
        <w:t>O</w:t>
      </w:r>
      <w:r w:rsidR="00722850">
        <w:t>RDER</w:t>
      </w:r>
      <w:bookmarkEnd w:id="25"/>
    </w:p>
    <w:p w:rsidR="00BB0243" w:rsidP="000A6E05" w:rsidRDefault="00BB0243" w14:paraId="3854B233" w14:textId="77777777">
      <w:pPr>
        <w:keepNext/>
      </w:pPr>
      <w:r w:rsidRPr="00BB0243">
        <w:rPr>
          <w:b/>
        </w:rPr>
        <w:t>IT IS ORDERED</w:t>
      </w:r>
      <w:r>
        <w:t xml:space="preserve"> that:</w:t>
      </w:r>
    </w:p>
    <w:p w:rsidR="00932865" w:rsidP="001E2A62" w:rsidRDefault="00840F43" w14:paraId="2445144A" w14:textId="30A6089D">
      <w:pPr>
        <w:pStyle w:val="OP"/>
      </w:pPr>
      <w:r>
        <w:t xml:space="preserve">All load-serving entities </w:t>
      </w:r>
      <w:r w:rsidR="00B37747">
        <w:t>with procurement obligations included in Decision</w:t>
      </w:r>
      <w:r w:rsidR="008E05A3">
        <w:t> </w:t>
      </w:r>
      <w:r w:rsidR="00966755">
        <w:t xml:space="preserve">(D.) </w:t>
      </w:r>
      <w:r w:rsidR="00B37747">
        <w:t>19-11-016</w:t>
      </w:r>
      <w:r>
        <w:t xml:space="preserve"> </w:t>
      </w:r>
      <w:r w:rsidR="00A27483">
        <w:t xml:space="preserve">who did not opt out of providing capacity for their customers </w:t>
      </w:r>
      <w:r>
        <w:t>shall make compliance filings on February</w:t>
      </w:r>
      <w:r w:rsidR="006F36FB">
        <w:t> </w:t>
      </w:r>
      <w:r>
        <w:t>1 and August</w:t>
      </w:r>
      <w:r w:rsidR="006F36FB">
        <w:t> </w:t>
      </w:r>
      <w:r>
        <w:t>1 of 2021, 2022, and 2023</w:t>
      </w:r>
      <w:r w:rsidR="00BC606B">
        <w:t xml:space="preserve">, in a format developed and disseminated by Commission for the </w:t>
      </w:r>
      <w:proofErr w:type="gramStart"/>
      <w:r w:rsidR="00BC606B">
        <w:t>publicly-available</w:t>
      </w:r>
      <w:proofErr w:type="gramEnd"/>
      <w:r w:rsidR="00BC606B">
        <w:t xml:space="preserve"> portion,</w:t>
      </w:r>
      <w:r w:rsidR="00B37747">
        <w:t xml:space="preserve"> containing information about </w:t>
      </w:r>
      <w:r w:rsidR="00A27483">
        <w:t>progress</w:t>
      </w:r>
      <w:r w:rsidR="00B37747">
        <w:t xml:space="preserve"> toward </w:t>
      </w:r>
      <w:r w:rsidR="00B37747">
        <w:lastRenderedPageBreak/>
        <w:t>achieving the electric capacity procurement requirements</w:t>
      </w:r>
      <w:r w:rsidR="00A27483">
        <w:t xml:space="preserve"> for the years 2021, 2022, and 2023</w:t>
      </w:r>
      <w:r w:rsidR="00B37747">
        <w:t xml:space="preserve">.  These compliance filings are separate from any other integrated resource planning data filing </w:t>
      </w:r>
      <w:proofErr w:type="gramStart"/>
      <w:r w:rsidR="00B37747">
        <w:t>requirements</w:t>
      </w:r>
      <w:r w:rsidR="00966755">
        <w:t xml:space="preserve">, </w:t>
      </w:r>
      <w:r w:rsidR="008C1E3C">
        <w:t>but</w:t>
      </w:r>
      <w:proofErr w:type="gramEnd"/>
      <w:r w:rsidR="00966755">
        <w:t xml:space="preserve"> replace the filing dates </w:t>
      </w:r>
      <w:r w:rsidR="00AC2E5D">
        <w:t xml:space="preserve">previously </w:t>
      </w:r>
      <w:r w:rsidR="00966755">
        <w:t>included in D.19-11-016</w:t>
      </w:r>
      <w:r w:rsidR="007B03EF">
        <w:t>, except for the May 1 annual filing date required for all procurement data related to integrated resource planning</w:t>
      </w:r>
      <w:r w:rsidR="00B37747">
        <w:t>.</w:t>
      </w:r>
    </w:p>
    <w:p w:rsidR="00B37747" w:rsidP="001E2A62" w:rsidRDefault="00B37747" w14:paraId="67DEE5BA" w14:textId="496F3452">
      <w:pPr>
        <w:pStyle w:val="OP"/>
      </w:pPr>
      <w:r>
        <w:t>When making the compliance filings required in Ordering Paragraph</w:t>
      </w:r>
      <w:r w:rsidR="006F36FB">
        <w:t> </w:t>
      </w:r>
      <w:r>
        <w:t>1 above, all load-serving entities subject to the requirements of Decision</w:t>
      </w:r>
      <w:r w:rsidR="008E05A3">
        <w:t> </w:t>
      </w:r>
      <w:r>
        <w:t>19</w:t>
      </w:r>
      <w:r w:rsidR="008E05A3">
        <w:noBreakHyphen/>
      </w:r>
      <w:r>
        <w:t>11</w:t>
      </w:r>
      <w:r w:rsidR="008E05A3">
        <w:noBreakHyphen/>
      </w:r>
      <w:r>
        <w:t xml:space="preserve">016 </w:t>
      </w:r>
      <w:r w:rsidR="00A27483">
        <w:t xml:space="preserve">who did not opt out of providing capacity for their customers </w:t>
      </w:r>
      <w:r>
        <w:t>shall include information addressing each of the following milestones for each of the three years of the capacity requirements (2021, 2022, and 2023)</w:t>
      </w:r>
      <w:r w:rsidR="00A27483">
        <w:t>:</w:t>
      </w:r>
    </w:p>
    <w:p w:rsidR="00B37747" w:rsidP="006F36FB" w:rsidRDefault="00B37747" w14:paraId="1FEA86FC" w14:textId="53040802">
      <w:pPr>
        <w:numPr>
          <w:ilvl w:val="1"/>
          <w:numId w:val="4"/>
        </w:numPr>
        <w:spacing w:after="120" w:line="240" w:lineRule="auto"/>
        <w:ind w:left="1170" w:right="1440" w:hanging="180"/>
      </w:pPr>
      <w:r w:rsidRPr="00B37747">
        <w:rPr>
          <w:u w:val="single"/>
        </w:rPr>
        <w:t>Milestone 1:</w:t>
      </w:r>
      <w:r>
        <w:t xml:space="preserve"> a </w:t>
      </w:r>
      <w:r w:rsidR="00A27483">
        <w:t xml:space="preserve">signed </w:t>
      </w:r>
      <w:r w:rsidRPr="009448FC">
        <w:t>contract</w:t>
      </w:r>
      <w:r>
        <w:t xml:space="preserve"> with a </w:t>
      </w:r>
      <w:r w:rsidR="00A27483">
        <w:t xml:space="preserve">resource developer for provision of </w:t>
      </w:r>
      <w:r>
        <w:t>commercial technology, a</w:t>
      </w:r>
      <w:r w:rsidR="00A27483">
        <w:t>n</w:t>
      </w:r>
      <w:r>
        <w:t xml:space="preserve"> interconnection </w:t>
      </w:r>
      <w:r w:rsidR="00A27483">
        <w:t xml:space="preserve">agreement with a demonstrated path </w:t>
      </w:r>
      <w:r>
        <w:t>toward deliverability</w:t>
      </w:r>
      <w:r w:rsidR="00A27483">
        <w:t xml:space="preserve"> by the required online date, signed land leases or title deeds demonstrating project site control, and a project timeline</w:t>
      </w:r>
      <w:r>
        <w:t xml:space="preserve">.  This milestone may also show intended procurement from demand response resources, as well as allowable imports. </w:t>
      </w:r>
    </w:p>
    <w:p w:rsidR="00B37747" w:rsidP="006F36FB" w:rsidRDefault="00B37747" w14:paraId="034933B6" w14:textId="15FB1F29">
      <w:pPr>
        <w:numPr>
          <w:ilvl w:val="1"/>
          <w:numId w:val="4"/>
        </w:numPr>
        <w:spacing w:after="120" w:line="240" w:lineRule="auto"/>
        <w:ind w:left="1170" w:right="1440" w:hanging="180"/>
      </w:pPr>
      <w:r w:rsidRPr="00B37747">
        <w:rPr>
          <w:u w:val="single"/>
        </w:rPr>
        <w:t>Milestone 2:</w:t>
      </w:r>
      <w:r>
        <w:t xml:space="preserve"> a showing of a “notice to proceed” or similar contractual evidence of construction commencement for new construction projects, as well as executed contracts for demand response, imports, or sales of excess resources between LSEs.</w:t>
      </w:r>
    </w:p>
    <w:p w:rsidR="00B37747" w:rsidP="006F36FB" w:rsidRDefault="00B37747" w14:paraId="2A518F81" w14:textId="77777777">
      <w:pPr>
        <w:numPr>
          <w:ilvl w:val="1"/>
          <w:numId w:val="4"/>
        </w:numPr>
        <w:spacing w:after="120" w:line="240" w:lineRule="auto"/>
        <w:ind w:left="1170" w:right="1440" w:hanging="180"/>
      </w:pPr>
      <w:r w:rsidRPr="00B37747">
        <w:rPr>
          <w:u w:val="single"/>
        </w:rPr>
        <w:t>Milestone 3:</w:t>
      </w:r>
      <w:r>
        <w:t xml:space="preserve"> </w:t>
      </w:r>
      <w:r w:rsidRPr="006F36FB">
        <w:rPr>
          <w:u w:val="single"/>
        </w:rPr>
        <w:t>evidence</w:t>
      </w:r>
      <w:r>
        <w:t xml:space="preserve"> of a project being online and capable of delivering energy, or in the case of demand response, load reduction.</w:t>
      </w:r>
    </w:p>
    <w:p w:rsidR="002A5C0B" w:rsidP="00B3087D" w:rsidRDefault="002A5C0B" w14:paraId="228B2DC0" w14:textId="64F371E4">
      <w:pPr>
        <w:pStyle w:val="OP"/>
      </w:pPr>
      <w:r>
        <w:t>After a project has reached commercial operation, all load-serving entities subject to the requirements of Decision 19</w:t>
      </w:r>
      <w:r>
        <w:noBreakHyphen/>
        <w:t>11</w:t>
      </w:r>
      <w:r>
        <w:noBreakHyphen/>
        <w:t xml:space="preserve">016 who did not opt out of providing capacity for their customers shall be required to include in their </w:t>
      </w:r>
      <w:r>
        <w:lastRenderedPageBreak/>
        <w:t xml:space="preserve">compliance filings required in Ordering Paragraph 1 information only addressing Milestone 3 as defined in Ordering Paragraph 2. </w:t>
      </w:r>
    </w:p>
    <w:p w:rsidR="00F6397D" w:rsidP="00B3087D" w:rsidRDefault="00780834" w14:paraId="0928127C" w14:textId="587884CA">
      <w:pPr>
        <w:pStyle w:val="OP"/>
      </w:pPr>
      <w:r>
        <w:t>After review of the compliance filings required in Ordering Paragraph</w:t>
      </w:r>
      <w:r w:rsidR="008E05A3">
        <w:t> </w:t>
      </w:r>
      <w:r>
        <w:t>1 above on February</w:t>
      </w:r>
      <w:r w:rsidR="008E05A3">
        <w:t> </w:t>
      </w:r>
      <w:r>
        <w:t>1,</w:t>
      </w:r>
      <w:r w:rsidR="008E05A3">
        <w:t> </w:t>
      </w:r>
      <w:r>
        <w:t>2021, February</w:t>
      </w:r>
      <w:r w:rsidR="008E05A3">
        <w:t> </w:t>
      </w:r>
      <w:r>
        <w:t>1,</w:t>
      </w:r>
      <w:r w:rsidR="008E05A3">
        <w:t> </w:t>
      </w:r>
      <w:r>
        <w:t>2022, February</w:t>
      </w:r>
      <w:r w:rsidR="008E05A3">
        <w:t> </w:t>
      </w:r>
      <w:r>
        <w:t>1,</w:t>
      </w:r>
      <w:r w:rsidR="008E05A3">
        <w:t> </w:t>
      </w:r>
      <w:r>
        <w:t>2023, and August</w:t>
      </w:r>
      <w:r w:rsidR="008E05A3">
        <w:t> </w:t>
      </w:r>
      <w:r>
        <w:t>1,</w:t>
      </w:r>
      <w:r w:rsidR="008E05A3">
        <w:t> </w:t>
      </w:r>
      <w:r>
        <w:t xml:space="preserve">2023, Commission staff shall </w:t>
      </w:r>
      <w:proofErr w:type="gramStart"/>
      <w:r>
        <w:t>take into account</w:t>
      </w:r>
      <w:proofErr w:type="gramEnd"/>
      <w:r>
        <w:t xml:space="preserve"> criteria detailed in Section 4 of this decision and bring a resolution before the Commission recommending that an investor-owned electric utility be required to conduct backstop procurement, if warranted.  </w:t>
      </w:r>
    </w:p>
    <w:p w:rsidR="00780834" w:rsidP="00B3087D" w:rsidRDefault="00780834" w14:paraId="4C533992" w14:textId="01FEA998">
      <w:pPr>
        <w:pStyle w:val="OP"/>
      </w:pPr>
      <w:r>
        <w:t>If the Commission adopts a resolution requiring an electric investor-owned utility (IOU) to conduct backstop procurement as contemplated in Decision</w:t>
      </w:r>
      <w:r w:rsidR="008E05A3">
        <w:t> </w:t>
      </w:r>
      <w:r>
        <w:t>19</w:t>
      </w:r>
      <w:r w:rsidR="008E05A3">
        <w:noBreakHyphen/>
      </w:r>
      <w:r>
        <w:t>11</w:t>
      </w:r>
      <w:r w:rsidR="008E05A3">
        <w:noBreakHyphen/>
      </w:r>
      <w:r>
        <w:t>016 and detailed in this decision, that electric IOU shall issue a Request for Offers</w:t>
      </w:r>
      <w:r w:rsidR="001A577C">
        <w:t>, if one is needed,</w:t>
      </w:r>
      <w:r>
        <w:t xml:space="preserve"> within 60</w:t>
      </w:r>
      <w:r w:rsidR="008E05A3">
        <w:t> </w:t>
      </w:r>
      <w:r>
        <w:t>days of the Commission’s adoption of the resolution</w:t>
      </w:r>
      <w:r w:rsidR="00A27483">
        <w:t>, or as otherwise specified in the Commission resolution,</w:t>
      </w:r>
      <w:r>
        <w:t xml:space="preserve"> and shall aim to have the additional capacity online and delivering by the summer of the following year.</w:t>
      </w:r>
    </w:p>
    <w:p w:rsidR="00780834" w:rsidP="00B3087D" w:rsidRDefault="00780834" w14:paraId="3449666C" w14:textId="21BCDFD9">
      <w:pPr>
        <w:pStyle w:val="OP"/>
      </w:pPr>
      <w:r>
        <w:t xml:space="preserve">Once the Commission adopts a resolution requiring an electric investor-owned </w:t>
      </w:r>
      <w:r w:rsidR="00517608">
        <w:t xml:space="preserve">utility </w:t>
      </w:r>
      <w:r>
        <w:t xml:space="preserve">(IOU) to conduct backstop procurement, the administrative and procurement costs of that IOU shall be recoverable in rates and subject to cost allocation treatment that </w:t>
      </w:r>
      <w:r w:rsidR="00AC2E21">
        <w:t>was outlined in Decision</w:t>
      </w:r>
      <w:r w:rsidR="008E05A3">
        <w:t> </w:t>
      </w:r>
      <w:r w:rsidR="00AC2E21">
        <w:t>19</w:t>
      </w:r>
      <w:r w:rsidR="008E05A3">
        <w:noBreakHyphen/>
      </w:r>
      <w:r w:rsidR="00AC2E21">
        <w:t>11</w:t>
      </w:r>
      <w:r w:rsidR="008E05A3">
        <w:noBreakHyphen/>
      </w:r>
      <w:r w:rsidR="00AC2E21">
        <w:t xml:space="preserve">016 and </w:t>
      </w:r>
      <w:r>
        <w:t>will be addressed</w:t>
      </w:r>
      <w:r w:rsidR="00AC2E21">
        <w:t xml:space="preserve"> more fully</w:t>
      </w:r>
      <w:r>
        <w:t xml:space="preserve"> in a forthcoming Commission decision in this docket. </w:t>
      </w:r>
    </w:p>
    <w:p w:rsidR="00EA395E" w:rsidP="00EA395E" w:rsidRDefault="00780834" w14:paraId="7BD12C8D" w14:textId="7AE63596">
      <w:pPr>
        <w:pStyle w:val="OP"/>
      </w:pPr>
      <w:r>
        <w:t xml:space="preserve">Once the Commission adopts a resolution requiring an electric investor-owned utility (IOU) to conduct backstop procurement, the IOU shall bring </w:t>
      </w:r>
      <w:r w:rsidR="006135B0">
        <w:t>the</w:t>
      </w:r>
      <w:r>
        <w:t xml:space="preserve"> contracts associated with the backstop procurement back to the Commission for approval</w:t>
      </w:r>
      <w:r w:rsidR="006135B0">
        <w:t xml:space="preserve"> </w:t>
      </w:r>
      <w:r>
        <w:t>in a Tier 3 advice letter.</w:t>
      </w:r>
    </w:p>
    <w:p w:rsidR="00EA395E" w:rsidP="00EA395E" w:rsidRDefault="00EA395E" w14:paraId="6CA2B7DF" w14:textId="77777777">
      <w:pPr>
        <w:pStyle w:val="OP"/>
        <w:numPr>
          <w:ilvl w:val="0"/>
          <w:numId w:val="0"/>
        </w:numPr>
        <w:ind w:firstLine="540"/>
      </w:pPr>
    </w:p>
    <w:p w:rsidR="008A7B8F" w:rsidP="00B3087D" w:rsidRDefault="008A7B8F" w14:paraId="13CCE258" w14:textId="382993B0">
      <w:pPr>
        <w:pStyle w:val="OP"/>
      </w:pPr>
      <w:r>
        <w:lastRenderedPageBreak/>
        <w:t>This proceeding remains open.</w:t>
      </w:r>
    </w:p>
    <w:p w:rsidR="008F0116" w:rsidP="008F0116" w:rsidRDefault="008F0116" w14:paraId="6159C9FB" w14:textId="77777777">
      <w:r>
        <w:t>This order is effective today.</w:t>
      </w:r>
    </w:p>
    <w:p w:rsidR="00714CF2" w:rsidP="00816E05" w:rsidRDefault="008F0116" w14:paraId="4CA67F18" w14:textId="049F2A3D">
      <w:r>
        <w:t xml:space="preserve">Dated </w:t>
      </w:r>
      <w:r w:rsidR="00EA395E">
        <w:t>December 17, 2020</w:t>
      </w:r>
      <w:r>
        <w:t>, at San Francisco, California</w:t>
      </w:r>
    </w:p>
    <w:p w:rsidR="00EA395E" w:rsidP="00816E05" w:rsidRDefault="00EA395E" w14:paraId="020DB775" w14:textId="6343A67E"/>
    <w:p w:rsidRPr="005536B0" w:rsidR="00EA395E" w:rsidP="00EA395E" w:rsidRDefault="00EA395E" w14:paraId="36E3B26E" w14:textId="77777777">
      <w:pPr>
        <w:keepNext/>
        <w:keepLines/>
        <w:autoSpaceDE w:val="0"/>
        <w:autoSpaceDN w:val="0"/>
        <w:adjustRightInd w:val="0"/>
        <w:spacing w:line="240" w:lineRule="auto"/>
        <w:ind w:left="4320" w:firstLine="0"/>
        <w:jc w:val="both"/>
        <w:rPr>
          <w:rFonts w:cs="Palatino"/>
          <w:szCs w:val="26"/>
        </w:rPr>
      </w:pPr>
      <w:r w:rsidRPr="005536B0">
        <w:rPr>
          <w:rFonts w:cs="Courier New"/>
          <w:szCs w:val="26"/>
        </w:rPr>
        <w:t>MARYBEL BATJER</w:t>
      </w:r>
    </w:p>
    <w:p w:rsidRPr="005536B0" w:rsidR="00EA395E" w:rsidP="00EA395E" w:rsidRDefault="00EA395E" w14:paraId="5840F7DB" w14:textId="77777777">
      <w:pPr>
        <w:keepNext/>
        <w:keepLines/>
        <w:autoSpaceDE w:val="0"/>
        <w:autoSpaceDN w:val="0"/>
        <w:adjustRightInd w:val="0"/>
        <w:spacing w:line="240" w:lineRule="auto"/>
        <w:jc w:val="both"/>
        <w:rPr>
          <w:rFonts w:cs="Palatino"/>
          <w:szCs w:val="26"/>
        </w:rPr>
      </w:pP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r>
      <w:r w:rsidRPr="005536B0">
        <w:rPr>
          <w:rFonts w:cs="Palatino"/>
          <w:szCs w:val="26"/>
        </w:rPr>
        <w:tab/>
        <w:t xml:space="preserve">                       President</w:t>
      </w:r>
    </w:p>
    <w:p w:rsidRPr="005536B0" w:rsidR="00EA395E" w:rsidP="00EA395E" w:rsidRDefault="00EA395E" w14:paraId="4F717ADA" w14:textId="77777777">
      <w:pPr>
        <w:keepNext/>
        <w:keepLines/>
        <w:autoSpaceDE w:val="0"/>
        <w:autoSpaceDN w:val="0"/>
        <w:adjustRightInd w:val="0"/>
        <w:spacing w:line="240" w:lineRule="auto"/>
        <w:ind w:left="4320" w:firstLine="0"/>
        <w:jc w:val="both"/>
        <w:rPr>
          <w:rFonts w:cs="Courier New"/>
          <w:szCs w:val="26"/>
        </w:rPr>
      </w:pPr>
      <w:r w:rsidRPr="005536B0">
        <w:rPr>
          <w:rFonts w:cs="Courier New"/>
          <w:szCs w:val="26"/>
        </w:rPr>
        <w:t>LIANE M. RANDOLPH</w:t>
      </w:r>
    </w:p>
    <w:p w:rsidRPr="005536B0" w:rsidR="00EA395E" w:rsidP="00EA395E" w:rsidRDefault="00EA395E" w14:paraId="4F82E56C" w14:textId="77777777">
      <w:pPr>
        <w:keepNext/>
        <w:keepLines/>
        <w:autoSpaceDE w:val="0"/>
        <w:autoSpaceDN w:val="0"/>
        <w:adjustRightInd w:val="0"/>
        <w:spacing w:line="240" w:lineRule="auto"/>
        <w:ind w:left="4320" w:firstLine="0"/>
        <w:jc w:val="both"/>
        <w:rPr>
          <w:rFonts w:ascii="Times New Roman" w:hAnsi="Times New Roman"/>
          <w:sz w:val="28"/>
          <w:szCs w:val="28"/>
        </w:rPr>
      </w:pPr>
      <w:r w:rsidRPr="005536B0">
        <w:rPr>
          <w:rFonts w:ascii="Times New Roman" w:hAnsi="Times New Roman"/>
          <w:sz w:val="28"/>
          <w:szCs w:val="28"/>
        </w:rPr>
        <w:t>MARTHA GUZMAN ACEVES</w:t>
      </w:r>
    </w:p>
    <w:p w:rsidRPr="005536B0" w:rsidR="00EA395E" w:rsidP="00EA395E" w:rsidRDefault="00EA395E" w14:paraId="6BA82D1C" w14:textId="77777777">
      <w:pPr>
        <w:keepNext/>
        <w:keepLines/>
        <w:autoSpaceDE w:val="0"/>
        <w:autoSpaceDN w:val="0"/>
        <w:adjustRightInd w:val="0"/>
        <w:spacing w:line="240" w:lineRule="auto"/>
        <w:ind w:left="4320" w:firstLine="0"/>
        <w:jc w:val="both"/>
        <w:rPr>
          <w:sz w:val="28"/>
          <w:szCs w:val="28"/>
        </w:rPr>
      </w:pPr>
      <w:r w:rsidRPr="005536B0">
        <w:rPr>
          <w:sz w:val="28"/>
          <w:szCs w:val="28"/>
        </w:rPr>
        <w:t>CLIFFORD RECHTSCHAFFEN</w:t>
      </w:r>
    </w:p>
    <w:p w:rsidRPr="005536B0" w:rsidR="00EA395E" w:rsidP="00EA395E" w:rsidRDefault="00EA395E" w14:paraId="2DD772F3" w14:textId="77777777">
      <w:pPr>
        <w:keepNext/>
        <w:keepLines/>
        <w:autoSpaceDE w:val="0"/>
        <w:autoSpaceDN w:val="0"/>
        <w:adjustRightInd w:val="0"/>
        <w:spacing w:line="240" w:lineRule="auto"/>
        <w:ind w:left="4320" w:firstLine="0"/>
        <w:jc w:val="both"/>
        <w:rPr>
          <w:sz w:val="28"/>
          <w:szCs w:val="28"/>
        </w:rPr>
      </w:pPr>
      <w:r w:rsidRPr="005536B0">
        <w:rPr>
          <w:sz w:val="28"/>
          <w:szCs w:val="28"/>
        </w:rPr>
        <w:t>GENEVIEVE SHIROMA</w:t>
      </w:r>
    </w:p>
    <w:p w:rsidR="00EA395E" w:rsidP="00EA395E" w:rsidRDefault="00EA395E" w14:paraId="3D619DC8" w14:textId="77777777">
      <w:r w:rsidRPr="005536B0">
        <w:rPr>
          <w:rFonts w:cs="Palatino"/>
          <w:szCs w:val="26"/>
        </w:rPr>
        <w:t xml:space="preserve"> </w:t>
      </w:r>
      <w:r>
        <w:rPr>
          <w:rFonts w:cs="Palatino"/>
          <w:szCs w:val="26"/>
        </w:rPr>
        <w:tab/>
      </w:r>
      <w:r>
        <w:rPr>
          <w:rFonts w:cs="Palatino"/>
          <w:szCs w:val="26"/>
        </w:rPr>
        <w:tab/>
      </w:r>
      <w:r>
        <w:rPr>
          <w:rFonts w:cs="Palatino"/>
          <w:szCs w:val="26"/>
        </w:rPr>
        <w:tab/>
      </w:r>
      <w:r>
        <w:rPr>
          <w:rFonts w:cs="Palatino"/>
          <w:szCs w:val="26"/>
        </w:rPr>
        <w:tab/>
      </w:r>
      <w:r>
        <w:rPr>
          <w:rFonts w:cs="Palatino"/>
          <w:szCs w:val="26"/>
        </w:rPr>
        <w:tab/>
      </w:r>
      <w:r>
        <w:rPr>
          <w:rFonts w:cs="Palatino"/>
          <w:szCs w:val="26"/>
        </w:rPr>
        <w:tab/>
      </w:r>
      <w:r w:rsidRPr="005536B0">
        <w:rPr>
          <w:rFonts w:cs="Palatino"/>
          <w:szCs w:val="26"/>
        </w:rPr>
        <w:t xml:space="preserve">                Commissioners</w:t>
      </w:r>
    </w:p>
    <w:p w:rsidRPr="00714CF2" w:rsidR="00EA395E" w:rsidP="00816E05" w:rsidRDefault="00EA395E" w14:paraId="3557294F" w14:textId="77777777"/>
    <w:sectPr w:rsidRPr="00714CF2" w:rsidR="00EA395E" w:rsidSect="003272B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CFBE" w14:textId="77777777" w:rsidR="00334130" w:rsidRDefault="00334130" w:rsidP="0098138E">
      <w:pPr>
        <w:spacing w:line="240" w:lineRule="auto"/>
      </w:pPr>
      <w:r>
        <w:separator/>
      </w:r>
    </w:p>
  </w:endnote>
  <w:endnote w:type="continuationSeparator" w:id="0">
    <w:p w14:paraId="2F2A38C4" w14:textId="77777777" w:rsidR="00334130" w:rsidRDefault="00334130"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A881" w14:textId="48754B5A" w:rsidR="00642F2F" w:rsidRDefault="004A2454" w:rsidP="003272B8">
    <w:pPr>
      <w:tabs>
        <w:tab w:val="center" w:pos="4680"/>
      </w:tabs>
      <w:ind w:firstLine="0"/>
      <w:rPr>
        <w:noProof/>
      </w:rPr>
    </w:pPr>
    <w:sdt>
      <w:sdtPr>
        <w:id w:val="1896464578"/>
        <w:docPartObj>
          <w:docPartGallery w:val="Page Numbers (Bottom of Page)"/>
          <w:docPartUnique/>
        </w:docPartObj>
      </w:sdtPr>
      <w:sdtEndPr>
        <w:rPr>
          <w:noProof/>
        </w:rPr>
      </w:sdtEndPr>
      <w:sdtContent>
        <w:r w:rsidRPr="004A2454">
          <w:rPr>
            <w:sz w:val="16"/>
            <w:szCs w:val="16"/>
          </w:rPr>
          <w:t>356271811</w:t>
        </w:r>
        <w:r w:rsidR="00642F2F">
          <w:rPr>
            <w:rFonts w:ascii="Arial" w:hAnsi="Arial" w:cs="Arial"/>
            <w:sz w:val="16"/>
            <w:szCs w:val="16"/>
          </w:rPr>
          <w:tab/>
        </w:r>
        <w:r w:rsidR="00642F2F">
          <w:t xml:space="preserve">- </w:t>
        </w:r>
        <w:r w:rsidR="00642F2F">
          <w:fldChar w:fldCharType="begin"/>
        </w:r>
        <w:r w:rsidR="00642F2F">
          <w:instrText xml:space="preserve"> PAGE   \* MERGEFORMAT </w:instrText>
        </w:r>
        <w:r w:rsidR="00642F2F">
          <w:fldChar w:fldCharType="separate"/>
        </w:r>
        <w:r w:rsidR="00642F2F">
          <w:rPr>
            <w:noProof/>
          </w:rPr>
          <w:t>1</w:t>
        </w:r>
        <w:r w:rsidR="00642F2F">
          <w:rPr>
            <w:noProof/>
          </w:rPr>
          <w:fldChar w:fldCharType="end"/>
        </w:r>
      </w:sdtContent>
    </w:sdt>
    <w:r w:rsidR="00642F2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8441"/>
      <w:docPartObj>
        <w:docPartGallery w:val="Page Numbers (Bottom of Page)"/>
        <w:docPartUnique/>
      </w:docPartObj>
    </w:sdtPr>
    <w:sdtEndPr>
      <w:rPr>
        <w:noProof/>
      </w:rPr>
    </w:sdtEndPr>
    <w:sdtContent>
      <w:p w14:paraId="03439EEE" w14:textId="65BABF08" w:rsidR="00642F2F" w:rsidRDefault="00642F2F" w:rsidP="003272B8">
        <w:pPr>
          <w:pStyle w:val="Footer"/>
          <w:tabs>
            <w:tab w:val="clear" w:pos="4680"/>
            <w:tab w:val="center" w:pos="4500"/>
          </w:tabs>
          <w:ind w:left="1080" w:firstLine="0"/>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C36FC" w14:textId="77777777" w:rsidR="00334130" w:rsidRDefault="00334130" w:rsidP="00DF58E7">
      <w:pPr>
        <w:spacing w:line="240" w:lineRule="auto"/>
        <w:ind w:firstLine="0"/>
      </w:pPr>
      <w:r>
        <w:separator/>
      </w:r>
    </w:p>
  </w:footnote>
  <w:footnote w:type="continuationSeparator" w:id="0">
    <w:p w14:paraId="02CAC3D1" w14:textId="77777777" w:rsidR="00334130" w:rsidRDefault="00334130" w:rsidP="00DF58E7">
      <w:pPr>
        <w:spacing w:line="240" w:lineRule="auto"/>
        <w:ind w:firstLine="0"/>
      </w:pPr>
      <w:r>
        <w:continuationSeparator/>
      </w:r>
    </w:p>
  </w:footnote>
  <w:footnote w:type="continuationNotice" w:id="1">
    <w:p w14:paraId="61B1E7B8" w14:textId="77777777" w:rsidR="00334130" w:rsidRPr="00DF58E7" w:rsidRDefault="00334130"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3E96DEBB" w14:textId="57DC020E" w:rsidR="00642F2F" w:rsidRDefault="00642F2F" w:rsidP="00C5169C">
      <w:pPr>
        <w:pStyle w:val="FootnoteText"/>
      </w:pPr>
      <w:r>
        <w:rPr>
          <w:rStyle w:val="FootnoteReference"/>
        </w:rPr>
        <w:footnoteRef/>
      </w:r>
      <w:r>
        <w:t xml:space="preserve">  Table reflects Procurement Tranche 1 dates.  Milestones for Tranches 2 and 3 would be one and two years later,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2F5D" w14:textId="4191EF35" w:rsidR="00830D2F" w:rsidRDefault="00830D2F">
    <w:pPr>
      <w:pStyle w:val="Header"/>
    </w:pPr>
  </w:p>
  <w:p w14:paraId="169297BA" w14:textId="10D37B63" w:rsidR="00830D2F" w:rsidRDefault="00830D2F">
    <w:pPr>
      <w:pStyle w:val="Header"/>
    </w:pPr>
  </w:p>
  <w:p w14:paraId="1C313D04" w14:textId="77777777" w:rsidR="00830D2F" w:rsidRDefault="00830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8B9E" w14:textId="77F443CE" w:rsidR="00642F2F" w:rsidRDefault="00642F2F" w:rsidP="00B3087D">
    <w:pPr>
      <w:pStyle w:val="Header"/>
      <w:tabs>
        <w:tab w:val="clear" w:pos="4680"/>
      </w:tabs>
      <w:ind w:firstLine="0"/>
      <w:rPr>
        <w:i/>
        <w:color w:val="FF0000"/>
      </w:rPr>
    </w:pPr>
    <w:r>
      <w:t>R.20-05-</w:t>
    </w:r>
    <w:proofErr w:type="gramStart"/>
    <w:r>
      <w:t>003  ALJ</w:t>
    </w:r>
    <w:proofErr w:type="gramEnd"/>
    <w:r>
      <w:t>/JF2/jnf</w:t>
    </w:r>
    <w:r>
      <w:tab/>
    </w:r>
  </w:p>
  <w:p w14:paraId="39DDC5BF" w14:textId="0BF80090" w:rsidR="00E5267F" w:rsidRDefault="00E5267F" w:rsidP="00B3087D">
    <w:pPr>
      <w:pStyle w:val="Header"/>
      <w:tabs>
        <w:tab w:val="clear" w:pos="4680"/>
      </w:tabs>
      <w:ind w:firstLine="0"/>
      <w:rPr>
        <w:i/>
        <w:color w:val="FF0000"/>
      </w:rPr>
    </w:pPr>
  </w:p>
  <w:p w14:paraId="443A556D" w14:textId="77777777" w:rsidR="00E5267F" w:rsidRDefault="00E5267F" w:rsidP="00B3087D">
    <w:pPr>
      <w:pStyle w:val="Header"/>
      <w:tabs>
        <w:tab w:val="clear" w:pos="4680"/>
      </w:tabs>
      <w:ind w:firstLine="0"/>
      <w:rPr>
        <w:i/>
        <w:color w:val="FF0000"/>
      </w:rPr>
    </w:pPr>
  </w:p>
  <w:p w14:paraId="3E156426" w14:textId="77777777" w:rsidR="00642F2F" w:rsidRPr="00B3087D" w:rsidRDefault="00642F2F"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B135C29"/>
    <w:multiLevelType w:val="hybridMultilevel"/>
    <w:tmpl w:val="9F78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5" w15:restartNumberingAfterBreak="0">
    <w:nsid w:val="344F6BCC"/>
    <w:multiLevelType w:val="hybridMultilevel"/>
    <w:tmpl w:val="2AF8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D042D7"/>
    <w:multiLevelType w:val="multilevel"/>
    <w:tmpl w:val="18F4A5AC"/>
    <w:numStyleLink w:val="FoFCoLOP"/>
  </w:abstractNum>
  <w:abstractNum w:abstractNumId="7" w15:restartNumberingAfterBreak="0">
    <w:nsid w:val="5A9E2171"/>
    <w:multiLevelType w:val="multilevel"/>
    <w:tmpl w:val="3C526EDE"/>
    <w:numStyleLink w:val="Headings"/>
  </w:abstractNum>
  <w:abstractNum w:abstractNumId="8" w15:restartNumberingAfterBreak="0">
    <w:nsid w:val="61A25780"/>
    <w:multiLevelType w:val="multilevel"/>
    <w:tmpl w:val="3C526EDE"/>
    <w:numStyleLink w:val="Headings"/>
  </w:abstractNum>
  <w:abstractNum w:abstractNumId="9" w15:restartNumberingAfterBreak="0">
    <w:nsid w:val="789A0AFE"/>
    <w:multiLevelType w:val="multilevel"/>
    <w:tmpl w:val="18F4A5AC"/>
    <w:numStyleLink w:val="FoFCoLOP"/>
  </w:abstractNum>
  <w:abstractNum w:abstractNumId="10" w15:restartNumberingAfterBreak="0">
    <w:nsid w:val="7C8A1550"/>
    <w:multiLevelType w:val="hybridMultilevel"/>
    <w:tmpl w:val="7F2C36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6"/>
  </w:num>
  <w:num w:numId="4">
    <w:abstractNumId w:val="2"/>
  </w:num>
  <w:num w:numId="5">
    <w:abstractNumId w:val="9"/>
  </w:num>
  <w:num w:numId="6">
    <w:abstractNumId w:val="4"/>
  </w:num>
  <w:num w:numId="7">
    <w:abstractNumId w:val="0"/>
  </w:num>
  <w:num w:numId="8">
    <w:abstractNumId w:val="8"/>
  </w:num>
  <w:num w:numId="9">
    <w:abstractNumId w:val="3"/>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7D"/>
    <w:rsid w:val="00000F6A"/>
    <w:rsid w:val="000262A2"/>
    <w:rsid w:val="00036754"/>
    <w:rsid w:val="000631F0"/>
    <w:rsid w:val="00063EC9"/>
    <w:rsid w:val="00064D63"/>
    <w:rsid w:val="0007074E"/>
    <w:rsid w:val="0007115A"/>
    <w:rsid w:val="00094865"/>
    <w:rsid w:val="00094DBF"/>
    <w:rsid w:val="000973C8"/>
    <w:rsid w:val="000A2AA9"/>
    <w:rsid w:val="000A56F2"/>
    <w:rsid w:val="000A6E05"/>
    <w:rsid w:val="000B12FA"/>
    <w:rsid w:val="000B3008"/>
    <w:rsid w:val="000C08BF"/>
    <w:rsid w:val="000C3B9A"/>
    <w:rsid w:val="000D25A8"/>
    <w:rsid w:val="000E270A"/>
    <w:rsid w:val="000E409F"/>
    <w:rsid w:val="000E4C53"/>
    <w:rsid w:val="000F407F"/>
    <w:rsid w:val="00121089"/>
    <w:rsid w:val="0013064A"/>
    <w:rsid w:val="0013266A"/>
    <w:rsid w:val="00132DE9"/>
    <w:rsid w:val="001405E1"/>
    <w:rsid w:val="0014722C"/>
    <w:rsid w:val="00184989"/>
    <w:rsid w:val="00193C5F"/>
    <w:rsid w:val="00195118"/>
    <w:rsid w:val="001A577C"/>
    <w:rsid w:val="001B7968"/>
    <w:rsid w:val="001C21C4"/>
    <w:rsid w:val="001C363F"/>
    <w:rsid w:val="001E2A62"/>
    <w:rsid w:val="001E358F"/>
    <w:rsid w:val="001E44C9"/>
    <w:rsid w:val="001F2819"/>
    <w:rsid w:val="00201801"/>
    <w:rsid w:val="002043EC"/>
    <w:rsid w:val="00211933"/>
    <w:rsid w:val="00230EF3"/>
    <w:rsid w:val="00243DC0"/>
    <w:rsid w:val="00247477"/>
    <w:rsid w:val="0026223B"/>
    <w:rsid w:val="002639A2"/>
    <w:rsid w:val="00270440"/>
    <w:rsid w:val="00274DDC"/>
    <w:rsid w:val="0027721C"/>
    <w:rsid w:val="00282B59"/>
    <w:rsid w:val="002851E2"/>
    <w:rsid w:val="00287BC5"/>
    <w:rsid w:val="00293DEE"/>
    <w:rsid w:val="002975DE"/>
    <w:rsid w:val="00297666"/>
    <w:rsid w:val="002A0B5D"/>
    <w:rsid w:val="002A23FB"/>
    <w:rsid w:val="002A5C0B"/>
    <w:rsid w:val="002A777E"/>
    <w:rsid w:val="002B5EF5"/>
    <w:rsid w:val="002C3476"/>
    <w:rsid w:val="002C7FE9"/>
    <w:rsid w:val="002D0DC5"/>
    <w:rsid w:val="002D4EFD"/>
    <w:rsid w:val="002F24A0"/>
    <w:rsid w:val="00316071"/>
    <w:rsid w:val="003272B8"/>
    <w:rsid w:val="00334130"/>
    <w:rsid w:val="00343E5C"/>
    <w:rsid w:val="00344FB8"/>
    <w:rsid w:val="0036017B"/>
    <w:rsid w:val="00362755"/>
    <w:rsid w:val="00373B93"/>
    <w:rsid w:val="003740A5"/>
    <w:rsid w:val="00380CD1"/>
    <w:rsid w:val="003A3177"/>
    <w:rsid w:val="003A38F0"/>
    <w:rsid w:val="003C67F2"/>
    <w:rsid w:val="003F069A"/>
    <w:rsid w:val="003F4329"/>
    <w:rsid w:val="003F4F8C"/>
    <w:rsid w:val="003F5F20"/>
    <w:rsid w:val="0041028C"/>
    <w:rsid w:val="00412534"/>
    <w:rsid w:val="00412C83"/>
    <w:rsid w:val="004144D6"/>
    <w:rsid w:val="00415BE4"/>
    <w:rsid w:val="00426014"/>
    <w:rsid w:val="00444231"/>
    <w:rsid w:val="00453586"/>
    <w:rsid w:val="0045766F"/>
    <w:rsid w:val="00460B7D"/>
    <w:rsid w:val="00462785"/>
    <w:rsid w:val="004703EE"/>
    <w:rsid w:val="004713B7"/>
    <w:rsid w:val="00480CB0"/>
    <w:rsid w:val="00481202"/>
    <w:rsid w:val="00495047"/>
    <w:rsid w:val="004A2454"/>
    <w:rsid w:val="004A63C5"/>
    <w:rsid w:val="004B34EA"/>
    <w:rsid w:val="004B5494"/>
    <w:rsid w:val="004B63E8"/>
    <w:rsid w:val="004C7A2B"/>
    <w:rsid w:val="004C7D3A"/>
    <w:rsid w:val="004D5431"/>
    <w:rsid w:val="004D5833"/>
    <w:rsid w:val="004E6E8B"/>
    <w:rsid w:val="005008B7"/>
    <w:rsid w:val="005018A8"/>
    <w:rsid w:val="00505A39"/>
    <w:rsid w:val="00507836"/>
    <w:rsid w:val="00511B03"/>
    <w:rsid w:val="005138DB"/>
    <w:rsid w:val="00517608"/>
    <w:rsid w:val="005240BF"/>
    <w:rsid w:val="005279EA"/>
    <w:rsid w:val="00532EC6"/>
    <w:rsid w:val="00534B8B"/>
    <w:rsid w:val="005421DF"/>
    <w:rsid w:val="005819E1"/>
    <w:rsid w:val="00585390"/>
    <w:rsid w:val="005939A5"/>
    <w:rsid w:val="005A148C"/>
    <w:rsid w:val="005A2612"/>
    <w:rsid w:val="005A696A"/>
    <w:rsid w:val="005A7757"/>
    <w:rsid w:val="005B0E67"/>
    <w:rsid w:val="005E2571"/>
    <w:rsid w:val="005F7991"/>
    <w:rsid w:val="00601AAE"/>
    <w:rsid w:val="00602315"/>
    <w:rsid w:val="006135B0"/>
    <w:rsid w:val="006135FE"/>
    <w:rsid w:val="00616F21"/>
    <w:rsid w:val="0063157A"/>
    <w:rsid w:val="00632207"/>
    <w:rsid w:val="0063491C"/>
    <w:rsid w:val="00642F2F"/>
    <w:rsid w:val="006510FF"/>
    <w:rsid w:val="006518B5"/>
    <w:rsid w:val="0065416F"/>
    <w:rsid w:val="00661AFE"/>
    <w:rsid w:val="006656E4"/>
    <w:rsid w:val="00670C18"/>
    <w:rsid w:val="00671624"/>
    <w:rsid w:val="006A2D5B"/>
    <w:rsid w:val="006A311F"/>
    <w:rsid w:val="006A52C4"/>
    <w:rsid w:val="006B2ADA"/>
    <w:rsid w:val="006B3F76"/>
    <w:rsid w:val="006C1F10"/>
    <w:rsid w:val="006C6564"/>
    <w:rsid w:val="006E5E28"/>
    <w:rsid w:val="006E6574"/>
    <w:rsid w:val="006F36FB"/>
    <w:rsid w:val="00714CF2"/>
    <w:rsid w:val="007156B9"/>
    <w:rsid w:val="00720817"/>
    <w:rsid w:val="00721419"/>
    <w:rsid w:val="0072158E"/>
    <w:rsid w:val="00722850"/>
    <w:rsid w:val="00730553"/>
    <w:rsid w:val="0073353F"/>
    <w:rsid w:val="00735A91"/>
    <w:rsid w:val="00742E45"/>
    <w:rsid w:val="007447AF"/>
    <w:rsid w:val="00750816"/>
    <w:rsid w:val="007608EC"/>
    <w:rsid w:val="00760A41"/>
    <w:rsid w:val="007657C1"/>
    <w:rsid w:val="0077755F"/>
    <w:rsid w:val="00780834"/>
    <w:rsid w:val="007920A1"/>
    <w:rsid w:val="007A406D"/>
    <w:rsid w:val="007A62B0"/>
    <w:rsid w:val="007A67BE"/>
    <w:rsid w:val="007B03EF"/>
    <w:rsid w:val="007B0BA3"/>
    <w:rsid w:val="007B7A7D"/>
    <w:rsid w:val="007C4974"/>
    <w:rsid w:val="007C5A0C"/>
    <w:rsid w:val="007E0FEE"/>
    <w:rsid w:val="007F2017"/>
    <w:rsid w:val="007F4517"/>
    <w:rsid w:val="00805083"/>
    <w:rsid w:val="00811213"/>
    <w:rsid w:val="00816E05"/>
    <w:rsid w:val="008240E6"/>
    <w:rsid w:val="00830D2F"/>
    <w:rsid w:val="008339BB"/>
    <w:rsid w:val="00837ED3"/>
    <w:rsid w:val="00840F43"/>
    <w:rsid w:val="0084254C"/>
    <w:rsid w:val="008476D0"/>
    <w:rsid w:val="00857E60"/>
    <w:rsid w:val="008619F9"/>
    <w:rsid w:val="0086419A"/>
    <w:rsid w:val="0087023B"/>
    <w:rsid w:val="00884FAB"/>
    <w:rsid w:val="00890E4B"/>
    <w:rsid w:val="008A179F"/>
    <w:rsid w:val="008A7B8F"/>
    <w:rsid w:val="008B0864"/>
    <w:rsid w:val="008C035E"/>
    <w:rsid w:val="008C0DE1"/>
    <w:rsid w:val="008C1E3C"/>
    <w:rsid w:val="008C7413"/>
    <w:rsid w:val="008D0110"/>
    <w:rsid w:val="008D16B7"/>
    <w:rsid w:val="008E05A3"/>
    <w:rsid w:val="008E1F6A"/>
    <w:rsid w:val="008E6AE6"/>
    <w:rsid w:val="008F0116"/>
    <w:rsid w:val="008F143D"/>
    <w:rsid w:val="00907958"/>
    <w:rsid w:val="00922B03"/>
    <w:rsid w:val="009265B6"/>
    <w:rsid w:val="009269B8"/>
    <w:rsid w:val="00932865"/>
    <w:rsid w:val="009363C5"/>
    <w:rsid w:val="009448FC"/>
    <w:rsid w:val="0095426A"/>
    <w:rsid w:val="00966755"/>
    <w:rsid w:val="0098138E"/>
    <w:rsid w:val="0098655A"/>
    <w:rsid w:val="00990317"/>
    <w:rsid w:val="009A5D16"/>
    <w:rsid w:val="009B3F31"/>
    <w:rsid w:val="009C08B0"/>
    <w:rsid w:val="009C1E0F"/>
    <w:rsid w:val="009C495E"/>
    <w:rsid w:val="009E1B0C"/>
    <w:rsid w:val="009E7C7F"/>
    <w:rsid w:val="009F5659"/>
    <w:rsid w:val="00A07E26"/>
    <w:rsid w:val="00A17CE0"/>
    <w:rsid w:val="00A23D48"/>
    <w:rsid w:val="00A25EB1"/>
    <w:rsid w:val="00A27483"/>
    <w:rsid w:val="00A4145B"/>
    <w:rsid w:val="00A42306"/>
    <w:rsid w:val="00A44E8D"/>
    <w:rsid w:val="00A51BAC"/>
    <w:rsid w:val="00A55ACD"/>
    <w:rsid w:val="00A6160E"/>
    <w:rsid w:val="00A70150"/>
    <w:rsid w:val="00A72AA7"/>
    <w:rsid w:val="00A87D9B"/>
    <w:rsid w:val="00AA1E86"/>
    <w:rsid w:val="00AB7875"/>
    <w:rsid w:val="00AB7F79"/>
    <w:rsid w:val="00AC2E21"/>
    <w:rsid w:val="00AC2E5D"/>
    <w:rsid w:val="00AC68EE"/>
    <w:rsid w:val="00AD53E2"/>
    <w:rsid w:val="00AD6953"/>
    <w:rsid w:val="00AE6360"/>
    <w:rsid w:val="00AF2C86"/>
    <w:rsid w:val="00B01F7E"/>
    <w:rsid w:val="00B15FEF"/>
    <w:rsid w:val="00B17DA6"/>
    <w:rsid w:val="00B3087D"/>
    <w:rsid w:val="00B34794"/>
    <w:rsid w:val="00B36756"/>
    <w:rsid w:val="00B37747"/>
    <w:rsid w:val="00B417FC"/>
    <w:rsid w:val="00B42AA7"/>
    <w:rsid w:val="00B60421"/>
    <w:rsid w:val="00B61A59"/>
    <w:rsid w:val="00B770A3"/>
    <w:rsid w:val="00B806FE"/>
    <w:rsid w:val="00BA0FBC"/>
    <w:rsid w:val="00BB0243"/>
    <w:rsid w:val="00BB6701"/>
    <w:rsid w:val="00BC606B"/>
    <w:rsid w:val="00BD0667"/>
    <w:rsid w:val="00BD0B98"/>
    <w:rsid w:val="00BE0CE5"/>
    <w:rsid w:val="00BE61B2"/>
    <w:rsid w:val="00C0703B"/>
    <w:rsid w:val="00C10B5F"/>
    <w:rsid w:val="00C11260"/>
    <w:rsid w:val="00C1589F"/>
    <w:rsid w:val="00C15D67"/>
    <w:rsid w:val="00C4029F"/>
    <w:rsid w:val="00C50C9E"/>
    <w:rsid w:val="00C5169C"/>
    <w:rsid w:val="00C53EE6"/>
    <w:rsid w:val="00C62A92"/>
    <w:rsid w:val="00C72304"/>
    <w:rsid w:val="00C913A1"/>
    <w:rsid w:val="00C94DDB"/>
    <w:rsid w:val="00C964AE"/>
    <w:rsid w:val="00CA2DEF"/>
    <w:rsid w:val="00CB5B6C"/>
    <w:rsid w:val="00CC2833"/>
    <w:rsid w:val="00CC6A99"/>
    <w:rsid w:val="00D00AA3"/>
    <w:rsid w:val="00D0128C"/>
    <w:rsid w:val="00D07F73"/>
    <w:rsid w:val="00D14844"/>
    <w:rsid w:val="00D2041C"/>
    <w:rsid w:val="00D25ADE"/>
    <w:rsid w:val="00D34D4D"/>
    <w:rsid w:val="00D371E7"/>
    <w:rsid w:val="00D43297"/>
    <w:rsid w:val="00D4484B"/>
    <w:rsid w:val="00D44DB6"/>
    <w:rsid w:val="00D50119"/>
    <w:rsid w:val="00D82A43"/>
    <w:rsid w:val="00D83C3C"/>
    <w:rsid w:val="00D97D09"/>
    <w:rsid w:val="00DA7B5D"/>
    <w:rsid w:val="00DB270B"/>
    <w:rsid w:val="00DB6AC4"/>
    <w:rsid w:val="00DC55DC"/>
    <w:rsid w:val="00DD5ADF"/>
    <w:rsid w:val="00DF0915"/>
    <w:rsid w:val="00DF367C"/>
    <w:rsid w:val="00DF58E7"/>
    <w:rsid w:val="00E11876"/>
    <w:rsid w:val="00E12889"/>
    <w:rsid w:val="00E22DF0"/>
    <w:rsid w:val="00E23CBB"/>
    <w:rsid w:val="00E25984"/>
    <w:rsid w:val="00E32E3C"/>
    <w:rsid w:val="00E37B59"/>
    <w:rsid w:val="00E37BA2"/>
    <w:rsid w:val="00E5267F"/>
    <w:rsid w:val="00E5289A"/>
    <w:rsid w:val="00E53438"/>
    <w:rsid w:val="00E53ED5"/>
    <w:rsid w:val="00E6132E"/>
    <w:rsid w:val="00E725FC"/>
    <w:rsid w:val="00E818F3"/>
    <w:rsid w:val="00E8792E"/>
    <w:rsid w:val="00E92E07"/>
    <w:rsid w:val="00EA1A8F"/>
    <w:rsid w:val="00EA2ED7"/>
    <w:rsid w:val="00EA36C6"/>
    <w:rsid w:val="00EA395E"/>
    <w:rsid w:val="00EA5BAA"/>
    <w:rsid w:val="00EB7222"/>
    <w:rsid w:val="00EC30F9"/>
    <w:rsid w:val="00ED47CF"/>
    <w:rsid w:val="00ED5725"/>
    <w:rsid w:val="00ED7031"/>
    <w:rsid w:val="00EE3060"/>
    <w:rsid w:val="00EE3993"/>
    <w:rsid w:val="00EE4315"/>
    <w:rsid w:val="00EE68C6"/>
    <w:rsid w:val="00EF0DC0"/>
    <w:rsid w:val="00EF6925"/>
    <w:rsid w:val="00F26ED3"/>
    <w:rsid w:val="00F34D73"/>
    <w:rsid w:val="00F618F4"/>
    <w:rsid w:val="00F62B7A"/>
    <w:rsid w:val="00F6397D"/>
    <w:rsid w:val="00F7293E"/>
    <w:rsid w:val="00F76650"/>
    <w:rsid w:val="00F9187B"/>
    <w:rsid w:val="00F92385"/>
    <w:rsid w:val="00FA1B4F"/>
    <w:rsid w:val="00FB208E"/>
    <w:rsid w:val="00FC023D"/>
    <w:rsid w:val="00FC47F9"/>
    <w:rsid w:val="00FD2ECC"/>
    <w:rsid w:val="00FD3B1A"/>
    <w:rsid w:val="00FD62D1"/>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D2DC3"/>
  <w15:chartTrackingRefBased/>
  <w15:docId w15:val="{C04FC560-F62A-431F-8B9A-09B02AC7BC0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8"/>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8"/>
      </w:numPr>
      <w:ind w:right="2160"/>
      <w:outlineLvl w:val="1"/>
    </w:pPr>
  </w:style>
  <w:style w:type="paragraph" w:styleId="Heading3">
    <w:name w:val="heading 3"/>
    <w:basedOn w:val="Dummy"/>
    <w:next w:val="Standard"/>
    <w:link w:val="Heading3Char"/>
    <w:uiPriority w:val="4"/>
    <w:qFormat/>
    <w:rsid w:val="000E270A"/>
    <w:pPr>
      <w:numPr>
        <w:ilvl w:val="2"/>
        <w:numId w:val="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8"/>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8"/>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8"/>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8"/>
      </w:numPr>
      <w:spacing w:after="120" w:line="240" w:lineRule="auto"/>
    </w:pPr>
  </w:style>
  <w:style w:type="character" w:styleId="CommentReference">
    <w:name w:val="annotation reference"/>
    <w:basedOn w:val="DefaultParagraphFont"/>
    <w:uiPriority w:val="99"/>
    <w:semiHidden/>
    <w:unhideWhenUsed/>
    <w:rsid w:val="00730553"/>
    <w:rPr>
      <w:sz w:val="16"/>
      <w:szCs w:val="16"/>
    </w:rPr>
  </w:style>
  <w:style w:type="paragraph" w:styleId="CommentText">
    <w:name w:val="annotation text"/>
    <w:basedOn w:val="Normal"/>
    <w:link w:val="CommentTextChar"/>
    <w:uiPriority w:val="99"/>
    <w:semiHidden/>
    <w:unhideWhenUsed/>
    <w:rsid w:val="00730553"/>
    <w:pPr>
      <w:spacing w:line="240" w:lineRule="auto"/>
    </w:pPr>
    <w:rPr>
      <w:sz w:val="20"/>
      <w:szCs w:val="20"/>
    </w:rPr>
  </w:style>
  <w:style w:type="character" w:customStyle="1" w:styleId="CommentTextChar">
    <w:name w:val="Comment Text Char"/>
    <w:basedOn w:val="DefaultParagraphFont"/>
    <w:link w:val="CommentText"/>
    <w:uiPriority w:val="99"/>
    <w:semiHidden/>
    <w:rsid w:val="0073055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30553"/>
    <w:rPr>
      <w:b/>
      <w:bCs/>
    </w:rPr>
  </w:style>
  <w:style w:type="character" w:customStyle="1" w:styleId="CommentSubjectChar">
    <w:name w:val="Comment Subject Char"/>
    <w:basedOn w:val="CommentTextChar"/>
    <w:link w:val="CommentSubject"/>
    <w:uiPriority w:val="99"/>
    <w:semiHidden/>
    <w:rsid w:val="00730553"/>
    <w:rPr>
      <w:rFonts w:ascii="Book Antiqua" w:hAnsi="Book Antiqua"/>
      <w:b/>
      <w:bCs/>
      <w:sz w:val="20"/>
      <w:szCs w:val="20"/>
    </w:rPr>
  </w:style>
  <w:style w:type="paragraph" w:styleId="Revision">
    <w:name w:val="Revision"/>
    <w:hidden/>
    <w:uiPriority w:val="99"/>
    <w:semiHidden/>
    <w:rsid w:val="00730553"/>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34</ap:Pages>
  <ap:Words>8099</ap:Words>
  <ap:Characters>46169</ap:Characters>
  <ap:Application>Microsoft Office Word</ap:Application>
  <ap:DocSecurity>0</ap:DocSecurity>
  <ap:Lines>384</ap:Lines>
  <ap:Paragraphs>108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54160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2020-12-13T19:58:00Z</cp:lastPrinted>
  <dcterms:created xsi:type="dcterms:W3CDTF">2020-12-22T09:40:20Z</dcterms:created>
  <dcterms:modified xsi:type="dcterms:W3CDTF">2020-12-22T09:40:20Z</dcterms:modified>
</cp:coreProperties>
</file>