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70BEAF91" w14:textId="71977E48">
      <w:pPr>
        <w:pStyle w:val="titlebar"/>
      </w:pPr>
      <w:r>
        <w:t>PUBLIC UTILITIES COMMISSION OF THE STATE OF CALIFORNIA</w:t>
      </w:r>
    </w:p>
    <w:p w:rsidR="00C4227A" w:rsidRDefault="00C4227A" w14:paraId="5BD48112" w14:textId="77777777">
      <w:pPr>
        <w:pStyle w:val="titlebar"/>
      </w:pPr>
    </w:p>
    <w:p w:rsidRPr="00C4227A" w:rsidR="00CF17DE" w:rsidP="00C4227A" w:rsidRDefault="00C4227A" w14:paraId="5E624470" w14:textId="43737748">
      <w:pPr>
        <w:tabs>
          <w:tab w:val="right" w:pos="8910"/>
        </w:tabs>
        <w:ind w:left="1440" w:firstLine="720"/>
        <w:rPr>
          <w:rFonts w:ascii="Palatino" w:hAnsi="Palatino"/>
          <w:b/>
        </w:rPr>
      </w:pPr>
      <w:r>
        <w:t xml:space="preserve">                                                                                 </w:t>
      </w:r>
      <w:bookmarkStart w:name="_GoBack" w:id="0"/>
      <w:bookmarkEnd w:id="0"/>
      <w:r w:rsidRPr="00C4227A">
        <w:rPr>
          <w:rFonts w:ascii="Palatino" w:hAnsi="Palatino"/>
          <w:b/>
        </w:rPr>
        <w:t>Agenda ID:</w:t>
      </w:r>
      <w:r w:rsidR="00470625">
        <w:rPr>
          <w:rFonts w:ascii="Palatino" w:hAnsi="Palatino"/>
          <w:b/>
        </w:rPr>
        <w:t xml:space="preserve"> 19121</w:t>
      </w:r>
    </w:p>
    <w:p w:rsidRPr="000452A3" w:rsidR="00CF17DE" w:rsidRDefault="00593807" w14:paraId="7AE852C7" w14:textId="426F7B07">
      <w:pPr>
        <w:rPr>
          <w:rFonts w:ascii="Palatino" w:hAnsi="Palatino"/>
          <w:b/>
        </w:rPr>
      </w:pPr>
      <w:r w:rsidRPr="000452A3">
        <w:rPr>
          <w:rFonts w:ascii="Palatino" w:hAnsi="Palatino"/>
          <w:b/>
        </w:rPr>
        <w:t>ENERGY DIVISION</w:t>
      </w:r>
      <w:r w:rsidRPr="000452A3">
        <w:rPr>
          <w:rFonts w:ascii="Palatino" w:hAnsi="Palatino"/>
          <w:b/>
        </w:rPr>
        <w:tab/>
      </w:r>
      <w:r w:rsidRPr="000452A3">
        <w:rPr>
          <w:rFonts w:ascii="Palatino" w:hAnsi="Palatino"/>
          <w:b/>
        </w:rPr>
        <w:tab/>
      </w:r>
      <w:r w:rsidRPr="000452A3">
        <w:rPr>
          <w:rFonts w:ascii="Palatino" w:hAnsi="Palatino"/>
          <w:b/>
        </w:rPr>
        <w:tab/>
      </w:r>
      <w:r w:rsidRPr="000452A3">
        <w:rPr>
          <w:rFonts w:ascii="Palatino" w:hAnsi="Palatino"/>
          <w:b/>
        </w:rPr>
        <w:tab/>
      </w:r>
      <w:r w:rsidRPr="000452A3">
        <w:rPr>
          <w:rFonts w:ascii="Palatino" w:hAnsi="Palatino"/>
          <w:b/>
        </w:rPr>
        <w:tab/>
      </w:r>
      <w:r w:rsidR="008E583D">
        <w:rPr>
          <w:rFonts w:ascii="Palatino" w:hAnsi="Palatino"/>
          <w:b/>
        </w:rPr>
        <w:t xml:space="preserve">           </w:t>
      </w:r>
      <w:r w:rsidR="00A45265">
        <w:rPr>
          <w:rFonts w:ascii="Palatino" w:hAnsi="Palatino"/>
          <w:b/>
        </w:rPr>
        <w:t xml:space="preserve"> </w:t>
      </w:r>
      <w:r w:rsidR="00C4227A">
        <w:rPr>
          <w:rFonts w:ascii="Palatino" w:hAnsi="Palatino"/>
          <w:b/>
        </w:rPr>
        <w:t xml:space="preserve">             </w:t>
      </w:r>
      <w:r w:rsidRPr="000452A3" w:rsidR="00CF17DE">
        <w:rPr>
          <w:rFonts w:ascii="Palatino" w:hAnsi="Palatino"/>
          <w:b/>
        </w:rPr>
        <w:t xml:space="preserve">RESOLUTION </w:t>
      </w:r>
      <w:r w:rsidRPr="000452A3" w:rsidR="00D34E35">
        <w:rPr>
          <w:rFonts w:ascii="Palatino" w:hAnsi="Palatino"/>
          <w:b/>
        </w:rPr>
        <w:t>E</w:t>
      </w:r>
      <w:r w:rsidRPr="000452A3" w:rsidR="00CF17DE">
        <w:rPr>
          <w:rFonts w:ascii="Palatino" w:hAnsi="Palatino"/>
          <w:b/>
        </w:rPr>
        <w:t>-</w:t>
      </w:r>
      <w:r w:rsidRPr="000452A3" w:rsidR="00D34E35">
        <w:rPr>
          <w:rFonts w:ascii="Palatino" w:hAnsi="Palatino"/>
          <w:b/>
        </w:rPr>
        <w:t>5</w:t>
      </w:r>
      <w:r w:rsidRPr="000452A3" w:rsidR="00CF17DE">
        <w:rPr>
          <w:rFonts w:ascii="Palatino" w:hAnsi="Palatino"/>
          <w:b/>
        </w:rPr>
        <w:t>0</w:t>
      </w:r>
      <w:r w:rsidRPr="000452A3" w:rsidR="00D34E35">
        <w:rPr>
          <w:rFonts w:ascii="Palatino" w:hAnsi="Palatino"/>
          <w:b/>
        </w:rPr>
        <w:t>35</w:t>
      </w:r>
    </w:p>
    <w:p w:rsidRPr="000452A3" w:rsidR="00CF17DE" w:rsidRDefault="00CF17DE" w14:paraId="3DBC912E" w14:textId="789BDBBA">
      <w:pPr>
        <w:tabs>
          <w:tab w:val="right" w:pos="8910"/>
        </w:tabs>
        <w:ind w:left="1440" w:firstLine="720"/>
        <w:rPr>
          <w:rFonts w:ascii="Palatino" w:hAnsi="Palatino"/>
          <w:b/>
        </w:rPr>
      </w:pPr>
      <w:r w:rsidRPr="000452A3">
        <w:rPr>
          <w:rFonts w:ascii="Palatino" w:hAnsi="Palatino"/>
          <w:b/>
        </w:rPr>
        <w:tab/>
      </w:r>
      <w:r w:rsidR="00C66A11">
        <w:rPr>
          <w:rFonts w:ascii="Palatino" w:hAnsi="Palatino"/>
          <w:b/>
        </w:rPr>
        <w:t>March 4</w:t>
      </w:r>
      <w:r w:rsidR="00A45265">
        <w:rPr>
          <w:rFonts w:ascii="Palatino" w:hAnsi="Palatino"/>
          <w:b/>
        </w:rPr>
        <w:t>, 2021</w:t>
      </w:r>
    </w:p>
    <w:p w:rsidRPr="000452A3" w:rsidR="00CF17DE" w:rsidRDefault="00CF17DE" w14:paraId="061A7957" w14:textId="77777777">
      <w:pPr>
        <w:tabs>
          <w:tab w:val="right" w:pos="8910"/>
        </w:tabs>
        <w:ind w:left="1440" w:firstLine="720"/>
        <w:rPr>
          <w:rFonts w:ascii="Palatino" w:hAnsi="Palatino"/>
          <w:b/>
        </w:rPr>
      </w:pPr>
    </w:p>
    <w:p w:rsidRPr="00427E37" w:rsidR="00CF17DE" w:rsidRDefault="00CF17DE" w14:paraId="40ADBA19" w14:textId="77777777">
      <w:pPr>
        <w:pStyle w:val="mainex"/>
        <w:rPr>
          <w:sz w:val="26"/>
          <w:szCs w:val="26"/>
          <w:u w:val="single"/>
        </w:rPr>
      </w:pPr>
      <w:bookmarkStart w:name="_Ref404993683" w:id="1"/>
      <w:r w:rsidRPr="00427E37">
        <w:rPr>
          <w:sz w:val="26"/>
          <w:szCs w:val="26"/>
          <w:u w:val="single"/>
        </w:rPr>
        <w:t>RESOLUTION</w:t>
      </w:r>
    </w:p>
    <w:p w:rsidR="00CF17DE" w:rsidRDefault="00CF17DE" w14:paraId="63C93376" w14:textId="77777777"/>
    <w:p w:rsidRPr="00B92660" w:rsidR="00B927B5" w:rsidP="00B927B5" w:rsidRDefault="00B927B5" w14:paraId="38C822AA" w14:textId="6293A276">
      <w:pPr>
        <w:pStyle w:val="Res-Caption"/>
        <w:rPr>
          <w:rFonts w:ascii="Palatino" w:hAnsi="Palatino"/>
          <w:sz w:val="26"/>
          <w:szCs w:val="26"/>
        </w:rPr>
      </w:pPr>
      <w:r w:rsidRPr="00B92660">
        <w:rPr>
          <w:rFonts w:ascii="Palatino" w:hAnsi="Palatino"/>
          <w:sz w:val="26"/>
          <w:szCs w:val="26"/>
        </w:rPr>
        <w:t>Resolution E-</w:t>
      </w:r>
      <w:r w:rsidRPr="00B92660" w:rsidR="00D34E35">
        <w:rPr>
          <w:rFonts w:ascii="Palatino" w:hAnsi="Palatino"/>
          <w:sz w:val="26"/>
          <w:szCs w:val="26"/>
        </w:rPr>
        <w:t>5</w:t>
      </w:r>
      <w:r w:rsidRPr="00B92660">
        <w:rPr>
          <w:rFonts w:ascii="Palatino" w:hAnsi="Palatino"/>
          <w:sz w:val="26"/>
          <w:szCs w:val="26"/>
        </w:rPr>
        <w:t>0</w:t>
      </w:r>
      <w:r w:rsidRPr="00B92660" w:rsidR="00D34E35">
        <w:rPr>
          <w:rFonts w:ascii="Palatino" w:hAnsi="Palatino"/>
          <w:sz w:val="26"/>
          <w:szCs w:val="26"/>
        </w:rPr>
        <w:t>35</w:t>
      </w:r>
      <w:r w:rsidRPr="00B92660">
        <w:rPr>
          <w:rFonts w:ascii="Palatino" w:hAnsi="Palatino"/>
          <w:sz w:val="26"/>
          <w:szCs w:val="26"/>
        </w:rPr>
        <w:t xml:space="preserve">.  </w:t>
      </w:r>
      <w:r w:rsidRPr="00B92660" w:rsidR="00D34E35">
        <w:rPr>
          <w:rFonts w:ascii="Palatino" w:hAnsi="Palatino"/>
          <w:sz w:val="26"/>
          <w:szCs w:val="26"/>
        </w:rPr>
        <w:t>Adopts modifications to Electric Rule 21</w:t>
      </w:r>
      <w:r w:rsidRPr="00B92660" w:rsidR="004110A9">
        <w:rPr>
          <w:rFonts w:ascii="Palatino" w:hAnsi="Palatino"/>
          <w:sz w:val="26"/>
          <w:szCs w:val="26"/>
        </w:rPr>
        <w:t>, Generating Facility Interconnections,</w:t>
      </w:r>
      <w:r w:rsidRPr="00B92660" w:rsidR="00D34E35">
        <w:rPr>
          <w:rFonts w:ascii="Palatino" w:hAnsi="Palatino"/>
          <w:sz w:val="26"/>
          <w:szCs w:val="26"/>
        </w:rPr>
        <w:t xml:space="preserve"> Pursuant </w:t>
      </w:r>
      <w:r w:rsidRPr="00B92660" w:rsidR="004110A9">
        <w:rPr>
          <w:rFonts w:ascii="Palatino" w:hAnsi="Palatino"/>
          <w:sz w:val="26"/>
          <w:szCs w:val="26"/>
        </w:rPr>
        <w:t xml:space="preserve">to </w:t>
      </w:r>
      <w:r w:rsidRPr="00B92660" w:rsidR="00D34E35">
        <w:rPr>
          <w:rFonts w:ascii="Palatino" w:hAnsi="Palatino"/>
          <w:sz w:val="26"/>
          <w:szCs w:val="26"/>
        </w:rPr>
        <w:t>Decision 19-03-013</w:t>
      </w:r>
      <w:r w:rsidRPr="00B92660" w:rsidR="004110A9">
        <w:rPr>
          <w:rFonts w:ascii="Palatino" w:hAnsi="Palatino"/>
          <w:sz w:val="26"/>
          <w:szCs w:val="26"/>
        </w:rPr>
        <w:t>.</w:t>
      </w:r>
      <w:r w:rsidRPr="00B92660" w:rsidR="00D34E35">
        <w:rPr>
          <w:rFonts w:ascii="Palatino" w:hAnsi="Palatino"/>
          <w:sz w:val="26"/>
          <w:szCs w:val="26"/>
        </w:rPr>
        <w:t xml:space="preserve"> </w:t>
      </w:r>
    </w:p>
    <w:p w:rsidRPr="00B92660" w:rsidR="00801D70" w:rsidRDefault="00801D70" w14:paraId="70E6A3B4" w14:textId="77777777">
      <w:pPr>
        <w:pStyle w:val="Res-Caption"/>
        <w:rPr>
          <w:rFonts w:ascii="Palatino" w:hAnsi="Palatino"/>
          <w:sz w:val="26"/>
          <w:szCs w:val="26"/>
        </w:rPr>
      </w:pPr>
    </w:p>
    <w:p w:rsidRPr="00B92660" w:rsidR="00DF35CC" w:rsidP="00DF35CC" w:rsidRDefault="00801D70" w14:paraId="5B232953" w14:textId="77777777">
      <w:pPr>
        <w:pStyle w:val="Res-Caption"/>
        <w:rPr>
          <w:rFonts w:ascii="Palatino" w:hAnsi="Palatino"/>
          <w:sz w:val="26"/>
          <w:szCs w:val="26"/>
        </w:rPr>
      </w:pPr>
      <w:r w:rsidRPr="00B92660">
        <w:rPr>
          <w:rFonts w:ascii="Palatino" w:hAnsi="Palatino"/>
          <w:sz w:val="26"/>
          <w:szCs w:val="26"/>
        </w:rPr>
        <w:t>PROPOSED OUTCOME:</w:t>
      </w:r>
      <w:r w:rsidRPr="00B92660" w:rsidR="00142FB8">
        <w:rPr>
          <w:rFonts w:ascii="Palatino" w:hAnsi="Palatino"/>
          <w:sz w:val="26"/>
          <w:szCs w:val="26"/>
        </w:rPr>
        <w:t xml:space="preserve"> </w:t>
      </w:r>
    </w:p>
    <w:p w:rsidRPr="00B92660" w:rsidR="000C76B7" w:rsidP="000C76B7" w:rsidRDefault="000C76B7" w14:paraId="54477DD9" w14:textId="1DCC0D4A">
      <w:pPr>
        <w:pStyle w:val="Res-Caption"/>
        <w:numPr>
          <w:ilvl w:val="0"/>
          <w:numId w:val="7"/>
        </w:numPr>
        <w:rPr>
          <w:rFonts w:ascii="Palatino" w:hAnsi="Palatino"/>
          <w:sz w:val="26"/>
          <w:szCs w:val="26"/>
        </w:rPr>
      </w:pPr>
      <w:r w:rsidRPr="00B92660">
        <w:rPr>
          <w:rFonts w:ascii="Palatino" w:hAnsi="Palatino"/>
          <w:sz w:val="26"/>
          <w:szCs w:val="26"/>
        </w:rPr>
        <w:t xml:space="preserve">Approves, with modifications, Southern California Edison Company (SCE) Advice Letters (ALs) 4009-E and E-A, San Diego Gas &amp; Electric Company (SDG&amp;E) ALs 3381-E and E-A, and Pacific Gas and Electric Company (PG&amp;E) AL 5553-E to incorporate Decision (D.) 19-03-013 in </w:t>
      </w:r>
      <w:r w:rsidRPr="00B92660" w:rsidR="004110A9">
        <w:rPr>
          <w:rFonts w:ascii="Palatino" w:hAnsi="Palatino"/>
          <w:sz w:val="26"/>
          <w:szCs w:val="26"/>
        </w:rPr>
        <w:t xml:space="preserve">Electric </w:t>
      </w:r>
      <w:r w:rsidRPr="00B92660">
        <w:rPr>
          <w:rFonts w:ascii="Palatino" w:hAnsi="Palatino"/>
          <w:sz w:val="26"/>
          <w:szCs w:val="26"/>
        </w:rPr>
        <w:t>Rule 21, Generating Facility Interconnections.</w:t>
      </w:r>
    </w:p>
    <w:p w:rsidRPr="00B92660" w:rsidR="004110A9" w:rsidP="004110A9" w:rsidRDefault="004110A9" w14:paraId="78EE0258" w14:textId="7E152F07">
      <w:pPr>
        <w:pStyle w:val="Res-Caption"/>
        <w:numPr>
          <w:ilvl w:val="0"/>
          <w:numId w:val="7"/>
        </w:numPr>
        <w:rPr>
          <w:rFonts w:ascii="Palatino" w:hAnsi="Palatino"/>
          <w:sz w:val="26"/>
          <w:szCs w:val="26"/>
        </w:rPr>
      </w:pPr>
      <w:r w:rsidRPr="00B92660">
        <w:rPr>
          <w:rFonts w:ascii="Palatino" w:hAnsi="Palatino" w:eastAsia="Palatino Linotype" w:cs="Palatino Linotype"/>
          <w:sz w:val="26"/>
          <w:szCs w:val="26"/>
        </w:rPr>
        <w:t xml:space="preserve">Approves, with modifications, </w:t>
      </w:r>
      <w:r w:rsidRPr="00B92660" w:rsidR="002D3C5B">
        <w:rPr>
          <w:rFonts w:ascii="Palatino" w:hAnsi="Palatino" w:eastAsia="Palatino Linotype" w:cs="Palatino Linotype"/>
          <w:sz w:val="26"/>
          <w:szCs w:val="26"/>
        </w:rPr>
        <w:t>the interim standard form template for Type II modifications to existing generating facilities, as</w:t>
      </w:r>
      <w:r w:rsidRPr="00B92660">
        <w:rPr>
          <w:rFonts w:ascii="Palatino" w:hAnsi="Palatino" w:eastAsia="Palatino Linotype" w:cs="Palatino Linotype"/>
          <w:sz w:val="26"/>
          <w:szCs w:val="26"/>
        </w:rPr>
        <w:t xml:space="preserve"> proposed by SDG&amp;E AL 3401-E, SCE AL 4033-E and PG&amp;E AL 5583-E.</w:t>
      </w:r>
    </w:p>
    <w:p w:rsidRPr="00B92660" w:rsidR="00F51F8B" w:rsidRDefault="00F51F8B" w14:paraId="65BE5ED4" w14:textId="77777777">
      <w:pPr>
        <w:pStyle w:val="Res-Caption"/>
        <w:rPr>
          <w:rFonts w:ascii="Palatino" w:hAnsi="Palatino"/>
          <w:sz w:val="26"/>
          <w:szCs w:val="26"/>
        </w:rPr>
      </w:pPr>
    </w:p>
    <w:p w:rsidRPr="00B92660" w:rsidR="00F51F8B" w:rsidRDefault="00F51F8B" w14:paraId="5348E825" w14:textId="77777777">
      <w:pPr>
        <w:pStyle w:val="Res-Caption"/>
        <w:rPr>
          <w:rFonts w:ascii="Palatino" w:hAnsi="Palatino"/>
          <w:sz w:val="26"/>
          <w:szCs w:val="26"/>
        </w:rPr>
      </w:pPr>
      <w:r w:rsidRPr="00B92660">
        <w:rPr>
          <w:rFonts w:ascii="Palatino" w:hAnsi="Palatino"/>
          <w:sz w:val="26"/>
          <w:szCs w:val="26"/>
        </w:rPr>
        <w:t>SAFETY CONSIDERATIONS:</w:t>
      </w:r>
    </w:p>
    <w:p w:rsidRPr="00B92660" w:rsidR="00801D70" w:rsidP="00FB65B0" w:rsidRDefault="00FB65B0" w14:paraId="664CBB61" w14:textId="170A416E">
      <w:pPr>
        <w:pStyle w:val="Res-Caption"/>
        <w:numPr>
          <w:ilvl w:val="0"/>
          <w:numId w:val="6"/>
        </w:numPr>
        <w:rPr>
          <w:rFonts w:ascii="Palatino" w:hAnsi="Palatino"/>
          <w:sz w:val="26"/>
          <w:szCs w:val="26"/>
        </w:rPr>
      </w:pPr>
      <w:r w:rsidRPr="00B92660">
        <w:rPr>
          <w:rFonts w:ascii="Palatino" w:hAnsi="Palatino"/>
          <w:sz w:val="26"/>
          <w:szCs w:val="26"/>
        </w:rPr>
        <w:t xml:space="preserve">There are no safety considerations associated with this resolution. </w:t>
      </w:r>
    </w:p>
    <w:p w:rsidRPr="00B92660" w:rsidR="00FB65B0" w:rsidP="00FB65B0" w:rsidRDefault="00FB65B0" w14:paraId="7F7CCCF5" w14:textId="77777777">
      <w:pPr>
        <w:pStyle w:val="Res-Caption"/>
        <w:rPr>
          <w:rFonts w:ascii="Palatino" w:hAnsi="Palatino"/>
          <w:sz w:val="26"/>
          <w:szCs w:val="26"/>
        </w:rPr>
      </w:pPr>
    </w:p>
    <w:p w:rsidRPr="00B92660" w:rsidR="00801D70" w:rsidRDefault="00801D70" w14:paraId="28BD615D" w14:textId="77777777">
      <w:pPr>
        <w:pStyle w:val="Res-Caption"/>
        <w:rPr>
          <w:rFonts w:ascii="Palatino" w:hAnsi="Palatino"/>
          <w:sz w:val="26"/>
          <w:szCs w:val="26"/>
        </w:rPr>
      </w:pPr>
      <w:r w:rsidRPr="00B92660">
        <w:rPr>
          <w:rFonts w:ascii="Palatino" w:hAnsi="Palatino"/>
          <w:sz w:val="26"/>
          <w:szCs w:val="26"/>
        </w:rPr>
        <w:t xml:space="preserve">ESTIMATED COST:  </w:t>
      </w:r>
    </w:p>
    <w:p w:rsidRPr="00B92660" w:rsidR="00CF17DE" w:rsidP="00E070F3" w:rsidRDefault="003F6E5A" w14:paraId="414B5F5B" w14:textId="666C23BC">
      <w:pPr>
        <w:pStyle w:val="Res-Caption"/>
        <w:numPr>
          <w:ilvl w:val="0"/>
          <w:numId w:val="6"/>
        </w:numPr>
        <w:rPr>
          <w:rFonts w:ascii="Palatino" w:hAnsi="Palatino"/>
          <w:sz w:val="26"/>
          <w:szCs w:val="26"/>
        </w:rPr>
      </w:pPr>
      <w:r w:rsidRPr="00B92660">
        <w:rPr>
          <w:rFonts w:ascii="Palatino" w:hAnsi="Palatino"/>
          <w:sz w:val="26"/>
          <w:szCs w:val="26"/>
        </w:rPr>
        <w:t xml:space="preserve">There </w:t>
      </w:r>
      <w:r w:rsidRPr="00B92660" w:rsidR="00E070F3">
        <w:rPr>
          <w:rFonts w:ascii="Palatino" w:hAnsi="Palatino"/>
          <w:sz w:val="26"/>
          <w:szCs w:val="26"/>
        </w:rPr>
        <w:t>are</w:t>
      </w:r>
      <w:r w:rsidRPr="00B92660">
        <w:rPr>
          <w:rFonts w:ascii="Palatino" w:hAnsi="Palatino"/>
          <w:sz w:val="26"/>
          <w:szCs w:val="26"/>
        </w:rPr>
        <w:t xml:space="preserve"> no cost</w:t>
      </w:r>
      <w:r w:rsidRPr="00B92660" w:rsidR="00E070F3">
        <w:rPr>
          <w:rFonts w:ascii="Palatino" w:hAnsi="Palatino"/>
          <w:sz w:val="26"/>
          <w:szCs w:val="26"/>
        </w:rPr>
        <w:t xml:space="preserve">s associated with this resolution. </w:t>
      </w:r>
    </w:p>
    <w:p w:rsidRPr="00B92660" w:rsidR="00E070F3" w:rsidP="00E070F3" w:rsidRDefault="00E070F3" w14:paraId="5DA3BF3B" w14:textId="77777777">
      <w:pPr>
        <w:pStyle w:val="Res-Caption"/>
        <w:rPr>
          <w:rFonts w:ascii="Palatino" w:hAnsi="Palatino"/>
          <w:sz w:val="26"/>
          <w:szCs w:val="26"/>
        </w:rPr>
      </w:pPr>
    </w:p>
    <w:p w:rsidRPr="00B92660" w:rsidR="00CF17DE" w:rsidRDefault="00CF17DE" w14:paraId="0395FC4E" w14:textId="6CF96173">
      <w:pPr>
        <w:pStyle w:val="Res-Caption"/>
        <w:rPr>
          <w:rFonts w:ascii="Palatino" w:hAnsi="Palatino"/>
          <w:sz w:val="26"/>
          <w:szCs w:val="26"/>
        </w:rPr>
      </w:pPr>
      <w:r w:rsidRPr="00B92660">
        <w:rPr>
          <w:rFonts w:ascii="Palatino" w:hAnsi="Palatino"/>
          <w:sz w:val="26"/>
          <w:szCs w:val="26"/>
        </w:rPr>
        <w:t>By Advice Letter</w:t>
      </w:r>
      <w:r w:rsidRPr="00B92660" w:rsidR="00E070F3">
        <w:rPr>
          <w:rFonts w:ascii="Palatino" w:hAnsi="Palatino"/>
          <w:sz w:val="26"/>
          <w:szCs w:val="26"/>
        </w:rPr>
        <w:t xml:space="preserve">s </w:t>
      </w:r>
      <w:r w:rsidRPr="00B92660" w:rsidR="00FB65B0">
        <w:rPr>
          <w:rFonts w:ascii="Palatino" w:hAnsi="Palatino"/>
          <w:sz w:val="26"/>
          <w:szCs w:val="26"/>
        </w:rPr>
        <w:t xml:space="preserve">(ALs) </w:t>
      </w:r>
      <w:r w:rsidR="00F8282F">
        <w:rPr>
          <w:rFonts w:ascii="Palatino" w:hAnsi="Palatino"/>
          <w:sz w:val="26"/>
          <w:szCs w:val="26"/>
        </w:rPr>
        <w:t xml:space="preserve">SCE </w:t>
      </w:r>
      <w:r w:rsidRPr="00B92660" w:rsidR="00E070F3">
        <w:rPr>
          <w:rFonts w:ascii="Palatino" w:hAnsi="Palatino"/>
          <w:sz w:val="26"/>
          <w:szCs w:val="26"/>
        </w:rPr>
        <w:t xml:space="preserve">4009-E, </w:t>
      </w:r>
      <w:r w:rsidR="00F8282F">
        <w:rPr>
          <w:rFonts w:ascii="Palatino" w:hAnsi="Palatino"/>
          <w:sz w:val="26"/>
          <w:szCs w:val="26"/>
        </w:rPr>
        <w:t xml:space="preserve">SDG&amp;E </w:t>
      </w:r>
      <w:r w:rsidRPr="00B92660" w:rsidR="00E070F3">
        <w:rPr>
          <w:rFonts w:ascii="Palatino" w:hAnsi="Palatino"/>
          <w:sz w:val="26"/>
          <w:szCs w:val="26"/>
        </w:rPr>
        <w:t xml:space="preserve">3381-E, and </w:t>
      </w:r>
      <w:r w:rsidR="00F8282F">
        <w:rPr>
          <w:rFonts w:ascii="Palatino" w:hAnsi="Palatino"/>
          <w:sz w:val="26"/>
          <w:szCs w:val="26"/>
        </w:rPr>
        <w:t xml:space="preserve">PG&amp;E </w:t>
      </w:r>
      <w:r w:rsidRPr="00B92660" w:rsidR="00E070F3">
        <w:rPr>
          <w:rFonts w:ascii="Palatino" w:hAnsi="Palatino"/>
          <w:sz w:val="26"/>
          <w:szCs w:val="26"/>
        </w:rPr>
        <w:t xml:space="preserve">5553-E, Filed on </w:t>
      </w:r>
      <w:r w:rsidRPr="00B92660" w:rsidR="00B36CF1">
        <w:rPr>
          <w:rFonts w:ascii="Palatino" w:hAnsi="Palatino"/>
          <w:sz w:val="26"/>
          <w:szCs w:val="26"/>
        </w:rPr>
        <w:t xml:space="preserve">June 4, 2019; </w:t>
      </w:r>
      <w:r w:rsidR="00F8282F">
        <w:rPr>
          <w:rFonts w:ascii="Palatino" w:hAnsi="Palatino"/>
          <w:sz w:val="26"/>
          <w:szCs w:val="26"/>
        </w:rPr>
        <w:t xml:space="preserve">SCE </w:t>
      </w:r>
      <w:r w:rsidRPr="00B92660" w:rsidR="00B36CF1">
        <w:rPr>
          <w:rFonts w:ascii="Palatino" w:hAnsi="Palatino"/>
          <w:sz w:val="26"/>
          <w:szCs w:val="26"/>
        </w:rPr>
        <w:t>A</w:t>
      </w:r>
      <w:r w:rsidRPr="00B92660" w:rsidR="00FB65B0">
        <w:rPr>
          <w:rFonts w:ascii="Palatino" w:hAnsi="Palatino"/>
          <w:sz w:val="26"/>
          <w:szCs w:val="26"/>
        </w:rPr>
        <w:t xml:space="preserve">L </w:t>
      </w:r>
      <w:r w:rsidRPr="00B92660" w:rsidR="00B36CF1">
        <w:rPr>
          <w:rFonts w:ascii="Palatino" w:hAnsi="Palatino"/>
          <w:sz w:val="26"/>
          <w:szCs w:val="26"/>
        </w:rPr>
        <w:t>4009-E-A</w:t>
      </w:r>
      <w:r w:rsidRPr="00B92660" w:rsidR="00FB65B0">
        <w:rPr>
          <w:rFonts w:ascii="Palatino" w:hAnsi="Palatino"/>
          <w:sz w:val="26"/>
          <w:szCs w:val="26"/>
        </w:rPr>
        <w:t>, Filed August 1, 2019;</w:t>
      </w:r>
      <w:r w:rsidRPr="00B92660" w:rsidR="00B36CF1">
        <w:rPr>
          <w:rFonts w:ascii="Palatino" w:hAnsi="Palatino"/>
          <w:sz w:val="26"/>
          <w:szCs w:val="26"/>
        </w:rPr>
        <w:t xml:space="preserve"> </w:t>
      </w:r>
      <w:r w:rsidR="00F8282F">
        <w:rPr>
          <w:rFonts w:ascii="Palatino" w:hAnsi="Palatino"/>
          <w:sz w:val="26"/>
          <w:szCs w:val="26"/>
        </w:rPr>
        <w:t xml:space="preserve">SDG&amp;E </w:t>
      </w:r>
      <w:r w:rsidRPr="00B92660" w:rsidR="00FB65B0">
        <w:rPr>
          <w:rFonts w:ascii="Palatino" w:hAnsi="Palatino"/>
          <w:sz w:val="26"/>
          <w:szCs w:val="26"/>
        </w:rPr>
        <w:t xml:space="preserve">AL </w:t>
      </w:r>
      <w:r w:rsidRPr="00B92660" w:rsidR="00B36CF1">
        <w:rPr>
          <w:rFonts w:ascii="Palatino" w:hAnsi="Palatino"/>
          <w:sz w:val="26"/>
          <w:szCs w:val="26"/>
        </w:rPr>
        <w:t xml:space="preserve">3381-E-A, Filed </w:t>
      </w:r>
      <w:r w:rsidRPr="00B92660" w:rsidR="00FB65B0">
        <w:rPr>
          <w:rFonts w:ascii="Palatino" w:hAnsi="Palatino"/>
          <w:sz w:val="26"/>
          <w:szCs w:val="26"/>
        </w:rPr>
        <w:t>August 6, 2019;</w:t>
      </w:r>
      <w:r w:rsidRPr="00B92660" w:rsidR="00E070F3">
        <w:rPr>
          <w:rFonts w:ascii="Palatino" w:hAnsi="Palatino"/>
          <w:sz w:val="26"/>
          <w:szCs w:val="26"/>
        </w:rPr>
        <w:t xml:space="preserve"> and</w:t>
      </w:r>
      <w:r w:rsidRPr="00B92660" w:rsidR="00FB65B0">
        <w:rPr>
          <w:rFonts w:ascii="Palatino" w:hAnsi="Palatino"/>
          <w:sz w:val="26"/>
          <w:szCs w:val="26"/>
        </w:rPr>
        <w:t xml:space="preserve"> </w:t>
      </w:r>
      <w:r w:rsidRPr="00B92660" w:rsidR="00E070F3">
        <w:rPr>
          <w:rFonts w:ascii="Palatino" w:hAnsi="Palatino"/>
          <w:sz w:val="26"/>
          <w:szCs w:val="26"/>
        </w:rPr>
        <w:t>Advice Letter</w:t>
      </w:r>
      <w:r w:rsidRPr="00B92660" w:rsidR="00FB65B0">
        <w:rPr>
          <w:rFonts w:ascii="Palatino" w:hAnsi="Palatino"/>
          <w:sz w:val="26"/>
          <w:szCs w:val="26"/>
        </w:rPr>
        <w:t>s</w:t>
      </w:r>
      <w:r w:rsidRPr="00B92660" w:rsidR="00B36CF1">
        <w:rPr>
          <w:rFonts w:ascii="Palatino" w:hAnsi="Palatino" w:eastAsia="Palatino Linotype" w:cs="Palatino Linotype"/>
          <w:sz w:val="26"/>
          <w:szCs w:val="26"/>
        </w:rPr>
        <w:t xml:space="preserve"> </w:t>
      </w:r>
      <w:r w:rsidR="00F8282F">
        <w:rPr>
          <w:rFonts w:ascii="Palatino" w:hAnsi="Palatino" w:eastAsia="Palatino Linotype" w:cs="Palatino Linotype"/>
          <w:sz w:val="26"/>
          <w:szCs w:val="26"/>
        </w:rPr>
        <w:t xml:space="preserve">SCE </w:t>
      </w:r>
      <w:r w:rsidRPr="00B92660" w:rsidR="00B36CF1">
        <w:rPr>
          <w:rFonts w:ascii="Palatino" w:hAnsi="Palatino" w:eastAsia="Palatino Linotype" w:cs="Palatino Linotype"/>
          <w:sz w:val="26"/>
          <w:szCs w:val="26"/>
        </w:rPr>
        <w:t xml:space="preserve">4033-E, </w:t>
      </w:r>
      <w:r w:rsidR="00F8282F">
        <w:rPr>
          <w:rFonts w:ascii="Palatino" w:hAnsi="Palatino" w:eastAsia="Palatino Linotype" w:cs="Palatino Linotype"/>
          <w:sz w:val="26"/>
          <w:szCs w:val="26"/>
        </w:rPr>
        <w:t xml:space="preserve">SDG&amp;E </w:t>
      </w:r>
      <w:r w:rsidRPr="00B92660" w:rsidR="00E070F3">
        <w:rPr>
          <w:rFonts w:ascii="Palatino" w:hAnsi="Palatino" w:eastAsia="Palatino Linotype" w:cs="Palatino Linotype"/>
          <w:sz w:val="26"/>
          <w:szCs w:val="26"/>
        </w:rPr>
        <w:t>3401-E</w:t>
      </w:r>
      <w:r w:rsidRPr="00B92660" w:rsidR="00B36CF1">
        <w:rPr>
          <w:rFonts w:ascii="Palatino" w:hAnsi="Palatino" w:eastAsia="Palatino Linotype" w:cs="Palatino Linotype"/>
          <w:sz w:val="26"/>
          <w:szCs w:val="26"/>
        </w:rPr>
        <w:t>,</w:t>
      </w:r>
      <w:r w:rsidRPr="00B92660" w:rsidR="00FB65B0">
        <w:rPr>
          <w:rFonts w:ascii="Palatino" w:hAnsi="Palatino" w:eastAsia="Palatino Linotype" w:cs="Palatino Linotype"/>
          <w:sz w:val="26"/>
          <w:szCs w:val="26"/>
        </w:rPr>
        <w:t xml:space="preserve"> </w:t>
      </w:r>
      <w:r w:rsidRPr="00B92660" w:rsidR="00E070F3">
        <w:rPr>
          <w:rFonts w:ascii="Palatino" w:hAnsi="Palatino" w:eastAsia="Palatino Linotype" w:cs="Palatino Linotype"/>
          <w:sz w:val="26"/>
          <w:szCs w:val="26"/>
        </w:rPr>
        <w:t xml:space="preserve">and </w:t>
      </w:r>
      <w:r w:rsidR="00F8282F">
        <w:rPr>
          <w:rFonts w:ascii="Palatino" w:hAnsi="Palatino" w:eastAsia="Palatino Linotype" w:cs="Palatino Linotype"/>
          <w:sz w:val="26"/>
          <w:szCs w:val="26"/>
        </w:rPr>
        <w:t xml:space="preserve">PG&amp;E </w:t>
      </w:r>
      <w:r w:rsidRPr="00B92660" w:rsidR="00E070F3">
        <w:rPr>
          <w:rFonts w:ascii="Palatino" w:hAnsi="Palatino" w:eastAsia="Palatino Linotype" w:cs="Palatino Linotype"/>
          <w:sz w:val="26"/>
          <w:szCs w:val="26"/>
        </w:rPr>
        <w:t>5583-E</w:t>
      </w:r>
      <w:r w:rsidRPr="00B92660" w:rsidR="00E070F3">
        <w:rPr>
          <w:rFonts w:ascii="Palatino" w:hAnsi="Palatino"/>
          <w:sz w:val="26"/>
          <w:szCs w:val="26"/>
        </w:rPr>
        <w:t xml:space="preserve">, </w:t>
      </w:r>
      <w:r w:rsidRPr="00B92660">
        <w:rPr>
          <w:rFonts w:ascii="Palatino" w:hAnsi="Palatino"/>
          <w:sz w:val="26"/>
          <w:szCs w:val="26"/>
        </w:rPr>
        <w:t xml:space="preserve">Filed on </w:t>
      </w:r>
      <w:r w:rsidRPr="00B92660" w:rsidR="00B36CF1">
        <w:rPr>
          <w:rFonts w:ascii="Palatino" w:hAnsi="Palatino"/>
          <w:sz w:val="26"/>
          <w:szCs w:val="26"/>
        </w:rPr>
        <w:t xml:space="preserve">July 5, 2019. </w:t>
      </w:r>
      <w:r w:rsidRPr="00B92660">
        <w:rPr>
          <w:rFonts w:ascii="Palatino" w:hAnsi="Palatino"/>
          <w:sz w:val="26"/>
          <w:szCs w:val="26"/>
        </w:rP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Pr="00894661" w:rsidR="00CF17DE" w:rsidRDefault="00CF17DE" w14:paraId="2C49E15C" w14:textId="77777777">
      <w:pPr>
        <w:pStyle w:val="Heading1"/>
        <w:rPr>
          <w:sz w:val="26"/>
          <w:szCs w:val="26"/>
        </w:rPr>
      </w:pPr>
      <w:r w:rsidRPr="00894661">
        <w:rPr>
          <w:sz w:val="26"/>
          <w:szCs w:val="26"/>
        </w:rPr>
        <w:lastRenderedPageBreak/>
        <w:t>Summary</w:t>
      </w:r>
      <w:bookmarkEnd w:id="1"/>
    </w:p>
    <w:p w:rsidR="00F8282F" w:rsidP="00731431" w:rsidRDefault="00CB1EA3" w14:paraId="788EB527" w14:textId="4B048D08">
      <w:pPr>
        <w:rPr>
          <w:rFonts w:ascii="Palatino" w:hAnsi="Palatino" w:eastAsia="Palatino Linotype" w:cs="Palatino Linotype"/>
          <w:sz w:val="26"/>
          <w:szCs w:val="26"/>
        </w:rPr>
      </w:pPr>
      <w:r w:rsidRPr="00CB1EA3">
        <w:rPr>
          <w:rFonts w:ascii="Palatino" w:hAnsi="Palatino"/>
          <w:sz w:val="26"/>
          <w:szCs w:val="26"/>
        </w:rPr>
        <w:t xml:space="preserve">Pacific Gas and Electric (PG&amp;E), Southern California Edison (SCE), and San Diego Gas &amp; Electric (SDG&amp;E) request approval of modifications to Electric Rule 21 Tariff (Rule 21) that incorporate </w:t>
      </w:r>
      <w:r w:rsidR="00882EE9">
        <w:rPr>
          <w:rFonts w:ascii="Palatino" w:hAnsi="Palatino"/>
          <w:sz w:val="26"/>
          <w:szCs w:val="26"/>
        </w:rPr>
        <w:t>the orders of Decision (D.)19-03-013</w:t>
      </w:r>
      <w:r w:rsidR="00794558">
        <w:rPr>
          <w:rFonts w:ascii="Palatino" w:hAnsi="Palatino"/>
          <w:sz w:val="26"/>
          <w:szCs w:val="26"/>
        </w:rPr>
        <w:t xml:space="preserve">. </w:t>
      </w:r>
      <w:r w:rsidR="00990BCD">
        <w:rPr>
          <w:rFonts w:ascii="Palatino" w:hAnsi="Palatino"/>
          <w:sz w:val="26"/>
          <w:szCs w:val="26"/>
        </w:rPr>
        <w:t xml:space="preserve">These modifications (1) </w:t>
      </w:r>
      <w:r w:rsidR="00442503">
        <w:rPr>
          <w:rFonts w:ascii="Palatino" w:hAnsi="Palatino"/>
          <w:sz w:val="26"/>
          <w:szCs w:val="26"/>
        </w:rPr>
        <w:t>update and streamline the application of</w:t>
      </w:r>
      <w:r w:rsidRPr="00DD6498" w:rsidR="00DD6498">
        <w:rPr>
          <w:rFonts w:ascii="Palatino" w:hAnsi="Palatino"/>
          <w:sz w:val="26"/>
          <w:szCs w:val="26"/>
        </w:rPr>
        <w:t xml:space="preserve"> Screen Q</w:t>
      </w:r>
      <w:r w:rsidR="00442503">
        <w:rPr>
          <w:rFonts w:ascii="Palatino" w:hAnsi="Palatino"/>
          <w:sz w:val="26"/>
          <w:szCs w:val="26"/>
        </w:rPr>
        <w:t xml:space="preserve">, which assesses </w:t>
      </w:r>
      <w:r w:rsidR="00C25EB3">
        <w:rPr>
          <w:rFonts w:ascii="Palatino" w:hAnsi="Palatino"/>
          <w:sz w:val="26"/>
          <w:szCs w:val="26"/>
        </w:rPr>
        <w:t xml:space="preserve">the need </w:t>
      </w:r>
      <w:r w:rsidR="00234806">
        <w:rPr>
          <w:rFonts w:ascii="Palatino" w:hAnsi="Palatino"/>
          <w:sz w:val="26"/>
          <w:szCs w:val="26"/>
        </w:rPr>
        <w:t xml:space="preserve">for projects to undergo transmission cluster studies; (2) </w:t>
      </w:r>
      <w:r w:rsidRPr="00DD6498" w:rsidR="00DD6498">
        <w:rPr>
          <w:rFonts w:ascii="Palatino" w:hAnsi="Palatino"/>
          <w:sz w:val="26"/>
          <w:szCs w:val="26"/>
        </w:rPr>
        <w:t>allow for specific types of modifications to interconnection applications under Fast Track;</w:t>
      </w:r>
      <w:r w:rsidR="00172BF0">
        <w:rPr>
          <w:rStyle w:val="FootnoteReference"/>
          <w:rFonts w:ascii="Palatino" w:hAnsi="Palatino"/>
          <w:sz w:val="26"/>
          <w:szCs w:val="26"/>
        </w:rPr>
        <w:footnoteReference w:id="2"/>
      </w:r>
      <w:r w:rsidR="001A1128">
        <w:rPr>
          <w:rFonts w:ascii="Palatino" w:hAnsi="Palatino"/>
          <w:sz w:val="26"/>
          <w:szCs w:val="26"/>
        </w:rPr>
        <w:t xml:space="preserve"> (3) a</w:t>
      </w:r>
      <w:r w:rsidRPr="00DD6498" w:rsidR="00DD6498">
        <w:rPr>
          <w:rFonts w:ascii="Palatino" w:hAnsi="Palatino"/>
          <w:sz w:val="26"/>
          <w:szCs w:val="26"/>
        </w:rPr>
        <w:t>dopt specific process options for identified categories of modifications to existing generating facilities;</w:t>
      </w:r>
      <w:r w:rsidR="00F65A73">
        <w:rPr>
          <w:rFonts w:ascii="Palatino" w:hAnsi="Palatino"/>
          <w:sz w:val="26"/>
          <w:szCs w:val="26"/>
        </w:rPr>
        <w:t xml:space="preserve"> (4) a</w:t>
      </w:r>
      <w:r w:rsidRPr="00F65A73" w:rsidR="00F65A73">
        <w:rPr>
          <w:rFonts w:ascii="Palatino" w:hAnsi="Palatino"/>
          <w:sz w:val="26"/>
          <w:szCs w:val="26"/>
        </w:rPr>
        <w:t>llow customer ownership of some behind-the-meter telemetry equipment;</w:t>
      </w:r>
      <w:r w:rsidR="00F65A73">
        <w:rPr>
          <w:rFonts w:ascii="Palatino" w:hAnsi="Palatino"/>
          <w:sz w:val="26"/>
          <w:szCs w:val="26"/>
        </w:rPr>
        <w:t xml:space="preserve"> </w:t>
      </w:r>
      <w:r w:rsidR="00491FC2">
        <w:rPr>
          <w:rFonts w:ascii="Palatino" w:hAnsi="Palatino"/>
          <w:sz w:val="26"/>
          <w:szCs w:val="26"/>
        </w:rPr>
        <w:t>and (5) a</w:t>
      </w:r>
      <w:r w:rsidRPr="00DD6498" w:rsidR="00DD6498">
        <w:rPr>
          <w:rFonts w:ascii="Palatino" w:hAnsi="Palatino"/>
          <w:sz w:val="26"/>
          <w:szCs w:val="26"/>
        </w:rPr>
        <w:t>llow customers to replace existing inverters with inverters of equal or greater ability and require that any replacement inverter with greater abilities than the original shall be set with all the most current required functionalities, unless the interconnection applicant can demonstrate that safety or operational needs necessitate otherwise.</w:t>
      </w:r>
      <w:r w:rsidR="00491FC2">
        <w:rPr>
          <w:rFonts w:ascii="Palatino" w:hAnsi="Palatino"/>
          <w:sz w:val="26"/>
          <w:szCs w:val="26"/>
        </w:rPr>
        <w:t xml:space="preserve"> </w:t>
      </w:r>
      <w:r w:rsidRPr="00D82258" w:rsidR="00D82258">
        <w:rPr>
          <w:rFonts w:ascii="Palatino" w:hAnsi="Palatino" w:eastAsia="Palatino Linotype" w:cs="Palatino Linotype"/>
          <w:sz w:val="26"/>
          <w:szCs w:val="26"/>
        </w:rPr>
        <w:t xml:space="preserve">Subject to the modifications herein, this Resolution finds the proposed tariff revisions of </w:t>
      </w:r>
      <w:r w:rsidR="00731431">
        <w:rPr>
          <w:rFonts w:ascii="Palatino" w:hAnsi="Palatino"/>
          <w:sz w:val="26"/>
          <w:szCs w:val="26"/>
        </w:rPr>
        <w:t>the Utilities</w:t>
      </w:r>
      <w:r w:rsidRPr="00794558" w:rsidR="00D82258">
        <w:rPr>
          <w:rFonts w:ascii="Palatino" w:hAnsi="Palatino"/>
          <w:sz w:val="26"/>
          <w:szCs w:val="26"/>
        </w:rPr>
        <w:t xml:space="preserve"> </w:t>
      </w:r>
      <w:r w:rsidRPr="00D82258" w:rsidR="00D82258">
        <w:rPr>
          <w:rFonts w:ascii="Palatino" w:hAnsi="Palatino" w:eastAsia="Palatino Linotype" w:cs="Palatino Linotype"/>
          <w:sz w:val="26"/>
          <w:szCs w:val="26"/>
        </w:rPr>
        <w:t xml:space="preserve">to be compliant with </w:t>
      </w:r>
      <w:r w:rsidR="00D82258">
        <w:rPr>
          <w:rFonts w:ascii="Palatino" w:hAnsi="Palatino" w:eastAsia="Palatino Linotype" w:cs="Palatino Linotype"/>
          <w:sz w:val="26"/>
          <w:szCs w:val="26"/>
        </w:rPr>
        <w:t>D.19-03-013.</w:t>
      </w:r>
      <w:r w:rsidRPr="00D82258" w:rsidR="00D82258">
        <w:rPr>
          <w:rFonts w:ascii="Palatino" w:hAnsi="Palatino" w:eastAsia="Palatino Linotype" w:cs="Palatino Linotype"/>
          <w:sz w:val="26"/>
          <w:szCs w:val="26"/>
        </w:rPr>
        <w:t xml:space="preserve"> </w:t>
      </w:r>
    </w:p>
    <w:p w:rsidR="00F8282F" w:rsidP="00731431" w:rsidRDefault="00F8282F" w14:paraId="4A8E5065" w14:textId="77777777">
      <w:pPr>
        <w:rPr>
          <w:rFonts w:ascii="Palatino" w:hAnsi="Palatino" w:eastAsia="Palatino Linotype" w:cs="Palatino Linotype"/>
          <w:sz w:val="26"/>
          <w:szCs w:val="26"/>
        </w:rPr>
      </w:pPr>
    </w:p>
    <w:p w:rsidR="005C7297" w:rsidP="00731431" w:rsidRDefault="00D82258" w14:paraId="7627E3B0" w14:textId="15C891CE">
      <w:pPr>
        <w:rPr>
          <w:rFonts w:ascii="Palatino" w:hAnsi="Palatino" w:eastAsia="Palatino Linotype" w:cs="Palatino Linotype"/>
          <w:sz w:val="26"/>
          <w:szCs w:val="26"/>
        </w:rPr>
      </w:pPr>
      <w:r w:rsidRPr="00D82258">
        <w:rPr>
          <w:rFonts w:ascii="Palatino" w:hAnsi="Palatino" w:eastAsia="Palatino Linotype" w:cs="Palatino Linotype"/>
          <w:sz w:val="26"/>
          <w:szCs w:val="26"/>
        </w:rPr>
        <w:t xml:space="preserve">This Resolution </w:t>
      </w:r>
      <w:r w:rsidR="00EF5254">
        <w:rPr>
          <w:rFonts w:ascii="Palatino" w:hAnsi="Palatino" w:eastAsia="Palatino Linotype" w:cs="Palatino Linotype"/>
          <w:sz w:val="26"/>
          <w:szCs w:val="26"/>
        </w:rPr>
        <w:t xml:space="preserve">delays the effective date of the modifications and </w:t>
      </w:r>
      <w:r w:rsidR="00731431">
        <w:rPr>
          <w:rFonts w:ascii="Palatino" w:hAnsi="Palatino" w:eastAsia="Palatino Linotype" w:cs="Palatino Linotype"/>
          <w:sz w:val="26"/>
          <w:szCs w:val="26"/>
        </w:rPr>
        <w:t>order</w:t>
      </w:r>
      <w:r w:rsidR="007B149A">
        <w:rPr>
          <w:rFonts w:ascii="Palatino" w:hAnsi="Palatino" w:eastAsia="Palatino Linotype" w:cs="Palatino Linotype"/>
          <w:sz w:val="26"/>
          <w:szCs w:val="26"/>
        </w:rPr>
        <w:t>s</w:t>
      </w:r>
      <w:r w:rsidR="00731431">
        <w:rPr>
          <w:rFonts w:ascii="Palatino" w:hAnsi="Palatino" w:eastAsia="Palatino Linotype" w:cs="Palatino Linotype"/>
          <w:sz w:val="26"/>
          <w:szCs w:val="26"/>
        </w:rPr>
        <w:t xml:space="preserve"> </w:t>
      </w:r>
      <w:r w:rsidR="00F1510A">
        <w:rPr>
          <w:rFonts w:ascii="Palatino" w:hAnsi="Palatino" w:eastAsia="Palatino Linotype" w:cs="Palatino Linotype"/>
          <w:sz w:val="26"/>
          <w:szCs w:val="26"/>
        </w:rPr>
        <w:t>(1)</w:t>
      </w:r>
      <w:r w:rsidRPr="00731431" w:rsidR="00731431">
        <w:t xml:space="preserve"> </w:t>
      </w:r>
      <w:r w:rsidRPr="00794558" w:rsidR="005C7297">
        <w:rPr>
          <w:rFonts w:ascii="Palatino" w:hAnsi="Palatino"/>
          <w:sz w:val="26"/>
          <w:szCs w:val="26"/>
        </w:rPr>
        <w:t xml:space="preserve">PG&amp;E, SCE, and SDG&amp;E </w:t>
      </w:r>
      <w:r w:rsidR="005C7297">
        <w:rPr>
          <w:rFonts w:ascii="Palatino" w:hAnsi="Palatino"/>
          <w:sz w:val="26"/>
          <w:szCs w:val="26"/>
        </w:rPr>
        <w:t xml:space="preserve">(jointly, the Utilities) </w:t>
      </w:r>
      <w:r w:rsidR="007B149A">
        <w:rPr>
          <w:rFonts w:ascii="Palatino" w:hAnsi="Palatino" w:eastAsia="Palatino Linotype" w:cs="Palatino Linotype"/>
          <w:sz w:val="26"/>
          <w:szCs w:val="26"/>
        </w:rPr>
        <w:t xml:space="preserve">to </w:t>
      </w:r>
      <w:r w:rsidRPr="00731431" w:rsidR="00731431">
        <w:rPr>
          <w:rFonts w:ascii="Palatino" w:hAnsi="Palatino" w:eastAsia="Palatino Linotype" w:cs="Palatino Linotype"/>
          <w:sz w:val="26"/>
          <w:szCs w:val="26"/>
        </w:rPr>
        <w:t>standardize the Electric Rule 21 language describing the allowed types of modifications to</w:t>
      </w:r>
      <w:r w:rsidR="00F1510A">
        <w:rPr>
          <w:rFonts w:ascii="Palatino" w:hAnsi="Palatino" w:eastAsia="Palatino Linotype" w:cs="Palatino Linotype"/>
          <w:sz w:val="26"/>
          <w:szCs w:val="26"/>
        </w:rPr>
        <w:t xml:space="preserve"> </w:t>
      </w:r>
      <w:r w:rsidRPr="00731431" w:rsidR="00731431">
        <w:rPr>
          <w:rFonts w:ascii="Palatino" w:hAnsi="Palatino" w:eastAsia="Palatino Linotype" w:cs="Palatino Linotype"/>
          <w:sz w:val="26"/>
          <w:szCs w:val="26"/>
        </w:rPr>
        <w:t>interconnection applications under Fast Track</w:t>
      </w:r>
      <w:r w:rsidR="00143546">
        <w:rPr>
          <w:rFonts w:ascii="Palatino" w:hAnsi="Palatino" w:eastAsia="Palatino Linotype" w:cs="Palatino Linotype"/>
          <w:sz w:val="26"/>
          <w:szCs w:val="26"/>
        </w:rPr>
        <w:t>;</w:t>
      </w:r>
      <w:r w:rsidR="007B149A">
        <w:rPr>
          <w:rFonts w:ascii="Palatino" w:hAnsi="Palatino" w:eastAsia="Palatino Linotype" w:cs="Palatino Linotype"/>
          <w:sz w:val="26"/>
          <w:szCs w:val="26"/>
        </w:rPr>
        <w:t xml:space="preserve"> (2) </w:t>
      </w:r>
      <w:r w:rsidRPr="00731431" w:rsidR="00731431">
        <w:rPr>
          <w:rFonts w:ascii="Palatino" w:hAnsi="Palatino" w:eastAsia="Palatino Linotype" w:cs="Palatino Linotype"/>
          <w:sz w:val="26"/>
          <w:szCs w:val="26"/>
        </w:rPr>
        <w:t xml:space="preserve">PG&amp;E </w:t>
      </w:r>
      <w:r w:rsidR="007B149A">
        <w:rPr>
          <w:rFonts w:ascii="Palatino" w:hAnsi="Palatino" w:eastAsia="Palatino Linotype" w:cs="Palatino Linotype"/>
          <w:sz w:val="26"/>
          <w:szCs w:val="26"/>
        </w:rPr>
        <w:t>to</w:t>
      </w:r>
      <w:r w:rsidRPr="00731431" w:rsidR="00731431">
        <w:rPr>
          <w:rFonts w:ascii="Palatino" w:hAnsi="Palatino" w:eastAsia="Palatino Linotype" w:cs="Palatino Linotype"/>
          <w:sz w:val="26"/>
          <w:szCs w:val="26"/>
        </w:rPr>
        <w:t xml:space="preserve"> amend Rule 21 </w:t>
      </w:r>
      <w:r w:rsidR="00143546">
        <w:rPr>
          <w:rFonts w:ascii="Palatino" w:hAnsi="Palatino" w:eastAsia="Palatino Linotype" w:cs="Palatino Linotype"/>
          <w:sz w:val="26"/>
          <w:szCs w:val="26"/>
        </w:rPr>
        <w:t xml:space="preserve">to </w:t>
      </w:r>
      <w:r w:rsidRPr="00670BB8" w:rsidR="00143546">
        <w:rPr>
          <w:rFonts w:ascii="Palatino" w:hAnsi="Palatino"/>
          <w:sz w:val="26"/>
          <w:szCs w:val="26"/>
        </w:rPr>
        <w:t>clarify that</w:t>
      </w:r>
      <w:r w:rsidR="00143546">
        <w:rPr>
          <w:rFonts w:ascii="Palatino" w:hAnsi="Palatino"/>
          <w:sz w:val="26"/>
          <w:szCs w:val="26"/>
        </w:rPr>
        <w:t xml:space="preserve"> </w:t>
      </w:r>
      <w:r w:rsidRPr="00670BB8" w:rsidR="00143546">
        <w:rPr>
          <w:rFonts w:ascii="Palatino" w:hAnsi="Palatino"/>
          <w:sz w:val="26"/>
          <w:szCs w:val="26"/>
        </w:rPr>
        <w:t>utilities have the discretion to allow more than one material modification to a Fast Track interconnection application, even when utility action has not necessitated the modification</w:t>
      </w:r>
      <w:r w:rsidR="00143546">
        <w:rPr>
          <w:rFonts w:ascii="Palatino" w:hAnsi="Palatino"/>
          <w:sz w:val="26"/>
          <w:szCs w:val="26"/>
        </w:rPr>
        <w:t>,</w:t>
      </w:r>
      <w:r w:rsidRPr="00670BB8" w:rsidR="00143546">
        <w:rPr>
          <w:rFonts w:ascii="Palatino" w:hAnsi="Palatino"/>
          <w:sz w:val="26"/>
          <w:szCs w:val="26"/>
        </w:rPr>
        <w:t xml:space="preserve"> and </w:t>
      </w:r>
      <w:r w:rsidR="00143546">
        <w:rPr>
          <w:rFonts w:ascii="Palatino" w:hAnsi="Palatino"/>
          <w:sz w:val="26"/>
          <w:szCs w:val="26"/>
        </w:rPr>
        <w:t xml:space="preserve">to </w:t>
      </w:r>
      <w:r w:rsidRPr="00670BB8" w:rsidR="00143546">
        <w:rPr>
          <w:rFonts w:ascii="Palatino" w:hAnsi="Palatino"/>
          <w:sz w:val="26"/>
          <w:szCs w:val="26"/>
        </w:rPr>
        <w:t>correct the error in the footnotes in Table Ee.3</w:t>
      </w:r>
      <w:r w:rsidR="00143546">
        <w:rPr>
          <w:rFonts w:ascii="Palatino" w:hAnsi="Palatino"/>
          <w:sz w:val="26"/>
          <w:szCs w:val="26"/>
        </w:rPr>
        <w:t>; (3)</w:t>
      </w:r>
      <w:r w:rsidR="00143546">
        <w:rPr>
          <w:rFonts w:ascii="Palatino" w:hAnsi="Palatino" w:eastAsia="Palatino Linotype" w:cs="Palatino Linotype"/>
          <w:sz w:val="26"/>
          <w:szCs w:val="26"/>
        </w:rPr>
        <w:t xml:space="preserve"> the Utilities to </w:t>
      </w:r>
      <w:r w:rsidRPr="00731431" w:rsidR="00731431">
        <w:rPr>
          <w:rFonts w:ascii="Palatino" w:hAnsi="Palatino" w:eastAsia="Palatino Linotype" w:cs="Palatino Linotype"/>
          <w:sz w:val="26"/>
          <w:szCs w:val="26"/>
        </w:rPr>
        <w:t>update Rule 21 to reflect the appropriate process options for Use Case 3 material modifications</w:t>
      </w:r>
      <w:r w:rsidR="00737606">
        <w:rPr>
          <w:rFonts w:ascii="Palatino" w:hAnsi="Palatino" w:eastAsia="Palatino Linotype" w:cs="Palatino Linotype"/>
          <w:sz w:val="26"/>
          <w:szCs w:val="26"/>
        </w:rPr>
        <w:t xml:space="preserve">; </w:t>
      </w:r>
      <w:r w:rsidR="00E6108D">
        <w:rPr>
          <w:rFonts w:ascii="Palatino" w:hAnsi="Palatino" w:eastAsia="Palatino Linotype" w:cs="Palatino Linotype"/>
          <w:sz w:val="26"/>
          <w:szCs w:val="26"/>
        </w:rPr>
        <w:t xml:space="preserve">and </w:t>
      </w:r>
      <w:r w:rsidR="00BE51D4">
        <w:rPr>
          <w:rFonts w:ascii="Palatino" w:hAnsi="Palatino" w:eastAsia="Palatino Linotype" w:cs="Palatino Linotype"/>
          <w:sz w:val="26"/>
          <w:szCs w:val="26"/>
        </w:rPr>
        <w:t>(</w:t>
      </w:r>
      <w:r w:rsidR="00E6108D">
        <w:rPr>
          <w:rFonts w:ascii="Palatino" w:hAnsi="Palatino" w:eastAsia="Palatino Linotype" w:cs="Palatino Linotype"/>
          <w:sz w:val="26"/>
          <w:szCs w:val="26"/>
        </w:rPr>
        <w:t>4</w:t>
      </w:r>
      <w:r w:rsidR="00BE51D4">
        <w:rPr>
          <w:rFonts w:ascii="Palatino" w:hAnsi="Palatino" w:eastAsia="Palatino Linotype" w:cs="Palatino Linotype"/>
          <w:sz w:val="26"/>
          <w:szCs w:val="26"/>
        </w:rPr>
        <w:t xml:space="preserve">) </w:t>
      </w:r>
      <w:r w:rsidRPr="00731431" w:rsidR="00731431">
        <w:rPr>
          <w:rFonts w:ascii="Palatino" w:hAnsi="Palatino" w:eastAsia="Palatino Linotype" w:cs="Palatino Linotype"/>
          <w:sz w:val="26"/>
          <w:szCs w:val="26"/>
        </w:rPr>
        <w:t xml:space="preserve">PG&amp;E and SCE </w:t>
      </w:r>
      <w:r w:rsidR="00BE51D4">
        <w:rPr>
          <w:rFonts w:ascii="Palatino" w:hAnsi="Palatino" w:eastAsia="Palatino Linotype" w:cs="Palatino Linotype"/>
          <w:sz w:val="26"/>
          <w:szCs w:val="26"/>
        </w:rPr>
        <w:t>to</w:t>
      </w:r>
      <w:r w:rsidRPr="00731431" w:rsidR="00731431">
        <w:rPr>
          <w:rFonts w:ascii="Palatino" w:hAnsi="Palatino" w:eastAsia="Palatino Linotype" w:cs="Palatino Linotype"/>
          <w:sz w:val="26"/>
          <w:szCs w:val="26"/>
        </w:rPr>
        <w:t xml:space="preserve"> align their Rule 21 Section G.3.a language expanding the Screen Q exemption with that proposed by SDG&amp;E</w:t>
      </w:r>
      <w:r w:rsidR="00EF5254">
        <w:rPr>
          <w:rFonts w:ascii="Palatino" w:hAnsi="Palatino" w:eastAsia="Palatino Linotype" w:cs="Palatino Linotype"/>
          <w:sz w:val="26"/>
          <w:szCs w:val="26"/>
        </w:rPr>
        <w:t>.</w:t>
      </w:r>
      <w:r w:rsidRPr="00731431" w:rsidR="00731431">
        <w:rPr>
          <w:rFonts w:ascii="Palatino" w:hAnsi="Palatino" w:eastAsia="Palatino Linotype" w:cs="Palatino Linotype"/>
          <w:sz w:val="26"/>
          <w:szCs w:val="26"/>
        </w:rPr>
        <w:t xml:space="preserve"> </w:t>
      </w:r>
    </w:p>
    <w:p w:rsidR="005C7297" w:rsidP="00731431" w:rsidRDefault="005C7297" w14:paraId="4176CA21" w14:textId="05353E51">
      <w:pPr>
        <w:rPr>
          <w:rFonts w:ascii="Palatino" w:hAnsi="Palatino" w:eastAsia="Palatino Linotype" w:cs="Palatino Linotype"/>
          <w:sz w:val="26"/>
          <w:szCs w:val="26"/>
        </w:rPr>
      </w:pPr>
    </w:p>
    <w:p w:rsidRPr="00731431" w:rsidR="00731431" w:rsidP="00731431" w:rsidRDefault="009A102B" w14:paraId="27C2A967" w14:textId="4E6BDBDA">
      <w:pPr>
        <w:rPr>
          <w:rFonts w:ascii="Palatino" w:hAnsi="Palatino" w:eastAsia="Palatino Linotype" w:cs="Palatino Linotype"/>
          <w:sz w:val="26"/>
          <w:szCs w:val="26"/>
        </w:rPr>
      </w:pPr>
      <w:r>
        <w:rPr>
          <w:rFonts w:ascii="Palatino" w:hAnsi="Palatino"/>
          <w:sz w:val="26"/>
          <w:szCs w:val="26"/>
        </w:rPr>
        <w:t>The</w:t>
      </w:r>
      <w:r w:rsidR="005C7297">
        <w:rPr>
          <w:rFonts w:ascii="Palatino" w:hAnsi="Palatino"/>
          <w:sz w:val="26"/>
          <w:szCs w:val="26"/>
        </w:rPr>
        <w:t xml:space="preserve"> Utilities </w:t>
      </w:r>
      <w:r>
        <w:rPr>
          <w:rFonts w:ascii="Palatino" w:hAnsi="Palatino"/>
          <w:sz w:val="26"/>
          <w:szCs w:val="26"/>
        </w:rPr>
        <w:t xml:space="preserve">also </w:t>
      </w:r>
      <w:r w:rsidR="005C7297">
        <w:rPr>
          <w:rFonts w:ascii="Palatino" w:hAnsi="Palatino"/>
          <w:sz w:val="26"/>
          <w:szCs w:val="26"/>
        </w:rPr>
        <w:t xml:space="preserve">request approval of </w:t>
      </w:r>
      <w:r w:rsidRPr="00B92660" w:rsidR="005C7297">
        <w:rPr>
          <w:rFonts w:ascii="Palatino" w:hAnsi="Palatino" w:eastAsia="Palatino Linotype" w:cs="Palatino Linotype"/>
          <w:sz w:val="26"/>
          <w:szCs w:val="26"/>
        </w:rPr>
        <w:t>the interim standard form template for Type II modifications to existing generating facilities</w:t>
      </w:r>
      <w:r w:rsidR="005C7297">
        <w:rPr>
          <w:rFonts w:ascii="Palatino" w:hAnsi="Palatino" w:eastAsia="Palatino Linotype" w:cs="Palatino Linotype"/>
          <w:sz w:val="26"/>
          <w:szCs w:val="26"/>
        </w:rPr>
        <w:t>, as ordered by D.19-03-013.</w:t>
      </w:r>
      <w:r w:rsidRPr="009A102B">
        <w:t xml:space="preserve"> </w:t>
      </w:r>
      <w:r w:rsidRPr="009A102B">
        <w:rPr>
          <w:rFonts w:ascii="Palatino" w:hAnsi="Palatino" w:eastAsia="Palatino Linotype" w:cs="Palatino Linotype"/>
          <w:sz w:val="26"/>
          <w:szCs w:val="26"/>
        </w:rPr>
        <w:lastRenderedPageBreak/>
        <w:t>Subject to the modifications herein, this Resolution</w:t>
      </w:r>
      <w:r>
        <w:rPr>
          <w:rFonts w:ascii="Palatino" w:hAnsi="Palatino" w:eastAsia="Palatino Linotype" w:cs="Palatino Linotype"/>
          <w:sz w:val="26"/>
          <w:szCs w:val="26"/>
        </w:rPr>
        <w:t xml:space="preserve"> </w:t>
      </w:r>
      <w:r w:rsidR="00E97BBB">
        <w:rPr>
          <w:rFonts w:ascii="Palatino" w:hAnsi="Palatino" w:eastAsia="Palatino Linotype" w:cs="Palatino Linotype"/>
          <w:sz w:val="26"/>
          <w:szCs w:val="26"/>
        </w:rPr>
        <w:t>approves this template. This Resolution modifies the proposed template by</w:t>
      </w:r>
      <w:r w:rsidR="00056B97">
        <w:rPr>
          <w:rFonts w:ascii="Palatino" w:hAnsi="Palatino" w:eastAsia="Palatino Linotype" w:cs="Palatino Linotype"/>
          <w:sz w:val="26"/>
          <w:szCs w:val="26"/>
        </w:rPr>
        <w:t xml:space="preserve"> ordering the Utilities to</w:t>
      </w:r>
      <w:r w:rsidR="00E97BBB">
        <w:rPr>
          <w:rFonts w:ascii="Palatino" w:hAnsi="Palatino" w:eastAsia="Palatino Linotype" w:cs="Palatino Linotype"/>
          <w:sz w:val="26"/>
          <w:szCs w:val="26"/>
        </w:rPr>
        <w:t xml:space="preserve"> (1) </w:t>
      </w:r>
      <w:r w:rsidR="00056B97">
        <w:rPr>
          <w:rFonts w:ascii="Palatino" w:hAnsi="Palatino" w:eastAsia="Palatino Linotype" w:cs="Palatino Linotype"/>
          <w:sz w:val="26"/>
          <w:szCs w:val="26"/>
        </w:rPr>
        <w:t>update the document to reflect</w:t>
      </w:r>
      <w:r w:rsidRPr="00731431" w:rsidR="00056B97">
        <w:rPr>
          <w:rFonts w:ascii="Palatino" w:hAnsi="Palatino" w:eastAsia="Palatino Linotype" w:cs="Palatino Linotype"/>
          <w:sz w:val="26"/>
          <w:szCs w:val="26"/>
        </w:rPr>
        <w:t xml:space="preserve"> the appropriate process options for Use Case 3 material modifications</w:t>
      </w:r>
      <w:r w:rsidR="00056B97">
        <w:rPr>
          <w:rFonts w:ascii="Palatino" w:hAnsi="Palatino" w:eastAsia="Palatino Linotype" w:cs="Palatino Linotype"/>
          <w:sz w:val="26"/>
          <w:szCs w:val="26"/>
        </w:rPr>
        <w:t xml:space="preserve"> and (2) </w:t>
      </w:r>
      <w:r w:rsidRPr="00731431" w:rsidR="00E6108D">
        <w:rPr>
          <w:rFonts w:ascii="Palatino" w:hAnsi="Palatino" w:eastAsia="Palatino Linotype" w:cs="Palatino Linotype"/>
          <w:sz w:val="26"/>
          <w:szCs w:val="26"/>
        </w:rPr>
        <w:t>update Section 4.1 to reflect that verified equipment may be listed on one of multiple equipment lists</w:t>
      </w:r>
      <w:r w:rsidR="000448EA">
        <w:rPr>
          <w:rFonts w:ascii="Palatino" w:hAnsi="Palatino" w:eastAsia="Palatino Linotype" w:cs="Palatino Linotype"/>
          <w:sz w:val="26"/>
          <w:szCs w:val="26"/>
        </w:rPr>
        <w:t>.</w:t>
      </w:r>
    </w:p>
    <w:p w:rsidRPr="00894661" w:rsidR="00CF17DE" w:rsidRDefault="00CF17DE" w14:paraId="184E396E" w14:textId="77777777">
      <w:pPr>
        <w:rPr>
          <w:rFonts w:ascii="Palatino" w:hAnsi="Palatino"/>
          <w:sz w:val="26"/>
          <w:szCs w:val="26"/>
        </w:rPr>
      </w:pPr>
    </w:p>
    <w:p w:rsidRPr="00670BB8" w:rsidR="00CF17DE" w:rsidRDefault="00CF17DE" w14:paraId="0BFDDE4C" w14:textId="77777777">
      <w:pPr>
        <w:pStyle w:val="Heading1"/>
        <w:rPr>
          <w:sz w:val="26"/>
          <w:szCs w:val="26"/>
        </w:rPr>
      </w:pPr>
      <w:r w:rsidRPr="00670BB8">
        <w:rPr>
          <w:sz w:val="26"/>
          <w:szCs w:val="26"/>
        </w:rPr>
        <w:t>Background</w:t>
      </w:r>
    </w:p>
    <w:p w:rsidRPr="00670BB8" w:rsidR="00B7600B" w:rsidP="00B7600B" w:rsidRDefault="00B7600B" w14:paraId="15863E93" w14:textId="5A1B3DCF">
      <w:pPr>
        <w:rPr>
          <w:rFonts w:ascii="Palatino" w:hAnsi="Palatino"/>
          <w:b/>
          <w:bCs/>
          <w:sz w:val="26"/>
          <w:szCs w:val="26"/>
        </w:rPr>
      </w:pPr>
      <w:r w:rsidRPr="00670BB8">
        <w:rPr>
          <w:rFonts w:ascii="Palatino" w:hAnsi="Palatino"/>
          <w:b/>
          <w:bCs/>
          <w:sz w:val="26"/>
          <w:szCs w:val="26"/>
        </w:rPr>
        <w:t>A. Rulemaking 17-07-007 and Decision 19-03-013</w:t>
      </w:r>
    </w:p>
    <w:p w:rsidRPr="00670BB8" w:rsidR="002D3C5B" w:rsidP="002D3C5B" w:rsidRDefault="002D3C5B" w14:paraId="239CDE89" w14:textId="0268858E">
      <w:pPr>
        <w:rPr>
          <w:rFonts w:ascii="Palatino" w:hAnsi="Palatino"/>
          <w:sz w:val="26"/>
          <w:szCs w:val="26"/>
          <w:vertAlign w:val="superscript"/>
        </w:rPr>
      </w:pPr>
      <w:r w:rsidRPr="00670BB8">
        <w:rPr>
          <w:rFonts w:ascii="Palatino" w:hAnsi="Palatino"/>
          <w:sz w:val="26"/>
          <w:szCs w:val="26"/>
        </w:rPr>
        <w:t xml:space="preserve">The </w:t>
      </w:r>
      <w:r w:rsidR="003E3E9F">
        <w:rPr>
          <w:rFonts w:ascii="Palatino" w:hAnsi="Palatino"/>
          <w:sz w:val="26"/>
          <w:szCs w:val="26"/>
        </w:rPr>
        <w:t>CPUC</w:t>
      </w:r>
      <w:r w:rsidRPr="00670BB8" w:rsidR="003E3E9F">
        <w:rPr>
          <w:rFonts w:ascii="Palatino" w:hAnsi="Palatino"/>
          <w:sz w:val="26"/>
          <w:szCs w:val="26"/>
        </w:rPr>
        <w:t xml:space="preserve"> </w:t>
      </w:r>
      <w:r w:rsidRPr="00670BB8">
        <w:rPr>
          <w:rFonts w:ascii="Palatino" w:hAnsi="Palatino"/>
          <w:sz w:val="26"/>
          <w:szCs w:val="26"/>
        </w:rPr>
        <w:t xml:space="preserve">adopted the Order Instituting Rulemaking (R.) 17-07-007 on </w:t>
      </w:r>
      <w:r w:rsidR="00C4227A">
        <w:rPr>
          <w:rFonts w:ascii="Palatino" w:hAnsi="Palatino"/>
          <w:sz w:val="26"/>
          <w:szCs w:val="26"/>
        </w:rPr>
        <w:br/>
      </w:r>
      <w:r w:rsidRPr="00670BB8">
        <w:rPr>
          <w:rFonts w:ascii="Palatino" w:hAnsi="Palatino"/>
          <w:sz w:val="26"/>
          <w:szCs w:val="26"/>
        </w:rPr>
        <w:t>July 13, 2017 to consider a variety of refinements to the interconnection of distributed energy resources under Electric Tariff Rule 21 of Pacific Gas and Electric Company (PG&amp;E), San Diego Gas &amp; Electric Company (SDG&amp;E), and Southern California Edison Company (SCE) (jointly, the Utilities) and the equivalent tariff rules of the small and multi-jurisdictional electric utilities.</w:t>
      </w:r>
      <w:r w:rsidRPr="00670BB8">
        <w:rPr>
          <w:rFonts w:ascii="Palatino" w:hAnsi="Palatino"/>
          <w:sz w:val="26"/>
          <w:szCs w:val="26"/>
          <w:vertAlign w:val="superscript"/>
        </w:rPr>
        <w:footnoteReference w:id="3"/>
      </w:r>
    </w:p>
    <w:p w:rsidRPr="00670BB8" w:rsidR="002D3C5B" w:rsidP="002D3C5B" w:rsidRDefault="002D3C5B" w14:paraId="512B2F52" w14:textId="77777777">
      <w:pPr>
        <w:rPr>
          <w:rFonts w:ascii="Palatino" w:hAnsi="Palatino"/>
          <w:sz w:val="26"/>
          <w:szCs w:val="26"/>
          <w:vertAlign w:val="superscript"/>
        </w:rPr>
      </w:pPr>
    </w:p>
    <w:p w:rsidRPr="00670BB8" w:rsidR="005D29F9" w:rsidP="002D3C5B" w:rsidRDefault="002D3C5B" w14:paraId="11F5344D" w14:textId="567F410A">
      <w:pPr>
        <w:rPr>
          <w:rFonts w:ascii="Palatino" w:hAnsi="Palatino"/>
          <w:sz w:val="26"/>
          <w:szCs w:val="26"/>
        </w:rPr>
      </w:pPr>
      <w:r w:rsidRPr="00670BB8">
        <w:rPr>
          <w:rFonts w:ascii="Palatino" w:hAnsi="Palatino"/>
          <w:sz w:val="26"/>
          <w:szCs w:val="26"/>
        </w:rPr>
        <w:t xml:space="preserve">The October 2, 2017 </w:t>
      </w:r>
      <w:r w:rsidRPr="00670BB8">
        <w:rPr>
          <w:rFonts w:ascii="Palatino" w:hAnsi="Palatino"/>
          <w:i/>
          <w:iCs/>
          <w:sz w:val="26"/>
          <w:szCs w:val="26"/>
        </w:rPr>
        <w:t>Scoping Memo of Assigned Commissioner and Administrative Law Judge</w:t>
      </w:r>
      <w:r w:rsidRPr="00670BB8">
        <w:rPr>
          <w:rFonts w:ascii="Palatino" w:hAnsi="Palatino"/>
          <w:sz w:val="26"/>
          <w:szCs w:val="26"/>
        </w:rPr>
        <w:t xml:space="preserve"> (Scoping Memo) set forth the scope and schedule of the proceeding.  The Scoping Memo also established a working group process in the proceeding whereby the</w:t>
      </w:r>
      <w:r w:rsidRPr="00670BB8" w:rsidR="00CE5252">
        <w:rPr>
          <w:rFonts w:ascii="Palatino" w:hAnsi="Palatino"/>
          <w:sz w:val="26"/>
          <w:szCs w:val="26"/>
        </w:rPr>
        <w:t xml:space="preserve"> scoped</w:t>
      </w:r>
      <w:r w:rsidRPr="00670BB8">
        <w:rPr>
          <w:rFonts w:ascii="Palatino" w:hAnsi="Palatino"/>
          <w:sz w:val="26"/>
          <w:szCs w:val="26"/>
        </w:rPr>
        <w:t xml:space="preserve"> issues would be </w:t>
      </w:r>
      <w:r w:rsidRPr="00670BB8" w:rsidR="00CE5252">
        <w:rPr>
          <w:rFonts w:ascii="Palatino" w:hAnsi="Palatino"/>
          <w:sz w:val="26"/>
          <w:szCs w:val="26"/>
        </w:rPr>
        <w:t>resolved</w:t>
      </w:r>
      <w:r w:rsidRPr="00670BB8">
        <w:rPr>
          <w:rFonts w:ascii="Palatino" w:hAnsi="Palatino"/>
          <w:sz w:val="26"/>
          <w:szCs w:val="26"/>
        </w:rPr>
        <w:t xml:space="preserve">.  </w:t>
      </w:r>
      <w:r w:rsidRPr="00670BB8" w:rsidR="00CE5252">
        <w:rPr>
          <w:rFonts w:ascii="Palatino" w:hAnsi="Palatino"/>
          <w:sz w:val="26"/>
          <w:szCs w:val="26"/>
        </w:rPr>
        <w:t>The first set of issues was assigned to Working Group One</w:t>
      </w:r>
      <w:r w:rsidRPr="00670BB8" w:rsidR="00733A67">
        <w:rPr>
          <w:rFonts w:ascii="Palatino" w:hAnsi="Palatino"/>
          <w:sz w:val="26"/>
          <w:szCs w:val="26"/>
        </w:rPr>
        <w:t xml:space="preserve"> </w:t>
      </w:r>
      <w:r w:rsidRPr="00670BB8" w:rsidR="00CE5252">
        <w:rPr>
          <w:rFonts w:ascii="Palatino" w:hAnsi="Palatino"/>
          <w:sz w:val="26"/>
          <w:szCs w:val="26"/>
        </w:rPr>
        <w:t xml:space="preserve">and the </w:t>
      </w:r>
      <w:r w:rsidRPr="00670BB8">
        <w:rPr>
          <w:rFonts w:ascii="Palatino" w:hAnsi="Palatino"/>
          <w:sz w:val="26"/>
          <w:szCs w:val="26"/>
        </w:rPr>
        <w:t>Smart Inverter Working Group</w:t>
      </w:r>
      <w:r w:rsidRPr="00670BB8">
        <w:rPr>
          <w:rFonts w:ascii="Palatino" w:hAnsi="Palatino"/>
          <w:sz w:val="26"/>
          <w:szCs w:val="26"/>
          <w:vertAlign w:val="superscript"/>
        </w:rPr>
        <w:footnoteReference w:id="4"/>
      </w:r>
      <w:r w:rsidRPr="00670BB8" w:rsidR="005D29F9">
        <w:rPr>
          <w:rFonts w:ascii="Palatino" w:hAnsi="Palatino"/>
          <w:sz w:val="26"/>
          <w:szCs w:val="26"/>
        </w:rPr>
        <w:t>:</w:t>
      </w:r>
    </w:p>
    <w:p w:rsidRPr="00670BB8" w:rsidR="005D29F9" w:rsidP="002D3C5B" w:rsidRDefault="005D29F9" w14:paraId="31EA9D21" w14:textId="109AB9EE">
      <w:pPr>
        <w:rPr>
          <w:rFonts w:ascii="Palatino" w:hAnsi="Palatino"/>
          <w:sz w:val="26"/>
          <w:szCs w:val="26"/>
        </w:rPr>
      </w:pPr>
    </w:p>
    <w:p w:rsidRPr="00670BB8" w:rsidR="005D29F9" w:rsidP="005D29F9" w:rsidRDefault="005D29F9" w14:paraId="30DC4F5C" w14:textId="09B9E8CA">
      <w:pPr>
        <w:pStyle w:val="ListParagraph"/>
        <w:numPr>
          <w:ilvl w:val="0"/>
          <w:numId w:val="15"/>
        </w:numPr>
        <w:rPr>
          <w:rFonts w:ascii="Palatino" w:hAnsi="Palatino"/>
          <w:sz w:val="26"/>
          <w:szCs w:val="26"/>
        </w:rPr>
      </w:pPr>
      <w:r w:rsidRPr="00670BB8">
        <w:rPr>
          <w:rFonts w:ascii="Palatino" w:hAnsi="Palatino"/>
          <w:sz w:val="26"/>
          <w:szCs w:val="26"/>
        </w:rPr>
        <w:t>Screen Q modifications</w:t>
      </w:r>
    </w:p>
    <w:p w:rsidRPr="00670BB8" w:rsidR="005D29F9" w:rsidP="005D29F9" w:rsidRDefault="005D29F9" w14:paraId="0EDD3D8A" w14:textId="103DB398">
      <w:pPr>
        <w:pStyle w:val="ListParagraph"/>
        <w:numPr>
          <w:ilvl w:val="0"/>
          <w:numId w:val="15"/>
        </w:numPr>
        <w:rPr>
          <w:rFonts w:ascii="Palatino" w:hAnsi="Palatino"/>
          <w:sz w:val="26"/>
          <w:szCs w:val="26"/>
        </w:rPr>
      </w:pPr>
      <w:r w:rsidRPr="00670BB8">
        <w:rPr>
          <w:rFonts w:ascii="Palatino" w:hAnsi="Palatino"/>
          <w:sz w:val="26"/>
          <w:szCs w:val="26"/>
        </w:rPr>
        <w:t>Complex Metering clarification</w:t>
      </w:r>
    </w:p>
    <w:p w:rsidRPr="00670BB8" w:rsidR="005D29F9" w:rsidP="005D29F9" w:rsidRDefault="005D29F9" w14:paraId="588E84B0" w14:textId="76EC7C81">
      <w:pPr>
        <w:pStyle w:val="ListParagraph"/>
        <w:numPr>
          <w:ilvl w:val="0"/>
          <w:numId w:val="15"/>
        </w:numPr>
        <w:rPr>
          <w:rFonts w:ascii="Palatino" w:hAnsi="Palatino"/>
          <w:sz w:val="26"/>
          <w:szCs w:val="26"/>
        </w:rPr>
      </w:pPr>
      <w:r w:rsidRPr="00670BB8">
        <w:rPr>
          <w:rFonts w:ascii="Palatino" w:hAnsi="Palatino"/>
          <w:sz w:val="26"/>
          <w:szCs w:val="26"/>
        </w:rPr>
        <w:t>Material modifications</w:t>
      </w:r>
    </w:p>
    <w:p w:rsidRPr="00670BB8" w:rsidR="005D29F9" w:rsidP="005D29F9" w:rsidRDefault="005D29F9" w14:paraId="6E853E8F" w14:textId="158FA78C">
      <w:pPr>
        <w:pStyle w:val="ListParagraph"/>
        <w:numPr>
          <w:ilvl w:val="0"/>
          <w:numId w:val="15"/>
        </w:numPr>
        <w:rPr>
          <w:rFonts w:ascii="Palatino" w:hAnsi="Palatino"/>
          <w:sz w:val="26"/>
          <w:szCs w:val="26"/>
        </w:rPr>
      </w:pPr>
      <w:r w:rsidRPr="00670BB8">
        <w:rPr>
          <w:rFonts w:ascii="Palatino" w:hAnsi="Palatino"/>
          <w:sz w:val="26"/>
          <w:szCs w:val="26"/>
        </w:rPr>
        <w:t>Telemetry modifications</w:t>
      </w:r>
    </w:p>
    <w:p w:rsidRPr="00670BB8" w:rsidR="005D29F9" w:rsidP="005D29F9" w:rsidRDefault="005D29F9" w14:paraId="08BDE000" w14:textId="6568B112">
      <w:pPr>
        <w:pStyle w:val="ListParagraph"/>
        <w:numPr>
          <w:ilvl w:val="0"/>
          <w:numId w:val="15"/>
        </w:numPr>
        <w:rPr>
          <w:rFonts w:ascii="Palatino" w:hAnsi="Palatino"/>
          <w:sz w:val="26"/>
          <w:szCs w:val="26"/>
        </w:rPr>
      </w:pPr>
      <w:r w:rsidRPr="00670BB8">
        <w:rPr>
          <w:rFonts w:ascii="Palatino" w:hAnsi="Palatino"/>
          <w:sz w:val="26"/>
          <w:szCs w:val="26"/>
        </w:rPr>
        <w:t xml:space="preserve">Retroactive Smart </w:t>
      </w:r>
      <w:r w:rsidR="009E138E">
        <w:rPr>
          <w:rFonts w:ascii="Palatino" w:hAnsi="Palatino"/>
          <w:sz w:val="26"/>
          <w:szCs w:val="26"/>
        </w:rPr>
        <w:t>Inverter</w:t>
      </w:r>
      <w:r w:rsidRPr="00670BB8">
        <w:rPr>
          <w:rFonts w:ascii="Palatino" w:hAnsi="Palatino"/>
          <w:sz w:val="26"/>
          <w:szCs w:val="26"/>
        </w:rPr>
        <w:t xml:space="preserve"> Activations</w:t>
      </w:r>
    </w:p>
    <w:p w:rsidRPr="00670BB8" w:rsidR="005D29F9" w:rsidP="005D29F9" w:rsidRDefault="005D29F9" w14:paraId="774710C6" w14:textId="08816BE6">
      <w:pPr>
        <w:pStyle w:val="ListParagraph"/>
        <w:numPr>
          <w:ilvl w:val="0"/>
          <w:numId w:val="15"/>
        </w:numPr>
        <w:rPr>
          <w:rFonts w:ascii="Palatino" w:hAnsi="Palatino"/>
          <w:sz w:val="26"/>
          <w:szCs w:val="26"/>
        </w:rPr>
      </w:pPr>
      <w:r w:rsidRPr="00670BB8">
        <w:rPr>
          <w:rFonts w:ascii="Palatino" w:hAnsi="Palatino"/>
          <w:sz w:val="26"/>
          <w:szCs w:val="26"/>
        </w:rPr>
        <w:lastRenderedPageBreak/>
        <w:t>Smart Inverter Aggregator Forms and Agreements</w:t>
      </w:r>
      <w:r w:rsidRPr="00670BB8">
        <w:rPr>
          <w:rStyle w:val="FootnoteReference"/>
          <w:rFonts w:ascii="Palatino" w:hAnsi="Palatino"/>
          <w:sz w:val="26"/>
          <w:szCs w:val="26"/>
        </w:rPr>
        <w:footnoteReference w:id="5"/>
      </w:r>
    </w:p>
    <w:p w:rsidRPr="00670BB8" w:rsidR="005D29F9" w:rsidP="005D29F9" w:rsidRDefault="002225C1" w14:paraId="1ADBA91E" w14:textId="586BD3F2">
      <w:pPr>
        <w:pStyle w:val="ListParagraph"/>
        <w:numPr>
          <w:ilvl w:val="0"/>
          <w:numId w:val="15"/>
        </w:numPr>
        <w:rPr>
          <w:rFonts w:ascii="Palatino" w:hAnsi="Palatino"/>
          <w:sz w:val="26"/>
          <w:szCs w:val="26"/>
        </w:rPr>
      </w:pPr>
      <w:r>
        <w:rPr>
          <w:rFonts w:ascii="Palatino" w:hAnsi="Palatino"/>
          <w:sz w:val="26"/>
          <w:szCs w:val="26"/>
        </w:rPr>
        <w:t>I</w:t>
      </w:r>
      <w:r w:rsidRPr="002225C1">
        <w:rPr>
          <w:rFonts w:ascii="Palatino" w:hAnsi="Palatino"/>
          <w:sz w:val="26"/>
          <w:szCs w:val="26"/>
        </w:rPr>
        <w:t xml:space="preserve">ncome </w:t>
      </w:r>
      <w:r w:rsidR="009E138E">
        <w:rPr>
          <w:rFonts w:ascii="Palatino" w:hAnsi="Palatino"/>
          <w:sz w:val="26"/>
          <w:szCs w:val="26"/>
        </w:rPr>
        <w:t>T</w:t>
      </w:r>
      <w:r w:rsidRPr="002225C1">
        <w:rPr>
          <w:rFonts w:ascii="Palatino" w:hAnsi="Palatino"/>
          <w:sz w:val="26"/>
          <w:szCs w:val="26"/>
        </w:rPr>
        <w:t xml:space="preserve">ax </w:t>
      </w:r>
      <w:r w:rsidR="009E138E">
        <w:rPr>
          <w:rFonts w:ascii="Palatino" w:hAnsi="Palatino"/>
          <w:sz w:val="26"/>
          <w:szCs w:val="26"/>
        </w:rPr>
        <w:t>C</w:t>
      </w:r>
      <w:r w:rsidRPr="002225C1">
        <w:rPr>
          <w:rFonts w:ascii="Palatino" w:hAnsi="Palatino"/>
          <w:sz w:val="26"/>
          <w:szCs w:val="26"/>
        </w:rPr>
        <w:t xml:space="preserve">omponent of </w:t>
      </w:r>
      <w:r w:rsidR="009E138E">
        <w:rPr>
          <w:rFonts w:ascii="Palatino" w:hAnsi="Palatino"/>
          <w:sz w:val="26"/>
          <w:szCs w:val="26"/>
        </w:rPr>
        <w:t>C</w:t>
      </w:r>
      <w:r w:rsidRPr="002225C1">
        <w:rPr>
          <w:rFonts w:ascii="Palatino" w:hAnsi="Palatino"/>
          <w:sz w:val="26"/>
          <w:szCs w:val="26"/>
        </w:rPr>
        <w:t>ontribution</w:t>
      </w:r>
      <w:r w:rsidRPr="00670BB8" w:rsidR="005D29F9">
        <w:rPr>
          <w:rFonts w:ascii="Palatino" w:hAnsi="Palatino"/>
          <w:sz w:val="26"/>
          <w:szCs w:val="26"/>
        </w:rPr>
        <w:t xml:space="preserve"> </w:t>
      </w:r>
      <w:r>
        <w:rPr>
          <w:rFonts w:ascii="Palatino" w:hAnsi="Palatino"/>
          <w:sz w:val="26"/>
          <w:szCs w:val="26"/>
        </w:rPr>
        <w:t xml:space="preserve">(ITCC) </w:t>
      </w:r>
      <w:r w:rsidRPr="00670BB8" w:rsidR="005D29F9">
        <w:rPr>
          <w:rFonts w:ascii="Palatino" w:hAnsi="Palatino"/>
          <w:sz w:val="26"/>
          <w:szCs w:val="26"/>
        </w:rPr>
        <w:t>treatment.</w:t>
      </w:r>
    </w:p>
    <w:p w:rsidRPr="00670BB8" w:rsidR="005D29F9" w:rsidP="002D3C5B" w:rsidRDefault="005D29F9" w14:paraId="7A14BCBD" w14:textId="77777777">
      <w:pPr>
        <w:rPr>
          <w:rFonts w:ascii="Palatino" w:hAnsi="Palatino"/>
          <w:sz w:val="26"/>
          <w:szCs w:val="26"/>
        </w:rPr>
      </w:pPr>
    </w:p>
    <w:p w:rsidRPr="00670BB8" w:rsidR="00733A67" w:rsidP="005D29F9" w:rsidRDefault="002D3C5B" w14:paraId="21576FC8" w14:textId="033B6CD7">
      <w:pPr>
        <w:rPr>
          <w:rFonts w:ascii="Palatino" w:hAnsi="Palatino"/>
          <w:sz w:val="26"/>
          <w:szCs w:val="26"/>
        </w:rPr>
      </w:pPr>
      <w:r w:rsidRPr="00670BB8">
        <w:rPr>
          <w:rFonts w:ascii="Palatino" w:hAnsi="Palatino"/>
          <w:sz w:val="26"/>
          <w:szCs w:val="26"/>
        </w:rPr>
        <w:t>Working Group One and the Smart Inverter Working Group began meeting on October 16, 2017.</w:t>
      </w:r>
      <w:r w:rsidRPr="00670BB8" w:rsidR="00733A67">
        <w:rPr>
          <w:rFonts w:ascii="Palatino" w:hAnsi="Palatino"/>
          <w:sz w:val="26"/>
          <w:szCs w:val="26"/>
        </w:rPr>
        <w:t xml:space="preserve"> </w:t>
      </w:r>
      <w:r w:rsidRPr="00670BB8">
        <w:rPr>
          <w:rFonts w:ascii="Palatino" w:hAnsi="Palatino"/>
          <w:sz w:val="26"/>
          <w:szCs w:val="26"/>
        </w:rPr>
        <w:t xml:space="preserve">Working Group One, with input on Issue 5 from the Smart Inverter Working Group, filed a </w:t>
      </w:r>
      <w:r w:rsidRPr="00670BB8">
        <w:rPr>
          <w:rFonts w:ascii="Palatino" w:hAnsi="Palatino"/>
          <w:i/>
          <w:iCs/>
          <w:sz w:val="26"/>
          <w:szCs w:val="26"/>
        </w:rPr>
        <w:t>Working Group One Final Report</w:t>
      </w:r>
      <w:r w:rsidRPr="00670BB8">
        <w:rPr>
          <w:rFonts w:ascii="Palatino" w:hAnsi="Palatino"/>
          <w:sz w:val="26"/>
          <w:szCs w:val="26"/>
        </w:rPr>
        <w:t xml:space="preserve"> on March 15, 2018 (March Report). </w:t>
      </w:r>
    </w:p>
    <w:p w:rsidRPr="00670BB8" w:rsidR="00733A67" w:rsidP="005D29F9" w:rsidRDefault="00733A67" w14:paraId="19CB1860" w14:textId="1F72CB0F">
      <w:pPr>
        <w:rPr>
          <w:rFonts w:ascii="Palatino" w:hAnsi="Palatino"/>
          <w:sz w:val="26"/>
          <w:szCs w:val="26"/>
        </w:rPr>
      </w:pPr>
    </w:p>
    <w:p w:rsidRPr="00670BB8" w:rsidR="00733A67" w:rsidP="00733A67" w:rsidRDefault="00733A67" w14:paraId="60C12C35" w14:textId="20688356">
      <w:pPr>
        <w:rPr>
          <w:rFonts w:ascii="Palatino" w:hAnsi="Palatino"/>
          <w:sz w:val="26"/>
          <w:szCs w:val="26"/>
        </w:rPr>
      </w:pPr>
      <w:r w:rsidRPr="00670BB8">
        <w:rPr>
          <w:rFonts w:ascii="Palatino" w:hAnsi="Palatino"/>
          <w:sz w:val="26"/>
          <w:szCs w:val="26"/>
        </w:rPr>
        <w:t>As part of Issue 3, Material Modifications, Working Group One considered both material modifications to interconnection applications and modification</w:t>
      </w:r>
      <w:r w:rsidR="003E3E9F">
        <w:rPr>
          <w:rFonts w:ascii="Palatino" w:hAnsi="Palatino"/>
          <w:sz w:val="26"/>
          <w:szCs w:val="26"/>
        </w:rPr>
        <w:t>s</w:t>
      </w:r>
      <w:r w:rsidRPr="00670BB8">
        <w:rPr>
          <w:rFonts w:ascii="Palatino" w:hAnsi="Palatino"/>
          <w:sz w:val="26"/>
          <w:szCs w:val="26"/>
        </w:rPr>
        <w:t xml:space="preserve"> to existing generating facilities. The March Report defines</w:t>
      </w:r>
      <w:r w:rsidRPr="00670BB8" w:rsidR="00020D8F">
        <w:rPr>
          <w:rFonts w:ascii="Palatino" w:hAnsi="Palatino"/>
          <w:sz w:val="26"/>
          <w:szCs w:val="26"/>
        </w:rPr>
        <w:t xml:space="preserve"> seven use cases for modifications to existing facilities:</w:t>
      </w:r>
    </w:p>
    <w:p w:rsidRPr="00670BB8" w:rsidR="00020D8F" w:rsidP="00733A67" w:rsidRDefault="00020D8F" w14:paraId="0B55F76F" w14:textId="7C020AA7">
      <w:pPr>
        <w:rPr>
          <w:rFonts w:ascii="Palatino" w:hAnsi="Palatino"/>
          <w:sz w:val="26"/>
          <w:szCs w:val="26"/>
        </w:rPr>
      </w:pPr>
    </w:p>
    <w:p w:rsidRPr="00670BB8" w:rsidR="00020D8F" w:rsidP="00020D8F" w:rsidRDefault="00020D8F" w14:paraId="397F4136" w14:textId="791C39BE">
      <w:pPr>
        <w:pStyle w:val="ListParagraph"/>
        <w:numPr>
          <w:ilvl w:val="0"/>
          <w:numId w:val="17"/>
        </w:numPr>
        <w:rPr>
          <w:rFonts w:ascii="Palatino" w:hAnsi="Palatino"/>
          <w:sz w:val="26"/>
          <w:szCs w:val="26"/>
        </w:rPr>
      </w:pPr>
      <w:r w:rsidRPr="00670BB8">
        <w:rPr>
          <w:rFonts w:ascii="Palatino" w:hAnsi="Palatino"/>
          <w:sz w:val="26"/>
          <w:szCs w:val="26"/>
        </w:rPr>
        <w:t>Replacing equipment with exact same equipment type or performing upgrades to inverter firmware that do not affect gri</w:t>
      </w:r>
      <w:r w:rsidR="003A78F2">
        <w:rPr>
          <w:rFonts w:ascii="Palatino" w:hAnsi="Palatino"/>
          <w:sz w:val="26"/>
          <w:szCs w:val="26"/>
        </w:rPr>
        <w:t>d</w:t>
      </w:r>
      <w:r w:rsidRPr="00670BB8">
        <w:rPr>
          <w:rFonts w:ascii="Palatino" w:hAnsi="Palatino"/>
          <w:sz w:val="26"/>
          <w:szCs w:val="26"/>
        </w:rPr>
        <w:t xml:space="preserve"> interactions;</w:t>
      </w:r>
    </w:p>
    <w:p w:rsidRPr="00670BB8" w:rsidR="00020D8F" w:rsidP="00020D8F" w:rsidRDefault="00020D8F" w14:paraId="61F5817E" w14:textId="22695195">
      <w:pPr>
        <w:pStyle w:val="ListParagraph"/>
        <w:numPr>
          <w:ilvl w:val="0"/>
          <w:numId w:val="17"/>
        </w:numPr>
        <w:rPr>
          <w:rFonts w:ascii="Palatino" w:hAnsi="Palatino"/>
          <w:sz w:val="26"/>
          <w:szCs w:val="26"/>
        </w:rPr>
      </w:pPr>
      <w:r w:rsidRPr="00670BB8">
        <w:rPr>
          <w:rFonts w:ascii="Palatino" w:hAnsi="Palatino"/>
          <w:sz w:val="26"/>
          <w:szCs w:val="26"/>
        </w:rPr>
        <w:t>Replacing equipment “like-for-like,” where system output does not exceed what is listed in the original interconnection agreement and operating mode is not adjusted;</w:t>
      </w:r>
    </w:p>
    <w:p w:rsidRPr="00670BB8" w:rsidR="00020D8F" w:rsidP="00020D8F" w:rsidRDefault="00020D8F" w14:paraId="2275A68D" w14:textId="624D82F9">
      <w:pPr>
        <w:pStyle w:val="ListParagraph"/>
        <w:numPr>
          <w:ilvl w:val="0"/>
          <w:numId w:val="17"/>
        </w:numPr>
        <w:rPr>
          <w:rFonts w:ascii="Palatino" w:hAnsi="Palatino"/>
          <w:sz w:val="26"/>
          <w:szCs w:val="26"/>
        </w:rPr>
      </w:pPr>
      <w:r w:rsidRPr="00670BB8">
        <w:rPr>
          <w:rFonts w:ascii="Palatino" w:hAnsi="Palatino"/>
          <w:sz w:val="26"/>
          <w:szCs w:val="26"/>
        </w:rPr>
        <w:t>Replacing equipment that may increase the nameplate capacity of the system, but which employ inverter power controls that limit the real power output to the inverter listed size in the original agreement;</w:t>
      </w:r>
    </w:p>
    <w:p w:rsidRPr="00670BB8" w:rsidR="00020D8F" w:rsidP="00020D8F" w:rsidRDefault="00020D8F" w14:paraId="168338A8" w14:textId="57DDA130">
      <w:pPr>
        <w:pStyle w:val="ListParagraph"/>
        <w:numPr>
          <w:ilvl w:val="0"/>
          <w:numId w:val="17"/>
        </w:numPr>
        <w:rPr>
          <w:rFonts w:ascii="Palatino" w:hAnsi="Palatino"/>
          <w:sz w:val="26"/>
          <w:szCs w:val="26"/>
        </w:rPr>
      </w:pPr>
      <w:r w:rsidRPr="00670BB8">
        <w:rPr>
          <w:rFonts w:ascii="Palatino" w:hAnsi="Palatino"/>
          <w:sz w:val="26"/>
          <w:szCs w:val="26"/>
        </w:rPr>
        <w:t>Adding storage capacity to an existing storage facility without changing inverter;</w:t>
      </w:r>
    </w:p>
    <w:p w:rsidRPr="00670BB8" w:rsidR="00020D8F" w:rsidP="00020D8F" w:rsidRDefault="00020D8F" w14:paraId="432138CF" w14:textId="2AD5AFF2">
      <w:pPr>
        <w:pStyle w:val="ListParagraph"/>
        <w:numPr>
          <w:ilvl w:val="0"/>
          <w:numId w:val="17"/>
        </w:numPr>
        <w:rPr>
          <w:rFonts w:ascii="Palatino" w:hAnsi="Palatino"/>
          <w:sz w:val="26"/>
          <w:szCs w:val="26"/>
        </w:rPr>
      </w:pPr>
      <w:r w:rsidRPr="00670BB8">
        <w:rPr>
          <w:rFonts w:ascii="Palatino" w:hAnsi="Palatino"/>
          <w:sz w:val="26"/>
          <w:szCs w:val="26"/>
        </w:rPr>
        <w:t>Adding or replacing equipment such that system capacity increases and no inverter power controls are employed to limit the real power output to the inverter listed size in the original agreement;</w:t>
      </w:r>
    </w:p>
    <w:p w:rsidRPr="00670BB8" w:rsidR="00020D8F" w:rsidP="00020D8F" w:rsidRDefault="00020D8F" w14:paraId="6C8D2461" w14:textId="3691641A">
      <w:pPr>
        <w:pStyle w:val="ListParagraph"/>
        <w:numPr>
          <w:ilvl w:val="0"/>
          <w:numId w:val="17"/>
        </w:numPr>
        <w:rPr>
          <w:rFonts w:ascii="Palatino" w:hAnsi="Palatino"/>
          <w:sz w:val="26"/>
          <w:szCs w:val="26"/>
        </w:rPr>
      </w:pPr>
      <w:r w:rsidRPr="00670BB8">
        <w:rPr>
          <w:rFonts w:ascii="Palatino" w:hAnsi="Palatino"/>
          <w:sz w:val="26"/>
          <w:szCs w:val="26"/>
        </w:rPr>
        <w:t>Adding storage to an existing generating facility that does not have storage;</w:t>
      </w:r>
    </w:p>
    <w:p w:rsidRPr="00670BB8" w:rsidR="00020D8F" w:rsidP="00020D8F" w:rsidRDefault="00020D8F" w14:paraId="755FA4BF" w14:textId="7DB98C81">
      <w:pPr>
        <w:pStyle w:val="ListParagraph"/>
        <w:numPr>
          <w:ilvl w:val="0"/>
          <w:numId w:val="17"/>
        </w:numPr>
        <w:rPr>
          <w:rFonts w:ascii="Palatino" w:hAnsi="Palatino"/>
          <w:sz w:val="26"/>
          <w:szCs w:val="26"/>
        </w:rPr>
      </w:pPr>
      <w:r w:rsidRPr="00670BB8">
        <w:rPr>
          <w:rFonts w:ascii="Palatino" w:hAnsi="Palatino"/>
          <w:sz w:val="26"/>
          <w:szCs w:val="26"/>
        </w:rPr>
        <w:t>Changing inverter operating characteristics.</w:t>
      </w:r>
    </w:p>
    <w:p w:rsidRPr="00670BB8" w:rsidR="00733A67" w:rsidP="005D29F9" w:rsidRDefault="00733A67" w14:paraId="11E4C110" w14:textId="719F481A">
      <w:pPr>
        <w:rPr>
          <w:rFonts w:ascii="Palatino" w:hAnsi="Palatino"/>
          <w:sz w:val="26"/>
          <w:szCs w:val="26"/>
        </w:rPr>
      </w:pPr>
    </w:p>
    <w:p w:rsidRPr="00670BB8" w:rsidR="00020D8F" w:rsidP="005D29F9" w:rsidRDefault="00020D8F" w14:paraId="6726E06C" w14:textId="7ED84F48">
      <w:pPr>
        <w:rPr>
          <w:rFonts w:ascii="Palatino" w:hAnsi="Palatino"/>
          <w:sz w:val="26"/>
          <w:szCs w:val="26"/>
        </w:rPr>
      </w:pPr>
      <w:r w:rsidRPr="00670BB8">
        <w:rPr>
          <w:rFonts w:ascii="Palatino" w:hAnsi="Palatino"/>
          <w:sz w:val="26"/>
          <w:szCs w:val="26"/>
        </w:rPr>
        <w:t>Additionally, the March Report defines four process options which may be required for material modifications to existing facilities:</w:t>
      </w:r>
    </w:p>
    <w:p w:rsidRPr="00670BB8" w:rsidR="00020D8F" w:rsidP="00020D8F" w:rsidRDefault="00020D8F" w14:paraId="5CD52631" w14:textId="77777777">
      <w:pPr>
        <w:pStyle w:val="standard"/>
        <w:numPr>
          <w:ilvl w:val="0"/>
          <w:numId w:val="20"/>
        </w:numPr>
        <w:pBdr>
          <w:top w:val="nil"/>
          <w:left w:val="nil"/>
          <w:bottom w:val="nil"/>
          <w:right w:val="nil"/>
          <w:between w:val="nil"/>
          <w:bar w:val="nil"/>
        </w:pBdr>
        <w:spacing w:after="120" w:line="240" w:lineRule="auto"/>
        <w:ind w:right="1440"/>
        <w:contextualSpacing/>
        <w:rPr>
          <w:rFonts w:ascii="Palatino" w:hAnsi="Palatino"/>
          <w:sz w:val="26"/>
          <w:szCs w:val="26"/>
        </w:rPr>
      </w:pPr>
      <w:r w:rsidRPr="00670BB8">
        <w:rPr>
          <w:rFonts w:ascii="Palatino" w:hAnsi="Palatino"/>
          <w:sz w:val="26"/>
          <w:szCs w:val="26"/>
        </w:rPr>
        <w:lastRenderedPageBreak/>
        <w:t xml:space="preserve">No notification is required; </w:t>
      </w:r>
    </w:p>
    <w:p w:rsidRPr="00670BB8" w:rsidR="00020D8F" w:rsidP="00020D8F" w:rsidRDefault="00020D8F" w14:paraId="78271E82" w14:textId="77777777">
      <w:pPr>
        <w:pStyle w:val="standard"/>
        <w:numPr>
          <w:ilvl w:val="0"/>
          <w:numId w:val="20"/>
        </w:numPr>
        <w:pBdr>
          <w:top w:val="nil"/>
          <w:left w:val="nil"/>
          <w:bottom w:val="nil"/>
          <w:right w:val="nil"/>
          <w:between w:val="nil"/>
          <w:bar w:val="nil"/>
        </w:pBdr>
        <w:spacing w:after="120" w:line="240" w:lineRule="auto"/>
        <w:ind w:right="1440"/>
        <w:contextualSpacing/>
        <w:rPr>
          <w:rFonts w:ascii="Palatino" w:hAnsi="Palatino"/>
          <w:sz w:val="26"/>
          <w:szCs w:val="26"/>
        </w:rPr>
      </w:pPr>
      <w:r w:rsidRPr="00670BB8">
        <w:rPr>
          <w:rFonts w:ascii="Palatino" w:hAnsi="Palatino"/>
          <w:sz w:val="26"/>
          <w:szCs w:val="26"/>
        </w:rPr>
        <w:t xml:space="preserve">Notification is required but the customer can proceed without waiting for utility approval; </w:t>
      </w:r>
    </w:p>
    <w:p w:rsidRPr="00670BB8" w:rsidR="00020D8F" w:rsidP="00020D8F" w:rsidRDefault="00020D8F" w14:paraId="0FCA52F9" w14:textId="77777777">
      <w:pPr>
        <w:pStyle w:val="standard"/>
        <w:numPr>
          <w:ilvl w:val="0"/>
          <w:numId w:val="20"/>
        </w:numPr>
        <w:pBdr>
          <w:top w:val="nil"/>
          <w:left w:val="nil"/>
          <w:bottom w:val="nil"/>
          <w:right w:val="nil"/>
          <w:between w:val="nil"/>
          <w:bar w:val="nil"/>
        </w:pBdr>
        <w:spacing w:after="120" w:line="240" w:lineRule="auto"/>
        <w:ind w:right="1440"/>
        <w:contextualSpacing/>
        <w:rPr>
          <w:rFonts w:ascii="Palatino" w:hAnsi="Palatino"/>
          <w:sz w:val="26"/>
          <w:szCs w:val="26"/>
        </w:rPr>
      </w:pPr>
      <w:r w:rsidRPr="00670BB8">
        <w:rPr>
          <w:rFonts w:ascii="Palatino" w:hAnsi="Palatino"/>
          <w:sz w:val="26"/>
          <w:szCs w:val="26"/>
        </w:rPr>
        <w:t xml:space="preserve">Abridged/streamlined interconnection request is </w:t>
      </w:r>
      <w:proofErr w:type="gramStart"/>
      <w:r w:rsidRPr="00670BB8">
        <w:rPr>
          <w:rFonts w:ascii="Palatino" w:hAnsi="Palatino"/>
          <w:sz w:val="26"/>
          <w:szCs w:val="26"/>
        </w:rPr>
        <w:t>required</w:t>
      </w:r>
      <w:proofErr w:type="gramEnd"/>
      <w:r w:rsidRPr="00670BB8">
        <w:rPr>
          <w:rFonts w:ascii="Palatino" w:hAnsi="Palatino"/>
          <w:sz w:val="26"/>
          <w:szCs w:val="26"/>
        </w:rPr>
        <w:t xml:space="preserve"> and customer must wait for utility approval to turn on the system (engineering review not required); and </w:t>
      </w:r>
    </w:p>
    <w:p w:rsidRPr="00670BB8" w:rsidR="00020D8F" w:rsidP="00020D8F" w:rsidRDefault="00020D8F" w14:paraId="4DF33F94" w14:textId="6229F78E">
      <w:pPr>
        <w:pStyle w:val="standard"/>
        <w:numPr>
          <w:ilvl w:val="0"/>
          <w:numId w:val="20"/>
        </w:numPr>
        <w:pBdr>
          <w:top w:val="nil"/>
          <w:left w:val="nil"/>
          <w:bottom w:val="nil"/>
          <w:right w:val="nil"/>
          <w:between w:val="nil"/>
          <w:bar w:val="nil"/>
        </w:pBdr>
        <w:spacing w:after="120" w:line="240" w:lineRule="auto"/>
        <w:ind w:right="1440"/>
        <w:contextualSpacing/>
        <w:rPr>
          <w:rFonts w:ascii="Palatino" w:hAnsi="Palatino"/>
          <w:sz w:val="26"/>
          <w:szCs w:val="26"/>
        </w:rPr>
      </w:pPr>
      <w:r w:rsidRPr="00670BB8">
        <w:rPr>
          <w:rFonts w:ascii="Palatino" w:hAnsi="Palatino"/>
          <w:sz w:val="26"/>
          <w:szCs w:val="26"/>
        </w:rPr>
        <w:t xml:space="preserve">Interconnection request is required, and the customer must wait for utility approval to turn on the system (engineering review required). </w:t>
      </w:r>
    </w:p>
    <w:p w:rsidRPr="00670BB8" w:rsidR="00020D8F" w:rsidP="00020D8F" w:rsidRDefault="00020D8F" w14:paraId="189F7DFD" w14:textId="77777777">
      <w:pPr>
        <w:pStyle w:val="standard"/>
        <w:pBdr>
          <w:top w:val="nil"/>
          <w:left w:val="nil"/>
          <w:bottom w:val="nil"/>
          <w:right w:val="nil"/>
          <w:between w:val="nil"/>
          <w:bar w:val="nil"/>
        </w:pBdr>
        <w:spacing w:after="120" w:line="240" w:lineRule="auto"/>
        <w:ind w:right="1440" w:firstLine="0"/>
        <w:rPr>
          <w:rFonts w:ascii="Palatino" w:hAnsi="Palatino"/>
          <w:sz w:val="26"/>
          <w:szCs w:val="26"/>
        </w:rPr>
      </w:pPr>
    </w:p>
    <w:p w:rsidRPr="00670BB8" w:rsidR="00020D8F" w:rsidP="00020D8F" w:rsidRDefault="00020D8F" w14:paraId="16ED6F66" w14:textId="2FCEAEAE">
      <w:pPr>
        <w:pStyle w:val="standard"/>
        <w:spacing w:line="240" w:lineRule="auto"/>
        <w:ind w:firstLine="0"/>
        <w:rPr>
          <w:rFonts w:ascii="Palatino" w:hAnsi="Palatino"/>
          <w:sz w:val="26"/>
          <w:szCs w:val="26"/>
        </w:rPr>
      </w:pPr>
      <w:r w:rsidRPr="00670BB8">
        <w:rPr>
          <w:rFonts w:ascii="Palatino" w:hAnsi="Palatino"/>
          <w:sz w:val="26"/>
          <w:szCs w:val="26"/>
        </w:rPr>
        <w:t xml:space="preserve">The March Report underscores that </w:t>
      </w:r>
      <w:r w:rsidR="00421C55">
        <w:rPr>
          <w:rFonts w:ascii="Palatino" w:hAnsi="Palatino"/>
          <w:sz w:val="26"/>
          <w:szCs w:val="26"/>
        </w:rPr>
        <w:t>P</w:t>
      </w:r>
      <w:r w:rsidRPr="00670BB8">
        <w:rPr>
          <w:rFonts w:ascii="Palatino" w:hAnsi="Palatino"/>
          <w:sz w:val="26"/>
          <w:szCs w:val="26"/>
        </w:rPr>
        <w:t xml:space="preserve">rocess </w:t>
      </w:r>
      <w:r w:rsidR="00421C55">
        <w:rPr>
          <w:rFonts w:ascii="Palatino" w:hAnsi="Palatino"/>
          <w:sz w:val="26"/>
          <w:szCs w:val="26"/>
        </w:rPr>
        <w:t>O</w:t>
      </w:r>
      <w:r w:rsidRPr="00670BB8">
        <w:rPr>
          <w:rFonts w:ascii="Palatino" w:hAnsi="Palatino"/>
          <w:sz w:val="26"/>
          <w:szCs w:val="26"/>
        </w:rPr>
        <w:t>ptions 2 and 3 are not currently available; the utility interconnection portals would likely need to be modified to support these two options.</w:t>
      </w:r>
    </w:p>
    <w:p w:rsidRPr="00670BB8" w:rsidR="00020D8F" w:rsidP="00020D8F" w:rsidRDefault="00020D8F" w14:paraId="17F9CB7F" w14:textId="77777777">
      <w:pPr>
        <w:rPr>
          <w:rFonts w:ascii="Palatino" w:hAnsi="Palatino"/>
          <w:sz w:val="26"/>
          <w:szCs w:val="26"/>
        </w:rPr>
      </w:pPr>
    </w:p>
    <w:p w:rsidRPr="00670BB8" w:rsidR="00733A67" w:rsidP="005D29F9" w:rsidRDefault="00CE5252" w14:paraId="6B830D7C" w14:textId="789976DE">
      <w:pPr>
        <w:rPr>
          <w:rFonts w:ascii="Palatino" w:hAnsi="Palatino"/>
          <w:sz w:val="26"/>
          <w:szCs w:val="26"/>
        </w:rPr>
      </w:pPr>
      <w:r w:rsidRPr="00670BB8">
        <w:rPr>
          <w:rFonts w:ascii="Palatino" w:hAnsi="Palatino"/>
          <w:sz w:val="26"/>
          <w:szCs w:val="26"/>
        </w:rPr>
        <w:t xml:space="preserve">On </w:t>
      </w:r>
      <w:r w:rsidRPr="00670BB8" w:rsidR="005D29F9">
        <w:rPr>
          <w:rFonts w:ascii="Palatino" w:hAnsi="Palatino"/>
          <w:sz w:val="26"/>
          <w:szCs w:val="26"/>
        </w:rPr>
        <w:t>April</w:t>
      </w:r>
      <w:r w:rsidRPr="00670BB8">
        <w:rPr>
          <w:rFonts w:ascii="Palatino" w:hAnsi="Palatino"/>
          <w:sz w:val="26"/>
          <w:szCs w:val="26"/>
        </w:rPr>
        <w:t xml:space="preserve"> </w:t>
      </w:r>
      <w:r w:rsidRPr="00670BB8" w:rsidR="005D29F9">
        <w:rPr>
          <w:rFonts w:ascii="Palatino" w:hAnsi="Palatino"/>
          <w:sz w:val="26"/>
          <w:szCs w:val="26"/>
        </w:rPr>
        <w:t>5</w:t>
      </w:r>
      <w:r w:rsidRPr="00670BB8">
        <w:rPr>
          <w:rFonts w:ascii="Palatino" w:hAnsi="Palatino"/>
          <w:sz w:val="26"/>
          <w:szCs w:val="26"/>
        </w:rPr>
        <w:t xml:space="preserve">, 2019, the </w:t>
      </w:r>
      <w:r w:rsidR="00562499">
        <w:rPr>
          <w:rFonts w:ascii="Palatino" w:hAnsi="Palatino"/>
          <w:sz w:val="26"/>
          <w:szCs w:val="26"/>
        </w:rPr>
        <w:t>CPUC</w:t>
      </w:r>
      <w:r w:rsidRPr="00670BB8" w:rsidR="00562499">
        <w:rPr>
          <w:rFonts w:ascii="Palatino" w:hAnsi="Palatino"/>
          <w:sz w:val="26"/>
          <w:szCs w:val="26"/>
        </w:rPr>
        <w:t xml:space="preserve"> </w:t>
      </w:r>
      <w:r w:rsidRPr="00670BB8" w:rsidR="005D29F9">
        <w:rPr>
          <w:rFonts w:ascii="Palatino" w:hAnsi="Palatino"/>
          <w:sz w:val="26"/>
          <w:szCs w:val="26"/>
        </w:rPr>
        <w:t>issued</w:t>
      </w:r>
      <w:r w:rsidRPr="00670BB8">
        <w:rPr>
          <w:rFonts w:ascii="Palatino" w:hAnsi="Palatino"/>
          <w:sz w:val="26"/>
          <w:szCs w:val="26"/>
        </w:rPr>
        <w:t xml:space="preserve"> Decision (D.)19-03-013, </w:t>
      </w:r>
      <w:r w:rsidRPr="008169BC" w:rsidR="005D29F9">
        <w:rPr>
          <w:rFonts w:ascii="Palatino" w:hAnsi="Palatino"/>
          <w:i/>
          <w:iCs/>
          <w:sz w:val="26"/>
          <w:szCs w:val="26"/>
        </w:rPr>
        <w:t>Decision Adopting Proposals from March 15, 2018 Working Group One Report</w:t>
      </w:r>
      <w:r w:rsidRPr="00670BB8" w:rsidR="00EE7279">
        <w:rPr>
          <w:rFonts w:ascii="Palatino" w:hAnsi="Palatino"/>
          <w:sz w:val="26"/>
          <w:szCs w:val="26"/>
        </w:rPr>
        <w:t>.</w:t>
      </w:r>
      <w:r w:rsidRPr="00670BB8" w:rsidR="00020D8F">
        <w:rPr>
          <w:rFonts w:ascii="Palatino" w:hAnsi="Palatino"/>
          <w:sz w:val="26"/>
          <w:szCs w:val="26"/>
        </w:rPr>
        <w:t xml:space="preserve"> </w:t>
      </w:r>
      <w:r w:rsidRPr="00670BB8" w:rsidR="00EE7279">
        <w:rPr>
          <w:rFonts w:ascii="Palatino" w:hAnsi="Palatino"/>
          <w:sz w:val="26"/>
          <w:szCs w:val="26"/>
        </w:rPr>
        <w:t>D.19-03-013</w:t>
      </w:r>
      <w:r w:rsidRPr="00670BB8" w:rsidR="00020D8F">
        <w:rPr>
          <w:rFonts w:ascii="Palatino" w:hAnsi="Palatino"/>
          <w:sz w:val="26"/>
          <w:szCs w:val="26"/>
        </w:rPr>
        <w:t xml:space="preserve"> addressed Issue 3, as well as the five other scoped issues. </w:t>
      </w:r>
      <w:r w:rsidRPr="00670BB8" w:rsidR="00B7777F">
        <w:rPr>
          <w:rFonts w:ascii="Palatino" w:hAnsi="Palatino"/>
          <w:sz w:val="26"/>
          <w:szCs w:val="26"/>
        </w:rPr>
        <w:t xml:space="preserve">For each of the modification use cases presented in the March Report, </w:t>
      </w:r>
      <w:r w:rsidRPr="00670BB8" w:rsidR="00EE7279">
        <w:rPr>
          <w:rFonts w:ascii="Palatino" w:hAnsi="Palatino"/>
          <w:sz w:val="26"/>
          <w:szCs w:val="26"/>
        </w:rPr>
        <w:t xml:space="preserve">D.19-03-013 </w:t>
      </w:r>
      <w:r w:rsidRPr="00670BB8" w:rsidR="00B7777F">
        <w:rPr>
          <w:rFonts w:ascii="Palatino" w:hAnsi="Palatino"/>
          <w:sz w:val="26"/>
          <w:szCs w:val="26"/>
        </w:rPr>
        <w:t xml:space="preserve">adopted the process option deemed most appropriate. </w:t>
      </w:r>
    </w:p>
    <w:p w:rsidRPr="00670BB8" w:rsidR="00733A67" w:rsidP="005D29F9" w:rsidRDefault="00733A67" w14:paraId="713FAF16" w14:textId="332CE245">
      <w:pPr>
        <w:rPr>
          <w:rFonts w:ascii="Palatino" w:hAnsi="Palatino"/>
          <w:sz w:val="26"/>
          <w:szCs w:val="26"/>
        </w:rPr>
      </w:pPr>
    </w:p>
    <w:tbl>
      <w:tblPr>
        <w:tblW w:w="9350"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115" w:type="dxa"/>
          <w:right w:w="115" w:type="dxa"/>
        </w:tblCellMar>
        <w:tblLook w:val="04A0" w:firstRow="1" w:lastRow="0" w:firstColumn="1" w:lastColumn="0" w:noHBand="0" w:noVBand="1"/>
      </w:tblPr>
      <w:tblGrid>
        <w:gridCol w:w="780"/>
        <w:gridCol w:w="6127"/>
        <w:gridCol w:w="2443"/>
      </w:tblGrid>
      <w:tr w:rsidRPr="00112D32" w:rsidR="00B7777F" w:rsidTr="00AA12DC" w14:paraId="2708C623" w14:textId="77777777">
        <w:trPr>
          <w:trHeight w:val="575"/>
        </w:trPr>
        <w:tc>
          <w:tcPr>
            <w:tcW w:w="9350"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AA12DC" w14:paraId="3512A320" w14:textId="1B7D15A9">
            <w:pPr>
              <w:pStyle w:val="standard"/>
              <w:spacing w:line="240" w:lineRule="auto"/>
              <w:ind w:firstLine="0"/>
              <w:contextualSpacing/>
              <w:jc w:val="center"/>
              <w:rPr>
                <w:rFonts w:ascii="Palatino" w:hAnsi="Palatino"/>
                <w:sz w:val="26"/>
                <w:szCs w:val="26"/>
              </w:rPr>
            </w:pPr>
            <w:r w:rsidRPr="00670BB8">
              <w:rPr>
                <w:rFonts w:ascii="Palatino" w:hAnsi="Palatino"/>
                <w:b/>
                <w:bCs/>
                <w:sz w:val="26"/>
                <w:szCs w:val="26"/>
              </w:rPr>
              <w:t xml:space="preserve">Adopted </w:t>
            </w:r>
            <w:r w:rsidRPr="00670BB8" w:rsidR="00B7777F">
              <w:rPr>
                <w:rFonts w:ascii="Palatino" w:hAnsi="Palatino"/>
                <w:b/>
                <w:bCs/>
                <w:sz w:val="26"/>
                <w:szCs w:val="26"/>
              </w:rPr>
              <w:t>Process Option, by Use Case, for Modifications to Existing Facilities</w:t>
            </w:r>
          </w:p>
        </w:tc>
      </w:tr>
      <w:tr w:rsidRPr="00112D32" w:rsidR="00B7777F" w:rsidTr="00AA12DC" w14:paraId="28D2BB61" w14:textId="77777777">
        <w:trPr>
          <w:trHeight w:val="53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AA12DC" w14:paraId="16A5F972" w14:textId="7E602272">
            <w:pPr>
              <w:pStyle w:val="FreeForm"/>
              <w:contextualSpacing/>
              <w:rPr>
                <w:rFonts w:ascii="Palatino" w:hAnsi="Palatino"/>
                <w:sz w:val="26"/>
                <w:szCs w:val="26"/>
              </w:rPr>
            </w:pPr>
            <w:r w:rsidRPr="00670BB8">
              <w:rPr>
                <w:rFonts w:ascii="Palatino" w:hAnsi="Palatino"/>
                <w:b/>
                <w:bCs/>
                <w:sz w:val="26"/>
                <w:szCs w:val="26"/>
              </w:rPr>
              <w:t xml:space="preserve">Use </w:t>
            </w:r>
            <w:r w:rsidRPr="00670BB8" w:rsidR="00B7777F">
              <w:rPr>
                <w:rFonts w:ascii="Palatino" w:hAnsi="Palatino"/>
                <w:b/>
                <w:bCs/>
                <w:sz w:val="26"/>
                <w:szCs w:val="26"/>
              </w:rPr>
              <w:t>Case</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785F3DE3" w14:textId="77777777">
            <w:pPr>
              <w:pStyle w:val="FreeForm"/>
              <w:contextualSpacing/>
              <w:rPr>
                <w:rFonts w:ascii="Palatino" w:hAnsi="Palatino"/>
                <w:sz w:val="26"/>
                <w:szCs w:val="26"/>
              </w:rPr>
            </w:pPr>
            <w:r w:rsidRPr="00670BB8">
              <w:rPr>
                <w:rFonts w:ascii="Palatino" w:hAnsi="Palatino"/>
                <w:b/>
                <w:bCs/>
                <w:sz w:val="26"/>
                <w:szCs w:val="26"/>
              </w:rPr>
              <w:t>Description</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230C457E" w14:textId="7D6F6FFC">
            <w:pPr>
              <w:pStyle w:val="FreeForm"/>
              <w:contextualSpacing/>
              <w:rPr>
                <w:rFonts w:ascii="Palatino" w:hAnsi="Palatino"/>
                <w:sz w:val="26"/>
                <w:szCs w:val="26"/>
              </w:rPr>
            </w:pPr>
            <w:r w:rsidRPr="00670BB8">
              <w:rPr>
                <w:rFonts w:ascii="Palatino" w:hAnsi="Palatino"/>
                <w:b/>
                <w:bCs/>
                <w:sz w:val="26"/>
                <w:szCs w:val="26"/>
              </w:rPr>
              <w:t>Adopted Process Option</w:t>
            </w:r>
          </w:p>
        </w:tc>
      </w:tr>
      <w:tr w:rsidRPr="00112D32" w:rsidR="00B7777F" w:rsidTr="00AA12DC" w14:paraId="43CA0CF9" w14:textId="77777777">
        <w:trPr>
          <w:trHeight w:val="98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376B5274" w14:textId="77777777">
            <w:pPr>
              <w:pStyle w:val="FreeForm"/>
              <w:contextualSpacing/>
              <w:rPr>
                <w:rFonts w:ascii="Palatino" w:hAnsi="Palatino"/>
                <w:sz w:val="26"/>
                <w:szCs w:val="26"/>
              </w:rPr>
            </w:pPr>
            <w:r w:rsidRPr="00670BB8">
              <w:rPr>
                <w:rFonts w:ascii="Palatino" w:hAnsi="Palatino"/>
                <w:sz w:val="26"/>
                <w:szCs w:val="26"/>
              </w:rPr>
              <w:t>1</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2B46FA4B" w14:textId="158E18B7">
            <w:pPr>
              <w:pStyle w:val="FreeForm"/>
              <w:contextualSpacing/>
              <w:rPr>
                <w:rFonts w:ascii="Palatino" w:hAnsi="Palatino"/>
                <w:sz w:val="26"/>
                <w:szCs w:val="26"/>
              </w:rPr>
            </w:pPr>
            <w:r w:rsidRPr="00670BB8">
              <w:rPr>
                <w:rFonts w:ascii="Palatino" w:hAnsi="Palatino"/>
                <w:sz w:val="26"/>
                <w:szCs w:val="26"/>
              </w:rPr>
              <w:t>Replacing equipment with exact same equipment type or performing upgrades to inverter firmware that do not affect gri</w:t>
            </w:r>
            <w:r w:rsidR="006B77D9">
              <w:rPr>
                <w:rFonts w:ascii="Palatino" w:hAnsi="Palatino"/>
                <w:sz w:val="26"/>
                <w:szCs w:val="26"/>
              </w:rPr>
              <w:t>d</w:t>
            </w:r>
            <w:r w:rsidRPr="00670BB8">
              <w:rPr>
                <w:rFonts w:ascii="Palatino" w:hAnsi="Palatino"/>
                <w:sz w:val="26"/>
                <w:szCs w:val="26"/>
              </w:rPr>
              <w:t xml:space="preserve"> interactions</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394F00D" w14:textId="5587382D">
            <w:pPr>
              <w:pStyle w:val="FreeForm"/>
              <w:contextualSpacing/>
              <w:jc w:val="center"/>
              <w:rPr>
                <w:rFonts w:ascii="Palatino" w:hAnsi="Palatino"/>
                <w:sz w:val="26"/>
                <w:szCs w:val="26"/>
              </w:rPr>
            </w:pPr>
            <w:r w:rsidRPr="00670BB8">
              <w:rPr>
                <w:rFonts w:ascii="Palatino" w:hAnsi="Palatino"/>
                <w:sz w:val="26"/>
                <w:szCs w:val="26"/>
              </w:rPr>
              <w:t>1</w:t>
            </w:r>
          </w:p>
        </w:tc>
      </w:tr>
      <w:tr w:rsidRPr="00112D32" w:rsidR="00B7777F" w:rsidTr="00AA12DC" w14:paraId="4CDB4361" w14:textId="77777777">
        <w:trPr>
          <w:trHeight w:val="107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396075AA" w14:textId="77777777">
            <w:pPr>
              <w:pStyle w:val="FreeForm"/>
              <w:contextualSpacing/>
              <w:rPr>
                <w:rFonts w:ascii="Palatino" w:hAnsi="Palatino"/>
                <w:sz w:val="26"/>
                <w:szCs w:val="26"/>
              </w:rPr>
            </w:pPr>
            <w:r w:rsidRPr="00670BB8">
              <w:rPr>
                <w:rFonts w:ascii="Palatino" w:hAnsi="Palatino"/>
                <w:sz w:val="26"/>
                <w:szCs w:val="26"/>
              </w:rPr>
              <w:t>2</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48EBFFE" w14:textId="167DE1AA">
            <w:pPr>
              <w:pStyle w:val="FreeForm"/>
              <w:contextualSpacing/>
              <w:rPr>
                <w:rFonts w:ascii="Palatino" w:hAnsi="Palatino"/>
                <w:sz w:val="26"/>
                <w:szCs w:val="26"/>
              </w:rPr>
            </w:pPr>
            <w:r w:rsidRPr="00670BB8">
              <w:rPr>
                <w:rFonts w:ascii="Palatino" w:hAnsi="Palatino"/>
                <w:sz w:val="26"/>
                <w:szCs w:val="26"/>
              </w:rPr>
              <w:t>Replacing equipment “like-for-like,” where system output does not exceed what is listed in the original interconnection agreement and operating mode is not adjusted</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29521423" w14:textId="4F679F5E">
            <w:pPr>
              <w:pStyle w:val="FreeForm"/>
              <w:contextualSpacing/>
              <w:jc w:val="center"/>
              <w:rPr>
                <w:rFonts w:ascii="Palatino" w:hAnsi="Palatino"/>
                <w:sz w:val="26"/>
                <w:szCs w:val="26"/>
              </w:rPr>
            </w:pPr>
            <w:r w:rsidRPr="00670BB8">
              <w:rPr>
                <w:rFonts w:ascii="Palatino" w:hAnsi="Palatino"/>
                <w:sz w:val="26"/>
                <w:szCs w:val="26"/>
              </w:rPr>
              <w:t>2</w:t>
            </w:r>
          </w:p>
        </w:tc>
      </w:tr>
      <w:tr w:rsidRPr="00112D32" w:rsidR="00B7777F" w:rsidTr="00AA12DC" w14:paraId="59EBA0E4" w14:textId="77777777">
        <w:trPr>
          <w:trHeight w:val="125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12B4B0B7" w14:textId="77777777">
            <w:pPr>
              <w:pStyle w:val="FreeForm"/>
              <w:contextualSpacing/>
              <w:rPr>
                <w:rFonts w:ascii="Palatino" w:hAnsi="Palatino"/>
                <w:sz w:val="26"/>
                <w:szCs w:val="26"/>
              </w:rPr>
            </w:pPr>
            <w:r w:rsidRPr="00670BB8">
              <w:rPr>
                <w:rFonts w:ascii="Palatino" w:hAnsi="Palatino"/>
                <w:sz w:val="26"/>
                <w:szCs w:val="26"/>
              </w:rPr>
              <w:t>3</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38EC131B" w14:textId="7646EBE1">
            <w:pPr>
              <w:pStyle w:val="FreeForm"/>
              <w:contextualSpacing/>
              <w:rPr>
                <w:rFonts w:ascii="Palatino" w:hAnsi="Palatino"/>
                <w:sz w:val="26"/>
                <w:szCs w:val="26"/>
              </w:rPr>
            </w:pPr>
            <w:r w:rsidRPr="00670BB8">
              <w:rPr>
                <w:rFonts w:ascii="Palatino" w:hAnsi="Palatino"/>
                <w:sz w:val="26"/>
                <w:szCs w:val="26"/>
              </w:rPr>
              <w:t xml:space="preserve">Replacing equipment that may increase the nameplate capacity of the system, but which employ inverter power controls that limit the real power </w:t>
            </w:r>
            <w:r w:rsidRPr="00670BB8">
              <w:rPr>
                <w:rFonts w:ascii="Palatino" w:hAnsi="Palatino"/>
                <w:sz w:val="26"/>
                <w:szCs w:val="26"/>
              </w:rPr>
              <w:lastRenderedPageBreak/>
              <w:t>output to the inverter listed size in the original agreement</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1AFC3E38" w14:textId="3DA37CA0">
            <w:pPr>
              <w:pStyle w:val="FreeForm"/>
              <w:contextualSpacing/>
              <w:jc w:val="center"/>
              <w:rPr>
                <w:rFonts w:ascii="Palatino" w:hAnsi="Palatino"/>
                <w:sz w:val="26"/>
                <w:szCs w:val="26"/>
              </w:rPr>
            </w:pPr>
            <w:r w:rsidRPr="00670BB8">
              <w:rPr>
                <w:rFonts w:ascii="Palatino" w:hAnsi="Palatino"/>
                <w:sz w:val="26"/>
                <w:szCs w:val="26"/>
              </w:rPr>
              <w:lastRenderedPageBreak/>
              <w:t>2 or 4, depending on system size</w:t>
            </w:r>
          </w:p>
        </w:tc>
      </w:tr>
      <w:tr w:rsidRPr="00112D32" w:rsidR="00B7777F" w:rsidTr="00AA12DC" w14:paraId="007A9F7C" w14:textId="77777777">
        <w:trPr>
          <w:trHeight w:val="1061"/>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3F882DA9" w14:textId="77777777">
            <w:pPr>
              <w:pStyle w:val="FreeForm"/>
              <w:contextualSpacing/>
              <w:rPr>
                <w:rFonts w:ascii="Palatino" w:hAnsi="Palatino"/>
                <w:sz w:val="26"/>
                <w:szCs w:val="26"/>
              </w:rPr>
            </w:pPr>
            <w:r w:rsidRPr="00670BB8">
              <w:rPr>
                <w:rFonts w:ascii="Palatino" w:hAnsi="Palatino"/>
                <w:sz w:val="26"/>
                <w:szCs w:val="26"/>
              </w:rPr>
              <w:t>4</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664C7646" w14:textId="19D40EA0">
            <w:pPr>
              <w:pStyle w:val="FreeForm"/>
              <w:contextualSpacing/>
              <w:rPr>
                <w:rFonts w:ascii="Palatino" w:hAnsi="Palatino"/>
                <w:sz w:val="26"/>
                <w:szCs w:val="26"/>
              </w:rPr>
            </w:pPr>
            <w:r w:rsidRPr="00670BB8">
              <w:rPr>
                <w:rFonts w:ascii="Palatino" w:hAnsi="Palatino"/>
                <w:sz w:val="26"/>
                <w:szCs w:val="26"/>
              </w:rPr>
              <w:t>Adding storage capacity to an existing storage facility without changing inverter</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AA12DC" w14:paraId="707CD815" w14:textId="54E4DA1D">
            <w:pPr>
              <w:pStyle w:val="FreeForm"/>
              <w:contextualSpacing/>
              <w:jc w:val="center"/>
              <w:rPr>
                <w:rFonts w:ascii="Palatino" w:hAnsi="Palatino"/>
                <w:sz w:val="26"/>
                <w:szCs w:val="26"/>
              </w:rPr>
            </w:pPr>
            <w:r w:rsidRPr="00670BB8">
              <w:rPr>
                <w:rFonts w:ascii="Palatino" w:hAnsi="Palatino"/>
                <w:sz w:val="26"/>
                <w:szCs w:val="26"/>
              </w:rPr>
              <w:t>2 or 4, depending on the outcomes of R.17-07-007 Working Group Two</w:t>
            </w:r>
          </w:p>
        </w:tc>
      </w:tr>
      <w:tr w:rsidRPr="00112D32" w:rsidR="00B7777F" w:rsidTr="00AA12DC" w14:paraId="2D63062B" w14:textId="77777777">
        <w:trPr>
          <w:trHeight w:val="125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7B450347" w14:textId="77777777">
            <w:pPr>
              <w:pStyle w:val="FreeForm"/>
              <w:contextualSpacing/>
              <w:rPr>
                <w:rFonts w:ascii="Palatino" w:hAnsi="Palatino"/>
                <w:sz w:val="26"/>
                <w:szCs w:val="26"/>
              </w:rPr>
            </w:pPr>
            <w:r w:rsidRPr="00670BB8">
              <w:rPr>
                <w:rFonts w:ascii="Palatino" w:hAnsi="Palatino"/>
                <w:sz w:val="26"/>
                <w:szCs w:val="26"/>
              </w:rPr>
              <w:t>5</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219BB395" w14:textId="7741DB93">
            <w:pPr>
              <w:pStyle w:val="FreeForm"/>
              <w:contextualSpacing/>
              <w:rPr>
                <w:rFonts w:ascii="Palatino" w:hAnsi="Palatino"/>
                <w:sz w:val="26"/>
                <w:szCs w:val="26"/>
              </w:rPr>
            </w:pPr>
            <w:r w:rsidRPr="00670BB8">
              <w:rPr>
                <w:rFonts w:ascii="Palatino" w:hAnsi="Palatino"/>
                <w:sz w:val="26"/>
                <w:szCs w:val="26"/>
              </w:rPr>
              <w:t>Adding or replacing equipment such that system capacity increases and no inverter power controls are employed to limit the real power output to the inverter listed size in the original agreement</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6BC98793" w14:textId="1F548A67">
            <w:pPr>
              <w:pStyle w:val="FreeForm"/>
              <w:contextualSpacing/>
              <w:jc w:val="center"/>
              <w:rPr>
                <w:rFonts w:ascii="Palatino" w:hAnsi="Palatino"/>
                <w:sz w:val="26"/>
                <w:szCs w:val="26"/>
              </w:rPr>
            </w:pPr>
            <w:r w:rsidRPr="00670BB8">
              <w:rPr>
                <w:rFonts w:ascii="Palatino" w:hAnsi="Palatino"/>
                <w:sz w:val="26"/>
                <w:szCs w:val="26"/>
              </w:rPr>
              <w:t>4</w:t>
            </w:r>
          </w:p>
        </w:tc>
      </w:tr>
      <w:tr w:rsidRPr="00112D32" w:rsidR="00B7777F" w:rsidTr="00AA12DC" w14:paraId="1539280B" w14:textId="77777777">
        <w:trPr>
          <w:trHeight w:val="719"/>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AF06B86" w14:textId="77777777">
            <w:pPr>
              <w:pStyle w:val="FreeForm"/>
              <w:contextualSpacing/>
              <w:rPr>
                <w:rFonts w:ascii="Palatino" w:hAnsi="Palatino"/>
                <w:sz w:val="26"/>
                <w:szCs w:val="26"/>
              </w:rPr>
            </w:pPr>
            <w:r w:rsidRPr="00670BB8">
              <w:rPr>
                <w:rFonts w:ascii="Palatino" w:hAnsi="Palatino"/>
                <w:sz w:val="26"/>
                <w:szCs w:val="26"/>
              </w:rPr>
              <w:t>6</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0459CD99" w14:textId="3491933C">
            <w:pPr>
              <w:pStyle w:val="FreeForm"/>
              <w:contextualSpacing/>
              <w:rPr>
                <w:rFonts w:ascii="Palatino" w:hAnsi="Palatino"/>
                <w:sz w:val="26"/>
                <w:szCs w:val="26"/>
              </w:rPr>
            </w:pPr>
            <w:r w:rsidRPr="00670BB8">
              <w:rPr>
                <w:rFonts w:ascii="Palatino" w:hAnsi="Palatino"/>
                <w:sz w:val="26"/>
                <w:szCs w:val="26"/>
              </w:rPr>
              <w:t>Adding storage to an existing generating facility that does not have storage</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11672A6" w14:textId="63E046A7">
            <w:pPr>
              <w:pStyle w:val="FreeForm"/>
              <w:contextualSpacing/>
              <w:jc w:val="center"/>
              <w:rPr>
                <w:rFonts w:ascii="Palatino" w:hAnsi="Palatino"/>
                <w:sz w:val="26"/>
                <w:szCs w:val="26"/>
              </w:rPr>
            </w:pPr>
            <w:r w:rsidRPr="00670BB8">
              <w:rPr>
                <w:rFonts w:ascii="Palatino" w:hAnsi="Palatino"/>
                <w:sz w:val="26"/>
                <w:szCs w:val="26"/>
              </w:rPr>
              <w:t>4</w:t>
            </w:r>
          </w:p>
        </w:tc>
      </w:tr>
      <w:tr w:rsidRPr="00112D32" w:rsidR="00B7777F" w:rsidTr="00AA12DC" w14:paraId="7876AF70" w14:textId="77777777">
        <w:trPr>
          <w:trHeight w:val="440"/>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CC1EA63" w14:textId="77777777">
            <w:pPr>
              <w:pStyle w:val="FreeForm"/>
              <w:contextualSpacing/>
              <w:rPr>
                <w:rFonts w:ascii="Palatino" w:hAnsi="Palatino"/>
                <w:sz w:val="26"/>
                <w:szCs w:val="26"/>
              </w:rPr>
            </w:pPr>
            <w:r w:rsidRPr="00670BB8">
              <w:rPr>
                <w:rFonts w:ascii="Palatino" w:hAnsi="Palatino"/>
                <w:sz w:val="26"/>
                <w:szCs w:val="26"/>
              </w:rPr>
              <w:t>7</w:t>
            </w:r>
          </w:p>
        </w:tc>
        <w:tc>
          <w:tcPr>
            <w:tcW w:w="61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4649C13D" w14:textId="4FCA2FF3">
            <w:pPr>
              <w:pStyle w:val="FreeForm"/>
              <w:contextualSpacing/>
              <w:rPr>
                <w:rFonts w:ascii="Palatino" w:hAnsi="Palatino"/>
                <w:sz w:val="26"/>
                <w:szCs w:val="26"/>
              </w:rPr>
            </w:pPr>
            <w:r w:rsidRPr="00670BB8">
              <w:rPr>
                <w:rFonts w:ascii="Palatino" w:hAnsi="Palatino"/>
                <w:sz w:val="26"/>
                <w:szCs w:val="26"/>
              </w:rPr>
              <w:t>Changing inverter operating characteristics</w:t>
            </w:r>
          </w:p>
        </w:tc>
        <w:tc>
          <w:tcPr>
            <w:tcW w:w="244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Pr="00670BB8" w:rsidR="00B7777F" w:rsidP="00AA12DC" w:rsidRDefault="00B7777F" w14:paraId="6F35A7E3" w14:textId="51F2CB5C">
            <w:pPr>
              <w:pStyle w:val="FreeForm"/>
              <w:contextualSpacing/>
              <w:jc w:val="center"/>
              <w:rPr>
                <w:rFonts w:ascii="Palatino" w:hAnsi="Palatino"/>
                <w:sz w:val="26"/>
                <w:szCs w:val="26"/>
              </w:rPr>
            </w:pPr>
            <w:r w:rsidRPr="00670BB8">
              <w:rPr>
                <w:rFonts w:ascii="Palatino" w:hAnsi="Palatino"/>
                <w:sz w:val="26"/>
                <w:szCs w:val="26"/>
              </w:rPr>
              <w:t>4</w:t>
            </w:r>
          </w:p>
        </w:tc>
      </w:tr>
    </w:tbl>
    <w:p w:rsidRPr="00670BB8" w:rsidR="00733A67" w:rsidP="005D29F9" w:rsidRDefault="00733A67" w14:paraId="2B1EC40D" w14:textId="77777777">
      <w:pPr>
        <w:rPr>
          <w:rFonts w:ascii="Palatino" w:hAnsi="Palatino"/>
          <w:sz w:val="26"/>
          <w:szCs w:val="26"/>
        </w:rPr>
      </w:pPr>
    </w:p>
    <w:p w:rsidRPr="00670BB8" w:rsidR="002C6EB0" w:rsidP="002C6EB0" w:rsidRDefault="002C6EB0" w14:paraId="7F4F9356" w14:textId="0F2F4D85">
      <w:pPr>
        <w:rPr>
          <w:rFonts w:ascii="Palatino" w:hAnsi="Palatino"/>
          <w:sz w:val="26"/>
          <w:szCs w:val="26"/>
        </w:rPr>
      </w:pPr>
      <w:r w:rsidRPr="00670BB8">
        <w:rPr>
          <w:rFonts w:ascii="Palatino" w:hAnsi="Palatino"/>
          <w:sz w:val="26"/>
          <w:szCs w:val="26"/>
        </w:rPr>
        <w:t xml:space="preserve">D.19-03-013 </w:t>
      </w:r>
      <w:r w:rsidRPr="00670BB8" w:rsidR="00B368A0">
        <w:rPr>
          <w:rFonts w:ascii="Palatino" w:hAnsi="Palatino"/>
          <w:sz w:val="26"/>
          <w:szCs w:val="26"/>
        </w:rPr>
        <w:t>Ordering Paragraph (OP</w:t>
      </w:r>
      <w:r w:rsidR="00B368A0">
        <w:rPr>
          <w:rFonts w:ascii="Palatino" w:hAnsi="Palatino"/>
          <w:sz w:val="26"/>
          <w:szCs w:val="26"/>
        </w:rPr>
        <w:t xml:space="preserve">) </w:t>
      </w:r>
      <w:r w:rsidRPr="00670BB8">
        <w:rPr>
          <w:rFonts w:ascii="Palatino" w:hAnsi="Palatino"/>
          <w:sz w:val="26"/>
          <w:szCs w:val="26"/>
        </w:rPr>
        <w:t xml:space="preserve">14 requires </w:t>
      </w:r>
      <w:r w:rsidR="004F7CAB">
        <w:rPr>
          <w:rFonts w:ascii="Palatino" w:hAnsi="Palatino"/>
          <w:sz w:val="26"/>
          <w:szCs w:val="26"/>
        </w:rPr>
        <w:t>the</w:t>
      </w:r>
      <w:r w:rsidRPr="00670BB8">
        <w:rPr>
          <w:rFonts w:ascii="Palatino" w:hAnsi="Palatino"/>
          <w:sz w:val="26"/>
          <w:szCs w:val="26"/>
        </w:rPr>
        <w:t xml:space="preserve"> </w:t>
      </w:r>
      <w:r>
        <w:rPr>
          <w:rFonts w:ascii="Palatino" w:hAnsi="Palatino"/>
          <w:sz w:val="26"/>
          <w:szCs w:val="26"/>
        </w:rPr>
        <w:t>Utilities</w:t>
      </w:r>
      <w:r w:rsidRPr="00670BB8">
        <w:rPr>
          <w:rFonts w:ascii="Palatino" w:hAnsi="Palatino"/>
          <w:sz w:val="26"/>
          <w:szCs w:val="26"/>
        </w:rPr>
        <w:t xml:space="preserve"> </w:t>
      </w:r>
      <w:r w:rsidR="004F7CAB">
        <w:rPr>
          <w:rFonts w:ascii="Palatino" w:hAnsi="Palatino"/>
          <w:sz w:val="26"/>
          <w:szCs w:val="26"/>
        </w:rPr>
        <w:t>to</w:t>
      </w:r>
      <w:r w:rsidRPr="00670BB8">
        <w:rPr>
          <w:rFonts w:ascii="Palatino" w:hAnsi="Palatino"/>
          <w:sz w:val="26"/>
          <w:szCs w:val="26"/>
        </w:rPr>
        <w:t xml:space="preserve"> submit Tier 2 AL</w:t>
      </w:r>
      <w:r w:rsidR="004F7CAB">
        <w:rPr>
          <w:rFonts w:ascii="Palatino" w:hAnsi="Palatino"/>
          <w:sz w:val="26"/>
          <w:szCs w:val="26"/>
        </w:rPr>
        <w:t>s</w:t>
      </w:r>
      <w:r w:rsidRPr="00670BB8">
        <w:rPr>
          <w:rFonts w:ascii="Palatino" w:hAnsi="Palatino"/>
          <w:sz w:val="26"/>
          <w:szCs w:val="26"/>
        </w:rPr>
        <w:t xml:space="preserve"> by June 4, 2019, modifying Rule 21 to be consistent with D.19-03-013’s requirements. The specific requirements are discussed in the subsequent section, which summarizes the resultant ALs and protests. </w:t>
      </w:r>
    </w:p>
    <w:p w:rsidRPr="00670BB8" w:rsidR="002C6EB0" w:rsidP="002C6EB0" w:rsidRDefault="002C6EB0" w14:paraId="2AD45696" w14:textId="77777777">
      <w:pPr>
        <w:rPr>
          <w:rFonts w:ascii="Palatino" w:hAnsi="Palatino"/>
          <w:sz w:val="26"/>
          <w:szCs w:val="26"/>
        </w:rPr>
      </w:pPr>
    </w:p>
    <w:p w:rsidRPr="002C6EB0" w:rsidR="002C6EB0" w:rsidP="002C6EB0" w:rsidRDefault="002C6EB0" w14:paraId="3F190C8A" w14:textId="4B666DED">
      <w:pPr>
        <w:rPr>
          <w:rFonts w:ascii="Palatino" w:hAnsi="Palatino"/>
          <w:sz w:val="26"/>
          <w:szCs w:val="26"/>
        </w:rPr>
      </w:pPr>
      <w:r w:rsidRPr="00670BB8">
        <w:rPr>
          <w:rFonts w:ascii="Palatino" w:hAnsi="Palatino"/>
          <w:sz w:val="26"/>
          <w:szCs w:val="26"/>
        </w:rPr>
        <w:t xml:space="preserve">In addition, acknowledging that no implementation of </w:t>
      </w:r>
      <w:r>
        <w:rPr>
          <w:rFonts w:ascii="Palatino" w:hAnsi="Palatino"/>
          <w:sz w:val="26"/>
          <w:szCs w:val="26"/>
        </w:rPr>
        <w:t>P</w:t>
      </w:r>
      <w:r w:rsidRPr="00670BB8">
        <w:rPr>
          <w:rFonts w:ascii="Palatino" w:hAnsi="Palatino"/>
          <w:sz w:val="26"/>
          <w:szCs w:val="26"/>
        </w:rPr>
        <w:t xml:space="preserve">rocess </w:t>
      </w:r>
      <w:r>
        <w:rPr>
          <w:rFonts w:ascii="Palatino" w:hAnsi="Palatino"/>
          <w:sz w:val="26"/>
          <w:szCs w:val="26"/>
        </w:rPr>
        <w:t>O</w:t>
      </w:r>
      <w:r w:rsidRPr="00670BB8">
        <w:rPr>
          <w:rFonts w:ascii="Palatino" w:hAnsi="Palatino"/>
          <w:sz w:val="26"/>
          <w:szCs w:val="26"/>
        </w:rPr>
        <w:t xml:space="preserve">ption 2 currently exists, D.19-03-013 OP 8 orders the Utilities to (1) develop a standard form template for customers to provide notification of material modifications to existing generating facilities and (2) propose this template via Tier 2 AL by </w:t>
      </w:r>
      <w:r w:rsidR="00C4227A">
        <w:rPr>
          <w:rFonts w:ascii="Palatino" w:hAnsi="Palatino"/>
          <w:sz w:val="26"/>
          <w:szCs w:val="26"/>
        </w:rPr>
        <w:br/>
      </w:r>
      <w:r w:rsidRPr="00670BB8">
        <w:rPr>
          <w:rFonts w:ascii="Palatino" w:hAnsi="Palatino"/>
          <w:sz w:val="26"/>
          <w:szCs w:val="26"/>
        </w:rPr>
        <w:t>Ju</w:t>
      </w:r>
      <w:r w:rsidR="00707414">
        <w:rPr>
          <w:rFonts w:ascii="Palatino" w:hAnsi="Palatino"/>
          <w:sz w:val="26"/>
          <w:szCs w:val="26"/>
        </w:rPr>
        <w:t xml:space="preserve">ly </w:t>
      </w:r>
      <w:r w:rsidRPr="00670BB8">
        <w:rPr>
          <w:rFonts w:ascii="Palatino" w:hAnsi="Palatino"/>
          <w:sz w:val="26"/>
          <w:szCs w:val="26"/>
        </w:rPr>
        <w:t xml:space="preserve">4, 2019. D.19-03-013 designates this standard form template as the interim method by which utilities shall accept notification of material modifications that qualify for a notification-only process. </w:t>
      </w:r>
    </w:p>
    <w:p w:rsidRPr="00670BB8" w:rsidR="005D29F9" w:rsidP="002D3C5B" w:rsidRDefault="005D29F9" w14:paraId="08F9DBC2" w14:textId="74706968">
      <w:pPr>
        <w:rPr>
          <w:rFonts w:ascii="Palatino" w:hAnsi="Palatino"/>
          <w:sz w:val="26"/>
          <w:szCs w:val="26"/>
        </w:rPr>
      </w:pPr>
    </w:p>
    <w:p w:rsidRPr="00670BB8" w:rsidR="00B7600B" w:rsidP="00B7600B" w:rsidRDefault="00B7600B" w14:paraId="31107D83" w14:textId="2D8A0864">
      <w:pPr>
        <w:rPr>
          <w:rFonts w:ascii="Palatino" w:hAnsi="Palatino"/>
          <w:b/>
          <w:bCs/>
          <w:sz w:val="26"/>
          <w:szCs w:val="26"/>
        </w:rPr>
      </w:pPr>
      <w:r w:rsidRPr="00670BB8">
        <w:rPr>
          <w:rFonts w:ascii="Palatino" w:hAnsi="Palatino"/>
          <w:b/>
          <w:bCs/>
          <w:sz w:val="26"/>
          <w:szCs w:val="26"/>
        </w:rPr>
        <w:t>B. Advice Letters 4009-E, 3381-E, and 5553-E</w:t>
      </w:r>
    </w:p>
    <w:p w:rsidRPr="00670BB8" w:rsidR="005D29F9" w:rsidP="00B7600B" w:rsidRDefault="00061BEC" w14:paraId="1788A302" w14:textId="26616A73">
      <w:pPr>
        <w:rPr>
          <w:rFonts w:ascii="Palatino" w:hAnsi="Palatino"/>
          <w:sz w:val="26"/>
          <w:szCs w:val="26"/>
        </w:rPr>
      </w:pPr>
      <w:r w:rsidRPr="00670BB8">
        <w:rPr>
          <w:rFonts w:ascii="Palatino" w:hAnsi="Palatino"/>
          <w:sz w:val="26"/>
          <w:szCs w:val="26"/>
        </w:rPr>
        <w:t xml:space="preserve">Pursuant to </w:t>
      </w:r>
      <w:r w:rsidRPr="00670BB8" w:rsidR="00AB4E44">
        <w:rPr>
          <w:rFonts w:ascii="Palatino" w:hAnsi="Palatino"/>
          <w:sz w:val="26"/>
          <w:szCs w:val="26"/>
        </w:rPr>
        <w:t xml:space="preserve">D.19-03-013 OP 14, </w:t>
      </w:r>
      <w:r w:rsidRPr="00670BB8">
        <w:rPr>
          <w:rFonts w:ascii="Palatino" w:hAnsi="Palatino"/>
          <w:sz w:val="26"/>
          <w:szCs w:val="26"/>
        </w:rPr>
        <w:t>SCE filed AL 4009-E, SDG&amp;E filed AL 3381-E, and PG&amp;E filed AL 5553-E</w:t>
      </w:r>
      <w:r w:rsidRPr="00670BB8" w:rsidR="00AB4E44">
        <w:rPr>
          <w:rFonts w:ascii="Palatino" w:hAnsi="Palatino"/>
          <w:sz w:val="26"/>
          <w:szCs w:val="26"/>
        </w:rPr>
        <w:t xml:space="preserve"> on June 4, 2019</w:t>
      </w:r>
      <w:r w:rsidRPr="00670BB8">
        <w:rPr>
          <w:rFonts w:ascii="Palatino" w:hAnsi="Palatino"/>
          <w:sz w:val="26"/>
          <w:szCs w:val="26"/>
        </w:rPr>
        <w:t xml:space="preserve">. </w:t>
      </w:r>
    </w:p>
    <w:p w:rsidRPr="00670BB8" w:rsidR="00AB4E44" w:rsidP="00B7600B" w:rsidRDefault="00AB4E44" w14:paraId="50D7B14A" w14:textId="7DB9424A">
      <w:pPr>
        <w:rPr>
          <w:rFonts w:ascii="Palatino" w:hAnsi="Palatino"/>
          <w:sz w:val="26"/>
          <w:szCs w:val="26"/>
        </w:rPr>
      </w:pPr>
    </w:p>
    <w:p w:rsidRPr="00670BB8" w:rsidR="000E7CD5" w:rsidP="00B7600B" w:rsidRDefault="00AB4E44" w14:paraId="74745261" w14:textId="3393F5BD">
      <w:pPr>
        <w:rPr>
          <w:rFonts w:ascii="Palatino" w:hAnsi="Palatino"/>
          <w:sz w:val="26"/>
          <w:szCs w:val="26"/>
        </w:rPr>
      </w:pPr>
      <w:r w:rsidRPr="00670BB8">
        <w:rPr>
          <w:rFonts w:ascii="Palatino" w:hAnsi="Palatino"/>
          <w:sz w:val="26"/>
          <w:szCs w:val="26"/>
        </w:rPr>
        <w:t>AL</w:t>
      </w:r>
      <w:r w:rsidRPr="00670BB8" w:rsidR="00175409">
        <w:rPr>
          <w:rFonts w:ascii="Palatino" w:hAnsi="Palatino"/>
          <w:sz w:val="26"/>
          <w:szCs w:val="26"/>
        </w:rPr>
        <w:t>s 4009-E, 3381-E, and 5553-E</w:t>
      </w:r>
      <w:r w:rsidRPr="00670BB8">
        <w:rPr>
          <w:rFonts w:ascii="Palatino" w:hAnsi="Palatino"/>
          <w:sz w:val="26"/>
          <w:szCs w:val="26"/>
        </w:rPr>
        <w:t xml:space="preserve"> propose modifications to Rule 21 in compliance with D.</w:t>
      </w:r>
      <w:r w:rsidRPr="00670BB8" w:rsidR="000E7CD5">
        <w:rPr>
          <w:rFonts w:ascii="Palatino" w:hAnsi="Palatino"/>
          <w:sz w:val="26"/>
          <w:szCs w:val="26"/>
        </w:rPr>
        <w:t xml:space="preserve">19-03-013. Specifically, the ALs </w:t>
      </w:r>
      <w:r w:rsidRPr="00670BB8" w:rsidR="00175409">
        <w:rPr>
          <w:rFonts w:ascii="Palatino" w:hAnsi="Palatino"/>
          <w:sz w:val="26"/>
          <w:szCs w:val="26"/>
        </w:rPr>
        <w:t>propose to do</w:t>
      </w:r>
      <w:r w:rsidRPr="00670BB8" w:rsidR="000E7CD5">
        <w:rPr>
          <w:rFonts w:ascii="Palatino" w:hAnsi="Palatino"/>
          <w:sz w:val="26"/>
          <w:szCs w:val="26"/>
        </w:rPr>
        <w:t xml:space="preserve"> the following:</w:t>
      </w:r>
    </w:p>
    <w:p w:rsidRPr="00670BB8" w:rsidR="00CF17DE" w:rsidP="000E7CD5" w:rsidRDefault="000E7CD5" w14:paraId="2545B8F7" w14:textId="4FF2198B">
      <w:pPr>
        <w:pStyle w:val="ListParagraph"/>
        <w:numPr>
          <w:ilvl w:val="0"/>
          <w:numId w:val="6"/>
        </w:numPr>
        <w:rPr>
          <w:rFonts w:ascii="Palatino" w:hAnsi="Palatino"/>
          <w:sz w:val="26"/>
          <w:szCs w:val="26"/>
        </w:rPr>
      </w:pPr>
      <w:r w:rsidRPr="00670BB8">
        <w:rPr>
          <w:rFonts w:ascii="Palatino" w:hAnsi="Palatino"/>
          <w:sz w:val="26"/>
          <w:szCs w:val="26"/>
        </w:rPr>
        <w:lastRenderedPageBreak/>
        <w:t>Expand the existing Screen Q exemption to all net energy metering (NEM) and inverter-based projects with 1 megavolt ampere (MVA) or below nameplate capacity</w:t>
      </w:r>
      <w:r w:rsidRPr="00670BB8" w:rsidR="005F336A">
        <w:rPr>
          <w:rFonts w:ascii="Palatino" w:hAnsi="Palatino"/>
          <w:sz w:val="26"/>
          <w:szCs w:val="26"/>
        </w:rPr>
        <w:t>;</w:t>
      </w:r>
    </w:p>
    <w:p w:rsidRPr="00670BB8" w:rsidR="005F336A" w:rsidP="000E7CD5" w:rsidRDefault="005F336A" w14:paraId="107A383D" w14:textId="60B9A423">
      <w:pPr>
        <w:pStyle w:val="ListParagraph"/>
        <w:numPr>
          <w:ilvl w:val="0"/>
          <w:numId w:val="6"/>
        </w:numPr>
        <w:rPr>
          <w:rFonts w:ascii="Palatino" w:hAnsi="Palatino"/>
          <w:sz w:val="26"/>
          <w:szCs w:val="26"/>
        </w:rPr>
      </w:pPr>
      <w:r w:rsidRPr="00670BB8">
        <w:rPr>
          <w:rFonts w:ascii="Palatino" w:hAnsi="Palatino"/>
          <w:sz w:val="26"/>
          <w:szCs w:val="26"/>
        </w:rPr>
        <w:t xml:space="preserve">Modify Rule 21 to allow for specific types of modifications to interconnection </w:t>
      </w:r>
      <w:r w:rsidRPr="00670BB8" w:rsidR="004D1819">
        <w:rPr>
          <w:rFonts w:ascii="Palatino" w:hAnsi="Palatino"/>
          <w:sz w:val="26"/>
          <w:szCs w:val="26"/>
        </w:rPr>
        <w:t>applications</w:t>
      </w:r>
      <w:r w:rsidRPr="00670BB8">
        <w:rPr>
          <w:rFonts w:ascii="Palatino" w:hAnsi="Palatino"/>
          <w:sz w:val="26"/>
          <w:szCs w:val="26"/>
        </w:rPr>
        <w:t xml:space="preserve"> under Fast Track;</w:t>
      </w:r>
    </w:p>
    <w:p w:rsidRPr="00670BB8" w:rsidR="005F336A" w:rsidP="000E7CD5" w:rsidRDefault="005F336A" w14:paraId="4FE5BFDB" w14:textId="5ABE5D4B">
      <w:pPr>
        <w:pStyle w:val="ListParagraph"/>
        <w:numPr>
          <w:ilvl w:val="0"/>
          <w:numId w:val="6"/>
        </w:numPr>
        <w:rPr>
          <w:rFonts w:ascii="Palatino" w:hAnsi="Palatino"/>
          <w:sz w:val="26"/>
          <w:szCs w:val="26"/>
        </w:rPr>
      </w:pPr>
      <w:r w:rsidRPr="00670BB8">
        <w:rPr>
          <w:rFonts w:ascii="Palatino" w:hAnsi="Palatino"/>
          <w:sz w:val="26"/>
          <w:szCs w:val="26"/>
        </w:rPr>
        <w:t>Adopt specific process options for identified categories of modifications to existing generating facilities;</w:t>
      </w:r>
    </w:p>
    <w:p w:rsidRPr="00670BB8" w:rsidR="005F336A" w:rsidP="000E7CD5" w:rsidRDefault="005F336A" w14:paraId="540DFA62" w14:textId="23090E60">
      <w:pPr>
        <w:pStyle w:val="ListParagraph"/>
        <w:numPr>
          <w:ilvl w:val="0"/>
          <w:numId w:val="6"/>
        </w:numPr>
        <w:rPr>
          <w:rFonts w:ascii="Palatino" w:hAnsi="Palatino"/>
          <w:sz w:val="26"/>
          <w:szCs w:val="26"/>
        </w:rPr>
      </w:pPr>
      <w:r w:rsidRPr="00670BB8">
        <w:rPr>
          <w:rFonts w:ascii="Palatino" w:hAnsi="Palatino"/>
          <w:sz w:val="26"/>
          <w:szCs w:val="26"/>
        </w:rPr>
        <w:t>Allow customer ownership of some behind-the-meter telemetry equipment;</w:t>
      </w:r>
    </w:p>
    <w:p w:rsidRPr="00670BB8" w:rsidR="00175409" w:rsidP="00175409" w:rsidRDefault="005F336A" w14:paraId="567AE169" w14:textId="4214622B">
      <w:pPr>
        <w:pStyle w:val="ListParagraph"/>
        <w:numPr>
          <w:ilvl w:val="0"/>
          <w:numId w:val="6"/>
        </w:numPr>
        <w:rPr>
          <w:rFonts w:ascii="Palatino" w:hAnsi="Palatino"/>
          <w:sz w:val="26"/>
          <w:szCs w:val="26"/>
        </w:rPr>
      </w:pPr>
      <w:r w:rsidRPr="00670BB8">
        <w:rPr>
          <w:rFonts w:ascii="Palatino" w:hAnsi="Palatino"/>
          <w:sz w:val="26"/>
          <w:szCs w:val="26"/>
        </w:rPr>
        <w:t>Allow customers to replace existing inverters with inverters of equal or greater ability and require that any replacement inverter with greater abilities than the original shall be set with all the most current required functionalities, unless the interconnection applicant can demonstrate that safety or operational needs necessitate otherwise.</w:t>
      </w:r>
    </w:p>
    <w:p w:rsidRPr="00670BB8" w:rsidR="003A4451" w:rsidP="003A4451" w:rsidRDefault="003A4451" w14:paraId="0BAE5AFE" w14:textId="1C9E1366">
      <w:pPr>
        <w:rPr>
          <w:rFonts w:ascii="Palatino" w:hAnsi="Palatino"/>
          <w:b/>
          <w:bCs/>
          <w:sz w:val="26"/>
          <w:szCs w:val="26"/>
        </w:rPr>
      </w:pPr>
    </w:p>
    <w:p w:rsidRPr="00670BB8" w:rsidR="002C2C39" w:rsidP="003A4451" w:rsidRDefault="002C2C39" w14:paraId="775AE5C6" w14:textId="0695D5E0">
      <w:pPr>
        <w:rPr>
          <w:rFonts w:ascii="Palatino" w:hAnsi="Palatino"/>
          <w:sz w:val="26"/>
          <w:szCs w:val="26"/>
        </w:rPr>
      </w:pPr>
      <w:r w:rsidRPr="00670BB8">
        <w:rPr>
          <w:rFonts w:ascii="Palatino" w:hAnsi="Palatino"/>
          <w:sz w:val="26"/>
          <w:szCs w:val="26"/>
        </w:rPr>
        <w:t>On August 1, 2019, SCE filed AL 4009-E-A, which supplements AL 4009-E. AL 4009-E-A clarifies the proposed language expanding the existing Screen Q exemption to all net energy metering (NEM) and inverter-based projects with 1 megavolt ampere (MVA) or below nameplate capacity and restores the option of certain non-material modifications to Interconnection Facilities under the Cost Envelope Option provisions.</w:t>
      </w:r>
    </w:p>
    <w:p w:rsidRPr="00670BB8" w:rsidR="00F648D1" w:rsidP="003A4451" w:rsidRDefault="00F648D1" w14:paraId="2A34BA36" w14:textId="77777777">
      <w:pPr>
        <w:rPr>
          <w:rFonts w:ascii="Palatino" w:hAnsi="Palatino"/>
          <w:sz w:val="26"/>
          <w:szCs w:val="26"/>
        </w:rPr>
      </w:pPr>
    </w:p>
    <w:p w:rsidRPr="00670BB8" w:rsidR="002C2C39" w:rsidP="002C2C39" w:rsidRDefault="002C2C39" w14:paraId="20691A9A" w14:textId="0DC18B80">
      <w:pPr>
        <w:rPr>
          <w:rFonts w:ascii="Palatino" w:hAnsi="Palatino"/>
          <w:sz w:val="26"/>
          <w:szCs w:val="26"/>
        </w:rPr>
      </w:pPr>
      <w:r w:rsidRPr="00670BB8">
        <w:rPr>
          <w:rFonts w:ascii="Palatino" w:hAnsi="Palatino"/>
          <w:sz w:val="26"/>
          <w:szCs w:val="26"/>
        </w:rPr>
        <w:t>On August 6, 2019, SDG&amp;E filed AL 3381-E-A, which supplements AL 3381-E. AL 3381-E-A clarifies the proposed language expanding the existing Screen Q exemption to all net energy metering (NEM) and inverter-based projects with 1 megavolt ampere (MVA) or below nameplate capacity and removes a note, proposed by AL 3381-E, stating that modifications to Fast Track interconnection applications not specifically listed in section Rule 21 Table F.1 are not allowed.</w:t>
      </w:r>
    </w:p>
    <w:p w:rsidRPr="00670BB8" w:rsidR="002C2C39" w:rsidP="003A4451" w:rsidRDefault="002C2C39" w14:paraId="3D3AA21B" w14:textId="7B2E4A0D">
      <w:pPr>
        <w:rPr>
          <w:rFonts w:ascii="Palatino" w:hAnsi="Palatino"/>
          <w:sz w:val="26"/>
          <w:szCs w:val="26"/>
        </w:rPr>
      </w:pPr>
    </w:p>
    <w:p w:rsidRPr="00670BB8" w:rsidR="002C2C39" w:rsidP="003A4451" w:rsidRDefault="002C2C39" w14:paraId="2B380882" w14:textId="4519A03B">
      <w:pPr>
        <w:rPr>
          <w:rFonts w:ascii="Palatino" w:hAnsi="Palatino"/>
          <w:sz w:val="26"/>
          <w:szCs w:val="26"/>
        </w:rPr>
      </w:pPr>
      <w:r w:rsidRPr="00670BB8">
        <w:rPr>
          <w:rFonts w:ascii="Palatino" w:hAnsi="Palatino"/>
          <w:sz w:val="26"/>
          <w:szCs w:val="26"/>
        </w:rPr>
        <w:t>PG&amp;E did not file a supplement to AL 5553-E.</w:t>
      </w:r>
    </w:p>
    <w:p w:rsidRPr="00670BB8" w:rsidR="002C2C39" w:rsidP="00AD6980" w:rsidRDefault="002C2C39" w14:paraId="5ACE8F57" w14:textId="48E73A5A">
      <w:pPr>
        <w:rPr>
          <w:rFonts w:ascii="Palatino" w:hAnsi="Palatino"/>
          <w:b/>
          <w:bCs/>
          <w:sz w:val="26"/>
          <w:szCs w:val="26"/>
        </w:rPr>
      </w:pPr>
    </w:p>
    <w:p w:rsidRPr="00670BB8" w:rsidR="00AD6980" w:rsidP="00AD6980" w:rsidRDefault="008D0142" w14:paraId="09C4F743" w14:textId="310D2E54">
      <w:pPr>
        <w:rPr>
          <w:rFonts w:ascii="Palatino" w:hAnsi="Palatino"/>
          <w:b/>
          <w:bCs/>
          <w:sz w:val="26"/>
          <w:szCs w:val="26"/>
        </w:rPr>
      </w:pPr>
      <w:r w:rsidRPr="00670BB8">
        <w:rPr>
          <w:rFonts w:ascii="Palatino" w:hAnsi="Palatino"/>
          <w:b/>
          <w:bCs/>
          <w:sz w:val="26"/>
          <w:szCs w:val="26"/>
        </w:rPr>
        <w:t>C</w:t>
      </w:r>
      <w:r w:rsidRPr="00670BB8" w:rsidR="00AD6980">
        <w:rPr>
          <w:rFonts w:ascii="Palatino" w:hAnsi="Palatino"/>
          <w:b/>
          <w:bCs/>
          <w:sz w:val="26"/>
          <w:szCs w:val="26"/>
        </w:rPr>
        <w:t xml:space="preserve">. Advice Letters </w:t>
      </w:r>
      <w:r w:rsidRPr="00670BB8" w:rsidR="00832AD2">
        <w:rPr>
          <w:rFonts w:ascii="Palatino" w:hAnsi="Palatino"/>
          <w:b/>
          <w:bCs/>
          <w:sz w:val="26"/>
          <w:szCs w:val="26"/>
        </w:rPr>
        <w:t>5583-E, 4033-E, and 3401-E</w:t>
      </w:r>
    </w:p>
    <w:p w:rsidRPr="00670BB8" w:rsidR="00AD6980" w:rsidP="00AD6980" w:rsidRDefault="00832AD2" w14:paraId="3356D62C" w14:textId="5D9249AB">
      <w:pPr>
        <w:rPr>
          <w:rFonts w:ascii="Palatino" w:hAnsi="Palatino"/>
          <w:sz w:val="26"/>
          <w:szCs w:val="26"/>
        </w:rPr>
      </w:pPr>
      <w:r w:rsidRPr="00670BB8">
        <w:rPr>
          <w:rFonts w:ascii="Palatino" w:hAnsi="Palatino"/>
          <w:sz w:val="26"/>
          <w:szCs w:val="26"/>
        </w:rPr>
        <w:t xml:space="preserve">Pursuant to D.19-03-013 OP 8, the utilities filed PG&amp;E AL 5583-E, SCE AL 4033-E, </w:t>
      </w:r>
      <w:r w:rsidRPr="00670BB8" w:rsidR="00FD4FEB">
        <w:rPr>
          <w:rFonts w:ascii="Palatino" w:hAnsi="Palatino"/>
          <w:sz w:val="26"/>
          <w:szCs w:val="26"/>
        </w:rPr>
        <w:t xml:space="preserve">and </w:t>
      </w:r>
      <w:r w:rsidRPr="00670BB8">
        <w:rPr>
          <w:rFonts w:ascii="Palatino" w:hAnsi="Palatino"/>
          <w:sz w:val="26"/>
          <w:szCs w:val="26"/>
        </w:rPr>
        <w:t>SDG&amp;E AL 3401-E</w:t>
      </w:r>
      <w:r w:rsidRPr="00670BB8" w:rsidR="00FD4FEB">
        <w:rPr>
          <w:rFonts w:ascii="Palatino" w:hAnsi="Palatino"/>
          <w:sz w:val="26"/>
          <w:szCs w:val="26"/>
        </w:rPr>
        <w:t xml:space="preserve"> (“Joint AL”) on July 5, 2019. The Joint AL </w:t>
      </w:r>
      <w:r w:rsidRPr="00670BB8">
        <w:rPr>
          <w:rFonts w:ascii="Palatino" w:hAnsi="Palatino"/>
          <w:sz w:val="26"/>
          <w:szCs w:val="26"/>
        </w:rPr>
        <w:t>propos</w:t>
      </w:r>
      <w:r w:rsidRPr="00670BB8" w:rsidR="00FD4FEB">
        <w:rPr>
          <w:rFonts w:ascii="Palatino" w:hAnsi="Palatino"/>
          <w:sz w:val="26"/>
          <w:szCs w:val="26"/>
        </w:rPr>
        <w:t>es</w:t>
      </w:r>
      <w:r w:rsidRPr="00670BB8">
        <w:rPr>
          <w:rFonts w:ascii="Palatino" w:hAnsi="Palatino"/>
          <w:sz w:val="26"/>
          <w:szCs w:val="26"/>
        </w:rPr>
        <w:t xml:space="preserve"> a </w:t>
      </w:r>
      <w:r w:rsidRPr="00670BB8">
        <w:rPr>
          <w:rFonts w:ascii="Palatino" w:hAnsi="Palatino"/>
          <w:sz w:val="26"/>
          <w:szCs w:val="26"/>
        </w:rPr>
        <w:lastRenderedPageBreak/>
        <w:t xml:space="preserve">standard </w:t>
      </w:r>
      <w:r w:rsidRPr="00670BB8" w:rsidR="00FD4FEB">
        <w:rPr>
          <w:rFonts w:ascii="Palatino" w:hAnsi="Palatino"/>
          <w:sz w:val="26"/>
          <w:szCs w:val="26"/>
        </w:rPr>
        <w:t xml:space="preserve">form </w:t>
      </w:r>
      <w:r w:rsidRPr="00670BB8">
        <w:rPr>
          <w:rFonts w:ascii="Palatino" w:hAnsi="Palatino"/>
          <w:sz w:val="26"/>
          <w:szCs w:val="26"/>
        </w:rPr>
        <w:t xml:space="preserve">template </w:t>
      </w:r>
      <w:r w:rsidRPr="00670BB8" w:rsidR="00FD4FEB">
        <w:rPr>
          <w:rFonts w:ascii="Palatino" w:hAnsi="Palatino"/>
          <w:sz w:val="26"/>
          <w:szCs w:val="26"/>
        </w:rPr>
        <w:t>by which utilities may be notified of material modifications that qualify for a notification-only process.</w:t>
      </w:r>
    </w:p>
    <w:p w:rsidRPr="00670BB8" w:rsidR="00DF35CC" w:rsidRDefault="00DF35CC" w14:paraId="7ED5ADC6" w14:textId="77777777">
      <w:pPr>
        <w:rPr>
          <w:rFonts w:ascii="Palatino" w:hAnsi="Palatino"/>
          <w:b/>
          <w:sz w:val="26"/>
          <w:szCs w:val="26"/>
          <w:u w:val="single"/>
        </w:rPr>
      </w:pPr>
    </w:p>
    <w:p w:rsidRPr="00670BB8" w:rsidR="00CF17DE" w:rsidRDefault="00394B3A" w14:paraId="66788129" w14:textId="77777777">
      <w:pPr>
        <w:pStyle w:val="Heading1"/>
        <w:rPr>
          <w:sz w:val="26"/>
          <w:szCs w:val="26"/>
        </w:rPr>
      </w:pPr>
      <w:r w:rsidRPr="00670BB8">
        <w:rPr>
          <w:sz w:val="26"/>
          <w:szCs w:val="26"/>
        </w:rPr>
        <w:t>Notice</w:t>
      </w:r>
    </w:p>
    <w:p w:rsidRPr="00670BB8" w:rsidR="00CF17DE" w:rsidRDefault="00CF17DE" w14:paraId="37FFE207" w14:textId="71FC0EFE">
      <w:pPr>
        <w:rPr>
          <w:rFonts w:ascii="Palatino" w:hAnsi="Palatino"/>
          <w:sz w:val="26"/>
          <w:szCs w:val="26"/>
        </w:rPr>
      </w:pPr>
      <w:r w:rsidRPr="00670BB8">
        <w:rPr>
          <w:rFonts w:ascii="Palatino" w:hAnsi="Palatino"/>
          <w:sz w:val="26"/>
          <w:szCs w:val="26"/>
        </w:rPr>
        <w:t>Notice of AL</w:t>
      </w:r>
      <w:r w:rsidRPr="00670BB8" w:rsidR="00D77A14">
        <w:rPr>
          <w:rFonts w:ascii="Palatino" w:hAnsi="Palatino"/>
          <w:sz w:val="26"/>
          <w:szCs w:val="26"/>
        </w:rPr>
        <w:t xml:space="preserve">s 5553-E, 4009-E, </w:t>
      </w:r>
      <w:r w:rsidRPr="00670BB8" w:rsidR="008D0142">
        <w:rPr>
          <w:rFonts w:ascii="Palatino" w:hAnsi="Palatino"/>
          <w:sz w:val="26"/>
          <w:szCs w:val="26"/>
        </w:rPr>
        <w:t xml:space="preserve">4009-E-A, </w:t>
      </w:r>
      <w:bookmarkStart w:name="OLE_LINK1" w:id="2"/>
      <w:bookmarkStart w:name="OLE_LINK2" w:id="3"/>
      <w:r w:rsidRPr="00670BB8" w:rsidR="00D77A14">
        <w:rPr>
          <w:rFonts w:ascii="Palatino" w:hAnsi="Palatino"/>
          <w:sz w:val="26"/>
          <w:szCs w:val="26"/>
        </w:rPr>
        <w:t>3381-E</w:t>
      </w:r>
      <w:bookmarkEnd w:id="2"/>
      <w:bookmarkEnd w:id="3"/>
      <w:r w:rsidRPr="00670BB8" w:rsidR="00D77A14">
        <w:rPr>
          <w:rFonts w:ascii="Palatino" w:hAnsi="Palatino"/>
          <w:sz w:val="26"/>
          <w:szCs w:val="26"/>
        </w:rPr>
        <w:t xml:space="preserve">, </w:t>
      </w:r>
      <w:r w:rsidRPr="00670BB8" w:rsidR="008D0142">
        <w:rPr>
          <w:rFonts w:ascii="Palatino" w:hAnsi="Palatino"/>
          <w:sz w:val="26"/>
          <w:szCs w:val="26"/>
        </w:rPr>
        <w:t xml:space="preserve">3381-E-A, </w:t>
      </w:r>
      <w:r w:rsidRPr="00670BB8" w:rsidR="00A125EE">
        <w:rPr>
          <w:rFonts w:ascii="Palatino" w:hAnsi="Palatino"/>
          <w:sz w:val="26"/>
          <w:szCs w:val="26"/>
        </w:rPr>
        <w:t xml:space="preserve">and the Joint AL </w:t>
      </w:r>
      <w:r w:rsidRPr="00670BB8">
        <w:rPr>
          <w:rFonts w:ascii="Palatino" w:hAnsi="Palatino"/>
          <w:sz w:val="26"/>
          <w:szCs w:val="26"/>
        </w:rPr>
        <w:t xml:space="preserve">was made by publication in the Commission’s Daily Calendar.  </w:t>
      </w:r>
      <w:r w:rsidRPr="00670BB8" w:rsidR="00D77A14">
        <w:rPr>
          <w:rFonts w:ascii="Palatino" w:hAnsi="Palatino"/>
          <w:sz w:val="26"/>
          <w:szCs w:val="26"/>
        </w:rPr>
        <w:t>PG&amp;E, SCE, and SDG&amp;E</w:t>
      </w:r>
      <w:r w:rsidRPr="00670BB8">
        <w:rPr>
          <w:rFonts w:ascii="Palatino" w:hAnsi="Palatino"/>
          <w:sz w:val="26"/>
          <w:szCs w:val="26"/>
        </w:rPr>
        <w:t xml:space="preserve"> state</w:t>
      </w:r>
      <w:r w:rsidRPr="00670BB8" w:rsidR="00D77A14">
        <w:rPr>
          <w:rFonts w:ascii="Palatino" w:hAnsi="Palatino"/>
          <w:sz w:val="26"/>
          <w:szCs w:val="26"/>
        </w:rPr>
        <w:t xml:space="preserve"> </w:t>
      </w:r>
      <w:r w:rsidRPr="00670BB8">
        <w:rPr>
          <w:rFonts w:ascii="Palatino" w:hAnsi="Palatino"/>
          <w:sz w:val="26"/>
          <w:szCs w:val="26"/>
        </w:rPr>
        <w:t>that cop</w:t>
      </w:r>
      <w:r w:rsidRPr="00670BB8" w:rsidR="00D77A14">
        <w:rPr>
          <w:rFonts w:ascii="Palatino" w:hAnsi="Palatino"/>
          <w:sz w:val="26"/>
          <w:szCs w:val="26"/>
        </w:rPr>
        <w:t>ies</w:t>
      </w:r>
      <w:r w:rsidRPr="00670BB8">
        <w:rPr>
          <w:rFonts w:ascii="Palatino" w:hAnsi="Palatino"/>
          <w:sz w:val="26"/>
          <w:szCs w:val="26"/>
        </w:rPr>
        <w:t xml:space="preserve"> of the Advice Letter</w:t>
      </w:r>
      <w:r w:rsidRPr="00670BB8" w:rsidR="00D77A14">
        <w:rPr>
          <w:rFonts w:ascii="Palatino" w:hAnsi="Palatino"/>
          <w:sz w:val="26"/>
          <w:szCs w:val="26"/>
        </w:rPr>
        <w:t>s</w:t>
      </w:r>
      <w:r w:rsidRPr="00670BB8">
        <w:rPr>
          <w:rFonts w:ascii="Palatino" w:hAnsi="Palatino"/>
          <w:sz w:val="26"/>
          <w:szCs w:val="26"/>
        </w:rPr>
        <w:t xml:space="preserve"> w</w:t>
      </w:r>
      <w:r w:rsidRPr="00670BB8" w:rsidR="00D77A14">
        <w:rPr>
          <w:rFonts w:ascii="Palatino" w:hAnsi="Palatino"/>
          <w:sz w:val="26"/>
          <w:szCs w:val="26"/>
        </w:rPr>
        <w:t>ere</w:t>
      </w:r>
      <w:r w:rsidRPr="00670BB8">
        <w:rPr>
          <w:rFonts w:ascii="Palatino" w:hAnsi="Palatino"/>
          <w:sz w:val="26"/>
          <w:szCs w:val="26"/>
        </w:rPr>
        <w:t xml:space="preserve"> mailed and distributed in accordance with Sec</w:t>
      </w:r>
      <w:r w:rsidRPr="00670BB8" w:rsidR="00A1526C">
        <w:rPr>
          <w:rFonts w:ascii="Palatino" w:hAnsi="Palatino"/>
          <w:sz w:val="26"/>
          <w:szCs w:val="26"/>
        </w:rPr>
        <w:t xml:space="preserve">tion </w:t>
      </w:r>
      <w:r w:rsidRPr="00670BB8" w:rsidR="0069631C">
        <w:rPr>
          <w:rFonts w:ascii="Palatino" w:hAnsi="Palatino"/>
          <w:sz w:val="26"/>
          <w:szCs w:val="26"/>
        </w:rPr>
        <w:t>4</w:t>
      </w:r>
      <w:r w:rsidRPr="00670BB8" w:rsidR="00E928CF">
        <w:rPr>
          <w:rFonts w:ascii="Palatino" w:hAnsi="Palatino"/>
          <w:sz w:val="26"/>
          <w:szCs w:val="26"/>
        </w:rPr>
        <w:t xml:space="preserve"> of General Order 96-B</w:t>
      </w:r>
      <w:r w:rsidRPr="00670BB8">
        <w:rPr>
          <w:rFonts w:ascii="Palatino" w:hAnsi="Palatino"/>
          <w:sz w:val="26"/>
          <w:szCs w:val="26"/>
        </w:rPr>
        <w:t xml:space="preserve">. </w:t>
      </w:r>
    </w:p>
    <w:p w:rsidRPr="00670BB8" w:rsidR="00CF17DE" w:rsidRDefault="00CF17DE" w14:paraId="6E8F021A" w14:textId="77777777">
      <w:pPr>
        <w:rPr>
          <w:rFonts w:ascii="Palatino" w:hAnsi="Palatino"/>
          <w:sz w:val="26"/>
          <w:szCs w:val="26"/>
        </w:rPr>
      </w:pPr>
    </w:p>
    <w:p w:rsidRPr="00670BB8" w:rsidR="00CF17DE" w:rsidRDefault="00CF17DE" w14:paraId="7F509E4C" w14:textId="77777777">
      <w:pPr>
        <w:pStyle w:val="Heading1"/>
        <w:rPr>
          <w:sz w:val="26"/>
          <w:szCs w:val="26"/>
        </w:rPr>
      </w:pPr>
      <w:r w:rsidRPr="00670BB8">
        <w:rPr>
          <w:sz w:val="26"/>
          <w:szCs w:val="26"/>
        </w:rPr>
        <w:t>Protests</w:t>
      </w:r>
    </w:p>
    <w:p w:rsidRPr="00670BB8" w:rsidR="00D77A14" w:rsidP="00D77A14" w:rsidRDefault="00D77A14" w14:paraId="07506DE8" w14:textId="3EDAD7F3">
      <w:pPr>
        <w:rPr>
          <w:rFonts w:ascii="Palatino" w:hAnsi="Palatino"/>
          <w:sz w:val="26"/>
          <w:szCs w:val="26"/>
        </w:rPr>
      </w:pPr>
      <w:r w:rsidRPr="00670BB8">
        <w:rPr>
          <w:rFonts w:ascii="Palatino" w:hAnsi="Palatino"/>
          <w:sz w:val="26"/>
          <w:szCs w:val="26"/>
        </w:rPr>
        <w:t>On June 24, 2019, PG&amp;E’s AL 5553-E was timely protested by the California Solar &amp; Storage Association (CALSSA)</w:t>
      </w:r>
      <w:r w:rsidR="00FF7FD0">
        <w:rPr>
          <w:rFonts w:ascii="Palatino" w:hAnsi="Palatino"/>
          <w:sz w:val="26"/>
          <w:szCs w:val="26"/>
        </w:rPr>
        <w:t>,</w:t>
      </w:r>
      <w:r w:rsidRPr="00670BB8">
        <w:rPr>
          <w:rFonts w:ascii="Palatino" w:hAnsi="Palatino"/>
          <w:sz w:val="26"/>
          <w:szCs w:val="26"/>
        </w:rPr>
        <w:t xml:space="preserve"> SCE’s AL 4009-E was timely protested by CALSSA</w:t>
      </w:r>
      <w:r w:rsidR="00FF7FD0">
        <w:rPr>
          <w:rFonts w:ascii="Palatino" w:hAnsi="Palatino"/>
          <w:sz w:val="26"/>
          <w:szCs w:val="26"/>
        </w:rPr>
        <w:t>,</w:t>
      </w:r>
      <w:r w:rsidR="00DD4A01">
        <w:rPr>
          <w:rFonts w:ascii="Palatino" w:hAnsi="Palatino"/>
          <w:sz w:val="26"/>
          <w:szCs w:val="26"/>
        </w:rPr>
        <w:t xml:space="preserve"> and</w:t>
      </w:r>
      <w:r w:rsidRPr="00670BB8">
        <w:rPr>
          <w:rFonts w:ascii="Palatino" w:hAnsi="Palatino"/>
          <w:sz w:val="26"/>
          <w:szCs w:val="26"/>
        </w:rPr>
        <w:t xml:space="preserve"> SDG&amp;E’s AL 3381-E was timely protested by CALSSA and the Commission’s Public Advocates Office (</w:t>
      </w:r>
      <w:proofErr w:type="spellStart"/>
      <w:r w:rsidRPr="00670BB8">
        <w:rPr>
          <w:rFonts w:ascii="Palatino" w:hAnsi="Palatino"/>
          <w:sz w:val="26"/>
          <w:szCs w:val="26"/>
        </w:rPr>
        <w:t>CalPA</w:t>
      </w:r>
      <w:proofErr w:type="spellEnd"/>
      <w:r w:rsidRPr="00670BB8">
        <w:rPr>
          <w:rFonts w:ascii="Palatino" w:hAnsi="Palatino"/>
          <w:sz w:val="26"/>
          <w:szCs w:val="26"/>
        </w:rPr>
        <w:t>).</w:t>
      </w:r>
    </w:p>
    <w:p w:rsidRPr="00670BB8" w:rsidR="00CF17DE" w:rsidRDefault="00CF17DE" w14:paraId="536604AC" w14:textId="77777777">
      <w:pPr>
        <w:rPr>
          <w:rFonts w:ascii="Palatino" w:hAnsi="Palatino"/>
          <w:sz w:val="26"/>
          <w:szCs w:val="26"/>
        </w:rPr>
      </w:pPr>
    </w:p>
    <w:p w:rsidRPr="00670BB8" w:rsidR="00CF17DE" w:rsidRDefault="00D77A14" w14:paraId="7D3916F3" w14:textId="4A1E1FF7">
      <w:pPr>
        <w:rPr>
          <w:rFonts w:ascii="Palatino" w:hAnsi="Palatino"/>
          <w:sz w:val="26"/>
          <w:szCs w:val="26"/>
        </w:rPr>
      </w:pPr>
      <w:r w:rsidRPr="00670BB8">
        <w:rPr>
          <w:rFonts w:ascii="Palatino" w:hAnsi="Palatino"/>
          <w:sz w:val="26"/>
          <w:szCs w:val="26"/>
        </w:rPr>
        <w:t xml:space="preserve">On July 1, 2019, SDG&amp;E responded to the protests of AL 3381-E filed by CALSSA and </w:t>
      </w:r>
      <w:proofErr w:type="spellStart"/>
      <w:r w:rsidRPr="00670BB8">
        <w:rPr>
          <w:rFonts w:ascii="Palatino" w:hAnsi="Palatino"/>
          <w:sz w:val="26"/>
          <w:szCs w:val="26"/>
        </w:rPr>
        <w:t>CalPA</w:t>
      </w:r>
      <w:proofErr w:type="spellEnd"/>
      <w:r w:rsidRPr="00670BB8">
        <w:rPr>
          <w:rFonts w:ascii="Palatino" w:hAnsi="Palatino"/>
          <w:sz w:val="26"/>
          <w:szCs w:val="26"/>
        </w:rPr>
        <w:t xml:space="preserve">, PG&amp;E responded to CALSSA’s protest of AL 5553-E, and SCE responded to CALSSA’s protest of AL 4009-E. </w:t>
      </w:r>
    </w:p>
    <w:p w:rsidRPr="00670BB8" w:rsidR="00D77A14" w:rsidRDefault="00D77A14" w14:paraId="00BD3661" w14:textId="77777777">
      <w:pPr>
        <w:rPr>
          <w:rFonts w:ascii="Palatino" w:hAnsi="Palatino"/>
          <w:sz w:val="26"/>
          <w:szCs w:val="26"/>
        </w:rPr>
      </w:pPr>
    </w:p>
    <w:p w:rsidRPr="00670BB8" w:rsidR="00A125EE" w:rsidRDefault="00D77A14" w14:paraId="1DC0A3A6" w14:textId="71C91BC3">
      <w:pPr>
        <w:rPr>
          <w:rFonts w:ascii="Palatino" w:hAnsi="Palatino"/>
          <w:sz w:val="26"/>
          <w:szCs w:val="26"/>
        </w:rPr>
      </w:pPr>
      <w:r w:rsidRPr="00670BB8">
        <w:rPr>
          <w:rFonts w:ascii="Palatino" w:hAnsi="Palatino"/>
          <w:sz w:val="26"/>
          <w:szCs w:val="26"/>
        </w:rPr>
        <w:t>On</w:t>
      </w:r>
      <w:r w:rsidRPr="00670BB8" w:rsidR="00FD4FEB">
        <w:rPr>
          <w:rFonts w:ascii="Palatino" w:hAnsi="Palatino"/>
          <w:sz w:val="26"/>
          <w:szCs w:val="26"/>
        </w:rPr>
        <w:t xml:space="preserve"> July 25, 2019, </w:t>
      </w:r>
      <w:r w:rsidRPr="00670BB8" w:rsidR="00A125EE">
        <w:rPr>
          <w:rFonts w:ascii="Palatino" w:hAnsi="Palatino"/>
          <w:sz w:val="26"/>
          <w:szCs w:val="26"/>
        </w:rPr>
        <w:t>the Joint AL was timely protested by CALSSA.</w:t>
      </w:r>
    </w:p>
    <w:p w:rsidRPr="00670BB8" w:rsidR="00A125EE" w:rsidRDefault="00A125EE" w14:paraId="41A9993F" w14:textId="77777777">
      <w:pPr>
        <w:rPr>
          <w:rFonts w:ascii="Palatino" w:hAnsi="Palatino"/>
          <w:sz w:val="26"/>
          <w:szCs w:val="26"/>
        </w:rPr>
      </w:pPr>
    </w:p>
    <w:p w:rsidRPr="00670BB8" w:rsidR="00CF17DE" w:rsidRDefault="00A125EE" w14:paraId="30C5808A" w14:textId="079DA53A">
      <w:pPr>
        <w:rPr>
          <w:rFonts w:ascii="Palatino" w:hAnsi="Palatino"/>
          <w:sz w:val="26"/>
          <w:szCs w:val="26"/>
        </w:rPr>
      </w:pPr>
      <w:r w:rsidRPr="00670BB8">
        <w:rPr>
          <w:rFonts w:ascii="Palatino" w:hAnsi="Palatino"/>
          <w:sz w:val="26"/>
          <w:szCs w:val="26"/>
        </w:rPr>
        <w:t xml:space="preserve">On August 1, 2019, PG&amp;E and SDG&amp;E responded to CALSSA’s protest of the Joint AL. </w:t>
      </w:r>
    </w:p>
    <w:p w:rsidRPr="00670BB8" w:rsidR="008D0142" w:rsidRDefault="008D0142" w14:paraId="22AACEE4" w14:textId="0DCFBF06">
      <w:pPr>
        <w:rPr>
          <w:rFonts w:ascii="Palatino" w:hAnsi="Palatino"/>
          <w:sz w:val="26"/>
          <w:szCs w:val="26"/>
        </w:rPr>
      </w:pPr>
    </w:p>
    <w:p w:rsidRPr="00670BB8" w:rsidR="008D0142" w:rsidRDefault="008D0142" w14:paraId="75DFF383" w14:textId="2B15810E">
      <w:pPr>
        <w:rPr>
          <w:rFonts w:ascii="Palatino" w:hAnsi="Palatino"/>
          <w:sz w:val="26"/>
          <w:szCs w:val="26"/>
        </w:rPr>
      </w:pPr>
      <w:r w:rsidRPr="00670BB8">
        <w:rPr>
          <w:rFonts w:ascii="Palatino" w:hAnsi="Palatino"/>
          <w:sz w:val="26"/>
          <w:szCs w:val="26"/>
        </w:rPr>
        <w:t xml:space="preserve">We address parties’ protests and the </w:t>
      </w:r>
      <w:r w:rsidR="00CA2E53">
        <w:rPr>
          <w:rFonts w:ascii="Palatino" w:hAnsi="Palatino"/>
          <w:sz w:val="26"/>
          <w:szCs w:val="26"/>
        </w:rPr>
        <w:t>Utilities’</w:t>
      </w:r>
      <w:r w:rsidRPr="00670BB8">
        <w:rPr>
          <w:rFonts w:ascii="Palatino" w:hAnsi="Palatino"/>
          <w:sz w:val="26"/>
          <w:szCs w:val="26"/>
        </w:rPr>
        <w:t xml:space="preserve"> responses to party protests in the Discussion Section below.</w:t>
      </w:r>
    </w:p>
    <w:p w:rsidRPr="00670BB8" w:rsidR="008D0142" w:rsidRDefault="008D0142" w14:paraId="7C3C6E9B" w14:textId="77777777">
      <w:pPr>
        <w:rPr>
          <w:rFonts w:ascii="Palatino" w:hAnsi="Palatino"/>
          <w:sz w:val="26"/>
          <w:szCs w:val="26"/>
        </w:rPr>
      </w:pPr>
    </w:p>
    <w:p w:rsidRPr="00670BB8" w:rsidR="00CF17DE" w:rsidRDefault="00CF17DE" w14:paraId="23E10AE5" w14:textId="77777777">
      <w:pPr>
        <w:pStyle w:val="Heading1"/>
        <w:rPr>
          <w:sz w:val="26"/>
          <w:szCs w:val="26"/>
        </w:rPr>
      </w:pPr>
      <w:r w:rsidRPr="00670BB8">
        <w:rPr>
          <w:sz w:val="26"/>
          <w:szCs w:val="26"/>
        </w:rPr>
        <w:t>Discussion</w:t>
      </w:r>
    </w:p>
    <w:p w:rsidR="008D4C4A" w:rsidP="008D0142" w:rsidRDefault="008D4C4A" w14:paraId="315F37AB" w14:textId="4E4728EE">
      <w:pPr>
        <w:rPr>
          <w:rFonts w:ascii="Palatino" w:hAnsi="Palatino"/>
          <w:sz w:val="26"/>
          <w:szCs w:val="26"/>
        </w:rPr>
      </w:pPr>
      <w:r w:rsidRPr="00670BB8">
        <w:rPr>
          <w:rFonts w:ascii="Palatino" w:hAnsi="Palatino"/>
          <w:sz w:val="26"/>
          <w:szCs w:val="26"/>
        </w:rPr>
        <w:t xml:space="preserve">We treat the protested issues, by issue, in the section below. </w:t>
      </w:r>
      <w:r w:rsidRPr="00670BB8" w:rsidR="00046028">
        <w:rPr>
          <w:rFonts w:ascii="Palatino" w:hAnsi="Palatino"/>
          <w:sz w:val="26"/>
          <w:szCs w:val="26"/>
        </w:rPr>
        <w:t xml:space="preserve">First, however, we consider an issue of noncompliance with past Commission Decisions addressing Rule 21. </w:t>
      </w:r>
    </w:p>
    <w:p w:rsidRPr="00670BB8" w:rsidR="00C4227A" w:rsidP="008D0142" w:rsidRDefault="00C4227A" w14:paraId="1AFA0110" w14:textId="77777777">
      <w:pPr>
        <w:rPr>
          <w:rFonts w:ascii="Palatino" w:hAnsi="Palatino"/>
          <w:sz w:val="26"/>
          <w:szCs w:val="26"/>
        </w:rPr>
      </w:pPr>
    </w:p>
    <w:p w:rsidRPr="00670BB8" w:rsidR="00046028" w:rsidP="008D0142" w:rsidRDefault="00046028" w14:paraId="65E4D373" w14:textId="1690C636">
      <w:pPr>
        <w:rPr>
          <w:rFonts w:ascii="Palatino" w:hAnsi="Palatino"/>
          <w:sz w:val="26"/>
          <w:szCs w:val="26"/>
        </w:rPr>
      </w:pPr>
    </w:p>
    <w:p w:rsidRPr="00670BB8" w:rsidR="00046028" w:rsidP="00046028" w:rsidRDefault="00046028" w14:paraId="77B01712" w14:textId="1895C0B3">
      <w:pPr>
        <w:rPr>
          <w:rFonts w:ascii="Palatino" w:hAnsi="Palatino"/>
          <w:b/>
          <w:bCs/>
          <w:sz w:val="26"/>
          <w:szCs w:val="26"/>
        </w:rPr>
      </w:pPr>
      <w:r w:rsidRPr="00670BB8">
        <w:rPr>
          <w:rFonts w:ascii="Palatino" w:hAnsi="Palatino"/>
          <w:b/>
          <w:bCs/>
          <w:sz w:val="26"/>
          <w:szCs w:val="26"/>
        </w:rPr>
        <w:lastRenderedPageBreak/>
        <w:t xml:space="preserve">Issue 1: Consistency of Tariff Language across </w:t>
      </w:r>
      <w:r w:rsidRPr="00DC4CDC" w:rsidR="00CA2E53">
        <w:rPr>
          <w:rFonts w:ascii="Palatino" w:hAnsi="Palatino"/>
          <w:b/>
          <w:bCs/>
          <w:sz w:val="26"/>
          <w:szCs w:val="26"/>
        </w:rPr>
        <w:t>Utilities</w:t>
      </w:r>
    </w:p>
    <w:p w:rsidRPr="00670BB8" w:rsidR="00046028" w:rsidP="00046028" w:rsidRDefault="00046028" w14:paraId="39720E6B" w14:textId="77777777">
      <w:pPr>
        <w:rPr>
          <w:rFonts w:ascii="Palatino" w:hAnsi="Palatino"/>
          <w:sz w:val="26"/>
          <w:szCs w:val="26"/>
        </w:rPr>
      </w:pPr>
    </w:p>
    <w:p w:rsidRPr="00670BB8" w:rsidR="00787156" w:rsidP="00787156" w:rsidRDefault="00787156" w14:paraId="5A066FB2" w14:textId="77777777">
      <w:pPr>
        <w:rPr>
          <w:rFonts w:ascii="Palatino" w:hAnsi="Palatino"/>
          <w:sz w:val="26"/>
          <w:szCs w:val="26"/>
          <w:u w:val="single"/>
        </w:rPr>
      </w:pPr>
      <w:r w:rsidRPr="00670BB8">
        <w:rPr>
          <w:rFonts w:ascii="Palatino" w:hAnsi="Palatino"/>
          <w:sz w:val="26"/>
          <w:szCs w:val="26"/>
          <w:u w:val="single"/>
        </w:rPr>
        <w:t>Protests</w:t>
      </w:r>
      <w:r w:rsidRPr="00786047">
        <w:rPr>
          <w:rFonts w:ascii="Palatino" w:hAnsi="Palatino"/>
          <w:sz w:val="26"/>
          <w:szCs w:val="26"/>
          <w:u w:val="single"/>
        </w:rPr>
        <w:t xml:space="preserve"> </w:t>
      </w:r>
      <w:r>
        <w:rPr>
          <w:rFonts w:ascii="Palatino" w:hAnsi="Palatino"/>
          <w:sz w:val="26"/>
          <w:szCs w:val="26"/>
          <w:u w:val="single"/>
        </w:rPr>
        <w:t xml:space="preserve">and </w:t>
      </w:r>
      <w:r w:rsidRPr="00870AF0">
        <w:rPr>
          <w:rFonts w:ascii="Palatino" w:hAnsi="Palatino"/>
          <w:sz w:val="26"/>
          <w:szCs w:val="26"/>
          <w:u w:val="single"/>
        </w:rPr>
        <w:t xml:space="preserve">Utility </w:t>
      </w:r>
      <w:r w:rsidRPr="00670BB8">
        <w:rPr>
          <w:rFonts w:ascii="Palatino" w:hAnsi="Palatino"/>
          <w:sz w:val="26"/>
          <w:szCs w:val="26"/>
          <w:u w:val="single"/>
        </w:rPr>
        <w:t>Responses to Protests</w:t>
      </w:r>
    </w:p>
    <w:p w:rsidR="00787156" w:rsidP="00046028" w:rsidRDefault="00787156" w14:paraId="584E9712" w14:textId="14D7F778">
      <w:pPr>
        <w:rPr>
          <w:rFonts w:ascii="Palatino" w:hAnsi="Palatino"/>
          <w:sz w:val="26"/>
          <w:szCs w:val="26"/>
        </w:rPr>
      </w:pPr>
      <w:r>
        <w:rPr>
          <w:rFonts w:ascii="Palatino" w:hAnsi="Palatino"/>
          <w:sz w:val="26"/>
          <w:szCs w:val="26"/>
        </w:rPr>
        <w:t>Th</w:t>
      </w:r>
      <w:r w:rsidR="00793BF3">
        <w:rPr>
          <w:rFonts w:ascii="Palatino" w:hAnsi="Palatino"/>
          <w:sz w:val="26"/>
          <w:szCs w:val="26"/>
        </w:rPr>
        <w:t xml:space="preserve">e consistency of tariff language across the Utilities was neither raised in party protests nor addressed in Utility responses to protests. </w:t>
      </w:r>
    </w:p>
    <w:p w:rsidR="0028656E" w:rsidP="00046028" w:rsidRDefault="0028656E" w14:paraId="6A3DB35C" w14:textId="77777777">
      <w:pPr>
        <w:rPr>
          <w:rFonts w:ascii="Palatino" w:hAnsi="Palatino"/>
          <w:sz w:val="26"/>
          <w:szCs w:val="26"/>
        </w:rPr>
      </w:pPr>
    </w:p>
    <w:p w:rsidRPr="00670BB8" w:rsidR="0028656E" w:rsidP="0028656E" w:rsidRDefault="0028656E" w14:paraId="74C1AEE9" w14:textId="77777777">
      <w:pPr>
        <w:rPr>
          <w:rFonts w:ascii="Palatino" w:hAnsi="Palatino"/>
          <w:sz w:val="26"/>
          <w:szCs w:val="26"/>
          <w:u w:val="single"/>
        </w:rPr>
      </w:pPr>
      <w:r w:rsidRPr="00670BB8">
        <w:rPr>
          <w:rFonts w:ascii="Palatino" w:hAnsi="Palatino"/>
          <w:sz w:val="26"/>
          <w:szCs w:val="26"/>
          <w:u w:val="single"/>
        </w:rPr>
        <w:t>Supplemental Advice Letters</w:t>
      </w:r>
    </w:p>
    <w:p w:rsidR="0028656E" w:rsidP="00046028" w:rsidRDefault="0028656E" w14:paraId="7001164E" w14:textId="6C5DDADB">
      <w:pPr>
        <w:rPr>
          <w:rFonts w:ascii="Palatino" w:hAnsi="Palatino"/>
          <w:sz w:val="26"/>
          <w:szCs w:val="26"/>
        </w:rPr>
      </w:pPr>
      <w:r>
        <w:rPr>
          <w:rFonts w:ascii="Palatino" w:hAnsi="Palatino"/>
          <w:sz w:val="26"/>
          <w:szCs w:val="26"/>
        </w:rPr>
        <w:t xml:space="preserve">The consistency of tariff language across the Utilities was not addressed by either </w:t>
      </w:r>
      <w:r w:rsidRPr="00670BB8" w:rsidR="00CA1D0C">
        <w:rPr>
          <w:rFonts w:ascii="Palatino" w:hAnsi="Palatino"/>
          <w:sz w:val="26"/>
          <w:szCs w:val="26"/>
        </w:rPr>
        <w:t>SCE AL 4009-E-A</w:t>
      </w:r>
      <w:r w:rsidR="00CA1D0C">
        <w:rPr>
          <w:rFonts w:ascii="Palatino" w:hAnsi="Palatino"/>
          <w:sz w:val="26"/>
          <w:szCs w:val="26"/>
        </w:rPr>
        <w:t xml:space="preserve"> or </w:t>
      </w:r>
      <w:r w:rsidRPr="00670BB8" w:rsidR="00CA1D0C">
        <w:rPr>
          <w:rFonts w:ascii="Palatino" w:hAnsi="Palatino"/>
          <w:sz w:val="26"/>
          <w:szCs w:val="26"/>
        </w:rPr>
        <w:t>SDG&amp;E AL 3381-E-A</w:t>
      </w:r>
      <w:r w:rsidR="008C4EA6">
        <w:rPr>
          <w:rFonts w:ascii="Palatino" w:hAnsi="Palatino"/>
          <w:sz w:val="26"/>
          <w:szCs w:val="26"/>
        </w:rPr>
        <w:t>.</w:t>
      </w:r>
    </w:p>
    <w:p w:rsidRPr="00670BB8" w:rsidR="00793BF3" w:rsidP="00046028" w:rsidRDefault="00793BF3" w14:paraId="3FB8B350" w14:textId="77777777">
      <w:pPr>
        <w:rPr>
          <w:rFonts w:ascii="Palatino" w:hAnsi="Palatino"/>
          <w:sz w:val="26"/>
          <w:szCs w:val="26"/>
        </w:rPr>
      </w:pPr>
    </w:p>
    <w:p w:rsidRPr="00670BB8" w:rsidR="00046028" w:rsidP="00046028" w:rsidRDefault="00046028" w14:paraId="679FE287" w14:textId="77777777">
      <w:pPr>
        <w:rPr>
          <w:rFonts w:ascii="Palatino" w:hAnsi="Palatino"/>
          <w:sz w:val="26"/>
          <w:szCs w:val="26"/>
          <w:u w:val="single"/>
        </w:rPr>
      </w:pPr>
      <w:r w:rsidRPr="00670BB8">
        <w:rPr>
          <w:rFonts w:ascii="Palatino" w:hAnsi="Palatino"/>
          <w:sz w:val="26"/>
          <w:szCs w:val="26"/>
          <w:u w:val="single"/>
        </w:rPr>
        <w:t>Discussion</w:t>
      </w:r>
    </w:p>
    <w:p w:rsidRPr="00670BB8" w:rsidR="00046028" w:rsidP="00046028" w:rsidRDefault="00046028" w14:paraId="7BC25611" w14:textId="34086D7A">
      <w:pPr>
        <w:rPr>
          <w:rFonts w:ascii="Palatino" w:hAnsi="Palatino"/>
          <w:sz w:val="26"/>
          <w:szCs w:val="26"/>
        </w:rPr>
      </w:pPr>
      <w:r w:rsidRPr="00670BB8">
        <w:rPr>
          <w:rFonts w:ascii="Palatino" w:hAnsi="Palatino"/>
          <w:sz w:val="26"/>
          <w:szCs w:val="26"/>
        </w:rPr>
        <w:t>In reviewing ALs 4009-E, 3381-E, and 5553-E and the subsequent protests, Energy Division staff noted significant discrepancies between the proposed tariff changes filed by each PG&amp;E, SCE, and SDG&amp;E.</w:t>
      </w:r>
    </w:p>
    <w:p w:rsidRPr="00670BB8" w:rsidR="00046028" w:rsidP="00046028" w:rsidRDefault="00046028" w14:paraId="696CC222" w14:textId="77777777">
      <w:pPr>
        <w:rPr>
          <w:rFonts w:ascii="Palatino" w:hAnsi="Palatino"/>
          <w:sz w:val="26"/>
          <w:szCs w:val="26"/>
        </w:rPr>
      </w:pPr>
    </w:p>
    <w:p w:rsidRPr="00670BB8" w:rsidR="00E25D36" w:rsidP="00046028" w:rsidRDefault="00046028" w14:paraId="39D98980" w14:textId="1B0AADEB">
      <w:pPr>
        <w:rPr>
          <w:rFonts w:ascii="Palatino" w:hAnsi="Palatino"/>
          <w:color w:val="000000"/>
          <w:sz w:val="26"/>
          <w:szCs w:val="26"/>
        </w:rPr>
      </w:pPr>
      <w:r w:rsidRPr="00670BB8">
        <w:rPr>
          <w:rFonts w:ascii="Palatino" w:hAnsi="Palatino"/>
          <w:sz w:val="26"/>
          <w:szCs w:val="26"/>
        </w:rPr>
        <w:t>As established in D.</w:t>
      </w:r>
      <w:r w:rsidRPr="00670BB8">
        <w:rPr>
          <w:rFonts w:ascii="Palatino" w:hAnsi="Palatino"/>
          <w:color w:val="000000"/>
          <w:sz w:val="26"/>
          <w:szCs w:val="26"/>
        </w:rPr>
        <w:t>00-12-037 and reasserted in D.12-09-018 and D.14-04-003</w:t>
      </w:r>
      <w:r w:rsidR="005F534D">
        <w:rPr>
          <w:rFonts w:ascii="Palatino" w:hAnsi="Palatino"/>
          <w:color w:val="000000"/>
          <w:sz w:val="26"/>
          <w:szCs w:val="26"/>
        </w:rPr>
        <w:t>,</w:t>
      </w:r>
      <w:r w:rsidRPr="00670BB8">
        <w:rPr>
          <w:rStyle w:val="FootnoteReference"/>
          <w:rFonts w:ascii="Palatino" w:hAnsi="Palatino"/>
          <w:color w:val="000000"/>
          <w:sz w:val="26"/>
          <w:szCs w:val="26"/>
        </w:rPr>
        <w:footnoteReference w:id="6"/>
      </w:r>
      <w:r w:rsidRPr="00670BB8">
        <w:rPr>
          <w:rFonts w:ascii="Palatino" w:hAnsi="Palatino"/>
          <w:color w:val="000000"/>
          <w:sz w:val="26"/>
          <w:szCs w:val="26"/>
        </w:rPr>
        <w:t xml:space="preserve"> it is the policy of the </w:t>
      </w:r>
      <w:r w:rsidR="00744C65">
        <w:rPr>
          <w:rFonts w:ascii="Palatino" w:hAnsi="Palatino"/>
          <w:color w:val="000000"/>
          <w:sz w:val="26"/>
          <w:szCs w:val="26"/>
        </w:rPr>
        <w:t>CPUC</w:t>
      </w:r>
      <w:r w:rsidRPr="00670BB8" w:rsidR="00744C65">
        <w:rPr>
          <w:rFonts w:ascii="Palatino" w:hAnsi="Palatino"/>
          <w:color w:val="000000"/>
          <w:sz w:val="26"/>
          <w:szCs w:val="26"/>
        </w:rPr>
        <w:t xml:space="preserve"> </w:t>
      </w:r>
      <w:r w:rsidRPr="00670BB8">
        <w:rPr>
          <w:rFonts w:ascii="Palatino" w:hAnsi="Palatino"/>
          <w:color w:val="000000"/>
          <w:sz w:val="26"/>
          <w:szCs w:val="26"/>
        </w:rPr>
        <w:t xml:space="preserve">that, to the extent that it is practicable, the </w:t>
      </w:r>
      <w:r w:rsidR="00CA2E53">
        <w:rPr>
          <w:rFonts w:ascii="Palatino" w:hAnsi="Palatino"/>
          <w:sz w:val="26"/>
          <w:szCs w:val="26"/>
        </w:rPr>
        <w:t>Utilities</w:t>
      </w:r>
      <w:r w:rsidRPr="00670BB8">
        <w:rPr>
          <w:rFonts w:ascii="Palatino" w:hAnsi="Palatino"/>
          <w:sz w:val="26"/>
          <w:szCs w:val="26"/>
        </w:rPr>
        <w:t xml:space="preserve"> </w:t>
      </w:r>
      <w:r w:rsidRPr="00670BB8">
        <w:rPr>
          <w:rFonts w:ascii="Palatino" w:hAnsi="Palatino"/>
          <w:color w:val="000000"/>
          <w:sz w:val="26"/>
          <w:szCs w:val="26"/>
        </w:rPr>
        <w:t xml:space="preserve">should maintain consistent tariffs in order to promote transparency and efficiency. We reassert that policy here. Except </w:t>
      </w:r>
      <w:r w:rsidRPr="00670BB8" w:rsidR="005D094C">
        <w:rPr>
          <w:rFonts w:ascii="Palatino" w:hAnsi="Palatino"/>
          <w:color w:val="000000"/>
          <w:sz w:val="26"/>
          <w:szCs w:val="26"/>
        </w:rPr>
        <w:t>as</w:t>
      </w:r>
      <w:r w:rsidRPr="00670BB8">
        <w:rPr>
          <w:rFonts w:ascii="Palatino" w:hAnsi="Palatino"/>
          <w:color w:val="000000"/>
          <w:sz w:val="26"/>
          <w:szCs w:val="26"/>
        </w:rPr>
        <w:t xml:space="preserve"> </w:t>
      </w:r>
      <w:r w:rsidRPr="00670BB8" w:rsidR="005D094C">
        <w:rPr>
          <w:rFonts w:ascii="Palatino" w:hAnsi="Palatino"/>
          <w:color w:val="000000"/>
          <w:sz w:val="26"/>
          <w:szCs w:val="26"/>
        </w:rPr>
        <w:t>necessitated</w:t>
      </w:r>
      <w:r w:rsidRPr="00670BB8">
        <w:rPr>
          <w:rFonts w:ascii="Palatino" w:hAnsi="Palatino"/>
          <w:color w:val="000000"/>
          <w:sz w:val="26"/>
          <w:szCs w:val="26"/>
        </w:rPr>
        <w:t xml:space="preserve"> by the differences between utility electric systems or operating protocols, the </w:t>
      </w:r>
      <w:r w:rsidR="00CA2E53">
        <w:rPr>
          <w:rFonts w:ascii="Palatino" w:hAnsi="Palatino"/>
          <w:sz w:val="26"/>
          <w:szCs w:val="26"/>
        </w:rPr>
        <w:t>Utilities</w:t>
      </w:r>
      <w:r w:rsidRPr="00670BB8">
        <w:rPr>
          <w:rFonts w:ascii="Palatino" w:hAnsi="Palatino"/>
          <w:sz w:val="26"/>
          <w:szCs w:val="26"/>
        </w:rPr>
        <w:t xml:space="preserve"> </w:t>
      </w:r>
      <w:r w:rsidRPr="00670BB8">
        <w:rPr>
          <w:rFonts w:ascii="Palatino" w:hAnsi="Palatino"/>
          <w:color w:val="000000"/>
          <w:sz w:val="26"/>
          <w:szCs w:val="26"/>
        </w:rPr>
        <w:t xml:space="preserve">should maintain standardized Rule 21 language. </w:t>
      </w:r>
    </w:p>
    <w:p w:rsidRPr="00670BB8" w:rsidR="00E25D36" w:rsidP="00046028" w:rsidRDefault="00E25D36" w14:paraId="74D58927" w14:textId="77777777">
      <w:pPr>
        <w:rPr>
          <w:rFonts w:ascii="Palatino" w:hAnsi="Palatino"/>
          <w:color w:val="000000"/>
          <w:sz w:val="26"/>
          <w:szCs w:val="26"/>
        </w:rPr>
      </w:pPr>
    </w:p>
    <w:p w:rsidRPr="00670BB8" w:rsidR="00046028" w:rsidP="00046028" w:rsidRDefault="009D531E" w14:paraId="0C608B37" w14:textId="7B51E635">
      <w:pPr>
        <w:rPr>
          <w:rFonts w:ascii="Palatino" w:hAnsi="Palatino"/>
          <w:sz w:val="26"/>
          <w:szCs w:val="26"/>
        </w:rPr>
      </w:pPr>
      <w:r>
        <w:rPr>
          <w:rFonts w:ascii="Palatino" w:hAnsi="Palatino"/>
          <w:color w:val="000000"/>
          <w:sz w:val="26"/>
          <w:szCs w:val="26"/>
        </w:rPr>
        <w:t>We</w:t>
      </w:r>
      <w:r w:rsidRPr="00670BB8" w:rsidR="00046028">
        <w:rPr>
          <w:rFonts w:ascii="Palatino" w:hAnsi="Palatino"/>
          <w:color w:val="000000"/>
          <w:sz w:val="26"/>
          <w:szCs w:val="26"/>
        </w:rPr>
        <w:t xml:space="preserve"> find that the standardization of </w:t>
      </w:r>
      <w:r w:rsidRPr="00670BB8" w:rsidR="00EB793B">
        <w:rPr>
          <w:rFonts w:ascii="Palatino" w:hAnsi="Palatino"/>
          <w:color w:val="000000"/>
          <w:sz w:val="26"/>
          <w:szCs w:val="26"/>
        </w:rPr>
        <w:t xml:space="preserve">specific </w:t>
      </w:r>
      <w:r w:rsidRPr="00670BB8" w:rsidR="00046028">
        <w:rPr>
          <w:rFonts w:ascii="Palatino" w:hAnsi="Palatino"/>
          <w:color w:val="000000"/>
          <w:sz w:val="26"/>
          <w:szCs w:val="26"/>
        </w:rPr>
        <w:t xml:space="preserve">language implementing </w:t>
      </w:r>
      <w:r w:rsidRPr="00670BB8" w:rsidR="00B13E61">
        <w:rPr>
          <w:rFonts w:ascii="Palatino" w:hAnsi="Palatino"/>
          <w:color w:val="000000"/>
          <w:sz w:val="26"/>
          <w:szCs w:val="26"/>
        </w:rPr>
        <w:t xml:space="preserve">proposals adopted by </w:t>
      </w:r>
      <w:r w:rsidRPr="00670BB8" w:rsidR="00AD2815">
        <w:rPr>
          <w:rFonts w:ascii="Palatino" w:hAnsi="Palatino"/>
          <w:color w:val="000000"/>
          <w:sz w:val="26"/>
          <w:szCs w:val="26"/>
        </w:rPr>
        <w:t xml:space="preserve">D.19-03-013 </w:t>
      </w:r>
      <w:r w:rsidRPr="00670BB8" w:rsidR="00046028">
        <w:rPr>
          <w:rFonts w:ascii="Palatino" w:hAnsi="Palatino"/>
          <w:color w:val="000000"/>
          <w:sz w:val="26"/>
          <w:szCs w:val="26"/>
        </w:rPr>
        <w:t xml:space="preserve">will promote regulatory simplicity. </w:t>
      </w:r>
      <w:r w:rsidRPr="00670BB8" w:rsidR="00F82E47">
        <w:rPr>
          <w:rFonts w:ascii="Palatino" w:hAnsi="Palatino"/>
          <w:color w:val="000000"/>
          <w:sz w:val="26"/>
          <w:szCs w:val="26"/>
        </w:rPr>
        <w:t xml:space="preserve">Where such issue-by-issue adjustments are necessary, we have specifically </w:t>
      </w:r>
      <w:r w:rsidR="00372182">
        <w:rPr>
          <w:rFonts w:ascii="Palatino" w:hAnsi="Palatino"/>
          <w:color w:val="000000"/>
          <w:sz w:val="26"/>
          <w:szCs w:val="26"/>
        </w:rPr>
        <w:t xml:space="preserve">addressed them </w:t>
      </w:r>
      <w:r w:rsidRPr="00670BB8" w:rsidR="00F82E47">
        <w:rPr>
          <w:rFonts w:ascii="Palatino" w:hAnsi="Palatino"/>
          <w:color w:val="000000"/>
          <w:sz w:val="26"/>
          <w:szCs w:val="26"/>
        </w:rPr>
        <w:t xml:space="preserve">in the discussion sections below. </w:t>
      </w:r>
    </w:p>
    <w:p w:rsidRPr="00670BB8" w:rsidR="00046028" w:rsidP="00046028" w:rsidRDefault="00046028" w14:paraId="40D7EB15" w14:textId="4397223C">
      <w:pPr>
        <w:rPr>
          <w:rFonts w:ascii="Palatino" w:hAnsi="Palatino"/>
          <w:sz w:val="26"/>
          <w:szCs w:val="26"/>
        </w:rPr>
      </w:pPr>
      <w:r w:rsidRPr="00670BB8">
        <w:rPr>
          <w:rFonts w:ascii="Palatino" w:hAnsi="Palatino"/>
          <w:sz w:val="26"/>
          <w:szCs w:val="26"/>
        </w:rPr>
        <w:t xml:space="preserve"> </w:t>
      </w:r>
    </w:p>
    <w:p w:rsidRPr="00670BB8" w:rsidR="00046028" w:rsidP="00046028" w:rsidRDefault="00046028" w14:paraId="36625494" w14:textId="77777777">
      <w:pPr>
        <w:rPr>
          <w:rFonts w:ascii="Palatino" w:hAnsi="Palatino"/>
          <w:sz w:val="26"/>
          <w:szCs w:val="26"/>
          <w:u w:val="single"/>
        </w:rPr>
      </w:pPr>
      <w:r w:rsidRPr="00670BB8">
        <w:rPr>
          <w:rFonts w:ascii="Palatino" w:hAnsi="Palatino"/>
          <w:sz w:val="26"/>
          <w:szCs w:val="26"/>
          <w:u w:val="single"/>
        </w:rPr>
        <w:t>Conclusion</w:t>
      </w:r>
    </w:p>
    <w:p w:rsidRPr="00C4227A" w:rsidR="008D4C4A" w:rsidP="008D0142" w:rsidRDefault="00A00B3F" w14:paraId="4348B807" w14:textId="04078B0C">
      <w:pPr>
        <w:rPr>
          <w:rFonts w:ascii="Palatino" w:hAnsi="Palatino"/>
          <w:color w:val="000000"/>
          <w:sz w:val="26"/>
          <w:szCs w:val="26"/>
        </w:rPr>
      </w:pPr>
      <w:r>
        <w:rPr>
          <w:rFonts w:ascii="Palatino" w:hAnsi="Palatino"/>
          <w:sz w:val="26"/>
          <w:szCs w:val="26"/>
        </w:rPr>
        <w:t>This Resolution finds that</w:t>
      </w:r>
      <w:r w:rsidR="00A95709">
        <w:rPr>
          <w:rFonts w:ascii="Palatino" w:hAnsi="Palatino"/>
          <w:sz w:val="26"/>
          <w:szCs w:val="26"/>
        </w:rPr>
        <w:t xml:space="preserve"> </w:t>
      </w:r>
      <w:r w:rsidRPr="00670BB8" w:rsidR="00A95709">
        <w:rPr>
          <w:rFonts w:ascii="Palatino" w:hAnsi="Palatino"/>
          <w:color w:val="000000"/>
          <w:sz w:val="26"/>
          <w:szCs w:val="26"/>
        </w:rPr>
        <w:t>consistent tariff</w:t>
      </w:r>
      <w:r w:rsidR="00A95709">
        <w:rPr>
          <w:rFonts w:ascii="Palatino" w:hAnsi="Palatino"/>
          <w:color w:val="000000"/>
          <w:sz w:val="26"/>
          <w:szCs w:val="26"/>
        </w:rPr>
        <w:t xml:space="preserve"> language</w:t>
      </w:r>
      <w:r w:rsidRPr="00670BB8" w:rsidR="00A95709">
        <w:rPr>
          <w:rFonts w:ascii="Palatino" w:hAnsi="Palatino"/>
          <w:color w:val="000000"/>
          <w:sz w:val="26"/>
          <w:szCs w:val="26"/>
        </w:rPr>
        <w:t xml:space="preserve"> promote</w:t>
      </w:r>
      <w:r w:rsidR="00A95709">
        <w:rPr>
          <w:rFonts w:ascii="Palatino" w:hAnsi="Palatino"/>
          <w:color w:val="000000"/>
          <w:sz w:val="26"/>
          <w:szCs w:val="26"/>
        </w:rPr>
        <w:t>s</w:t>
      </w:r>
      <w:r w:rsidRPr="00670BB8" w:rsidR="00A95709">
        <w:rPr>
          <w:rFonts w:ascii="Palatino" w:hAnsi="Palatino"/>
          <w:color w:val="000000"/>
          <w:sz w:val="26"/>
          <w:szCs w:val="26"/>
        </w:rPr>
        <w:t xml:space="preserve"> transparency and efficiency</w:t>
      </w:r>
      <w:r w:rsidR="00A95709">
        <w:rPr>
          <w:rFonts w:ascii="Palatino" w:hAnsi="Palatino"/>
          <w:color w:val="000000"/>
          <w:sz w:val="26"/>
          <w:szCs w:val="26"/>
        </w:rPr>
        <w:t>. This Resolution orders the</w:t>
      </w:r>
      <w:r w:rsidRPr="00670BB8" w:rsidR="00A95709">
        <w:rPr>
          <w:rFonts w:ascii="Palatino" w:hAnsi="Palatino"/>
          <w:sz w:val="26"/>
          <w:szCs w:val="26"/>
        </w:rPr>
        <w:t xml:space="preserve"> </w:t>
      </w:r>
      <w:r w:rsidR="00870AF0">
        <w:rPr>
          <w:rFonts w:ascii="Palatino" w:hAnsi="Palatino"/>
          <w:sz w:val="26"/>
          <w:szCs w:val="26"/>
        </w:rPr>
        <w:t>Utilities</w:t>
      </w:r>
      <w:r w:rsidRPr="00670BB8" w:rsidR="00870AF0">
        <w:rPr>
          <w:rFonts w:ascii="Palatino" w:hAnsi="Palatino"/>
          <w:sz w:val="26"/>
          <w:szCs w:val="26"/>
        </w:rPr>
        <w:t xml:space="preserve"> </w:t>
      </w:r>
      <w:r w:rsidR="00A95709">
        <w:rPr>
          <w:rFonts w:ascii="Palatino" w:hAnsi="Palatino"/>
          <w:color w:val="000000"/>
          <w:sz w:val="26"/>
          <w:szCs w:val="26"/>
        </w:rPr>
        <w:t>to</w:t>
      </w:r>
      <w:r w:rsidRPr="00670BB8" w:rsidR="0054279C">
        <w:rPr>
          <w:rFonts w:ascii="Palatino" w:hAnsi="Palatino"/>
          <w:color w:val="000000"/>
          <w:sz w:val="26"/>
          <w:szCs w:val="26"/>
        </w:rPr>
        <w:t xml:space="preserve"> maintain standardized Rule 21 language, except as necessitated by the differences between </w:t>
      </w:r>
      <w:r w:rsidRPr="00670BB8" w:rsidR="00305A76">
        <w:rPr>
          <w:rFonts w:ascii="Palatino" w:hAnsi="Palatino"/>
          <w:color w:val="000000"/>
          <w:sz w:val="26"/>
          <w:szCs w:val="26"/>
        </w:rPr>
        <w:t>their</w:t>
      </w:r>
      <w:r w:rsidRPr="00670BB8" w:rsidR="0054279C">
        <w:rPr>
          <w:rFonts w:ascii="Palatino" w:hAnsi="Palatino"/>
          <w:color w:val="000000"/>
          <w:sz w:val="26"/>
          <w:szCs w:val="26"/>
        </w:rPr>
        <w:t xml:space="preserve"> electric systems or operating protocols.</w:t>
      </w:r>
    </w:p>
    <w:p w:rsidRPr="00670BB8" w:rsidR="008D0142" w:rsidP="008D0142" w:rsidRDefault="008D4C4A" w14:paraId="13BCDCAF" w14:textId="05217169">
      <w:pPr>
        <w:rPr>
          <w:rFonts w:ascii="Palatino" w:hAnsi="Palatino"/>
          <w:b/>
          <w:bCs/>
          <w:sz w:val="26"/>
          <w:szCs w:val="26"/>
        </w:rPr>
      </w:pPr>
      <w:r w:rsidRPr="00670BB8">
        <w:rPr>
          <w:rFonts w:ascii="Palatino" w:hAnsi="Palatino"/>
          <w:b/>
          <w:bCs/>
          <w:sz w:val="26"/>
          <w:szCs w:val="26"/>
        </w:rPr>
        <w:lastRenderedPageBreak/>
        <w:t xml:space="preserve">Issue </w:t>
      </w:r>
      <w:r w:rsidRPr="00670BB8" w:rsidR="00046028">
        <w:rPr>
          <w:rFonts w:ascii="Palatino" w:hAnsi="Palatino"/>
          <w:b/>
          <w:bCs/>
          <w:sz w:val="26"/>
          <w:szCs w:val="26"/>
        </w:rPr>
        <w:t>2</w:t>
      </w:r>
      <w:r w:rsidRPr="00670BB8">
        <w:rPr>
          <w:rFonts w:ascii="Palatino" w:hAnsi="Palatino"/>
          <w:b/>
          <w:bCs/>
          <w:sz w:val="26"/>
          <w:szCs w:val="26"/>
        </w:rPr>
        <w:t xml:space="preserve">: </w:t>
      </w:r>
      <w:r w:rsidRPr="00670BB8" w:rsidR="000C099F">
        <w:rPr>
          <w:rFonts w:ascii="Palatino" w:hAnsi="Palatino"/>
          <w:b/>
          <w:bCs/>
          <w:sz w:val="26"/>
          <w:szCs w:val="26"/>
        </w:rPr>
        <w:t xml:space="preserve">Allowance </w:t>
      </w:r>
      <w:r w:rsidRPr="00670BB8" w:rsidR="004E5189">
        <w:rPr>
          <w:rFonts w:ascii="Palatino" w:hAnsi="Palatino"/>
          <w:b/>
          <w:bCs/>
          <w:sz w:val="26"/>
          <w:szCs w:val="26"/>
        </w:rPr>
        <w:t xml:space="preserve">of </w:t>
      </w:r>
      <w:r w:rsidRPr="00670BB8">
        <w:rPr>
          <w:rFonts w:ascii="Palatino" w:hAnsi="Palatino"/>
          <w:b/>
          <w:bCs/>
          <w:sz w:val="26"/>
          <w:szCs w:val="26"/>
        </w:rPr>
        <w:t>Modifications to Fast Track Interconnection Applications Beyond Those Specifically Listed</w:t>
      </w:r>
    </w:p>
    <w:p w:rsidRPr="00670BB8" w:rsidR="008D4C4A" w:rsidP="008D0142" w:rsidRDefault="008D4C4A" w14:paraId="0D2FEB4E" w14:textId="0262BA6C">
      <w:pPr>
        <w:rPr>
          <w:rFonts w:ascii="Palatino" w:hAnsi="Palatino"/>
          <w:b/>
          <w:bCs/>
          <w:sz w:val="26"/>
          <w:szCs w:val="26"/>
          <w:u w:val="single"/>
        </w:rPr>
      </w:pPr>
    </w:p>
    <w:p w:rsidRPr="00670BB8" w:rsidR="008D4C4A" w:rsidP="008D0142" w:rsidRDefault="008D4C4A" w14:paraId="209685B9" w14:textId="1E1F0525">
      <w:pPr>
        <w:rPr>
          <w:rFonts w:ascii="Palatino" w:hAnsi="Palatino"/>
          <w:sz w:val="26"/>
          <w:szCs w:val="26"/>
          <w:u w:val="single"/>
        </w:rPr>
      </w:pPr>
      <w:r w:rsidRPr="00670BB8">
        <w:rPr>
          <w:rFonts w:ascii="Palatino" w:hAnsi="Palatino"/>
          <w:sz w:val="26"/>
          <w:szCs w:val="26"/>
          <w:u w:val="single"/>
        </w:rPr>
        <w:t>Protests</w:t>
      </w:r>
      <w:r w:rsidRPr="00786047" w:rsidR="00786047">
        <w:rPr>
          <w:rFonts w:ascii="Palatino" w:hAnsi="Palatino"/>
          <w:sz w:val="26"/>
          <w:szCs w:val="26"/>
          <w:u w:val="single"/>
        </w:rPr>
        <w:t xml:space="preserve"> </w:t>
      </w:r>
      <w:r w:rsidR="00DC4CDC">
        <w:rPr>
          <w:rFonts w:ascii="Palatino" w:hAnsi="Palatino"/>
          <w:sz w:val="26"/>
          <w:szCs w:val="26"/>
          <w:u w:val="single"/>
        </w:rPr>
        <w:t xml:space="preserve">and </w:t>
      </w:r>
      <w:r w:rsidRPr="00870AF0" w:rsidR="00870AF0">
        <w:rPr>
          <w:rFonts w:ascii="Palatino" w:hAnsi="Palatino"/>
          <w:sz w:val="26"/>
          <w:szCs w:val="26"/>
          <w:u w:val="single"/>
        </w:rPr>
        <w:t>Utility</w:t>
      </w:r>
      <w:r w:rsidRPr="00670BB8" w:rsidR="00786047">
        <w:rPr>
          <w:rFonts w:ascii="Palatino" w:hAnsi="Palatino"/>
          <w:sz w:val="26"/>
          <w:szCs w:val="26"/>
          <w:u w:val="single"/>
        </w:rPr>
        <w:t xml:space="preserve"> Responses to Protests</w:t>
      </w:r>
    </w:p>
    <w:p w:rsidRPr="00670BB8" w:rsidR="008D0142" w:rsidP="008D0142" w:rsidRDefault="008D0142" w14:paraId="4F6AD0A8" w14:textId="7E4888BE">
      <w:pPr>
        <w:rPr>
          <w:rFonts w:ascii="Palatino" w:hAnsi="Palatino"/>
          <w:sz w:val="26"/>
          <w:szCs w:val="26"/>
        </w:rPr>
      </w:pPr>
      <w:r w:rsidRPr="00670BB8">
        <w:rPr>
          <w:rFonts w:ascii="Palatino" w:hAnsi="Palatino"/>
          <w:sz w:val="26"/>
          <w:szCs w:val="26"/>
        </w:rPr>
        <w:t>CALSSA objects to language proposed by both SCE AL 4009-E and SDG&amp;E AL 3381-E. Both of these ALs propose changes to Rule 21 to allow for specific types of modifications to interconnection applications under Fast Track and to state that modifications not specifically listed are not allowed. CALSSA argues that, consistent with the language of D.19-03-013, the language should be modified to allow additional changes at the discretion of the utility.</w:t>
      </w:r>
    </w:p>
    <w:p w:rsidRPr="00670BB8" w:rsidR="0084559E" w:rsidP="008D0142" w:rsidRDefault="0084559E" w14:paraId="7E4C84EF" w14:textId="5894C015">
      <w:pPr>
        <w:rPr>
          <w:rFonts w:ascii="Palatino" w:hAnsi="Palatino"/>
          <w:sz w:val="26"/>
          <w:szCs w:val="26"/>
        </w:rPr>
      </w:pPr>
    </w:p>
    <w:p w:rsidRPr="00670BB8" w:rsidR="004F4DF3" w:rsidP="004F4DF3" w:rsidRDefault="0084559E" w14:paraId="2C79C766" w14:textId="77777777">
      <w:pPr>
        <w:rPr>
          <w:rFonts w:ascii="Palatino" w:hAnsi="Palatino"/>
          <w:sz w:val="26"/>
          <w:szCs w:val="26"/>
        </w:rPr>
      </w:pPr>
      <w:r w:rsidRPr="00670BB8">
        <w:rPr>
          <w:rFonts w:ascii="Palatino" w:hAnsi="Palatino"/>
          <w:sz w:val="26"/>
          <w:szCs w:val="26"/>
        </w:rPr>
        <w:t>In response to CALSSA’s protest of AL 4009-E, SCE</w:t>
      </w:r>
      <w:r w:rsidRPr="00670BB8" w:rsidR="008C0777">
        <w:rPr>
          <w:rFonts w:ascii="Palatino" w:hAnsi="Palatino"/>
          <w:sz w:val="26"/>
          <w:szCs w:val="26"/>
        </w:rPr>
        <w:t xml:space="preserve"> notes that </w:t>
      </w:r>
      <w:r w:rsidRPr="00670BB8" w:rsidR="004F4DF3">
        <w:rPr>
          <w:rFonts w:ascii="Palatino" w:hAnsi="Palatino"/>
          <w:sz w:val="26"/>
          <w:szCs w:val="26"/>
        </w:rPr>
        <w:t>Working</w:t>
      </w:r>
    </w:p>
    <w:p w:rsidRPr="00670BB8" w:rsidR="0084559E" w:rsidP="004F4DF3" w:rsidRDefault="004F4DF3" w14:paraId="5D99B7D3" w14:textId="79BAA45D">
      <w:pPr>
        <w:rPr>
          <w:rFonts w:ascii="Palatino" w:hAnsi="Palatino"/>
          <w:sz w:val="26"/>
          <w:szCs w:val="26"/>
        </w:rPr>
      </w:pPr>
      <w:r w:rsidRPr="00670BB8">
        <w:rPr>
          <w:rFonts w:ascii="Palatino" w:hAnsi="Palatino"/>
          <w:sz w:val="26"/>
          <w:szCs w:val="26"/>
        </w:rPr>
        <w:t>Group One recommended that, “Additional changes outside of the modification types</w:t>
      </w:r>
      <w:r w:rsidR="00591A18">
        <w:rPr>
          <w:rFonts w:ascii="Palatino" w:hAnsi="Palatino"/>
          <w:sz w:val="26"/>
          <w:szCs w:val="26"/>
        </w:rPr>
        <w:t xml:space="preserve"> </w:t>
      </w:r>
      <w:r w:rsidRPr="00670BB8">
        <w:rPr>
          <w:rFonts w:ascii="Palatino" w:hAnsi="Palatino"/>
          <w:sz w:val="26"/>
          <w:szCs w:val="26"/>
        </w:rPr>
        <w:t>identified here shall not be accepted within Fast Track</w:t>
      </w:r>
      <w:r w:rsidRPr="00670BB8" w:rsidR="00666CA1">
        <w:rPr>
          <w:rFonts w:ascii="Palatino" w:hAnsi="Palatino"/>
          <w:sz w:val="26"/>
          <w:szCs w:val="26"/>
        </w:rPr>
        <w:t>…</w:t>
      </w:r>
      <w:r w:rsidRPr="00670BB8" w:rsidR="00D76D60">
        <w:rPr>
          <w:rFonts w:ascii="Palatino" w:hAnsi="Palatino"/>
          <w:sz w:val="26"/>
          <w:szCs w:val="26"/>
        </w:rPr>
        <w:t>”</w:t>
      </w:r>
      <w:r w:rsidRPr="00670BB8" w:rsidR="00666CA1">
        <w:rPr>
          <w:rStyle w:val="FootnoteReference"/>
          <w:rFonts w:ascii="Palatino" w:hAnsi="Palatino"/>
          <w:sz w:val="26"/>
          <w:szCs w:val="26"/>
        </w:rPr>
        <w:footnoteReference w:id="7"/>
      </w:r>
      <w:r w:rsidRPr="00670BB8" w:rsidR="00B30201">
        <w:rPr>
          <w:rFonts w:ascii="Palatino" w:hAnsi="Palatino"/>
          <w:sz w:val="26"/>
          <w:szCs w:val="26"/>
        </w:rPr>
        <w:t xml:space="preserve"> , a</w:t>
      </w:r>
      <w:r w:rsidR="00591A18">
        <w:rPr>
          <w:rFonts w:ascii="Palatino" w:hAnsi="Palatino"/>
          <w:sz w:val="26"/>
          <w:szCs w:val="26"/>
        </w:rPr>
        <w:t xml:space="preserve"> </w:t>
      </w:r>
      <w:r w:rsidRPr="00670BB8" w:rsidR="00B30201">
        <w:rPr>
          <w:rFonts w:ascii="Palatino" w:hAnsi="Palatino"/>
          <w:sz w:val="26"/>
          <w:szCs w:val="26"/>
        </w:rPr>
        <w:t>recommendation found reasonable by D.19-03-013</w:t>
      </w:r>
      <w:r w:rsidRPr="00670BB8" w:rsidR="00CC3091">
        <w:rPr>
          <w:rFonts w:ascii="Palatino" w:hAnsi="Palatino"/>
          <w:sz w:val="26"/>
          <w:szCs w:val="26"/>
        </w:rPr>
        <w:t>.</w:t>
      </w:r>
      <w:r w:rsidRPr="00670BB8" w:rsidR="00CC3091">
        <w:rPr>
          <w:rStyle w:val="FootnoteReference"/>
          <w:rFonts w:ascii="Palatino" w:hAnsi="Palatino"/>
          <w:sz w:val="26"/>
          <w:szCs w:val="26"/>
        </w:rPr>
        <w:footnoteReference w:id="8"/>
      </w:r>
      <w:r w:rsidRPr="00670BB8" w:rsidR="00996D80">
        <w:rPr>
          <w:rFonts w:ascii="Palatino" w:hAnsi="Palatino"/>
          <w:sz w:val="26"/>
          <w:szCs w:val="26"/>
        </w:rPr>
        <w:t xml:space="preserve"> </w:t>
      </w:r>
      <w:r w:rsidRPr="00670BB8" w:rsidR="00F73C90">
        <w:rPr>
          <w:rFonts w:ascii="Palatino" w:hAnsi="Palatino"/>
          <w:sz w:val="26"/>
          <w:szCs w:val="26"/>
        </w:rPr>
        <w:t xml:space="preserve">SCE argues that </w:t>
      </w:r>
      <w:r w:rsidR="0011451B">
        <w:rPr>
          <w:rFonts w:ascii="Palatino" w:hAnsi="Palatino"/>
          <w:sz w:val="26"/>
          <w:szCs w:val="26"/>
        </w:rPr>
        <w:t>its</w:t>
      </w:r>
      <w:r w:rsidRPr="00670BB8" w:rsidR="00F73C90">
        <w:rPr>
          <w:rFonts w:ascii="Palatino" w:hAnsi="Palatino"/>
          <w:sz w:val="26"/>
          <w:szCs w:val="26"/>
        </w:rPr>
        <w:t xml:space="preserve"> proposed tariff changes are therefore consistent with D.19-03-013 and should be approved.</w:t>
      </w:r>
      <w:r w:rsidRPr="00670BB8" w:rsidR="00C6240E">
        <w:rPr>
          <w:rFonts w:ascii="Palatino" w:hAnsi="Palatino"/>
          <w:sz w:val="26"/>
          <w:szCs w:val="26"/>
        </w:rPr>
        <w:t xml:space="preserve"> </w:t>
      </w:r>
    </w:p>
    <w:p w:rsidRPr="00670BB8" w:rsidR="00E91F1D" w:rsidP="008D0142" w:rsidRDefault="00E91F1D" w14:paraId="5E00AAC8" w14:textId="3E8FE718">
      <w:pPr>
        <w:rPr>
          <w:rFonts w:ascii="Palatino" w:hAnsi="Palatino"/>
          <w:sz w:val="26"/>
          <w:szCs w:val="26"/>
        </w:rPr>
      </w:pPr>
    </w:p>
    <w:p w:rsidRPr="00670BB8" w:rsidR="00063C20" w:rsidP="008D0142" w:rsidRDefault="00063C20" w14:paraId="31A15923" w14:textId="4790A210">
      <w:pPr>
        <w:rPr>
          <w:rFonts w:ascii="Palatino" w:hAnsi="Palatino"/>
          <w:sz w:val="26"/>
          <w:szCs w:val="26"/>
          <w:u w:val="single"/>
        </w:rPr>
      </w:pPr>
      <w:r w:rsidRPr="00670BB8">
        <w:rPr>
          <w:rFonts w:ascii="Palatino" w:hAnsi="Palatino"/>
          <w:sz w:val="26"/>
          <w:szCs w:val="26"/>
          <w:u w:val="single"/>
        </w:rPr>
        <w:t>Supplemental Advice Letters</w:t>
      </w:r>
    </w:p>
    <w:p w:rsidRPr="00670BB8" w:rsidR="00E91F1D" w:rsidP="008D0142" w:rsidRDefault="00E91F1D" w14:paraId="7AB8B193" w14:textId="67EE2BC4">
      <w:pPr>
        <w:rPr>
          <w:rFonts w:ascii="Palatino" w:hAnsi="Palatino"/>
          <w:sz w:val="26"/>
          <w:szCs w:val="26"/>
        </w:rPr>
      </w:pPr>
      <w:r w:rsidRPr="00670BB8">
        <w:rPr>
          <w:rFonts w:ascii="Palatino" w:hAnsi="Palatino"/>
          <w:sz w:val="26"/>
          <w:szCs w:val="26"/>
        </w:rPr>
        <w:t>SDG&amp;E’s supplemental AL 3381-E-A, filed August 6, 2019, removes a note, proposed by AL 3381-E, stating that modifications to Fast Track interconnection applications not specifically listed in section Rule 21 Table F.1 are not allowed.</w:t>
      </w:r>
      <w:r w:rsidRPr="00670BB8" w:rsidR="000A76BE">
        <w:rPr>
          <w:rFonts w:ascii="Palatino" w:hAnsi="Palatino"/>
          <w:sz w:val="26"/>
          <w:szCs w:val="26"/>
        </w:rPr>
        <w:t xml:space="preserve"> SCE’s supplemental AL 4009-E-A, filed August 1, 2019, restor</w:t>
      </w:r>
      <w:r w:rsidRPr="00670BB8" w:rsidR="00063C20">
        <w:rPr>
          <w:rFonts w:ascii="Palatino" w:hAnsi="Palatino"/>
          <w:sz w:val="26"/>
          <w:szCs w:val="26"/>
        </w:rPr>
        <w:t>es</w:t>
      </w:r>
      <w:r w:rsidRPr="00670BB8" w:rsidR="000A76BE">
        <w:rPr>
          <w:rFonts w:ascii="Palatino" w:hAnsi="Palatino"/>
          <w:sz w:val="26"/>
          <w:szCs w:val="26"/>
        </w:rPr>
        <w:t xml:space="preserve"> certain non-material modifications to Interconnection Facilities under the Cost Envelope Option provisions.</w:t>
      </w:r>
    </w:p>
    <w:p w:rsidRPr="00670BB8" w:rsidR="008D0142" w:rsidP="008D0142" w:rsidRDefault="008D0142" w14:paraId="4FD3A7E1" w14:textId="01F0D4F2">
      <w:pPr>
        <w:rPr>
          <w:rFonts w:ascii="Palatino" w:hAnsi="Palatino"/>
          <w:sz w:val="26"/>
          <w:szCs w:val="26"/>
        </w:rPr>
      </w:pPr>
    </w:p>
    <w:p w:rsidRPr="00670BB8" w:rsidR="00690517" w:rsidP="008D0142" w:rsidRDefault="00690517" w14:paraId="0F26061C" w14:textId="5B54F9A6">
      <w:pPr>
        <w:rPr>
          <w:rFonts w:ascii="Palatino" w:hAnsi="Palatino"/>
          <w:sz w:val="26"/>
          <w:szCs w:val="26"/>
          <w:u w:val="single"/>
        </w:rPr>
      </w:pPr>
      <w:r w:rsidRPr="00670BB8">
        <w:rPr>
          <w:rFonts w:ascii="Palatino" w:hAnsi="Palatino"/>
          <w:sz w:val="26"/>
          <w:szCs w:val="26"/>
          <w:u w:val="single"/>
        </w:rPr>
        <w:t>Discussion</w:t>
      </w:r>
    </w:p>
    <w:p w:rsidRPr="00670BB8" w:rsidR="008749DF" w:rsidP="009C298C" w:rsidRDefault="009C298C" w14:paraId="023D8F7C" w14:textId="306E02BC">
      <w:pPr>
        <w:rPr>
          <w:rFonts w:ascii="Palatino" w:hAnsi="Palatino"/>
          <w:sz w:val="26"/>
          <w:szCs w:val="26"/>
        </w:rPr>
      </w:pPr>
      <w:r w:rsidRPr="00670BB8">
        <w:rPr>
          <w:rFonts w:ascii="Palatino" w:hAnsi="Palatino"/>
          <w:sz w:val="26"/>
          <w:szCs w:val="26"/>
        </w:rPr>
        <w:t>CALSSA’s protest</w:t>
      </w:r>
      <w:r w:rsidRPr="00670BB8" w:rsidR="00E47C21">
        <w:rPr>
          <w:rFonts w:ascii="Palatino" w:hAnsi="Palatino"/>
          <w:sz w:val="26"/>
          <w:szCs w:val="26"/>
        </w:rPr>
        <w:t>s</w:t>
      </w:r>
      <w:r w:rsidRPr="00670BB8">
        <w:rPr>
          <w:rFonts w:ascii="Palatino" w:hAnsi="Palatino"/>
          <w:sz w:val="26"/>
          <w:szCs w:val="26"/>
        </w:rPr>
        <w:t xml:space="preserve"> of SCE AL 4009-E</w:t>
      </w:r>
      <w:r w:rsidRPr="00670BB8" w:rsidR="00E47C21">
        <w:rPr>
          <w:rFonts w:ascii="Palatino" w:hAnsi="Palatino"/>
          <w:sz w:val="26"/>
          <w:szCs w:val="26"/>
        </w:rPr>
        <w:t xml:space="preserve"> and SDG&amp;E AL 3381-E argue that </w:t>
      </w:r>
      <w:r w:rsidR="00C4227A">
        <w:rPr>
          <w:rFonts w:ascii="Palatino" w:hAnsi="Palatino"/>
          <w:sz w:val="26"/>
          <w:szCs w:val="26"/>
        </w:rPr>
        <w:br/>
      </w:r>
      <w:r w:rsidRPr="00670BB8" w:rsidR="00543CA6">
        <w:rPr>
          <w:rFonts w:ascii="Palatino" w:hAnsi="Palatino"/>
          <w:sz w:val="26"/>
          <w:szCs w:val="26"/>
        </w:rPr>
        <w:t xml:space="preserve">D.19-03-013 </w:t>
      </w:r>
      <w:r w:rsidRPr="00670BB8">
        <w:rPr>
          <w:rFonts w:ascii="Palatino" w:hAnsi="Palatino"/>
          <w:sz w:val="26"/>
          <w:szCs w:val="26"/>
        </w:rPr>
        <w:t xml:space="preserve">specifies types of changes to interconnection applications that are allowed without stating that these are the only types of changes that should be allowed. </w:t>
      </w:r>
      <w:r w:rsidRPr="00670BB8" w:rsidR="00E47C21">
        <w:rPr>
          <w:rFonts w:ascii="Palatino" w:hAnsi="Palatino"/>
          <w:sz w:val="26"/>
          <w:szCs w:val="26"/>
        </w:rPr>
        <w:t xml:space="preserve">However, </w:t>
      </w:r>
      <w:r w:rsidRPr="00670BB8" w:rsidR="00543CA6">
        <w:rPr>
          <w:rFonts w:ascii="Palatino" w:hAnsi="Palatino"/>
          <w:sz w:val="26"/>
          <w:szCs w:val="26"/>
        </w:rPr>
        <w:t xml:space="preserve">D.19-03-013 </w:t>
      </w:r>
      <w:r w:rsidRPr="00670BB8" w:rsidR="00E47C21">
        <w:rPr>
          <w:rFonts w:ascii="Palatino" w:hAnsi="Palatino"/>
          <w:sz w:val="26"/>
          <w:szCs w:val="26"/>
        </w:rPr>
        <w:t xml:space="preserve">explicitly finds reasonable the Working Group One recommendation that additional </w:t>
      </w:r>
      <w:r w:rsidRPr="00670BB8" w:rsidR="008C0714">
        <w:rPr>
          <w:rFonts w:ascii="Palatino" w:hAnsi="Palatino"/>
          <w:sz w:val="26"/>
          <w:szCs w:val="26"/>
        </w:rPr>
        <w:t>material modifications</w:t>
      </w:r>
      <w:r w:rsidRPr="00670BB8" w:rsidR="00E47C21">
        <w:rPr>
          <w:rFonts w:ascii="Palatino" w:hAnsi="Palatino"/>
          <w:sz w:val="26"/>
          <w:szCs w:val="26"/>
        </w:rPr>
        <w:t xml:space="preserve"> outside of the </w:t>
      </w:r>
      <w:r w:rsidRPr="00670BB8" w:rsidR="00E47C21">
        <w:rPr>
          <w:rFonts w:ascii="Palatino" w:hAnsi="Palatino"/>
          <w:sz w:val="26"/>
          <w:szCs w:val="26"/>
        </w:rPr>
        <w:lastRenderedPageBreak/>
        <w:t xml:space="preserve">identified types </w:t>
      </w:r>
      <w:r w:rsidRPr="00670BB8" w:rsidR="00543CA6">
        <w:rPr>
          <w:rFonts w:ascii="Palatino" w:hAnsi="Palatino"/>
          <w:sz w:val="26"/>
          <w:szCs w:val="26"/>
        </w:rPr>
        <w:t>should not</w:t>
      </w:r>
      <w:r w:rsidRPr="00670BB8" w:rsidR="0077146C">
        <w:rPr>
          <w:rFonts w:ascii="Palatino" w:hAnsi="Palatino"/>
          <w:sz w:val="26"/>
          <w:szCs w:val="26"/>
        </w:rPr>
        <w:t xml:space="preserve"> </w:t>
      </w:r>
      <w:r w:rsidRPr="00670BB8" w:rsidR="00E47C21">
        <w:rPr>
          <w:rFonts w:ascii="Palatino" w:hAnsi="Palatino"/>
          <w:sz w:val="26"/>
          <w:szCs w:val="26"/>
        </w:rPr>
        <w:t>be accepted within Fast Track.</w:t>
      </w:r>
      <w:r w:rsidRPr="00670BB8" w:rsidR="008749DF">
        <w:rPr>
          <w:rFonts w:ascii="Palatino" w:hAnsi="Palatino"/>
          <w:sz w:val="26"/>
          <w:szCs w:val="26"/>
        </w:rPr>
        <w:t xml:space="preserve"> Hence, we find that the language proposed by SCE AL 4009-E and SDG&amp;E AL 3381-E is consistent with </w:t>
      </w:r>
      <w:r w:rsidRPr="00670BB8" w:rsidR="00543CA6">
        <w:rPr>
          <w:rFonts w:ascii="Palatino" w:hAnsi="Palatino"/>
          <w:sz w:val="26"/>
          <w:szCs w:val="26"/>
        </w:rPr>
        <w:t>D.19-03-013</w:t>
      </w:r>
      <w:r w:rsidRPr="00670BB8" w:rsidR="008749DF">
        <w:rPr>
          <w:rFonts w:ascii="Palatino" w:hAnsi="Palatino"/>
          <w:sz w:val="26"/>
          <w:szCs w:val="26"/>
        </w:rPr>
        <w:t>.</w:t>
      </w:r>
      <w:r w:rsidRPr="00670BB8" w:rsidR="0005774F">
        <w:rPr>
          <w:rFonts w:ascii="Palatino" w:hAnsi="Palatino"/>
          <w:sz w:val="26"/>
          <w:szCs w:val="26"/>
        </w:rPr>
        <w:t xml:space="preserve"> </w:t>
      </w:r>
      <w:r w:rsidRPr="00670BB8" w:rsidR="006F75EB">
        <w:rPr>
          <w:rFonts w:ascii="Palatino" w:hAnsi="Palatino"/>
          <w:sz w:val="26"/>
          <w:szCs w:val="26"/>
        </w:rPr>
        <w:t xml:space="preserve">The modifications </w:t>
      </w:r>
      <w:r w:rsidRPr="00670BB8" w:rsidR="00246FA9">
        <w:rPr>
          <w:rFonts w:ascii="Palatino" w:hAnsi="Palatino"/>
          <w:sz w:val="26"/>
          <w:szCs w:val="26"/>
        </w:rPr>
        <w:t xml:space="preserve">made by </w:t>
      </w:r>
      <w:r w:rsidRPr="00670BB8" w:rsidR="004C3A34">
        <w:rPr>
          <w:rFonts w:ascii="Palatino" w:hAnsi="Palatino"/>
          <w:sz w:val="26"/>
          <w:szCs w:val="26"/>
        </w:rPr>
        <w:t xml:space="preserve">supplemental ALs 4009-E-A </w:t>
      </w:r>
      <w:r w:rsidRPr="00670BB8" w:rsidR="006F75EB">
        <w:rPr>
          <w:rFonts w:ascii="Palatino" w:hAnsi="Palatino"/>
          <w:sz w:val="26"/>
          <w:szCs w:val="26"/>
        </w:rPr>
        <w:t xml:space="preserve">to the tariff language </w:t>
      </w:r>
      <w:r w:rsidRPr="00670BB8" w:rsidR="00246FA9">
        <w:rPr>
          <w:rFonts w:ascii="Palatino" w:hAnsi="Palatino"/>
          <w:sz w:val="26"/>
          <w:szCs w:val="26"/>
        </w:rPr>
        <w:t>proposed</w:t>
      </w:r>
      <w:r w:rsidRPr="00670BB8" w:rsidR="006F75EB">
        <w:rPr>
          <w:rFonts w:ascii="Palatino" w:hAnsi="Palatino"/>
          <w:sz w:val="26"/>
          <w:szCs w:val="26"/>
        </w:rPr>
        <w:t xml:space="preserve"> </w:t>
      </w:r>
      <w:r w:rsidRPr="00670BB8" w:rsidR="00246FA9">
        <w:rPr>
          <w:rFonts w:ascii="Palatino" w:hAnsi="Palatino"/>
          <w:sz w:val="26"/>
          <w:szCs w:val="26"/>
        </w:rPr>
        <w:t xml:space="preserve">by SCE AL 4009-E </w:t>
      </w:r>
      <w:r w:rsidRPr="00670BB8" w:rsidR="003B7CFC">
        <w:rPr>
          <w:rFonts w:ascii="Palatino" w:hAnsi="Palatino"/>
          <w:sz w:val="26"/>
          <w:szCs w:val="26"/>
        </w:rPr>
        <w:t xml:space="preserve">do not substantively alter the implementation of </w:t>
      </w:r>
      <w:r w:rsidRPr="00670BB8" w:rsidR="00543CA6">
        <w:rPr>
          <w:rFonts w:ascii="Palatino" w:hAnsi="Palatino"/>
          <w:sz w:val="26"/>
          <w:szCs w:val="26"/>
        </w:rPr>
        <w:t>D.19-03-013</w:t>
      </w:r>
      <w:r w:rsidRPr="00670BB8" w:rsidR="004511FD">
        <w:rPr>
          <w:rFonts w:ascii="Palatino" w:hAnsi="Palatino"/>
          <w:sz w:val="26"/>
          <w:szCs w:val="26"/>
        </w:rPr>
        <w:t xml:space="preserve">, instead serving to promote </w:t>
      </w:r>
      <w:r w:rsidR="00372182">
        <w:rPr>
          <w:rFonts w:ascii="Palatino" w:hAnsi="Palatino"/>
          <w:sz w:val="26"/>
          <w:szCs w:val="26"/>
        </w:rPr>
        <w:t xml:space="preserve">clarity </w:t>
      </w:r>
      <w:r w:rsidRPr="00670BB8" w:rsidR="004511FD">
        <w:rPr>
          <w:rFonts w:ascii="Palatino" w:hAnsi="Palatino"/>
          <w:sz w:val="26"/>
          <w:szCs w:val="26"/>
        </w:rPr>
        <w:t xml:space="preserve">in the tariff. As such, </w:t>
      </w:r>
      <w:r w:rsidRPr="00670BB8" w:rsidR="0077146C">
        <w:rPr>
          <w:rFonts w:ascii="Palatino" w:hAnsi="Palatino"/>
          <w:sz w:val="26"/>
          <w:szCs w:val="26"/>
        </w:rPr>
        <w:t xml:space="preserve">we find that </w:t>
      </w:r>
      <w:r w:rsidRPr="00670BB8" w:rsidR="00D97CCE">
        <w:rPr>
          <w:rFonts w:ascii="Palatino" w:hAnsi="Palatino"/>
          <w:sz w:val="26"/>
          <w:szCs w:val="26"/>
        </w:rPr>
        <w:t xml:space="preserve">these proposed changes are likewise consistent with </w:t>
      </w:r>
      <w:r w:rsidRPr="00670BB8" w:rsidR="00543CA6">
        <w:rPr>
          <w:rFonts w:ascii="Palatino" w:hAnsi="Palatino"/>
          <w:sz w:val="26"/>
          <w:szCs w:val="26"/>
        </w:rPr>
        <w:t>D.19-03-013</w:t>
      </w:r>
      <w:r w:rsidRPr="00670BB8" w:rsidR="00D97CCE">
        <w:rPr>
          <w:rFonts w:ascii="Palatino" w:hAnsi="Palatino"/>
          <w:sz w:val="26"/>
          <w:szCs w:val="26"/>
        </w:rPr>
        <w:t>.</w:t>
      </w:r>
      <w:r w:rsidR="00252935">
        <w:rPr>
          <w:rFonts w:ascii="Palatino" w:hAnsi="Palatino"/>
          <w:sz w:val="26"/>
          <w:szCs w:val="26"/>
        </w:rPr>
        <w:t xml:space="preserve"> However, SDG&amp;E AL 3381-E-A proposes to remove language clarifying that </w:t>
      </w:r>
      <w:r w:rsidRPr="00670BB8" w:rsidR="00252935">
        <w:rPr>
          <w:rFonts w:ascii="Palatino" w:hAnsi="Palatino"/>
          <w:sz w:val="26"/>
          <w:szCs w:val="26"/>
        </w:rPr>
        <w:t xml:space="preserve">additional material modifications outside of the identified types </w:t>
      </w:r>
      <w:r w:rsidR="00252935">
        <w:rPr>
          <w:rFonts w:ascii="Palatino" w:hAnsi="Palatino"/>
          <w:sz w:val="26"/>
          <w:szCs w:val="26"/>
        </w:rPr>
        <w:t>will</w:t>
      </w:r>
      <w:r w:rsidRPr="00670BB8" w:rsidR="00252935">
        <w:rPr>
          <w:rFonts w:ascii="Palatino" w:hAnsi="Palatino"/>
          <w:sz w:val="26"/>
          <w:szCs w:val="26"/>
        </w:rPr>
        <w:t xml:space="preserve"> not be accepted within Fast Track</w:t>
      </w:r>
      <w:r w:rsidR="00440DBB">
        <w:rPr>
          <w:rFonts w:ascii="Palatino" w:hAnsi="Palatino"/>
          <w:sz w:val="26"/>
          <w:szCs w:val="26"/>
        </w:rPr>
        <w:t xml:space="preserve">. As discussed above, we find that </w:t>
      </w:r>
      <w:r w:rsidR="00EE6822">
        <w:rPr>
          <w:rFonts w:ascii="Palatino" w:hAnsi="Palatino"/>
          <w:sz w:val="26"/>
          <w:szCs w:val="26"/>
        </w:rPr>
        <w:t xml:space="preserve">the limitation on additional material modifications, as put forth in </w:t>
      </w:r>
      <w:r w:rsidRPr="00670BB8" w:rsidR="00EE6822">
        <w:rPr>
          <w:rFonts w:ascii="Palatino" w:hAnsi="Palatino"/>
          <w:sz w:val="26"/>
          <w:szCs w:val="26"/>
        </w:rPr>
        <w:t>SDG&amp;E AL 3381-E</w:t>
      </w:r>
      <w:r w:rsidR="00EE6822">
        <w:rPr>
          <w:rFonts w:ascii="Palatino" w:hAnsi="Palatino"/>
          <w:sz w:val="26"/>
          <w:szCs w:val="26"/>
        </w:rPr>
        <w:t>,</w:t>
      </w:r>
      <w:r w:rsidRPr="00670BB8" w:rsidR="00EE6822">
        <w:rPr>
          <w:rFonts w:ascii="Palatino" w:hAnsi="Palatino"/>
          <w:sz w:val="26"/>
          <w:szCs w:val="26"/>
        </w:rPr>
        <w:t xml:space="preserve"> is consistent with D.19-03-013</w:t>
      </w:r>
      <w:r w:rsidR="00EE6822">
        <w:rPr>
          <w:rFonts w:ascii="Palatino" w:hAnsi="Palatino"/>
          <w:sz w:val="26"/>
          <w:szCs w:val="26"/>
        </w:rPr>
        <w:t xml:space="preserve">. </w:t>
      </w:r>
      <w:r w:rsidR="00AE0CB8">
        <w:rPr>
          <w:rFonts w:ascii="Palatino" w:hAnsi="Palatino"/>
          <w:sz w:val="26"/>
          <w:szCs w:val="26"/>
        </w:rPr>
        <w:t xml:space="preserve">As such, we reject </w:t>
      </w:r>
      <w:r w:rsidR="00277DD4">
        <w:rPr>
          <w:rFonts w:ascii="Palatino" w:hAnsi="Palatino"/>
          <w:sz w:val="26"/>
          <w:szCs w:val="26"/>
        </w:rPr>
        <w:t>SDG&amp;E AL 3381-E-A</w:t>
      </w:r>
      <w:r w:rsidR="008724D5">
        <w:rPr>
          <w:rFonts w:ascii="Palatino" w:hAnsi="Palatino"/>
          <w:sz w:val="26"/>
          <w:szCs w:val="26"/>
        </w:rPr>
        <w:t xml:space="preserve">’s proposed </w:t>
      </w:r>
      <w:r w:rsidR="009E0087">
        <w:rPr>
          <w:rFonts w:ascii="Palatino" w:hAnsi="Palatino"/>
          <w:sz w:val="26"/>
          <w:szCs w:val="26"/>
        </w:rPr>
        <w:t>elimina</w:t>
      </w:r>
      <w:r w:rsidR="008724D5">
        <w:rPr>
          <w:rFonts w:ascii="Palatino" w:hAnsi="Palatino"/>
          <w:sz w:val="26"/>
          <w:szCs w:val="26"/>
        </w:rPr>
        <w:t xml:space="preserve">tion </w:t>
      </w:r>
      <w:r w:rsidR="009E0087">
        <w:rPr>
          <w:rFonts w:ascii="Palatino" w:hAnsi="Palatino"/>
          <w:sz w:val="26"/>
          <w:szCs w:val="26"/>
        </w:rPr>
        <w:t xml:space="preserve">of </w:t>
      </w:r>
      <w:r w:rsidR="00AF40F1">
        <w:rPr>
          <w:rFonts w:ascii="Palatino" w:hAnsi="Palatino"/>
          <w:sz w:val="26"/>
          <w:szCs w:val="26"/>
        </w:rPr>
        <w:t xml:space="preserve">language </w:t>
      </w:r>
      <w:r w:rsidR="00D81FE9">
        <w:rPr>
          <w:rFonts w:ascii="Palatino" w:hAnsi="Palatino"/>
          <w:sz w:val="26"/>
          <w:szCs w:val="26"/>
        </w:rPr>
        <w:t xml:space="preserve">limiting allowed material modifications to </w:t>
      </w:r>
      <w:r w:rsidR="004E4C3F">
        <w:rPr>
          <w:rFonts w:ascii="Palatino" w:hAnsi="Palatino"/>
          <w:sz w:val="26"/>
          <w:szCs w:val="26"/>
        </w:rPr>
        <w:t>the</w:t>
      </w:r>
      <w:r w:rsidR="00D81FE9">
        <w:rPr>
          <w:rFonts w:ascii="Palatino" w:hAnsi="Palatino"/>
          <w:sz w:val="26"/>
          <w:szCs w:val="26"/>
        </w:rPr>
        <w:t xml:space="preserve"> </w:t>
      </w:r>
      <w:r w:rsidR="004E4C3F">
        <w:rPr>
          <w:rFonts w:ascii="Palatino" w:hAnsi="Palatino"/>
          <w:sz w:val="26"/>
          <w:szCs w:val="26"/>
        </w:rPr>
        <w:t>identified types.</w:t>
      </w:r>
    </w:p>
    <w:p w:rsidRPr="00670BB8" w:rsidR="008749DF" w:rsidP="009C298C" w:rsidRDefault="008749DF" w14:paraId="018924AD" w14:textId="77777777">
      <w:pPr>
        <w:rPr>
          <w:rFonts w:ascii="Palatino" w:hAnsi="Palatino"/>
          <w:sz w:val="26"/>
          <w:szCs w:val="26"/>
        </w:rPr>
      </w:pPr>
    </w:p>
    <w:p w:rsidRPr="00670BB8" w:rsidR="00690517" w:rsidP="009C298C" w:rsidRDefault="00E22E2D" w14:paraId="65FA2D32" w14:textId="21354824">
      <w:pPr>
        <w:rPr>
          <w:rFonts w:ascii="Palatino" w:hAnsi="Palatino"/>
          <w:sz w:val="26"/>
          <w:szCs w:val="26"/>
        </w:rPr>
      </w:pPr>
      <w:r>
        <w:rPr>
          <w:rFonts w:ascii="Palatino" w:hAnsi="Palatino"/>
          <w:sz w:val="26"/>
          <w:szCs w:val="26"/>
        </w:rPr>
        <w:t>T</w:t>
      </w:r>
      <w:r w:rsidRPr="00670BB8" w:rsidR="00592B53">
        <w:rPr>
          <w:rFonts w:ascii="Palatino" w:hAnsi="Palatino"/>
          <w:sz w:val="26"/>
          <w:szCs w:val="26"/>
        </w:rPr>
        <w:t xml:space="preserve">he </w:t>
      </w:r>
      <w:r w:rsidR="00870AF0">
        <w:rPr>
          <w:rFonts w:ascii="Palatino" w:hAnsi="Palatino"/>
          <w:sz w:val="26"/>
          <w:szCs w:val="26"/>
        </w:rPr>
        <w:t>Utilities</w:t>
      </w:r>
      <w:r w:rsidRPr="00670BB8" w:rsidR="00592B53">
        <w:rPr>
          <w:rFonts w:ascii="Palatino" w:hAnsi="Palatino"/>
          <w:sz w:val="26"/>
          <w:szCs w:val="26"/>
        </w:rPr>
        <w:t xml:space="preserve"> diverge significantly in their proposed modifications to Rule 21 to allow for specific types of modifications to interconnection applications under Fast Track.</w:t>
      </w:r>
      <w:r w:rsidRPr="00670BB8" w:rsidR="00592B53">
        <w:rPr>
          <w:rStyle w:val="FootnoteReference"/>
          <w:rFonts w:ascii="Palatino" w:hAnsi="Palatino"/>
          <w:sz w:val="26"/>
          <w:szCs w:val="26"/>
        </w:rPr>
        <w:footnoteReference w:id="9"/>
      </w:r>
      <w:r w:rsidRPr="00670BB8" w:rsidR="00592B53">
        <w:rPr>
          <w:rFonts w:ascii="Palatino" w:hAnsi="Palatino"/>
          <w:sz w:val="26"/>
          <w:szCs w:val="26"/>
        </w:rPr>
        <w:t xml:space="preserve"> </w:t>
      </w:r>
      <w:r w:rsidRPr="00670BB8" w:rsidR="00251EE5">
        <w:rPr>
          <w:rFonts w:ascii="Palatino" w:hAnsi="Palatino"/>
          <w:sz w:val="26"/>
          <w:szCs w:val="26"/>
        </w:rPr>
        <w:t xml:space="preserve">For </w:t>
      </w:r>
      <w:r w:rsidRPr="00670BB8" w:rsidR="00A41FE5">
        <w:rPr>
          <w:rFonts w:ascii="Palatino" w:hAnsi="Palatino"/>
          <w:sz w:val="26"/>
          <w:szCs w:val="26"/>
        </w:rPr>
        <w:t xml:space="preserve">example, SCE proposes the addition of a Rule 21 Section F.2.f while </w:t>
      </w:r>
      <w:r w:rsidRPr="00670BB8" w:rsidR="00170AA9">
        <w:rPr>
          <w:rFonts w:ascii="Palatino" w:hAnsi="Palatino"/>
          <w:sz w:val="26"/>
          <w:szCs w:val="26"/>
        </w:rPr>
        <w:t xml:space="preserve">PG&amp;E and </w:t>
      </w:r>
      <w:r w:rsidRPr="00670BB8" w:rsidR="00436AC8">
        <w:rPr>
          <w:rFonts w:ascii="Palatino" w:hAnsi="Palatino"/>
          <w:sz w:val="26"/>
          <w:szCs w:val="26"/>
        </w:rPr>
        <w:t>SDG&amp;E</w:t>
      </w:r>
      <w:r w:rsidRPr="00670BB8" w:rsidR="00170AA9">
        <w:rPr>
          <w:rFonts w:ascii="Palatino" w:hAnsi="Palatino"/>
          <w:sz w:val="26"/>
          <w:szCs w:val="26"/>
        </w:rPr>
        <w:t xml:space="preserve"> incorporate the same information into </w:t>
      </w:r>
      <w:r w:rsidRPr="00670BB8" w:rsidR="00734DB4">
        <w:rPr>
          <w:rFonts w:ascii="Palatino" w:hAnsi="Palatino"/>
          <w:sz w:val="26"/>
          <w:szCs w:val="26"/>
        </w:rPr>
        <w:t xml:space="preserve">Rule 21 Section F.2.a. </w:t>
      </w:r>
      <w:r w:rsidRPr="00670BB8" w:rsidR="00436AC8">
        <w:rPr>
          <w:rFonts w:ascii="Palatino" w:hAnsi="Palatino"/>
          <w:sz w:val="26"/>
          <w:szCs w:val="26"/>
        </w:rPr>
        <w:t xml:space="preserve">Similarly, SCE defines the term “like-for-like” explicitly, while PG&amp;E and SDG&amp;E fail to provide a </w:t>
      </w:r>
      <w:r w:rsidRPr="00670BB8" w:rsidR="004F5BDE">
        <w:rPr>
          <w:rFonts w:ascii="Palatino" w:hAnsi="Palatino"/>
          <w:sz w:val="26"/>
          <w:szCs w:val="26"/>
        </w:rPr>
        <w:t xml:space="preserve">definition. </w:t>
      </w:r>
      <w:r w:rsidRPr="00670BB8" w:rsidR="000A763F">
        <w:rPr>
          <w:rFonts w:ascii="Palatino" w:hAnsi="Palatino"/>
          <w:sz w:val="26"/>
          <w:szCs w:val="26"/>
        </w:rPr>
        <w:t xml:space="preserve">Consistent with </w:t>
      </w:r>
      <w:r w:rsidR="0085482E">
        <w:rPr>
          <w:rFonts w:ascii="Palatino" w:hAnsi="Palatino"/>
          <w:sz w:val="26"/>
          <w:szCs w:val="26"/>
        </w:rPr>
        <w:t>our</w:t>
      </w:r>
      <w:r w:rsidRPr="00670BB8" w:rsidR="0085482E">
        <w:rPr>
          <w:rFonts w:ascii="Palatino" w:hAnsi="Palatino"/>
          <w:sz w:val="26"/>
          <w:szCs w:val="26"/>
        </w:rPr>
        <w:t xml:space="preserve"> </w:t>
      </w:r>
      <w:r w:rsidRPr="00670BB8" w:rsidR="000A763F">
        <w:rPr>
          <w:rFonts w:ascii="Palatino" w:hAnsi="Palatino"/>
          <w:sz w:val="26"/>
          <w:szCs w:val="26"/>
        </w:rPr>
        <w:t xml:space="preserve">conclusion </w:t>
      </w:r>
      <w:r w:rsidR="0085482E">
        <w:rPr>
          <w:rFonts w:ascii="Palatino" w:hAnsi="Palatino"/>
          <w:sz w:val="26"/>
          <w:szCs w:val="26"/>
        </w:rPr>
        <w:t>on</w:t>
      </w:r>
      <w:r w:rsidRPr="00670BB8" w:rsidR="000A763F">
        <w:rPr>
          <w:rFonts w:ascii="Palatino" w:hAnsi="Palatino"/>
          <w:sz w:val="26"/>
          <w:szCs w:val="26"/>
        </w:rPr>
        <w:t xml:space="preserve"> Issue 1, above, the </w:t>
      </w:r>
      <w:r w:rsidR="00870AF0">
        <w:rPr>
          <w:rFonts w:ascii="Palatino" w:hAnsi="Palatino"/>
          <w:sz w:val="26"/>
          <w:szCs w:val="26"/>
        </w:rPr>
        <w:t>Utilities</w:t>
      </w:r>
      <w:r w:rsidRPr="00670BB8" w:rsidR="00AB50B6">
        <w:rPr>
          <w:rFonts w:ascii="Palatino" w:hAnsi="Palatino"/>
          <w:sz w:val="26"/>
          <w:szCs w:val="26"/>
        </w:rPr>
        <w:t xml:space="preserve"> should </w:t>
      </w:r>
      <w:r w:rsidRPr="00670BB8" w:rsidR="008050C2">
        <w:rPr>
          <w:rFonts w:ascii="Palatino" w:hAnsi="Palatino"/>
          <w:sz w:val="26"/>
          <w:szCs w:val="26"/>
        </w:rPr>
        <w:t xml:space="preserve">standardize their </w:t>
      </w:r>
      <w:r w:rsidRPr="00670BB8" w:rsidR="00531E1A">
        <w:rPr>
          <w:rFonts w:ascii="Palatino" w:hAnsi="Palatino"/>
          <w:sz w:val="26"/>
          <w:szCs w:val="26"/>
        </w:rPr>
        <w:t>tariff language describing the allowed types of modifications to interconnection applications under Fast Track</w:t>
      </w:r>
      <w:r w:rsidR="00A42BAA">
        <w:rPr>
          <w:rFonts w:ascii="Palatino" w:hAnsi="Palatino"/>
          <w:sz w:val="26"/>
          <w:szCs w:val="26"/>
        </w:rPr>
        <w:t>.</w:t>
      </w:r>
      <w:r w:rsidRPr="00670BB8" w:rsidR="002C7633">
        <w:rPr>
          <w:rStyle w:val="FootnoteReference"/>
          <w:rFonts w:ascii="Palatino" w:hAnsi="Palatino"/>
          <w:sz w:val="26"/>
          <w:szCs w:val="26"/>
        </w:rPr>
        <w:footnoteReference w:id="10"/>
      </w:r>
      <w:r w:rsidR="000D0C9B">
        <w:rPr>
          <w:rFonts w:ascii="Palatino" w:hAnsi="Palatino"/>
          <w:sz w:val="26"/>
          <w:szCs w:val="26"/>
        </w:rPr>
        <w:t xml:space="preserve"> </w:t>
      </w:r>
      <w:bookmarkStart w:name="_Hlk60146855" w:id="4"/>
      <w:r w:rsidR="000D0C9B">
        <w:rPr>
          <w:rFonts w:ascii="Palatino" w:hAnsi="Palatino"/>
          <w:sz w:val="26"/>
          <w:szCs w:val="26"/>
        </w:rPr>
        <w:t>Specifically, all three Utilities should explicitly define “like-for-like</w:t>
      </w:r>
      <w:r w:rsidR="00477EAD">
        <w:rPr>
          <w:rFonts w:ascii="Palatino" w:hAnsi="Palatino"/>
          <w:sz w:val="26"/>
          <w:szCs w:val="26"/>
        </w:rPr>
        <w:t>”</w:t>
      </w:r>
      <w:r w:rsidR="000D0C9B">
        <w:rPr>
          <w:rFonts w:ascii="Palatino" w:hAnsi="Palatino"/>
          <w:sz w:val="26"/>
          <w:szCs w:val="26"/>
        </w:rPr>
        <w:t xml:space="preserve"> in accordance with </w:t>
      </w:r>
      <w:r w:rsidR="00477EAD">
        <w:rPr>
          <w:rFonts w:ascii="Palatino" w:hAnsi="Palatino"/>
          <w:sz w:val="26"/>
          <w:szCs w:val="26"/>
        </w:rPr>
        <w:t>definition provided by D.19-03-013 footnote 42</w:t>
      </w:r>
      <w:r w:rsidR="00407C0A">
        <w:rPr>
          <w:rFonts w:ascii="Palatino" w:hAnsi="Palatino"/>
          <w:sz w:val="26"/>
          <w:szCs w:val="26"/>
        </w:rPr>
        <w:t xml:space="preserve">. </w:t>
      </w:r>
      <w:r w:rsidR="00685390">
        <w:rPr>
          <w:rFonts w:ascii="Palatino" w:hAnsi="Palatino"/>
          <w:sz w:val="26"/>
          <w:szCs w:val="26"/>
        </w:rPr>
        <w:t xml:space="preserve">Consistent with the determination above, all three Utilities should state explicitly that </w:t>
      </w:r>
      <w:r w:rsidRPr="00670BB8" w:rsidR="00685390">
        <w:rPr>
          <w:rFonts w:ascii="Palatino" w:hAnsi="Palatino"/>
          <w:sz w:val="26"/>
          <w:szCs w:val="26"/>
        </w:rPr>
        <w:t xml:space="preserve">additional material modifications outside of the identified types </w:t>
      </w:r>
      <w:r w:rsidR="00685390">
        <w:rPr>
          <w:rFonts w:ascii="Palatino" w:hAnsi="Palatino"/>
          <w:sz w:val="26"/>
          <w:szCs w:val="26"/>
        </w:rPr>
        <w:t>will</w:t>
      </w:r>
      <w:r w:rsidRPr="00670BB8" w:rsidR="00685390">
        <w:rPr>
          <w:rFonts w:ascii="Palatino" w:hAnsi="Palatino"/>
          <w:sz w:val="26"/>
          <w:szCs w:val="26"/>
        </w:rPr>
        <w:t xml:space="preserve"> not be accepted within Fast Track</w:t>
      </w:r>
      <w:r w:rsidR="006E1F8A">
        <w:rPr>
          <w:rFonts w:ascii="Palatino" w:hAnsi="Palatino"/>
          <w:sz w:val="26"/>
          <w:szCs w:val="26"/>
        </w:rPr>
        <w:t>.</w:t>
      </w:r>
      <w:r w:rsidR="00685390">
        <w:rPr>
          <w:rFonts w:ascii="Palatino" w:hAnsi="Palatino"/>
          <w:sz w:val="26"/>
          <w:szCs w:val="26"/>
        </w:rPr>
        <w:t xml:space="preserve"> </w:t>
      </w:r>
      <w:r w:rsidR="000C2243">
        <w:rPr>
          <w:rFonts w:ascii="Palatino" w:hAnsi="Palatino"/>
          <w:sz w:val="26"/>
          <w:szCs w:val="26"/>
        </w:rPr>
        <w:t xml:space="preserve">In addition, </w:t>
      </w:r>
      <w:r w:rsidR="00F81E8D">
        <w:rPr>
          <w:rFonts w:ascii="Palatino" w:hAnsi="Palatino"/>
          <w:sz w:val="26"/>
          <w:szCs w:val="26"/>
        </w:rPr>
        <w:t xml:space="preserve">SCE should align </w:t>
      </w:r>
      <w:r w:rsidR="0074433C">
        <w:rPr>
          <w:rFonts w:ascii="Palatino" w:hAnsi="Palatino"/>
          <w:sz w:val="26"/>
          <w:szCs w:val="26"/>
        </w:rPr>
        <w:t xml:space="preserve">its </w:t>
      </w:r>
      <w:r w:rsidR="00925543">
        <w:rPr>
          <w:rFonts w:ascii="Palatino" w:hAnsi="Palatino"/>
          <w:sz w:val="26"/>
          <w:szCs w:val="26"/>
        </w:rPr>
        <w:t xml:space="preserve">Section F.2 structure with that proposed by PG&amp;E and SDG&amp;E. Where </w:t>
      </w:r>
      <w:r w:rsidR="00E34B02">
        <w:rPr>
          <w:rFonts w:ascii="Palatino" w:hAnsi="Palatino"/>
          <w:sz w:val="26"/>
          <w:szCs w:val="26"/>
        </w:rPr>
        <w:t xml:space="preserve">the appropriate standardization is unclear, the Utilities should consult with Energy Division staff. </w:t>
      </w:r>
      <w:bookmarkEnd w:id="4"/>
    </w:p>
    <w:p w:rsidR="00E47C21" w:rsidP="009C298C" w:rsidRDefault="00E47C21" w14:paraId="55EE70CB" w14:textId="076BA2B1">
      <w:pPr>
        <w:rPr>
          <w:rFonts w:ascii="Palatino" w:hAnsi="Palatino"/>
          <w:sz w:val="26"/>
          <w:szCs w:val="26"/>
        </w:rPr>
      </w:pPr>
    </w:p>
    <w:p w:rsidR="00C4227A" w:rsidP="009C298C" w:rsidRDefault="00C4227A" w14:paraId="474D2336" w14:textId="754CB052">
      <w:pPr>
        <w:rPr>
          <w:rFonts w:ascii="Palatino" w:hAnsi="Palatino"/>
          <w:sz w:val="26"/>
          <w:szCs w:val="26"/>
        </w:rPr>
      </w:pPr>
    </w:p>
    <w:p w:rsidRPr="00670BB8" w:rsidR="00C4227A" w:rsidP="009C298C" w:rsidRDefault="00C4227A" w14:paraId="1A153499" w14:textId="77777777">
      <w:pPr>
        <w:rPr>
          <w:rFonts w:ascii="Palatino" w:hAnsi="Palatino"/>
          <w:sz w:val="26"/>
          <w:szCs w:val="26"/>
        </w:rPr>
      </w:pPr>
    </w:p>
    <w:p w:rsidRPr="00670BB8" w:rsidR="00690517" w:rsidP="008D0142" w:rsidRDefault="00690517" w14:paraId="4E8620C4" w14:textId="1CC68860">
      <w:pPr>
        <w:rPr>
          <w:rFonts w:ascii="Palatino" w:hAnsi="Palatino"/>
          <w:sz w:val="26"/>
          <w:szCs w:val="26"/>
          <w:u w:val="single"/>
        </w:rPr>
      </w:pPr>
      <w:r w:rsidRPr="00670BB8">
        <w:rPr>
          <w:rFonts w:ascii="Palatino" w:hAnsi="Palatino"/>
          <w:sz w:val="26"/>
          <w:szCs w:val="26"/>
          <w:u w:val="single"/>
        </w:rPr>
        <w:lastRenderedPageBreak/>
        <w:t>Conclusion</w:t>
      </w:r>
    </w:p>
    <w:p w:rsidRPr="00670BB8" w:rsidR="008749DF" w:rsidP="008D0142" w:rsidRDefault="007161A2" w14:paraId="076A8912" w14:textId="230FA8DB">
      <w:pPr>
        <w:rPr>
          <w:rFonts w:ascii="Palatino" w:hAnsi="Palatino"/>
          <w:sz w:val="26"/>
          <w:szCs w:val="26"/>
        </w:rPr>
      </w:pPr>
      <w:r>
        <w:rPr>
          <w:rFonts w:ascii="Palatino" w:hAnsi="Palatino"/>
          <w:sz w:val="26"/>
          <w:szCs w:val="26"/>
        </w:rPr>
        <w:t>This Resolution finds that t</w:t>
      </w:r>
      <w:r w:rsidRPr="00670BB8" w:rsidR="008749DF">
        <w:rPr>
          <w:rFonts w:ascii="Palatino" w:hAnsi="Palatino"/>
          <w:sz w:val="26"/>
          <w:szCs w:val="26"/>
        </w:rPr>
        <w:t xml:space="preserve">he language proposed by SCE AL 4009-E </w:t>
      </w:r>
      <w:r w:rsidRPr="00670BB8" w:rsidR="00402EE5">
        <w:rPr>
          <w:rFonts w:ascii="Palatino" w:hAnsi="Palatino"/>
          <w:sz w:val="26"/>
          <w:szCs w:val="26"/>
        </w:rPr>
        <w:t>and AL</w:t>
      </w:r>
      <w:r w:rsidR="00C4227A">
        <w:rPr>
          <w:rFonts w:ascii="Palatino" w:hAnsi="Palatino"/>
          <w:sz w:val="26"/>
          <w:szCs w:val="26"/>
        </w:rPr>
        <w:br/>
      </w:r>
      <w:r w:rsidRPr="00670BB8" w:rsidR="00402EE5">
        <w:rPr>
          <w:rFonts w:ascii="Palatino" w:hAnsi="Palatino"/>
          <w:sz w:val="26"/>
          <w:szCs w:val="26"/>
        </w:rPr>
        <w:t xml:space="preserve">4009-E-A </w:t>
      </w:r>
      <w:r w:rsidRPr="00670BB8" w:rsidR="008749DF">
        <w:rPr>
          <w:rFonts w:ascii="Palatino" w:hAnsi="Palatino"/>
          <w:sz w:val="26"/>
          <w:szCs w:val="26"/>
        </w:rPr>
        <w:t xml:space="preserve">and SDG&amp;E AL 3381-E limiting </w:t>
      </w:r>
      <w:r w:rsidRPr="00670BB8" w:rsidR="00402EE5">
        <w:rPr>
          <w:rFonts w:ascii="Palatino" w:hAnsi="Palatino"/>
          <w:sz w:val="26"/>
          <w:szCs w:val="26"/>
        </w:rPr>
        <w:t xml:space="preserve">material </w:t>
      </w:r>
      <w:r w:rsidRPr="00670BB8" w:rsidR="008749DF">
        <w:rPr>
          <w:rFonts w:ascii="Palatino" w:hAnsi="Palatino"/>
          <w:sz w:val="26"/>
          <w:szCs w:val="26"/>
        </w:rPr>
        <w:t xml:space="preserve">modifications to Fast Track Interconnection Applications to those specifically listed is consistent with </w:t>
      </w:r>
      <w:r w:rsidR="00C4227A">
        <w:rPr>
          <w:rFonts w:ascii="Palatino" w:hAnsi="Palatino"/>
          <w:sz w:val="26"/>
          <w:szCs w:val="26"/>
        </w:rPr>
        <w:br/>
      </w:r>
      <w:r w:rsidRPr="00670BB8" w:rsidR="00543CA6">
        <w:rPr>
          <w:rFonts w:ascii="Palatino" w:hAnsi="Palatino"/>
          <w:sz w:val="26"/>
          <w:szCs w:val="26"/>
        </w:rPr>
        <w:t>D.19-03-013</w:t>
      </w:r>
      <w:r w:rsidRPr="00670BB8" w:rsidR="008749DF">
        <w:rPr>
          <w:rFonts w:ascii="Palatino" w:hAnsi="Palatino"/>
          <w:sz w:val="26"/>
          <w:szCs w:val="26"/>
        </w:rPr>
        <w:t xml:space="preserve"> and should be adopted. </w:t>
      </w:r>
      <w:r w:rsidR="00A33133">
        <w:rPr>
          <w:rFonts w:ascii="Palatino" w:hAnsi="Palatino"/>
          <w:sz w:val="26"/>
          <w:szCs w:val="26"/>
        </w:rPr>
        <w:t xml:space="preserve">The removal of language </w:t>
      </w:r>
      <w:r w:rsidRPr="00670BB8" w:rsidR="00A33133">
        <w:rPr>
          <w:rFonts w:ascii="Palatino" w:hAnsi="Palatino"/>
          <w:sz w:val="26"/>
          <w:szCs w:val="26"/>
        </w:rPr>
        <w:t>limiting material modifications to Fast Track Interconnection Applications to those specifically listed</w:t>
      </w:r>
      <w:r w:rsidR="00A33133">
        <w:rPr>
          <w:rFonts w:ascii="Palatino" w:hAnsi="Palatino"/>
          <w:sz w:val="26"/>
          <w:szCs w:val="26"/>
        </w:rPr>
        <w:t xml:space="preserve">, as proposed by </w:t>
      </w:r>
      <w:r w:rsidRPr="00670BB8" w:rsidR="00A33133">
        <w:rPr>
          <w:rFonts w:ascii="Palatino" w:hAnsi="Palatino"/>
          <w:sz w:val="26"/>
          <w:szCs w:val="26"/>
        </w:rPr>
        <w:t>SDG&amp;E AL 3381-E</w:t>
      </w:r>
      <w:r w:rsidR="00A33133">
        <w:rPr>
          <w:rFonts w:ascii="Palatino" w:hAnsi="Palatino"/>
          <w:sz w:val="26"/>
          <w:szCs w:val="26"/>
        </w:rPr>
        <w:t>-A</w:t>
      </w:r>
      <w:r w:rsidR="00E41EA4">
        <w:rPr>
          <w:rFonts w:ascii="Palatino" w:hAnsi="Palatino"/>
          <w:sz w:val="26"/>
          <w:szCs w:val="26"/>
        </w:rPr>
        <w:t>,</w:t>
      </w:r>
      <w:r w:rsidR="00A33133">
        <w:rPr>
          <w:rFonts w:ascii="Palatino" w:hAnsi="Palatino"/>
          <w:sz w:val="26"/>
          <w:szCs w:val="26"/>
        </w:rPr>
        <w:t xml:space="preserve"> </w:t>
      </w:r>
      <w:r w:rsidR="00E41EA4">
        <w:rPr>
          <w:rFonts w:ascii="Palatino" w:hAnsi="Palatino"/>
          <w:sz w:val="26"/>
          <w:szCs w:val="26"/>
        </w:rPr>
        <w:t>should be</w:t>
      </w:r>
      <w:r w:rsidR="00A33133">
        <w:rPr>
          <w:rFonts w:ascii="Palatino" w:hAnsi="Palatino"/>
          <w:sz w:val="26"/>
          <w:szCs w:val="26"/>
        </w:rPr>
        <w:t xml:space="preserve"> rejected</w:t>
      </w:r>
      <w:r w:rsidR="00E41EA4">
        <w:rPr>
          <w:rFonts w:ascii="Palatino" w:hAnsi="Palatino"/>
          <w:sz w:val="26"/>
          <w:szCs w:val="26"/>
        </w:rPr>
        <w:t>.</w:t>
      </w:r>
    </w:p>
    <w:p w:rsidRPr="00670BB8" w:rsidR="00050318" w:rsidP="008D0142" w:rsidRDefault="00050318" w14:paraId="14555B8E" w14:textId="29A6032C">
      <w:pPr>
        <w:rPr>
          <w:rFonts w:ascii="Palatino" w:hAnsi="Palatino"/>
          <w:sz w:val="26"/>
          <w:szCs w:val="26"/>
        </w:rPr>
      </w:pPr>
    </w:p>
    <w:p w:rsidRPr="00670BB8" w:rsidR="000C099F" w:rsidP="008D0142" w:rsidRDefault="007161A2" w14:paraId="27AF6302" w14:textId="67E8229E">
      <w:pPr>
        <w:rPr>
          <w:rFonts w:ascii="Palatino" w:hAnsi="Palatino"/>
          <w:sz w:val="26"/>
          <w:szCs w:val="26"/>
        </w:rPr>
      </w:pPr>
      <w:r>
        <w:rPr>
          <w:rFonts w:ascii="Palatino" w:hAnsi="Palatino"/>
          <w:sz w:val="26"/>
          <w:szCs w:val="26"/>
        </w:rPr>
        <w:t>This Resolution orders the</w:t>
      </w:r>
      <w:r w:rsidRPr="00670BB8" w:rsidR="00050318">
        <w:rPr>
          <w:rFonts w:ascii="Palatino" w:hAnsi="Palatino"/>
          <w:sz w:val="26"/>
          <w:szCs w:val="26"/>
        </w:rPr>
        <w:t xml:space="preserve"> </w:t>
      </w:r>
      <w:r w:rsidR="00870AF0">
        <w:rPr>
          <w:rFonts w:ascii="Palatino" w:hAnsi="Palatino"/>
          <w:sz w:val="26"/>
          <w:szCs w:val="26"/>
        </w:rPr>
        <w:t>Utilities</w:t>
      </w:r>
      <w:r w:rsidRPr="00670BB8" w:rsidR="00870AF0">
        <w:rPr>
          <w:rFonts w:ascii="Palatino" w:hAnsi="Palatino"/>
          <w:sz w:val="26"/>
          <w:szCs w:val="26"/>
        </w:rPr>
        <w:t xml:space="preserve"> </w:t>
      </w:r>
      <w:r>
        <w:rPr>
          <w:rFonts w:ascii="Palatino" w:hAnsi="Palatino"/>
          <w:sz w:val="26"/>
          <w:szCs w:val="26"/>
        </w:rPr>
        <w:t>to</w:t>
      </w:r>
      <w:r w:rsidRPr="00670BB8" w:rsidR="00D66A27">
        <w:rPr>
          <w:rFonts w:ascii="Palatino" w:hAnsi="Palatino"/>
          <w:sz w:val="26"/>
          <w:szCs w:val="26"/>
        </w:rPr>
        <w:t xml:space="preserve"> standardize their </w:t>
      </w:r>
      <w:r w:rsidRPr="00670BB8" w:rsidR="00DD5623">
        <w:rPr>
          <w:rFonts w:ascii="Palatino" w:hAnsi="Palatino"/>
          <w:sz w:val="26"/>
          <w:szCs w:val="26"/>
        </w:rPr>
        <w:t>Rule 21 language describing the allowed types of modifications to interconnection applications under Fast Track</w:t>
      </w:r>
      <w:r w:rsidRPr="00670BB8" w:rsidR="00DD1C3E">
        <w:rPr>
          <w:rFonts w:ascii="Palatino" w:hAnsi="Palatino"/>
          <w:sz w:val="26"/>
          <w:szCs w:val="26"/>
        </w:rPr>
        <w:t>.</w:t>
      </w:r>
    </w:p>
    <w:p w:rsidRPr="00670BB8" w:rsidR="003403B9" w:rsidP="008D0142" w:rsidRDefault="003403B9" w14:paraId="482C27C0" w14:textId="77777777">
      <w:pPr>
        <w:rPr>
          <w:rFonts w:ascii="Palatino" w:hAnsi="Palatino"/>
          <w:sz w:val="26"/>
          <w:szCs w:val="26"/>
        </w:rPr>
      </w:pPr>
    </w:p>
    <w:p w:rsidRPr="00670BB8" w:rsidR="000C099F" w:rsidP="000C099F" w:rsidRDefault="000C099F" w14:paraId="2137B073" w14:textId="353F9ED0">
      <w:pPr>
        <w:rPr>
          <w:rFonts w:ascii="Palatino" w:hAnsi="Palatino"/>
          <w:b/>
          <w:bCs/>
          <w:sz w:val="26"/>
          <w:szCs w:val="26"/>
        </w:rPr>
      </w:pPr>
      <w:r w:rsidRPr="00670BB8">
        <w:rPr>
          <w:rFonts w:ascii="Palatino" w:hAnsi="Palatino"/>
          <w:b/>
          <w:bCs/>
          <w:sz w:val="26"/>
          <w:szCs w:val="26"/>
        </w:rPr>
        <w:t xml:space="preserve">Issue </w:t>
      </w:r>
      <w:r w:rsidRPr="00670BB8" w:rsidR="00046028">
        <w:rPr>
          <w:rFonts w:ascii="Palatino" w:hAnsi="Palatino"/>
          <w:b/>
          <w:bCs/>
          <w:sz w:val="26"/>
          <w:szCs w:val="26"/>
        </w:rPr>
        <w:t>3</w:t>
      </w:r>
      <w:r w:rsidRPr="00670BB8">
        <w:rPr>
          <w:rFonts w:ascii="Palatino" w:hAnsi="Palatino"/>
          <w:b/>
          <w:bCs/>
          <w:sz w:val="26"/>
          <w:szCs w:val="26"/>
        </w:rPr>
        <w:t>: Number of Material Modifications Allowed to Fast Track Interconnection Applications</w:t>
      </w:r>
    </w:p>
    <w:p w:rsidRPr="00670BB8" w:rsidR="000C099F" w:rsidP="000C099F" w:rsidRDefault="000C099F" w14:paraId="7078EF83" w14:textId="77777777">
      <w:pPr>
        <w:rPr>
          <w:rFonts w:ascii="Palatino" w:hAnsi="Palatino"/>
          <w:b/>
          <w:bCs/>
          <w:sz w:val="26"/>
          <w:szCs w:val="26"/>
          <w:u w:val="single"/>
        </w:rPr>
      </w:pPr>
    </w:p>
    <w:p w:rsidRPr="00670BB8" w:rsidR="000C099F" w:rsidP="008D0142" w:rsidRDefault="000C099F" w14:paraId="637BBF4E" w14:textId="224A1618">
      <w:pPr>
        <w:rPr>
          <w:rFonts w:ascii="Palatino" w:hAnsi="Palatino"/>
          <w:sz w:val="26"/>
          <w:szCs w:val="26"/>
          <w:u w:val="single"/>
        </w:rPr>
      </w:pPr>
      <w:r w:rsidRPr="00670BB8">
        <w:rPr>
          <w:rFonts w:ascii="Palatino" w:hAnsi="Palatino"/>
          <w:sz w:val="26"/>
          <w:szCs w:val="26"/>
          <w:u w:val="single"/>
        </w:rPr>
        <w:t>Protests</w:t>
      </w:r>
      <w:r w:rsidRPr="00670BB8" w:rsidR="00690517">
        <w:rPr>
          <w:rFonts w:ascii="Palatino" w:hAnsi="Palatino"/>
          <w:sz w:val="26"/>
          <w:szCs w:val="26"/>
          <w:u w:val="single"/>
        </w:rPr>
        <w:t xml:space="preserve"> and </w:t>
      </w:r>
      <w:r w:rsidRPr="00870AF0" w:rsidR="00870AF0">
        <w:rPr>
          <w:rFonts w:ascii="Palatino" w:hAnsi="Palatino"/>
          <w:sz w:val="26"/>
          <w:szCs w:val="26"/>
          <w:u w:val="single"/>
        </w:rPr>
        <w:t>Utility</w:t>
      </w:r>
      <w:r w:rsidRPr="00670BB8" w:rsidR="00690517">
        <w:rPr>
          <w:rFonts w:ascii="Palatino" w:hAnsi="Palatino"/>
          <w:sz w:val="26"/>
          <w:szCs w:val="26"/>
          <w:u w:val="single"/>
        </w:rPr>
        <w:t xml:space="preserve"> Responses to Protests</w:t>
      </w:r>
    </w:p>
    <w:p w:rsidRPr="00670BB8" w:rsidR="008D0142" w:rsidP="008D0142" w:rsidRDefault="008D0142" w14:paraId="05DC3D55" w14:textId="63818449">
      <w:pPr>
        <w:rPr>
          <w:rFonts w:ascii="Palatino" w:hAnsi="Palatino"/>
          <w:sz w:val="26"/>
          <w:szCs w:val="26"/>
        </w:rPr>
      </w:pPr>
      <w:r w:rsidRPr="00670BB8">
        <w:rPr>
          <w:rFonts w:ascii="Palatino" w:hAnsi="Palatino"/>
          <w:sz w:val="26"/>
          <w:szCs w:val="26"/>
        </w:rPr>
        <w:t xml:space="preserve">CALSSA argues that PG&amp;E AL 5553-E is inconsistent with </w:t>
      </w:r>
      <w:r w:rsidRPr="00670BB8" w:rsidR="00543CA6">
        <w:rPr>
          <w:rFonts w:ascii="Palatino" w:hAnsi="Palatino"/>
          <w:sz w:val="26"/>
          <w:szCs w:val="26"/>
        </w:rPr>
        <w:t>D.19-03-013</w:t>
      </w:r>
      <w:r w:rsidRPr="00670BB8">
        <w:rPr>
          <w:rFonts w:ascii="Palatino" w:hAnsi="Palatino"/>
          <w:sz w:val="26"/>
          <w:szCs w:val="26"/>
        </w:rPr>
        <w:t>’s determination that the utilities have the discretion to allow more than one material modification to a Fast Track interconnection application.</w:t>
      </w:r>
      <w:r w:rsidRPr="00670BB8" w:rsidR="00EE6773">
        <w:rPr>
          <w:rFonts w:ascii="Palatino" w:hAnsi="Palatino"/>
          <w:sz w:val="26"/>
          <w:szCs w:val="26"/>
        </w:rPr>
        <w:t xml:space="preserve"> CALSSA also note</w:t>
      </w:r>
      <w:r w:rsidR="00B8163D">
        <w:rPr>
          <w:rFonts w:ascii="Palatino" w:hAnsi="Palatino"/>
          <w:sz w:val="26"/>
          <w:szCs w:val="26"/>
        </w:rPr>
        <w:t>s</w:t>
      </w:r>
      <w:r w:rsidRPr="00670BB8" w:rsidR="00EE6773">
        <w:rPr>
          <w:rFonts w:ascii="Palatino" w:hAnsi="Palatino"/>
          <w:sz w:val="26"/>
          <w:szCs w:val="26"/>
        </w:rPr>
        <w:t xml:space="preserve"> that the footnotes in </w:t>
      </w:r>
      <w:r w:rsidRPr="00670BB8" w:rsidR="00BF6335">
        <w:rPr>
          <w:rFonts w:ascii="Palatino" w:hAnsi="Palatino"/>
          <w:sz w:val="26"/>
          <w:szCs w:val="26"/>
        </w:rPr>
        <w:t>PG&amp;E’s Rule 21 Table Ee.3 are reversed.</w:t>
      </w:r>
    </w:p>
    <w:p w:rsidRPr="00670BB8" w:rsidR="000C099F" w:rsidP="008D0142" w:rsidRDefault="000C099F" w14:paraId="76C8049E" w14:textId="72662BB7">
      <w:pPr>
        <w:rPr>
          <w:rFonts w:ascii="Palatino" w:hAnsi="Palatino"/>
          <w:sz w:val="26"/>
          <w:szCs w:val="26"/>
        </w:rPr>
      </w:pPr>
    </w:p>
    <w:p w:rsidRPr="00670BB8" w:rsidR="000C099F" w:rsidP="000C099F" w:rsidRDefault="000C099F" w14:paraId="49E137D8" w14:textId="2ACD96B4">
      <w:pPr>
        <w:rPr>
          <w:rFonts w:ascii="Palatino" w:hAnsi="Palatino"/>
          <w:sz w:val="26"/>
          <w:szCs w:val="26"/>
        </w:rPr>
      </w:pPr>
      <w:r w:rsidRPr="00670BB8">
        <w:rPr>
          <w:rFonts w:ascii="Palatino" w:hAnsi="Palatino"/>
          <w:sz w:val="26"/>
          <w:szCs w:val="26"/>
        </w:rPr>
        <w:t xml:space="preserve">In response to CALSSA’s </w:t>
      </w:r>
      <w:r w:rsidRPr="00670BB8" w:rsidR="00BF6335">
        <w:rPr>
          <w:rFonts w:ascii="Palatino" w:hAnsi="Palatino"/>
          <w:sz w:val="26"/>
          <w:szCs w:val="26"/>
        </w:rPr>
        <w:t>protest of AL 5553-E</w:t>
      </w:r>
      <w:r w:rsidRPr="00670BB8">
        <w:rPr>
          <w:rFonts w:ascii="Palatino" w:hAnsi="Palatino"/>
          <w:sz w:val="26"/>
          <w:szCs w:val="26"/>
        </w:rPr>
        <w:t xml:space="preserve">, </w:t>
      </w:r>
      <w:r w:rsidRPr="00670BB8" w:rsidR="00BF6335">
        <w:rPr>
          <w:rFonts w:ascii="Palatino" w:hAnsi="Palatino"/>
          <w:sz w:val="26"/>
          <w:szCs w:val="26"/>
        </w:rPr>
        <w:t xml:space="preserve">PG&amp;E </w:t>
      </w:r>
      <w:r w:rsidRPr="00670BB8" w:rsidR="00475F25">
        <w:rPr>
          <w:rFonts w:ascii="Palatino" w:hAnsi="Palatino"/>
          <w:sz w:val="26"/>
          <w:szCs w:val="26"/>
        </w:rPr>
        <w:t>indicates willingness</w:t>
      </w:r>
      <w:r w:rsidRPr="00670BB8" w:rsidR="00BF6335">
        <w:rPr>
          <w:rFonts w:ascii="Palatino" w:hAnsi="Palatino"/>
          <w:sz w:val="26"/>
          <w:szCs w:val="26"/>
        </w:rPr>
        <w:t xml:space="preserve"> to </w:t>
      </w:r>
      <w:r w:rsidRPr="00670BB8" w:rsidR="00B00D84">
        <w:rPr>
          <w:rFonts w:ascii="Palatino" w:hAnsi="Palatino"/>
          <w:sz w:val="26"/>
          <w:szCs w:val="26"/>
        </w:rPr>
        <w:t xml:space="preserve">modify </w:t>
      </w:r>
      <w:r w:rsidR="005B399C">
        <w:rPr>
          <w:rFonts w:ascii="Palatino" w:hAnsi="Palatino"/>
          <w:sz w:val="26"/>
          <w:szCs w:val="26"/>
        </w:rPr>
        <w:t>its</w:t>
      </w:r>
      <w:r w:rsidRPr="00670BB8" w:rsidR="005B399C">
        <w:rPr>
          <w:rFonts w:ascii="Palatino" w:hAnsi="Palatino"/>
          <w:sz w:val="26"/>
          <w:szCs w:val="26"/>
        </w:rPr>
        <w:t xml:space="preserve"> </w:t>
      </w:r>
      <w:r w:rsidRPr="00670BB8" w:rsidR="00B00D84">
        <w:rPr>
          <w:rFonts w:ascii="Palatino" w:hAnsi="Palatino"/>
          <w:sz w:val="26"/>
          <w:szCs w:val="26"/>
        </w:rPr>
        <w:t>tariff language to 1) clarify that</w:t>
      </w:r>
      <w:r w:rsidRPr="00670BB8" w:rsidR="00054DBF">
        <w:rPr>
          <w:rFonts w:ascii="Palatino" w:hAnsi="Palatino"/>
          <w:sz w:val="26"/>
          <w:szCs w:val="26"/>
        </w:rPr>
        <w:t>,</w:t>
      </w:r>
      <w:r w:rsidRPr="00670BB8" w:rsidR="00B00D84">
        <w:rPr>
          <w:rFonts w:ascii="Palatino" w:hAnsi="Palatino"/>
          <w:sz w:val="26"/>
          <w:szCs w:val="26"/>
        </w:rPr>
        <w:t xml:space="preserve"> </w:t>
      </w:r>
      <w:r w:rsidRPr="00670BB8">
        <w:rPr>
          <w:rFonts w:ascii="Palatino" w:hAnsi="Palatino"/>
          <w:sz w:val="26"/>
          <w:szCs w:val="26"/>
        </w:rPr>
        <w:t xml:space="preserve">consistent with the language of </w:t>
      </w:r>
      <w:r w:rsidR="00C4227A">
        <w:rPr>
          <w:rFonts w:ascii="Palatino" w:hAnsi="Palatino"/>
          <w:sz w:val="26"/>
          <w:szCs w:val="26"/>
        </w:rPr>
        <w:br/>
      </w:r>
      <w:r w:rsidRPr="00670BB8">
        <w:rPr>
          <w:rFonts w:ascii="Palatino" w:hAnsi="Palatino"/>
          <w:sz w:val="26"/>
          <w:szCs w:val="26"/>
        </w:rPr>
        <w:t xml:space="preserve">D.19-03-013, </w:t>
      </w:r>
      <w:r w:rsidRPr="00670BB8" w:rsidR="00054DBF">
        <w:rPr>
          <w:rFonts w:ascii="Palatino" w:hAnsi="Palatino"/>
          <w:sz w:val="26"/>
          <w:szCs w:val="26"/>
        </w:rPr>
        <w:t xml:space="preserve">utilities have the discretion to allow more than one material modification to a Fast Track interconnection application, even when </w:t>
      </w:r>
      <w:r w:rsidRPr="00670BB8" w:rsidR="008A655A">
        <w:rPr>
          <w:rFonts w:ascii="Palatino" w:hAnsi="Palatino"/>
          <w:sz w:val="26"/>
          <w:szCs w:val="26"/>
        </w:rPr>
        <w:t>utility action has not necessitated the modification and</w:t>
      </w:r>
      <w:r w:rsidRPr="00670BB8" w:rsidR="00475F25">
        <w:rPr>
          <w:rFonts w:ascii="Palatino" w:hAnsi="Palatino"/>
          <w:sz w:val="26"/>
          <w:szCs w:val="26"/>
        </w:rPr>
        <w:t xml:space="preserve"> 2) correct the error in the </w:t>
      </w:r>
      <w:r w:rsidRPr="00670BB8" w:rsidR="002F65D6">
        <w:rPr>
          <w:rFonts w:ascii="Palatino" w:hAnsi="Palatino"/>
          <w:sz w:val="26"/>
          <w:szCs w:val="26"/>
        </w:rPr>
        <w:t>footnotes in Table Ee.3.</w:t>
      </w:r>
    </w:p>
    <w:p w:rsidRPr="00670BB8" w:rsidR="000C099F" w:rsidP="008D0142" w:rsidRDefault="000C099F" w14:paraId="54A7F14F" w14:textId="77777777">
      <w:pPr>
        <w:rPr>
          <w:rFonts w:ascii="Palatino" w:hAnsi="Palatino"/>
          <w:sz w:val="26"/>
          <w:szCs w:val="26"/>
        </w:rPr>
      </w:pPr>
    </w:p>
    <w:p w:rsidRPr="00670BB8" w:rsidR="008C4EA6" w:rsidP="008C4EA6" w:rsidRDefault="008C4EA6" w14:paraId="25D29CEE" w14:textId="77777777">
      <w:pPr>
        <w:rPr>
          <w:rFonts w:ascii="Palatino" w:hAnsi="Palatino"/>
          <w:sz w:val="26"/>
          <w:szCs w:val="26"/>
          <w:u w:val="single"/>
        </w:rPr>
      </w:pPr>
      <w:r w:rsidRPr="00670BB8">
        <w:rPr>
          <w:rFonts w:ascii="Palatino" w:hAnsi="Palatino"/>
          <w:sz w:val="26"/>
          <w:szCs w:val="26"/>
          <w:u w:val="single"/>
        </w:rPr>
        <w:t>Supplemental Advice Letters</w:t>
      </w:r>
    </w:p>
    <w:p w:rsidR="008C4EA6" w:rsidP="008C4EA6" w:rsidRDefault="008C4EA6" w14:paraId="1BDB0C69" w14:textId="2C1B3343">
      <w:pPr>
        <w:rPr>
          <w:rFonts w:ascii="Palatino" w:hAnsi="Palatino"/>
          <w:sz w:val="26"/>
          <w:szCs w:val="26"/>
        </w:rPr>
      </w:pPr>
      <w:r>
        <w:rPr>
          <w:rFonts w:ascii="Palatino" w:hAnsi="Palatino"/>
          <w:sz w:val="26"/>
          <w:szCs w:val="26"/>
        </w:rPr>
        <w:t xml:space="preserve">The </w:t>
      </w:r>
      <w:r w:rsidR="00814C6B">
        <w:rPr>
          <w:rFonts w:ascii="Palatino" w:hAnsi="Palatino"/>
          <w:sz w:val="26"/>
          <w:szCs w:val="26"/>
        </w:rPr>
        <w:t>number of material modifications allowed to Fast Track interconnection applications</w:t>
      </w:r>
      <w:r>
        <w:rPr>
          <w:rFonts w:ascii="Palatino" w:hAnsi="Palatino"/>
          <w:sz w:val="26"/>
          <w:szCs w:val="26"/>
        </w:rPr>
        <w:t xml:space="preserve"> was not addressed by either </w:t>
      </w:r>
      <w:r w:rsidRPr="00670BB8">
        <w:rPr>
          <w:rFonts w:ascii="Palatino" w:hAnsi="Palatino"/>
          <w:sz w:val="26"/>
          <w:szCs w:val="26"/>
        </w:rPr>
        <w:t>SCE AL 4009-E-A</w:t>
      </w:r>
      <w:r>
        <w:rPr>
          <w:rFonts w:ascii="Palatino" w:hAnsi="Palatino"/>
          <w:sz w:val="26"/>
          <w:szCs w:val="26"/>
        </w:rPr>
        <w:t xml:space="preserve"> or </w:t>
      </w:r>
      <w:r w:rsidRPr="00670BB8">
        <w:rPr>
          <w:rFonts w:ascii="Palatino" w:hAnsi="Palatino"/>
          <w:sz w:val="26"/>
          <w:szCs w:val="26"/>
        </w:rPr>
        <w:t xml:space="preserve">SDG&amp;E AL </w:t>
      </w:r>
      <w:r w:rsidR="00C4227A">
        <w:rPr>
          <w:rFonts w:ascii="Palatino" w:hAnsi="Palatino"/>
          <w:sz w:val="26"/>
          <w:szCs w:val="26"/>
        </w:rPr>
        <w:br/>
      </w:r>
      <w:r w:rsidRPr="00670BB8">
        <w:rPr>
          <w:rFonts w:ascii="Palatino" w:hAnsi="Palatino"/>
          <w:sz w:val="26"/>
          <w:szCs w:val="26"/>
        </w:rPr>
        <w:t>3381-E-A</w:t>
      </w:r>
      <w:r>
        <w:rPr>
          <w:rFonts w:ascii="Palatino" w:hAnsi="Palatino"/>
          <w:sz w:val="26"/>
          <w:szCs w:val="26"/>
        </w:rPr>
        <w:t>.</w:t>
      </w:r>
    </w:p>
    <w:p w:rsidR="008C4EA6" w:rsidP="00690517" w:rsidRDefault="008C4EA6" w14:paraId="08BF081C" w14:textId="2A8A49D6">
      <w:pPr>
        <w:rPr>
          <w:rFonts w:ascii="Palatino" w:hAnsi="Palatino"/>
          <w:sz w:val="26"/>
          <w:szCs w:val="26"/>
          <w:u w:val="single"/>
        </w:rPr>
      </w:pPr>
    </w:p>
    <w:p w:rsidR="00C4227A" w:rsidP="00690517" w:rsidRDefault="00C4227A" w14:paraId="163F6EF0" w14:textId="1A8F98A6">
      <w:pPr>
        <w:rPr>
          <w:rFonts w:ascii="Palatino" w:hAnsi="Palatino"/>
          <w:sz w:val="26"/>
          <w:szCs w:val="26"/>
          <w:u w:val="single"/>
        </w:rPr>
      </w:pPr>
    </w:p>
    <w:p w:rsidR="00C4227A" w:rsidP="00690517" w:rsidRDefault="00C4227A" w14:paraId="11DFD945" w14:textId="77777777">
      <w:pPr>
        <w:rPr>
          <w:rFonts w:ascii="Palatino" w:hAnsi="Palatino"/>
          <w:sz w:val="26"/>
          <w:szCs w:val="26"/>
          <w:u w:val="single"/>
        </w:rPr>
      </w:pPr>
    </w:p>
    <w:p w:rsidRPr="00670BB8" w:rsidR="00690517" w:rsidP="00690517" w:rsidRDefault="00690517" w14:paraId="1ED7B51D" w14:textId="0FE2BED1">
      <w:pPr>
        <w:rPr>
          <w:rFonts w:ascii="Palatino" w:hAnsi="Palatino"/>
          <w:sz w:val="26"/>
          <w:szCs w:val="26"/>
          <w:u w:val="single"/>
        </w:rPr>
      </w:pPr>
      <w:r w:rsidRPr="00670BB8">
        <w:rPr>
          <w:rFonts w:ascii="Palatino" w:hAnsi="Palatino"/>
          <w:sz w:val="26"/>
          <w:szCs w:val="26"/>
          <w:u w:val="single"/>
        </w:rPr>
        <w:lastRenderedPageBreak/>
        <w:t>Discussion</w:t>
      </w:r>
    </w:p>
    <w:p w:rsidRPr="00670BB8" w:rsidR="005E716C" w:rsidP="00690517" w:rsidRDefault="005E716C" w14:paraId="2B1F5F30" w14:textId="09BF8A95">
      <w:pPr>
        <w:rPr>
          <w:rFonts w:ascii="Palatino" w:hAnsi="Palatino"/>
          <w:sz w:val="26"/>
          <w:szCs w:val="26"/>
        </w:rPr>
      </w:pPr>
      <w:r w:rsidRPr="00670BB8">
        <w:rPr>
          <w:rFonts w:ascii="Palatino" w:hAnsi="Palatino"/>
          <w:sz w:val="26"/>
          <w:szCs w:val="26"/>
        </w:rPr>
        <w:t xml:space="preserve">The modifications to the proposed tariff language put forth by PG&amp;E in </w:t>
      </w:r>
      <w:r w:rsidR="00243C23">
        <w:rPr>
          <w:rFonts w:ascii="Palatino" w:hAnsi="Palatino"/>
          <w:sz w:val="26"/>
          <w:szCs w:val="26"/>
        </w:rPr>
        <w:t>its</w:t>
      </w:r>
      <w:r w:rsidRPr="00670BB8" w:rsidR="00243C23">
        <w:rPr>
          <w:rFonts w:ascii="Palatino" w:hAnsi="Palatino"/>
          <w:sz w:val="26"/>
          <w:szCs w:val="26"/>
        </w:rPr>
        <w:t xml:space="preserve"> </w:t>
      </w:r>
      <w:r w:rsidRPr="00670BB8">
        <w:rPr>
          <w:rFonts w:ascii="Palatino" w:hAnsi="Palatino"/>
          <w:sz w:val="26"/>
          <w:szCs w:val="26"/>
        </w:rPr>
        <w:t xml:space="preserve">Response to CALSSA’s protest of AL 5553-E </w:t>
      </w:r>
      <w:r w:rsidRPr="00670BB8" w:rsidR="00F92FF0">
        <w:rPr>
          <w:rFonts w:ascii="Palatino" w:hAnsi="Palatino"/>
          <w:sz w:val="26"/>
          <w:szCs w:val="26"/>
        </w:rPr>
        <w:t xml:space="preserve">address the </w:t>
      </w:r>
      <w:r w:rsidRPr="00670BB8" w:rsidR="00EB33DF">
        <w:rPr>
          <w:rFonts w:ascii="Palatino" w:hAnsi="Palatino"/>
          <w:sz w:val="26"/>
          <w:szCs w:val="26"/>
        </w:rPr>
        <w:t>concerns raised by CALSSA</w:t>
      </w:r>
      <w:r w:rsidRPr="00670BB8" w:rsidR="00A2315E">
        <w:rPr>
          <w:rFonts w:ascii="Palatino" w:hAnsi="Palatino"/>
          <w:sz w:val="26"/>
          <w:szCs w:val="26"/>
        </w:rPr>
        <w:t xml:space="preserve"> and are compliant with </w:t>
      </w:r>
      <w:r w:rsidRPr="00670BB8" w:rsidR="00543CA6">
        <w:rPr>
          <w:rFonts w:ascii="Palatino" w:hAnsi="Palatino"/>
          <w:sz w:val="26"/>
          <w:szCs w:val="26"/>
        </w:rPr>
        <w:t>D.19-03-013</w:t>
      </w:r>
      <w:r w:rsidRPr="00670BB8" w:rsidR="00EB33DF">
        <w:rPr>
          <w:rFonts w:ascii="Palatino" w:hAnsi="Palatino"/>
          <w:sz w:val="26"/>
          <w:szCs w:val="26"/>
        </w:rPr>
        <w:t xml:space="preserve">. Hence, </w:t>
      </w:r>
      <w:r w:rsidRPr="00670BB8" w:rsidR="0075483F">
        <w:rPr>
          <w:rFonts w:ascii="Palatino" w:hAnsi="Palatino"/>
          <w:sz w:val="26"/>
          <w:szCs w:val="26"/>
        </w:rPr>
        <w:t xml:space="preserve">PG&amp;E shall </w:t>
      </w:r>
      <w:r w:rsidRPr="00670BB8" w:rsidR="00500A92">
        <w:rPr>
          <w:rFonts w:ascii="Palatino" w:hAnsi="Palatino"/>
          <w:sz w:val="26"/>
          <w:szCs w:val="26"/>
        </w:rPr>
        <w:t>amend</w:t>
      </w:r>
      <w:r w:rsidRPr="00670BB8" w:rsidR="0075483F">
        <w:rPr>
          <w:rFonts w:ascii="Palatino" w:hAnsi="Palatino"/>
          <w:sz w:val="26"/>
          <w:szCs w:val="26"/>
        </w:rPr>
        <w:t xml:space="preserve"> </w:t>
      </w:r>
      <w:r w:rsidRPr="00670BB8" w:rsidR="00F414F8">
        <w:rPr>
          <w:rFonts w:ascii="Palatino" w:hAnsi="Palatino"/>
          <w:sz w:val="26"/>
          <w:szCs w:val="26"/>
        </w:rPr>
        <w:t xml:space="preserve">Rule 21 Tables F.1 and Ee.3 as proposed in </w:t>
      </w:r>
      <w:r w:rsidR="00243C23">
        <w:rPr>
          <w:rFonts w:ascii="Palatino" w:hAnsi="Palatino"/>
          <w:sz w:val="26"/>
          <w:szCs w:val="26"/>
        </w:rPr>
        <w:t>its</w:t>
      </w:r>
      <w:r w:rsidRPr="00670BB8" w:rsidR="00243C23">
        <w:rPr>
          <w:rFonts w:ascii="Palatino" w:hAnsi="Palatino"/>
          <w:sz w:val="26"/>
          <w:szCs w:val="26"/>
        </w:rPr>
        <w:t xml:space="preserve"> </w:t>
      </w:r>
      <w:r w:rsidRPr="00670BB8" w:rsidR="00F414F8">
        <w:rPr>
          <w:rFonts w:ascii="Palatino" w:hAnsi="Palatino"/>
          <w:sz w:val="26"/>
          <w:szCs w:val="26"/>
        </w:rPr>
        <w:t xml:space="preserve">Response to CALSSA’s protest of </w:t>
      </w:r>
      <w:r w:rsidR="00C4227A">
        <w:rPr>
          <w:rFonts w:ascii="Palatino" w:hAnsi="Palatino"/>
          <w:sz w:val="26"/>
          <w:szCs w:val="26"/>
        </w:rPr>
        <w:br/>
      </w:r>
      <w:r w:rsidRPr="00670BB8" w:rsidR="00F414F8">
        <w:rPr>
          <w:rFonts w:ascii="Palatino" w:hAnsi="Palatino"/>
          <w:sz w:val="26"/>
          <w:szCs w:val="26"/>
        </w:rPr>
        <w:t>AL 5553-E.</w:t>
      </w:r>
      <w:r w:rsidRPr="00670BB8" w:rsidR="0075483F">
        <w:rPr>
          <w:rFonts w:ascii="Palatino" w:hAnsi="Palatino"/>
          <w:sz w:val="26"/>
          <w:szCs w:val="26"/>
        </w:rPr>
        <w:t xml:space="preserve"> </w:t>
      </w:r>
    </w:p>
    <w:p w:rsidRPr="00670BB8" w:rsidR="00690517" w:rsidP="00690517" w:rsidRDefault="00690517" w14:paraId="544BDF38" w14:textId="77777777">
      <w:pPr>
        <w:rPr>
          <w:rFonts w:ascii="Palatino" w:hAnsi="Palatino"/>
          <w:sz w:val="26"/>
          <w:szCs w:val="26"/>
        </w:rPr>
      </w:pPr>
    </w:p>
    <w:p w:rsidRPr="00670BB8" w:rsidR="00690517" w:rsidP="00690517" w:rsidRDefault="00690517" w14:paraId="7DBF3E55" w14:textId="77777777">
      <w:pPr>
        <w:rPr>
          <w:rFonts w:ascii="Palatino" w:hAnsi="Palatino"/>
          <w:sz w:val="26"/>
          <w:szCs w:val="26"/>
          <w:u w:val="single"/>
        </w:rPr>
      </w:pPr>
      <w:r w:rsidRPr="00670BB8">
        <w:rPr>
          <w:rFonts w:ascii="Palatino" w:hAnsi="Palatino"/>
          <w:sz w:val="26"/>
          <w:szCs w:val="26"/>
          <w:u w:val="single"/>
        </w:rPr>
        <w:t>Conclusion</w:t>
      </w:r>
    </w:p>
    <w:p w:rsidRPr="00670BB8" w:rsidR="008D0142" w:rsidP="008D0142" w:rsidRDefault="00F12214" w14:paraId="6D298A24" w14:textId="1434330C">
      <w:pPr>
        <w:rPr>
          <w:rFonts w:ascii="Palatino" w:hAnsi="Palatino"/>
          <w:sz w:val="26"/>
          <w:szCs w:val="26"/>
        </w:rPr>
      </w:pPr>
      <w:r>
        <w:rPr>
          <w:rFonts w:ascii="Palatino" w:hAnsi="Palatino"/>
          <w:sz w:val="26"/>
          <w:szCs w:val="26"/>
        </w:rPr>
        <w:t xml:space="preserve">This Resolution finds that </w:t>
      </w:r>
      <w:r w:rsidR="00F425CF">
        <w:rPr>
          <w:rFonts w:ascii="Palatino" w:hAnsi="Palatino"/>
          <w:sz w:val="26"/>
          <w:szCs w:val="26"/>
        </w:rPr>
        <w:t xml:space="preserve">the </w:t>
      </w:r>
      <w:r w:rsidRPr="00670BB8" w:rsidR="00F425CF">
        <w:rPr>
          <w:rFonts w:ascii="Palatino" w:hAnsi="Palatino"/>
          <w:sz w:val="26"/>
          <w:szCs w:val="26"/>
        </w:rPr>
        <w:t xml:space="preserve">tariff language </w:t>
      </w:r>
      <w:r w:rsidR="00F425CF">
        <w:rPr>
          <w:rFonts w:ascii="Palatino" w:hAnsi="Palatino"/>
          <w:sz w:val="26"/>
          <w:szCs w:val="26"/>
        </w:rPr>
        <w:t>proposed</w:t>
      </w:r>
      <w:r w:rsidRPr="00670BB8" w:rsidR="00F425CF">
        <w:rPr>
          <w:rFonts w:ascii="Palatino" w:hAnsi="Palatino"/>
          <w:sz w:val="26"/>
          <w:szCs w:val="26"/>
        </w:rPr>
        <w:t xml:space="preserve"> by PG&amp;E in </w:t>
      </w:r>
      <w:r w:rsidR="00243C23">
        <w:rPr>
          <w:rFonts w:ascii="Palatino" w:hAnsi="Palatino"/>
          <w:sz w:val="26"/>
          <w:szCs w:val="26"/>
        </w:rPr>
        <w:t>its</w:t>
      </w:r>
      <w:r w:rsidRPr="00670BB8" w:rsidR="00243C23">
        <w:rPr>
          <w:rFonts w:ascii="Palatino" w:hAnsi="Palatino"/>
          <w:sz w:val="26"/>
          <w:szCs w:val="26"/>
        </w:rPr>
        <w:t xml:space="preserve"> </w:t>
      </w:r>
      <w:r w:rsidRPr="00670BB8" w:rsidR="00F425CF">
        <w:rPr>
          <w:rFonts w:ascii="Palatino" w:hAnsi="Palatino"/>
          <w:sz w:val="26"/>
          <w:szCs w:val="26"/>
        </w:rPr>
        <w:t>Response to CALSSA’s protest of AL 5553-E address</w:t>
      </w:r>
      <w:r w:rsidR="003A03C9">
        <w:rPr>
          <w:rFonts w:ascii="Palatino" w:hAnsi="Palatino"/>
          <w:sz w:val="26"/>
          <w:szCs w:val="26"/>
        </w:rPr>
        <w:t>es</w:t>
      </w:r>
      <w:r w:rsidRPr="00670BB8" w:rsidR="00F425CF">
        <w:rPr>
          <w:rFonts w:ascii="Palatino" w:hAnsi="Palatino"/>
          <w:sz w:val="26"/>
          <w:szCs w:val="26"/>
        </w:rPr>
        <w:t xml:space="preserve"> the concerns raised by CALSSA </w:t>
      </w:r>
      <w:r w:rsidR="003A03C9">
        <w:rPr>
          <w:rFonts w:ascii="Palatino" w:hAnsi="Palatino"/>
          <w:sz w:val="26"/>
          <w:szCs w:val="26"/>
        </w:rPr>
        <w:t>and is</w:t>
      </w:r>
      <w:r w:rsidRPr="00670BB8" w:rsidR="00F425CF">
        <w:rPr>
          <w:rFonts w:ascii="Palatino" w:hAnsi="Palatino"/>
          <w:sz w:val="26"/>
          <w:szCs w:val="26"/>
        </w:rPr>
        <w:t xml:space="preserve"> compliant with D.19-03-013</w:t>
      </w:r>
      <w:r w:rsidR="003A03C9">
        <w:rPr>
          <w:rFonts w:ascii="Palatino" w:hAnsi="Palatino"/>
          <w:sz w:val="26"/>
          <w:szCs w:val="26"/>
        </w:rPr>
        <w:t>. This Resolution orders</w:t>
      </w:r>
      <w:r w:rsidR="00F425CF">
        <w:rPr>
          <w:rFonts w:ascii="Palatino" w:hAnsi="Palatino"/>
          <w:sz w:val="26"/>
          <w:szCs w:val="26"/>
        </w:rPr>
        <w:t xml:space="preserve"> </w:t>
      </w:r>
      <w:r w:rsidRPr="00670BB8" w:rsidR="00F414F8">
        <w:rPr>
          <w:rFonts w:ascii="Palatino" w:hAnsi="Palatino"/>
          <w:sz w:val="26"/>
          <w:szCs w:val="26"/>
        </w:rPr>
        <w:t xml:space="preserve">PG&amp;E </w:t>
      </w:r>
      <w:r w:rsidR="003A03C9">
        <w:rPr>
          <w:rFonts w:ascii="Palatino" w:hAnsi="Palatino"/>
          <w:sz w:val="26"/>
          <w:szCs w:val="26"/>
        </w:rPr>
        <w:t>to</w:t>
      </w:r>
      <w:r w:rsidRPr="00670BB8" w:rsidR="00F414F8">
        <w:rPr>
          <w:rFonts w:ascii="Palatino" w:hAnsi="Palatino"/>
          <w:sz w:val="26"/>
          <w:szCs w:val="26"/>
        </w:rPr>
        <w:t xml:space="preserve"> amend Rule 21 Tables F.1 and Ee.3 as proposed in </w:t>
      </w:r>
      <w:r w:rsidR="000F7320">
        <w:rPr>
          <w:rFonts w:ascii="Palatino" w:hAnsi="Palatino"/>
          <w:sz w:val="26"/>
          <w:szCs w:val="26"/>
        </w:rPr>
        <w:t>its</w:t>
      </w:r>
      <w:r w:rsidRPr="00670BB8" w:rsidR="000F7320">
        <w:rPr>
          <w:rFonts w:ascii="Palatino" w:hAnsi="Palatino"/>
          <w:sz w:val="26"/>
          <w:szCs w:val="26"/>
        </w:rPr>
        <w:t xml:space="preserve"> </w:t>
      </w:r>
      <w:r w:rsidRPr="00670BB8" w:rsidR="00F414F8">
        <w:rPr>
          <w:rFonts w:ascii="Palatino" w:hAnsi="Palatino"/>
          <w:sz w:val="26"/>
          <w:szCs w:val="26"/>
        </w:rPr>
        <w:t xml:space="preserve">Response to CALSSA’s protest of </w:t>
      </w:r>
      <w:r w:rsidR="00C4227A">
        <w:rPr>
          <w:rFonts w:ascii="Palatino" w:hAnsi="Palatino"/>
          <w:sz w:val="26"/>
          <w:szCs w:val="26"/>
        </w:rPr>
        <w:br/>
      </w:r>
      <w:r w:rsidRPr="00670BB8" w:rsidR="00F414F8">
        <w:rPr>
          <w:rFonts w:ascii="Palatino" w:hAnsi="Palatino"/>
          <w:sz w:val="26"/>
          <w:szCs w:val="26"/>
        </w:rPr>
        <w:t xml:space="preserve">AL 5553-E. </w:t>
      </w:r>
    </w:p>
    <w:p w:rsidRPr="00670BB8" w:rsidR="000C099F" w:rsidP="008D0142" w:rsidRDefault="000C099F" w14:paraId="3E38EF4C" w14:textId="77777777">
      <w:pPr>
        <w:rPr>
          <w:rFonts w:ascii="Palatino" w:hAnsi="Palatino"/>
          <w:sz w:val="26"/>
          <w:szCs w:val="26"/>
        </w:rPr>
      </w:pPr>
    </w:p>
    <w:p w:rsidRPr="00670BB8" w:rsidR="000C099F" w:rsidP="000C099F" w:rsidRDefault="000C099F" w14:paraId="294112B3" w14:textId="28B3BFA6">
      <w:pPr>
        <w:rPr>
          <w:rFonts w:ascii="Palatino" w:hAnsi="Palatino"/>
          <w:b/>
          <w:bCs/>
          <w:sz w:val="26"/>
          <w:szCs w:val="26"/>
        </w:rPr>
      </w:pPr>
      <w:r w:rsidRPr="00670BB8">
        <w:rPr>
          <w:rFonts w:ascii="Palatino" w:hAnsi="Palatino"/>
          <w:b/>
          <w:bCs/>
          <w:sz w:val="26"/>
          <w:szCs w:val="26"/>
        </w:rPr>
        <w:t xml:space="preserve">Issue </w:t>
      </w:r>
      <w:r w:rsidRPr="00670BB8" w:rsidR="00046028">
        <w:rPr>
          <w:rFonts w:ascii="Palatino" w:hAnsi="Palatino"/>
          <w:b/>
          <w:bCs/>
          <w:sz w:val="26"/>
          <w:szCs w:val="26"/>
        </w:rPr>
        <w:t>4</w:t>
      </w:r>
      <w:r w:rsidRPr="00670BB8">
        <w:rPr>
          <w:rFonts w:ascii="Palatino" w:hAnsi="Palatino"/>
          <w:b/>
          <w:bCs/>
          <w:sz w:val="26"/>
          <w:szCs w:val="26"/>
        </w:rPr>
        <w:t xml:space="preserve">: Process by Which Generating Facilities May Replace Inverters </w:t>
      </w:r>
    </w:p>
    <w:p w:rsidRPr="00670BB8" w:rsidR="000C099F" w:rsidP="000C099F" w:rsidRDefault="000C099F" w14:paraId="40771992" w14:textId="77777777">
      <w:pPr>
        <w:rPr>
          <w:rFonts w:ascii="Palatino" w:hAnsi="Palatino"/>
          <w:b/>
          <w:bCs/>
          <w:sz w:val="26"/>
          <w:szCs w:val="26"/>
          <w:u w:val="single"/>
        </w:rPr>
      </w:pPr>
    </w:p>
    <w:p w:rsidRPr="00670BB8" w:rsidR="000C099F" w:rsidP="000C099F" w:rsidRDefault="000C099F" w14:paraId="341CC6E3" w14:textId="66A78632">
      <w:pPr>
        <w:rPr>
          <w:rFonts w:ascii="Palatino" w:hAnsi="Palatino"/>
          <w:sz w:val="26"/>
          <w:szCs w:val="26"/>
          <w:u w:val="single"/>
        </w:rPr>
      </w:pPr>
      <w:r w:rsidRPr="00670BB8">
        <w:rPr>
          <w:rFonts w:ascii="Palatino" w:hAnsi="Palatino"/>
          <w:sz w:val="26"/>
          <w:szCs w:val="26"/>
          <w:u w:val="single"/>
        </w:rPr>
        <w:t>Protests</w:t>
      </w:r>
      <w:r w:rsidRPr="00670BB8" w:rsidR="00690517">
        <w:rPr>
          <w:rFonts w:ascii="Palatino" w:hAnsi="Palatino"/>
          <w:sz w:val="26"/>
          <w:szCs w:val="26"/>
          <w:u w:val="single"/>
        </w:rPr>
        <w:t xml:space="preserve"> and </w:t>
      </w:r>
      <w:r w:rsidRPr="00870AF0" w:rsidR="00870AF0">
        <w:rPr>
          <w:rFonts w:ascii="Palatino" w:hAnsi="Palatino"/>
          <w:sz w:val="26"/>
          <w:szCs w:val="26"/>
          <w:u w:val="single"/>
        </w:rPr>
        <w:t>Utility</w:t>
      </w:r>
      <w:r w:rsidRPr="00670BB8" w:rsidR="00690517">
        <w:rPr>
          <w:rFonts w:ascii="Palatino" w:hAnsi="Palatino"/>
          <w:sz w:val="26"/>
          <w:szCs w:val="26"/>
          <w:u w:val="single"/>
        </w:rPr>
        <w:t xml:space="preserve"> Responses to Protests</w:t>
      </w:r>
    </w:p>
    <w:p w:rsidRPr="00670BB8" w:rsidR="008D0142" w:rsidP="008D0142" w:rsidRDefault="008D0142" w14:paraId="01C52C99" w14:textId="319720B0">
      <w:pPr>
        <w:rPr>
          <w:rFonts w:ascii="Palatino" w:hAnsi="Palatino"/>
          <w:sz w:val="26"/>
          <w:szCs w:val="26"/>
        </w:rPr>
      </w:pPr>
      <w:r w:rsidRPr="00670BB8">
        <w:rPr>
          <w:rFonts w:ascii="Palatino" w:hAnsi="Palatino"/>
          <w:sz w:val="26"/>
          <w:szCs w:val="26"/>
        </w:rPr>
        <w:t>CALSSA takes issue with the manner in which inverter replacement processes are implemented by SCE AL 4009-E. CALSSA notes that D.19-03-013 adopts a hybrid approach for inverter replacements where the replacement equipment could increase system output but uses advanced controls to limit output to the previously approved amount</w:t>
      </w:r>
      <w:r w:rsidRPr="00670BB8" w:rsidR="000C099F">
        <w:rPr>
          <w:rFonts w:ascii="Palatino" w:hAnsi="Palatino"/>
          <w:sz w:val="26"/>
          <w:szCs w:val="26"/>
        </w:rPr>
        <w:t xml:space="preserve"> (Use Case 3)</w:t>
      </w:r>
      <w:r w:rsidRPr="00670BB8">
        <w:rPr>
          <w:rFonts w:ascii="Palatino" w:hAnsi="Palatino"/>
          <w:sz w:val="26"/>
          <w:szCs w:val="26"/>
        </w:rPr>
        <w:t>. Specifically, for systems up to 100 kW and for all systems utilizing equipment that would increase system size by less than 10 percent if they were not limited with advanced controls, D.19-03-013 approves a notification-only process</w:t>
      </w:r>
      <w:r w:rsidRPr="00670BB8" w:rsidR="000C099F">
        <w:rPr>
          <w:rFonts w:ascii="Palatino" w:hAnsi="Palatino"/>
          <w:sz w:val="26"/>
          <w:szCs w:val="26"/>
        </w:rPr>
        <w:t xml:space="preserve"> (Process Option 2)</w:t>
      </w:r>
      <w:r w:rsidRPr="00670BB8">
        <w:rPr>
          <w:rFonts w:ascii="Palatino" w:hAnsi="Palatino"/>
          <w:sz w:val="26"/>
          <w:szCs w:val="26"/>
        </w:rPr>
        <w:t>. For systems larger than 100 kW that would increase system size by more than 10 percent if they were not limited with advanced controls, on the other hand, D.19-03-013 requires a</w:t>
      </w:r>
      <w:r w:rsidRPr="00670BB8" w:rsidR="000C099F">
        <w:rPr>
          <w:rFonts w:ascii="Palatino" w:hAnsi="Palatino"/>
          <w:sz w:val="26"/>
          <w:szCs w:val="26"/>
        </w:rPr>
        <w:t xml:space="preserve"> full</w:t>
      </w:r>
      <w:r w:rsidRPr="00670BB8">
        <w:rPr>
          <w:rFonts w:ascii="Palatino" w:hAnsi="Palatino"/>
          <w:sz w:val="26"/>
          <w:szCs w:val="26"/>
        </w:rPr>
        <w:t xml:space="preserve"> interconnection request</w:t>
      </w:r>
      <w:r w:rsidRPr="00670BB8" w:rsidR="000C099F">
        <w:rPr>
          <w:rFonts w:ascii="Palatino" w:hAnsi="Palatino"/>
          <w:sz w:val="26"/>
          <w:szCs w:val="26"/>
        </w:rPr>
        <w:t xml:space="preserve"> (Process Option 4)</w:t>
      </w:r>
      <w:r w:rsidRPr="00670BB8">
        <w:rPr>
          <w:rFonts w:ascii="Palatino" w:hAnsi="Palatino"/>
          <w:sz w:val="26"/>
          <w:szCs w:val="26"/>
        </w:rPr>
        <w:t xml:space="preserve">. CALSSA states that, while AL 4009-E specifies the processes for systems up to 100 kW and for systems larger than </w:t>
      </w:r>
      <w:r w:rsidR="00C4227A">
        <w:rPr>
          <w:rFonts w:ascii="Palatino" w:hAnsi="Palatino"/>
          <w:sz w:val="26"/>
          <w:szCs w:val="26"/>
        </w:rPr>
        <w:br/>
      </w:r>
      <w:r w:rsidRPr="00670BB8">
        <w:rPr>
          <w:rFonts w:ascii="Palatino" w:hAnsi="Palatino"/>
          <w:sz w:val="26"/>
          <w:szCs w:val="26"/>
        </w:rPr>
        <w:t>100 kW that would increase system size by more than 10 percent if they were not limited with</w:t>
      </w:r>
      <w:r w:rsidRPr="00670BB8" w:rsidR="00601E62">
        <w:rPr>
          <w:rFonts w:ascii="Palatino" w:hAnsi="Palatino"/>
          <w:sz w:val="26"/>
          <w:szCs w:val="26"/>
        </w:rPr>
        <w:t xml:space="preserve"> </w:t>
      </w:r>
      <w:r w:rsidRPr="00670BB8">
        <w:rPr>
          <w:rFonts w:ascii="Palatino" w:hAnsi="Palatino"/>
          <w:sz w:val="26"/>
          <w:szCs w:val="26"/>
        </w:rPr>
        <w:t>advanced controls, it fails to specify a process for projects larger than 100 kW that would increase their capacity by less than 10% without controls. CALSSA requests that the Commission direct SCE to correct this omission.</w:t>
      </w:r>
    </w:p>
    <w:p w:rsidRPr="00670BB8" w:rsidR="00A728AF" w:rsidP="008D0142" w:rsidRDefault="00A728AF" w14:paraId="2A6D8A2F" w14:textId="27BE705A">
      <w:pPr>
        <w:rPr>
          <w:rFonts w:ascii="Palatino" w:hAnsi="Palatino"/>
          <w:sz w:val="26"/>
          <w:szCs w:val="26"/>
        </w:rPr>
      </w:pPr>
    </w:p>
    <w:p w:rsidRPr="00670BB8" w:rsidR="00F204C3" w:rsidP="00312596" w:rsidRDefault="008B31AA" w14:paraId="36D6FD2F" w14:textId="06E4A40E">
      <w:pPr>
        <w:autoSpaceDE w:val="0"/>
        <w:autoSpaceDN w:val="0"/>
        <w:adjustRightInd w:val="0"/>
        <w:rPr>
          <w:rFonts w:ascii="Palatino" w:hAnsi="Palatino"/>
          <w:sz w:val="26"/>
          <w:szCs w:val="26"/>
        </w:rPr>
      </w:pPr>
      <w:r w:rsidRPr="00670BB8">
        <w:rPr>
          <w:rFonts w:ascii="Palatino" w:hAnsi="Palatino"/>
          <w:sz w:val="26"/>
          <w:szCs w:val="26"/>
        </w:rPr>
        <w:lastRenderedPageBreak/>
        <w:t xml:space="preserve">In response to CALSSA’s protest of AL 4009-E, SCE </w:t>
      </w:r>
      <w:r w:rsidRPr="00670BB8" w:rsidR="005A4B47">
        <w:rPr>
          <w:rFonts w:ascii="Palatino" w:hAnsi="Palatino"/>
          <w:sz w:val="26"/>
          <w:szCs w:val="26"/>
        </w:rPr>
        <w:t>states that D.19-03-013</w:t>
      </w:r>
      <w:r w:rsidRPr="00670BB8" w:rsidR="007F433D">
        <w:rPr>
          <w:rFonts w:ascii="Palatino" w:hAnsi="Palatino"/>
          <w:sz w:val="26"/>
          <w:szCs w:val="26"/>
        </w:rPr>
        <w:t xml:space="preserve">’s adopted </w:t>
      </w:r>
      <w:r w:rsidRPr="00670BB8" w:rsidR="00E106DF">
        <w:rPr>
          <w:rFonts w:ascii="Palatino" w:hAnsi="Palatino"/>
          <w:sz w:val="26"/>
          <w:szCs w:val="26"/>
        </w:rPr>
        <w:t xml:space="preserve">approach for Use Case 3 </w:t>
      </w:r>
      <w:r w:rsidRPr="00670BB8" w:rsidR="00060830">
        <w:rPr>
          <w:rFonts w:ascii="Palatino" w:hAnsi="Palatino"/>
          <w:sz w:val="26"/>
          <w:szCs w:val="26"/>
        </w:rPr>
        <w:t xml:space="preserve">is inconsistent in its approach to </w:t>
      </w:r>
      <w:r w:rsidRPr="00670BB8" w:rsidR="00312596">
        <w:rPr>
          <w:rFonts w:ascii="Palatino" w:hAnsi="Palatino"/>
          <w:sz w:val="26"/>
          <w:szCs w:val="26"/>
        </w:rPr>
        <w:t xml:space="preserve">projects </w:t>
      </w:r>
      <w:r w:rsidRPr="00670BB8" w:rsidR="001A57C0">
        <w:rPr>
          <w:rFonts w:ascii="Palatino" w:hAnsi="Palatino"/>
          <w:sz w:val="26"/>
          <w:szCs w:val="26"/>
        </w:rPr>
        <w:t xml:space="preserve">greater than 100 kW that are </w:t>
      </w:r>
      <w:r w:rsidRPr="00670BB8" w:rsidR="00312596">
        <w:rPr>
          <w:rFonts w:ascii="Palatino" w:hAnsi="Palatino"/>
          <w:sz w:val="26"/>
          <w:szCs w:val="26"/>
        </w:rPr>
        <w:t xml:space="preserve">requesting to increase </w:t>
      </w:r>
      <w:r w:rsidRPr="00670BB8" w:rsidR="001A57C0">
        <w:rPr>
          <w:rFonts w:ascii="Palatino" w:hAnsi="Palatino"/>
          <w:sz w:val="26"/>
          <w:szCs w:val="26"/>
        </w:rPr>
        <w:t xml:space="preserve">their inverter </w:t>
      </w:r>
      <w:r w:rsidRPr="00670BB8" w:rsidR="00312596">
        <w:rPr>
          <w:rFonts w:ascii="Palatino" w:hAnsi="Palatino"/>
          <w:sz w:val="26"/>
          <w:szCs w:val="26"/>
        </w:rPr>
        <w:t xml:space="preserve">capacity </w:t>
      </w:r>
      <w:r w:rsidRPr="00670BB8" w:rsidR="001A57C0">
        <w:rPr>
          <w:rFonts w:ascii="Palatino" w:hAnsi="Palatino"/>
          <w:sz w:val="26"/>
          <w:szCs w:val="26"/>
        </w:rPr>
        <w:t xml:space="preserve">to </w:t>
      </w:r>
      <w:r w:rsidRPr="00670BB8" w:rsidR="00312596">
        <w:rPr>
          <w:rFonts w:ascii="Palatino" w:hAnsi="Palatino"/>
          <w:sz w:val="26"/>
          <w:szCs w:val="26"/>
        </w:rPr>
        <w:t xml:space="preserve">within 110 percent of </w:t>
      </w:r>
      <w:r w:rsidRPr="00670BB8" w:rsidR="001A57C0">
        <w:rPr>
          <w:rFonts w:ascii="Palatino" w:hAnsi="Palatino"/>
          <w:sz w:val="26"/>
          <w:szCs w:val="26"/>
        </w:rPr>
        <w:t>their</w:t>
      </w:r>
      <w:r w:rsidRPr="00670BB8" w:rsidR="00312596">
        <w:rPr>
          <w:rFonts w:ascii="Palatino" w:hAnsi="Palatino"/>
          <w:sz w:val="26"/>
          <w:szCs w:val="26"/>
        </w:rPr>
        <w:t xml:space="preserve"> original generating capacity</w:t>
      </w:r>
      <w:r w:rsidRPr="00670BB8" w:rsidR="00A14DC3">
        <w:rPr>
          <w:rFonts w:ascii="Palatino" w:hAnsi="Palatino"/>
          <w:sz w:val="26"/>
          <w:szCs w:val="26"/>
        </w:rPr>
        <w:t xml:space="preserve">. SCE argues that </w:t>
      </w:r>
      <w:r w:rsidR="000749A3">
        <w:rPr>
          <w:rFonts w:ascii="Palatino" w:hAnsi="Palatino"/>
          <w:sz w:val="26"/>
          <w:szCs w:val="26"/>
        </w:rPr>
        <w:t>its</w:t>
      </w:r>
      <w:r w:rsidRPr="00670BB8" w:rsidR="00A14DC3">
        <w:rPr>
          <w:rFonts w:ascii="Palatino" w:hAnsi="Palatino"/>
          <w:sz w:val="26"/>
          <w:szCs w:val="26"/>
        </w:rPr>
        <w:t xml:space="preserve"> proposed tariff languag</w:t>
      </w:r>
      <w:r w:rsidRPr="00670BB8" w:rsidR="0025781C">
        <w:rPr>
          <w:rFonts w:ascii="Palatino" w:hAnsi="Palatino"/>
          <w:sz w:val="26"/>
          <w:szCs w:val="26"/>
        </w:rPr>
        <w:t xml:space="preserve">e resolves this inconsistency </w:t>
      </w:r>
      <w:r w:rsidRPr="00670BB8" w:rsidR="00843F1F">
        <w:rPr>
          <w:rFonts w:ascii="Palatino" w:hAnsi="Palatino"/>
          <w:sz w:val="26"/>
          <w:szCs w:val="26"/>
        </w:rPr>
        <w:t>by specifying that</w:t>
      </w:r>
      <w:r w:rsidRPr="00670BB8" w:rsidR="000A16C0">
        <w:rPr>
          <w:rFonts w:ascii="Palatino" w:hAnsi="Palatino"/>
          <w:sz w:val="26"/>
          <w:szCs w:val="26"/>
        </w:rPr>
        <w:t xml:space="preserve">, in such a case, Process Option 4 would be required. </w:t>
      </w:r>
    </w:p>
    <w:p w:rsidRPr="00670BB8" w:rsidR="00F204C3" w:rsidP="00312596" w:rsidRDefault="00F204C3" w14:paraId="7078546F" w14:textId="77777777">
      <w:pPr>
        <w:autoSpaceDE w:val="0"/>
        <w:autoSpaceDN w:val="0"/>
        <w:adjustRightInd w:val="0"/>
        <w:rPr>
          <w:rFonts w:ascii="Palatino" w:hAnsi="Palatino"/>
          <w:sz w:val="26"/>
          <w:szCs w:val="26"/>
        </w:rPr>
      </w:pPr>
    </w:p>
    <w:p w:rsidRPr="00670BB8" w:rsidR="000C099F" w:rsidP="003040D1" w:rsidRDefault="00F204C3" w14:paraId="71225FCD" w14:textId="24C5F4D3">
      <w:pPr>
        <w:autoSpaceDE w:val="0"/>
        <w:autoSpaceDN w:val="0"/>
        <w:adjustRightInd w:val="0"/>
        <w:rPr>
          <w:rFonts w:ascii="Palatino" w:hAnsi="Palatino"/>
          <w:sz w:val="26"/>
          <w:szCs w:val="26"/>
        </w:rPr>
      </w:pPr>
      <w:r w:rsidRPr="00670BB8">
        <w:rPr>
          <w:rFonts w:ascii="Palatino" w:hAnsi="Palatino"/>
          <w:sz w:val="26"/>
          <w:szCs w:val="26"/>
        </w:rPr>
        <w:t xml:space="preserve">CALSSA </w:t>
      </w:r>
      <w:r w:rsidRPr="00670BB8" w:rsidR="009C245A">
        <w:rPr>
          <w:rFonts w:ascii="Palatino" w:hAnsi="Palatino"/>
          <w:sz w:val="26"/>
          <w:szCs w:val="26"/>
        </w:rPr>
        <w:t xml:space="preserve">identifies a </w:t>
      </w:r>
      <w:r w:rsidRPr="00670BB8" w:rsidR="0011435A">
        <w:rPr>
          <w:rFonts w:ascii="Palatino" w:hAnsi="Palatino"/>
          <w:sz w:val="26"/>
          <w:szCs w:val="26"/>
        </w:rPr>
        <w:t xml:space="preserve">closely </w:t>
      </w:r>
      <w:r w:rsidRPr="00670BB8" w:rsidR="009C245A">
        <w:rPr>
          <w:rFonts w:ascii="Palatino" w:hAnsi="Palatino"/>
          <w:sz w:val="26"/>
          <w:szCs w:val="26"/>
        </w:rPr>
        <w:t xml:space="preserve">related item in </w:t>
      </w:r>
      <w:r w:rsidR="0011451B">
        <w:rPr>
          <w:rFonts w:ascii="Palatino" w:hAnsi="Palatino"/>
          <w:sz w:val="26"/>
          <w:szCs w:val="26"/>
        </w:rPr>
        <w:t>its</w:t>
      </w:r>
      <w:r w:rsidRPr="00670BB8" w:rsidR="009C245A">
        <w:rPr>
          <w:rFonts w:ascii="Palatino" w:hAnsi="Palatino"/>
          <w:sz w:val="26"/>
          <w:szCs w:val="26"/>
        </w:rPr>
        <w:t xml:space="preserve"> </w:t>
      </w:r>
      <w:r w:rsidRPr="00670BB8" w:rsidR="00631A74">
        <w:rPr>
          <w:rFonts w:ascii="Palatino" w:hAnsi="Palatino"/>
          <w:sz w:val="26"/>
          <w:szCs w:val="26"/>
        </w:rPr>
        <w:t>protest</w:t>
      </w:r>
      <w:r w:rsidRPr="00670BB8" w:rsidR="009C245A">
        <w:rPr>
          <w:rFonts w:ascii="Palatino" w:hAnsi="Palatino"/>
          <w:sz w:val="26"/>
          <w:szCs w:val="26"/>
        </w:rPr>
        <w:t xml:space="preserve"> of the Joint AL</w:t>
      </w:r>
      <w:r w:rsidRPr="00670BB8" w:rsidR="00AF6973">
        <w:rPr>
          <w:rFonts w:ascii="Palatino" w:hAnsi="Palatino"/>
          <w:sz w:val="26"/>
          <w:szCs w:val="26"/>
        </w:rPr>
        <w:t xml:space="preserve">, which proposes a standard form </w:t>
      </w:r>
      <w:r w:rsidRPr="00670BB8" w:rsidR="008C0023">
        <w:rPr>
          <w:rFonts w:ascii="Palatino" w:hAnsi="Palatino"/>
          <w:sz w:val="26"/>
          <w:szCs w:val="26"/>
        </w:rPr>
        <w:t xml:space="preserve">template by which utilities may be notified of material modifications that qualify for a Process Option 2. </w:t>
      </w:r>
      <w:r w:rsidRPr="00670BB8" w:rsidR="00B52019">
        <w:rPr>
          <w:rFonts w:ascii="Palatino" w:hAnsi="Palatino"/>
          <w:sz w:val="26"/>
          <w:szCs w:val="26"/>
        </w:rPr>
        <w:t xml:space="preserve">The </w:t>
      </w:r>
      <w:r w:rsidRPr="00670BB8" w:rsidR="00EB0AE2">
        <w:rPr>
          <w:rFonts w:ascii="Palatino" w:hAnsi="Palatino"/>
          <w:sz w:val="26"/>
          <w:szCs w:val="26"/>
        </w:rPr>
        <w:t xml:space="preserve">proposed </w:t>
      </w:r>
      <w:r w:rsidRPr="00670BB8" w:rsidR="00EF3C51">
        <w:rPr>
          <w:rFonts w:ascii="Palatino" w:hAnsi="Palatino"/>
          <w:sz w:val="26"/>
          <w:szCs w:val="26"/>
        </w:rPr>
        <w:t xml:space="preserve">standard form indicates that all </w:t>
      </w:r>
      <w:r w:rsidRPr="00670BB8" w:rsidR="003040D1">
        <w:rPr>
          <w:rFonts w:ascii="Palatino" w:hAnsi="Palatino"/>
          <w:sz w:val="26"/>
          <w:szCs w:val="26"/>
        </w:rPr>
        <w:t>Use Case 3 generating facilities larger than 100 kW must follow Process Option 4 and submit a new interconnection request, regardless of whether the replacement inverter is within 110% of the nameplate capacity of the original inverter</w:t>
      </w:r>
      <w:r w:rsidRPr="00670BB8" w:rsidR="008773EB">
        <w:rPr>
          <w:rFonts w:ascii="Palatino" w:hAnsi="Palatino"/>
          <w:sz w:val="26"/>
          <w:szCs w:val="26"/>
        </w:rPr>
        <w:t>.</w:t>
      </w:r>
      <w:r w:rsidRPr="00670BB8" w:rsidR="00B52019">
        <w:rPr>
          <w:rFonts w:ascii="Palatino" w:hAnsi="Palatino"/>
          <w:sz w:val="26"/>
          <w:szCs w:val="26"/>
        </w:rPr>
        <w:t xml:space="preserve"> CALSSA argues that, pursuant to D.19-03-013</w:t>
      </w:r>
      <w:r w:rsidRPr="00670BB8" w:rsidR="00A255ED">
        <w:rPr>
          <w:rFonts w:ascii="Palatino" w:hAnsi="Palatino"/>
          <w:sz w:val="26"/>
          <w:szCs w:val="26"/>
        </w:rPr>
        <w:t>,</w:t>
      </w:r>
      <w:r w:rsidRPr="00670BB8" w:rsidR="00B52019">
        <w:rPr>
          <w:rFonts w:ascii="Palatino" w:hAnsi="Palatino"/>
          <w:sz w:val="26"/>
          <w:szCs w:val="26"/>
        </w:rPr>
        <w:t xml:space="preserve"> projects of any size may </w:t>
      </w:r>
      <w:r w:rsidRPr="00670BB8" w:rsidR="00A45DE5">
        <w:rPr>
          <w:rFonts w:ascii="Palatino" w:hAnsi="Palatino"/>
          <w:sz w:val="26"/>
          <w:szCs w:val="26"/>
        </w:rPr>
        <w:t xml:space="preserve">follow </w:t>
      </w:r>
      <w:r w:rsidRPr="00670BB8" w:rsidR="008D2ECE">
        <w:rPr>
          <w:rFonts w:ascii="Palatino" w:hAnsi="Palatino"/>
          <w:sz w:val="26"/>
          <w:szCs w:val="26"/>
        </w:rPr>
        <w:t>Process Option 2 if the replacement inverter is within 110% of the nameplate capacity of the original inverter and</w:t>
      </w:r>
      <w:r w:rsidRPr="00670BB8" w:rsidR="00A45DE5">
        <w:rPr>
          <w:rFonts w:ascii="Palatino" w:hAnsi="Palatino"/>
          <w:sz w:val="26"/>
          <w:szCs w:val="26"/>
        </w:rPr>
        <w:t xml:space="preserve"> </w:t>
      </w:r>
      <w:r w:rsidRPr="00670BB8" w:rsidR="008226CA">
        <w:rPr>
          <w:rFonts w:ascii="Palatino" w:hAnsi="Palatino"/>
          <w:sz w:val="26"/>
          <w:szCs w:val="26"/>
        </w:rPr>
        <w:t>uses advanced controls to limit output to the previously approved amount</w:t>
      </w:r>
      <w:r w:rsidRPr="00670BB8" w:rsidR="008D2ECE">
        <w:rPr>
          <w:rFonts w:ascii="Palatino" w:hAnsi="Palatino"/>
          <w:sz w:val="26"/>
          <w:szCs w:val="26"/>
        </w:rPr>
        <w:t>.</w:t>
      </w:r>
    </w:p>
    <w:p w:rsidRPr="00670BB8" w:rsidR="00EA0A56" w:rsidP="003040D1" w:rsidRDefault="00EA0A56" w14:paraId="76032D42" w14:textId="72EC3B14">
      <w:pPr>
        <w:autoSpaceDE w:val="0"/>
        <w:autoSpaceDN w:val="0"/>
        <w:adjustRightInd w:val="0"/>
        <w:rPr>
          <w:rFonts w:ascii="Palatino" w:hAnsi="Palatino"/>
          <w:sz w:val="26"/>
          <w:szCs w:val="26"/>
        </w:rPr>
      </w:pPr>
    </w:p>
    <w:p w:rsidRPr="00670BB8" w:rsidR="00F1735C" w:rsidP="003040D1" w:rsidRDefault="00EA0A56" w14:paraId="489BE9B9" w14:textId="7F5472EA">
      <w:pPr>
        <w:autoSpaceDE w:val="0"/>
        <w:autoSpaceDN w:val="0"/>
        <w:adjustRightInd w:val="0"/>
        <w:rPr>
          <w:rFonts w:ascii="Palatino" w:hAnsi="Palatino"/>
          <w:sz w:val="26"/>
          <w:szCs w:val="26"/>
        </w:rPr>
      </w:pPr>
      <w:r w:rsidRPr="00670BB8">
        <w:rPr>
          <w:rFonts w:ascii="Palatino" w:hAnsi="Palatino"/>
          <w:sz w:val="26"/>
          <w:szCs w:val="26"/>
        </w:rPr>
        <w:t xml:space="preserve">In </w:t>
      </w:r>
      <w:r w:rsidRPr="00670BB8" w:rsidR="00437BD9">
        <w:rPr>
          <w:rFonts w:ascii="Palatino" w:hAnsi="Palatino"/>
          <w:sz w:val="26"/>
          <w:szCs w:val="26"/>
        </w:rPr>
        <w:t xml:space="preserve">reply to CALSSA’s protest of the Joint AL, PG&amp;E and SDG&amp;E jointly </w:t>
      </w:r>
      <w:r w:rsidRPr="00670BB8" w:rsidR="009A0322">
        <w:rPr>
          <w:rFonts w:ascii="Palatino" w:hAnsi="Palatino"/>
          <w:sz w:val="26"/>
          <w:szCs w:val="26"/>
        </w:rPr>
        <w:t xml:space="preserve">request clarification of the Use Case 3 requirements established by D.19-03-013. </w:t>
      </w:r>
      <w:r w:rsidRPr="00670BB8" w:rsidR="006F6822">
        <w:rPr>
          <w:rFonts w:ascii="Palatino" w:hAnsi="Palatino"/>
          <w:sz w:val="26"/>
          <w:szCs w:val="26"/>
        </w:rPr>
        <w:t xml:space="preserve">They note that OP </w:t>
      </w:r>
      <w:r w:rsidRPr="00670BB8" w:rsidR="005218A0">
        <w:rPr>
          <w:rFonts w:ascii="Palatino" w:hAnsi="Palatino"/>
          <w:sz w:val="26"/>
          <w:szCs w:val="26"/>
        </w:rPr>
        <w:t xml:space="preserve">6 applies the 110% threshold to “projects of any size,” which </w:t>
      </w:r>
      <w:r w:rsidRPr="00670BB8" w:rsidR="00781B55">
        <w:rPr>
          <w:rFonts w:ascii="Palatino" w:hAnsi="Palatino"/>
          <w:sz w:val="26"/>
          <w:szCs w:val="26"/>
        </w:rPr>
        <w:t xml:space="preserve">includes projects over 100 kW, as argued by CALSSA. However, they </w:t>
      </w:r>
      <w:r w:rsidRPr="00670BB8" w:rsidR="00337BA5">
        <w:rPr>
          <w:rFonts w:ascii="Palatino" w:hAnsi="Palatino"/>
          <w:sz w:val="26"/>
          <w:szCs w:val="26"/>
        </w:rPr>
        <w:t>point to contradictory language in Conclusion of Law 16</w:t>
      </w:r>
      <w:r w:rsidRPr="00670BB8" w:rsidR="00D87449">
        <w:rPr>
          <w:rFonts w:ascii="Palatino" w:hAnsi="Palatino"/>
          <w:sz w:val="26"/>
          <w:szCs w:val="26"/>
        </w:rPr>
        <w:t xml:space="preserve">. </w:t>
      </w:r>
      <w:r w:rsidRPr="00670BB8" w:rsidR="00FD6983">
        <w:rPr>
          <w:rFonts w:ascii="Palatino" w:hAnsi="Palatino"/>
          <w:sz w:val="26"/>
          <w:szCs w:val="26"/>
        </w:rPr>
        <w:t>PG&amp;E and SDG&amp;E request</w:t>
      </w:r>
      <w:r w:rsidRPr="00670BB8" w:rsidR="004841A5">
        <w:rPr>
          <w:rFonts w:ascii="Palatino" w:hAnsi="Palatino"/>
          <w:sz w:val="26"/>
          <w:szCs w:val="26"/>
        </w:rPr>
        <w:t xml:space="preserve"> clarification on the </w:t>
      </w:r>
      <w:r w:rsidR="0071654E">
        <w:rPr>
          <w:rFonts w:ascii="Palatino" w:hAnsi="Palatino"/>
          <w:sz w:val="26"/>
          <w:szCs w:val="26"/>
        </w:rPr>
        <w:t>p</w:t>
      </w:r>
      <w:r w:rsidRPr="00670BB8" w:rsidR="005C6695">
        <w:rPr>
          <w:rFonts w:ascii="Palatino" w:hAnsi="Palatino"/>
          <w:sz w:val="26"/>
          <w:szCs w:val="26"/>
        </w:rPr>
        <w:t xml:space="preserve">rocess </w:t>
      </w:r>
      <w:r w:rsidR="0071654E">
        <w:rPr>
          <w:rFonts w:ascii="Palatino" w:hAnsi="Palatino"/>
          <w:sz w:val="26"/>
          <w:szCs w:val="26"/>
        </w:rPr>
        <w:t>o</w:t>
      </w:r>
      <w:r w:rsidRPr="00670BB8" w:rsidR="005C6695">
        <w:rPr>
          <w:rFonts w:ascii="Palatino" w:hAnsi="Palatino"/>
          <w:sz w:val="26"/>
          <w:szCs w:val="26"/>
        </w:rPr>
        <w:t>ption required</w:t>
      </w:r>
      <w:r w:rsidRPr="00670BB8" w:rsidR="004841A5">
        <w:rPr>
          <w:rFonts w:ascii="Palatino" w:hAnsi="Palatino"/>
          <w:sz w:val="26"/>
          <w:szCs w:val="26"/>
        </w:rPr>
        <w:t xml:space="preserve"> </w:t>
      </w:r>
      <w:r w:rsidRPr="00670BB8" w:rsidR="005C6695">
        <w:rPr>
          <w:rFonts w:ascii="Palatino" w:hAnsi="Palatino"/>
          <w:sz w:val="26"/>
          <w:szCs w:val="26"/>
        </w:rPr>
        <w:t>by</w:t>
      </w:r>
      <w:r w:rsidRPr="00670BB8" w:rsidR="004841A5">
        <w:rPr>
          <w:rFonts w:ascii="Palatino" w:hAnsi="Palatino"/>
          <w:sz w:val="26"/>
          <w:szCs w:val="26"/>
        </w:rPr>
        <w:t xml:space="preserve"> </w:t>
      </w:r>
      <w:r w:rsidRPr="00670BB8" w:rsidR="005C6695">
        <w:rPr>
          <w:rFonts w:ascii="Palatino" w:hAnsi="Palatino"/>
          <w:sz w:val="26"/>
          <w:szCs w:val="26"/>
        </w:rPr>
        <w:t xml:space="preserve">D.19-03-013 for each of the following project categories: </w:t>
      </w:r>
    </w:p>
    <w:p w:rsidRPr="00670BB8" w:rsidR="00F60880" w:rsidP="003040D1" w:rsidRDefault="00F60880" w14:paraId="629FC80C" w14:textId="77777777">
      <w:pPr>
        <w:autoSpaceDE w:val="0"/>
        <w:autoSpaceDN w:val="0"/>
        <w:adjustRightInd w:val="0"/>
        <w:rPr>
          <w:rFonts w:ascii="Palatino" w:hAnsi="Palatino"/>
          <w:sz w:val="26"/>
          <w:szCs w:val="26"/>
        </w:rPr>
      </w:pPr>
    </w:p>
    <w:p w:rsidRPr="00670BB8" w:rsidR="00CE2290" w:rsidP="00CE2290" w:rsidRDefault="00CE2290" w14:paraId="0EC903E4" w14:textId="76EEF393">
      <w:pPr>
        <w:pStyle w:val="ListParagraph"/>
        <w:numPr>
          <w:ilvl w:val="0"/>
          <w:numId w:val="24"/>
        </w:numPr>
        <w:autoSpaceDE w:val="0"/>
        <w:autoSpaceDN w:val="0"/>
        <w:adjustRightInd w:val="0"/>
        <w:rPr>
          <w:rFonts w:ascii="Palatino" w:hAnsi="Palatino"/>
          <w:sz w:val="26"/>
          <w:szCs w:val="26"/>
        </w:rPr>
      </w:pPr>
      <w:r w:rsidRPr="00F1735C">
        <w:rPr>
          <w:rFonts w:ascii="Palatino" w:hAnsi="Palatino"/>
          <w:sz w:val="26"/>
          <w:szCs w:val="26"/>
          <w:u w:val="single"/>
        </w:rPr>
        <w:t>&lt; </w:t>
      </w:r>
      <w:r w:rsidRPr="00F1735C">
        <w:rPr>
          <w:rFonts w:ascii="Palatino" w:hAnsi="Palatino"/>
          <w:sz w:val="26"/>
          <w:szCs w:val="26"/>
        </w:rPr>
        <w:t>100 kW and </w:t>
      </w:r>
      <w:r w:rsidRPr="00F1735C">
        <w:rPr>
          <w:rFonts w:ascii="Palatino" w:hAnsi="Palatino"/>
          <w:sz w:val="26"/>
          <w:szCs w:val="26"/>
          <w:u w:val="single"/>
        </w:rPr>
        <w:t>&lt;</w:t>
      </w:r>
      <w:r w:rsidRPr="00F1735C">
        <w:rPr>
          <w:rFonts w:ascii="Palatino" w:hAnsi="Palatino"/>
          <w:sz w:val="26"/>
          <w:szCs w:val="26"/>
        </w:rPr>
        <w:t> 110% of original capacity</w:t>
      </w:r>
    </w:p>
    <w:p w:rsidRPr="00670BB8" w:rsidR="00F60880" w:rsidP="00F60880" w:rsidRDefault="00CE2290" w14:paraId="206A2C27" w14:textId="77777777">
      <w:pPr>
        <w:pStyle w:val="ListParagraph"/>
        <w:numPr>
          <w:ilvl w:val="0"/>
          <w:numId w:val="24"/>
        </w:numPr>
        <w:autoSpaceDE w:val="0"/>
        <w:autoSpaceDN w:val="0"/>
        <w:adjustRightInd w:val="0"/>
        <w:rPr>
          <w:rFonts w:ascii="Palatino" w:hAnsi="Palatino"/>
          <w:sz w:val="26"/>
          <w:szCs w:val="26"/>
        </w:rPr>
      </w:pPr>
      <w:r w:rsidRPr="00F1735C">
        <w:rPr>
          <w:rFonts w:ascii="Palatino" w:hAnsi="Palatino"/>
          <w:sz w:val="26"/>
          <w:szCs w:val="26"/>
          <w:u w:val="single"/>
        </w:rPr>
        <w:t>&lt;</w:t>
      </w:r>
      <w:r w:rsidRPr="00F1735C">
        <w:rPr>
          <w:rFonts w:ascii="Palatino" w:hAnsi="Palatino"/>
          <w:sz w:val="26"/>
          <w:szCs w:val="26"/>
        </w:rPr>
        <w:t> 100 kW and &gt; 110% of original capacity</w:t>
      </w:r>
    </w:p>
    <w:p w:rsidRPr="00670BB8" w:rsidR="00CE2290" w:rsidP="00F60880" w:rsidRDefault="00CE2290" w14:paraId="751C9BAC" w14:textId="032E406C">
      <w:pPr>
        <w:pStyle w:val="ListParagraph"/>
        <w:numPr>
          <w:ilvl w:val="0"/>
          <w:numId w:val="24"/>
        </w:numPr>
        <w:autoSpaceDE w:val="0"/>
        <w:autoSpaceDN w:val="0"/>
        <w:adjustRightInd w:val="0"/>
        <w:rPr>
          <w:rFonts w:ascii="Palatino" w:hAnsi="Palatino"/>
          <w:sz w:val="26"/>
          <w:szCs w:val="26"/>
        </w:rPr>
      </w:pPr>
      <w:r w:rsidRPr="00670BB8">
        <w:rPr>
          <w:rFonts w:ascii="Palatino" w:hAnsi="Palatino"/>
          <w:sz w:val="26"/>
          <w:szCs w:val="26"/>
        </w:rPr>
        <w:t>&gt; 100 kW and </w:t>
      </w:r>
      <w:r w:rsidRPr="00670BB8">
        <w:rPr>
          <w:rFonts w:ascii="Palatino" w:hAnsi="Palatino"/>
          <w:sz w:val="26"/>
          <w:szCs w:val="26"/>
          <w:u w:val="single"/>
        </w:rPr>
        <w:t>&lt;</w:t>
      </w:r>
      <w:r w:rsidRPr="00670BB8">
        <w:rPr>
          <w:rFonts w:ascii="Palatino" w:hAnsi="Palatino"/>
          <w:sz w:val="26"/>
          <w:szCs w:val="26"/>
        </w:rPr>
        <w:t> 110% of original capacity</w:t>
      </w:r>
    </w:p>
    <w:p w:rsidRPr="00670BB8" w:rsidR="00F1735C" w:rsidP="003040D1" w:rsidRDefault="00F60880" w14:paraId="59F47099" w14:textId="51AE88CC">
      <w:pPr>
        <w:pStyle w:val="ListParagraph"/>
        <w:numPr>
          <w:ilvl w:val="0"/>
          <w:numId w:val="24"/>
        </w:numPr>
        <w:autoSpaceDE w:val="0"/>
        <w:autoSpaceDN w:val="0"/>
        <w:adjustRightInd w:val="0"/>
        <w:rPr>
          <w:rFonts w:ascii="Palatino" w:hAnsi="Palatino"/>
          <w:sz w:val="26"/>
          <w:szCs w:val="26"/>
        </w:rPr>
      </w:pPr>
      <w:r w:rsidRPr="00F1735C">
        <w:rPr>
          <w:rFonts w:ascii="Palatino" w:hAnsi="Palatino"/>
          <w:sz w:val="26"/>
          <w:szCs w:val="26"/>
        </w:rPr>
        <w:t>&gt; 100 kW and &gt; 110% of original capacity</w:t>
      </w:r>
    </w:p>
    <w:p w:rsidRPr="00670BB8" w:rsidR="00F1735C" w:rsidP="003040D1" w:rsidRDefault="00F1735C" w14:paraId="74128A42" w14:textId="77777777">
      <w:pPr>
        <w:autoSpaceDE w:val="0"/>
        <w:autoSpaceDN w:val="0"/>
        <w:adjustRightInd w:val="0"/>
        <w:rPr>
          <w:rFonts w:ascii="Palatino" w:hAnsi="Palatino"/>
          <w:sz w:val="26"/>
          <w:szCs w:val="26"/>
        </w:rPr>
      </w:pPr>
    </w:p>
    <w:p w:rsidRPr="00670BB8" w:rsidR="00EA0A56" w:rsidP="003040D1" w:rsidRDefault="00B92C1C" w14:paraId="6BA36314" w14:textId="07A6677E">
      <w:pPr>
        <w:autoSpaceDE w:val="0"/>
        <w:autoSpaceDN w:val="0"/>
        <w:adjustRightInd w:val="0"/>
        <w:rPr>
          <w:rFonts w:ascii="Palatino" w:hAnsi="Palatino"/>
          <w:sz w:val="26"/>
          <w:szCs w:val="26"/>
        </w:rPr>
      </w:pPr>
      <w:r w:rsidRPr="00670BB8">
        <w:rPr>
          <w:rFonts w:ascii="Palatino" w:hAnsi="Palatino"/>
          <w:sz w:val="26"/>
          <w:szCs w:val="26"/>
        </w:rPr>
        <w:t xml:space="preserve">In addition, </w:t>
      </w:r>
      <w:r w:rsidRPr="00670BB8" w:rsidR="00212E21">
        <w:rPr>
          <w:rFonts w:ascii="Palatino" w:hAnsi="Palatino"/>
          <w:sz w:val="26"/>
          <w:szCs w:val="26"/>
        </w:rPr>
        <w:t xml:space="preserve">PG&amp;E and SDG&amp;E </w:t>
      </w:r>
      <w:r w:rsidRPr="00670BB8">
        <w:rPr>
          <w:rFonts w:ascii="Palatino" w:hAnsi="Palatino"/>
          <w:sz w:val="26"/>
          <w:szCs w:val="26"/>
        </w:rPr>
        <w:t xml:space="preserve">request that the </w:t>
      </w:r>
      <w:r w:rsidR="005C3AEC">
        <w:rPr>
          <w:rFonts w:ascii="Palatino" w:hAnsi="Palatino"/>
          <w:sz w:val="26"/>
          <w:szCs w:val="26"/>
        </w:rPr>
        <w:t>CPUC</w:t>
      </w:r>
      <w:r w:rsidRPr="00670BB8" w:rsidR="005C3AEC">
        <w:rPr>
          <w:rFonts w:ascii="Palatino" w:hAnsi="Palatino"/>
          <w:sz w:val="26"/>
          <w:szCs w:val="26"/>
        </w:rPr>
        <w:t xml:space="preserve"> </w:t>
      </w:r>
      <w:r w:rsidRPr="00670BB8">
        <w:rPr>
          <w:rFonts w:ascii="Palatino" w:hAnsi="Palatino"/>
          <w:sz w:val="26"/>
          <w:szCs w:val="26"/>
        </w:rPr>
        <w:t xml:space="preserve">clarify, for each of the </w:t>
      </w:r>
      <w:r w:rsidRPr="00670BB8" w:rsidR="00593279">
        <w:rPr>
          <w:rFonts w:ascii="Palatino" w:hAnsi="Palatino"/>
          <w:sz w:val="26"/>
          <w:szCs w:val="26"/>
        </w:rPr>
        <w:t>four scenarios identifie</w:t>
      </w:r>
      <w:r w:rsidR="00D7349F">
        <w:rPr>
          <w:rFonts w:ascii="Palatino" w:hAnsi="Palatino"/>
          <w:sz w:val="26"/>
          <w:szCs w:val="26"/>
        </w:rPr>
        <w:t>d</w:t>
      </w:r>
      <w:r w:rsidRPr="00670BB8" w:rsidR="00593279">
        <w:rPr>
          <w:rFonts w:ascii="Palatino" w:hAnsi="Palatino"/>
          <w:sz w:val="26"/>
          <w:szCs w:val="26"/>
        </w:rPr>
        <w:t xml:space="preserve">, whether the generating facility is required to use control systems to limit the output to the original capacity. </w:t>
      </w:r>
    </w:p>
    <w:p w:rsidRPr="00670BB8" w:rsidR="008B31AA" w:rsidP="008D0142" w:rsidRDefault="008B31AA" w14:paraId="792B74FC" w14:textId="77777777">
      <w:pPr>
        <w:rPr>
          <w:rFonts w:ascii="Palatino" w:hAnsi="Palatino"/>
          <w:sz w:val="26"/>
          <w:szCs w:val="26"/>
        </w:rPr>
      </w:pPr>
    </w:p>
    <w:p w:rsidRPr="00670BB8" w:rsidR="008C4EA6" w:rsidP="008C4EA6" w:rsidRDefault="008C4EA6" w14:paraId="23A6C5C8" w14:textId="77777777">
      <w:pPr>
        <w:rPr>
          <w:rFonts w:ascii="Palatino" w:hAnsi="Palatino"/>
          <w:sz w:val="26"/>
          <w:szCs w:val="26"/>
          <w:u w:val="single"/>
        </w:rPr>
      </w:pPr>
      <w:r w:rsidRPr="00670BB8">
        <w:rPr>
          <w:rFonts w:ascii="Palatino" w:hAnsi="Palatino"/>
          <w:sz w:val="26"/>
          <w:szCs w:val="26"/>
          <w:u w:val="single"/>
        </w:rPr>
        <w:lastRenderedPageBreak/>
        <w:t>Supplemental Advice Letters</w:t>
      </w:r>
    </w:p>
    <w:p w:rsidR="008C4EA6" w:rsidP="008C4EA6" w:rsidRDefault="003A517B" w14:paraId="4FFE588E" w14:textId="753A4E78">
      <w:pPr>
        <w:rPr>
          <w:rFonts w:ascii="Palatino" w:hAnsi="Palatino"/>
          <w:sz w:val="26"/>
          <w:szCs w:val="26"/>
        </w:rPr>
      </w:pPr>
      <w:r w:rsidRPr="003A517B">
        <w:rPr>
          <w:rFonts w:ascii="Palatino" w:hAnsi="Palatino"/>
          <w:sz w:val="26"/>
          <w:szCs w:val="26"/>
        </w:rPr>
        <w:t xml:space="preserve">The process by which generating facilities may replace inverters </w:t>
      </w:r>
      <w:r w:rsidR="008C4EA6">
        <w:rPr>
          <w:rFonts w:ascii="Palatino" w:hAnsi="Palatino"/>
          <w:sz w:val="26"/>
          <w:szCs w:val="26"/>
        </w:rPr>
        <w:t xml:space="preserve">was not addressed by either </w:t>
      </w:r>
      <w:r w:rsidRPr="00670BB8" w:rsidR="008C4EA6">
        <w:rPr>
          <w:rFonts w:ascii="Palatino" w:hAnsi="Palatino"/>
          <w:sz w:val="26"/>
          <w:szCs w:val="26"/>
        </w:rPr>
        <w:t>SCE AL 4009-E-A</w:t>
      </w:r>
      <w:r w:rsidR="008C4EA6">
        <w:rPr>
          <w:rFonts w:ascii="Palatino" w:hAnsi="Palatino"/>
          <w:sz w:val="26"/>
          <w:szCs w:val="26"/>
        </w:rPr>
        <w:t xml:space="preserve"> or </w:t>
      </w:r>
      <w:r w:rsidRPr="00670BB8" w:rsidR="008C4EA6">
        <w:rPr>
          <w:rFonts w:ascii="Palatino" w:hAnsi="Palatino"/>
          <w:sz w:val="26"/>
          <w:szCs w:val="26"/>
        </w:rPr>
        <w:t>SDG&amp;E AL 3381-E-A</w:t>
      </w:r>
      <w:r w:rsidR="008C4EA6">
        <w:rPr>
          <w:rFonts w:ascii="Palatino" w:hAnsi="Palatino"/>
          <w:sz w:val="26"/>
          <w:szCs w:val="26"/>
        </w:rPr>
        <w:t>.</w:t>
      </w:r>
    </w:p>
    <w:p w:rsidR="008C4EA6" w:rsidP="00690517" w:rsidRDefault="008C4EA6" w14:paraId="40359721" w14:textId="77777777">
      <w:pPr>
        <w:rPr>
          <w:rFonts w:ascii="Palatino" w:hAnsi="Palatino"/>
          <w:sz w:val="26"/>
          <w:szCs w:val="26"/>
          <w:u w:val="single"/>
        </w:rPr>
      </w:pPr>
    </w:p>
    <w:p w:rsidRPr="00670BB8" w:rsidR="00690517" w:rsidP="00690517" w:rsidRDefault="00690517" w14:paraId="3913A2D0" w14:textId="18B3AE62">
      <w:pPr>
        <w:rPr>
          <w:rFonts w:ascii="Palatino" w:hAnsi="Palatino"/>
          <w:sz w:val="26"/>
          <w:szCs w:val="26"/>
          <w:u w:val="single"/>
        </w:rPr>
      </w:pPr>
      <w:r w:rsidRPr="00670BB8">
        <w:rPr>
          <w:rFonts w:ascii="Palatino" w:hAnsi="Palatino"/>
          <w:sz w:val="26"/>
          <w:szCs w:val="26"/>
          <w:u w:val="single"/>
        </w:rPr>
        <w:t>Discussion</w:t>
      </w:r>
    </w:p>
    <w:p w:rsidRPr="00670BB8" w:rsidR="00317773" w:rsidP="00317773" w:rsidRDefault="00DF177A" w14:paraId="5D8239A1" w14:textId="55513D9D">
      <w:pPr>
        <w:rPr>
          <w:rFonts w:ascii="Palatino" w:hAnsi="Palatino" w:cs="BookAntiqua"/>
          <w:sz w:val="26"/>
          <w:szCs w:val="26"/>
        </w:rPr>
      </w:pPr>
      <w:r w:rsidRPr="00670BB8">
        <w:rPr>
          <w:rFonts w:ascii="Palatino" w:hAnsi="Palatino"/>
          <w:sz w:val="26"/>
          <w:szCs w:val="26"/>
        </w:rPr>
        <w:t xml:space="preserve">For </w:t>
      </w:r>
      <w:r>
        <w:rPr>
          <w:rFonts w:ascii="Palatino" w:hAnsi="Palatino"/>
          <w:sz w:val="26"/>
          <w:szCs w:val="26"/>
        </w:rPr>
        <w:t>U</w:t>
      </w:r>
      <w:r w:rsidRPr="00670BB8">
        <w:rPr>
          <w:rFonts w:ascii="Palatino" w:hAnsi="Palatino"/>
          <w:sz w:val="26"/>
          <w:szCs w:val="26"/>
        </w:rPr>
        <w:t xml:space="preserve">se </w:t>
      </w:r>
      <w:r>
        <w:rPr>
          <w:rFonts w:ascii="Palatino" w:hAnsi="Palatino"/>
          <w:sz w:val="26"/>
          <w:szCs w:val="26"/>
        </w:rPr>
        <w:t>C</w:t>
      </w:r>
      <w:r w:rsidRPr="00670BB8">
        <w:rPr>
          <w:rFonts w:ascii="Palatino" w:hAnsi="Palatino"/>
          <w:sz w:val="26"/>
          <w:szCs w:val="26"/>
        </w:rPr>
        <w:t xml:space="preserve">ase 3, </w:t>
      </w:r>
      <w:r>
        <w:rPr>
          <w:rFonts w:ascii="Palatino" w:hAnsi="Palatino"/>
          <w:sz w:val="26"/>
          <w:szCs w:val="26"/>
        </w:rPr>
        <w:t>replacement of</w:t>
      </w:r>
      <w:r w:rsidRPr="00670BB8">
        <w:rPr>
          <w:rFonts w:ascii="Palatino" w:hAnsi="Palatino"/>
          <w:sz w:val="26"/>
          <w:szCs w:val="26"/>
        </w:rPr>
        <w:t xml:space="preserve"> equipment that may increase the nameplate capacity of the system, but which employ inverter power controls </w:t>
      </w:r>
      <w:r w:rsidR="00166660">
        <w:rPr>
          <w:rFonts w:ascii="Palatino" w:hAnsi="Palatino"/>
          <w:sz w:val="26"/>
          <w:szCs w:val="26"/>
        </w:rPr>
        <w:t>to</w:t>
      </w:r>
      <w:r w:rsidRPr="00670BB8">
        <w:rPr>
          <w:rFonts w:ascii="Palatino" w:hAnsi="Palatino"/>
          <w:sz w:val="26"/>
          <w:szCs w:val="26"/>
        </w:rPr>
        <w:t xml:space="preserve"> limit the real power output to </w:t>
      </w:r>
      <w:r w:rsidR="00166660">
        <w:rPr>
          <w:rFonts w:ascii="Palatino" w:hAnsi="Palatino"/>
          <w:sz w:val="26"/>
          <w:szCs w:val="26"/>
        </w:rPr>
        <w:t xml:space="preserve">the </w:t>
      </w:r>
      <w:r w:rsidRPr="00670BB8">
        <w:rPr>
          <w:rFonts w:ascii="Palatino" w:hAnsi="Palatino"/>
          <w:sz w:val="26"/>
          <w:szCs w:val="26"/>
        </w:rPr>
        <w:t xml:space="preserve">size </w:t>
      </w:r>
      <w:r w:rsidR="00166660">
        <w:rPr>
          <w:rFonts w:ascii="Palatino" w:hAnsi="Palatino"/>
          <w:sz w:val="26"/>
          <w:szCs w:val="26"/>
        </w:rPr>
        <w:t xml:space="preserve">approved </w:t>
      </w:r>
      <w:r w:rsidRPr="00670BB8">
        <w:rPr>
          <w:rFonts w:ascii="Palatino" w:hAnsi="Palatino"/>
          <w:sz w:val="26"/>
          <w:szCs w:val="26"/>
        </w:rPr>
        <w:t>in the original agreement</w:t>
      </w:r>
      <w:r w:rsidR="00166660">
        <w:rPr>
          <w:rFonts w:ascii="Palatino" w:hAnsi="Palatino"/>
          <w:sz w:val="26"/>
          <w:szCs w:val="26"/>
        </w:rPr>
        <w:t xml:space="preserve">, </w:t>
      </w:r>
      <w:r w:rsidRPr="00670BB8">
        <w:rPr>
          <w:rFonts w:ascii="Palatino" w:hAnsi="Palatino"/>
          <w:sz w:val="26"/>
          <w:szCs w:val="26"/>
        </w:rPr>
        <w:t xml:space="preserve">D.19-03-013 finds that a hybrid approach is necessary to address the differences between projects above versus those at or below 100 kW. </w:t>
      </w:r>
      <w:r w:rsidRPr="00670BB8" w:rsidR="00317773">
        <w:rPr>
          <w:rFonts w:ascii="Palatino" w:hAnsi="Palatino"/>
          <w:sz w:val="26"/>
          <w:szCs w:val="26"/>
        </w:rPr>
        <w:t xml:space="preserve">Noting that Net Energy Metering (NEM) </w:t>
      </w:r>
      <w:r w:rsidR="005B155B">
        <w:rPr>
          <w:rFonts w:ascii="Palatino" w:hAnsi="Palatino"/>
          <w:sz w:val="26"/>
          <w:szCs w:val="26"/>
        </w:rPr>
        <w:t>grandfathering</w:t>
      </w:r>
      <w:r w:rsidRPr="00670BB8" w:rsidR="00317773">
        <w:rPr>
          <w:rFonts w:ascii="Palatino" w:hAnsi="Palatino"/>
          <w:sz w:val="26"/>
          <w:szCs w:val="26"/>
        </w:rPr>
        <w:t xml:space="preserve"> </w:t>
      </w:r>
      <w:r w:rsidRPr="00670BB8" w:rsidR="00317773">
        <w:rPr>
          <w:rFonts w:ascii="Palatino" w:hAnsi="Palatino" w:cs="BookAntiqua"/>
          <w:sz w:val="26"/>
          <w:szCs w:val="26"/>
        </w:rPr>
        <w:t xml:space="preserve">language allows systems to increase to 110 percent of their original generating facility capacity as identified in its original permission to operate letter, D.19-03-013 adopts a hybrid approach for </w:t>
      </w:r>
      <w:r w:rsidR="00317773">
        <w:rPr>
          <w:rFonts w:ascii="Palatino" w:hAnsi="Palatino" w:cs="BookAntiqua"/>
          <w:sz w:val="26"/>
          <w:szCs w:val="26"/>
        </w:rPr>
        <w:t>U</w:t>
      </w:r>
      <w:r w:rsidRPr="00670BB8" w:rsidR="00317773">
        <w:rPr>
          <w:rFonts w:ascii="Palatino" w:hAnsi="Palatino" w:cs="BookAntiqua"/>
          <w:sz w:val="26"/>
          <w:szCs w:val="26"/>
        </w:rPr>
        <w:t xml:space="preserve">se </w:t>
      </w:r>
      <w:r w:rsidR="00317773">
        <w:rPr>
          <w:rFonts w:ascii="Palatino" w:hAnsi="Palatino" w:cs="BookAntiqua"/>
          <w:sz w:val="26"/>
          <w:szCs w:val="26"/>
        </w:rPr>
        <w:t>C</w:t>
      </w:r>
      <w:r w:rsidRPr="00670BB8" w:rsidR="00317773">
        <w:rPr>
          <w:rFonts w:ascii="Palatino" w:hAnsi="Palatino" w:cs="BookAntiqua"/>
          <w:sz w:val="26"/>
          <w:szCs w:val="26"/>
        </w:rPr>
        <w:t>ase 3. Specifically, the dicta of D.19-03-013 states the following:</w:t>
      </w:r>
    </w:p>
    <w:p w:rsidRPr="00670BB8" w:rsidR="00317773" w:rsidP="00317773" w:rsidRDefault="00317773" w14:paraId="67E9AEA7" w14:textId="77777777">
      <w:pPr>
        <w:rPr>
          <w:rFonts w:ascii="Palatino" w:hAnsi="Palatino" w:cs="BookAntiqua"/>
          <w:sz w:val="26"/>
          <w:szCs w:val="26"/>
        </w:rPr>
      </w:pPr>
    </w:p>
    <w:p w:rsidRPr="00670BB8" w:rsidR="00317773" w:rsidP="00317773" w:rsidRDefault="00317773" w14:paraId="0ADE1C5B" w14:textId="77777777">
      <w:pPr>
        <w:ind w:left="720"/>
        <w:rPr>
          <w:rFonts w:ascii="Palatino" w:hAnsi="Palatino"/>
          <w:sz w:val="26"/>
          <w:szCs w:val="26"/>
        </w:rPr>
      </w:pPr>
      <w:r w:rsidRPr="00670BB8">
        <w:rPr>
          <w:rFonts w:ascii="Palatino" w:hAnsi="Palatino"/>
          <w:sz w:val="26"/>
          <w:szCs w:val="26"/>
        </w:rPr>
        <w:t>Accordingly, for projects at or below 100 kW, we find it reasonable to adopt process option 2 pending creation and implementation of certification schemes that proves inverter power controls can limit export.  For projects above 100 kW, we find it reasonable to adopt process Option 4.  For projects increasing capacity within 110 percent of original generating facility capacity as identified in its original permission to operate letter and maintaining the original permission to operate real power output via inverter power controls, we find it reasonable to adopt process option 2 to be in alignment with the NEM tariff grandfathering rules.</w:t>
      </w:r>
      <w:r w:rsidRPr="00670BB8">
        <w:rPr>
          <w:rStyle w:val="FootnoteReference"/>
          <w:rFonts w:ascii="Palatino" w:hAnsi="Palatino"/>
          <w:sz w:val="26"/>
          <w:szCs w:val="26"/>
        </w:rPr>
        <w:footnoteReference w:id="11"/>
      </w:r>
    </w:p>
    <w:p w:rsidRPr="00670BB8" w:rsidR="00317773" w:rsidP="00317773" w:rsidRDefault="00317773" w14:paraId="05F280D1" w14:textId="77777777">
      <w:pPr>
        <w:rPr>
          <w:rFonts w:ascii="Palatino" w:hAnsi="Palatino"/>
          <w:sz w:val="26"/>
          <w:szCs w:val="26"/>
        </w:rPr>
      </w:pPr>
    </w:p>
    <w:p w:rsidRPr="00670BB8" w:rsidR="00317773" w:rsidP="00317773" w:rsidRDefault="00317773" w14:paraId="4344766A" w14:textId="5733A908">
      <w:pPr>
        <w:rPr>
          <w:rFonts w:ascii="Palatino" w:hAnsi="Palatino"/>
          <w:sz w:val="26"/>
          <w:szCs w:val="26"/>
        </w:rPr>
      </w:pPr>
      <w:r w:rsidRPr="00670BB8">
        <w:rPr>
          <w:rFonts w:ascii="Palatino" w:hAnsi="Palatino"/>
          <w:sz w:val="26"/>
          <w:szCs w:val="26"/>
        </w:rPr>
        <w:t>Conclusion of Law 16 states the following</w:t>
      </w:r>
      <w:r w:rsidR="00FC54BF">
        <w:rPr>
          <w:rStyle w:val="FootnoteReference"/>
          <w:rFonts w:ascii="Palatino" w:hAnsi="Palatino"/>
          <w:sz w:val="26"/>
          <w:szCs w:val="26"/>
        </w:rPr>
        <w:footnoteReference w:id="12"/>
      </w:r>
      <w:r w:rsidRPr="00670BB8">
        <w:rPr>
          <w:rFonts w:ascii="Palatino" w:hAnsi="Palatino"/>
          <w:sz w:val="26"/>
          <w:szCs w:val="26"/>
        </w:rPr>
        <w:t>:</w:t>
      </w:r>
    </w:p>
    <w:p w:rsidRPr="00670BB8" w:rsidR="00317773" w:rsidP="00317773" w:rsidRDefault="00317773" w14:paraId="347FABF5" w14:textId="77777777">
      <w:pPr>
        <w:rPr>
          <w:rFonts w:ascii="Palatino" w:hAnsi="Palatino"/>
          <w:sz w:val="26"/>
          <w:szCs w:val="26"/>
        </w:rPr>
      </w:pPr>
    </w:p>
    <w:p w:rsidRPr="00670BB8" w:rsidR="00317773" w:rsidP="00317773" w:rsidRDefault="00317773" w14:paraId="20F49B9D" w14:textId="59D0E84F">
      <w:pPr>
        <w:ind w:left="720"/>
        <w:rPr>
          <w:rFonts w:ascii="Palatino" w:hAnsi="Palatino"/>
          <w:sz w:val="26"/>
          <w:szCs w:val="26"/>
        </w:rPr>
      </w:pPr>
      <w:r w:rsidRPr="00670BB8">
        <w:rPr>
          <w:rFonts w:ascii="Palatino" w:hAnsi="Palatino"/>
          <w:sz w:val="26"/>
          <w:szCs w:val="26"/>
        </w:rPr>
        <w:t xml:space="preserve">For use case 3, the Commission should adopt process option 2 for projects increasing capacity to below 100 kW, following the creation of certification </w:t>
      </w:r>
      <w:r w:rsidRPr="00670BB8">
        <w:rPr>
          <w:rFonts w:ascii="Palatino" w:hAnsi="Palatino"/>
          <w:sz w:val="26"/>
          <w:szCs w:val="26"/>
        </w:rPr>
        <w:lastRenderedPageBreak/>
        <w:t xml:space="preserve">schemes to limit export to the original generating facility’s nameplate capacity, and </w:t>
      </w:r>
      <w:bookmarkStart w:name="_Hlk60142314" w:id="5"/>
      <w:r w:rsidRPr="00670BB8">
        <w:rPr>
          <w:rFonts w:ascii="Palatino" w:hAnsi="Palatino"/>
          <w:sz w:val="26"/>
          <w:szCs w:val="26"/>
        </w:rPr>
        <w:t>process option 4 for projects increasing capacity to at or above 100 kW and more than 110 percent of the original generating facility’s nameplate capacity</w:t>
      </w:r>
      <w:bookmarkEnd w:id="5"/>
      <w:r w:rsidRPr="00670BB8">
        <w:rPr>
          <w:rFonts w:ascii="Palatino" w:hAnsi="Palatino"/>
          <w:sz w:val="26"/>
          <w:szCs w:val="26"/>
        </w:rPr>
        <w:t>.</w:t>
      </w:r>
      <w:r w:rsidR="00FC54BF">
        <w:rPr>
          <w:rStyle w:val="FootnoteReference"/>
          <w:rFonts w:ascii="Palatino" w:hAnsi="Palatino"/>
          <w:sz w:val="26"/>
          <w:szCs w:val="26"/>
        </w:rPr>
        <w:footnoteReference w:id="13"/>
      </w:r>
    </w:p>
    <w:p w:rsidRPr="00670BB8" w:rsidR="00317773" w:rsidP="00317773" w:rsidRDefault="00317773" w14:paraId="6302A60F" w14:textId="77777777">
      <w:pPr>
        <w:ind w:left="720"/>
        <w:rPr>
          <w:rFonts w:ascii="Palatino" w:hAnsi="Palatino"/>
          <w:sz w:val="26"/>
          <w:szCs w:val="26"/>
        </w:rPr>
      </w:pPr>
    </w:p>
    <w:p w:rsidRPr="00670BB8" w:rsidR="00317773" w:rsidP="00317773" w:rsidRDefault="00317773" w14:paraId="77A966FC" w14:textId="77777777">
      <w:pPr>
        <w:rPr>
          <w:rFonts w:ascii="Palatino" w:hAnsi="Palatino"/>
          <w:sz w:val="26"/>
          <w:szCs w:val="26"/>
        </w:rPr>
      </w:pPr>
      <w:r w:rsidRPr="00670BB8">
        <w:rPr>
          <w:rFonts w:ascii="Palatino" w:hAnsi="Palatino"/>
          <w:sz w:val="26"/>
          <w:szCs w:val="26"/>
        </w:rPr>
        <w:t>Conclusion of Law 17 aligns with the dicta by creating an exception for larger projects that increase their inverter nameplate to 110% of the original while limiting export to the original nameplate capacity.</w:t>
      </w:r>
    </w:p>
    <w:p w:rsidRPr="00670BB8" w:rsidR="00317773" w:rsidP="00317773" w:rsidRDefault="00317773" w14:paraId="38E0D413" w14:textId="77777777">
      <w:pPr>
        <w:rPr>
          <w:rFonts w:ascii="Palatino" w:hAnsi="Palatino"/>
          <w:sz w:val="26"/>
          <w:szCs w:val="26"/>
        </w:rPr>
      </w:pPr>
    </w:p>
    <w:p w:rsidRPr="00670BB8" w:rsidR="00317773" w:rsidP="00317773" w:rsidRDefault="00317773" w14:paraId="2434A091" w14:textId="77777777">
      <w:pPr>
        <w:ind w:left="720"/>
        <w:rPr>
          <w:rFonts w:ascii="Palatino" w:hAnsi="Palatino"/>
          <w:sz w:val="26"/>
          <w:szCs w:val="26"/>
        </w:rPr>
      </w:pPr>
      <w:r w:rsidRPr="00670BB8">
        <w:rPr>
          <w:rFonts w:ascii="Palatino" w:hAnsi="Palatino"/>
          <w:sz w:val="26"/>
          <w:szCs w:val="26"/>
        </w:rPr>
        <w:t>For use case 3, the Commission should adopt process option 2 for projects increasing capacity to at or above 100 kW and below 110 percent of the original generating facility’s nameplate capacity, following the creation of certification schemes to limit export to the project’s original nameplate capacity.</w:t>
      </w:r>
      <w:r w:rsidRPr="00670BB8">
        <w:rPr>
          <w:rStyle w:val="FootnoteReference"/>
          <w:rFonts w:ascii="Palatino" w:hAnsi="Palatino"/>
          <w:sz w:val="26"/>
          <w:szCs w:val="26"/>
        </w:rPr>
        <w:footnoteReference w:id="14"/>
      </w:r>
    </w:p>
    <w:p w:rsidRPr="00670BB8" w:rsidR="00317773" w:rsidP="00317773" w:rsidRDefault="00317773" w14:paraId="12008EFB" w14:textId="77777777">
      <w:pPr>
        <w:rPr>
          <w:rFonts w:ascii="Palatino" w:hAnsi="Palatino"/>
          <w:sz w:val="26"/>
          <w:szCs w:val="26"/>
        </w:rPr>
      </w:pPr>
    </w:p>
    <w:p w:rsidRPr="00670BB8" w:rsidR="00317773" w:rsidP="00317773" w:rsidRDefault="00317773" w14:paraId="3A79DE6B" w14:textId="4FFF944A">
      <w:pPr>
        <w:rPr>
          <w:rFonts w:ascii="Palatino" w:hAnsi="Palatino"/>
          <w:sz w:val="26"/>
          <w:szCs w:val="26"/>
        </w:rPr>
      </w:pPr>
      <w:r w:rsidRPr="00670BB8">
        <w:rPr>
          <w:rFonts w:ascii="Palatino" w:hAnsi="Palatino"/>
          <w:sz w:val="26"/>
          <w:szCs w:val="26"/>
        </w:rPr>
        <w:t xml:space="preserve">OP 6 incorporates both Conclusions of Law by ordering the following: </w:t>
      </w:r>
    </w:p>
    <w:p w:rsidRPr="00670BB8" w:rsidR="00317773" w:rsidP="00317773" w:rsidRDefault="00317773" w14:paraId="7056814A" w14:textId="77777777">
      <w:pPr>
        <w:rPr>
          <w:rFonts w:ascii="Palatino" w:hAnsi="Palatino"/>
          <w:sz w:val="26"/>
          <w:szCs w:val="26"/>
        </w:rPr>
      </w:pPr>
    </w:p>
    <w:p w:rsidRPr="00670BB8" w:rsidR="00317773" w:rsidP="00317773" w:rsidRDefault="00317773" w14:paraId="41AAEC98" w14:textId="77777777">
      <w:pPr>
        <w:ind w:left="720"/>
        <w:rPr>
          <w:rFonts w:ascii="Palatino" w:hAnsi="Palatino"/>
          <w:sz w:val="26"/>
          <w:szCs w:val="26"/>
        </w:rPr>
      </w:pPr>
      <w:r w:rsidRPr="00670BB8">
        <w:rPr>
          <w:rFonts w:ascii="Palatino" w:hAnsi="Palatino"/>
          <w:sz w:val="26"/>
          <w:szCs w:val="26"/>
        </w:rPr>
        <w:t>For Use Case 3, process option 2 shall be used for projects increasing capacity to less than 100 kilowatt (kW), pending the creation of certification schemes for inverter power controls (software/firmware) to limit export, and process option 4 shall be used for projects increasing capacity to at or greater than 100 kW. For projects of any size that are requesting an increase in capacity within 110 percent of their original generating capacity, process option 2 shall be used.</w:t>
      </w:r>
      <w:r w:rsidRPr="00670BB8">
        <w:rPr>
          <w:rStyle w:val="FootnoteReference"/>
          <w:rFonts w:ascii="Palatino" w:hAnsi="Palatino"/>
          <w:sz w:val="26"/>
          <w:szCs w:val="26"/>
        </w:rPr>
        <w:footnoteReference w:id="15"/>
      </w:r>
    </w:p>
    <w:p w:rsidR="00DF177A" w:rsidP="00DF177A" w:rsidRDefault="00DF177A" w14:paraId="4E988D7E" w14:textId="55434EAC">
      <w:pPr>
        <w:rPr>
          <w:rFonts w:ascii="Palatino" w:hAnsi="Palatino"/>
          <w:sz w:val="26"/>
          <w:szCs w:val="26"/>
        </w:rPr>
      </w:pPr>
    </w:p>
    <w:p w:rsidRPr="00670BB8" w:rsidR="00690517" w:rsidP="00690517" w:rsidRDefault="00BA22BB" w14:paraId="4159E3BF" w14:textId="06FBD27A">
      <w:pPr>
        <w:rPr>
          <w:rFonts w:ascii="Palatino" w:hAnsi="Palatino"/>
          <w:sz w:val="26"/>
          <w:szCs w:val="26"/>
        </w:rPr>
      </w:pPr>
      <w:r>
        <w:rPr>
          <w:rFonts w:ascii="Palatino" w:hAnsi="Palatino"/>
          <w:sz w:val="26"/>
          <w:szCs w:val="26"/>
        </w:rPr>
        <w:t xml:space="preserve">We first consider </w:t>
      </w:r>
      <w:r w:rsidRPr="00670BB8">
        <w:rPr>
          <w:rFonts w:ascii="Palatino" w:hAnsi="Palatino"/>
          <w:sz w:val="26"/>
          <w:szCs w:val="26"/>
        </w:rPr>
        <w:t>SCE</w:t>
      </w:r>
      <w:r>
        <w:rPr>
          <w:rFonts w:ascii="Palatino" w:hAnsi="Palatino"/>
          <w:sz w:val="26"/>
          <w:szCs w:val="26"/>
        </w:rPr>
        <w:t>’s</w:t>
      </w:r>
      <w:r w:rsidRPr="00670BB8">
        <w:rPr>
          <w:rFonts w:ascii="Palatino" w:hAnsi="Palatino"/>
          <w:sz w:val="26"/>
          <w:szCs w:val="26"/>
        </w:rPr>
        <w:t xml:space="preserve"> </w:t>
      </w:r>
      <w:r>
        <w:rPr>
          <w:rFonts w:ascii="Palatino" w:hAnsi="Palatino"/>
          <w:sz w:val="26"/>
          <w:szCs w:val="26"/>
        </w:rPr>
        <w:t>assertion</w:t>
      </w:r>
      <w:r w:rsidRPr="00670BB8">
        <w:rPr>
          <w:rFonts w:ascii="Palatino" w:hAnsi="Palatino"/>
          <w:sz w:val="26"/>
          <w:szCs w:val="26"/>
        </w:rPr>
        <w:t xml:space="preserve"> that D.19-03-013’s adopted approach for Use Case 3 is inconsistent in its approach to projects greater than 100 kW that are requesting to increase their inverter capacity to within 110 percent of their original generating capacity</w:t>
      </w:r>
      <w:r>
        <w:rPr>
          <w:rFonts w:ascii="Palatino" w:hAnsi="Palatino"/>
          <w:sz w:val="26"/>
          <w:szCs w:val="26"/>
        </w:rPr>
        <w:t xml:space="preserve">. </w:t>
      </w:r>
      <w:r w:rsidR="00E935A3">
        <w:rPr>
          <w:rFonts w:ascii="Palatino" w:hAnsi="Palatino"/>
          <w:sz w:val="26"/>
          <w:szCs w:val="26"/>
        </w:rPr>
        <w:t>OP 6 states that, “</w:t>
      </w:r>
      <w:r w:rsidRPr="00670BB8" w:rsidR="00E935A3">
        <w:rPr>
          <w:rFonts w:ascii="Palatino" w:hAnsi="Palatino"/>
          <w:sz w:val="26"/>
          <w:szCs w:val="26"/>
        </w:rPr>
        <w:t xml:space="preserve">For projects of any size that are requesting an increase in capacity within 110 percent of their original generating </w:t>
      </w:r>
      <w:r w:rsidRPr="00670BB8" w:rsidR="00E935A3">
        <w:rPr>
          <w:rFonts w:ascii="Palatino" w:hAnsi="Palatino"/>
          <w:sz w:val="26"/>
          <w:szCs w:val="26"/>
        </w:rPr>
        <w:lastRenderedPageBreak/>
        <w:t>capacity, process option 2 shall be used</w:t>
      </w:r>
      <w:r w:rsidR="00E935A3">
        <w:rPr>
          <w:rFonts w:ascii="Palatino" w:hAnsi="Palatino"/>
          <w:sz w:val="26"/>
          <w:szCs w:val="26"/>
        </w:rPr>
        <w:t xml:space="preserve">.” </w:t>
      </w:r>
      <w:r w:rsidR="002C0B55">
        <w:rPr>
          <w:rFonts w:ascii="Palatino" w:hAnsi="Palatino"/>
          <w:sz w:val="26"/>
          <w:szCs w:val="26"/>
        </w:rPr>
        <w:t xml:space="preserve">This language clearly establishes that all </w:t>
      </w:r>
      <w:r w:rsidRPr="00670BB8" w:rsidR="002C0B55">
        <w:rPr>
          <w:rFonts w:ascii="Palatino" w:hAnsi="Palatino"/>
          <w:sz w:val="26"/>
          <w:szCs w:val="26"/>
        </w:rPr>
        <w:t>projects</w:t>
      </w:r>
      <w:r w:rsidR="002C0B55">
        <w:rPr>
          <w:rFonts w:ascii="Palatino" w:hAnsi="Palatino"/>
          <w:sz w:val="26"/>
          <w:szCs w:val="26"/>
        </w:rPr>
        <w:t>, whether below or above</w:t>
      </w:r>
      <w:r w:rsidRPr="00670BB8" w:rsidR="002C0B55">
        <w:rPr>
          <w:rFonts w:ascii="Palatino" w:hAnsi="Palatino"/>
          <w:sz w:val="26"/>
          <w:szCs w:val="26"/>
        </w:rPr>
        <w:t xml:space="preserve"> 100 kW</w:t>
      </w:r>
      <w:r w:rsidR="002C0B55">
        <w:rPr>
          <w:rFonts w:ascii="Palatino" w:hAnsi="Palatino"/>
          <w:sz w:val="26"/>
          <w:szCs w:val="26"/>
        </w:rPr>
        <w:t>,</w:t>
      </w:r>
      <w:r w:rsidRPr="00670BB8" w:rsidR="002C0B55">
        <w:rPr>
          <w:rFonts w:ascii="Palatino" w:hAnsi="Palatino"/>
          <w:sz w:val="26"/>
          <w:szCs w:val="26"/>
        </w:rPr>
        <w:t xml:space="preserve"> that </w:t>
      </w:r>
      <w:r w:rsidR="002C0B55">
        <w:rPr>
          <w:rFonts w:ascii="Palatino" w:hAnsi="Palatino"/>
          <w:sz w:val="26"/>
          <w:szCs w:val="26"/>
        </w:rPr>
        <w:t xml:space="preserve">utilize a replacement inverter that </w:t>
      </w:r>
      <w:r w:rsidR="00ED1958">
        <w:rPr>
          <w:rFonts w:ascii="Palatino" w:hAnsi="Palatino"/>
          <w:sz w:val="26"/>
          <w:szCs w:val="26"/>
        </w:rPr>
        <w:t xml:space="preserve">is </w:t>
      </w:r>
      <w:r w:rsidRPr="00670BB8" w:rsidR="002C0B55">
        <w:rPr>
          <w:rFonts w:ascii="Palatino" w:hAnsi="Palatino"/>
          <w:sz w:val="26"/>
          <w:szCs w:val="26"/>
        </w:rPr>
        <w:t xml:space="preserve">within 110 percent of </w:t>
      </w:r>
      <w:r w:rsidR="00ED1958">
        <w:rPr>
          <w:rFonts w:ascii="Palatino" w:hAnsi="Palatino"/>
          <w:sz w:val="26"/>
          <w:szCs w:val="26"/>
        </w:rPr>
        <w:t>the</w:t>
      </w:r>
      <w:r w:rsidRPr="00670BB8" w:rsidR="002C0B55">
        <w:rPr>
          <w:rFonts w:ascii="Palatino" w:hAnsi="Palatino"/>
          <w:sz w:val="26"/>
          <w:szCs w:val="26"/>
        </w:rPr>
        <w:t xml:space="preserve"> original generating capacity</w:t>
      </w:r>
      <w:r w:rsidR="00ED1958">
        <w:rPr>
          <w:rFonts w:ascii="Palatino" w:hAnsi="Palatino"/>
          <w:sz w:val="26"/>
          <w:szCs w:val="26"/>
        </w:rPr>
        <w:t xml:space="preserve"> and </w:t>
      </w:r>
      <w:r w:rsidR="00FD4E4E">
        <w:rPr>
          <w:rFonts w:ascii="Palatino" w:hAnsi="Palatino"/>
          <w:sz w:val="26"/>
          <w:szCs w:val="26"/>
        </w:rPr>
        <w:t>employ</w:t>
      </w:r>
      <w:r w:rsidR="006E3698">
        <w:rPr>
          <w:rFonts w:ascii="Palatino" w:hAnsi="Palatino"/>
          <w:sz w:val="26"/>
          <w:szCs w:val="26"/>
        </w:rPr>
        <w:t xml:space="preserve"> </w:t>
      </w:r>
      <w:r w:rsidRPr="00670BB8" w:rsidR="005E0B69">
        <w:rPr>
          <w:rFonts w:ascii="Palatino" w:hAnsi="Palatino"/>
          <w:sz w:val="26"/>
          <w:szCs w:val="26"/>
        </w:rPr>
        <w:t>advanced controls to limit output to the previously approved amount</w:t>
      </w:r>
      <w:r w:rsidR="006E3698">
        <w:rPr>
          <w:rFonts w:ascii="Palatino" w:hAnsi="Palatino"/>
          <w:sz w:val="26"/>
          <w:szCs w:val="26"/>
        </w:rPr>
        <w:t xml:space="preserve"> </w:t>
      </w:r>
      <w:r w:rsidR="00BE3D4C">
        <w:rPr>
          <w:rFonts w:ascii="Palatino" w:hAnsi="Palatino"/>
          <w:sz w:val="26"/>
          <w:szCs w:val="26"/>
        </w:rPr>
        <w:t>are eligible for</w:t>
      </w:r>
      <w:r w:rsidR="003714BF">
        <w:rPr>
          <w:rFonts w:ascii="Palatino" w:hAnsi="Palatino"/>
          <w:sz w:val="26"/>
          <w:szCs w:val="26"/>
        </w:rPr>
        <w:t xml:space="preserve"> Process Option 2. </w:t>
      </w:r>
    </w:p>
    <w:p w:rsidR="006A263C" w:rsidP="00690517" w:rsidRDefault="006A263C" w14:paraId="2D480F0B" w14:textId="77777777">
      <w:pPr>
        <w:rPr>
          <w:rFonts w:ascii="Palatino" w:hAnsi="Palatino"/>
          <w:sz w:val="26"/>
          <w:szCs w:val="26"/>
        </w:rPr>
      </w:pPr>
    </w:p>
    <w:p w:rsidR="006A263C" w:rsidP="00690517" w:rsidRDefault="006A263C" w14:paraId="04C17226" w14:textId="0DCDC4CD">
      <w:pPr>
        <w:rPr>
          <w:rFonts w:ascii="Palatino" w:hAnsi="Palatino"/>
          <w:sz w:val="26"/>
          <w:szCs w:val="26"/>
        </w:rPr>
      </w:pPr>
      <w:r>
        <w:rPr>
          <w:rFonts w:ascii="Palatino" w:hAnsi="Palatino"/>
          <w:sz w:val="26"/>
          <w:szCs w:val="26"/>
        </w:rPr>
        <w:t xml:space="preserve">Next, we </w:t>
      </w:r>
      <w:r w:rsidR="00A138D4">
        <w:rPr>
          <w:rFonts w:ascii="Palatino" w:hAnsi="Palatino"/>
          <w:sz w:val="26"/>
          <w:szCs w:val="26"/>
        </w:rPr>
        <w:t xml:space="preserve">provide the </w:t>
      </w:r>
      <w:r>
        <w:rPr>
          <w:rFonts w:ascii="Palatino" w:hAnsi="Palatino"/>
          <w:sz w:val="26"/>
          <w:szCs w:val="26"/>
        </w:rPr>
        <w:t xml:space="preserve">clarification </w:t>
      </w:r>
      <w:r w:rsidR="00A138D4">
        <w:rPr>
          <w:rFonts w:ascii="Palatino" w:hAnsi="Palatino"/>
          <w:sz w:val="26"/>
          <w:szCs w:val="26"/>
        </w:rPr>
        <w:t xml:space="preserve">requested by </w:t>
      </w:r>
      <w:r>
        <w:rPr>
          <w:rFonts w:ascii="Palatino" w:hAnsi="Palatino"/>
          <w:sz w:val="26"/>
          <w:szCs w:val="26"/>
        </w:rPr>
        <w:t>PG&amp;E and S</w:t>
      </w:r>
      <w:r w:rsidR="004B5531">
        <w:rPr>
          <w:rFonts w:ascii="Palatino" w:hAnsi="Palatino"/>
          <w:sz w:val="26"/>
          <w:szCs w:val="26"/>
        </w:rPr>
        <w:t>DG&amp;</w:t>
      </w:r>
      <w:r>
        <w:rPr>
          <w:rFonts w:ascii="Palatino" w:hAnsi="Palatino"/>
          <w:sz w:val="26"/>
          <w:szCs w:val="26"/>
        </w:rPr>
        <w:t>E</w:t>
      </w:r>
      <w:r w:rsidR="00A138D4">
        <w:rPr>
          <w:rFonts w:ascii="Palatino" w:hAnsi="Palatino"/>
          <w:sz w:val="26"/>
          <w:szCs w:val="26"/>
        </w:rPr>
        <w:t xml:space="preserve"> in their </w:t>
      </w:r>
      <w:r w:rsidRPr="00670BB8">
        <w:rPr>
          <w:rFonts w:ascii="Palatino" w:hAnsi="Palatino"/>
          <w:sz w:val="26"/>
          <w:szCs w:val="26"/>
        </w:rPr>
        <w:t>reply to CALSSA’s protest of the Joint AL</w:t>
      </w:r>
      <w:r w:rsidRPr="00670BB8" w:rsidR="004B5531">
        <w:rPr>
          <w:rFonts w:ascii="Palatino" w:hAnsi="Palatino"/>
          <w:sz w:val="26"/>
          <w:szCs w:val="26"/>
        </w:rPr>
        <w:t>.</w:t>
      </w:r>
      <w:r w:rsidR="00B94A52">
        <w:rPr>
          <w:rFonts w:ascii="Palatino" w:hAnsi="Palatino"/>
          <w:sz w:val="26"/>
          <w:szCs w:val="26"/>
        </w:rPr>
        <w:t xml:space="preserve"> </w:t>
      </w:r>
      <w:r w:rsidR="001155E4">
        <w:rPr>
          <w:rFonts w:ascii="Palatino" w:hAnsi="Palatino"/>
          <w:sz w:val="26"/>
          <w:szCs w:val="26"/>
        </w:rPr>
        <w:t>We first note that t</w:t>
      </w:r>
      <w:r w:rsidR="00B94A52">
        <w:rPr>
          <w:rFonts w:ascii="Palatino" w:hAnsi="Palatino"/>
          <w:sz w:val="26"/>
          <w:szCs w:val="26"/>
        </w:rPr>
        <w:t xml:space="preserve">he typographical error </w:t>
      </w:r>
      <w:r w:rsidR="001155E4">
        <w:rPr>
          <w:rFonts w:ascii="Palatino" w:hAnsi="Palatino"/>
          <w:sz w:val="26"/>
          <w:szCs w:val="26"/>
        </w:rPr>
        <w:t xml:space="preserve">in </w:t>
      </w:r>
      <w:r w:rsidRPr="00B94A52" w:rsidR="001155E4">
        <w:rPr>
          <w:rFonts w:ascii="Palatino" w:hAnsi="Palatino"/>
          <w:sz w:val="26"/>
          <w:szCs w:val="26"/>
        </w:rPr>
        <w:t>Conclusion of Law 16</w:t>
      </w:r>
      <w:r w:rsidR="001155E4">
        <w:rPr>
          <w:rFonts w:ascii="Palatino" w:hAnsi="Palatino"/>
          <w:sz w:val="26"/>
          <w:szCs w:val="26"/>
        </w:rPr>
        <w:t>, which</w:t>
      </w:r>
      <w:r w:rsidRPr="00B94A52" w:rsidR="001155E4">
        <w:rPr>
          <w:rFonts w:ascii="Palatino" w:hAnsi="Palatino"/>
          <w:sz w:val="26"/>
          <w:szCs w:val="26"/>
        </w:rPr>
        <w:t xml:space="preserve"> </w:t>
      </w:r>
      <w:r w:rsidR="001155E4">
        <w:rPr>
          <w:rFonts w:ascii="Palatino" w:hAnsi="Palatino"/>
          <w:sz w:val="26"/>
          <w:szCs w:val="26"/>
        </w:rPr>
        <w:t xml:space="preserve">PG&amp;E and SDG&amp;E </w:t>
      </w:r>
      <w:r w:rsidRPr="00670BB8" w:rsidR="001155E4">
        <w:rPr>
          <w:rFonts w:ascii="Palatino" w:hAnsi="Palatino"/>
          <w:sz w:val="26"/>
          <w:szCs w:val="26"/>
        </w:rPr>
        <w:t xml:space="preserve">point to </w:t>
      </w:r>
      <w:r w:rsidR="001155E4">
        <w:rPr>
          <w:rFonts w:ascii="Palatino" w:hAnsi="Palatino"/>
          <w:sz w:val="26"/>
          <w:szCs w:val="26"/>
        </w:rPr>
        <w:t xml:space="preserve">as a source of confusion around the implementation of Use Case 3, </w:t>
      </w:r>
      <w:r w:rsidRPr="00B94A52" w:rsidR="00B94A52">
        <w:rPr>
          <w:rFonts w:ascii="Palatino" w:hAnsi="Palatino"/>
          <w:sz w:val="26"/>
          <w:szCs w:val="26"/>
        </w:rPr>
        <w:t xml:space="preserve">was corrected via D.20-07-040 on </w:t>
      </w:r>
      <w:r w:rsidR="00C4227A">
        <w:rPr>
          <w:rFonts w:ascii="Palatino" w:hAnsi="Palatino"/>
          <w:sz w:val="26"/>
          <w:szCs w:val="26"/>
        </w:rPr>
        <w:br/>
      </w:r>
      <w:r w:rsidRPr="00B94A52" w:rsidR="00B94A52">
        <w:rPr>
          <w:rFonts w:ascii="Palatino" w:hAnsi="Palatino"/>
          <w:sz w:val="26"/>
          <w:szCs w:val="26"/>
        </w:rPr>
        <w:t>July 17, 2020, pursuant to Rule 16.5.</w:t>
      </w:r>
      <w:r w:rsidR="00430D25">
        <w:rPr>
          <w:rFonts w:ascii="Palatino" w:hAnsi="Palatino"/>
          <w:sz w:val="26"/>
          <w:szCs w:val="26"/>
        </w:rPr>
        <w:t xml:space="preserve"> Second, consistent with OP 6 and as discussed above, we specify</w:t>
      </w:r>
      <w:r w:rsidRPr="00670BB8" w:rsidR="00430D25">
        <w:rPr>
          <w:rFonts w:ascii="Palatino" w:hAnsi="Palatino"/>
          <w:sz w:val="26"/>
          <w:szCs w:val="26"/>
        </w:rPr>
        <w:t xml:space="preserve"> the </w:t>
      </w:r>
      <w:r w:rsidR="00430D25">
        <w:rPr>
          <w:rFonts w:ascii="Palatino" w:hAnsi="Palatino"/>
          <w:sz w:val="26"/>
          <w:szCs w:val="26"/>
        </w:rPr>
        <w:t>p</w:t>
      </w:r>
      <w:r w:rsidRPr="00670BB8" w:rsidR="00430D25">
        <w:rPr>
          <w:rFonts w:ascii="Palatino" w:hAnsi="Palatino"/>
          <w:sz w:val="26"/>
          <w:szCs w:val="26"/>
        </w:rPr>
        <w:t xml:space="preserve">rocess </w:t>
      </w:r>
      <w:r w:rsidR="00430D25">
        <w:rPr>
          <w:rFonts w:ascii="Palatino" w:hAnsi="Palatino"/>
          <w:sz w:val="26"/>
          <w:szCs w:val="26"/>
        </w:rPr>
        <w:t>o</w:t>
      </w:r>
      <w:r w:rsidRPr="00670BB8" w:rsidR="00430D25">
        <w:rPr>
          <w:rFonts w:ascii="Palatino" w:hAnsi="Palatino"/>
          <w:sz w:val="26"/>
          <w:szCs w:val="26"/>
        </w:rPr>
        <w:t xml:space="preserve">ption required by D.19-03-013 for </w:t>
      </w:r>
      <w:r w:rsidR="00884557">
        <w:rPr>
          <w:rFonts w:ascii="Palatino" w:hAnsi="Palatino"/>
          <w:sz w:val="26"/>
          <w:szCs w:val="26"/>
        </w:rPr>
        <w:t xml:space="preserve">Use Case 3 material modifications in </w:t>
      </w:r>
      <w:r w:rsidRPr="00670BB8" w:rsidR="00430D25">
        <w:rPr>
          <w:rFonts w:ascii="Palatino" w:hAnsi="Palatino"/>
          <w:sz w:val="26"/>
          <w:szCs w:val="26"/>
        </w:rPr>
        <w:t>each of the following project categories</w:t>
      </w:r>
      <w:r w:rsidR="00635E6E">
        <w:rPr>
          <w:rFonts w:ascii="Palatino" w:hAnsi="Palatino"/>
          <w:sz w:val="26"/>
          <w:szCs w:val="26"/>
        </w:rPr>
        <w:t>.</w:t>
      </w:r>
    </w:p>
    <w:p w:rsidR="00635E6E" w:rsidP="00690517" w:rsidRDefault="00635E6E" w14:paraId="4C33C89B" w14:textId="77777777">
      <w:pPr>
        <w:rPr>
          <w:rFonts w:ascii="Palatino" w:hAnsi="Palatino"/>
          <w:sz w:val="26"/>
          <w:szCs w:val="26"/>
        </w:rPr>
      </w:pPr>
    </w:p>
    <w:p w:rsidRPr="003C71E1" w:rsidR="003C71E1" w:rsidP="00690517" w:rsidRDefault="003C71E1" w14:paraId="0474C4E9" w14:textId="1C032274">
      <w:pPr>
        <w:rPr>
          <w:rFonts w:ascii="Palatino" w:hAnsi="Palatino"/>
          <w:b/>
          <w:bCs/>
          <w:sz w:val="26"/>
          <w:szCs w:val="26"/>
        </w:rPr>
      </w:pPr>
      <w:r>
        <w:rPr>
          <w:rFonts w:ascii="Palatino" w:hAnsi="Palatino"/>
          <w:b/>
          <w:bCs/>
          <w:sz w:val="26"/>
          <w:szCs w:val="26"/>
        </w:rPr>
        <w:t xml:space="preserve">Table 1: </w:t>
      </w:r>
      <w:r w:rsidR="006D5A91">
        <w:rPr>
          <w:rFonts w:ascii="Palatino" w:hAnsi="Palatino"/>
          <w:b/>
          <w:bCs/>
          <w:sz w:val="26"/>
          <w:szCs w:val="26"/>
        </w:rPr>
        <w:t>Process Option Designations for Use Case 3 Material Modifications</w:t>
      </w:r>
    </w:p>
    <w:tbl>
      <w:tblPr>
        <w:tblW w:w="0" w:type="auto"/>
        <w:jc w:val="center"/>
        <w:tblCellMar>
          <w:left w:w="0" w:type="dxa"/>
          <w:right w:w="0" w:type="dxa"/>
        </w:tblCellMar>
        <w:tblLook w:val="04A0" w:firstRow="1" w:lastRow="0" w:firstColumn="1" w:lastColumn="0" w:noHBand="0" w:noVBand="1"/>
      </w:tblPr>
      <w:tblGrid>
        <w:gridCol w:w="5120"/>
        <w:gridCol w:w="4220"/>
      </w:tblGrid>
      <w:tr w:rsidR="00635E6E" w:rsidTr="004A00E5" w14:paraId="459D1899" w14:textId="77777777">
        <w:trPr>
          <w:jc w:val="center"/>
        </w:trPr>
        <w:tc>
          <w:tcPr>
            <w:tcW w:w="51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635E6E" w:rsidRDefault="00635E6E" w14:paraId="1746617F" w14:textId="5D3CDF60">
            <w:pPr>
              <w:pStyle w:val="default"/>
              <w:spacing w:before="0" w:beforeAutospacing="0" w:after="0" w:afterAutospacing="0" w:line="276" w:lineRule="atLeast"/>
              <w:jc w:val="center"/>
              <w:rPr>
                <w:rFonts w:ascii="Book Antiqua" w:hAnsi="Book Antiqua"/>
                <w:color w:val="000000"/>
              </w:rPr>
            </w:pPr>
            <w:r>
              <w:rPr>
                <w:rFonts w:ascii="Palatino" w:hAnsi="Palatino"/>
                <w:b/>
                <w:bCs/>
                <w:sz w:val="26"/>
                <w:szCs w:val="26"/>
              </w:rPr>
              <w:t>Modified G</w:t>
            </w:r>
            <w:r w:rsidR="004A00E5">
              <w:rPr>
                <w:rFonts w:ascii="Palatino" w:hAnsi="Palatino"/>
                <w:b/>
                <w:bCs/>
                <w:sz w:val="26"/>
                <w:szCs w:val="26"/>
              </w:rPr>
              <w:t xml:space="preserve">enerating </w:t>
            </w:r>
            <w:r>
              <w:rPr>
                <w:rFonts w:ascii="Palatino" w:hAnsi="Palatino"/>
                <w:b/>
                <w:bCs/>
                <w:sz w:val="26"/>
                <w:szCs w:val="26"/>
              </w:rPr>
              <w:t>F</w:t>
            </w:r>
            <w:r w:rsidR="004A00E5">
              <w:rPr>
                <w:rFonts w:ascii="Palatino" w:hAnsi="Palatino"/>
                <w:b/>
                <w:bCs/>
                <w:sz w:val="26"/>
                <w:szCs w:val="26"/>
              </w:rPr>
              <w:t>acility</w:t>
            </w:r>
            <w:r>
              <w:rPr>
                <w:rFonts w:ascii="Palatino" w:hAnsi="Palatino"/>
                <w:b/>
                <w:bCs/>
                <w:sz w:val="26"/>
                <w:szCs w:val="26"/>
              </w:rPr>
              <w:t xml:space="preserve"> </w:t>
            </w:r>
            <w:r w:rsidR="004A00E5">
              <w:rPr>
                <w:rFonts w:ascii="Palatino" w:hAnsi="Palatino"/>
                <w:b/>
                <w:bCs/>
                <w:sz w:val="26"/>
                <w:szCs w:val="26"/>
              </w:rPr>
              <w:t>C</w:t>
            </w:r>
            <w:r>
              <w:rPr>
                <w:rFonts w:ascii="Palatino" w:hAnsi="Palatino"/>
                <w:b/>
                <w:bCs/>
                <w:sz w:val="26"/>
                <w:szCs w:val="26"/>
              </w:rPr>
              <w:t>apacity</w:t>
            </w:r>
          </w:p>
        </w:tc>
        <w:tc>
          <w:tcPr>
            <w:tcW w:w="422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35E6E" w:rsidRDefault="00635E6E" w14:paraId="0216F40C" w14:textId="77777777">
            <w:pPr>
              <w:pStyle w:val="default"/>
              <w:spacing w:before="0" w:beforeAutospacing="0" w:after="0" w:afterAutospacing="0" w:line="276" w:lineRule="atLeast"/>
              <w:jc w:val="center"/>
              <w:rPr>
                <w:rFonts w:ascii="Book Antiqua" w:hAnsi="Book Antiqua"/>
                <w:color w:val="000000"/>
              </w:rPr>
            </w:pPr>
            <w:r>
              <w:rPr>
                <w:rFonts w:ascii="Palatino" w:hAnsi="Palatino"/>
                <w:b/>
                <w:bCs/>
                <w:sz w:val="26"/>
                <w:szCs w:val="26"/>
              </w:rPr>
              <w:t>Process Option</w:t>
            </w:r>
          </w:p>
        </w:tc>
      </w:tr>
      <w:tr w:rsidR="00635E6E" w:rsidTr="004A00E5" w14:paraId="1C5B98AA" w14:textId="77777777">
        <w:trPr>
          <w:jc w:val="center"/>
        </w:trPr>
        <w:tc>
          <w:tcPr>
            <w:tcW w:w="51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35E6E" w:rsidRDefault="00635E6E" w14:paraId="36C56DD1" w14:textId="77777777">
            <w:pPr>
              <w:pStyle w:val="default"/>
              <w:spacing w:before="0" w:beforeAutospacing="0" w:after="0" w:afterAutospacing="0" w:line="276" w:lineRule="atLeast"/>
              <w:rPr>
                <w:rFonts w:ascii="Book Antiqua" w:hAnsi="Book Antiqua"/>
                <w:color w:val="000000"/>
              </w:rPr>
            </w:pPr>
            <w:r>
              <w:rPr>
                <w:rFonts w:ascii="Palatino" w:hAnsi="Palatino"/>
                <w:sz w:val="26"/>
                <w:szCs w:val="26"/>
                <w:u w:val="single"/>
              </w:rPr>
              <w:t>&lt;</w:t>
            </w:r>
            <w:r>
              <w:rPr>
                <w:rStyle w:val="apple-converted-space"/>
                <w:rFonts w:ascii="Palatino" w:hAnsi="Palatino"/>
                <w:sz w:val="26"/>
                <w:szCs w:val="26"/>
                <w:u w:val="single"/>
              </w:rPr>
              <w:t> </w:t>
            </w:r>
            <w:r>
              <w:rPr>
                <w:rFonts w:ascii="Palatino" w:hAnsi="Palatino"/>
                <w:sz w:val="26"/>
                <w:szCs w:val="26"/>
              </w:rPr>
              <w:t>100 kW and</w:t>
            </w:r>
            <w:r>
              <w:rPr>
                <w:rStyle w:val="apple-converted-space"/>
                <w:rFonts w:ascii="Palatino" w:hAnsi="Palatino"/>
                <w:sz w:val="26"/>
                <w:szCs w:val="26"/>
              </w:rPr>
              <w:t> </w:t>
            </w:r>
            <w:r>
              <w:rPr>
                <w:rFonts w:ascii="Palatino" w:hAnsi="Palatino"/>
                <w:sz w:val="26"/>
                <w:szCs w:val="26"/>
                <w:u w:val="single"/>
              </w:rPr>
              <w:t>&lt;</w:t>
            </w:r>
            <w:r>
              <w:rPr>
                <w:rStyle w:val="apple-converted-space"/>
                <w:rFonts w:ascii="Palatino" w:hAnsi="Palatino"/>
                <w:sz w:val="26"/>
                <w:szCs w:val="26"/>
              </w:rPr>
              <w:t> </w:t>
            </w:r>
            <w:r>
              <w:rPr>
                <w:rFonts w:ascii="Palatino" w:hAnsi="Palatino"/>
                <w:sz w:val="26"/>
                <w:szCs w:val="26"/>
              </w:rPr>
              <w:t>110% of original capacity</w:t>
            </w:r>
          </w:p>
        </w:tc>
        <w:tc>
          <w:tcPr>
            <w:tcW w:w="4225" w:type="dxa"/>
            <w:tcBorders>
              <w:top w:val="nil"/>
              <w:left w:val="nil"/>
              <w:bottom w:val="single" w:color="auto" w:sz="8" w:space="0"/>
              <w:right w:val="single" w:color="auto" w:sz="8" w:space="0"/>
            </w:tcBorders>
            <w:tcMar>
              <w:top w:w="0" w:type="dxa"/>
              <w:left w:w="108" w:type="dxa"/>
              <w:bottom w:w="0" w:type="dxa"/>
              <w:right w:w="108" w:type="dxa"/>
            </w:tcMar>
            <w:hideMark/>
          </w:tcPr>
          <w:p w:rsidR="00635E6E" w:rsidRDefault="00635E6E" w14:paraId="4F12B94D" w14:textId="77777777">
            <w:pPr>
              <w:pStyle w:val="default"/>
              <w:spacing w:before="0" w:beforeAutospacing="0" w:after="0" w:afterAutospacing="0" w:line="276" w:lineRule="atLeast"/>
              <w:jc w:val="center"/>
              <w:rPr>
                <w:rFonts w:ascii="Book Antiqua" w:hAnsi="Book Antiqua"/>
                <w:color w:val="000000"/>
              </w:rPr>
            </w:pPr>
            <w:r>
              <w:rPr>
                <w:rFonts w:ascii="Palatino" w:hAnsi="Palatino"/>
                <w:sz w:val="26"/>
                <w:szCs w:val="26"/>
              </w:rPr>
              <w:t>2</w:t>
            </w:r>
          </w:p>
        </w:tc>
      </w:tr>
      <w:tr w:rsidR="00635E6E" w:rsidTr="004A00E5" w14:paraId="20311743" w14:textId="77777777">
        <w:trPr>
          <w:jc w:val="center"/>
        </w:trPr>
        <w:tc>
          <w:tcPr>
            <w:tcW w:w="51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35E6E" w:rsidRDefault="00635E6E" w14:paraId="00FC757F" w14:textId="77777777">
            <w:pPr>
              <w:pStyle w:val="default"/>
              <w:spacing w:before="0" w:beforeAutospacing="0" w:after="0" w:afterAutospacing="0" w:line="276" w:lineRule="atLeast"/>
              <w:rPr>
                <w:rFonts w:ascii="Book Antiqua" w:hAnsi="Book Antiqua"/>
                <w:color w:val="000000"/>
              </w:rPr>
            </w:pPr>
            <w:r>
              <w:rPr>
                <w:rFonts w:ascii="Palatino" w:hAnsi="Palatino"/>
                <w:sz w:val="26"/>
                <w:szCs w:val="26"/>
                <w:u w:val="single"/>
              </w:rPr>
              <w:t>&lt;</w:t>
            </w:r>
            <w:r>
              <w:rPr>
                <w:rStyle w:val="apple-converted-space"/>
                <w:rFonts w:ascii="Palatino" w:hAnsi="Palatino"/>
                <w:sz w:val="26"/>
                <w:szCs w:val="26"/>
              </w:rPr>
              <w:t> </w:t>
            </w:r>
            <w:r>
              <w:rPr>
                <w:rFonts w:ascii="Palatino" w:hAnsi="Palatino"/>
                <w:sz w:val="26"/>
                <w:szCs w:val="26"/>
              </w:rPr>
              <w:t>100 kW and &gt; 110% of original capacity</w:t>
            </w:r>
          </w:p>
        </w:tc>
        <w:tc>
          <w:tcPr>
            <w:tcW w:w="4225" w:type="dxa"/>
            <w:tcBorders>
              <w:top w:val="nil"/>
              <w:left w:val="nil"/>
              <w:bottom w:val="single" w:color="auto" w:sz="8" w:space="0"/>
              <w:right w:val="single" w:color="auto" w:sz="8" w:space="0"/>
            </w:tcBorders>
            <w:tcMar>
              <w:top w:w="0" w:type="dxa"/>
              <w:left w:w="108" w:type="dxa"/>
              <w:bottom w:w="0" w:type="dxa"/>
              <w:right w:w="108" w:type="dxa"/>
            </w:tcMar>
            <w:hideMark/>
          </w:tcPr>
          <w:p w:rsidRPr="00884557" w:rsidR="00635E6E" w:rsidRDefault="00635E6E" w14:paraId="70344467" w14:textId="77777777">
            <w:pPr>
              <w:pStyle w:val="default"/>
              <w:spacing w:before="0" w:beforeAutospacing="0" w:after="0" w:afterAutospacing="0" w:line="276" w:lineRule="atLeast"/>
              <w:jc w:val="center"/>
              <w:rPr>
                <w:rFonts w:ascii="Book Antiqua" w:hAnsi="Book Antiqua"/>
                <w:color w:val="000000"/>
              </w:rPr>
            </w:pPr>
            <w:r w:rsidRPr="00884557">
              <w:rPr>
                <w:rFonts w:ascii="Palatino" w:hAnsi="Palatino"/>
                <w:sz w:val="26"/>
                <w:szCs w:val="26"/>
              </w:rPr>
              <w:t>2</w:t>
            </w:r>
          </w:p>
        </w:tc>
      </w:tr>
      <w:tr w:rsidR="00635E6E" w:rsidTr="004A00E5" w14:paraId="61302769" w14:textId="77777777">
        <w:trPr>
          <w:jc w:val="center"/>
        </w:trPr>
        <w:tc>
          <w:tcPr>
            <w:tcW w:w="51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35E6E" w:rsidRDefault="00635E6E" w14:paraId="16561D50" w14:textId="77777777">
            <w:pPr>
              <w:pStyle w:val="default"/>
              <w:spacing w:before="0" w:beforeAutospacing="0" w:after="0" w:afterAutospacing="0" w:line="276" w:lineRule="atLeast"/>
              <w:rPr>
                <w:rFonts w:ascii="Book Antiqua" w:hAnsi="Book Antiqua"/>
                <w:color w:val="000000"/>
              </w:rPr>
            </w:pPr>
            <w:r>
              <w:rPr>
                <w:rFonts w:ascii="Palatino" w:hAnsi="Palatino"/>
                <w:sz w:val="26"/>
                <w:szCs w:val="26"/>
              </w:rPr>
              <w:t>&gt; 100 kW and</w:t>
            </w:r>
            <w:r>
              <w:rPr>
                <w:rStyle w:val="apple-converted-space"/>
                <w:rFonts w:ascii="Palatino" w:hAnsi="Palatino"/>
                <w:sz w:val="26"/>
                <w:szCs w:val="26"/>
              </w:rPr>
              <w:t> </w:t>
            </w:r>
            <w:r>
              <w:rPr>
                <w:rFonts w:ascii="Palatino" w:hAnsi="Palatino"/>
                <w:sz w:val="26"/>
                <w:szCs w:val="26"/>
                <w:u w:val="single"/>
              </w:rPr>
              <w:t>&lt;</w:t>
            </w:r>
            <w:r>
              <w:rPr>
                <w:rStyle w:val="apple-converted-space"/>
                <w:rFonts w:ascii="Palatino" w:hAnsi="Palatino"/>
                <w:sz w:val="26"/>
                <w:szCs w:val="26"/>
              </w:rPr>
              <w:t> </w:t>
            </w:r>
            <w:r>
              <w:rPr>
                <w:rFonts w:ascii="Palatino" w:hAnsi="Palatino"/>
                <w:sz w:val="26"/>
                <w:szCs w:val="26"/>
              </w:rPr>
              <w:t>110% of original capacity</w:t>
            </w:r>
          </w:p>
        </w:tc>
        <w:tc>
          <w:tcPr>
            <w:tcW w:w="4225" w:type="dxa"/>
            <w:tcBorders>
              <w:top w:val="nil"/>
              <w:left w:val="nil"/>
              <w:bottom w:val="single" w:color="auto" w:sz="8" w:space="0"/>
              <w:right w:val="single" w:color="auto" w:sz="8" w:space="0"/>
            </w:tcBorders>
            <w:tcMar>
              <w:top w:w="0" w:type="dxa"/>
              <w:left w:w="108" w:type="dxa"/>
              <w:bottom w:w="0" w:type="dxa"/>
              <w:right w:w="108" w:type="dxa"/>
            </w:tcMar>
            <w:hideMark/>
          </w:tcPr>
          <w:p w:rsidR="00635E6E" w:rsidRDefault="00635E6E" w14:paraId="00AF53D8" w14:textId="77777777">
            <w:pPr>
              <w:pStyle w:val="default"/>
              <w:spacing w:before="0" w:beforeAutospacing="0" w:after="0" w:afterAutospacing="0" w:line="276" w:lineRule="atLeast"/>
              <w:jc w:val="center"/>
              <w:rPr>
                <w:rFonts w:ascii="Book Antiqua" w:hAnsi="Book Antiqua"/>
                <w:color w:val="000000"/>
              </w:rPr>
            </w:pPr>
            <w:r>
              <w:rPr>
                <w:rFonts w:ascii="Palatino" w:hAnsi="Palatino"/>
                <w:sz w:val="26"/>
                <w:szCs w:val="26"/>
              </w:rPr>
              <w:t>2</w:t>
            </w:r>
          </w:p>
        </w:tc>
      </w:tr>
      <w:tr w:rsidR="00635E6E" w:rsidTr="004A00E5" w14:paraId="2E07E518" w14:textId="77777777">
        <w:trPr>
          <w:jc w:val="center"/>
        </w:trPr>
        <w:tc>
          <w:tcPr>
            <w:tcW w:w="51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35E6E" w:rsidRDefault="00635E6E" w14:paraId="0F64CBDA" w14:textId="77777777">
            <w:pPr>
              <w:pStyle w:val="default"/>
              <w:spacing w:before="0" w:beforeAutospacing="0" w:after="0" w:afterAutospacing="0" w:line="276" w:lineRule="atLeast"/>
              <w:rPr>
                <w:rFonts w:ascii="Book Antiqua" w:hAnsi="Book Antiqua"/>
                <w:color w:val="000000"/>
              </w:rPr>
            </w:pPr>
            <w:r>
              <w:rPr>
                <w:rFonts w:ascii="Palatino" w:hAnsi="Palatino"/>
                <w:sz w:val="26"/>
                <w:szCs w:val="26"/>
              </w:rPr>
              <w:t>&gt; 100 kW and &gt; 110% of original capacity</w:t>
            </w:r>
          </w:p>
        </w:tc>
        <w:tc>
          <w:tcPr>
            <w:tcW w:w="4225" w:type="dxa"/>
            <w:tcBorders>
              <w:top w:val="nil"/>
              <w:left w:val="nil"/>
              <w:bottom w:val="single" w:color="auto" w:sz="8" w:space="0"/>
              <w:right w:val="single" w:color="auto" w:sz="8" w:space="0"/>
            </w:tcBorders>
            <w:tcMar>
              <w:top w:w="0" w:type="dxa"/>
              <w:left w:w="108" w:type="dxa"/>
              <w:bottom w:w="0" w:type="dxa"/>
              <w:right w:w="108" w:type="dxa"/>
            </w:tcMar>
            <w:hideMark/>
          </w:tcPr>
          <w:p w:rsidR="00635E6E" w:rsidRDefault="00635E6E" w14:paraId="28ED2DEF" w14:textId="77777777">
            <w:pPr>
              <w:pStyle w:val="default"/>
              <w:spacing w:before="0" w:beforeAutospacing="0" w:after="0" w:afterAutospacing="0" w:line="276" w:lineRule="atLeast"/>
              <w:jc w:val="center"/>
              <w:rPr>
                <w:rFonts w:ascii="Book Antiqua" w:hAnsi="Book Antiqua"/>
                <w:color w:val="000000"/>
              </w:rPr>
            </w:pPr>
            <w:r>
              <w:rPr>
                <w:rFonts w:ascii="Palatino" w:hAnsi="Palatino"/>
                <w:sz w:val="26"/>
                <w:szCs w:val="26"/>
              </w:rPr>
              <w:t>4</w:t>
            </w:r>
          </w:p>
        </w:tc>
      </w:tr>
    </w:tbl>
    <w:p w:rsidR="00635E6E" w:rsidP="00690517" w:rsidRDefault="00635E6E" w14:paraId="18DA9676" w14:textId="77777777">
      <w:pPr>
        <w:rPr>
          <w:rFonts w:ascii="Palatino" w:hAnsi="Palatino"/>
          <w:sz w:val="26"/>
          <w:szCs w:val="26"/>
        </w:rPr>
      </w:pPr>
    </w:p>
    <w:p w:rsidRPr="00670BB8" w:rsidR="006C6FEA" w:rsidP="007522D4" w:rsidRDefault="006C6FEA" w14:paraId="79A0BEE2" w14:textId="0E962037">
      <w:pPr>
        <w:pStyle w:val="Default0"/>
        <w:rPr>
          <w:rFonts w:ascii="Palatino" w:hAnsi="Palatino"/>
          <w:sz w:val="26"/>
          <w:szCs w:val="26"/>
        </w:rPr>
      </w:pPr>
      <w:r>
        <w:rPr>
          <w:rFonts w:ascii="Palatino" w:hAnsi="Palatino"/>
          <w:sz w:val="26"/>
          <w:szCs w:val="26"/>
        </w:rPr>
        <w:t xml:space="preserve">Finally, </w:t>
      </w:r>
      <w:r w:rsidR="0079080E">
        <w:rPr>
          <w:rFonts w:ascii="Palatino" w:hAnsi="Palatino"/>
          <w:sz w:val="26"/>
          <w:szCs w:val="26"/>
        </w:rPr>
        <w:t xml:space="preserve">we address PG&amp;E and SDG&amp;E’s request for clarification of whether, </w:t>
      </w:r>
      <w:r w:rsidRPr="00670BB8" w:rsidR="0079080E">
        <w:rPr>
          <w:rFonts w:ascii="Palatino" w:hAnsi="Palatino"/>
          <w:sz w:val="26"/>
          <w:szCs w:val="26"/>
        </w:rPr>
        <w:t>for each of the four scenarios, the generating facility is required to use control systems to limit the output to the original capacity</w:t>
      </w:r>
      <w:r w:rsidR="0079080E">
        <w:rPr>
          <w:rFonts w:ascii="Palatino" w:hAnsi="Palatino"/>
          <w:sz w:val="26"/>
          <w:szCs w:val="26"/>
        </w:rPr>
        <w:t xml:space="preserve">. </w:t>
      </w:r>
      <w:r w:rsidR="00B51809">
        <w:rPr>
          <w:rFonts w:ascii="Palatino" w:hAnsi="Palatino"/>
          <w:sz w:val="26"/>
          <w:szCs w:val="26"/>
        </w:rPr>
        <w:t xml:space="preserve">Use Case 3 is defined as, </w:t>
      </w:r>
      <w:r w:rsidRPr="00DD38D9" w:rsidR="00B51809">
        <w:rPr>
          <w:rFonts w:ascii="Palatino" w:hAnsi="Palatino"/>
          <w:sz w:val="26"/>
          <w:szCs w:val="26"/>
        </w:rPr>
        <w:t>“</w:t>
      </w:r>
      <w:r w:rsidRPr="00DD38D9" w:rsidR="00DD38D9">
        <w:rPr>
          <w:rFonts w:ascii="Palatino" w:hAnsi="Palatino"/>
          <w:sz w:val="26"/>
          <w:szCs w:val="26"/>
        </w:rPr>
        <w:t>Replacing equipment that may increase the nameplate capacity of the system, but which employ inverter power controls that limit the real power output to the inverter listed size in the original agreement</w:t>
      </w:r>
      <w:r w:rsidR="00DD38D9">
        <w:rPr>
          <w:rFonts w:ascii="Palatino" w:hAnsi="Palatino"/>
          <w:sz w:val="26"/>
          <w:szCs w:val="26"/>
        </w:rPr>
        <w:t>.”</w:t>
      </w:r>
      <w:r w:rsidR="00DD38D9">
        <w:rPr>
          <w:rStyle w:val="FootnoteReference"/>
          <w:rFonts w:ascii="Palatino" w:hAnsi="Palatino"/>
          <w:sz w:val="26"/>
          <w:szCs w:val="26"/>
        </w:rPr>
        <w:footnoteReference w:id="16"/>
      </w:r>
      <w:r w:rsidR="007F053F">
        <w:rPr>
          <w:rFonts w:ascii="Palatino" w:hAnsi="Palatino"/>
          <w:sz w:val="26"/>
          <w:szCs w:val="26"/>
        </w:rPr>
        <w:t xml:space="preserve"> Hence, </w:t>
      </w:r>
      <w:r w:rsidR="0040164A">
        <w:rPr>
          <w:rFonts w:ascii="Palatino" w:hAnsi="Palatino"/>
          <w:sz w:val="26"/>
          <w:szCs w:val="26"/>
        </w:rPr>
        <w:t xml:space="preserve">the replacement of existing </w:t>
      </w:r>
      <w:r w:rsidR="00E66015">
        <w:rPr>
          <w:rFonts w:ascii="Palatino" w:hAnsi="Palatino"/>
          <w:sz w:val="26"/>
          <w:szCs w:val="26"/>
        </w:rPr>
        <w:t xml:space="preserve">equipment with </w:t>
      </w:r>
      <w:r w:rsidRPr="0040164A" w:rsidR="0040164A">
        <w:rPr>
          <w:rFonts w:ascii="Palatino" w:hAnsi="Palatino"/>
          <w:sz w:val="26"/>
          <w:szCs w:val="26"/>
        </w:rPr>
        <w:t>equipment that increases the</w:t>
      </w:r>
      <w:r w:rsidR="0040164A">
        <w:rPr>
          <w:rFonts w:ascii="Palatino" w:hAnsi="Palatino"/>
          <w:sz w:val="26"/>
          <w:szCs w:val="26"/>
        </w:rPr>
        <w:t xml:space="preserve"> </w:t>
      </w:r>
      <w:r w:rsidRPr="0040164A" w:rsidR="0040164A">
        <w:rPr>
          <w:rFonts w:ascii="Palatino" w:hAnsi="Palatino"/>
          <w:sz w:val="26"/>
          <w:szCs w:val="26"/>
        </w:rPr>
        <w:t xml:space="preserve">nameplate capacity of </w:t>
      </w:r>
      <w:r w:rsidR="0040164A">
        <w:rPr>
          <w:rFonts w:ascii="Palatino" w:hAnsi="Palatino"/>
          <w:sz w:val="26"/>
          <w:szCs w:val="26"/>
        </w:rPr>
        <w:t>a</w:t>
      </w:r>
      <w:r w:rsidRPr="0040164A" w:rsidR="0040164A">
        <w:rPr>
          <w:rFonts w:ascii="Palatino" w:hAnsi="Palatino"/>
          <w:sz w:val="26"/>
          <w:szCs w:val="26"/>
        </w:rPr>
        <w:t xml:space="preserve"> system </w:t>
      </w:r>
      <w:r w:rsidR="00E66015">
        <w:rPr>
          <w:rFonts w:ascii="Palatino" w:hAnsi="Palatino"/>
          <w:sz w:val="26"/>
          <w:szCs w:val="26"/>
        </w:rPr>
        <w:t xml:space="preserve">may only </w:t>
      </w:r>
      <w:r w:rsidR="0040164A">
        <w:rPr>
          <w:rFonts w:ascii="Palatino" w:hAnsi="Palatino"/>
          <w:sz w:val="26"/>
          <w:szCs w:val="26"/>
        </w:rPr>
        <w:t xml:space="preserve">be considered a Use Case 3 material modification if </w:t>
      </w:r>
      <w:r w:rsidRPr="00670BB8" w:rsidR="009B4361">
        <w:rPr>
          <w:rFonts w:ascii="Palatino" w:hAnsi="Palatino"/>
          <w:sz w:val="26"/>
          <w:szCs w:val="26"/>
        </w:rPr>
        <w:t xml:space="preserve">control systems </w:t>
      </w:r>
      <w:r w:rsidR="009B4361">
        <w:rPr>
          <w:rFonts w:ascii="Palatino" w:hAnsi="Palatino"/>
          <w:sz w:val="26"/>
          <w:szCs w:val="26"/>
        </w:rPr>
        <w:t xml:space="preserve">are used </w:t>
      </w:r>
      <w:r w:rsidRPr="00670BB8" w:rsidR="009B4361">
        <w:rPr>
          <w:rFonts w:ascii="Palatino" w:hAnsi="Palatino"/>
          <w:sz w:val="26"/>
          <w:szCs w:val="26"/>
        </w:rPr>
        <w:t>to limit the output to the original capacit</w:t>
      </w:r>
      <w:r w:rsidR="007522D4">
        <w:rPr>
          <w:rFonts w:ascii="Palatino" w:hAnsi="Palatino"/>
          <w:sz w:val="26"/>
          <w:szCs w:val="26"/>
        </w:rPr>
        <w:t>y, regardless of system size.</w:t>
      </w:r>
    </w:p>
    <w:p w:rsidRPr="00670BB8" w:rsidR="008B2581" w:rsidP="00690517" w:rsidRDefault="008B2581" w14:paraId="778AD836" w14:textId="77777777">
      <w:pPr>
        <w:rPr>
          <w:rFonts w:ascii="Palatino" w:hAnsi="Palatino"/>
          <w:sz w:val="26"/>
          <w:szCs w:val="26"/>
        </w:rPr>
      </w:pPr>
    </w:p>
    <w:p w:rsidRPr="00670BB8" w:rsidR="00690517" w:rsidP="008D0142" w:rsidRDefault="00690517" w14:paraId="72BBB5EE" w14:textId="27C89907">
      <w:pPr>
        <w:rPr>
          <w:rFonts w:ascii="Palatino" w:hAnsi="Palatino"/>
          <w:sz w:val="26"/>
          <w:szCs w:val="26"/>
          <w:u w:val="single"/>
        </w:rPr>
      </w:pPr>
      <w:r w:rsidRPr="00670BB8">
        <w:rPr>
          <w:rFonts w:ascii="Palatino" w:hAnsi="Palatino"/>
          <w:sz w:val="26"/>
          <w:szCs w:val="26"/>
          <w:u w:val="single"/>
        </w:rPr>
        <w:t>Conclusion</w:t>
      </w:r>
    </w:p>
    <w:p w:rsidR="006A3176" w:rsidP="008D0142" w:rsidRDefault="00264A71" w14:paraId="55A376F6" w14:textId="2D7ED0BC">
      <w:pPr>
        <w:rPr>
          <w:rFonts w:ascii="Palatino" w:hAnsi="Palatino"/>
          <w:sz w:val="26"/>
          <w:szCs w:val="26"/>
        </w:rPr>
      </w:pPr>
      <w:r>
        <w:rPr>
          <w:rFonts w:ascii="Palatino" w:hAnsi="Palatino"/>
          <w:sz w:val="26"/>
          <w:szCs w:val="26"/>
        </w:rPr>
        <w:lastRenderedPageBreak/>
        <w:t>This Resolution finds that, pursuant to D.19-0</w:t>
      </w:r>
      <w:r w:rsidR="006A263C">
        <w:rPr>
          <w:rFonts w:ascii="Palatino" w:hAnsi="Palatino"/>
          <w:sz w:val="26"/>
          <w:szCs w:val="26"/>
        </w:rPr>
        <w:t xml:space="preserve">3-013, </w:t>
      </w:r>
      <w:r>
        <w:rPr>
          <w:rFonts w:ascii="Palatino" w:hAnsi="Palatino"/>
          <w:sz w:val="26"/>
          <w:szCs w:val="26"/>
        </w:rPr>
        <w:t xml:space="preserve">all </w:t>
      </w:r>
      <w:r w:rsidRPr="00670BB8">
        <w:rPr>
          <w:rFonts w:ascii="Palatino" w:hAnsi="Palatino"/>
          <w:sz w:val="26"/>
          <w:szCs w:val="26"/>
        </w:rPr>
        <w:t>projects</w:t>
      </w:r>
      <w:r w:rsidR="006A263C">
        <w:rPr>
          <w:rFonts w:ascii="Palatino" w:hAnsi="Palatino"/>
          <w:sz w:val="26"/>
          <w:szCs w:val="26"/>
        </w:rPr>
        <w:t xml:space="preserve"> </w:t>
      </w:r>
      <w:r w:rsidR="00CE21E8">
        <w:rPr>
          <w:rFonts w:ascii="Palatino" w:hAnsi="Palatino"/>
          <w:sz w:val="26"/>
          <w:szCs w:val="26"/>
        </w:rPr>
        <w:t xml:space="preserve">(regardless of system size) </w:t>
      </w:r>
      <w:r w:rsidRPr="00670BB8">
        <w:rPr>
          <w:rFonts w:ascii="Palatino" w:hAnsi="Palatino"/>
          <w:sz w:val="26"/>
          <w:szCs w:val="26"/>
        </w:rPr>
        <w:t xml:space="preserve">that </w:t>
      </w:r>
      <w:r>
        <w:rPr>
          <w:rFonts w:ascii="Palatino" w:hAnsi="Palatino"/>
          <w:sz w:val="26"/>
          <w:szCs w:val="26"/>
        </w:rPr>
        <w:t xml:space="preserve">utilize a replacement inverter </w:t>
      </w:r>
      <w:r w:rsidR="00D937E7">
        <w:rPr>
          <w:rFonts w:ascii="Palatino" w:hAnsi="Palatino"/>
          <w:sz w:val="26"/>
          <w:szCs w:val="26"/>
        </w:rPr>
        <w:t xml:space="preserve">with a nameplate capacity </w:t>
      </w:r>
      <w:r>
        <w:rPr>
          <w:rFonts w:ascii="Palatino" w:hAnsi="Palatino"/>
          <w:sz w:val="26"/>
          <w:szCs w:val="26"/>
        </w:rPr>
        <w:t xml:space="preserve">that is </w:t>
      </w:r>
      <w:r w:rsidRPr="00670BB8">
        <w:rPr>
          <w:rFonts w:ascii="Palatino" w:hAnsi="Palatino"/>
          <w:sz w:val="26"/>
          <w:szCs w:val="26"/>
        </w:rPr>
        <w:t xml:space="preserve">within 110 percent of </w:t>
      </w:r>
      <w:r>
        <w:rPr>
          <w:rFonts w:ascii="Palatino" w:hAnsi="Palatino"/>
          <w:sz w:val="26"/>
          <w:szCs w:val="26"/>
        </w:rPr>
        <w:t>the</w:t>
      </w:r>
      <w:r w:rsidRPr="00670BB8">
        <w:rPr>
          <w:rFonts w:ascii="Palatino" w:hAnsi="Palatino"/>
          <w:sz w:val="26"/>
          <w:szCs w:val="26"/>
        </w:rPr>
        <w:t xml:space="preserve"> original generating capacity</w:t>
      </w:r>
      <w:r>
        <w:rPr>
          <w:rFonts w:ascii="Palatino" w:hAnsi="Palatino"/>
          <w:sz w:val="26"/>
          <w:szCs w:val="26"/>
        </w:rPr>
        <w:t xml:space="preserve"> and employ </w:t>
      </w:r>
      <w:r w:rsidRPr="00670BB8">
        <w:rPr>
          <w:rFonts w:ascii="Palatino" w:hAnsi="Palatino"/>
          <w:sz w:val="26"/>
          <w:szCs w:val="26"/>
        </w:rPr>
        <w:t>advanced controls to limit output to the amount</w:t>
      </w:r>
      <w:r>
        <w:rPr>
          <w:rFonts w:ascii="Palatino" w:hAnsi="Palatino"/>
          <w:sz w:val="26"/>
          <w:szCs w:val="26"/>
        </w:rPr>
        <w:t xml:space="preserve"> </w:t>
      </w:r>
      <w:r w:rsidR="00141D45">
        <w:rPr>
          <w:rFonts w:ascii="Palatino" w:hAnsi="Palatino"/>
          <w:sz w:val="26"/>
          <w:szCs w:val="26"/>
        </w:rPr>
        <w:t xml:space="preserve">approved </w:t>
      </w:r>
      <w:r w:rsidR="00D937E7">
        <w:rPr>
          <w:rFonts w:ascii="Palatino" w:hAnsi="Palatino"/>
          <w:sz w:val="26"/>
          <w:szCs w:val="26"/>
        </w:rPr>
        <w:t>by</w:t>
      </w:r>
      <w:r w:rsidR="00141D45">
        <w:rPr>
          <w:rFonts w:ascii="Palatino" w:hAnsi="Palatino"/>
          <w:sz w:val="26"/>
          <w:szCs w:val="26"/>
        </w:rPr>
        <w:t xml:space="preserve"> the original interconnection agreement </w:t>
      </w:r>
      <w:r>
        <w:rPr>
          <w:rFonts w:ascii="Palatino" w:hAnsi="Palatino"/>
          <w:sz w:val="26"/>
          <w:szCs w:val="26"/>
        </w:rPr>
        <w:t>are eligible for Process Option 2.</w:t>
      </w:r>
      <w:r w:rsidR="0079080E">
        <w:rPr>
          <w:rFonts w:ascii="Palatino" w:hAnsi="Palatino"/>
          <w:sz w:val="26"/>
          <w:szCs w:val="26"/>
        </w:rPr>
        <w:t xml:space="preserve"> </w:t>
      </w:r>
      <w:r w:rsidR="007522D4">
        <w:rPr>
          <w:rFonts w:ascii="Palatino" w:hAnsi="Palatino"/>
          <w:sz w:val="26"/>
          <w:szCs w:val="26"/>
        </w:rPr>
        <w:t xml:space="preserve">This Resolution orders the </w:t>
      </w:r>
      <w:r w:rsidR="006544BE">
        <w:rPr>
          <w:rFonts w:ascii="Palatino" w:hAnsi="Palatino"/>
          <w:sz w:val="26"/>
          <w:szCs w:val="26"/>
        </w:rPr>
        <w:t xml:space="preserve">Utilities to update their Rule 21 tariff language to reflect </w:t>
      </w:r>
      <w:r w:rsidR="006D5A91">
        <w:rPr>
          <w:rFonts w:ascii="Palatino" w:hAnsi="Palatino"/>
          <w:sz w:val="26"/>
          <w:szCs w:val="26"/>
        </w:rPr>
        <w:t xml:space="preserve">the appropriate process options </w:t>
      </w:r>
      <w:r w:rsidR="00C53359">
        <w:rPr>
          <w:rFonts w:ascii="Palatino" w:hAnsi="Palatino"/>
          <w:sz w:val="26"/>
          <w:szCs w:val="26"/>
        </w:rPr>
        <w:t xml:space="preserve">Use Case 3 material modifications as </w:t>
      </w:r>
      <w:r w:rsidR="006D5A91">
        <w:rPr>
          <w:rFonts w:ascii="Palatino" w:hAnsi="Palatino"/>
          <w:sz w:val="26"/>
          <w:szCs w:val="26"/>
        </w:rPr>
        <w:t xml:space="preserve">designated by Table 1, above. </w:t>
      </w:r>
      <w:r w:rsidRPr="003C71E1" w:rsidR="003C71E1">
        <w:rPr>
          <w:rFonts w:ascii="Palatino" w:hAnsi="Palatino"/>
          <w:sz w:val="26"/>
          <w:szCs w:val="26"/>
        </w:rPr>
        <w:t xml:space="preserve"> </w:t>
      </w:r>
      <w:r w:rsidR="002853A5">
        <w:rPr>
          <w:rFonts w:ascii="Palatino" w:hAnsi="Palatino"/>
          <w:sz w:val="26"/>
          <w:szCs w:val="26"/>
        </w:rPr>
        <w:t xml:space="preserve">This Resolution likewise orders the Utilities to update </w:t>
      </w:r>
      <w:r w:rsidRPr="002732ED" w:rsidR="003B4254">
        <w:rPr>
          <w:rFonts w:ascii="Palatino" w:hAnsi="Palatino"/>
          <w:sz w:val="26"/>
          <w:szCs w:val="26"/>
        </w:rPr>
        <w:t xml:space="preserve">the standard form template </w:t>
      </w:r>
      <w:r w:rsidR="003B4254">
        <w:rPr>
          <w:rFonts w:ascii="Palatino" w:hAnsi="Palatino"/>
          <w:sz w:val="26"/>
          <w:szCs w:val="26"/>
        </w:rPr>
        <w:t>to reflect</w:t>
      </w:r>
      <w:r w:rsidR="00747EAD">
        <w:rPr>
          <w:rFonts w:ascii="Palatino" w:hAnsi="Palatino"/>
          <w:sz w:val="26"/>
          <w:szCs w:val="26"/>
        </w:rPr>
        <w:t xml:space="preserve"> the appropriate process options Use Case 3 material modifications as designated by Table 1, above.</w:t>
      </w:r>
    </w:p>
    <w:p w:rsidR="00C53359" w:rsidP="008D0142" w:rsidRDefault="00C53359" w14:paraId="1FA6C6FD" w14:textId="77777777">
      <w:pPr>
        <w:rPr>
          <w:rFonts w:ascii="Palatino" w:hAnsi="Palatino"/>
          <w:sz w:val="26"/>
          <w:szCs w:val="26"/>
        </w:rPr>
      </w:pPr>
    </w:p>
    <w:p w:rsidR="00C53359" w:rsidP="008D0142" w:rsidRDefault="00C53359" w14:paraId="33AFC95B" w14:textId="69391EA9">
      <w:pPr>
        <w:rPr>
          <w:rFonts w:ascii="Palatino" w:hAnsi="Palatino"/>
          <w:sz w:val="26"/>
          <w:szCs w:val="26"/>
        </w:rPr>
      </w:pPr>
      <w:r>
        <w:rPr>
          <w:rFonts w:ascii="Palatino" w:hAnsi="Palatino"/>
          <w:sz w:val="26"/>
          <w:szCs w:val="26"/>
        </w:rPr>
        <w:t xml:space="preserve">This Resolution reaffirms that, </w:t>
      </w:r>
      <w:bookmarkStart w:name="_Hlk60146468" w:id="6"/>
      <w:r>
        <w:rPr>
          <w:rFonts w:ascii="Palatino" w:hAnsi="Palatino"/>
          <w:sz w:val="26"/>
          <w:szCs w:val="26"/>
        </w:rPr>
        <w:t>regardless of system size, a</w:t>
      </w:r>
      <w:r w:rsidRPr="0040164A">
        <w:rPr>
          <w:rFonts w:ascii="Palatino" w:hAnsi="Palatino"/>
          <w:sz w:val="26"/>
          <w:szCs w:val="26"/>
        </w:rPr>
        <w:t xml:space="preserve"> system </w:t>
      </w:r>
      <w:r>
        <w:rPr>
          <w:rFonts w:ascii="Palatino" w:hAnsi="Palatino"/>
          <w:sz w:val="26"/>
          <w:szCs w:val="26"/>
        </w:rPr>
        <w:t xml:space="preserve">may only be considered a Use Case 3 material modification if </w:t>
      </w:r>
      <w:r w:rsidRPr="00670BB8">
        <w:rPr>
          <w:rFonts w:ascii="Palatino" w:hAnsi="Palatino"/>
          <w:sz w:val="26"/>
          <w:szCs w:val="26"/>
        </w:rPr>
        <w:t xml:space="preserve">control systems </w:t>
      </w:r>
      <w:r>
        <w:rPr>
          <w:rFonts w:ascii="Palatino" w:hAnsi="Palatino"/>
          <w:sz w:val="26"/>
          <w:szCs w:val="26"/>
        </w:rPr>
        <w:t xml:space="preserve">are used </w:t>
      </w:r>
      <w:r w:rsidRPr="00670BB8">
        <w:rPr>
          <w:rFonts w:ascii="Palatino" w:hAnsi="Palatino"/>
          <w:sz w:val="26"/>
          <w:szCs w:val="26"/>
        </w:rPr>
        <w:t xml:space="preserve">to limit </w:t>
      </w:r>
      <w:r w:rsidR="00C95B1A">
        <w:rPr>
          <w:rFonts w:ascii="Palatino" w:hAnsi="Palatino"/>
          <w:sz w:val="26"/>
          <w:szCs w:val="26"/>
        </w:rPr>
        <w:t>system</w:t>
      </w:r>
      <w:r w:rsidRPr="00670BB8">
        <w:rPr>
          <w:rFonts w:ascii="Palatino" w:hAnsi="Palatino"/>
          <w:sz w:val="26"/>
          <w:szCs w:val="26"/>
        </w:rPr>
        <w:t xml:space="preserve"> output to the original capacit</w:t>
      </w:r>
      <w:r>
        <w:rPr>
          <w:rFonts w:ascii="Palatino" w:hAnsi="Palatino"/>
          <w:sz w:val="26"/>
          <w:szCs w:val="26"/>
        </w:rPr>
        <w:t>y</w:t>
      </w:r>
      <w:r w:rsidR="00C95B1A">
        <w:rPr>
          <w:rFonts w:ascii="Palatino" w:hAnsi="Palatino"/>
          <w:sz w:val="26"/>
          <w:szCs w:val="26"/>
        </w:rPr>
        <w:t>.</w:t>
      </w:r>
    </w:p>
    <w:bookmarkEnd w:id="6"/>
    <w:p w:rsidRPr="00670BB8" w:rsidR="003C71E1" w:rsidP="008D0142" w:rsidRDefault="003C71E1" w14:paraId="717BEDBC" w14:textId="77777777">
      <w:pPr>
        <w:rPr>
          <w:rFonts w:ascii="Palatino" w:hAnsi="Palatino"/>
          <w:sz w:val="26"/>
          <w:szCs w:val="26"/>
          <w:u w:val="single"/>
        </w:rPr>
      </w:pPr>
    </w:p>
    <w:p w:rsidRPr="00670BB8" w:rsidR="006A3176" w:rsidP="006A3176" w:rsidRDefault="006A3176" w14:paraId="17A494AE" w14:textId="42E10847">
      <w:pPr>
        <w:rPr>
          <w:rFonts w:ascii="Palatino" w:hAnsi="Palatino"/>
          <w:b/>
          <w:bCs/>
          <w:sz w:val="26"/>
          <w:szCs w:val="26"/>
        </w:rPr>
      </w:pPr>
      <w:r w:rsidRPr="00670BB8">
        <w:rPr>
          <w:rFonts w:ascii="Palatino" w:hAnsi="Palatino"/>
          <w:b/>
          <w:bCs/>
          <w:sz w:val="26"/>
          <w:szCs w:val="26"/>
        </w:rPr>
        <w:t xml:space="preserve">Issue 5: </w:t>
      </w:r>
      <w:r w:rsidR="00FF21DA">
        <w:rPr>
          <w:rFonts w:ascii="Palatino" w:hAnsi="Palatino"/>
          <w:b/>
          <w:bCs/>
          <w:sz w:val="26"/>
          <w:szCs w:val="26"/>
        </w:rPr>
        <w:t xml:space="preserve">Requirement for Equipment Verification on </w:t>
      </w:r>
      <w:r w:rsidRPr="00670BB8" w:rsidR="005C6118">
        <w:rPr>
          <w:rFonts w:ascii="Palatino" w:hAnsi="Palatino"/>
          <w:b/>
          <w:bCs/>
          <w:sz w:val="26"/>
          <w:szCs w:val="26"/>
        </w:rPr>
        <w:t>S</w:t>
      </w:r>
      <w:r w:rsidRPr="00670BB8">
        <w:rPr>
          <w:rFonts w:ascii="Palatino" w:hAnsi="Palatino"/>
          <w:b/>
          <w:bCs/>
          <w:sz w:val="26"/>
          <w:szCs w:val="26"/>
        </w:rPr>
        <w:t xml:space="preserve">tandard </w:t>
      </w:r>
      <w:r w:rsidRPr="00670BB8" w:rsidR="005C6118">
        <w:rPr>
          <w:rFonts w:ascii="Palatino" w:hAnsi="Palatino"/>
          <w:b/>
          <w:bCs/>
          <w:sz w:val="26"/>
          <w:szCs w:val="26"/>
        </w:rPr>
        <w:t>F</w:t>
      </w:r>
      <w:r w:rsidRPr="00670BB8">
        <w:rPr>
          <w:rFonts w:ascii="Palatino" w:hAnsi="Palatino"/>
          <w:b/>
          <w:bCs/>
          <w:sz w:val="26"/>
          <w:szCs w:val="26"/>
        </w:rPr>
        <w:t xml:space="preserve">orm </w:t>
      </w:r>
      <w:r w:rsidRPr="00670BB8" w:rsidR="003B0238">
        <w:rPr>
          <w:rFonts w:ascii="Palatino" w:hAnsi="Palatino"/>
          <w:b/>
          <w:bCs/>
          <w:sz w:val="26"/>
          <w:szCs w:val="26"/>
        </w:rPr>
        <w:t xml:space="preserve">Template </w:t>
      </w:r>
      <w:r w:rsidRPr="00670BB8" w:rsidR="005C6118">
        <w:rPr>
          <w:rFonts w:ascii="Palatino" w:hAnsi="Palatino"/>
          <w:b/>
          <w:bCs/>
          <w:sz w:val="26"/>
          <w:szCs w:val="26"/>
        </w:rPr>
        <w:t>for Notification of</w:t>
      </w:r>
      <w:r w:rsidRPr="00670BB8">
        <w:rPr>
          <w:rFonts w:ascii="Palatino" w:hAnsi="Palatino"/>
          <w:b/>
          <w:bCs/>
          <w:sz w:val="26"/>
          <w:szCs w:val="26"/>
        </w:rPr>
        <w:t xml:space="preserve"> </w:t>
      </w:r>
      <w:r w:rsidRPr="00670BB8" w:rsidR="005C6118">
        <w:rPr>
          <w:rFonts w:ascii="Palatino" w:hAnsi="Palatino"/>
          <w:b/>
          <w:bCs/>
          <w:sz w:val="26"/>
          <w:szCs w:val="26"/>
        </w:rPr>
        <w:t>M</w:t>
      </w:r>
      <w:r w:rsidRPr="00670BB8">
        <w:rPr>
          <w:rFonts w:ascii="Palatino" w:hAnsi="Palatino"/>
          <w:b/>
          <w:bCs/>
          <w:sz w:val="26"/>
          <w:szCs w:val="26"/>
        </w:rPr>
        <w:t xml:space="preserve">aterial </w:t>
      </w:r>
      <w:r w:rsidRPr="00670BB8" w:rsidR="005C6118">
        <w:rPr>
          <w:rFonts w:ascii="Palatino" w:hAnsi="Palatino"/>
          <w:b/>
          <w:bCs/>
          <w:sz w:val="26"/>
          <w:szCs w:val="26"/>
        </w:rPr>
        <w:t>M</w:t>
      </w:r>
      <w:r w:rsidRPr="00670BB8">
        <w:rPr>
          <w:rFonts w:ascii="Palatino" w:hAnsi="Palatino"/>
          <w:b/>
          <w:bCs/>
          <w:sz w:val="26"/>
          <w:szCs w:val="26"/>
        </w:rPr>
        <w:t xml:space="preserve">odifications </w:t>
      </w:r>
      <w:r w:rsidRPr="00670BB8" w:rsidR="005C6118">
        <w:rPr>
          <w:rFonts w:ascii="Palatino" w:hAnsi="Palatino"/>
          <w:b/>
          <w:bCs/>
          <w:sz w:val="26"/>
          <w:szCs w:val="26"/>
        </w:rPr>
        <w:t xml:space="preserve">to </w:t>
      </w:r>
      <w:r w:rsidRPr="00670BB8" w:rsidR="003B0238">
        <w:rPr>
          <w:rFonts w:ascii="Palatino" w:hAnsi="Palatino"/>
          <w:b/>
          <w:bCs/>
          <w:sz w:val="26"/>
          <w:szCs w:val="26"/>
        </w:rPr>
        <w:t>Generating Facility</w:t>
      </w:r>
    </w:p>
    <w:p w:rsidRPr="00670BB8" w:rsidR="005C6118" w:rsidP="006A3176" w:rsidRDefault="005C6118" w14:paraId="1AB2E1AB" w14:textId="77777777">
      <w:pPr>
        <w:rPr>
          <w:rFonts w:ascii="Palatino" w:hAnsi="Palatino"/>
          <w:b/>
          <w:bCs/>
          <w:sz w:val="26"/>
          <w:szCs w:val="26"/>
          <w:u w:val="single"/>
        </w:rPr>
      </w:pPr>
    </w:p>
    <w:p w:rsidRPr="00670BB8" w:rsidR="006A3176" w:rsidP="006A3176" w:rsidRDefault="006A3176" w14:paraId="1FE88F09" w14:textId="60FA4DBF">
      <w:pPr>
        <w:rPr>
          <w:rFonts w:ascii="Palatino" w:hAnsi="Palatino"/>
          <w:sz w:val="26"/>
          <w:szCs w:val="26"/>
          <w:u w:val="single"/>
        </w:rPr>
      </w:pPr>
      <w:r w:rsidRPr="00670BB8">
        <w:rPr>
          <w:rFonts w:ascii="Palatino" w:hAnsi="Palatino"/>
          <w:sz w:val="26"/>
          <w:szCs w:val="26"/>
          <w:u w:val="single"/>
        </w:rPr>
        <w:t>Protests</w:t>
      </w:r>
      <w:r w:rsidRPr="00670BB8" w:rsidR="00931937">
        <w:rPr>
          <w:rFonts w:ascii="Palatino" w:hAnsi="Palatino"/>
          <w:sz w:val="26"/>
          <w:szCs w:val="26"/>
          <w:u w:val="single"/>
        </w:rPr>
        <w:t xml:space="preserve"> and </w:t>
      </w:r>
      <w:r w:rsidRPr="00870AF0" w:rsidR="00870AF0">
        <w:rPr>
          <w:rFonts w:ascii="Palatino" w:hAnsi="Palatino"/>
          <w:sz w:val="26"/>
          <w:szCs w:val="26"/>
          <w:u w:val="single"/>
        </w:rPr>
        <w:t>Utility</w:t>
      </w:r>
      <w:r w:rsidRPr="00670BB8" w:rsidR="00931937">
        <w:rPr>
          <w:rFonts w:ascii="Palatino" w:hAnsi="Palatino"/>
          <w:sz w:val="26"/>
          <w:szCs w:val="26"/>
          <w:u w:val="single"/>
        </w:rPr>
        <w:t xml:space="preserve"> Responses to Protests</w:t>
      </w:r>
    </w:p>
    <w:p w:rsidR="006A3176" w:rsidP="00422CF3" w:rsidRDefault="00FF21DA" w14:paraId="084E8256" w14:textId="1A41FEA7">
      <w:pPr>
        <w:rPr>
          <w:rFonts w:ascii="Palatino" w:hAnsi="Palatino"/>
          <w:sz w:val="26"/>
          <w:szCs w:val="26"/>
        </w:rPr>
      </w:pPr>
      <w:r>
        <w:rPr>
          <w:rFonts w:ascii="Palatino" w:hAnsi="Palatino"/>
          <w:sz w:val="26"/>
          <w:szCs w:val="26"/>
        </w:rPr>
        <w:t xml:space="preserve">In </w:t>
      </w:r>
      <w:r w:rsidR="007E7525">
        <w:rPr>
          <w:rFonts w:ascii="Palatino" w:hAnsi="Palatino"/>
          <w:sz w:val="26"/>
          <w:szCs w:val="26"/>
        </w:rPr>
        <w:t>its</w:t>
      </w:r>
      <w:r>
        <w:rPr>
          <w:rFonts w:ascii="Palatino" w:hAnsi="Palatino"/>
          <w:sz w:val="26"/>
          <w:szCs w:val="26"/>
        </w:rPr>
        <w:t xml:space="preserve"> protest of the Joint AL, CALSSA </w:t>
      </w:r>
      <w:r w:rsidR="00422CF3">
        <w:rPr>
          <w:rFonts w:ascii="Palatino" w:hAnsi="Palatino"/>
          <w:sz w:val="26"/>
          <w:szCs w:val="26"/>
        </w:rPr>
        <w:t xml:space="preserve">notes that </w:t>
      </w:r>
      <w:r w:rsidRPr="00422CF3" w:rsidR="00422CF3">
        <w:rPr>
          <w:rFonts w:ascii="Palatino" w:hAnsi="Palatino"/>
          <w:sz w:val="26"/>
          <w:szCs w:val="26"/>
        </w:rPr>
        <w:t>Section 4.A</w:t>
      </w:r>
      <w:r w:rsidR="00B821D8">
        <w:rPr>
          <w:rFonts w:ascii="Palatino" w:hAnsi="Palatino"/>
          <w:sz w:val="26"/>
          <w:szCs w:val="26"/>
        </w:rPr>
        <w:t>, Equipment Verification,</w:t>
      </w:r>
      <w:r w:rsidRPr="00422CF3" w:rsidR="00422CF3">
        <w:rPr>
          <w:rFonts w:ascii="Palatino" w:hAnsi="Palatino"/>
          <w:sz w:val="26"/>
          <w:szCs w:val="26"/>
        </w:rPr>
        <w:t xml:space="preserve"> of the proposed standard form </w:t>
      </w:r>
      <w:r w:rsidR="00271107">
        <w:rPr>
          <w:rFonts w:ascii="Palatino" w:hAnsi="Palatino"/>
          <w:sz w:val="26"/>
          <w:szCs w:val="26"/>
        </w:rPr>
        <w:t xml:space="preserve">for </w:t>
      </w:r>
      <w:r w:rsidRPr="00271107" w:rsidR="00271107">
        <w:rPr>
          <w:rFonts w:ascii="Palatino" w:hAnsi="Palatino"/>
          <w:sz w:val="26"/>
          <w:szCs w:val="26"/>
        </w:rPr>
        <w:t xml:space="preserve">Notification of Material Modifications to Generating Facility </w:t>
      </w:r>
      <w:r w:rsidRPr="00422CF3" w:rsidR="00422CF3">
        <w:rPr>
          <w:rFonts w:ascii="Palatino" w:hAnsi="Palatino"/>
          <w:sz w:val="26"/>
          <w:szCs w:val="26"/>
        </w:rPr>
        <w:t>asks customers to verify that all equipment is on an</w:t>
      </w:r>
      <w:r w:rsidR="00422CF3">
        <w:rPr>
          <w:rFonts w:ascii="Palatino" w:hAnsi="Palatino"/>
          <w:sz w:val="26"/>
          <w:szCs w:val="26"/>
        </w:rPr>
        <w:t xml:space="preserve"> </w:t>
      </w:r>
      <w:r w:rsidRPr="00422CF3" w:rsidR="00422CF3">
        <w:rPr>
          <w:rFonts w:ascii="Palatino" w:hAnsi="Palatino"/>
          <w:sz w:val="26"/>
          <w:szCs w:val="26"/>
        </w:rPr>
        <w:t>approved equipment list maintained by the California Energy Commission</w:t>
      </w:r>
      <w:r w:rsidR="001061F7">
        <w:rPr>
          <w:rFonts w:ascii="Palatino" w:hAnsi="Palatino"/>
          <w:sz w:val="26"/>
          <w:szCs w:val="26"/>
        </w:rPr>
        <w:t xml:space="preserve"> (CEC)</w:t>
      </w:r>
      <w:r w:rsidR="00422CF3">
        <w:rPr>
          <w:rFonts w:ascii="Palatino" w:hAnsi="Palatino"/>
          <w:sz w:val="26"/>
          <w:szCs w:val="26"/>
        </w:rPr>
        <w:t xml:space="preserve">. </w:t>
      </w:r>
      <w:r w:rsidR="009752D0">
        <w:rPr>
          <w:rFonts w:ascii="Palatino" w:hAnsi="Palatino"/>
          <w:sz w:val="26"/>
          <w:szCs w:val="26"/>
        </w:rPr>
        <w:t xml:space="preserve">CALSSA requests that this </w:t>
      </w:r>
      <w:r w:rsidR="001061F7">
        <w:rPr>
          <w:rFonts w:ascii="Palatino" w:hAnsi="Palatino"/>
          <w:sz w:val="26"/>
          <w:szCs w:val="26"/>
        </w:rPr>
        <w:t>s</w:t>
      </w:r>
      <w:r w:rsidR="009752D0">
        <w:rPr>
          <w:rFonts w:ascii="Palatino" w:hAnsi="Palatino"/>
          <w:sz w:val="26"/>
          <w:szCs w:val="26"/>
        </w:rPr>
        <w:t xml:space="preserve">ection be modified to </w:t>
      </w:r>
      <w:r w:rsidR="001061F7">
        <w:rPr>
          <w:rFonts w:ascii="Palatino" w:hAnsi="Palatino"/>
          <w:sz w:val="26"/>
          <w:szCs w:val="26"/>
        </w:rPr>
        <w:t xml:space="preserve">note that </w:t>
      </w:r>
      <w:r w:rsidRPr="001061F7" w:rsidR="001061F7">
        <w:rPr>
          <w:rFonts w:ascii="Palatino" w:hAnsi="Palatino"/>
          <w:sz w:val="26"/>
          <w:szCs w:val="26"/>
        </w:rPr>
        <w:t>the CEC’s Approved Inverter List is specific to solar PV inverters</w:t>
      </w:r>
      <w:r w:rsidR="001061F7">
        <w:rPr>
          <w:rFonts w:ascii="Palatino" w:hAnsi="Palatino"/>
          <w:sz w:val="26"/>
          <w:szCs w:val="26"/>
        </w:rPr>
        <w:t xml:space="preserve"> and </w:t>
      </w:r>
      <w:r w:rsidR="003B7322">
        <w:rPr>
          <w:rFonts w:ascii="Palatino" w:hAnsi="Palatino"/>
          <w:sz w:val="26"/>
          <w:szCs w:val="26"/>
        </w:rPr>
        <w:t xml:space="preserve">clarify that the verification requirement does </w:t>
      </w:r>
      <w:r w:rsidR="001C433D">
        <w:rPr>
          <w:rFonts w:ascii="Palatino" w:hAnsi="Palatino"/>
          <w:sz w:val="26"/>
          <w:szCs w:val="26"/>
        </w:rPr>
        <w:t xml:space="preserve">not </w:t>
      </w:r>
      <w:r w:rsidR="003B7322">
        <w:rPr>
          <w:rFonts w:ascii="Palatino" w:hAnsi="Palatino"/>
          <w:sz w:val="26"/>
          <w:szCs w:val="26"/>
        </w:rPr>
        <w:t xml:space="preserve">include </w:t>
      </w:r>
      <w:r w:rsidRPr="003B7322" w:rsidR="003B7322">
        <w:rPr>
          <w:rFonts w:ascii="Palatino" w:hAnsi="Palatino"/>
          <w:sz w:val="26"/>
          <w:szCs w:val="26"/>
        </w:rPr>
        <w:t>energy storage devices or systems.</w:t>
      </w:r>
    </w:p>
    <w:p w:rsidR="003B7322" w:rsidP="00422CF3" w:rsidRDefault="003B7322" w14:paraId="5776E95F" w14:textId="07E3B30A">
      <w:pPr>
        <w:rPr>
          <w:rFonts w:ascii="Palatino" w:hAnsi="Palatino"/>
          <w:sz w:val="26"/>
          <w:szCs w:val="26"/>
        </w:rPr>
      </w:pPr>
    </w:p>
    <w:p w:rsidRPr="00670BB8" w:rsidR="003B7322" w:rsidP="00422CF3" w:rsidRDefault="003B7322" w14:paraId="45582BB9" w14:textId="29839E1F">
      <w:pPr>
        <w:rPr>
          <w:rFonts w:ascii="Palatino" w:hAnsi="Palatino"/>
          <w:sz w:val="26"/>
          <w:szCs w:val="26"/>
        </w:rPr>
      </w:pPr>
      <w:r w:rsidRPr="00670BB8">
        <w:rPr>
          <w:rFonts w:ascii="Palatino" w:hAnsi="Palatino"/>
          <w:sz w:val="26"/>
          <w:szCs w:val="26"/>
        </w:rPr>
        <w:t xml:space="preserve">In </w:t>
      </w:r>
      <w:r w:rsidR="00B92B5E">
        <w:rPr>
          <w:rFonts w:ascii="Palatino" w:hAnsi="Palatino"/>
          <w:sz w:val="26"/>
          <w:szCs w:val="26"/>
        </w:rPr>
        <w:t>response</w:t>
      </w:r>
      <w:r w:rsidRPr="00670BB8">
        <w:rPr>
          <w:rFonts w:ascii="Palatino" w:hAnsi="Palatino"/>
          <w:sz w:val="26"/>
          <w:szCs w:val="26"/>
        </w:rPr>
        <w:t xml:space="preserve"> to CALSSA’s protest of the Joint AL, PG&amp;E and SDG&amp;E jointly</w:t>
      </w:r>
      <w:r w:rsidR="00287F6F">
        <w:rPr>
          <w:rFonts w:ascii="Palatino" w:hAnsi="Palatino"/>
          <w:sz w:val="26"/>
          <w:szCs w:val="26"/>
        </w:rPr>
        <w:t xml:space="preserve"> argue that, in order to remain in compliance with </w:t>
      </w:r>
      <w:r w:rsidR="00A1684C">
        <w:rPr>
          <w:rFonts w:ascii="Palatino" w:hAnsi="Palatino"/>
          <w:sz w:val="26"/>
          <w:szCs w:val="26"/>
        </w:rPr>
        <w:t xml:space="preserve">NEM </w:t>
      </w:r>
      <w:r w:rsidR="00902CEB">
        <w:rPr>
          <w:rFonts w:ascii="Palatino" w:hAnsi="Palatino"/>
          <w:sz w:val="26"/>
          <w:szCs w:val="26"/>
        </w:rPr>
        <w:t>consumer</w:t>
      </w:r>
      <w:r w:rsidR="00A1684C">
        <w:rPr>
          <w:rFonts w:ascii="Palatino" w:hAnsi="Palatino"/>
          <w:sz w:val="26"/>
          <w:szCs w:val="26"/>
        </w:rPr>
        <w:t xml:space="preserve"> protection requirements</w:t>
      </w:r>
      <w:r w:rsidR="00262433">
        <w:rPr>
          <w:rFonts w:ascii="Palatino" w:hAnsi="Palatino"/>
          <w:sz w:val="26"/>
          <w:szCs w:val="26"/>
        </w:rPr>
        <w:t xml:space="preserve">, they must verify </w:t>
      </w:r>
      <w:r w:rsidR="000A0397">
        <w:rPr>
          <w:rFonts w:ascii="Palatino" w:hAnsi="Palatino"/>
          <w:sz w:val="26"/>
          <w:szCs w:val="26"/>
        </w:rPr>
        <w:t xml:space="preserve">equipment </w:t>
      </w:r>
      <w:r w:rsidR="00262433">
        <w:rPr>
          <w:rFonts w:ascii="Palatino" w:hAnsi="Palatino"/>
          <w:sz w:val="26"/>
          <w:szCs w:val="26"/>
        </w:rPr>
        <w:t>warrant</w:t>
      </w:r>
      <w:r w:rsidR="000A0397">
        <w:rPr>
          <w:rFonts w:ascii="Palatino" w:hAnsi="Palatino"/>
          <w:sz w:val="26"/>
          <w:szCs w:val="26"/>
        </w:rPr>
        <w:t>ies of interconnecting equipment.</w:t>
      </w:r>
      <w:r w:rsidR="002E7758">
        <w:rPr>
          <w:rFonts w:ascii="Palatino" w:hAnsi="Palatino"/>
          <w:sz w:val="26"/>
          <w:szCs w:val="26"/>
        </w:rPr>
        <w:t xml:space="preserve"> They propose </w:t>
      </w:r>
      <w:r w:rsidR="00B115FB">
        <w:rPr>
          <w:rFonts w:ascii="Palatino" w:hAnsi="Palatino"/>
          <w:sz w:val="26"/>
          <w:szCs w:val="26"/>
        </w:rPr>
        <w:t xml:space="preserve">the addition of an </w:t>
      </w:r>
      <w:r w:rsidR="00AE3402">
        <w:rPr>
          <w:rFonts w:ascii="Palatino" w:hAnsi="Palatino"/>
          <w:sz w:val="26"/>
          <w:szCs w:val="26"/>
        </w:rPr>
        <w:t>energy storage specific check box</w:t>
      </w:r>
      <w:r w:rsidR="002E7758">
        <w:rPr>
          <w:rFonts w:ascii="Palatino" w:hAnsi="Palatino"/>
          <w:sz w:val="26"/>
          <w:szCs w:val="26"/>
        </w:rPr>
        <w:t xml:space="preserve"> </w:t>
      </w:r>
      <w:r w:rsidR="00807F6E">
        <w:rPr>
          <w:rFonts w:ascii="Palatino" w:hAnsi="Palatino"/>
          <w:sz w:val="26"/>
          <w:szCs w:val="26"/>
        </w:rPr>
        <w:t xml:space="preserve">to </w:t>
      </w:r>
      <w:r w:rsidRPr="00422CF3" w:rsidR="00807F6E">
        <w:rPr>
          <w:rFonts w:ascii="Palatino" w:hAnsi="Palatino"/>
          <w:sz w:val="26"/>
          <w:szCs w:val="26"/>
        </w:rPr>
        <w:t xml:space="preserve">Section 4.A </w:t>
      </w:r>
      <w:r w:rsidR="002E7758">
        <w:rPr>
          <w:rFonts w:ascii="Palatino" w:hAnsi="Palatino"/>
          <w:sz w:val="26"/>
          <w:szCs w:val="26"/>
        </w:rPr>
        <w:t xml:space="preserve">in order to </w:t>
      </w:r>
      <w:r w:rsidR="00B115FB">
        <w:rPr>
          <w:rFonts w:ascii="Palatino" w:hAnsi="Palatino"/>
          <w:sz w:val="26"/>
          <w:szCs w:val="26"/>
        </w:rPr>
        <w:t>address CALSSA’s concerns.</w:t>
      </w:r>
    </w:p>
    <w:p w:rsidRPr="00670BB8" w:rsidR="00A959C9" w:rsidP="006A3176" w:rsidRDefault="00A959C9" w14:paraId="54F3E353" w14:textId="77777777">
      <w:pPr>
        <w:rPr>
          <w:rFonts w:ascii="Palatino" w:hAnsi="Palatino"/>
          <w:sz w:val="26"/>
          <w:szCs w:val="26"/>
        </w:rPr>
      </w:pPr>
    </w:p>
    <w:p w:rsidRPr="00670BB8" w:rsidR="008C4EA6" w:rsidP="008C4EA6" w:rsidRDefault="008C4EA6" w14:paraId="62F3A94C" w14:textId="77777777">
      <w:pPr>
        <w:rPr>
          <w:rFonts w:ascii="Palatino" w:hAnsi="Palatino"/>
          <w:sz w:val="26"/>
          <w:szCs w:val="26"/>
          <w:u w:val="single"/>
        </w:rPr>
      </w:pPr>
      <w:r w:rsidRPr="00670BB8">
        <w:rPr>
          <w:rFonts w:ascii="Palatino" w:hAnsi="Palatino"/>
          <w:sz w:val="26"/>
          <w:szCs w:val="26"/>
          <w:u w:val="single"/>
        </w:rPr>
        <w:t>Supplemental Advice Letters</w:t>
      </w:r>
    </w:p>
    <w:p w:rsidRPr="00C4227A" w:rsidR="008C4EA6" w:rsidP="006A3176" w:rsidRDefault="000927CB" w14:paraId="46FB581F" w14:textId="2A039D2D">
      <w:pPr>
        <w:rPr>
          <w:rFonts w:ascii="Palatino" w:hAnsi="Palatino"/>
          <w:sz w:val="26"/>
          <w:szCs w:val="26"/>
        </w:rPr>
      </w:pPr>
      <w:r>
        <w:rPr>
          <w:rFonts w:ascii="Palatino" w:hAnsi="Palatino"/>
          <w:sz w:val="26"/>
          <w:szCs w:val="26"/>
        </w:rPr>
        <w:t xml:space="preserve">The Joint AL was not supplemented. </w:t>
      </w:r>
    </w:p>
    <w:p w:rsidRPr="00670BB8" w:rsidR="006A3176" w:rsidP="006A3176" w:rsidRDefault="006A3176" w14:paraId="46EAD01E" w14:textId="2C8D1B0E">
      <w:pPr>
        <w:rPr>
          <w:rFonts w:ascii="Palatino" w:hAnsi="Palatino"/>
          <w:sz w:val="26"/>
          <w:szCs w:val="26"/>
          <w:u w:val="single"/>
        </w:rPr>
      </w:pPr>
      <w:r w:rsidRPr="00670BB8">
        <w:rPr>
          <w:rFonts w:ascii="Palatino" w:hAnsi="Palatino"/>
          <w:sz w:val="26"/>
          <w:szCs w:val="26"/>
          <w:u w:val="single"/>
        </w:rPr>
        <w:lastRenderedPageBreak/>
        <w:t>Discussion</w:t>
      </w:r>
    </w:p>
    <w:p w:rsidR="00123A61" w:rsidP="006A3176" w:rsidRDefault="00C63227" w14:paraId="50C59358" w14:textId="315D90D6">
      <w:pPr>
        <w:rPr>
          <w:rFonts w:ascii="Palatino" w:hAnsi="Palatino"/>
          <w:sz w:val="26"/>
          <w:szCs w:val="26"/>
        </w:rPr>
      </w:pPr>
      <w:r>
        <w:rPr>
          <w:rFonts w:ascii="Palatino" w:hAnsi="Palatino"/>
          <w:sz w:val="26"/>
          <w:szCs w:val="26"/>
        </w:rPr>
        <w:t xml:space="preserve">Before considering this specific instance, we note that the Utilities have the ultimate responsibility for verifying that compliant equipment is used by interconnecting facilities, an outcome that they may achieve via a variety of measures, including reference to verified equipment lists maintained by organizations other than the CEC. </w:t>
      </w:r>
      <w:r w:rsidR="00967532">
        <w:rPr>
          <w:rFonts w:ascii="Palatino" w:hAnsi="Palatino"/>
          <w:sz w:val="26"/>
          <w:szCs w:val="26"/>
        </w:rPr>
        <w:t xml:space="preserve">Given that the Utilities propose to utilize the CEC equipment lists </w:t>
      </w:r>
      <w:r w:rsidR="00781190">
        <w:rPr>
          <w:rFonts w:ascii="Palatino" w:hAnsi="Palatino"/>
          <w:sz w:val="26"/>
          <w:szCs w:val="26"/>
        </w:rPr>
        <w:t xml:space="preserve">for equipment verification </w:t>
      </w:r>
      <w:r w:rsidR="00890F07">
        <w:rPr>
          <w:rFonts w:ascii="Palatino" w:hAnsi="Palatino"/>
          <w:sz w:val="26"/>
          <w:szCs w:val="26"/>
        </w:rPr>
        <w:t xml:space="preserve">on the standard form template, however, we </w:t>
      </w:r>
      <w:r w:rsidR="008C1660">
        <w:rPr>
          <w:rFonts w:ascii="Palatino" w:hAnsi="Palatino"/>
          <w:sz w:val="26"/>
          <w:szCs w:val="26"/>
        </w:rPr>
        <w:t xml:space="preserve">limit our </w:t>
      </w:r>
      <w:r w:rsidR="00123A61">
        <w:rPr>
          <w:rFonts w:ascii="Palatino" w:hAnsi="Palatino"/>
          <w:sz w:val="26"/>
          <w:szCs w:val="26"/>
        </w:rPr>
        <w:t>consideration within this Resolution</w:t>
      </w:r>
      <w:r w:rsidR="008C1660">
        <w:rPr>
          <w:rFonts w:ascii="Palatino" w:hAnsi="Palatino"/>
          <w:sz w:val="26"/>
          <w:szCs w:val="26"/>
        </w:rPr>
        <w:t xml:space="preserve"> to CEC-maintained lists</w:t>
      </w:r>
      <w:r w:rsidR="00123A61">
        <w:rPr>
          <w:rFonts w:ascii="Palatino" w:hAnsi="Palatino"/>
          <w:sz w:val="26"/>
          <w:szCs w:val="26"/>
        </w:rPr>
        <w:t xml:space="preserve">. </w:t>
      </w:r>
    </w:p>
    <w:p w:rsidR="00123A61" w:rsidP="006A3176" w:rsidRDefault="00123A61" w14:paraId="6D8A3EF3" w14:textId="77777777">
      <w:pPr>
        <w:rPr>
          <w:rFonts w:ascii="Palatino" w:hAnsi="Palatino"/>
          <w:sz w:val="26"/>
          <w:szCs w:val="26"/>
        </w:rPr>
      </w:pPr>
    </w:p>
    <w:p w:rsidRPr="00670BB8" w:rsidR="006A3176" w:rsidP="006A3176" w:rsidRDefault="00364A80" w14:paraId="393EF58D" w14:textId="0130888D">
      <w:pPr>
        <w:rPr>
          <w:rFonts w:ascii="Palatino" w:hAnsi="Palatino"/>
          <w:sz w:val="26"/>
          <w:szCs w:val="26"/>
        </w:rPr>
      </w:pPr>
      <w:r>
        <w:rPr>
          <w:rFonts w:ascii="Palatino" w:hAnsi="Palatino"/>
          <w:sz w:val="26"/>
          <w:szCs w:val="26"/>
        </w:rPr>
        <w:t xml:space="preserve">Since the </w:t>
      </w:r>
      <w:r w:rsidR="00026B0B">
        <w:rPr>
          <w:rFonts w:ascii="Palatino" w:hAnsi="Palatino"/>
          <w:sz w:val="26"/>
          <w:szCs w:val="26"/>
        </w:rPr>
        <w:t xml:space="preserve">protest of the Joint AL, the CEC has significantly expanded </w:t>
      </w:r>
      <w:r w:rsidR="00CC5440">
        <w:rPr>
          <w:rFonts w:ascii="Palatino" w:hAnsi="Palatino"/>
          <w:sz w:val="26"/>
          <w:szCs w:val="26"/>
        </w:rPr>
        <w:t>its</w:t>
      </w:r>
      <w:r w:rsidR="00026B0B">
        <w:rPr>
          <w:rFonts w:ascii="Palatino" w:hAnsi="Palatino"/>
          <w:sz w:val="26"/>
          <w:szCs w:val="26"/>
        </w:rPr>
        <w:t xml:space="preserve"> energy storage system listing efforts</w:t>
      </w:r>
      <w:r w:rsidR="00CD085B">
        <w:rPr>
          <w:rFonts w:ascii="Palatino" w:hAnsi="Palatino"/>
          <w:sz w:val="26"/>
          <w:szCs w:val="26"/>
        </w:rPr>
        <w:t xml:space="preserve">. The CEC’s </w:t>
      </w:r>
      <w:r w:rsidR="009F72F7">
        <w:rPr>
          <w:rFonts w:ascii="Palatino" w:hAnsi="Palatino"/>
          <w:sz w:val="26"/>
          <w:szCs w:val="26"/>
        </w:rPr>
        <w:t xml:space="preserve">Grid Support Inverter List now explicitly </w:t>
      </w:r>
      <w:r w:rsidR="00C40652">
        <w:rPr>
          <w:rFonts w:ascii="Palatino" w:hAnsi="Palatino"/>
          <w:sz w:val="26"/>
          <w:szCs w:val="26"/>
        </w:rPr>
        <w:t xml:space="preserve">includes </w:t>
      </w:r>
      <w:r w:rsidR="00AE13FA">
        <w:rPr>
          <w:rFonts w:ascii="Palatino" w:hAnsi="Palatino"/>
          <w:sz w:val="26"/>
          <w:szCs w:val="26"/>
        </w:rPr>
        <w:t xml:space="preserve">energy storage </w:t>
      </w:r>
      <w:r w:rsidR="00C40652">
        <w:rPr>
          <w:rFonts w:ascii="Palatino" w:hAnsi="Palatino"/>
          <w:sz w:val="26"/>
          <w:szCs w:val="26"/>
        </w:rPr>
        <w:t xml:space="preserve">inverters. In addition, the CEC maintains an Energy </w:t>
      </w:r>
      <w:r w:rsidR="00EC55D8">
        <w:rPr>
          <w:rFonts w:ascii="Palatino" w:hAnsi="Palatino"/>
          <w:sz w:val="26"/>
          <w:szCs w:val="26"/>
        </w:rPr>
        <w:t>Storage</w:t>
      </w:r>
      <w:r w:rsidR="00C40652">
        <w:rPr>
          <w:rFonts w:ascii="Palatino" w:hAnsi="Palatino"/>
          <w:sz w:val="26"/>
          <w:szCs w:val="26"/>
        </w:rPr>
        <w:t xml:space="preserve"> System </w:t>
      </w:r>
      <w:r w:rsidR="00EC55D8">
        <w:rPr>
          <w:rFonts w:ascii="Palatino" w:hAnsi="Palatino"/>
          <w:sz w:val="26"/>
          <w:szCs w:val="26"/>
        </w:rPr>
        <w:t xml:space="preserve">List. In order to </w:t>
      </w:r>
      <w:r w:rsidR="00136C3B">
        <w:rPr>
          <w:rFonts w:ascii="Palatino" w:hAnsi="Palatino"/>
          <w:sz w:val="26"/>
          <w:szCs w:val="26"/>
        </w:rPr>
        <w:t xml:space="preserve">fully leverage these </w:t>
      </w:r>
      <w:r w:rsidR="009744CA">
        <w:rPr>
          <w:rFonts w:ascii="Palatino" w:hAnsi="Palatino"/>
          <w:sz w:val="26"/>
          <w:szCs w:val="26"/>
        </w:rPr>
        <w:t>efforts</w:t>
      </w:r>
      <w:r w:rsidR="00294D58">
        <w:rPr>
          <w:rFonts w:ascii="Palatino" w:hAnsi="Palatino"/>
          <w:sz w:val="26"/>
          <w:szCs w:val="26"/>
        </w:rPr>
        <w:t xml:space="preserve">, which </w:t>
      </w:r>
      <w:r w:rsidR="009744CA">
        <w:rPr>
          <w:rFonts w:ascii="Palatino" w:hAnsi="Palatino"/>
          <w:sz w:val="26"/>
          <w:szCs w:val="26"/>
        </w:rPr>
        <w:t>take into account</w:t>
      </w:r>
      <w:r w:rsidR="00294D58">
        <w:rPr>
          <w:rFonts w:ascii="Palatino" w:hAnsi="Palatino"/>
          <w:sz w:val="26"/>
          <w:szCs w:val="26"/>
        </w:rPr>
        <w:t xml:space="preserve"> both technical and consumer protection requirements, </w:t>
      </w:r>
      <w:r w:rsidRPr="00422CF3" w:rsidR="00413E7E">
        <w:rPr>
          <w:rFonts w:ascii="Palatino" w:hAnsi="Palatino"/>
          <w:sz w:val="26"/>
          <w:szCs w:val="26"/>
        </w:rPr>
        <w:t>Section 4.A of the proposed standard form</w:t>
      </w:r>
      <w:r w:rsidR="00413E7E">
        <w:rPr>
          <w:rFonts w:ascii="Palatino" w:hAnsi="Palatino"/>
          <w:sz w:val="26"/>
          <w:szCs w:val="26"/>
        </w:rPr>
        <w:t xml:space="preserve"> should be updated to reflect </w:t>
      </w:r>
      <w:r w:rsidR="005F1254">
        <w:rPr>
          <w:rFonts w:ascii="Palatino" w:hAnsi="Palatino"/>
          <w:sz w:val="26"/>
          <w:szCs w:val="26"/>
        </w:rPr>
        <w:t>that equipment may be listed on one of multiple lists</w:t>
      </w:r>
      <w:r w:rsidR="00767F1A">
        <w:rPr>
          <w:rFonts w:ascii="Palatino" w:hAnsi="Palatino"/>
          <w:sz w:val="26"/>
          <w:szCs w:val="26"/>
        </w:rPr>
        <w:t xml:space="preserve"> maintained by the CEC</w:t>
      </w:r>
      <w:r w:rsidR="009744CA">
        <w:rPr>
          <w:rFonts w:ascii="Palatino" w:hAnsi="Palatino"/>
          <w:sz w:val="26"/>
          <w:szCs w:val="26"/>
        </w:rPr>
        <w:t xml:space="preserve">. Specifically, </w:t>
      </w:r>
      <w:r w:rsidR="00B821D8">
        <w:rPr>
          <w:rFonts w:ascii="Palatino" w:hAnsi="Palatino"/>
          <w:sz w:val="26"/>
          <w:szCs w:val="26"/>
        </w:rPr>
        <w:t xml:space="preserve">the </w:t>
      </w:r>
      <w:r w:rsidR="00A46967">
        <w:rPr>
          <w:rFonts w:ascii="Palatino" w:hAnsi="Palatino"/>
          <w:sz w:val="26"/>
          <w:szCs w:val="26"/>
        </w:rPr>
        <w:t xml:space="preserve">Equipment Verification requirement should mandate that equipment is on </w:t>
      </w:r>
      <w:r w:rsidR="00F43D97">
        <w:rPr>
          <w:rFonts w:ascii="Palatino" w:hAnsi="Palatino"/>
          <w:sz w:val="26"/>
          <w:szCs w:val="26"/>
        </w:rPr>
        <w:t>“</w:t>
      </w:r>
      <w:r w:rsidRPr="00F43D97" w:rsidR="00140A4B">
        <w:rPr>
          <w:rFonts w:ascii="Palatino" w:hAnsi="Palatino"/>
          <w:sz w:val="26"/>
          <w:szCs w:val="26"/>
        </w:rPr>
        <w:t>a</w:t>
      </w:r>
      <w:r w:rsidR="00F43D97">
        <w:rPr>
          <w:rFonts w:ascii="Palatino" w:hAnsi="Palatino"/>
          <w:sz w:val="26"/>
          <w:szCs w:val="26"/>
        </w:rPr>
        <w:t>”</w:t>
      </w:r>
      <w:r w:rsidR="00140A4B">
        <w:rPr>
          <w:rFonts w:ascii="Palatino" w:hAnsi="Palatino"/>
          <w:sz w:val="26"/>
          <w:szCs w:val="26"/>
        </w:rPr>
        <w:t xml:space="preserve"> verified list maintained by the CEC</w:t>
      </w:r>
      <w:r w:rsidR="00F43D97">
        <w:rPr>
          <w:rFonts w:ascii="Palatino" w:hAnsi="Palatino"/>
          <w:sz w:val="26"/>
          <w:szCs w:val="26"/>
        </w:rPr>
        <w:t xml:space="preserve">, rather than “the” verified list maintained by the CEC. </w:t>
      </w:r>
    </w:p>
    <w:p w:rsidRPr="00670BB8" w:rsidR="00A959C9" w:rsidP="006A3176" w:rsidRDefault="00A959C9" w14:paraId="5294AA39" w14:textId="77777777">
      <w:pPr>
        <w:rPr>
          <w:rFonts w:ascii="Palatino" w:hAnsi="Palatino"/>
          <w:sz w:val="26"/>
          <w:szCs w:val="26"/>
        </w:rPr>
      </w:pPr>
    </w:p>
    <w:p w:rsidRPr="00670BB8" w:rsidR="006A3176" w:rsidP="006A3176" w:rsidRDefault="006A3176" w14:paraId="3F5EF638" w14:textId="77777777">
      <w:pPr>
        <w:rPr>
          <w:rFonts w:ascii="Palatino" w:hAnsi="Palatino"/>
          <w:sz w:val="26"/>
          <w:szCs w:val="26"/>
          <w:u w:val="single"/>
        </w:rPr>
      </w:pPr>
      <w:r w:rsidRPr="00670BB8">
        <w:rPr>
          <w:rFonts w:ascii="Palatino" w:hAnsi="Palatino"/>
          <w:sz w:val="26"/>
          <w:szCs w:val="26"/>
          <w:u w:val="single"/>
        </w:rPr>
        <w:t>Conclusion</w:t>
      </w:r>
    </w:p>
    <w:p w:rsidRPr="002732ED" w:rsidR="006A3176" w:rsidP="008D0142" w:rsidRDefault="00A10C77" w14:paraId="532B5F45" w14:textId="49DDD132">
      <w:pPr>
        <w:rPr>
          <w:rFonts w:ascii="Palatino" w:hAnsi="Palatino"/>
          <w:sz w:val="26"/>
          <w:szCs w:val="26"/>
        </w:rPr>
      </w:pPr>
      <w:r>
        <w:rPr>
          <w:rFonts w:ascii="Palatino" w:hAnsi="Palatino"/>
          <w:sz w:val="26"/>
          <w:szCs w:val="26"/>
        </w:rPr>
        <w:t xml:space="preserve">This </w:t>
      </w:r>
      <w:r w:rsidR="00D142E0">
        <w:rPr>
          <w:rFonts w:ascii="Palatino" w:hAnsi="Palatino"/>
          <w:sz w:val="26"/>
          <w:szCs w:val="26"/>
        </w:rPr>
        <w:t xml:space="preserve">Resolution finds that </w:t>
      </w:r>
      <w:r w:rsidR="00B80FD3">
        <w:rPr>
          <w:rFonts w:ascii="Palatino" w:hAnsi="Palatino"/>
          <w:sz w:val="26"/>
          <w:szCs w:val="26"/>
        </w:rPr>
        <w:t xml:space="preserve">the </w:t>
      </w:r>
      <w:r w:rsidR="00D142E0">
        <w:rPr>
          <w:rFonts w:ascii="Palatino" w:hAnsi="Palatino"/>
          <w:sz w:val="26"/>
          <w:szCs w:val="26"/>
        </w:rPr>
        <w:t>expansion of the CEC’s equipment listing effort</w:t>
      </w:r>
      <w:r w:rsidR="00B80FD3">
        <w:rPr>
          <w:rFonts w:ascii="Palatino" w:hAnsi="Palatino"/>
          <w:sz w:val="26"/>
          <w:szCs w:val="26"/>
        </w:rPr>
        <w:t>s</w:t>
      </w:r>
      <w:r w:rsidR="00D142E0">
        <w:rPr>
          <w:rFonts w:ascii="Palatino" w:hAnsi="Palatino"/>
          <w:sz w:val="26"/>
          <w:szCs w:val="26"/>
        </w:rPr>
        <w:t xml:space="preserve"> necessitates edits to the proposed Section 4.A language of the </w:t>
      </w:r>
      <w:r w:rsidRPr="00422CF3" w:rsidR="00B80FD3">
        <w:rPr>
          <w:rFonts w:ascii="Palatino" w:hAnsi="Palatino"/>
          <w:sz w:val="26"/>
          <w:szCs w:val="26"/>
        </w:rPr>
        <w:t xml:space="preserve">standard form </w:t>
      </w:r>
      <w:r w:rsidR="00B80FD3">
        <w:rPr>
          <w:rFonts w:ascii="Palatino" w:hAnsi="Palatino"/>
          <w:sz w:val="26"/>
          <w:szCs w:val="26"/>
        </w:rPr>
        <w:t xml:space="preserve">for </w:t>
      </w:r>
      <w:r w:rsidRPr="00271107" w:rsidR="00B80FD3">
        <w:rPr>
          <w:rFonts w:ascii="Palatino" w:hAnsi="Palatino"/>
          <w:sz w:val="26"/>
          <w:szCs w:val="26"/>
        </w:rPr>
        <w:t>Notification of Material Modifications to Generating Facility</w:t>
      </w:r>
      <w:r w:rsidR="001E332A">
        <w:rPr>
          <w:rFonts w:ascii="Palatino" w:hAnsi="Palatino"/>
          <w:sz w:val="26"/>
          <w:szCs w:val="26"/>
        </w:rPr>
        <w:t>, proposed by the Joint AL</w:t>
      </w:r>
      <w:r w:rsidR="00B80FD3">
        <w:rPr>
          <w:rFonts w:ascii="Palatino" w:hAnsi="Palatino"/>
          <w:sz w:val="26"/>
          <w:szCs w:val="26"/>
        </w:rPr>
        <w:t xml:space="preserve">. </w:t>
      </w:r>
      <w:r w:rsidR="006F173D">
        <w:rPr>
          <w:rFonts w:ascii="Palatino" w:hAnsi="Palatino"/>
          <w:sz w:val="26"/>
          <w:szCs w:val="26"/>
        </w:rPr>
        <w:t>This Resolution orders the</w:t>
      </w:r>
      <w:r w:rsidRPr="002732ED" w:rsidR="002732ED">
        <w:rPr>
          <w:rFonts w:ascii="Palatino" w:hAnsi="Palatino"/>
          <w:sz w:val="26"/>
          <w:szCs w:val="26"/>
        </w:rPr>
        <w:t xml:space="preserve"> </w:t>
      </w:r>
      <w:r w:rsidR="00870AF0">
        <w:rPr>
          <w:rFonts w:ascii="Palatino" w:hAnsi="Palatino"/>
          <w:sz w:val="26"/>
          <w:szCs w:val="26"/>
        </w:rPr>
        <w:t>Utilities</w:t>
      </w:r>
      <w:r w:rsidRPr="00670BB8" w:rsidR="00870AF0">
        <w:rPr>
          <w:rFonts w:ascii="Palatino" w:hAnsi="Palatino"/>
          <w:sz w:val="26"/>
          <w:szCs w:val="26"/>
        </w:rPr>
        <w:t xml:space="preserve"> </w:t>
      </w:r>
      <w:r w:rsidR="006F173D">
        <w:rPr>
          <w:rFonts w:ascii="Palatino" w:hAnsi="Palatino"/>
          <w:sz w:val="26"/>
          <w:szCs w:val="26"/>
        </w:rPr>
        <w:t>to</w:t>
      </w:r>
      <w:r w:rsidRPr="002732ED" w:rsidR="002732ED">
        <w:rPr>
          <w:rFonts w:ascii="Palatino" w:hAnsi="Palatino"/>
          <w:sz w:val="26"/>
          <w:szCs w:val="26"/>
        </w:rPr>
        <w:t xml:space="preserve"> update Section 4.1 of the standard form template </w:t>
      </w:r>
      <w:r w:rsidR="002732ED">
        <w:rPr>
          <w:rFonts w:ascii="Palatino" w:hAnsi="Palatino"/>
          <w:sz w:val="26"/>
          <w:szCs w:val="26"/>
        </w:rPr>
        <w:t xml:space="preserve">to </w:t>
      </w:r>
      <w:r w:rsidR="00072E26">
        <w:rPr>
          <w:rFonts w:ascii="Palatino" w:hAnsi="Palatino"/>
          <w:sz w:val="26"/>
          <w:szCs w:val="26"/>
        </w:rPr>
        <w:t xml:space="preserve">reflect that verified equipment may be listed on </w:t>
      </w:r>
      <w:r w:rsidR="00EA63E4">
        <w:rPr>
          <w:rFonts w:ascii="Palatino" w:hAnsi="Palatino"/>
          <w:sz w:val="26"/>
          <w:szCs w:val="26"/>
        </w:rPr>
        <w:t>any</w:t>
      </w:r>
      <w:r w:rsidR="00072E26">
        <w:rPr>
          <w:rFonts w:ascii="Palatino" w:hAnsi="Palatino"/>
          <w:sz w:val="26"/>
          <w:szCs w:val="26"/>
        </w:rPr>
        <w:t xml:space="preserve"> of multiple CEC </w:t>
      </w:r>
      <w:r w:rsidR="00320F57">
        <w:rPr>
          <w:rFonts w:ascii="Palatino" w:hAnsi="Palatino"/>
          <w:sz w:val="26"/>
          <w:szCs w:val="26"/>
        </w:rPr>
        <w:t xml:space="preserve">equipment </w:t>
      </w:r>
      <w:r w:rsidR="00072E26">
        <w:rPr>
          <w:rFonts w:ascii="Palatino" w:hAnsi="Palatino"/>
          <w:sz w:val="26"/>
          <w:szCs w:val="26"/>
        </w:rPr>
        <w:t>lists.</w:t>
      </w:r>
    </w:p>
    <w:p w:rsidRPr="00670BB8" w:rsidR="00690517" w:rsidP="008D0142" w:rsidRDefault="00690517" w14:paraId="66327732" w14:textId="77777777">
      <w:pPr>
        <w:rPr>
          <w:rFonts w:ascii="Palatino" w:hAnsi="Palatino"/>
          <w:sz w:val="26"/>
          <w:szCs w:val="26"/>
        </w:rPr>
      </w:pPr>
    </w:p>
    <w:p w:rsidRPr="00670BB8" w:rsidR="000C099F" w:rsidP="000C099F" w:rsidRDefault="000C099F" w14:paraId="4EC23E99" w14:textId="1FDFF9EF">
      <w:pPr>
        <w:rPr>
          <w:rFonts w:ascii="Palatino" w:hAnsi="Palatino"/>
          <w:b/>
          <w:bCs/>
          <w:sz w:val="26"/>
          <w:szCs w:val="26"/>
        </w:rPr>
      </w:pPr>
      <w:r w:rsidRPr="00670BB8">
        <w:rPr>
          <w:rFonts w:ascii="Palatino" w:hAnsi="Palatino"/>
          <w:b/>
          <w:bCs/>
          <w:sz w:val="26"/>
          <w:szCs w:val="26"/>
        </w:rPr>
        <w:t xml:space="preserve">Issue </w:t>
      </w:r>
      <w:r w:rsidRPr="00670BB8" w:rsidR="006A3176">
        <w:rPr>
          <w:rFonts w:ascii="Palatino" w:hAnsi="Palatino"/>
          <w:b/>
          <w:bCs/>
          <w:sz w:val="26"/>
          <w:szCs w:val="26"/>
        </w:rPr>
        <w:t>6</w:t>
      </w:r>
      <w:r w:rsidRPr="00670BB8">
        <w:rPr>
          <w:rFonts w:ascii="Palatino" w:hAnsi="Palatino"/>
          <w:b/>
          <w:bCs/>
          <w:sz w:val="26"/>
          <w:szCs w:val="26"/>
        </w:rPr>
        <w:t xml:space="preserve">: Implementation of Expanded Screen Q Exemption </w:t>
      </w:r>
    </w:p>
    <w:p w:rsidRPr="00670BB8" w:rsidR="000C099F" w:rsidP="000C099F" w:rsidRDefault="000C099F" w14:paraId="0CE848A1" w14:textId="77777777">
      <w:pPr>
        <w:rPr>
          <w:rFonts w:ascii="Palatino" w:hAnsi="Palatino"/>
          <w:b/>
          <w:bCs/>
          <w:sz w:val="26"/>
          <w:szCs w:val="26"/>
          <w:u w:val="single"/>
        </w:rPr>
      </w:pPr>
    </w:p>
    <w:p w:rsidR="008C4EA6" w:rsidP="008D0142" w:rsidRDefault="008C4EA6" w14:paraId="2E2B11F5" w14:textId="77777777">
      <w:pPr>
        <w:rPr>
          <w:rFonts w:ascii="Palatino" w:hAnsi="Palatino"/>
          <w:sz w:val="26"/>
          <w:szCs w:val="26"/>
        </w:rPr>
      </w:pPr>
      <w:r w:rsidRPr="00670BB8">
        <w:rPr>
          <w:rFonts w:ascii="Palatino" w:hAnsi="Palatino"/>
          <w:sz w:val="26"/>
          <w:szCs w:val="26"/>
          <w:u w:val="single"/>
        </w:rPr>
        <w:t>Protests</w:t>
      </w:r>
      <w:r w:rsidRPr="00786047">
        <w:rPr>
          <w:rFonts w:ascii="Palatino" w:hAnsi="Palatino"/>
          <w:sz w:val="26"/>
          <w:szCs w:val="26"/>
          <w:u w:val="single"/>
        </w:rPr>
        <w:t xml:space="preserve"> </w:t>
      </w:r>
      <w:r>
        <w:rPr>
          <w:rFonts w:ascii="Palatino" w:hAnsi="Palatino"/>
          <w:sz w:val="26"/>
          <w:szCs w:val="26"/>
          <w:u w:val="single"/>
        </w:rPr>
        <w:t xml:space="preserve">and </w:t>
      </w:r>
      <w:r w:rsidRPr="00870AF0">
        <w:rPr>
          <w:rFonts w:ascii="Palatino" w:hAnsi="Palatino"/>
          <w:sz w:val="26"/>
          <w:szCs w:val="26"/>
          <w:u w:val="single"/>
        </w:rPr>
        <w:t xml:space="preserve">Utility </w:t>
      </w:r>
      <w:r w:rsidRPr="00670BB8">
        <w:rPr>
          <w:rFonts w:ascii="Palatino" w:hAnsi="Palatino"/>
          <w:sz w:val="26"/>
          <w:szCs w:val="26"/>
          <w:u w:val="single"/>
        </w:rPr>
        <w:t>Responses to Protests</w:t>
      </w:r>
      <w:r w:rsidRPr="00670BB8">
        <w:rPr>
          <w:rFonts w:ascii="Palatino" w:hAnsi="Palatino"/>
          <w:sz w:val="26"/>
          <w:szCs w:val="26"/>
        </w:rPr>
        <w:t xml:space="preserve"> </w:t>
      </w:r>
    </w:p>
    <w:p w:rsidRPr="00670BB8" w:rsidR="008D0142" w:rsidP="008D0142" w:rsidRDefault="008D0142" w14:paraId="099CA0DA" w14:textId="4840ECBA">
      <w:pPr>
        <w:rPr>
          <w:rFonts w:ascii="Palatino" w:hAnsi="Palatino"/>
          <w:sz w:val="26"/>
          <w:szCs w:val="26"/>
        </w:rPr>
      </w:pPr>
      <w:r w:rsidRPr="00670BB8">
        <w:rPr>
          <w:rFonts w:ascii="Palatino" w:hAnsi="Palatino"/>
          <w:sz w:val="26"/>
          <w:szCs w:val="26"/>
        </w:rPr>
        <w:t xml:space="preserve">In </w:t>
      </w:r>
      <w:r w:rsidR="003218D0">
        <w:rPr>
          <w:rFonts w:ascii="Palatino" w:hAnsi="Palatino"/>
          <w:sz w:val="26"/>
          <w:szCs w:val="26"/>
        </w:rPr>
        <w:t>its</w:t>
      </w:r>
      <w:r w:rsidRPr="00670BB8">
        <w:rPr>
          <w:rFonts w:ascii="Palatino" w:hAnsi="Palatino"/>
          <w:sz w:val="26"/>
          <w:szCs w:val="26"/>
        </w:rPr>
        <w:t xml:space="preserve"> protest of SDG&amp;E AL 3381-E, </w:t>
      </w:r>
      <w:proofErr w:type="spellStart"/>
      <w:r w:rsidRPr="00670BB8">
        <w:rPr>
          <w:rFonts w:ascii="Palatino" w:hAnsi="Palatino"/>
          <w:sz w:val="26"/>
          <w:szCs w:val="26"/>
        </w:rPr>
        <w:t>CalPA</w:t>
      </w:r>
      <w:proofErr w:type="spellEnd"/>
      <w:r w:rsidRPr="00670BB8">
        <w:rPr>
          <w:rFonts w:ascii="Palatino" w:hAnsi="Palatino"/>
          <w:sz w:val="26"/>
          <w:szCs w:val="26"/>
        </w:rPr>
        <w:t xml:space="preserve"> requests that SDG&amp;E bring </w:t>
      </w:r>
      <w:r w:rsidR="00A601A7">
        <w:rPr>
          <w:rFonts w:ascii="Palatino" w:hAnsi="Palatino"/>
          <w:sz w:val="26"/>
          <w:szCs w:val="26"/>
        </w:rPr>
        <w:t>its</w:t>
      </w:r>
      <w:r w:rsidRPr="00670BB8">
        <w:rPr>
          <w:rFonts w:ascii="Palatino" w:hAnsi="Palatino"/>
          <w:sz w:val="26"/>
          <w:szCs w:val="26"/>
        </w:rPr>
        <w:t xml:space="preserve"> implementation of the expansion of the Screen Q exemption into line with that of SCE and PG&amp;E by adopting tariff language.</w:t>
      </w:r>
    </w:p>
    <w:p w:rsidR="00133535" w:rsidP="008D0142" w:rsidRDefault="00133535" w14:paraId="6D3D3783" w14:textId="77777777">
      <w:pPr>
        <w:rPr>
          <w:rFonts w:ascii="Palatino" w:hAnsi="Palatino"/>
          <w:sz w:val="26"/>
          <w:szCs w:val="26"/>
        </w:rPr>
      </w:pPr>
    </w:p>
    <w:p w:rsidRPr="00670BB8" w:rsidR="00133535" w:rsidP="008D0142" w:rsidRDefault="00133535" w14:paraId="4DE48613" w14:textId="08B72A30">
      <w:pPr>
        <w:rPr>
          <w:rFonts w:ascii="Palatino" w:hAnsi="Palatino"/>
          <w:sz w:val="26"/>
          <w:szCs w:val="26"/>
        </w:rPr>
      </w:pPr>
      <w:r>
        <w:rPr>
          <w:rFonts w:ascii="Palatino" w:hAnsi="Palatino"/>
          <w:sz w:val="26"/>
          <w:szCs w:val="26"/>
        </w:rPr>
        <w:lastRenderedPageBreak/>
        <w:t xml:space="preserve">In response to </w:t>
      </w:r>
      <w:proofErr w:type="spellStart"/>
      <w:r>
        <w:rPr>
          <w:rFonts w:ascii="Palatino" w:hAnsi="Palatino"/>
          <w:sz w:val="26"/>
          <w:szCs w:val="26"/>
        </w:rPr>
        <w:t>CalPA’s</w:t>
      </w:r>
      <w:proofErr w:type="spellEnd"/>
      <w:r>
        <w:rPr>
          <w:rFonts w:ascii="Palatino" w:hAnsi="Palatino"/>
          <w:sz w:val="26"/>
          <w:szCs w:val="26"/>
        </w:rPr>
        <w:t xml:space="preserve"> protest of </w:t>
      </w:r>
      <w:r w:rsidRPr="00670BB8">
        <w:rPr>
          <w:rFonts w:ascii="Palatino" w:hAnsi="Palatino"/>
          <w:sz w:val="26"/>
          <w:szCs w:val="26"/>
        </w:rPr>
        <w:t>AL 3381-E</w:t>
      </w:r>
      <w:r>
        <w:rPr>
          <w:rFonts w:ascii="Palatino" w:hAnsi="Palatino"/>
          <w:sz w:val="26"/>
          <w:szCs w:val="26"/>
        </w:rPr>
        <w:t xml:space="preserve">, SDG&amp;E </w:t>
      </w:r>
      <w:r w:rsidR="00AC1F03">
        <w:rPr>
          <w:rFonts w:ascii="Palatino" w:hAnsi="Palatino"/>
          <w:sz w:val="26"/>
          <w:szCs w:val="26"/>
        </w:rPr>
        <w:t xml:space="preserve">notes that, while AL 3381-E indicated that </w:t>
      </w:r>
      <w:r w:rsidRPr="00670BB8" w:rsidR="00AC1F03">
        <w:rPr>
          <w:rFonts w:ascii="Palatino" w:hAnsi="Palatino"/>
          <w:sz w:val="26"/>
          <w:szCs w:val="26"/>
        </w:rPr>
        <w:t xml:space="preserve">the expansion of the Screen Q exemption </w:t>
      </w:r>
      <w:r w:rsidR="00AC1F03">
        <w:rPr>
          <w:rFonts w:ascii="Palatino" w:hAnsi="Palatino"/>
          <w:sz w:val="26"/>
          <w:szCs w:val="26"/>
        </w:rPr>
        <w:t>would be accomplished via</w:t>
      </w:r>
      <w:r w:rsidR="007301C9">
        <w:rPr>
          <w:rFonts w:ascii="Palatino" w:hAnsi="Palatino"/>
          <w:sz w:val="26"/>
          <w:szCs w:val="26"/>
        </w:rPr>
        <w:t xml:space="preserve"> website updates, it proposed accompanying tariff updates. SDG&amp;E </w:t>
      </w:r>
      <w:r w:rsidR="008609A3">
        <w:rPr>
          <w:rFonts w:ascii="Palatino" w:hAnsi="Palatino"/>
          <w:sz w:val="26"/>
          <w:szCs w:val="26"/>
        </w:rPr>
        <w:t xml:space="preserve">agrees that </w:t>
      </w:r>
      <w:r w:rsidR="002F3894">
        <w:rPr>
          <w:rFonts w:ascii="Palatino" w:hAnsi="Palatino"/>
          <w:sz w:val="26"/>
          <w:szCs w:val="26"/>
        </w:rPr>
        <w:t xml:space="preserve">the </w:t>
      </w:r>
      <w:r w:rsidRPr="00670BB8" w:rsidR="002F3894">
        <w:rPr>
          <w:rFonts w:ascii="Palatino" w:hAnsi="Palatino"/>
          <w:sz w:val="26"/>
          <w:szCs w:val="26"/>
        </w:rPr>
        <w:t>expansion of the Screen Q exemption</w:t>
      </w:r>
      <w:r w:rsidR="002F3894">
        <w:rPr>
          <w:rFonts w:ascii="Palatino" w:hAnsi="Palatino"/>
          <w:sz w:val="26"/>
          <w:szCs w:val="26"/>
        </w:rPr>
        <w:t xml:space="preserve"> should be </w:t>
      </w:r>
      <w:r w:rsidR="00A75629">
        <w:rPr>
          <w:rFonts w:ascii="Palatino" w:hAnsi="Palatino"/>
          <w:sz w:val="26"/>
          <w:szCs w:val="26"/>
        </w:rPr>
        <w:t>accomplished via tariff updates, consistent with the implementation effectuated by PG&amp;E and SCE.</w:t>
      </w:r>
    </w:p>
    <w:p w:rsidRPr="00670BB8" w:rsidR="00690517" w:rsidP="008D0142" w:rsidRDefault="00690517" w14:paraId="264D7766" w14:textId="77777777">
      <w:pPr>
        <w:rPr>
          <w:rFonts w:ascii="Palatino" w:hAnsi="Palatino"/>
          <w:sz w:val="26"/>
          <w:szCs w:val="26"/>
        </w:rPr>
      </w:pPr>
    </w:p>
    <w:p w:rsidRPr="00670BB8" w:rsidR="00161BF3" w:rsidP="00690517" w:rsidRDefault="00161BF3" w14:paraId="35262370" w14:textId="35F1A465">
      <w:pPr>
        <w:rPr>
          <w:rFonts w:ascii="Palatino" w:hAnsi="Palatino"/>
          <w:sz w:val="26"/>
          <w:szCs w:val="26"/>
          <w:u w:val="single"/>
        </w:rPr>
      </w:pPr>
      <w:r w:rsidRPr="00670BB8">
        <w:rPr>
          <w:rFonts w:ascii="Palatino" w:hAnsi="Palatino"/>
          <w:sz w:val="26"/>
          <w:szCs w:val="26"/>
          <w:u w:val="single"/>
        </w:rPr>
        <w:t xml:space="preserve">Supplemental Advice Letters </w:t>
      </w:r>
    </w:p>
    <w:p w:rsidRPr="00670BB8" w:rsidR="00FA14AB" w:rsidP="00690517" w:rsidRDefault="00161BF3" w14:paraId="2821E1D1" w14:textId="00E26DB2">
      <w:pPr>
        <w:rPr>
          <w:rFonts w:ascii="Palatino" w:hAnsi="Palatino"/>
          <w:sz w:val="26"/>
          <w:szCs w:val="26"/>
        </w:rPr>
      </w:pPr>
      <w:r w:rsidRPr="00670BB8">
        <w:rPr>
          <w:rFonts w:ascii="Palatino" w:hAnsi="Palatino"/>
          <w:sz w:val="26"/>
          <w:szCs w:val="26"/>
        </w:rPr>
        <w:t xml:space="preserve">SCE’s supplemental AL 4009-E-A, filed August 1, 2019, </w:t>
      </w:r>
      <w:r w:rsidRPr="00670BB8" w:rsidR="00FA14AB">
        <w:rPr>
          <w:rFonts w:ascii="Palatino" w:hAnsi="Palatino"/>
          <w:sz w:val="26"/>
          <w:szCs w:val="26"/>
        </w:rPr>
        <w:t>and SDG&amp;E’s supplemental AL 3381-E-A, filed August 6, 2019, both c</w:t>
      </w:r>
      <w:r w:rsidRPr="00670BB8">
        <w:rPr>
          <w:rFonts w:ascii="Palatino" w:hAnsi="Palatino"/>
          <w:sz w:val="26"/>
          <w:szCs w:val="26"/>
        </w:rPr>
        <w:t>larif</w:t>
      </w:r>
      <w:r w:rsidRPr="00670BB8" w:rsidR="00FA14AB">
        <w:rPr>
          <w:rFonts w:ascii="Palatino" w:hAnsi="Palatino"/>
          <w:sz w:val="26"/>
          <w:szCs w:val="26"/>
        </w:rPr>
        <w:t>y</w:t>
      </w:r>
      <w:r w:rsidRPr="00670BB8">
        <w:rPr>
          <w:rFonts w:ascii="Palatino" w:hAnsi="Palatino"/>
          <w:sz w:val="26"/>
          <w:szCs w:val="26"/>
        </w:rPr>
        <w:t xml:space="preserve"> the</w:t>
      </w:r>
      <w:r w:rsidRPr="00670BB8" w:rsidR="00FA14AB">
        <w:rPr>
          <w:rFonts w:ascii="Palatino" w:hAnsi="Palatino"/>
          <w:sz w:val="26"/>
          <w:szCs w:val="26"/>
        </w:rPr>
        <w:t>ir previously</w:t>
      </w:r>
      <w:r w:rsidRPr="00670BB8">
        <w:rPr>
          <w:rFonts w:ascii="Palatino" w:hAnsi="Palatino"/>
          <w:sz w:val="26"/>
          <w:szCs w:val="26"/>
        </w:rPr>
        <w:t xml:space="preserve"> proposed language expanding the existing Screen Q exemption to all net energy metering (NEM) and inverter-based projects with 1 megavolt ampere (MVA) or below nameplate capacity. </w:t>
      </w:r>
    </w:p>
    <w:p w:rsidRPr="00670BB8" w:rsidR="00161BF3" w:rsidP="00690517" w:rsidRDefault="00161BF3" w14:paraId="7F3FD616" w14:textId="77777777">
      <w:pPr>
        <w:rPr>
          <w:rFonts w:ascii="Palatino" w:hAnsi="Palatino"/>
          <w:sz w:val="26"/>
          <w:szCs w:val="26"/>
          <w:u w:val="single"/>
        </w:rPr>
      </w:pPr>
    </w:p>
    <w:p w:rsidRPr="00670BB8" w:rsidR="00690517" w:rsidP="00690517" w:rsidRDefault="00690517" w14:paraId="08A63C60" w14:textId="4A6238B4">
      <w:pPr>
        <w:rPr>
          <w:rFonts w:ascii="Palatino" w:hAnsi="Palatino"/>
          <w:sz w:val="26"/>
          <w:szCs w:val="26"/>
          <w:u w:val="single"/>
        </w:rPr>
      </w:pPr>
      <w:r w:rsidRPr="00670BB8">
        <w:rPr>
          <w:rFonts w:ascii="Palatino" w:hAnsi="Palatino"/>
          <w:sz w:val="26"/>
          <w:szCs w:val="26"/>
          <w:u w:val="single"/>
        </w:rPr>
        <w:t>Discussion</w:t>
      </w:r>
    </w:p>
    <w:p w:rsidRPr="00670BB8" w:rsidR="00690517" w:rsidP="00053A10" w:rsidRDefault="001E4D8F" w14:paraId="6C66EE30" w14:textId="4233BAF0">
      <w:pPr>
        <w:rPr>
          <w:rFonts w:ascii="Palatino" w:hAnsi="Palatino"/>
          <w:sz w:val="26"/>
          <w:szCs w:val="26"/>
        </w:rPr>
      </w:pPr>
      <w:r w:rsidRPr="00670BB8">
        <w:rPr>
          <w:rFonts w:ascii="Palatino" w:hAnsi="Palatino"/>
          <w:sz w:val="26"/>
          <w:szCs w:val="26"/>
        </w:rPr>
        <w:t xml:space="preserve">SDG&amp;E </w:t>
      </w:r>
      <w:r w:rsidRPr="00670BB8" w:rsidR="00A62360">
        <w:rPr>
          <w:rFonts w:ascii="Palatino" w:hAnsi="Palatino"/>
          <w:sz w:val="26"/>
          <w:szCs w:val="26"/>
        </w:rPr>
        <w:t xml:space="preserve">supplemental AL 3381-E-A </w:t>
      </w:r>
      <w:r w:rsidRPr="00670BB8" w:rsidR="00056DAE">
        <w:rPr>
          <w:rFonts w:ascii="Palatino" w:hAnsi="Palatino"/>
          <w:sz w:val="26"/>
          <w:szCs w:val="26"/>
        </w:rPr>
        <w:t>clarif</w:t>
      </w:r>
      <w:r w:rsidR="00056DAE">
        <w:rPr>
          <w:rFonts w:ascii="Palatino" w:hAnsi="Palatino"/>
          <w:sz w:val="26"/>
          <w:szCs w:val="26"/>
        </w:rPr>
        <w:t>ies</w:t>
      </w:r>
      <w:r w:rsidRPr="00670BB8" w:rsidR="00056DAE">
        <w:rPr>
          <w:rFonts w:ascii="Palatino" w:hAnsi="Palatino"/>
          <w:sz w:val="26"/>
          <w:szCs w:val="26"/>
        </w:rPr>
        <w:t xml:space="preserve"> </w:t>
      </w:r>
      <w:r w:rsidR="00A5189C">
        <w:rPr>
          <w:rFonts w:ascii="Palatino" w:hAnsi="Palatino"/>
          <w:sz w:val="26"/>
          <w:szCs w:val="26"/>
        </w:rPr>
        <w:t>its</w:t>
      </w:r>
      <w:r w:rsidRPr="00670BB8" w:rsidR="00056DAE">
        <w:rPr>
          <w:rFonts w:ascii="Palatino" w:hAnsi="Palatino"/>
          <w:sz w:val="26"/>
          <w:szCs w:val="26"/>
        </w:rPr>
        <w:t xml:space="preserve"> previously proposed language expanding the existing Screen Q exemption to </w:t>
      </w:r>
      <w:r w:rsidR="00056DAE">
        <w:rPr>
          <w:rFonts w:ascii="Palatino" w:hAnsi="Palatino"/>
          <w:sz w:val="26"/>
          <w:szCs w:val="26"/>
        </w:rPr>
        <w:t xml:space="preserve">specifically include </w:t>
      </w:r>
      <w:r w:rsidRPr="00670BB8" w:rsidR="00056DAE">
        <w:rPr>
          <w:rFonts w:ascii="Palatino" w:hAnsi="Palatino"/>
          <w:sz w:val="26"/>
          <w:szCs w:val="26"/>
        </w:rPr>
        <w:t xml:space="preserve">all net energy metering (NEM) and inverter-based projects with 1 megavolt ampere (MVA) or below nameplate capacity. </w:t>
      </w:r>
      <w:r w:rsidR="00056DAE">
        <w:rPr>
          <w:rFonts w:ascii="Palatino" w:hAnsi="Palatino"/>
          <w:sz w:val="26"/>
          <w:szCs w:val="26"/>
        </w:rPr>
        <w:t xml:space="preserve">This </w:t>
      </w:r>
      <w:r w:rsidR="00ED2B66">
        <w:rPr>
          <w:rFonts w:ascii="Palatino" w:hAnsi="Palatino"/>
          <w:sz w:val="26"/>
          <w:szCs w:val="26"/>
        </w:rPr>
        <w:t xml:space="preserve">clarification </w:t>
      </w:r>
      <w:r w:rsidRPr="00670BB8">
        <w:rPr>
          <w:rFonts w:ascii="Palatino" w:hAnsi="Palatino"/>
          <w:sz w:val="26"/>
          <w:szCs w:val="26"/>
        </w:rPr>
        <w:t>addresses the concerns raised by</w:t>
      </w:r>
      <w:r w:rsidRPr="00670BB8" w:rsidR="00013574">
        <w:rPr>
          <w:rFonts w:ascii="Palatino" w:hAnsi="Palatino"/>
          <w:sz w:val="26"/>
          <w:szCs w:val="26"/>
        </w:rPr>
        <w:t xml:space="preserve"> </w:t>
      </w:r>
      <w:proofErr w:type="spellStart"/>
      <w:r w:rsidRPr="00670BB8" w:rsidR="00013574">
        <w:rPr>
          <w:rFonts w:ascii="Palatino" w:hAnsi="Palatino"/>
          <w:sz w:val="26"/>
          <w:szCs w:val="26"/>
        </w:rPr>
        <w:t>CalPA</w:t>
      </w:r>
      <w:proofErr w:type="spellEnd"/>
      <w:r w:rsidRPr="00670BB8" w:rsidR="00013574">
        <w:rPr>
          <w:rFonts w:ascii="Palatino" w:hAnsi="Palatino"/>
          <w:sz w:val="26"/>
          <w:szCs w:val="26"/>
        </w:rPr>
        <w:t xml:space="preserve"> in </w:t>
      </w:r>
      <w:r w:rsidR="00A5189C">
        <w:rPr>
          <w:rFonts w:ascii="Palatino" w:hAnsi="Palatino"/>
          <w:sz w:val="26"/>
          <w:szCs w:val="26"/>
        </w:rPr>
        <w:t>its</w:t>
      </w:r>
      <w:r w:rsidRPr="00670BB8" w:rsidR="00013574">
        <w:rPr>
          <w:rFonts w:ascii="Palatino" w:hAnsi="Palatino"/>
          <w:sz w:val="26"/>
          <w:szCs w:val="26"/>
        </w:rPr>
        <w:t xml:space="preserve"> </w:t>
      </w:r>
      <w:r w:rsidRPr="00670BB8" w:rsidR="00A62360">
        <w:rPr>
          <w:rFonts w:ascii="Palatino" w:hAnsi="Palatino"/>
          <w:sz w:val="26"/>
          <w:szCs w:val="26"/>
        </w:rPr>
        <w:t>protest of AL 3381-E</w:t>
      </w:r>
      <w:r w:rsidRPr="00670BB8" w:rsidR="00EF64E6">
        <w:rPr>
          <w:rFonts w:ascii="Palatino" w:hAnsi="Palatino"/>
          <w:sz w:val="26"/>
          <w:szCs w:val="26"/>
        </w:rPr>
        <w:t xml:space="preserve">. </w:t>
      </w:r>
      <w:r w:rsidRPr="00670BB8" w:rsidR="00FF47AF">
        <w:rPr>
          <w:rFonts w:ascii="Palatino" w:hAnsi="Palatino"/>
          <w:sz w:val="26"/>
          <w:szCs w:val="26"/>
        </w:rPr>
        <w:t xml:space="preserve">However, each </w:t>
      </w:r>
      <w:r w:rsidR="00870AF0">
        <w:rPr>
          <w:rFonts w:ascii="Palatino" w:hAnsi="Palatino"/>
          <w:sz w:val="26"/>
          <w:szCs w:val="26"/>
        </w:rPr>
        <w:t>Utility</w:t>
      </w:r>
      <w:r w:rsidRPr="00670BB8" w:rsidR="00FF47AF">
        <w:rPr>
          <w:rFonts w:ascii="Palatino" w:hAnsi="Palatino"/>
          <w:sz w:val="26"/>
          <w:szCs w:val="26"/>
        </w:rPr>
        <w:t xml:space="preserve"> </w:t>
      </w:r>
      <w:r w:rsidRPr="00670BB8" w:rsidR="009C3FB2">
        <w:rPr>
          <w:rFonts w:ascii="Palatino" w:hAnsi="Palatino"/>
          <w:sz w:val="26"/>
          <w:szCs w:val="26"/>
        </w:rPr>
        <w:t>phrases the Screen Q exemption differently</w:t>
      </w:r>
      <w:r w:rsidR="00C972AE">
        <w:rPr>
          <w:rFonts w:ascii="Palatino" w:hAnsi="Palatino"/>
          <w:sz w:val="26"/>
          <w:szCs w:val="26"/>
        </w:rPr>
        <w:t>.</w:t>
      </w:r>
      <w:r w:rsidRPr="00670BB8" w:rsidR="00F7211A">
        <w:rPr>
          <w:rStyle w:val="FootnoteReference"/>
          <w:rFonts w:ascii="Palatino" w:hAnsi="Palatino"/>
          <w:sz w:val="26"/>
          <w:szCs w:val="26"/>
        </w:rPr>
        <w:footnoteReference w:id="17"/>
      </w:r>
      <w:r w:rsidRPr="00670BB8" w:rsidR="009C3FB2">
        <w:rPr>
          <w:rFonts w:ascii="Palatino" w:hAnsi="Palatino"/>
          <w:sz w:val="26"/>
          <w:szCs w:val="26"/>
        </w:rPr>
        <w:t xml:space="preserve"> </w:t>
      </w:r>
      <w:r w:rsidRPr="00670BB8" w:rsidR="00410CF0">
        <w:rPr>
          <w:rFonts w:ascii="Palatino" w:hAnsi="Palatino"/>
          <w:sz w:val="26"/>
          <w:szCs w:val="26"/>
        </w:rPr>
        <w:t xml:space="preserve">Consistent with </w:t>
      </w:r>
      <w:r w:rsidR="00767F1A">
        <w:rPr>
          <w:rFonts w:ascii="Palatino" w:hAnsi="Palatino"/>
          <w:sz w:val="26"/>
          <w:szCs w:val="26"/>
        </w:rPr>
        <w:t>our</w:t>
      </w:r>
      <w:r w:rsidRPr="00670BB8" w:rsidR="00767F1A">
        <w:rPr>
          <w:rFonts w:ascii="Palatino" w:hAnsi="Palatino"/>
          <w:sz w:val="26"/>
          <w:szCs w:val="26"/>
        </w:rPr>
        <w:t xml:space="preserve"> </w:t>
      </w:r>
      <w:r w:rsidRPr="00670BB8" w:rsidR="00410CF0">
        <w:rPr>
          <w:rFonts w:ascii="Palatino" w:hAnsi="Palatino"/>
          <w:sz w:val="26"/>
          <w:szCs w:val="26"/>
        </w:rPr>
        <w:t xml:space="preserve">conclusion </w:t>
      </w:r>
      <w:r w:rsidR="00767F1A">
        <w:rPr>
          <w:rFonts w:ascii="Palatino" w:hAnsi="Palatino"/>
          <w:sz w:val="26"/>
          <w:szCs w:val="26"/>
        </w:rPr>
        <w:t>on</w:t>
      </w:r>
      <w:r w:rsidRPr="00670BB8" w:rsidR="00410CF0">
        <w:rPr>
          <w:rFonts w:ascii="Palatino" w:hAnsi="Palatino"/>
          <w:sz w:val="26"/>
          <w:szCs w:val="26"/>
        </w:rPr>
        <w:t xml:space="preserve"> Issue 1, above, the </w:t>
      </w:r>
      <w:r w:rsidR="00870AF0">
        <w:rPr>
          <w:rFonts w:ascii="Palatino" w:hAnsi="Palatino"/>
          <w:sz w:val="26"/>
          <w:szCs w:val="26"/>
        </w:rPr>
        <w:t>Utilities</w:t>
      </w:r>
      <w:r w:rsidRPr="00670BB8" w:rsidR="00410CF0">
        <w:rPr>
          <w:rFonts w:ascii="Palatino" w:hAnsi="Palatino"/>
          <w:sz w:val="26"/>
          <w:szCs w:val="26"/>
        </w:rPr>
        <w:t xml:space="preserve"> should standardize their tariff language describing the set of projects that are </w:t>
      </w:r>
      <w:r w:rsidRPr="00670BB8" w:rsidR="0069609B">
        <w:rPr>
          <w:rFonts w:ascii="Palatino" w:hAnsi="Palatino"/>
          <w:sz w:val="26"/>
          <w:szCs w:val="26"/>
        </w:rPr>
        <w:t xml:space="preserve">exempt from Screen Q. Moreover, in reviewing the proposed language from each </w:t>
      </w:r>
      <w:r w:rsidR="00870AF0">
        <w:rPr>
          <w:rFonts w:ascii="Palatino" w:hAnsi="Palatino"/>
          <w:sz w:val="26"/>
          <w:szCs w:val="26"/>
        </w:rPr>
        <w:t>Utility</w:t>
      </w:r>
      <w:r w:rsidRPr="00670BB8" w:rsidR="0069609B">
        <w:rPr>
          <w:rFonts w:ascii="Palatino" w:hAnsi="Palatino"/>
          <w:sz w:val="26"/>
          <w:szCs w:val="26"/>
        </w:rPr>
        <w:t xml:space="preserve">, </w:t>
      </w:r>
      <w:r w:rsidRPr="00670BB8" w:rsidR="00410CF0">
        <w:rPr>
          <w:rFonts w:ascii="Palatino" w:hAnsi="Palatino"/>
          <w:sz w:val="26"/>
          <w:szCs w:val="26"/>
        </w:rPr>
        <w:t xml:space="preserve">we find that </w:t>
      </w:r>
      <w:r w:rsidRPr="00670BB8" w:rsidR="00762E9D">
        <w:rPr>
          <w:rFonts w:ascii="Palatino" w:hAnsi="Palatino"/>
          <w:sz w:val="26"/>
          <w:szCs w:val="26"/>
        </w:rPr>
        <w:t>S</w:t>
      </w:r>
      <w:r w:rsidRPr="00670BB8" w:rsidR="00B46BE9">
        <w:rPr>
          <w:rFonts w:ascii="Palatino" w:hAnsi="Palatino"/>
          <w:sz w:val="26"/>
          <w:szCs w:val="26"/>
        </w:rPr>
        <w:t>DG&amp;E</w:t>
      </w:r>
      <w:r w:rsidRPr="00670BB8" w:rsidR="005F7701">
        <w:rPr>
          <w:rFonts w:ascii="Palatino" w:hAnsi="Palatino"/>
          <w:sz w:val="26"/>
          <w:szCs w:val="26"/>
        </w:rPr>
        <w:t xml:space="preserve">’s amended </w:t>
      </w:r>
      <w:r w:rsidRPr="00670BB8" w:rsidR="00762E9D">
        <w:rPr>
          <w:rFonts w:ascii="Palatino" w:hAnsi="Palatino"/>
          <w:sz w:val="26"/>
          <w:szCs w:val="26"/>
        </w:rPr>
        <w:t>proposed tariff language is the clearest</w:t>
      </w:r>
      <w:r w:rsidRPr="00670BB8" w:rsidR="00053A10">
        <w:rPr>
          <w:rFonts w:ascii="Palatino" w:hAnsi="Palatino"/>
          <w:sz w:val="26"/>
          <w:szCs w:val="26"/>
        </w:rPr>
        <w:t xml:space="preserve">, in that it specifies that, “All NEM </w:t>
      </w:r>
      <w:r w:rsidRPr="00670BB8" w:rsidR="009A2FF7">
        <w:rPr>
          <w:rFonts w:ascii="Palatino" w:hAnsi="Palatino"/>
          <w:sz w:val="26"/>
          <w:szCs w:val="26"/>
        </w:rPr>
        <w:t xml:space="preserve">Generating Facilities </w:t>
      </w:r>
      <w:r w:rsidRPr="00670BB8" w:rsidR="00053A10">
        <w:rPr>
          <w:rFonts w:ascii="Palatino" w:hAnsi="Palatino"/>
          <w:sz w:val="26"/>
          <w:szCs w:val="26"/>
        </w:rPr>
        <w:t xml:space="preserve">and </w:t>
      </w:r>
      <w:r w:rsidRPr="00670BB8" w:rsidR="009A2FF7">
        <w:rPr>
          <w:rFonts w:ascii="Palatino" w:hAnsi="Palatino"/>
          <w:sz w:val="26"/>
          <w:szCs w:val="26"/>
        </w:rPr>
        <w:t xml:space="preserve">all </w:t>
      </w:r>
      <w:r w:rsidRPr="00670BB8" w:rsidR="00053A10">
        <w:rPr>
          <w:rFonts w:ascii="Palatino" w:hAnsi="Palatino"/>
          <w:sz w:val="26"/>
          <w:szCs w:val="26"/>
        </w:rPr>
        <w:t xml:space="preserve">inverter-based Generating Facilities with </w:t>
      </w:r>
      <w:r w:rsidRPr="00670BB8" w:rsidR="009A2FF7">
        <w:rPr>
          <w:rFonts w:ascii="Palatino" w:hAnsi="Palatino"/>
          <w:sz w:val="26"/>
          <w:szCs w:val="26"/>
        </w:rPr>
        <w:t xml:space="preserve">a </w:t>
      </w:r>
      <w:r w:rsidRPr="00670BB8" w:rsidR="00053A10">
        <w:rPr>
          <w:rFonts w:ascii="Palatino" w:hAnsi="Palatino"/>
          <w:sz w:val="26"/>
          <w:szCs w:val="26"/>
        </w:rPr>
        <w:t>nameplate capacity less than or equal to 1 MVA</w:t>
      </w:r>
      <w:r w:rsidRPr="00670BB8" w:rsidR="0041367B">
        <w:rPr>
          <w:rFonts w:ascii="Palatino" w:hAnsi="Palatino"/>
          <w:sz w:val="26"/>
          <w:szCs w:val="26"/>
        </w:rPr>
        <w:t>…” are exempt</w:t>
      </w:r>
      <w:r w:rsidR="00C972AE">
        <w:rPr>
          <w:rFonts w:ascii="Palatino" w:hAnsi="Palatino"/>
          <w:sz w:val="26"/>
          <w:szCs w:val="26"/>
        </w:rPr>
        <w:t>,</w:t>
      </w:r>
      <w:r w:rsidRPr="00670BB8" w:rsidR="00810243">
        <w:rPr>
          <w:rStyle w:val="FootnoteReference"/>
          <w:rFonts w:ascii="Palatino" w:hAnsi="Palatino"/>
          <w:sz w:val="26"/>
          <w:szCs w:val="26"/>
        </w:rPr>
        <w:footnoteReference w:id="18"/>
      </w:r>
      <w:r w:rsidRPr="00670BB8" w:rsidR="002D7541">
        <w:rPr>
          <w:rFonts w:ascii="Palatino" w:hAnsi="Palatino"/>
          <w:sz w:val="26"/>
          <w:szCs w:val="26"/>
        </w:rPr>
        <w:t xml:space="preserve"> and should be adopted by PG&amp;E and S</w:t>
      </w:r>
      <w:r w:rsidRPr="00670BB8" w:rsidR="007D4314">
        <w:rPr>
          <w:rFonts w:ascii="Palatino" w:hAnsi="Palatino"/>
          <w:sz w:val="26"/>
          <w:szCs w:val="26"/>
        </w:rPr>
        <w:t>CE</w:t>
      </w:r>
      <w:r w:rsidRPr="00670BB8" w:rsidR="0041367B">
        <w:rPr>
          <w:rFonts w:ascii="Palatino" w:hAnsi="Palatino"/>
          <w:sz w:val="26"/>
          <w:szCs w:val="26"/>
        </w:rPr>
        <w:t xml:space="preserve">. </w:t>
      </w:r>
    </w:p>
    <w:p w:rsidRPr="00670BB8" w:rsidR="001E4D8F" w:rsidP="00690517" w:rsidRDefault="001E4D8F" w14:paraId="5CAC6282" w14:textId="77777777">
      <w:pPr>
        <w:rPr>
          <w:rFonts w:ascii="Palatino" w:hAnsi="Palatino"/>
          <w:sz w:val="26"/>
          <w:szCs w:val="26"/>
        </w:rPr>
      </w:pPr>
    </w:p>
    <w:p w:rsidRPr="00670BB8" w:rsidR="00690517" w:rsidP="00690517" w:rsidRDefault="00690517" w14:paraId="43CC93EF" w14:textId="77777777">
      <w:pPr>
        <w:rPr>
          <w:rFonts w:ascii="Palatino" w:hAnsi="Palatino"/>
          <w:sz w:val="26"/>
          <w:szCs w:val="26"/>
          <w:u w:val="single"/>
        </w:rPr>
      </w:pPr>
      <w:r w:rsidRPr="00670BB8">
        <w:rPr>
          <w:rFonts w:ascii="Palatino" w:hAnsi="Palatino"/>
          <w:sz w:val="26"/>
          <w:szCs w:val="26"/>
          <w:u w:val="single"/>
        </w:rPr>
        <w:t>Conclusion</w:t>
      </w:r>
    </w:p>
    <w:p w:rsidRPr="00C4227A" w:rsidR="002C2C39" w:rsidP="002C2C39" w:rsidRDefault="00046CAE" w14:paraId="5945599D" w14:textId="67B1A3BB">
      <w:pPr>
        <w:rPr>
          <w:rFonts w:ascii="Palatino" w:hAnsi="Palatino"/>
          <w:b/>
          <w:bCs/>
          <w:sz w:val="26"/>
          <w:szCs w:val="26"/>
        </w:rPr>
      </w:pPr>
      <w:r>
        <w:rPr>
          <w:rFonts w:ascii="Palatino" w:hAnsi="Palatino"/>
          <w:sz w:val="26"/>
          <w:szCs w:val="26"/>
        </w:rPr>
        <w:t xml:space="preserve">This Resolution finds that the Screen Q exemption language proposed in </w:t>
      </w:r>
      <w:r w:rsidRPr="00670BB8">
        <w:rPr>
          <w:rFonts w:ascii="Palatino" w:hAnsi="Palatino"/>
          <w:sz w:val="26"/>
          <w:szCs w:val="26"/>
        </w:rPr>
        <w:t>SDG&amp;E AL 3381-E-A</w:t>
      </w:r>
      <w:r>
        <w:rPr>
          <w:rFonts w:ascii="Palatino" w:hAnsi="Palatino"/>
          <w:sz w:val="26"/>
          <w:szCs w:val="26"/>
        </w:rPr>
        <w:t xml:space="preserve"> provides the </w:t>
      </w:r>
      <w:r w:rsidR="00E77C41">
        <w:rPr>
          <w:rFonts w:ascii="Palatino" w:hAnsi="Palatino"/>
          <w:sz w:val="26"/>
          <w:szCs w:val="26"/>
        </w:rPr>
        <w:t xml:space="preserve">clearest implementation of </w:t>
      </w:r>
      <w:r w:rsidR="00BD50F3">
        <w:rPr>
          <w:rFonts w:ascii="Palatino" w:hAnsi="Palatino"/>
          <w:sz w:val="26"/>
          <w:szCs w:val="26"/>
        </w:rPr>
        <w:t xml:space="preserve">the Screen Q exemption expansion ordered by </w:t>
      </w:r>
      <w:r w:rsidRPr="00670BB8" w:rsidR="00BD50F3">
        <w:rPr>
          <w:rFonts w:ascii="Palatino" w:hAnsi="Palatino"/>
          <w:sz w:val="26"/>
          <w:szCs w:val="26"/>
        </w:rPr>
        <w:t>D.19-03-013</w:t>
      </w:r>
      <w:r w:rsidR="00BD50F3">
        <w:rPr>
          <w:rFonts w:ascii="Palatino" w:hAnsi="Palatino"/>
          <w:sz w:val="26"/>
          <w:szCs w:val="26"/>
        </w:rPr>
        <w:t xml:space="preserve">. </w:t>
      </w:r>
      <w:r w:rsidR="008C52B5">
        <w:rPr>
          <w:rFonts w:ascii="Palatino" w:hAnsi="Palatino"/>
          <w:sz w:val="26"/>
          <w:szCs w:val="26"/>
        </w:rPr>
        <w:t xml:space="preserve">This Resolution orders </w:t>
      </w:r>
      <w:r w:rsidRPr="00670BB8" w:rsidR="001A15AD">
        <w:rPr>
          <w:rFonts w:ascii="Palatino" w:hAnsi="Palatino"/>
          <w:sz w:val="26"/>
          <w:szCs w:val="26"/>
        </w:rPr>
        <w:t>PG&amp;E</w:t>
      </w:r>
      <w:r w:rsidRPr="00670BB8" w:rsidR="00CC7501">
        <w:rPr>
          <w:rFonts w:ascii="Palatino" w:hAnsi="Palatino"/>
          <w:sz w:val="26"/>
          <w:szCs w:val="26"/>
        </w:rPr>
        <w:t xml:space="preserve"> </w:t>
      </w:r>
      <w:r w:rsidRPr="00670BB8" w:rsidR="007D4314">
        <w:rPr>
          <w:rFonts w:ascii="Palatino" w:hAnsi="Palatino"/>
          <w:sz w:val="26"/>
          <w:szCs w:val="26"/>
        </w:rPr>
        <w:t xml:space="preserve">and SCE </w:t>
      </w:r>
      <w:r w:rsidR="008C52B5">
        <w:rPr>
          <w:rFonts w:ascii="Palatino" w:hAnsi="Palatino"/>
          <w:sz w:val="26"/>
          <w:szCs w:val="26"/>
        </w:rPr>
        <w:t>to</w:t>
      </w:r>
      <w:r w:rsidRPr="00670BB8" w:rsidR="00CC7501">
        <w:rPr>
          <w:rFonts w:ascii="Palatino" w:hAnsi="Palatino"/>
          <w:sz w:val="26"/>
          <w:szCs w:val="26"/>
        </w:rPr>
        <w:t xml:space="preserve"> </w:t>
      </w:r>
      <w:r w:rsidR="00A55213">
        <w:rPr>
          <w:rFonts w:ascii="Palatino" w:hAnsi="Palatino"/>
          <w:sz w:val="26"/>
          <w:szCs w:val="26"/>
        </w:rPr>
        <w:lastRenderedPageBreak/>
        <w:t>modify</w:t>
      </w:r>
      <w:r w:rsidRPr="00670BB8" w:rsidR="00A55213">
        <w:rPr>
          <w:rFonts w:ascii="Palatino" w:hAnsi="Palatino"/>
          <w:sz w:val="26"/>
          <w:szCs w:val="26"/>
        </w:rPr>
        <w:t xml:space="preserve"> </w:t>
      </w:r>
      <w:r w:rsidRPr="00670BB8" w:rsidR="00CC7501">
        <w:rPr>
          <w:rFonts w:ascii="Palatino" w:hAnsi="Palatino"/>
          <w:sz w:val="26"/>
          <w:szCs w:val="26"/>
        </w:rPr>
        <w:t xml:space="preserve">their Rule 21 language </w:t>
      </w:r>
      <w:r w:rsidRPr="00670BB8" w:rsidR="009B0E01">
        <w:rPr>
          <w:rFonts w:ascii="Palatino" w:hAnsi="Palatino"/>
          <w:sz w:val="26"/>
          <w:szCs w:val="26"/>
        </w:rPr>
        <w:t>expanding the Screen Q exemption with that proposed by SDG&amp;E</w:t>
      </w:r>
      <w:r w:rsidR="008C52B5">
        <w:rPr>
          <w:rFonts w:ascii="Palatino" w:hAnsi="Palatino"/>
          <w:sz w:val="26"/>
          <w:szCs w:val="26"/>
        </w:rPr>
        <w:t xml:space="preserve"> </w:t>
      </w:r>
      <w:r w:rsidRPr="00670BB8" w:rsidR="008C52B5">
        <w:rPr>
          <w:rFonts w:ascii="Palatino" w:hAnsi="Palatino"/>
          <w:sz w:val="26"/>
          <w:szCs w:val="26"/>
        </w:rPr>
        <w:t>AL 3381-E-A</w:t>
      </w:r>
      <w:r w:rsidRPr="00670BB8" w:rsidR="009B0E01">
        <w:rPr>
          <w:rFonts w:ascii="Palatino" w:hAnsi="Palatino"/>
          <w:sz w:val="26"/>
          <w:szCs w:val="26"/>
        </w:rPr>
        <w:t xml:space="preserve">. </w:t>
      </w:r>
    </w:p>
    <w:p w:rsidRPr="00670BB8" w:rsidR="00CF17DE" w:rsidRDefault="00CF17DE" w14:paraId="40E7C61D" w14:textId="77777777">
      <w:pPr>
        <w:rPr>
          <w:rFonts w:ascii="Palatino" w:hAnsi="Palatino"/>
          <w:sz w:val="26"/>
          <w:szCs w:val="26"/>
        </w:rPr>
      </w:pPr>
    </w:p>
    <w:p w:rsidRPr="00670BB8" w:rsidR="00CF17DE" w:rsidRDefault="00CF17DE" w14:paraId="16A82360" w14:textId="77777777">
      <w:pPr>
        <w:pStyle w:val="Heading1"/>
        <w:rPr>
          <w:sz w:val="26"/>
          <w:szCs w:val="26"/>
        </w:rPr>
      </w:pPr>
      <w:r w:rsidRPr="00670BB8">
        <w:rPr>
          <w:sz w:val="26"/>
          <w:szCs w:val="26"/>
        </w:rPr>
        <w:t>Comments</w:t>
      </w:r>
    </w:p>
    <w:p w:rsidRPr="00670BB8" w:rsidR="0024459D" w:rsidP="0024459D" w:rsidRDefault="0024459D" w14:paraId="61C6517C" w14:textId="120684D2">
      <w:pPr>
        <w:rPr>
          <w:rFonts w:ascii="Palatino" w:hAnsi="Palatino"/>
          <w:sz w:val="26"/>
          <w:szCs w:val="26"/>
        </w:rPr>
      </w:pPr>
      <w:r w:rsidRPr="00670BB8">
        <w:rPr>
          <w:rFonts w:ascii="Palatino" w:hAnsi="Palatino"/>
          <w:sz w:val="26"/>
          <w:szCs w:val="26"/>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670BB8" w:rsidR="0024459D" w:rsidP="0024459D" w:rsidRDefault="0024459D" w14:paraId="1030F211" w14:textId="77777777">
      <w:pPr>
        <w:rPr>
          <w:rFonts w:ascii="Palatino" w:hAnsi="Palatino"/>
          <w:sz w:val="26"/>
          <w:szCs w:val="26"/>
        </w:rPr>
      </w:pPr>
    </w:p>
    <w:p w:rsidRPr="00670BB8" w:rsidR="00CF17DE" w:rsidP="00061BEC" w:rsidRDefault="0024459D" w14:paraId="22D603EE" w14:textId="78948466">
      <w:pPr>
        <w:rPr>
          <w:rFonts w:ascii="Palatino" w:hAnsi="Palatino"/>
          <w:sz w:val="26"/>
          <w:szCs w:val="26"/>
        </w:rPr>
      </w:pPr>
      <w:r w:rsidRPr="00670BB8">
        <w:rPr>
          <w:rFonts w:ascii="Palatino" w:hAnsi="Palatino"/>
          <w:sz w:val="26"/>
          <w:szCs w:val="26"/>
        </w:rPr>
        <w:t>The 30-day review and 20-day comment period for the draft of this resolution was neither waived nor reduced.  Accordingly, this draft resolution was mailed to parties for comments, and will be placed on the Commission's agenda no earlier than 30 days from today</w:t>
      </w:r>
      <w:r w:rsidRPr="00670BB8" w:rsidR="00061BEC">
        <w:rPr>
          <w:rFonts w:ascii="Palatino" w:hAnsi="Palatino"/>
          <w:sz w:val="26"/>
          <w:szCs w:val="26"/>
        </w:rPr>
        <w:t>.</w:t>
      </w:r>
    </w:p>
    <w:p w:rsidRPr="00670BB8" w:rsidR="00061BEC" w:rsidP="00061BEC" w:rsidRDefault="00061BEC" w14:paraId="74A83A8F" w14:textId="77777777">
      <w:pPr>
        <w:rPr>
          <w:rFonts w:ascii="Palatino" w:hAnsi="Palatino"/>
          <w:sz w:val="26"/>
          <w:szCs w:val="26"/>
        </w:rPr>
      </w:pPr>
    </w:p>
    <w:p w:rsidRPr="00670BB8" w:rsidR="00CF17DE" w:rsidRDefault="00CF17DE" w14:paraId="07618DBE" w14:textId="77777777">
      <w:pPr>
        <w:pStyle w:val="Heading1"/>
        <w:rPr>
          <w:sz w:val="26"/>
          <w:szCs w:val="26"/>
        </w:rPr>
      </w:pPr>
      <w:r w:rsidRPr="00670BB8">
        <w:rPr>
          <w:sz w:val="26"/>
          <w:szCs w:val="26"/>
        </w:rPr>
        <w:t>Findings</w:t>
      </w:r>
    </w:p>
    <w:p w:rsidR="00906183" w:rsidRDefault="00906183" w14:paraId="2B4C4125" w14:textId="2A6180DE">
      <w:pPr>
        <w:numPr>
          <w:ilvl w:val="0"/>
          <w:numId w:val="4"/>
        </w:numPr>
        <w:rPr>
          <w:rFonts w:ascii="Palatino" w:hAnsi="Palatino"/>
          <w:sz w:val="26"/>
          <w:szCs w:val="26"/>
        </w:rPr>
      </w:pPr>
      <w:r w:rsidRPr="00670BB8">
        <w:rPr>
          <w:rFonts w:ascii="Palatino" w:hAnsi="Palatino"/>
          <w:sz w:val="26"/>
          <w:szCs w:val="26"/>
        </w:rPr>
        <w:t xml:space="preserve">On April 5, 2019, the </w:t>
      </w:r>
      <w:r w:rsidR="00A55213">
        <w:rPr>
          <w:rFonts w:ascii="Palatino" w:hAnsi="Palatino"/>
          <w:sz w:val="26"/>
          <w:szCs w:val="26"/>
        </w:rPr>
        <w:t>CPUC</w:t>
      </w:r>
      <w:r w:rsidRPr="00670BB8" w:rsidR="00A55213">
        <w:rPr>
          <w:rFonts w:ascii="Palatino" w:hAnsi="Palatino"/>
          <w:sz w:val="26"/>
          <w:szCs w:val="26"/>
        </w:rPr>
        <w:t xml:space="preserve"> </w:t>
      </w:r>
      <w:r w:rsidRPr="00670BB8">
        <w:rPr>
          <w:rFonts w:ascii="Palatino" w:hAnsi="Palatino"/>
          <w:sz w:val="26"/>
          <w:szCs w:val="26"/>
        </w:rPr>
        <w:t xml:space="preserve">issued Decision </w:t>
      </w:r>
      <w:r>
        <w:rPr>
          <w:rFonts w:ascii="Palatino" w:hAnsi="Palatino"/>
          <w:sz w:val="26"/>
          <w:szCs w:val="26"/>
        </w:rPr>
        <w:t>(D.)</w:t>
      </w:r>
      <w:r w:rsidRPr="00670BB8">
        <w:rPr>
          <w:rFonts w:ascii="Palatino" w:hAnsi="Palatino"/>
          <w:sz w:val="26"/>
          <w:szCs w:val="26"/>
        </w:rPr>
        <w:t xml:space="preserve">19-03-013, </w:t>
      </w:r>
      <w:r w:rsidRPr="002C47C5">
        <w:rPr>
          <w:rFonts w:ascii="Palatino" w:hAnsi="Palatino"/>
          <w:i/>
          <w:iCs/>
          <w:sz w:val="26"/>
          <w:szCs w:val="26"/>
        </w:rPr>
        <w:t>Decision Adopting Proposals from March 15, 2018 Working Group One Report</w:t>
      </w:r>
      <w:r w:rsidR="002C47C5">
        <w:rPr>
          <w:rFonts w:ascii="Palatino" w:hAnsi="Palatino"/>
          <w:sz w:val="26"/>
          <w:szCs w:val="26"/>
        </w:rPr>
        <w:t>.</w:t>
      </w:r>
    </w:p>
    <w:p w:rsidR="00257E80" w:rsidP="00906183" w:rsidRDefault="00906183" w14:paraId="656F6BD1" w14:textId="57CA2D85">
      <w:pPr>
        <w:numPr>
          <w:ilvl w:val="0"/>
          <w:numId w:val="4"/>
        </w:numPr>
        <w:rPr>
          <w:rFonts w:ascii="Palatino" w:hAnsi="Palatino"/>
          <w:sz w:val="26"/>
          <w:szCs w:val="26"/>
        </w:rPr>
      </w:pPr>
      <w:r w:rsidRPr="00906183">
        <w:rPr>
          <w:rFonts w:ascii="Palatino" w:hAnsi="Palatino"/>
          <w:sz w:val="26"/>
          <w:szCs w:val="26"/>
        </w:rPr>
        <w:t xml:space="preserve">D.19-03-013 Ordering Paragraph (OP) 14 </w:t>
      </w:r>
      <w:r w:rsidR="00192B57">
        <w:rPr>
          <w:rFonts w:ascii="Palatino" w:hAnsi="Palatino"/>
          <w:sz w:val="26"/>
          <w:szCs w:val="26"/>
        </w:rPr>
        <w:t>directed</w:t>
      </w:r>
      <w:r w:rsidRPr="00906183">
        <w:rPr>
          <w:rFonts w:ascii="Palatino" w:hAnsi="Palatino"/>
          <w:sz w:val="26"/>
          <w:szCs w:val="26"/>
        </w:rPr>
        <w:t xml:space="preserve"> </w:t>
      </w:r>
      <w:r>
        <w:rPr>
          <w:rFonts w:ascii="Palatino" w:hAnsi="Palatino"/>
          <w:sz w:val="26"/>
          <w:szCs w:val="26"/>
        </w:rPr>
        <w:t>PG&amp;E, SCE, and SDG&amp;E</w:t>
      </w:r>
      <w:r w:rsidRPr="00906183">
        <w:rPr>
          <w:rFonts w:ascii="Palatino" w:hAnsi="Palatino"/>
          <w:sz w:val="26"/>
          <w:szCs w:val="26"/>
        </w:rPr>
        <w:t xml:space="preserve"> to submit Tier 2 </w:t>
      </w:r>
      <w:r w:rsidR="00884BBA">
        <w:rPr>
          <w:rFonts w:ascii="Palatino" w:hAnsi="Palatino"/>
          <w:sz w:val="26"/>
          <w:szCs w:val="26"/>
        </w:rPr>
        <w:t>Advice Letters (</w:t>
      </w:r>
      <w:r w:rsidRPr="00906183">
        <w:rPr>
          <w:rFonts w:ascii="Palatino" w:hAnsi="Palatino"/>
          <w:sz w:val="26"/>
          <w:szCs w:val="26"/>
        </w:rPr>
        <w:t>ALs</w:t>
      </w:r>
      <w:r w:rsidR="00884BBA">
        <w:rPr>
          <w:rFonts w:ascii="Palatino" w:hAnsi="Palatino"/>
          <w:sz w:val="26"/>
          <w:szCs w:val="26"/>
        </w:rPr>
        <w:t>)</w:t>
      </w:r>
      <w:r w:rsidRPr="00906183">
        <w:rPr>
          <w:rFonts w:ascii="Palatino" w:hAnsi="Palatino"/>
          <w:sz w:val="26"/>
          <w:szCs w:val="26"/>
        </w:rPr>
        <w:t xml:space="preserve"> by June 4, 2019, modifying Rule 21 to be consistent with D.19-03-013’s requirements.</w:t>
      </w:r>
    </w:p>
    <w:p w:rsidR="00192B57" w:rsidP="00906183" w:rsidRDefault="00192B57" w14:paraId="69E7781C" w14:textId="2D33F9D2">
      <w:pPr>
        <w:numPr>
          <w:ilvl w:val="0"/>
          <w:numId w:val="4"/>
        </w:numPr>
        <w:rPr>
          <w:rFonts w:ascii="Palatino" w:hAnsi="Palatino"/>
          <w:sz w:val="26"/>
          <w:szCs w:val="26"/>
        </w:rPr>
      </w:pPr>
      <w:r w:rsidRPr="00670BB8">
        <w:rPr>
          <w:rFonts w:ascii="Palatino" w:hAnsi="Palatino"/>
          <w:sz w:val="26"/>
          <w:szCs w:val="26"/>
        </w:rPr>
        <w:t xml:space="preserve">D.19-03-013 OP 8 </w:t>
      </w:r>
      <w:r>
        <w:rPr>
          <w:rFonts w:ascii="Palatino" w:hAnsi="Palatino"/>
          <w:sz w:val="26"/>
          <w:szCs w:val="26"/>
        </w:rPr>
        <w:t>directed</w:t>
      </w:r>
      <w:r w:rsidRPr="00906183">
        <w:rPr>
          <w:rFonts w:ascii="Palatino" w:hAnsi="Palatino"/>
          <w:sz w:val="26"/>
          <w:szCs w:val="26"/>
        </w:rPr>
        <w:t xml:space="preserve"> </w:t>
      </w:r>
      <w:r>
        <w:rPr>
          <w:rFonts w:ascii="Palatino" w:hAnsi="Palatino"/>
          <w:sz w:val="26"/>
          <w:szCs w:val="26"/>
        </w:rPr>
        <w:t>PG&amp;E, SCE, and SDG&amp;E</w:t>
      </w:r>
      <w:r w:rsidRPr="00906183">
        <w:rPr>
          <w:rFonts w:ascii="Palatino" w:hAnsi="Palatino"/>
          <w:sz w:val="26"/>
          <w:szCs w:val="26"/>
        </w:rPr>
        <w:t xml:space="preserve"> </w:t>
      </w:r>
      <w:r w:rsidRPr="00670BB8">
        <w:rPr>
          <w:rFonts w:ascii="Palatino" w:hAnsi="Palatino"/>
          <w:sz w:val="26"/>
          <w:szCs w:val="26"/>
        </w:rPr>
        <w:t xml:space="preserve">to develop a standard form template for customers to provide notification of material modifications to existing generating facilities and </w:t>
      </w:r>
      <w:r w:rsidR="00884BBA">
        <w:rPr>
          <w:rFonts w:ascii="Palatino" w:hAnsi="Palatino"/>
          <w:sz w:val="26"/>
          <w:szCs w:val="26"/>
        </w:rPr>
        <w:t>to</w:t>
      </w:r>
      <w:r w:rsidRPr="00670BB8">
        <w:rPr>
          <w:rFonts w:ascii="Palatino" w:hAnsi="Palatino"/>
          <w:sz w:val="26"/>
          <w:szCs w:val="26"/>
        </w:rPr>
        <w:t xml:space="preserve"> propose this template via Tier 2 AL by Ju</w:t>
      </w:r>
      <w:r w:rsidR="007E20EA">
        <w:rPr>
          <w:rFonts w:ascii="Palatino" w:hAnsi="Palatino"/>
          <w:sz w:val="26"/>
          <w:szCs w:val="26"/>
        </w:rPr>
        <w:t>ly</w:t>
      </w:r>
      <w:r w:rsidRPr="00670BB8">
        <w:rPr>
          <w:rFonts w:ascii="Palatino" w:hAnsi="Palatino"/>
          <w:sz w:val="26"/>
          <w:szCs w:val="26"/>
        </w:rPr>
        <w:t xml:space="preserve"> 4, 2019.</w:t>
      </w:r>
    </w:p>
    <w:p w:rsidR="00882445" w:rsidP="00906183" w:rsidRDefault="00882445" w14:paraId="4438F175" w14:textId="68B66EAF">
      <w:pPr>
        <w:numPr>
          <w:ilvl w:val="0"/>
          <w:numId w:val="4"/>
        </w:numPr>
        <w:rPr>
          <w:rFonts w:ascii="Palatino" w:hAnsi="Palatino"/>
          <w:sz w:val="26"/>
          <w:szCs w:val="26"/>
        </w:rPr>
      </w:pPr>
      <w:r>
        <w:rPr>
          <w:rFonts w:ascii="Palatino" w:hAnsi="Palatino"/>
          <w:sz w:val="26"/>
          <w:szCs w:val="26"/>
        </w:rPr>
        <w:t>O</w:t>
      </w:r>
      <w:r w:rsidRPr="00670BB8">
        <w:rPr>
          <w:rFonts w:ascii="Palatino" w:hAnsi="Palatino"/>
          <w:sz w:val="26"/>
          <w:szCs w:val="26"/>
        </w:rPr>
        <w:t>n June 4, 2019</w:t>
      </w:r>
      <w:r w:rsidR="003D403D">
        <w:rPr>
          <w:rFonts w:ascii="Palatino" w:hAnsi="Palatino"/>
          <w:sz w:val="26"/>
          <w:szCs w:val="26"/>
        </w:rPr>
        <w:t xml:space="preserve">, </w:t>
      </w:r>
      <w:r w:rsidRPr="00670BB8">
        <w:rPr>
          <w:rFonts w:ascii="Palatino" w:hAnsi="Palatino"/>
          <w:sz w:val="26"/>
          <w:szCs w:val="26"/>
        </w:rPr>
        <w:t>SCE filed AL 4009-E, SDG&amp;E filed AL 3381-E, and PG&amp;E filed AL 5553-E</w:t>
      </w:r>
      <w:r w:rsidR="00535F80">
        <w:rPr>
          <w:rFonts w:ascii="Palatino" w:hAnsi="Palatino"/>
          <w:sz w:val="26"/>
          <w:szCs w:val="26"/>
        </w:rPr>
        <w:t>, which proposed modifications to Electric Rule 21 in compliance with D.19-03-013</w:t>
      </w:r>
      <w:r>
        <w:rPr>
          <w:rFonts w:ascii="Palatino" w:hAnsi="Palatino"/>
          <w:sz w:val="26"/>
          <w:szCs w:val="26"/>
        </w:rPr>
        <w:t>.</w:t>
      </w:r>
    </w:p>
    <w:p w:rsidR="00882445" w:rsidP="00906183" w:rsidRDefault="003D403D" w14:paraId="408F9803" w14:textId="26FE0144">
      <w:pPr>
        <w:numPr>
          <w:ilvl w:val="0"/>
          <w:numId w:val="4"/>
        </w:numPr>
        <w:rPr>
          <w:rFonts w:ascii="Palatino" w:hAnsi="Palatino"/>
          <w:sz w:val="26"/>
          <w:szCs w:val="26"/>
        </w:rPr>
      </w:pPr>
      <w:r w:rsidRPr="007750E4">
        <w:rPr>
          <w:rFonts w:ascii="Palatino" w:hAnsi="Palatino"/>
          <w:sz w:val="26"/>
          <w:szCs w:val="26"/>
        </w:rPr>
        <w:t>On June 24, 2019, the California Solar &amp; Storage Association (CALSSA) filed timely protests of ALs 4009-E, 3381-E, and 5553-E.</w:t>
      </w:r>
    </w:p>
    <w:p w:rsidR="00145A26" w:rsidP="00906183" w:rsidRDefault="00145A26" w14:paraId="394DF4DB" w14:textId="6223E6DF">
      <w:pPr>
        <w:numPr>
          <w:ilvl w:val="0"/>
          <w:numId w:val="4"/>
        </w:numPr>
        <w:rPr>
          <w:rFonts w:ascii="Palatino" w:hAnsi="Palatino"/>
          <w:sz w:val="26"/>
          <w:szCs w:val="26"/>
        </w:rPr>
      </w:pPr>
      <w:r w:rsidRPr="007750E4">
        <w:rPr>
          <w:rFonts w:ascii="Palatino" w:hAnsi="Palatino"/>
          <w:sz w:val="26"/>
          <w:szCs w:val="26"/>
        </w:rPr>
        <w:t>On June 24, 2019, the</w:t>
      </w:r>
      <w:r w:rsidR="00291E33">
        <w:rPr>
          <w:rFonts w:ascii="Palatino" w:hAnsi="Palatino"/>
          <w:sz w:val="26"/>
          <w:szCs w:val="26"/>
        </w:rPr>
        <w:t xml:space="preserve"> </w:t>
      </w:r>
      <w:r w:rsidRPr="00291E33" w:rsidR="00291E33">
        <w:rPr>
          <w:rFonts w:ascii="Palatino" w:hAnsi="Palatino"/>
          <w:sz w:val="26"/>
          <w:szCs w:val="26"/>
        </w:rPr>
        <w:t>Public Advocates Office at the California Public Utilities Commission</w:t>
      </w:r>
      <w:r w:rsidR="00291E33">
        <w:rPr>
          <w:rFonts w:ascii="Palatino" w:hAnsi="Palatino"/>
          <w:sz w:val="26"/>
          <w:szCs w:val="26"/>
        </w:rPr>
        <w:t xml:space="preserve"> filed a timely protest of</w:t>
      </w:r>
      <w:r w:rsidRPr="00670BB8" w:rsidR="00291E33">
        <w:rPr>
          <w:rFonts w:ascii="Palatino" w:hAnsi="Palatino"/>
          <w:sz w:val="26"/>
          <w:szCs w:val="26"/>
        </w:rPr>
        <w:t xml:space="preserve"> AL 3381-E</w:t>
      </w:r>
      <w:r w:rsidR="00291E33">
        <w:rPr>
          <w:rFonts w:ascii="Palatino" w:hAnsi="Palatino"/>
          <w:sz w:val="26"/>
          <w:szCs w:val="26"/>
        </w:rPr>
        <w:t>.</w:t>
      </w:r>
    </w:p>
    <w:p w:rsidR="00A15239" w:rsidP="00906183" w:rsidRDefault="00A15239" w14:paraId="17168933" w14:textId="3D4F7C53">
      <w:pPr>
        <w:numPr>
          <w:ilvl w:val="0"/>
          <w:numId w:val="4"/>
        </w:numPr>
        <w:rPr>
          <w:rFonts w:ascii="Palatino" w:hAnsi="Palatino"/>
          <w:sz w:val="26"/>
          <w:szCs w:val="26"/>
        </w:rPr>
      </w:pPr>
      <w:r>
        <w:rPr>
          <w:rFonts w:ascii="Palatino" w:hAnsi="Palatino"/>
          <w:sz w:val="26"/>
          <w:szCs w:val="26"/>
        </w:rPr>
        <w:t>O</w:t>
      </w:r>
      <w:r w:rsidRPr="00670BB8">
        <w:rPr>
          <w:rFonts w:ascii="Palatino" w:hAnsi="Palatino"/>
          <w:sz w:val="26"/>
          <w:szCs w:val="26"/>
        </w:rPr>
        <w:t>n July 5, 2019</w:t>
      </w:r>
      <w:r>
        <w:rPr>
          <w:rFonts w:ascii="Palatino" w:hAnsi="Palatino"/>
          <w:sz w:val="26"/>
          <w:szCs w:val="26"/>
        </w:rPr>
        <w:t xml:space="preserve">, PG&amp;E, SCE, and SDG&amp;E </w:t>
      </w:r>
      <w:r w:rsidR="00B26F40">
        <w:rPr>
          <w:rFonts w:ascii="Palatino" w:hAnsi="Palatino"/>
          <w:sz w:val="26"/>
          <w:szCs w:val="26"/>
        </w:rPr>
        <w:t>proposed</w:t>
      </w:r>
      <w:r w:rsidR="00924F91">
        <w:rPr>
          <w:rFonts w:ascii="Palatino" w:hAnsi="Palatino"/>
          <w:sz w:val="26"/>
          <w:szCs w:val="26"/>
        </w:rPr>
        <w:t xml:space="preserve"> </w:t>
      </w:r>
      <w:r w:rsidRPr="00670BB8" w:rsidR="00924F91">
        <w:rPr>
          <w:rFonts w:ascii="Palatino" w:hAnsi="Palatino"/>
          <w:sz w:val="26"/>
          <w:szCs w:val="26"/>
        </w:rPr>
        <w:t xml:space="preserve">a standard form template for customers to provide notification of material modifications to existing </w:t>
      </w:r>
      <w:r w:rsidRPr="00670BB8" w:rsidR="00924F91">
        <w:rPr>
          <w:rFonts w:ascii="Palatino" w:hAnsi="Palatino"/>
          <w:sz w:val="26"/>
          <w:szCs w:val="26"/>
        </w:rPr>
        <w:lastRenderedPageBreak/>
        <w:t>generating facilities</w:t>
      </w:r>
      <w:r w:rsidR="00B26F40">
        <w:rPr>
          <w:rFonts w:ascii="Palatino" w:hAnsi="Palatino"/>
          <w:sz w:val="26"/>
          <w:szCs w:val="26"/>
        </w:rPr>
        <w:t xml:space="preserve"> in a joint</w:t>
      </w:r>
      <w:r>
        <w:rPr>
          <w:rFonts w:ascii="Palatino" w:hAnsi="Palatino"/>
          <w:sz w:val="26"/>
          <w:szCs w:val="26"/>
        </w:rPr>
        <w:t xml:space="preserve"> </w:t>
      </w:r>
      <w:r w:rsidRPr="00A15239">
        <w:rPr>
          <w:rFonts w:ascii="Palatino" w:hAnsi="Palatino"/>
          <w:sz w:val="26"/>
          <w:szCs w:val="26"/>
        </w:rPr>
        <w:t xml:space="preserve">AL </w:t>
      </w:r>
      <w:r w:rsidR="00B26F40">
        <w:rPr>
          <w:rFonts w:ascii="Palatino" w:hAnsi="Palatino"/>
          <w:sz w:val="26"/>
          <w:szCs w:val="26"/>
        </w:rPr>
        <w:t xml:space="preserve">numbered, respectively, </w:t>
      </w:r>
      <w:r w:rsidRPr="00A15239">
        <w:rPr>
          <w:rFonts w:ascii="Palatino" w:hAnsi="Palatino"/>
          <w:sz w:val="26"/>
          <w:szCs w:val="26"/>
        </w:rPr>
        <w:t>5583-E</w:t>
      </w:r>
      <w:r w:rsidR="00535F80">
        <w:rPr>
          <w:rFonts w:ascii="Palatino" w:hAnsi="Palatino"/>
          <w:sz w:val="26"/>
          <w:szCs w:val="26"/>
        </w:rPr>
        <w:t xml:space="preserve">, </w:t>
      </w:r>
      <w:r w:rsidRPr="00A15239">
        <w:rPr>
          <w:rFonts w:ascii="Palatino" w:hAnsi="Palatino"/>
          <w:sz w:val="26"/>
          <w:szCs w:val="26"/>
        </w:rPr>
        <w:t>4033-E, and 3401-E (“Joint AL”).</w:t>
      </w:r>
    </w:p>
    <w:p w:rsidRPr="00E87405" w:rsidR="00E87405" w:rsidP="00E87405" w:rsidRDefault="00E87405" w14:paraId="51333A48" w14:textId="083473AA">
      <w:pPr>
        <w:pStyle w:val="ListParagraph"/>
        <w:numPr>
          <w:ilvl w:val="0"/>
          <w:numId w:val="4"/>
        </w:numPr>
        <w:rPr>
          <w:rFonts w:ascii="Palatino" w:hAnsi="Palatino"/>
          <w:sz w:val="26"/>
          <w:szCs w:val="26"/>
        </w:rPr>
      </w:pPr>
      <w:r w:rsidRPr="00E87405">
        <w:rPr>
          <w:rFonts w:ascii="Palatino" w:hAnsi="Palatino"/>
          <w:sz w:val="26"/>
          <w:szCs w:val="26"/>
        </w:rPr>
        <w:t>On July 25, 2019, the Joint AL was timely protested by CALSSA.</w:t>
      </w:r>
    </w:p>
    <w:p w:rsidR="003D403D" w:rsidP="00906183" w:rsidRDefault="00234575" w14:paraId="735ABE40" w14:textId="25A0C421">
      <w:pPr>
        <w:numPr>
          <w:ilvl w:val="0"/>
          <w:numId w:val="4"/>
        </w:numPr>
        <w:rPr>
          <w:rFonts w:ascii="Palatino" w:hAnsi="Palatino"/>
          <w:sz w:val="26"/>
          <w:szCs w:val="26"/>
        </w:rPr>
      </w:pPr>
      <w:r w:rsidRPr="00670BB8">
        <w:rPr>
          <w:rFonts w:ascii="Palatino" w:hAnsi="Palatino"/>
          <w:sz w:val="26"/>
          <w:szCs w:val="26"/>
        </w:rPr>
        <w:t>On August 1, 2019, SCE filed AL 4009-E-A</w:t>
      </w:r>
      <w:r>
        <w:rPr>
          <w:rFonts w:ascii="Palatino" w:hAnsi="Palatino"/>
          <w:sz w:val="26"/>
          <w:szCs w:val="26"/>
        </w:rPr>
        <w:t xml:space="preserve">, supplementing </w:t>
      </w:r>
      <w:r w:rsidRPr="00670BB8">
        <w:rPr>
          <w:rFonts w:ascii="Palatino" w:hAnsi="Palatino"/>
          <w:sz w:val="26"/>
          <w:szCs w:val="26"/>
        </w:rPr>
        <w:t>AL 4009-E</w:t>
      </w:r>
      <w:r>
        <w:rPr>
          <w:rFonts w:ascii="Palatino" w:hAnsi="Palatino"/>
          <w:sz w:val="26"/>
          <w:szCs w:val="26"/>
        </w:rPr>
        <w:t>.</w:t>
      </w:r>
    </w:p>
    <w:p w:rsidR="00234575" w:rsidP="00906183" w:rsidRDefault="00234575" w14:paraId="0ACA8FAD" w14:textId="5C565D24">
      <w:pPr>
        <w:numPr>
          <w:ilvl w:val="0"/>
          <w:numId w:val="4"/>
        </w:numPr>
        <w:rPr>
          <w:rFonts w:ascii="Palatino" w:hAnsi="Palatino"/>
          <w:sz w:val="26"/>
          <w:szCs w:val="26"/>
        </w:rPr>
      </w:pPr>
      <w:r w:rsidRPr="00670BB8">
        <w:rPr>
          <w:rFonts w:ascii="Palatino" w:hAnsi="Palatino"/>
          <w:sz w:val="26"/>
          <w:szCs w:val="26"/>
        </w:rPr>
        <w:t>On August 6, 2019, SDG&amp;E filed AL 3381-E-A, supplement</w:t>
      </w:r>
      <w:r>
        <w:rPr>
          <w:rFonts w:ascii="Palatino" w:hAnsi="Palatino"/>
          <w:sz w:val="26"/>
          <w:szCs w:val="26"/>
        </w:rPr>
        <w:t xml:space="preserve">ing </w:t>
      </w:r>
      <w:r w:rsidRPr="00670BB8">
        <w:rPr>
          <w:rFonts w:ascii="Palatino" w:hAnsi="Palatino"/>
          <w:sz w:val="26"/>
          <w:szCs w:val="26"/>
        </w:rPr>
        <w:t>AL 3381-E.</w:t>
      </w:r>
    </w:p>
    <w:p w:rsidR="00D447C8" w:rsidP="00D447C8" w:rsidRDefault="00013F6C" w14:paraId="03127943" w14:textId="1CB4ADEC">
      <w:pPr>
        <w:pStyle w:val="ListParagraph"/>
        <w:numPr>
          <w:ilvl w:val="0"/>
          <w:numId w:val="4"/>
        </w:numPr>
        <w:rPr>
          <w:rFonts w:ascii="Palatino" w:hAnsi="Palatino"/>
          <w:color w:val="000000"/>
          <w:sz w:val="26"/>
          <w:szCs w:val="26"/>
        </w:rPr>
      </w:pPr>
      <w:r w:rsidRPr="00013F6C">
        <w:rPr>
          <w:rFonts w:ascii="Palatino" w:hAnsi="Palatino"/>
          <w:color w:val="000000"/>
          <w:sz w:val="26"/>
          <w:szCs w:val="26"/>
        </w:rPr>
        <w:t xml:space="preserve">Consistent tariff language promotes transparency and efficiency. </w:t>
      </w:r>
    </w:p>
    <w:p w:rsidR="004A3536" w:rsidP="00D447C8" w:rsidRDefault="00C74B0A" w14:paraId="5A80EA6F" w14:textId="3FE7BFA6">
      <w:pPr>
        <w:pStyle w:val="ListParagraph"/>
        <w:numPr>
          <w:ilvl w:val="0"/>
          <w:numId w:val="4"/>
        </w:numPr>
        <w:rPr>
          <w:rFonts w:ascii="Palatino" w:hAnsi="Palatino"/>
          <w:color w:val="000000"/>
          <w:sz w:val="26"/>
          <w:szCs w:val="26"/>
        </w:rPr>
      </w:pPr>
      <w:r>
        <w:rPr>
          <w:rFonts w:ascii="Palatino" w:hAnsi="Palatino"/>
          <w:color w:val="000000"/>
          <w:sz w:val="26"/>
          <w:szCs w:val="26"/>
        </w:rPr>
        <w:t xml:space="preserve">It is appropriate </w:t>
      </w:r>
      <w:r w:rsidR="00646474">
        <w:rPr>
          <w:rFonts w:ascii="Palatino" w:hAnsi="Palatino"/>
          <w:color w:val="000000"/>
          <w:sz w:val="26"/>
          <w:szCs w:val="26"/>
        </w:rPr>
        <w:t xml:space="preserve">and consistent with </w:t>
      </w:r>
      <w:r w:rsidR="00A55213">
        <w:rPr>
          <w:rFonts w:ascii="Palatino" w:hAnsi="Palatino"/>
          <w:color w:val="000000"/>
          <w:sz w:val="26"/>
          <w:szCs w:val="26"/>
        </w:rPr>
        <w:t xml:space="preserve">CPUC </w:t>
      </w:r>
      <w:r w:rsidR="00646474">
        <w:rPr>
          <w:rFonts w:ascii="Palatino" w:hAnsi="Palatino"/>
          <w:color w:val="000000"/>
          <w:sz w:val="26"/>
          <w:szCs w:val="26"/>
        </w:rPr>
        <w:t xml:space="preserve">policy </w:t>
      </w:r>
      <w:r>
        <w:rPr>
          <w:rFonts w:ascii="Palatino" w:hAnsi="Palatino"/>
          <w:color w:val="000000"/>
          <w:sz w:val="26"/>
          <w:szCs w:val="26"/>
        </w:rPr>
        <w:t xml:space="preserve">for PG&amp;E, SCE, and SDG&amp;E to </w:t>
      </w:r>
      <w:r w:rsidRPr="00013F6C">
        <w:rPr>
          <w:rFonts w:ascii="Palatino" w:hAnsi="Palatino"/>
          <w:color w:val="000000"/>
          <w:sz w:val="26"/>
          <w:szCs w:val="26"/>
        </w:rPr>
        <w:t xml:space="preserve">maintain standardized </w:t>
      </w:r>
      <w:r>
        <w:rPr>
          <w:rFonts w:ascii="Palatino" w:hAnsi="Palatino"/>
          <w:color w:val="000000"/>
          <w:sz w:val="26"/>
          <w:szCs w:val="26"/>
        </w:rPr>
        <w:t xml:space="preserve">Electric </w:t>
      </w:r>
      <w:r w:rsidRPr="00013F6C">
        <w:rPr>
          <w:rFonts w:ascii="Palatino" w:hAnsi="Palatino"/>
          <w:color w:val="000000"/>
          <w:sz w:val="26"/>
          <w:szCs w:val="26"/>
        </w:rPr>
        <w:t>Rule 21 language, except as necessitated by the differences between their electric systems or operating protocols.</w:t>
      </w:r>
    </w:p>
    <w:p w:rsidRPr="009C01C7" w:rsidR="00D447C8" w:rsidP="00D447C8" w:rsidRDefault="00D447C8" w14:paraId="09BB26EE" w14:textId="0D1E62F3">
      <w:pPr>
        <w:pStyle w:val="ListParagraph"/>
        <w:numPr>
          <w:ilvl w:val="0"/>
          <w:numId w:val="4"/>
        </w:numPr>
        <w:rPr>
          <w:rFonts w:ascii="Palatino" w:hAnsi="Palatino"/>
          <w:color w:val="000000"/>
          <w:sz w:val="26"/>
          <w:szCs w:val="26"/>
        </w:rPr>
      </w:pPr>
      <w:r>
        <w:rPr>
          <w:rFonts w:ascii="Palatino" w:hAnsi="Palatino"/>
          <w:color w:val="000000"/>
          <w:sz w:val="26"/>
          <w:szCs w:val="26"/>
        </w:rPr>
        <w:t xml:space="preserve">The </w:t>
      </w:r>
      <w:r w:rsidRPr="00D447C8">
        <w:rPr>
          <w:rFonts w:ascii="Palatino" w:hAnsi="Palatino"/>
          <w:sz w:val="26"/>
          <w:szCs w:val="26"/>
        </w:rPr>
        <w:t xml:space="preserve">language proposed by SCE AL 4009-E and AL 4009-E-A and SDG&amp;E AL 3381-E and limiting material modifications to Fast Track Interconnection Applications to those specifically listed is consistent with D.19-03-013 and should be adopted. </w:t>
      </w:r>
      <w:r w:rsidR="00E41EA4">
        <w:rPr>
          <w:rFonts w:ascii="Palatino" w:hAnsi="Palatino"/>
          <w:sz w:val="26"/>
          <w:szCs w:val="26"/>
        </w:rPr>
        <w:t xml:space="preserve">The removal of language </w:t>
      </w:r>
      <w:r w:rsidRPr="00670BB8" w:rsidR="00E41EA4">
        <w:rPr>
          <w:rFonts w:ascii="Palatino" w:hAnsi="Palatino"/>
          <w:sz w:val="26"/>
          <w:szCs w:val="26"/>
        </w:rPr>
        <w:t>limiting material modifications to Fast Track Interconnection Applications to those specifically listed</w:t>
      </w:r>
      <w:r w:rsidR="00E41EA4">
        <w:rPr>
          <w:rFonts w:ascii="Palatino" w:hAnsi="Palatino"/>
          <w:sz w:val="26"/>
          <w:szCs w:val="26"/>
        </w:rPr>
        <w:t xml:space="preserve">, as proposed by </w:t>
      </w:r>
      <w:r w:rsidRPr="00670BB8" w:rsidR="00E41EA4">
        <w:rPr>
          <w:rFonts w:ascii="Palatino" w:hAnsi="Palatino"/>
          <w:sz w:val="26"/>
          <w:szCs w:val="26"/>
        </w:rPr>
        <w:t>SDG&amp;E AL 3381-E</w:t>
      </w:r>
      <w:r w:rsidR="00E41EA4">
        <w:rPr>
          <w:rFonts w:ascii="Palatino" w:hAnsi="Palatino"/>
          <w:sz w:val="26"/>
          <w:szCs w:val="26"/>
        </w:rPr>
        <w:t>-A, should be rejected.</w:t>
      </w:r>
    </w:p>
    <w:p w:rsidRPr="00F4592D" w:rsidR="009C01C7" w:rsidP="00933281" w:rsidRDefault="009C01C7" w14:paraId="4D7BC478" w14:textId="293F7E14">
      <w:pPr>
        <w:pStyle w:val="ListParagraph"/>
        <w:numPr>
          <w:ilvl w:val="0"/>
          <w:numId w:val="4"/>
        </w:numPr>
        <w:rPr>
          <w:rFonts w:ascii="Palatino" w:hAnsi="Palatino"/>
          <w:color w:val="000000"/>
          <w:sz w:val="26"/>
          <w:szCs w:val="26"/>
        </w:rPr>
      </w:pPr>
      <w:r w:rsidRPr="00F4592D">
        <w:rPr>
          <w:rFonts w:ascii="Palatino" w:hAnsi="Palatino"/>
          <w:sz w:val="26"/>
          <w:szCs w:val="26"/>
        </w:rPr>
        <w:t xml:space="preserve">The tariff language proposed by PG&amp;E in </w:t>
      </w:r>
      <w:r w:rsidR="00E41868">
        <w:rPr>
          <w:rFonts w:ascii="Palatino" w:hAnsi="Palatino"/>
          <w:sz w:val="26"/>
          <w:szCs w:val="26"/>
        </w:rPr>
        <w:t>its</w:t>
      </w:r>
      <w:r w:rsidRPr="00F4592D">
        <w:rPr>
          <w:rFonts w:ascii="Palatino" w:hAnsi="Palatino"/>
          <w:sz w:val="26"/>
          <w:szCs w:val="26"/>
        </w:rPr>
        <w:t xml:space="preserve"> Response to CALSSA’s </w:t>
      </w:r>
      <w:r w:rsidR="00F4592D">
        <w:rPr>
          <w:rFonts w:ascii="Palatino" w:hAnsi="Palatino"/>
          <w:sz w:val="26"/>
          <w:szCs w:val="26"/>
        </w:rPr>
        <w:t>P</w:t>
      </w:r>
      <w:r w:rsidRPr="00F4592D">
        <w:rPr>
          <w:rFonts w:ascii="Palatino" w:hAnsi="Palatino"/>
          <w:sz w:val="26"/>
          <w:szCs w:val="26"/>
        </w:rPr>
        <w:t xml:space="preserve">rotest of AL 5553-E addresses the concerns raised by CALSSA and is compliant with D.19-03-013. </w:t>
      </w:r>
    </w:p>
    <w:p w:rsidRPr="001432B6" w:rsidR="001432B6" w:rsidP="001432B6" w:rsidRDefault="0042720A" w14:paraId="7AC2FDF8" w14:textId="0E13DE45">
      <w:pPr>
        <w:pStyle w:val="ListParagraph"/>
        <w:numPr>
          <w:ilvl w:val="0"/>
          <w:numId w:val="4"/>
        </w:numPr>
        <w:rPr>
          <w:rFonts w:ascii="Palatino" w:hAnsi="Palatino"/>
          <w:sz w:val="26"/>
          <w:szCs w:val="26"/>
        </w:rPr>
      </w:pPr>
      <w:r>
        <w:rPr>
          <w:rFonts w:ascii="Palatino" w:hAnsi="Palatino"/>
          <w:sz w:val="26"/>
          <w:szCs w:val="26"/>
        </w:rPr>
        <w:t>P</w:t>
      </w:r>
      <w:r w:rsidRPr="001432B6" w:rsidR="001432B6">
        <w:rPr>
          <w:rFonts w:ascii="Palatino" w:hAnsi="Palatino"/>
          <w:sz w:val="26"/>
          <w:szCs w:val="26"/>
        </w:rPr>
        <w:t xml:space="preserve">ursuant to D.19-03-013, all projects </w:t>
      </w:r>
      <w:r w:rsidR="00841299">
        <w:rPr>
          <w:rFonts w:ascii="Palatino" w:hAnsi="Palatino"/>
          <w:sz w:val="26"/>
          <w:szCs w:val="26"/>
        </w:rPr>
        <w:t xml:space="preserve">(regardless of system size) </w:t>
      </w:r>
      <w:r w:rsidRPr="001432B6" w:rsidR="001432B6">
        <w:rPr>
          <w:rFonts w:ascii="Palatino" w:hAnsi="Palatino"/>
          <w:sz w:val="26"/>
          <w:szCs w:val="26"/>
        </w:rPr>
        <w:t xml:space="preserve">that </w:t>
      </w:r>
      <w:r w:rsidR="00624C01">
        <w:rPr>
          <w:rFonts w:ascii="Palatino" w:hAnsi="Palatino"/>
          <w:sz w:val="26"/>
          <w:szCs w:val="26"/>
        </w:rPr>
        <w:t xml:space="preserve">(1) </w:t>
      </w:r>
      <w:r w:rsidRPr="001432B6" w:rsidR="001432B6">
        <w:rPr>
          <w:rFonts w:ascii="Palatino" w:hAnsi="Palatino"/>
          <w:sz w:val="26"/>
          <w:szCs w:val="26"/>
        </w:rPr>
        <w:t xml:space="preserve">utilize a replacement inverter </w:t>
      </w:r>
      <w:r w:rsidR="009F6B0B">
        <w:rPr>
          <w:rFonts w:ascii="Palatino" w:hAnsi="Palatino"/>
          <w:sz w:val="26"/>
          <w:szCs w:val="26"/>
        </w:rPr>
        <w:t xml:space="preserve">with a nameplate </w:t>
      </w:r>
      <w:r w:rsidR="00293767">
        <w:rPr>
          <w:rFonts w:ascii="Palatino" w:hAnsi="Palatino"/>
          <w:sz w:val="26"/>
          <w:szCs w:val="26"/>
        </w:rPr>
        <w:t xml:space="preserve">capacity </w:t>
      </w:r>
      <w:r w:rsidRPr="001432B6" w:rsidR="001432B6">
        <w:rPr>
          <w:rFonts w:ascii="Palatino" w:hAnsi="Palatino"/>
          <w:sz w:val="26"/>
          <w:szCs w:val="26"/>
        </w:rPr>
        <w:t xml:space="preserve">that is within 110 percent of the original generating capacity and </w:t>
      </w:r>
      <w:r w:rsidR="00624C01">
        <w:rPr>
          <w:rFonts w:ascii="Palatino" w:hAnsi="Palatino"/>
          <w:sz w:val="26"/>
          <w:szCs w:val="26"/>
        </w:rPr>
        <w:t xml:space="preserve">(2) </w:t>
      </w:r>
      <w:r w:rsidRPr="001432B6" w:rsidR="001432B6">
        <w:rPr>
          <w:rFonts w:ascii="Palatino" w:hAnsi="Palatino"/>
          <w:sz w:val="26"/>
          <w:szCs w:val="26"/>
        </w:rPr>
        <w:t xml:space="preserve">employ advanced controls to limit output to the amount </w:t>
      </w:r>
      <w:r w:rsidRPr="001432B6" w:rsidR="00293767">
        <w:rPr>
          <w:rFonts w:ascii="Palatino" w:hAnsi="Palatino"/>
          <w:sz w:val="26"/>
          <w:szCs w:val="26"/>
        </w:rPr>
        <w:t xml:space="preserve">approved </w:t>
      </w:r>
      <w:r w:rsidR="00293767">
        <w:rPr>
          <w:rFonts w:ascii="Palatino" w:hAnsi="Palatino"/>
          <w:sz w:val="26"/>
          <w:szCs w:val="26"/>
        </w:rPr>
        <w:t xml:space="preserve">by the original interconnection agreement </w:t>
      </w:r>
      <w:r w:rsidRPr="001432B6" w:rsidR="001432B6">
        <w:rPr>
          <w:rFonts w:ascii="Palatino" w:hAnsi="Palatino"/>
          <w:sz w:val="26"/>
          <w:szCs w:val="26"/>
        </w:rPr>
        <w:t xml:space="preserve">are eligible for Process Option 2. </w:t>
      </w:r>
    </w:p>
    <w:p w:rsidRPr="0014668E" w:rsidR="00DF231F" w:rsidP="00933281" w:rsidRDefault="00DF231F" w14:paraId="06121197" w14:textId="083D9528">
      <w:pPr>
        <w:pStyle w:val="ListParagraph"/>
        <w:numPr>
          <w:ilvl w:val="0"/>
          <w:numId w:val="4"/>
        </w:numPr>
        <w:rPr>
          <w:rFonts w:ascii="Palatino" w:hAnsi="Palatino"/>
          <w:color w:val="000000"/>
          <w:sz w:val="26"/>
          <w:szCs w:val="26"/>
        </w:rPr>
      </w:pPr>
      <w:r>
        <w:rPr>
          <w:rFonts w:ascii="Palatino" w:hAnsi="Palatino"/>
          <w:color w:val="000000"/>
          <w:sz w:val="26"/>
          <w:szCs w:val="26"/>
        </w:rPr>
        <w:t>R</w:t>
      </w:r>
      <w:r w:rsidRPr="00DF231F">
        <w:rPr>
          <w:rFonts w:ascii="Palatino" w:hAnsi="Palatino"/>
          <w:color w:val="000000"/>
          <w:sz w:val="26"/>
          <w:szCs w:val="26"/>
        </w:rPr>
        <w:t>egardless of system size, a system may only be considered a Use Case 3 material modification if control systems are used to limit system output to the original capacity.</w:t>
      </w:r>
    </w:p>
    <w:p w:rsidRPr="002C4E05" w:rsidR="001432B6" w:rsidP="00933281" w:rsidRDefault="001B5033" w14:paraId="25961FA0" w14:textId="24EBD333">
      <w:pPr>
        <w:pStyle w:val="ListParagraph"/>
        <w:numPr>
          <w:ilvl w:val="0"/>
          <w:numId w:val="4"/>
        </w:numPr>
        <w:rPr>
          <w:rFonts w:ascii="Palatino" w:hAnsi="Palatino"/>
          <w:color w:val="000000"/>
          <w:sz w:val="26"/>
          <w:szCs w:val="26"/>
        </w:rPr>
      </w:pPr>
      <w:r w:rsidRPr="002C4E05">
        <w:rPr>
          <w:rFonts w:ascii="Palatino" w:hAnsi="Palatino"/>
          <w:sz w:val="26"/>
          <w:szCs w:val="26"/>
        </w:rPr>
        <w:t xml:space="preserve">The expansion of the California Energy Commission’s equipment listing efforts necessitates edits to the proposed Section 4.A language of the standard form for Notification of Material Modifications to Generating Facility, proposed by the Joint AL. </w:t>
      </w:r>
    </w:p>
    <w:p w:rsidR="00CF17DE" w:rsidP="00BC547C" w:rsidRDefault="00BC547C" w14:paraId="18C97720" w14:textId="7328F861">
      <w:pPr>
        <w:pStyle w:val="ListParagraph"/>
        <w:numPr>
          <w:ilvl w:val="0"/>
          <w:numId w:val="4"/>
        </w:numPr>
        <w:rPr>
          <w:rFonts w:ascii="Palatino" w:hAnsi="Palatino"/>
          <w:sz w:val="26"/>
          <w:szCs w:val="26"/>
        </w:rPr>
      </w:pPr>
      <w:r w:rsidRPr="00BC547C">
        <w:rPr>
          <w:rFonts w:ascii="Palatino" w:hAnsi="Palatino"/>
          <w:sz w:val="26"/>
          <w:szCs w:val="26"/>
        </w:rPr>
        <w:t xml:space="preserve">The Screen Q exemption language proposed in SDG&amp;E AL 3381-E-A provides the clearest implementation of the Screen Q exemption expansion ordered by D.19-03-013. </w:t>
      </w:r>
    </w:p>
    <w:p w:rsidRPr="00BC547C" w:rsidR="00BC547C" w:rsidP="00BC547C" w:rsidRDefault="00BC547C" w14:paraId="05CDA08C" w14:textId="77777777">
      <w:pPr>
        <w:rPr>
          <w:rFonts w:ascii="Palatino" w:hAnsi="Palatino"/>
          <w:sz w:val="26"/>
          <w:szCs w:val="26"/>
        </w:rPr>
      </w:pPr>
    </w:p>
    <w:p w:rsidRPr="00670BB8" w:rsidR="00CF17DE" w:rsidRDefault="00CF17DE" w14:paraId="03EBB768" w14:textId="77777777">
      <w:pPr>
        <w:pStyle w:val="Heading1"/>
        <w:rPr>
          <w:sz w:val="26"/>
          <w:szCs w:val="26"/>
        </w:rPr>
      </w:pPr>
      <w:proofErr w:type="gramStart"/>
      <w:r w:rsidRPr="00670BB8">
        <w:rPr>
          <w:sz w:val="26"/>
          <w:szCs w:val="26"/>
        </w:rPr>
        <w:lastRenderedPageBreak/>
        <w:t>Therefore</w:t>
      </w:r>
      <w:proofErr w:type="gramEnd"/>
      <w:r w:rsidRPr="00670BB8">
        <w:rPr>
          <w:sz w:val="26"/>
          <w:szCs w:val="26"/>
        </w:rPr>
        <w:t xml:space="preserve"> it is ordered that:</w:t>
      </w:r>
    </w:p>
    <w:p w:rsidR="00AD09C8" w:rsidP="00AD09C8" w:rsidRDefault="004A3536" w14:paraId="21FB6C10" w14:textId="61C6B85A">
      <w:pPr>
        <w:numPr>
          <w:ilvl w:val="0"/>
          <w:numId w:val="5"/>
        </w:numPr>
        <w:rPr>
          <w:rFonts w:ascii="Palatino" w:hAnsi="Palatino"/>
          <w:sz w:val="26"/>
          <w:szCs w:val="26"/>
        </w:rPr>
      </w:pPr>
      <w:r w:rsidRPr="00670BB8">
        <w:rPr>
          <w:rFonts w:ascii="Palatino" w:hAnsi="Palatino"/>
          <w:sz w:val="26"/>
          <w:szCs w:val="26"/>
        </w:rPr>
        <w:t>Pacific Gas and Electric Company (PG&amp;E), Southern California Edison Company (SCE)</w:t>
      </w:r>
      <w:r>
        <w:rPr>
          <w:rFonts w:ascii="Palatino" w:hAnsi="Palatino"/>
          <w:sz w:val="26"/>
          <w:szCs w:val="26"/>
        </w:rPr>
        <w:t>, and</w:t>
      </w:r>
      <w:r w:rsidRPr="00670BB8">
        <w:rPr>
          <w:rFonts w:ascii="Palatino" w:hAnsi="Palatino"/>
          <w:sz w:val="26"/>
          <w:szCs w:val="26"/>
        </w:rPr>
        <w:t xml:space="preserve"> San Diego Gas &amp; Electric Company (SDG&amp;E</w:t>
      </w:r>
      <w:r>
        <w:rPr>
          <w:rFonts w:ascii="Palatino" w:hAnsi="Palatino"/>
          <w:sz w:val="26"/>
          <w:szCs w:val="26"/>
        </w:rPr>
        <w:t xml:space="preserve">) </w:t>
      </w:r>
      <w:r w:rsidR="00AD09C8">
        <w:rPr>
          <w:rFonts w:ascii="Palatino" w:hAnsi="Palatino"/>
          <w:sz w:val="26"/>
          <w:szCs w:val="26"/>
        </w:rPr>
        <w:t>shall</w:t>
      </w:r>
      <w:r w:rsidRPr="00670BB8" w:rsidR="00AD09C8">
        <w:rPr>
          <w:rFonts w:ascii="Palatino" w:hAnsi="Palatino"/>
          <w:sz w:val="26"/>
          <w:szCs w:val="26"/>
        </w:rPr>
        <w:t xml:space="preserve"> standardize </w:t>
      </w:r>
      <w:r w:rsidR="00B7186F">
        <w:rPr>
          <w:rFonts w:ascii="Palatino" w:hAnsi="Palatino"/>
          <w:sz w:val="26"/>
          <w:szCs w:val="26"/>
        </w:rPr>
        <w:t>the</w:t>
      </w:r>
      <w:r w:rsidRPr="00670BB8" w:rsidR="00AD09C8">
        <w:rPr>
          <w:rFonts w:ascii="Palatino" w:hAnsi="Palatino"/>
          <w:sz w:val="26"/>
          <w:szCs w:val="26"/>
        </w:rPr>
        <w:t xml:space="preserve"> </w:t>
      </w:r>
      <w:r w:rsidR="00214E98">
        <w:rPr>
          <w:rFonts w:ascii="Palatino" w:hAnsi="Palatino"/>
          <w:sz w:val="26"/>
          <w:szCs w:val="26"/>
        </w:rPr>
        <w:t xml:space="preserve">Electric </w:t>
      </w:r>
      <w:r w:rsidRPr="00670BB8" w:rsidR="00AD09C8">
        <w:rPr>
          <w:rFonts w:ascii="Palatino" w:hAnsi="Palatino"/>
          <w:sz w:val="26"/>
          <w:szCs w:val="26"/>
        </w:rPr>
        <w:t xml:space="preserve">Rule 21 </w:t>
      </w:r>
      <w:r w:rsidR="00731431">
        <w:rPr>
          <w:rFonts w:ascii="Palatino" w:hAnsi="Palatino"/>
          <w:sz w:val="26"/>
          <w:szCs w:val="26"/>
        </w:rPr>
        <w:t xml:space="preserve">Tariff (Rule 21) </w:t>
      </w:r>
      <w:r w:rsidRPr="00670BB8" w:rsidR="00AD09C8">
        <w:rPr>
          <w:rFonts w:ascii="Palatino" w:hAnsi="Palatino"/>
          <w:sz w:val="26"/>
          <w:szCs w:val="26"/>
        </w:rPr>
        <w:t>language describing the allowed types of modifications to interconnection applications under Fast Track.</w:t>
      </w:r>
      <w:r w:rsidR="002D5495">
        <w:rPr>
          <w:rFonts w:ascii="Palatino" w:hAnsi="Palatino"/>
          <w:sz w:val="26"/>
          <w:szCs w:val="26"/>
        </w:rPr>
        <w:t xml:space="preserve">  </w:t>
      </w:r>
      <w:r w:rsidRPr="002D5495" w:rsidR="002D5495">
        <w:rPr>
          <w:rFonts w:ascii="Palatino" w:hAnsi="Palatino"/>
          <w:sz w:val="26"/>
          <w:szCs w:val="26"/>
        </w:rPr>
        <w:t xml:space="preserve">Specifically, all three Utilities should explicitly define “like-for-like” in accordance with definition provided by D.19-03-013 footnote 42. </w:t>
      </w:r>
      <w:r w:rsidR="00F80965">
        <w:rPr>
          <w:rFonts w:ascii="Palatino" w:hAnsi="Palatino"/>
          <w:sz w:val="26"/>
          <w:szCs w:val="26"/>
        </w:rPr>
        <w:t xml:space="preserve">All three Utilities should state explicitly that </w:t>
      </w:r>
      <w:r w:rsidRPr="00670BB8" w:rsidR="00F80965">
        <w:rPr>
          <w:rFonts w:ascii="Palatino" w:hAnsi="Palatino"/>
          <w:sz w:val="26"/>
          <w:szCs w:val="26"/>
        </w:rPr>
        <w:t xml:space="preserve">additional material modifications outside of the identified types </w:t>
      </w:r>
      <w:r w:rsidR="00F80965">
        <w:rPr>
          <w:rFonts w:ascii="Palatino" w:hAnsi="Palatino"/>
          <w:sz w:val="26"/>
          <w:szCs w:val="26"/>
        </w:rPr>
        <w:t>will</w:t>
      </w:r>
      <w:r w:rsidRPr="00670BB8" w:rsidR="00F80965">
        <w:rPr>
          <w:rFonts w:ascii="Palatino" w:hAnsi="Palatino"/>
          <w:sz w:val="26"/>
          <w:szCs w:val="26"/>
        </w:rPr>
        <w:t xml:space="preserve"> not be accepted within Fast Track</w:t>
      </w:r>
      <w:r w:rsidR="00F80965">
        <w:rPr>
          <w:rFonts w:ascii="Palatino" w:hAnsi="Palatino"/>
          <w:sz w:val="26"/>
          <w:szCs w:val="26"/>
        </w:rPr>
        <w:t xml:space="preserve">. </w:t>
      </w:r>
      <w:r w:rsidRPr="002D5495" w:rsidR="002D5495">
        <w:rPr>
          <w:rFonts w:ascii="Palatino" w:hAnsi="Palatino"/>
          <w:sz w:val="26"/>
          <w:szCs w:val="26"/>
        </w:rPr>
        <w:t xml:space="preserve">In addition, SCE should align its Section F.2 structure with that proposed by PG&amp;E and SDG&amp;E. </w:t>
      </w:r>
    </w:p>
    <w:p w:rsidRPr="009C01C7" w:rsidR="00F4592D" w:rsidP="00F4592D" w:rsidRDefault="00F4592D" w14:paraId="0EC8E8D7" w14:textId="08B0993B">
      <w:pPr>
        <w:pStyle w:val="ListParagraph"/>
        <w:numPr>
          <w:ilvl w:val="0"/>
          <w:numId w:val="5"/>
        </w:numPr>
        <w:rPr>
          <w:rFonts w:ascii="Palatino" w:hAnsi="Palatino"/>
          <w:sz w:val="26"/>
          <w:szCs w:val="26"/>
        </w:rPr>
      </w:pPr>
      <w:r w:rsidRPr="009C01C7">
        <w:rPr>
          <w:rFonts w:ascii="Palatino" w:hAnsi="Palatino"/>
          <w:sz w:val="26"/>
          <w:szCs w:val="26"/>
        </w:rPr>
        <w:t xml:space="preserve">PG&amp;E </w:t>
      </w:r>
      <w:r>
        <w:rPr>
          <w:rFonts w:ascii="Palatino" w:hAnsi="Palatino"/>
          <w:sz w:val="26"/>
          <w:szCs w:val="26"/>
        </w:rPr>
        <w:t>shall</w:t>
      </w:r>
      <w:r w:rsidRPr="009C01C7">
        <w:rPr>
          <w:rFonts w:ascii="Palatino" w:hAnsi="Palatino"/>
          <w:sz w:val="26"/>
          <w:szCs w:val="26"/>
        </w:rPr>
        <w:t xml:space="preserve"> amend Rule 21 Tables F.1 and Ee.3 as proposed in </w:t>
      </w:r>
      <w:r w:rsidR="00E41868">
        <w:rPr>
          <w:rFonts w:ascii="Palatino" w:hAnsi="Palatino"/>
          <w:sz w:val="26"/>
          <w:szCs w:val="26"/>
        </w:rPr>
        <w:t>its</w:t>
      </w:r>
      <w:r w:rsidRPr="009C01C7">
        <w:rPr>
          <w:rFonts w:ascii="Palatino" w:hAnsi="Palatino"/>
          <w:sz w:val="26"/>
          <w:szCs w:val="26"/>
        </w:rPr>
        <w:t xml:space="preserve"> Response to </w:t>
      </w:r>
      <w:r w:rsidRPr="007750E4" w:rsidR="002A13D9">
        <w:rPr>
          <w:rFonts w:ascii="Palatino" w:hAnsi="Palatino"/>
          <w:sz w:val="26"/>
          <w:szCs w:val="26"/>
        </w:rPr>
        <w:t>the California Solar &amp; Storage Association</w:t>
      </w:r>
      <w:r w:rsidR="002A13D9">
        <w:rPr>
          <w:rFonts w:ascii="Palatino" w:hAnsi="Palatino"/>
          <w:sz w:val="26"/>
          <w:szCs w:val="26"/>
        </w:rPr>
        <w:t>’s</w:t>
      </w:r>
      <w:r w:rsidRPr="007750E4" w:rsidR="002A13D9">
        <w:rPr>
          <w:rFonts w:ascii="Palatino" w:hAnsi="Palatino"/>
          <w:sz w:val="26"/>
          <w:szCs w:val="26"/>
        </w:rPr>
        <w:t xml:space="preserve"> (CALSSA</w:t>
      </w:r>
      <w:r w:rsidR="002A13D9">
        <w:rPr>
          <w:rFonts w:ascii="Palatino" w:hAnsi="Palatino"/>
          <w:sz w:val="26"/>
          <w:szCs w:val="26"/>
        </w:rPr>
        <w:t>’s</w:t>
      </w:r>
      <w:r w:rsidRPr="007750E4" w:rsidR="002A13D9">
        <w:rPr>
          <w:rFonts w:ascii="Palatino" w:hAnsi="Palatino"/>
          <w:sz w:val="26"/>
          <w:szCs w:val="26"/>
        </w:rPr>
        <w:t xml:space="preserve">) </w:t>
      </w:r>
      <w:r w:rsidRPr="009C01C7">
        <w:rPr>
          <w:rFonts w:ascii="Palatino" w:hAnsi="Palatino"/>
          <w:sz w:val="26"/>
          <w:szCs w:val="26"/>
        </w:rPr>
        <w:t xml:space="preserve">protest of AL 5553-E. </w:t>
      </w:r>
    </w:p>
    <w:p w:rsidR="00F4592D" w:rsidP="00AD09C8" w:rsidRDefault="001B5033" w14:paraId="7B4B31F8" w14:textId="62BF7B81">
      <w:pPr>
        <w:numPr>
          <w:ilvl w:val="0"/>
          <w:numId w:val="5"/>
        </w:numPr>
        <w:rPr>
          <w:rFonts w:ascii="Palatino" w:hAnsi="Palatino"/>
          <w:sz w:val="26"/>
          <w:szCs w:val="26"/>
        </w:rPr>
      </w:pPr>
      <w:r>
        <w:rPr>
          <w:rFonts w:ascii="Palatino" w:hAnsi="Palatino"/>
          <w:sz w:val="26"/>
          <w:szCs w:val="26"/>
        </w:rPr>
        <w:t xml:space="preserve">PG&amp;E, SCE, and SDG&amp;E </w:t>
      </w:r>
      <w:r w:rsidR="0042720A">
        <w:rPr>
          <w:rFonts w:ascii="Palatino" w:hAnsi="Palatino"/>
          <w:sz w:val="26"/>
          <w:szCs w:val="26"/>
        </w:rPr>
        <w:t>shall</w:t>
      </w:r>
      <w:r w:rsidRPr="001432B6" w:rsidR="0042720A">
        <w:rPr>
          <w:rFonts w:ascii="Palatino" w:hAnsi="Palatino"/>
          <w:sz w:val="26"/>
          <w:szCs w:val="26"/>
        </w:rPr>
        <w:t xml:space="preserve"> update Rule 21 to reflect the appropriate process options </w:t>
      </w:r>
      <w:r>
        <w:rPr>
          <w:rFonts w:ascii="Palatino" w:hAnsi="Palatino"/>
          <w:sz w:val="26"/>
          <w:szCs w:val="26"/>
        </w:rPr>
        <w:t xml:space="preserve">for </w:t>
      </w:r>
      <w:r w:rsidRPr="001432B6" w:rsidR="0042720A">
        <w:rPr>
          <w:rFonts w:ascii="Palatino" w:hAnsi="Palatino"/>
          <w:sz w:val="26"/>
          <w:szCs w:val="26"/>
        </w:rPr>
        <w:t>Use Case 3 material modifications</w:t>
      </w:r>
      <w:r>
        <w:rPr>
          <w:rFonts w:ascii="Palatino" w:hAnsi="Palatino"/>
          <w:sz w:val="26"/>
          <w:szCs w:val="26"/>
        </w:rPr>
        <w:t>, consistent with the designations in</w:t>
      </w:r>
      <w:r w:rsidRPr="001432B6" w:rsidR="0042720A">
        <w:rPr>
          <w:rFonts w:ascii="Palatino" w:hAnsi="Palatino"/>
          <w:sz w:val="26"/>
          <w:szCs w:val="26"/>
        </w:rPr>
        <w:t xml:space="preserve"> Table 1</w:t>
      </w:r>
      <w:r>
        <w:rPr>
          <w:rFonts w:ascii="Palatino" w:hAnsi="Palatino"/>
          <w:sz w:val="26"/>
          <w:szCs w:val="26"/>
        </w:rPr>
        <w:t xml:space="preserve"> of this Resolution. </w:t>
      </w:r>
      <w:r w:rsidRPr="001432B6" w:rsidR="0042720A">
        <w:rPr>
          <w:rFonts w:ascii="Palatino" w:hAnsi="Palatino"/>
          <w:sz w:val="26"/>
          <w:szCs w:val="26"/>
        </w:rPr>
        <w:t xml:space="preserve">  </w:t>
      </w:r>
    </w:p>
    <w:p w:rsidR="00F56076" w:rsidP="00AD09C8" w:rsidRDefault="00BE11BF" w14:paraId="0814D023" w14:textId="585F93C5">
      <w:pPr>
        <w:numPr>
          <w:ilvl w:val="0"/>
          <w:numId w:val="5"/>
        </w:numPr>
        <w:rPr>
          <w:rFonts w:ascii="Palatino" w:hAnsi="Palatino"/>
          <w:sz w:val="26"/>
          <w:szCs w:val="26"/>
        </w:rPr>
      </w:pPr>
      <w:r>
        <w:rPr>
          <w:rFonts w:ascii="Palatino" w:hAnsi="Palatino"/>
          <w:sz w:val="26"/>
          <w:szCs w:val="26"/>
        </w:rPr>
        <w:t xml:space="preserve">PG&amp;E, SCE, and SDG&amp;E shall update </w:t>
      </w:r>
      <w:r w:rsidRPr="002732ED">
        <w:rPr>
          <w:rFonts w:ascii="Palatino" w:hAnsi="Palatino"/>
          <w:sz w:val="26"/>
          <w:szCs w:val="26"/>
        </w:rPr>
        <w:t xml:space="preserve">the </w:t>
      </w:r>
      <w:r w:rsidRPr="00355CCE">
        <w:rPr>
          <w:rFonts w:ascii="Palatino" w:hAnsi="Palatino" w:eastAsia="Palatino Linotype" w:cs="Palatino Linotype"/>
          <w:sz w:val="26"/>
          <w:szCs w:val="26"/>
        </w:rPr>
        <w:t>interim standard form template for Type II modifications to existing generating facilities, proposed by SDG&amp;E AL 3401-E, SCE AL 4033-E and PG&amp;E AL 5583-E</w:t>
      </w:r>
      <w:r>
        <w:rPr>
          <w:rFonts w:ascii="Palatino" w:hAnsi="Palatino" w:eastAsia="Palatino Linotype" w:cs="Palatino Linotype"/>
          <w:sz w:val="26"/>
          <w:szCs w:val="26"/>
        </w:rPr>
        <w:t>,</w:t>
      </w:r>
      <w:r w:rsidRPr="002732ED">
        <w:rPr>
          <w:rFonts w:ascii="Palatino" w:hAnsi="Palatino"/>
          <w:sz w:val="26"/>
          <w:szCs w:val="26"/>
        </w:rPr>
        <w:t xml:space="preserve"> </w:t>
      </w:r>
      <w:r>
        <w:rPr>
          <w:rFonts w:ascii="Palatino" w:hAnsi="Palatino"/>
          <w:sz w:val="26"/>
          <w:szCs w:val="26"/>
        </w:rPr>
        <w:t xml:space="preserve">to reflect the appropriate process options </w:t>
      </w:r>
      <w:r w:rsidR="006366BC">
        <w:rPr>
          <w:rFonts w:ascii="Palatino" w:hAnsi="Palatino"/>
          <w:sz w:val="26"/>
          <w:szCs w:val="26"/>
        </w:rPr>
        <w:t xml:space="preserve">for </w:t>
      </w:r>
      <w:r>
        <w:rPr>
          <w:rFonts w:ascii="Palatino" w:hAnsi="Palatino"/>
          <w:sz w:val="26"/>
          <w:szCs w:val="26"/>
        </w:rPr>
        <w:t>Use Case 3 material modifications</w:t>
      </w:r>
      <w:r w:rsidR="006366BC">
        <w:rPr>
          <w:rFonts w:ascii="Palatino" w:hAnsi="Palatino"/>
          <w:sz w:val="26"/>
          <w:szCs w:val="26"/>
        </w:rPr>
        <w:t>,</w:t>
      </w:r>
      <w:r>
        <w:rPr>
          <w:rFonts w:ascii="Palatino" w:hAnsi="Palatino"/>
          <w:sz w:val="26"/>
          <w:szCs w:val="26"/>
        </w:rPr>
        <w:t xml:space="preserve"> consistent with the designations in</w:t>
      </w:r>
      <w:r w:rsidRPr="001432B6">
        <w:rPr>
          <w:rFonts w:ascii="Palatino" w:hAnsi="Palatino"/>
          <w:sz w:val="26"/>
          <w:szCs w:val="26"/>
        </w:rPr>
        <w:t xml:space="preserve"> Table 1</w:t>
      </w:r>
      <w:r>
        <w:rPr>
          <w:rFonts w:ascii="Palatino" w:hAnsi="Palatino"/>
          <w:sz w:val="26"/>
          <w:szCs w:val="26"/>
        </w:rPr>
        <w:t xml:space="preserve"> of this Resolution. </w:t>
      </w:r>
      <w:r w:rsidRPr="001432B6">
        <w:rPr>
          <w:rFonts w:ascii="Palatino" w:hAnsi="Palatino"/>
          <w:sz w:val="26"/>
          <w:szCs w:val="26"/>
        </w:rPr>
        <w:t xml:space="preserve"> </w:t>
      </w:r>
    </w:p>
    <w:p w:rsidRPr="001432B6" w:rsidR="002C4E05" w:rsidP="002C4E05" w:rsidRDefault="002C4E05" w14:paraId="61C89AB6" w14:textId="47E5153B">
      <w:pPr>
        <w:pStyle w:val="ListParagraph"/>
        <w:numPr>
          <w:ilvl w:val="0"/>
          <w:numId w:val="5"/>
        </w:numPr>
        <w:rPr>
          <w:rFonts w:ascii="Palatino" w:hAnsi="Palatino"/>
          <w:sz w:val="26"/>
          <w:szCs w:val="26"/>
        </w:rPr>
      </w:pPr>
      <w:r>
        <w:rPr>
          <w:rFonts w:ascii="Palatino" w:hAnsi="Palatino"/>
          <w:sz w:val="26"/>
          <w:szCs w:val="26"/>
        </w:rPr>
        <w:t>PG&amp;E, SCE, and SDG&amp;E shall</w:t>
      </w:r>
      <w:r w:rsidRPr="002732ED">
        <w:rPr>
          <w:rFonts w:ascii="Palatino" w:hAnsi="Palatino"/>
          <w:sz w:val="26"/>
          <w:szCs w:val="26"/>
        </w:rPr>
        <w:t xml:space="preserve"> update Section 4.1 </w:t>
      </w:r>
      <w:r w:rsidR="00BC547C">
        <w:rPr>
          <w:rFonts w:ascii="Palatino" w:hAnsi="Palatino" w:eastAsia="Palatino Linotype" w:cs="Palatino Linotype"/>
          <w:sz w:val="26"/>
          <w:szCs w:val="26"/>
        </w:rPr>
        <w:t>of t</w:t>
      </w:r>
      <w:r w:rsidRPr="00355CCE" w:rsidR="00BC547C">
        <w:rPr>
          <w:rFonts w:ascii="Palatino" w:hAnsi="Palatino" w:eastAsia="Palatino Linotype" w:cs="Palatino Linotype"/>
          <w:sz w:val="26"/>
          <w:szCs w:val="26"/>
        </w:rPr>
        <w:t>he interim standard form template for Type II modifications to existing generating facilities, proposed by SDG&amp;E AL 3401-E, SCE AL 4033-E and PG&amp;E AL 5583-E</w:t>
      </w:r>
      <w:r w:rsidR="00BC547C">
        <w:rPr>
          <w:rFonts w:ascii="Palatino" w:hAnsi="Palatino" w:eastAsia="Palatino Linotype" w:cs="Palatino Linotype"/>
          <w:sz w:val="26"/>
          <w:szCs w:val="26"/>
        </w:rPr>
        <w:t xml:space="preserve">, </w:t>
      </w:r>
      <w:r>
        <w:rPr>
          <w:rFonts w:ascii="Palatino" w:hAnsi="Palatino"/>
          <w:sz w:val="26"/>
          <w:szCs w:val="26"/>
        </w:rPr>
        <w:t xml:space="preserve">to reflect that verified equipment may be listed on </w:t>
      </w:r>
      <w:r w:rsidR="00894A08">
        <w:rPr>
          <w:rFonts w:ascii="Palatino" w:hAnsi="Palatino"/>
          <w:sz w:val="26"/>
          <w:szCs w:val="26"/>
        </w:rPr>
        <w:t>any</w:t>
      </w:r>
      <w:r>
        <w:rPr>
          <w:rFonts w:ascii="Palatino" w:hAnsi="Palatino"/>
          <w:sz w:val="26"/>
          <w:szCs w:val="26"/>
        </w:rPr>
        <w:t xml:space="preserve"> of multiple CEC equipment lists.</w:t>
      </w:r>
    </w:p>
    <w:p w:rsidRPr="00BC547C" w:rsidR="002C4E05" w:rsidP="00BC547C" w:rsidRDefault="00BC547C" w14:paraId="28A1C9D4" w14:textId="260AAD9D">
      <w:pPr>
        <w:pStyle w:val="ListParagraph"/>
        <w:numPr>
          <w:ilvl w:val="0"/>
          <w:numId w:val="5"/>
        </w:numPr>
        <w:rPr>
          <w:rFonts w:ascii="Palatino" w:hAnsi="Palatino"/>
          <w:color w:val="000000"/>
          <w:sz w:val="26"/>
          <w:szCs w:val="26"/>
        </w:rPr>
      </w:pPr>
      <w:r w:rsidRPr="00670BB8">
        <w:rPr>
          <w:rFonts w:ascii="Palatino" w:hAnsi="Palatino"/>
          <w:sz w:val="26"/>
          <w:szCs w:val="26"/>
        </w:rPr>
        <w:t xml:space="preserve">PG&amp;E and SCE </w:t>
      </w:r>
      <w:r>
        <w:rPr>
          <w:rFonts w:ascii="Palatino" w:hAnsi="Palatino"/>
          <w:sz w:val="26"/>
          <w:szCs w:val="26"/>
        </w:rPr>
        <w:t>shall</w:t>
      </w:r>
      <w:r w:rsidRPr="00670BB8">
        <w:rPr>
          <w:rFonts w:ascii="Palatino" w:hAnsi="Palatino"/>
          <w:sz w:val="26"/>
          <w:szCs w:val="26"/>
        </w:rPr>
        <w:t xml:space="preserve"> </w:t>
      </w:r>
      <w:r w:rsidR="002336FE">
        <w:rPr>
          <w:rFonts w:ascii="Palatino" w:hAnsi="Palatino"/>
          <w:sz w:val="26"/>
          <w:szCs w:val="26"/>
        </w:rPr>
        <w:t>modify</w:t>
      </w:r>
      <w:r w:rsidRPr="00670BB8" w:rsidR="002336FE">
        <w:rPr>
          <w:rFonts w:ascii="Palatino" w:hAnsi="Palatino"/>
          <w:sz w:val="26"/>
          <w:szCs w:val="26"/>
        </w:rPr>
        <w:t xml:space="preserve"> </w:t>
      </w:r>
      <w:r w:rsidRPr="00670BB8">
        <w:rPr>
          <w:rFonts w:ascii="Palatino" w:hAnsi="Palatino"/>
          <w:sz w:val="26"/>
          <w:szCs w:val="26"/>
        </w:rPr>
        <w:t xml:space="preserve">their Rule 21 </w:t>
      </w:r>
      <w:r w:rsidR="00401E6D">
        <w:rPr>
          <w:rFonts w:ascii="Palatino" w:hAnsi="Palatino"/>
          <w:sz w:val="26"/>
          <w:szCs w:val="26"/>
        </w:rPr>
        <w:t xml:space="preserve">Section </w:t>
      </w:r>
      <w:r w:rsidR="00FC2B34">
        <w:rPr>
          <w:rFonts w:ascii="Palatino" w:hAnsi="Palatino"/>
          <w:sz w:val="26"/>
          <w:szCs w:val="26"/>
        </w:rPr>
        <w:t xml:space="preserve">G.3.a </w:t>
      </w:r>
      <w:r w:rsidRPr="00670BB8">
        <w:rPr>
          <w:rFonts w:ascii="Palatino" w:hAnsi="Palatino"/>
          <w:sz w:val="26"/>
          <w:szCs w:val="26"/>
        </w:rPr>
        <w:t xml:space="preserve">language expanding the Screen Q exemption with </w:t>
      </w:r>
      <w:r w:rsidR="002336FE">
        <w:rPr>
          <w:rFonts w:ascii="Palatino" w:hAnsi="Palatino"/>
          <w:sz w:val="26"/>
          <w:szCs w:val="26"/>
        </w:rPr>
        <w:t xml:space="preserve">the </w:t>
      </w:r>
      <w:r w:rsidR="00AA4817">
        <w:rPr>
          <w:rFonts w:ascii="Palatino" w:hAnsi="Palatino"/>
          <w:sz w:val="26"/>
          <w:szCs w:val="26"/>
        </w:rPr>
        <w:t>language</w:t>
      </w:r>
      <w:r w:rsidRPr="00670BB8" w:rsidR="00AA4817">
        <w:rPr>
          <w:rFonts w:ascii="Palatino" w:hAnsi="Palatino"/>
          <w:sz w:val="26"/>
          <w:szCs w:val="26"/>
        </w:rPr>
        <w:t xml:space="preserve"> </w:t>
      </w:r>
      <w:r w:rsidRPr="00670BB8">
        <w:rPr>
          <w:rFonts w:ascii="Palatino" w:hAnsi="Palatino"/>
          <w:sz w:val="26"/>
          <w:szCs w:val="26"/>
        </w:rPr>
        <w:t>proposed by SDG&amp;E</w:t>
      </w:r>
      <w:r>
        <w:rPr>
          <w:rFonts w:ascii="Palatino" w:hAnsi="Palatino"/>
          <w:sz w:val="26"/>
          <w:szCs w:val="26"/>
        </w:rPr>
        <w:t xml:space="preserve"> </w:t>
      </w:r>
      <w:r w:rsidRPr="00670BB8">
        <w:rPr>
          <w:rFonts w:ascii="Palatino" w:hAnsi="Palatino"/>
          <w:sz w:val="26"/>
          <w:szCs w:val="26"/>
        </w:rPr>
        <w:t>AL 3381-E-A.</w:t>
      </w:r>
    </w:p>
    <w:p w:rsidRPr="00355CCE" w:rsidR="003724BC" w:rsidP="003724BC" w:rsidRDefault="003724BC" w14:paraId="54C9FA69" w14:textId="19153327">
      <w:pPr>
        <w:pStyle w:val="Res-Caption"/>
        <w:numPr>
          <w:ilvl w:val="0"/>
          <w:numId w:val="5"/>
        </w:numPr>
        <w:rPr>
          <w:rFonts w:ascii="Palatino" w:hAnsi="Palatino"/>
          <w:sz w:val="26"/>
          <w:szCs w:val="26"/>
        </w:rPr>
      </w:pPr>
      <w:r w:rsidRPr="00355CCE">
        <w:rPr>
          <w:rFonts w:ascii="Palatino" w:hAnsi="Palatino"/>
          <w:sz w:val="26"/>
          <w:szCs w:val="26"/>
        </w:rPr>
        <w:t>SCE</w:t>
      </w:r>
      <w:r>
        <w:rPr>
          <w:rFonts w:ascii="Palatino" w:hAnsi="Palatino"/>
          <w:sz w:val="26"/>
          <w:szCs w:val="26"/>
        </w:rPr>
        <w:t xml:space="preserve"> ALs</w:t>
      </w:r>
      <w:r w:rsidRPr="00355CCE">
        <w:rPr>
          <w:rFonts w:ascii="Palatino" w:hAnsi="Palatino"/>
          <w:sz w:val="26"/>
          <w:szCs w:val="26"/>
        </w:rPr>
        <w:t xml:space="preserve"> 4009-E and E-A, SDG&amp;E</w:t>
      </w:r>
      <w:r>
        <w:rPr>
          <w:rFonts w:ascii="Palatino" w:hAnsi="Palatino"/>
          <w:sz w:val="26"/>
          <w:szCs w:val="26"/>
        </w:rPr>
        <w:t xml:space="preserve"> </w:t>
      </w:r>
      <w:r w:rsidRPr="00355CCE">
        <w:rPr>
          <w:rFonts w:ascii="Palatino" w:hAnsi="Palatino"/>
          <w:sz w:val="26"/>
          <w:szCs w:val="26"/>
        </w:rPr>
        <w:t>ALs 3381-E and E-A, and PG&amp;E AL 5553-E</w:t>
      </w:r>
      <w:r>
        <w:rPr>
          <w:rFonts w:ascii="Palatino" w:hAnsi="Palatino"/>
          <w:sz w:val="26"/>
          <w:szCs w:val="26"/>
        </w:rPr>
        <w:t>, which</w:t>
      </w:r>
      <w:r w:rsidRPr="00355CCE">
        <w:rPr>
          <w:rFonts w:ascii="Palatino" w:hAnsi="Palatino"/>
          <w:sz w:val="26"/>
          <w:szCs w:val="26"/>
        </w:rPr>
        <w:t xml:space="preserve"> incorporate Decision (D.)19-03-013 in</w:t>
      </w:r>
      <w:r>
        <w:rPr>
          <w:rFonts w:ascii="Palatino" w:hAnsi="Palatino"/>
          <w:sz w:val="26"/>
          <w:szCs w:val="26"/>
        </w:rPr>
        <w:t>to</w:t>
      </w:r>
      <w:r w:rsidRPr="00355CCE">
        <w:rPr>
          <w:rFonts w:ascii="Palatino" w:hAnsi="Palatino"/>
          <w:sz w:val="26"/>
          <w:szCs w:val="26"/>
        </w:rPr>
        <w:t xml:space="preserve"> Rule 21, Generating Facility Interconnections</w:t>
      </w:r>
      <w:r>
        <w:rPr>
          <w:rFonts w:ascii="Palatino" w:hAnsi="Palatino"/>
          <w:sz w:val="26"/>
          <w:szCs w:val="26"/>
        </w:rPr>
        <w:t>, are approved as modified above</w:t>
      </w:r>
      <w:r w:rsidR="008A16E4">
        <w:rPr>
          <w:rFonts w:ascii="Palatino" w:hAnsi="Palatino"/>
          <w:sz w:val="26"/>
          <w:szCs w:val="26"/>
        </w:rPr>
        <w:t xml:space="preserve">, and shall be effective </w:t>
      </w:r>
      <w:r w:rsidR="00014794">
        <w:rPr>
          <w:rFonts w:ascii="Palatino" w:hAnsi="Palatino"/>
          <w:sz w:val="26"/>
          <w:szCs w:val="26"/>
        </w:rPr>
        <w:t xml:space="preserve">following the approval of the Tier 1 </w:t>
      </w:r>
      <w:r w:rsidR="006E617E">
        <w:rPr>
          <w:rFonts w:ascii="Palatino" w:hAnsi="Palatino"/>
          <w:sz w:val="26"/>
          <w:szCs w:val="26"/>
        </w:rPr>
        <w:t xml:space="preserve">advice letters </w:t>
      </w:r>
      <w:r w:rsidR="006517CE">
        <w:rPr>
          <w:rFonts w:ascii="Palatino" w:hAnsi="Palatino"/>
          <w:sz w:val="26"/>
          <w:szCs w:val="26"/>
        </w:rPr>
        <w:t>ordered by</w:t>
      </w:r>
      <w:r w:rsidR="006E617E">
        <w:rPr>
          <w:rFonts w:ascii="Palatino" w:hAnsi="Palatino"/>
          <w:sz w:val="26"/>
          <w:szCs w:val="26"/>
        </w:rPr>
        <w:t xml:space="preserve"> Ordering Paragraph 8</w:t>
      </w:r>
      <w:r w:rsidRPr="00355CCE">
        <w:rPr>
          <w:rFonts w:ascii="Palatino" w:hAnsi="Palatino"/>
          <w:sz w:val="26"/>
          <w:szCs w:val="26"/>
        </w:rPr>
        <w:t>.</w:t>
      </w:r>
    </w:p>
    <w:p w:rsidR="00FD71DC" w:rsidP="00F4592D" w:rsidRDefault="00FD71DC" w14:paraId="6C34C9F0" w14:textId="2B22AD0F">
      <w:pPr>
        <w:pStyle w:val="Res-Caption"/>
        <w:numPr>
          <w:ilvl w:val="0"/>
          <w:numId w:val="5"/>
        </w:numPr>
        <w:rPr>
          <w:rFonts w:ascii="Palatino" w:hAnsi="Palatino"/>
          <w:sz w:val="26"/>
          <w:szCs w:val="26"/>
        </w:rPr>
      </w:pPr>
      <w:r>
        <w:rPr>
          <w:rFonts w:ascii="Palatino" w:hAnsi="Palatino"/>
          <w:sz w:val="26"/>
          <w:szCs w:val="26"/>
        </w:rPr>
        <w:t xml:space="preserve">PG&amp;E, SCE, and SDG&amp;E </w:t>
      </w:r>
      <w:r w:rsidRPr="00FD71DC">
        <w:rPr>
          <w:rFonts w:ascii="Palatino" w:hAnsi="Palatino"/>
          <w:sz w:val="26"/>
          <w:szCs w:val="26"/>
        </w:rPr>
        <w:t>shall update their respective Rule 21 Tariff</w:t>
      </w:r>
      <w:r w:rsidR="00381BC9">
        <w:rPr>
          <w:rFonts w:ascii="Palatino" w:hAnsi="Palatino"/>
          <w:sz w:val="26"/>
          <w:szCs w:val="26"/>
        </w:rPr>
        <w:t>s</w:t>
      </w:r>
      <w:r w:rsidRPr="00FD71DC">
        <w:rPr>
          <w:rFonts w:ascii="Palatino" w:hAnsi="Palatino"/>
          <w:sz w:val="26"/>
          <w:szCs w:val="26"/>
        </w:rPr>
        <w:t xml:space="preserve"> in compliance with the </w:t>
      </w:r>
      <w:r w:rsidR="00DF193D">
        <w:rPr>
          <w:rFonts w:ascii="Palatino" w:hAnsi="Palatino"/>
          <w:sz w:val="26"/>
          <w:szCs w:val="26"/>
        </w:rPr>
        <w:t xml:space="preserve">above </w:t>
      </w:r>
      <w:r w:rsidRPr="00FD71DC">
        <w:rPr>
          <w:rFonts w:ascii="Palatino" w:hAnsi="Palatino"/>
          <w:sz w:val="26"/>
          <w:szCs w:val="26"/>
        </w:rPr>
        <w:t xml:space="preserve">Ordering Paragraphs by submitting </w:t>
      </w:r>
      <w:r w:rsidR="00EC02D1">
        <w:rPr>
          <w:rFonts w:ascii="Palatino" w:hAnsi="Palatino"/>
          <w:sz w:val="26"/>
          <w:szCs w:val="26"/>
        </w:rPr>
        <w:t xml:space="preserve">Tier </w:t>
      </w:r>
      <w:r w:rsidR="000E081A">
        <w:rPr>
          <w:rFonts w:ascii="Palatino" w:hAnsi="Palatino"/>
          <w:sz w:val="26"/>
          <w:szCs w:val="26"/>
        </w:rPr>
        <w:t>1</w:t>
      </w:r>
      <w:r w:rsidRPr="00FD71DC">
        <w:rPr>
          <w:rFonts w:ascii="Palatino" w:hAnsi="Palatino"/>
          <w:sz w:val="26"/>
          <w:szCs w:val="26"/>
        </w:rPr>
        <w:t xml:space="preserve"> advice letters</w:t>
      </w:r>
      <w:r w:rsidR="00915712">
        <w:rPr>
          <w:rFonts w:ascii="Palatino" w:hAnsi="Palatino"/>
          <w:sz w:val="26"/>
          <w:szCs w:val="26"/>
        </w:rPr>
        <w:t xml:space="preserve"> within 30 days of the </w:t>
      </w:r>
      <w:r w:rsidR="001E100F">
        <w:rPr>
          <w:rFonts w:ascii="Palatino" w:hAnsi="Palatino"/>
          <w:sz w:val="26"/>
          <w:szCs w:val="26"/>
        </w:rPr>
        <w:t xml:space="preserve">issuance of this </w:t>
      </w:r>
      <w:r w:rsidR="005D51BE">
        <w:rPr>
          <w:rFonts w:ascii="Palatino" w:hAnsi="Palatino"/>
          <w:sz w:val="26"/>
          <w:szCs w:val="26"/>
        </w:rPr>
        <w:t>Resolution</w:t>
      </w:r>
      <w:r w:rsidR="001E100F">
        <w:rPr>
          <w:rFonts w:ascii="Palatino" w:hAnsi="Palatino"/>
          <w:sz w:val="26"/>
          <w:szCs w:val="26"/>
        </w:rPr>
        <w:t xml:space="preserve">. </w:t>
      </w:r>
    </w:p>
    <w:p w:rsidRPr="00C37204" w:rsidR="00F4592D" w:rsidP="00DC23A0" w:rsidRDefault="007B1802" w14:paraId="2A0A1544" w14:textId="7C4E47CB">
      <w:pPr>
        <w:pStyle w:val="Res-Caption"/>
        <w:numPr>
          <w:ilvl w:val="0"/>
          <w:numId w:val="5"/>
        </w:numPr>
        <w:rPr>
          <w:rFonts w:ascii="Palatino" w:hAnsi="Palatino"/>
          <w:sz w:val="26"/>
          <w:szCs w:val="26"/>
        </w:rPr>
      </w:pPr>
      <w:r w:rsidRPr="00C37204">
        <w:rPr>
          <w:rFonts w:ascii="Palatino" w:hAnsi="Palatino"/>
          <w:sz w:val="26"/>
          <w:szCs w:val="26"/>
        </w:rPr>
        <w:lastRenderedPageBreak/>
        <w:t>PG&amp;E, SCE, and SDG&amp;E shall</w:t>
      </w:r>
      <w:r w:rsidRPr="00C37204">
        <w:rPr>
          <w:rFonts w:ascii="Palatino" w:hAnsi="Palatino" w:eastAsia="Palatino Linotype" w:cs="Palatino Linotype"/>
          <w:sz w:val="26"/>
          <w:szCs w:val="26"/>
        </w:rPr>
        <w:t xml:space="preserve"> </w:t>
      </w:r>
      <w:r w:rsidRPr="00C37204" w:rsidR="00635484">
        <w:rPr>
          <w:rFonts w:ascii="Palatino" w:hAnsi="Palatino" w:eastAsia="Palatino Linotype" w:cs="Palatino Linotype"/>
          <w:sz w:val="26"/>
          <w:szCs w:val="26"/>
        </w:rPr>
        <w:t>update the</w:t>
      </w:r>
      <w:r w:rsidRPr="00C37204" w:rsidR="00180404">
        <w:rPr>
          <w:rFonts w:ascii="Palatino" w:hAnsi="Palatino" w:eastAsia="Palatino Linotype" w:cs="Palatino Linotype"/>
          <w:sz w:val="26"/>
          <w:szCs w:val="26"/>
        </w:rPr>
        <w:t xml:space="preserve"> </w:t>
      </w:r>
      <w:r w:rsidRPr="00C37204" w:rsidR="00635484">
        <w:rPr>
          <w:rFonts w:ascii="Palatino" w:hAnsi="Palatino" w:eastAsia="Palatino Linotype" w:cs="Palatino Linotype"/>
          <w:sz w:val="26"/>
          <w:szCs w:val="26"/>
        </w:rPr>
        <w:t>proposed</w:t>
      </w:r>
      <w:r w:rsidRPr="00C37204" w:rsidR="004D238B">
        <w:rPr>
          <w:rFonts w:ascii="Palatino" w:hAnsi="Palatino" w:eastAsia="Palatino Linotype" w:cs="Palatino Linotype"/>
          <w:sz w:val="26"/>
          <w:szCs w:val="26"/>
        </w:rPr>
        <w:t xml:space="preserve"> interim standard form template for Type II modifications to existing generating facilities, </w:t>
      </w:r>
      <w:r w:rsidRPr="00C37204" w:rsidR="00445CEB">
        <w:rPr>
          <w:rFonts w:ascii="Palatino" w:hAnsi="Palatino" w:eastAsia="Palatino Linotype" w:cs="Palatino Linotype"/>
          <w:sz w:val="26"/>
          <w:szCs w:val="26"/>
        </w:rPr>
        <w:t>consistent</w:t>
      </w:r>
      <w:r w:rsidRPr="00C37204" w:rsidR="00834157">
        <w:rPr>
          <w:rFonts w:ascii="Palatino" w:hAnsi="Palatino" w:eastAsia="Palatino Linotype" w:cs="Palatino Linotype"/>
          <w:sz w:val="26"/>
          <w:szCs w:val="26"/>
        </w:rPr>
        <w:t xml:space="preserve"> with </w:t>
      </w:r>
      <w:r w:rsidRPr="00C37204" w:rsidR="00053823">
        <w:rPr>
          <w:rFonts w:ascii="Palatino" w:hAnsi="Palatino" w:eastAsia="Palatino Linotype" w:cs="Palatino Linotype"/>
          <w:sz w:val="26"/>
          <w:szCs w:val="26"/>
        </w:rPr>
        <w:t xml:space="preserve">the above </w:t>
      </w:r>
      <w:r w:rsidRPr="00C37204" w:rsidR="00834157">
        <w:rPr>
          <w:rFonts w:ascii="Palatino" w:hAnsi="Palatino" w:eastAsia="Palatino Linotype" w:cs="Palatino Linotype"/>
          <w:sz w:val="26"/>
          <w:szCs w:val="26"/>
        </w:rPr>
        <w:t>Ordering Paragraphs</w:t>
      </w:r>
      <w:r w:rsidRPr="00C37204" w:rsidR="00146694">
        <w:rPr>
          <w:rFonts w:ascii="Palatino" w:hAnsi="Palatino" w:eastAsia="Palatino Linotype" w:cs="Palatino Linotype"/>
          <w:sz w:val="26"/>
          <w:szCs w:val="26"/>
        </w:rPr>
        <w:t xml:space="preserve">, </w:t>
      </w:r>
      <w:r w:rsidRPr="00C37204" w:rsidR="000D4F7B">
        <w:rPr>
          <w:rFonts w:ascii="Palatino" w:hAnsi="Palatino"/>
          <w:sz w:val="26"/>
          <w:szCs w:val="26"/>
        </w:rPr>
        <w:t>by submitting a Tier 1 advice letter</w:t>
      </w:r>
      <w:r w:rsidR="001E631B">
        <w:rPr>
          <w:rFonts w:ascii="Palatino" w:hAnsi="Palatino"/>
          <w:sz w:val="26"/>
          <w:szCs w:val="26"/>
        </w:rPr>
        <w:t xml:space="preserve">, the effective date of which </w:t>
      </w:r>
      <w:r w:rsidR="00B24C63">
        <w:rPr>
          <w:rFonts w:ascii="Palatino" w:hAnsi="Palatino"/>
          <w:sz w:val="26"/>
          <w:szCs w:val="26"/>
        </w:rPr>
        <w:t xml:space="preserve">shall be consistent with that requested by the Tier 1 Advice Letters ordered </w:t>
      </w:r>
      <w:r w:rsidR="007051B3">
        <w:rPr>
          <w:rFonts w:ascii="Palatino" w:hAnsi="Palatino"/>
          <w:sz w:val="26"/>
          <w:szCs w:val="26"/>
        </w:rPr>
        <w:t>by Ordering Paragraph 8,</w:t>
      </w:r>
      <w:r w:rsidRPr="00C37204" w:rsidR="000D4F7B">
        <w:rPr>
          <w:rFonts w:ascii="Palatino" w:hAnsi="Palatino"/>
          <w:sz w:val="26"/>
          <w:szCs w:val="26"/>
        </w:rPr>
        <w:t xml:space="preserve"> within 30 days of the issuance of this Resolution.</w:t>
      </w:r>
      <w:r w:rsidRPr="00C37204" w:rsidR="004D238B">
        <w:rPr>
          <w:rFonts w:ascii="Palatino" w:hAnsi="Palatino" w:eastAsia="Palatino Linotype" w:cs="Palatino Linotype"/>
          <w:sz w:val="26"/>
          <w:szCs w:val="26"/>
        </w:rPr>
        <w:t xml:space="preserve"> </w:t>
      </w:r>
    </w:p>
    <w:p w:rsidRPr="00212E21" w:rsidR="00CF17DE" w:rsidRDefault="00CF17DE" w14:paraId="4BCDF939" w14:textId="77777777">
      <w:pPr>
        <w:tabs>
          <w:tab w:val="left" w:pos="720"/>
          <w:tab w:val="left" w:pos="1296"/>
          <w:tab w:val="left" w:pos="2016"/>
          <w:tab w:val="left" w:pos="2736"/>
          <w:tab w:val="left" w:pos="3456"/>
          <w:tab w:val="left" w:pos="4176"/>
          <w:tab w:val="left" w:pos="5760"/>
        </w:tabs>
        <w:rPr>
          <w:rFonts w:ascii="Palatino" w:hAnsi="Palatino"/>
          <w:sz w:val="26"/>
          <w:szCs w:val="26"/>
        </w:rPr>
      </w:pPr>
    </w:p>
    <w:p w:rsidRPr="00212E21" w:rsidR="00CF17DE" w:rsidRDefault="00CF17DE" w14:paraId="37DEE6CF" w14:textId="77777777">
      <w:pPr>
        <w:tabs>
          <w:tab w:val="left" w:pos="720"/>
          <w:tab w:val="left" w:pos="1296"/>
          <w:tab w:val="left" w:pos="2016"/>
          <w:tab w:val="left" w:pos="2736"/>
          <w:tab w:val="left" w:pos="3456"/>
          <w:tab w:val="left" w:pos="4176"/>
          <w:tab w:val="left" w:pos="5760"/>
        </w:tabs>
        <w:rPr>
          <w:rFonts w:ascii="Palatino" w:hAnsi="Palatino"/>
          <w:sz w:val="26"/>
          <w:szCs w:val="26"/>
        </w:rPr>
      </w:pPr>
      <w:r w:rsidRPr="00212E21">
        <w:rPr>
          <w:rFonts w:ascii="Palatino" w:hAnsi="Palatino"/>
          <w:sz w:val="26"/>
          <w:szCs w:val="26"/>
        </w:rPr>
        <w:t>This Resolution is effective today.</w:t>
      </w:r>
    </w:p>
    <w:p w:rsidRPr="00212E21" w:rsidR="00CB42C3" w:rsidRDefault="00CB42C3" w14:paraId="7D496AA3" w14:textId="77777777">
      <w:pPr>
        <w:tabs>
          <w:tab w:val="left" w:pos="720"/>
          <w:tab w:val="left" w:pos="1296"/>
          <w:tab w:val="left" w:pos="2016"/>
          <w:tab w:val="left" w:pos="2736"/>
          <w:tab w:val="left" w:pos="3456"/>
          <w:tab w:val="left" w:pos="4176"/>
          <w:tab w:val="left" w:pos="5760"/>
        </w:tabs>
        <w:rPr>
          <w:rFonts w:ascii="Palatino" w:hAnsi="Palatino"/>
          <w:sz w:val="26"/>
          <w:szCs w:val="26"/>
        </w:rPr>
      </w:pPr>
    </w:p>
    <w:p w:rsidRPr="00212E21" w:rsidR="00CF17DE" w:rsidRDefault="00CF17DE" w14:paraId="048CEE72" w14:textId="7CFE2F41">
      <w:pPr>
        <w:rPr>
          <w:rFonts w:ascii="Palatino" w:hAnsi="Palatino"/>
          <w:snapToGrid w:val="0"/>
          <w:sz w:val="26"/>
          <w:szCs w:val="26"/>
        </w:rPr>
      </w:pPr>
      <w:r w:rsidRPr="00212E21">
        <w:rPr>
          <w:rFonts w:ascii="Palatino" w:hAnsi="Palatino"/>
          <w:snapToGrid w:val="0"/>
          <w:sz w:val="26"/>
          <w:szCs w:val="26"/>
        </w:rPr>
        <w:t xml:space="preserve">I certify that the foregoing resolution was duly introduced, passed and adopted at a conference of the Public Utilities Commission of the State of California held on </w:t>
      </w:r>
      <w:r w:rsidR="009A09BC">
        <w:rPr>
          <w:rFonts w:ascii="Palatino" w:hAnsi="Palatino"/>
          <w:snapToGrid w:val="0"/>
          <w:sz w:val="26"/>
          <w:szCs w:val="26"/>
        </w:rPr>
        <w:t>March 4</w:t>
      </w:r>
      <w:r w:rsidR="00AE07E4">
        <w:rPr>
          <w:rFonts w:ascii="Palatino" w:hAnsi="Palatino"/>
          <w:snapToGrid w:val="0"/>
          <w:sz w:val="26"/>
          <w:szCs w:val="26"/>
        </w:rPr>
        <w:t>, 2021</w:t>
      </w:r>
      <w:r w:rsidRPr="00212E21">
        <w:rPr>
          <w:rFonts w:ascii="Palatino" w:hAnsi="Palatino"/>
          <w:snapToGrid w:val="0"/>
          <w:sz w:val="26"/>
          <w:szCs w:val="26"/>
        </w:rPr>
        <w:t>; the following Commissioners voting favorably thereon:</w:t>
      </w:r>
    </w:p>
    <w:p w:rsidRPr="00212E21" w:rsidR="00CF17DE" w:rsidRDefault="00CF17DE" w14:paraId="2DA44F60" w14:textId="77777777">
      <w:pPr>
        <w:tabs>
          <w:tab w:val="left" w:pos="720"/>
          <w:tab w:val="left" w:pos="1152"/>
          <w:tab w:val="left" w:pos="1728"/>
          <w:tab w:val="left" w:pos="3168"/>
          <w:tab w:val="left" w:pos="5040"/>
        </w:tabs>
        <w:ind w:right="144"/>
        <w:rPr>
          <w:rFonts w:ascii="Palatino" w:hAnsi="Palatino"/>
          <w:sz w:val="26"/>
          <w:szCs w:val="26"/>
        </w:rPr>
      </w:pPr>
    </w:p>
    <w:p w:rsidRPr="00212E21" w:rsidR="00CF17DE" w:rsidRDefault="00CF17DE" w14:paraId="1385E60D" w14:textId="77777777">
      <w:pPr>
        <w:tabs>
          <w:tab w:val="left" w:pos="720"/>
          <w:tab w:val="left" w:pos="1152"/>
          <w:tab w:val="left" w:pos="1728"/>
          <w:tab w:val="left" w:pos="3168"/>
          <w:tab w:val="left" w:pos="5040"/>
        </w:tabs>
        <w:ind w:right="144"/>
        <w:rPr>
          <w:rFonts w:ascii="Palatino" w:hAnsi="Palatino"/>
          <w:sz w:val="26"/>
          <w:szCs w:val="26"/>
        </w:rPr>
      </w:pPr>
    </w:p>
    <w:p w:rsidRPr="00212E21" w:rsidR="00CF17DE" w:rsidRDefault="00CF17DE" w14:paraId="12D741D7" w14:textId="77777777">
      <w:pPr>
        <w:tabs>
          <w:tab w:val="left" w:pos="720"/>
          <w:tab w:val="left" w:pos="1152"/>
          <w:tab w:val="left" w:pos="1728"/>
          <w:tab w:val="left" w:pos="3168"/>
          <w:tab w:val="left" w:pos="5040"/>
        </w:tabs>
        <w:ind w:right="144"/>
        <w:rPr>
          <w:rFonts w:ascii="Palatino" w:hAnsi="Palatino"/>
          <w:sz w:val="26"/>
          <w:szCs w:val="26"/>
        </w:rPr>
      </w:pPr>
    </w:p>
    <w:p w:rsidRPr="00212E21" w:rsidR="00CF17DE" w:rsidRDefault="00CF17DE" w14:paraId="670582A9" w14:textId="77777777">
      <w:pPr>
        <w:tabs>
          <w:tab w:val="left" w:pos="720"/>
          <w:tab w:val="left" w:pos="1152"/>
          <w:tab w:val="left" w:pos="1728"/>
          <w:tab w:val="left" w:pos="3168"/>
          <w:tab w:val="left" w:pos="5040"/>
        </w:tabs>
        <w:ind w:right="144"/>
        <w:rPr>
          <w:rFonts w:ascii="Palatino" w:hAnsi="Palatino"/>
          <w:sz w:val="26"/>
          <w:szCs w:val="26"/>
        </w:rPr>
      </w:pPr>
    </w:p>
    <w:p w:rsidRPr="00212E21" w:rsidR="00CF17DE" w:rsidRDefault="00CF17DE" w14:paraId="59727804" w14:textId="77777777">
      <w:pPr>
        <w:tabs>
          <w:tab w:val="left" w:pos="720"/>
          <w:tab w:val="left" w:pos="1152"/>
          <w:tab w:val="left" w:pos="1728"/>
          <w:tab w:val="left" w:pos="3168"/>
          <w:tab w:val="left" w:pos="5040"/>
        </w:tabs>
        <w:ind w:right="144"/>
        <w:rPr>
          <w:rFonts w:ascii="Palatino" w:hAnsi="Palatino"/>
          <w:sz w:val="26"/>
          <w:szCs w:val="26"/>
        </w:rPr>
      </w:pP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t>_______________</w:t>
      </w:r>
      <w:r w:rsidRPr="00212E21" w:rsidR="008E6797">
        <w:rPr>
          <w:rFonts w:ascii="Palatino" w:hAnsi="Palatino"/>
          <w:sz w:val="26"/>
          <w:szCs w:val="26"/>
        </w:rPr>
        <w:t>______</w:t>
      </w:r>
    </w:p>
    <w:p w:rsidRPr="00212E21" w:rsidR="00CF17DE" w:rsidRDefault="00CF17DE" w14:paraId="17731D81" w14:textId="64C1FA8A">
      <w:pPr>
        <w:rPr>
          <w:rFonts w:ascii="Palatino" w:hAnsi="Palatino"/>
          <w:sz w:val="26"/>
          <w:szCs w:val="26"/>
        </w:rPr>
      </w:pP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00894A08">
        <w:rPr>
          <w:rFonts w:ascii="Palatino" w:hAnsi="Palatino"/>
          <w:sz w:val="26"/>
          <w:szCs w:val="26"/>
        </w:rPr>
        <w:t>RACHEL PETERSON</w:t>
      </w:r>
    </w:p>
    <w:p w:rsidRPr="00212E21" w:rsidR="00CF17DE" w:rsidRDefault="00CF17DE" w14:paraId="363F8E7E" w14:textId="0535FBEA">
      <w:pPr>
        <w:rPr>
          <w:rFonts w:ascii="Palatino" w:hAnsi="Palatino"/>
          <w:sz w:val="26"/>
          <w:szCs w:val="26"/>
        </w:rPr>
      </w:pP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sz w:val="26"/>
          <w:szCs w:val="26"/>
        </w:rPr>
        <w:tab/>
      </w:r>
      <w:r w:rsidRPr="00212E21">
        <w:rPr>
          <w:rFonts w:ascii="Palatino" w:hAnsi="Palatino"/>
        </w:rPr>
        <w:tab/>
      </w:r>
      <w:r w:rsidRPr="00212E21">
        <w:rPr>
          <w:rFonts w:ascii="Palatino" w:hAnsi="Palatino"/>
          <w:sz w:val="26"/>
          <w:szCs w:val="26"/>
        </w:rPr>
        <w:t>Executive Director</w:t>
      </w:r>
    </w:p>
    <w:sectPr w:rsidRPr="00212E21"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E6A7" w14:textId="77777777" w:rsidR="00233860" w:rsidRDefault="00233860">
      <w:r>
        <w:separator/>
      </w:r>
    </w:p>
  </w:endnote>
  <w:endnote w:type="continuationSeparator" w:id="0">
    <w:p w14:paraId="676A5FEC" w14:textId="77777777" w:rsidR="00233860" w:rsidRDefault="00233860">
      <w:r>
        <w:continuationSeparator/>
      </w:r>
    </w:p>
  </w:endnote>
  <w:endnote w:type="continuationNotice" w:id="1">
    <w:p w14:paraId="427228CE" w14:textId="77777777" w:rsidR="00233860" w:rsidRDefault="00233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11B" w14:textId="77777777" w:rsidR="002C2C39" w:rsidRDefault="002C2C3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3D63" w14:textId="46D514FB" w:rsidR="002C2C39" w:rsidRDefault="00FE0161" w:rsidP="00FE0161">
    <w:pPr>
      <w:pStyle w:val="Footer"/>
      <w:tabs>
        <w:tab w:val="clear" w:pos="4320"/>
        <w:tab w:val="center" w:pos="4680"/>
      </w:tabs>
      <w:jc w:val="left"/>
    </w:pPr>
    <w:r>
      <w:t>360523112</w:t>
    </w:r>
    <w:r>
      <w:tab/>
    </w:r>
    <w:r w:rsidR="002C2C39">
      <w:rPr>
        <w:rStyle w:val="PageNumber"/>
      </w:rPr>
      <w:fldChar w:fldCharType="begin"/>
    </w:r>
    <w:r w:rsidR="002C2C39">
      <w:rPr>
        <w:rStyle w:val="PageNumber"/>
      </w:rPr>
      <w:instrText xml:space="preserve"> PAGE </w:instrText>
    </w:r>
    <w:r w:rsidR="002C2C39">
      <w:rPr>
        <w:rStyle w:val="PageNumber"/>
      </w:rPr>
      <w:fldChar w:fldCharType="separate"/>
    </w:r>
    <w:r w:rsidR="002C2C39">
      <w:rPr>
        <w:rStyle w:val="PageNumber"/>
        <w:noProof/>
      </w:rPr>
      <w:t>1</w:t>
    </w:r>
    <w:r w:rsidR="002C2C3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6009" w14:textId="77777777" w:rsidR="00233860" w:rsidRDefault="00233860">
      <w:r>
        <w:separator/>
      </w:r>
    </w:p>
  </w:footnote>
  <w:footnote w:type="continuationSeparator" w:id="0">
    <w:p w14:paraId="398F5FDE" w14:textId="77777777" w:rsidR="00233860" w:rsidRDefault="00233860">
      <w:r>
        <w:continuationSeparator/>
      </w:r>
    </w:p>
  </w:footnote>
  <w:footnote w:type="continuationNotice" w:id="1">
    <w:p w14:paraId="3F370803" w14:textId="77777777" w:rsidR="00233860" w:rsidRDefault="00233860">
      <w:pPr>
        <w:rPr>
          <w:sz w:val="22"/>
        </w:rPr>
      </w:pPr>
    </w:p>
    <w:p w14:paraId="3D3B3F45" w14:textId="77777777" w:rsidR="00233860" w:rsidRDefault="00233860">
      <w:pPr>
        <w:jc w:val="right"/>
        <w:rPr>
          <w:sz w:val="22"/>
        </w:rPr>
      </w:pPr>
      <w:r>
        <w:rPr>
          <w:i/>
          <w:sz w:val="22"/>
        </w:rPr>
        <w:t>Footnote continued on next page</w:t>
      </w:r>
    </w:p>
  </w:footnote>
  <w:footnote w:id="2">
    <w:p w14:paraId="08A351D0" w14:textId="18B564EB" w:rsidR="00172BF0" w:rsidRPr="00172BF0" w:rsidRDefault="00172BF0" w:rsidP="00172BF0">
      <w:pPr>
        <w:pStyle w:val="FootnoteText"/>
        <w:numPr>
          <w:ilvl w:val="0"/>
          <w:numId w:val="0"/>
        </w:numPr>
        <w:rPr>
          <w:sz w:val="22"/>
          <w:szCs w:val="22"/>
        </w:rPr>
      </w:pPr>
      <w:r w:rsidRPr="00172BF0">
        <w:rPr>
          <w:rStyle w:val="FootnoteReference"/>
          <w:sz w:val="22"/>
          <w:szCs w:val="22"/>
        </w:rPr>
        <w:footnoteRef/>
      </w:r>
      <w:r w:rsidRPr="00172BF0">
        <w:rPr>
          <w:sz w:val="22"/>
          <w:szCs w:val="22"/>
        </w:rPr>
        <w:t xml:space="preserve"> The Fast Track </w:t>
      </w:r>
      <w:r w:rsidR="009A65E5">
        <w:rPr>
          <w:sz w:val="22"/>
          <w:szCs w:val="22"/>
        </w:rPr>
        <w:t xml:space="preserve">interconnection </w:t>
      </w:r>
      <w:r w:rsidRPr="00172BF0">
        <w:rPr>
          <w:sz w:val="22"/>
          <w:szCs w:val="22"/>
        </w:rPr>
        <w:t>process is a streamlined review process</w:t>
      </w:r>
      <w:r w:rsidR="009A65E5">
        <w:rPr>
          <w:sz w:val="22"/>
          <w:szCs w:val="22"/>
        </w:rPr>
        <w:t>,</w:t>
      </w:r>
      <w:r w:rsidRPr="00172BF0" w:rsidDel="00B27498">
        <w:rPr>
          <w:sz w:val="22"/>
          <w:szCs w:val="22"/>
        </w:rPr>
        <w:t xml:space="preserve"> </w:t>
      </w:r>
      <w:r w:rsidR="00AC4DDA">
        <w:rPr>
          <w:sz w:val="22"/>
          <w:szCs w:val="22"/>
        </w:rPr>
        <w:t xml:space="preserve">eligibility for which is determined </w:t>
      </w:r>
      <w:r w:rsidRPr="00172BF0">
        <w:rPr>
          <w:sz w:val="22"/>
          <w:szCs w:val="22"/>
        </w:rPr>
        <w:t>based on multiple evaluation screens</w:t>
      </w:r>
      <w:r w:rsidR="00AC4DDA">
        <w:rPr>
          <w:sz w:val="22"/>
          <w:szCs w:val="22"/>
        </w:rPr>
        <w:t>, that is intended</w:t>
      </w:r>
      <w:r w:rsidRPr="00172BF0">
        <w:rPr>
          <w:sz w:val="22"/>
          <w:szCs w:val="22"/>
        </w:rPr>
        <w:t xml:space="preserve"> for </w:t>
      </w:r>
      <w:r w:rsidR="00AC4DDA">
        <w:rPr>
          <w:sz w:val="22"/>
          <w:szCs w:val="22"/>
        </w:rPr>
        <w:t>generating</w:t>
      </w:r>
      <w:r w:rsidRPr="00172BF0">
        <w:rPr>
          <w:sz w:val="22"/>
          <w:szCs w:val="22"/>
        </w:rPr>
        <w:t xml:space="preserve"> facilities</w:t>
      </w:r>
      <w:r w:rsidR="00AC4DDA">
        <w:rPr>
          <w:sz w:val="22"/>
          <w:szCs w:val="22"/>
        </w:rPr>
        <w:t xml:space="preserve"> that </w:t>
      </w:r>
      <w:r w:rsidR="00B473C7">
        <w:rPr>
          <w:sz w:val="22"/>
          <w:szCs w:val="22"/>
        </w:rPr>
        <w:t>will not require distribution system upgrades in order to interconnect</w:t>
      </w:r>
      <w:r w:rsidRPr="00172BF0">
        <w:rPr>
          <w:sz w:val="22"/>
          <w:szCs w:val="22"/>
        </w:rPr>
        <w:t>.</w:t>
      </w:r>
    </w:p>
  </w:footnote>
  <w:footnote w:id="3">
    <w:p w14:paraId="4122A817" w14:textId="607A2F1E" w:rsidR="002C2C39" w:rsidRDefault="002C2C39" w:rsidP="002D3C5B">
      <w:pPr>
        <w:pStyle w:val="FootnoteText"/>
        <w:numPr>
          <w:ilvl w:val="0"/>
          <w:numId w:val="0"/>
        </w:numPr>
        <w:spacing w:after="120"/>
      </w:pPr>
      <w:r w:rsidRPr="00FD441C">
        <w:rPr>
          <w:rStyle w:val="FootnoteReference"/>
          <w:sz w:val="22"/>
          <w:szCs w:val="22"/>
        </w:rPr>
        <w:footnoteRef/>
      </w:r>
      <w:r w:rsidRPr="00FD441C">
        <w:rPr>
          <w:rFonts w:eastAsia="Arial Unicode MS" w:cs="Arial Unicode MS"/>
        </w:rPr>
        <w:t xml:space="preserve">  </w:t>
      </w:r>
      <w:r w:rsidRPr="00FD441C">
        <w:rPr>
          <w:rFonts w:eastAsia="Arial Unicode MS" w:cs="Arial Unicode MS"/>
          <w:sz w:val="22"/>
          <w:szCs w:val="22"/>
        </w:rPr>
        <w:t>The Rule 21 tariff describes the interconnection, operating, and metering requirements for certain generating and storage facilities seeking to connect to the electric distribution system.  Rule 21 provides customers access to the electric grid to install generating or storage facilities while protecting the safety and reliability of the distribution and transmission systems at the local and system levels.</w:t>
      </w:r>
      <w:r>
        <w:rPr>
          <w:rFonts w:eastAsia="Arial Unicode MS" w:cs="Arial Unicode MS"/>
          <w:sz w:val="22"/>
          <w:szCs w:val="22"/>
        </w:rPr>
        <w:t xml:space="preserve"> </w:t>
      </w:r>
    </w:p>
  </w:footnote>
  <w:footnote w:id="4">
    <w:p w14:paraId="6997449B" w14:textId="5D1AB508" w:rsidR="002C2C39" w:rsidRDefault="002C2C39" w:rsidP="002D3C5B">
      <w:pPr>
        <w:pStyle w:val="FootnoteText"/>
        <w:numPr>
          <w:ilvl w:val="0"/>
          <w:numId w:val="0"/>
        </w:numPr>
        <w:spacing w:after="120"/>
      </w:pPr>
      <w:r w:rsidRPr="00FD441C">
        <w:rPr>
          <w:rStyle w:val="FootnoteReference"/>
          <w:sz w:val="22"/>
          <w:szCs w:val="22"/>
        </w:rPr>
        <w:footnoteRef/>
      </w:r>
      <w:r w:rsidRPr="00FD441C">
        <w:rPr>
          <w:rFonts w:eastAsia="Arial Unicode MS" w:cs="Arial Unicode MS"/>
          <w:sz w:val="22"/>
          <w:szCs w:val="22"/>
        </w:rPr>
        <w:t xml:space="preserve"> </w:t>
      </w:r>
      <w:r w:rsidRPr="00FD441C">
        <w:rPr>
          <w:rFonts w:eastAsia="Arial Unicode MS"/>
          <w:sz w:val="22"/>
          <w:szCs w:val="22"/>
        </w:rPr>
        <w:t xml:space="preserve"> The Smart Inverter Working Group grew out of a collaboration between the </w:t>
      </w:r>
      <w:r w:rsidR="003E3E9F">
        <w:rPr>
          <w:rFonts w:eastAsia="Arial Unicode MS"/>
          <w:sz w:val="22"/>
          <w:szCs w:val="22"/>
        </w:rPr>
        <w:t xml:space="preserve">CPUC </w:t>
      </w:r>
      <w:r w:rsidRPr="00FD441C">
        <w:rPr>
          <w:rFonts w:eastAsia="Arial Unicode MS"/>
          <w:sz w:val="22"/>
          <w:szCs w:val="22"/>
        </w:rPr>
        <w:t xml:space="preserve">and </w:t>
      </w:r>
      <w:r w:rsidRPr="00B33C01">
        <w:rPr>
          <w:rFonts w:eastAsia="Arial Unicode MS"/>
          <w:sz w:val="22"/>
          <w:szCs w:val="22"/>
        </w:rPr>
        <w:t xml:space="preserve">the California Energy Commission in early 2013.  The collaboration identified the development of advanced inverter functionality as an important strategy to mitigate </w:t>
      </w:r>
      <w:r w:rsidRPr="00B33C01">
        <w:rPr>
          <w:rFonts w:eastAsia="Arial Unicode MS"/>
          <w:sz w:val="22"/>
          <w:szCs w:val="22"/>
          <w:lang w:val="en"/>
        </w:rPr>
        <w:t>the impact of high penetrations of distributed energy resources</w:t>
      </w:r>
      <w:r w:rsidRPr="00B33C01">
        <w:rPr>
          <w:rFonts w:eastAsia="Arial Unicode MS"/>
          <w:sz w:val="22"/>
          <w:szCs w:val="22"/>
        </w:rPr>
        <w:t>.</w:t>
      </w:r>
    </w:p>
  </w:footnote>
  <w:footnote w:id="5">
    <w:p w14:paraId="68151BC9" w14:textId="6AEEF3B9" w:rsidR="002C2C39" w:rsidRPr="005D29F9" w:rsidRDefault="002C2C39" w:rsidP="005D29F9">
      <w:pPr>
        <w:autoSpaceDE w:val="0"/>
        <w:autoSpaceDN w:val="0"/>
        <w:adjustRightInd w:val="0"/>
        <w:rPr>
          <w:sz w:val="22"/>
          <w:szCs w:val="22"/>
        </w:rPr>
      </w:pPr>
      <w:r w:rsidRPr="005D29F9">
        <w:rPr>
          <w:rStyle w:val="FootnoteReference"/>
          <w:sz w:val="22"/>
          <w:szCs w:val="22"/>
        </w:rPr>
        <w:footnoteRef/>
      </w:r>
      <w:r w:rsidRPr="005D29F9">
        <w:rPr>
          <w:sz w:val="22"/>
          <w:szCs w:val="22"/>
        </w:rPr>
        <w:t xml:space="preserve"> </w:t>
      </w:r>
      <w:r>
        <w:rPr>
          <w:sz w:val="22"/>
          <w:szCs w:val="22"/>
        </w:rPr>
        <w:t xml:space="preserve"> </w:t>
      </w:r>
      <w:r w:rsidRPr="005D29F9">
        <w:rPr>
          <w:sz w:val="22"/>
          <w:szCs w:val="22"/>
        </w:rPr>
        <w:t>In response to a January 25, 2018 motion filed by the California Solar Energy Industries Association, the Administrative Law Judge issued a ruling on February 14, 2018 that reassigned Issue 6 from the Smart Inverter Working Group to Working Group Two.</w:t>
      </w:r>
    </w:p>
  </w:footnote>
  <w:footnote w:id="6">
    <w:p w14:paraId="7AB989D4" w14:textId="77777777" w:rsidR="00046028" w:rsidRDefault="00046028" w:rsidP="00046028">
      <w:r>
        <w:rPr>
          <w:rStyle w:val="FootnoteReference"/>
        </w:rPr>
        <w:footnoteRef/>
      </w:r>
      <w:r>
        <w:t xml:space="preserve"> D.</w:t>
      </w:r>
      <w:r>
        <w:rPr>
          <w:rFonts w:ascii="Times" w:hAnsi="Times"/>
          <w:color w:val="000000"/>
          <w:sz w:val="22"/>
          <w:szCs w:val="22"/>
        </w:rPr>
        <w:t xml:space="preserve">00-12-037 at 9; D.12-09-018 at 33; D.14-04-003 at 31. </w:t>
      </w:r>
    </w:p>
    <w:p w14:paraId="3AE97457" w14:textId="77777777" w:rsidR="00046028" w:rsidRDefault="00046028" w:rsidP="00046028"/>
    <w:p w14:paraId="2920FDDB" w14:textId="77777777" w:rsidR="00046028" w:rsidRDefault="00046028" w:rsidP="00046028">
      <w:pPr>
        <w:pStyle w:val="FootnoteText"/>
        <w:numPr>
          <w:ilvl w:val="0"/>
          <w:numId w:val="0"/>
        </w:numPr>
      </w:pPr>
    </w:p>
  </w:footnote>
  <w:footnote w:id="7">
    <w:p w14:paraId="4F3EA267" w14:textId="275043F2" w:rsidR="00666CA1" w:rsidRPr="00F4133B" w:rsidRDefault="00666CA1" w:rsidP="00D10C93">
      <w:pPr>
        <w:pStyle w:val="FootnoteText"/>
        <w:numPr>
          <w:ilvl w:val="0"/>
          <w:numId w:val="0"/>
        </w:numPr>
        <w:rPr>
          <w:sz w:val="22"/>
          <w:szCs w:val="22"/>
        </w:rPr>
      </w:pPr>
      <w:r w:rsidRPr="00F4133B">
        <w:rPr>
          <w:rStyle w:val="FootnoteReference"/>
          <w:sz w:val="22"/>
          <w:szCs w:val="22"/>
        </w:rPr>
        <w:footnoteRef/>
      </w:r>
      <w:r w:rsidRPr="00F4133B">
        <w:rPr>
          <w:sz w:val="22"/>
          <w:szCs w:val="22"/>
        </w:rPr>
        <w:t xml:space="preserve"> </w:t>
      </w:r>
      <w:r w:rsidR="00C46840" w:rsidRPr="00F4133B">
        <w:rPr>
          <w:sz w:val="22"/>
          <w:szCs w:val="22"/>
        </w:rPr>
        <w:t xml:space="preserve">March </w:t>
      </w:r>
      <w:r w:rsidR="00D10C93" w:rsidRPr="00F4133B">
        <w:rPr>
          <w:sz w:val="22"/>
          <w:szCs w:val="22"/>
        </w:rPr>
        <w:t>Report at 48.</w:t>
      </w:r>
    </w:p>
  </w:footnote>
  <w:footnote w:id="8">
    <w:p w14:paraId="09CD525A" w14:textId="4E827EAE" w:rsidR="00CC3091" w:rsidRDefault="00CC3091" w:rsidP="00CC3091">
      <w:pPr>
        <w:pStyle w:val="FootnoteText"/>
        <w:numPr>
          <w:ilvl w:val="0"/>
          <w:numId w:val="0"/>
        </w:numPr>
      </w:pPr>
      <w:r w:rsidRPr="00F4133B">
        <w:rPr>
          <w:rStyle w:val="FootnoteReference"/>
          <w:sz w:val="22"/>
          <w:szCs w:val="22"/>
        </w:rPr>
        <w:footnoteRef/>
      </w:r>
      <w:r w:rsidRPr="00F4133B">
        <w:rPr>
          <w:sz w:val="22"/>
          <w:szCs w:val="22"/>
        </w:rPr>
        <w:t xml:space="preserve"> D.19-03-013 at 25.</w:t>
      </w:r>
    </w:p>
  </w:footnote>
  <w:footnote w:id="9">
    <w:p w14:paraId="1E92EBD0" w14:textId="77777777" w:rsidR="00592B53" w:rsidRPr="00020394" w:rsidRDefault="00592B53" w:rsidP="00592B53">
      <w:pPr>
        <w:pStyle w:val="FootnoteText"/>
        <w:numPr>
          <w:ilvl w:val="0"/>
          <w:numId w:val="0"/>
        </w:numPr>
        <w:rPr>
          <w:sz w:val="22"/>
          <w:szCs w:val="22"/>
        </w:rPr>
      </w:pPr>
      <w:r w:rsidRPr="00020394">
        <w:rPr>
          <w:rStyle w:val="FootnoteReference"/>
          <w:sz w:val="22"/>
          <w:szCs w:val="22"/>
        </w:rPr>
        <w:footnoteRef/>
      </w:r>
      <w:r w:rsidRPr="00020394">
        <w:rPr>
          <w:sz w:val="22"/>
          <w:szCs w:val="22"/>
        </w:rPr>
        <w:t xml:space="preserve"> The proposed changes are primarily housed in Rule 21 Sections C and F.</w:t>
      </w:r>
    </w:p>
  </w:footnote>
  <w:footnote w:id="10">
    <w:p w14:paraId="41EFE893" w14:textId="5E86426B" w:rsidR="002C7633" w:rsidRDefault="002C7633" w:rsidP="002C7633">
      <w:pPr>
        <w:pStyle w:val="FootnoteText"/>
        <w:numPr>
          <w:ilvl w:val="0"/>
          <w:numId w:val="0"/>
        </w:numPr>
      </w:pPr>
      <w:r w:rsidRPr="00020394">
        <w:rPr>
          <w:rStyle w:val="FootnoteReference"/>
          <w:sz w:val="22"/>
          <w:szCs w:val="22"/>
        </w:rPr>
        <w:footnoteRef/>
      </w:r>
      <w:r w:rsidRPr="00020394">
        <w:rPr>
          <w:sz w:val="22"/>
          <w:szCs w:val="22"/>
        </w:rPr>
        <w:t xml:space="preserve"> This will require modifications to each </w:t>
      </w:r>
      <w:r w:rsidR="00870AF0" w:rsidRPr="00020394">
        <w:rPr>
          <w:sz w:val="22"/>
          <w:szCs w:val="22"/>
        </w:rPr>
        <w:t>Utility</w:t>
      </w:r>
      <w:r w:rsidRPr="00020394">
        <w:rPr>
          <w:sz w:val="22"/>
          <w:szCs w:val="22"/>
        </w:rPr>
        <w:t>’s proposed tariff changes within Rule 21 Sections C and F.</w:t>
      </w:r>
      <w:r>
        <w:t xml:space="preserve">  </w:t>
      </w:r>
    </w:p>
  </w:footnote>
  <w:footnote w:id="11">
    <w:p w14:paraId="122DF2F4" w14:textId="77777777" w:rsidR="00317773" w:rsidRPr="00822932" w:rsidRDefault="00317773" w:rsidP="00317773">
      <w:pPr>
        <w:pStyle w:val="FootnoteText"/>
        <w:numPr>
          <w:ilvl w:val="0"/>
          <w:numId w:val="0"/>
        </w:numPr>
        <w:rPr>
          <w:sz w:val="22"/>
          <w:szCs w:val="22"/>
        </w:rPr>
      </w:pPr>
      <w:r w:rsidRPr="00B95367">
        <w:rPr>
          <w:rStyle w:val="FootnoteReference"/>
          <w:sz w:val="22"/>
          <w:szCs w:val="22"/>
        </w:rPr>
        <w:footnoteRef/>
      </w:r>
      <w:r w:rsidRPr="00B95367">
        <w:rPr>
          <w:sz w:val="22"/>
          <w:szCs w:val="22"/>
        </w:rPr>
        <w:t xml:space="preserve"> </w:t>
      </w:r>
      <w:r w:rsidRPr="00822932">
        <w:rPr>
          <w:sz w:val="22"/>
          <w:szCs w:val="22"/>
        </w:rPr>
        <w:t xml:space="preserve">D.19-03-013 at </w:t>
      </w:r>
      <w:r>
        <w:rPr>
          <w:sz w:val="22"/>
          <w:szCs w:val="22"/>
        </w:rPr>
        <w:t>30</w:t>
      </w:r>
      <w:r w:rsidRPr="00822932">
        <w:rPr>
          <w:sz w:val="22"/>
          <w:szCs w:val="22"/>
        </w:rPr>
        <w:t>.</w:t>
      </w:r>
    </w:p>
  </w:footnote>
  <w:footnote w:id="12">
    <w:p w14:paraId="73E8891F" w14:textId="6C092B55" w:rsidR="00FC54BF" w:rsidRPr="00FC54BF" w:rsidRDefault="00FC54BF" w:rsidP="00FC54BF">
      <w:pPr>
        <w:pStyle w:val="FootnoteText"/>
        <w:numPr>
          <w:ilvl w:val="0"/>
          <w:numId w:val="0"/>
        </w:numPr>
        <w:rPr>
          <w:sz w:val="22"/>
          <w:szCs w:val="22"/>
        </w:rPr>
      </w:pPr>
      <w:r w:rsidRPr="00FC54BF">
        <w:rPr>
          <w:rStyle w:val="FootnoteReference"/>
          <w:sz w:val="22"/>
          <w:szCs w:val="22"/>
        </w:rPr>
        <w:footnoteRef/>
      </w:r>
      <w:r w:rsidRPr="00FC54BF">
        <w:rPr>
          <w:sz w:val="22"/>
          <w:szCs w:val="22"/>
        </w:rPr>
        <w:t xml:space="preserve"> D.19-03-013 Conclusion of Law 16 contained a typographical error that was corrected via D.20-07-040 on July 17, 2020, pursuant to Rule 16.5. The version quoted here reflects version corrected pursuant to D.20-07-040 Ordering Paragraph 1.</w:t>
      </w:r>
    </w:p>
  </w:footnote>
  <w:footnote w:id="13">
    <w:p w14:paraId="3E6CFDA2" w14:textId="627D3428" w:rsidR="00FC54BF" w:rsidRDefault="00FC54BF" w:rsidP="00FC54BF">
      <w:pPr>
        <w:pStyle w:val="FootnoteText"/>
        <w:numPr>
          <w:ilvl w:val="0"/>
          <w:numId w:val="0"/>
        </w:numPr>
      </w:pPr>
      <w:r>
        <w:rPr>
          <w:rStyle w:val="FootnoteReference"/>
        </w:rPr>
        <w:footnoteRef/>
      </w:r>
      <w:r>
        <w:t xml:space="preserve"> </w:t>
      </w:r>
      <w:r w:rsidRPr="00FC54BF">
        <w:rPr>
          <w:sz w:val="22"/>
          <w:szCs w:val="22"/>
        </w:rPr>
        <w:t>D.19-03-013 at 48, as corrected by D.20-07-040.</w:t>
      </w:r>
    </w:p>
  </w:footnote>
  <w:footnote w:id="14">
    <w:p w14:paraId="6F82CA18" w14:textId="2434C3BA" w:rsidR="00317773" w:rsidRPr="004E2DE4" w:rsidRDefault="00317773" w:rsidP="00317773">
      <w:pPr>
        <w:pStyle w:val="FootnoteText"/>
        <w:numPr>
          <w:ilvl w:val="0"/>
          <w:numId w:val="0"/>
        </w:numPr>
      </w:pPr>
      <w:r w:rsidRPr="00C66950">
        <w:rPr>
          <w:rStyle w:val="FootnoteTextChar"/>
          <w:sz w:val="22"/>
          <w:szCs w:val="22"/>
          <w:vertAlign w:val="superscript"/>
        </w:rPr>
        <w:footnoteRef/>
      </w:r>
      <w:r w:rsidRPr="00C66950">
        <w:rPr>
          <w:sz w:val="22"/>
          <w:szCs w:val="22"/>
          <w:vertAlign w:val="superscript"/>
        </w:rPr>
        <w:t xml:space="preserve"> </w:t>
      </w:r>
      <w:r w:rsidR="00C66950" w:rsidRPr="00FC54BF">
        <w:rPr>
          <w:sz w:val="22"/>
          <w:szCs w:val="22"/>
        </w:rPr>
        <w:t>D.19-03-013 at 48</w:t>
      </w:r>
      <w:r>
        <w:rPr>
          <w:i/>
          <w:iCs/>
        </w:rPr>
        <w:t xml:space="preserve">. </w:t>
      </w:r>
    </w:p>
  </w:footnote>
  <w:footnote w:id="15">
    <w:p w14:paraId="078FF1DC" w14:textId="4D10506B" w:rsidR="00317773" w:rsidRPr="00C66950" w:rsidRDefault="00317773" w:rsidP="00317773">
      <w:pPr>
        <w:pStyle w:val="FootnoteText"/>
        <w:numPr>
          <w:ilvl w:val="0"/>
          <w:numId w:val="0"/>
        </w:numPr>
        <w:rPr>
          <w:sz w:val="22"/>
          <w:szCs w:val="22"/>
        </w:rPr>
      </w:pPr>
      <w:r w:rsidRPr="00C66950">
        <w:rPr>
          <w:rStyle w:val="FootnoteTextChar"/>
          <w:rFonts w:ascii="Times New Roman" w:hAnsi="Times New Roman"/>
          <w:sz w:val="22"/>
          <w:szCs w:val="22"/>
          <w:vertAlign w:val="superscript"/>
        </w:rPr>
        <w:footnoteRef/>
      </w:r>
      <w:r w:rsidRPr="00C66950">
        <w:rPr>
          <w:sz w:val="22"/>
          <w:szCs w:val="22"/>
          <w:vertAlign w:val="superscript"/>
        </w:rPr>
        <w:t xml:space="preserve"> </w:t>
      </w:r>
      <w:r w:rsidRPr="00C66950">
        <w:rPr>
          <w:i/>
          <w:iCs/>
          <w:sz w:val="22"/>
          <w:szCs w:val="22"/>
        </w:rPr>
        <w:t>Id.</w:t>
      </w:r>
      <w:r w:rsidRPr="00C66950">
        <w:rPr>
          <w:sz w:val="22"/>
          <w:szCs w:val="22"/>
        </w:rPr>
        <w:t xml:space="preserve"> at 50</w:t>
      </w:r>
      <w:r w:rsidR="00C66950" w:rsidRPr="00C66950">
        <w:rPr>
          <w:sz w:val="22"/>
          <w:szCs w:val="22"/>
        </w:rPr>
        <w:t>.</w:t>
      </w:r>
    </w:p>
  </w:footnote>
  <w:footnote w:id="16">
    <w:p w14:paraId="0D7BB2A2" w14:textId="49B20255" w:rsidR="00DD38D9" w:rsidRPr="00DD38D9" w:rsidRDefault="00DD38D9" w:rsidP="00DD38D9">
      <w:pPr>
        <w:pStyle w:val="FootnoteText"/>
        <w:numPr>
          <w:ilvl w:val="0"/>
          <w:numId w:val="0"/>
        </w:numPr>
      </w:pPr>
      <w:r>
        <w:rPr>
          <w:rStyle w:val="FootnoteReference"/>
        </w:rPr>
        <w:footnoteRef/>
      </w:r>
      <w:r>
        <w:t xml:space="preserve"> </w:t>
      </w:r>
      <w:r>
        <w:rPr>
          <w:i/>
          <w:iCs/>
        </w:rPr>
        <w:t xml:space="preserve">Id. </w:t>
      </w:r>
      <w:r>
        <w:t xml:space="preserve">at </w:t>
      </w:r>
      <w:r w:rsidR="00C66950">
        <w:t xml:space="preserve">24. </w:t>
      </w:r>
    </w:p>
  </w:footnote>
  <w:footnote w:id="17">
    <w:p w14:paraId="5F0A7FAB" w14:textId="325882E5" w:rsidR="00F7211A" w:rsidRDefault="00F7211A" w:rsidP="00F7211A">
      <w:pPr>
        <w:pStyle w:val="FootnoteText"/>
        <w:numPr>
          <w:ilvl w:val="0"/>
          <w:numId w:val="0"/>
        </w:numPr>
      </w:pPr>
      <w:r>
        <w:rPr>
          <w:rStyle w:val="FootnoteReference"/>
        </w:rPr>
        <w:footnoteRef/>
      </w:r>
      <w:r>
        <w:t xml:space="preserve"> </w:t>
      </w:r>
      <w:r w:rsidR="00702E97">
        <w:t>The Sc</w:t>
      </w:r>
      <w:r w:rsidR="001A15AD">
        <w:t>r</w:t>
      </w:r>
      <w:r w:rsidR="00702E97">
        <w:t xml:space="preserve">een Q exemption language can be found in each </w:t>
      </w:r>
      <w:r w:rsidR="00870AF0" w:rsidRPr="00870AF0">
        <w:t>Utility</w:t>
      </w:r>
      <w:r w:rsidR="00702E97">
        <w:t>’s Rule 21 Section G.</w:t>
      </w:r>
      <w:r w:rsidR="001A15AD">
        <w:t>3.a.</w:t>
      </w:r>
    </w:p>
  </w:footnote>
  <w:footnote w:id="18">
    <w:p w14:paraId="21CD31C2" w14:textId="728F4D83" w:rsidR="00810243" w:rsidRDefault="00810243" w:rsidP="00810243">
      <w:pPr>
        <w:pStyle w:val="FootnoteText"/>
        <w:numPr>
          <w:ilvl w:val="0"/>
          <w:numId w:val="0"/>
        </w:numPr>
      </w:pPr>
      <w:r>
        <w:rPr>
          <w:rStyle w:val="FootnoteReference"/>
        </w:rPr>
        <w:footnoteRef/>
      </w:r>
      <w:r>
        <w:t xml:space="preserve"> </w:t>
      </w:r>
      <w:r w:rsidR="009A2FF7">
        <w:t>SDG&amp;E</w:t>
      </w:r>
      <w:r>
        <w:t xml:space="preserve"> AL </w:t>
      </w:r>
      <w:r w:rsidR="007D4314">
        <w:t>3381</w:t>
      </w:r>
      <w:r>
        <w:t xml:space="preserve">-E-A at </w:t>
      </w:r>
      <w:r w:rsidR="007D4314">
        <w:t>4</w:t>
      </w:r>
      <w:r w:rsidR="005174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349" w14:textId="71CE0FAB" w:rsidR="002C2C39" w:rsidRPr="0014668E" w:rsidRDefault="002C2C39">
    <w:pPr>
      <w:pStyle w:val="Header"/>
      <w:tabs>
        <w:tab w:val="clear" w:pos="4320"/>
        <w:tab w:val="clear" w:pos="8640"/>
        <w:tab w:val="center" w:pos="4680"/>
        <w:tab w:val="right" w:pos="9180"/>
      </w:tabs>
      <w:rPr>
        <w:rFonts w:ascii="Palatino Linotype" w:hAnsi="Palatino Linotype"/>
      </w:rPr>
    </w:pPr>
    <w:r w:rsidRPr="0014668E">
      <w:rPr>
        <w:rFonts w:ascii="Palatino Linotype" w:hAnsi="Palatino Linotype"/>
      </w:rPr>
      <w:t>Resolution E-5035</w:t>
    </w:r>
    <w:r w:rsidRPr="0014668E">
      <w:rPr>
        <w:rFonts w:ascii="Palatino Linotype" w:hAnsi="Palatino Linotype"/>
      </w:rPr>
      <w:tab/>
      <w:t>DRAFT</w:t>
    </w:r>
    <w:r w:rsidRPr="0014668E">
      <w:rPr>
        <w:rFonts w:ascii="Palatino Linotype" w:hAnsi="Palatino Linotype"/>
      </w:rPr>
      <w:tab/>
    </w:r>
    <w:r w:rsidR="009A09BC">
      <w:rPr>
        <w:rFonts w:ascii="Palatino Linotype" w:hAnsi="Palatino Linotype"/>
      </w:rPr>
      <w:t>March</w:t>
    </w:r>
    <w:r w:rsidR="009A09BC" w:rsidRPr="0014668E">
      <w:rPr>
        <w:rFonts w:ascii="Palatino Linotype" w:hAnsi="Palatino Linotype"/>
      </w:rPr>
      <w:t xml:space="preserve"> </w:t>
    </w:r>
    <w:r w:rsidR="009A09BC">
      <w:rPr>
        <w:rFonts w:ascii="Palatino Linotype" w:hAnsi="Palatino Linotype"/>
      </w:rPr>
      <w:t>4</w:t>
    </w:r>
    <w:r w:rsidR="00AE07E4" w:rsidRPr="0014668E">
      <w:rPr>
        <w:rFonts w:ascii="Palatino Linotype" w:hAnsi="Palatino Linotype"/>
      </w:rPr>
      <w:t>, 2021</w:t>
    </w:r>
  </w:p>
  <w:p w14:paraId="279E5C15" w14:textId="078FD5A0" w:rsidR="002C2C39" w:rsidRPr="0014668E" w:rsidRDefault="002C2C39">
    <w:pPr>
      <w:pStyle w:val="Header"/>
      <w:tabs>
        <w:tab w:val="clear" w:pos="4320"/>
        <w:tab w:val="clear" w:pos="8640"/>
        <w:tab w:val="center" w:pos="4680"/>
        <w:tab w:val="right" w:pos="9180"/>
      </w:tabs>
      <w:rPr>
        <w:rFonts w:ascii="Palatino Linotype" w:hAnsi="Palatino Linotype"/>
      </w:rPr>
    </w:pPr>
    <w:r w:rsidRPr="0014668E">
      <w:rPr>
        <w:rFonts w:ascii="Palatino Linotype" w:hAnsi="Palatino Linotype"/>
      </w:rPr>
      <w:t>PG&amp;E 5553-E and 5583-E; SCE 4009-E, 4009-E-A, and 4033-E; and SDG&amp;E 3381-E, 3381-E-A, and 3401-E/SME</w:t>
    </w:r>
  </w:p>
  <w:p w14:paraId="013F4CD4" w14:textId="77777777" w:rsidR="002C2C39" w:rsidRDefault="002C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806" w14:textId="77777777" w:rsidR="002C2C39" w:rsidRPr="008E6797" w:rsidRDefault="002C2C39"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606"/>
    <w:multiLevelType w:val="hybridMultilevel"/>
    <w:tmpl w:val="4CE2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AC1408"/>
    <w:multiLevelType w:val="hybridMultilevel"/>
    <w:tmpl w:val="3F180988"/>
    <w:styleLink w:val="List11"/>
    <w:lvl w:ilvl="0" w:tplc="21B473FA">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A30A3E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9DEA0C2">
      <w:start w:val="1"/>
      <w:numFmt w:val="lowerRoman"/>
      <w:lvlText w:val="%3."/>
      <w:lvlJc w:val="left"/>
      <w:pPr>
        <w:ind w:left="2160" w:hanging="340"/>
      </w:pPr>
      <w:rPr>
        <w:rFonts w:hAnsi="Arial Unicode MS"/>
        <w:caps w:val="0"/>
        <w:smallCaps w:val="0"/>
        <w:strike w:val="0"/>
        <w:dstrike w:val="0"/>
        <w:color w:val="000000"/>
        <w:spacing w:val="0"/>
        <w:w w:val="100"/>
        <w:kern w:val="0"/>
        <w:position w:val="0"/>
        <w:highlight w:val="none"/>
        <w:vertAlign w:val="baseline"/>
      </w:rPr>
    </w:lvl>
    <w:lvl w:ilvl="3" w:tplc="A118C1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3096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E2B192">
      <w:start w:val="1"/>
      <w:numFmt w:val="lowerRoman"/>
      <w:lvlText w:val="%6."/>
      <w:lvlJc w:val="left"/>
      <w:pPr>
        <w:ind w:left="4320" w:hanging="340"/>
      </w:pPr>
      <w:rPr>
        <w:rFonts w:hAnsi="Arial Unicode MS"/>
        <w:caps w:val="0"/>
        <w:smallCaps w:val="0"/>
        <w:strike w:val="0"/>
        <w:dstrike w:val="0"/>
        <w:color w:val="000000"/>
        <w:spacing w:val="0"/>
        <w:w w:val="100"/>
        <w:kern w:val="0"/>
        <w:position w:val="0"/>
        <w:highlight w:val="none"/>
        <w:vertAlign w:val="baseline"/>
      </w:rPr>
    </w:lvl>
    <w:lvl w:ilvl="6" w:tplc="ADDED0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39479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A74BA">
      <w:start w:val="1"/>
      <w:numFmt w:val="lowerRoman"/>
      <w:lvlText w:val="%9."/>
      <w:lvlJc w:val="left"/>
      <w:pPr>
        <w:ind w:left="6480" w:hanging="34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D7"/>
    <w:multiLevelType w:val="hybridMultilevel"/>
    <w:tmpl w:val="3F180988"/>
    <w:numStyleLink w:val="List11"/>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30C47BA"/>
    <w:multiLevelType w:val="hybridMultilevel"/>
    <w:tmpl w:val="BBEAA000"/>
    <w:styleLink w:val="List7"/>
    <w:lvl w:ilvl="0" w:tplc="88580EAC">
      <w:start w:val="1"/>
      <w:numFmt w:val="decimal"/>
      <w:lvlText w:val="%1."/>
      <w:lvlJc w:val="left"/>
      <w:pPr>
        <w:ind w:left="828" w:hanging="468"/>
      </w:pPr>
      <w:rPr>
        <w:rFonts w:hAnsi="Arial Unicode MS"/>
        <w:caps w:val="0"/>
        <w:smallCaps w:val="0"/>
        <w:strike w:val="0"/>
        <w:dstrike w:val="0"/>
        <w:color w:val="000000"/>
        <w:spacing w:val="0"/>
        <w:w w:val="100"/>
        <w:kern w:val="0"/>
        <w:position w:val="0"/>
        <w:highlight w:val="none"/>
        <w:vertAlign w:val="baseline"/>
      </w:rPr>
    </w:lvl>
    <w:lvl w:ilvl="1" w:tplc="31F03F8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B9025B6">
      <w:start w:val="1"/>
      <w:numFmt w:val="lowerRoman"/>
      <w:lvlText w:val="%3."/>
      <w:lvlJc w:val="left"/>
      <w:pPr>
        <w:ind w:left="2160" w:hanging="340"/>
      </w:pPr>
      <w:rPr>
        <w:rFonts w:hAnsi="Arial Unicode MS"/>
        <w:caps w:val="0"/>
        <w:smallCaps w:val="0"/>
        <w:strike w:val="0"/>
        <w:dstrike w:val="0"/>
        <w:color w:val="000000"/>
        <w:spacing w:val="0"/>
        <w:w w:val="100"/>
        <w:kern w:val="0"/>
        <w:position w:val="0"/>
        <w:highlight w:val="none"/>
        <w:vertAlign w:val="baseline"/>
      </w:rPr>
    </w:lvl>
    <w:lvl w:ilvl="3" w:tplc="2EAAB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49052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634BCD6">
      <w:start w:val="1"/>
      <w:numFmt w:val="lowerRoman"/>
      <w:lvlText w:val="%6."/>
      <w:lvlJc w:val="left"/>
      <w:pPr>
        <w:ind w:left="4320" w:hanging="340"/>
      </w:pPr>
      <w:rPr>
        <w:rFonts w:hAnsi="Arial Unicode MS"/>
        <w:caps w:val="0"/>
        <w:smallCaps w:val="0"/>
        <w:strike w:val="0"/>
        <w:dstrike w:val="0"/>
        <w:color w:val="000000"/>
        <w:spacing w:val="0"/>
        <w:w w:val="100"/>
        <w:kern w:val="0"/>
        <w:position w:val="0"/>
        <w:highlight w:val="none"/>
        <w:vertAlign w:val="baseline"/>
      </w:rPr>
    </w:lvl>
    <w:lvl w:ilvl="6" w:tplc="142AFE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07E26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D40CD52">
      <w:start w:val="1"/>
      <w:numFmt w:val="lowerRoman"/>
      <w:lvlText w:val="%9."/>
      <w:lvlJc w:val="left"/>
      <w:pPr>
        <w:ind w:left="6480" w:hanging="34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6F8414F"/>
    <w:multiLevelType w:val="hybridMultilevel"/>
    <w:tmpl w:val="F8AA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9420A"/>
    <w:multiLevelType w:val="hybridMultilevel"/>
    <w:tmpl w:val="7BC840A4"/>
    <w:lvl w:ilvl="0" w:tplc="5F20B60C">
      <w:start w:val="1"/>
      <w:numFmt w:val="bullet"/>
      <w:lvlText w:val=""/>
      <w:lvlJc w:val="left"/>
      <w:pPr>
        <w:ind w:left="720" w:hanging="360"/>
      </w:pPr>
      <w:rPr>
        <w:rFonts w:ascii="Symbol" w:hAnsi="Symbol" w:hint="default"/>
      </w:rPr>
    </w:lvl>
    <w:lvl w:ilvl="1" w:tplc="839EB7C6">
      <w:start w:val="1"/>
      <w:numFmt w:val="bullet"/>
      <w:lvlText w:val="o"/>
      <w:lvlJc w:val="left"/>
      <w:pPr>
        <w:ind w:left="1440" w:hanging="360"/>
      </w:pPr>
      <w:rPr>
        <w:rFonts w:ascii="Courier New" w:hAnsi="Courier New" w:hint="default"/>
      </w:rPr>
    </w:lvl>
    <w:lvl w:ilvl="2" w:tplc="DBC0E386">
      <w:start w:val="1"/>
      <w:numFmt w:val="bullet"/>
      <w:lvlText w:val=""/>
      <w:lvlJc w:val="left"/>
      <w:pPr>
        <w:ind w:left="2160" w:hanging="360"/>
      </w:pPr>
      <w:rPr>
        <w:rFonts w:ascii="Wingdings" w:hAnsi="Wingdings" w:hint="default"/>
      </w:rPr>
    </w:lvl>
    <w:lvl w:ilvl="3" w:tplc="32DCB012">
      <w:start w:val="1"/>
      <w:numFmt w:val="bullet"/>
      <w:lvlText w:val=""/>
      <w:lvlJc w:val="left"/>
      <w:pPr>
        <w:ind w:left="2880" w:hanging="360"/>
      </w:pPr>
      <w:rPr>
        <w:rFonts w:ascii="Symbol" w:hAnsi="Symbol" w:hint="default"/>
      </w:rPr>
    </w:lvl>
    <w:lvl w:ilvl="4" w:tplc="5190580C">
      <w:start w:val="1"/>
      <w:numFmt w:val="bullet"/>
      <w:lvlText w:val="o"/>
      <w:lvlJc w:val="left"/>
      <w:pPr>
        <w:ind w:left="3600" w:hanging="360"/>
      </w:pPr>
      <w:rPr>
        <w:rFonts w:ascii="Courier New" w:hAnsi="Courier New" w:hint="default"/>
      </w:rPr>
    </w:lvl>
    <w:lvl w:ilvl="5" w:tplc="4AE0D54E">
      <w:start w:val="1"/>
      <w:numFmt w:val="bullet"/>
      <w:lvlText w:val=""/>
      <w:lvlJc w:val="left"/>
      <w:pPr>
        <w:ind w:left="4320" w:hanging="360"/>
      </w:pPr>
      <w:rPr>
        <w:rFonts w:ascii="Wingdings" w:hAnsi="Wingdings" w:hint="default"/>
      </w:rPr>
    </w:lvl>
    <w:lvl w:ilvl="6" w:tplc="D3FAD002">
      <w:start w:val="1"/>
      <w:numFmt w:val="bullet"/>
      <w:lvlText w:val=""/>
      <w:lvlJc w:val="left"/>
      <w:pPr>
        <w:ind w:left="5040" w:hanging="360"/>
      </w:pPr>
      <w:rPr>
        <w:rFonts w:ascii="Symbol" w:hAnsi="Symbol" w:hint="default"/>
      </w:rPr>
    </w:lvl>
    <w:lvl w:ilvl="7" w:tplc="872E6042">
      <w:start w:val="1"/>
      <w:numFmt w:val="bullet"/>
      <w:lvlText w:val="o"/>
      <w:lvlJc w:val="left"/>
      <w:pPr>
        <w:ind w:left="5760" w:hanging="360"/>
      </w:pPr>
      <w:rPr>
        <w:rFonts w:ascii="Courier New" w:hAnsi="Courier New" w:hint="default"/>
      </w:rPr>
    </w:lvl>
    <w:lvl w:ilvl="8" w:tplc="1AAC7E98">
      <w:start w:val="1"/>
      <w:numFmt w:val="bullet"/>
      <w:lvlText w:val=""/>
      <w:lvlJc w:val="left"/>
      <w:pPr>
        <w:ind w:left="6480" w:hanging="360"/>
      </w:pPr>
      <w:rPr>
        <w:rFonts w:ascii="Wingdings" w:hAnsi="Wingdings" w:hint="default"/>
      </w:rPr>
    </w:lvl>
  </w:abstractNum>
  <w:abstractNum w:abstractNumId="11" w15:restartNumberingAfterBreak="0">
    <w:nsid w:val="29B36970"/>
    <w:multiLevelType w:val="hybridMultilevel"/>
    <w:tmpl w:val="556EDE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96115"/>
    <w:multiLevelType w:val="hybridMultilevel"/>
    <w:tmpl w:val="BBEAA000"/>
    <w:numStyleLink w:val="List7"/>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6487414"/>
    <w:multiLevelType w:val="hybridMultilevel"/>
    <w:tmpl w:val="FEEEB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62EC7"/>
    <w:multiLevelType w:val="hybridMultilevel"/>
    <w:tmpl w:val="68F8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F67F5"/>
    <w:multiLevelType w:val="hybridMultilevel"/>
    <w:tmpl w:val="C5B4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F25A2F"/>
    <w:multiLevelType w:val="hybridMultilevel"/>
    <w:tmpl w:val="269E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C30FD"/>
    <w:multiLevelType w:val="singleLevel"/>
    <w:tmpl w:val="2FB6A734"/>
    <w:lvl w:ilvl="0">
      <w:start w:val="1"/>
      <w:numFmt w:val="decimal"/>
      <w:lvlText w:val="%1."/>
      <w:legacy w:legacy="1" w:legacySpace="144" w:legacyIndent="0"/>
      <w:lvlJc w:val="left"/>
    </w:lvl>
  </w:abstractNum>
  <w:abstractNum w:abstractNumId="23"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7"/>
  </w:num>
  <w:num w:numId="4">
    <w:abstractNumId w:val="17"/>
  </w:num>
  <w:num w:numId="5">
    <w:abstractNumId w:val="3"/>
  </w:num>
  <w:num w:numId="6">
    <w:abstractNumId w:val="9"/>
  </w:num>
  <w:num w:numId="7">
    <w:abstractNumId w:val="20"/>
  </w:num>
  <w:num w:numId="8">
    <w:abstractNumId w:val="23"/>
  </w:num>
  <w:num w:numId="9">
    <w:abstractNumId w:val="5"/>
  </w:num>
  <w:num w:numId="10">
    <w:abstractNumId w:val="18"/>
  </w:num>
  <w:num w:numId="11">
    <w:abstractNumId w:val="0"/>
  </w:num>
  <w:num w:numId="12">
    <w:abstractNumId w:val="19"/>
  </w:num>
  <w:num w:numId="13">
    <w:abstractNumId w:val="10"/>
  </w:num>
  <w:num w:numId="14">
    <w:abstractNumId w:val="22"/>
  </w:num>
  <w:num w:numId="15">
    <w:abstractNumId w:val="21"/>
  </w:num>
  <w:num w:numId="16">
    <w:abstractNumId w:val="14"/>
  </w:num>
  <w:num w:numId="17">
    <w:abstractNumId w:val="16"/>
  </w:num>
  <w:num w:numId="18">
    <w:abstractNumId w:val="8"/>
  </w:num>
  <w:num w:numId="19">
    <w:abstractNumId w:val="12"/>
  </w:num>
  <w:num w:numId="20">
    <w:abstractNumId w:val="1"/>
  </w:num>
  <w:num w:numId="21">
    <w:abstractNumId w:val="4"/>
  </w:num>
  <w:num w:numId="22">
    <w:abstractNumId w:val="6"/>
  </w:num>
  <w:num w:numId="23">
    <w:abstractNumId w:val="15"/>
  </w:num>
  <w:num w:numId="24">
    <w:abstractNumId w:val="11"/>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12D45"/>
    <w:rsid w:val="00013574"/>
    <w:rsid w:val="00013F6C"/>
    <w:rsid w:val="00014794"/>
    <w:rsid w:val="00020394"/>
    <w:rsid w:val="000204A6"/>
    <w:rsid w:val="00020AA6"/>
    <w:rsid w:val="00020D8F"/>
    <w:rsid w:val="00024C89"/>
    <w:rsid w:val="00025975"/>
    <w:rsid w:val="00025E98"/>
    <w:rsid w:val="00026B0B"/>
    <w:rsid w:val="000326FF"/>
    <w:rsid w:val="0003364E"/>
    <w:rsid w:val="0003442E"/>
    <w:rsid w:val="00041889"/>
    <w:rsid w:val="00042E6C"/>
    <w:rsid w:val="000448EA"/>
    <w:rsid w:val="000452A3"/>
    <w:rsid w:val="00046028"/>
    <w:rsid w:val="00046CAE"/>
    <w:rsid w:val="00050318"/>
    <w:rsid w:val="00053823"/>
    <w:rsid w:val="00053A10"/>
    <w:rsid w:val="00054DBF"/>
    <w:rsid w:val="00055467"/>
    <w:rsid w:val="000563D9"/>
    <w:rsid w:val="00056B97"/>
    <w:rsid w:val="00056DAE"/>
    <w:rsid w:val="0005774F"/>
    <w:rsid w:val="00060830"/>
    <w:rsid w:val="00061BEC"/>
    <w:rsid w:val="00063C20"/>
    <w:rsid w:val="00066F36"/>
    <w:rsid w:val="000705E2"/>
    <w:rsid w:val="000712CC"/>
    <w:rsid w:val="00072E26"/>
    <w:rsid w:val="00073812"/>
    <w:rsid w:val="000749A3"/>
    <w:rsid w:val="00076C08"/>
    <w:rsid w:val="00077F54"/>
    <w:rsid w:val="00081CE0"/>
    <w:rsid w:val="0009075F"/>
    <w:rsid w:val="000927CB"/>
    <w:rsid w:val="000A0397"/>
    <w:rsid w:val="000A16C0"/>
    <w:rsid w:val="000A60AE"/>
    <w:rsid w:val="000A6C7D"/>
    <w:rsid w:val="000A73BB"/>
    <w:rsid w:val="000A763F"/>
    <w:rsid w:val="000A76BE"/>
    <w:rsid w:val="000B4CA3"/>
    <w:rsid w:val="000B5D11"/>
    <w:rsid w:val="000C099F"/>
    <w:rsid w:val="000C2243"/>
    <w:rsid w:val="000C5506"/>
    <w:rsid w:val="000C76B7"/>
    <w:rsid w:val="000D0C9B"/>
    <w:rsid w:val="000D2972"/>
    <w:rsid w:val="000D3157"/>
    <w:rsid w:val="000D3A75"/>
    <w:rsid w:val="000D4F7B"/>
    <w:rsid w:val="000D71DB"/>
    <w:rsid w:val="000E081A"/>
    <w:rsid w:val="000E1C4C"/>
    <w:rsid w:val="000E2FB7"/>
    <w:rsid w:val="000E3D06"/>
    <w:rsid w:val="000E563F"/>
    <w:rsid w:val="000E7CD5"/>
    <w:rsid w:val="000F7320"/>
    <w:rsid w:val="001034AF"/>
    <w:rsid w:val="001061F7"/>
    <w:rsid w:val="0011091E"/>
    <w:rsid w:val="0011435A"/>
    <w:rsid w:val="0011451B"/>
    <w:rsid w:val="001148D9"/>
    <w:rsid w:val="001155E4"/>
    <w:rsid w:val="00115F96"/>
    <w:rsid w:val="0012030F"/>
    <w:rsid w:val="00123A61"/>
    <w:rsid w:val="001250B3"/>
    <w:rsid w:val="00127020"/>
    <w:rsid w:val="00131837"/>
    <w:rsid w:val="00133535"/>
    <w:rsid w:val="00136C3B"/>
    <w:rsid w:val="00140A4B"/>
    <w:rsid w:val="00141D45"/>
    <w:rsid w:val="00142FB8"/>
    <w:rsid w:val="001432B6"/>
    <w:rsid w:val="00143546"/>
    <w:rsid w:val="00145A26"/>
    <w:rsid w:val="0014668E"/>
    <w:rsid w:val="00146694"/>
    <w:rsid w:val="00150262"/>
    <w:rsid w:val="001534C0"/>
    <w:rsid w:val="00157A9B"/>
    <w:rsid w:val="0016087B"/>
    <w:rsid w:val="00161BF3"/>
    <w:rsid w:val="00163EB0"/>
    <w:rsid w:val="00165280"/>
    <w:rsid w:val="00166660"/>
    <w:rsid w:val="00170AA9"/>
    <w:rsid w:val="00172BF0"/>
    <w:rsid w:val="00175409"/>
    <w:rsid w:val="00180404"/>
    <w:rsid w:val="0019005A"/>
    <w:rsid w:val="00191855"/>
    <w:rsid w:val="00192B57"/>
    <w:rsid w:val="00192B8A"/>
    <w:rsid w:val="001A1128"/>
    <w:rsid w:val="001A15AD"/>
    <w:rsid w:val="001A57C0"/>
    <w:rsid w:val="001B5033"/>
    <w:rsid w:val="001B6413"/>
    <w:rsid w:val="001B69C6"/>
    <w:rsid w:val="001C3ADF"/>
    <w:rsid w:val="001C433D"/>
    <w:rsid w:val="001C6180"/>
    <w:rsid w:val="001D7EB6"/>
    <w:rsid w:val="001E100F"/>
    <w:rsid w:val="001E332A"/>
    <w:rsid w:val="001E4D8F"/>
    <w:rsid w:val="001E631B"/>
    <w:rsid w:val="001E64B9"/>
    <w:rsid w:val="001F1B2E"/>
    <w:rsid w:val="001F5325"/>
    <w:rsid w:val="00202DCB"/>
    <w:rsid w:val="00207F6C"/>
    <w:rsid w:val="002115A5"/>
    <w:rsid w:val="00212E21"/>
    <w:rsid w:val="00214E98"/>
    <w:rsid w:val="00216D26"/>
    <w:rsid w:val="002225C1"/>
    <w:rsid w:val="00225424"/>
    <w:rsid w:val="002336FE"/>
    <w:rsid w:val="00233860"/>
    <w:rsid w:val="00234575"/>
    <w:rsid w:val="00234806"/>
    <w:rsid w:val="00243C23"/>
    <w:rsid w:val="0024459D"/>
    <w:rsid w:val="00246FA9"/>
    <w:rsid w:val="00251808"/>
    <w:rsid w:val="00251EE5"/>
    <w:rsid w:val="00252935"/>
    <w:rsid w:val="00253DB5"/>
    <w:rsid w:val="002553E0"/>
    <w:rsid w:val="0025781C"/>
    <w:rsid w:val="00257E80"/>
    <w:rsid w:val="00262433"/>
    <w:rsid w:val="00264A71"/>
    <w:rsid w:val="00271107"/>
    <w:rsid w:val="002732ED"/>
    <w:rsid w:val="00277DD4"/>
    <w:rsid w:val="00281373"/>
    <w:rsid w:val="00282D87"/>
    <w:rsid w:val="002853A5"/>
    <w:rsid w:val="00285BBF"/>
    <w:rsid w:val="0028656E"/>
    <w:rsid w:val="00287F6F"/>
    <w:rsid w:val="00291E33"/>
    <w:rsid w:val="00293767"/>
    <w:rsid w:val="00294D58"/>
    <w:rsid w:val="00297B1D"/>
    <w:rsid w:val="002A13D9"/>
    <w:rsid w:val="002A25B9"/>
    <w:rsid w:val="002A387C"/>
    <w:rsid w:val="002B0CA5"/>
    <w:rsid w:val="002B4000"/>
    <w:rsid w:val="002C0B55"/>
    <w:rsid w:val="002C2C39"/>
    <w:rsid w:val="002C47C5"/>
    <w:rsid w:val="002C4E05"/>
    <w:rsid w:val="002C6EB0"/>
    <w:rsid w:val="002C7633"/>
    <w:rsid w:val="002D3C5B"/>
    <w:rsid w:val="002D5495"/>
    <w:rsid w:val="002D7541"/>
    <w:rsid w:val="002E7758"/>
    <w:rsid w:val="002F2643"/>
    <w:rsid w:val="002F32CF"/>
    <w:rsid w:val="002F3894"/>
    <w:rsid w:val="002F65D6"/>
    <w:rsid w:val="00302AF8"/>
    <w:rsid w:val="003040D1"/>
    <w:rsid w:val="00305A76"/>
    <w:rsid w:val="00312596"/>
    <w:rsid w:val="00317773"/>
    <w:rsid w:val="00320F57"/>
    <w:rsid w:val="003218D0"/>
    <w:rsid w:val="003346E0"/>
    <w:rsid w:val="00334E7C"/>
    <w:rsid w:val="003373E1"/>
    <w:rsid w:val="00337BA5"/>
    <w:rsid w:val="003403B9"/>
    <w:rsid w:val="00342BEA"/>
    <w:rsid w:val="00355CCE"/>
    <w:rsid w:val="00364A80"/>
    <w:rsid w:val="003714BF"/>
    <w:rsid w:val="00372182"/>
    <w:rsid w:val="003724BC"/>
    <w:rsid w:val="00374E44"/>
    <w:rsid w:val="003756AA"/>
    <w:rsid w:val="00375900"/>
    <w:rsid w:val="00381BC9"/>
    <w:rsid w:val="00382424"/>
    <w:rsid w:val="00385A93"/>
    <w:rsid w:val="00394B3A"/>
    <w:rsid w:val="00396B47"/>
    <w:rsid w:val="003A03C9"/>
    <w:rsid w:val="003A4451"/>
    <w:rsid w:val="003A517B"/>
    <w:rsid w:val="003A78F2"/>
    <w:rsid w:val="003B0238"/>
    <w:rsid w:val="003B1839"/>
    <w:rsid w:val="003B28DC"/>
    <w:rsid w:val="003B4254"/>
    <w:rsid w:val="003B7322"/>
    <w:rsid w:val="003B7CFC"/>
    <w:rsid w:val="003C71E1"/>
    <w:rsid w:val="003D0AE2"/>
    <w:rsid w:val="003D403D"/>
    <w:rsid w:val="003D4E35"/>
    <w:rsid w:val="003E3736"/>
    <w:rsid w:val="003E3E9F"/>
    <w:rsid w:val="003F6E5A"/>
    <w:rsid w:val="00400C1F"/>
    <w:rsid w:val="00400F6B"/>
    <w:rsid w:val="0040164A"/>
    <w:rsid w:val="00401E6D"/>
    <w:rsid w:val="00402EE5"/>
    <w:rsid w:val="00407C0A"/>
    <w:rsid w:val="00410CF0"/>
    <w:rsid w:val="004110A9"/>
    <w:rsid w:val="00411D6C"/>
    <w:rsid w:val="00412A3E"/>
    <w:rsid w:val="0041367B"/>
    <w:rsid w:val="00413E7E"/>
    <w:rsid w:val="00420F1E"/>
    <w:rsid w:val="00421C55"/>
    <w:rsid w:val="00422CF3"/>
    <w:rsid w:val="0042720A"/>
    <w:rsid w:val="00427E37"/>
    <w:rsid w:val="00430D25"/>
    <w:rsid w:val="004317E6"/>
    <w:rsid w:val="00431BF6"/>
    <w:rsid w:val="00435A4F"/>
    <w:rsid w:val="00436AC8"/>
    <w:rsid w:val="00437BD9"/>
    <w:rsid w:val="00440AB7"/>
    <w:rsid w:val="00440DBB"/>
    <w:rsid w:val="00442503"/>
    <w:rsid w:val="00445CEB"/>
    <w:rsid w:val="004511FD"/>
    <w:rsid w:val="0046125D"/>
    <w:rsid w:val="00467956"/>
    <w:rsid w:val="00470625"/>
    <w:rsid w:val="00470B9B"/>
    <w:rsid w:val="00475BBD"/>
    <w:rsid w:val="00475F25"/>
    <w:rsid w:val="00477EAD"/>
    <w:rsid w:val="0048086F"/>
    <w:rsid w:val="004841A5"/>
    <w:rsid w:val="004905D3"/>
    <w:rsid w:val="00490C65"/>
    <w:rsid w:val="00491FC2"/>
    <w:rsid w:val="004A00E5"/>
    <w:rsid w:val="004A2DF4"/>
    <w:rsid w:val="004A3536"/>
    <w:rsid w:val="004A744F"/>
    <w:rsid w:val="004B5531"/>
    <w:rsid w:val="004C33B2"/>
    <w:rsid w:val="004C3A34"/>
    <w:rsid w:val="004C678C"/>
    <w:rsid w:val="004D1819"/>
    <w:rsid w:val="004D238B"/>
    <w:rsid w:val="004D2E5A"/>
    <w:rsid w:val="004D3212"/>
    <w:rsid w:val="004E121F"/>
    <w:rsid w:val="004E2DE4"/>
    <w:rsid w:val="004E3270"/>
    <w:rsid w:val="004E4C3F"/>
    <w:rsid w:val="004E5189"/>
    <w:rsid w:val="004E6936"/>
    <w:rsid w:val="004E7CE5"/>
    <w:rsid w:val="004F0154"/>
    <w:rsid w:val="004F3F4F"/>
    <w:rsid w:val="004F4DF3"/>
    <w:rsid w:val="004F5BDE"/>
    <w:rsid w:val="004F7CAB"/>
    <w:rsid w:val="00500A92"/>
    <w:rsid w:val="00506D39"/>
    <w:rsid w:val="0051195A"/>
    <w:rsid w:val="00511BBF"/>
    <w:rsid w:val="00517490"/>
    <w:rsid w:val="005218A0"/>
    <w:rsid w:val="00524320"/>
    <w:rsid w:val="00531E1A"/>
    <w:rsid w:val="005334ED"/>
    <w:rsid w:val="00535F80"/>
    <w:rsid w:val="005407D7"/>
    <w:rsid w:val="0054114D"/>
    <w:rsid w:val="0054279C"/>
    <w:rsid w:val="00543CA6"/>
    <w:rsid w:val="00546373"/>
    <w:rsid w:val="005535A3"/>
    <w:rsid w:val="00556E51"/>
    <w:rsid w:val="00556FF0"/>
    <w:rsid w:val="0056148F"/>
    <w:rsid w:val="00562499"/>
    <w:rsid w:val="00562D05"/>
    <w:rsid w:val="005702DA"/>
    <w:rsid w:val="0057308D"/>
    <w:rsid w:val="0057398B"/>
    <w:rsid w:val="005805BF"/>
    <w:rsid w:val="00591A18"/>
    <w:rsid w:val="00592B53"/>
    <w:rsid w:val="00593279"/>
    <w:rsid w:val="00593807"/>
    <w:rsid w:val="005A4B47"/>
    <w:rsid w:val="005B155B"/>
    <w:rsid w:val="005B399C"/>
    <w:rsid w:val="005C3AEC"/>
    <w:rsid w:val="005C6118"/>
    <w:rsid w:val="005C6433"/>
    <w:rsid w:val="005C6695"/>
    <w:rsid w:val="005C7297"/>
    <w:rsid w:val="005C754D"/>
    <w:rsid w:val="005D03D0"/>
    <w:rsid w:val="005D094C"/>
    <w:rsid w:val="005D29F9"/>
    <w:rsid w:val="005D37D9"/>
    <w:rsid w:val="005D51BE"/>
    <w:rsid w:val="005E0B69"/>
    <w:rsid w:val="005E45A6"/>
    <w:rsid w:val="005E6604"/>
    <w:rsid w:val="005E716C"/>
    <w:rsid w:val="005E7787"/>
    <w:rsid w:val="005F02FD"/>
    <w:rsid w:val="005F1254"/>
    <w:rsid w:val="005F1942"/>
    <w:rsid w:val="005F336A"/>
    <w:rsid w:val="005F4046"/>
    <w:rsid w:val="005F534D"/>
    <w:rsid w:val="005F7701"/>
    <w:rsid w:val="00601E62"/>
    <w:rsid w:val="00605E0C"/>
    <w:rsid w:val="00613C9A"/>
    <w:rsid w:val="00616541"/>
    <w:rsid w:val="0062311F"/>
    <w:rsid w:val="006244CC"/>
    <w:rsid w:val="00624C01"/>
    <w:rsid w:val="00625EF0"/>
    <w:rsid w:val="00631A74"/>
    <w:rsid w:val="0063451B"/>
    <w:rsid w:val="00635484"/>
    <w:rsid w:val="00635E6E"/>
    <w:rsid w:val="006364F9"/>
    <w:rsid w:val="006366BC"/>
    <w:rsid w:val="00646474"/>
    <w:rsid w:val="0064667F"/>
    <w:rsid w:val="006517CE"/>
    <w:rsid w:val="00651EB1"/>
    <w:rsid w:val="006544BE"/>
    <w:rsid w:val="00666CA1"/>
    <w:rsid w:val="00670BB8"/>
    <w:rsid w:val="006804EE"/>
    <w:rsid w:val="00681F09"/>
    <w:rsid w:val="00684644"/>
    <w:rsid w:val="00685390"/>
    <w:rsid w:val="00690517"/>
    <w:rsid w:val="0069116D"/>
    <w:rsid w:val="006952FA"/>
    <w:rsid w:val="0069609B"/>
    <w:rsid w:val="0069631C"/>
    <w:rsid w:val="006A263C"/>
    <w:rsid w:val="006A3176"/>
    <w:rsid w:val="006A3759"/>
    <w:rsid w:val="006A3A1F"/>
    <w:rsid w:val="006B05EE"/>
    <w:rsid w:val="006B77D9"/>
    <w:rsid w:val="006C6FEA"/>
    <w:rsid w:val="006C7C15"/>
    <w:rsid w:val="006D0218"/>
    <w:rsid w:val="006D5A91"/>
    <w:rsid w:val="006E1F8A"/>
    <w:rsid w:val="006E3698"/>
    <w:rsid w:val="006E617E"/>
    <w:rsid w:val="006F173D"/>
    <w:rsid w:val="006F6822"/>
    <w:rsid w:val="006F75EB"/>
    <w:rsid w:val="00702E97"/>
    <w:rsid w:val="007051B3"/>
    <w:rsid w:val="00707414"/>
    <w:rsid w:val="00707A86"/>
    <w:rsid w:val="007161A2"/>
    <w:rsid w:val="0071654E"/>
    <w:rsid w:val="00722C83"/>
    <w:rsid w:val="00724E5A"/>
    <w:rsid w:val="00726CD3"/>
    <w:rsid w:val="007301C9"/>
    <w:rsid w:val="00731431"/>
    <w:rsid w:val="00733A67"/>
    <w:rsid w:val="00734DB4"/>
    <w:rsid w:val="00737606"/>
    <w:rsid w:val="0074433C"/>
    <w:rsid w:val="00744C65"/>
    <w:rsid w:val="00747EAD"/>
    <w:rsid w:val="007522D4"/>
    <w:rsid w:val="00753CB4"/>
    <w:rsid w:val="0075483F"/>
    <w:rsid w:val="0075709F"/>
    <w:rsid w:val="00760C72"/>
    <w:rsid w:val="00762396"/>
    <w:rsid w:val="007628D3"/>
    <w:rsid w:val="00762E9D"/>
    <w:rsid w:val="00766D11"/>
    <w:rsid w:val="00767F1A"/>
    <w:rsid w:val="00770C8C"/>
    <w:rsid w:val="0077146C"/>
    <w:rsid w:val="00781190"/>
    <w:rsid w:val="00781B55"/>
    <w:rsid w:val="00783D3B"/>
    <w:rsid w:val="0078448F"/>
    <w:rsid w:val="00786047"/>
    <w:rsid w:val="00787156"/>
    <w:rsid w:val="0079080E"/>
    <w:rsid w:val="0079379C"/>
    <w:rsid w:val="00793BF3"/>
    <w:rsid w:val="00794558"/>
    <w:rsid w:val="0079490F"/>
    <w:rsid w:val="007A1FFB"/>
    <w:rsid w:val="007A281A"/>
    <w:rsid w:val="007B0690"/>
    <w:rsid w:val="007B149A"/>
    <w:rsid w:val="007B1802"/>
    <w:rsid w:val="007B2937"/>
    <w:rsid w:val="007D196A"/>
    <w:rsid w:val="007D29A7"/>
    <w:rsid w:val="007D4314"/>
    <w:rsid w:val="007D578F"/>
    <w:rsid w:val="007D67CA"/>
    <w:rsid w:val="007E20EA"/>
    <w:rsid w:val="007E7525"/>
    <w:rsid w:val="007F053F"/>
    <w:rsid w:val="007F3EA2"/>
    <w:rsid w:val="007F433D"/>
    <w:rsid w:val="007F5AD1"/>
    <w:rsid w:val="00800970"/>
    <w:rsid w:val="00801D70"/>
    <w:rsid w:val="008050C2"/>
    <w:rsid w:val="00807623"/>
    <w:rsid w:val="00807F6E"/>
    <w:rsid w:val="00810243"/>
    <w:rsid w:val="008110C7"/>
    <w:rsid w:val="00814C6B"/>
    <w:rsid w:val="008169BC"/>
    <w:rsid w:val="00820A86"/>
    <w:rsid w:val="00820FE0"/>
    <w:rsid w:val="00820FFC"/>
    <w:rsid w:val="00822061"/>
    <w:rsid w:val="008226CA"/>
    <w:rsid w:val="00822932"/>
    <w:rsid w:val="0082708C"/>
    <w:rsid w:val="008309D7"/>
    <w:rsid w:val="00832AD2"/>
    <w:rsid w:val="00834157"/>
    <w:rsid w:val="0083587E"/>
    <w:rsid w:val="00841299"/>
    <w:rsid w:val="00843F1F"/>
    <w:rsid w:val="0084559E"/>
    <w:rsid w:val="0084569A"/>
    <w:rsid w:val="008465B2"/>
    <w:rsid w:val="008532D3"/>
    <w:rsid w:val="0085482E"/>
    <w:rsid w:val="0085730B"/>
    <w:rsid w:val="008609A3"/>
    <w:rsid w:val="008653A8"/>
    <w:rsid w:val="00870AF0"/>
    <w:rsid w:val="008713E0"/>
    <w:rsid w:val="008724D5"/>
    <w:rsid w:val="008749DF"/>
    <w:rsid w:val="008773EB"/>
    <w:rsid w:val="00882445"/>
    <w:rsid w:val="00882EE9"/>
    <w:rsid w:val="00883FF0"/>
    <w:rsid w:val="00884557"/>
    <w:rsid w:val="00884BBA"/>
    <w:rsid w:val="00890F07"/>
    <w:rsid w:val="00894661"/>
    <w:rsid w:val="008947EF"/>
    <w:rsid w:val="00894A08"/>
    <w:rsid w:val="00895C07"/>
    <w:rsid w:val="008A16E4"/>
    <w:rsid w:val="008A27F7"/>
    <w:rsid w:val="008A655A"/>
    <w:rsid w:val="008B02B9"/>
    <w:rsid w:val="008B2581"/>
    <w:rsid w:val="008B25FA"/>
    <w:rsid w:val="008B2732"/>
    <w:rsid w:val="008B31AA"/>
    <w:rsid w:val="008B3F7F"/>
    <w:rsid w:val="008B556B"/>
    <w:rsid w:val="008C0023"/>
    <w:rsid w:val="008C0714"/>
    <w:rsid w:val="008C0777"/>
    <w:rsid w:val="008C1660"/>
    <w:rsid w:val="008C16EB"/>
    <w:rsid w:val="008C4EA6"/>
    <w:rsid w:val="008C52B5"/>
    <w:rsid w:val="008D0142"/>
    <w:rsid w:val="008D2ECE"/>
    <w:rsid w:val="008D3B71"/>
    <w:rsid w:val="008D4C4A"/>
    <w:rsid w:val="008E5760"/>
    <w:rsid w:val="008E583D"/>
    <w:rsid w:val="008E6797"/>
    <w:rsid w:val="008F2635"/>
    <w:rsid w:val="008F508A"/>
    <w:rsid w:val="00902CEB"/>
    <w:rsid w:val="00906183"/>
    <w:rsid w:val="00910A3A"/>
    <w:rsid w:val="0091352E"/>
    <w:rsid w:val="0091435C"/>
    <w:rsid w:val="00915712"/>
    <w:rsid w:val="009168FE"/>
    <w:rsid w:val="00923EFA"/>
    <w:rsid w:val="00924F91"/>
    <w:rsid w:val="00925543"/>
    <w:rsid w:val="00931937"/>
    <w:rsid w:val="00931A3A"/>
    <w:rsid w:val="00933281"/>
    <w:rsid w:val="00935394"/>
    <w:rsid w:val="00946E2C"/>
    <w:rsid w:val="00957D30"/>
    <w:rsid w:val="00966821"/>
    <w:rsid w:val="00967532"/>
    <w:rsid w:val="00972766"/>
    <w:rsid w:val="009744CA"/>
    <w:rsid w:val="009752D0"/>
    <w:rsid w:val="00975526"/>
    <w:rsid w:val="009809B1"/>
    <w:rsid w:val="009836C0"/>
    <w:rsid w:val="00990BCD"/>
    <w:rsid w:val="00995713"/>
    <w:rsid w:val="00996D80"/>
    <w:rsid w:val="009A0322"/>
    <w:rsid w:val="009A09BC"/>
    <w:rsid w:val="009A102B"/>
    <w:rsid w:val="009A24A8"/>
    <w:rsid w:val="009A2FF7"/>
    <w:rsid w:val="009A50E0"/>
    <w:rsid w:val="009A65E5"/>
    <w:rsid w:val="009B00D1"/>
    <w:rsid w:val="009B0E01"/>
    <w:rsid w:val="009B1324"/>
    <w:rsid w:val="009B275C"/>
    <w:rsid w:val="009B4361"/>
    <w:rsid w:val="009B5CA7"/>
    <w:rsid w:val="009C01C7"/>
    <w:rsid w:val="009C245A"/>
    <w:rsid w:val="009C298C"/>
    <w:rsid w:val="009C3FB2"/>
    <w:rsid w:val="009C7D00"/>
    <w:rsid w:val="009D50FB"/>
    <w:rsid w:val="009D531E"/>
    <w:rsid w:val="009D63EA"/>
    <w:rsid w:val="009D7160"/>
    <w:rsid w:val="009D7F47"/>
    <w:rsid w:val="009E0087"/>
    <w:rsid w:val="009E138E"/>
    <w:rsid w:val="009E5BF6"/>
    <w:rsid w:val="009E7995"/>
    <w:rsid w:val="009F6B0B"/>
    <w:rsid w:val="009F72F7"/>
    <w:rsid w:val="00A00B3F"/>
    <w:rsid w:val="00A031FE"/>
    <w:rsid w:val="00A10C77"/>
    <w:rsid w:val="00A125EE"/>
    <w:rsid w:val="00A138D4"/>
    <w:rsid w:val="00A14531"/>
    <w:rsid w:val="00A14DC3"/>
    <w:rsid w:val="00A15239"/>
    <w:rsid w:val="00A1526C"/>
    <w:rsid w:val="00A15AD6"/>
    <w:rsid w:val="00A1684C"/>
    <w:rsid w:val="00A2092D"/>
    <w:rsid w:val="00A218B6"/>
    <w:rsid w:val="00A2315E"/>
    <w:rsid w:val="00A255ED"/>
    <w:rsid w:val="00A32525"/>
    <w:rsid w:val="00A33133"/>
    <w:rsid w:val="00A33BCA"/>
    <w:rsid w:val="00A41FE5"/>
    <w:rsid w:val="00A42BAA"/>
    <w:rsid w:val="00A45265"/>
    <w:rsid w:val="00A45DE5"/>
    <w:rsid w:val="00A46967"/>
    <w:rsid w:val="00A472D5"/>
    <w:rsid w:val="00A5189C"/>
    <w:rsid w:val="00A55213"/>
    <w:rsid w:val="00A601A7"/>
    <w:rsid w:val="00A60201"/>
    <w:rsid w:val="00A62360"/>
    <w:rsid w:val="00A6410F"/>
    <w:rsid w:val="00A65CF3"/>
    <w:rsid w:val="00A728AF"/>
    <w:rsid w:val="00A7380F"/>
    <w:rsid w:val="00A75629"/>
    <w:rsid w:val="00A82265"/>
    <w:rsid w:val="00A827F9"/>
    <w:rsid w:val="00A853BE"/>
    <w:rsid w:val="00A866B4"/>
    <w:rsid w:val="00A95709"/>
    <w:rsid w:val="00A959C9"/>
    <w:rsid w:val="00AA12DC"/>
    <w:rsid w:val="00AA1F9E"/>
    <w:rsid w:val="00AA4817"/>
    <w:rsid w:val="00AB03A2"/>
    <w:rsid w:val="00AB4941"/>
    <w:rsid w:val="00AB4E44"/>
    <w:rsid w:val="00AB50B6"/>
    <w:rsid w:val="00AC0DF5"/>
    <w:rsid w:val="00AC1F03"/>
    <w:rsid w:val="00AC46F0"/>
    <w:rsid w:val="00AC4DDA"/>
    <w:rsid w:val="00AC5A89"/>
    <w:rsid w:val="00AC7818"/>
    <w:rsid w:val="00AD09C8"/>
    <w:rsid w:val="00AD2815"/>
    <w:rsid w:val="00AD543A"/>
    <w:rsid w:val="00AD6980"/>
    <w:rsid w:val="00AE07E4"/>
    <w:rsid w:val="00AE0CB8"/>
    <w:rsid w:val="00AE13FA"/>
    <w:rsid w:val="00AE151F"/>
    <w:rsid w:val="00AE3402"/>
    <w:rsid w:val="00AE664C"/>
    <w:rsid w:val="00AF1DF6"/>
    <w:rsid w:val="00AF40F1"/>
    <w:rsid w:val="00AF479A"/>
    <w:rsid w:val="00AF6973"/>
    <w:rsid w:val="00B00D84"/>
    <w:rsid w:val="00B026E1"/>
    <w:rsid w:val="00B05A45"/>
    <w:rsid w:val="00B061C7"/>
    <w:rsid w:val="00B115FB"/>
    <w:rsid w:val="00B13E61"/>
    <w:rsid w:val="00B15637"/>
    <w:rsid w:val="00B205BD"/>
    <w:rsid w:val="00B20AB3"/>
    <w:rsid w:val="00B22E0C"/>
    <w:rsid w:val="00B24C63"/>
    <w:rsid w:val="00B26F40"/>
    <w:rsid w:val="00B274A7"/>
    <w:rsid w:val="00B30201"/>
    <w:rsid w:val="00B30A23"/>
    <w:rsid w:val="00B368A0"/>
    <w:rsid w:val="00B36CF1"/>
    <w:rsid w:val="00B44A4C"/>
    <w:rsid w:val="00B45D62"/>
    <w:rsid w:val="00B46290"/>
    <w:rsid w:val="00B46BE9"/>
    <w:rsid w:val="00B46F79"/>
    <w:rsid w:val="00B473C7"/>
    <w:rsid w:val="00B51809"/>
    <w:rsid w:val="00B52019"/>
    <w:rsid w:val="00B53268"/>
    <w:rsid w:val="00B53CC2"/>
    <w:rsid w:val="00B61034"/>
    <w:rsid w:val="00B625B7"/>
    <w:rsid w:val="00B67FE0"/>
    <w:rsid w:val="00B7186F"/>
    <w:rsid w:val="00B73A61"/>
    <w:rsid w:val="00B7600B"/>
    <w:rsid w:val="00B7777F"/>
    <w:rsid w:val="00B77E62"/>
    <w:rsid w:val="00B80FD3"/>
    <w:rsid w:val="00B8163D"/>
    <w:rsid w:val="00B821D8"/>
    <w:rsid w:val="00B84971"/>
    <w:rsid w:val="00B8693C"/>
    <w:rsid w:val="00B92660"/>
    <w:rsid w:val="00B927B5"/>
    <w:rsid w:val="00B92B5E"/>
    <w:rsid w:val="00B92C1C"/>
    <w:rsid w:val="00B94A52"/>
    <w:rsid w:val="00B95367"/>
    <w:rsid w:val="00BA1A31"/>
    <w:rsid w:val="00BA22BB"/>
    <w:rsid w:val="00BA527A"/>
    <w:rsid w:val="00BC496B"/>
    <w:rsid w:val="00BC547C"/>
    <w:rsid w:val="00BD50BA"/>
    <w:rsid w:val="00BD50F3"/>
    <w:rsid w:val="00BD5DDC"/>
    <w:rsid w:val="00BD6FF5"/>
    <w:rsid w:val="00BE11BF"/>
    <w:rsid w:val="00BE3D4C"/>
    <w:rsid w:val="00BE51D4"/>
    <w:rsid w:val="00BF6335"/>
    <w:rsid w:val="00C034B7"/>
    <w:rsid w:val="00C17E95"/>
    <w:rsid w:val="00C218B4"/>
    <w:rsid w:val="00C22880"/>
    <w:rsid w:val="00C2554D"/>
    <w:rsid w:val="00C25EB3"/>
    <w:rsid w:val="00C263E4"/>
    <w:rsid w:val="00C26BBF"/>
    <w:rsid w:val="00C322A2"/>
    <w:rsid w:val="00C347F6"/>
    <w:rsid w:val="00C34823"/>
    <w:rsid w:val="00C37204"/>
    <w:rsid w:val="00C40652"/>
    <w:rsid w:val="00C4227A"/>
    <w:rsid w:val="00C43311"/>
    <w:rsid w:val="00C466F0"/>
    <w:rsid w:val="00C46840"/>
    <w:rsid w:val="00C52FC4"/>
    <w:rsid w:val="00C53359"/>
    <w:rsid w:val="00C6240E"/>
    <w:rsid w:val="00C63227"/>
    <w:rsid w:val="00C66950"/>
    <w:rsid w:val="00C66A11"/>
    <w:rsid w:val="00C70BD5"/>
    <w:rsid w:val="00C74B0A"/>
    <w:rsid w:val="00C80CD8"/>
    <w:rsid w:val="00C87348"/>
    <w:rsid w:val="00C95B1A"/>
    <w:rsid w:val="00C96298"/>
    <w:rsid w:val="00C972AE"/>
    <w:rsid w:val="00CA1D0C"/>
    <w:rsid w:val="00CA25DC"/>
    <w:rsid w:val="00CA28A1"/>
    <w:rsid w:val="00CA2E53"/>
    <w:rsid w:val="00CA6C4E"/>
    <w:rsid w:val="00CB1EA3"/>
    <w:rsid w:val="00CB42C3"/>
    <w:rsid w:val="00CB737A"/>
    <w:rsid w:val="00CC3091"/>
    <w:rsid w:val="00CC4F9B"/>
    <w:rsid w:val="00CC5440"/>
    <w:rsid w:val="00CC5632"/>
    <w:rsid w:val="00CC7501"/>
    <w:rsid w:val="00CD085B"/>
    <w:rsid w:val="00CD5BF2"/>
    <w:rsid w:val="00CE1F05"/>
    <w:rsid w:val="00CE21E8"/>
    <w:rsid w:val="00CE2290"/>
    <w:rsid w:val="00CE3B74"/>
    <w:rsid w:val="00CE5252"/>
    <w:rsid w:val="00CE6517"/>
    <w:rsid w:val="00CF09EF"/>
    <w:rsid w:val="00CF0FD4"/>
    <w:rsid w:val="00CF17DE"/>
    <w:rsid w:val="00CF6C18"/>
    <w:rsid w:val="00D023E9"/>
    <w:rsid w:val="00D0484A"/>
    <w:rsid w:val="00D05716"/>
    <w:rsid w:val="00D10C93"/>
    <w:rsid w:val="00D137B9"/>
    <w:rsid w:val="00D142E0"/>
    <w:rsid w:val="00D20F6C"/>
    <w:rsid w:val="00D21099"/>
    <w:rsid w:val="00D26503"/>
    <w:rsid w:val="00D31EDB"/>
    <w:rsid w:val="00D340E3"/>
    <w:rsid w:val="00D34E35"/>
    <w:rsid w:val="00D42175"/>
    <w:rsid w:val="00D447C8"/>
    <w:rsid w:val="00D515F8"/>
    <w:rsid w:val="00D52F2C"/>
    <w:rsid w:val="00D55813"/>
    <w:rsid w:val="00D61A64"/>
    <w:rsid w:val="00D644CD"/>
    <w:rsid w:val="00D651E2"/>
    <w:rsid w:val="00D66A27"/>
    <w:rsid w:val="00D71ED1"/>
    <w:rsid w:val="00D72E80"/>
    <w:rsid w:val="00D7349F"/>
    <w:rsid w:val="00D761CB"/>
    <w:rsid w:val="00D76A19"/>
    <w:rsid w:val="00D76D60"/>
    <w:rsid w:val="00D77A14"/>
    <w:rsid w:val="00D80135"/>
    <w:rsid w:val="00D80FC4"/>
    <w:rsid w:val="00D81FE9"/>
    <w:rsid w:val="00D82258"/>
    <w:rsid w:val="00D822FD"/>
    <w:rsid w:val="00D85701"/>
    <w:rsid w:val="00D87449"/>
    <w:rsid w:val="00D90978"/>
    <w:rsid w:val="00D911B8"/>
    <w:rsid w:val="00D937E7"/>
    <w:rsid w:val="00D95895"/>
    <w:rsid w:val="00D97CCE"/>
    <w:rsid w:val="00DA0A36"/>
    <w:rsid w:val="00DA1ED6"/>
    <w:rsid w:val="00DA6B3E"/>
    <w:rsid w:val="00DB08CE"/>
    <w:rsid w:val="00DB619F"/>
    <w:rsid w:val="00DB64A4"/>
    <w:rsid w:val="00DB6F2C"/>
    <w:rsid w:val="00DC1BF2"/>
    <w:rsid w:val="00DC23A0"/>
    <w:rsid w:val="00DC4CDC"/>
    <w:rsid w:val="00DC7439"/>
    <w:rsid w:val="00DD1C3E"/>
    <w:rsid w:val="00DD38D9"/>
    <w:rsid w:val="00DD4A01"/>
    <w:rsid w:val="00DD5623"/>
    <w:rsid w:val="00DD6498"/>
    <w:rsid w:val="00DE08A2"/>
    <w:rsid w:val="00DF177A"/>
    <w:rsid w:val="00DF193D"/>
    <w:rsid w:val="00DF1AE6"/>
    <w:rsid w:val="00DF231F"/>
    <w:rsid w:val="00DF28DA"/>
    <w:rsid w:val="00DF35CC"/>
    <w:rsid w:val="00DF7FAB"/>
    <w:rsid w:val="00E02127"/>
    <w:rsid w:val="00E047B6"/>
    <w:rsid w:val="00E070F3"/>
    <w:rsid w:val="00E070FA"/>
    <w:rsid w:val="00E106DF"/>
    <w:rsid w:val="00E106E5"/>
    <w:rsid w:val="00E12330"/>
    <w:rsid w:val="00E13E9E"/>
    <w:rsid w:val="00E20CBA"/>
    <w:rsid w:val="00E2104C"/>
    <w:rsid w:val="00E22E2D"/>
    <w:rsid w:val="00E24DED"/>
    <w:rsid w:val="00E25D36"/>
    <w:rsid w:val="00E34B02"/>
    <w:rsid w:val="00E41868"/>
    <w:rsid w:val="00E41EA4"/>
    <w:rsid w:val="00E423DB"/>
    <w:rsid w:val="00E44738"/>
    <w:rsid w:val="00E46169"/>
    <w:rsid w:val="00E47C21"/>
    <w:rsid w:val="00E56604"/>
    <w:rsid w:val="00E56EE2"/>
    <w:rsid w:val="00E6108D"/>
    <w:rsid w:val="00E66015"/>
    <w:rsid w:val="00E672D2"/>
    <w:rsid w:val="00E736BA"/>
    <w:rsid w:val="00E74944"/>
    <w:rsid w:val="00E77C41"/>
    <w:rsid w:val="00E8401C"/>
    <w:rsid w:val="00E87405"/>
    <w:rsid w:val="00E91F1D"/>
    <w:rsid w:val="00E928CF"/>
    <w:rsid w:val="00E935A3"/>
    <w:rsid w:val="00E97BBB"/>
    <w:rsid w:val="00EA0A56"/>
    <w:rsid w:val="00EA32F3"/>
    <w:rsid w:val="00EA63E4"/>
    <w:rsid w:val="00EA7BED"/>
    <w:rsid w:val="00EA7C80"/>
    <w:rsid w:val="00EB0AE2"/>
    <w:rsid w:val="00EB11F5"/>
    <w:rsid w:val="00EB33DF"/>
    <w:rsid w:val="00EB793B"/>
    <w:rsid w:val="00EC02D1"/>
    <w:rsid w:val="00EC1899"/>
    <w:rsid w:val="00EC55D8"/>
    <w:rsid w:val="00EC5CB7"/>
    <w:rsid w:val="00EC7014"/>
    <w:rsid w:val="00ED1958"/>
    <w:rsid w:val="00ED2B66"/>
    <w:rsid w:val="00ED686A"/>
    <w:rsid w:val="00EE0CD6"/>
    <w:rsid w:val="00EE6773"/>
    <w:rsid w:val="00EE6822"/>
    <w:rsid w:val="00EE690F"/>
    <w:rsid w:val="00EE7279"/>
    <w:rsid w:val="00EF31C7"/>
    <w:rsid w:val="00EF3C51"/>
    <w:rsid w:val="00EF4A31"/>
    <w:rsid w:val="00EF5254"/>
    <w:rsid w:val="00EF64E6"/>
    <w:rsid w:val="00EF7DFF"/>
    <w:rsid w:val="00F04026"/>
    <w:rsid w:val="00F12214"/>
    <w:rsid w:val="00F1510A"/>
    <w:rsid w:val="00F1735C"/>
    <w:rsid w:val="00F204C3"/>
    <w:rsid w:val="00F24996"/>
    <w:rsid w:val="00F31DF6"/>
    <w:rsid w:val="00F4133B"/>
    <w:rsid w:val="00F41487"/>
    <w:rsid w:val="00F414F8"/>
    <w:rsid w:val="00F425CF"/>
    <w:rsid w:val="00F43D97"/>
    <w:rsid w:val="00F4592D"/>
    <w:rsid w:val="00F51F8B"/>
    <w:rsid w:val="00F56076"/>
    <w:rsid w:val="00F60880"/>
    <w:rsid w:val="00F648D1"/>
    <w:rsid w:val="00F65A73"/>
    <w:rsid w:val="00F674E4"/>
    <w:rsid w:val="00F67A6A"/>
    <w:rsid w:val="00F7211A"/>
    <w:rsid w:val="00F73C90"/>
    <w:rsid w:val="00F80965"/>
    <w:rsid w:val="00F81E8D"/>
    <w:rsid w:val="00F8282F"/>
    <w:rsid w:val="00F82E47"/>
    <w:rsid w:val="00F92FF0"/>
    <w:rsid w:val="00F932AC"/>
    <w:rsid w:val="00FA1020"/>
    <w:rsid w:val="00FA14AB"/>
    <w:rsid w:val="00FA5D51"/>
    <w:rsid w:val="00FB62FD"/>
    <w:rsid w:val="00FB65B0"/>
    <w:rsid w:val="00FC2B34"/>
    <w:rsid w:val="00FC54BF"/>
    <w:rsid w:val="00FD0DE4"/>
    <w:rsid w:val="00FD436F"/>
    <w:rsid w:val="00FD4E4E"/>
    <w:rsid w:val="00FD4FEB"/>
    <w:rsid w:val="00FD6983"/>
    <w:rsid w:val="00FD71DC"/>
    <w:rsid w:val="00FE0161"/>
    <w:rsid w:val="00FE195E"/>
    <w:rsid w:val="00FE6C44"/>
    <w:rsid w:val="00FE6CAC"/>
    <w:rsid w:val="00FF21DA"/>
    <w:rsid w:val="00FF2E93"/>
    <w:rsid w:val="00FF47AF"/>
    <w:rsid w:val="00FF4AF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FB58419C-D312-F543-810E-81C2CD03372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0D1"/>
    <w:rPr>
      <w:sz w:val="24"/>
      <w:szCs w:val="24"/>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numPr>
        <w:numId w:val="3"/>
      </w:numPr>
      <w:spacing w:after="240"/>
    </w:pPr>
  </w:style>
  <w:style w:type="paragraph" w:styleId="EndnoteText">
    <w:name w:val="endnote text"/>
    <w:basedOn w:val="Normal"/>
    <w:semiHidden/>
    <w:rPr>
      <w:sz w:val="20"/>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style>
  <w:style w:type="character" w:styleId="CommentReference">
    <w:name w:val="annotation reference"/>
    <w:basedOn w:val="DefaultParagraphFont"/>
    <w:semiHidden/>
    <w:unhideWhenUsed/>
    <w:rsid w:val="005334ED"/>
    <w:rPr>
      <w:sz w:val="16"/>
      <w:szCs w:val="16"/>
    </w:rPr>
  </w:style>
  <w:style w:type="paragraph" w:styleId="CommentText">
    <w:name w:val="annotation text"/>
    <w:basedOn w:val="Normal"/>
    <w:link w:val="CommentTextChar"/>
    <w:semiHidden/>
    <w:unhideWhenUsed/>
    <w:rsid w:val="005334ED"/>
    <w:rPr>
      <w:sz w:val="20"/>
    </w:rPr>
  </w:style>
  <w:style w:type="character" w:customStyle="1" w:styleId="CommentTextChar">
    <w:name w:val="Comment Text Char"/>
    <w:basedOn w:val="DefaultParagraphFont"/>
    <w:link w:val="CommentText"/>
    <w:semiHidden/>
    <w:rsid w:val="005334ED"/>
    <w:rPr>
      <w:rFonts w:ascii="Palatino" w:hAnsi="Palatino"/>
    </w:rPr>
  </w:style>
  <w:style w:type="paragraph" w:styleId="CommentSubject">
    <w:name w:val="annotation subject"/>
    <w:basedOn w:val="CommentText"/>
    <w:next w:val="CommentText"/>
    <w:link w:val="CommentSubjectChar"/>
    <w:semiHidden/>
    <w:unhideWhenUsed/>
    <w:rsid w:val="005334ED"/>
    <w:rPr>
      <w:b/>
      <w:bCs/>
    </w:rPr>
  </w:style>
  <w:style w:type="character" w:customStyle="1" w:styleId="CommentSubjectChar">
    <w:name w:val="Comment Subject Char"/>
    <w:basedOn w:val="CommentTextChar"/>
    <w:link w:val="CommentSubject"/>
    <w:semiHidden/>
    <w:rsid w:val="005334ED"/>
    <w:rPr>
      <w:rFonts w:ascii="Palatino" w:hAnsi="Palatino"/>
      <w:b/>
      <w:bCs/>
    </w:rPr>
  </w:style>
  <w:style w:type="character" w:customStyle="1" w:styleId="standardChar">
    <w:name w:val="standard Char"/>
    <w:link w:val="standard"/>
    <w:rsid w:val="00020D8F"/>
    <w:rPr>
      <w:rFonts w:ascii="Palatino" w:hAnsi="Palatino"/>
      <w:sz w:val="26"/>
    </w:rPr>
  </w:style>
  <w:style w:type="numbering" w:customStyle="1" w:styleId="List7">
    <w:name w:val="List 7"/>
    <w:rsid w:val="00020D8F"/>
    <w:pPr>
      <w:numPr>
        <w:numId w:val="18"/>
      </w:numPr>
    </w:pPr>
  </w:style>
  <w:style w:type="paragraph" w:customStyle="1" w:styleId="FreeForm">
    <w:name w:val="Free Form"/>
    <w:rsid w:val="00B7777F"/>
    <w:pPr>
      <w:pBdr>
        <w:top w:val="nil"/>
        <w:left w:val="nil"/>
        <w:bottom w:val="nil"/>
        <w:right w:val="nil"/>
        <w:between w:val="nil"/>
        <w:bar w:val="nil"/>
      </w:pBdr>
    </w:pPr>
    <w:rPr>
      <w:color w:val="000000"/>
      <w:bdr w:val="nil"/>
    </w:rPr>
  </w:style>
  <w:style w:type="numbering" w:customStyle="1" w:styleId="List11">
    <w:name w:val="List 11"/>
    <w:rsid w:val="00B7777F"/>
    <w:pPr>
      <w:numPr>
        <w:numId w:val="21"/>
      </w:numPr>
    </w:pPr>
  </w:style>
  <w:style w:type="character" w:customStyle="1" w:styleId="FootnoteTextChar">
    <w:name w:val="Footnote Text Char"/>
    <w:basedOn w:val="DefaultParagraphFont"/>
    <w:link w:val="FootnoteText"/>
    <w:uiPriority w:val="99"/>
    <w:rsid w:val="00EE7279"/>
    <w:rPr>
      <w:rFonts w:ascii="Palatino" w:hAnsi="Palatino"/>
      <w:sz w:val="24"/>
    </w:rPr>
  </w:style>
  <w:style w:type="character" w:customStyle="1" w:styleId="apple-converted-space">
    <w:name w:val="apple-converted-space"/>
    <w:basedOn w:val="DefaultParagraphFont"/>
    <w:rsid w:val="00822932"/>
  </w:style>
  <w:style w:type="paragraph" w:customStyle="1" w:styleId="default">
    <w:name w:val="default"/>
    <w:basedOn w:val="Normal"/>
    <w:rsid w:val="009B1324"/>
    <w:pPr>
      <w:spacing w:before="100" w:beforeAutospacing="1" w:after="100" w:afterAutospacing="1"/>
    </w:pPr>
  </w:style>
  <w:style w:type="paragraph" w:customStyle="1" w:styleId="Default0">
    <w:name w:val="Default"/>
    <w:rsid w:val="009B1324"/>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9B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847">
      <w:bodyDiv w:val="1"/>
      <w:marLeft w:val="0"/>
      <w:marRight w:val="0"/>
      <w:marTop w:val="0"/>
      <w:marBottom w:val="0"/>
      <w:divBdr>
        <w:top w:val="none" w:sz="0" w:space="0" w:color="auto"/>
        <w:left w:val="none" w:sz="0" w:space="0" w:color="auto"/>
        <w:bottom w:val="none" w:sz="0" w:space="0" w:color="auto"/>
        <w:right w:val="none" w:sz="0" w:space="0" w:color="auto"/>
      </w:divBdr>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190188009">
      <w:bodyDiv w:val="1"/>
      <w:marLeft w:val="0"/>
      <w:marRight w:val="0"/>
      <w:marTop w:val="0"/>
      <w:marBottom w:val="0"/>
      <w:divBdr>
        <w:top w:val="none" w:sz="0" w:space="0" w:color="auto"/>
        <w:left w:val="none" w:sz="0" w:space="0" w:color="auto"/>
        <w:bottom w:val="none" w:sz="0" w:space="0" w:color="auto"/>
        <w:right w:val="none" w:sz="0" w:space="0" w:color="auto"/>
      </w:divBdr>
    </w:div>
    <w:div w:id="227349630">
      <w:bodyDiv w:val="1"/>
      <w:marLeft w:val="0"/>
      <w:marRight w:val="0"/>
      <w:marTop w:val="0"/>
      <w:marBottom w:val="0"/>
      <w:divBdr>
        <w:top w:val="none" w:sz="0" w:space="0" w:color="auto"/>
        <w:left w:val="none" w:sz="0" w:space="0" w:color="auto"/>
        <w:bottom w:val="none" w:sz="0" w:space="0" w:color="auto"/>
        <w:right w:val="none" w:sz="0" w:space="0" w:color="auto"/>
      </w:divBdr>
    </w:div>
    <w:div w:id="244729468">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40752358">
      <w:bodyDiv w:val="1"/>
      <w:marLeft w:val="0"/>
      <w:marRight w:val="0"/>
      <w:marTop w:val="0"/>
      <w:marBottom w:val="0"/>
      <w:divBdr>
        <w:top w:val="none" w:sz="0" w:space="0" w:color="auto"/>
        <w:left w:val="none" w:sz="0" w:space="0" w:color="auto"/>
        <w:bottom w:val="none" w:sz="0" w:space="0" w:color="auto"/>
        <w:right w:val="none" w:sz="0" w:space="0" w:color="auto"/>
      </w:divBdr>
    </w:div>
    <w:div w:id="733436347">
      <w:bodyDiv w:val="1"/>
      <w:marLeft w:val="0"/>
      <w:marRight w:val="0"/>
      <w:marTop w:val="0"/>
      <w:marBottom w:val="0"/>
      <w:divBdr>
        <w:top w:val="none" w:sz="0" w:space="0" w:color="auto"/>
        <w:left w:val="none" w:sz="0" w:space="0" w:color="auto"/>
        <w:bottom w:val="none" w:sz="0" w:space="0" w:color="auto"/>
        <w:right w:val="none" w:sz="0" w:space="0" w:color="auto"/>
      </w:divBdr>
    </w:div>
    <w:div w:id="977608925">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355959147">
      <w:bodyDiv w:val="1"/>
      <w:marLeft w:val="0"/>
      <w:marRight w:val="0"/>
      <w:marTop w:val="0"/>
      <w:marBottom w:val="0"/>
      <w:divBdr>
        <w:top w:val="none" w:sz="0" w:space="0" w:color="auto"/>
        <w:left w:val="none" w:sz="0" w:space="0" w:color="auto"/>
        <w:bottom w:val="none" w:sz="0" w:space="0" w:color="auto"/>
        <w:right w:val="none" w:sz="0" w:space="0" w:color="auto"/>
      </w:divBdr>
    </w:div>
    <w:div w:id="1561667257">
      <w:bodyDiv w:val="1"/>
      <w:marLeft w:val="0"/>
      <w:marRight w:val="0"/>
      <w:marTop w:val="0"/>
      <w:marBottom w:val="0"/>
      <w:divBdr>
        <w:top w:val="none" w:sz="0" w:space="0" w:color="auto"/>
        <w:left w:val="none" w:sz="0" w:space="0" w:color="auto"/>
        <w:bottom w:val="none" w:sz="0" w:space="0" w:color="auto"/>
        <w:right w:val="none" w:sz="0" w:space="0" w:color="auto"/>
      </w:divBdr>
    </w:div>
    <w:div w:id="1672874769">
      <w:bodyDiv w:val="1"/>
      <w:marLeft w:val="0"/>
      <w:marRight w:val="0"/>
      <w:marTop w:val="0"/>
      <w:marBottom w:val="0"/>
      <w:divBdr>
        <w:top w:val="none" w:sz="0" w:space="0" w:color="auto"/>
        <w:left w:val="none" w:sz="0" w:space="0" w:color="auto"/>
        <w:bottom w:val="none" w:sz="0" w:space="0" w:color="auto"/>
        <w:right w:val="none" w:sz="0" w:space="0" w:color="auto"/>
      </w:divBdr>
    </w:div>
    <w:div w:id="1673944976">
      <w:bodyDiv w:val="1"/>
      <w:marLeft w:val="0"/>
      <w:marRight w:val="0"/>
      <w:marTop w:val="0"/>
      <w:marBottom w:val="0"/>
      <w:divBdr>
        <w:top w:val="none" w:sz="0" w:space="0" w:color="auto"/>
        <w:left w:val="none" w:sz="0" w:space="0" w:color="auto"/>
        <w:bottom w:val="none" w:sz="0" w:space="0" w:color="auto"/>
        <w:right w:val="none" w:sz="0" w:space="0" w:color="auto"/>
      </w:divBdr>
    </w:div>
    <w:div w:id="212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4" ma:contentTypeDescription="Create a new document." ma:contentTypeScope="" ma:versionID="7dccbf3eb89d26d97b982388026acdcf">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d23f65d4a82604dc6f811a1cb2649fe7"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1D0E-68AA-4C5B-AADB-1561FE7E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4557e-16e7-4ad4-9248-b950eb894e33"/>
    <ds:schemaRef ds:uri="2c7220a4-f1fe-4ad2-8dd7-a066dda6a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FB500-D1AA-4BF0-87B4-B139A2CB787D}">
  <ds:schemaRefs>
    <ds:schemaRef ds:uri="http://schemas.microsoft.com/sharepoint/v3/contenttype/forms"/>
  </ds:schemaRefs>
</ds:datastoreItem>
</file>

<file path=customXml/itemProps3.xml><?xml version="1.0" encoding="utf-8"?>
<ds:datastoreItem xmlns:ds="http://schemas.openxmlformats.org/officeDocument/2006/customXml" ds:itemID="{21DC907D-2E06-447D-8251-B3BA6DE98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4895DD-921C-4E73-BC7B-B8FD61377AF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6380</ap:Words>
  <ap:Characters>36372</ap:Characters>
  <ap:Application>Microsoft Office Word</ap:Application>
  <ap:DocSecurity>0</ap:DocSecurity>
  <ap:Lines>303</ap:Lines>
  <ap:Paragraphs>85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42667</ap:CharactersWithSpaces>
  <ap:SharedDoc>false</ap:SharedDoc>
  <ap:HLinks>
    <vt:vector baseType="variant" size="6">
      <vt:variant>
        <vt:i4>4522013</vt:i4>
      </vt:variant>
      <vt:variant>
        <vt:i4>0</vt:i4>
      </vt:variant>
      <vt:variant>
        <vt:i4>0</vt:i4>
      </vt:variant>
      <vt:variant>
        <vt:i4>5</vt:i4>
      </vt:variant>
      <vt:variant>
        <vt:lpwstr>https://cs.cpuc.ca.gov/otcs/cs.exe/overview/314289635</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2021-01-15T14:42:14Z</dcterms:created>
  <dcterms:modified xsi:type="dcterms:W3CDTF">2021-01-15T14:42:14Z</dcterms:modified>
</cp:coreProperties>
</file>