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1BB5" w:rsidR="00D31BB5" w:rsidP="00D31BB5" w:rsidRDefault="002A2AFF" w14:paraId="73D8B5AD" w14:textId="70B411DB">
      <w:pPr>
        <w:tabs>
          <w:tab w:val="center" w:pos="4680"/>
          <w:tab w:val="right" w:pos="9360"/>
        </w:tabs>
        <w:rPr>
          <w:rFonts w:ascii="Book Antiqua" w:hAnsi="Book Antiqua"/>
          <w:b/>
          <w:szCs w:val="26"/>
        </w:rPr>
      </w:pPr>
      <w:r w:rsidRPr="00FD25E2">
        <w:rPr>
          <w:rFonts w:ascii="Book Antiqua" w:hAnsi="Book Antiqua"/>
        </w:rPr>
        <w:t>ALJ/</w:t>
      </w:r>
      <w:r w:rsidR="00BB661E">
        <w:rPr>
          <w:rFonts w:ascii="Book Antiqua" w:hAnsi="Book Antiqua"/>
        </w:rPr>
        <w:t>RMD</w:t>
      </w:r>
      <w:r w:rsidRPr="00FD25E2" w:rsidR="00D16326">
        <w:rPr>
          <w:rFonts w:ascii="Book Antiqua" w:hAnsi="Book Antiqua"/>
        </w:rPr>
        <w:t>/</w:t>
      </w:r>
      <w:r w:rsidR="00447AF3">
        <w:rPr>
          <w:rFonts w:ascii="Book Antiqua" w:hAnsi="Book Antiqua"/>
        </w:rPr>
        <w:t>gp2</w:t>
      </w:r>
      <w:r w:rsidRPr="00EC312B" w:rsidR="00EC312B">
        <w:rPr>
          <w:rFonts w:ascii="Arial" w:hAnsi="Arial" w:cs="Arial"/>
          <w:b/>
          <w:sz w:val="32"/>
          <w:szCs w:val="32"/>
        </w:rPr>
        <w:t xml:space="preserve"> </w:t>
      </w:r>
      <w:r w:rsidR="00447AF3">
        <w:rPr>
          <w:rFonts w:ascii="Arial" w:hAnsi="Arial" w:cs="Arial"/>
          <w:b/>
          <w:sz w:val="32"/>
          <w:szCs w:val="32"/>
        </w:rPr>
        <w:tab/>
      </w:r>
      <w:r w:rsidR="00D31BB5">
        <w:rPr>
          <w:rFonts w:ascii="Arial" w:hAnsi="Arial" w:cs="Arial"/>
          <w:b/>
          <w:sz w:val="32"/>
          <w:szCs w:val="32"/>
        </w:rPr>
        <w:tab/>
      </w:r>
      <w:r w:rsidR="00D31BB5">
        <w:rPr>
          <w:rFonts w:ascii="Book Antiqua" w:hAnsi="Book Antiqua" w:cs="Arial"/>
          <w:b/>
          <w:szCs w:val="26"/>
        </w:rPr>
        <w:t>Date of Issuance:  1/22/2021</w:t>
      </w:r>
    </w:p>
    <w:p w:rsidRPr="008B3DD1" w:rsidR="00EC312B" w:rsidP="00EC312B" w:rsidRDefault="00EC312B" w14:paraId="399303A6" w14:textId="77777777">
      <w:pPr>
        <w:rPr>
          <w:rFonts w:ascii="Book Antiqua" w:hAnsi="Book Antiqua"/>
        </w:rPr>
      </w:pPr>
    </w:p>
    <w:p w:rsidRPr="008B3DD1" w:rsidR="00EC312B" w:rsidP="00EC312B" w:rsidRDefault="00EC312B" w14:paraId="57FFDAF5" w14:textId="6D3AC00A">
      <w:pPr>
        <w:ind w:left="1080" w:hanging="1080"/>
        <w:rPr>
          <w:rFonts w:ascii="Book Antiqua" w:hAnsi="Book Antiqua"/>
        </w:rPr>
      </w:pPr>
      <w:r w:rsidRPr="008B3DD1">
        <w:rPr>
          <w:rFonts w:ascii="Book Antiqua" w:hAnsi="Book Antiqua"/>
        </w:rPr>
        <w:t xml:space="preserve">Decision </w:t>
      </w:r>
      <w:r w:rsidRPr="00D31BB5" w:rsidR="00D31BB5">
        <w:rPr>
          <w:rFonts w:ascii="Book Antiqua" w:hAnsi="Book Antiqua"/>
        </w:rPr>
        <w:t>21-01-021</w:t>
      </w:r>
      <w:r w:rsidR="00D31BB5">
        <w:rPr>
          <w:rFonts w:ascii="Book Antiqua" w:hAnsi="Book Antiqua"/>
        </w:rPr>
        <w:t xml:space="preserve">  January 14, 2021</w:t>
      </w:r>
    </w:p>
    <w:p w:rsidR="002B23B9" w:rsidP="00EC312B" w:rsidRDefault="002B23B9" w14:paraId="77C15729" w14:textId="0D7FD92D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rPr>
          <w:rFonts w:ascii="Book Antiqua" w:hAnsi="Book Antiqua"/>
          <w:szCs w:val="26"/>
        </w:rPr>
      </w:pPr>
    </w:p>
    <w:p w:rsidRPr="00C662DE" w:rsidR="0089195D" w:rsidP="002B23B9" w:rsidRDefault="0089195D" w14:paraId="384CBAD0" w14:textId="66E19942">
      <w:pPr>
        <w:suppressAutoHyphens/>
        <w:rPr>
          <w:rFonts w:ascii="Arial" w:hAnsi="Arial" w:cs="Arial"/>
          <w:b/>
          <w:bCs/>
          <w:sz w:val="24"/>
        </w:rPr>
      </w:pPr>
      <w:r w:rsidRPr="00C662DE">
        <w:rPr>
          <w:rFonts w:ascii="Arial" w:hAnsi="Arial" w:cs="Arial"/>
          <w:b/>
          <w:bCs/>
          <w:sz w:val="24"/>
        </w:rPr>
        <w:t>BEFORE THE PUBLIC UTILITIES COMMISSION OF THE STATE OF CALIFORNIA</w:t>
      </w:r>
    </w:p>
    <w:p w:rsidR="0089195D" w:rsidRDefault="0089195D" w14:paraId="76CADBDE" w14:textId="72ABB6DD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457"/>
      </w:tblGrid>
      <w:tr w:rsidRPr="00FD3364" w:rsidR="00FD3364" w:rsidTr="00447AF3" w14:paraId="1E9A2D07" w14:textId="77777777">
        <w:tc>
          <w:tcPr>
            <w:tcW w:w="4788" w:type="dxa"/>
            <w:tcBorders>
              <w:bottom w:val="single" w:color="auto" w:sz="6" w:space="0"/>
              <w:right w:val="single" w:color="auto" w:sz="6" w:space="0"/>
            </w:tcBorders>
          </w:tcPr>
          <w:p w:rsidR="00FD3364" w:rsidP="00447AF3" w:rsidRDefault="00447AF3" w14:paraId="3D5FC381" w14:textId="77777777">
            <w:pPr>
              <w:rPr>
                <w:rFonts w:ascii="Book Antiqua" w:hAnsi="Book Antiqua"/>
                <w:szCs w:val="26"/>
              </w:rPr>
            </w:pPr>
            <w:r w:rsidRPr="00447AF3">
              <w:rPr>
                <w:rFonts w:ascii="Book Antiqua" w:hAnsi="Book Antiqua"/>
                <w:szCs w:val="26"/>
              </w:rPr>
              <w:t>Application of Pacific Gas and Electric Company for Approval of its Mobile Application and Supporting Systems Pilot.</w:t>
            </w:r>
          </w:p>
          <w:p w:rsidRPr="00FD3364" w:rsidR="00447AF3" w:rsidP="00447AF3" w:rsidRDefault="00447AF3" w14:paraId="10B0DD1E" w14:textId="016FE98F"/>
        </w:tc>
        <w:tc>
          <w:tcPr>
            <w:tcW w:w="4457" w:type="dxa"/>
            <w:tcBorders>
              <w:left w:val="nil"/>
            </w:tcBorders>
            <w:vAlign w:val="center"/>
          </w:tcPr>
          <w:p w:rsidRPr="00447AF3" w:rsidR="00FD3364" w:rsidP="00447AF3" w:rsidRDefault="00FD3364" w14:paraId="0D62B3D8" w14:textId="77777777">
            <w:pPr>
              <w:jc w:val="center"/>
              <w:rPr>
                <w:rFonts w:ascii="Book Antiqua" w:hAnsi="Book Antiqua"/>
              </w:rPr>
            </w:pPr>
            <w:r w:rsidRPr="00447AF3">
              <w:rPr>
                <w:rFonts w:ascii="Book Antiqua" w:hAnsi="Book Antiqua"/>
              </w:rPr>
              <w:t>Application 19-07-019</w:t>
            </w:r>
          </w:p>
        </w:tc>
      </w:tr>
    </w:tbl>
    <w:p w:rsidRPr="00FD3364" w:rsidR="00FD3364" w:rsidP="00FD3364" w:rsidRDefault="00FD3364" w14:paraId="1BBE2AEE" w14:textId="77777777"/>
    <w:p w:rsidR="00FD3364" w:rsidRDefault="00FD3364" w14:paraId="40932F3A" w14:textId="77777777"/>
    <w:p w:rsidRPr="00025EC9" w:rsidR="0089195D" w:rsidRDefault="0089195D" w14:paraId="5F61C6D0" w14:textId="77777777">
      <w:pPr>
        <w:jc w:val="center"/>
        <w:rPr>
          <w:rFonts w:ascii="Arial" w:hAnsi="Arial" w:cs="Arial"/>
          <w:b/>
          <w:szCs w:val="26"/>
        </w:rPr>
      </w:pPr>
      <w:bookmarkStart w:name="_Toc370798909" w:id="0"/>
      <w:r w:rsidRPr="00025EC9">
        <w:rPr>
          <w:rFonts w:ascii="Arial" w:hAnsi="Arial" w:cs="Arial"/>
          <w:b/>
          <w:szCs w:val="26"/>
        </w:rPr>
        <w:t>ORDER EXTENDING STATUTORY DEADLINE</w:t>
      </w:r>
    </w:p>
    <w:bookmarkEnd w:id="0"/>
    <w:p w:rsidR="0089195D" w:rsidP="00107949" w:rsidRDefault="0089195D" w14:paraId="4514FA72" w14:textId="77777777">
      <w:pPr>
        <w:tabs>
          <w:tab w:val="left" w:pos="3493"/>
        </w:tabs>
        <w:suppressAutoHyphens/>
      </w:pPr>
    </w:p>
    <w:p w:rsidRPr="00FD25E2" w:rsidR="003A3FFB" w:rsidP="007A6B7B" w:rsidRDefault="003A3FFB" w14:paraId="50D8BBEF" w14:textId="77777777">
      <w:pPr>
        <w:keepNext/>
        <w:tabs>
          <w:tab w:val="center" w:pos="4680"/>
        </w:tabs>
        <w:spacing w:before="120" w:after="120"/>
        <w:outlineLvl w:val="0"/>
        <w:rPr>
          <w:rFonts w:ascii="Book Antiqua" w:hAnsi="Book Antiqua"/>
          <w:b/>
        </w:rPr>
      </w:pPr>
      <w:bookmarkStart w:name="_Toc370798910" w:id="1"/>
      <w:r w:rsidRPr="00FD25E2">
        <w:rPr>
          <w:rFonts w:ascii="Arial" w:hAnsi="Arial" w:cs="Arial"/>
          <w:b/>
        </w:rPr>
        <w:t>Summary</w:t>
      </w:r>
    </w:p>
    <w:p w:rsidRPr="00FD25E2" w:rsidR="003A3FFB" w:rsidP="003A3FFB" w:rsidRDefault="003A3FFB" w14:paraId="25AE9578" w14:textId="068F0B79">
      <w:pPr>
        <w:spacing w:line="360" w:lineRule="auto"/>
        <w:ind w:firstLine="720"/>
        <w:rPr>
          <w:rFonts w:ascii="Book Antiqua" w:hAnsi="Book Antiqua"/>
        </w:rPr>
      </w:pPr>
      <w:r w:rsidRPr="00FD25E2">
        <w:rPr>
          <w:rFonts w:ascii="Book Antiqua" w:hAnsi="Book Antiqua"/>
        </w:rPr>
        <w:t>This decision extends the statutory deadline in th</w:t>
      </w:r>
      <w:r w:rsidRPr="00FD25E2" w:rsidR="00FB49B0">
        <w:rPr>
          <w:rFonts w:ascii="Book Antiqua" w:hAnsi="Book Antiqua"/>
        </w:rPr>
        <w:t>is</w:t>
      </w:r>
      <w:r w:rsidRPr="00FD25E2">
        <w:rPr>
          <w:rFonts w:ascii="Book Antiqua" w:hAnsi="Book Antiqua"/>
        </w:rPr>
        <w:t xml:space="preserve"> proceeding to </w:t>
      </w:r>
      <w:r w:rsidR="00FD3364">
        <w:rPr>
          <w:rFonts w:ascii="Book Antiqua" w:hAnsi="Book Antiqua"/>
        </w:rPr>
        <w:t>J</w:t>
      </w:r>
      <w:r w:rsidR="00995677">
        <w:rPr>
          <w:rFonts w:ascii="Book Antiqua" w:hAnsi="Book Antiqua"/>
        </w:rPr>
        <w:t>anuary</w:t>
      </w:r>
      <w:r w:rsidR="00447AF3">
        <w:rPr>
          <w:rFonts w:ascii="Book Antiqua" w:hAnsi="Book Antiqua"/>
        </w:rPr>
        <w:t> </w:t>
      </w:r>
      <w:r w:rsidRPr="00C53765" w:rsidR="00FD3364">
        <w:rPr>
          <w:rFonts w:ascii="Book Antiqua" w:hAnsi="Book Antiqua"/>
        </w:rPr>
        <w:t>27</w:t>
      </w:r>
      <w:r w:rsidRPr="00C53765" w:rsidR="002C0C14">
        <w:rPr>
          <w:rFonts w:ascii="Book Antiqua" w:hAnsi="Book Antiqua"/>
        </w:rPr>
        <w:t>,</w:t>
      </w:r>
      <w:r w:rsidR="00447AF3">
        <w:rPr>
          <w:rFonts w:ascii="Book Antiqua" w:hAnsi="Book Antiqua"/>
        </w:rPr>
        <w:t> </w:t>
      </w:r>
      <w:r w:rsidRPr="00C53765" w:rsidR="002C0C14">
        <w:rPr>
          <w:rFonts w:ascii="Book Antiqua" w:hAnsi="Book Antiqua"/>
        </w:rPr>
        <w:t>20</w:t>
      </w:r>
      <w:r w:rsidRPr="00C53765" w:rsidR="00ED1816">
        <w:rPr>
          <w:rFonts w:ascii="Book Antiqua" w:hAnsi="Book Antiqua"/>
        </w:rPr>
        <w:t>2</w:t>
      </w:r>
      <w:r w:rsidR="00995677">
        <w:rPr>
          <w:rFonts w:ascii="Book Antiqua" w:hAnsi="Book Antiqua"/>
        </w:rPr>
        <w:t>4</w:t>
      </w:r>
      <w:r w:rsidRPr="00C53765">
        <w:rPr>
          <w:rFonts w:ascii="Book Antiqua" w:hAnsi="Book Antiqua"/>
        </w:rPr>
        <w:t>.</w:t>
      </w:r>
    </w:p>
    <w:p w:rsidRPr="00FD25E2" w:rsidR="003A3FFB" w:rsidP="009A4B69" w:rsidRDefault="003A3FFB" w14:paraId="35A8E7AC" w14:textId="77777777">
      <w:pPr>
        <w:pStyle w:val="ListParagraph"/>
        <w:keepNext/>
        <w:numPr>
          <w:ilvl w:val="0"/>
          <w:numId w:val="8"/>
        </w:numPr>
        <w:spacing w:after="120"/>
        <w:ind w:left="446" w:hanging="446"/>
        <w:contextualSpacing w:val="0"/>
        <w:outlineLvl w:val="0"/>
        <w:rPr>
          <w:rFonts w:ascii="Arial" w:hAnsi="Arial" w:cs="Arial"/>
          <w:b/>
        </w:rPr>
      </w:pPr>
      <w:r w:rsidRPr="00FD25E2">
        <w:rPr>
          <w:rFonts w:ascii="Arial" w:hAnsi="Arial" w:cs="Arial"/>
          <w:b/>
        </w:rPr>
        <w:t>Background</w:t>
      </w:r>
      <w:bookmarkEnd w:id="1"/>
    </w:p>
    <w:p w:rsidR="00F66FB8" w:rsidP="00FD3364" w:rsidRDefault="009A1097" w14:paraId="42105133" w14:textId="1129143D">
      <w:pPr>
        <w:spacing w:line="360" w:lineRule="auto"/>
        <w:ind w:firstLine="720"/>
        <w:rPr>
          <w:rFonts w:ascii="Book Antiqua" w:hAnsi="Book Antiqua" w:cs="Arial"/>
          <w:color w:val="000000"/>
          <w:szCs w:val="26"/>
        </w:rPr>
      </w:pPr>
      <w:r w:rsidRPr="00FD25E2">
        <w:rPr>
          <w:rFonts w:ascii="Book Antiqua" w:hAnsi="Book Antiqua"/>
        </w:rPr>
        <w:t xml:space="preserve">Public </w:t>
      </w:r>
      <w:r w:rsidRPr="00FD25E2">
        <w:rPr>
          <w:rFonts w:ascii="Book Antiqua" w:hAnsi="Book Antiqua" w:cs="Arial"/>
          <w:color w:val="000000"/>
          <w:szCs w:val="26"/>
        </w:rPr>
        <w:t>Utilities Code (Pub</w:t>
      </w:r>
      <w:bookmarkStart w:name="_Hlk54442881" w:id="2"/>
      <w:r w:rsidRPr="00FD25E2">
        <w:rPr>
          <w:rFonts w:ascii="Book Antiqua" w:hAnsi="Book Antiqua" w:cs="Arial"/>
          <w:color w:val="000000"/>
          <w:szCs w:val="26"/>
        </w:rPr>
        <w:t xml:space="preserve">. Util. Code) </w:t>
      </w:r>
      <w:r w:rsidR="00CA415F">
        <w:rPr>
          <w:rFonts w:ascii="Book Antiqua" w:hAnsi="Book Antiqua" w:cs="Arial"/>
          <w:color w:val="000000"/>
          <w:szCs w:val="26"/>
        </w:rPr>
        <w:t>§</w:t>
      </w:r>
      <w:r w:rsidRPr="00FD25E2">
        <w:rPr>
          <w:rFonts w:ascii="Book Antiqua" w:hAnsi="Book Antiqua" w:cs="Arial"/>
          <w:color w:val="000000"/>
          <w:szCs w:val="26"/>
        </w:rPr>
        <w:t xml:space="preserve"> 1701.5(a)</w:t>
      </w:r>
      <w:r w:rsidRPr="00B013A2" w:rsidR="00B013A2">
        <w:rPr>
          <w:rFonts w:ascii="Book Antiqua" w:hAnsi="Book Antiqua" w:cs="Arial"/>
          <w:color w:val="000000"/>
          <w:szCs w:val="26"/>
        </w:rPr>
        <w:t xml:space="preserve"> </w:t>
      </w:r>
      <w:bookmarkEnd w:id="2"/>
      <w:r w:rsidRPr="00B013A2" w:rsidR="00B013A2">
        <w:rPr>
          <w:rFonts w:ascii="Book Antiqua" w:hAnsi="Book Antiqua" w:cs="Arial"/>
          <w:color w:val="000000"/>
          <w:szCs w:val="26"/>
        </w:rPr>
        <w:t>)</w:t>
      </w:r>
      <w:r w:rsidRPr="00B013A2" w:rsidR="00B013A2">
        <w:rPr>
          <w:rFonts w:ascii="Book Antiqua" w:hAnsi="Book Antiqua" w:cs="Arial"/>
          <w:color w:val="000000"/>
          <w:szCs w:val="26"/>
          <w:vertAlign w:val="superscript"/>
        </w:rPr>
        <w:footnoteReference w:id="2"/>
      </w:r>
      <w:r w:rsidR="00CA415F">
        <w:rPr>
          <w:rFonts w:ascii="Book Antiqua" w:hAnsi="Book Antiqua" w:cs="Arial"/>
          <w:color w:val="000000"/>
          <w:szCs w:val="26"/>
        </w:rPr>
        <w:t xml:space="preserve"> p</w:t>
      </w:r>
      <w:r w:rsidRPr="00FD25E2">
        <w:rPr>
          <w:rFonts w:ascii="Book Antiqua" w:hAnsi="Book Antiqua" w:cs="Arial"/>
          <w:color w:val="000000"/>
          <w:szCs w:val="26"/>
        </w:rPr>
        <w:t>rovides that the Commission shall resolve the issues raised in the scoping memo of a ratesetting proceeding within 18 months of the date the proceeding is initiated, unless the Commission makes a written determination that the deadline cannot be met, and issues an order extending the deadline.  In th</w:t>
      </w:r>
      <w:r w:rsidRPr="00FD25E2" w:rsidR="00FB49B0">
        <w:rPr>
          <w:rFonts w:ascii="Book Antiqua" w:hAnsi="Book Antiqua" w:cs="Arial"/>
          <w:color w:val="000000"/>
          <w:szCs w:val="26"/>
        </w:rPr>
        <w:t>is</w:t>
      </w:r>
      <w:r w:rsidRPr="00FD25E2">
        <w:rPr>
          <w:rFonts w:ascii="Book Antiqua" w:hAnsi="Book Antiqua" w:cs="Arial"/>
          <w:color w:val="000000"/>
          <w:szCs w:val="26"/>
        </w:rPr>
        <w:t xml:space="preserve"> proceeding, the </w:t>
      </w:r>
      <w:r w:rsidR="00F66FB8">
        <w:rPr>
          <w:rFonts w:ascii="Book Antiqua" w:hAnsi="Book Antiqua" w:cs="Arial"/>
          <w:color w:val="000000"/>
          <w:szCs w:val="26"/>
        </w:rPr>
        <w:t xml:space="preserve">currently applicable statutory deadline expires on </w:t>
      </w:r>
      <w:r w:rsidRPr="00FD3364" w:rsidR="00FD3364">
        <w:rPr>
          <w:rFonts w:ascii="Book Antiqua" w:hAnsi="Book Antiqua" w:cs="Arial"/>
          <w:color w:val="000000"/>
          <w:szCs w:val="26"/>
        </w:rPr>
        <w:t>January 27, 2021</w:t>
      </w:r>
      <w:r w:rsidR="00FD3364">
        <w:rPr>
          <w:rFonts w:ascii="Book Antiqua" w:hAnsi="Book Antiqua" w:cs="Arial"/>
          <w:color w:val="000000"/>
          <w:szCs w:val="26"/>
        </w:rPr>
        <w:t>.</w:t>
      </w:r>
      <w:r w:rsidR="00F66FB8">
        <w:rPr>
          <w:rFonts w:ascii="Book Antiqua" w:hAnsi="Book Antiqua" w:cs="Arial"/>
          <w:color w:val="000000"/>
          <w:szCs w:val="26"/>
        </w:rPr>
        <w:t xml:space="preserve">  Today</w:t>
      </w:r>
      <w:r w:rsidR="009034B7">
        <w:rPr>
          <w:rFonts w:ascii="Book Antiqua" w:hAnsi="Book Antiqua" w:cs="Arial"/>
          <w:color w:val="000000"/>
          <w:szCs w:val="26"/>
        </w:rPr>
        <w:t>’s</w:t>
      </w:r>
      <w:r w:rsidR="00F66FB8">
        <w:rPr>
          <w:rFonts w:ascii="Book Antiqua" w:hAnsi="Book Antiqua" w:cs="Arial"/>
          <w:color w:val="000000"/>
          <w:szCs w:val="26"/>
        </w:rPr>
        <w:t xml:space="preserve"> decision extends this statutory deadline for </w:t>
      </w:r>
      <w:r w:rsidR="00CA415F">
        <w:rPr>
          <w:rFonts w:ascii="Book Antiqua" w:hAnsi="Book Antiqua" w:cs="Arial"/>
          <w:color w:val="000000"/>
          <w:szCs w:val="26"/>
        </w:rPr>
        <w:t xml:space="preserve">an additional </w:t>
      </w:r>
      <w:r w:rsidR="00995677">
        <w:rPr>
          <w:rFonts w:ascii="Book Antiqua" w:hAnsi="Book Antiqua" w:cs="Arial"/>
          <w:color w:val="000000"/>
          <w:szCs w:val="26"/>
        </w:rPr>
        <w:t xml:space="preserve">3 </w:t>
      </w:r>
      <w:r w:rsidRPr="0041333E" w:rsidR="00217346">
        <w:rPr>
          <w:rFonts w:ascii="Book Antiqua" w:hAnsi="Book Antiqua" w:cs="Arial"/>
          <w:color w:val="000000"/>
          <w:szCs w:val="26"/>
        </w:rPr>
        <w:t>years</w:t>
      </w:r>
      <w:r w:rsidR="006F19A3">
        <w:rPr>
          <w:rFonts w:ascii="Book Antiqua" w:hAnsi="Book Antiqua" w:cs="Arial"/>
          <w:color w:val="000000"/>
          <w:szCs w:val="26"/>
        </w:rPr>
        <w:t xml:space="preserve"> (3</w:t>
      </w:r>
      <w:r w:rsidR="00995677">
        <w:rPr>
          <w:rFonts w:ascii="Book Antiqua" w:hAnsi="Book Antiqua" w:cs="Arial"/>
          <w:color w:val="000000"/>
          <w:szCs w:val="26"/>
        </w:rPr>
        <w:t>6</w:t>
      </w:r>
      <w:r w:rsidR="006F19A3">
        <w:rPr>
          <w:rFonts w:ascii="Book Antiqua" w:hAnsi="Book Antiqua" w:cs="Arial"/>
          <w:color w:val="000000"/>
          <w:szCs w:val="26"/>
        </w:rPr>
        <w:t xml:space="preserve"> months)</w:t>
      </w:r>
      <w:r w:rsidRPr="0041333E" w:rsidR="00F66FB8">
        <w:rPr>
          <w:rFonts w:ascii="Book Antiqua" w:hAnsi="Book Antiqua" w:cs="Arial"/>
          <w:color w:val="000000"/>
          <w:szCs w:val="26"/>
        </w:rPr>
        <w:t>,</w:t>
      </w:r>
      <w:r w:rsidR="00F66FB8">
        <w:rPr>
          <w:rFonts w:ascii="Book Antiqua" w:hAnsi="Book Antiqua" w:cs="Arial"/>
          <w:color w:val="000000"/>
          <w:szCs w:val="26"/>
        </w:rPr>
        <w:t xml:space="preserve"> until </w:t>
      </w:r>
      <w:r w:rsidR="00FD3364">
        <w:rPr>
          <w:rFonts w:ascii="Book Antiqua" w:hAnsi="Book Antiqua" w:cs="Arial"/>
          <w:color w:val="000000"/>
          <w:szCs w:val="26"/>
        </w:rPr>
        <w:t>J</w:t>
      </w:r>
      <w:r w:rsidR="00995677">
        <w:rPr>
          <w:rFonts w:ascii="Book Antiqua" w:hAnsi="Book Antiqua" w:cs="Arial"/>
          <w:color w:val="000000"/>
          <w:szCs w:val="26"/>
        </w:rPr>
        <w:t>anuary</w:t>
      </w:r>
      <w:r w:rsidR="00FD3364">
        <w:rPr>
          <w:rFonts w:ascii="Book Antiqua" w:hAnsi="Book Antiqua" w:cs="Arial"/>
          <w:color w:val="000000"/>
          <w:szCs w:val="26"/>
        </w:rPr>
        <w:t xml:space="preserve"> 27</w:t>
      </w:r>
      <w:r w:rsidR="00F66FB8">
        <w:rPr>
          <w:rFonts w:ascii="Book Antiqua" w:hAnsi="Book Antiqua" w:cs="Arial"/>
          <w:color w:val="000000"/>
          <w:szCs w:val="26"/>
        </w:rPr>
        <w:t>, 202</w:t>
      </w:r>
      <w:r w:rsidR="00995677">
        <w:rPr>
          <w:rFonts w:ascii="Book Antiqua" w:hAnsi="Book Antiqua" w:cs="Arial"/>
          <w:color w:val="000000"/>
          <w:szCs w:val="26"/>
        </w:rPr>
        <w:t>4</w:t>
      </w:r>
      <w:r w:rsidR="00F66FB8">
        <w:rPr>
          <w:rFonts w:ascii="Book Antiqua" w:hAnsi="Book Antiqua" w:cs="Arial"/>
          <w:color w:val="000000"/>
          <w:szCs w:val="26"/>
        </w:rPr>
        <w:t>.</w:t>
      </w:r>
    </w:p>
    <w:p w:rsidR="00D23A8E" w:rsidP="00217346" w:rsidRDefault="00217346" w14:paraId="074CEB58" w14:textId="77777777">
      <w:pPr>
        <w:spacing w:line="360" w:lineRule="auto"/>
        <w:ind w:firstLine="720"/>
        <w:rPr>
          <w:rFonts w:ascii="Book Antiqua" w:hAnsi="Book Antiqua"/>
        </w:rPr>
      </w:pPr>
      <w:r w:rsidRPr="00217346">
        <w:rPr>
          <w:rFonts w:ascii="Book Antiqua" w:hAnsi="Book Antiqua"/>
        </w:rPr>
        <w:lastRenderedPageBreak/>
        <w:t xml:space="preserve">On July 29, 2019, Pacific Gas and Electric Company (PG&amp;E) filed its </w:t>
      </w:r>
      <w:r w:rsidRPr="00217346">
        <w:rPr>
          <w:rFonts w:ascii="Book Antiqua" w:hAnsi="Book Antiqua"/>
          <w:i/>
          <w:iCs/>
        </w:rPr>
        <w:t>Application for Approval of its Mobile Application and Supporting Systems Pilot</w:t>
      </w:r>
      <w:r w:rsidRPr="00217346">
        <w:rPr>
          <w:rFonts w:ascii="Book Antiqua" w:hAnsi="Book Antiqua"/>
        </w:rPr>
        <w:t xml:space="preserve"> (Application).</w:t>
      </w:r>
      <w:r w:rsidRPr="00217346">
        <w:rPr>
          <w:rFonts w:ascii="Book Antiqua" w:hAnsi="Book Antiqua"/>
          <w:vertAlign w:val="superscript"/>
        </w:rPr>
        <w:footnoteReference w:id="3"/>
      </w:r>
      <w:r w:rsidRPr="00217346">
        <w:rPr>
          <w:rFonts w:ascii="Book Antiqua" w:hAnsi="Book Antiqua"/>
        </w:rPr>
        <w:t xml:space="preserve">  This Application was filed in conformity with a Commission directive in the </w:t>
      </w:r>
      <w:r w:rsidRPr="00217346">
        <w:rPr>
          <w:rFonts w:ascii="Book Antiqua" w:hAnsi="Book Antiqua"/>
          <w:i/>
          <w:iCs/>
        </w:rPr>
        <w:t>Order Instituting Investigation and Order to Show Cause</w:t>
      </w:r>
      <w:r w:rsidRPr="00217346">
        <w:rPr>
          <w:rFonts w:ascii="Book Antiqua" w:hAnsi="Book Antiqua"/>
        </w:rPr>
        <w:t xml:space="preserve"> </w:t>
      </w:r>
      <w:r w:rsidRPr="00217346">
        <w:rPr>
          <w:rFonts w:ascii="Book Antiqua" w:hAnsi="Book Antiqua"/>
          <w:i/>
          <w:iCs/>
        </w:rPr>
        <w:t>(</w:t>
      </w:r>
      <w:bookmarkStart w:name="_Hlk32411386" w:id="3"/>
      <w:r w:rsidRPr="00217346">
        <w:rPr>
          <w:rFonts w:ascii="Book Antiqua" w:hAnsi="Book Antiqua"/>
          <w:i/>
          <w:iCs/>
        </w:rPr>
        <w:t>I.) 19</w:t>
      </w:r>
      <w:r w:rsidRPr="00217346">
        <w:rPr>
          <w:rFonts w:ascii="Book Antiqua" w:hAnsi="Book Antiqua"/>
          <w:i/>
          <w:iCs/>
        </w:rPr>
        <w:noBreakHyphen/>
        <w:t>06</w:t>
      </w:r>
      <w:r w:rsidRPr="00217346">
        <w:rPr>
          <w:rFonts w:ascii="Book Antiqua" w:hAnsi="Book Antiqua"/>
          <w:i/>
          <w:iCs/>
        </w:rPr>
        <w:noBreakHyphen/>
        <w:t>015</w:t>
      </w:r>
      <w:bookmarkEnd w:id="3"/>
      <w:r w:rsidRPr="00217346">
        <w:rPr>
          <w:rFonts w:ascii="Book Antiqua" w:hAnsi="Book Antiqua"/>
        </w:rPr>
        <w:t>, which concerned the maintenance and operation of PG&amp;E’s electric facilities that “were involved in igniting fires in its service territory in 2017.”</w:t>
      </w:r>
      <w:r w:rsidRPr="00217346">
        <w:rPr>
          <w:rFonts w:ascii="Book Antiqua" w:hAnsi="Book Antiqua"/>
          <w:vertAlign w:val="superscript"/>
        </w:rPr>
        <w:footnoteReference w:id="4"/>
      </w:r>
      <w:r w:rsidRPr="00217346">
        <w:rPr>
          <w:rFonts w:ascii="Book Antiqua" w:hAnsi="Book Antiqua"/>
        </w:rPr>
        <w:t xml:space="preserve"> </w:t>
      </w:r>
    </w:p>
    <w:p w:rsidR="006C7A25" w:rsidP="00217346" w:rsidRDefault="00217346" w14:paraId="7EB800BC" w14:textId="6496D8EA">
      <w:pPr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D23A8E">
        <w:rPr>
          <w:rFonts w:ascii="Book Antiqua" w:hAnsi="Book Antiqua"/>
        </w:rPr>
        <w:t xml:space="preserve">filing </w:t>
      </w:r>
      <w:r>
        <w:rPr>
          <w:rFonts w:ascii="Book Antiqua" w:hAnsi="Book Antiqua"/>
        </w:rPr>
        <w:t>date</w:t>
      </w:r>
      <w:r w:rsidR="006F19A3">
        <w:rPr>
          <w:rFonts w:ascii="Book Antiqua" w:hAnsi="Book Antiqua"/>
        </w:rPr>
        <w:t xml:space="preserve"> of the Application</w:t>
      </w:r>
      <w:r>
        <w:rPr>
          <w:rFonts w:ascii="Book Antiqua" w:hAnsi="Book Antiqua"/>
        </w:rPr>
        <w:t xml:space="preserve">, </w:t>
      </w:r>
      <w:r w:rsidR="00CA415F">
        <w:rPr>
          <w:rFonts w:ascii="Book Antiqua" w:hAnsi="Book Antiqua"/>
        </w:rPr>
        <w:t>Ju</w:t>
      </w:r>
      <w:r>
        <w:rPr>
          <w:rFonts w:ascii="Book Antiqua" w:hAnsi="Book Antiqua"/>
        </w:rPr>
        <w:t>ly</w:t>
      </w:r>
      <w:r w:rsidR="00CA41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29</w:t>
      </w:r>
      <w:r w:rsidR="00CA415F">
        <w:rPr>
          <w:rFonts w:ascii="Book Antiqua" w:hAnsi="Book Antiqua"/>
        </w:rPr>
        <w:t>, 201</w:t>
      </w:r>
      <w:r>
        <w:rPr>
          <w:rFonts w:ascii="Book Antiqua" w:hAnsi="Book Antiqua"/>
        </w:rPr>
        <w:t>9,</w:t>
      </w:r>
      <w:r w:rsidR="00D23A8E">
        <w:rPr>
          <w:rFonts w:ascii="Book Antiqua" w:hAnsi="Book Antiqua"/>
        </w:rPr>
        <w:t xml:space="preserve"> </w:t>
      </w:r>
      <w:r w:rsidR="00CA415F">
        <w:rPr>
          <w:rFonts w:ascii="Book Antiqua" w:hAnsi="Book Antiqua"/>
        </w:rPr>
        <w:t>is the date this proceeding was initiated for purposes of determining the statutory deadline under Pub.</w:t>
      </w:r>
      <w:r w:rsidRPr="00CA415F" w:rsidR="00CA415F">
        <w:rPr>
          <w:rFonts w:ascii="Book Antiqua" w:hAnsi="Book Antiqua"/>
        </w:rPr>
        <w:t xml:space="preserve"> Util. Code §</w:t>
      </w:r>
      <w:r w:rsidR="00447AF3">
        <w:rPr>
          <w:rFonts w:ascii="Book Antiqua" w:hAnsi="Book Antiqua"/>
        </w:rPr>
        <w:t> </w:t>
      </w:r>
      <w:r w:rsidRPr="00CA415F" w:rsidR="00CA415F">
        <w:rPr>
          <w:rFonts w:ascii="Book Antiqua" w:hAnsi="Book Antiqua"/>
        </w:rPr>
        <w:t>1701.5(a)</w:t>
      </w:r>
      <w:r w:rsidR="00CA415F">
        <w:rPr>
          <w:rFonts w:ascii="Book Antiqua" w:hAnsi="Book Antiqua"/>
        </w:rPr>
        <w:t>.</w:t>
      </w:r>
    </w:p>
    <w:p w:rsidR="00CA415F" w:rsidP="009A1097" w:rsidRDefault="00630394" w14:paraId="2853AFB8" w14:textId="5F0D026F">
      <w:pPr>
        <w:spacing w:line="360" w:lineRule="auto"/>
        <w:ind w:firstLine="720"/>
        <w:rPr>
          <w:rFonts w:ascii="Book Antiqua" w:hAnsi="Book Antiqua"/>
        </w:rPr>
      </w:pPr>
      <w:r w:rsidRPr="00FD25E2">
        <w:rPr>
          <w:rFonts w:ascii="Book Antiqua" w:hAnsi="Book Antiqua"/>
        </w:rPr>
        <w:t xml:space="preserve">A </w:t>
      </w:r>
      <w:r w:rsidR="009A4B69">
        <w:rPr>
          <w:rFonts w:ascii="Book Antiqua" w:hAnsi="Book Antiqua"/>
        </w:rPr>
        <w:t>p</w:t>
      </w:r>
      <w:r w:rsidRPr="00FD25E2">
        <w:rPr>
          <w:rFonts w:ascii="Book Antiqua" w:hAnsi="Book Antiqua"/>
        </w:rPr>
        <w:t xml:space="preserve">rehearing </w:t>
      </w:r>
      <w:r w:rsidR="009A4B69">
        <w:rPr>
          <w:rFonts w:ascii="Book Antiqua" w:hAnsi="Book Antiqua"/>
        </w:rPr>
        <w:t>c</w:t>
      </w:r>
      <w:r w:rsidRPr="00FD25E2">
        <w:rPr>
          <w:rFonts w:ascii="Book Antiqua" w:hAnsi="Book Antiqua"/>
        </w:rPr>
        <w:t>onference</w:t>
      </w:r>
      <w:r w:rsidR="004E5C8A">
        <w:rPr>
          <w:rFonts w:ascii="Book Antiqua" w:hAnsi="Book Antiqua"/>
        </w:rPr>
        <w:t xml:space="preserve"> </w:t>
      </w:r>
      <w:r w:rsidRPr="00FD25E2">
        <w:rPr>
          <w:rFonts w:ascii="Book Antiqua" w:hAnsi="Book Antiqua"/>
        </w:rPr>
        <w:t xml:space="preserve">was held on </w:t>
      </w:r>
      <w:r w:rsidR="00217346">
        <w:rPr>
          <w:rFonts w:ascii="Book Antiqua" w:hAnsi="Book Antiqua"/>
        </w:rPr>
        <w:t>October 15</w:t>
      </w:r>
      <w:r w:rsidRPr="00FD25E2">
        <w:rPr>
          <w:rFonts w:ascii="Book Antiqua" w:hAnsi="Book Antiqua"/>
        </w:rPr>
        <w:t>, 201</w:t>
      </w:r>
      <w:r w:rsidR="00217346">
        <w:rPr>
          <w:rFonts w:ascii="Book Antiqua" w:hAnsi="Book Antiqua"/>
        </w:rPr>
        <w:t>9</w:t>
      </w:r>
      <w:r w:rsidRPr="00FD25E2">
        <w:rPr>
          <w:rFonts w:ascii="Book Antiqua" w:hAnsi="Book Antiqua"/>
        </w:rPr>
        <w:t>, to discuss the issues of law and fact and to determine the schedule for resolving the matter.</w:t>
      </w:r>
      <w:r w:rsidRPr="00FD25E2" w:rsidR="0000357F">
        <w:rPr>
          <w:rFonts w:ascii="Book Antiqua" w:hAnsi="Book Antiqua"/>
        </w:rPr>
        <w:t xml:space="preserve">  </w:t>
      </w:r>
    </w:p>
    <w:p w:rsidR="00F66FB8" w:rsidP="00CA415F" w:rsidRDefault="00F66FB8" w14:paraId="7108B5FE" w14:textId="7213E2E0">
      <w:pPr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On </w:t>
      </w:r>
      <w:r w:rsidR="00217346">
        <w:rPr>
          <w:rFonts w:ascii="Book Antiqua" w:hAnsi="Book Antiqua"/>
        </w:rPr>
        <w:t>November 14</w:t>
      </w:r>
      <w:r w:rsidRPr="00FD25E2">
        <w:rPr>
          <w:rFonts w:ascii="Book Antiqua" w:hAnsi="Book Antiqua"/>
        </w:rPr>
        <w:t>,</w:t>
      </w:r>
      <w:r>
        <w:rPr>
          <w:rFonts w:ascii="Book Antiqua" w:hAnsi="Book Antiqua"/>
        </w:rPr>
        <w:t> </w:t>
      </w:r>
      <w:r w:rsidRPr="00FD25E2">
        <w:rPr>
          <w:rFonts w:ascii="Book Antiqua" w:hAnsi="Book Antiqua"/>
        </w:rPr>
        <w:t>201</w:t>
      </w:r>
      <w:r w:rsidR="00217346">
        <w:rPr>
          <w:rFonts w:ascii="Book Antiqua" w:hAnsi="Book Antiqua"/>
        </w:rPr>
        <w:t>9</w:t>
      </w:r>
      <w:r>
        <w:rPr>
          <w:rFonts w:ascii="Book Antiqua" w:hAnsi="Book Antiqua"/>
        </w:rPr>
        <w:t>, t</w:t>
      </w:r>
      <w:r w:rsidRPr="00FD25E2" w:rsidR="0000357F">
        <w:rPr>
          <w:rFonts w:ascii="Book Antiqua" w:hAnsi="Book Antiqua"/>
        </w:rPr>
        <w:t>he assigned Commissioner issue</w:t>
      </w:r>
      <w:r>
        <w:rPr>
          <w:rFonts w:ascii="Book Antiqua" w:hAnsi="Book Antiqua"/>
        </w:rPr>
        <w:t xml:space="preserve">d </w:t>
      </w:r>
      <w:r w:rsidRPr="00FD25E2" w:rsidR="0000357F">
        <w:rPr>
          <w:rFonts w:ascii="Book Antiqua" w:hAnsi="Book Antiqua"/>
        </w:rPr>
        <w:t xml:space="preserve">the Scoping Memo and Ruling </w:t>
      </w:r>
      <w:r>
        <w:rPr>
          <w:rFonts w:ascii="Book Antiqua" w:hAnsi="Book Antiqua"/>
        </w:rPr>
        <w:t>(Scoping Memo)</w:t>
      </w:r>
      <w:r w:rsidRPr="00FD25E2" w:rsidR="0000357F">
        <w:rPr>
          <w:rFonts w:ascii="Book Antiqua" w:hAnsi="Book Antiqua"/>
        </w:rPr>
        <w:t>.</w:t>
      </w:r>
      <w:r w:rsidR="0011415B">
        <w:rPr>
          <w:rFonts w:ascii="Book Antiqua" w:hAnsi="Book Antiqua"/>
        </w:rPr>
        <w:t xml:space="preserve">  </w:t>
      </w:r>
      <w:r w:rsidR="00CA415F">
        <w:rPr>
          <w:rFonts w:ascii="Book Antiqua" w:hAnsi="Book Antiqua"/>
        </w:rPr>
        <w:t xml:space="preserve">As </w:t>
      </w:r>
      <w:r w:rsidR="003A58CC">
        <w:rPr>
          <w:rFonts w:ascii="Book Antiqua" w:hAnsi="Book Antiqua"/>
        </w:rPr>
        <w:t xml:space="preserve">set forth in </w:t>
      </w:r>
      <w:r w:rsidRPr="00CA415F" w:rsidR="00CA415F">
        <w:rPr>
          <w:rFonts w:ascii="Book Antiqua" w:hAnsi="Book Antiqua"/>
        </w:rPr>
        <w:t>Pub. Util. Code § 1701.5(a)</w:t>
      </w:r>
      <w:r w:rsidR="00CA415F">
        <w:rPr>
          <w:rFonts w:ascii="Book Antiqua" w:hAnsi="Book Antiqua"/>
        </w:rPr>
        <w:t xml:space="preserve">, the assigned Commissioner </w:t>
      </w:r>
      <w:r w:rsidR="003A58CC">
        <w:rPr>
          <w:rFonts w:ascii="Book Antiqua" w:hAnsi="Book Antiqua"/>
        </w:rPr>
        <w:t xml:space="preserve">adopted </w:t>
      </w:r>
      <w:r w:rsidRPr="0011415B" w:rsidR="00D23A8E">
        <w:rPr>
          <w:rFonts w:ascii="Book Antiqua" w:hAnsi="Book Antiqua"/>
        </w:rPr>
        <w:t>an</w:t>
      </w:r>
      <w:r w:rsidRPr="0011415B" w:rsidR="0011415B">
        <w:rPr>
          <w:rFonts w:ascii="Book Antiqua" w:hAnsi="Book Antiqua"/>
        </w:rPr>
        <w:t xml:space="preserve"> </w:t>
      </w:r>
      <w:r w:rsidR="00217346">
        <w:rPr>
          <w:rFonts w:ascii="Book Antiqua" w:hAnsi="Book Antiqua"/>
        </w:rPr>
        <w:t>18</w:t>
      </w:r>
      <w:r w:rsidR="00CA415F">
        <w:rPr>
          <w:rFonts w:ascii="Book Antiqua" w:hAnsi="Book Antiqua"/>
        </w:rPr>
        <w:t xml:space="preserve">-month </w:t>
      </w:r>
      <w:r w:rsidRPr="0011415B" w:rsidR="0011415B">
        <w:rPr>
          <w:rFonts w:ascii="Book Antiqua" w:hAnsi="Book Antiqua"/>
        </w:rPr>
        <w:t>statutory deadline</w:t>
      </w:r>
      <w:r w:rsidRPr="00CA415F" w:rsidR="00CA415F">
        <w:rPr>
          <w:rFonts w:ascii="Book Antiqua" w:hAnsi="Book Antiqua"/>
        </w:rPr>
        <w:t xml:space="preserve"> </w:t>
      </w:r>
      <w:r w:rsidR="00CA415F">
        <w:rPr>
          <w:rFonts w:ascii="Book Antiqua" w:hAnsi="Book Antiqua"/>
        </w:rPr>
        <w:t xml:space="preserve">in the </w:t>
      </w:r>
      <w:r w:rsidRPr="0011415B" w:rsidR="00CA415F">
        <w:rPr>
          <w:rFonts w:ascii="Book Antiqua" w:hAnsi="Book Antiqua"/>
        </w:rPr>
        <w:t>Scoping Memo</w:t>
      </w:r>
      <w:r w:rsidR="00CA415F">
        <w:rPr>
          <w:rFonts w:ascii="Book Antiqua" w:hAnsi="Book Antiqua"/>
        </w:rPr>
        <w:t xml:space="preserve">, </w:t>
      </w:r>
      <w:r w:rsidRPr="0011415B" w:rsidR="0011415B">
        <w:rPr>
          <w:rFonts w:ascii="Book Antiqua" w:hAnsi="Book Antiqua"/>
        </w:rPr>
        <w:t>J</w:t>
      </w:r>
      <w:r w:rsidR="00217346">
        <w:rPr>
          <w:rFonts w:ascii="Book Antiqua" w:hAnsi="Book Antiqua"/>
        </w:rPr>
        <w:t>anuary 27</w:t>
      </w:r>
      <w:r w:rsidRPr="0011415B" w:rsidR="0011415B">
        <w:rPr>
          <w:rFonts w:ascii="Book Antiqua" w:hAnsi="Book Antiqua"/>
        </w:rPr>
        <w:t>, 202</w:t>
      </w:r>
      <w:r w:rsidR="00217346">
        <w:rPr>
          <w:rFonts w:ascii="Book Antiqua" w:hAnsi="Book Antiqua"/>
        </w:rPr>
        <w:t>1</w:t>
      </w:r>
      <w:r w:rsidR="00CA415F">
        <w:rPr>
          <w:rFonts w:ascii="Book Antiqua" w:hAnsi="Book Antiqua"/>
        </w:rPr>
        <w:t xml:space="preserve">, </w:t>
      </w:r>
    </w:p>
    <w:p w:rsidR="00D23A8E" w:rsidP="008B536E" w:rsidRDefault="00F66FB8" w14:paraId="05DDDE76" w14:textId="77777777">
      <w:pPr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On</w:t>
      </w:r>
      <w:r w:rsidR="00217346">
        <w:rPr>
          <w:rFonts w:ascii="Book Antiqua" w:hAnsi="Book Antiqua"/>
        </w:rPr>
        <w:t xml:space="preserve"> October 8</w:t>
      </w:r>
      <w:r w:rsidR="009E7960">
        <w:rPr>
          <w:rFonts w:ascii="Book Antiqua" w:hAnsi="Book Antiqua"/>
        </w:rPr>
        <w:t>, 2020</w:t>
      </w:r>
      <w:r>
        <w:rPr>
          <w:rFonts w:ascii="Book Antiqua" w:hAnsi="Book Antiqua"/>
        </w:rPr>
        <w:t xml:space="preserve">, the Commission </w:t>
      </w:r>
      <w:bookmarkStart w:name="_Hlk58925581" w:id="4"/>
      <w:r>
        <w:rPr>
          <w:rFonts w:ascii="Book Antiqua" w:hAnsi="Book Antiqua"/>
        </w:rPr>
        <w:t>issued Decision (D.) 20-</w:t>
      </w:r>
      <w:r w:rsidR="00217346">
        <w:rPr>
          <w:rFonts w:ascii="Book Antiqua" w:hAnsi="Book Antiqua"/>
        </w:rPr>
        <w:t>10-003</w:t>
      </w:r>
      <w:bookmarkEnd w:id="4"/>
      <w:r>
        <w:rPr>
          <w:rFonts w:ascii="Book Antiqua" w:hAnsi="Book Antiqua"/>
        </w:rPr>
        <w:t xml:space="preserve">, which </w:t>
      </w:r>
      <w:r w:rsidR="00217346">
        <w:rPr>
          <w:rFonts w:ascii="Book Antiqua" w:hAnsi="Book Antiqua"/>
        </w:rPr>
        <w:t xml:space="preserve">approved, with modifications, PG&amp;E’s proposal for a mobile app pilot. </w:t>
      </w:r>
      <w:r w:rsidR="00D23A8E">
        <w:rPr>
          <w:rFonts w:ascii="Book Antiqua" w:hAnsi="Book Antiqua"/>
        </w:rPr>
        <w:t xml:space="preserve">This decision was issued within the initial 18-month statutory deadline. </w:t>
      </w:r>
    </w:p>
    <w:p w:rsidR="0041333E" w:rsidP="008B536E" w:rsidRDefault="00217346" w14:paraId="59F3F780" w14:textId="63EAB3E7">
      <w:pPr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As part of the Commission approval of this pilot</w:t>
      </w:r>
      <w:r w:rsidRPr="003A58CC" w:rsidR="003A58CC">
        <w:rPr>
          <w:rFonts w:ascii="Book Antiqua" w:hAnsi="Book Antiqua"/>
        </w:rPr>
        <w:t xml:space="preserve"> </w:t>
      </w:r>
      <w:r w:rsidR="003A58CC">
        <w:rPr>
          <w:rFonts w:ascii="Book Antiqua" w:hAnsi="Book Antiqua"/>
        </w:rPr>
        <w:t xml:space="preserve">in </w:t>
      </w:r>
      <w:r w:rsidRPr="003A58CC" w:rsidR="003A58CC">
        <w:rPr>
          <w:rFonts w:ascii="Book Antiqua" w:hAnsi="Book Antiqua"/>
        </w:rPr>
        <w:t>D</w:t>
      </w:r>
      <w:r w:rsidR="00394145">
        <w:rPr>
          <w:rFonts w:ascii="Book Antiqua" w:hAnsi="Book Antiqua"/>
        </w:rPr>
        <w:t>.</w:t>
      </w:r>
      <w:r w:rsidRPr="003A58CC" w:rsidR="003A58CC">
        <w:rPr>
          <w:rFonts w:ascii="Book Antiqua" w:hAnsi="Book Antiqua"/>
        </w:rPr>
        <w:t>20-10-003</w:t>
      </w:r>
      <w:r>
        <w:rPr>
          <w:rFonts w:ascii="Book Antiqua" w:hAnsi="Book Antiqua"/>
        </w:rPr>
        <w:t xml:space="preserve">, the Commission </w:t>
      </w:r>
      <w:r w:rsidR="00D23A8E">
        <w:rPr>
          <w:rFonts w:ascii="Book Antiqua" w:hAnsi="Book Antiqua"/>
        </w:rPr>
        <w:t xml:space="preserve">adopted a review process for PG&amp;E’s pilot that will require a significant amount of time.  The </w:t>
      </w:r>
      <w:r>
        <w:rPr>
          <w:rFonts w:ascii="Book Antiqua" w:hAnsi="Book Antiqua"/>
        </w:rPr>
        <w:t xml:space="preserve">review process </w:t>
      </w:r>
      <w:r w:rsidR="0041333E">
        <w:rPr>
          <w:rFonts w:ascii="Book Antiqua" w:hAnsi="Book Antiqua"/>
        </w:rPr>
        <w:t xml:space="preserve">adopted by the Commission includes </w:t>
      </w:r>
      <w:r>
        <w:rPr>
          <w:rFonts w:ascii="Book Antiqua" w:hAnsi="Book Antiqua"/>
        </w:rPr>
        <w:t xml:space="preserve">an Independent Consultant tasked with preparing a </w:t>
      </w:r>
      <w:r w:rsidR="00D23A8E">
        <w:rPr>
          <w:rFonts w:ascii="Book Antiqua" w:hAnsi="Book Antiqua"/>
        </w:rPr>
        <w:t xml:space="preserve">written </w:t>
      </w:r>
      <w:r>
        <w:rPr>
          <w:rFonts w:ascii="Book Antiqua" w:hAnsi="Book Antiqua"/>
        </w:rPr>
        <w:t xml:space="preserve">evaluation of the pilot with </w:t>
      </w:r>
      <w:r w:rsidR="00111E9A">
        <w:rPr>
          <w:rFonts w:ascii="Book Antiqua" w:hAnsi="Book Antiqua"/>
        </w:rPr>
        <w:t>recommended next steps.</w:t>
      </w:r>
      <w:r w:rsidR="00D23A8E">
        <w:rPr>
          <w:rFonts w:ascii="Book Antiqua" w:hAnsi="Book Antiqua"/>
        </w:rPr>
        <w:t xml:space="preserve"> </w:t>
      </w:r>
      <w:r w:rsidR="00447AF3">
        <w:rPr>
          <w:rFonts w:ascii="Book Antiqua" w:hAnsi="Book Antiqua"/>
        </w:rPr>
        <w:t xml:space="preserve"> </w:t>
      </w:r>
      <w:r w:rsidR="00D23A8E">
        <w:rPr>
          <w:rFonts w:ascii="Book Antiqua" w:hAnsi="Book Antiqua"/>
        </w:rPr>
        <w:t xml:space="preserve">The Independent Consultant will observe the pilot and prepare a report with recommendation, a process that may </w:t>
      </w:r>
      <w:r w:rsidR="00D23A8E">
        <w:rPr>
          <w:rFonts w:ascii="Book Antiqua" w:hAnsi="Book Antiqua"/>
        </w:rPr>
        <w:lastRenderedPageBreak/>
        <w:t xml:space="preserve">require </w:t>
      </w:r>
      <w:r w:rsidR="0041333E">
        <w:rPr>
          <w:rFonts w:ascii="Book Antiqua" w:hAnsi="Book Antiqua"/>
        </w:rPr>
        <w:t xml:space="preserve">a few </w:t>
      </w:r>
      <w:r w:rsidR="00D23A8E">
        <w:rPr>
          <w:rFonts w:ascii="Book Antiqua" w:hAnsi="Book Antiqua"/>
        </w:rPr>
        <w:t xml:space="preserve">years. </w:t>
      </w:r>
      <w:r w:rsidR="003A58CC">
        <w:rPr>
          <w:rFonts w:ascii="Book Antiqua" w:hAnsi="Book Antiqua"/>
        </w:rPr>
        <w:t xml:space="preserve"> </w:t>
      </w:r>
      <w:r w:rsidR="00D23A8E">
        <w:rPr>
          <w:rFonts w:ascii="Book Antiqua" w:hAnsi="Book Antiqua"/>
        </w:rPr>
        <w:t>Subsequently</w:t>
      </w:r>
      <w:r w:rsidR="006F19A3">
        <w:rPr>
          <w:rFonts w:ascii="Book Antiqua" w:hAnsi="Book Antiqua"/>
        </w:rPr>
        <w:t>,</w:t>
      </w:r>
      <w:r w:rsidR="0041333E">
        <w:rPr>
          <w:rFonts w:ascii="Book Antiqua" w:hAnsi="Book Antiqua"/>
        </w:rPr>
        <w:t xml:space="preserve"> and as required by D.20</w:t>
      </w:r>
      <w:r w:rsidR="00447AF3">
        <w:rPr>
          <w:rFonts w:ascii="Book Antiqua" w:hAnsi="Book Antiqua"/>
        </w:rPr>
        <w:noBreakHyphen/>
      </w:r>
      <w:r w:rsidR="0041333E">
        <w:rPr>
          <w:rFonts w:ascii="Book Antiqua" w:hAnsi="Book Antiqua"/>
        </w:rPr>
        <w:t>10</w:t>
      </w:r>
      <w:r w:rsidR="00447AF3">
        <w:rPr>
          <w:rFonts w:ascii="Book Antiqua" w:hAnsi="Book Antiqua"/>
        </w:rPr>
        <w:noBreakHyphen/>
      </w:r>
      <w:r w:rsidR="0041333E">
        <w:rPr>
          <w:rFonts w:ascii="Book Antiqua" w:hAnsi="Book Antiqua"/>
        </w:rPr>
        <w:t>003</w:t>
      </w:r>
      <w:r w:rsidR="00D23A8E">
        <w:rPr>
          <w:rFonts w:ascii="Book Antiqua" w:hAnsi="Book Antiqua"/>
        </w:rPr>
        <w:t>,</w:t>
      </w:r>
      <w:r w:rsidR="00111E9A">
        <w:rPr>
          <w:rFonts w:ascii="Book Antiqua" w:hAnsi="Book Antiqua"/>
        </w:rPr>
        <w:t xml:space="preserve"> parties will </w:t>
      </w:r>
      <w:r w:rsidR="0041333E">
        <w:rPr>
          <w:rFonts w:ascii="Book Antiqua" w:hAnsi="Book Antiqua"/>
        </w:rPr>
        <w:t>be provide</w:t>
      </w:r>
      <w:r w:rsidR="006F19A3">
        <w:rPr>
          <w:rFonts w:ascii="Book Antiqua" w:hAnsi="Book Antiqua"/>
        </w:rPr>
        <w:t>d</w:t>
      </w:r>
      <w:r w:rsidR="0041333E">
        <w:rPr>
          <w:rFonts w:ascii="Book Antiqua" w:hAnsi="Book Antiqua"/>
        </w:rPr>
        <w:t xml:space="preserve"> with time to </w:t>
      </w:r>
      <w:r w:rsidR="00111E9A">
        <w:rPr>
          <w:rFonts w:ascii="Book Antiqua" w:hAnsi="Book Antiqua"/>
        </w:rPr>
        <w:t>comment</w:t>
      </w:r>
      <w:r w:rsidR="006F19A3">
        <w:rPr>
          <w:rFonts w:ascii="Book Antiqua" w:hAnsi="Book Antiqua"/>
        </w:rPr>
        <w:t xml:space="preserve"> </w:t>
      </w:r>
      <w:r w:rsidR="00111E9A">
        <w:rPr>
          <w:rFonts w:ascii="Book Antiqua" w:hAnsi="Book Antiqua"/>
        </w:rPr>
        <w:t xml:space="preserve">on the </w:t>
      </w:r>
      <w:r w:rsidR="0041333E">
        <w:rPr>
          <w:rFonts w:ascii="Book Antiqua" w:hAnsi="Book Antiqua"/>
        </w:rPr>
        <w:t xml:space="preserve">Independent Consultant’s </w:t>
      </w:r>
      <w:r w:rsidR="00111E9A">
        <w:rPr>
          <w:rFonts w:ascii="Book Antiqua" w:hAnsi="Book Antiqua"/>
        </w:rPr>
        <w:t>report and the Commission will vote on whether to permanently adopt the pilot.</w:t>
      </w:r>
      <w:r w:rsidR="006266E9">
        <w:rPr>
          <w:rFonts w:ascii="Book Antiqua" w:hAnsi="Book Antiqua"/>
        </w:rPr>
        <w:t xml:space="preserve">  </w:t>
      </w:r>
    </w:p>
    <w:p w:rsidR="00217346" w:rsidP="008B536E" w:rsidRDefault="006266E9" w14:paraId="4711E8DD" w14:textId="01F2B8AB">
      <w:pPr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The below timetable sets for</w:t>
      </w:r>
      <w:r w:rsidR="00D23A8E">
        <w:rPr>
          <w:rFonts w:ascii="Book Antiqua" w:hAnsi="Book Antiqua"/>
        </w:rPr>
        <w:t>th</w:t>
      </w:r>
      <w:r>
        <w:rPr>
          <w:rFonts w:ascii="Book Antiqua" w:hAnsi="Book Antiqua"/>
        </w:rPr>
        <w:t xml:space="preserve"> an approximate timeline for completing some of the major milestones</w:t>
      </w:r>
      <w:r w:rsidRPr="003A58CC" w:rsidR="003A58CC">
        <w:rPr>
          <w:rFonts w:ascii="Book Antiqua" w:hAnsi="Book Antiqua"/>
        </w:rPr>
        <w:t xml:space="preserve"> </w:t>
      </w:r>
      <w:r w:rsidR="003A58CC">
        <w:rPr>
          <w:rFonts w:ascii="Book Antiqua" w:hAnsi="Book Antiqua"/>
        </w:rPr>
        <w:t xml:space="preserve">adopted in </w:t>
      </w:r>
      <w:r w:rsidRPr="003A58CC" w:rsidR="003A58CC">
        <w:rPr>
          <w:rFonts w:ascii="Book Antiqua" w:hAnsi="Book Antiqua"/>
        </w:rPr>
        <w:t>D</w:t>
      </w:r>
      <w:r w:rsidR="003A58CC">
        <w:rPr>
          <w:rFonts w:ascii="Book Antiqua" w:hAnsi="Book Antiqua"/>
        </w:rPr>
        <w:t>.</w:t>
      </w:r>
      <w:r w:rsidRPr="003A58CC" w:rsidR="003A58CC">
        <w:rPr>
          <w:rFonts w:ascii="Book Antiqua" w:hAnsi="Book Antiqua"/>
        </w:rPr>
        <w:t>20-10-003</w:t>
      </w:r>
      <w:r>
        <w:rPr>
          <w:rFonts w:ascii="Book Antiqua" w:hAnsi="Book Antiqua"/>
        </w:rPr>
        <w:t xml:space="preserve"> for the next </w:t>
      </w:r>
      <w:r w:rsidR="003A58CC">
        <w:rPr>
          <w:rFonts w:ascii="Book Antiqua" w:hAnsi="Book Antiqua"/>
        </w:rPr>
        <w:t>few</w:t>
      </w:r>
      <w:r>
        <w:rPr>
          <w:rFonts w:ascii="Book Antiqua" w:hAnsi="Book Antiqua"/>
        </w:rPr>
        <w:t xml:space="preserve"> years.  This timeline does not account for the possible need for a proposed decision by the Administrative Law Judge on the pilot and a decision by the Commission, which would require additional time to complete. </w:t>
      </w:r>
      <w:r w:rsidRPr="009102DA" w:rsidR="009102DA">
        <w:rPr>
          <w:rFonts w:ascii="Book Antiqua" w:hAnsi="Book Antiqua"/>
        </w:rPr>
        <w:t>The need for additional steps would be assessed as the tasks in the timeline are completed.</w:t>
      </w:r>
      <w:r w:rsidR="009102DA">
        <w:rPr>
          <w:rFonts w:ascii="Book Antiqua" w:hAnsi="Book Antiqua"/>
        </w:rPr>
        <w:t xml:space="preserve">  It is anticipated that another scoping memo will be issued in </w:t>
      </w:r>
      <w:r w:rsidR="00401BB1">
        <w:rPr>
          <w:rFonts w:ascii="Book Antiqua" w:hAnsi="Book Antiqua"/>
        </w:rPr>
        <w:t>August</w:t>
      </w:r>
      <w:r w:rsidR="009102DA">
        <w:rPr>
          <w:rFonts w:ascii="Book Antiqua" w:hAnsi="Book Antiqua"/>
        </w:rPr>
        <w:t xml:space="preserve"> 2023 to further extend the statutory deadline of the proceeding and set forth the issues for phase 2. </w:t>
      </w:r>
      <w:r w:rsidR="00401BB1">
        <w:rPr>
          <w:rFonts w:ascii="Book Antiqua" w:hAnsi="Book Antiqua"/>
        </w:rPr>
        <w:t xml:space="preserve"> An extension until January 27, 2024 will provide the time needed to prepare this scoping memo and account for any delays in the timeline below. </w:t>
      </w:r>
    </w:p>
    <w:p w:rsidRPr="0025145E" w:rsidR="00111E9A" w:rsidP="00111E9A" w:rsidRDefault="00EB3F77" w14:paraId="14826E87" w14:textId="2D83A0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45E">
        <w:rPr>
          <w:rFonts w:asciiTheme="minorHAnsi" w:hAnsiTheme="minorHAnsi" w:cstheme="minorHAnsi"/>
          <w:b/>
          <w:bCs/>
          <w:sz w:val="22"/>
          <w:szCs w:val="22"/>
        </w:rPr>
        <w:t>Milestones Estimated</w:t>
      </w:r>
      <w:r w:rsidRPr="0025145E" w:rsidR="006266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145E" w:rsidR="00111E9A">
        <w:rPr>
          <w:rFonts w:asciiTheme="minorHAnsi" w:hAnsiTheme="minorHAnsi" w:cstheme="minorHAnsi"/>
          <w:b/>
          <w:bCs/>
          <w:sz w:val="22"/>
          <w:szCs w:val="22"/>
        </w:rPr>
        <w:t>Timetable - PG&amp;E Mobile App Pilot (Infrastructure Safety)</w:t>
      </w:r>
    </w:p>
    <w:p w:rsidRPr="0025145E" w:rsidR="00111E9A" w:rsidP="00111E9A" w:rsidRDefault="00111E9A" w14:paraId="7A6C9048" w14:textId="47409A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45E">
        <w:rPr>
          <w:rFonts w:asciiTheme="minorHAnsi" w:hAnsiTheme="minorHAnsi" w:cstheme="minorHAnsi"/>
          <w:b/>
          <w:bCs/>
          <w:sz w:val="22"/>
          <w:szCs w:val="22"/>
        </w:rPr>
        <w:t>A.19-07-019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00"/>
        <w:gridCol w:w="3325"/>
      </w:tblGrid>
      <w:tr w:rsidRPr="0025145E" w:rsidR="00111E9A" w:rsidTr="0025145E" w14:paraId="3D3387EF" w14:textId="77777777">
        <w:tc>
          <w:tcPr>
            <w:tcW w:w="3325" w:type="dxa"/>
          </w:tcPr>
          <w:p w:rsidRPr="0025145E" w:rsidR="00111E9A" w:rsidP="00111E9A" w:rsidRDefault="00111E9A" w14:paraId="31E8236D" w14:textId="77777777">
            <w:pPr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Milestone</w:t>
            </w:r>
          </w:p>
        </w:tc>
        <w:tc>
          <w:tcPr>
            <w:tcW w:w="2700" w:type="dxa"/>
          </w:tcPr>
          <w:p w:rsidRPr="0025145E" w:rsidR="00111E9A" w:rsidP="00111E9A" w:rsidRDefault="00111E9A" w14:paraId="31A3DD72" w14:textId="77777777">
            <w:pPr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3325" w:type="dxa"/>
          </w:tcPr>
          <w:p w:rsidRPr="0025145E" w:rsidR="00111E9A" w:rsidP="00111E9A" w:rsidRDefault="00111E9A" w14:paraId="767337E0" w14:textId="77777777">
            <w:pPr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Decision Directive</w:t>
            </w:r>
          </w:p>
        </w:tc>
      </w:tr>
      <w:tr w:rsidRPr="0025145E" w:rsidR="00111E9A" w:rsidTr="0025145E" w14:paraId="79D1C6D9" w14:textId="77777777">
        <w:trPr>
          <w:trHeight w:val="278"/>
        </w:trPr>
        <w:tc>
          <w:tcPr>
            <w:tcW w:w="3325" w:type="dxa"/>
          </w:tcPr>
          <w:p w:rsidRPr="0025145E" w:rsidR="00111E9A" w:rsidP="00111E9A" w:rsidRDefault="00111E9A" w14:paraId="7CF2A387" w14:textId="03042B29">
            <w:pPr>
              <w:ind w:firstLine="7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D.20-10-003</w:t>
            </w:r>
          </w:p>
        </w:tc>
        <w:tc>
          <w:tcPr>
            <w:tcW w:w="2700" w:type="dxa"/>
          </w:tcPr>
          <w:p w:rsidRPr="0025145E" w:rsidR="00111E9A" w:rsidP="00111E9A" w:rsidRDefault="00111E9A" w14:paraId="45921778" w14:textId="77777777">
            <w:pPr>
              <w:ind w:firstLine="7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October 8, 2020</w:t>
            </w:r>
          </w:p>
          <w:p w:rsidRPr="0025145E" w:rsidR="0054130A" w:rsidP="00111E9A" w:rsidRDefault="0054130A" w14:paraId="03786BBB" w14:textId="2F3800E4">
            <w:pPr>
              <w:ind w:firstLine="7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Effective Date</w:t>
            </w:r>
          </w:p>
        </w:tc>
        <w:tc>
          <w:tcPr>
            <w:tcW w:w="3325" w:type="dxa"/>
          </w:tcPr>
          <w:p w:rsidRPr="0025145E" w:rsidR="00111E9A" w:rsidP="00111E9A" w:rsidRDefault="00111E9A" w14:paraId="3DC997CF" w14:textId="77777777">
            <w:pPr>
              <w:ind w:firstLine="7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Pr="0025145E" w:rsidR="00111E9A" w:rsidTr="0025145E" w14:paraId="08605CCD" w14:textId="77777777">
        <w:tc>
          <w:tcPr>
            <w:tcW w:w="3325" w:type="dxa"/>
          </w:tcPr>
          <w:p w:rsidRPr="0025145E" w:rsidR="00111E9A" w:rsidP="00111E9A" w:rsidRDefault="00111E9A" w14:paraId="7FC66D30" w14:textId="51AFC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PG&amp;E Report to Safety Policy Division on public education/outreach specifics (including but not limited to the format, location, and frequency) it expects to offer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7A57BC1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January 7, 2021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12D8206B" w14:textId="37F000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Within three months of Decision </w:t>
            </w:r>
            <w:r w:rsidRPr="0025145E" w:rsidR="0054130A">
              <w:rPr>
                <w:rFonts w:asciiTheme="minorHAnsi" w:hAnsiTheme="minorHAnsi" w:cstheme="minorHAnsi"/>
                <w:sz w:val="22"/>
                <w:szCs w:val="22"/>
              </w:rPr>
              <w:t xml:space="preserve">effective 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Pr="0025145E" w:rsidR="00111E9A" w:rsidTr="0025145E" w14:paraId="738F6E71" w14:textId="77777777">
        <w:tc>
          <w:tcPr>
            <w:tcW w:w="3325" w:type="dxa"/>
          </w:tcPr>
          <w:p w:rsidRPr="0025145E" w:rsidR="00111E9A" w:rsidP="006266E9" w:rsidRDefault="00111E9A" w14:paraId="73D4D33A" w14:textId="17594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PG&amp;E Quarterly Report on pilot activities and progress to Service List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46B83F1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January 7, 2021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255972A2" w14:textId="7D21B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Within three months of Decision </w:t>
            </w:r>
            <w:r w:rsidRPr="0025145E" w:rsidR="0054130A">
              <w:rPr>
                <w:rFonts w:asciiTheme="minorHAnsi" w:hAnsiTheme="minorHAnsi" w:cstheme="minorHAnsi"/>
                <w:sz w:val="22"/>
                <w:szCs w:val="22"/>
              </w:rPr>
              <w:t xml:space="preserve">effective 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date, quarterly thereafter</w:t>
            </w:r>
          </w:p>
        </w:tc>
      </w:tr>
      <w:tr w:rsidRPr="0025145E" w:rsidR="00111E9A" w:rsidTr="0025145E" w14:paraId="2B5AFFFC" w14:textId="77777777">
        <w:tc>
          <w:tcPr>
            <w:tcW w:w="3325" w:type="dxa"/>
          </w:tcPr>
          <w:p w:rsidRPr="0025145E" w:rsidR="00111E9A" w:rsidP="006266E9" w:rsidRDefault="00111E9A" w14:paraId="608CCA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Mobile App Pilot Launches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144A2E2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August 7, 2021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7CD8FC7B" w14:textId="246FA5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Ten months from Decision </w:t>
            </w:r>
            <w:r w:rsidRPr="0025145E" w:rsidR="0054130A">
              <w:rPr>
                <w:rFonts w:asciiTheme="minorHAnsi" w:hAnsiTheme="minorHAnsi" w:cstheme="minorHAnsi"/>
                <w:sz w:val="22"/>
                <w:szCs w:val="22"/>
              </w:rPr>
              <w:t>effective d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</w:p>
        </w:tc>
      </w:tr>
      <w:tr w:rsidRPr="0025145E" w:rsidR="00111E9A" w:rsidTr="0025145E" w14:paraId="7C71FC63" w14:textId="77777777">
        <w:tc>
          <w:tcPr>
            <w:tcW w:w="3325" w:type="dxa"/>
          </w:tcPr>
          <w:p w:rsidRPr="0025145E" w:rsidR="00111E9A" w:rsidP="006266E9" w:rsidRDefault="00111E9A" w14:paraId="5D1B1F6A" w14:textId="4E4144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Evaluation proposed </w:t>
            </w: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scope of work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 submitted to Safety Policy </w:t>
            </w:r>
            <w:r w:rsidRPr="0025145E" w:rsidR="006266E9">
              <w:rPr>
                <w:rFonts w:asciiTheme="minorHAnsi" w:hAnsiTheme="minorHAnsi" w:cstheme="minorHAnsi"/>
                <w:sz w:val="22"/>
                <w:szCs w:val="22"/>
              </w:rPr>
              <w:t>Division by Independent Consultant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7491208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July 6, 2022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7E9A31B6" w14:textId="79F2CD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Prior to Month 12 of Pilot</w:t>
            </w:r>
            <w:r w:rsidRPr="0025145E" w:rsidR="00AD68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implementation</w:t>
            </w:r>
          </w:p>
        </w:tc>
      </w:tr>
      <w:tr w:rsidRPr="0025145E" w:rsidR="00111E9A" w:rsidTr="0025145E" w14:paraId="67CD5DD2" w14:textId="77777777">
        <w:tc>
          <w:tcPr>
            <w:tcW w:w="3325" w:type="dxa"/>
          </w:tcPr>
          <w:p w:rsidRPr="0025145E" w:rsidR="00111E9A" w:rsidP="006266E9" w:rsidRDefault="00111E9A" w14:paraId="3BEC6A1C" w14:textId="6AC1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Safety Policy Division review, comment, and approval of evaluation </w:t>
            </w: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scope of work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77AF8FA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August 6, 2022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252717E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Prior to Month 13</w:t>
            </w:r>
          </w:p>
        </w:tc>
      </w:tr>
      <w:tr w:rsidRPr="0025145E" w:rsidR="00111E9A" w:rsidTr="0025145E" w14:paraId="3EB1D9F0" w14:textId="77777777">
        <w:tc>
          <w:tcPr>
            <w:tcW w:w="3325" w:type="dxa"/>
          </w:tcPr>
          <w:p w:rsidRPr="0025145E" w:rsidR="00111E9A" w:rsidP="006266E9" w:rsidRDefault="00111E9A" w14:paraId="4C953E1F" w14:textId="24537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Independent Consultant Evaluation process commences 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147CF64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August 6, 2022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190061B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Prior to Month 13</w:t>
            </w:r>
          </w:p>
        </w:tc>
      </w:tr>
      <w:tr w:rsidRPr="0025145E" w:rsidR="00111E9A" w:rsidTr="0025145E" w14:paraId="6CA30933" w14:textId="77777777">
        <w:tc>
          <w:tcPr>
            <w:tcW w:w="3325" w:type="dxa"/>
          </w:tcPr>
          <w:p w:rsidRPr="0025145E" w:rsidR="00111E9A" w:rsidP="006266E9" w:rsidRDefault="006266E9" w14:paraId="48029CF6" w14:textId="67E9CF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Independent Consultant submits </w:t>
            </w:r>
            <w:r w:rsidRPr="0025145E" w:rsidR="00111E9A">
              <w:rPr>
                <w:rFonts w:asciiTheme="minorHAnsi" w:hAnsiTheme="minorHAnsi" w:cstheme="minorHAnsi"/>
                <w:sz w:val="22"/>
                <w:szCs w:val="22"/>
              </w:rPr>
              <w:t xml:space="preserve">Internal draft version of </w:t>
            </w:r>
            <w:r w:rsidRPr="0025145E" w:rsidR="00111E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evaluation report</w:t>
            </w:r>
            <w:r w:rsidRPr="0025145E" w:rsidR="00111E9A">
              <w:rPr>
                <w:rFonts w:asciiTheme="minorHAnsi" w:hAnsiTheme="minorHAnsi" w:cstheme="minorHAnsi"/>
                <w:sz w:val="22"/>
                <w:szCs w:val="22"/>
              </w:rPr>
              <w:t xml:space="preserve"> to Safety Policy Division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274C5BD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June 6, 2023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376D069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Prior to Month 23</w:t>
            </w:r>
          </w:p>
        </w:tc>
      </w:tr>
      <w:tr w:rsidRPr="0025145E" w:rsidR="00111E9A" w:rsidTr="0025145E" w14:paraId="18080D12" w14:textId="77777777">
        <w:tc>
          <w:tcPr>
            <w:tcW w:w="3325" w:type="dxa"/>
          </w:tcPr>
          <w:p w:rsidRPr="0025145E" w:rsidR="00111E9A" w:rsidP="006266E9" w:rsidRDefault="00111E9A" w14:paraId="45A4DFC4" w14:textId="09AFB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Public draft version of </w:t>
            </w: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evaluation report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 published by Administrative Law Judge Ruling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61292DF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July 6, 2023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03D4DBF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Prior to Month 24</w:t>
            </w:r>
          </w:p>
        </w:tc>
      </w:tr>
      <w:tr w:rsidRPr="0025145E" w:rsidR="00111E9A" w:rsidTr="0025145E" w14:paraId="3C1CB848" w14:textId="77777777">
        <w:trPr>
          <w:trHeight w:val="63"/>
        </w:trPr>
        <w:tc>
          <w:tcPr>
            <w:tcW w:w="3325" w:type="dxa"/>
          </w:tcPr>
          <w:p w:rsidRPr="0025145E" w:rsidR="00111E9A" w:rsidP="006266E9" w:rsidRDefault="00111E9A" w14:paraId="07EA19B3" w14:textId="22B26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Stakeholder opening and reply comments on </w:t>
            </w: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evaluation report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; public workshop/webinar as deemed appropriate by Safety Policy Division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3AE8974F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August 6, 2023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08017CC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Month 24</w:t>
            </w:r>
          </w:p>
        </w:tc>
      </w:tr>
      <w:tr w:rsidRPr="0025145E" w:rsidR="00111E9A" w:rsidTr="0025145E" w14:paraId="145DFF32" w14:textId="77777777">
        <w:tc>
          <w:tcPr>
            <w:tcW w:w="3325" w:type="dxa"/>
          </w:tcPr>
          <w:p w:rsidRPr="0025145E" w:rsidR="00111E9A" w:rsidP="006266E9" w:rsidRDefault="00111E9A" w14:paraId="34D681C4" w14:textId="3F768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Final </w:t>
            </w: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evaluation report</w:t>
            </w: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 published by Administrative Law Judge Ruling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243D0D5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September 6, 2023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553604A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Month 25</w:t>
            </w:r>
          </w:p>
        </w:tc>
      </w:tr>
      <w:tr w:rsidRPr="0025145E" w:rsidR="00111E9A" w:rsidTr="0025145E" w14:paraId="4A05ED46" w14:textId="77777777">
        <w:tc>
          <w:tcPr>
            <w:tcW w:w="3325" w:type="dxa"/>
          </w:tcPr>
          <w:p w:rsidRPr="0025145E" w:rsidR="00111E9A" w:rsidP="006266E9" w:rsidRDefault="00111E9A" w14:paraId="7513EA4B" w14:textId="79217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Safety Policy Division finalizes Staff Memo with opinion and appraisal of final </w:t>
            </w:r>
            <w:r w:rsidRPr="002514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evaluation report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181023E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October 6, 2023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3E3D201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Month 26</w:t>
            </w:r>
          </w:p>
        </w:tc>
      </w:tr>
      <w:tr w:rsidRPr="0025145E" w:rsidR="00111E9A" w:rsidTr="0025145E" w14:paraId="2E47B48B" w14:textId="77777777">
        <w:tc>
          <w:tcPr>
            <w:tcW w:w="3325" w:type="dxa"/>
          </w:tcPr>
          <w:p w:rsidRPr="0025145E" w:rsidR="00111E9A" w:rsidP="006266E9" w:rsidRDefault="00111E9A" w14:paraId="606C701E" w14:textId="02AA9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 xml:space="preserve">Administrative Law Judge issues ruling seeking stakeholder comments on Safety Policy Division Staff Memo </w:t>
            </w:r>
          </w:p>
        </w:tc>
        <w:tc>
          <w:tcPr>
            <w:tcW w:w="2700" w:type="dxa"/>
            <w:vAlign w:val="center"/>
          </w:tcPr>
          <w:p w:rsidRPr="0025145E" w:rsidR="00111E9A" w:rsidP="0025145E" w:rsidRDefault="00111E9A" w14:paraId="3B1618FF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November 6, 2023</w:t>
            </w:r>
          </w:p>
        </w:tc>
        <w:tc>
          <w:tcPr>
            <w:tcW w:w="3325" w:type="dxa"/>
            <w:vAlign w:val="center"/>
          </w:tcPr>
          <w:p w:rsidRPr="0025145E" w:rsidR="00111E9A" w:rsidP="0025145E" w:rsidRDefault="00111E9A" w14:paraId="59C9D04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45E">
              <w:rPr>
                <w:rFonts w:asciiTheme="minorHAnsi" w:hAnsiTheme="minorHAnsi" w:cstheme="minorHAnsi"/>
                <w:sz w:val="22"/>
                <w:szCs w:val="22"/>
              </w:rPr>
              <w:t>Month 27</w:t>
            </w:r>
          </w:p>
        </w:tc>
      </w:tr>
    </w:tbl>
    <w:p w:rsidRPr="00EC312B" w:rsidR="00111E9A" w:rsidP="00394145" w:rsidRDefault="00111E9A" w14:paraId="78D7E1A4" w14:textId="3C8EB387">
      <w:pPr>
        <w:spacing w:line="360" w:lineRule="auto"/>
        <w:rPr>
          <w:rFonts w:ascii="Book Antiqua" w:hAnsi="Book Antiqua"/>
          <w:sz w:val="10"/>
          <w:szCs w:val="10"/>
        </w:rPr>
      </w:pPr>
    </w:p>
    <w:p w:rsidR="000C3EB8" w:rsidP="009561B0" w:rsidRDefault="000C3EB8" w14:paraId="282BACBD" w14:textId="1AB6561F">
      <w:pPr>
        <w:spacing w:line="360" w:lineRule="auto"/>
        <w:ind w:firstLine="720"/>
        <w:rPr>
          <w:rFonts w:ascii="Book Antiqua" w:hAnsi="Book Antiqua"/>
        </w:rPr>
      </w:pPr>
      <w:r w:rsidRPr="000C3EB8">
        <w:rPr>
          <w:rFonts w:ascii="Book Antiqua" w:hAnsi="Book Antiqua"/>
        </w:rPr>
        <w:t>Therefore, an extension of the statutory deadline</w:t>
      </w:r>
      <w:r w:rsidR="009E7960">
        <w:rPr>
          <w:rFonts w:ascii="Book Antiqua" w:hAnsi="Book Antiqua"/>
        </w:rPr>
        <w:t xml:space="preserve"> for an additional </w:t>
      </w:r>
      <w:r w:rsidR="00995677">
        <w:rPr>
          <w:rFonts w:ascii="Book Antiqua" w:hAnsi="Book Antiqua"/>
        </w:rPr>
        <w:t>3</w:t>
      </w:r>
      <w:r w:rsidR="0041333E">
        <w:rPr>
          <w:rFonts w:ascii="Book Antiqua" w:hAnsi="Book Antiqua"/>
        </w:rPr>
        <w:t xml:space="preserve"> year</w:t>
      </w:r>
      <w:r w:rsidR="00995677">
        <w:rPr>
          <w:rFonts w:ascii="Book Antiqua" w:hAnsi="Book Antiqua"/>
        </w:rPr>
        <w:t>s</w:t>
      </w:r>
      <w:r w:rsidR="0041333E">
        <w:rPr>
          <w:rFonts w:ascii="Book Antiqua" w:hAnsi="Book Antiqua"/>
        </w:rPr>
        <w:t xml:space="preserve"> (3</w:t>
      </w:r>
      <w:r w:rsidR="00995677">
        <w:rPr>
          <w:rFonts w:ascii="Book Antiqua" w:hAnsi="Book Antiqua"/>
        </w:rPr>
        <w:t>6</w:t>
      </w:r>
      <w:r w:rsidR="0041333E">
        <w:rPr>
          <w:rFonts w:ascii="Book Antiqua" w:hAnsi="Book Antiqua"/>
        </w:rPr>
        <w:t xml:space="preserve"> </w:t>
      </w:r>
      <w:r w:rsidR="009E7960">
        <w:rPr>
          <w:rFonts w:ascii="Book Antiqua" w:hAnsi="Book Antiqua"/>
        </w:rPr>
        <w:t>months</w:t>
      </w:r>
      <w:r w:rsidR="0041333E">
        <w:rPr>
          <w:rFonts w:ascii="Book Antiqua" w:hAnsi="Book Antiqua"/>
        </w:rPr>
        <w:t>)</w:t>
      </w:r>
      <w:r w:rsidR="009E7960">
        <w:rPr>
          <w:rFonts w:ascii="Book Antiqua" w:hAnsi="Book Antiqua"/>
        </w:rPr>
        <w:t>,</w:t>
      </w:r>
      <w:r w:rsidRPr="000C3EB8">
        <w:rPr>
          <w:rFonts w:ascii="Book Antiqua" w:hAnsi="Book Antiqua"/>
        </w:rPr>
        <w:t xml:space="preserve"> until </w:t>
      </w:r>
      <w:r w:rsidR="009E7960">
        <w:rPr>
          <w:rFonts w:ascii="Book Antiqua" w:hAnsi="Book Antiqua"/>
        </w:rPr>
        <w:t>J</w:t>
      </w:r>
      <w:r w:rsidR="00995677">
        <w:rPr>
          <w:rFonts w:ascii="Book Antiqua" w:hAnsi="Book Antiqua"/>
        </w:rPr>
        <w:t>anuary</w:t>
      </w:r>
      <w:r w:rsidR="0041333E">
        <w:rPr>
          <w:rFonts w:ascii="Book Antiqua" w:hAnsi="Book Antiqua"/>
        </w:rPr>
        <w:t xml:space="preserve"> </w:t>
      </w:r>
      <w:r w:rsidR="00FD3364">
        <w:rPr>
          <w:rFonts w:ascii="Book Antiqua" w:hAnsi="Book Antiqua"/>
        </w:rPr>
        <w:t>27</w:t>
      </w:r>
      <w:r w:rsidRPr="000C3EB8">
        <w:rPr>
          <w:rFonts w:ascii="Book Antiqua" w:hAnsi="Book Antiqua"/>
        </w:rPr>
        <w:t>, 202</w:t>
      </w:r>
      <w:r w:rsidR="00995677">
        <w:rPr>
          <w:rFonts w:ascii="Book Antiqua" w:hAnsi="Book Antiqua"/>
        </w:rPr>
        <w:t>4</w:t>
      </w:r>
      <w:r w:rsidR="00D67DDB">
        <w:rPr>
          <w:rFonts w:ascii="Book Antiqua" w:hAnsi="Book Antiqua"/>
        </w:rPr>
        <w:t xml:space="preserve">, </w:t>
      </w:r>
      <w:r w:rsidR="003C227C">
        <w:rPr>
          <w:rFonts w:ascii="Book Antiqua" w:hAnsi="Book Antiqua"/>
        </w:rPr>
        <w:t xml:space="preserve">is needed </w:t>
      </w:r>
      <w:bookmarkStart w:name="_Hlk54443592" w:id="5"/>
      <w:r w:rsidR="00FD3364">
        <w:rPr>
          <w:rFonts w:ascii="Book Antiqua" w:hAnsi="Book Antiqua"/>
        </w:rPr>
        <w:t>so that PG&amp;E</w:t>
      </w:r>
      <w:r w:rsidR="00EB3F77">
        <w:rPr>
          <w:rFonts w:ascii="Book Antiqua" w:hAnsi="Book Antiqua"/>
        </w:rPr>
        <w:t>, the Independent Consultant, stakeholders, and</w:t>
      </w:r>
      <w:r w:rsidR="00FD3364">
        <w:rPr>
          <w:rFonts w:ascii="Book Antiqua" w:hAnsi="Book Antiqua"/>
        </w:rPr>
        <w:t xml:space="preserve"> </w:t>
      </w:r>
      <w:r w:rsidRPr="009561B0" w:rsidR="009561B0">
        <w:rPr>
          <w:rFonts w:ascii="Book Antiqua" w:hAnsi="Book Antiqua"/>
        </w:rPr>
        <w:t>the Commission</w:t>
      </w:r>
      <w:r w:rsidR="003C227C">
        <w:rPr>
          <w:rFonts w:ascii="Book Antiqua" w:hAnsi="Book Antiqua"/>
        </w:rPr>
        <w:t xml:space="preserve"> may</w:t>
      </w:r>
      <w:r w:rsidRPr="009561B0" w:rsidR="009561B0">
        <w:rPr>
          <w:rFonts w:ascii="Book Antiqua" w:hAnsi="Book Antiqua"/>
        </w:rPr>
        <w:t xml:space="preserve"> complete </w:t>
      </w:r>
      <w:r w:rsidR="00EB3F77">
        <w:rPr>
          <w:rFonts w:ascii="Book Antiqua" w:hAnsi="Book Antiqua"/>
        </w:rPr>
        <w:t>a</w:t>
      </w:r>
      <w:r w:rsidRPr="009561B0" w:rsidR="009561B0">
        <w:rPr>
          <w:rFonts w:ascii="Book Antiqua" w:hAnsi="Book Antiqua"/>
        </w:rPr>
        <w:t xml:space="preserve"> comprehensive review </w:t>
      </w:r>
      <w:r w:rsidR="00D67DDB">
        <w:rPr>
          <w:rFonts w:ascii="Book Antiqua" w:hAnsi="Book Antiqua"/>
        </w:rPr>
        <w:t xml:space="preserve">of </w:t>
      </w:r>
      <w:r w:rsidRPr="009561B0" w:rsidR="009561B0">
        <w:rPr>
          <w:rFonts w:ascii="Book Antiqua" w:hAnsi="Book Antiqua"/>
        </w:rPr>
        <w:t xml:space="preserve">PG&amp;E’s </w:t>
      </w:r>
      <w:bookmarkEnd w:id="5"/>
      <w:r w:rsidR="00EB3F77">
        <w:rPr>
          <w:rFonts w:ascii="Book Antiqua" w:hAnsi="Book Antiqua"/>
        </w:rPr>
        <w:t>mobile app in this proceeding</w:t>
      </w:r>
      <w:r w:rsidRPr="009561B0" w:rsidR="009561B0">
        <w:rPr>
          <w:rFonts w:ascii="Book Antiqua" w:hAnsi="Book Antiqua"/>
        </w:rPr>
        <w:t xml:space="preserve">. </w:t>
      </w:r>
      <w:r w:rsidR="009561B0">
        <w:rPr>
          <w:rFonts w:ascii="Book Antiqua" w:hAnsi="Book Antiqua"/>
        </w:rPr>
        <w:t xml:space="preserve"> Th</w:t>
      </w:r>
      <w:r w:rsidR="003C227C">
        <w:rPr>
          <w:rFonts w:ascii="Book Antiqua" w:hAnsi="Book Antiqua"/>
        </w:rPr>
        <w:t>is extension will allow</w:t>
      </w:r>
      <w:r w:rsidR="009561B0">
        <w:rPr>
          <w:rFonts w:ascii="Book Antiqua" w:hAnsi="Book Antiqua"/>
        </w:rPr>
        <w:t xml:space="preserve"> time </w:t>
      </w:r>
      <w:r w:rsidR="003C227C">
        <w:rPr>
          <w:rFonts w:ascii="Book Antiqua" w:hAnsi="Book Antiqua"/>
        </w:rPr>
        <w:t>for</w:t>
      </w:r>
      <w:r w:rsidR="009561B0">
        <w:rPr>
          <w:rFonts w:ascii="Book Antiqua" w:hAnsi="Book Antiqua"/>
        </w:rPr>
        <w:t xml:space="preserve"> </w:t>
      </w:r>
      <w:r w:rsidR="00D67DDB">
        <w:rPr>
          <w:rFonts w:ascii="Book Antiqua" w:hAnsi="Book Antiqua"/>
        </w:rPr>
        <w:t xml:space="preserve">the </w:t>
      </w:r>
      <w:r w:rsidR="00EB3F77">
        <w:rPr>
          <w:rFonts w:ascii="Book Antiqua" w:hAnsi="Book Antiqua"/>
        </w:rPr>
        <w:t xml:space="preserve">Commission’s </w:t>
      </w:r>
      <w:r w:rsidR="00FD3364">
        <w:rPr>
          <w:rFonts w:ascii="Book Antiqua" w:hAnsi="Book Antiqua"/>
        </w:rPr>
        <w:t>Safety</w:t>
      </w:r>
      <w:r w:rsidR="00EB3F77">
        <w:rPr>
          <w:rFonts w:ascii="Book Antiqua" w:hAnsi="Book Antiqua"/>
        </w:rPr>
        <w:t xml:space="preserve"> </w:t>
      </w:r>
      <w:r w:rsidR="00FD3364">
        <w:rPr>
          <w:rFonts w:ascii="Book Antiqua" w:hAnsi="Book Antiqua"/>
        </w:rPr>
        <w:t>Policy Division, together with the Independent Consultant</w:t>
      </w:r>
      <w:r w:rsidR="00EB3F77">
        <w:rPr>
          <w:rFonts w:ascii="Book Antiqua" w:hAnsi="Book Antiqua"/>
        </w:rPr>
        <w:t>,</w:t>
      </w:r>
      <w:r w:rsidRPr="000C3EB8">
        <w:rPr>
          <w:rFonts w:ascii="Book Antiqua" w:hAnsi="Book Antiqua"/>
        </w:rPr>
        <w:t xml:space="preserve"> to complete </w:t>
      </w:r>
      <w:r w:rsidR="00EB3F77">
        <w:rPr>
          <w:rFonts w:ascii="Book Antiqua" w:hAnsi="Book Antiqua"/>
        </w:rPr>
        <w:t xml:space="preserve">an </w:t>
      </w:r>
      <w:r w:rsidR="003C227C">
        <w:rPr>
          <w:rFonts w:ascii="Book Antiqua" w:hAnsi="Book Antiqua"/>
        </w:rPr>
        <w:t>e</w:t>
      </w:r>
      <w:r w:rsidR="00FD3364">
        <w:rPr>
          <w:rFonts w:ascii="Book Antiqua" w:hAnsi="Book Antiqua"/>
        </w:rPr>
        <w:t>valuation of PG&amp;E’s</w:t>
      </w:r>
      <w:r w:rsidR="00EB3F77">
        <w:rPr>
          <w:rFonts w:ascii="Book Antiqua" w:hAnsi="Book Antiqua"/>
        </w:rPr>
        <w:t xml:space="preserve"> </w:t>
      </w:r>
      <w:r w:rsidR="00FD3364">
        <w:rPr>
          <w:rFonts w:ascii="Book Antiqua" w:hAnsi="Book Antiqua"/>
        </w:rPr>
        <w:t>pilot and recommend next steps</w:t>
      </w:r>
      <w:r w:rsidRPr="000C3EB8">
        <w:rPr>
          <w:rFonts w:ascii="Book Antiqua" w:hAnsi="Book Antiqua"/>
        </w:rPr>
        <w:t xml:space="preserve">, </w:t>
      </w:r>
      <w:r w:rsidR="00FD3364">
        <w:rPr>
          <w:rFonts w:ascii="Book Antiqua" w:hAnsi="Book Antiqua"/>
        </w:rPr>
        <w:t xml:space="preserve">for </w:t>
      </w:r>
      <w:r w:rsidR="009561B0">
        <w:rPr>
          <w:rFonts w:ascii="Book Antiqua" w:hAnsi="Book Antiqua"/>
        </w:rPr>
        <w:t xml:space="preserve">the assigned Administrative Law Judge </w:t>
      </w:r>
      <w:r w:rsidRPr="000C3EB8">
        <w:rPr>
          <w:rFonts w:ascii="Book Antiqua" w:hAnsi="Book Antiqua"/>
        </w:rPr>
        <w:t xml:space="preserve">to issue a proposed decision for public review and comment, and </w:t>
      </w:r>
      <w:r w:rsidR="00EB3F77">
        <w:rPr>
          <w:rFonts w:ascii="Book Antiqua" w:hAnsi="Book Antiqua"/>
        </w:rPr>
        <w:t xml:space="preserve">for </w:t>
      </w:r>
      <w:r w:rsidRPr="000C3EB8">
        <w:rPr>
          <w:rFonts w:ascii="Book Antiqua" w:hAnsi="Book Antiqua"/>
        </w:rPr>
        <w:t xml:space="preserve">the Commission to deliberate and issue </w:t>
      </w:r>
      <w:r w:rsidR="00EB3F77">
        <w:rPr>
          <w:rFonts w:ascii="Book Antiqua" w:hAnsi="Book Antiqua"/>
        </w:rPr>
        <w:t xml:space="preserve">a </w:t>
      </w:r>
      <w:r w:rsidRPr="000C3EB8">
        <w:rPr>
          <w:rFonts w:ascii="Book Antiqua" w:hAnsi="Book Antiqua"/>
        </w:rPr>
        <w:t>final decision</w:t>
      </w:r>
      <w:r w:rsidR="00D67DDB">
        <w:rPr>
          <w:rFonts w:ascii="Book Antiqua" w:hAnsi="Book Antiqua"/>
        </w:rPr>
        <w:t xml:space="preserve"> </w:t>
      </w:r>
      <w:r w:rsidR="00EB3F77">
        <w:rPr>
          <w:rFonts w:ascii="Book Antiqua" w:hAnsi="Book Antiqua"/>
        </w:rPr>
        <w:t>on whether to permanently adopt this mobile app</w:t>
      </w:r>
      <w:r>
        <w:rPr>
          <w:rFonts w:ascii="Book Antiqua" w:hAnsi="Book Antiqua"/>
        </w:rPr>
        <w:t>.</w:t>
      </w:r>
    </w:p>
    <w:p w:rsidRPr="00FD25E2" w:rsidR="0089195D" w:rsidP="00F41B9E" w:rsidRDefault="00841B13" w14:paraId="17822133" w14:textId="77777777">
      <w:pPr>
        <w:pStyle w:val="Heading1"/>
        <w:numPr>
          <w:ilvl w:val="0"/>
          <w:numId w:val="8"/>
        </w:numPr>
        <w:spacing w:before="0"/>
        <w:ind w:left="446" w:hanging="446"/>
        <w:rPr>
          <w:rFonts w:ascii="Arial" w:hAnsi="Arial" w:cs="Arial"/>
        </w:rPr>
      </w:pPr>
      <w:r w:rsidRPr="00FD25E2">
        <w:rPr>
          <w:rFonts w:ascii="Arial" w:hAnsi="Arial" w:cs="Arial"/>
        </w:rPr>
        <w:t>Waiver of Comment Period</w:t>
      </w:r>
    </w:p>
    <w:p w:rsidRPr="00FD25E2" w:rsidR="0089195D" w:rsidRDefault="0089195D" w14:paraId="76406AA8" w14:textId="77777777">
      <w:pPr>
        <w:pStyle w:val="standard"/>
        <w:rPr>
          <w:rFonts w:ascii="Book Antiqua" w:hAnsi="Book Antiqua"/>
        </w:rPr>
      </w:pPr>
      <w:r w:rsidRPr="00FD25E2">
        <w:rPr>
          <w:rFonts w:ascii="Book Antiqua" w:hAnsi="Book Antiqua"/>
        </w:rPr>
        <w:t>Under Rule 14.6(c)(4) of the Commission’s Rules of Practice and Procedure, the Commission may reduce or waive the period for public review and comment of</w:t>
      </w:r>
      <w:r w:rsidRPr="00FD25E2" w:rsidR="00C8610C">
        <w:rPr>
          <w:rFonts w:ascii="Book Antiqua" w:hAnsi="Book Antiqua"/>
        </w:rPr>
        <w:t xml:space="preserve"> proposed</w:t>
      </w:r>
      <w:r w:rsidRPr="00FD25E2">
        <w:rPr>
          <w:rFonts w:ascii="Book Antiqua" w:hAnsi="Book Antiqua"/>
        </w:rPr>
        <w:t xml:space="preserve"> decisions extending the deadline for resolving </w:t>
      </w:r>
      <w:r w:rsidRPr="00FD25E2">
        <w:rPr>
          <w:rFonts w:ascii="Book Antiqua" w:hAnsi="Book Antiqua"/>
        </w:rPr>
        <w:lastRenderedPageBreak/>
        <w:t xml:space="preserve">ratesetting proceedings. </w:t>
      </w:r>
      <w:r w:rsidRPr="00FD25E2" w:rsidR="00517EAF">
        <w:rPr>
          <w:rFonts w:ascii="Book Antiqua" w:hAnsi="Book Antiqua"/>
        </w:rPr>
        <w:t xml:space="preserve"> </w:t>
      </w:r>
      <w:r w:rsidRPr="00FD25E2" w:rsidR="005F4AC7">
        <w:rPr>
          <w:rFonts w:ascii="Book Antiqua" w:hAnsi="Book Antiqua"/>
        </w:rPr>
        <w:t>Accordingly, the otherwise applicable period for public review and comment is being waived</w:t>
      </w:r>
      <w:r w:rsidRPr="00FD25E2" w:rsidR="00C8610C">
        <w:rPr>
          <w:rFonts w:ascii="Book Antiqua" w:hAnsi="Book Antiqua"/>
        </w:rPr>
        <w:t>.</w:t>
      </w:r>
    </w:p>
    <w:p w:rsidRPr="00FD25E2" w:rsidR="0089195D" w:rsidP="00F41B9E" w:rsidRDefault="0089195D" w14:paraId="204893AA" w14:textId="77777777">
      <w:pPr>
        <w:pStyle w:val="Heading1"/>
        <w:numPr>
          <w:ilvl w:val="0"/>
          <w:numId w:val="8"/>
        </w:numPr>
        <w:spacing w:before="0"/>
        <w:ind w:left="446" w:hanging="446"/>
        <w:rPr>
          <w:rFonts w:ascii="Arial" w:hAnsi="Arial" w:cs="Arial"/>
        </w:rPr>
      </w:pPr>
      <w:r w:rsidRPr="00FD25E2">
        <w:rPr>
          <w:rFonts w:ascii="Arial" w:hAnsi="Arial" w:cs="Arial"/>
        </w:rPr>
        <w:t>Assignment of Proceeding</w:t>
      </w:r>
    </w:p>
    <w:p w:rsidRPr="00FD25E2" w:rsidR="0089195D" w:rsidRDefault="004E2A64" w14:paraId="1B559223" w14:textId="19A7A174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>Clifford Rechtschaffen</w:t>
      </w:r>
      <w:r w:rsidRPr="00FD25E2" w:rsidR="00EB4AE6">
        <w:rPr>
          <w:rFonts w:ascii="Book Antiqua" w:hAnsi="Book Antiqua"/>
        </w:rPr>
        <w:t xml:space="preserve"> is th</w:t>
      </w:r>
      <w:r w:rsidRPr="00FD25E2" w:rsidR="00EA39F7">
        <w:rPr>
          <w:rFonts w:ascii="Book Antiqua" w:hAnsi="Book Antiqua"/>
        </w:rPr>
        <w:t xml:space="preserve">e assigned Commissioner and </w:t>
      </w:r>
      <w:r>
        <w:rPr>
          <w:rFonts w:ascii="Book Antiqua" w:hAnsi="Book Antiqua"/>
        </w:rPr>
        <w:t xml:space="preserve">Regina DeAngelis </w:t>
      </w:r>
      <w:r w:rsidRPr="00FD25E2" w:rsidR="00FC4E74">
        <w:rPr>
          <w:rFonts w:ascii="Book Antiqua" w:hAnsi="Book Antiqua"/>
        </w:rPr>
        <w:t>is</w:t>
      </w:r>
      <w:r w:rsidRPr="00FD25E2" w:rsidR="009F342C">
        <w:rPr>
          <w:rFonts w:ascii="Book Antiqua" w:hAnsi="Book Antiqua"/>
        </w:rPr>
        <w:t xml:space="preserve"> </w:t>
      </w:r>
      <w:r w:rsidRPr="00FD25E2" w:rsidR="00EA39F7">
        <w:rPr>
          <w:rFonts w:ascii="Book Antiqua" w:hAnsi="Book Antiqua"/>
        </w:rPr>
        <w:t xml:space="preserve">the assigned </w:t>
      </w:r>
      <w:r w:rsidRPr="00FD25E2" w:rsidR="009F342C">
        <w:rPr>
          <w:rFonts w:ascii="Book Antiqua" w:hAnsi="Book Antiqua"/>
        </w:rPr>
        <w:t>A</w:t>
      </w:r>
      <w:r w:rsidRPr="00FD25E2" w:rsidR="00E7433A">
        <w:rPr>
          <w:rFonts w:ascii="Book Antiqua" w:hAnsi="Book Antiqua"/>
        </w:rPr>
        <w:t xml:space="preserve">dministrative </w:t>
      </w:r>
      <w:r w:rsidRPr="00FD25E2" w:rsidR="009F342C">
        <w:rPr>
          <w:rFonts w:ascii="Book Antiqua" w:hAnsi="Book Antiqua"/>
        </w:rPr>
        <w:t>L</w:t>
      </w:r>
      <w:r w:rsidRPr="00FD25E2" w:rsidR="00E7433A">
        <w:rPr>
          <w:rFonts w:ascii="Book Antiqua" w:hAnsi="Book Antiqua"/>
        </w:rPr>
        <w:t xml:space="preserve">aw </w:t>
      </w:r>
      <w:r w:rsidRPr="00FD25E2" w:rsidR="009F342C">
        <w:rPr>
          <w:rFonts w:ascii="Book Antiqua" w:hAnsi="Book Antiqua"/>
        </w:rPr>
        <w:t>J</w:t>
      </w:r>
      <w:r w:rsidRPr="00FD25E2" w:rsidR="00E7433A">
        <w:rPr>
          <w:rFonts w:ascii="Book Antiqua" w:hAnsi="Book Antiqua"/>
        </w:rPr>
        <w:t>udge</w:t>
      </w:r>
      <w:r w:rsidRPr="00FD25E2" w:rsidR="00EA39F7">
        <w:rPr>
          <w:rFonts w:ascii="Book Antiqua" w:hAnsi="Book Antiqua"/>
        </w:rPr>
        <w:t xml:space="preserve"> in th</w:t>
      </w:r>
      <w:r w:rsidRPr="00FD25E2" w:rsidR="00EB4AE6">
        <w:rPr>
          <w:rFonts w:ascii="Book Antiqua" w:hAnsi="Book Antiqua"/>
        </w:rPr>
        <w:t>is</w:t>
      </w:r>
      <w:r w:rsidRPr="00FD25E2" w:rsidR="00EA39F7">
        <w:rPr>
          <w:rFonts w:ascii="Book Antiqua" w:hAnsi="Book Antiqua"/>
        </w:rPr>
        <w:t xml:space="preserve"> </w:t>
      </w:r>
      <w:r w:rsidRPr="00FD25E2" w:rsidR="00C10B88">
        <w:rPr>
          <w:rFonts w:ascii="Book Antiqua" w:hAnsi="Book Antiqua"/>
        </w:rPr>
        <w:t>proceeding</w:t>
      </w:r>
      <w:r w:rsidRPr="00FD25E2" w:rsidR="00EA39F7">
        <w:rPr>
          <w:rFonts w:ascii="Book Antiqua" w:hAnsi="Book Antiqua"/>
        </w:rPr>
        <w:t>.</w:t>
      </w:r>
    </w:p>
    <w:p w:rsidRPr="00FD25E2" w:rsidR="00553B36" w:rsidP="00F41B9E" w:rsidRDefault="00553B36" w14:paraId="3CD41717" w14:textId="77777777">
      <w:pPr>
        <w:pStyle w:val="dummy"/>
        <w:tabs>
          <w:tab w:val="left" w:pos="6973"/>
        </w:tabs>
        <w:spacing w:before="0" w:after="0" w:line="360" w:lineRule="auto"/>
        <w:rPr>
          <w:rFonts w:ascii="Arial" w:hAnsi="Arial" w:cs="Arial"/>
        </w:rPr>
      </w:pPr>
      <w:bookmarkStart w:name="_Toc370798913" w:id="6"/>
      <w:r w:rsidRPr="00FD25E2">
        <w:rPr>
          <w:rFonts w:ascii="Arial" w:hAnsi="Arial" w:cs="Arial"/>
        </w:rPr>
        <w:t>Findin</w:t>
      </w:r>
      <w:r w:rsidRPr="00FD25E2" w:rsidR="00EA27F8">
        <w:rPr>
          <w:rFonts w:ascii="Arial" w:hAnsi="Arial" w:cs="Arial"/>
        </w:rPr>
        <w:t>g</w:t>
      </w:r>
      <w:r w:rsidRPr="00FD25E2">
        <w:rPr>
          <w:rFonts w:ascii="Arial" w:hAnsi="Arial" w:cs="Arial"/>
        </w:rPr>
        <w:t>s of Fact</w:t>
      </w:r>
    </w:p>
    <w:p w:rsidRPr="00FD25E2" w:rsidR="00DC1094" w:rsidP="003855F1" w:rsidRDefault="00703294" w14:paraId="2F86A70C" w14:textId="268E6812">
      <w:pPr>
        <w:pStyle w:val="num1"/>
        <w:numPr>
          <w:ilvl w:val="0"/>
          <w:numId w:val="5"/>
        </w:numPr>
        <w:rPr>
          <w:rFonts w:ascii="Book Antiqua" w:hAnsi="Book Antiqua"/>
        </w:rPr>
      </w:pPr>
      <w:r w:rsidRPr="00FD25E2">
        <w:rPr>
          <w:rFonts w:ascii="Book Antiqua" w:hAnsi="Book Antiqua"/>
        </w:rPr>
        <w:t>Th</w:t>
      </w:r>
      <w:r w:rsidRPr="00FD25E2" w:rsidR="00EB4AE6">
        <w:rPr>
          <w:rFonts w:ascii="Book Antiqua" w:hAnsi="Book Antiqua"/>
        </w:rPr>
        <w:t>is</w:t>
      </w:r>
      <w:r w:rsidRPr="00FD25E2">
        <w:rPr>
          <w:rFonts w:ascii="Book Antiqua" w:hAnsi="Book Antiqua"/>
        </w:rPr>
        <w:t xml:space="preserve"> </w:t>
      </w:r>
      <w:r w:rsidR="003C227C">
        <w:rPr>
          <w:rFonts w:ascii="Book Antiqua" w:hAnsi="Book Antiqua"/>
        </w:rPr>
        <w:t>A</w:t>
      </w:r>
      <w:r w:rsidRPr="00FD25E2">
        <w:rPr>
          <w:rFonts w:ascii="Book Antiqua" w:hAnsi="Book Antiqua"/>
        </w:rPr>
        <w:t>pplication w</w:t>
      </w:r>
      <w:r w:rsidRPr="00FD25E2" w:rsidR="00EB4AE6">
        <w:rPr>
          <w:rFonts w:ascii="Book Antiqua" w:hAnsi="Book Antiqua"/>
        </w:rPr>
        <w:t xml:space="preserve">as </w:t>
      </w:r>
      <w:r w:rsidRPr="00FD25E2">
        <w:rPr>
          <w:rFonts w:ascii="Book Antiqua" w:hAnsi="Book Antiqua"/>
        </w:rPr>
        <w:t xml:space="preserve">filed </w:t>
      </w:r>
      <w:r w:rsidRPr="00FD25E2" w:rsidR="00DC1094">
        <w:rPr>
          <w:rFonts w:ascii="Book Antiqua" w:hAnsi="Book Antiqua"/>
        </w:rPr>
        <w:t xml:space="preserve">by </w:t>
      </w:r>
      <w:r w:rsidRPr="006C7A25" w:rsidR="00E358C2">
        <w:rPr>
          <w:rFonts w:ascii="Book Antiqua" w:hAnsi="Book Antiqua"/>
        </w:rPr>
        <w:t>P</w:t>
      </w:r>
      <w:r w:rsidR="009561B0">
        <w:rPr>
          <w:rFonts w:ascii="Book Antiqua" w:hAnsi="Book Antiqua"/>
        </w:rPr>
        <w:t>G&amp;E</w:t>
      </w:r>
      <w:r w:rsidR="00FD3364">
        <w:rPr>
          <w:rFonts w:ascii="Book Antiqua" w:hAnsi="Book Antiqua"/>
        </w:rPr>
        <w:t xml:space="preserve"> </w:t>
      </w:r>
      <w:r w:rsidRPr="00FD25E2">
        <w:rPr>
          <w:rFonts w:ascii="Book Antiqua" w:hAnsi="Book Antiqua"/>
        </w:rPr>
        <w:t xml:space="preserve">on </w:t>
      </w:r>
      <w:r w:rsidR="00394145">
        <w:rPr>
          <w:rFonts w:ascii="Book Antiqua" w:hAnsi="Book Antiqua"/>
        </w:rPr>
        <w:t>July 29, 2019</w:t>
      </w:r>
      <w:r w:rsidRPr="00FD25E2">
        <w:rPr>
          <w:rFonts w:ascii="Book Antiqua" w:hAnsi="Book Antiqua"/>
        </w:rPr>
        <w:t xml:space="preserve">.  </w:t>
      </w:r>
    </w:p>
    <w:p w:rsidRPr="00FD25E2" w:rsidR="00FC79C4" w:rsidP="00FC79C4" w:rsidRDefault="00FC79C4" w14:paraId="5BC33B18" w14:textId="10F5FE98">
      <w:pPr>
        <w:pStyle w:val="num1"/>
        <w:numPr>
          <w:ilvl w:val="0"/>
          <w:numId w:val="5"/>
        </w:numPr>
        <w:rPr>
          <w:rFonts w:ascii="Book Antiqua" w:hAnsi="Book Antiqua"/>
        </w:rPr>
      </w:pPr>
      <w:r w:rsidRPr="00FD25E2">
        <w:rPr>
          <w:rFonts w:ascii="Book Antiqua" w:hAnsi="Book Antiqua"/>
        </w:rPr>
        <w:t xml:space="preserve">A </w:t>
      </w:r>
      <w:r w:rsidR="00D67DDB">
        <w:rPr>
          <w:rFonts w:ascii="Book Antiqua" w:hAnsi="Book Antiqua"/>
        </w:rPr>
        <w:t xml:space="preserve">prehearing conference </w:t>
      </w:r>
      <w:r w:rsidRPr="00FD25E2">
        <w:rPr>
          <w:rFonts w:ascii="Book Antiqua" w:hAnsi="Book Antiqua"/>
        </w:rPr>
        <w:t xml:space="preserve">was held on </w:t>
      </w:r>
      <w:r w:rsidR="00394145">
        <w:rPr>
          <w:rFonts w:ascii="Book Antiqua" w:hAnsi="Book Antiqua"/>
        </w:rPr>
        <w:t>October 15, 2019</w:t>
      </w:r>
      <w:r w:rsidRPr="00FD25E2" w:rsidR="0000357F">
        <w:rPr>
          <w:rFonts w:ascii="Book Antiqua" w:hAnsi="Book Antiqua"/>
        </w:rPr>
        <w:t>.</w:t>
      </w:r>
      <w:r w:rsidRPr="00FD25E2">
        <w:rPr>
          <w:rFonts w:ascii="Book Antiqua" w:hAnsi="Book Antiqua"/>
        </w:rPr>
        <w:t xml:space="preserve">  </w:t>
      </w:r>
    </w:p>
    <w:p w:rsidR="00FC79C4" w:rsidP="00FC79C4" w:rsidRDefault="00FC79C4" w14:paraId="6BBEE959" w14:textId="51C1B175">
      <w:pPr>
        <w:pStyle w:val="num1"/>
        <w:numPr>
          <w:ilvl w:val="0"/>
          <w:numId w:val="5"/>
        </w:numPr>
        <w:rPr>
          <w:rFonts w:ascii="Book Antiqua" w:hAnsi="Book Antiqua"/>
        </w:rPr>
      </w:pPr>
      <w:r w:rsidRPr="00FD25E2">
        <w:rPr>
          <w:rFonts w:ascii="Book Antiqua" w:hAnsi="Book Antiqua"/>
        </w:rPr>
        <w:t xml:space="preserve">On </w:t>
      </w:r>
      <w:r w:rsidR="00394145">
        <w:rPr>
          <w:rFonts w:ascii="Book Antiqua" w:hAnsi="Book Antiqua"/>
        </w:rPr>
        <w:t>November 14</w:t>
      </w:r>
      <w:r w:rsidRPr="00FD25E2">
        <w:rPr>
          <w:rFonts w:ascii="Book Antiqua" w:hAnsi="Book Antiqua"/>
        </w:rPr>
        <w:t xml:space="preserve">, </w:t>
      </w:r>
      <w:r w:rsidR="00394145">
        <w:rPr>
          <w:rFonts w:ascii="Book Antiqua" w:hAnsi="Book Antiqua"/>
        </w:rPr>
        <w:t xml:space="preserve">2019, </w:t>
      </w:r>
      <w:r w:rsidRPr="00FD25E2">
        <w:rPr>
          <w:rFonts w:ascii="Book Antiqua" w:hAnsi="Book Antiqua"/>
        </w:rPr>
        <w:t xml:space="preserve">the </w:t>
      </w:r>
      <w:r w:rsidR="00D67DDB">
        <w:rPr>
          <w:rFonts w:ascii="Book Antiqua" w:hAnsi="Book Antiqua"/>
        </w:rPr>
        <w:t xml:space="preserve">assigned Commissioner issued the </w:t>
      </w:r>
      <w:r w:rsidR="003C227C">
        <w:rPr>
          <w:rFonts w:ascii="Book Antiqua" w:hAnsi="Book Antiqua"/>
        </w:rPr>
        <w:t>S</w:t>
      </w:r>
      <w:r w:rsidRPr="00FD25E2">
        <w:rPr>
          <w:rFonts w:ascii="Book Antiqua" w:hAnsi="Book Antiqua"/>
        </w:rPr>
        <w:t xml:space="preserve">coping </w:t>
      </w:r>
      <w:r w:rsidR="003C227C">
        <w:rPr>
          <w:rFonts w:ascii="Book Antiqua" w:hAnsi="Book Antiqua"/>
        </w:rPr>
        <w:t>M</w:t>
      </w:r>
      <w:r w:rsidRPr="00FD25E2">
        <w:rPr>
          <w:rFonts w:ascii="Book Antiqua" w:hAnsi="Book Antiqua"/>
        </w:rPr>
        <w:t>em</w:t>
      </w:r>
      <w:r w:rsidR="00D67DDB">
        <w:rPr>
          <w:rFonts w:ascii="Book Antiqua" w:hAnsi="Book Antiqua"/>
        </w:rPr>
        <w:t>o</w:t>
      </w:r>
      <w:r w:rsidR="009561B0">
        <w:rPr>
          <w:rFonts w:ascii="Book Antiqua" w:hAnsi="Book Antiqua"/>
        </w:rPr>
        <w:t xml:space="preserve">, which </w:t>
      </w:r>
      <w:r w:rsidR="00394145">
        <w:rPr>
          <w:rFonts w:ascii="Book Antiqua" w:hAnsi="Book Antiqua"/>
        </w:rPr>
        <w:t>adopted</w:t>
      </w:r>
      <w:r w:rsidR="009561B0">
        <w:rPr>
          <w:rFonts w:ascii="Book Antiqua" w:hAnsi="Book Antiqua"/>
        </w:rPr>
        <w:t xml:space="preserve"> the statutory deadline </w:t>
      </w:r>
      <w:r w:rsidR="00D67DDB">
        <w:rPr>
          <w:rFonts w:ascii="Book Antiqua" w:hAnsi="Book Antiqua"/>
        </w:rPr>
        <w:t>o</w:t>
      </w:r>
      <w:r w:rsidR="00394145">
        <w:rPr>
          <w:rFonts w:ascii="Book Antiqua" w:hAnsi="Book Antiqua"/>
        </w:rPr>
        <w:t>f</w:t>
      </w:r>
      <w:r w:rsidR="009561B0">
        <w:rPr>
          <w:rFonts w:ascii="Book Antiqua" w:hAnsi="Book Antiqua"/>
        </w:rPr>
        <w:t xml:space="preserve"> J</w:t>
      </w:r>
      <w:r w:rsidR="00FD3364">
        <w:rPr>
          <w:rFonts w:ascii="Book Antiqua" w:hAnsi="Book Antiqua"/>
        </w:rPr>
        <w:t>anuary 27</w:t>
      </w:r>
      <w:r w:rsidR="009561B0">
        <w:rPr>
          <w:rFonts w:ascii="Book Antiqua" w:hAnsi="Book Antiqua"/>
        </w:rPr>
        <w:t>, 202</w:t>
      </w:r>
      <w:r w:rsidR="00FD3364">
        <w:rPr>
          <w:rFonts w:ascii="Book Antiqua" w:hAnsi="Book Antiqua"/>
        </w:rPr>
        <w:t>1</w:t>
      </w:r>
      <w:r w:rsidR="00D67DDB">
        <w:rPr>
          <w:rFonts w:ascii="Book Antiqua" w:hAnsi="Book Antiqua"/>
        </w:rPr>
        <w:t>.</w:t>
      </w:r>
    </w:p>
    <w:p w:rsidR="005140DD" w:rsidP="00FC79C4" w:rsidRDefault="005140DD" w14:paraId="275F890A" w14:textId="418EE1FB">
      <w:pPr>
        <w:pStyle w:val="num1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On October 8, 2020, the Commission issued D.20-10-003 providing for an approximately two-year pilot </w:t>
      </w:r>
      <w:r w:rsidR="00494C09">
        <w:rPr>
          <w:rFonts w:ascii="Book Antiqua" w:hAnsi="Book Antiqua"/>
        </w:rPr>
        <w:t xml:space="preserve">for </w:t>
      </w:r>
      <w:r>
        <w:rPr>
          <w:rFonts w:ascii="Book Antiqua" w:hAnsi="Book Antiqua"/>
        </w:rPr>
        <w:t xml:space="preserve">PG&amp;E’s mobile app </w:t>
      </w:r>
      <w:r w:rsidR="00394145">
        <w:rPr>
          <w:rFonts w:ascii="Book Antiqua" w:hAnsi="Book Antiqua"/>
        </w:rPr>
        <w:t>with</w:t>
      </w:r>
      <w:r>
        <w:rPr>
          <w:rFonts w:ascii="Book Antiqua" w:hAnsi="Book Antiqua"/>
        </w:rPr>
        <w:t xml:space="preserve"> an evaluation </w:t>
      </w:r>
      <w:r w:rsidR="00494C09">
        <w:rPr>
          <w:rFonts w:ascii="Book Antiqua" w:hAnsi="Book Antiqua"/>
        </w:rPr>
        <w:t xml:space="preserve">of the pilot </w:t>
      </w:r>
      <w:r>
        <w:rPr>
          <w:rFonts w:ascii="Book Antiqua" w:hAnsi="Book Antiqua"/>
        </w:rPr>
        <w:t>by an Independent Consultant.</w:t>
      </w:r>
    </w:p>
    <w:p w:rsidRPr="007228BF" w:rsidR="007228BF" w:rsidP="007228BF" w:rsidRDefault="007228BF" w14:paraId="560EF47E" w14:textId="78AB2E81">
      <w:pPr>
        <w:pStyle w:val="num1"/>
        <w:numPr>
          <w:ilvl w:val="0"/>
          <w:numId w:val="5"/>
        </w:numPr>
        <w:rPr>
          <w:rFonts w:ascii="Book Antiqua" w:hAnsi="Book Antiqua"/>
        </w:rPr>
      </w:pPr>
      <w:r w:rsidRPr="007228BF">
        <w:rPr>
          <w:rFonts w:ascii="Book Antiqua" w:hAnsi="Book Antiqua"/>
        </w:rPr>
        <w:t xml:space="preserve">An extension of time is needed </w:t>
      </w:r>
      <w:r w:rsidR="005140DD">
        <w:rPr>
          <w:rFonts w:ascii="Book Antiqua" w:hAnsi="Book Antiqua"/>
        </w:rPr>
        <w:t xml:space="preserve">for </w:t>
      </w:r>
      <w:r w:rsidR="00FD3364">
        <w:rPr>
          <w:rFonts w:ascii="Book Antiqua" w:hAnsi="Book Antiqua"/>
        </w:rPr>
        <w:t xml:space="preserve">PG&amp;E to </w:t>
      </w:r>
      <w:r w:rsidR="00394145">
        <w:rPr>
          <w:rFonts w:ascii="Book Antiqua" w:hAnsi="Book Antiqua"/>
        </w:rPr>
        <w:t>complete</w:t>
      </w:r>
      <w:r w:rsidR="00FD3364">
        <w:rPr>
          <w:rFonts w:ascii="Book Antiqua" w:hAnsi="Book Antiqua"/>
        </w:rPr>
        <w:t xml:space="preserve"> its mobile app pilot, </w:t>
      </w:r>
      <w:r w:rsidR="005140DD">
        <w:rPr>
          <w:rFonts w:ascii="Book Antiqua" w:hAnsi="Book Antiqua"/>
        </w:rPr>
        <w:t xml:space="preserve">for </w:t>
      </w:r>
      <w:r w:rsidR="00FD3364">
        <w:rPr>
          <w:rFonts w:ascii="Book Antiqua" w:hAnsi="Book Antiqua"/>
        </w:rPr>
        <w:t>the Inde</w:t>
      </w:r>
      <w:r w:rsidR="00A34823">
        <w:rPr>
          <w:rFonts w:ascii="Book Antiqua" w:hAnsi="Book Antiqua"/>
        </w:rPr>
        <w:t>pe</w:t>
      </w:r>
      <w:r w:rsidR="00FD3364">
        <w:rPr>
          <w:rFonts w:ascii="Book Antiqua" w:hAnsi="Book Antiqua"/>
        </w:rPr>
        <w:t xml:space="preserve">ndent consultant to complete its review of the pilot and </w:t>
      </w:r>
      <w:r w:rsidR="005140DD">
        <w:rPr>
          <w:rFonts w:ascii="Book Antiqua" w:hAnsi="Book Antiqua"/>
        </w:rPr>
        <w:t xml:space="preserve">prepare a </w:t>
      </w:r>
      <w:r w:rsidR="00394145">
        <w:rPr>
          <w:rFonts w:ascii="Book Antiqua" w:hAnsi="Book Antiqua"/>
        </w:rPr>
        <w:t xml:space="preserve">report with </w:t>
      </w:r>
      <w:r w:rsidR="00FD3364">
        <w:rPr>
          <w:rFonts w:ascii="Book Antiqua" w:hAnsi="Book Antiqua"/>
        </w:rPr>
        <w:t>recommend</w:t>
      </w:r>
      <w:r w:rsidR="005140DD">
        <w:rPr>
          <w:rFonts w:ascii="Book Antiqua" w:hAnsi="Book Antiqua"/>
        </w:rPr>
        <w:t>ation</w:t>
      </w:r>
      <w:r w:rsidR="00394145">
        <w:rPr>
          <w:rFonts w:ascii="Book Antiqua" w:hAnsi="Book Antiqua"/>
        </w:rPr>
        <w:t>s</w:t>
      </w:r>
      <w:r w:rsidR="005140DD">
        <w:rPr>
          <w:rFonts w:ascii="Book Antiqua" w:hAnsi="Book Antiqua"/>
        </w:rPr>
        <w:t xml:space="preserve"> for</w:t>
      </w:r>
      <w:r w:rsidR="00FD3364">
        <w:rPr>
          <w:rFonts w:ascii="Book Antiqua" w:hAnsi="Book Antiqua"/>
        </w:rPr>
        <w:t xml:space="preserve"> next steps, and for the Administrative Law Judge to prepare a proposed decision </w:t>
      </w:r>
      <w:r w:rsidR="005140DD">
        <w:rPr>
          <w:rFonts w:ascii="Book Antiqua" w:hAnsi="Book Antiqua"/>
        </w:rPr>
        <w:t xml:space="preserve">on the mobile app pilot </w:t>
      </w:r>
      <w:r w:rsidR="00FD3364">
        <w:rPr>
          <w:rFonts w:ascii="Book Antiqua" w:hAnsi="Book Antiqua"/>
        </w:rPr>
        <w:t xml:space="preserve">for consideration and vote by the Commission at an Agenda Meeting.  </w:t>
      </w:r>
    </w:p>
    <w:p w:rsidRPr="00AC22A7" w:rsidR="002D0E69" w:rsidP="00EC312B" w:rsidRDefault="00FC79C4" w14:paraId="55DE94F3" w14:textId="040E0B03">
      <w:pPr>
        <w:pStyle w:val="num1"/>
        <w:numPr>
          <w:ilvl w:val="0"/>
          <w:numId w:val="5"/>
        </w:numPr>
      </w:pPr>
      <w:r w:rsidRPr="00FD25E2">
        <w:rPr>
          <w:rFonts w:ascii="Book Antiqua" w:hAnsi="Book Antiqua"/>
        </w:rPr>
        <w:t>An extension of the statutory deadline</w:t>
      </w:r>
      <w:r w:rsidR="003C227C">
        <w:rPr>
          <w:rFonts w:ascii="Book Antiqua" w:hAnsi="Book Antiqua"/>
        </w:rPr>
        <w:t xml:space="preserve"> for an additional </w:t>
      </w:r>
      <w:r w:rsidR="0041333E">
        <w:rPr>
          <w:rFonts w:ascii="Book Antiqua" w:hAnsi="Book Antiqua"/>
        </w:rPr>
        <w:t>3</w:t>
      </w:r>
      <w:r w:rsidR="00995677">
        <w:rPr>
          <w:rFonts w:ascii="Book Antiqua" w:hAnsi="Book Antiqua"/>
        </w:rPr>
        <w:t>6</w:t>
      </w:r>
      <w:r w:rsidR="0041333E">
        <w:rPr>
          <w:rFonts w:ascii="Book Antiqua" w:hAnsi="Book Antiqua"/>
        </w:rPr>
        <w:t xml:space="preserve"> </w:t>
      </w:r>
      <w:r w:rsidR="003C227C">
        <w:rPr>
          <w:rFonts w:ascii="Book Antiqua" w:hAnsi="Book Antiqua"/>
        </w:rPr>
        <w:t>months,</w:t>
      </w:r>
      <w:r w:rsidRPr="00FD25E2">
        <w:rPr>
          <w:rFonts w:ascii="Book Antiqua" w:hAnsi="Book Antiqua"/>
        </w:rPr>
        <w:t xml:space="preserve"> to</w:t>
      </w:r>
      <w:r w:rsidR="0041333E">
        <w:rPr>
          <w:rFonts w:ascii="Book Antiqua" w:hAnsi="Book Antiqua"/>
        </w:rPr>
        <w:t xml:space="preserve"> J</w:t>
      </w:r>
      <w:r w:rsidR="00995677">
        <w:rPr>
          <w:rFonts w:ascii="Book Antiqua" w:hAnsi="Book Antiqua"/>
        </w:rPr>
        <w:t>anuary</w:t>
      </w:r>
      <w:r w:rsidR="00447AF3">
        <w:rPr>
          <w:rFonts w:ascii="Book Antiqua" w:hAnsi="Book Antiqua"/>
        </w:rPr>
        <w:t> </w:t>
      </w:r>
      <w:r w:rsidR="0041333E">
        <w:rPr>
          <w:rFonts w:ascii="Book Antiqua" w:hAnsi="Book Antiqua"/>
        </w:rPr>
        <w:t>27, 202</w:t>
      </w:r>
      <w:r w:rsidR="00995677">
        <w:rPr>
          <w:rFonts w:ascii="Book Antiqua" w:hAnsi="Book Antiqua"/>
        </w:rPr>
        <w:t>4</w:t>
      </w:r>
      <w:r w:rsidR="003C227C">
        <w:rPr>
          <w:rFonts w:ascii="Book Antiqua" w:hAnsi="Book Antiqua"/>
        </w:rPr>
        <w:t>,</w:t>
      </w:r>
      <w:r w:rsidRPr="00FD25E2">
        <w:rPr>
          <w:rFonts w:ascii="Book Antiqua" w:hAnsi="Book Antiqua"/>
        </w:rPr>
        <w:t xml:space="preserve"> is necessary</w:t>
      </w:r>
      <w:r w:rsidR="003C227C">
        <w:rPr>
          <w:rFonts w:ascii="Book Antiqua" w:hAnsi="Book Antiqua"/>
        </w:rPr>
        <w:t xml:space="preserve"> so that</w:t>
      </w:r>
      <w:r w:rsidRPr="003C227C" w:rsidR="003C227C">
        <w:rPr>
          <w:rFonts w:ascii="Book Antiqua" w:hAnsi="Book Antiqua"/>
        </w:rPr>
        <w:t xml:space="preserve"> that the Commission may complete its comprehensive review of PG&amp;E’s </w:t>
      </w:r>
      <w:r w:rsidR="00394145">
        <w:rPr>
          <w:rFonts w:ascii="Book Antiqua" w:hAnsi="Book Antiqua"/>
        </w:rPr>
        <w:t>pilot for a mobile app</w:t>
      </w:r>
      <w:r w:rsidRPr="00FD25E2" w:rsidR="002D0E69">
        <w:rPr>
          <w:rFonts w:ascii="Book Antiqua" w:hAnsi="Book Antiqua"/>
        </w:rPr>
        <w:t>.</w:t>
      </w:r>
    </w:p>
    <w:bookmarkEnd w:id="6"/>
    <w:p w:rsidRPr="00FD25E2" w:rsidR="003067E6" w:rsidP="00EC312B" w:rsidRDefault="003067E6" w14:paraId="570522CA" w14:textId="77777777">
      <w:pPr>
        <w:pStyle w:val="dummy"/>
        <w:keepNext w:val="0"/>
        <w:spacing w:before="0"/>
        <w:rPr>
          <w:rFonts w:ascii="Arial" w:hAnsi="Arial" w:cs="Arial"/>
        </w:rPr>
      </w:pPr>
      <w:r w:rsidRPr="00FD25E2">
        <w:rPr>
          <w:rFonts w:ascii="Arial" w:hAnsi="Arial" w:cs="Arial"/>
        </w:rPr>
        <w:t>Conclusion</w:t>
      </w:r>
      <w:r w:rsidRPr="00FD25E2" w:rsidR="002F6BD1">
        <w:rPr>
          <w:rFonts w:ascii="Arial" w:hAnsi="Arial" w:cs="Arial"/>
        </w:rPr>
        <w:t xml:space="preserve"> </w:t>
      </w:r>
      <w:r w:rsidRPr="00FD25E2">
        <w:rPr>
          <w:rFonts w:ascii="Arial" w:hAnsi="Arial" w:cs="Arial"/>
        </w:rPr>
        <w:t>of Law</w:t>
      </w:r>
    </w:p>
    <w:p w:rsidRPr="00FD25E2" w:rsidR="00BF5098" w:rsidP="00EC312B" w:rsidRDefault="00B16C20" w14:paraId="7B148A87" w14:textId="6873EC7F">
      <w:pPr>
        <w:pStyle w:val="standard"/>
        <w:rPr>
          <w:rFonts w:ascii="Book Antiqua" w:hAnsi="Book Antiqua"/>
        </w:rPr>
      </w:pPr>
      <w:r w:rsidRPr="00FD25E2">
        <w:rPr>
          <w:rFonts w:ascii="Book Antiqua" w:hAnsi="Book Antiqua"/>
        </w:rPr>
        <w:t xml:space="preserve">Pursuant to the authority granted to the Commission under Pub. Util. Code § 1701.5(a), the statutory deadline should be extended </w:t>
      </w:r>
      <w:r w:rsidRPr="00FD25E2" w:rsidR="00BD4C49">
        <w:rPr>
          <w:rFonts w:ascii="Book Antiqua" w:hAnsi="Book Antiqua"/>
        </w:rPr>
        <w:t>to</w:t>
      </w:r>
      <w:r w:rsidR="0041333E">
        <w:rPr>
          <w:rFonts w:ascii="Book Antiqua" w:hAnsi="Book Antiqua"/>
        </w:rPr>
        <w:t xml:space="preserve"> J</w:t>
      </w:r>
      <w:r w:rsidR="00995677">
        <w:rPr>
          <w:rFonts w:ascii="Book Antiqua" w:hAnsi="Book Antiqua"/>
        </w:rPr>
        <w:t>anuary</w:t>
      </w:r>
      <w:r w:rsidR="0041333E">
        <w:rPr>
          <w:rFonts w:ascii="Book Antiqua" w:hAnsi="Book Antiqua"/>
        </w:rPr>
        <w:t xml:space="preserve"> 27, 202</w:t>
      </w:r>
      <w:r w:rsidR="00995677">
        <w:rPr>
          <w:rFonts w:ascii="Book Antiqua" w:hAnsi="Book Antiqua"/>
        </w:rPr>
        <w:t>4</w:t>
      </w:r>
      <w:r w:rsidRPr="00FD25E2" w:rsidR="002A4918">
        <w:rPr>
          <w:rFonts w:ascii="Book Antiqua" w:hAnsi="Book Antiqua"/>
        </w:rPr>
        <w:t>.</w:t>
      </w:r>
    </w:p>
    <w:p w:rsidRPr="00FD25E2" w:rsidR="00B24AA2" w:rsidP="00D31BB5" w:rsidRDefault="0089195D" w14:paraId="5E135381" w14:textId="5F9538A9">
      <w:pPr>
        <w:pStyle w:val="standard"/>
        <w:keepNext/>
        <w:keepLines/>
        <w:spacing w:before="120"/>
        <w:rPr>
          <w:rFonts w:ascii="Book Antiqua" w:hAnsi="Book Antiqua"/>
        </w:rPr>
      </w:pPr>
      <w:r w:rsidRPr="00EC312B">
        <w:rPr>
          <w:rFonts w:ascii="Book Antiqua" w:hAnsi="Book Antiqua" w:cs="Arial"/>
          <w:b/>
        </w:rPr>
        <w:lastRenderedPageBreak/>
        <w:t>IT IS ORDERED</w:t>
      </w:r>
      <w:r>
        <w:t xml:space="preserve"> </w:t>
      </w:r>
      <w:r w:rsidRPr="00FD25E2">
        <w:rPr>
          <w:rFonts w:ascii="Book Antiqua" w:hAnsi="Book Antiqua"/>
        </w:rPr>
        <w:t>that</w:t>
      </w:r>
      <w:r w:rsidRPr="00FD25E2" w:rsidR="00A44D0F">
        <w:rPr>
          <w:rFonts w:ascii="Book Antiqua" w:hAnsi="Book Antiqua"/>
        </w:rPr>
        <w:t xml:space="preserve"> t</w:t>
      </w:r>
      <w:r w:rsidRPr="00FD25E2" w:rsidR="00B24AA2">
        <w:rPr>
          <w:rFonts w:ascii="Book Antiqua" w:hAnsi="Book Antiqua"/>
        </w:rPr>
        <w:t>he statutory deadline in th</w:t>
      </w:r>
      <w:r w:rsidRPr="00FD25E2" w:rsidR="00EB4AE6">
        <w:rPr>
          <w:rFonts w:ascii="Book Antiqua" w:hAnsi="Book Antiqua"/>
        </w:rPr>
        <w:t>is</w:t>
      </w:r>
      <w:r w:rsidRPr="00FD25E2" w:rsidR="00B24AA2">
        <w:rPr>
          <w:rFonts w:ascii="Book Antiqua" w:hAnsi="Book Antiqua"/>
        </w:rPr>
        <w:t xml:space="preserve"> proceeding is extended until </w:t>
      </w:r>
      <w:r w:rsidR="0041333E">
        <w:rPr>
          <w:rFonts w:ascii="Book Antiqua" w:hAnsi="Book Antiqua"/>
        </w:rPr>
        <w:t>J</w:t>
      </w:r>
      <w:r w:rsidR="00995677">
        <w:rPr>
          <w:rFonts w:ascii="Book Antiqua" w:hAnsi="Book Antiqua"/>
        </w:rPr>
        <w:t>anuary</w:t>
      </w:r>
      <w:r w:rsidR="0041333E">
        <w:rPr>
          <w:rFonts w:ascii="Book Antiqua" w:hAnsi="Book Antiqua"/>
        </w:rPr>
        <w:t xml:space="preserve"> 27, 202</w:t>
      </w:r>
      <w:r w:rsidR="00995677">
        <w:rPr>
          <w:rFonts w:ascii="Book Antiqua" w:hAnsi="Book Antiqua"/>
        </w:rPr>
        <w:t>4</w:t>
      </w:r>
      <w:r w:rsidRPr="00FD25E2" w:rsidR="00B24AA2">
        <w:rPr>
          <w:rFonts w:ascii="Book Antiqua" w:hAnsi="Book Antiqua"/>
        </w:rPr>
        <w:t>.</w:t>
      </w:r>
    </w:p>
    <w:p w:rsidRPr="00FD25E2" w:rsidR="00B16C20" w:rsidP="00D31BB5" w:rsidRDefault="00B16C20" w14:paraId="26775C73" w14:textId="77777777">
      <w:pPr>
        <w:pStyle w:val="standard"/>
        <w:keepNext/>
        <w:keepLines/>
        <w:rPr>
          <w:rFonts w:ascii="Book Antiqua" w:hAnsi="Book Antiqua"/>
        </w:rPr>
      </w:pPr>
      <w:r w:rsidRPr="00FD25E2">
        <w:rPr>
          <w:rFonts w:ascii="Book Antiqua" w:hAnsi="Book Antiqua"/>
        </w:rPr>
        <w:t>This order is effective today.</w:t>
      </w:r>
    </w:p>
    <w:p w:rsidR="003B4AC7" w:rsidP="00D31BB5" w:rsidRDefault="00D26428" w14:paraId="093DFB5D" w14:textId="1F89C747">
      <w:pPr>
        <w:pStyle w:val="standard"/>
        <w:keepNext/>
        <w:keepLines/>
        <w:rPr>
          <w:rFonts w:ascii="Book Antiqua" w:hAnsi="Book Antiqua"/>
          <w:szCs w:val="26"/>
        </w:rPr>
      </w:pPr>
      <w:r w:rsidRPr="00D26428">
        <w:rPr>
          <w:rFonts w:ascii="Book Antiqua" w:hAnsi="Book Antiqua"/>
          <w:szCs w:val="26"/>
        </w:rPr>
        <w:t>Dated</w:t>
      </w:r>
      <w:r w:rsidR="002B23B9">
        <w:rPr>
          <w:rFonts w:ascii="Book Antiqua" w:hAnsi="Book Antiqua"/>
          <w:szCs w:val="26"/>
        </w:rPr>
        <w:t xml:space="preserve"> </w:t>
      </w:r>
      <w:r w:rsidR="00D31BB5">
        <w:rPr>
          <w:rFonts w:ascii="Book Antiqua" w:hAnsi="Book Antiqua"/>
          <w:szCs w:val="26"/>
        </w:rPr>
        <w:t xml:space="preserve">January 14, 2021 </w:t>
      </w:r>
      <w:r w:rsidRPr="00D26428">
        <w:rPr>
          <w:rFonts w:ascii="Book Antiqua" w:hAnsi="Book Antiqua"/>
          <w:szCs w:val="26"/>
        </w:rPr>
        <w:t>at San Francisco, California.</w:t>
      </w:r>
    </w:p>
    <w:p w:rsidR="00D31BB5" w:rsidP="00D31BB5" w:rsidRDefault="00D31BB5" w14:paraId="03AEBB00" w14:textId="6148980F">
      <w:pPr>
        <w:pStyle w:val="standard"/>
        <w:keepNext/>
        <w:keepLines/>
        <w:rPr>
          <w:rFonts w:ascii="Book Antiqua" w:hAnsi="Book Antiqua"/>
          <w:szCs w:val="26"/>
        </w:rPr>
      </w:pPr>
    </w:p>
    <w:p w:rsidRPr="00C773F2" w:rsidR="00D31BB5" w:rsidP="00D31BB5" w:rsidRDefault="00D31BB5" w14:paraId="375CD41F" w14:textId="77777777">
      <w:pPr>
        <w:autoSpaceDE w:val="0"/>
        <w:autoSpaceDN w:val="0"/>
        <w:adjustRightInd w:val="0"/>
        <w:ind w:left="4320"/>
        <w:jc w:val="both"/>
        <w:rPr>
          <w:rFonts w:ascii="Book Antiqua" w:hAnsi="Book Antiqua" w:cs="Palatino"/>
          <w:szCs w:val="26"/>
        </w:rPr>
      </w:pPr>
      <w:bookmarkStart w:name="_Hlk17215919" w:id="7"/>
      <w:r w:rsidRPr="00C773F2">
        <w:rPr>
          <w:rFonts w:ascii="Book Antiqua" w:hAnsi="Book Antiqua" w:cs="Courier New"/>
          <w:szCs w:val="26"/>
        </w:rPr>
        <w:t>MARYBEL BATJER</w:t>
      </w:r>
    </w:p>
    <w:p w:rsidRPr="00C773F2" w:rsidR="00D31BB5" w:rsidP="00D31BB5" w:rsidRDefault="00D31BB5" w14:paraId="7F427BE7" w14:textId="77777777">
      <w:pPr>
        <w:autoSpaceDE w:val="0"/>
        <w:autoSpaceDN w:val="0"/>
        <w:adjustRightInd w:val="0"/>
        <w:ind w:firstLine="720"/>
        <w:jc w:val="both"/>
        <w:rPr>
          <w:rFonts w:ascii="Book Antiqua" w:hAnsi="Book Antiqua" w:cs="Palatino"/>
          <w:szCs w:val="26"/>
        </w:rPr>
      </w:pPr>
      <w:r w:rsidRPr="00C773F2">
        <w:rPr>
          <w:rFonts w:ascii="Book Antiqua" w:hAnsi="Book Antiqua" w:cs="Palatino"/>
          <w:szCs w:val="26"/>
        </w:rPr>
        <w:tab/>
      </w:r>
      <w:r w:rsidRPr="00C773F2">
        <w:rPr>
          <w:rFonts w:ascii="Book Antiqua" w:hAnsi="Book Antiqua" w:cs="Palatino"/>
          <w:szCs w:val="26"/>
        </w:rPr>
        <w:tab/>
      </w:r>
      <w:r w:rsidRPr="00C773F2">
        <w:rPr>
          <w:rFonts w:ascii="Book Antiqua" w:hAnsi="Book Antiqua" w:cs="Palatino"/>
          <w:szCs w:val="26"/>
        </w:rPr>
        <w:tab/>
      </w:r>
      <w:r w:rsidRPr="00C773F2">
        <w:rPr>
          <w:rFonts w:ascii="Book Antiqua" w:hAnsi="Book Antiqua" w:cs="Palatino"/>
          <w:szCs w:val="26"/>
        </w:rPr>
        <w:tab/>
      </w:r>
      <w:r w:rsidRPr="00C773F2">
        <w:rPr>
          <w:rFonts w:ascii="Book Antiqua" w:hAnsi="Book Antiqua" w:cs="Palatino"/>
          <w:szCs w:val="26"/>
        </w:rPr>
        <w:tab/>
        <w:t xml:space="preserve">                       President</w:t>
      </w:r>
    </w:p>
    <w:p w:rsidRPr="00C773F2" w:rsidR="00D31BB5" w:rsidP="00D31BB5" w:rsidRDefault="00D31BB5" w14:paraId="34985A89" w14:textId="77777777">
      <w:pPr>
        <w:autoSpaceDE w:val="0"/>
        <w:autoSpaceDN w:val="0"/>
        <w:adjustRightInd w:val="0"/>
        <w:ind w:left="4320"/>
        <w:jc w:val="both"/>
        <w:rPr>
          <w:rFonts w:ascii="Book Antiqua" w:hAnsi="Book Antiqua"/>
          <w:sz w:val="28"/>
          <w:szCs w:val="28"/>
        </w:rPr>
      </w:pPr>
      <w:r w:rsidRPr="00C773F2">
        <w:rPr>
          <w:rFonts w:ascii="Book Antiqua" w:hAnsi="Book Antiqua"/>
          <w:sz w:val="28"/>
          <w:szCs w:val="28"/>
        </w:rPr>
        <w:t>MARTHA GUZMAN ACEVES</w:t>
      </w:r>
    </w:p>
    <w:p w:rsidRPr="00C773F2" w:rsidR="00D31BB5" w:rsidP="00D31BB5" w:rsidRDefault="00D31BB5" w14:paraId="53D5F8EF" w14:textId="77777777">
      <w:pPr>
        <w:autoSpaceDE w:val="0"/>
        <w:autoSpaceDN w:val="0"/>
        <w:adjustRightInd w:val="0"/>
        <w:ind w:left="4320"/>
        <w:jc w:val="both"/>
        <w:rPr>
          <w:rFonts w:ascii="Book Antiqua" w:hAnsi="Book Antiqua"/>
          <w:sz w:val="28"/>
          <w:szCs w:val="28"/>
        </w:rPr>
      </w:pPr>
      <w:r w:rsidRPr="00C773F2">
        <w:rPr>
          <w:rFonts w:ascii="Book Antiqua" w:hAnsi="Book Antiqua"/>
          <w:sz w:val="28"/>
          <w:szCs w:val="28"/>
        </w:rPr>
        <w:t>CLIFFORD RECHTSCHAFFEN</w:t>
      </w:r>
    </w:p>
    <w:p w:rsidRPr="00C773F2" w:rsidR="00D31BB5" w:rsidP="00D31BB5" w:rsidRDefault="00D31BB5" w14:paraId="52BBC762" w14:textId="77777777">
      <w:pPr>
        <w:autoSpaceDE w:val="0"/>
        <w:autoSpaceDN w:val="0"/>
        <w:adjustRightInd w:val="0"/>
        <w:ind w:left="4320"/>
        <w:jc w:val="both"/>
        <w:rPr>
          <w:rFonts w:ascii="Book Antiqua" w:hAnsi="Book Antiqua"/>
          <w:sz w:val="28"/>
          <w:szCs w:val="28"/>
        </w:rPr>
      </w:pPr>
      <w:r w:rsidRPr="00C773F2">
        <w:rPr>
          <w:rFonts w:ascii="Book Antiqua" w:hAnsi="Book Antiqua"/>
          <w:sz w:val="28"/>
          <w:szCs w:val="28"/>
        </w:rPr>
        <w:t>GENEVIEVE SHIROMA</w:t>
      </w:r>
    </w:p>
    <w:p w:rsidRPr="00C773F2" w:rsidR="00D31BB5" w:rsidP="00D31BB5" w:rsidRDefault="00D31BB5" w14:paraId="08DCDD49" w14:textId="77777777">
      <w:pPr>
        <w:autoSpaceDE w:val="0"/>
        <w:autoSpaceDN w:val="0"/>
        <w:adjustRightInd w:val="0"/>
        <w:ind w:left="4320" w:firstLine="720"/>
        <w:jc w:val="both"/>
        <w:rPr>
          <w:rFonts w:ascii="Book Antiqua" w:hAnsi="Book Antiqua" w:cs="Palatino"/>
          <w:szCs w:val="26"/>
        </w:rPr>
      </w:pPr>
      <w:r w:rsidRPr="00C773F2">
        <w:rPr>
          <w:rFonts w:ascii="Book Antiqua" w:hAnsi="Book Antiqua" w:cs="Palatino"/>
          <w:szCs w:val="26"/>
        </w:rPr>
        <w:t xml:space="preserve">                 Commissioners</w:t>
      </w:r>
    </w:p>
    <w:bookmarkEnd w:id="7"/>
    <w:p w:rsidR="00D31BB5" w:rsidP="00D31BB5" w:rsidRDefault="00D31BB5" w14:paraId="1C21F577" w14:textId="77777777"/>
    <w:p w:rsidRPr="00D26428" w:rsidR="00D31BB5" w:rsidP="00D31BB5" w:rsidRDefault="00D31BB5" w14:paraId="38FE65F8" w14:textId="77777777">
      <w:pPr>
        <w:pStyle w:val="standard"/>
        <w:keepNext/>
        <w:keepLines/>
        <w:rPr>
          <w:rFonts w:ascii="Book Antiqua" w:hAnsi="Book Antiqua"/>
          <w:sz w:val="10"/>
          <w:szCs w:val="26"/>
        </w:rPr>
      </w:pPr>
    </w:p>
    <w:sectPr w:rsidRPr="00D26428" w:rsidR="00D31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62694" w14:textId="77777777" w:rsidR="00734E6F" w:rsidRDefault="00734E6F">
      <w:r>
        <w:separator/>
      </w:r>
    </w:p>
  </w:endnote>
  <w:endnote w:type="continuationSeparator" w:id="0">
    <w:p w14:paraId="77B4F6DD" w14:textId="77777777" w:rsidR="00734E6F" w:rsidRDefault="0073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1F7AB" w14:textId="77777777" w:rsidR="00497FEB" w:rsidRDefault="00497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89944" w14:textId="22462907" w:rsidR="00447AF3" w:rsidRPr="00447AF3" w:rsidRDefault="00DD1176" w:rsidP="00FD568F">
    <w:pPr>
      <w:pStyle w:val="Footer"/>
      <w:tabs>
        <w:tab w:val="clear" w:pos="4320"/>
        <w:tab w:val="center" w:pos="4680"/>
      </w:tabs>
      <w:rPr>
        <w:rStyle w:val="PageNumber"/>
        <w:rFonts w:ascii="Book Antiqua" w:hAnsi="Book Antiqua"/>
        <w:szCs w:val="26"/>
      </w:rPr>
    </w:pPr>
    <w:r w:rsidRPr="00447AF3">
      <w:rPr>
        <w:rStyle w:val="PageNumber"/>
        <w:rFonts w:ascii="Book Antiqua" w:hAnsi="Book Antiqua"/>
        <w:szCs w:val="26"/>
      </w:rPr>
      <w:t xml:space="preserve">- </w:t>
    </w:r>
    <w:r w:rsidRPr="00447AF3">
      <w:rPr>
        <w:rStyle w:val="PageNumber"/>
        <w:rFonts w:ascii="Book Antiqua" w:hAnsi="Book Antiqua"/>
        <w:szCs w:val="26"/>
      </w:rPr>
      <w:fldChar w:fldCharType="begin"/>
    </w:r>
    <w:r w:rsidRPr="00447AF3">
      <w:rPr>
        <w:rStyle w:val="PageNumber"/>
        <w:rFonts w:ascii="Book Antiqua" w:hAnsi="Book Antiqua"/>
        <w:szCs w:val="26"/>
      </w:rPr>
      <w:instrText xml:space="preserve"> PAGE </w:instrText>
    </w:r>
    <w:r w:rsidRPr="00447AF3">
      <w:rPr>
        <w:rStyle w:val="PageNumber"/>
        <w:rFonts w:ascii="Book Antiqua" w:hAnsi="Book Antiqua"/>
        <w:szCs w:val="26"/>
      </w:rPr>
      <w:fldChar w:fldCharType="separate"/>
    </w:r>
    <w:r w:rsidR="009D7940" w:rsidRPr="00447AF3">
      <w:rPr>
        <w:rStyle w:val="PageNumber"/>
        <w:rFonts w:ascii="Book Antiqua" w:hAnsi="Book Antiqua"/>
        <w:noProof/>
        <w:szCs w:val="26"/>
      </w:rPr>
      <w:t>4</w:t>
    </w:r>
    <w:r w:rsidRPr="00447AF3">
      <w:rPr>
        <w:rStyle w:val="PageNumber"/>
        <w:rFonts w:ascii="Book Antiqua" w:hAnsi="Book Antiqua"/>
        <w:szCs w:val="26"/>
      </w:rPr>
      <w:fldChar w:fldCharType="end"/>
    </w:r>
    <w:r w:rsidRPr="00447AF3">
      <w:rPr>
        <w:rStyle w:val="PageNumber"/>
        <w:rFonts w:ascii="Book Antiqua" w:hAnsi="Book Antiqua"/>
        <w:szCs w:val="26"/>
      </w:rPr>
      <w:t xml:space="preserve"> </w:t>
    </w:r>
    <w:r w:rsidR="00447AF3">
      <w:rPr>
        <w:rStyle w:val="PageNumber"/>
        <w:rFonts w:ascii="Book Antiqua" w:hAnsi="Book Antiqua"/>
        <w:szCs w:val="26"/>
      </w:rPr>
      <w:t>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3452" w14:textId="482AA894" w:rsidR="00DD1176" w:rsidRPr="00447AF3" w:rsidRDefault="00497FEB" w:rsidP="00FD568F">
    <w:pPr>
      <w:pStyle w:val="Footer"/>
      <w:tabs>
        <w:tab w:val="clear" w:pos="4320"/>
        <w:tab w:val="center" w:pos="4680"/>
      </w:tabs>
      <w:jc w:val="left"/>
      <w:rPr>
        <w:rStyle w:val="PageNumber"/>
        <w:rFonts w:ascii="Book Antiqua" w:hAnsi="Book Antiqua"/>
        <w:szCs w:val="26"/>
      </w:rPr>
    </w:pPr>
    <w:r w:rsidRPr="00497FEB">
      <w:rPr>
        <w:rFonts w:asciiTheme="majorHAnsi" w:eastAsiaTheme="majorEastAsia" w:hAnsiTheme="majorHAnsi" w:cstheme="majorBidi"/>
        <w:sz w:val="16"/>
        <w:szCs w:val="16"/>
      </w:rPr>
      <w:t>361610254</w:t>
    </w:r>
    <w:r w:rsidR="00DD1176">
      <w:rPr>
        <w:rFonts w:asciiTheme="majorHAnsi" w:eastAsiaTheme="majorEastAsia" w:hAnsiTheme="majorHAnsi" w:cstheme="majorBidi"/>
        <w:sz w:val="16"/>
        <w:szCs w:val="16"/>
      </w:rPr>
      <w:tab/>
    </w:r>
    <w:r w:rsidR="00DD1176" w:rsidRPr="00447AF3">
      <w:rPr>
        <w:rStyle w:val="PageNumber"/>
        <w:rFonts w:ascii="Book Antiqua" w:hAnsi="Book Antiqua"/>
        <w:szCs w:val="26"/>
      </w:rPr>
      <w:t>- 1 -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D5706" w14:textId="77777777" w:rsidR="00734E6F" w:rsidRDefault="00734E6F">
      <w:r>
        <w:separator/>
      </w:r>
    </w:p>
  </w:footnote>
  <w:footnote w:type="continuationSeparator" w:id="0">
    <w:p w14:paraId="62D402E3" w14:textId="77777777" w:rsidR="00734E6F" w:rsidRDefault="00734E6F">
      <w:r>
        <w:continuationSeparator/>
      </w:r>
    </w:p>
  </w:footnote>
  <w:footnote w:type="continuationNotice" w:id="1">
    <w:p w14:paraId="0F3E94C4" w14:textId="77777777" w:rsidR="00734E6F" w:rsidRDefault="00734E6F">
      <w:pPr>
        <w:rPr>
          <w:sz w:val="22"/>
        </w:rPr>
      </w:pPr>
    </w:p>
    <w:p w14:paraId="6EDDD8C6" w14:textId="77777777" w:rsidR="00734E6F" w:rsidRDefault="00734E6F">
      <w:pPr>
        <w:jc w:val="right"/>
        <w:rPr>
          <w:sz w:val="22"/>
        </w:rPr>
      </w:pPr>
      <w:r>
        <w:rPr>
          <w:i/>
          <w:sz w:val="22"/>
        </w:rPr>
        <w:t>Footnote continued on next page</w:t>
      </w:r>
    </w:p>
  </w:footnote>
  <w:footnote w:id="2">
    <w:p w14:paraId="32A3E13B" w14:textId="5ED767FE" w:rsidR="00B013A2" w:rsidRPr="00447AF3" w:rsidRDefault="00B013A2" w:rsidP="00B013A2">
      <w:pPr>
        <w:pStyle w:val="FootnoteText"/>
        <w:spacing w:after="120"/>
        <w:rPr>
          <w:rFonts w:ascii="Book Antiqua" w:hAnsi="Book Antiqua"/>
          <w:sz w:val="22"/>
          <w:szCs w:val="22"/>
          <w:lang w:val="en"/>
        </w:rPr>
      </w:pPr>
      <w:r w:rsidRPr="005A1E0A">
        <w:rPr>
          <w:rStyle w:val="FootnoteReference"/>
          <w:rFonts w:ascii="Book Antiqua" w:hAnsi="Book Antiqua"/>
          <w:sz w:val="22"/>
          <w:szCs w:val="22"/>
        </w:rPr>
        <w:footnoteRef/>
      </w:r>
      <w:r w:rsidRPr="005A1E0A"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>Section 1701.5(a) provides:</w:t>
      </w:r>
      <w:r w:rsidRPr="00AA6558">
        <w:rPr>
          <w:rFonts w:ascii="Verdana" w:hAnsi="Verdana"/>
          <w:color w:val="333333"/>
          <w:sz w:val="22"/>
          <w:szCs w:val="22"/>
          <w:bdr w:val="none" w:sz="0" w:space="0" w:color="auto" w:frame="1"/>
          <w:lang w:val="en"/>
        </w:rPr>
        <w:t xml:space="preserve"> </w:t>
      </w:r>
      <w:r>
        <w:rPr>
          <w:rFonts w:ascii="Verdana" w:hAnsi="Verdana"/>
          <w:color w:val="333333"/>
          <w:sz w:val="22"/>
          <w:szCs w:val="22"/>
          <w:bdr w:val="none" w:sz="0" w:space="0" w:color="auto" w:frame="1"/>
          <w:lang w:val="en"/>
        </w:rPr>
        <w:t>“</w:t>
      </w:r>
      <w:r w:rsidRPr="00AA6558">
        <w:rPr>
          <w:rFonts w:ascii="Book Antiqua" w:hAnsi="Book Antiqua"/>
          <w:sz w:val="22"/>
          <w:szCs w:val="22"/>
          <w:lang w:val="en"/>
        </w:rPr>
        <w:t>(a) Except as specified in subdivision (b), in a ratesetting or quasi-legislative case, the commission shall resolve the issues raised in the scoping memo within 18 months of the date the proceeding is initiated, unless the commission makes a written determination that the deadline cannot be met, including findings as to the reason, and issues an order extending the deadline.</w:t>
      </w:r>
    </w:p>
  </w:footnote>
  <w:footnote w:id="3">
    <w:p w14:paraId="4F25F134" w14:textId="7B9680EB" w:rsidR="00217346" w:rsidRPr="00447AF3" w:rsidRDefault="00217346" w:rsidP="00447AF3">
      <w:pPr>
        <w:pStyle w:val="FootnoteText"/>
        <w:spacing w:after="120"/>
        <w:rPr>
          <w:rFonts w:ascii="Book Antiqua" w:hAnsi="Book Antiqua"/>
          <w:sz w:val="22"/>
          <w:szCs w:val="22"/>
        </w:rPr>
      </w:pPr>
      <w:r w:rsidRPr="00447AF3">
        <w:rPr>
          <w:rStyle w:val="FootnoteReference"/>
          <w:rFonts w:ascii="Book Antiqua" w:hAnsi="Book Antiqua"/>
          <w:sz w:val="22"/>
          <w:szCs w:val="22"/>
        </w:rPr>
        <w:footnoteRef/>
      </w:r>
      <w:r w:rsidRPr="00447AF3">
        <w:rPr>
          <w:rFonts w:ascii="Book Antiqua" w:hAnsi="Book Antiqua"/>
          <w:sz w:val="22"/>
          <w:szCs w:val="22"/>
        </w:rPr>
        <w:t xml:space="preserve">  PG&amp;E’s Application can be found at the proceeding’s </w:t>
      </w:r>
      <w:r w:rsidRPr="00447AF3">
        <w:rPr>
          <w:rFonts w:ascii="Book Antiqua" w:hAnsi="Book Antiqua"/>
          <w:i/>
          <w:iCs/>
          <w:sz w:val="22"/>
          <w:szCs w:val="22"/>
        </w:rPr>
        <w:t>Docket Card</w:t>
      </w:r>
      <w:r w:rsidRPr="00447AF3">
        <w:rPr>
          <w:rFonts w:ascii="Book Antiqua" w:hAnsi="Book Antiqua"/>
          <w:sz w:val="22"/>
          <w:szCs w:val="22"/>
        </w:rPr>
        <w:t xml:space="preserve"> on the Commission’s websi</w:t>
      </w:r>
      <w:r w:rsidR="009034B7" w:rsidRPr="00447AF3">
        <w:rPr>
          <w:rFonts w:ascii="Book Antiqua" w:hAnsi="Book Antiqua"/>
          <w:sz w:val="22"/>
          <w:szCs w:val="22"/>
        </w:rPr>
        <w:t>te.</w:t>
      </w:r>
    </w:p>
  </w:footnote>
  <w:footnote w:id="4">
    <w:p w14:paraId="7DA34967" w14:textId="77777777" w:rsidR="00217346" w:rsidRDefault="00217346" w:rsidP="00447AF3">
      <w:pPr>
        <w:pStyle w:val="FootnoteText"/>
        <w:spacing w:after="120"/>
      </w:pPr>
      <w:r w:rsidRPr="00447AF3">
        <w:rPr>
          <w:rStyle w:val="FootnoteReference"/>
          <w:rFonts w:ascii="Book Antiqua" w:hAnsi="Book Antiqua"/>
          <w:sz w:val="22"/>
          <w:szCs w:val="22"/>
        </w:rPr>
        <w:footnoteRef/>
      </w:r>
      <w:r w:rsidRPr="00447AF3">
        <w:rPr>
          <w:rFonts w:ascii="Book Antiqua" w:hAnsi="Book Antiqua"/>
          <w:sz w:val="22"/>
          <w:szCs w:val="22"/>
        </w:rPr>
        <w:t xml:space="preserve">  A.19-07-019 at 2 and 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F1F7" w14:textId="77777777" w:rsidR="00497FEB" w:rsidRDefault="00497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E751A" w14:textId="17446ED2" w:rsidR="00695A34" w:rsidRDefault="00695A34" w:rsidP="00D31BB5">
    <w:pPr>
      <w:pStyle w:val="Header"/>
      <w:tabs>
        <w:tab w:val="clear" w:pos="8640"/>
        <w:tab w:val="right" w:pos="9360"/>
      </w:tabs>
    </w:pPr>
    <w:r>
      <w:t>A.18-06-004</w:t>
    </w:r>
    <w:r w:rsidRPr="008C572C">
      <w:t xml:space="preserve">  ALJ/</w:t>
    </w:r>
    <w:r>
      <w:t>RMD</w:t>
    </w:r>
    <w:r w:rsidRPr="008C572C">
      <w:t>/</w:t>
    </w:r>
    <w:r w:rsidR="00EC312B">
      <w:t>gp2</w:t>
    </w:r>
    <w:r>
      <w:tab/>
    </w:r>
    <w:r w:rsidRPr="00566102">
      <w:rPr>
        <w:szCs w:val="26"/>
      </w:rPr>
      <w:tab/>
    </w:r>
  </w:p>
  <w:p w14:paraId="7CD0402C" w14:textId="77777777" w:rsidR="009A4B69" w:rsidRPr="008C572C" w:rsidRDefault="009A4B69" w:rsidP="00695A34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F0AF5" w14:textId="77777777" w:rsidR="00BB661E" w:rsidRPr="00BB661E" w:rsidRDefault="00BB661E" w:rsidP="00BB661E">
    <w:pPr>
      <w:widowControl w:val="0"/>
      <w:tabs>
        <w:tab w:val="center" w:pos="4320"/>
        <w:tab w:val="right" w:pos="8640"/>
      </w:tabs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381E"/>
    <w:multiLevelType w:val="singleLevel"/>
    <w:tmpl w:val="2FB6A734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" w15:restartNumberingAfterBreak="0">
    <w:nsid w:val="2DD46003"/>
    <w:multiLevelType w:val="singleLevel"/>
    <w:tmpl w:val="2FB6A734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" w15:restartNumberingAfterBreak="0">
    <w:nsid w:val="463765A4"/>
    <w:multiLevelType w:val="hybridMultilevel"/>
    <w:tmpl w:val="48009896"/>
    <w:lvl w:ilvl="0" w:tplc="408002C8">
      <w:start w:val="1"/>
      <w:numFmt w:val="decimal"/>
      <w:lvlText w:val="%1."/>
      <w:legacy w:legacy="1" w:legacySpace="144" w:legacyIndent="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636B5"/>
    <w:multiLevelType w:val="hybridMultilevel"/>
    <w:tmpl w:val="D030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E4892"/>
    <w:multiLevelType w:val="hybridMultilevel"/>
    <w:tmpl w:val="79A087D0"/>
    <w:lvl w:ilvl="0" w:tplc="BE4A95F8">
      <w:start w:val="1"/>
      <w:numFmt w:val="decimal"/>
      <w:lvlText w:val="%1."/>
      <w:legacy w:legacy="1" w:legacySpace="144" w:legacyIndent="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B0A06"/>
    <w:multiLevelType w:val="singleLevel"/>
    <w:tmpl w:val="21AE8D4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6" w15:restartNumberingAfterBreak="0">
    <w:nsid w:val="7B1C30FD"/>
    <w:multiLevelType w:val="singleLevel"/>
    <w:tmpl w:val="2FB6A734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7" w15:restartNumberingAfterBreak="0">
    <w:nsid w:val="7D905FC4"/>
    <w:multiLevelType w:val="hybridMultilevel"/>
    <w:tmpl w:val="79A087D0"/>
    <w:lvl w:ilvl="0" w:tplc="BE4A95F8">
      <w:start w:val="1"/>
      <w:numFmt w:val="decimal"/>
      <w:lvlText w:val="%1."/>
      <w:legacy w:legacy="1" w:legacySpace="144" w:legacyIndent="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D4"/>
    <w:rsid w:val="0000357F"/>
    <w:rsid w:val="000062D4"/>
    <w:rsid w:val="0000682A"/>
    <w:rsid w:val="00006E50"/>
    <w:rsid w:val="00025EC9"/>
    <w:rsid w:val="000328ED"/>
    <w:rsid w:val="00040950"/>
    <w:rsid w:val="00053D32"/>
    <w:rsid w:val="00057AD7"/>
    <w:rsid w:val="00061C1D"/>
    <w:rsid w:val="00061CE8"/>
    <w:rsid w:val="00062381"/>
    <w:rsid w:val="00074C89"/>
    <w:rsid w:val="000925BF"/>
    <w:rsid w:val="00094579"/>
    <w:rsid w:val="000A502E"/>
    <w:rsid w:val="000C3EB8"/>
    <w:rsid w:val="000D1311"/>
    <w:rsid w:val="000E234E"/>
    <w:rsid w:val="000F13F5"/>
    <w:rsid w:val="000F1F94"/>
    <w:rsid w:val="000F41FC"/>
    <w:rsid w:val="00101E24"/>
    <w:rsid w:val="00105F5C"/>
    <w:rsid w:val="00107949"/>
    <w:rsid w:val="00110C8E"/>
    <w:rsid w:val="00111E9A"/>
    <w:rsid w:val="001139A6"/>
    <w:rsid w:val="0011415B"/>
    <w:rsid w:val="00130693"/>
    <w:rsid w:val="00131E5E"/>
    <w:rsid w:val="001401B6"/>
    <w:rsid w:val="0014247A"/>
    <w:rsid w:val="00146698"/>
    <w:rsid w:val="0014760F"/>
    <w:rsid w:val="0016171E"/>
    <w:rsid w:val="0017399C"/>
    <w:rsid w:val="00173E34"/>
    <w:rsid w:val="00175B9B"/>
    <w:rsid w:val="00180E55"/>
    <w:rsid w:val="001851A1"/>
    <w:rsid w:val="001949BB"/>
    <w:rsid w:val="00195C02"/>
    <w:rsid w:val="001A11FD"/>
    <w:rsid w:val="001A18C7"/>
    <w:rsid w:val="001A59BD"/>
    <w:rsid w:val="001A7954"/>
    <w:rsid w:val="001C418A"/>
    <w:rsid w:val="001C4BD2"/>
    <w:rsid w:val="001C74E1"/>
    <w:rsid w:val="001D1BD0"/>
    <w:rsid w:val="001F36E5"/>
    <w:rsid w:val="00210F9F"/>
    <w:rsid w:val="00215C8F"/>
    <w:rsid w:val="00217346"/>
    <w:rsid w:val="00220160"/>
    <w:rsid w:val="00222429"/>
    <w:rsid w:val="00226316"/>
    <w:rsid w:val="0023415A"/>
    <w:rsid w:val="00234684"/>
    <w:rsid w:val="002356BA"/>
    <w:rsid w:val="0025145E"/>
    <w:rsid w:val="00253EE7"/>
    <w:rsid w:val="00262344"/>
    <w:rsid w:val="00271F0C"/>
    <w:rsid w:val="002870D2"/>
    <w:rsid w:val="002915AB"/>
    <w:rsid w:val="00295190"/>
    <w:rsid w:val="002A2AFF"/>
    <w:rsid w:val="002A4918"/>
    <w:rsid w:val="002B036B"/>
    <w:rsid w:val="002B23B9"/>
    <w:rsid w:val="002C0607"/>
    <w:rsid w:val="002C0C14"/>
    <w:rsid w:val="002C7D21"/>
    <w:rsid w:val="002D0E69"/>
    <w:rsid w:val="002D46C4"/>
    <w:rsid w:val="002F21CE"/>
    <w:rsid w:val="002F4EC8"/>
    <w:rsid w:val="002F625C"/>
    <w:rsid w:val="002F6BD1"/>
    <w:rsid w:val="00304495"/>
    <w:rsid w:val="0030460C"/>
    <w:rsid w:val="003067E6"/>
    <w:rsid w:val="00314534"/>
    <w:rsid w:val="0031653E"/>
    <w:rsid w:val="00323EF8"/>
    <w:rsid w:val="00330349"/>
    <w:rsid w:val="00340309"/>
    <w:rsid w:val="00340CAF"/>
    <w:rsid w:val="00341908"/>
    <w:rsid w:val="00342D73"/>
    <w:rsid w:val="003462B8"/>
    <w:rsid w:val="00354DF4"/>
    <w:rsid w:val="00362FEC"/>
    <w:rsid w:val="003855F1"/>
    <w:rsid w:val="0039260C"/>
    <w:rsid w:val="00394145"/>
    <w:rsid w:val="003941C4"/>
    <w:rsid w:val="003975E4"/>
    <w:rsid w:val="003A3FFB"/>
    <w:rsid w:val="003A58CC"/>
    <w:rsid w:val="003A6C30"/>
    <w:rsid w:val="003B4AC7"/>
    <w:rsid w:val="003C0DAC"/>
    <w:rsid w:val="003C227C"/>
    <w:rsid w:val="003D2753"/>
    <w:rsid w:val="003D293C"/>
    <w:rsid w:val="003D29D0"/>
    <w:rsid w:val="003D7A1A"/>
    <w:rsid w:val="003E1FAB"/>
    <w:rsid w:val="003E6DFD"/>
    <w:rsid w:val="003F3DDF"/>
    <w:rsid w:val="00401BB1"/>
    <w:rsid w:val="00406E09"/>
    <w:rsid w:val="00410098"/>
    <w:rsid w:val="0041333E"/>
    <w:rsid w:val="00421D42"/>
    <w:rsid w:val="00423F0D"/>
    <w:rsid w:val="00424493"/>
    <w:rsid w:val="00434F77"/>
    <w:rsid w:val="00443117"/>
    <w:rsid w:val="00447572"/>
    <w:rsid w:val="0044796F"/>
    <w:rsid w:val="00447AF3"/>
    <w:rsid w:val="00450831"/>
    <w:rsid w:val="00452F5B"/>
    <w:rsid w:val="00453201"/>
    <w:rsid w:val="00465654"/>
    <w:rsid w:val="004658E4"/>
    <w:rsid w:val="004923AE"/>
    <w:rsid w:val="00494C09"/>
    <w:rsid w:val="00496AA8"/>
    <w:rsid w:val="00497FEB"/>
    <w:rsid w:val="004A48F7"/>
    <w:rsid w:val="004A75C0"/>
    <w:rsid w:val="004A79DE"/>
    <w:rsid w:val="004B10B1"/>
    <w:rsid w:val="004B5B63"/>
    <w:rsid w:val="004D767B"/>
    <w:rsid w:val="004E2A64"/>
    <w:rsid w:val="004E5C8A"/>
    <w:rsid w:val="004E6B2C"/>
    <w:rsid w:val="004E6FCB"/>
    <w:rsid w:val="005004A5"/>
    <w:rsid w:val="0050422A"/>
    <w:rsid w:val="00505391"/>
    <w:rsid w:val="00512357"/>
    <w:rsid w:val="00513E80"/>
    <w:rsid w:val="005140DD"/>
    <w:rsid w:val="0051774C"/>
    <w:rsid w:val="00517BEF"/>
    <w:rsid w:val="00517EAF"/>
    <w:rsid w:val="0052233E"/>
    <w:rsid w:val="00522D3D"/>
    <w:rsid w:val="00530498"/>
    <w:rsid w:val="005330B4"/>
    <w:rsid w:val="00540B67"/>
    <w:rsid w:val="0054130A"/>
    <w:rsid w:val="00550CD4"/>
    <w:rsid w:val="00552330"/>
    <w:rsid w:val="00553B36"/>
    <w:rsid w:val="00554B56"/>
    <w:rsid w:val="00581628"/>
    <w:rsid w:val="00586B57"/>
    <w:rsid w:val="0059642F"/>
    <w:rsid w:val="005A19D9"/>
    <w:rsid w:val="005A5294"/>
    <w:rsid w:val="005A6278"/>
    <w:rsid w:val="005B10F9"/>
    <w:rsid w:val="005C2D36"/>
    <w:rsid w:val="005C52D2"/>
    <w:rsid w:val="005D6082"/>
    <w:rsid w:val="005E1B52"/>
    <w:rsid w:val="005E2FD8"/>
    <w:rsid w:val="005F25EC"/>
    <w:rsid w:val="005F4AC7"/>
    <w:rsid w:val="005F589A"/>
    <w:rsid w:val="005F6E68"/>
    <w:rsid w:val="00600EF8"/>
    <w:rsid w:val="00603492"/>
    <w:rsid w:val="00604A0D"/>
    <w:rsid w:val="00607F12"/>
    <w:rsid w:val="00610D5E"/>
    <w:rsid w:val="00614CA6"/>
    <w:rsid w:val="0062368C"/>
    <w:rsid w:val="00625BDB"/>
    <w:rsid w:val="006266E9"/>
    <w:rsid w:val="00630394"/>
    <w:rsid w:val="00642AB4"/>
    <w:rsid w:val="00654214"/>
    <w:rsid w:val="00655970"/>
    <w:rsid w:val="00660256"/>
    <w:rsid w:val="00666D8F"/>
    <w:rsid w:val="0067542A"/>
    <w:rsid w:val="0067623F"/>
    <w:rsid w:val="00686CBA"/>
    <w:rsid w:val="006951D7"/>
    <w:rsid w:val="00695A34"/>
    <w:rsid w:val="006A2AE1"/>
    <w:rsid w:val="006A2C2A"/>
    <w:rsid w:val="006A352F"/>
    <w:rsid w:val="006A7E18"/>
    <w:rsid w:val="006B2998"/>
    <w:rsid w:val="006B5192"/>
    <w:rsid w:val="006B5C09"/>
    <w:rsid w:val="006B6D82"/>
    <w:rsid w:val="006C11E7"/>
    <w:rsid w:val="006C259F"/>
    <w:rsid w:val="006C502C"/>
    <w:rsid w:val="006C50E8"/>
    <w:rsid w:val="006C7A25"/>
    <w:rsid w:val="006D06DB"/>
    <w:rsid w:val="006D4CEE"/>
    <w:rsid w:val="006D71B9"/>
    <w:rsid w:val="006D74B1"/>
    <w:rsid w:val="006E3718"/>
    <w:rsid w:val="006E754F"/>
    <w:rsid w:val="006F19A3"/>
    <w:rsid w:val="006F5823"/>
    <w:rsid w:val="006F5CF3"/>
    <w:rsid w:val="00703294"/>
    <w:rsid w:val="00703FDC"/>
    <w:rsid w:val="007178BA"/>
    <w:rsid w:val="007228BF"/>
    <w:rsid w:val="00727FF5"/>
    <w:rsid w:val="00734E6F"/>
    <w:rsid w:val="00740AE3"/>
    <w:rsid w:val="00763165"/>
    <w:rsid w:val="00774D06"/>
    <w:rsid w:val="00780122"/>
    <w:rsid w:val="00783368"/>
    <w:rsid w:val="007873B3"/>
    <w:rsid w:val="007938C2"/>
    <w:rsid w:val="00794EF6"/>
    <w:rsid w:val="007A4A8A"/>
    <w:rsid w:val="007A6B7B"/>
    <w:rsid w:val="007B00FC"/>
    <w:rsid w:val="007B05D0"/>
    <w:rsid w:val="007B3015"/>
    <w:rsid w:val="007B5FEE"/>
    <w:rsid w:val="007C0904"/>
    <w:rsid w:val="007C256A"/>
    <w:rsid w:val="007C3C63"/>
    <w:rsid w:val="007D0F17"/>
    <w:rsid w:val="007E2869"/>
    <w:rsid w:val="007E448B"/>
    <w:rsid w:val="007E6897"/>
    <w:rsid w:val="007F3737"/>
    <w:rsid w:val="007F63A9"/>
    <w:rsid w:val="00801D2B"/>
    <w:rsid w:val="00803A43"/>
    <w:rsid w:val="00803F45"/>
    <w:rsid w:val="00804CB2"/>
    <w:rsid w:val="0080650C"/>
    <w:rsid w:val="00826873"/>
    <w:rsid w:val="00831599"/>
    <w:rsid w:val="00835FFA"/>
    <w:rsid w:val="0083777F"/>
    <w:rsid w:val="00837CC2"/>
    <w:rsid w:val="00841B13"/>
    <w:rsid w:val="00866112"/>
    <w:rsid w:val="0087177D"/>
    <w:rsid w:val="0089195D"/>
    <w:rsid w:val="008950C0"/>
    <w:rsid w:val="008A19B5"/>
    <w:rsid w:val="008A2FA8"/>
    <w:rsid w:val="008A7141"/>
    <w:rsid w:val="008B0907"/>
    <w:rsid w:val="008B3DD1"/>
    <w:rsid w:val="008B44A1"/>
    <w:rsid w:val="008B536E"/>
    <w:rsid w:val="008C4825"/>
    <w:rsid w:val="008C572C"/>
    <w:rsid w:val="008C6949"/>
    <w:rsid w:val="008D04ED"/>
    <w:rsid w:val="008D117F"/>
    <w:rsid w:val="008D32EF"/>
    <w:rsid w:val="008D351D"/>
    <w:rsid w:val="008E071B"/>
    <w:rsid w:val="008E1AAD"/>
    <w:rsid w:val="008F2E4B"/>
    <w:rsid w:val="008F6067"/>
    <w:rsid w:val="00901AE0"/>
    <w:rsid w:val="0090244F"/>
    <w:rsid w:val="009034B7"/>
    <w:rsid w:val="00906E77"/>
    <w:rsid w:val="009102DA"/>
    <w:rsid w:val="00922F40"/>
    <w:rsid w:val="0092571A"/>
    <w:rsid w:val="00927A42"/>
    <w:rsid w:val="00932552"/>
    <w:rsid w:val="00932ECF"/>
    <w:rsid w:val="009362C1"/>
    <w:rsid w:val="009429BA"/>
    <w:rsid w:val="0094317B"/>
    <w:rsid w:val="00950C51"/>
    <w:rsid w:val="00951912"/>
    <w:rsid w:val="009561B0"/>
    <w:rsid w:val="00960C1A"/>
    <w:rsid w:val="00964994"/>
    <w:rsid w:val="00971649"/>
    <w:rsid w:val="00972D20"/>
    <w:rsid w:val="00975976"/>
    <w:rsid w:val="00976FDD"/>
    <w:rsid w:val="009772DE"/>
    <w:rsid w:val="00984A1E"/>
    <w:rsid w:val="00984A45"/>
    <w:rsid w:val="00986A6C"/>
    <w:rsid w:val="009906D4"/>
    <w:rsid w:val="00994A7E"/>
    <w:rsid w:val="00995677"/>
    <w:rsid w:val="00996C01"/>
    <w:rsid w:val="009A1097"/>
    <w:rsid w:val="009A4B69"/>
    <w:rsid w:val="009B3BEE"/>
    <w:rsid w:val="009B666F"/>
    <w:rsid w:val="009C2786"/>
    <w:rsid w:val="009D6F4E"/>
    <w:rsid w:val="009D7940"/>
    <w:rsid w:val="009E2DB4"/>
    <w:rsid w:val="009E3647"/>
    <w:rsid w:val="009E5EC3"/>
    <w:rsid w:val="009E7960"/>
    <w:rsid w:val="009F342C"/>
    <w:rsid w:val="009F58A6"/>
    <w:rsid w:val="009F75F2"/>
    <w:rsid w:val="00A00E6F"/>
    <w:rsid w:val="00A032BB"/>
    <w:rsid w:val="00A13543"/>
    <w:rsid w:val="00A151EB"/>
    <w:rsid w:val="00A15F01"/>
    <w:rsid w:val="00A202E2"/>
    <w:rsid w:val="00A234EA"/>
    <w:rsid w:val="00A34823"/>
    <w:rsid w:val="00A43AAA"/>
    <w:rsid w:val="00A44D0F"/>
    <w:rsid w:val="00A5600C"/>
    <w:rsid w:val="00A606B2"/>
    <w:rsid w:val="00A61055"/>
    <w:rsid w:val="00A7176A"/>
    <w:rsid w:val="00A77338"/>
    <w:rsid w:val="00A773CB"/>
    <w:rsid w:val="00A8589D"/>
    <w:rsid w:val="00AA6CF8"/>
    <w:rsid w:val="00AA6D92"/>
    <w:rsid w:val="00AB19EA"/>
    <w:rsid w:val="00AB4D07"/>
    <w:rsid w:val="00AC22A7"/>
    <w:rsid w:val="00AC2B59"/>
    <w:rsid w:val="00AC55B4"/>
    <w:rsid w:val="00AD387C"/>
    <w:rsid w:val="00AD5BC3"/>
    <w:rsid w:val="00AD68D9"/>
    <w:rsid w:val="00AE1676"/>
    <w:rsid w:val="00AE4F8A"/>
    <w:rsid w:val="00AE7D6C"/>
    <w:rsid w:val="00B013A2"/>
    <w:rsid w:val="00B074AC"/>
    <w:rsid w:val="00B10965"/>
    <w:rsid w:val="00B1451B"/>
    <w:rsid w:val="00B16C20"/>
    <w:rsid w:val="00B20BD9"/>
    <w:rsid w:val="00B22B31"/>
    <w:rsid w:val="00B24AA2"/>
    <w:rsid w:val="00B26F0F"/>
    <w:rsid w:val="00B32B8D"/>
    <w:rsid w:val="00B46D2B"/>
    <w:rsid w:val="00B529E4"/>
    <w:rsid w:val="00B60541"/>
    <w:rsid w:val="00B61272"/>
    <w:rsid w:val="00B618AF"/>
    <w:rsid w:val="00B74C6A"/>
    <w:rsid w:val="00B81FCE"/>
    <w:rsid w:val="00B84D59"/>
    <w:rsid w:val="00B8522E"/>
    <w:rsid w:val="00B91922"/>
    <w:rsid w:val="00BA0468"/>
    <w:rsid w:val="00BA07F3"/>
    <w:rsid w:val="00BB661E"/>
    <w:rsid w:val="00BB6F20"/>
    <w:rsid w:val="00BD198E"/>
    <w:rsid w:val="00BD3A7D"/>
    <w:rsid w:val="00BD4C49"/>
    <w:rsid w:val="00BE024E"/>
    <w:rsid w:val="00BF29BD"/>
    <w:rsid w:val="00BF49D2"/>
    <w:rsid w:val="00BF5098"/>
    <w:rsid w:val="00C00C91"/>
    <w:rsid w:val="00C10B88"/>
    <w:rsid w:val="00C1545C"/>
    <w:rsid w:val="00C15B7D"/>
    <w:rsid w:val="00C24AB7"/>
    <w:rsid w:val="00C36CA6"/>
    <w:rsid w:val="00C403EB"/>
    <w:rsid w:val="00C465F8"/>
    <w:rsid w:val="00C53620"/>
    <w:rsid w:val="00C53765"/>
    <w:rsid w:val="00C61421"/>
    <w:rsid w:val="00C64F42"/>
    <w:rsid w:val="00C662DE"/>
    <w:rsid w:val="00C6728B"/>
    <w:rsid w:val="00C76C80"/>
    <w:rsid w:val="00C84781"/>
    <w:rsid w:val="00C8610C"/>
    <w:rsid w:val="00C91375"/>
    <w:rsid w:val="00C92C19"/>
    <w:rsid w:val="00C92DF5"/>
    <w:rsid w:val="00C93A54"/>
    <w:rsid w:val="00C96CA3"/>
    <w:rsid w:val="00CA0A6C"/>
    <w:rsid w:val="00CA1880"/>
    <w:rsid w:val="00CA415F"/>
    <w:rsid w:val="00CA590F"/>
    <w:rsid w:val="00CB26A8"/>
    <w:rsid w:val="00CD223B"/>
    <w:rsid w:val="00CD7C25"/>
    <w:rsid w:val="00CE0BC8"/>
    <w:rsid w:val="00CE2CE7"/>
    <w:rsid w:val="00CF1840"/>
    <w:rsid w:val="00CF19E8"/>
    <w:rsid w:val="00D0297D"/>
    <w:rsid w:val="00D1025D"/>
    <w:rsid w:val="00D11910"/>
    <w:rsid w:val="00D11EB2"/>
    <w:rsid w:val="00D16326"/>
    <w:rsid w:val="00D21524"/>
    <w:rsid w:val="00D23A8E"/>
    <w:rsid w:val="00D2565F"/>
    <w:rsid w:val="00D25ED1"/>
    <w:rsid w:val="00D26428"/>
    <w:rsid w:val="00D31BB5"/>
    <w:rsid w:val="00D4121E"/>
    <w:rsid w:val="00D42567"/>
    <w:rsid w:val="00D45AEF"/>
    <w:rsid w:val="00D46888"/>
    <w:rsid w:val="00D67DDB"/>
    <w:rsid w:val="00D707CD"/>
    <w:rsid w:val="00D76292"/>
    <w:rsid w:val="00D76944"/>
    <w:rsid w:val="00D82923"/>
    <w:rsid w:val="00D86F4A"/>
    <w:rsid w:val="00D93069"/>
    <w:rsid w:val="00DB5F3F"/>
    <w:rsid w:val="00DB7725"/>
    <w:rsid w:val="00DC1094"/>
    <w:rsid w:val="00DC67C5"/>
    <w:rsid w:val="00DC7DD7"/>
    <w:rsid w:val="00DD0A38"/>
    <w:rsid w:val="00DD1176"/>
    <w:rsid w:val="00DD6095"/>
    <w:rsid w:val="00DE2A82"/>
    <w:rsid w:val="00DE78BF"/>
    <w:rsid w:val="00DF0554"/>
    <w:rsid w:val="00E12A50"/>
    <w:rsid w:val="00E2131A"/>
    <w:rsid w:val="00E23751"/>
    <w:rsid w:val="00E2406A"/>
    <w:rsid w:val="00E358C2"/>
    <w:rsid w:val="00E51FDB"/>
    <w:rsid w:val="00E56F14"/>
    <w:rsid w:val="00E6252E"/>
    <w:rsid w:val="00E7433A"/>
    <w:rsid w:val="00E75E91"/>
    <w:rsid w:val="00E808DE"/>
    <w:rsid w:val="00E81113"/>
    <w:rsid w:val="00E8152E"/>
    <w:rsid w:val="00E92284"/>
    <w:rsid w:val="00E93F4E"/>
    <w:rsid w:val="00E952D7"/>
    <w:rsid w:val="00E96632"/>
    <w:rsid w:val="00EA27F8"/>
    <w:rsid w:val="00EA2808"/>
    <w:rsid w:val="00EA39F7"/>
    <w:rsid w:val="00EA5FCB"/>
    <w:rsid w:val="00EB269F"/>
    <w:rsid w:val="00EB3F77"/>
    <w:rsid w:val="00EB4AE6"/>
    <w:rsid w:val="00EB54D2"/>
    <w:rsid w:val="00EC312B"/>
    <w:rsid w:val="00EC6F5D"/>
    <w:rsid w:val="00EC757F"/>
    <w:rsid w:val="00ED039D"/>
    <w:rsid w:val="00ED1816"/>
    <w:rsid w:val="00EE6CFE"/>
    <w:rsid w:val="00EF12D5"/>
    <w:rsid w:val="00EF40E7"/>
    <w:rsid w:val="00F01EFE"/>
    <w:rsid w:val="00F04812"/>
    <w:rsid w:val="00F05623"/>
    <w:rsid w:val="00F1271A"/>
    <w:rsid w:val="00F16256"/>
    <w:rsid w:val="00F30959"/>
    <w:rsid w:val="00F32788"/>
    <w:rsid w:val="00F41B9E"/>
    <w:rsid w:val="00F4498F"/>
    <w:rsid w:val="00F55269"/>
    <w:rsid w:val="00F60909"/>
    <w:rsid w:val="00F62153"/>
    <w:rsid w:val="00F63717"/>
    <w:rsid w:val="00F659DB"/>
    <w:rsid w:val="00F65CDE"/>
    <w:rsid w:val="00F66FB8"/>
    <w:rsid w:val="00F74A51"/>
    <w:rsid w:val="00F83166"/>
    <w:rsid w:val="00F87F3D"/>
    <w:rsid w:val="00F90B38"/>
    <w:rsid w:val="00F94675"/>
    <w:rsid w:val="00F977D9"/>
    <w:rsid w:val="00FA471C"/>
    <w:rsid w:val="00FA4ED5"/>
    <w:rsid w:val="00FA72C3"/>
    <w:rsid w:val="00FB49B0"/>
    <w:rsid w:val="00FC311F"/>
    <w:rsid w:val="00FC4362"/>
    <w:rsid w:val="00FC4E74"/>
    <w:rsid w:val="00FC79C4"/>
    <w:rsid w:val="00FD25E2"/>
    <w:rsid w:val="00FD3364"/>
    <w:rsid w:val="00FD4C17"/>
    <w:rsid w:val="00FD568F"/>
    <w:rsid w:val="00FD5E3C"/>
    <w:rsid w:val="00FE0125"/>
    <w:rsid w:val="00FE0B48"/>
    <w:rsid w:val="00FE13A4"/>
    <w:rsid w:val="00FE31DA"/>
    <w:rsid w:val="00FF224C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772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pPr>
      <w:keepNext/>
      <w:spacing w:before="120" w:after="120"/>
      <w:outlineLvl w:val="0"/>
    </w:pPr>
    <w:rPr>
      <w:rFonts w:ascii="Helvetica" w:hAnsi="Helvetica"/>
      <w:b/>
      <w:kern w:val="28"/>
    </w:rPr>
  </w:style>
  <w:style w:type="paragraph" w:styleId="Heading2">
    <w:name w:val="heading 2"/>
    <w:basedOn w:val="Normal"/>
    <w:next w:val="sub1"/>
    <w:qFormat/>
    <w:pPr>
      <w:keepNext/>
      <w:spacing w:before="120" w:after="120"/>
      <w:ind w:firstLine="144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spacing w:before="120" w:after="120"/>
      <w:ind w:firstLine="3600"/>
      <w:outlineLvl w:val="4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240"/>
    </w:pPr>
    <w:rPr>
      <w:sz w:val="24"/>
    </w:rPr>
  </w:style>
  <w:style w:type="character" w:styleId="FootnoteReference">
    <w:name w:val="footnote reference"/>
    <w:aliases w:val="o,fr,Style 3,o1,o2,o3,o4,o5,o6,o11,o21,o7,o + Times New Roman,Style 12,(NECG) Footnote Reference,Appel note de bas de p,Style 124"/>
    <w:basedOn w:val="DefaultParagraphFont"/>
    <w:semiHidden/>
    <w:rPr>
      <w:sz w:val="24"/>
      <w:vertAlign w:val="superscript"/>
    </w:rPr>
  </w:style>
  <w:style w:type="paragraph" w:customStyle="1" w:styleId="standard">
    <w:name w:val="standard"/>
    <w:basedOn w:val="Normal"/>
    <w:link w:val="standardChar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pPr>
      <w:spacing w:before="120" w:after="240" w:line="240" w:lineRule="auto"/>
      <w:ind w:left="720" w:right="720" w:firstLine="0"/>
    </w:pPr>
  </w:style>
  <w:style w:type="paragraph" w:customStyle="1" w:styleId="letter">
    <w:name w:val="letter"/>
    <w:basedOn w:val="num1"/>
    <w:pPr>
      <w:spacing w:after="120" w:line="240" w:lineRule="auto"/>
      <w:ind w:left="994" w:hanging="274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link w:val="mainChar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pPr>
      <w:keepNext/>
    </w:pPr>
    <w:rPr>
      <w:spacing w:val="120"/>
    </w:rPr>
  </w:style>
  <w:style w:type="paragraph" w:customStyle="1" w:styleId="num1">
    <w:name w:val="num1"/>
    <w:basedOn w:val="Normal"/>
    <w:pPr>
      <w:tabs>
        <w:tab w:val="left" w:pos="-720"/>
      </w:tabs>
      <w:suppressAutoHyphens/>
      <w:spacing w:line="360" w:lineRule="auto"/>
      <w:ind w:firstLine="360"/>
    </w:p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pPr>
      <w:spacing w:line="360" w:lineRule="auto"/>
      <w:ind w:firstLine="1440"/>
    </w:pPr>
  </w:style>
  <w:style w:type="paragraph" w:customStyle="1" w:styleId="titlebar">
    <w:name w:val="title bar"/>
    <w:basedOn w:val="main"/>
    <w:pPr>
      <w:keepNext/>
      <w:suppressAutoHyphens/>
    </w:pPr>
  </w:style>
  <w:style w:type="character" w:styleId="PageNumber">
    <w:name w:val="page number"/>
    <w:basedOn w:val="DefaultParagraphFont"/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ind w:firstLine="3600"/>
    </w:pPr>
  </w:style>
  <w:style w:type="paragraph" w:customStyle="1" w:styleId="dummy">
    <w:name w:val="dummy"/>
    <w:basedOn w:val="Heading1"/>
    <w:pPr>
      <w:outlineLvl w:val="9"/>
    </w:pPr>
  </w:style>
  <w:style w:type="character" w:customStyle="1" w:styleId="standardChar">
    <w:name w:val="standard Char"/>
    <w:basedOn w:val="DefaultParagraphFont"/>
    <w:link w:val="standard"/>
    <w:rPr>
      <w:rFonts w:ascii="Palatino" w:hAnsi="Palatino"/>
      <w:sz w:val="26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mainChar">
    <w:name w:val="main Char"/>
    <w:basedOn w:val="DefaultParagraphFont"/>
    <w:link w:val="main"/>
    <w:rPr>
      <w:rFonts w:ascii="Helvetica" w:hAnsi="Helvetica"/>
      <w:b/>
      <w:sz w:val="26"/>
      <w:lang w:val="en-US" w:eastAsia="en-US" w:bidi="ar-SA"/>
    </w:rPr>
  </w:style>
  <w:style w:type="paragraph" w:customStyle="1" w:styleId="PageXofY">
    <w:name w:val="Page X of Y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79DE"/>
    <w:rPr>
      <w:rFonts w:ascii="Palatino" w:hAnsi="Palatino"/>
      <w:sz w:val="26"/>
    </w:rPr>
  </w:style>
  <w:style w:type="paragraph" w:styleId="BalloonText">
    <w:name w:val="Balloon Text"/>
    <w:basedOn w:val="Normal"/>
    <w:link w:val="BalloonTextChar"/>
    <w:rsid w:val="004A7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9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6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rsid w:val="00DB7725"/>
    <w:rPr>
      <w:rFonts w:ascii="Palatino" w:hAnsi="Palatino"/>
      <w:sz w:val="26"/>
    </w:rPr>
  </w:style>
  <w:style w:type="paragraph" w:styleId="ListParagraph">
    <w:name w:val="List Paragraph"/>
    <w:basedOn w:val="Normal"/>
    <w:uiPriority w:val="34"/>
    <w:qFormat/>
    <w:rsid w:val="00942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0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0FC"/>
    <w:rPr>
      <w:color w:val="605E5C"/>
      <w:shd w:val="clear" w:color="auto" w:fill="E1DFDD"/>
    </w:rPr>
  </w:style>
  <w:style w:type="table" w:styleId="TableGrid">
    <w:name w:val="Table Grid"/>
    <w:basedOn w:val="TableNormal"/>
    <w:rsid w:val="0011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5ADE-AC06-4213-B597-7D19F7260301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6</ap:Pages>
  <ap:Words>1245</ap:Words>
  <ap:Characters>6896</ap:Characters>
  <ap:Application>Microsoft Office Word</ap:Application>
  <ap:DocSecurity>0</ap:DocSecurity>
  <ap:Lines>57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Manager/>
  <ap:Company/>
  <ap:LinksUpToDate>false</ap:LinksUpToDate>
  <ap:CharactersWithSpaces>8125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2012-05-29T17:03:00Z</cp:lastPrinted>
  <dcterms:created xsi:type="dcterms:W3CDTF">2021-01-22T10:18:36Z</dcterms:created>
  <dcterms:modified xsi:type="dcterms:W3CDTF">2021-01-22T10:18:36Z</dcterms:modified>
</cp:coreProperties>
</file>