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0421" w:rsidP="007E0FEE" w:rsidRDefault="00CD01F8" w14:paraId="3121F5FD" w14:textId="2DC5C295">
      <w:pPr>
        <w:tabs>
          <w:tab w:val="center" w:pos="4680"/>
          <w:tab w:val="right" w:pos="9360"/>
        </w:tabs>
        <w:spacing w:line="240" w:lineRule="auto"/>
        <w:ind w:firstLine="0"/>
      </w:pPr>
      <w:r>
        <w:t>ALJ</w:t>
      </w:r>
      <w:r w:rsidR="00DA7B5D">
        <w:t>/</w:t>
      </w:r>
      <w:r>
        <w:t>HSY</w:t>
      </w:r>
      <w:r w:rsidR="00DA7B5D">
        <w:t>/</w:t>
      </w:r>
      <w:r w:rsidR="00157511">
        <w:t>avs</w:t>
      </w:r>
      <w:r w:rsidR="007E0FEE">
        <w:tab/>
      </w:r>
      <w:r w:rsidR="00DA7B5D">
        <w:rPr>
          <w:rFonts w:ascii="Arial" w:hAnsi="Arial" w:cs="Arial"/>
          <w:b/>
          <w:sz w:val="32"/>
          <w:szCs w:val="32"/>
        </w:rPr>
        <w:t>PROPOSED DECISION</w:t>
      </w:r>
      <w:r w:rsidR="00DA7B5D">
        <w:tab/>
      </w:r>
      <w:r w:rsidRPr="00EE4315" w:rsidR="00DA7B5D">
        <w:rPr>
          <w:b/>
        </w:rPr>
        <w:t>Agenda ID #</w:t>
      </w:r>
      <w:r w:rsidR="009B6DB3">
        <w:rPr>
          <w:b/>
        </w:rPr>
        <w:t>19184</w:t>
      </w:r>
    </w:p>
    <w:p w:rsidRPr="00EE4315" w:rsidR="00DA7B5D" w:rsidP="00632207" w:rsidRDefault="00CD01F8" w14:paraId="7EE6C7F8" w14:textId="1F157D4E">
      <w:pPr>
        <w:spacing w:line="240" w:lineRule="auto"/>
        <w:jc w:val="right"/>
        <w:rPr>
          <w:b/>
        </w:rPr>
      </w:pPr>
      <w:r>
        <w:rPr>
          <w:b/>
        </w:rPr>
        <w:t>Ratesetting</w:t>
      </w:r>
    </w:p>
    <w:p w:rsidRPr="008D25CE" w:rsidR="00DA7B5D" w:rsidP="008D25CE" w:rsidRDefault="00DA7B5D" w14:paraId="769265DC" w14:textId="77777777">
      <w:pPr>
        <w:ind w:firstLine="0"/>
        <w:jc w:val="right"/>
        <w:rPr>
          <w:b/>
          <w:bCs/>
        </w:rPr>
      </w:pPr>
    </w:p>
    <w:p w:rsidRPr="00CD01F8" w:rsidR="00DA7B5D" w:rsidP="0098655A" w:rsidRDefault="00DA7B5D" w14:paraId="695A90FF" w14:textId="6AF56748">
      <w:pPr>
        <w:ind w:left="1080" w:hanging="1080"/>
        <w:rPr>
          <w:b/>
          <w:bCs/>
        </w:rPr>
      </w:pPr>
      <w:r>
        <w:t xml:space="preserve">Decision </w:t>
      </w:r>
      <w:r w:rsidR="00157511">
        <w:rPr>
          <w:b/>
          <w:bCs/>
          <w:u w:val="single"/>
        </w:rPr>
        <w:t>____________________</w:t>
      </w:r>
      <w:r w:rsidR="00CD01F8">
        <w:rPr>
          <w:b/>
          <w:bCs/>
        </w:rPr>
        <w:t xml:space="preserve"> </w:t>
      </w:r>
    </w:p>
    <w:p w:rsidR="00DA7B5D" w:rsidP="00BB0243" w:rsidRDefault="00DA7B5D" w14:paraId="52796C04" w14:textId="77777777">
      <w:pPr>
        <w:spacing w:line="240" w:lineRule="auto"/>
        <w:jc w:val="center"/>
        <w:rPr>
          <w:u w:val="single"/>
        </w:rPr>
      </w:pPr>
    </w:p>
    <w:p w:rsidR="00DA7B5D" w:rsidP="00BB0243" w:rsidRDefault="00DA7B5D" w14:paraId="1731A614"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66BD11D3"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860"/>
        <w:gridCol w:w="4500"/>
      </w:tblGrid>
      <w:tr w:rsidR="00DA7B5D" w:rsidTr="00CD01F8" w14:paraId="75041D9D" w14:textId="77777777">
        <w:trPr>
          <w:jc w:val="center"/>
        </w:trPr>
        <w:tc>
          <w:tcPr>
            <w:tcW w:w="4860" w:type="dxa"/>
            <w:tcBorders>
              <w:top w:val="nil"/>
              <w:left w:val="nil"/>
              <w:bottom w:val="single" w:color="auto" w:sz="4" w:space="0"/>
              <w:right w:val="single" w:color="auto" w:sz="4" w:space="0"/>
            </w:tcBorders>
          </w:tcPr>
          <w:p w:rsidRPr="00DA7B5D" w:rsidR="00DA7B5D" w:rsidP="00C10B5F" w:rsidRDefault="00A632F2" w14:paraId="7E61AD35" w14:textId="149F8D56">
            <w:pPr>
              <w:spacing w:line="240" w:lineRule="auto"/>
              <w:ind w:firstLine="0"/>
              <w:rPr>
                <w:rFonts w:cs="Arial"/>
                <w:szCs w:val="26"/>
              </w:rPr>
            </w:pPr>
            <w:r>
              <w:rPr>
                <w:rFonts w:cs="Arial"/>
                <w:szCs w:val="26"/>
              </w:rPr>
              <w:t xml:space="preserve">Order Instituting Investigation into implementation of Assembly Bill 970 regarding the identification of electric </w:t>
            </w:r>
            <w:r w:rsidR="009F150E">
              <w:rPr>
                <w:rFonts w:cs="Arial"/>
                <w:szCs w:val="26"/>
              </w:rPr>
              <w:t>transmission and distribution constraints, actions to resolve those constraints, and related matters affecting the reliability of electric supply.</w:t>
            </w:r>
            <w:r w:rsidRPr="00DA7B5D" w:rsidR="00DA7B5D">
              <w:rPr>
                <w:rFonts w:cs="Arial"/>
                <w:szCs w:val="26"/>
              </w:rPr>
              <w:br/>
            </w:r>
          </w:p>
        </w:tc>
        <w:tc>
          <w:tcPr>
            <w:tcW w:w="4500" w:type="dxa"/>
            <w:tcBorders>
              <w:top w:val="nil"/>
              <w:left w:val="single" w:color="auto" w:sz="4" w:space="0"/>
              <w:bottom w:val="nil"/>
              <w:right w:val="nil"/>
            </w:tcBorders>
            <w:vAlign w:val="center"/>
          </w:tcPr>
          <w:p w:rsidRPr="00DA7B5D" w:rsidR="00DA7B5D" w:rsidP="00412C83" w:rsidRDefault="009F150E" w14:paraId="043EB721" w14:textId="39F67A78">
            <w:pPr>
              <w:spacing w:line="240" w:lineRule="auto"/>
              <w:ind w:firstLine="0"/>
              <w:jc w:val="center"/>
              <w:rPr>
                <w:rFonts w:cs="Arial"/>
                <w:szCs w:val="26"/>
              </w:rPr>
            </w:pPr>
            <w:r>
              <w:rPr>
                <w:rFonts w:cs="Arial"/>
                <w:szCs w:val="26"/>
              </w:rPr>
              <w:t>Investigation 00-11-001</w:t>
            </w:r>
          </w:p>
        </w:tc>
      </w:tr>
    </w:tbl>
    <w:p w:rsidR="00DA7B5D" w:rsidP="008F0116" w:rsidRDefault="00DA7B5D" w14:paraId="39F10BD1" w14:textId="77777777">
      <w:pPr>
        <w:spacing w:line="240" w:lineRule="auto"/>
        <w:ind w:firstLine="0"/>
        <w:rPr>
          <w:rFonts w:ascii="Arial" w:hAnsi="Arial" w:cs="Arial"/>
          <w:sz w:val="24"/>
          <w:szCs w:val="24"/>
        </w:rPr>
      </w:pPr>
    </w:p>
    <w:p w:rsidR="00DA7B5D" w:rsidP="008F0116" w:rsidRDefault="00DA7B5D" w14:paraId="6F5F2D76" w14:textId="77777777">
      <w:pPr>
        <w:spacing w:line="240" w:lineRule="auto"/>
        <w:ind w:firstLine="0"/>
        <w:rPr>
          <w:rFonts w:ascii="Arial" w:hAnsi="Arial" w:cs="Arial"/>
          <w:sz w:val="24"/>
          <w:szCs w:val="24"/>
        </w:rPr>
      </w:pPr>
    </w:p>
    <w:p w:rsidR="0098655A" w:rsidP="00D82A43" w:rsidRDefault="00270B65" w14:paraId="3F8BB17C" w14:textId="69ED6C80">
      <w:pPr>
        <w:pStyle w:val="Main"/>
        <w:spacing w:after="240"/>
      </w:pPr>
      <w:r>
        <w:t xml:space="preserve">DECISION </w:t>
      </w:r>
      <w:bookmarkStart w:name="_Hlk50549141" w:id="0"/>
      <w:r w:rsidR="00A5240E">
        <w:t xml:space="preserve">granting </w:t>
      </w:r>
      <w:r w:rsidR="00DA36AC">
        <w:t>SOUTHERN CALIFORNIA EDISON COMPANY</w:t>
      </w:r>
      <w:r w:rsidR="009F3A0B">
        <w:t xml:space="preserve"> exemption from</w:t>
      </w:r>
      <w:r>
        <w:t xml:space="preserve"> </w:t>
      </w:r>
      <w:r w:rsidRPr="00040506" w:rsidR="00040506">
        <w:t xml:space="preserve">REPORTING REQUIREMENTS </w:t>
      </w:r>
      <w:r w:rsidR="00040506">
        <w:t xml:space="preserve">OF </w:t>
      </w:r>
      <w:r>
        <w:t>DECISION 06-09-003</w:t>
      </w:r>
      <w:bookmarkEnd w:id="0"/>
    </w:p>
    <w:p w:rsidR="005A148C" w:rsidP="005A148C" w:rsidRDefault="005A148C" w14:paraId="6D24AD33" w14:textId="77777777">
      <w:pPr>
        <w:pStyle w:val="Dummy"/>
      </w:pPr>
      <w:bookmarkStart w:name="_Toc8123714" w:id="1"/>
      <w:bookmarkStart w:name="_Toc12866683" w:id="2"/>
      <w:r>
        <w:t>Summary</w:t>
      </w:r>
      <w:bookmarkEnd w:id="1"/>
      <w:bookmarkEnd w:id="2"/>
    </w:p>
    <w:p w:rsidR="004758E9" w:rsidP="006E6574" w:rsidRDefault="00C4785D" w14:paraId="06E402DA" w14:textId="64550DF6">
      <w:pPr>
        <w:pStyle w:val="Standard"/>
      </w:pPr>
      <w:bookmarkStart w:name="_Hlk50549179" w:id="3"/>
      <w:r>
        <w:t xml:space="preserve">This decision exempts </w:t>
      </w:r>
      <w:r w:rsidR="005760AF">
        <w:t xml:space="preserve">Southern California Edison Company </w:t>
      </w:r>
      <w:r>
        <w:t>from Decision</w:t>
      </w:r>
      <w:r w:rsidR="00BE5F10">
        <w:t> (D.) </w:t>
      </w:r>
      <w:r>
        <w:t>06</w:t>
      </w:r>
      <w:r w:rsidR="00CD01F8">
        <w:noBreakHyphen/>
      </w:r>
      <w:r>
        <w:t xml:space="preserve">09-003’s requirement </w:t>
      </w:r>
      <w:r w:rsidRPr="00C4785D">
        <w:t xml:space="preserve">to submit quarterly reports concerning </w:t>
      </w:r>
      <w:r>
        <w:t>its transmission projects</w:t>
      </w:r>
      <w:bookmarkEnd w:id="3"/>
      <w:r>
        <w:t xml:space="preserve">, until or unless </w:t>
      </w:r>
      <w:bookmarkStart w:name="_Hlk48727627" w:id="4"/>
      <w:r w:rsidR="006254E6">
        <w:t xml:space="preserve">Southern California Edison Company’s </w:t>
      </w:r>
      <w:r w:rsidRPr="00C4785D">
        <w:t xml:space="preserve">reporting requirements </w:t>
      </w:r>
      <w:r w:rsidR="00583E30">
        <w:t xml:space="preserve">in </w:t>
      </w:r>
      <w:r w:rsidR="00EE786E">
        <w:t>its</w:t>
      </w:r>
      <w:r w:rsidR="00583E30">
        <w:t xml:space="preserve"> </w:t>
      </w:r>
      <w:r w:rsidR="00EE786E">
        <w:t xml:space="preserve">Federal Energy Regulatory Commission </w:t>
      </w:r>
      <w:r w:rsidR="00040506">
        <w:t>T</w:t>
      </w:r>
      <w:r w:rsidR="00583E30">
        <w:t xml:space="preserve">ransmission </w:t>
      </w:r>
      <w:r w:rsidR="00040506">
        <w:t>O</w:t>
      </w:r>
      <w:r w:rsidR="00583E30">
        <w:t xml:space="preserve">wner </w:t>
      </w:r>
      <w:r w:rsidR="00040506">
        <w:t>T</w:t>
      </w:r>
      <w:r w:rsidR="00583E30">
        <w:t>ariff</w:t>
      </w:r>
      <w:r w:rsidR="00EE786E">
        <w:t xml:space="preserve"> e</w:t>
      </w:r>
      <w:r w:rsidRPr="00C4785D">
        <w:t xml:space="preserve">xpire or are reduced </w:t>
      </w:r>
      <w:bookmarkEnd w:id="4"/>
      <w:r w:rsidRPr="00C4785D">
        <w:t xml:space="preserve">in scope as compared to </w:t>
      </w:r>
      <w:r w:rsidR="00DA12C1">
        <w:t>the Assembly Bill 970</w:t>
      </w:r>
      <w:r w:rsidR="00040506">
        <w:t>’s</w:t>
      </w:r>
      <w:r w:rsidR="00DA12C1">
        <w:t xml:space="preserve"> quarterly reporting requirements </w:t>
      </w:r>
      <w:r w:rsidRPr="00C4785D">
        <w:t xml:space="preserve">under </w:t>
      </w:r>
      <w:r w:rsidR="00BE5F10">
        <w:t>D.</w:t>
      </w:r>
      <w:r w:rsidR="005760AF">
        <w:t>0</w:t>
      </w:r>
      <w:r w:rsidR="00DA12C1">
        <w:t>6-09-003.</w:t>
      </w:r>
      <w:r>
        <w:t xml:space="preserve">  </w:t>
      </w:r>
    </w:p>
    <w:p w:rsidR="0073353F" w:rsidP="006E6574" w:rsidRDefault="004758E9" w14:paraId="0C720070" w14:textId="6E43E9CA">
      <w:pPr>
        <w:pStyle w:val="Standard"/>
      </w:pPr>
      <w:r>
        <w:t>This proceeding is closed.</w:t>
      </w:r>
    </w:p>
    <w:p w:rsidRPr="00121089" w:rsidR="005A148C" w:rsidP="00CD01F8" w:rsidRDefault="002C7FE9" w14:paraId="0C877C9E" w14:textId="77777777">
      <w:pPr>
        <w:pStyle w:val="Heading1"/>
        <w:ind w:left="360" w:hanging="360"/>
      </w:pPr>
      <w:bookmarkStart w:name="_Toc8123715" w:id="5"/>
      <w:bookmarkStart w:name="_Toc12866684" w:id="6"/>
      <w:r w:rsidRPr="00121089">
        <w:t>Background</w:t>
      </w:r>
      <w:bookmarkEnd w:id="5"/>
      <w:bookmarkEnd w:id="6"/>
    </w:p>
    <w:p w:rsidR="00254793" w:rsidP="006E6574" w:rsidRDefault="00270B65" w14:paraId="6E19BB71" w14:textId="3EF1EEE8">
      <w:pPr>
        <w:pStyle w:val="Standard"/>
      </w:pPr>
      <w:r>
        <w:t xml:space="preserve">In September 2000, the Legislature enacted Assembly Bill (AB) 970 which, among other things, required this Commission to undertake certain actions to reduce or remove constraints on the electrical transmission and distribution </w:t>
      </w:r>
      <w:r>
        <w:lastRenderedPageBreak/>
        <w:t>system to facilitate the development of generating resources.  The Commission instituted this proceeding to implement AB 970 and</w:t>
      </w:r>
      <w:r w:rsidR="00254793">
        <w:t xml:space="preserve">, in </w:t>
      </w:r>
      <w:r>
        <w:t>Decision (D.)</w:t>
      </w:r>
      <w:r w:rsidR="00254793">
        <w:t xml:space="preserve"> 06-09-003, </w:t>
      </w:r>
      <w:bookmarkStart w:name="_Hlk43112457" w:id="7"/>
      <w:r w:rsidR="00254793">
        <w:t xml:space="preserve">ordered the utilities to submit quarterly reports concerning “all transmission projects starting from the time each is first </w:t>
      </w:r>
      <w:bookmarkEnd w:id="7"/>
      <w:r w:rsidR="00254793">
        <w:t>presented as a transmission project in the periodic stakeholder meetings of the California Independent System Operator leading up to the Annual Transmission Expansion Plan for the utility, or successor planning document.”</w:t>
      </w:r>
      <w:r w:rsidR="00254793">
        <w:rPr>
          <w:rStyle w:val="FootnoteReference"/>
        </w:rPr>
        <w:footnoteReference w:id="2"/>
      </w:r>
      <w:r w:rsidR="00254793">
        <w:t xml:space="preserve"> </w:t>
      </w:r>
    </w:p>
    <w:p w:rsidR="00D618A1" w:rsidP="004A1FC0" w:rsidRDefault="00D618A1" w14:paraId="4D05B20F" w14:textId="7EBC3436">
      <w:pPr>
        <w:pStyle w:val="Standard"/>
      </w:pPr>
      <w:r>
        <w:t xml:space="preserve">By </w:t>
      </w:r>
      <w:r w:rsidR="004A1FC0">
        <w:t xml:space="preserve">Letter Order issued on September 23, 2020, the Federal Energy Regulatory Commission (FERC) approved a settlement of Southern California Edison Company’s (SCE) formula rate case in FERC </w:t>
      </w:r>
      <w:r w:rsidRPr="00D618A1">
        <w:t xml:space="preserve">Docket No. </w:t>
      </w:r>
      <w:bookmarkStart w:name="_Hlk62565242" w:id="8"/>
      <w:r w:rsidRPr="00D618A1">
        <w:t>ER19-1553</w:t>
      </w:r>
      <w:bookmarkEnd w:id="8"/>
      <w:r>
        <w:t xml:space="preserve">.  </w:t>
      </w:r>
      <w:r w:rsidR="004A1FC0">
        <w:t xml:space="preserve">Section 3.15 of the </w:t>
      </w:r>
      <w:r w:rsidR="00AD52C7">
        <w:t>s</w:t>
      </w:r>
      <w:r w:rsidR="004A1FC0">
        <w:t xml:space="preserve">ettlement </w:t>
      </w:r>
      <w:r>
        <w:t xml:space="preserve">establishes a “Stakeholder Review Process” </w:t>
      </w:r>
      <w:r w:rsidR="006B657A">
        <w:t xml:space="preserve">(SRP) </w:t>
      </w:r>
      <w:r>
        <w:t xml:space="preserve">to be </w:t>
      </w:r>
      <w:r w:rsidR="004A1FC0">
        <w:t>included as Appendix XII to SCE’s T</w:t>
      </w:r>
      <w:r>
        <w:t xml:space="preserve">ransmission Owner </w:t>
      </w:r>
      <w:r w:rsidR="004A1FC0">
        <w:t>Tariff.</w:t>
      </w:r>
    </w:p>
    <w:p w:rsidR="006B657A" w:rsidP="006B657A" w:rsidRDefault="006B657A" w14:paraId="1070C385" w14:textId="49A8466D">
      <w:pPr>
        <w:pStyle w:val="Standard"/>
      </w:pPr>
      <w:r>
        <w:t xml:space="preserve">The SRP establishes a comprehensive procedure for SCE to provide a substantial amount of </w:t>
      </w:r>
      <w:bookmarkStart w:name="_Hlk62643639" w:id="9"/>
      <w:r>
        <w:t xml:space="preserve">electric transmission projects information </w:t>
      </w:r>
      <w:bookmarkEnd w:id="9"/>
      <w:r>
        <w:t>on a semi</w:t>
      </w:r>
      <w:r w:rsidR="001120ED">
        <w:noBreakHyphen/>
      </w:r>
      <w:r>
        <w:t xml:space="preserve">annual basis, regarding both (1) forecasted capital expenditures for the current year and the next four years and (2) actual capital expenditures from the prior four years. </w:t>
      </w:r>
      <w:r w:rsidR="001120ED">
        <w:t xml:space="preserve"> </w:t>
      </w:r>
      <w:r>
        <w:t xml:space="preserve">The SRP Process also includes a detailed schedule of meetings for stakeholders to review the transmission information that has been provided, as well as procedures to request additional information regarding specific projects. </w:t>
      </w:r>
      <w:r w:rsidR="001120ED">
        <w:t xml:space="preserve"> </w:t>
      </w:r>
      <w:r>
        <w:t>The first semi</w:t>
      </w:r>
      <w:r w:rsidR="00CF6685">
        <w:t>-</w:t>
      </w:r>
      <w:r>
        <w:t>annual SRP information deliverable was produced by SCE on December 1, 2020.</w:t>
      </w:r>
    </w:p>
    <w:p w:rsidR="006B657A" w:rsidP="00BE4D45" w:rsidRDefault="006B657A" w14:paraId="691966B8" w14:textId="0A3D323E">
      <w:pPr>
        <w:pStyle w:val="Standard"/>
        <w:keepNext/>
        <w:keepLines/>
      </w:pPr>
      <w:r>
        <w:lastRenderedPageBreak/>
        <w:t>The SRP provides that it shall terminate on December 31, 2023.</w:t>
      </w:r>
      <w:r>
        <w:rPr>
          <w:rStyle w:val="FootnoteReference"/>
        </w:rPr>
        <w:footnoteReference w:id="3"/>
      </w:r>
      <w:r>
        <w:t xml:space="preserve"> </w:t>
      </w:r>
      <w:r w:rsidR="001120ED">
        <w:t xml:space="preserve"> </w:t>
      </w:r>
      <w:r>
        <w:t>The SRP also provides that (1) SCE and stakeholders waive their rights to unilaterally exercise their rights to seek termination or amendment of the SRP prior to November 1, 2023</w:t>
      </w:r>
      <w:r w:rsidR="00C82A20">
        <w:t>,</w:t>
      </w:r>
      <w:r>
        <w:t xml:space="preserve"> and (2) SCE shall initiate a process beginning December</w:t>
      </w:r>
      <w:r w:rsidR="001120ED">
        <w:t> </w:t>
      </w:r>
      <w:r>
        <w:t>1,</w:t>
      </w:r>
      <w:r w:rsidR="001120ED">
        <w:t> </w:t>
      </w:r>
      <w:r>
        <w:t>2022</w:t>
      </w:r>
      <w:r w:rsidR="00C82A20">
        <w:t>,</w:t>
      </w:r>
      <w:r>
        <w:t xml:space="preserve"> through which SCE and stakeholders will engage in good faith efforts to discuss mutually agreeable changes to the SRP or a possible successor process after December 31, 2023.</w:t>
      </w:r>
      <w:r>
        <w:rPr>
          <w:rStyle w:val="FootnoteReference"/>
        </w:rPr>
        <w:footnoteReference w:id="4"/>
      </w:r>
    </w:p>
    <w:p w:rsidR="004E290A" w:rsidP="004E290A" w:rsidRDefault="004E290A" w14:paraId="1F8AB89E" w14:textId="77777777">
      <w:pPr>
        <w:pStyle w:val="Standard"/>
      </w:pPr>
      <w:bookmarkStart w:name="_Toc8123721" w:id="10"/>
      <w:bookmarkStart w:name="_Toc12866692" w:id="11"/>
      <w:r>
        <w:t xml:space="preserve">By petition filed December 22, 2020, SCE seeks modification of D.06-09-003 to </w:t>
      </w:r>
      <w:bookmarkStart w:name="_Hlk43111922" w:id="12"/>
      <w:r>
        <w:t>exempt SCE from its AB 970 quarterly reporting requirements.</w:t>
      </w:r>
      <w:bookmarkStart w:name="_Hlk43116137" w:id="13"/>
      <w:bookmarkStart w:name="_Hlk62562557" w:id="14"/>
      <w:bookmarkEnd w:id="12"/>
    </w:p>
    <w:bookmarkEnd w:id="13"/>
    <w:bookmarkEnd w:id="14"/>
    <w:p w:rsidR="004E290A" w:rsidP="004E290A" w:rsidRDefault="004E290A" w14:paraId="27D93BF3" w14:textId="77777777">
      <w:pPr>
        <w:pStyle w:val="Standard"/>
      </w:pPr>
      <w:r>
        <w:t>No protest or response to the petition was filed.</w:t>
      </w:r>
    </w:p>
    <w:p w:rsidR="00FA1B4F" w:rsidP="00CD01F8" w:rsidRDefault="00161AC6" w14:paraId="6D70D279" w14:textId="1C142215">
      <w:pPr>
        <w:pStyle w:val="Heading1"/>
        <w:ind w:left="360" w:hanging="360"/>
      </w:pPr>
      <w:r>
        <w:t>Discussion</w:t>
      </w:r>
      <w:bookmarkEnd w:id="10"/>
      <w:bookmarkEnd w:id="11"/>
    </w:p>
    <w:p w:rsidR="00F845A8" w:rsidP="00F845A8" w:rsidRDefault="00161AC6" w14:paraId="5EAF808E" w14:textId="69499F1A">
      <w:pPr>
        <w:pStyle w:val="Standard"/>
      </w:pPr>
      <w:r w:rsidRPr="00161AC6">
        <w:t xml:space="preserve">SCE’s reporting requirements under the SRP </w:t>
      </w:r>
      <w:bookmarkStart w:name="_Hlk62566378" w:id="15"/>
      <w:r w:rsidRPr="00161AC6">
        <w:t>serve the same purpose and are broader in scope and more detailed than the AB 970 quarterly reports</w:t>
      </w:r>
      <w:bookmarkEnd w:id="15"/>
      <w:r w:rsidRPr="00161AC6">
        <w:t>, making the</w:t>
      </w:r>
      <w:r w:rsidR="00C82A20">
        <w:t xml:space="preserve"> AB 970 quarterly reports</w:t>
      </w:r>
      <w:r w:rsidRPr="00161AC6">
        <w:t xml:space="preserve"> redundant and unnecessary</w:t>
      </w:r>
      <w:r w:rsidR="00F845A8">
        <w:t xml:space="preserve">.  </w:t>
      </w:r>
      <w:bookmarkStart w:name="_Hlk62566485" w:id="16"/>
      <w:r w:rsidR="00F845A8">
        <w:t xml:space="preserve">It is therefore reasonable to exempt SCE from the </w:t>
      </w:r>
      <w:r w:rsidRPr="00F845A8" w:rsidR="00F845A8">
        <w:t>AB 970 quarterly reporting requirements of D.06-09-003</w:t>
      </w:r>
      <w:r w:rsidR="00F845A8">
        <w:t xml:space="preserve">, </w:t>
      </w:r>
      <w:r w:rsidR="003A2B33">
        <w:t xml:space="preserve">until and unless SCE’s reporting requirements at FERC pursuant to the settlement in FERC Docket No. </w:t>
      </w:r>
      <w:r w:rsidRPr="003A2B33" w:rsidR="003A2B33">
        <w:t>ER19-1553</w:t>
      </w:r>
      <w:r w:rsidR="003A2B33">
        <w:t xml:space="preserve"> expire or are reduced in scope as compared</w:t>
      </w:r>
      <w:r w:rsidR="00F845A8">
        <w:t xml:space="preserve"> </w:t>
      </w:r>
      <w:r w:rsidR="003A2B33">
        <w:t xml:space="preserve">to the </w:t>
      </w:r>
      <w:r w:rsidR="00F845A8">
        <w:t xml:space="preserve">AB </w:t>
      </w:r>
      <w:r w:rsidR="003A2B33">
        <w:t>970 quarterly reporting requirements under D.06-09-003</w:t>
      </w:r>
      <w:r w:rsidR="00C82A20">
        <w:t>.  As a condition of this exemption</w:t>
      </w:r>
      <w:r w:rsidR="00F845A8">
        <w:t xml:space="preserve">, SCE </w:t>
      </w:r>
      <w:r w:rsidR="00C82A20">
        <w:t xml:space="preserve">shall </w:t>
      </w:r>
      <w:r w:rsidR="00F845A8">
        <w:t xml:space="preserve">serve the service list in this </w:t>
      </w:r>
      <w:r w:rsidR="00053AAA">
        <w:t>proceeding</w:t>
      </w:r>
      <w:r w:rsidR="00F845A8">
        <w:t xml:space="preserve"> with the public version of </w:t>
      </w:r>
      <w:bookmarkStart w:name="_Hlk62643820" w:id="17"/>
      <w:r w:rsidR="00F845A8">
        <w:t xml:space="preserve">the </w:t>
      </w:r>
      <w:r w:rsidRPr="00053AAA" w:rsidR="00053AAA">
        <w:t xml:space="preserve">electric transmission projects information </w:t>
      </w:r>
      <w:r w:rsidR="00F845A8">
        <w:t xml:space="preserve">that SCE is required to provide </w:t>
      </w:r>
      <w:r w:rsidR="00053AAA">
        <w:t xml:space="preserve">on a semi-annual basis to stakeholders </w:t>
      </w:r>
      <w:r w:rsidR="00F845A8">
        <w:t>pursuant to the SRP.</w:t>
      </w:r>
    </w:p>
    <w:p w:rsidR="002E6593" w:rsidP="00CD01F8" w:rsidRDefault="003560B7" w14:paraId="43BDFAB9" w14:textId="342607EE">
      <w:pPr>
        <w:pStyle w:val="Heading1"/>
        <w:ind w:left="360" w:hanging="360"/>
      </w:pPr>
      <w:bookmarkStart w:name="_Toc8123724" w:id="18"/>
      <w:bookmarkStart w:name="_Toc12866694" w:id="19"/>
      <w:bookmarkEnd w:id="16"/>
      <w:bookmarkEnd w:id="17"/>
      <w:r>
        <w:lastRenderedPageBreak/>
        <w:t xml:space="preserve">Waiver of </w:t>
      </w:r>
      <w:r w:rsidR="002E6593">
        <w:t>Comments</w:t>
      </w:r>
    </w:p>
    <w:p w:rsidR="003560B7" w:rsidP="003560B7" w:rsidRDefault="003560B7" w14:paraId="6DE6882D" w14:textId="51B75A51">
      <w:pPr>
        <w:pStyle w:val="Standard"/>
      </w:pPr>
      <w:bookmarkStart w:name="_Hlk19607909" w:id="20"/>
      <w:r>
        <w:t>This is an uncontested matter in which the decision grants the relief requested.  Accordingly, pursuant to § 311(g)(2) of the Public Utilities Code and Rule 14.6(c)(2), the otherwise applicable 30-day period for public review and comment is waived.</w:t>
      </w:r>
    </w:p>
    <w:bookmarkEnd w:id="20"/>
    <w:p w:rsidR="005939A5" w:rsidP="00CD01F8" w:rsidRDefault="005939A5" w14:paraId="7104D757" w14:textId="750108DD">
      <w:pPr>
        <w:pStyle w:val="Heading1"/>
        <w:ind w:left="360" w:hanging="360"/>
      </w:pPr>
      <w:r>
        <w:t>Assignment of Proceeding</w:t>
      </w:r>
      <w:bookmarkEnd w:id="18"/>
      <w:bookmarkEnd w:id="19"/>
    </w:p>
    <w:p w:rsidR="005939A5" w:rsidP="006E6574" w:rsidRDefault="00161AC6" w14:paraId="61C62A20" w14:textId="5FA35910">
      <w:pPr>
        <w:pStyle w:val="Standard"/>
      </w:pPr>
      <w:r>
        <w:t xml:space="preserve">Clifford Rechtschaffen </w:t>
      </w:r>
      <w:r w:rsidR="005939A5">
        <w:t xml:space="preserve">is the assigned Commissioner and </w:t>
      </w:r>
      <w:r w:rsidR="007A1172">
        <w:t>Hallie Yacknin</w:t>
      </w:r>
      <w:r w:rsidR="005939A5">
        <w:t xml:space="preserve"> is the assigned Administrative Law Judge in this proceeding.</w:t>
      </w:r>
    </w:p>
    <w:p w:rsidR="005939A5" w:rsidP="005939A5" w:rsidRDefault="005939A5" w14:paraId="0A4B01D8" w14:textId="77777777">
      <w:pPr>
        <w:pStyle w:val="Dummy"/>
      </w:pPr>
      <w:bookmarkStart w:name="_Toc8123725" w:id="21"/>
      <w:bookmarkStart w:name="_Toc12866695" w:id="22"/>
      <w:r>
        <w:t>Findings of Fact</w:t>
      </w:r>
      <w:bookmarkEnd w:id="21"/>
      <w:bookmarkEnd w:id="22"/>
    </w:p>
    <w:p w:rsidR="00E61B28" w:rsidP="001E2A62" w:rsidRDefault="00F845A8" w14:paraId="59CA04B7" w14:textId="3E84CC84">
      <w:pPr>
        <w:pStyle w:val="FoF"/>
      </w:pPr>
      <w:r>
        <w:t xml:space="preserve">SCE </w:t>
      </w:r>
      <w:r w:rsidR="00FB2F89">
        <w:t>has entered into</w:t>
      </w:r>
      <w:r w:rsidR="003560B7">
        <w:t>, and FERC has approved,</w:t>
      </w:r>
      <w:r w:rsidR="00FB2F89">
        <w:t xml:space="preserve"> a settlement of its transmission owner rate case before the FERC </w:t>
      </w:r>
      <w:r w:rsidR="003560B7">
        <w:t>which establishes a Stakeholder Review Process</w:t>
      </w:r>
      <w:r w:rsidR="00C6235C">
        <w:t xml:space="preserve"> </w:t>
      </w:r>
      <w:r w:rsidR="00053AAA">
        <w:t xml:space="preserve">set forth </w:t>
      </w:r>
      <w:r w:rsidR="00E61B28">
        <w:t xml:space="preserve">in SCE’s Transmission Owner </w:t>
      </w:r>
      <w:r w:rsidR="00C6235C">
        <w:t>Tariff</w:t>
      </w:r>
      <w:r w:rsidR="003560B7">
        <w:t xml:space="preserve"> </w:t>
      </w:r>
      <w:r w:rsidR="00FB2F89">
        <w:t>pursuant to which</w:t>
      </w:r>
      <w:r w:rsidR="00E61B28">
        <w:t xml:space="preserve"> SCE</w:t>
      </w:r>
      <w:r w:rsidR="00FB2F89">
        <w:t xml:space="preserve"> will provide </w:t>
      </w:r>
      <w:r w:rsidRPr="00FB2F89" w:rsidR="00FB2F89">
        <w:t>th</w:t>
      </w:r>
      <w:r w:rsidR="00FB2F89">
        <w:t>e Commission and other stakeholders with information regarding its transmission projects</w:t>
      </w:r>
      <w:r w:rsidRPr="00053AAA" w:rsidR="00053AAA">
        <w:t xml:space="preserve"> </w:t>
      </w:r>
      <w:r w:rsidR="00053AAA">
        <w:t>on a semi-annual basis.</w:t>
      </w:r>
    </w:p>
    <w:p w:rsidRPr="001E2A62" w:rsidR="00F62B7A" w:rsidP="001E2A62" w:rsidRDefault="00E61B28" w14:paraId="7A926460" w14:textId="43E23408">
      <w:pPr>
        <w:pStyle w:val="FoF"/>
      </w:pPr>
      <w:r>
        <w:t xml:space="preserve">The information that SCE is required to provide under the SRP </w:t>
      </w:r>
      <w:r w:rsidR="00FB2F89">
        <w:t xml:space="preserve">is </w:t>
      </w:r>
      <w:r w:rsidRPr="00F845A8" w:rsidR="00F845A8">
        <w:t xml:space="preserve">broader in scope and more detailed than </w:t>
      </w:r>
      <w:r>
        <w:t xml:space="preserve">that provided in </w:t>
      </w:r>
      <w:r w:rsidRPr="00F845A8" w:rsidR="00F845A8">
        <w:t xml:space="preserve">the AB 970 quarterly reports </w:t>
      </w:r>
      <w:r w:rsidR="00FB2F89">
        <w:t>required under D.06-09-003</w:t>
      </w:r>
      <w:r w:rsidRPr="00861B72" w:rsidR="00861B72">
        <w:t>.</w:t>
      </w:r>
    </w:p>
    <w:p w:rsidR="005939A5" w:rsidP="005939A5" w:rsidRDefault="005939A5" w14:paraId="1A27299C" w14:textId="77777777">
      <w:pPr>
        <w:pStyle w:val="Dummy"/>
      </w:pPr>
      <w:bookmarkStart w:name="_Toc8123726" w:id="23"/>
      <w:bookmarkStart w:name="_Toc12866696" w:id="24"/>
      <w:r>
        <w:t>Conclusions of Law</w:t>
      </w:r>
      <w:bookmarkEnd w:id="23"/>
      <w:bookmarkEnd w:id="24"/>
    </w:p>
    <w:p w:rsidR="00C82A20" w:rsidP="00D44DB6" w:rsidRDefault="00F845A8" w14:paraId="1F28BA26" w14:textId="77777777">
      <w:pPr>
        <w:pStyle w:val="CoL"/>
      </w:pPr>
      <w:bookmarkStart w:name="_Hlk43116974" w:id="25"/>
      <w:r w:rsidRPr="00F845A8">
        <w:t>It is reasonable to exempt SCE from the AB 970 quarterly reporting requirements of D.06-09-003, until and unless SCE’s reporting requirements at FERC pursuant to the</w:t>
      </w:r>
      <w:r w:rsidRPr="00C6235C" w:rsidR="00C6235C">
        <w:t xml:space="preserve"> S</w:t>
      </w:r>
      <w:r w:rsidR="00E61B28">
        <w:t xml:space="preserve">RP </w:t>
      </w:r>
      <w:r w:rsidRPr="00C6235C" w:rsidR="00C6235C">
        <w:t>expire</w:t>
      </w:r>
      <w:r w:rsidRPr="00F845A8">
        <w:t xml:space="preserve"> or are reduced in scope as compared to the AB</w:t>
      </w:r>
      <w:r w:rsidR="001B1DA0">
        <w:t> </w:t>
      </w:r>
      <w:r w:rsidRPr="00F845A8">
        <w:t>970 quarterly reporting requirements under D.06-09-003</w:t>
      </w:r>
      <w:r w:rsidR="00C82A20">
        <w:t>.</w:t>
      </w:r>
    </w:p>
    <w:p w:rsidR="00F845A8" w:rsidP="00D44DB6" w:rsidRDefault="00C82A20" w14:paraId="06572588" w14:textId="69AED33B">
      <w:pPr>
        <w:pStyle w:val="CoL"/>
      </w:pPr>
      <w:r>
        <w:t xml:space="preserve">As a condition of granting </w:t>
      </w:r>
      <w:r w:rsidRPr="00C82A20">
        <w:t xml:space="preserve">SCE </w:t>
      </w:r>
      <w:r>
        <w:t xml:space="preserve">exemption </w:t>
      </w:r>
      <w:r w:rsidRPr="00C82A20">
        <w:t>from the AB 970 quarterly reporting requirements of D.06-09-003</w:t>
      </w:r>
      <w:r>
        <w:t>, it is reasonable to require</w:t>
      </w:r>
      <w:r w:rsidRPr="00F845A8" w:rsidR="00F845A8">
        <w:t xml:space="preserve"> SCE </w:t>
      </w:r>
      <w:r>
        <w:t xml:space="preserve">to </w:t>
      </w:r>
      <w:r w:rsidRPr="00F845A8" w:rsidR="00F845A8">
        <w:t xml:space="preserve">serve the service list in this </w:t>
      </w:r>
      <w:r w:rsidR="00053AAA">
        <w:t>proceeding</w:t>
      </w:r>
      <w:r w:rsidRPr="00F845A8" w:rsidR="00F845A8">
        <w:t xml:space="preserve"> with the public version of </w:t>
      </w:r>
      <w:r w:rsidRPr="00053AAA" w:rsidR="00053AAA">
        <w:t>the electric transmission projects information that SCE is required to provide on a semi-annual basis to stakeholders pursuant to the SRP.</w:t>
      </w:r>
    </w:p>
    <w:p w:rsidRPr="001E2A62" w:rsidR="00420F72" w:rsidP="00D44DB6" w:rsidRDefault="00420F72" w14:paraId="7331DAF7" w14:textId="4A54B751">
      <w:pPr>
        <w:pStyle w:val="CoL"/>
      </w:pPr>
      <w:r>
        <w:lastRenderedPageBreak/>
        <w:t>This proceeding should be closed.</w:t>
      </w:r>
    </w:p>
    <w:p w:rsidR="00BB0243" w:rsidP="001E365F" w:rsidRDefault="005939A5" w14:paraId="43F9B9BF" w14:textId="77777777">
      <w:pPr>
        <w:pStyle w:val="Mainex"/>
        <w:spacing w:before="120" w:after="120"/>
      </w:pPr>
      <w:bookmarkStart w:name="_Toc12866697" w:id="26"/>
      <w:bookmarkEnd w:id="25"/>
      <w:r>
        <w:t>O</w:t>
      </w:r>
      <w:r w:rsidR="00722850">
        <w:t>RDER</w:t>
      </w:r>
      <w:bookmarkEnd w:id="26"/>
    </w:p>
    <w:p w:rsidR="00BB0243" w:rsidP="000A6E05" w:rsidRDefault="00BB0243" w14:paraId="5E57BD0F" w14:textId="77777777">
      <w:pPr>
        <w:keepNext/>
      </w:pPr>
      <w:r w:rsidRPr="00BB0243">
        <w:rPr>
          <w:b/>
        </w:rPr>
        <w:t>IT IS ORDERED</w:t>
      </w:r>
      <w:r>
        <w:t xml:space="preserve"> that:</w:t>
      </w:r>
    </w:p>
    <w:p w:rsidR="002648ED" w:rsidP="002648ED" w:rsidRDefault="001F3129" w14:paraId="301320B8" w14:textId="2466F1A3">
      <w:pPr>
        <w:pStyle w:val="OP"/>
      </w:pPr>
      <w:bookmarkStart w:name="_Hlk50549397" w:id="27"/>
      <w:r>
        <w:t xml:space="preserve">Southern California Edison Company (SCE) </w:t>
      </w:r>
      <w:bookmarkEnd w:id="27"/>
      <w:r w:rsidR="0044718E">
        <w:t xml:space="preserve">is exempted from the Assembly Bill </w:t>
      </w:r>
      <w:r w:rsidR="001B1DA0">
        <w:t xml:space="preserve">(AB) </w:t>
      </w:r>
      <w:r w:rsidR="0044718E">
        <w:t xml:space="preserve">970 quarterly reporting requirements of Decision </w:t>
      </w:r>
      <w:r w:rsidR="002648ED">
        <w:t>(D.)</w:t>
      </w:r>
      <w:r w:rsidR="00021479">
        <w:t> </w:t>
      </w:r>
      <w:r w:rsidR="0044718E">
        <w:t>06</w:t>
      </w:r>
      <w:r w:rsidR="00021479">
        <w:noBreakHyphen/>
      </w:r>
      <w:r w:rsidR="0044718E">
        <w:t>09</w:t>
      </w:r>
      <w:r w:rsidR="00021479">
        <w:noBreakHyphen/>
      </w:r>
      <w:r w:rsidR="0044718E">
        <w:t xml:space="preserve">003 until and unless </w:t>
      </w:r>
      <w:bookmarkStart w:name="_Hlk62568929" w:id="28"/>
      <w:r>
        <w:t xml:space="preserve">SCE’s </w:t>
      </w:r>
      <w:r w:rsidRPr="00FB2F89" w:rsidR="00FB2F89">
        <w:t xml:space="preserve">reporting requirements </w:t>
      </w:r>
      <w:bookmarkStart w:name="_Hlk62566889" w:id="29"/>
      <w:r w:rsidR="00E61B28">
        <w:t xml:space="preserve">pursuant to the Stakeholder Review Process included in its Transmission Owner Tariff </w:t>
      </w:r>
      <w:r w:rsidR="00861B72">
        <w:t xml:space="preserve">at </w:t>
      </w:r>
      <w:r w:rsidR="00326743">
        <w:t xml:space="preserve">the </w:t>
      </w:r>
      <w:r w:rsidR="00861B72">
        <w:t>F</w:t>
      </w:r>
      <w:r w:rsidR="00326743">
        <w:t xml:space="preserve">ederal </w:t>
      </w:r>
      <w:r w:rsidR="00861B72">
        <w:t>E</w:t>
      </w:r>
      <w:r w:rsidR="00326743">
        <w:t xml:space="preserve">nergy </w:t>
      </w:r>
      <w:r w:rsidR="00861B72">
        <w:t>R</w:t>
      </w:r>
      <w:r w:rsidR="00326743">
        <w:t xml:space="preserve">egulatory </w:t>
      </w:r>
      <w:r w:rsidR="00861B72">
        <w:t>C</w:t>
      </w:r>
      <w:r w:rsidR="00326743">
        <w:t>ommissi</w:t>
      </w:r>
      <w:r w:rsidR="00AC47E3">
        <w:t xml:space="preserve">on </w:t>
      </w:r>
      <w:r w:rsidRPr="001F3129">
        <w:t xml:space="preserve">expire </w:t>
      </w:r>
      <w:bookmarkEnd w:id="28"/>
      <w:r w:rsidRPr="001F3129">
        <w:t xml:space="preserve">or are reduced in scope as compared to the </w:t>
      </w:r>
      <w:r w:rsidR="001B1DA0">
        <w:t>AB </w:t>
      </w:r>
      <w:r w:rsidRPr="001F3129">
        <w:t>970 quarterly reporting requirements</w:t>
      </w:r>
      <w:r w:rsidR="00861B72">
        <w:t xml:space="preserve"> </w:t>
      </w:r>
      <w:r w:rsidRPr="002648ED" w:rsidR="002648ED">
        <w:t>under D.0</w:t>
      </w:r>
      <w:r w:rsidR="00460B90">
        <w:t>6-</w:t>
      </w:r>
      <w:r w:rsidRPr="002648ED" w:rsidR="002648ED">
        <w:t>09-003</w:t>
      </w:r>
      <w:bookmarkEnd w:id="29"/>
      <w:r w:rsidRPr="002648ED" w:rsidR="002648ED">
        <w:t>.</w:t>
      </w:r>
    </w:p>
    <w:p w:rsidR="001F3129" w:rsidP="003B086B" w:rsidRDefault="001F3129" w14:paraId="29EC8163" w14:textId="0C7671FB">
      <w:pPr>
        <w:pStyle w:val="OP"/>
      </w:pPr>
      <w:r>
        <w:t xml:space="preserve">Southern California Edison Company (SCE) shall serve all persons or entities listed on the service list for this proceeding with the public version of the </w:t>
      </w:r>
      <w:r w:rsidRPr="00053AAA" w:rsidR="00053AAA">
        <w:t xml:space="preserve">electric transmission projects information that SCE is required to provide on a semi-annual basis to stakeholders pursuant to </w:t>
      </w:r>
      <w:r w:rsidR="00053AAA">
        <w:t xml:space="preserve">the Stakeholder Review Process </w:t>
      </w:r>
      <w:r w:rsidR="00AC47E3">
        <w:t xml:space="preserve">at the Federal Energy Regulatory Commission, until </w:t>
      </w:r>
      <w:r>
        <w:t xml:space="preserve">and unless </w:t>
      </w:r>
      <w:r w:rsidR="00053AAA">
        <w:t xml:space="preserve">those </w:t>
      </w:r>
      <w:r>
        <w:t>reporting requirements expire or are reduced in scope as compared to the Assembly</w:t>
      </w:r>
      <w:r w:rsidR="007061ED">
        <w:t> </w:t>
      </w:r>
      <w:r>
        <w:t>Bill</w:t>
      </w:r>
      <w:r w:rsidR="007061ED">
        <w:t> </w:t>
      </w:r>
      <w:r>
        <w:t>970 quarterly reporting requirements.</w:t>
      </w:r>
    </w:p>
    <w:p w:rsidR="001F3129" w:rsidP="002A002C" w:rsidRDefault="00F64860" w14:paraId="096DCB27" w14:textId="435B8E1F">
      <w:pPr>
        <w:pStyle w:val="OP"/>
      </w:pPr>
      <w:r w:rsidRPr="00F64860">
        <w:t xml:space="preserve">In the event </w:t>
      </w:r>
      <w:r w:rsidR="001F3129">
        <w:t xml:space="preserve">Southern California Edison Company’s (SCE) </w:t>
      </w:r>
      <w:r w:rsidRPr="00F64860">
        <w:t xml:space="preserve">reporting requirements </w:t>
      </w:r>
      <w:r w:rsidR="00053AAA">
        <w:t xml:space="preserve">pursuant to the Stakeholder Review Process </w:t>
      </w:r>
      <w:r w:rsidRPr="001F3129" w:rsidR="001F3129">
        <w:t>at the Federal Energy Regulatory Commission expire or are reduced in scope as compared to the Assembly Bill 970 quarterly reporting requirements under D</w:t>
      </w:r>
      <w:r w:rsidR="00E42528">
        <w:t xml:space="preserve">ecision </w:t>
      </w:r>
      <w:r w:rsidRPr="001F3129" w:rsidR="001F3129">
        <w:t>06-09-003</w:t>
      </w:r>
      <w:r w:rsidR="001F3129">
        <w:t>, SCE shall notify the Commission by Tier 1 Advice Letter.</w:t>
      </w:r>
    </w:p>
    <w:p w:rsidR="00F6397D" w:rsidP="008D25CE" w:rsidRDefault="00E23CBB" w14:paraId="0E0910C4" w14:textId="3BB3E0BE">
      <w:pPr>
        <w:pStyle w:val="OP"/>
        <w:keepNext/>
        <w:keepLines/>
      </w:pPr>
      <w:r w:rsidRPr="001E2A62">
        <w:lastRenderedPageBreak/>
        <w:t>Investigation</w:t>
      </w:r>
      <w:r w:rsidR="0044718E">
        <w:t xml:space="preserve"> 00-11-001 </w:t>
      </w:r>
      <w:r w:rsidR="002648ED">
        <w:t xml:space="preserve">is </w:t>
      </w:r>
      <w:r w:rsidRPr="001E2A62">
        <w:t>closed.</w:t>
      </w:r>
    </w:p>
    <w:p w:rsidR="008F0116" w:rsidP="008D25CE" w:rsidRDefault="008F0116" w14:paraId="0CD4FAE2" w14:textId="77777777">
      <w:pPr>
        <w:keepNext/>
        <w:keepLines/>
      </w:pPr>
      <w:r>
        <w:t>This order is effective today.</w:t>
      </w:r>
    </w:p>
    <w:p w:rsidR="00714CF2" w:rsidP="008D25CE" w:rsidRDefault="008F0116" w14:paraId="61A9751C" w14:textId="46A58A0D">
      <w:pPr>
        <w:keepNext/>
        <w:keepLines/>
      </w:pPr>
      <w:r>
        <w:t xml:space="preserve">Dated </w:t>
      </w:r>
      <w:r>
        <w:rPr>
          <w:u w:val="single"/>
        </w:rPr>
        <w:tab/>
      </w:r>
      <w:r>
        <w:rPr>
          <w:u w:val="single"/>
        </w:rPr>
        <w:tab/>
      </w:r>
      <w:r>
        <w:rPr>
          <w:u w:val="single"/>
        </w:rPr>
        <w:tab/>
      </w:r>
      <w:r>
        <w:rPr>
          <w:u w:val="single"/>
        </w:rPr>
        <w:tab/>
      </w:r>
      <w:r>
        <w:rPr>
          <w:u w:val="single"/>
        </w:rPr>
        <w:tab/>
      </w:r>
      <w:r>
        <w:t>, at San Francisco, California</w:t>
      </w:r>
    </w:p>
    <w:p w:rsidR="00931379" w:rsidP="008D25CE" w:rsidRDefault="00931379" w14:paraId="57ADE81E" w14:textId="45AEA71B">
      <w:pPr>
        <w:keepNext/>
        <w:keepLines/>
      </w:pPr>
    </w:p>
    <w:p w:rsidR="00931379" w:rsidP="008D25CE" w:rsidRDefault="00931379" w14:paraId="584D9957" w14:textId="2EEA5EFD">
      <w:pPr>
        <w:keepNext/>
        <w:keepLines/>
      </w:pPr>
    </w:p>
    <w:p w:rsidRPr="00714CF2" w:rsidR="00AC26CD" w:rsidP="008D25CE" w:rsidRDefault="00AC26CD" w14:paraId="704AE2B4" w14:textId="77777777">
      <w:pPr>
        <w:keepNext/>
        <w:keepLines/>
      </w:pPr>
    </w:p>
    <w:sectPr w:rsidRPr="00714CF2" w:rsidR="00AC26CD" w:rsidSect="00806A08">
      <w:headerReference w:type="default" r:id="rId8"/>
      <w:footerReference w:type="default" r:id="rId9"/>
      <w:footerReference w:type="first" r:id="rId10"/>
      <w:pgSz w:w="12240" w:h="15840"/>
      <w:pgMar w:top="1728"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C6DC" w14:textId="77777777" w:rsidR="009C537F" w:rsidRDefault="009C537F" w:rsidP="0098138E">
      <w:pPr>
        <w:spacing w:line="240" w:lineRule="auto"/>
      </w:pPr>
      <w:r>
        <w:separator/>
      </w:r>
    </w:p>
  </w:endnote>
  <w:endnote w:type="continuationSeparator" w:id="0">
    <w:p w14:paraId="41974C4B" w14:textId="77777777" w:rsidR="009C537F" w:rsidRDefault="009C537F"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3AF4" w14:textId="13D884E7" w:rsidR="00806A08" w:rsidRDefault="00806A08" w:rsidP="00806A08">
    <w:pPr>
      <w:pStyle w:val="Footer"/>
      <w:ind w:firstLine="0"/>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439E" w14:textId="371A9D22" w:rsidR="00CD01F8" w:rsidRDefault="00AD52C7" w:rsidP="00EE188A">
    <w:pPr>
      <w:pStyle w:val="Footer"/>
      <w:ind w:firstLine="0"/>
    </w:pPr>
    <w:r w:rsidRPr="00AD52C7">
      <w:rPr>
        <w:sz w:val="16"/>
        <w:szCs w:val="16"/>
      </w:rPr>
      <w:t>363771115</w:t>
    </w:r>
    <w:r w:rsidR="00EE188A">
      <w:tab/>
    </w:r>
    <w:sdt>
      <w:sdtPr>
        <w:id w:val="1057440205"/>
        <w:docPartObj>
          <w:docPartGallery w:val="Page Numbers (Bottom of Page)"/>
          <w:docPartUnique/>
        </w:docPartObj>
      </w:sdtPr>
      <w:sdtEndPr>
        <w:rPr>
          <w:noProof/>
        </w:rPr>
      </w:sdtEndPr>
      <w:sdtContent>
        <w:r w:rsidR="00CD01F8">
          <w:fldChar w:fldCharType="begin"/>
        </w:r>
        <w:r w:rsidR="00CD01F8">
          <w:instrText xml:space="preserve"> PAGE   \* MERGEFORMAT </w:instrText>
        </w:r>
        <w:r w:rsidR="00CD01F8">
          <w:fldChar w:fldCharType="separate"/>
        </w:r>
        <w:r w:rsidR="00CD01F8">
          <w:rPr>
            <w:noProof/>
          </w:rPr>
          <w:t>2</w:t>
        </w:r>
        <w:r w:rsidR="00CD01F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C7221" w14:textId="77777777" w:rsidR="009C537F" w:rsidRDefault="009C537F" w:rsidP="00DF58E7">
      <w:pPr>
        <w:spacing w:line="240" w:lineRule="auto"/>
        <w:ind w:firstLine="0"/>
      </w:pPr>
      <w:r>
        <w:separator/>
      </w:r>
    </w:p>
  </w:footnote>
  <w:footnote w:type="continuationSeparator" w:id="0">
    <w:p w14:paraId="7B9DB19C" w14:textId="77777777" w:rsidR="009C537F" w:rsidRDefault="009C537F" w:rsidP="00DF58E7">
      <w:pPr>
        <w:spacing w:line="240" w:lineRule="auto"/>
        <w:ind w:firstLine="0"/>
      </w:pPr>
      <w:r>
        <w:continuationSeparator/>
      </w:r>
    </w:p>
  </w:footnote>
  <w:footnote w:type="continuationNotice" w:id="1">
    <w:p w14:paraId="6741DAC6" w14:textId="77777777" w:rsidR="009C537F" w:rsidRPr="00DF58E7" w:rsidRDefault="009C537F" w:rsidP="00DF58E7">
      <w:pPr>
        <w:spacing w:line="240" w:lineRule="auto"/>
        <w:ind w:firstLine="0"/>
        <w:jc w:val="right"/>
        <w:rPr>
          <w:i/>
          <w:sz w:val="22"/>
        </w:rPr>
      </w:pPr>
      <w:r w:rsidRPr="00DF58E7">
        <w:rPr>
          <w:i/>
          <w:sz w:val="22"/>
        </w:rPr>
        <w:t>Footnote continued on next page.</w:t>
      </w:r>
    </w:p>
  </w:footnote>
  <w:footnote w:id="2">
    <w:p w14:paraId="223A3923" w14:textId="5085B574" w:rsidR="00254793" w:rsidRDefault="00254793">
      <w:pPr>
        <w:pStyle w:val="FootnoteText"/>
      </w:pPr>
      <w:r>
        <w:rPr>
          <w:rStyle w:val="FootnoteReference"/>
        </w:rPr>
        <w:footnoteRef/>
      </w:r>
      <w:r>
        <w:t xml:space="preserve"> </w:t>
      </w:r>
      <w:r w:rsidR="00CD01F8">
        <w:t xml:space="preserve"> </w:t>
      </w:r>
      <w:r>
        <w:t>D.06-09-003, Ordering Paragraph 2.</w:t>
      </w:r>
    </w:p>
  </w:footnote>
  <w:footnote w:id="3">
    <w:p w14:paraId="3C8AE029" w14:textId="24D560B8" w:rsidR="006B657A" w:rsidRDefault="006B657A">
      <w:pPr>
        <w:pStyle w:val="FootnoteText"/>
      </w:pPr>
      <w:r>
        <w:rPr>
          <w:rStyle w:val="FootnoteReference"/>
        </w:rPr>
        <w:footnoteRef/>
      </w:r>
      <w:r>
        <w:t xml:space="preserve"> </w:t>
      </w:r>
      <w:r w:rsidRPr="006B657A">
        <w:t>Appendix XII to SCE’s T</w:t>
      </w:r>
      <w:r w:rsidR="00996F24">
        <w:t xml:space="preserve">ransmission </w:t>
      </w:r>
      <w:r w:rsidRPr="006B657A">
        <w:t>O</w:t>
      </w:r>
      <w:r w:rsidR="00996F24">
        <w:t>wner</w:t>
      </w:r>
      <w:r w:rsidRPr="006B657A">
        <w:t xml:space="preserve"> Tariff at Section. 7.1.</w:t>
      </w:r>
    </w:p>
  </w:footnote>
  <w:footnote w:id="4">
    <w:p w14:paraId="750F2748" w14:textId="371BA6F6" w:rsidR="006B657A" w:rsidRDefault="006B657A">
      <w:pPr>
        <w:pStyle w:val="FootnoteText"/>
      </w:pPr>
      <w:r>
        <w:rPr>
          <w:rStyle w:val="FootnoteReference"/>
        </w:rPr>
        <w:footnoteRef/>
      </w:r>
      <w:r>
        <w:t xml:space="preserve"> </w:t>
      </w:r>
      <w:r w:rsidRPr="006B657A">
        <w:rPr>
          <w:i/>
          <w:iCs/>
        </w:rPr>
        <w:t>Id.</w:t>
      </w:r>
      <w:r w:rsidRPr="006B657A">
        <w:t xml:space="preserve"> at Sections 7.2 through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8C06" w14:textId="4E34CE65" w:rsidR="00942CE4" w:rsidRDefault="00942CE4" w:rsidP="00942CE4">
    <w:pPr>
      <w:pStyle w:val="Header"/>
      <w:ind w:firstLine="0"/>
    </w:pPr>
    <w:r>
      <w:t>I.00-11-001  ALJ/HSY/avs</w:t>
    </w:r>
    <w:r>
      <w:tab/>
    </w:r>
    <w:r>
      <w:tab/>
    </w:r>
    <w:r w:rsidRPr="008D25CE">
      <w:rPr>
        <w:b/>
        <w:bCs/>
      </w:rPr>
      <w:t>PROPOSED DECISION</w:t>
    </w:r>
  </w:p>
  <w:p w14:paraId="5ADED740" w14:textId="61B10727" w:rsidR="00942CE4" w:rsidRDefault="00942CE4" w:rsidP="00942CE4">
    <w:pPr>
      <w:pStyle w:val="Header"/>
      <w:ind w:firstLine="0"/>
    </w:pPr>
  </w:p>
  <w:p w14:paraId="5F6C3BA8" w14:textId="77777777" w:rsidR="00C34580" w:rsidRDefault="00C34580" w:rsidP="008D25C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990"/>
        </w:tabs>
        <w:ind w:left="990" w:hanging="360"/>
      </w:pPr>
      <w:rPr>
        <w:rFonts w:ascii="Symbol" w:hAnsi="Symbol" w:hint="default"/>
      </w:rPr>
    </w:lvl>
  </w:abstractNum>
  <w:abstractNum w:abstractNumId="1"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18F4A5AC"/>
    <w:numStyleLink w:val="FoFCoLOP"/>
  </w:abstractNum>
  <w:abstractNum w:abstractNumId="3"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0038F"/>
    <w:multiLevelType w:val="multilevel"/>
    <w:tmpl w:val="4E6C0B02"/>
    <w:numStyleLink w:val="Headings"/>
  </w:abstractNum>
  <w:abstractNum w:abstractNumId="5" w15:restartNumberingAfterBreak="0">
    <w:nsid w:val="1E2242C9"/>
    <w:multiLevelType w:val="multilevel"/>
    <w:tmpl w:val="4E6C0B02"/>
    <w:numStyleLink w:val="Headings"/>
  </w:abstractNum>
  <w:abstractNum w:abstractNumId="6" w15:restartNumberingAfterBreak="0">
    <w:nsid w:val="21FB58FE"/>
    <w:multiLevelType w:val="multilevel"/>
    <w:tmpl w:val="4E6C0B02"/>
    <w:numStyleLink w:val="Headings"/>
  </w:abstractNum>
  <w:abstractNum w:abstractNumId="7" w15:restartNumberingAfterBreak="0">
    <w:nsid w:val="243663A0"/>
    <w:multiLevelType w:val="multilevel"/>
    <w:tmpl w:val="4E6C0B02"/>
    <w:numStyleLink w:val="Headings"/>
  </w:abstractNum>
  <w:abstractNum w:abstractNumId="8" w15:restartNumberingAfterBreak="0">
    <w:nsid w:val="2B8124D7"/>
    <w:multiLevelType w:val="multilevel"/>
    <w:tmpl w:val="4E6C0B02"/>
    <w:numStyleLink w:val="Headings"/>
  </w:abstractNum>
  <w:abstractNum w:abstractNumId="9" w15:restartNumberingAfterBreak="0">
    <w:nsid w:val="331F6D42"/>
    <w:multiLevelType w:val="multilevel"/>
    <w:tmpl w:val="4E6C0B02"/>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0" w15:restartNumberingAfterBreak="0">
    <w:nsid w:val="59D042D7"/>
    <w:multiLevelType w:val="multilevel"/>
    <w:tmpl w:val="18F4A5AC"/>
    <w:numStyleLink w:val="FoFCoLOP"/>
  </w:abstractNum>
  <w:abstractNum w:abstractNumId="11" w15:restartNumberingAfterBreak="0">
    <w:nsid w:val="5A9E2171"/>
    <w:multiLevelType w:val="multilevel"/>
    <w:tmpl w:val="4E6C0B02"/>
    <w:numStyleLink w:val="Headings"/>
  </w:abstractNum>
  <w:abstractNum w:abstractNumId="12" w15:restartNumberingAfterBreak="0">
    <w:nsid w:val="61A25780"/>
    <w:multiLevelType w:val="multilevel"/>
    <w:tmpl w:val="4E6C0B02"/>
    <w:numStyleLink w:val="Headings"/>
  </w:abstractNum>
  <w:abstractNum w:abstractNumId="13"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9A0AFE"/>
    <w:multiLevelType w:val="multilevel"/>
    <w:tmpl w:val="18F4A5AC"/>
    <w:numStyleLink w:val="FoFCoLOP"/>
  </w:abstractNum>
  <w:num w:numId="1">
    <w:abstractNumId w:val="11"/>
  </w:num>
  <w:num w:numId="2">
    <w:abstractNumId w:val="1"/>
  </w:num>
  <w:num w:numId="3">
    <w:abstractNumId w:val="10"/>
  </w:num>
  <w:num w:numId="4">
    <w:abstractNumId w:val="2"/>
  </w:num>
  <w:num w:numId="5">
    <w:abstractNumId w:val="14"/>
  </w:num>
  <w:num w:numId="6">
    <w:abstractNumId w:val="9"/>
  </w:num>
  <w:num w:numId="7">
    <w:abstractNumId w:val="5"/>
  </w:num>
  <w:num w:numId="8">
    <w:abstractNumId w:val="13"/>
  </w:num>
  <w:num w:numId="9">
    <w:abstractNumId w:val="0"/>
  </w:num>
  <w:num w:numId="10">
    <w:abstractNumId w:val="4"/>
  </w:num>
  <w:num w:numId="11">
    <w:abstractNumId w:val="6"/>
  </w:num>
  <w:num w:numId="12">
    <w:abstractNumId w:val="3"/>
  </w:num>
  <w:num w:numId="13">
    <w:abstractNumId w:val="7"/>
  </w:num>
  <w:num w:numId="14">
    <w:abstractNumId w:val="8"/>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12"/>
  </w:num>
  <w:num w:numId="2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Formatting/>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B65"/>
    <w:rsid w:val="000004D4"/>
    <w:rsid w:val="00000F6A"/>
    <w:rsid w:val="00005541"/>
    <w:rsid w:val="00021479"/>
    <w:rsid w:val="0003002A"/>
    <w:rsid w:val="00040506"/>
    <w:rsid w:val="00053AAA"/>
    <w:rsid w:val="00053D8D"/>
    <w:rsid w:val="00060090"/>
    <w:rsid w:val="0007115A"/>
    <w:rsid w:val="000819B5"/>
    <w:rsid w:val="00090E80"/>
    <w:rsid w:val="000973C8"/>
    <w:rsid w:val="000A2AA9"/>
    <w:rsid w:val="000A56F2"/>
    <w:rsid w:val="000A5F5E"/>
    <w:rsid w:val="000A6E05"/>
    <w:rsid w:val="000B12FA"/>
    <w:rsid w:val="000B2B12"/>
    <w:rsid w:val="000C08BF"/>
    <w:rsid w:val="000C3B9A"/>
    <w:rsid w:val="000C67B7"/>
    <w:rsid w:val="000D0FFB"/>
    <w:rsid w:val="000D25A8"/>
    <w:rsid w:val="000E270A"/>
    <w:rsid w:val="000E4C53"/>
    <w:rsid w:val="000F2F4D"/>
    <w:rsid w:val="000F4654"/>
    <w:rsid w:val="001120ED"/>
    <w:rsid w:val="00121089"/>
    <w:rsid w:val="0012210D"/>
    <w:rsid w:val="0012637A"/>
    <w:rsid w:val="001470EC"/>
    <w:rsid w:val="00154228"/>
    <w:rsid w:val="00157511"/>
    <w:rsid w:val="00161AC6"/>
    <w:rsid w:val="00164EEE"/>
    <w:rsid w:val="001820BC"/>
    <w:rsid w:val="00190434"/>
    <w:rsid w:val="001B1DA0"/>
    <w:rsid w:val="001B6BCC"/>
    <w:rsid w:val="001C04CC"/>
    <w:rsid w:val="001C363F"/>
    <w:rsid w:val="001C62D4"/>
    <w:rsid w:val="001D1905"/>
    <w:rsid w:val="001E2A62"/>
    <w:rsid w:val="001E365F"/>
    <w:rsid w:val="001E5E3E"/>
    <w:rsid w:val="001F2819"/>
    <w:rsid w:val="001F3129"/>
    <w:rsid w:val="001F6F42"/>
    <w:rsid w:val="002043EC"/>
    <w:rsid w:val="0020459B"/>
    <w:rsid w:val="002125F6"/>
    <w:rsid w:val="00240AF7"/>
    <w:rsid w:val="00243DC0"/>
    <w:rsid w:val="00247477"/>
    <w:rsid w:val="00254793"/>
    <w:rsid w:val="002648ED"/>
    <w:rsid w:val="00270440"/>
    <w:rsid w:val="00270B65"/>
    <w:rsid w:val="00276842"/>
    <w:rsid w:val="00287BC5"/>
    <w:rsid w:val="00293DEE"/>
    <w:rsid w:val="00295081"/>
    <w:rsid w:val="002A0B5D"/>
    <w:rsid w:val="002B2EF2"/>
    <w:rsid w:val="002B687F"/>
    <w:rsid w:val="002C30A4"/>
    <w:rsid w:val="002C3C8E"/>
    <w:rsid w:val="002C5114"/>
    <w:rsid w:val="002C7FE9"/>
    <w:rsid w:val="002D0DC5"/>
    <w:rsid w:val="002D4EFD"/>
    <w:rsid w:val="002D6D3F"/>
    <w:rsid w:val="002E6593"/>
    <w:rsid w:val="002F6A6D"/>
    <w:rsid w:val="00316071"/>
    <w:rsid w:val="00324115"/>
    <w:rsid w:val="00326743"/>
    <w:rsid w:val="003302BA"/>
    <w:rsid w:val="00334F83"/>
    <w:rsid w:val="00343E5C"/>
    <w:rsid w:val="00344FB8"/>
    <w:rsid w:val="0034595F"/>
    <w:rsid w:val="003560B7"/>
    <w:rsid w:val="003571A1"/>
    <w:rsid w:val="0036017B"/>
    <w:rsid w:val="00362755"/>
    <w:rsid w:val="00373B93"/>
    <w:rsid w:val="0038084C"/>
    <w:rsid w:val="00380CD1"/>
    <w:rsid w:val="003A2B33"/>
    <w:rsid w:val="003A38F0"/>
    <w:rsid w:val="003C7282"/>
    <w:rsid w:val="003F069A"/>
    <w:rsid w:val="003F4329"/>
    <w:rsid w:val="00401E55"/>
    <w:rsid w:val="00412534"/>
    <w:rsid w:val="00412C83"/>
    <w:rsid w:val="00420221"/>
    <w:rsid w:val="00420F72"/>
    <w:rsid w:val="00426014"/>
    <w:rsid w:val="0044718E"/>
    <w:rsid w:val="00451226"/>
    <w:rsid w:val="00460B7D"/>
    <w:rsid w:val="00460B90"/>
    <w:rsid w:val="004758E9"/>
    <w:rsid w:val="00480CB0"/>
    <w:rsid w:val="00483010"/>
    <w:rsid w:val="0049223C"/>
    <w:rsid w:val="0049401B"/>
    <w:rsid w:val="004A1FC0"/>
    <w:rsid w:val="004B2C16"/>
    <w:rsid w:val="004B34EA"/>
    <w:rsid w:val="004B5494"/>
    <w:rsid w:val="004C7A2B"/>
    <w:rsid w:val="004C7D3A"/>
    <w:rsid w:val="004D62CE"/>
    <w:rsid w:val="004E090E"/>
    <w:rsid w:val="004E290A"/>
    <w:rsid w:val="004E64CE"/>
    <w:rsid w:val="004F23FF"/>
    <w:rsid w:val="004F3D6E"/>
    <w:rsid w:val="005018A8"/>
    <w:rsid w:val="00505A39"/>
    <w:rsid w:val="00514025"/>
    <w:rsid w:val="00521475"/>
    <w:rsid w:val="005240BF"/>
    <w:rsid w:val="005412C7"/>
    <w:rsid w:val="00571CBD"/>
    <w:rsid w:val="005760AF"/>
    <w:rsid w:val="00583E30"/>
    <w:rsid w:val="00585390"/>
    <w:rsid w:val="005939A5"/>
    <w:rsid w:val="005A148C"/>
    <w:rsid w:val="005C4E94"/>
    <w:rsid w:val="005C50F5"/>
    <w:rsid w:val="005D24C1"/>
    <w:rsid w:val="005D264C"/>
    <w:rsid w:val="005E5C5A"/>
    <w:rsid w:val="005E7D34"/>
    <w:rsid w:val="005F588A"/>
    <w:rsid w:val="0060605E"/>
    <w:rsid w:val="00606FF6"/>
    <w:rsid w:val="00612EC2"/>
    <w:rsid w:val="00615E9A"/>
    <w:rsid w:val="006254E6"/>
    <w:rsid w:val="00632207"/>
    <w:rsid w:val="0063491C"/>
    <w:rsid w:val="00641F1C"/>
    <w:rsid w:val="00657615"/>
    <w:rsid w:val="00661AFE"/>
    <w:rsid w:val="0066701E"/>
    <w:rsid w:val="00696E82"/>
    <w:rsid w:val="006A040B"/>
    <w:rsid w:val="006B657A"/>
    <w:rsid w:val="006C0C0D"/>
    <w:rsid w:val="006C1F10"/>
    <w:rsid w:val="006E5E28"/>
    <w:rsid w:val="006E6574"/>
    <w:rsid w:val="006E689B"/>
    <w:rsid w:val="006F5CBF"/>
    <w:rsid w:val="007045FA"/>
    <w:rsid w:val="007061ED"/>
    <w:rsid w:val="00714CF2"/>
    <w:rsid w:val="007156B9"/>
    <w:rsid w:val="00720817"/>
    <w:rsid w:val="00722850"/>
    <w:rsid w:val="0072450E"/>
    <w:rsid w:val="00726F78"/>
    <w:rsid w:val="0073353F"/>
    <w:rsid w:val="00735A91"/>
    <w:rsid w:val="00737D86"/>
    <w:rsid w:val="00742E45"/>
    <w:rsid w:val="007447AF"/>
    <w:rsid w:val="00750816"/>
    <w:rsid w:val="00757BD6"/>
    <w:rsid w:val="007657C1"/>
    <w:rsid w:val="00765BD4"/>
    <w:rsid w:val="0077755F"/>
    <w:rsid w:val="007831C2"/>
    <w:rsid w:val="007910F4"/>
    <w:rsid w:val="007A1172"/>
    <w:rsid w:val="007A2B0D"/>
    <w:rsid w:val="007A406D"/>
    <w:rsid w:val="007A62B0"/>
    <w:rsid w:val="007B1D31"/>
    <w:rsid w:val="007C1B97"/>
    <w:rsid w:val="007C29D2"/>
    <w:rsid w:val="007C5A0C"/>
    <w:rsid w:val="007E0FEE"/>
    <w:rsid w:val="007F2017"/>
    <w:rsid w:val="00806215"/>
    <w:rsid w:val="00806A08"/>
    <w:rsid w:val="00812F78"/>
    <w:rsid w:val="00815468"/>
    <w:rsid w:val="00816E05"/>
    <w:rsid w:val="008171CC"/>
    <w:rsid w:val="00832D81"/>
    <w:rsid w:val="008339BB"/>
    <w:rsid w:val="00837B5A"/>
    <w:rsid w:val="00850C62"/>
    <w:rsid w:val="0085203E"/>
    <w:rsid w:val="00852F43"/>
    <w:rsid w:val="00861B72"/>
    <w:rsid w:val="0086419A"/>
    <w:rsid w:val="0087023B"/>
    <w:rsid w:val="00882907"/>
    <w:rsid w:val="008A083F"/>
    <w:rsid w:val="008A179F"/>
    <w:rsid w:val="008B0864"/>
    <w:rsid w:val="008C5A57"/>
    <w:rsid w:val="008C7413"/>
    <w:rsid w:val="008D16B7"/>
    <w:rsid w:val="008D25CE"/>
    <w:rsid w:val="008D2BB1"/>
    <w:rsid w:val="008E6AE6"/>
    <w:rsid w:val="008F0116"/>
    <w:rsid w:val="008F143D"/>
    <w:rsid w:val="0092096C"/>
    <w:rsid w:val="00925F41"/>
    <w:rsid w:val="009260D1"/>
    <w:rsid w:val="00927054"/>
    <w:rsid w:val="00931379"/>
    <w:rsid w:val="00931B8E"/>
    <w:rsid w:val="00932865"/>
    <w:rsid w:val="00935819"/>
    <w:rsid w:val="0093629A"/>
    <w:rsid w:val="00940353"/>
    <w:rsid w:val="00942CE4"/>
    <w:rsid w:val="0098138E"/>
    <w:rsid w:val="0098655A"/>
    <w:rsid w:val="00996F24"/>
    <w:rsid w:val="009B6DB3"/>
    <w:rsid w:val="009C537F"/>
    <w:rsid w:val="009D38C5"/>
    <w:rsid w:val="009E66E2"/>
    <w:rsid w:val="009E7C7F"/>
    <w:rsid w:val="009F150E"/>
    <w:rsid w:val="009F3A0B"/>
    <w:rsid w:val="00A07961"/>
    <w:rsid w:val="00A17CE0"/>
    <w:rsid w:val="00A22C28"/>
    <w:rsid w:val="00A23D48"/>
    <w:rsid w:val="00A42306"/>
    <w:rsid w:val="00A446BB"/>
    <w:rsid w:val="00A44E8D"/>
    <w:rsid w:val="00A5240E"/>
    <w:rsid w:val="00A55ACD"/>
    <w:rsid w:val="00A632F2"/>
    <w:rsid w:val="00A96629"/>
    <w:rsid w:val="00AB7875"/>
    <w:rsid w:val="00AC26CD"/>
    <w:rsid w:val="00AC47E3"/>
    <w:rsid w:val="00AC68EE"/>
    <w:rsid w:val="00AD52C7"/>
    <w:rsid w:val="00AF49E4"/>
    <w:rsid w:val="00AF6098"/>
    <w:rsid w:val="00B01F7E"/>
    <w:rsid w:val="00B1038B"/>
    <w:rsid w:val="00B160B4"/>
    <w:rsid w:val="00B17ABD"/>
    <w:rsid w:val="00B3087D"/>
    <w:rsid w:val="00B34794"/>
    <w:rsid w:val="00B37110"/>
    <w:rsid w:val="00B46173"/>
    <w:rsid w:val="00B60421"/>
    <w:rsid w:val="00B74E37"/>
    <w:rsid w:val="00B93410"/>
    <w:rsid w:val="00B97934"/>
    <w:rsid w:val="00BA6932"/>
    <w:rsid w:val="00BB0243"/>
    <w:rsid w:val="00BC431B"/>
    <w:rsid w:val="00BC6957"/>
    <w:rsid w:val="00BE4D45"/>
    <w:rsid w:val="00BE5F10"/>
    <w:rsid w:val="00BF25F1"/>
    <w:rsid w:val="00BF5C9A"/>
    <w:rsid w:val="00C10B5F"/>
    <w:rsid w:val="00C115EA"/>
    <w:rsid w:val="00C16545"/>
    <w:rsid w:val="00C329CE"/>
    <w:rsid w:val="00C34580"/>
    <w:rsid w:val="00C4785D"/>
    <w:rsid w:val="00C6235C"/>
    <w:rsid w:val="00C66238"/>
    <w:rsid w:val="00C76A3B"/>
    <w:rsid w:val="00C82A20"/>
    <w:rsid w:val="00C913A1"/>
    <w:rsid w:val="00C9274F"/>
    <w:rsid w:val="00CC6A99"/>
    <w:rsid w:val="00CD01F8"/>
    <w:rsid w:val="00CD4E3F"/>
    <w:rsid w:val="00CF6685"/>
    <w:rsid w:val="00D00AA3"/>
    <w:rsid w:val="00D02049"/>
    <w:rsid w:val="00D07F73"/>
    <w:rsid w:val="00D126D6"/>
    <w:rsid w:val="00D14844"/>
    <w:rsid w:val="00D2041C"/>
    <w:rsid w:val="00D2169F"/>
    <w:rsid w:val="00D24E7C"/>
    <w:rsid w:val="00D25ADE"/>
    <w:rsid w:val="00D43297"/>
    <w:rsid w:val="00D44DB6"/>
    <w:rsid w:val="00D50119"/>
    <w:rsid w:val="00D618A1"/>
    <w:rsid w:val="00D82658"/>
    <w:rsid w:val="00D82A43"/>
    <w:rsid w:val="00D830BE"/>
    <w:rsid w:val="00D9215F"/>
    <w:rsid w:val="00DA12C1"/>
    <w:rsid w:val="00DA36AC"/>
    <w:rsid w:val="00DA7B5D"/>
    <w:rsid w:val="00DD1992"/>
    <w:rsid w:val="00DE2B21"/>
    <w:rsid w:val="00DE7D54"/>
    <w:rsid w:val="00DF58E7"/>
    <w:rsid w:val="00E11876"/>
    <w:rsid w:val="00E212EF"/>
    <w:rsid w:val="00E21C6D"/>
    <w:rsid w:val="00E23CBB"/>
    <w:rsid w:val="00E3183E"/>
    <w:rsid w:val="00E37B59"/>
    <w:rsid w:val="00E42528"/>
    <w:rsid w:val="00E53438"/>
    <w:rsid w:val="00E61B28"/>
    <w:rsid w:val="00E61D2B"/>
    <w:rsid w:val="00E725FC"/>
    <w:rsid w:val="00E75324"/>
    <w:rsid w:val="00E871E1"/>
    <w:rsid w:val="00EA19AC"/>
    <w:rsid w:val="00EA36C6"/>
    <w:rsid w:val="00EA381E"/>
    <w:rsid w:val="00EC30F9"/>
    <w:rsid w:val="00ED481D"/>
    <w:rsid w:val="00ED517B"/>
    <w:rsid w:val="00ED5725"/>
    <w:rsid w:val="00ED7031"/>
    <w:rsid w:val="00EE188A"/>
    <w:rsid w:val="00EE3060"/>
    <w:rsid w:val="00EE4315"/>
    <w:rsid w:val="00EE48D3"/>
    <w:rsid w:val="00EE786E"/>
    <w:rsid w:val="00EF6417"/>
    <w:rsid w:val="00EF6925"/>
    <w:rsid w:val="00F047C0"/>
    <w:rsid w:val="00F1111F"/>
    <w:rsid w:val="00F26ED3"/>
    <w:rsid w:val="00F27BA6"/>
    <w:rsid w:val="00F34A7F"/>
    <w:rsid w:val="00F62B7A"/>
    <w:rsid w:val="00F6397D"/>
    <w:rsid w:val="00F639E8"/>
    <w:rsid w:val="00F64860"/>
    <w:rsid w:val="00F7293E"/>
    <w:rsid w:val="00F745A6"/>
    <w:rsid w:val="00F76650"/>
    <w:rsid w:val="00F80206"/>
    <w:rsid w:val="00F845A8"/>
    <w:rsid w:val="00F9187B"/>
    <w:rsid w:val="00F92111"/>
    <w:rsid w:val="00F92385"/>
    <w:rsid w:val="00FA1B4F"/>
    <w:rsid w:val="00FA6A32"/>
    <w:rsid w:val="00FB2F89"/>
    <w:rsid w:val="00FC0DA0"/>
    <w:rsid w:val="00FC3A38"/>
    <w:rsid w:val="00FC47F9"/>
    <w:rsid w:val="00FE2351"/>
    <w:rsid w:val="00FE337D"/>
    <w:rsid w:val="00FE5580"/>
    <w:rsid w:val="00FF06E4"/>
    <w:rsid w:val="00FF110C"/>
    <w:rsid w:val="00FF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2ACD"/>
  <w15:chartTrackingRefBased/>
  <w15:docId w15:val="{A10114ED-3D8F-41DD-AD66-19D9854552C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1"/>
      </w:num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numPr>
        <w:ilvl w:val="1"/>
        <w:numId w:val="1"/>
      </w:numPr>
      <w:ind w:right="2160"/>
      <w:outlineLvl w:val="1"/>
    </w:pPr>
  </w:style>
  <w:style w:type="paragraph" w:styleId="Heading3">
    <w:name w:val="heading 3"/>
    <w:basedOn w:val="Dummy"/>
    <w:next w:val="Standard"/>
    <w:link w:val="Heading3Char"/>
    <w:uiPriority w:val="4"/>
    <w:qFormat/>
    <w:rsid w:val="000E270A"/>
    <w:pPr>
      <w:numPr>
        <w:ilvl w:val="2"/>
        <w:numId w:val="1"/>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1"/>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1"/>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1"/>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40"/>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40"/>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
      </w:numPr>
      <w:spacing w:after="120" w:line="240" w:lineRule="auto"/>
    </w:pPr>
  </w:style>
  <w:style w:type="paragraph" w:styleId="ListBullet">
    <w:name w:val="List Bullet"/>
    <w:basedOn w:val="Standard"/>
    <w:uiPriority w:val="4"/>
    <w:qFormat/>
    <w:rsid w:val="001F2819"/>
    <w:pPr>
      <w:numPr>
        <w:numId w:val="9"/>
      </w:numPr>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
      </w:numPr>
      <w:spacing w:after="120" w:line="240" w:lineRule="auto"/>
    </w:pPr>
  </w:style>
  <w:style w:type="character" w:styleId="CommentReference">
    <w:name w:val="annotation reference"/>
    <w:basedOn w:val="DefaultParagraphFont"/>
    <w:uiPriority w:val="99"/>
    <w:semiHidden/>
    <w:unhideWhenUsed/>
    <w:rsid w:val="00A96629"/>
    <w:rPr>
      <w:sz w:val="16"/>
      <w:szCs w:val="16"/>
    </w:rPr>
  </w:style>
  <w:style w:type="paragraph" w:styleId="CommentText">
    <w:name w:val="annotation text"/>
    <w:basedOn w:val="Normal"/>
    <w:link w:val="CommentTextChar"/>
    <w:uiPriority w:val="99"/>
    <w:semiHidden/>
    <w:unhideWhenUsed/>
    <w:rsid w:val="00A96629"/>
    <w:pPr>
      <w:spacing w:line="240" w:lineRule="auto"/>
    </w:pPr>
    <w:rPr>
      <w:sz w:val="20"/>
      <w:szCs w:val="20"/>
    </w:rPr>
  </w:style>
  <w:style w:type="character" w:customStyle="1" w:styleId="CommentTextChar">
    <w:name w:val="Comment Text Char"/>
    <w:basedOn w:val="DefaultParagraphFont"/>
    <w:link w:val="CommentText"/>
    <w:uiPriority w:val="99"/>
    <w:semiHidden/>
    <w:rsid w:val="00A96629"/>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A96629"/>
    <w:rPr>
      <w:b/>
      <w:bCs/>
    </w:rPr>
  </w:style>
  <w:style w:type="character" w:customStyle="1" w:styleId="CommentSubjectChar">
    <w:name w:val="Comment Subject Char"/>
    <w:basedOn w:val="CommentTextChar"/>
    <w:link w:val="CommentSubject"/>
    <w:uiPriority w:val="99"/>
    <w:semiHidden/>
    <w:rsid w:val="00A96629"/>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431F-A528-4354-B1FB-F26D8A04A89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1092</ap:Words>
  <ap:Characters>6225</ap:Characters>
  <ap:Application>Microsoft Office Word</ap:Application>
  <ap:DocSecurity>0</ap:DocSecurity>
  <ap:Lines>51</ap:Lines>
  <ap:Paragraphs>14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7303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2021-02-05T11:13:03Z</dcterms:created>
  <dcterms:modified xsi:type="dcterms:W3CDTF">2021-02-05T11:13:03Z</dcterms:modified>
</cp:coreProperties>
</file>