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421" w:rsidP="00AF1793" w:rsidRDefault="00004FAA" w14:paraId="4CDDBC57" w14:textId="7F059147">
      <w:pPr>
        <w:tabs>
          <w:tab w:val="center" w:pos="4320"/>
          <w:tab w:val="right" w:pos="9360"/>
        </w:tabs>
        <w:spacing w:line="240" w:lineRule="auto"/>
        <w:ind w:firstLine="0"/>
      </w:pPr>
      <w:r>
        <w:t>ALJ/KHY</w:t>
      </w:r>
      <w:r w:rsidR="00DA7B5D">
        <w:t>/</w:t>
      </w:r>
      <w:r w:rsidR="002A2709">
        <w:t>jnf</w:t>
      </w:r>
      <w:r w:rsidR="007E0FEE">
        <w:tab/>
      </w:r>
      <w:r w:rsidR="00DA7B5D">
        <w:tab/>
      </w:r>
      <w:r w:rsidR="000A65CF">
        <w:rPr>
          <w:b/>
        </w:rPr>
        <w:t>Date of Issuance 2/12/2021</w:t>
      </w:r>
    </w:p>
    <w:p w:rsidR="00DA7B5D" w:rsidP="000A65CF" w:rsidRDefault="000A65CF" w14:paraId="718F2CBF" w14:textId="13A3411D">
      <w:pPr>
        <w:tabs>
          <w:tab w:val="left" w:pos="2415"/>
          <w:tab w:val="right" w:pos="9360"/>
        </w:tabs>
        <w:spacing w:line="240" w:lineRule="auto"/>
        <w:rPr>
          <w:b/>
        </w:rPr>
      </w:pPr>
      <w:r>
        <w:rPr>
          <w:b/>
        </w:rPr>
        <w:tab/>
      </w:r>
      <w:r>
        <w:rPr>
          <w:b/>
        </w:rPr>
        <w:tab/>
      </w:r>
    </w:p>
    <w:p w:rsidR="00DA7B5D" w:rsidP="008F0116" w:rsidRDefault="00DA7B5D" w14:paraId="1CB47EBE" w14:textId="77777777">
      <w:pPr>
        <w:ind w:firstLine="0"/>
      </w:pPr>
    </w:p>
    <w:p w:rsidRPr="00EE3060" w:rsidR="00DA7B5D" w:rsidP="0098655A" w:rsidRDefault="00DA7B5D" w14:paraId="536F1377" w14:textId="1993430E">
      <w:pPr>
        <w:ind w:left="1080" w:hanging="1080"/>
      </w:pPr>
      <w:r>
        <w:t xml:space="preserve">Decision </w:t>
      </w:r>
      <w:r w:rsidR="000A65CF">
        <w:t>21-02-</w:t>
      </w:r>
      <w:proofErr w:type="gramStart"/>
      <w:r w:rsidR="000A65CF">
        <w:t>006  February</w:t>
      </w:r>
      <w:proofErr w:type="gramEnd"/>
      <w:r w:rsidR="000A65CF">
        <w:t xml:space="preserve"> 11, 2021</w:t>
      </w:r>
    </w:p>
    <w:p w:rsidR="00DA7B5D" w:rsidP="00BB0243" w:rsidRDefault="00DA7B5D" w14:paraId="674AB144" w14:textId="77777777">
      <w:pPr>
        <w:spacing w:line="240" w:lineRule="auto"/>
        <w:jc w:val="center"/>
        <w:rPr>
          <w:u w:val="single"/>
        </w:rPr>
      </w:pPr>
    </w:p>
    <w:p w:rsidR="00DA7B5D" w:rsidP="00BB0243" w:rsidRDefault="00DA7B5D" w14:paraId="377F7344"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5553E2" w:rsidP="008F0116" w:rsidRDefault="005553E2" w14:paraId="63425AD6"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7EDAFAB4" w14:textId="77777777">
        <w:trPr>
          <w:jc w:val="center"/>
        </w:trPr>
        <w:tc>
          <w:tcPr>
            <w:tcW w:w="5040" w:type="dxa"/>
            <w:tcBorders>
              <w:top w:val="nil"/>
              <w:left w:val="nil"/>
              <w:bottom w:val="single" w:color="auto" w:sz="4" w:space="0"/>
              <w:right w:val="single" w:color="auto" w:sz="4" w:space="0"/>
            </w:tcBorders>
          </w:tcPr>
          <w:p w:rsidR="00DA7B5D" w:rsidP="00C10B5F" w:rsidRDefault="005553E2" w14:paraId="2CCEE2C9" w14:textId="77777777">
            <w:pPr>
              <w:spacing w:line="240" w:lineRule="auto"/>
              <w:ind w:firstLine="0"/>
              <w:rPr>
                <w:rFonts w:cs="Arial"/>
                <w:szCs w:val="26"/>
              </w:rPr>
            </w:pPr>
            <w:r w:rsidRPr="005553E2">
              <w:rPr>
                <w:rFonts w:cs="Arial"/>
                <w:szCs w:val="26"/>
              </w:rPr>
              <w:t>Order Instituting Rulemaking to Create a Consistent Regulatory Framework for the Guidance, Planning and Evaluation of Integrated Distributed Energy Resources.</w:t>
            </w:r>
          </w:p>
          <w:p w:rsidRPr="00DA7B5D" w:rsidR="005553E2" w:rsidP="00C10B5F" w:rsidRDefault="005553E2" w14:paraId="55EBF38E" w14:textId="77A26A24">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DA7B5D" w:rsidP="00412C83" w:rsidRDefault="0018271A" w14:paraId="57EB7456" w14:textId="4B804A72">
            <w:pPr>
              <w:spacing w:line="240" w:lineRule="auto"/>
              <w:ind w:firstLine="0"/>
              <w:jc w:val="center"/>
              <w:rPr>
                <w:rFonts w:cs="Arial"/>
                <w:szCs w:val="26"/>
              </w:rPr>
            </w:pPr>
            <w:r>
              <w:rPr>
                <w:rFonts w:cs="Arial"/>
                <w:szCs w:val="26"/>
              </w:rPr>
              <w:t>Rulemaking 14-10-003</w:t>
            </w:r>
          </w:p>
        </w:tc>
      </w:tr>
    </w:tbl>
    <w:p w:rsidR="00DA7B5D" w:rsidP="008F0116" w:rsidRDefault="00DA7B5D" w14:paraId="31D0C813" w14:textId="77777777">
      <w:pPr>
        <w:spacing w:line="240" w:lineRule="auto"/>
        <w:ind w:firstLine="0"/>
        <w:rPr>
          <w:rFonts w:ascii="Arial" w:hAnsi="Arial" w:cs="Arial"/>
          <w:sz w:val="24"/>
          <w:szCs w:val="24"/>
        </w:rPr>
      </w:pPr>
    </w:p>
    <w:p w:rsidR="00DA7B5D" w:rsidP="008F0116" w:rsidRDefault="00DA7B5D" w14:paraId="31983DF8" w14:textId="77777777">
      <w:pPr>
        <w:spacing w:line="240" w:lineRule="auto"/>
        <w:ind w:firstLine="0"/>
        <w:rPr>
          <w:rFonts w:ascii="Arial" w:hAnsi="Arial" w:cs="Arial"/>
          <w:sz w:val="24"/>
          <w:szCs w:val="24"/>
        </w:rPr>
      </w:pPr>
    </w:p>
    <w:p w:rsidRPr="00F92385" w:rsidR="00F92385" w:rsidP="00B3087D" w:rsidRDefault="0076054D" w14:paraId="388E2E5B" w14:textId="3492366A">
      <w:pPr>
        <w:pStyle w:val="Dummy"/>
        <w:jc w:val="center"/>
        <w:sectPr w:rsidRPr="00F92385" w:rsidR="00F92385" w:rsidSect="002A2709">
          <w:headerReference w:type="first" r:id="rId8"/>
          <w:footerReference w:type="first" r:id="rId9"/>
          <w:pgSz w:w="12240" w:h="15840"/>
          <w:pgMar w:top="1440" w:right="1440" w:bottom="1440" w:left="1440" w:header="720" w:footer="720" w:gutter="0"/>
          <w:pgNumType w:start="1"/>
          <w:cols w:space="720"/>
          <w:titlePg/>
          <w:docGrid w:linePitch="360"/>
        </w:sectPr>
      </w:pPr>
      <w:bookmarkStart w:name="_Toc63778663" w:id="0"/>
      <w:r>
        <w:t xml:space="preserve">DECISION ADOPTING </w:t>
      </w:r>
      <w:r w:rsidR="006A79AB">
        <w:t>PILOTS</w:t>
      </w:r>
      <w:r>
        <w:t xml:space="preserve"> </w:t>
      </w:r>
      <w:r w:rsidR="00907DE4">
        <w:t xml:space="preserve">TO TEST TWO FRAMEWORKS </w:t>
      </w:r>
      <w:r w:rsidR="006A79AB">
        <w:t xml:space="preserve">FOR </w:t>
      </w:r>
      <w:r>
        <w:t>PROCURING DISTRIBUTED ENERGY RESOURCES THAT AVOID OR DEFER UTILITY CAPITAL INVESTMENTS</w:t>
      </w:r>
      <w:bookmarkEnd w:id="0"/>
    </w:p>
    <w:p w:rsidRPr="001E2A62" w:rsidR="00D50119" w:rsidP="00F76650" w:rsidRDefault="00D50119" w14:paraId="41953C0A"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152D2374"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AF1793" w:rsidP="00AF1793" w:rsidRDefault="008C7413" w14:paraId="30DBBF5C" w14:textId="09AE2215">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63778663">
            <w:r w:rsidRPr="00FC6056" w:rsidR="00AF1793">
              <w:rPr>
                <w:rStyle w:val="Hyperlink"/>
                <w:noProof/>
              </w:rPr>
              <w:t>DECISION ADOPTING PILOTS TO TEST TWO FRAMEWORKS FOR PROCURING DISTRIBUTED ENERGY RESOURCES THAT AVOID OR DEFER UTILITY CAPITAL INVESTMENTS</w:t>
            </w:r>
            <w:r w:rsidR="00AF1793">
              <w:rPr>
                <w:noProof/>
                <w:webHidden/>
              </w:rPr>
              <w:tab/>
            </w:r>
            <w:r w:rsidR="00AF1793">
              <w:rPr>
                <w:noProof/>
                <w:webHidden/>
              </w:rPr>
              <w:fldChar w:fldCharType="begin"/>
            </w:r>
            <w:r w:rsidR="00AF1793">
              <w:rPr>
                <w:noProof/>
                <w:webHidden/>
              </w:rPr>
              <w:instrText xml:space="preserve"> PAGEREF _Toc63778663 \h </w:instrText>
            </w:r>
            <w:r w:rsidR="00AF1793">
              <w:rPr>
                <w:noProof/>
                <w:webHidden/>
              </w:rPr>
            </w:r>
            <w:r w:rsidR="00AF1793">
              <w:rPr>
                <w:noProof/>
                <w:webHidden/>
              </w:rPr>
              <w:fldChar w:fldCharType="separate"/>
            </w:r>
            <w:r w:rsidR="00AF1793">
              <w:rPr>
                <w:noProof/>
                <w:webHidden/>
              </w:rPr>
              <w:t>1</w:t>
            </w:r>
            <w:r w:rsidR="00AF1793">
              <w:rPr>
                <w:noProof/>
                <w:webHidden/>
              </w:rPr>
              <w:fldChar w:fldCharType="end"/>
            </w:r>
          </w:hyperlink>
        </w:p>
        <w:p w:rsidR="00AF1793" w:rsidRDefault="00595EB3" w14:paraId="7948F6AC" w14:textId="075A10D3">
          <w:pPr>
            <w:pStyle w:val="TOC1"/>
            <w:tabs>
              <w:tab w:val="right" w:leader="dot" w:pos="9350"/>
            </w:tabs>
            <w:rPr>
              <w:rFonts w:asciiTheme="minorHAnsi" w:hAnsiTheme="minorHAnsi" w:cstheme="minorBidi"/>
              <w:noProof/>
              <w:sz w:val="22"/>
            </w:rPr>
          </w:pPr>
          <w:hyperlink w:history="1" w:anchor="_Toc63778664">
            <w:r w:rsidRPr="00FC6056" w:rsidR="00AF1793">
              <w:rPr>
                <w:rStyle w:val="Hyperlink"/>
                <w:noProof/>
              </w:rPr>
              <w:t>Summary</w:t>
            </w:r>
            <w:r w:rsidR="00AF1793">
              <w:rPr>
                <w:noProof/>
                <w:webHidden/>
              </w:rPr>
              <w:tab/>
            </w:r>
            <w:r w:rsidR="00AF1793">
              <w:rPr>
                <w:noProof/>
                <w:webHidden/>
              </w:rPr>
              <w:fldChar w:fldCharType="begin"/>
            </w:r>
            <w:r w:rsidR="00AF1793">
              <w:rPr>
                <w:noProof/>
                <w:webHidden/>
              </w:rPr>
              <w:instrText xml:space="preserve"> PAGEREF _Toc63778664 \h </w:instrText>
            </w:r>
            <w:r w:rsidR="00AF1793">
              <w:rPr>
                <w:noProof/>
                <w:webHidden/>
              </w:rPr>
            </w:r>
            <w:r w:rsidR="00AF1793">
              <w:rPr>
                <w:noProof/>
                <w:webHidden/>
              </w:rPr>
              <w:fldChar w:fldCharType="separate"/>
            </w:r>
            <w:r w:rsidR="00AF1793">
              <w:rPr>
                <w:noProof/>
                <w:webHidden/>
              </w:rPr>
              <w:t>2</w:t>
            </w:r>
            <w:r w:rsidR="00AF1793">
              <w:rPr>
                <w:noProof/>
                <w:webHidden/>
              </w:rPr>
              <w:fldChar w:fldCharType="end"/>
            </w:r>
          </w:hyperlink>
        </w:p>
        <w:p w:rsidR="00AF1793" w:rsidRDefault="00595EB3" w14:paraId="7F2C24E8" w14:textId="09E611AC">
          <w:pPr>
            <w:pStyle w:val="TOC1"/>
            <w:tabs>
              <w:tab w:val="right" w:leader="dot" w:pos="9350"/>
            </w:tabs>
            <w:rPr>
              <w:rFonts w:asciiTheme="minorHAnsi" w:hAnsiTheme="minorHAnsi" w:cstheme="minorBidi"/>
              <w:noProof/>
              <w:sz w:val="22"/>
            </w:rPr>
          </w:pPr>
          <w:hyperlink w:history="1" w:anchor="_Toc63778665">
            <w:r w:rsidRPr="00FC6056" w:rsidR="00AF1793">
              <w:rPr>
                <w:rStyle w:val="Hyperlink"/>
                <w:noProof/>
              </w:rPr>
              <w:t>1.</w:t>
            </w:r>
            <w:r w:rsidR="00AF1793">
              <w:rPr>
                <w:rFonts w:asciiTheme="minorHAnsi" w:hAnsiTheme="minorHAnsi" w:cstheme="minorBidi"/>
                <w:noProof/>
                <w:sz w:val="22"/>
              </w:rPr>
              <w:tab/>
            </w:r>
            <w:r w:rsidRPr="00FC6056" w:rsidR="00AF1793">
              <w:rPr>
                <w:rStyle w:val="Hyperlink"/>
                <w:noProof/>
              </w:rPr>
              <w:t>Background</w:t>
            </w:r>
            <w:r w:rsidR="00AF1793">
              <w:rPr>
                <w:noProof/>
                <w:webHidden/>
              </w:rPr>
              <w:tab/>
            </w:r>
            <w:r w:rsidR="00AF1793">
              <w:rPr>
                <w:noProof/>
                <w:webHidden/>
              </w:rPr>
              <w:fldChar w:fldCharType="begin"/>
            </w:r>
            <w:r w:rsidR="00AF1793">
              <w:rPr>
                <w:noProof/>
                <w:webHidden/>
              </w:rPr>
              <w:instrText xml:space="preserve"> PAGEREF _Toc63778665 \h </w:instrText>
            </w:r>
            <w:r w:rsidR="00AF1793">
              <w:rPr>
                <w:noProof/>
                <w:webHidden/>
              </w:rPr>
            </w:r>
            <w:r w:rsidR="00AF1793">
              <w:rPr>
                <w:noProof/>
                <w:webHidden/>
              </w:rPr>
              <w:fldChar w:fldCharType="separate"/>
            </w:r>
            <w:r w:rsidR="00AF1793">
              <w:rPr>
                <w:noProof/>
                <w:webHidden/>
              </w:rPr>
              <w:t>3</w:t>
            </w:r>
            <w:r w:rsidR="00AF1793">
              <w:rPr>
                <w:noProof/>
                <w:webHidden/>
              </w:rPr>
              <w:fldChar w:fldCharType="end"/>
            </w:r>
          </w:hyperlink>
        </w:p>
        <w:p w:rsidR="00AF1793" w:rsidRDefault="00595EB3" w14:paraId="5B90E55F" w14:textId="7DE415B0">
          <w:pPr>
            <w:pStyle w:val="TOC2"/>
            <w:tabs>
              <w:tab w:val="right" w:leader="dot" w:pos="9350"/>
            </w:tabs>
            <w:rPr>
              <w:rFonts w:asciiTheme="minorHAnsi" w:hAnsiTheme="minorHAnsi" w:cstheme="minorBidi"/>
              <w:noProof/>
              <w:sz w:val="22"/>
            </w:rPr>
          </w:pPr>
          <w:hyperlink w:history="1" w:anchor="_Toc63778666">
            <w:r w:rsidRPr="00FC6056" w:rsidR="00AF1793">
              <w:rPr>
                <w:rStyle w:val="Hyperlink"/>
                <w:noProof/>
              </w:rPr>
              <w:t>1.1.</w:t>
            </w:r>
            <w:r w:rsidR="00AF1793">
              <w:rPr>
                <w:rFonts w:asciiTheme="minorHAnsi" w:hAnsiTheme="minorHAnsi" w:cstheme="minorBidi"/>
                <w:noProof/>
                <w:sz w:val="22"/>
              </w:rPr>
              <w:tab/>
            </w:r>
            <w:r w:rsidRPr="00FC6056" w:rsidR="00AF1793">
              <w:rPr>
                <w:rStyle w:val="Hyperlink"/>
                <w:noProof/>
              </w:rPr>
              <w:t>Procedural Background</w:t>
            </w:r>
            <w:r w:rsidR="00AF1793">
              <w:rPr>
                <w:noProof/>
                <w:webHidden/>
              </w:rPr>
              <w:tab/>
            </w:r>
            <w:r w:rsidR="00AF1793">
              <w:rPr>
                <w:noProof/>
                <w:webHidden/>
              </w:rPr>
              <w:fldChar w:fldCharType="begin"/>
            </w:r>
            <w:r w:rsidR="00AF1793">
              <w:rPr>
                <w:noProof/>
                <w:webHidden/>
              </w:rPr>
              <w:instrText xml:space="preserve"> PAGEREF _Toc63778666 \h </w:instrText>
            </w:r>
            <w:r w:rsidR="00AF1793">
              <w:rPr>
                <w:noProof/>
                <w:webHidden/>
              </w:rPr>
            </w:r>
            <w:r w:rsidR="00AF1793">
              <w:rPr>
                <w:noProof/>
                <w:webHidden/>
              </w:rPr>
              <w:fldChar w:fldCharType="separate"/>
            </w:r>
            <w:r w:rsidR="00AF1793">
              <w:rPr>
                <w:noProof/>
                <w:webHidden/>
              </w:rPr>
              <w:t>3</w:t>
            </w:r>
            <w:r w:rsidR="00AF1793">
              <w:rPr>
                <w:noProof/>
                <w:webHidden/>
              </w:rPr>
              <w:fldChar w:fldCharType="end"/>
            </w:r>
          </w:hyperlink>
        </w:p>
        <w:p w:rsidR="00AF1793" w:rsidRDefault="00595EB3" w14:paraId="60BC488C" w14:textId="130EA455">
          <w:pPr>
            <w:pStyle w:val="TOC2"/>
            <w:tabs>
              <w:tab w:val="right" w:leader="dot" w:pos="9350"/>
            </w:tabs>
            <w:rPr>
              <w:rFonts w:asciiTheme="minorHAnsi" w:hAnsiTheme="minorHAnsi" w:cstheme="minorBidi"/>
              <w:noProof/>
              <w:sz w:val="22"/>
            </w:rPr>
          </w:pPr>
          <w:hyperlink w:history="1" w:anchor="_Toc63778667">
            <w:r w:rsidRPr="00FC6056" w:rsidR="00AF1793">
              <w:rPr>
                <w:rStyle w:val="Hyperlink"/>
                <w:noProof/>
              </w:rPr>
              <w:t>1.2.</w:t>
            </w:r>
            <w:r w:rsidR="00AF1793">
              <w:rPr>
                <w:rFonts w:asciiTheme="minorHAnsi" w:hAnsiTheme="minorHAnsi" w:cstheme="minorBidi"/>
                <w:noProof/>
                <w:sz w:val="22"/>
              </w:rPr>
              <w:tab/>
            </w:r>
            <w:r w:rsidRPr="00FC6056" w:rsidR="00AF1793">
              <w:rPr>
                <w:rStyle w:val="Hyperlink"/>
                <w:noProof/>
              </w:rPr>
              <w:t>Public Utilities Code Section 769 and the Creation of the Competitive Solicitation Framework and the Distribution Investment Deferral Framework</w:t>
            </w:r>
            <w:r w:rsidR="00AF1793">
              <w:rPr>
                <w:noProof/>
                <w:webHidden/>
              </w:rPr>
              <w:tab/>
            </w:r>
            <w:r w:rsidR="00AF1793">
              <w:rPr>
                <w:noProof/>
                <w:webHidden/>
              </w:rPr>
              <w:fldChar w:fldCharType="begin"/>
            </w:r>
            <w:r w:rsidR="00AF1793">
              <w:rPr>
                <w:noProof/>
                <w:webHidden/>
              </w:rPr>
              <w:instrText xml:space="preserve"> PAGEREF _Toc63778667 \h </w:instrText>
            </w:r>
            <w:r w:rsidR="00AF1793">
              <w:rPr>
                <w:noProof/>
                <w:webHidden/>
              </w:rPr>
            </w:r>
            <w:r w:rsidR="00AF1793">
              <w:rPr>
                <w:noProof/>
                <w:webHidden/>
              </w:rPr>
              <w:fldChar w:fldCharType="separate"/>
            </w:r>
            <w:r w:rsidR="00AF1793">
              <w:rPr>
                <w:noProof/>
                <w:webHidden/>
              </w:rPr>
              <w:t>5</w:t>
            </w:r>
            <w:r w:rsidR="00AF1793">
              <w:rPr>
                <w:noProof/>
                <w:webHidden/>
              </w:rPr>
              <w:fldChar w:fldCharType="end"/>
            </w:r>
          </w:hyperlink>
        </w:p>
        <w:p w:rsidR="00AF1793" w:rsidRDefault="00595EB3" w14:paraId="3238174D" w14:textId="2E31F51E">
          <w:pPr>
            <w:pStyle w:val="TOC1"/>
            <w:tabs>
              <w:tab w:val="right" w:leader="dot" w:pos="9350"/>
            </w:tabs>
            <w:rPr>
              <w:rFonts w:asciiTheme="minorHAnsi" w:hAnsiTheme="minorHAnsi" w:cstheme="minorBidi"/>
              <w:noProof/>
              <w:sz w:val="22"/>
            </w:rPr>
          </w:pPr>
          <w:hyperlink w:history="1" w:anchor="_Toc63778668">
            <w:r w:rsidRPr="00FC6056" w:rsidR="00AF1793">
              <w:rPr>
                <w:rStyle w:val="Hyperlink"/>
                <w:noProof/>
              </w:rPr>
              <w:t>2.</w:t>
            </w:r>
            <w:r w:rsidR="00AF1793">
              <w:rPr>
                <w:rFonts w:asciiTheme="minorHAnsi" w:hAnsiTheme="minorHAnsi" w:cstheme="minorBidi"/>
                <w:noProof/>
                <w:sz w:val="22"/>
              </w:rPr>
              <w:tab/>
            </w:r>
            <w:r w:rsidRPr="00FC6056" w:rsidR="00AF1793">
              <w:rPr>
                <w:rStyle w:val="Hyperlink"/>
                <w:noProof/>
              </w:rPr>
              <w:t>Brief Overview of Staff Proposal</w:t>
            </w:r>
            <w:r w:rsidR="00AF1793">
              <w:rPr>
                <w:noProof/>
                <w:webHidden/>
              </w:rPr>
              <w:tab/>
            </w:r>
            <w:r w:rsidR="00AF1793">
              <w:rPr>
                <w:noProof/>
                <w:webHidden/>
              </w:rPr>
              <w:fldChar w:fldCharType="begin"/>
            </w:r>
            <w:r w:rsidR="00AF1793">
              <w:rPr>
                <w:noProof/>
                <w:webHidden/>
              </w:rPr>
              <w:instrText xml:space="preserve"> PAGEREF _Toc63778668 \h </w:instrText>
            </w:r>
            <w:r w:rsidR="00AF1793">
              <w:rPr>
                <w:noProof/>
                <w:webHidden/>
              </w:rPr>
            </w:r>
            <w:r w:rsidR="00AF1793">
              <w:rPr>
                <w:noProof/>
                <w:webHidden/>
              </w:rPr>
              <w:fldChar w:fldCharType="separate"/>
            </w:r>
            <w:r w:rsidR="00AF1793">
              <w:rPr>
                <w:noProof/>
                <w:webHidden/>
              </w:rPr>
              <w:t>6</w:t>
            </w:r>
            <w:r w:rsidR="00AF1793">
              <w:rPr>
                <w:noProof/>
                <w:webHidden/>
              </w:rPr>
              <w:fldChar w:fldCharType="end"/>
            </w:r>
          </w:hyperlink>
        </w:p>
        <w:p w:rsidR="00AF1793" w:rsidRDefault="00595EB3" w14:paraId="2CE2A2CA" w14:textId="29F7B171">
          <w:pPr>
            <w:pStyle w:val="TOC1"/>
            <w:tabs>
              <w:tab w:val="right" w:leader="dot" w:pos="9350"/>
            </w:tabs>
            <w:rPr>
              <w:rFonts w:asciiTheme="minorHAnsi" w:hAnsiTheme="minorHAnsi" w:cstheme="minorBidi"/>
              <w:noProof/>
              <w:sz w:val="22"/>
            </w:rPr>
          </w:pPr>
          <w:hyperlink w:history="1" w:anchor="_Toc63778669">
            <w:r w:rsidRPr="00FC6056" w:rsidR="00AF1793">
              <w:rPr>
                <w:rStyle w:val="Hyperlink"/>
                <w:noProof/>
              </w:rPr>
              <w:t>3.</w:t>
            </w:r>
            <w:r w:rsidR="00AF1793">
              <w:rPr>
                <w:rFonts w:asciiTheme="minorHAnsi" w:hAnsiTheme="minorHAnsi" w:cstheme="minorBidi"/>
                <w:noProof/>
                <w:sz w:val="22"/>
              </w:rPr>
              <w:tab/>
            </w:r>
            <w:r w:rsidRPr="00FC6056" w:rsidR="00AF1793">
              <w:rPr>
                <w:rStyle w:val="Hyperlink"/>
                <w:noProof/>
              </w:rPr>
              <w:t>Issues Before the Commission</w:t>
            </w:r>
            <w:r w:rsidR="00AF1793">
              <w:rPr>
                <w:noProof/>
                <w:webHidden/>
              </w:rPr>
              <w:tab/>
            </w:r>
            <w:r w:rsidR="00AF1793">
              <w:rPr>
                <w:noProof/>
                <w:webHidden/>
              </w:rPr>
              <w:fldChar w:fldCharType="begin"/>
            </w:r>
            <w:r w:rsidR="00AF1793">
              <w:rPr>
                <w:noProof/>
                <w:webHidden/>
              </w:rPr>
              <w:instrText xml:space="preserve"> PAGEREF _Toc63778669 \h </w:instrText>
            </w:r>
            <w:r w:rsidR="00AF1793">
              <w:rPr>
                <w:noProof/>
                <w:webHidden/>
              </w:rPr>
            </w:r>
            <w:r w:rsidR="00AF1793">
              <w:rPr>
                <w:noProof/>
                <w:webHidden/>
              </w:rPr>
              <w:fldChar w:fldCharType="separate"/>
            </w:r>
            <w:r w:rsidR="00AF1793">
              <w:rPr>
                <w:noProof/>
                <w:webHidden/>
              </w:rPr>
              <w:t>8</w:t>
            </w:r>
            <w:r w:rsidR="00AF1793">
              <w:rPr>
                <w:noProof/>
                <w:webHidden/>
              </w:rPr>
              <w:fldChar w:fldCharType="end"/>
            </w:r>
          </w:hyperlink>
        </w:p>
        <w:p w:rsidR="00AF1793" w:rsidRDefault="00595EB3" w14:paraId="0D8BF39B" w14:textId="45B266FB">
          <w:pPr>
            <w:pStyle w:val="TOC1"/>
            <w:tabs>
              <w:tab w:val="right" w:leader="dot" w:pos="9350"/>
            </w:tabs>
            <w:rPr>
              <w:rFonts w:asciiTheme="minorHAnsi" w:hAnsiTheme="minorHAnsi" w:cstheme="minorBidi"/>
              <w:noProof/>
              <w:sz w:val="22"/>
            </w:rPr>
          </w:pPr>
          <w:hyperlink w:history="1" w:anchor="_Toc63778670">
            <w:r w:rsidRPr="00FC6056" w:rsidR="00AF1793">
              <w:rPr>
                <w:rStyle w:val="Hyperlink"/>
                <w:noProof/>
              </w:rPr>
              <w:t>4.</w:t>
            </w:r>
            <w:r w:rsidR="00AF1793">
              <w:rPr>
                <w:rFonts w:asciiTheme="minorHAnsi" w:hAnsiTheme="minorHAnsi" w:cstheme="minorBidi"/>
                <w:noProof/>
                <w:sz w:val="22"/>
              </w:rPr>
              <w:tab/>
            </w:r>
            <w:r w:rsidRPr="00FC6056" w:rsidR="00AF1793">
              <w:rPr>
                <w:rStyle w:val="Hyperlink"/>
                <w:noProof/>
              </w:rPr>
              <w:t>Consideration of the Staff Proposal</w:t>
            </w:r>
            <w:r w:rsidR="00AF1793">
              <w:rPr>
                <w:noProof/>
                <w:webHidden/>
              </w:rPr>
              <w:tab/>
            </w:r>
            <w:r w:rsidR="00AF1793">
              <w:rPr>
                <w:noProof/>
                <w:webHidden/>
              </w:rPr>
              <w:fldChar w:fldCharType="begin"/>
            </w:r>
            <w:r w:rsidR="00AF1793">
              <w:rPr>
                <w:noProof/>
                <w:webHidden/>
              </w:rPr>
              <w:instrText xml:space="preserve"> PAGEREF _Toc63778670 \h </w:instrText>
            </w:r>
            <w:r w:rsidR="00AF1793">
              <w:rPr>
                <w:noProof/>
                <w:webHidden/>
              </w:rPr>
            </w:r>
            <w:r w:rsidR="00AF1793">
              <w:rPr>
                <w:noProof/>
                <w:webHidden/>
              </w:rPr>
              <w:fldChar w:fldCharType="separate"/>
            </w:r>
            <w:r w:rsidR="00AF1793">
              <w:rPr>
                <w:noProof/>
                <w:webHidden/>
              </w:rPr>
              <w:t>8</w:t>
            </w:r>
            <w:r w:rsidR="00AF1793">
              <w:rPr>
                <w:noProof/>
                <w:webHidden/>
              </w:rPr>
              <w:fldChar w:fldCharType="end"/>
            </w:r>
          </w:hyperlink>
        </w:p>
        <w:p w:rsidR="00AF1793" w:rsidRDefault="00595EB3" w14:paraId="4D0D3B14" w14:textId="092DF3B3">
          <w:pPr>
            <w:pStyle w:val="TOC2"/>
            <w:tabs>
              <w:tab w:val="right" w:leader="dot" w:pos="9350"/>
            </w:tabs>
            <w:rPr>
              <w:rFonts w:asciiTheme="minorHAnsi" w:hAnsiTheme="minorHAnsi" w:cstheme="minorBidi"/>
              <w:noProof/>
              <w:sz w:val="22"/>
            </w:rPr>
          </w:pPr>
          <w:hyperlink w:history="1" w:anchor="_Toc63778671">
            <w:r w:rsidRPr="00FC6056" w:rsidR="00AF1793">
              <w:rPr>
                <w:rStyle w:val="Hyperlink"/>
                <w:noProof/>
              </w:rPr>
              <w:t>4.1.</w:t>
            </w:r>
            <w:r w:rsidR="00AF1793">
              <w:rPr>
                <w:rFonts w:asciiTheme="minorHAnsi" w:hAnsiTheme="minorHAnsi" w:cstheme="minorBidi"/>
                <w:noProof/>
                <w:sz w:val="22"/>
              </w:rPr>
              <w:tab/>
            </w:r>
            <w:r w:rsidRPr="00FC6056" w:rsidR="00AF1793">
              <w:rPr>
                <w:rStyle w:val="Hyperlink"/>
                <w:noProof/>
              </w:rPr>
              <w:t>Guiding Principles</w:t>
            </w:r>
            <w:r w:rsidR="00AF1793">
              <w:rPr>
                <w:noProof/>
                <w:webHidden/>
              </w:rPr>
              <w:tab/>
            </w:r>
            <w:r w:rsidR="00AF1793">
              <w:rPr>
                <w:noProof/>
                <w:webHidden/>
              </w:rPr>
              <w:fldChar w:fldCharType="begin"/>
            </w:r>
            <w:r w:rsidR="00AF1793">
              <w:rPr>
                <w:noProof/>
                <w:webHidden/>
              </w:rPr>
              <w:instrText xml:space="preserve"> PAGEREF _Toc63778671 \h </w:instrText>
            </w:r>
            <w:r w:rsidR="00AF1793">
              <w:rPr>
                <w:noProof/>
                <w:webHidden/>
              </w:rPr>
            </w:r>
            <w:r w:rsidR="00AF1793">
              <w:rPr>
                <w:noProof/>
                <w:webHidden/>
              </w:rPr>
              <w:fldChar w:fldCharType="separate"/>
            </w:r>
            <w:r w:rsidR="00AF1793">
              <w:rPr>
                <w:noProof/>
                <w:webHidden/>
              </w:rPr>
              <w:t>8</w:t>
            </w:r>
            <w:r w:rsidR="00AF1793">
              <w:rPr>
                <w:noProof/>
                <w:webHidden/>
              </w:rPr>
              <w:fldChar w:fldCharType="end"/>
            </w:r>
          </w:hyperlink>
        </w:p>
        <w:p w:rsidR="00AF1793" w:rsidRDefault="00595EB3" w14:paraId="0FA049D5" w14:textId="36134D47">
          <w:pPr>
            <w:pStyle w:val="TOC3"/>
            <w:tabs>
              <w:tab w:val="left" w:pos="1296"/>
              <w:tab w:val="right" w:leader="dot" w:pos="9350"/>
            </w:tabs>
            <w:rPr>
              <w:rFonts w:asciiTheme="minorHAnsi" w:hAnsiTheme="minorHAnsi" w:cstheme="minorBidi"/>
              <w:noProof/>
              <w:sz w:val="22"/>
            </w:rPr>
          </w:pPr>
          <w:hyperlink w:history="1" w:anchor="_Toc63778672">
            <w:r w:rsidRPr="00FC6056" w:rsidR="00AF1793">
              <w:rPr>
                <w:rStyle w:val="Hyperlink"/>
                <w:noProof/>
              </w:rPr>
              <w:t>4.1.1.</w:t>
            </w:r>
            <w:r w:rsidR="00AF1793">
              <w:rPr>
                <w:rFonts w:asciiTheme="minorHAnsi" w:hAnsiTheme="minorHAnsi" w:cstheme="minorBidi"/>
                <w:noProof/>
                <w:sz w:val="22"/>
              </w:rPr>
              <w:tab/>
            </w:r>
            <w:r w:rsidRPr="00FC6056" w:rsidR="00AF1793">
              <w:rPr>
                <w:rStyle w:val="Hyperlink"/>
                <w:noProof/>
              </w:rPr>
              <w:t>Proposed Guiding Principles</w:t>
            </w:r>
            <w:r w:rsidR="00AF1793">
              <w:rPr>
                <w:noProof/>
                <w:webHidden/>
              </w:rPr>
              <w:tab/>
            </w:r>
            <w:r w:rsidR="00AF1793">
              <w:rPr>
                <w:noProof/>
                <w:webHidden/>
              </w:rPr>
              <w:fldChar w:fldCharType="begin"/>
            </w:r>
            <w:r w:rsidR="00AF1793">
              <w:rPr>
                <w:noProof/>
                <w:webHidden/>
              </w:rPr>
              <w:instrText xml:space="preserve"> PAGEREF _Toc63778672 \h </w:instrText>
            </w:r>
            <w:r w:rsidR="00AF1793">
              <w:rPr>
                <w:noProof/>
                <w:webHidden/>
              </w:rPr>
            </w:r>
            <w:r w:rsidR="00AF1793">
              <w:rPr>
                <w:noProof/>
                <w:webHidden/>
              </w:rPr>
              <w:fldChar w:fldCharType="separate"/>
            </w:r>
            <w:r w:rsidR="00AF1793">
              <w:rPr>
                <w:noProof/>
                <w:webHidden/>
              </w:rPr>
              <w:t>9</w:t>
            </w:r>
            <w:r w:rsidR="00AF1793">
              <w:rPr>
                <w:noProof/>
                <w:webHidden/>
              </w:rPr>
              <w:fldChar w:fldCharType="end"/>
            </w:r>
          </w:hyperlink>
        </w:p>
        <w:p w:rsidR="00AF1793" w:rsidRDefault="00595EB3" w14:paraId="133D2282" w14:textId="31FD8315">
          <w:pPr>
            <w:pStyle w:val="TOC3"/>
            <w:tabs>
              <w:tab w:val="left" w:pos="1296"/>
              <w:tab w:val="right" w:leader="dot" w:pos="9350"/>
            </w:tabs>
            <w:rPr>
              <w:rFonts w:asciiTheme="minorHAnsi" w:hAnsiTheme="minorHAnsi" w:cstheme="minorBidi"/>
              <w:noProof/>
              <w:sz w:val="22"/>
            </w:rPr>
          </w:pPr>
          <w:hyperlink w:history="1" w:anchor="_Toc63778673">
            <w:r w:rsidRPr="00FC6056" w:rsidR="00AF1793">
              <w:rPr>
                <w:rStyle w:val="Hyperlink"/>
                <w:noProof/>
              </w:rPr>
              <w:t>4.1.2.</w:t>
            </w:r>
            <w:r w:rsidR="00AF1793">
              <w:rPr>
                <w:rFonts w:asciiTheme="minorHAnsi" w:hAnsiTheme="minorHAnsi" w:cstheme="minorBidi"/>
                <w:noProof/>
                <w:sz w:val="22"/>
              </w:rPr>
              <w:tab/>
            </w:r>
            <w:r w:rsidRPr="00FC6056" w:rsidR="00AF1793">
              <w:rPr>
                <w:rStyle w:val="Hyperlink"/>
                <w:noProof/>
              </w:rPr>
              <w:t>Adoption of Guiding Principles</w:t>
            </w:r>
            <w:r w:rsidR="00AF1793">
              <w:rPr>
                <w:noProof/>
                <w:webHidden/>
              </w:rPr>
              <w:tab/>
            </w:r>
            <w:r w:rsidR="00AF1793">
              <w:rPr>
                <w:noProof/>
                <w:webHidden/>
              </w:rPr>
              <w:fldChar w:fldCharType="begin"/>
            </w:r>
            <w:r w:rsidR="00AF1793">
              <w:rPr>
                <w:noProof/>
                <w:webHidden/>
              </w:rPr>
              <w:instrText xml:space="preserve"> PAGEREF _Toc63778673 \h </w:instrText>
            </w:r>
            <w:r w:rsidR="00AF1793">
              <w:rPr>
                <w:noProof/>
                <w:webHidden/>
              </w:rPr>
            </w:r>
            <w:r w:rsidR="00AF1793">
              <w:rPr>
                <w:noProof/>
                <w:webHidden/>
              </w:rPr>
              <w:fldChar w:fldCharType="separate"/>
            </w:r>
            <w:r w:rsidR="00AF1793">
              <w:rPr>
                <w:noProof/>
                <w:webHidden/>
              </w:rPr>
              <w:t>10</w:t>
            </w:r>
            <w:r w:rsidR="00AF1793">
              <w:rPr>
                <w:noProof/>
                <w:webHidden/>
              </w:rPr>
              <w:fldChar w:fldCharType="end"/>
            </w:r>
          </w:hyperlink>
        </w:p>
        <w:p w:rsidR="00AF1793" w:rsidRDefault="00595EB3" w14:paraId="2B619C8F" w14:textId="5151941C">
          <w:pPr>
            <w:pStyle w:val="TOC4"/>
            <w:tabs>
              <w:tab w:val="left" w:pos="1728"/>
              <w:tab w:val="right" w:leader="dot" w:pos="9350"/>
            </w:tabs>
            <w:rPr>
              <w:rFonts w:asciiTheme="minorHAnsi" w:hAnsiTheme="minorHAnsi" w:eastAsiaTheme="minorEastAsia"/>
              <w:noProof/>
              <w:sz w:val="22"/>
            </w:rPr>
          </w:pPr>
          <w:hyperlink w:history="1" w:anchor="_Toc63778674">
            <w:r w:rsidRPr="00FC6056" w:rsidR="00AF1793">
              <w:rPr>
                <w:rStyle w:val="Hyperlink"/>
                <w:noProof/>
              </w:rPr>
              <w:t>4.1.2.1.</w:t>
            </w:r>
            <w:r w:rsidR="00AF1793">
              <w:rPr>
                <w:rFonts w:asciiTheme="minorHAnsi" w:hAnsiTheme="minorHAnsi" w:eastAsiaTheme="minorEastAsia"/>
                <w:noProof/>
                <w:sz w:val="22"/>
              </w:rPr>
              <w:tab/>
            </w:r>
            <w:r w:rsidRPr="00FC6056" w:rsidR="00AF1793">
              <w:rPr>
                <w:rStyle w:val="Hyperlink"/>
                <w:noProof/>
              </w:rPr>
              <w:t>Requests to Omit Certain Proposed Guiding Principles</w:t>
            </w:r>
            <w:r w:rsidR="00AF1793">
              <w:rPr>
                <w:noProof/>
                <w:webHidden/>
              </w:rPr>
              <w:tab/>
            </w:r>
            <w:r w:rsidR="00AF1793">
              <w:rPr>
                <w:noProof/>
                <w:webHidden/>
              </w:rPr>
              <w:fldChar w:fldCharType="begin"/>
            </w:r>
            <w:r w:rsidR="00AF1793">
              <w:rPr>
                <w:noProof/>
                <w:webHidden/>
              </w:rPr>
              <w:instrText xml:space="preserve"> PAGEREF _Toc63778674 \h </w:instrText>
            </w:r>
            <w:r w:rsidR="00AF1793">
              <w:rPr>
                <w:noProof/>
                <w:webHidden/>
              </w:rPr>
            </w:r>
            <w:r w:rsidR="00AF1793">
              <w:rPr>
                <w:noProof/>
                <w:webHidden/>
              </w:rPr>
              <w:fldChar w:fldCharType="separate"/>
            </w:r>
            <w:r w:rsidR="00AF1793">
              <w:rPr>
                <w:noProof/>
                <w:webHidden/>
              </w:rPr>
              <w:t>12</w:t>
            </w:r>
            <w:r w:rsidR="00AF1793">
              <w:rPr>
                <w:noProof/>
                <w:webHidden/>
              </w:rPr>
              <w:fldChar w:fldCharType="end"/>
            </w:r>
          </w:hyperlink>
        </w:p>
        <w:p w:rsidR="00AF1793" w:rsidRDefault="00595EB3" w14:paraId="5ABFF0CA" w14:textId="232B973D">
          <w:pPr>
            <w:pStyle w:val="TOC4"/>
            <w:tabs>
              <w:tab w:val="left" w:pos="1728"/>
              <w:tab w:val="right" w:leader="dot" w:pos="9350"/>
            </w:tabs>
            <w:rPr>
              <w:rFonts w:asciiTheme="minorHAnsi" w:hAnsiTheme="minorHAnsi" w:eastAsiaTheme="minorEastAsia"/>
              <w:noProof/>
              <w:sz w:val="22"/>
            </w:rPr>
          </w:pPr>
          <w:hyperlink w:history="1" w:anchor="_Toc63778675">
            <w:r w:rsidRPr="00FC6056" w:rsidR="00AF1793">
              <w:rPr>
                <w:rStyle w:val="Hyperlink"/>
                <w:noProof/>
              </w:rPr>
              <w:t>4.1.2.2.</w:t>
            </w:r>
            <w:r w:rsidR="00AF1793">
              <w:rPr>
                <w:rFonts w:asciiTheme="minorHAnsi" w:hAnsiTheme="minorHAnsi" w:eastAsiaTheme="minorEastAsia"/>
                <w:noProof/>
                <w:sz w:val="22"/>
              </w:rPr>
              <w:tab/>
            </w:r>
            <w:r w:rsidRPr="00FC6056" w:rsidR="00AF1793">
              <w:rPr>
                <w:rStyle w:val="Hyperlink"/>
                <w:noProof/>
              </w:rPr>
              <w:t>Requests to Adopt Additional Guiding Principles</w:t>
            </w:r>
            <w:r w:rsidR="00AF1793">
              <w:rPr>
                <w:noProof/>
                <w:webHidden/>
              </w:rPr>
              <w:tab/>
            </w:r>
            <w:r w:rsidR="00AF1793">
              <w:rPr>
                <w:noProof/>
                <w:webHidden/>
              </w:rPr>
              <w:fldChar w:fldCharType="begin"/>
            </w:r>
            <w:r w:rsidR="00AF1793">
              <w:rPr>
                <w:noProof/>
                <w:webHidden/>
              </w:rPr>
              <w:instrText xml:space="preserve"> PAGEREF _Toc63778675 \h </w:instrText>
            </w:r>
            <w:r w:rsidR="00AF1793">
              <w:rPr>
                <w:noProof/>
                <w:webHidden/>
              </w:rPr>
            </w:r>
            <w:r w:rsidR="00AF1793">
              <w:rPr>
                <w:noProof/>
                <w:webHidden/>
              </w:rPr>
              <w:fldChar w:fldCharType="separate"/>
            </w:r>
            <w:r w:rsidR="00AF1793">
              <w:rPr>
                <w:noProof/>
                <w:webHidden/>
              </w:rPr>
              <w:t>15</w:t>
            </w:r>
            <w:r w:rsidR="00AF1793">
              <w:rPr>
                <w:noProof/>
                <w:webHidden/>
              </w:rPr>
              <w:fldChar w:fldCharType="end"/>
            </w:r>
          </w:hyperlink>
        </w:p>
        <w:p w:rsidR="00AF1793" w:rsidRDefault="00595EB3" w14:paraId="1085633B" w14:textId="7B43CFF3">
          <w:pPr>
            <w:pStyle w:val="TOC4"/>
            <w:tabs>
              <w:tab w:val="left" w:pos="1728"/>
              <w:tab w:val="right" w:leader="dot" w:pos="9350"/>
            </w:tabs>
            <w:rPr>
              <w:rFonts w:asciiTheme="minorHAnsi" w:hAnsiTheme="minorHAnsi" w:eastAsiaTheme="minorEastAsia"/>
              <w:noProof/>
              <w:sz w:val="22"/>
            </w:rPr>
          </w:pPr>
          <w:hyperlink w:history="1" w:anchor="_Toc63778676">
            <w:r w:rsidRPr="00FC6056" w:rsidR="00AF1793">
              <w:rPr>
                <w:rStyle w:val="Hyperlink"/>
                <w:noProof/>
              </w:rPr>
              <w:t>4.1.2.3.</w:t>
            </w:r>
            <w:r w:rsidR="00AF1793">
              <w:rPr>
                <w:rFonts w:asciiTheme="minorHAnsi" w:hAnsiTheme="minorHAnsi" w:eastAsiaTheme="minorEastAsia"/>
                <w:noProof/>
                <w:sz w:val="22"/>
              </w:rPr>
              <w:tab/>
            </w:r>
            <w:r w:rsidRPr="00FC6056" w:rsidR="00AF1793">
              <w:rPr>
                <w:rStyle w:val="Hyperlink"/>
                <w:noProof/>
              </w:rPr>
              <w:t>Refinement of the Guiding Principles</w:t>
            </w:r>
            <w:r w:rsidR="00AF1793">
              <w:rPr>
                <w:noProof/>
                <w:webHidden/>
              </w:rPr>
              <w:tab/>
            </w:r>
            <w:r w:rsidR="00AF1793">
              <w:rPr>
                <w:noProof/>
                <w:webHidden/>
              </w:rPr>
              <w:fldChar w:fldCharType="begin"/>
            </w:r>
            <w:r w:rsidR="00AF1793">
              <w:rPr>
                <w:noProof/>
                <w:webHidden/>
              </w:rPr>
              <w:instrText xml:space="preserve"> PAGEREF _Toc63778676 \h </w:instrText>
            </w:r>
            <w:r w:rsidR="00AF1793">
              <w:rPr>
                <w:noProof/>
                <w:webHidden/>
              </w:rPr>
            </w:r>
            <w:r w:rsidR="00AF1793">
              <w:rPr>
                <w:noProof/>
                <w:webHidden/>
              </w:rPr>
              <w:fldChar w:fldCharType="separate"/>
            </w:r>
            <w:r w:rsidR="00AF1793">
              <w:rPr>
                <w:noProof/>
                <w:webHidden/>
              </w:rPr>
              <w:t>16</w:t>
            </w:r>
            <w:r w:rsidR="00AF1793">
              <w:rPr>
                <w:noProof/>
                <w:webHidden/>
              </w:rPr>
              <w:fldChar w:fldCharType="end"/>
            </w:r>
          </w:hyperlink>
        </w:p>
        <w:p w:rsidR="00AF1793" w:rsidRDefault="00595EB3" w14:paraId="683C8CD9" w14:textId="640B1926">
          <w:pPr>
            <w:pStyle w:val="TOC4"/>
            <w:tabs>
              <w:tab w:val="left" w:pos="1728"/>
              <w:tab w:val="right" w:leader="dot" w:pos="9350"/>
            </w:tabs>
            <w:rPr>
              <w:rFonts w:asciiTheme="minorHAnsi" w:hAnsiTheme="minorHAnsi" w:eastAsiaTheme="minorEastAsia"/>
              <w:noProof/>
              <w:sz w:val="22"/>
            </w:rPr>
          </w:pPr>
          <w:hyperlink w:history="1" w:anchor="_Toc63778677">
            <w:r w:rsidRPr="00FC6056" w:rsidR="00AF1793">
              <w:rPr>
                <w:rStyle w:val="Hyperlink"/>
                <w:noProof/>
              </w:rPr>
              <w:t>4.1.2.4.</w:t>
            </w:r>
            <w:r w:rsidR="00AF1793">
              <w:rPr>
                <w:rFonts w:asciiTheme="minorHAnsi" w:hAnsiTheme="minorHAnsi" w:eastAsiaTheme="minorEastAsia"/>
                <w:noProof/>
                <w:sz w:val="22"/>
              </w:rPr>
              <w:tab/>
            </w:r>
            <w:r w:rsidRPr="00FC6056" w:rsidR="00AF1793">
              <w:rPr>
                <w:rStyle w:val="Hyperlink"/>
                <w:noProof/>
              </w:rPr>
              <w:t>Adopted Guiding Principles</w:t>
            </w:r>
            <w:r w:rsidR="00AF1793">
              <w:rPr>
                <w:noProof/>
                <w:webHidden/>
              </w:rPr>
              <w:tab/>
            </w:r>
            <w:r w:rsidR="00AF1793">
              <w:rPr>
                <w:noProof/>
                <w:webHidden/>
              </w:rPr>
              <w:fldChar w:fldCharType="begin"/>
            </w:r>
            <w:r w:rsidR="00AF1793">
              <w:rPr>
                <w:noProof/>
                <w:webHidden/>
              </w:rPr>
              <w:instrText xml:space="preserve"> PAGEREF _Toc63778677 \h </w:instrText>
            </w:r>
            <w:r w:rsidR="00AF1793">
              <w:rPr>
                <w:noProof/>
                <w:webHidden/>
              </w:rPr>
            </w:r>
            <w:r w:rsidR="00AF1793">
              <w:rPr>
                <w:noProof/>
                <w:webHidden/>
              </w:rPr>
              <w:fldChar w:fldCharType="separate"/>
            </w:r>
            <w:r w:rsidR="00AF1793">
              <w:rPr>
                <w:noProof/>
                <w:webHidden/>
              </w:rPr>
              <w:t>20</w:t>
            </w:r>
            <w:r w:rsidR="00AF1793">
              <w:rPr>
                <w:noProof/>
                <w:webHidden/>
              </w:rPr>
              <w:fldChar w:fldCharType="end"/>
            </w:r>
          </w:hyperlink>
        </w:p>
        <w:p w:rsidR="00AF1793" w:rsidRDefault="00595EB3" w14:paraId="75F4466F" w14:textId="4121DE5E">
          <w:pPr>
            <w:pStyle w:val="TOC2"/>
            <w:tabs>
              <w:tab w:val="right" w:leader="dot" w:pos="9350"/>
            </w:tabs>
            <w:rPr>
              <w:rFonts w:asciiTheme="minorHAnsi" w:hAnsiTheme="minorHAnsi" w:cstheme="minorBidi"/>
              <w:noProof/>
              <w:sz w:val="22"/>
            </w:rPr>
          </w:pPr>
          <w:hyperlink w:history="1" w:anchor="_Toc63778678">
            <w:r w:rsidRPr="00FC6056" w:rsidR="00AF1793">
              <w:rPr>
                <w:rStyle w:val="Hyperlink"/>
                <w:noProof/>
              </w:rPr>
              <w:t>4.2.</w:t>
            </w:r>
            <w:r w:rsidR="00AF1793">
              <w:rPr>
                <w:rFonts w:asciiTheme="minorHAnsi" w:hAnsiTheme="minorHAnsi" w:cstheme="minorBidi"/>
                <w:noProof/>
                <w:sz w:val="22"/>
              </w:rPr>
              <w:tab/>
            </w:r>
            <w:r w:rsidRPr="00FC6056" w:rsidR="00AF1793">
              <w:rPr>
                <w:rStyle w:val="Hyperlink"/>
                <w:noProof/>
              </w:rPr>
              <w:t>Distribution Deferral Tariff and Pilot</w:t>
            </w:r>
            <w:r w:rsidR="00AF1793">
              <w:rPr>
                <w:noProof/>
                <w:webHidden/>
              </w:rPr>
              <w:tab/>
            </w:r>
            <w:r w:rsidR="00AF1793">
              <w:rPr>
                <w:noProof/>
                <w:webHidden/>
              </w:rPr>
              <w:fldChar w:fldCharType="begin"/>
            </w:r>
            <w:r w:rsidR="00AF1793">
              <w:rPr>
                <w:noProof/>
                <w:webHidden/>
              </w:rPr>
              <w:instrText xml:space="preserve"> PAGEREF _Toc63778678 \h </w:instrText>
            </w:r>
            <w:r w:rsidR="00AF1793">
              <w:rPr>
                <w:noProof/>
                <w:webHidden/>
              </w:rPr>
            </w:r>
            <w:r w:rsidR="00AF1793">
              <w:rPr>
                <w:noProof/>
                <w:webHidden/>
              </w:rPr>
              <w:fldChar w:fldCharType="separate"/>
            </w:r>
            <w:r w:rsidR="00AF1793">
              <w:rPr>
                <w:noProof/>
                <w:webHidden/>
              </w:rPr>
              <w:t>21</w:t>
            </w:r>
            <w:r w:rsidR="00AF1793">
              <w:rPr>
                <w:noProof/>
                <w:webHidden/>
              </w:rPr>
              <w:fldChar w:fldCharType="end"/>
            </w:r>
          </w:hyperlink>
        </w:p>
        <w:p w:rsidR="00AF1793" w:rsidRDefault="00595EB3" w14:paraId="373EF5DA" w14:textId="3AA01FD1">
          <w:pPr>
            <w:pStyle w:val="TOC3"/>
            <w:tabs>
              <w:tab w:val="left" w:pos="1296"/>
              <w:tab w:val="right" w:leader="dot" w:pos="9350"/>
            </w:tabs>
            <w:rPr>
              <w:rFonts w:asciiTheme="minorHAnsi" w:hAnsiTheme="minorHAnsi" w:cstheme="minorBidi"/>
              <w:noProof/>
              <w:sz w:val="22"/>
            </w:rPr>
          </w:pPr>
          <w:hyperlink w:history="1" w:anchor="_Toc63778679">
            <w:r w:rsidRPr="00FC6056" w:rsidR="00AF1793">
              <w:rPr>
                <w:rStyle w:val="Hyperlink"/>
                <w:noProof/>
              </w:rPr>
              <w:t>4.2.1.</w:t>
            </w:r>
            <w:r w:rsidR="00AF1793">
              <w:rPr>
                <w:rFonts w:asciiTheme="minorHAnsi" w:hAnsiTheme="minorHAnsi" w:cstheme="minorBidi"/>
                <w:noProof/>
                <w:sz w:val="22"/>
              </w:rPr>
              <w:tab/>
            </w:r>
            <w:r w:rsidRPr="00FC6056" w:rsidR="00AF1793">
              <w:rPr>
                <w:rStyle w:val="Hyperlink"/>
                <w:noProof/>
              </w:rPr>
              <w:t>Proposed Distribution Deferral Tariff</w:t>
            </w:r>
            <w:r w:rsidR="00AF1793">
              <w:rPr>
                <w:noProof/>
                <w:webHidden/>
              </w:rPr>
              <w:tab/>
            </w:r>
            <w:r w:rsidR="00AF1793">
              <w:rPr>
                <w:noProof/>
                <w:webHidden/>
              </w:rPr>
              <w:fldChar w:fldCharType="begin"/>
            </w:r>
            <w:r w:rsidR="00AF1793">
              <w:rPr>
                <w:noProof/>
                <w:webHidden/>
              </w:rPr>
              <w:instrText xml:space="preserve"> PAGEREF _Toc63778679 \h </w:instrText>
            </w:r>
            <w:r w:rsidR="00AF1793">
              <w:rPr>
                <w:noProof/>
                <w:webHidden/>
              </w:rPr>
            </w:r>
            <w:r w:rsidR="00AF1793">
              <w:rPr>
                <w:noProof/>
                <w:webHidden/>
              </w:rPr>
              <w:fldChar w:fldCharType="separate"/>
            </w:r>
            <w:r w:rsidR="00AF1793">
              <w:rPr>
                <w:noProof/>
                <w:webHidden/>
              </w:rPr>
              <w:t>21</w:t>
            </w:r>
            <w:r w:rsidR="00AF1793">
              <w:rPr>
                <w:noProof/>
                <w:webHidden/>
              </w:rPr>
              <w:fldChar w:fldCharType="end"/>
            </w:r>
          </w:hyperlink>
        </w:p>
        <w:p w:rsidR="00AF1793" w:rsidRDefault="00595EB3" w14:paraId="056A8AD5" w14:textId="4DD24B71">
          <w:pPr>
            <w:pStyle w:val="TOC3"/>
            <w:tabs>
              <w:tab w:val="left" w:pos="1296"/>
              <w:tab w:val="right" w:leader="dot" w:pos="9350"/>
            </w:tabs>
            <w:rPr>
              <w:rFonts w:asciiTheme="minorHAnsi" w:hAnsiTheme="minorHAnsi" w:cstheme="minorBidi"/>
              <w:noProof/>
              <w:sz w:val="22"/>
            </w:rPr>
          </w:pPr>
          <w:hyperlink w:history="1" w:anchor="_Toc63778680">
            <w:r w:rsidRPr="00FC6056" w:rsidR="00AF1793">
              <w:rPr>
                <w:rStyle w:val="Hyperlink"/>
                <w:noProof/>
              </w:rPr>
              <w:t>4.2.2.</w:t>
            </w:r>
            <w:r w:rsidR="00AF1793">
              <w:rPr>
                <w:rFonts w:asciiTheme="minorHAnsi" w:hAnsiTheme="minorHAnsi" w:cstheme="minorBidi"/>
                <w:noProof/>
                <w:sz w:val="22"/>
              </w:rPr>
              <w:tab/>
            </w:r>
            <w:r w:rsidRPr="00FC6056" w:rsidR="00AF1793">
              <w:rPr>
                <w:rStyle w:val="Hyperlink"/>
                <w:noProof/>
              </w:rPr>
              <w:t>Proposed Deferral Opportunity Pilot</w:t>
            </w:r>
            <w:r w:rsidR="00AF1793">
              <w:rPr>
                <w:noProof/>
                <w:webHidden/>
              </w:rPr>
              <w:tab/>
            </w:r>
            <w:r w:rsidR="00AF1793">
              <w:rPr>
                <w:noProof/>
                <w:webHidden/>
              </w:rPr>
              <w:fldChar w:fldCharType="begin"/>
            </w:r>
            <w:r w:rsidR="00AF1793">
              <w:rPr>
                <w:noProof/>
                <w:webHidden/>
              </w:rPr>
              <w:instrText xml:space="preserve"> PAGEREF _Toc63778680 \h </w:instrText>
            </w:r>
            <w:r w:rsidR="00AF1793">
              <w:rPr>
                <w:noProof/>
                <w:webHidden/>
              </w:rPr>
            </w:r>
            <w:r w:rsidR="00AF1793">
              <w:rPr>
                <w:noProof/>
                <w:webHidden/>
              </w:rPr>
              <w:fldChar w:fldCharType="separate"/>
            </w:r>
            <w:r w:rsidR="00AF1793">
              <w:rPr>
                <w:noProof/>
                <w:webHidden/>
              </w:rPr>
              <w:t>24</w:t>
            </w:r>
            <w:r w:rsidR="00AF1793">
              <w:rPr>
                <w:noProof/>
                <w:webHidden/>
              </w:rPr>
              <w:fldChar w:fldCharType="end"/>
            </w:r>
          </w:hyperlink>
        </w:p>
        <w:p w:rsidR="00AF1793" w:rsidRDefault="00595EB3" w14:paraId="635CD0AA" w14:textId="1499364D">
          <w:pPr>
            <w:pStyle w:val="TOC3"/>
            <w:tabs>
              <w:tab w:val="left" w:pos="1296"/>
              <w:tab w:val="right" w:leader="dot" w:pos="9350"/>
            </w:tabs>
            <w:rPr>
              <w:rFonts w:asciiTheme="minorHAnsi" w:hAnsiTheme="minorHAnsi" w:cstheme="minorBidi"/>
              <w:noProof/>
              <w:sz w:val="22"/>
            </w:rPr>
          </w:pPr>
          <w:hyperlink w:history="1" w:anchor="_Toc63778681">
            <w:r w:rsidRPr="00FC6056" w:rsidR="00AF1793">
              <w:rPr>
                <w:rStyle w:val="Hyperlink"/>
                <w:noProof/>
              </w:rPr>
              <w:t>4.2.3.</w:t>
            </w:r>
            <w:r w:rsidR="00AF1793">
              <w:rPr>
                <w:rFonts w:asciiTheme="minorHAnsi" w:hAnsiTheme="minorHAnsi" w:cstheme="minorBidi"/>
                <w:noProof/>
                <w:sz w:val="22"/>
              </w:rPr>
              <w:tab/>
            </w:r>
            <w:r w:rsidRPr="00FC6056" w:rsidR="00AF1793">
              <w:rPr>
                <w:rStyle w:val="Hyperlink"/>
                <w:noProof/>
              </w:rPr>
              <w:t>Adoption of Partnership Pilot</w:t>
            </w:r>
            <w:r w:rsidR="00AF1793">
              <w:rPr>
                <w:noProof/>
                <w:webHidden/>
              </w:rPr>
              <w:tab/>
            </w:r>
            <w:r w:rsidR="00AF1793">
              <w:rPr>
                <w:noProof/>
                <w:webHidden/>
              </w:rPr>
              <w:fldChar w:fldCharType="begin"/>
            </w:r>
            <w:r w:rsidR="00AF1793">
              <w:rPr>
                <w:noProof/>
                <w:webHidden/>
              </w:rPr>
              <w:instrText xml:space="preserve"> PAGEREF _Toc63778681 \h </w:instrText>
            </w:r>
            <w:r w:rsidR="00AF1793">
              <w:rPr>
                <w:noProof/>
                <w:webHidden/>
              </w:rPr>
            </w:r>
            <w:r w:rsidR="00AF1793">
              <w:rPr>
                <w:noProof/>
                <w:webHidden/>
              </w:rPr>
              <w:fldChar w:fldCharType="separate"/>
            </w:r>
            <w:r w:rsidR="00AF1793">
              <w:rPr>
                <w:noProof/>
                <w:webHidden/>
              </w:rPr>
              <w:t>25</w:t>
            </w:r>
            <w:r w:rsidR="00AF1793">
              <w:rPr>
                <w:noProof/>
                <w:webHidden/>
              </w:rPr>
              <w:fldChar w:fldCharType="end"/>
            </w:r>
          </w:hyperlink>
        </w:p>
        <w:p w:rsidR="00AF1793" w:rsidRDefault="00595EB3" w14:paraId="7ABDE7F0" w14:textId="34DE4EE8">
          <w:pPr>
            <w:pStyle w:val="TOC4"/>
            <w:tabs>
              <w:tab w:val="left" w:pos="1728"/>
              <w:tab w:val="right" w:leader="dot" w:pos="9350"/>
            </w:tabs>
            <w:rPr>
              <w:rFonts w:asciiTheme="minorHAnsi" w:hAnsiTheme="minorHAnsi" w:eastAsiaTheme="minorEastAsia"/>
              <w:noProof/>
              <w:sz w:val="22"/>
            </w:rPr>
          </w:pPr>
          <w:hyperlink w:history="1" w:anchor="_Toc63778682">
            <w:r w:rsidRPr="00FC6056" w:rsidR="00AF1793">
              <w:rPr>
                <w:rStyle w:val="Hyperlink"/>
                <w:noProof/>
              </w:rPr>
              <w:t>4.2.3.1.</w:t>
            </w:r>
            <w:r w:rsidR="00AF1793">
              <w:rPr>
                <w:rFonts w:asciiTheme="minorHAnsi" w:hAnsiTheme="minorHAnsi" w:eastAsiaTheme="minorEastAsia"/>
                <w:noProof/>
                <w:sz w:val="22"/>
              </w:rPr>
              <w:tab/>
            </w:r>
            <w:r w:rsidRPr="00FC6056" w:rsidR="00AF1793">
              <w:rPr>
                <w:rStyle w:val="Hyperlink"/>
                <w:noProof/>
              </w:rPr>
              <w:t>Partnership Pilot Prescreening Process</w:t>
            </w:r>
            <w:r w:rsidR="00AF1793">
              <w:rPr>
                <w:noProof/>
                <w:webHidden/>
              </w:rPr>
              <w:tab/>
            </w:r>
            <w:r w:rsidR="00AF1793">
              <w:rPr>
                <w:noProof/>
                <w:webHidden/>
              </w:rPr>
              <w:fldChar w:fldCharType="begin"/>
            </w:r>
            <w:r w:rsidR="00AF1793">
              <w:rPr>
                <w:noProof/>
                <w:webHidden/>
              </w:rPr>
              <w:instrText xml:space="preserve"> PAGEREF _Toc63778682 \h </w:instrText>
            </w:r>
            <w:r w:rsidR="00AF1793">
              <w:rPr>
                <w:noProof/>
                <w:webHidden/>
              </w:rPr>
            </w:r>
            <w:r w:rsidR="00AF1793">
              <w:rPr>
                <w:noProof/>
                <w:webHidden/>
              </w:rPr>
              <w:fldChar w:fldCharType="separate"/>
            </w:r>
            <w:r w:rsidR="00AF1793">
              <w:rPr>
                <w:noProof/>
                <w:webHidden/>
              </w:rPr>
              <w:t>31</w:t>
            </w:r>
            <w:r w:rsidR="00AF1793">
              <w:rPr>
                <w:noProof/>
                <w:webHidden/>
              </w:rPr>
              <w:fldChar w:fldCharType="end"/>
            </w:r>
          </w:hyperlink>
        </w:p>
        <w:p w:rsidR="00AF1793" w:rsidRDefault="00595EB3" w14:paraId="6277EEC0" w14:textId="5674F41B">
          <w:pPr>
            <w:pStyle w:val="TOC4"/>
            <w:tabs>
              <w:tab w:val="left" w:pos="1728"/>
              <w:tab w:val="right" w:leader="dot" w:pos="9350"/>
            </w:tabs>
            <w:rPr>
              <w:rFonts w:asciiTheme="minorHAnsi" w:hAnsiTheme="minorHAnsi" w:eastAsiaTheme="minorEastAsia"/>
              <w:noProof/>
              <w:sz w:val="22"/>
            </w:rPr>
          </w:pPr>
          <w:hyperlink w:history="1" w:anchor="_Toc63778683">
            <w:r w:rsidRPr="00FC6056" w:rsidR="00AF1793">
              <w:rPr>
                <w:rStyle w:val="Hyperlink"/>
                <w:noProof/>
              </w:rPr>
              <w:t>4.2.3.2.</w:t>
            </w:r>
            <w:r w:rsidR="00AF1793">
              <w:rPr>
                <w:rFonts w:asciiTheme="minorHAnsi" w:hAnsiTheme="minorHAnsi" w:eastAsiaTheme="minorEastAsia"/>
                <w:noProof/>
                <w:sz w:val="22"/>
              </w:rPr>
              <w:tab/>
            </w:r>
            <w:r w:rsidRPr="00FC6056" w:rsidR="00AF1793">
              <w:rPr>
                <w:rStyle w:val="Hyperlink"/>
                <w:noProof/>
              </w:rPr>
              <w:t>Partnership Pilot Use of Ratable Procurement, Acceptance Trigger, and Procurement Margin</w:t>
            </w:r>
            <w:r w:rsidR="00AF1793">
              <w:rPr>
                <w:noProof/>
                <w:webHidden/>
              </w:rPr>
              <w:tab/>
            </w:r>
            <w:r w:rsidR="00AF1793">
              <w:rPr>
                <w:noProof/>
                <w:webHidden/>
              </w:rPr>
              <w:fldChar w:fldCharType="begin"/>
            </w:r>
            <w:r w:rsidR="00AF1793">
              <w:rPr>
                <w:noProof/>
                <w:webHidden/>
              </w:rPr>
              <w:instrText xml:space="preserve"> PAGEREF _Toc63778683 \h </w:instrText>
            </w:r>
            <w:r w:rsidR="00AF1793">
              <w:rPr>
                <w:noProof/>
                <w:webHidden/>
              </w:rPr>
            </w:r>
            <w:r w:rsidR="00AF1793">
              <w:rPr>
                <w:noProof/>
                <w:webHidden/>
              </w:rPr>
              <w:fldChar w:fldCharType="separate"/>
            </w:r>
            <w:r w:rsidR="00AF1793">
              <w:rPr>
                <w:noProof/>
                <w:webHidden/>
              </w:rPr>
              <w:t>34</w:t>
            </w:r>
            <w:r w:rsidR="00AF1793">
              <w:rPr>
                <w:noProof/>
                <w:webHidden/>
              </w:rPr>
              <w:fldChar w:fldCharType="end"/>
            </w:r>
          </w:hyperlink>
        </w:p>
        <w:p w:rsidR="00AF1793" w:rsidRDefault="00595EB3" w14:paraId="2E0F32AA" w14:textId="05321047">
          <w:pPr>
            <w:pStyle w:val="TOC4"/>
            <w:tabs>
              <w:tab w:val="left" w:pos="1728"/>
              <w:tab w:val="right" w:leader="dot" w:pos="9350"/>
            </w:tabs>
            <w:rPr>
              <w:rFonts w:asciiTheme="minorHAnsi" w:hAnsiTheme="minorHAnsi" w:eastAsiaTheme="minorEastAsia"/>
              <w:noProof/>
              <w:sz w:val="22"/>
            </w:rPr>
          </w:pPr>
          <w:hyperlink w:history="1" w:anchor="_Toc63778684">
            <w:r w:rsidRPr="00FC6056" w:rsidR="00AF1793">
              <w:rPr>
                <w:rStyle w:val="Hyperlink"/>
                <w:noProof/>
              </w:rPr>
              <w:t>4.2.3.3.</w:t>
            </w:r>
            <w:r w:rsidR="00AF1793">
              <w:rPr>
                <w:rFonts w:asciiTheme="minorHAnsi" w:hAnsiTheme="minorHAnsi" w:eastAsiaTheme="minorEastAsia"/>
                <w:noProof/>
                <w:sz w:val="22"/>
              </w:rPr>
              <w:tab/>
            </w:r>
            <w:r w:rsidRPr="00FC6056" w:rsidR="00AF1793">
              <w:rPr>
                <w:rStyle w:val="Hyperlink"/>
                <w:noProof/>
              </w:rPr>
              <w:t>Partnership Pilot Use of the Simple Pricing Method, with 85 Percent Tariff Budget</w:t>
            </w:r>
            <w:r w:rsidR="00AF1793">
              <w:rPr>
                <w:noProof/>
                <w:webHidden/>
              </w:rPr>
              <w:tab/>
            </w:r>
            <w:r w:rsidR="00AF1793">
              <w:rPr>
                <w:noProof/>
                <w:webHidden/>
              </w:rPr>
              <w:fldChar w:fldCharType="begin"/>
            </w:r>
            <w:r w:rsidR="00AF1793">
              <w:rPr>
                <w:noProof/>
                <w:webHidden/>
              </w:rPr>
              <w:instrText xml:space="preserve"> PAGEREF _Toc63778684 \h </w:instrText>
            </w:r>
            <w:r w:rsidR="00AF1793">
              <w:rPr>
                <w:noProof/>
                <w:webHidden/>
              </w:rPr>
            </w:r>
            <w:r w:rsidR="00AF1793">
              <w:rPr>
                <w:noProof/>
                <w:webHidden/>
              </w:rPr>
              <w:fldChar w:fldCharType="separate"/>
            </w:r>
            <w:r w:rsidR="00AF1793">
              <w:rPr>
                <w:noProof/>
                <w:webHidden/>
              </w:rPr>
              <w:t>41</w:t>
            </w:r>
            <w:r w:rsidR="00AF1793">
              <w:rPr>
                <w:noProof/>
                <w:webHidden/>
              </w:rPr>
              <w:fldChar w:fldCharType="end"/>
            </w:r>
          </w:hyperlink>
        </w:p>
        <w:p w:rsidR="00AF1793" w:rsidRDefault="00595EB3" w14:paraId="1817615A" w14:textId="6A9F13D4">
          <w:pPr>
            <w:pStyle w:val="TOC4"/>
            <w:tabs>
              <w:tab w:val="left" w:pos="1728"/>
              <w:tab w:val="right" w:leader="dot" w:pos="9350"/>
            </w:tabs>
            <w:rPr>
              <w:rFonts w:asciiTheme="minorHAnsi" w:hAnsiTheme="minorHAnsi" w:eastAsiaTheme="minorEastAsia"/>
              <w:noProof/>
              <w:sz w:val="22"/>
            </w:rPr>
          </w:pPr>
          <w:hyperlink w:history="1" w:anchor="_Toc63778685">
            <w:r w:rsidRPr="00FC6056" w:rsidR="00AF1793">
              <w:rPr>
                <w:rStyle w:val="Hyperlink"/>
                <w:noProof/>
              </w:rPr>
              <w:t>4.2.3.4.</w:t>
            </w:r>
            <w:r w:rsidR="00AF1793">
              <w:rPr>
                <w:rFonts w:asciiTheme="minorHAnsi" w:hAnsiTheme="minorHAnsi" w:eastAsiaTheme="minorEastAsia"/>
                <w:noProof/>
                <w:sz w:val="22"/>
              </w:rPr>
              <w:tab/>
            </w:r>
            <w:r w:rsidRPr="00FC6056" w:rsidR="00AF1793">
              <w:rPr>
                <w:rStyle w:val="Hyperlink"/>
                <w:noProof/>
              </w:rPr>
              <w:t>Partnership Pilot Subscription Period, Contingency Date, and Reservation Period</w:t>
            </w:r>
            <w:r w:rsidR="00AF1793">
              <w:rPr>
                <w:noProof/>
                <w:webHidden/>
              </w:rPr>
              <w:tab/>
            </w:r>
            <w:r w:rsidR="00AF1793">
              <w:rPr>
                <w:noProof/>
                <w:webHidden/>
              </w:rPr>
              <w:fldChar w:fldCharType="begin"/>
            </w:r>
            <w:r w:rsidR="00AF1793">
              <w:rPr>
                <w:noProof/>
                <w:webHidden/>
              </w:rPr>
              <w:instrText xml:space="preserve"> PAGEREF _Toc63778685 \h </w:instrText>
            </w:r>
            <w:r w:rsidR="00AF1793">
              <w:rPr>
                <w:noProof/>
                <w:webHidden/>
              </w:rPr>
            </w:r>
            <w:r w:rsidR="00AF1793">
              <w:rPr>
                <w:noProof/>
                <w:webHidden/>
              </w:rPr>
              <w:fldChar w:fldCharType="separate"/>
            </w:r>
            <w:r w:rsidR="00AF1793">
              <w:rPr>
                <w:noProof/>
                <w:webHidden/>
              </w:rPr>
              <w:t>43</w:t>
            </w:r>
            <w:r w:rsidR="00AF1793">
              <w:rPr>
                <w:noProof/>
                <w:webHidden/>
              </w:rPr>
              <w:fldChar w:fldCharType="end"/>
            </w:r>
          </w:hyperlink>
        </w:p>
        <w:p w:rsidR="00AF1793" w:rsidRDefault="00595EB3" w14:paraId="53FE7902" w14:textId="4689B079">
          <w:pPr>
            <w:pStyle w:val="TOC4"/>
            <w:tabs>
              <w:tab w:val="left" w:pos="1728"/>
              <w:tab w:val="right" w:leader="dot" w:pos="9350"/>
            </w:tabs>
            <w:rPr>
              <w:rFonts w:asciiTheme="minorHAnsi" w:hAnsiTheme="minorHAnsi" w:eastAsiaTheme="minorEastAsia"/>
              <w:noProof/>
              <w:sz w:val="22"/>
            </w:rPr>
          </w:pPr>
          <w:hyperlink w:history="1" w:anchor="_Toc63778686">
            <w:r w:rsidRPr="00FC6056" w:rsidR="00AF1793">
              <w:rPr>
                <w:rStyle w:val="Hyperlink"/>
                <w:noProof/>
              </w:rPr>
              <w:t>4.2.3.5.</w:t>
            </w:r>
            <w:r w:rsidR="00AF1793">
              <w:rPr>
                <w:rFonts w:asciiTheme="minorHAnsi" w:hAnsiTheme="minorHAnsi" w:eastAsiaTheme="minorEastAsia"/>
                <w:noProof/>
                <w:sz w:val="22"/>
              </w:rPr>
              <w:tab/>
            </w:r>
            <w:r w:rsidRPr="00FC6056" w:rsidR="00AF1793">
              <w:rPr>
                <w:rStyle w:val="Hyperlink"/>
                <w:noProof/>
              </w:rPr>
              <w:t>Partnership Pilot Tiered Payment Structure</w:t>
            </w:r>
            <w:r w:rsidR="00AF1793">
              <w:rPr>
                <w:noProof/>
                <w:webHidden/>
              </w:rPr>
              <w:tab/>
            </w:r>
            <w:r w:rsidR="00AF1793">
              <w:rPr>
                <w:noProof/>
                <w:webHidden/>
              </w:rPr>
              <w:fldChar w:fldCharType="begin"/>
            </w:r>
            <w:r w:rsidR="00AF1793">
              <w:rPr>
                <w:noProof/>
                <w:webHidden/>
              </w:rPr>
              <w:instrText xml:space="preserve"> PAGEREF _Toc63778686 \h </w:instrText>
            </w:r>
            <w:r w:rsidR="00AF1793">
              <w:rPr>
                <w:noProof/>
                <w:webHidden/>
              </w:rPr>
            </w:r>
            <w:r w:rsidR="00AF1793">
              <w:rPr>
                <w:noProof/>
                <w:webHidden/>
              </w:rPr>
              <w:fldChar w:fldCharType="separate"/>
            </w:r>
            <w:r w:rsidR="00AF1793">
              <w:rPr>
                <w:noProof/>
                <w:webHidden/>
              </w:rPr>
              <w:t>45</w:t>
            </w:r>
            <w:r w:rsidR="00AF1793">
              <w:rPr>
                <w:noProof/>
                <w:webHidden/>
              </w:rPr>
              <w:fldChar w:fldCharType="end"/>
            </w:r>
          </w:hyperlink>
        </w:p>
        <w:p w:rsidR="00AF1793" w:rsidRDefault="00595EB3" w14:paraId="64752E39" w14:textId="38E535A8">
          <w:pPr>
            <w:pStyle w:val="TOC4"/>
            <w:tabs>
              <w:tab w:val="left" w:pos="1728"/>
              <w:tab w:val="right" w:leader="dot" w:pos="9350"/>
            </w:tabs>
            <w:rPr>
              <w:rFonts w:asciiTheme="minorHAnsi" w:hAnsiTheme="minorHAnsi" w:eastAsiaTheme="minorEastAsia"/>
              <w:noProof/>
              <w:sz w:val="22"/>
            </w:rPr>
          </w:pPr>
          <w:hyperlink w:history="1" w:anchor="_Toc63778687">
            <w:r w:rsidRPr="00FC6056" w:rsidR="00AF1793">
              <w:rPr>
                <w:rStyle w:val="Hyperlink"/>
                <w:noProof/>
              </w:rPr>
              <w:t>4.2.3.6.</w:t>
            </w:r>
            <w:r w:rsidR="00AF1793">
              <w:rPr>
                <w:rFonts w:asciiTheme="minorHAnsi" w:hAnsiTheme="minorHAnsi" w:eastAsiaTheme="minorEastAsia"/>
                <w:noProof/>
                <w:sz w:val="22"/>
              </w:rPr>
              <w:tab/>
            </w:r>
            <w:r w:rsidRPr="00FC6056" w:rsidR="00AF1793">
              <w:rPr>
                <w:rStyle w:val="Hyperlink"/>
                <w:noProof/>
              </w:rPr>
              <w:t>Partnership Pilot Marketing and Outreach</w:t>
            </w:r>
            <w:r w:rsidR="00AF1793">
              <w:rPr>
                <w:noProof/>
                <w:webHidden/>
              </w:rPr>
              <w:tab/>
            </w:r>
            <w:r w:rsidR="00AF1793">
              <w:rPr>
                <w:noProof/>
                <w:webHidden/>
              </w:rPr>
              <w:fldChar w:fldCharType="begin"/>
            </w:r>
            <w:r w:rsidR="00AF1793">
              <w:rPr>
                <w:noProof/>
                <w:webHidden/>
              </w:rPr>
              <w:instrText xml:space="preserve"> PAGEREF _Toc63778687 \h </w:instrText>
            </w:r>
            <w:r w:rsidR="00AF1793">
              <w:rPr>
                <w:noProof/>
                <w:webHidden/>
              </w:rPr>
            </w:r>
            <w:r w:rsidR="00AF1793">
              <w:rPr>
                <w:noProof/>
                <w:webHidden/>
              </w:rPr>
              <w:fldChar w:fldCharType="separate"/>
            </w:r>
            <w:r w:rsidR="00AF1793">
              <w:rPr>
                <w:noProof/>
                <w:webHidden/>
              </w:rPr>
              <w:t>48</w:t>
            </w:r>
            <w:r w:rsidR="00AF1793">
              <w:rPr>
                <w:noProof/>
                <w:webHidden/>
              </w:rPr>
              <w:fldChar w:fldCharType="end"/>
            </w:r>
          </w:hyperlink>
        </w:p>
        <w:p w:rsidR="00AF1793" w:rsidRDefault="00595EB3" w14:paraId="7E7B1B24" w14:textId="52228425">
          <w:pPr>
            <w:pStyle w:val="TOC4"/>
            <w:tabs>
              <w:tab w:val="left" w:pos="1728"/>
              <w:tab w:val="right" w:leader="dot" w:pos="9350"/>
            </w:tabs>
            <w:rPr>
              <w:rFonts w:asciiTheme="minorHAnsi" w:hAnsiTheme="minorHAnsi" w:eastAsiaTheme="minorEastAsia"/>
              <w:noProof/>
              <w:sz w:val="22"/>
            </w:rPr>
          </w:pPr>
          <w:hyperlink w:history="1" w:anchor="_Toc63778688">
            <w:r w:rsidRPr="00FC6056" w:rsidR="00AF1793">
              <w:rPr>
                <w:rStyle w:val="Hyperlink"/>
                <w:noProof/>
              </w:rPr>
              <w:t>4.2.3.7.</w:t>
            </w:r>
            <w:r w:rsidR="00AF1793">
              <w:rPr>
                <w:rFonts w:asciiTheme="minorHAnsi" w:hAnsiTheme="minorHAnsi" w:eastAsiaTheme="minorEastAsia"/>
                <w:noProof/>
                <w:sz w:val="22"/>
              </w:rPr>
              <w:tab/>
            </w:r>
            <w:r w:rsidRPr="00FC6056" w:rsidR="00AF1793">
              <w:rPr>
                <w:rStyle w:val="Hyperlink"/>
                <w:noProof/>
              </w:rPr>
              <w:t>Incrementality</w:t>
            </w:r>
            <w:r w:rsidR="00AF1793">
              <w:rPr>
                <w:noProof/>
                <w:webHidden/>
              </w:rPr>
              <w:tab/>
            </w:r>
            <w:r w:rsidR="00AF1793">
              <w:rPr>
                <w:noProof/>
                <w:webHidden/>
              </w:rPr>
              <w:fldChar w:fldCharType="begin"/>
            </w:r>
            <w:r w:rsidR="00AF1793">
              <w:rPr>
                <w:noProof/>
                <w:webHidden/>
              </w:rPr>
              <w:instrText xml:space="preserve"> PAGEREF _Toc63778688 \h </w:instrText>
            </w:r>
            <w:r w:rsidR="00AF1793">
              <w:rPr>
                <w:noProof/>
                <w:webHidden/>
              </w:rPr>
            </w:r>
            <w:r w:rsidR="00AF1793">
              <w:rPr>
                <w:noProof/>
                <w:webHidden/>
              </w:rPr>
              <w:fldChar w:fldCharType="separate"/>
            </w:r>
            <w:r w:rsidR="00AF1793">
              <w:rPr>
                <w:noProof/>
                <w:webHidden/>
              </w:rPr>
              <w:t>51</w:t>
            </w:r>
            <w:r w:rsidR="00AF1793">
              <w:rPr>
                <w:noProof/>
                <w:webHidden/>
              </w:rPr>
              <w:fldChar w:fldCharType="end"/>
            </w:r>
          </w:hyperlink>
        </w:p>
        <w:p w:rsidR="00AF1793" w:rsidRDefault="00595EB3" w14:paraId="53CD3D7F" w14:textId="00A8A9D9">
          <w:pPr>
            <w:pStyle w:val="TOC2"/>
            <w:tabs>
              <w:tab w:val="right" w:leader="dot" w:pos="9350"/>
            </w:tabs>
            <w:rPr>
              <w:rFonts w:asciiTheme="minorHAnsi" w:hAnsiTheme="minorHAnsi" w:cstheme="minorBidi"/>
              <w:noProof/>
              <w:sz w:val="22"/>
            </w:rPr>
          </w:pPr>
          <w:hyperlink w:history="1" w:anchor="_Toc63778689">
            <w:r w:rsidRPr="00FC6056" w:rsidR="00AF1793">
              <w:rPr>
                <w:rStyle w:val="Hyperlink"/>
                <w:noProof/>
              </w:rPr>
              <w:t>4.3.</w:t>
            </w:r>
            <w:r w:rsidR="00AF1793">
              <w:rPr>
                <w:rFonts w:asciiTheme="minorHAnsi" w:hAnsiTheme="minorHAnsi" w:cstheme="minorBidi"/>
                <w:noProof/>
                <w:sz w:val="22"/>
              </w:rPr>
              <w:tab/>
            </w:r>
            <w:r w:rsidRPr="00FC6056" w:rsidR="00AF1793">
              <w:rPr>
                <w:rStyle w:val="Hyperlink"/>
                <w:noProof/>
              </w:rPr>
              <w:t>Request for Offer Streamlining</w:t>
            </w:r>
            <w:r w:rsidR="00AF1793">
              <w:rPr>
                <w:noProof/>
                <w:webHidden/>
              </w:rPr>
              <w:tab/>
            </w:r>
            <w:r w:rsidR="00AF1793">
              <w:rPr>
                <w:noProof/>
                <w:webHidden/>
              </w:rPr>
              <w:fldChar w:fldCharType="begin"/>
            </w:r>
            <w:r w:rsidR="00AF1793">
              <w:rPr>
                <w:noProof/>
                <w:webHidden/>
              </w:rPr>
              <w:instrText xml:space="preserve"> PAGEREF _Toc63778689 \h </w:instrText>
            </w:r>
            <w:r w:rsidR="00AF1793">
              <w:rPr>
                <w:noProof/>
                <w:webHidden/>
              </w:rPr>
            </w:r>
            <w:r w:rsidR="00AF1793">
              <w:rPr>
                <w:noProof/>
                <w:webHidden/>
              </w:rPr>
              <w:fldChar w:fldCharType="separate"/>
            </w:r>
            <w:r w:rsidR="00AF1793">
              <w:rPr>
                <w:noProof/>
                <w:webHidden/>
              </w:rPr>
              <w:t>52</w:t>
            </w:r>
            <w:r w:rsidR="00AF1793">
              <w:rPr>
                <w:noProof/>
                <w:webHidden/>
              </w:rPr>
              <w:fldChar w:fldCharType="end"/>
            </w:r>
          </w:hyperlink>
        </w:p>
        <w:p w:rsidR="00AF1793" w:rsidRDefault="00595EB3" w14:paraId="03BD1013" w14:textId="43864F5A">
          <w:pPr>
            <w:pStyle w:val="TOC3"/>
            <w:tabs>
              <w:tab w:val="left" w:pos="1296"/>
              <w:tab w:val="right" w:leader="dot" w:pos="9350"/>
            </w:tabs>
            <w:rPr>
              <w:rFonts w:asciiTheme="minorHAnsi" w:hAnsiTheme="minorHAnsi" w:cstheme="minorBidi"/>
              <w:noProof/>
              <w:sz w:val="22"/>
            </w:rPr>
          </w:pPr>
          <w:hyperlink w:history="1" w:anchor="_Toc63778690">
            <w:r w:rsidRPr="00FC6056" w:rsidR="00AF1793">
              <w:rPr>
                <w:rStyle w:val="Hyperlink"/>
                <w:noProof/>
              </w:rPr>
              <w:t>4.3.1.</w:t>
            </w:r>
            <w:r w:rsidR="00AF1793">
              <w:rPr>
                <w:rFonts w:asciiTheme="minorHAnsi" w:hAnsiTheme="minorHAnsi" w:cstheme="minorBidi"/>
                <w:noProof/>
                <w:sz w:val="22"/>
              </w:rPr>
              <w:tab/>
            </w:r>
            <w:r w:rsidRPr="00FC6056" w:rsidR="00AF1793">
              <w:rPr>
                <w:rStyle w:val="Hyperlink"/>
                <w:noProof/>
              </w:rPr>
              <w:t>Proposed Revisions to the Current Request for Offer Process</w:t>
            </w:r>
            <w:r w:rsidR="00AF1793">
              <w:rPr>
                <w:noProof/>
                <w:webHidden/>
              </w:rPr>
              <w:tab/>
            </w:r>
            <w:r w:rsidR="00AF1793">
              <w:rPr>
                <w:noProof/>
                <w:webHidden/>
              </w:rPr>
              <w:fldChar w:fldCharType="begin"/>
            </w:r>
            <w:r w:rsidR="00AF1793">
              <w:rPr>
                <w:noProof/>
                <w:webHidden/>
              </w:rPr>
              <w:instrText xml:space="preserve"> PAGEREF _Toc63778690 \h </w:instrText>
            </w:r>
            <w:r w:rsidR="00AF1793">
              <w:rPr>
                <w:noProof/>
                <w:webHidden/>
              </w:rPr>
            </w:r>
            <w:r w:rsidR="00AF1793">
              <w:rPr>
                <w:noProof/>
                <w:webHidden/>
              </w:rPr>
              <w:fldChar w:fldCharType="separate"/>
            </w:r>
            <w:r w:rsidR="00AF1793">
              <w:rPr>
                <w:noProof/>
                <w:webHidden/>
              </w:rPr>
              <w:t>52</w:t>
            </w:r>
            <w:r w:rsidR="00AF1793">
              <w:rPr>
                <w:noProof/>
                <w:webHidden/>
              </w:rPr>
              <w:fldChar w:fldCharType="end"/>
            </w:r>
          </w:hyperlink>
        </w:p>
        <w:p w:rsidR="00AF1793" w:rsidRDefault="00595EB3" w14:paraId="071E61B4" w14:textId="11AC5E31">
          <w:pPr>
            <w:pStyle w:val="TOC3"/>
            <w:tabs>
              <w:tab w:val="left" w:pos="1296"/>
              <w:tab w:val="right" w:leader="dot" w:pos="9350"/>
            </w:tabs>
            <w:rPr>
              <w:rFonts w:asciiTheme="minorHAnsi" w:hAnsiTheme="minorHAnsi" w:cstheme="minorBidi"/>
              <w:noProof/>
              <w:sz w:val="22"/>
            </w:rPr>
          </w:pPr>
          <w:hyperlink w:history="1" w:anchor="_Toc63778691">
            <w:r w:rsidRPr="00FC6056" w:rsidR="00AF1793">
              <w:rPr>
                <w:rStyle w:val="Hyperlink"/>
                <w:noProof/>
              </w:rPr>
              <w:t>4.3.2.</w:t>
            </w:r>
            <w:r w:rsidR="00AF1793">
              <w:rPr>
                <w:rFonts w:asciiTheme="minorHAnsi" w:hAnsiTheme="minorHAnsi" w:cstheme="minorBidi"/>
                <w:noProof/>
                <w:sz w:val="22"/>
              </w:rPr>
              <w:tab/>
            </w:r>
            <w:r w:rsidRPr="00FC6056" w:rsidR="00AF1793">
              <w:rPr>
                <w:rStyle w:val="Hyperlink"/>
                <w:noProof/>
              </w:rPr>
              <w:t>Adoption of RFO Revisions</w:t>
            </w:r>
            <w:r w:rsidR="00AF1793">
              <w:rPr>
                <w:noProof/>
                <w:webHidden/>
              </w:rPr>
              <w:tab/>
            </w:r>
            <w:r w:rsidR="00AF1793">
              <w:rPr>
                <w:noProof/>
                <w:webHidden/>
              </w:rPr>
              <w:fldChar w:fldCharType="begin"/>
            </w:r>
            <w:r w:rsidR="00AF1793">
              <w:rPr>
                <w:noProof/>
                <w:webHidden/>
              </w:rPr>
              <w:instrText xml:space="preserve"> PAGEREF _Toc63778691 \h </w:instrText>
            </w:r>
            <w:r w:rsidR="00AF1793">
              <w:rPr>
                <w:noProof/>
                <w:webHidden/>
              </w:rPr>
            </w:r>
            <w:r w:rsidR="00AF1793">
              <w:rPr>
                <w:noProof/>
                <w:webHidden/>
              </w:rPr>
              <w:fldChar w:fldCharType="separate"/>
            </w:r>
            <w:r w:rsidR="00AF1793">
              <w:rPr>
                <w:noProof/>
                <w:webHidden/>
              </w:rPr>
              <w:t>55</w:t>
            </w:r>
            <w:r w:rsidR="00AF1793">
              <w:rPr>
                <w:noProof/>
                <w:webHidden/>
              </w:rPr>
              <w:fldChar w:fldCharType="end"/>
            </w:r>
          </w:hyperlink>
        </w:p>
        <w:p w:rsidR="00AF1793" w:rsidRDefault="00595EB3" w14:paraId="3396DDBB" w14:textId="611AEF07">
          <w:pPr>
            <w:pStyle w:val="TOC2"/>
            <w:tabs>
              <w:tab w:val="right" w:leader="dot" w:pos="9350"/>
            </w:tabs>
            <w:rPr>
              <w:rFonts w:asciiTheme="minorHAnsi" w:hAnsiTheme="minorHAnsi" w:cstheme="minorBidi"/>
              <w:noProof/>
              <w:sz w:val="22"/>
            </w:rPr>
          </w:pPr>
          <w:hyperlink w:history="1" w:anchor="_Toc63778692">
            <w:r w:rsidRPr="00FC6056" w:rsidR="00AF1793">
              <w:rPr>
                <w:rStyle w:val="Hyperlink"/>
                <w:noProof/>
              </w:rPr>
              <w:t>4.4.</w:t>
            </w:r>
            <w:r w:rsidR="00AF1793">
              <w:rPr>
                <w:rFonts w:asciiTheme="minorHAnsi" w:hAnsiTheme="minorHAnsi" w:cstheme="minorBidi"/>
                <w:noProof/>
                <w:sz w:val="22"/>
              </w:rPr>
              <w:tab/>
            </w:r>
            <w:r w:rsidRPr="00FC6056" w:rsidR="00AF1793">
              <w:rPr>
                <w:rStyle w:val="Hyperlink"/>
                <w:noProof/>
              </w:rPr>
              <w:t>Standard Offer Contract and Pilot</w:t>
            </w:r>
            <w:r w:rsidR="00AF1793">
              <w:rPr>
                <w:noProof/>
                <w:webHidden/>
              </w:rPr>
              <w:tab/>
            </w:r>
            <w:r w:rsidR="00AF1793">
              <w:rPr>
                <w:noProof/>
                <w:webHidden/>
              </w:rPr>
              <w:fldChar w:fldCharType="begin"/>
            </w:r>
            <w:r w:rsidR="00AF1793">
              <w:rPr>
                <w:noProof/>
                <w:webHidden/>
              </w:rPr>
              <w:instrText xml:space="preserve"> PAGEREF _Toc63778692 \h </w:instrText>
            </w:r>
            <w:r w:rsidR="00AF1793">
              <w:rPr>
                <w:noProof/>
                <w:webHidden/>
              </w:rPr>
            </w:r>
            <w:r w:rsidR="00AF1793">
              <w:rPr>
                <w:noProof/>
                <w:webHidden/>
              </w:rPr>
              <w:fldChar w:fldCharType="separate"/>
            </w:r>
            <w:r w:rsidR="00AF1793">
              <w:rPr>
                <w:noProof/>
                <w:webHidden/>
              </w:rPr>
              <w:t>58</w:t>
            </w:r>
            <w:r w:rsidR="00AF1793">
              <w:rPr>
                <w:noProof/>
                <w:webHidden/>
              </w:rPr>
              <w:fldChar w:fldCharType="end"/>
            </w:r>
          </w:hyperlink>
        </w:p>
        <w:p w:rsidR="00AF1793" w:rsidRDefault="00595EB3" w14:paraId="3DC51046" w14:textId="545CCDA8">
          <w:pPr>
            <w:pStyle w:val="TOC3"/>
            <w:tabs>
              <w:tab w:val="left" w:pos="1296"/>
              <w:tab w:val="right" w:leader="dot" w:pos="9350"/>
            </w:tabs>
            <w:rPr>
              <w:rFonts w:asciiTheme="minorHAnsi" w:hAnsiTheme="minorHAnsi" w:cstheme="minorBidi"/>
              <w:noProof/>
              <w:sz w:val="22"/>
            </w:rPr>
          </w:pPr>
          <w:hyperlink w:history="1" w:anchor="_Toc63778693">
            <w:r w:rsidRPr="00FC6056" w:rsidR="00AF1793">
              <w:rPr>
                <w:rStyle w:val="Hyperlink"/>
                <w:noProof/>
              </w:rPr>
              <w:t>4.4.1.</w:t>
            </w:r>
            <w:r w:rsidR="00AF1793">
              <w:rPr>
                <w:rFonts w:asciiTheme="minorHAnsi" w:hAnsiTheme="minorHAnsi" w:cstheme="minorBidi"/>
                <w:noProof/>
                <w:sz w:val="22"/>
              </w:rPr>
              <w:tab/>
            </w:r>
            <w:r w:rsidRPr="00FC6056" w:rsidR="00AF1793">
              <w:rPr>
                <w:rStyle w:val="Hyperlink"/>
                <w:noProof/>
              </w:rPr>
              <w:t>Proposed Standard Offer Contract</w:t>
            </w:r>
            <w:r w:rsidR="00AF1793">
              <w:rPr>
                <w:noProof/>
                <w:webHidden/>
              </w:rPr>
              <w:tab/>
            </w:r>
            <w:r w:rsidR="00AF1793">
              <w:rPr>
                <w:noProof/>
                <w:webHidden/>
              </w:rPr>
              <w:fldChar w:fldCharType="begin"/>
            </w:r>
            <w:r w:rsidR="00AF1793">
              <w:rPr>
                <w:noProof/>
                <w:webHidden/>
              </w:rPr>
              <w:instrText xml:space="preserve"> PAGEREF _Toc63778693 \h </w:instrText>
            </w:r>
            <w:r w:rsidR="00AF1793">
              <w:rPr>
                <w:noProof/>
                <w:webHidden/>
              </w:rPr>
            </w:r>
            <w:r w:rsidR="00AF1793">
              <w:rPr>
                <w:noProof/>
                <w:webHidden/>
              </w:rPr>
              <w:fldChar w:fldCharType="separate"/>
            </w:r>
            <w:r w:rsidR="00AF1793">
              <w:rPr>
                <w:noProof/>
                <w:webHidden/>
              </w:rPr>
              <w:t>58</w:t>
            </w:r>
            <w:r w:rsidR="00AF1793">
              <w:rPr>
                <w:noProof/>
                <w:webHidden/>
              </w:rPr>
              <w:fldChar w:fldCharType="end"/>
            </w:r>
          </w:hyperlink>
        </w:p>
        <w:p w:rsidR="00AF1793" w:rsidRDefault="00595EB3" w14:paraId="4C0E0FE4" w14:textId="07DCE252">
          <w:pPr>
            <w:pStyle w:val="TOC3"/>
            <w:tabs>
              <w:tab w:val="left" w:pos="1296"/>
              <w:tab w:val="right" w:leader="dot" w:pos="9350"/>
            </w:tabs>
            <w:rPr>
              <w:rFonts w:asciiTheme="minorHAnsi" w:hAnsiTheme="minorHAnsi" w:cstheme="minorBidi"/>
              <w:noProof/>
              <w:sz w:val="22"/>
            </w:rPr>
          </w:pPr>
          <w:hyperlink w:history="1" w:anchor="_Toc63778694">
            <w:r w:rsidRPr="00FC6056" w:rsidR="00AF1793">
              <w:rPr>
                <w:rStyle w:val="Hyperlink"/>
                <w:noProof/>
              </w:rPr>
              <w:t>4.4.2.</w:t>
            </w:r>
            <w:r w:rsidR="00AF1793">
              <w:rPr>
                <w:rFonts w:asciiTheme="minorHAnsi" w:hAnsiTheme="minorHAnsi" w:cstheme="minorBidi"/>
                <w:noProof/>
                <w:sz w:val="22"/>
              </w:rPr>
              <w:tab/>
            </w:r>
            <w:r w:rsidRPr="00FC6056" w:rsidR="00AF1793">
              <w:rPr>
                <w:rStyle w:val="Hyperlink"/>
                <w:noProof/>
              </w:rPr>
              <w:t>Proposed Pilot</w:t>
            </w:r>
            <w:r w:rsidR="00AF1793">
              <w:rPr>
                <w:noProof/>
                <w:webHidden/>
              </w:rPr>
              <w:tab/>
            </w:r>
            <w:r w:rsidR="00AF1793">
              <w:rPr>
                <w:noProof/>
                <w:webHidden/>
              </w:rPr>
              <w:fldChar w:fldCharType="begin"/>
            </w:r>
            <w:r w:rsidR="00AF1793">
              <w:rPr>
                <w:noProof/>
                <w:webHidden/>
              </w:rPr>
              <w:instrText xml:space="preserve"> PAGEREF _Toc63778694 \h </w:instrText>
            </w:r>
            <w:r w:rsidR="00AF1793">
              <w:rPr>
                <w:noProof/>
                <w:webHidden/>
              </w:rPr>
            </w:r>
            <w:r w:rsidR="00AF1793">
              <w:rPr>
                <w:noProof/>
                <w:webHidden/>
              </w:rPr>
              <w:fldChar w:fldCharType="separate"/>
            </w:r>
            <w:r w:rsidR="00AF1793">
              <w:rPr>
                <w:noProof/>
                <w:webHidden/>
              </w:rPr>
              <w:t>58</w:t>
            </w:r>
            <w:r w:rsidR="00AF1793">
              <w:rPr>
                <w:noProof/>
                <w:webHidden/>
              </w:rPr>
              <w:fldChar w:fldCharType="end"/>
            </w:r>
          </w:hyperlink>
        </w:p>
        <w:p w:rsidR="00AF1793" w:rsidRDefault="00595EB3" w14:paraId="52847C16" w14:textId="2E9AD615">
          <w:pPr>
            <w:pStyle w:val="TOC3"/>
            <w:tabs>
              <w:tab w:val="left" w:pos="1296"/>
              <w:tab w:val="right" w:leader="dot" w:pos="9350"/>
            </w:tabs>
            <w:rPr>
              <w:rFonts w:asciiTheme="minorHAnsi" w:hAnsiTheme="minorHAnsi" w:cstheme="minorBidi"/>
              <w:noProof/>
              <w:sz w:val="22"/>
            </w:rPr>
          </w:pPr>
          <w:hyperlink w:history="1" w:anchor="_Toc63778695">
            <w:r w:rsidRPr="00FC6056" w:rsidR="00AF1793">
              <w:rPr>
                <w:rStyle w:val="Hyperlink"/>
                <w:noProof/>
              </w:rPr>
              <w:t>4.4.3.</w:t>
            </w:r>
            <w:r w:rsidR="00AF1793">
              <w:rPr>
                <w:rFonts w:asciiTheme="minorHAnsi" w:hAnsiTheme="minorHAnsi" w:cstheme="minorBidi"/>
                <w:noProof/>
                <w:sz w:val="22"/>
              </w:rPr>
              <w:tab/>
            </w:r>
            <w:r w:rsidRPr="00FC6056" w:rsidR="00AF1793">
              <w:rPr>
                <w:rStyle w:val="Hyperlink"/>
                <w:noProof/>
              </w:rPr>
              <w:t>Adoption of Standard Offer Contract Pilot</w:t>
            </w:r>
            <w:r w:rsidR="00AF1793">
              <w:rPr>
                <w:noProof/>
                <w:webHidden/>
              </w:rPr>
              <w:tab/>
            </w:r>
            <w:r w:rsidR="00AF1793">
              <w:rPr>
                <w:noProof/>
                <w:webHidden/>
              </w:rPr>
              <w:fldChar w:fldCharType="begin"/>
            </w:r>
            <w:r w:rsidR="00AF1793">
              <w:rPr>
                <w:noProof/>
                <w:webHidden/>
              </w:rPr>
              <w:instrText xml:space="preserve"> PAGEREF _Toc63778695 \h </w:instrText>
            </w:r>
            <w:r w:rsidR="00AF1793">
              <w:rPr>
                <w:noProof/>
                <w:webHidden/>
              </w:rPr>
            </w:r>
            <w:r w:rsidR="00AF1793">
              <w:rPr>
                <w:noProof/>
                <w:webHidden/>
              </w:rPr>
              <w:fldChar w:fldCharType="separate"/>
            </w:r>
            <w:r w:rsidR="00AF1793">
              <w:rPr>
                <w:noProof/>
                <w:webHidden/>
              </w:rPr>
              <w:t>59</w:t>
            </w:r>
            <w:r w:rsidR="00AF1793">
              <w:rPr>
                <w:noProof/>
                <w:webHidden/>
              </w:rPr>
              <w:fldChar w:fldCharType="end"/>
            </w:r>
          </w:hyperlink>
        </w:p>
        <w:p w:rsidR="00AF1793" w:rsidRDefault="00595EB3" w14:paraId="3F99452A" w14:textId="52A86952">
          <w:pPr>
            <w:pStyle w:val="TOC1"/>
            <w:tabs>
              <w:tab w:val="right" w:leader="dot" w:pos="9350"/>
            </w:tabs>
            <w:rPr>
              <w:rFonts w:asciiTheme="minorHAnsi" w:hAnsiTheme="minorHAnsi" w:cstheme="minorBidi"/>
              <w:noProof/>
              <w:sz w:val="22"/>
            </w:rPr>
          </w:pPr>
          <w:hyperlink w:history="1" w:anchor="_Toc63778696">
            <w:r w:rsidRPr="00FC6056" w:rsidR="00AF1793">
              <w:rPr>
                <w:rStyle w:val="Hyperlink"/>
                <w:noProof/>
              </w:rPr>
              <w:t>5.</w:t>
            </w:r>
            <w:r w:rsidR="00AF1793">
              <w:rPr>
                <w:rFonts w:asciiTheme="minorHAnsi" w:hAnsiTheme="minorHAnsi" w:cstheme="minorBidi"/>
                <w:noProof/>
                <w:sz w:val="22"/>
              </w:rPr>
              <w:tab/>
            </w:r>
            <w:r w:rsidRPr="00FC6056" w:rsidR="00AF1793">
              <w:rPr>
                <w:rStyle w:val="Hyperlink"/>
                <w:noProof/>
              </w:rPr>
              <w:t>Comments on Proposed Decision</w:t>
            </w:r>
            <w:r w:rsidR="00AF1793">
              <w:rPr>
                <w:noProof/>
                <w:webHidden/>
              </w:rPr>
              <w:tab/>
            </w:r>
            <w:r w:rsidR="00AF1793">
              <w:rPr>
                <w:noProof/>
                <w:webHidden/>
              </w:rPr>
              <w:fldChar w:fldCharType="begin"/>
            </w:r>
            <w:r w:rsidR="00AF1793">
              <w:rPr>
                <w:noProof/>
                <w:webHidden/>
              </w:rPr>
              <w:instrText xml:space="preserve"> PAGEREF _Toc63778696 \h </w:instrText>
            </w:r>
            <w:r w:rsidR="00AF1793">
              <w:rPr>
                <w:noProof/>
                <w:webHidden/>
              </w:rPr>
            </w:r>
            <w:r w:rsidR="00AF1793">
              <w:rPr>
                <w:noProof/>
                <w:webHidden/>
              </w:rPr>
              <w:fldChar w:fldCharType="separate"/>
            </w:r>
            <w:r w:rsidR="00AF1793">
              <w:rPr>
                <w:noProof/>
                <w:webHidden/>
              </w:rPr>
              <w:t>63</w:t>
            </w:r>
            <w:r w:rsidR="00AF1793">
              <w:rPr>
                <w:noProof/>
                <w:webHidden/>
              </w:rPr>
              <w:fldChar w:fldCharType="end"/>
            </w:r>
          </w:hyperlink>
        </w:p>
        <w:p w:rsidR="00AF1793" w:rsidRDefault="00595EB3" w14:paraId="75FF28AF" w14:textId="10803107">
          <w:pPr>
            <w:pStyle w:val="TOC1"/>
            <w:tabs>
              <w:tab w:val="right" w:leader="dot" w:pos="9350"/>
            </w:tabs>
            <w:rPr>
              <w:rFonts w:asciiTheme="minorHAnsi" w:hAnsiTheme="minorHAnsi" w:cstheme="minorBidi"/>
              <w:noProof/>
              <w:sz w:val="22"/>
            </w:rPr>
          </w:pPr>
          <w:hyperlink w:history="1" w:anchor="_Toc63778697">
            <w:r w:rsidRPr="00FC6056" w:rsidR="00AF1793">
              <w:rPr>
                <w:rStyle w:val="Hyperlink"/>
                <w:noProof/>
              </w:rPr>
              <w:t>6.</w:t>
            </w:r>
            <w:r w:rsidR="00AF1793">
              <w:rPr>
                <w:rFonts w:asciiTheme="minorHAnsi" w:hAnsiTheme="minorHAnsi" w:cstheme="minorBidi"/>
                <w:noProof/>
                <w:sz w:val="22"/>
              </w:rPr>
              <w:tab/>
            </w:r>
            <w:r w:rsidRPr="00FC6056" w:rsidR="00AF1793">
              <w:rPr>
                <w:rStyle w:val="Hyperlink"/>
                <w:noProof/>
              </w:rPr>
              <w:t>Assignment of Proceeding</w:t>
            </w:r>
            <w:r w:rsidR="00AF1793">
              <w:rPr>
                <w:noProof/>
                <w:webHidden/>
              </w:rPr>
              <w:tab/>
            </w:r>
            <w:r w:rsidR="00AF1793">
              <w:rPr>
                <w:noProof/>
                <w:webHidden/>
              </w:rPr>
              <w:fldChar w:fldCharType="begin"/>
            </w:r>
            <w:r w:rsidR="00AF1793">
              <w:rPr>
                <w:noProof/>
                <w:webHidden/>
              </w:rPr>
              <w:instrText xml:space="preserve"> PAGEREF _Toc63778697 \h </w:instrText>
            </w:r>
            <w:r w:rsidR="00AF1793">
              <w:rPr>
                <w:noProof/>
                <w:webHidden/>
              </w:rPr>
            </w:r>
            <w:r w:rsidR="00AF1793">
              <w:rPr>
                <w:noProof/>
                <w:webHidden/>
              </w:rPr>
              <w:fldChar w:fldCharType="separate"/>
            </w:r>
            <w:r w:rsidR="00AF1793">
              <w:rPr>
                <w:noProof/>
                <w:webHidden/>
              </w:rPr>
              <w:t>64</w:t>
            </w:r>
            <w:r w:rsidR="00AF1793">
              <w:rPr>
                <w:noProof/>
                <w:webHidden/>
              </w:rPr>
              <w:fldChar w:fldCharType="end"/>
            </w:r>
          </w:hyperlink>
        </w:p>
        <w:p w:rsidR="00AF1793" w:rsidRDefault="00595EB3" w14:paraId="58C8A5E7" w14:textId="27A02DBC">
          <w:pPr>
            <w:pStyle w:val="TOC1"/>
            <w:tabs>
              <w:tab w:val="right" w:leader="dot" w:pos="9350"/>
            </w:tabs>
            <w:rPr>
              <w:rFonts w:asciiTheme="minorHAnsi" w:hAnsiTheme="minorHAnsi" w:cstheme="minorBidi"/>
              <w:noProof/>
              <w:sz w:val="22"/>
            </w:rPr>
          </w:pPr>
          <w:hyperlink w:history="1" w:anchor="_Toc63778698">
            <w:r w:rsidRPr="00FC6056" w:rsidR="00AF1793">
              <w:rPr>
                <w:rStyle w:val="Hyperlink"/>
                <w:noProof/>
              </w:rPr>
              <w:t>Findings of Fact</w:t>
            </w:r>
            <w:r w:rsidR="00AF1793">
              <w:rPr>
                <w:noProof/>
                <w:webHidden/>
              </w:rPr>
              <w:tab/>
            </w:r>
            <w:r w:rsidR="00AF1793">
              <w:rPr>
                <w:noProof/>
                <w:webHidden/>
              </w:rPr>
              <w:fldChar w:fldCharType="begin"/>
            </w:r>
            <w:r w:rsidR="00AF1793">
              <w:rPr>
                <w:noProof/>
                <w:webHidden/>
              </w:rPr>
              <w:instrText xml:space="preserve"> PAGEREF _Toc63778698 \h </w:instrText>
            </w:r>
            <w:r w:rsidR="00AF1793">
              <w:rPr>
                <w:noProof/>
                <w:webHidden/>
              </w:rPr>
            </w:r>
            <w:r w:rsidR="00AF1793">
              <w:rPr>
                <w:noProof/>
                <w:webHidden/>
              </w:rPr>
              <w:fldChar w:fldCharType="separate"/>
            </w:r>
            <w:r w:rsidR="00AF1793">
              <w:rPr>
                <w:noProof/>
                <w:webHidden/>
              </w:rPr>
              <w:t>64</w:t>
            </w:r>
            <w:r w:rsidR="00AF1793">
              <w:rPr>
                <w:noProof/>
                <w:webHidden/>
              </w:rPr>
              <w:fldChar w:fldCharType="end"/>
            </w:r>
          </w:hyperlink>
        </w:p>
        <w:p w:rsidR="00AF1793" w:rsidRDefault="00595EB3" w14:paraId="24917127" w14:textId="18C48BEC">
          <w:pPr>
            <w:pStyle w:val="TOC1"/>
            <w:tabs>
              <w:tab w:val="right" w:leader="dot" w:pos="9350"/>
            </w:tabs>
            <w:rPr>
              <w:rFonts w:asciiTheme="minorHAnsi" w:hAnsiTheme="minorHAnsi" w:cstheme="minorBidi"/>
              <w:noProof/>
              <w:sz w:val="22"/>
            </w:rPr>
          </w:pPr>
          <w:hyperlink w:history="1" w:anchor="_Toc63778699">
            <w:r w:rsidRPr="00FC6056" w:rsidR="00AF1793">
              <w:rPr>
                <w:rStyle w:val="Hyperlink"/>
                <w:noProof/>
              </w:rPr>
              <w:t>Conclusions of Law</w:t>
            </w:r>
            <w:r w:rsidR="00AF1793">
              <w:rPr>
                <w:noProof/>
                <w:webHidden/>
              </w:rPr>
              <w:tab/>
            </w:r>
            <w:r w:rsidR="00AF1793">
              <w:rPr>
                <w:noProof/>
                <w:webHidden/>
              </w:rPr>
              <w:fldChar w:fldCharType="begin"/>
            </w:r>
            <w:r w:rsidR="00AF1793">
              <w:rPr>
                <w:noProof/>
                <w:webHidden/>
              </w:rPr>
              <w:instrText xml:space="preserve"> PAGEREF _Toc63778699 \h </w:instrText>
            </w:r>
            <w:r w:rsidR="00AF1793">
              <w:rPr>
                <w:noProof/>
                <w:webHidden/>
              </w:rPr>
            </w:r>
            <w:r w:rsidR="00AF1793">
              <w:rPr>
                <w:noProof/>
                <w:webHidden/>
              </w:rPr>
              <w:fldChar w:fldCharType="separate"/>
            </w:r>
            <w:r w:rsidR="00AF1793">
              <w:rPr>
                <w:noProof/>
                <w:webHidden/>
              </w:rPr>
              <w:t>75</w:t>
            </w:r>
            <w:r w:rsidR="00AF1793">
              <w:rPr>
                <w:noProof/>
                <w:webHidden/>
              </w:rPr>
              <w:fldChar w:fldCharType="end"/>
            </w:r>
          </w:hyperlink>
        </w:p>
        <w:p w:rsidR="00AF1793" w:rsidRDefault="00595EB3" w14:paraId="7AAE9DA9" w14:textId="449D648D">
          <w:pPr>
            <w:pStyle w:val="TOC1"/>
            <w:tabs>
              <w:tab w:val="right" w:leader="dot" w:pos="9350"/>
            </w:tabs>
            <w:rPr>
              <w:rFonts w:asciiTheme="minorHAnsi" w:hAnsiTheme="minorHAnsi" w:cstheme="minorBidi"/>
              <w:noProof/>
              <w:sz w:val="22"/>
            </w:rPr>
          </w:pPr>
          <w:hyperlink w:history="1" w:anchor="_Toc63778700">
            <w:r w:rsidRPr="00FC6056" w:rsidR="00AF1793">
              <w:rPr>
                <w:rStyle w:val="Hyperlink"/>
                <w:noProof/>
              </w:rPr>
              <w:t>ORDER</w:t>
            </w:r>
            <w:r w:rsidR="00AF1793">
              <w:rPr>
                <w:noProof/>
                <w:webHidden/>
              </w:rPr>
              <w:tab/>
            </w:r>
            <w:r w:rsidR="00AF1793">
              <w:rPr>
                <w:noProof/>
                <w:webHidden/>
              </w:rPr>
              <w:fldChar w:fldCharType="begin"/>
            </w:r>
            <w:r w:rsidR="00AF1793">
              <w:rPr>
                <w:noProof/>
                <w:webHidden/>
              </w:rPr>
              <w:instrText xml:space="preserve"> PAGEREF _Toc63778700 \h </w:instrText>
            </w:r>
            <w:r w:rsidR="00AF1793">
              <w:rPr>
                <w:noProof/>
                <w:webHidden/>
              </w:rPr>
            </w:r>
            <w:r w:rsidR="00AF1793">
              <w:rPr>
                <w:noProof/>
                <w:webHidden/>
              </w:rPr>
              <w:fldChar w:fldCharType="separate"/>
            </w:r>
            <w:r w:rsidR="00AF1793">
              <w:rPr>
                <w:noProof/>
                <w:webHidden/>
              </w:rPr>
              <w:t>77</w:t>
            </w:r>
            <w:r w:rsidR="00AF1793">
              <w:rPr>
                <w:noProof/>
                <w:webHidden/>
              </w:rPr>
              <w:fldChar w:fldCharType="end"/>
            </w:r>
          </w:hyperlink>
        </w:p>
        <w:p w:rsidR="00D82A43" w:rsidP="008C7413" w:rsidRDefault="008C7413" w14:paraId="58016491" w14:textId="1CF30DA7">
          <w:pPr>
            <w:pStyle w:val="TOC1"/>
            <w:tabs>
              <w:tab w:val="right" w:leader="dot" w:pos="9350"/>
            </w:tabs>
          </w:pPr>
          <w:r>
            <w:rPr>
              <w:rFonts w:asciiTheme="minorHAnsi" w:hAnsiTheme="minorHAnsi"/>
              <w:sz w:val="22"/>
            </w:rPr>
            <w:fldChar w:fldCharType="end"/>
          </w:r>
        </w:p>
      </w:sdtContent>
    </w:sdt>
    <w:p w:rsidRPr="00D44DB6" w:rsidR="002342F9" w:rsidP="002342F9" w:rsidRDefault="002342F9" w14:paraId="487BEAEA" w14:textId="157C3F5A">
      <w:pPr>
        <w:spacing w:line="240" w:lineRule="auto"/>
        <w:ind w:firstLine="0"/>
        <w:rPr>
          <w:rFonts w:cs="Arial"/>
          <w:i/>
          <w:szCs w:val="26"/>
        </w:rPr>
      </w:pPr>
      <w:r>
        <w:rPr>
          <w:rFonts w:cs="Arial"/>
          <w:b/>
          <w:szCs w:val="26"/>
        </w:rPr>
        <w:t>Attachment</w:t>
      </w:r>
      <w:r w:rsidRPr="0098655A" w:rsidR="0098655A">
        <w:rPr>
          <w:rFonts w:cs="Arial"/>
          <w:b/>
          <w:szCs w:val="26"/>
        </w:rPr>
        <w:t xml:space="preserve"> A</w:t>
      </w:r>
      <w:r w:rsidRPr="0098655A" w:rsidR="0098655A">
        <w:rPr>
          <w:rFonts w:cs="Arial"/>
          <w:szCs w:val="26"/>
        </w:rPr>
        <w:t xml:space="preserve"> –</w:t>
      </w:r>
      <w:r w:rsidR="00E23CBB">
        <w:rPr>
          <w:rFonts w:cs="Arial"/>
          <w:szCs w:val="26"/>
        </w:rPr>
        <w:t xml:space="preserve"> </w:t>
      </w:r>
      <w:r>
        <w:rPr>
          <w:rFonts w:cs="Arial"/>
          <w:szCs w:val="26"/>
        </w:rPr>
        <w:t>Commission Energy Division Staff Proposal</w:t>
      </w:r>
    </w:p>
    <w:p w:rsidRPr="00D44DB6" w:rsidR="00D44DB6" w:rsidP="00D44DB6" w:rsidRDefault="00D44DB6" w14:paraId="2EA52A46" w14:textId="1108EB9B">
      <w:pPr>
        <w:spacing w:line="240" w:lineRule="auto"/>
        <w:ind w:firstLine="0"/>
        <w:rPr>
          <w:rFonts w:cs="Arial"/>
          <w:i/>
          <w:szCs w:val="26"/>
        </w:rPr>
        <w:sectPr w:rsidRPr="00D44DB6" w:rsidR="00D44DB6" w:rsidSect="00D44DB6">
          <w:headerReference w:type="default" r:id="rId10"/>
          <w:footerReference w:type="default" r:id="rId11"/>
          <w:pgSz w:w="12240" w:h="15840"/>
          <w:pgMar w:top="1728" w:right="1440" w:bottom="1440" w:left="1440" w:header="720" w:footer="720" w:gutter="0"/>
          <w:pgNumType w:fmt="lowerRoman" w:start="1"/>
          <w:cols w:space="720"/>
          <w:docGrid w:linePitch="360"/>
        </w:sectPr>
      </w:pPr>
      <w:r w:rsidRPr="00D44DB6">
        <w:rPr>
          <w:rFonts w:cs="Arial"/>
          <w:i/>
          <w:szCs w:val="26"/>
        </w:rPr>
        <w:t>.</w:t>
      </w:r>
    </w:p>
    <w:p w:rsidR="0098655A" w:rsidP="00D82A43" w:rsidRDefault="0076054D" w14:paraId="11538438" w14:textId="538BE52F">
      <w:pPr>
        <w:pStyle w:val="Main"/>
        <w:spacing w:after="240"/>
      </w:pPr>
      <w:r>
        <w:lastRenderedPageBreak/>
        <w:t xml:space="preserve">DECISION ADOPTING </w:t>
      </w:r>
      <w:r w:rsidR="00907DE4">
        <w:t xml:space="preserve">PILOTS TO TEST </w:t>
      </w:r>
      <w:r>
        <w:t>TWO FRAMEWORKS FOR PROCURING DISTRIBUTED ENERGY RESOURCES THAT AVOID OR DEFER UTILITY capital investments</w:t>
      </w:r>
    </w:p>
    <w:p w:rsidR="005A148C" w:rsidP="005A148C" w:rsidRDefault="005A148C" w14:paraId="4C040214" w14:textId="77777777">
      <w:pPr>
        <w:pStyle w:val="Dummy"/>
      </w:pPr>
      <w:bookmarkStart w:name="_Toc8123714" w:id="1"/>
      <w:bookmarkStart w:name="_Toc63778664" w:id="2"/>
      <w:r>
        <w:t>Summary</w:t>
      </w:r>
      <w:bookmarkEnd w:id="1"/>
      <w:bookmarkEnd w:id="2"/>
    </w:p>
    <w:p w:rsidR="00C22FEB" w:rsidP="006E6574" w:rsidRDefault="0051522C" w14:paraId="06B91A5D" w14:textId="18666C6E">
      <w:pPr>
        <w:pStyle w:val="Standard"/>
      </w:pPr>
      <w:r>
        <w:t xml:space="preserve">This decision adopts pilots to test two frameworks for procuring distributed energy resources to avoid or defer utility </w:t>
      </w:r>
      <w:r w:rsidR="00DA7630">
        <w:t xml:space="preserve">distribution </w:t>
      </w:r>
      <w:r>
        <w:t xml:space="preserve">investments: </w:t>
      </w:r>
      <w:r w:rsidR="00127386">
        <w:t xml:space="preserve"> </w:t>
      </w:r>
      <w:r>
        <w:t>1)</w:t>
      </w:r>
      <w:r w:rsidR="00127386">
        <w:t> </w:t>
      </w:r>
      <w:r w:rsidR="00DA7630">
        <w:t xml:space="preserve">a five-year </w:t>
      </w:r>
      <w:r>
        <w:t>distributed energy resources distribution deferral tariff pilot</w:t>
      </w:r>
      <w:r w:rsidR="00DA7630">
        <w:t xml:space="preserve"> that we call the Partnership Pilot because of its reliance on several partnerships;</w:t>
      </w:r>
      <w:r>
        <w:t xml:space="preserve"> and 2)</w:t>
      </w:r>
      <w:r w:rsidR="00127386">
        <w:t> </w:t>
      </w:r>
      <w:r w:rsidR="00DA7630">
        <w:t xml:space="preserve">a three-year </w:t>
      </w:r>
      <w:r>
        <w:t xml:space="preserve">standard offer contract pilot for procuring distributed energy resources </w:t>
      </w:r>
      <w:r w:rsidR="00E371C7">
        <w:t>to defer distribution investments</w:t>
      </w:r>
      <w:r w:rsidR="006010B0">
        <w:t>, with a contract based on the current Technology Neutral Pro Forma contract</w:t>
      </w:r>
      <w:r w:rsidR="00E371C7">
        <w:t>.</w:t>
      </w:r>
      <w:r w:rsidR="00C22FEB">
        <w:t xml:space="preserve">  The Partnership Pilot and Standard-Offer-Contract Pilot are the culmination of a two-year effort in this proceeding entailing several days of workshops, seven party proposals, and several rounds of party comments.</w:t>
      </w:r>
    </w:p>
    <w:p w:rsidR="0073353F" w:rsidP="006E6574" w:rsidRDefault="00DA7630" w14:paraId="64D2CC57" w14:textId="5937D220">
      <w:pPr>
        <w:pStyle w:val="Standard"/>
      </w:pPr>
      <w:r>
        <w:t xml:space="preserve">We pilot the two frameworks to determine whether these approaches </w:t>
      </w:r>
      <w:proofErr w:type="gramStart"/>
      <w:r>
        <w:t>are able to</w:t>
      </w:r>
      <w:proofErr w:type="gramEnd"/>
      <w:r>
        <w:t xml:space="preserve"> address </w:t>
      </w:r>
      <w:r w:rsidR="00C22FEB">
        <w:t xml:space="preserve">existing </w:t>
      </w:r>
      <w:r>
        <w:t xml:space="preserve">challenges in the Distribution Investment Deferral Framework, which the Commission currently uses to procure distributed energy resources to avoid or defer utility distribution investments.  These </w:t>
      </w:r>
      <w:r w:rsidR="00C22FEB">
        <w:t xml:space="preserve">new </w:t>
      </w:r>
      <w:r>
        <w:t>frameworks signal our continued efforts to implement Public Utilities Code Section</w:t>
      </w:r>
      <w:r w:rsidR="00127386">
        <w:t> </w:t>
      </w:r>
      <w:r>
        <w:t xml:space="preserve">769, which requires (among other items) the identification of standard tariffs, contracts, or other mechanisms for the deployment of cost-effective distributed </w:t>
      </w:r>
      <w:r w:rsidR="00C22FEB">
        <w:t xml:space="preserve">energy </w:t>
      </w:r>
      <w:r>
        <w:t xml:space="preserve">resources that satisfy distribution planning objectives and the identification of barriers to the deployment of distributed </w:t>
      </w:r>
      <w:r w:rsidR="00C22FEB">
        <w:t xml:space="preserve">energy </w:t>
      </w:r>
      <w:r>
        <w:t>resources.</w:t>
      </w:r>
    </w:p>
    <w:p w:rsidR="00DA7630" w:rsidP="006E6574" w:rsidRDefault="00DA7630" w14:paraId="12D34E6B" w14:textId="7FF798FE">
      <w:pPr>
        <w:pStyle w:val="Standard"/>
      </w:pPr>
      <w:r>
        <w:t xml:space="preserve">This decision also </w:t>
      </w:r>
      <w:r w:rsidR="00C22FEB">
        <w:t xml:space="preserve">adopts language to define incrementality and </w:t>
      </w:r>
      <w:r>
        <w:t xml:space="preserve">refinements to the current Distribution Investment Deferral Framework Request </w:t>
      </w:r>
      <w:proofErr w:type="gramStart"/>
      <w:r>
        <w:t>For</w:t>
      </w:r>
      <w:proofErr w:type="gramEnd"/>
      <w:r>
        <w:t xml:space="preserve"> Offer process</w:t>
      </w:r>
      <w:r w:rsidR="00C22FEB">
        <w:t xml:space="preserve">.  </w:t>
      </w:r>
      <w:proofErr w:type="gramStart"/>
      <w:r w:rsidR="00C22FEB">
        <w:t>Both of these</w:t>
      </w:r>
      <w:proofErr w:type="gramEnd"/>
      <w:r w:rsidR="00C22FEB">
        <w:t xml:space="preserve"> elements should decrease current barriers to the </w:t>
      </w:r>
      <w:r w:rsidR="00C22FEB">
        <w:lastRenderedPageBreak/>
        <w:t>deployment of distributed energy resources, furthering the intention of Public Utilities Code Section</w:t>
      </w:r>
      <w:r w:rsidR="00127386">
        <w:t> </w:t>
      </w:r>
      <w:r w:rsidR="00C22FEB">
        <w:t>769.</w:t>
      </w:r>
    </w:p>
    <w:p w:rsidR="00AF14B3" w:rsidP="00106B77" w:rsidRDefault="002C7FE9" w14:paraId="49171176" w14:textId="1667B9EB">
      <w:pPr>
        <w:pStyle w:val="Heading1"/>
      </w:pPr>
      <w:bookmarkStart w:name="_Toc8123715" w:id="3"/>
      <w:bookmarkStart w:name="_Toc63778665" w:id="4"/>
      <w:r w:rsidRPr="00121089">
        <w:t>Background</w:t>
      </w:r>
      <w:bookmarkEnd w:id="3"/>
      <w:bookmarkEnd w:id="4"/>
    </w:p>
    <w:p w:rsidRPr="00097CC8" w:rsidR="00097CC8" w:rsidP="00097CC8" w:rsidRDefault="00097CC8" w14:paraId="24541B81" w14:textId="5F09BA3A">
      <w:pPr>
        <w:pStyle w:val="Heading2"/>
      </w:pPr>
      <w:bookmarkStart w:name="_Toc63778666" w:id="5"/>
      <w:r>
        <w:t xml:space="preserve">Procedural </w:t>
      </w:r>
      <w:r w:rsidRPr="00121089">
        <w:t>Background</w:t>
      </w:r>
      <w:bookmarkEnd w:id="5"/>
    </w:p>
    <w:p w:rsidRPr="006A79AB" w:rsidR="006A79AB" w:rsidP="005617B9" w:rsidRDefault="006A79AB" w14:paraId="41E39410" w14:textId="096C425B">
      <w:pPr>
        <w:pStyle w:val="Standard"/>
        <w:rPr>
          <w:rFonts w:ascii="Calibri" w:hAnsi="Calibri"/>
          <w:sz w:val="22"/>
        </w:rPr>
      </w:pPr>
      <w:r>
        <w:t>On February</w:t>
      </w:r>
      <w:r w:rsidR="00127386">
        <w:t> </w:t>
      </w:r>
      <w:r>
        <w:t>12,</w:t>
      </w:r>
      <w:r w:rsidR="00127386">
        <w:t> </w:t>
      </w:r>
      <w:r>
        <w:t xml:space="preserve">2018, the assigned Commissioner to this proceeding issued an amended scoping memo that added the following issue to this proceeding:  </w:t>
      </w:r>
      <w:r w:rsidRPr="0014406E">
        <w:rPr>
          <w:i/>
          <w:iCs/>
        </w:rPr>
        <w:t>Design, for Commission consideration and adoption, alternative sourcing mechanisms or approaches that satisfy distribution planning objectives</w:t>
      </w:r>
      <w:r>
        <w:t>.  Since that time, this proceeding has been building a record to address this issue.</w:t>
      </w:r>
    </w:p>
    <w:p w:rsidR="006A79AB" w:rsidP="005617B9" w:rsidRDefault="006A79AB" w14:paraId="60FC9851" w14:textId="75CF124B">
      <w:pPr>
        <w:pStyle w:val="Standard"/>
      </w:pPr>
      <w:r>
        <w:t>On August 13-14, 2018, the Administrative Law Judge facilitated a workshop, at which time parties began to develop ideas for designing tariffs for distributed energy resources.  During that workshop, parties discussed design principles, the definition of tariffs, availability of tariffs to individual customers versus aggregators, incrementality, using tariffs to enable distributed energy resources to meet more near-term grid needs, and the risks of over and under procurement of distributed energy resources.</w:t>
      </w:r>
    </w:p>
    <w:p w:rsidR="006A79AB" w:rsidP="005617B9" w:rsidRDefault="006A79AB" w14:paraId="384089F4" w14:textId="2986E6B1">
      <w:pPr>
        <w:pStyle w:val="Standard"/>
      </w:pPr>
      <w:r>
        <w:t>The Administrative Law Judge issued a ruling on November</w:t>
      </w:r>
      <w:r w:rsidR="00127386">
        <w:t> </w:t>
      </w:r>
      <w:r>
        <w:t>16,</w:t>
      </w:r>
      <w:r w:rsidR="00127386">
        <w:t> </w:t>
      </w:r>
      <w:r>
        <w:t>2018</w:t>
      </w:r>
      <w:r w:rsidR="00127386">
        <w:t>,</w:t>
      </w:r>
      <w:r>
        <w:t xml:space="preserve"> that directed parties to file distributed energy resources tariff proposals, taking into consideration the August 2018 workshop discussions.  Parties were also directed to comment on the proposed definition of tariff and the proposed design principles that were attached to the ruling.</w:t>
      </w:r>
    </w:p>
    <w:p w:rsidR="0063491C" w:rsidP="005F3384" w:rsidRDefault="006A79AB" w14:paraId="59D38D4D" w14:textId="374CCDC6">
      <w:pPr>
        <w:pStyle w:val="Standard"/>
        <w:ind w:right="-90"/>
      </w:pPr>
      <w:r>
        <w:t>A February 21, 2019 Ruling noticed a subsequent workshop, scheduled for March 4-5, 2019.  In the Ruling, the Administrative Law Judge explained that, of the tariff proposals filed pursuant to the November 16, 2018 Administrative Law Judge Ruling, only seven proposals complied with the ruling</w:t>
      </w:r>
      <w:r w:rsidR="008B7CE3">
        <w:t xml:space="preserve"> </w:t>
      </w:r>
      <w:r>
        <w:t>instructions.</w:t>
      </w:r>
      <w:r w:rsidR="008B7CE3">
        <w:t xml:space="preserve">  </w:t>
      </w:r>
      <w:r>
        <w:t>Accordingly, the March 2019 workshops focused solely on those seven proposals.</w:t>
      </w:r>
      <w:r w:rsidR="008B7CE3">
        <w:t xml:space="preserve"> </w:t>
      </w:r>
      <w:r>
        <w:t xml:space="preserve"> </w:t>
      </w:r>
      <w:r>
        <w:lastRenderedPageBreak/>
        <w:t>Presentations of each of the seven proposals were provided by the proposal sponsors during the workshop.</w:t>
      </w:r>
      <w:r w:rsidR="008B7CE3">
        <w:t xml:space="preserve"> </w:t>
      </w:r>
      <w:r>
        <w:t xml:space="preserve"> For each of the seven proposals, workshop participants discussed three aspects: </w:t>
      </w:r>
      <w:r w:rsidR="00127386">
        <w:t xml:space="preserve"> </w:t>
      </w:r>
      <w:r>
        <w:t>a) compliance with proposed design principles, b) meeting grid needs; and c) incrementality.</w:t>
      </w:r>
      <w:r w:rsidR="008B7CE3">
        <w:t xml:space="preserve"> </w:t>
      </w:r>
      <w:r>
        <w:t xml:space="preserve"> Parties also discussed refining the proposals and areas of general agreement amongst the parties.</w:t>
      </w:r>
    </w:p>
    <w:p w:rsidR="008B7CE3" w:rsidP="005617B9" w:rsidRDefault="008B7CE3" w14:paraId="6887B3EC" w14:textId="16D0E915">
      <w:pPr>
        <w:pStyle w:val="Standard"/>
      </w:pPr>
      <w:r>
        <w:t>On October 06, 2020, the Administrative Law Judge issued a ruling introducing the Distributed Energy Resources Tariff Staff Proposal (Staff Proposal) and directed parties of Rulemaking (R.)</w:t>
      </w:r>
      <w:r w:rsidR="00127386">
        <w:t> </w:t>
      </w:r>
      <w:r>
        <w:t xml:space="preserve">14-10-003 to respond to questions regarding the Staff Proposal. </w:t>
      </w:r>
      <w:r w:rsidR="0014406E">
        <w:t xml:space="preserve"> The Staff Proposal evolved from the prior party proposals.  </w:t>
      </w:r>
      <w:r>
        <w:t xml:space="preserve">On October 30, 2020, the following parties filed responses to the questions on the Staff Proposal:  </w:t>
      </w:r>
      <w:r w:rsidR="005A3223">
        <w:t xml:space="preserve">350 Bay Area, </w:t>
      </w:r>
      <w:r w:rsidR="00683EA5">
        <w:t xml:space="preserve">Advanced Energy Economy (AEE); </w:t>
      </w:r>
      <w:r w:rsidR="005A3223">
        <w:t xml:space="preserve">California Efficiency + Demand Management Council (Council); </w:t>
      </w:r>
      <w:r w:rsidR="00B75903">
        <w:t xml:space="preserve">California Energy Storage Association (CESA); </w:t>
      </w:r>
      <w:r w:rsidR="005A3223">
        <w:t>California Solar and Storage Association (</w:t>
      </w:r>
      <w:proofErr w:type="spellStart"/>
      <w:r w:rsidR="005A3223">
        <w:t>CalSSA</w:t>
      </w:r>
      <w:proofErr w:type="spellEnd"/>
      <w:r w:rsidR="005A3223">
        <w:t xml:space="preserve">); </w:t>
      </w:r>
      <w:r w:rsidR="00D31287">
        <w:t>Clean Coalition</w:t>
      </w:r>
      <w:r w:rsidR="006F0FEC">
        <w:t>;</w:t>
      </w:r>
      <w:r w:rsidR="00D31287">
        <w:t xml:space="preserve"> </w:t>
      </w:r>
      <w:r w:rsidR="005A3223">
        <w:t xml:space="preserve">Coalition of California Utility Employees (CUE); Pacific Gas and Electric Company (PG&amp;E); </w:t>
      </w:r>
      <w:r w:rsidR="00B75903">
        <w:t xml:space="preserve">Public Advocates Office of the Public Utilities Commission (Public Advocates Office); </w:t>
      </w:r>
      <w:r w:rsidR="005A3223">
        <w:t xml:space="preserve">San Diego Gas &amp; Electric Company (SDG&amp;E); Southern California Edison Company (SCE); </w:t>
      </w:r>
      <w:r w:rsidR="00B75903">
        <w:t xml:space="preserve">and </w:t>
      </w:r>
      <w:proofErr w:type="spellStart"/>
      <w:r w:rsidR="005A3223">
        <w:t>SunRun</w:t>
      </w:r>
      <w:proofErr w:type="spellEnd"/>
      <w:r w:rsidR="005A3223">
        <w:t xml:space="preserve"> Inc. (</w:t>
      </w:r>
      <w:proofErr w:type="spellStart"/>
      <w:r w:rsidR="005A3223">
        <w:t>SunRun</w:t>
      </w:r>
      <w:proofErr w:type="spellEnd"/>
      <w:r w:rsidR="005A3223">
        <w:t>)</w:t>
      </w:r>
      <w:r w:rsidR="00B75903">
        <w:t xml:space="preserve">. </w:t>
      </w:r>
      <w:r w:rsidR="00C062C9">
        <w:t xml:space="preserve"> </w:t>
      </w:r>
      <w:r>
        <w:t xml:space="preserve">On November 10, 2020, the following parties filed reply comments: </w:t>
      </w:r>
      <w:r w:rsidR="00683EA5">
        <w:t xml:space="preserve">350 Bay Area; AEE; CESA; </w:t>
      </w:r>
      <w:proofErr w:type="spellStart"/>
      <w:r w:rsidR="00683EA5">
        <w:t>CalSSA</w:t>
      </w:r>
      <w:proofErr w:type="spellEnd"/>
      <w:r w:rsidR="00683EA5">
        <w:t xml:space="preserve"> with Solar Energy Industries Association and Vote Solar (Joint Parties); CUE; Clean Coalition; PG&amp;E; Public Advocates Office; SDG&amp;E; and SCE</w:t>
      </w:r>
      <w:r>
        <w:t>.</w:t>
      </w:r>
    </w:p>
    <w:p w:rsidRPr="00097CC8" w:rsidR="00097CC8" w:rsidP="00097CC8" w:rsidRDefault="00097CC8" w14:paraId="46AE4AF1" w14:textId="541B5C06">
      <w:pPr>
        <w:pStyle w:val="Heading2"/>
      </w:pPr>
      <w:bookmarkStart w:name="_Toc63778667" w:id="6"/>
      <w:r>
        <w:t>Public Utilities Code Section 769 and the Creation of the Competitive Solicitation Framework and the Distribution Investment Deferral Framework</w:t>
      </w:r>
      <w:bookmarkEnd w:id="6"/>
    </w:p>
    <w:p w:rsidR="00751109" w:rsidP="005617B9" w:rsidRDefault="00097CC8" w14:paraId="2DAAC871" w14:textId="2B67709B">
      <w:pPr>
        <w:pStyle w:val="Standard"/>
      </w:pPr>
      <w:r>
        <w:t>Public Utilities Code Section</w:t>
      </w:r>
      <w:r w:rsidR="00127386">
        <w:t> </w:t>
      </w:r>
      <w:r>
        <w:t>769 require</w:t>
      </w:r>
      <w:r w:rsidR="00751109">
        <w:t>d</w:t>
      </w:r>
      <w:r>
        <w:t xml:space="preserve"> the Commission to create a framework for reducing barriers to distributed energy resources deployment and </w:t>
      </w:r>
      <w:r>
        <w:lastRenderedPageBreak/>
        <w:t xml:space="preserve">targeting distributed energy resources deployment that avoid or defer utility capital investments.  This proceeding and </w:t>
      </w:r>
      <w:r w:rsidR="0018271A">
        <w:t xml:space="preserve">the Distribution Resources Plans </w:t>
      </w:r>
      <w:proofErr w:type="gramStart"/>
      <w:r w:rsidR="0018271A">
        <w:t>proceeding</w:t>
      </w:r>
      <w:proofErr w:type="gramEnd"/>
      <w:r w:rsidR="0018271A">
        <w:t xml:space="preserve"> (</w:t>
      </w:r>
      <w:r>
        <w:t>R.14-08-013</w:t>
      </w:r>
      <w:r w:rsidR="0018271A">
        <w:t>)</w:t>
      </w:r>
      <w:r w:rsidR="00127386">
        <w:t xml:space="preserve"> </w:t>
      </w:r>
      <w:r>
        <w:t xml:space="preserve">were initiated to </w:t>
      </w:r>
      <w:r w:rsidR="00751109">
        <w:t xml:space="preserve">work together to </w:t>
      </w:r>
      <w:r>
        <w:t>create this framework.</w:t>
      </w:r>
    </w:p>
    <w:p w:rsidR="00097CC8" w:rsidP="005617B9" w:rsidRDefault="00751109" w14:paraId="6F4F0CE3" w14:textId="57B212ED">
      <w:pPr>
        <w:pStyle w:val="Standard"/>
      </w:pPr>
      <w:r>
        <w:t xml:space="preserve">In </w:t>
      </w:r>
      <w:r w:rsidR="0091692B">
        <w:t>Decision (</w:t>
      </w:r>
      <w:r>
        <w:t>D.</w:t>
      </w:r>
      <w:r w:rsidR="0091692B">
        <w:t>) </w:t>
      </w:r>
      <w:r>
        <w:t>16</w:t>
      </w:r>
      <w:r w:rsidR="0091692B">
        <w:noBreakHyphen/>
      </w:r>
      <w:r>
        <w:t>12</w:t>
      </w:r>
      <w:r w:rsidR="0091692B">
        <w:noBreakHyphen/>
      </w:r>
      <w:r>
        <w:t xml:space="preserve">036 of </w:t>
      </w:r>
      <w:r w:rsidR="00097CC8">
        <w:t xml:space="preserve">this proceeding, the Commission developed and adopted </w:t>
      </w:r>
      <w:r>
        <w:t xml:space="preserve">the </w:t>
      </w:r>
      <w:r w:rsidR="00097CC8">
        <w:t>Competitive Solicitation Framework for distributed energy resources.</w:t>
      </w:r>
      <w:r>
        <w:t xml:space="preserve">  As part of that framework, the Commission established a Distribution Planning Advisory Group </w:t>
      </w:r>
      <w:r w:rsidR="00400AE0">
        <w:t xml:space="preserve">(DPAG) </w:t>
      </w:r>
      <w:r>
        <w:t>to review candidate deferral opportunities and advise and consult with PG&amp;E, SDG&amp;E, and SCE (Utilities) on the process.</w:t>
      </w:r>
      <w:r w:rsidR="00400AE0">
        <w:t xml:space="preserve">  Relevant to the instant decision, D.16-12-036 also directed the development of a Technology-Neutral Pro Forma </w:t>
      </w:r>
      <w:r w:rsidR="007B6E13">
        <w:t xml:space="preserve">(TNPF) </w:t>
      </w:r>
      <w:r w:rsidR="00400AE0">
        <w:t>contract.</w:t>
      </w:r>
    </w:p>
    <w:p w:rsidRPr="00400AE0" w:rsidR="006F6750" w:rsidP="005617B9" w:rsidRDefault="00751109" w14:paraId="6C8A7FCA" w14:textId="69DB8876">
      <w:pPr>
        <w:pStyle w:val="Standard"/>
      </w:pPr>
      <w:r>
        <w:t>Building</w:t>
      </w:r>
      <w:r w:rsidR="0051155A">
        <w:t xml:space="preserve"> from </w:t>
      </w:r>
      <w:r>
        <w:t xml:space="preserve">the Competitive Solicitation Framework, the Commission </w:t>
      </w:r>
      <w:r w:rsidR="0051155A">
        <w:t>adopted the Distribution Investment and Deferral Framework (D</w:t>
      </w:r>
      <w:r w:rsidR="006A222D">
        <w:t>IDF</w:t>
      </w:r>
      <w:r w:rsidR="0051155A">
        <w:t>) in R.14</w:t>
      </w:r>
      <w:r w:rsidR="0091692B">
        <w:noBreakHyphen/>
      </w:r>
      <w:r w:rsidR="0051155A">
        <w:t>08</w:t>
      </w:r>
      <w:r w:rsidR="0091692B">
        <w:noBreakHyphen/>
      </w:r>
      <w:r w:rsidR="0051155A">
        <w:t>0</w:t>
      </w:r>
      <w:r w:rsidR="007B6E13">
        <w:t>1</w:t>
      </w:r>
      <w:r w:rsidR="0051155A">
        <w:t>3.  The D</w:t>
      </w:r>
      <w:r w:rsidR="006A222D">
        <w:t>IDF</w:t>
      </w:r>
      <w:r w:rsidR="0051155A">
        <w:t xml:space="preserve"> is an ongoing annual process to identify, review, and select opportunities for competitively sourced distributed energy resources to defer or avoid utility traditional distribution capital investments.  Using the California Energy Commission’s </w:t>
      </w:r>
      <w:r w:rsidR="006E4DEC">
        <w:t>Integrated Energy Policy Report</w:t>
      </w:r>
      <w:r w:rsidR="0051155A">
        <w:t xml:space="preserve"> system level forecast</w:t>
      </w:r>
      <w:r w:rsidR="00400AE0">
        <w:t xml:space="preserve">, Utilities </w:t>
      </w:r>
      <w:r w:rsidR="0051155A">
        <w:t>identify distribution system deficiencies to determine grid needs.  In this Grid Needs Assessment, Utilities analyze potential load transfers for no cost solutions and present the assessment annually to inform the D</w:t>
      </w:r>
      <w:r w:rsidR="006A222D">
        <w:t>IDF</w:t>
      </w:r>
      <w:r w:rsidR="0051155A">
        <w:t>, as required by D.18-02-004.  D.18-02-004 also requires Utilities to develop and file an annual Distribution Deferral Opportunity Report</w:t>
      </w:r>
      <w:r w:rsidR="006A222D">
        <w:t xml:space="preserve"> (DDOR)</w:t>
      </w:r>
      <w:r w:rsidR="00400AE0">
        <w:t xml:space="preserve">.  The </w:t>
      </w:r>
      <w:r w:rsidR="006A222D">
        <w:t>DDOR</w:t>
      </w:r>
      <w:r w:rsidR="00400AE0">
        <w:t xml:space="preserve"> describes each candidate deferral project that passes initial screening and the distributed energy resources distribution service attributes required to meet the identified needs. </w:t>
      </w:r>
      <w:r w:rsidR="0091692B">
        <w:t xml:space="preserve"> </w:t>
      </w:r>
      <w:r w:rsidR="00400AE0">
        <w:t xml:space="preserve">The DPAG reviews the report and identifies candidate projects </w:t>
      </w:r>
      <w:r w:rsidR="00400AE0">
        <w:lastRenderedPageBreak/>
        <w:t xml:space="preserve">for the Utilities to issue competitive solicitations.  </w:t>
      </w:r>
      <w:r w:rsidR="006F6750">
        <w:t xml:space="preserve">Through the Advice Letter process, the Commission reviews and approves distributed energy resources deferral projects for Request </w:t>
      </w:r>
      <w:r w:rsidR="00D22193">
        <w:t>f</w:t>
      </w:r>
      <w:r w:rsidR="006F6750">
        <w:t>or Offer (RFO) solicitation</w:t>
      </w:r>
      <w:r w:rsidR="00EE4678">
        <w:t>s</w:t>
      </w:r>
      <w:r w:rsidR="006F6750">
        <w:t>.</w:t>
      </w:r>
    </w:p>
    <w:p w:rsidR="006F6750" w:rsidP="00097CC8" w:rsidRDefault="00FC3EEA" w14:paraId="638ECC7E" w14:textId="7AB23576">
      <w:pPr>
        <w:pStyle w:val="Heading1"/>
      </w:pPr>
      <w:bookmarkStart w:name="_Toc63778668" w:id="7"/>
      <w:bookmarkStart w:name="_Toc8123719" w:id="8"/>
      <w:r>
        <w:t xml:space="preserve">Brief </w:t>
      </w:r>
      <w:r w:rsidR="006F6750">
        <w:t>Overview of Staff Proposal</w:t>
      </w:r>
      <w:bookmarkEnd w:id="7"/>
    </w:p>
    <w:p w:rsidR="006F6750" w:rsidP="006F6750" w:rsidRDefault="006F6750" w14:paraId="2CF4F58A" w14:textId="59C63ADB">
      <w:pPr>
        <w:pStyle w:val="Standard"/>
      </w:pPr>
      <w:r>
        <w:t xml:space="preserve">The Staff Proposal </w:t>
      </w:r>
      <w:r w:rsidR="006A222D">
        <w:t>contends</w:t>
      </w:r>
      <w:r>
        <w:t xml:space="preserve"> that the current DIDF RFO process</w:t>
      </w:r>
      <w:r w:rsidR="00A552FD">
        <w:t>, described above,</w:t>
      </w:r>
      <w:r>
        <w:t xml:space="preserve"> presents several challenges, which may have led to the limited success in procuring distributed energy resources to avoid or delay distribution capital investments.  These challenges include changing distribution system needs</w:t>
      </w:r>
      <w:r w:rsidR="007B6E13">
        <w:t>;</w:t>
      </w:r>
      <w:r>
        <w:t xml:space="preserve"> a risk of over and under procurement; infeasibility of near-term deferrals; forecast uncertainty; interconnection queues and delays; and </w:t>
      </w:r>
      <w:r w:rsidR="00710264">
        <w:t>technology neutrality limitations</w:t>
      </w:r>
      <w:r>
        <w:t>.</w:t>
      </w:r>
      <w:r w:rsidR="00710264">
        <w:t xml:space="preserve">  To combat these challenges, the </w:t>
      </w:r>
      <w:r w:rsidR="006A222D">
        <w:t xml:space="preserve">objectives of the </w:t>
      </w:r>
      <w:r w:rsidR="00710264">
        <w:t>Staff Proposal</w:t>
      </w:r>
      <w:r w:rsidR="006A222D">
        <w:t xml:space="preserve"> are to</w:t>
      </w:r>
      <w:r w:rsidR="00710264">
        <w:t xml:space="preserve">: </w:t>
      </w:r>
      <w:r w:rsidR="0091692B">
        <w:t xml:space="preserve"> </w:t>
      </w:r>
      <w:r w:rsidR="00710264">
        <w:t>1)</w:t>
      </w:r>
      <w:r w:rsidR="0091692B">
        <w:t> </w:t>
      </w:r>
      <w:r w:rsidR="00710264">
        <w:t>streamline and scale distributed energy resources procurement; 2)</w:t>
      </w:r>
      <w:r w:rsidR="005F3384">
        <w:t> </w:t>
      </w:r>
      <w:r w:rsidR="00710264">
        <w:t>develop pilots to test the tariff proposals and the elements; and 3) clarify incrementality policies for sourcing distributed energy resources for deferral projects.</w:t>
      </w:r>
    </w:p>
    <w:p w:rsidR="00710264" w:rsidP="006F6750" w:rsidRDefault="00710264" w14:paraId="109E2E9F" w14:textId="5798803D">
      <w:pPr>
        <w:pStyle w:val="Standard"/>
      </w:pPr>
      <w:r>
        <w:t xml:space="preserve">First, building upon principles developed in prior workshops, the Staff Proposal recommends </w:t>
      </w:r>
      <w:r w:rsidR="001D279D">
        <w:t xml:space="preserve">adoption of </w:t>
      </w:r>
      <w:r w:rsidR="006A222D">
        <w:t xml:space="preserve">a revised set of </w:t>
      </w:r>
      <w:r w:rsidR="001D279D">
        <w:t>principles</w:t>
      </w:r>
      <w:r>
        <w:t xml:space="preserve">. </w:t>
      </w:r>
      <w:r w:rsidR="0091692B">
        <w:t xml:space="preserve"> </w:t>
      </w:r>
      <w:r w:rsidR="000458DE">
        <w:t xml:space="preserve">The list of </w:t>
      </w:r>
      <w:r w:rsidR="001D279D">
        <w:t xml:space="preserve">proposed </w:t>
      </w:r>
      <w:r w:rsidR="000458DE">
        <w:t xml:space="preserve">guiding principles is provided </w:t>
      </w:r>
      <w:r>
        <w:t>in Section</w:t>
      </w:r>
      <w:r w:rsidR="0091692B">
        <w:t> </w:t>
      </w:r>
      <w:r w:rsidR="007B6E13">
        <w:t>4</w:t>
      </w:r>
      <w:r w:rsidR="000458DE">
        <w:t>.1.1</w:t>
      </w:r>
      <w:r>
        <w:t xml:space="preserve"> below.</w:t>
      </w:r>
    </w:p>
    <w:p w:rsidR="00710264" w:rsidP="006F6750" w:rsidRDefault="00710264" w14:paraId="09B992A2" w14:textId="24CCD5AD">
      <w:pPr>
        <w:pStyle w:val="Standard"/>
      </w:pPr>
      <w:r>
        <w:t xml:space="preserve">Second, </w:t>
      </w:r>
      <w:r w:rsidR="00920732">
        <w:t xml:space="preserve">the Staff Proposal recommends adoption of a </w:t>
      </w:r>
      <w:r w:rsidR="00567346">
        <w:t>tiered payment structure, called the Clean Energy Customer Incentive</w:t>
      </w:r>
      <w:r w:rsidR="006A222D">
        <w:t xml:space="preserve"> (Incentive) framework</w:t>
      </w:r>
      <w:r w:rsidR="00567346">
        <w:t xml:space="preserve">.  </w:t>
      </w:r>
      <w:r w:rsidR="000458DE">
        <w:t xml:space="preserve">The objective of the Incentive </w:t>
      </w:r>
      <w:r w:rsidR="006A222D">
        <w:t xml:space="preserve">framework </w:t>
      </w:r>
      <w:r w:rsidR="000458DE">
        <w:t xml:space="preserve">is to facilitate a wider range of customer participation, including </w:t>
      </w:r>
      <w:r w:rsidR="007B6E13">
        <w:t>customers</w:t>
      </w:r>
      <w:r w:rsidR="006A222D">
        <w:t xml:space="preserve"> providing </w:t>
      </w:r>
      <w:r w:rsidR="000458DE">
        <w:t xml:space="preserve">Behind-the-Meter distributed energy resources.  </w:t>
      </w:r>
      <w:r w:rsidR="00567346">
        <w:t xml:space="preserve">The Incentive would allow customers with eligible distributed energy resources to enroll in the tariff and use their resources to operate in response to dispatch signals communicated from </w:t>
      </w:r>
      <w:r w:rsidR="00E064B0">
        <w:t>a</w:t>
      </w:r>
      <w:r w:rsidR="00567346">
        <w:t xml:space="preserve"> utility via an approved distributed energy resources service aggregator.  Aggregators would contract with </w:t>
      </w:r>
      <w:r w:rsidR="00D22193">
        <w:t xml:space="preserve">a utility </w:t>
      </w:r>
      <w:r w:rsidR="00567346">
        <w:t xml:space="preserve">to enroll customers in the Incentive and make payments to </w:t>
      </w:r>
      <w:r w:rsidR="00567346">
        <w:lastRenderedPageBreak/>
        <w:t>the customers</w:t>
      </w:r>
      <w:r w:rsidR="00A552FD">
        <w:t xml:space="preserve"> for providing service of their resource</w:t>
      </w:r>
      <w:r w:rsidR="00567346">
        <w:t xml:space="preserve">.  The Staff Proposal contends this approach would lower transaction costs, allow a wider range of customer participation, increase procurement of Behind-the-Meter distributed energy resources, decrease interconnection delays; </w:t>
      </w:r>
      <w:r w:rsidR="007E1C81">
        <w:t>decrease risks; and work well with changing distribution needs</w:t>
      </w:r>
      <w:r w:rsidR="00567346">
        <w:t>.</w:t>
      </w:r>
      <w:r w:rsidR="007E1C81">
        <w:t xml:space="preserve">  While the Staff Proposal discusses three pilots to test the Incentive, </w:t>
      </w:r>
      <w:r w:rsidR="00E064B0">
        <w:t xml:space="preserve">this decision </w:t>
      </w:r>
      <w:r w:rsidR="007E1C81">
        <w:t xml:space="preserve">solely </w:t>
      </w:r>
      <w:r w:rsidR="00E064B0">
        <w:t xml:space="preserve">addresses </w:t>
      </w:r>
      <w:r w:rsidR="007E1C81">
        <w:t>Pilot 1</w:t>
      </w:r>
      <w:r w:rsidR="00D3606C">
        <w:t xml:space="preserve">, referred to as </w:t>
      </w:r>
      <w:r w:rsidR="007E1C81">
        <w:t>the Deferral Opportunity Pilot.  The Staff Proposal recommends implementation of Pilot 1 as part of the 2021</w:t>
      </w:r>
      <w:r w:rsidR="00B634C8">
        <w:noBreakHyphen/>
      </w:r>
      <w:r w:rsidR="007E1C81">
        <w:t xml:space="preserve">2022 DIDF cycle, whereby Utilities would </w:t>
      </w:r>
      <w:r w:rsidR="00D22193">
        <w:t xml:space="preserve">each </w:t>
      </w:r>
      <w:r w:rsidR="007E1C81">
        <w:t xml:space="preserve">be required to propose at least one Tier 1 </w:t>
      </w:r>
      <w:r w:rsidR="0078422F">
        <w:t>opportunity to pilot the Incentive.</w:t>
      </w:r>
    </w:p>
    <w:p w:rsidR="007E1C81" w:rsidP="006F6750" w:rsidRDefault="0078422F" w14:paraId="33909D49" w14:textId="40A19489">
      <w:pPr>
        <w:pStyle w:val="Standard"/>
      </w:pPr>
      <w:r>
        <w:t>Third, to improve certainty for distributed energy resources developers, aggregators, and service providers, the Staff Proposal recommends: 1)</w:t>
      </w:r>
      <w:r w:rsidR="0091692B">
        <w:t> </w:t>
      </w:r>
      <w:r>
        <w:t>eliminating the requirement for Utilities to file two Tier 2 Advice Letters</w:t>
      </w:r>
      <w:r w:rsidR="0091692B">
        <w:t>;</w:t>
      </w:r>
      <w:r>
        <w:t xml:space="preserve"> and 2)</w:t>
      </w:r>
      <w:r w:rsidR="005F3384">
        <w:t> </w:t>
      </w:r>
      <w:r>
        <w:t>revising the schedule such that RFOs are launched five months earlier.</w:t>
      </w:r>
    </w:p>
    <w:p w:rsidRPr="006F6750" w:rsidR="0078422F" w:rsidP="006F6750" w:rsidRDefault="0078422F" w14:paraId="0F88DBAD" w14:textId="3EF5B639">
      <w:pPr>
        <w:pStyle w:val="Standard"/>
      </w:pPr>
      <w:r>
        <w:t xml:space="preserve">Fourth, to </w:t>
      </w:r>
      <w:r w:rsidR="000458DE">
        <w:t>decrease the transactional cost and risk compared to the current D</w:t>
      </w:r>
      <w:r w:rsidR="007B6E13">
        <w:t xml:space="preserve">IDF </w:t>
      </w:r>
      <w:r w:rsidR="000458DE">
        <w:t xml:space="preserve">RFO process, the Staff Proposal recommends adoption of a Standard Offer Contract pilot.  </w:t>
      </w:r>
      <w:r w:rsidR="00E064B0">
        <w:t>B</w:t>
      </w:r>
      <w:r w:rsidR="000458DE">
        <w:t xml:space="preserve">ased on the existing </w:t>
      </w:r>
      <w:r w:rsidR="007B6E13">
        <w:t xml:space="preserve">TNPF </w:t>
      </w:r>
      <w:r w:rsidR="000458DE">
        <w:t>contract</w:t>
      </w:r>
      <w:r w:rsidR="00E064B0">
        <w:t>, the Standard Offer Contract is recommended for larger scale providers of In-Front-of-the-Meter distributed energy resources.  The Staff Proposal recommends a five</w:t>
      </w:r>
      <w:r w:rsidR="007B6E13">
        <w:t>-</w:t>
      </w:r>
      <w:r w:rsidR="00E064B0">
        <w:t>year pilot, w</w:t>
      </w:r>
      <w:r w:rsidR="00D22193">
        <w:t xml:space="preserve">hereby Utilities would each be </w:t>
      </w:r>
      <w:r w:rsidR="00E064B0">
        <w:t>required to launch one Tier 1 candidate deferral opportunity during each DIDF cycle.</w:t>
      </w:r>
    </w:p>
    <w:p w:rsidR="005A148C" w:rsidP="00097CC8" w:rsidRDefault="005939A5" w14:paraId="23E0B816" w14:textId="1E274500">
      <w:pPr>
        <w:pStyle w:val="Heading1"/>
      </w:pPr>
      <w:bookmarkStart w:name="_Toc63778669" w:id="9"/>
      <w:r>
        <w:t>Issues Before the Commission</w:t>
      </w:r>
      <w:bookmarkEnd w:id="8"/>
      <w:bookmarkEnd w:id="9"/>
    </w:p>
    <w:p w:rsidR="005939A5" w:rsidP="001D4E1F" w:rsidRDefault="00C062C9" w14:paraId="7F02FA28" w14:textId="095645C6">
      <w:pPr>
        <w:pStyle w:val="Standard"/>
      </w:pPr>
      <w:r>
        <w:t>T</w:t>
      </w:r>
      <w:r w:rsidR="00140B59">
        <w:t xml:space="preserve">he October </w:t>
      </w:r>
      <w:r w:rsidR="008B7CE3">
        <w:t>6</w:t>
      </w:r>
      <w:r w:rsidR="00140B59">
        <w:t>, 2020 Ruling</w:t>
      </w:r>
      <w:r w:rsidR="001A56FD">
        <w:t xml:space="preserve">, which </w:t>
      </w:r>
      <w:r w:rsidR="00140B59">
        <w:t>introduc</w:t>
      </w:r>
      <w:r w:rsidR="001A56FD">
        <w:t xml:space="preserve">ed </w:t>
      </w:r>
      <w:r w:rsidR="00140B59">
        <w:t>the Staff Proposal</w:t>
      </w:r>
      <w:r w:rsidR="001A56FD">
        <w:t xml:space="preserve">, </w:t>
      </w:r>
      <w:r>
        <w:t xml:space="preserve">outlined </w:t>
      </w:r>
      <w:r w:rsidR="00140B59">
        <w:t>the following issues for the Commission to consider</w:t>
      </w:r>
      <w:r w:rsidR="001A56FD">
        <w:t xml:space="preserve"> in this decision</w:t>
      </w:r>
      <w:r w:rsidR="00140B59">
        <w:t>:</w:t>
      </w:r>
    </w:p>
    <w:p w:rsidR="001A56FD" w:rsidP="0011559B" w:rsidRDefault="000A1E16" w14:paraId="6458DDCC" w14:textId="6714AC7D">
      <w:pPr>
        <w:numPr>
          <w:ilvl w:val="0"/>
          <w:numId w:val="8"/>
        </w:numPr>
        <w:spacing w:after="120" w:line="240" w:lineRule="auto"/>
        <w:ind w:left="1080" w:right="1440"/>
        <w:rPr>
          <w:rFonts w:ascii="Calibri" w:hAnsi="Calibri" w:eastAsia="Times New Roman"/>
          <w:sz w:val="22"/>
        </w:rPr>
      </w:pPr>
      <w:r>
        <w:rPr>
          <w:rFonts w:eastAsia="Times New Roman"/>
        </w:rPr>
        <w:t xml:space="preserve">Should the Commission adopt </w:t>
      </w:r>
      <w:r w:rsidR="001A56FD">
        <w:rPr>
          <w:rFonts w:eastAsia="Times New Roman"/>
        </w:rPr>
        <w:t>guiding principles for</w:t>
      </w:r>
      <w:r w:rsidR="00D77A39">
        <w:rPr>
          <w:rFonts w:eastAsia="Times New Roman"/>
        </w:rPr>
        <w:t xml:space="preserve"> distributed energy resource tariffs, either as proposed or with modifications</w:t>
      </w:r>
      <w:r>
        <w:rPr>
          <w:rFonts w:eastAsia="Times New Roman"/>
        </w:rPr>
        <w:t>?</w:t>
      </w:r>
    </w:p>
    <w:p w:rsidR="001A56FD" w:rsidP="0011559B" w:rsidRDefault="001A56FD" w14:paraId="24B214D4" w14:textId="039327A5">
      <w:pPr>
        <w:numPr>
          <w:ilvl w:val="0"/>
          <w:numId w:val="8"/>
        </w:numPr>
        <w:spacing w:after="120" w:line="240" w:lineRule="auto"/>
        <w:ind w:left="1080" w:right="1440"/>
        <w:rPr>
          <w:rFonts w:eastAsia="Times New Roman"/>
        </w:rPr>
      </w:pPr>
      <w:r>
        <w:rPr>
          <w:rFonts w:eastAsia="Times New Roman"/>
        </w:rPr>
        <w:lastRenderedPageBreak/>
        <w:t xml:space="preserve">Should the Commission adopt the </w:t>
      </w:r>
      <w:r w:rsidR="00423529">
        <w:rPr>
          <w:rFonts w:eastAsia="Times New Roman"/>
        </w:rPr>
        <w:t xml:space="preserve">Distributed Energy Resources Deferral Tariff </w:t>
      </w:r>
      <w:r>
        <w:rPr>
          <w:rFonts w:eastAsia="Times New Roman"/>
        </w:rPr>
        <w:t xml:space="preserve">Pilot 1 </w:t>
      </w:r>
      <w:r w:rsidR="00D77A39">
        <w:rPr>
          <w:rFonts w:eastAsia="Times New Roman"/>
        </w:rPr>
        <w:t>and implement in</w:t>
      </w:r>
      <w:r>
        <w:rPr>
          <w:rFonts w:eastAsia="Times New Roman"/>
        </w:rPr>
        <w:t xml:space="preserve"> August</w:t>
      </w:r>
      <w:r w:rsidR="0091692B">
        <w:rPr>
          <w:rFonts w:eastAsia="Times New Roman"/>
        </w:rPr>
        <w:t> </w:t>
      </w:r>
      <w:r>
        <w:rPr>
          <w:rFonts w:eastAsia="Times New Roman"/>
        </w:rPr>
        <w:t>2021, either as proposed or with modifications?</w:t>
      </w:r>
    </w:p>
    <w:p w:rsidR="001A56FD" w:rsidP="0011559B" w:rsidRDefault="000A1E16" w14:paraId="5ED5D07F" w14:textId="620394E8">
      <w:pPr>
        <w:numPr>
          <w:ilvl w:val="0"/>
          <w:numId w:val="8"/>
        </w:numPr>
        <w:spacing w:after="120" w:line="240" w:lineRule="auto"/>
        <w:ind w:left="1080" w:right="1440"/>
        <w:rPr>
          <w:rFonts w:eastAsia="Times New Roman"/>
        </w:rPr>
      </w:pPr>
      <w:r>
        <w:rPr>
          <w:rFonts w:eastAsia="Times New Roman"/>
        </w:rPr>
        <w:t>S</w:t>
      </w:r>
      <w:r w:rsidR="001A56FD">
        <w:rPr>
          <w:rFonts w:eastAsia="Times New Roman"/>
        </w:rPr>
        <w:t xml:space="preserve">hould </w:t>
      </w:r>
      <w:r>
        <w:rPr>
          <w:rFonts w:eastAsia="Times New Roman"/>
        </w:rPr>
        <w:t xml:space="preserve">the Commission </w:t>
      </w:r>
      <w:r w:rsidR="001A56FD">
        <w:rPr>
          <w:rFonts w:eastAsia="Times New Roman"/>
        </w:rPr>
        <w:t xml:space="preserve">adopt the proposed changes to the </w:t>
      </w:r>
      <w:r w:rsidR="00E23932">
        <w:rPr>
          <w:rFonts w:eastAsia="Times New Roman"/>
        </w:rPr>
        <w:t xml:space="preserve">current </w:t>
      </w:r>
      <w:r w:rsidR="001A56FD">
        <w:rPr>
          <w:rFonts w:eastAsia="Times New Roman"/>
        </w:rPr>
        <w:t>Requests for Offers process?</w:t>
      </w:r>
    </w:p>
    <w:p w:rsidRPr="00C062C9" w:rsidR="00140B59" w:rsidP="0011559B" w:rsidRDefault="000A1E16" w14:paraId="229BEC79" w14:textId="3FF123CB">
      <w:pPr>
        <w:numPr>
          <w:ilvl w:val="0"/>
          <w:numId w:val="8"/>
        </w:numPr>
        <w:spacing w:after="120" w:line="240" w:lineRule="auto"/>
        <w:ind w:left="1080" w:right="1440"/>
        <w:rPr>
          <w:rFonts w:eastAsia="Times New Roman"/>
        </w:rPr>
      </w:pPr>
      <w:r>
        <w:rPr>
          <w:rFonts w:eastAsia="Times New Roman"/>
        </w:rPr>
        <w:t>S</w:t>
      </w:r>
      <w:r w:rsidR="001A56FD">
        <w:rPr>
          <w:rFonts w:eastAsia="Times New Roman"/>
        </w:rPr>
        <w:t xml:space="preserve">hould </w:t>
      </w:r>
      <w:r>
        <w:rPr>
          <w:rFonts w:eastAsia="Times New Roman"/>
        </w:rPr>
        <w:t xml:space="preserve">the Commission </w:t>
      </w:r>
      <w:r w:rsidR="001A56FD">
        <w:rPr>
          <w:rFonts w:eastAsia="Times New Roman"/>
        </w:rPr>
        <w:t>adopt the proposed Standard Offer Contract pilot, either as proposed or with modifications</w:t>
      </w:r>
      <w:r w:rsidR="00D77A39">
        <w:rPr>
          <w:rFonts w:eastAsia="Times New Roman"/>
        </w:rPr>
        <w:t>?</w:t>
      </w:r>
    </w:p>
    <w:p w:rsidR="005939A5" w:rsidP="00097CC8" w:rsidRDefault="00CF76E4" w14:paraId="3043CC64" w14:textId="32A13496">
      <w:pPr>
        <w:pStyle w:val="Heading1"/>
      </w:pPr>
      <w:bookmarkStart w:name="_Toc63778670" w:id="10"/>
      <w:r>
        <w:t>Consideration of the Staff Proposal</w:t>
      </w:r>
      <w:bookmarkEnd w:id="10"/>
    </w:p>
    <w:p w:rsidR="0073353F" w:rsidP="006E6574" w:rsidRDefault="0014406E" w14:paraId="3404D58C" w14:textId="3756EEC5">
      <w:pPr>
        <w:pStyle w:val="Standard"/>
      </w:pPr>
      <w:r>
        <w:t xml:space="preserve">In the </w:t>
      </w:r>
      <w:r w:rsidR="007D4847">
        <w:t>sub</w:t>
      </w:r>
      <w:r>
        <w:t xml:space="preserve">sections below, we provide further details </w:t>
      </w:r>
      <w:r w:rsidR="007D4847">
        <w:t>of</w:t>
      </w:r>
      <w:r>
        <w:t xml:space="preserve"> our consideration of the Staff Proposal with respect </w:t>
      </w:r>
      <w:proofErr w:type="gramStart"/>
      <w:r>
        <w:t>to:</w:t>
      </w:r>
      <w:proofErr w:type="gramEnd"/>
      <w:r>
        <w:t xml:space="preserve"> </w:t>
      </w:r>
      <w:r w:rsidR="0091692B">
        <w:t xml:space="preserve"> </w:t>
      </w:r>
      <w:r>
        <w:t xml:space="preserve">1) guiding principles for the development of a distributed energy resources </w:t>
      </w:r>
      <w:r w:rsidR="007D4847">
        <w:t xml:space="preserve">distribution deferral </w:t>
      </w:r>
      <w:r>
        <w:t>tariff; 2) a distribution deferral tariff and pilot; 3) streamlining the current RFO solicitation process; and 4)</w:t>
      </w:r>
      <w:r w:rsidR="006A7C8C">
        <w:t> </w:t>
      </w:r>
      <w:r>
        <w:t>a Standard Offer Contract and pilot</w:t>
      </w:r>
      <w:r w:rsidR="00EA36C6">
        <w:t>.</w:t>
      </w:r>
    </w:p>
    <w:p w:rsidR="00EA36C6" w:rsidP="00097CC8" w:rsidRDefault="00CF76E4" w14:paraId="38811EB2" w14:textId="08A245A7">
      <w:pPr>
        <w:pStyle w:val="Heading2"/>
      </w:pPr>
      <w:bookmarkStart w:name="_Toc63778671" w:id="11"/>
      <w:r>
        <w:t>Guiding Principles</w:t>
      </w:r>
      <w:bookmarkEnd w:id="11"/>
    </w:p>
    <w:p w:rsidR="000E270A" w:rsidP="00FE7ADF" w:rsidRDefault="00423529" w14:paraId="78896AF8" w14:textId="11CC204B">
      <w:r>
        <w:t xml:space="preserve">Upon review of the proposed guiding principles in the Staff Proposal, and the comments and reply comments filed by parties, we have refined the </w:t>
      </w:r>
      <w:r w:rsidR="00FE7ADF">
        <w:t xml:space="preserve">proposed </w:t>
      </w:r>
      <w:r>
        <w:t>guiding principles and adopt a set of principles to guide the</w:t>
      </w:r>
      <w:r w:rsidR="00FE7ADF">
        <w:t xml:space="preserve"> </w:t>
      </w:r>
      <w:r>
        <w:t xml:space="preserve">development of a </w:t>
      </w:r>
      <w:r w:rsidR="00FE7ADF">
        <w:t xml:space="preserve">distributed energy resources distribution </w:t>
      </w:r>
      <w:r>
        <w:t>deferral tariff</w:t>
      </w:r>
      <w:r w:rsidR="00EA36C6">
        <w:t>.</w:t>
      </w:r>
      <w:r>
        <w:t xml:space="preserve">  The adopted principles </w:t>
      </w:r>
      <w:r w:rsidR="00FE7ADF">
        <w:t xml:space="preserve">establish the foundations of the tariff: </w:t>
      </w:r>
      <w:r w:rsidR="005F3384">
        <w:t xml:space="preserve"> </w:t>
      </w:r>
      <w:r w:rsidR="00FE7ADF">
        <w:t xml:space="preserve">what </w:t>
      </w:r>
      <w:r w:rsidR="007D4847">
        <w:t>the tariff</w:t>
      </w:r>
      <w:r w:rsidR="00FE7ADF">
        <w:t xml:space="preserve"> should do and what objectives it should meet.  Below we first describe the proposed guiding principles found in the Staff Proposal</w:t>
      </w:r>
      <w:r w:rsidR="007D4847">
        <w:t xml:space="preserve">; </w:t>
      </w:r>
      <w:r w:rsidR="00FE7ADF">
        <w:t>we then review party requests to make changes to the proposed set through elimination, addition, or refinement.</w:t>
      </w:r>
    </w:p>
    <w:p w:rsidR="00CF76E4" w:rsidP="00097CC8" w:rsidRDefault="00CF76E4" w14:paraId="4E3608C3" w14:textId="05E5ECAB">
      <w:pPr>
        <w:pStyle w:val="Heading3"/>
      </w:pPr>
      <w:bookmarkStart w:name="_Toc63778672" w:id="12"/>
      <w:r>
        <w:t xml:space="preserve">Proposed </w:t>
      </w:r>
      <w:r w:rsidR="000911A8">
        <w:t xml:space="preserve">Guiding </w:t>
      </w:r>
      <w:r>
        <w:t>Principles</w:t>
      </w:r>
      <w:bookmarkEnd w:id="12"/>
    </w:p>
    <w:p w:rsidR="00CF76E4" w:rsidP="00CF76E4" w:rsidRDefault="001D4E1F" w14:paraId="09FB0E04" w14:textId="09C7A3F6">
      <w:r>
        <w:t xml:space="preserve">The Staff Proposal </w:t>
      </w:r>
      <w:r w:rsidR="00102EBE">
        <w:t>recommends adoption of</w:t>
      </w:r>
      <w:r>
        <w:t xml:space="preserve"> nine guiding principles for the design of distributed energy resources tariffs</w:t>
      </w:r>
      <w:r w:rsidR="00CF76E4">
        <w:t>.</w:t>
      </w:r>
      <w:r>
        <w:t xml:space="preserve">  The first five principles were originally presented in a November 18, 2018 Ruling that directed parties to develop proposals for distributed energy resources tariffs.  The Staff Proposal </w:t>
      </w:r>
      <w:r>
        <w:lastRenderedPageBreak/>
        <w:t>explains that revisions were made to the original principles (as indicated by italics).  Additionally, the Staff Proposal developed and presented four new guiding principles</w:t>
      </w:r>
      <w:r w:rsidR="00291E6A">
        <w:t xml:space="preserve"> (</w:t>
      </w:r>
      <w:r w:rsidR="00907DE4">
        <w:t>the last four bullets</w:t>
      </w:r>
      <w:r w:rsidR="00291E6A">
        <w:t>)</w:t>
      </w:r>
      <w:r>
        <w:t>.</w:t>
      </w:r>
      <w:r w:rsidR="00291E6A">
        <w:t xml:space="preserve">  </w:t>
      </w:r>
      <w:r w:rsidR="00244DCD">
        <w:t>(For discussion purposes, we refer to the originally proposed guiding principles as numbered below.)</w:t>
      </w:r>
    </w:p>
    <w:p w:rsidR="00291E6A" w:rsidP="006758F5" w:rsidRDefault="00291E6A" w14:paraId="6FAF39C6" w14:textId="63D5AC8B">
      <w:pPr>
        <w:ind w:firstLine="0"/>
        <w:jc w:val="center"/>
      </w:pPr>
      <w:bookmarkStart w:name="_Hlk56855614" w:id="13"/>
      <w:r>
        <w:t>Distributed Energy Resources Tariff Designs:</w:t>
      </w:r>
    </w:p>
    <w:p w:rsidRPr="00291E6A" w:rsidR="00291E6A" w:rsidP="0011559B" w:rsidRDefault="00291E6A" w14:paraId="23BB28A2" w14:textId="3AC70233">
      <w:pPr>
        <w:pStyle w:val="ListParagraph"/>
        <w:numPr>
          <w:ilvl w:val="0"/>
          <w:numId w:val="9"/>
        </w:numPr>
        <w:spacing w:after="120" w:line="240" w:lineRule="auto"/>
        <w:ind w:left="1080" w:right="1440"/>
        <w:contextualSpacing w:val="0"/>
      </w:pPr>
      <w:r w:rsidRPr="00291E6A">
        <w:t>Do not inherently favor traditional infrastructure investments over distributed energy</w:t>
      </w:r>
      <w:r>
        <w:t xml:space="preserve"> </w:t>
      </w:r>
      <w:r w:rsidRPr="00291E6A">
        <w:t xml:space="preserve">resources or vice versa </w:t>
      </w:r>
      <w:r w:rsidRPr="00244DCD">
        <w:rPr>
          <w:i/>
          <w:iCs/>
        </w:rPr>
        <w:t>while removing barriers to DERs to compete on a level playing field.</w:t>
      </w:r>
    </w:p>
    <w:p w:rsidR="00291E6A" w:rsidP="0011559B" w:rsidRDefault="00291E6A" w14:paraId="0AA8D596" w14:textId="77777777">
      <w:pPr>
        <w:pStyle w:val="ListParagraph"/>
        <w:numPr>
          <w:ilvl w:val="0"/>
          <w:numId w:val="9"/>
        </w:numPr>
        <w:spacing w:after="120" w:line="240" w:lineRule="auto"/>
        <w:ind w:left="1080" w:right="1440"/>
        <w:contextualSpacing w:val="0"/>
      </w:pPr>
      <w:r w:rsidRPr="00291E6A">
        <w:t>Provide an incentive for energy usage and market behavior (consuming, buying, and selling</w:t>
      </w:r>
      <w:r>
        <w:t xml:space="preserve"> </w:t>
      </w:r>
      <w:r w:rsidRPr="00291E6A">
        <w:t>energy and capacity and derivative products) that is reasonably expected to reduce</w:t>
      </w:r>
      <w:r>
        <w:t xml:space="preserve"> </w:t>
      </w:r>
      <w:r w:rsidRPr="00291E6A">
        <w:t>greenhouse gas emissions and other air pollutants.</w:t>
      </w:r>
    </w:p>
    <w:p w:rsidRPr="00291E6A" w:rsidR="00291E6A" w:rsidP="0011559B" w:rsidRDefault="00291E6A" w14:paraId="524B7B76" w14:textId="2F3F7079">
      <w:pPr>
        <w:pStyle w:val="ListParagraph"/>
        <w:numPr>
          <w:ilvl w:val="0"/>
          <w:numId w:val="9"/>
        </w:numPr>
        <w:spacing w:after="120" w:line="240" w:lineRule="auto"/>
        <w:ind w:left="1080" w:right="1440"/>
        <w:contextualSpacing w:val="0"/>
      </w:pPr>
      <w:r w:rsidRPr="00291E6A">
        <w:t>Provide an incentive for energy usage and market behavior (consuming, buying, and selling</w:t>
      </w:r>
      <w:r>
        <w:t xml:space="preserve"> </w:t>
      </w:r>
      <w:r w:rsidRPr="00291E6A">
        <w:t xml:space="preserve">energy and capacity and derivative products) that is reasonably expected to </w:t>
      </w:r>
      <w:r w:rsidRPr="00F7578E">
        <w:rPr>
          <w:strike/>
        </w:rPr>
        <w:t>minimize</w:t>
      </w:r>
      <w:r w:rsidRPr="00291E6A">
        <w:t xml:space="preserve"> </w:t>
      </w:r>
      <w:r w:rsidRPr="00291E6A">
        <w:rPr>
          <w:i/>
          <w:iCs/>
        </w:rPr>
        <w:t>reduce</w:t>
      </w:r>
      <w:r>
        <w:rPr>
          <w:i/>
          <w:iCs/>
        </w:rPr>
        <w:t xml:space="preserve"> </w:t>
      </w:r>
      <w:r w:rsidRPr="00291E6A">
        <w:t>overall energy system costs, relative to other available options, including, but not limited to:</w:t>
      </w:r>
    </w:p>
    <w:p w:rsidRPr="00291E6A" w:rsidR="00291E6A" w:rsidP="0011559B" w:rsidRDefault="00291E6A" w14:paraId="34CC4DBC" w14:textId="306895CB">
      <w:pPr>
        <w:pStyle w:val="ListParagraph"/>
        <w:numPr>
          <w:ilvl w:val="0"/>
          <w:numId w:val="8"/>
        </w:numPr>
        <w:spacing w:after="120" w:line="240" w:lineRule="auto"/>
        <w:ind w:left="1440" w:right="1440"/>
        <w:contextualSpacing w:val="0"/>
      </w:pPr>
      <w:r w:rsidRPr="00291E6A">
        <w:t>Distribution costs</w:t>
      </w:r>
    </w:p>
    <w:p w:rsidR="005617B9" w:rsidP="0011559B" w:rsidRDefault="00291E6A" w14:paraId="14B2C317" w14:textId="77777777">
      <w:pPr>
        <w:pStyle w:val="ListParagraph"/>
        <w:numPr>
          <w:ilvl w:val="0"/>
          <w:numId w:val="8"/>
        </w:numPr>
        <w:spacing w:after="120" w:line="240" w:lineRule="auto"/>
        <w:ind w:left="1440" w:right="1440"/>
        <w:contextualSpacing w:val="0"/>
      </w:pPr>
      <w:r w:rsidRPr="00291E6A">
        <w:t>Transmission costs</w:t>
      </w:r>
    </w:p>
    <w:p w:rsidR="005617B9" w:rsidP="0011559B" w:rsidRDefault="00291E6A" w14:paraId="22C43828" w14:textId="77777777">
      <w:pPr>
        <w:pStyle w:val="ListParagraph"/>
        <w:numPr>
          <w:ilvl w:val="0"/>
          <w:numId w:val="8"/>
        </w:numPr>
        <w:spacing w:after="120" w:line="240" w:lineRule="auto"/>
        <w:ind w:left="1440" w:right="1440"/>
        <w:contextualSpacing w:val="0"/>
      </w:pPr>
      <w:r w:rsidRPr="00291E6A">
        <w:t>Generation costs</w:t>
      </w:r>
    </w:p>
    <w:p w:rsidR="00291E6A" w:rsidP="0011559B" w:rsidRDefault="00291E6A" w14:paraId="6454E0E8" w14:textId="01FB1DF5">
      <w:pPr>
        <w:pStyle w:val="ListParagraph"/>
        <w:numPr>
          <w:ilvl w:val="0"/>
          <w:numId w:val="8"/>
        </w:numPr>
        <w:spacing w:after="120" w:line="240" w:lineRule="auto"/>
        <w:ind w:left="1440" w:right="1260"/>
        <w:contextualSpacing w:val="0"/>
      </w:pPr>
      <w:r w:rsidRPr="00291E6A">
        <w:t>Other costs that may overlap with the above categories, including costs associated</w:t>
      </w:r>
      <w:r>
        <w:t xml:space="preserve"> </w:t>
      </w:r>
      <w:r w:rsidRPr="00291E6A">
        <w:t xml:space="preserve">with </w:t>
      </w:r>
      <w:r w:rsidRPr="005617B9">
        <w:rPr>
          <w:i/>
          <w:iCs/>
        </w:rPr>
        <w:t>operations and maintenance</w:t>
      </w:r>
      <w:r w:rsidRPr="00291E6A">
        <w:t>, vegetation management, preventative de</w:t>
      </w:r>
      <w:r w:rsidR="00C83265">
        <w:noBreakHyphen/>
      </w:r>
      <w:r w:rsidRPr="00291E6A">
        <w:t>energization,</w:t>
      </w:r>
      <w:r>
        <w:t xml:space="preserve"> </w:t>
      </w:r>
      <w:r w:rsidRPr="00291E6A">
        <w:t>insurance, and any other relevant</w:t>
      </w:r>
      <w:r w:rsidR="003A63C0">
        <w:t xml:space="preserve"> </w:t>
      </w:r>
      <w:r w:rsidRPr="00291E6A">
        <w:t>costs.</w:t>
      </w:r>
    </w:p>
    <w:p w:rsidR="00291E6A" w:rsidP="0011559B" w:rsidRDefault="00291E6A" w14:paraId="10BDF2FF" w14:textId="72CBF2B7">
      <w:pPr>
        <w:pStyle w:val="ListParagraph"/>
        <w:numPr>
          <w:ilvl w:val="0"/>
          <w:numId w:val="9"/>
        </w:numPr>
        <w:spacing w:after="120" w:line="240" w:lineRule="auto"/>
        <w:ind w:left="1080" w:right="1440"/>
        <w:contextualSpacing w:val="0"/>
      </w:pPr>
      <w:r w:rsidRPr="00291E6A">
        <w:t>Enable utilities to recover all Commission-approved revenue requirements equitably from</w:t>
      </w:r>
      <w:r>
        <w:t xml:space="preserve"> </w:t>
      </w:r>
      <w:r w:rsidRPr="00291E6A">
        <w:t>both participating and non-participating customers.</w:t>
      </w:r>
    </w:p>
    <w:p w:rsidR="00291E6A" w:rsidP="0011559B" w:rsidRDefault="00291E6A" w14:paraId="72C6179A" w14:textId="77777777">
      <w:pPr>
        <w:pStyle w:val="ListParagraph"/>
        <w:numPr>
          <w:ilvl w:val="0"/>
          <w:numId w:val="9"/>
        </w:numPr>
        <w:spacing w:after="120" w:line="240" w:lineRule="auto"/>
        <w:ind w:left="1080" w:right="1440"/>
        <w:contextualSpacing w:val="0"/>
      </w:pPr>
      <w:r w:rsidRPr="00291E6A">
        <w:t xml:space="preserve">Are reasonably expected to improve the deployment </w:t>
      </w:r>
      <w:r w:rsidRPr="00291E6A">
        <w:rPr>
          <w:i/>
          <w:iCs/>
        </w:rPr>
        <w:t xml:space="preserve">and utilization </w:t>
      </w:r>
      <w:r w:rsidRPr="00291E6A">
        <w:t>of cost-effective</w:t>
      </w:r>
      <w:r>
        <w:t xml:space="preserve"> </w:t>
      </w:r>
      <w:r w:rsidRPr="00291E6A">
        <w:t>distributed energy resources relative to the other mechanisms currently available.</w:t>
      </w:r>
    </w:p>
    <w:p w:rsidRPr="00907DE4" w:rsidR="00291E6A" w:rsidP="0011559B" w:rsidRDefault="00291E6A" w14:paraId="4AD95706" w14:textId="77777777">
      <w:pPr>
        <w:pStyle w:val="ListParagraph"/>
        <w:numPr>
          <w:ilvl w:val="0"/>
          <w:numId w:val="9"/>
        </w:numPr>
        <w:spacing w:after="120" w:line="240" w:lineRule="auto"/>
        <w:ind w:left="1080" w:right="1440"/>
        <w:contextualSpacing w:val="0"/>
      </w:pPr>
      <w:r w:rsidRPr="00907DE4">
        <w:lastRenderedPageBreak/>
        <w:t>Maintain technology neutrality among different distributed energy resource types while recognizing that some distributed energy resources will be better able to meet certain needs than others.</w:t>
      </w:r>
    </w:p>
    <w:p w:rsidRPr="00907DE4" w:rsidR="00291E6A" w:rsidP="0011559B" w:rsidRDefault="00291E6A" w14:paraId="4C878610" w14:textId="42E8AA6B">
      <w:pPr>
        <w:pStyle w:val="ListParagraph"/>
        <w:numPr>
          <w:ilvl w:val="0"/>
          <w:numId w:val="9"/>
        </w:numPr>
        <w:spacing w:after="120" w:line="240" w:lineRule="auto"/>
        <w:ind w:left="1080" w:right="1440"/>
        <w:contextualSpacing w:val="0"/>
      </w:pPr>
      <w:r w:rsidRPr="00907DE4">
        <w:t>Leverage private investment in distributed energy resources to achieve deferral benefits at least at marginal cost to ratepayers.  The cost of distributed energy resources must cost less than the deferral value cost cap to be selected for contracting.  Behind-the-meter distributed energy resources are paid for by homeowners and businesses.  Deferral tariffs can leverage this private investment in distributed energy resources and potentially be more cost competitive relative to paying the full cost of the distributed energy resource.</w:t>
      </w:r>
    </w:p>
    <w:p w:rsidRPr="00907DE4" w:rsidR="00291E6A" w:rsidP="006A7C8C" w:rsidRDefault="00291E6A" w14:paraId="2C9D97A3" w14:textId="32C9C614">
      <w:pPr>
        <w:pStyle w:val="ListParagraph"/>
        <w:numPr>
          <w:ilvl w:val="0"/>
          <w:numId w:val="9"/>
        </w:numPr>
        <w:spacing w:after="120" w:line="240" w:lineRule="auto"/>
        <w:ind w:left="1080" w:right="990"/>
        <w:contextualSpacing w:val="0"/>
      </w:pPr>
      <w:r w:rsidRPr="00907DE4">
        <w:t xml:space="preserve">Leverage existing distributed energy resource programs not already providing deferral services such as the Self-Generation Incentive Program and Net Energy Metering. Leveraging existing </w:t>
      </w:r>
      <w:r w:rsidRPr="00907DE4" w:rsidR="000948E0">
        <w:t xml:space="preserve">distributed energy resource </w:t>
      </w:r>
      <w:r w:rsidRPr="00907DE4">
        <w:t>programs enhances the value of those programs to ratepayers and can provide lower cost deferral solutions.</w:t>
      </w:r>
    </w:p>
    <w:p w:rsidRPr="00907DE4" w:rsidR="00291E6A" w:rsidP="0011559B" w:rsidRDefault="00291E6A" w14:paraId="4749E3B9" w14:textId="47CE3D28">
      <w:pPr>
        <w:pStyle w:val="ListParagraph"/>
        <w:numPr>
          <w:ilvl w:val="0"/>
          <w:numId w:val="9"/>
        </w:numPr>
        <w:spacing w:after="120" w:line="240" w:lineRule="auto"/>
        <w:ind w:left="1080" w:right="1440"/>
        <w:contextualSpacing w:val="0"/>
      </w:pPr>
      <w:r w:rsidRPr="00907DE4">
        <w:t>Learn by Doing Pilots – the pilots proposed require adaptation and experimentation and a longer time horizon for evaluating results and success.</w:t>
      </w:r>
    </w:p>
    <w:p w:rsidR="000911A8" w:rsidP="00097CC8" w:rsidRDefault="000911A8" w14:paraId="3895F44B" w14:textId="6405FD0D">
      <w:pPr>
        <w:pStyle w:val="Heading3"/>
      </w:pPr>
      <w:bookmarkStart w:name="_Toc63778673" w:id="14"/>
      <w:bookmarkEnd w:id="13"/>
      <w:r>
        <w:t>Adoption of Guiding Principles</w:t>
      </w:r>
      <w:bookmarkEnd w:id="14"/>
    </w:p>
    <w:p w:rsidR="008167F1" w:rsidP="005617B9" w:rsidRDefault="008167F1" w14:paraId="73B8AF92" w14:textId="0EE18054">
      <w:pPr>
        <w:pStyle w:val="Standard"/>
      </w:pPr>
      <w:r>
        <w:t xml:space="preserve">To begin, we clarify that the intent of the guiding principles is to ensure that when designing </w:t>
      </w:r>
      <w:r w:rsidR="00D758A3">
        <w:t xml:space="preserve">a </w:t>
      </w:r>
      <w:r>
        <w:t xml:space="preserve">distributed energy resource tariff, the tariff meets each of these principles.  In our review of the proposed guiding principles from the Staff Proposal and </w:t>
      </w:r>
      <w:r w:rsidR="003B4886">
        <w:t xml:space="preserve">party </w:t>
      </w:r>
      <w:r>
        <w:t xml:space="preserve">comments, </w:t>
      </w:r>
      <w:r w:rsidR="003B4886">
        <w:t xml:space="preserve">we found that </w:t>
      </w:r>
      <w:r>
        <w:t>certain proposed principles focused on the pilot</w:t>
      </w:r>
      <w:r w:rsidR="003B4886">
        <w:t xml:space="preserve"> and not the tariff</w:t>
      </w:r>
      <w:r>
        <w:t xml:space="preserve">.  </w:t>
      </w:r>
      <w:r w:rsidR="003B4886">
        <w:t xml:space="preserve">For example, the Staff Proposal recommends adoption of the </w:t>
      </w:r>
      <w:r w:rsidR="00BE6468">
        <w:t>P</w:t>
      </w:r>
      <w:r w:rsidR="003B4886">
        <w:t>rinciple</w:t>
      </w:r>
      <w:r w:rsidR="00BE6468">
        <w:t xml:space="preserve"> 9:</w:t>
      </w:r>
      <w:r w:rsidR="003B4886">
        <w:t xml:space="preserve"> Learn by Doing Pilot,</w:t>
      </w:r>
      <w:r w:rsidR="00B24EC8">
        <w:rPr>
          <w:rStyle w:val="FootnoteReference"/>
        </w:rPr>
        <w:footnoteReference w:id="2"/>
      </w:r>
      <w:r w:rsidR="003B4886">
        <w:t xml:space="preserve"> and Public </w:t>
      </w:r>
      <w:r w:rsidR="003B4886">
        <w:lastRenderedPageBreak/>
        <w:t>Advocates Office recommends the inclusion of an off-ramp to end or modify pilots based on evaluation results.</w:t>
      </w:r>
      <w:r w:rsidR="00B24EC8">
        <w:rPr>
          <w:rStyle w:val="FootnoteReference"/>
        </w:rPr>
        <w:footnoteReference w:id="3"/>
      </w:r>
      <w:r w:rsidR="003B4886">
        <w:t xml:space="preserve">  Further, CUE submits that criteria for what constitutes success in a pilot should be established before the </w:t>
      </w:r>
      <w:r w:rsidR="00B24EC8">
        <w:t>pilot begins.</w:t>
      </w:r>
      <w:r w:rsidR="00B24EC8">
        <w:rPr>
          <w:rStyle w:val="FootnoteReference"/>
        </w:rPr>
        <w:footnoteReference w:id="4"/>
      </w:r>
      <w:r w:rsidR="00B24EC8">
        <w:t xml:space="preserve">  </w:t>
      </w:r>
      <w:r w:rsidR="00D3571E">
        <w:t>W</w:t>
      </w:r>
      <w:r w:rsidR="003B4886">
        <w:t xml:space="preserve">e find value in the </w:t>
      </w:r>
      <w:r w:rsidR="00BE6468">
        <w:t>substance</w:t>
      </w:r>
      <w:r w:rsidR="003B4886">
        <w:t xml:space="preserve"> of th</w:t>
      </w:r>
      <w:r w:rsidR="000D7F13">
        <w:t>e</w:t>
      </w:r>
      <w:r w:rsidR="003B4886">
        <w:t>se propos</w:t>
      </w:r>
      <w:r w:rsidR="007F2A17">
        <w:t xml:space="preserve">als </w:t>
      </w:r>
      <w:r w:rsidR="003B4886">
        <w:t xml:space="preserve">and address </w:t>
      </w:r>
      <w:r w:rsidR="00BE6468">
        <w:t>the substance</w:t>
      </w:r>
      <w:r w:rsidR="003B4886">
        <w:t xml:space="preserve"> in our discussion of the distributed energy resources </w:t>
      </w:r>
      <w:r w:rsidR="00BE6468">
        <w:t xml:space="preserve">distribution deferral </w:t>
      </w:r>
      <w:r w:rsidR="003B4886">
        <w:t>tariff pilot.</w:t>
      </w:r>
      <w:r w:rsidR="00D3571E">
        <w:t xml:space="preserve">  However, we </w:t>
      </w:r>
      <w:r w:rsidR="00D758A3">
        <w:t xml:space="preserve">do not consider them to be principles for distributed energy resources distribution deferral tariffs and </w:t>
      </w:r>
      <w:r w:rsidR="00D3571E">
        <w:t xml:space="preserve">eliminate </w:t>
      </w:r>
      <w:r w:rsidR="00D758A3">
        <w:t>them from the final adopted guiding principles</w:t>
      </w:r>
      <w:r w:rsidR="00D3571E">
        <w:t>.</w:t>
      </w:r>
    </w:p>
    <w:p w:rsidR="00256556" w:rsidP="005617B9" w:rsidRDefault="00EC2FD7" w14:paraId="0E96B3C4" w14:textId="5EFF8C86">
      <w:pPr>
        <w:pStyle w:val="Standard"/>
      </w:pPr>
      <w:r>
        <w:t>Next, we</w:t>
      </w:r>
      <w:r w:rsidR="00B24EC8">
        <w:t xml:space="preserve"> look to </w:t>
      </w:r>
      <w:r w:rsidR="00A41DD2">
        <w:t xml:space="preserve">the </w:t>
      </w:r>
      <w:r w:rsidR="00E15FF7">
        <w:t xml:space="preserve">directives of the </w:t>
      </w:r>
      <w:r w:rsidR="00A41DD2">
        <w:t>statute</w:t>
      </w:r>
      <w:r w:rsidR="00E15FF7">
        <w:t xml:space="preserve"> that led </w:t>
      </w:r>
      <w:r w:rsidR="00256556">
        <w:t xml:space="preserve">to </w:t>
      </w:r>
      <w:r w:rsidR="00E15FF7">
        <w:t xml:space="preserve">the initiation of </w:t>
      </w:r>
      <w:r w:rsidR="00256556">
        <w:t>this proceeding</w:t>
      </w:r>
      <w:r w:rsidR="00A41DD2">
        <w:t xml:space="preserve">: </w:t>
      </w:r>
      <w:r w:rsidR="005F3384">
        <w:t xml:space="preserve"> </w:t>
      </w:r>
      <w:r w:rsidR="00B24EC8">
        <w:t xml:space="preserve">to </w:t>
      </w:r>
      <w:r w:rsidR="003B2D2F">
        <w:t>deploy cost-effective distributed energy resources that satisfy distribution planning objectives</w:t>
      </w:r>
      <w:r w:rsidR="00A41DD2">
        <w:t>;</w:t>
      </w:r>
      <w:r w:rsidR="003B2D2F">
        <w:t xml:space="preserve"> </w:t>
      </w:r>
      <w:r w:rsidR="00256556">
        <w:t xml:space="preserve">to </w:t>
      </w:r>
      <w:r w:rsidR="003B2D2F">
        <w:t>coordinate existing commission-approved programs, incentives, and tariffs to maximize the locational benefits and minimize the incremental costs of distributed energy resources</w:t>
      </w:r>
      <w:r w:rsidR="00A41DD2">
        <w:t>;</w:t>
      </w:r>
      <w:r w:rsidR="003B2D2F">
        <w:t xml:space="preserve"> and </w:t>
      </w:r>
      <w:r w:rsidR="00256556">
        <w:t xml:space="preserve">to </w:t>
      </w:r>
      <w:r w:rsidR="003B2D2F">
        <w:t>identify barriers to the deployment of distributed energy resources.</w:t>
      </w:r>
      <w:r w:rsidR="003B2D2F">
        <w:rPr>
          <w:rStyle w:val="FootnoteReference"/>
        </w:rPr>
        <w:footnoteReference w:id="5"/>
      </w:r>
      <w:r w:rsidR="00A41DD2">
        <w:t xml:space="preserve">  Hence, we find </w:t>
      </w:r>
      <w:r w:rsidR="00597F02">
        <w:t xml:space="preserve">the issues of </w:t>
      </w:r>
      <w:r w:rsidR="00A41DD2">
        <w:t>cost-effectiveness, minimizing incremental costs,</w:t>
      </w:r>
      <w:r w:rsidR="00256556">
        <w:t xml:space="preserve"> </w:t>
      </w:r>
      <w:r w:rsidR="00A41DD2">
        <w:t xml:space="preserve">and eliminating barriers to the deployment of distributed energy resources to be </w:t>
      </w:r>
      <w:r w:rsidR="00256556">
        <w:t>key to the development of the tariff</w:t>
      </w:r>
      <w:r w:rsidR="00D758A3">
        <w:t xml:space="preserve">, and therefore appropriate </w:t>
      </w:r>
      <w:r w:rsidR="00597F02">
        <w:t xml:space="preserve">in our discussion of the </w:t>
      </w:r>
      <w:r w:rsidR="00D758A3">
        <w:t>development of guiding principles</w:t>
      </w:r>
      <w:r w:rsidR="00A41DD2">
        <w:t>.</w:t>
      </w:r>
    </w:p>
    <w:p w:rsidR="006B3094" w:rsidP="005617B9" w:rsidRDefault="006B3094" w14:paraId="17BBD99D" w14:textId="0CBEE220">
      <w:pPr>
        <w:pStyle w:val="Standard"/>
      </w:pPr>
      <w:r>
        <w:t xml:space="preserve">Our </w:t>
      </w:r>
      <w:r w:rsidR="00BE6468">
        <w:t>consideration</w:t>
      </w:r>
      <w:r>
        <w:t xml:space="preserve"> of</w:t>
      </w:r>
      <w:r w:rsidR="00BE6468">
        <w:t xml:space="preserve"> the </w:t>
      </w:r>
      <w:r>
        <w:t xml:space="preserve">guiding principles is separated into the following sections: </w:t>
      </w:r>
      <w:r w:rsidR="005F3384">
        <w:t xml:space="preserve"> </w:t>
      </w:r>
      <w:r>
        <w:t>omission of certain proposed principles, addition of principles, and refine</w:t>
      </w:r>
      <w:r w:rsidR="00BE6468">
        <w:t>ment of principles</w:t>
      </w:r>
      <w:r>
        <w:t>.</w:t>
      </w:r>
      <w:r w:rsidR="00F30F9A">
        <w:t xml:space="preserve">  Each is discussed separately below.</w:t>
      </w:r>
    </w:p>
    <w:p w:rsidR="006B3094" w:rsidP="0011559B" w:rsidRDefault="006B3094" w14:paraId="0D44B2B8" w14:textId="12FC3CA1">
      <w:pPr>
        <w:pStyle w:val="Heading4"/>
        <w:numPr>
          <w:ilvl w:val="3"/>
          <w:numId w:val="18"/>
        </w:numPr>
      </w:pPr>
      <w:bookmarkStart w:name="_Toc63778674" w:id="15"/>
      <w:r>
        <w:lastRenderedPageBreak/>
        <w:t>Requests to Omit Certain Proposed Guiding Principles</w:t>
      </w:r>
      <w:bookmarkEnd w:id="15"/>
    </w:p>
    <w:p w:rsidR="00F30F9A" w:rsidP="005617B9" w:rsidRDefault="00E3748D" w14:paraId="7150641F" w14:textId="44DF17D1">
      <w:pPr>
        <w:pStyle w:val="Standard"/>
      </w:pPr>
      <w:r>
        <w:t>W</w:t>
      </w:r>
      <w:r w:rsidR="009B7D09">
        <w:t xml:space="preserve">hile supporting </w:t>
      </w:r>
      <w:proofErr w:type="gramStart"/>
      <w:r>
        <w:t>a number of</w:t>
      </w:r>
      <w:proofErr w:type="gramEnd"/>
      <w:r>
        <w:t xml:space="preserve"> the </w:t>
      </w:r>
      <w:r w:rsidR="009B7D09">
        <w:t xml:space="preserve">principles, </w:t>
      </w:r>
      <w:r>
        <w:t xml:space="preserve">the following parties </w:t>
      </w:r>
      <w:r w:rsidR="009B7D09">
        <w:t xml:space="preserve">request removal of </w:t>
      </w:r>
      <w:r w:rsidR="00F275CA">
        <w:t xml:space="preserve">other </w:t>
      </w:r>
      <w:r w:rsidR="009B7D09">
        <w:t xml:space="preserve">proposed principles: </w:t>
      </w:r>
      <w:r w:rsidR="00AF2DD4">
        <w:t xml:space="preserve"> </w:t>
      </w:r>
      <w:r w:rsidR="009B7D09">
        <w:t xml:space="preserve">CESA, CUE, PG&amp;E and SDG&amp;E.  </w:t>
      </w:r>
    </w:p>
    <w:p w:rsidR="009B7D09" w:rsidP="005617B9" w:rsidRDefault="00E960A7" w14:paraId="39C9782F" w14:textId="0B3A8ED8">
      <w:pPr>
        <w:pStyle w:val="Standard"/>
      </w:pPr>
      <w:r>
        <w:t xml:space="preserve">Both </w:t>
      </w:r>
      <w:r w:rsidR="009B7D09">
        <w:t xml:space="preserve">CESA </w:t>
      </w:r>
      <w:r>
        <w:t xml:space="preserve">and SDG&amp;E </w:t>
      </w:r>
      <w:r w:rsidR="009B7D09">
        <w:t xml:space="preserve">request omission of </w:t>
      </w:r>
      <w:r w:rsidR="00244DCD">
        <w:t>p</w:t>
      </w:r>
      <w:r w:rsidR="009B7D09">
        <w:t xml:space="preserve">rinciple </w:t>
      </w:r>
      <w:r w:rsidR="004337B9">
        <w:t>6</w:t>
      </w:r>
      <w:r w:rsidR="00244DCD">
        <w:t xml:space="preserve">, which would </w:t>
      </w:r>
      <w:r w:rsidR="009B7D09">
        <w:t>re</w:t>
      </w:r>
      <w:r>
        <w:t>quir</w:t>
      </w:r>
      <w:r w:rsidR="00244DCD">
        <w:t xml:space="preserve">e </w:t>
      </w:r>
      <w:r w:rsidR="009B7D09">
        <w:t xml:space="preserve">neutrality </w:t>
      </w:r>
      <w:r>
        <w:t xml:space="preserve">but </w:t>
      </w:r>
      <w:r w:rsidR="00597F02">
        <w:t xml:space="preserve">includes a statement </w:t>
      </w:r>
      <w:r w:rsidR="00E3748D">
        <w:t>that</w:t>
      </w:r>
      <w:r w:rsidR="009B7D09">
        <w:t xml:space="preserve"> some distributed energy resources are better suited to meet certain needs.</w:t>
      </w:r>
      <w:r>
        <w:t xml:space="preserve">  SDG&amp;E </w:t>
      </w:r>
      <w:r w:rsidR="004C114A">
        <w:t>asserts</w:t>
      </w:r>
      <w:r>
        <w:t xml:space="preserve"> this </w:t>
      </w:r>
      <w:r w:rsidR="00597F02">
        <w:t xml:space="preserve">statement </w:t>
      </w:r>
      <w:r>
        <w:t>is not a principle but a fact.</w:t>
      </w:r>
      <w:r>
        <w:rPr>
          <w:rStyle w:val="FootnoteReference"/>
        </w:rPr>
        <w:footnoteReference w:id="6"/>
      </w:r>
      <w:r>
        <w:t xml:space="preserve">  While we maintain the neutrality requirement as a principle, we agree that distributed energy resources’ differing abilities is a fact</w:t>
      </w:r>
      <w:r w:rsidR="007B6E13">
        <w:t>.  T</w:t>
      </w:r>
      <w:r>
        <w:t>his portion of principle</w:t>
      </w:r>
      <w:r w:rsidR="007B6E13">
        <w:t xml:space="preserve"> 6 should be deleted</w:t>
      </w:r>
      <w:r>
        <w:t>.</w:t>
      </w:r>
    </w:p>
    <w:p w:rsidR="00A41DD2" w:rsidP="005617B9" w:rsidRDefault="00E960A7" w14:paraId="27464199" w14:textId="2B8A2F58">
      <w:pPr>
        <w:pStyle w:val="Standard"/>
      </w:pPr>
      <w:r>
        <w:t xml:space="preserve">CUE and PG&amp;E </w:t>
      </w:r>
      <w:r w:rsidR="00011F37">
        <w:t>contend</w:t>
      </w:r>
      <w:r w:rsidR="00635EEB">
        <w:t xml:space="preserve"> principle </w:t>
      </w:r>
      <w:r w:rsidR="004C114A">
        <w:t xml:space="preserve">2, </w:t>
      </w:r>
      <w:r w:rsidR="00635EEB">
        <w:t>regarding reduction of greenhouse gas emissions</w:t>
      </w:r>
      <w:r w:rsidR="004C114A">
        <w:t xml:space="preserve">, </w:t>
      </w:r>
      <w:r w:rsidR="00635EEB">
        <w:t>is outside the scope of the requirements for distribution project deferral.</w:t>
      </w:r>
      <w:r w:rsidR="00635EEB">
        <w:rPr>
          <w:rStyle w:val="FootnoteReference"/>
        </w:rPr>
        <w:footnoteReference w:id="7"/>
      </w:r>
      <w:r w:rsidR="00011F37">
        <w:t xml:space="preserve">  CUE highlights the intention of this distributed energy resources tariff is to defer distribution projects and argues there are other programs that provide incentives for reducing emissions.</w:t>
      </w:r>
      <w:r w:rsidR="00011F37">
        <w:rPr>
          <w:rStyle w:val="FootnoteReference"/>
        </w:rPr>
        <w:footnoteReference w:id="8"/>
      </w:r>
      <w:r w:rsidR="00011F37">
        <w:t xml:space="preserve">  Agreeing that the purpose of the distributed energy resources is not to reduce emissions, CESA asserts this principle may create inequities because traditional distribution investments are not held to this standard.</w:t>
      </w:r>
      <w:r w:rsidR="00F275CA">
        <w:rPr>
          <w:rStyle w:val="FootnoteReference"/>
        </w:rPr>
        <w:footnoteReference w:id="9"/>
      </w:r>
      <w:r w:rsidR="00F275CA">
        <w:t xml:space="preserve">  We agree that this principle would conflict with </w:t>
      </w:r>
      <w:r w:rsidR="00700EDA">
        <w:t xml:space="preserve">the policy of </w:t>
      </w:r>
      <w:r w:rsidR="00F275CA">
        <w:t>technology neutrality</w:t>
      </w:r>
      <w:r w:rsidR="004C114A">
        <w:t xml:space="preserve"> and omit it from the final list of principles</w:t>
      </w:r>
      <w:r w:rsidR="00F275CA">
        <w:t>.</w:t>
      </w:r>
    </w:p>
    <w:p w:rsidR="00B06825" w:rsidP="00AF2DD4" w:rsidRDefault="00F275CA" w14:paraId="288B1CDB" w14:textId="67EF6A47">
      <w:pPr>
        <w:pStyle w:val="Standard"/>
      </w:pPr>
      <w:r>
        <w:t>CUE and PG&amp;E also argue for the exclusion of principle</w:t>
      </w:r>
      <w:r w:rsidR="004C114A">
        <w:t xml:space="preserve"> 3</w:t>
      </w:r>
      <w:r>
        <w:t xml:space="preserve">: </w:t>
      </w:r>
      <w:r w:rsidR="005617B9">
        <w:t xml:space="preserve"> </w:t>
      </w:r>
      <w:r w:rsidRPr="0097114D">
        <w:rPr>
          <w:i/>
          <w:iCs/>
        </w:rPr>
        <w:t xml:space="preserve">Provide an incentive for energy usage and market behavior (consuming, buying, and selling energy </w:t>
      </w:r>
      <w:r w:rsidRPr="0097114D">
        <w:rPr>
          <w:i/>
          <w:iCs/>
        </w:rPr>
        <w:lastRenderedPageBreak/>
        <w:t>and capacity and derivative products</w:t>
      </w:r>
      <w:r w:rsidR="0071254A">
        <w:rPr>
          <w:i/>
          <w:iCs/>
        </w:rPr>
        <w:t>)</w:t>
      </w:r>
      <w:r w:rsidRPr="0097114D">
        <w:rPr>
          <w:i/>
          <w:iCs/>
        </w:rPr>
        <w:t xml:space="preserve"> that is reasonably expected to reduce overall energy system costs, relative to other available options, including but not limited to: distribution costs, transmission costs, generation costs, and other costs that may overlap with the above categories, including costs associated with operations and maintenance, vegetation management, preventative de-energi</w:t>
      </w:r>
      <w:r w:rsidRPr="0097114D" w:rsidR="00AB4692">
        <w:rPr>
          <w:i/>
          <w:iCs/>
        </w:rPr>
        <w:t xml:space="preserve">zation, insurance and any other relevant costs.  </w:t>
      </w:r>
      <w:r w:rsidRPr="00AB4692" w:rsidR="00AB4692">
        <w:t xml:space="preserve">CUE and PG&amp;E </w:t>
      </w:r>
      <w:r w:rsidR="00AB4692">
        <w:t>contend</w:t>
      </w:r>
      <w:r w:rsidRPr="00AB4692" w:rsidR="00AB4692">
        <w:t xml:space="preserve"> this principle is out of scope.</w:t>
      </w:r>
      <w:r w:rsidR="00AB4692">
        <w:t xml:space="preserve">  </w:t>
      </w:r>
      <w:r w:rsidR="0097114D">
        <w:t xml:space="preserve">CUE states that the </w:t>
      </w:r>
      <w:r w:rsidRPr="0097114D" w:rsidR="0097114D">
        <w:t>principle misconstrues the purpose of the DIDF and any</w:t>
      </w:r>
      <w:r w:rsidR="0097114D">
        <w:t xml:space="preserve"> </w:t>
      </w:r>
      <w:r w:rsidR="00E3748D">
        <w:t xml:space="preserve">distributed energy resource </w:t>
      </w:r>
      <w:r w:rsidR="0097114D">
        <w:t>tariff, arguing t</w:t>
      </w:r>
      <w:r w:rsidRPr="0097114D" w:rsidR="0097114D">
        <w:t xml:space="preserve">he purpose of </w:t>
      </w:r>
      <w:r w:rsidR="0097114D">
        <w:t xml:space="preserve">the tariff </w:t>
      </w:r>
      <w:r w:rsidRPr="0097114D" w:rsidR="0097114D">
        <w:t xml:space="preserve">is to provide a way to compare </w:t>
      </w:r>
      <w:r w:rsidR="0097114D">
        <w:t xml:space="preserve">distributed energy resources </w:t>
      </w:r>
      <w:r w:rsidRPr="0097114D" w:rsidR="0097114D">
        <w:t>with wire investments to</w:t>
      </w:r>
      <w:r w:rsidR="0097114D">
        <w:t xml:space="preserve"> </w:t>
      </w:r>
      <w:r w:rsidRPr="0097114D" w:rsidR="0097114D">
        <w:t xml:space="preserve">see if the </w:t>
      </w:r>
      <w:r w:rsidR="0097114D">
        <w:t xml:space="preserve">distributed energy resources are </w:t>
      </w:r>
      <w:r w:rsidRPr="0097114D" w:rsidR="0097114D">
        <w:t>more cost-effective.</w:t>
      </w:r>
      <w:r w:rsidR="0097114D">
        <w:rPr>
          <w:rStyle w:val="FootnoteReference"/>
        </w:rPr>
        <w:footnoteReference w:id="10"/>
      </w:r>
    </w:p>
    <w:p w:rsidRPr="00AB4692" w:rsidR="00F275CA" w:rsidP="00AF2DD4" w:rsidRDefault="003C6EF6" w14:paraId="30C9158A" w14:textId="48216FFA">
      <w:pPr>
        <w:pStyle w:val="Standard"/>
      </w:pPr>
      <w:r>
        <w:t xml:space="preserve">CUE confuses the purpose of the tariff with the purpose of the pilot.  We reiterate that the purpose of the tariff is to target distributed energy resources deployment that defers or avoids distribution investments.  </w:t>
      </w:r>
      <w:r w:rsidR="0071254A">
        <w:t>However, we</w:t>
      </w:r>
      <w:r w:rsidR="004C114A">
        <w:t xml:space="preserve"> agree that </w:t>
      </w:r>
      <w:r w:rsidR="0071254A">
        <w:t xml:space="preserve">certain </w:t>
      </w:r>
      <w:r w:rsidR="00F769DB">
        <w:t xml:space="preserve">contents of </w:t>
      </w:r>
      <w:r w:rsidR="00B06825">
        <w:t xml:space="preserve">this </w:t>
      </w:r>
      <w:r w:rsidR="00F769DB">
        <w:t xml:space="preserve">principle are </w:t>
      </w:r>
      <w:r w:rsidR="0071254A">
        <w:t>not consistent with the purpose of the tariff.  F</w:t>
      </w:r>
      <w:r w:rsidR="009B1D76">
        <w:t>urther</w:t>
      </w:r>
      <w:r w:rsidR="0071254A">
        <w:t>, we agree with CESA that distributed energy resources customers receive a payment for a service, not an incentive.</w:t>
      </w:r>
      <w:r w:rsidR="00B06825">
        <w:rPr>
          <w:rStyle w:val="FootnoteReference"/>
        </w:rPr>
        <w:footnoteReference w:id="11"/>
      </w:r>
      <w:r w:rsidR="0071254A">
        <w:t xml:space="preserve">  </w:t>
      </w:r>
      <w:r w:rsidR="00B06825">
        <w:t xml:space="preserve">We find </w:t>
      </w:r>
      <w:r w:rsidR="009B1D76">
        <w:t xml:space="preserve">proposed </w:t>
      </w:r>
      <w:r w:rsidR="00B06825">
        <w:t>principle</w:t>
      </w:r>
      <w:r w:rsidR="00E258B9">
        <w:t> </w:t>
      </w:r>
      <w:r w:rsidR="009B1D76">
        <w:t xml:space="preserve">3 </w:t>
      </w:r>
      <w:r w:rsidR="00B06825">
        <w:t xml:space="preserve">addresses elements broader than </w:t>
      </w:r>
      <w:r w:rsidR="009B1D76">
        <w:t xml:space="preserve">a distributed energy resources </w:t>
      </w:r>
      <w:r w:rsidR="00B06825">
        <w:t>tariff (</w:t>
      </w:r>
      <w:r w:rsidRPr="00AF2DD4" w:rsidR="00B06825">
        <w:rPr>
          <w:i/>
          <w:iCs/>
        </w:rPr>
        <w:t>e.g.,</w:t>
      </w:r>
      <w:r w:rsidR="00B06825">
        <w:t xml:space="preserve"> energy usage and market behavior).  </w:t>
      </w:r>
      <w:r w:rsidR="004E47DA">
        <w:t>However, t</w:t>
      </w:r>
      <w:r>
        <w:t xml:space="preserve">he </w:t>
      </w:r>
      <w:r w:rsidR="004C114A">
        <w:t xml:space="preserve">relevant contents </w:t>
      </w:r>
      <w:r>
        <w:t xml:space="preserve">of the principle </w:t>
      </w:r>
      <w:r w:rsidR="0071254A">
        <w:t>(</w:t>
      </w:r>
      <w:r w:rsidRPr="00AF2DD4" w:rsidR="00597F02">
        <w:rPr>
          <w:i/>
          <w:iCs/>
        </w:rPr>
        <w:t>i</w:t>
      </w:r>
      <w:r w:rsidRPr="00AF2DD4" w:rsidR="0071254A">
        <w:rPr>
          <w:i/>
          <w:iCs/>
        </w:rPr>
        <w:t>.</w:t>
      </w:r>
      <w:r w:rsidRPr="00AF2DD4" w:rsidR="00597F02">
        <w:rPr>
          <w:i/>
          <w:iCs/>
        </w:rPr>
        <w:t>e</w:t>
      </w:r>
      <w:r w:rsidRPr="00AF2DD4" w:rsidR="0071254A">
        <w:rPr>
          <w:i/>
          <w:iCs/>
        </w:rPr>
        <w:t>.,</w:t>
      </w:r>
      <w:r w:rsidR="0071254A">
        <w:t xml:space="preserve"> </w:t>
      </w:r>
      <w:r>
        <w:t xml:space="preserve">importance of cost </w:t>
      </w:r>
      <w:r w:rsidR="0071254A">
        <w:t xml:space="preserve">reduction </w:t>
      </w:r>
      <w:r>
        <w:t>relative to other available options</w:t>
      </w:r>
      <w:r w:rsidR="0071254A">
        <w:t xml:space="preserve">) </w:t>
      </w:r>
      <w:r w:rsidR="004E47DA">
        <w:t>should be maintained but revised</w:t>
      </w:r>
      <w:r w:rsidR="004C114A">
        <w:t>.</w:t>
      </w:r>
      <w:r w:rsidR="004E47DA">
        <w:t xml:space="preserve">  We discuss the revisions in the refinement section below.</w:t>
      </w:r>
    </w:p>
    <w:p w:rsidR="00F275CA" w:rsidP="00AF2DD4" w:rsidRDefault="007E1A32" w14:paraId="201ABE7B" w14:textId="3106E88E">
      <w:pPr>
        <w:pStyle w:val="Standard"/>
      </w:pPr>
      <w:r>
        <w:t>SDG&amp;E opposes the inclusion of two new principles</w:t>
      </w:r>
      <w:r w:rsidR="00597F02">
        <w:t xml:space="preserve"> proposed by staff</w:t>
      </w:r>
      <w:r>
        <w:t>.  We begin with arguments against principle</w:t>
      </w:r>
      <w:r w:rsidR="004C114A">
        <w:t xml:space="preserve"> 7</w:t>
      </w:r>
      <w:r>
        <w:t xml:space="preserve">:  </w:t>
      </w:r>
      <w:r w:rsidRPr="001E1A00">
        <w:rPr>
          <w:i/>
          <w:iCs/>
        </w:rPr>
        <w:t xml:space="preserve">Leverage private investments in </w:t>
      </w:r>
      <w:r w:rsidRPr="001E1A00">
        <w:rPr>
          <w:i/>
          <w:iCs/>
        </w:rPr>
        <w:lastRenderedPageBreak/>
        <w:t>distributed energy resources to achieve deferral benefits at least at marginal cost to ratepayers.  The cost of distributed energy resources must cost less than the deferral value cost cap to be selected for contracting.  Behind-the-Meter distributed energy resources are paid for by homeowners and businesses.  Deferral tariffs can leverage this private investment in distributed energy resources and potentially be more cost competitive relative to paying the full cost of the distributed energy resources.</w:t>
      </w:r>
      <w:r>
        <w:t xml:space="preserve">  SDG&amp;E </w:t>
      </w:r>
      <w:r w:rsidR="001E1A00">
        <w:t>opposes the statement that deferral tariffs are effective substitutes for competitive processes</w:t>
      </w:r>
      <w:r w:rsidR="004C114A">
        <w:t>; w</w:t>
      </w:r>
      <w:r w:rsidR="001E1A00">
        <w:t>e agree that this statement should not be included in this principle.  However, we find that the foundation of this principle</w:t>
      </w:r>
      <w:r w:rsidR="00597F02">
        <w:t>—l</w:t>
      </w:r>
      <w:r w:rsidR="001E1A00">
        <w:t>everaging private investments</w:t>
      </w:r>
      <w:r w:rsidR="00597F02">
        <w:t xml:space="preserve">—is </w:t>
      </w:r>
      <w:r w:rsidR="001E1A00">
        <w:t>a</w:t>
      </w:r>
      <w:r w:rsidR="00D30632">
        <w:t xml:space="preserve">n </w:t>
      </w:r>
      <w:r w:rsidR="001E1A00">
        <w:t xml:space="preserve">element in ensuring cost-effectiveness.  </w:t>
      </w:r>
      <w:r w:rsidR="00492989">
        <w:t>We discuss further revisions to this principle below.</w:t>
      </w:r>
    </w:p>
    <w:p w:rsidR="001E1A00" w:rsidP="00AF2DD4" w:rsidRDefault="00492989" w14:paraId="59F10933" w14:textId="416F7B70">
      <w:pPr>
        <w:pStyle w:val="Standard"/>
      </w:pPr>
      <w:r>
        <w:t>SDG&amp;E also opposes the inclusion of principle</w:t>
      </w:r>
      <w:r w:rsidR="004C114A">
        <w:t xml:space="preserve"> 8, which calls for </w:t>
      </w:r>
      <w:r>
        <w:t>leverag</w:t>
      </w:r>
      <w:r w:rsidR="004C114A">
        <w:t>ing</w:t>
      </w:r>
      <w:r>
        <w:t xml:space="preserve"> existing distributed energy resources not already providing deferral services.  SDG&amp;E maintains that adoption of this principle would result in “</w:t>
      </w:r>
      <w:r w:rsidRPr="00492989">
        <w:t>heavily subsidized customers</w:t>
      </w:r>
      <w:r>
        <w:t>…</w:t>
      </w:r>
      <w:r w:rsidRPr="00492989">
        <w:t>rewarded with even more money</w:t>
      </w:r>
      <w:r>
        <w:t>.”</w:t>
      </w:r>
      <w:r>
        <w:rPr>
          <w:rStyle w:val="FootnoteReference"/>
        </w:rPr>
        <w:footnoteReference w:id="12"/>
      </w:r>
      <w:r>
        <w:t xml:space="preserve">  Here again, the foundation of this principle is valuable – leveraging existing distributed energy resources</w:t>
      </w:r>
      <w:r w:rsidR="003C6EF6">
        <w:t>—</w:t>
      </w:r>
      <w:r>
        <w:t xml:space="preserve">but we must protect against double payments.  We maintain the principle but refine </w:t>
      </w:r>
      <w:r w:rsidR="003C6EF6">
        <w:t xml:space="preserve">it below </w:t>
      </w:r>
      <w:r>
        <w:t>to include such assurances.</w:t>
      </w:r>
    </w:p>
    <w:p w:rsidRPr="00E3748D" w:rsidR="006B3094" w:rsidP="0011559B" w:rsidRDefault="006B3094" w14:paraId="751737F0" w14:textId="627BDFA5">
      <w:pPr>
        <w:pStyle w:val="Heading4"/>
        <w:numPr>
          <w:ilvl w:val="3"/>
          <w:numId w:val="18"/>
        </w:numPr>
      </w:pPr>
      <w:bookmarkStart w:name="_Toc63778675" w:id="16"/>
      <w:r>
        <w:t>Requests to Adopt Additional Guiding Principles</w:t>
      </w:r>
      <w:bookmarkEnd w:id="16"/>
    </w:p>
    <w:p w:rsidR="004560D8" w:rsidP="00AF2DD4" w:rsidRDefault="004560D8" w14:paraId="2BDCBB37" w14:textId="77777777">
      <w:pPr>
        <w:pStyle w:val="Standard"/>
      </w:pPr>
      <w:r>
        <w:t>Sunrun and PG&amp;E offer additional proposed guiding principles.</w:t>
      </w:r>
    </w:p>
    <w:p w:rsidR="00756891" w:rsidP="00AF2DD4" w:rsidRDefault="00C31F98" w14:paraId="616118D3" w14:textId="6212EAFF">
      <w:pPr>
        <w:pStyle w:val="Standard"/>
      </w:pPr>
      <w:r>
        <w:t xml:space="preserve">Sunrun </w:t>
      </w:r>
      <w:r w:rsidR="00756891">
        <w:t xml:space="preserve">supports the proposed principles but </w:t>
      </w:r>
      <w:r>
        <w:t>request</w:t>
      </w:r>
      <w:r w:rsidR="00756891">
        <w:t>s</w:t>
      </w:r>
      <w:r>
        <w:t xml:space="preserve"> the additional principle </w:t>
      </w:r>
      <w:r w:rsidR="00756891">
        <w:t xml:space="preserve">of </w:t>
      </w:r>
      <w:r>
        <w:t>ensur</w:t>
      </w:r>
      <w:r w:rsidR="00756891">
        <w:t>ing t</w:t>
      </w:r>
      <w:r>
        <w:t>hat pilot program design accelerates market understanding, encourages innovation</w:t>
      </w:r>
      <w:r w:rsidR="006E4DEC">
        <w:t>,</w:t>
      </w:r>
      <w:r>
        <w:t xml:space="preserve"> and fosters the development of </w:t>
      </w:r>
      <w:r w:rsidR="003A63C0">
        <w:t xml:space="preserve">scalable </w:t>
      </w:r>
      <w:r>
        <w:lastRenderedPageBreak/>
        <w:t>full</w:t>
      </w:r>
      <w:r w:rsidR="00AF2DD4">
        <w:noBreakHyphen/>
      </w:r>
      <w:r>
        <w:t xml:space="preserve">program </w:t>
      </w:r>
      <w:r w:rsidR="00756891">
        <w:t>model</w:t>
      </w:r>
      <w:r w:rsidR="003A63C0">
        <w:t>s</w:t>
      </w:r>
      <w:r w:rsidR="00756891">
        <w:t>.</w:t>
      </w:r>
      <w:r w:rsidR="00756891">
        <w:rPr>
          <w:rStyle w:val="FootnoteReference"/>
        </w:rPr>
        <w:footnoteReference w:id="13"/>
      </w:r>
      <w:r w:rsidR="00756891">
        <w:t xml:space="preserve">  We discuss these points in our discussion of the pilot itself.  But we find the tariff design should </w:t>
      </w:r>
      <w:r w:rsidR="00103376">
        <w:t xml:space="preserve">also </w:t>
      </w:r>
      <w:r w:rsidR="00756891">
        <w:t xml:space="preserve">encourage innovation and thus incorporate this into the </w:t>
      </w:r>
      <w:r w:rsidR="004560D8">
        <w:t xml:space="preserve">adopted </w:t>
      </w:r>
      <w:r w:rsidR="00756891">
        <w:t>principles.</w:t>
      </w:r>
    </w:p>
    <w:p w:rsidR="00F30F9A" w:rsidP="00AF2DD4" w:rsidRDefault="00756891" w14:paraId="26F5564D" w14:textId="2F0E3D72">
      <w:pPr>
        <w:pStyle w:val="Standard"/>
      </w:pPr>
      <w:r>
        <w:t xml:space="preserve">PG&amp;E </w:t>
      </w:r>
      <w:r w:rsidR="00901B6D">
        <w:t xml:space="preserve">contends that to </w:t>
      </w:r>
      <w:r w:rsidRPr="00901B6D" w:rsidR="00901B6D">
        <w:t>mitigate risks related to grid safety, reliability, and affordability</w:t>
      </w:r>
      <w:r w:rsidR="00901B6D">
        <w:t xml:space="preserve">, the Commission should adopt </w:t>
      </w:r>
      <w:r>
        <w:t xml:space="preserve">the following </w:t>
      </w:r>
      <w:r w:rsidR="00901B6D">
        <w:t xml:space="preserve">additional </w:t>
      </w:r>
      <w:r>
        <w:t>principles: 1)</w:t>
      </w:r>
      <w:r w:rsidR="00AF2DD4">
        <w:t> </w:t>
      </w:r>
      <w:r>
        <w:t>pay for only cost-effective solutions where benefits are fully realized; 2)</w:t>
      </w:r>
      <w:r w:rsidR="00B634C8">
        <w:t> </w:t>
      </w:r>
      <w:r>
        <w:t>provide for compensation only for incremental service at or below cost of traditional investment and for services not compensated elsewhere to avoid double payment or subsidy; 3) do  not pay for additional commodities and/or services that distributed energy resources offer if need for those services does not exist for buyer; 4</w:t>
      </w:r>
      <w:r w:rsidR="00E202E6">
        <w:t>) tailored to specific distribution grid need, where distributed energy resources participation &amp; compensation are limited to defined locations and time; 5) have verifiable evidence that distributed energy resources meet distribution need requirements; 6) include appropriate contractual provisions, such as penalties and recovery of emergency and contingency costs, for non-performance to meet need; and 7) have a defined time period with a start and sunset date for pilot.</w:t>
      </w:r>
      <w:r w:rsidR="00901B6D">
        <w:t xml:space="preserve">  SCE supports PG&amp;E’s additional principles.</w:t>
      </w:r>
      <w:r w:rsidR="00901B6D">
        <w:rPr>
          <w:rStyle w:val="FootnoteReference"/>
        </w:rPr>
        <w:footnoteReference w:id="14"/>
      </w:r>
    </w:p>
    <w:p w:rsidR="001E1A00" w:rsidP="00AF2DD4" w:rsidRDefault="004560D8" w14:paraId="2B87D734" w14:textId="6CDF58F1">
      <w:pPr>
        <w:pStyle w:val="Standard"/>
      </w:pPr>
      <w:r>
        <w:t xml:space="preserve">Three </w:t>
      </w:r>
      <w:r w:rsidR="00E202E6">
        <w:t xml:space="preserve">of these concepts should be incorporated into the principles: ensuring cost-effective solutions </w:t>
      </w:r>
      <w:r w:rsidR="008C42F5">
        <w:t xml:space="preserve">and </w:t>
      </w:r>
      <w:r w:rsidR="00E202E6">
        <w:t xml:space="preserve">incremental services </w:t>
      </w:r>
      <w:r w:rsidR="008C42F5">
        <w:t xml:space="preserve">and </w:t>
      </w:r>
      <w:r w:rsidR="00E202E6">
        <w:t>avoid</w:t>
      </w:r>
      <w:r w:rsidR="008C42F5">
        <w:t>ing</w:t>
      </w:r>
      <w:r w:rsidR="00E202E6">
        <w:t xml:space="preserve"> double payment</w:t>
      </w:r>
      <w:r w:rsidR="008C42F5">
        <w:t>s</w:t>
      </w:r>
      <w:r w:rsidR="00E202E6">
        <w:t xml:space="preserve">.  </w:t>
      </w:r>
      <w:r>
        <w:t>We address th</w:t>
      </w:r>
      <w:r w:rsidR="00B4424E">
        <w:t>ese concepts</w:t>
      </w:r>
      <w:r>
        <w:t xml:space="preserve"> below in our refinement discussion.  </w:t>
      </w:r>
      <w:r w:rsidR="00E202E6">
        <w:t>However, other concepts</w:t>
      </w:r>
      <w:r w:rsidR="008C42F5">
        <w:t xml:space="preserve"> </w:t>
      </w:r>
      <w:r w:rsidR="00E202E6">
        <w:t xml:space="preserve">are specific </w:t>
      </w:r>
      <w:r>
        <w:t xml:space="preserve">to </w:t>
      </w:r>
      <w:r w:rsidR="008C42F5">
        <w:t xml:space="preserve">tariff and/or </w:t>
      </w:r>
      <w:r w:rsidR="00E202E6">
        <w:t xml:space="preserve">contract provisions </w:t>
      </w:r>
      <w:r w:rsidR="008C42F5">
        <w:t>(</w:t>
      </w:r>
      <w:r w:rsidRPr="00AF2DD4" w:rsidR="008C42F5">
        <w:rPr>
          <w:i/>
          <w:iCs/>
        </w:rPr>
        <w:t>e.g.,</w:t>
      </w:r>
      <w:r w:rsidR="008C42F5">
        <w:t xml:space="preserve"> not paying for unneeded services, verification, penalties, etc.)</w:t>
      </w:r>
      <w:r>
        <w:t xml:space="preserve">, are not </w:t>
      </w:r>
      <w:r w:rsidR="00E202E6">
        <w:t>principles</w:t>
      </w:r>
      <w:r>
        <w:t xml:space="preserve">, </w:t>
      </w:r>
      <w:r w:rsidR="008C42F5">
        <w:t>and should not be adopted as such.</w:t>
      </w:r>
    </w:p>
    <w:p w:rsidR="006B3094" w:rsidP="0011559B" w:rsidRDefault="006B3094" w14:paraId="33676DFA" w14:textId="53A7458A">
      <w:pPr>
        <w:pStyle w:val="Heading4"/>
        <w:numPr>
          <w:ilvl w:val="3"/>
          <w:numId w:val="18"/>
        </w:numPr>
      </w:pPr>
      <w:bookmarkStart w:name="_Toc63778676" w:id="17"/>
      <w:r>
        <w:lastRenderedPageBreak/>
        <w:t>Refinement of the Guiding Principles</w:t>
      </w:r>
      <w:bookmarkEnd w:id="17"/>
    </w:p>
    <w:p w:rsidR="004560D8" w:rsidP="00AF2DD4" w:rsidRDefault="004560D8" w14:paraId="58BA2F4F" w14:textId="307AEAB6">
      <w:pPr>
        <w:pStyle w:val="Standard"/>
      </w:pPr>
      <w:r>
        <w:t>Below</w:t>
      </w:r>
      <w:r w:rsidR="00E97DF2">
        <w:t>,</w:t>
      </w:r>
      <w:r>
        <w:t xml:space="preserve"> we address </w:t>
      </w:r>
      <w:r w:rsidR="00103376">
        <w:t xml:space="preserve">additional </w:t>
      </w:r>
      <w:r>
        <w:t xml:space="preserve">refinement of guiding principles for the design of a distributed energy resources distribution deferral tariff.  We begin with a discussion of </w:t>
      </w:r>
      <w:r w:rsidR="00103376">
        <w:t xml:space="preserve">specific </w:t>
      </w:r>
      <w:r>
        <w:t>minor refinement</w:t>
      </w:r>
      <w:r w:rsidR="00103376">
        <w:t>s</w:t>
      </w:r>
      <w:r>
        <w:t xml:space="preserve"> proposed by parties and then turn to final refinement based on party comments.</w:t>
      </w:r>
    </w:p>
    <w:p w:rsidR="00F30F9A" w:rsidP="00AF2DD4" w:rsidRDefault="00F30F9A" w14:paraId="2CFC9959" w14:textId="41BF6493">
      <w:pPr>
        <w:pStyle w:val="Standard"/>
      </w:pPr>
      <w:r>
        <w:t xml:space="preserve">Several parties express support of the proposed principles with </w:t>
      </w:r>
      <w:r w:rsidR="00B4424E">
        <w:t xml:space="preserve">some offering </w:t>
      </w:r>
      <w:r>
        <w:t xml:space="preserve">minor edits: </w:t>
      </w:r>
      <w:r w:rsidR="00AF2DD4">
        <w:t xml:space="preserve"> </w:t>
      </w:r>
      <w:r>
        <w:t>350 Bay Area, AEE, Council, Public Advocates Office, and SCE.  350 Bay Area requests the Commission refine the principle regarding the recovery of revenue requirements and ensure the accounting for other financial benefits to the overall energy system.</w:t>
      </w:r>
      <w:r>
        <w:rPr>
          <w:rStyle w:val="FootnoteReference"/>
        </w:rPr>
        <w:footnoteReference w:id="15"/>
      </w:r>
      <w:r>
        <w:t xml:space="preserve">  We remind parties that the Avoided Cost Calculator has already been updated in this proceeding to address avoided costs (</w:t>
      </w:r>
      <w:r w:rsidRPr="0011559B">
        <w:rPr>
          <w:i/>
          <w:iCs/>
        </w:rPr>
        <w:t>i.e.</w:t>
      </w:r>
      <w:r>
        <w:t>, benefits) of distributed energy resources.  Hence, we decline to adopt 350 Bay Area’s modification.  AEE states that it supports the guiding principles and notes its agreement with the inclusion of principles focused on neutrality and leveraging existing distributed energy resources.</w:t>
      </w:r>
      <w:r>
        <w:rPr>
          <w:rStyle w:val="FootnoteReference"/>
        </w:rPr>
        <w:footnoteReference w:id="16"/>
      </w:r>
      <w:r>
        <w:t xml:space="preserve">  The Council agrees with the focus on neutrality and the leveraging of private distributed energy resource investment and existing distributed energy resources programs.</w:t>
      </w:r>
      <w:r>
        <w:rPr>
          <w:rStyle w:val="FootnoteReference"/>
        </w:rPr>
        <w:footnoteReference w:id="17"/>
      </w:r>
      <w:r>
        <w:t xml:space="preserve">  Public Advocates Office supports the principle of neutrality but asks to ensure that cost</w:t>
      </w:r>
      <w:r w:rsidR="00B634C8">
        <w:noBreakHyphen/>
      </w:r>
      <w:r>
        <w:t>effectiveness is taken into account.</w:t>
      </w:r>
      <w:r>
        <w:rPr>
          <w:rStyle w:val="FootnoteReference"/>
        </w:rPr>
        <w:footnoteReference w:id="18"/>
      </w:r>
      <w:r>
        <w:t xml:space="preserve">  Public Advocates Office also requests the Commission ensure that any leveraging of existing programs also coordinates to prevent double payments.</w:t>
      </w:r>
      <w:r>
        <w:rPr>
          <w:rStyle w:val="FootnoteReference"/>
        </w:rPr>
        <w:footnoteReference w:id="19"/>
      </w:r>
      <w:r>
        <w:t xml:space="preserve">  We agree that technology neutrality </w:t>
      </w:r>
      <w:r>
        <w:lastRenderedPageBreak/>
        <w:t>and leveraging of private distributed energy resources investment should be key components of the guiding principles.  Lastly, while concurring with the proposed principles, SCE requests one revision to the principles: when considering cost-effectiveness, the Commission should look at “the total costs to execute and maintain the [tariff]”, including marketing and pre-screening costs.</w:t>
      </w:r>
      <w:r>
        <w:rPr>
          <w:rStyle w:val="FootnoteReference"/>
        </w:rPr>
        <w:footnoteReference w:id="20"/>
      </w:r>
      <w:r>
        <w:t xml:space="preserve">  We agree with SCE that we should consider all costs when determining cost</w:t>
      </w:r>
      <w:r w:rsidR="00B634C8">
        <w:noBreakHyphen/>
      </w:r>
      <w:r>
        <w:t>effectiveness.</w:t>
      </w:r>
    </w:p>
    <w:p w:rsidR="0032189A" w:rsidP="00B634C8" w:rsidRDefault="00F30F9A" w14:paraId="048ECB3D" w14:textId="4C502E1F">
      <w:pPr>
        <w:pStyle w:val="Standard"/>
        <w:ind w:right="-90"/>
      </w:pPr>
      <w:r>
        <w:t xml:space="preserve">Our prior deliberations </w:t>
      </w:r>
      <w:r w:rsidR="00265FDD">
        <w:t xml:space="preserve">above </w:t>
      </w:r>
      <w:r w:rsidR="000D7F13">
        <w:t>require</w:t>
      </w:r>
      <w:r>
        <w:t xml:space="preserve"> further refinement of the principles.  </w:t>
      </w:r>
      <w:r w:rsidR="0032189A">
        <w:t xml:space="preserve">Beginning with the heart of the tariff (paying customers </w:t>
      </w:r>
      <w:r w:rsidR="003D3897">
        <w:t xml:space="preserve">for a distributed energy resources </w:t>
      </w:r>
      <w:proofErr w:type="gramStart"/>
      <w:r w:rsidR="003D3897">
        <w:t>in order to</w:t>
      </w:r>
      <w:proofErr w:type="gramEnd"/>
      <w:r w:rsidR="003D3897">
        <w:t xml:space="preserve"> defer or avoid distribution investment</w:t>
      </w:r>
      <w:r w:rsidR="0032189A">
        <w:t xml:space="preserve">), we refine principle </w:t>
      </w:r>
      <w:r w:rsidR="00634298">
        <w:t>3</w:t>
      </w:r>
      <w:r w:rsidR="0032189A">
        <w:t xml:space="preserve"> and simplify it to focus on cost-effectiveness</w:t>
      </w:r>
      <w:r w:rsidR="003D3897">
        <w:t xml:space="preserve">, </w:t>
      </w:r>
      <w:r w:rsidR="009151AE">
        <w:t xml:space="preserve">a </w:t>
      </w:r>
      <w:r w:rsidR="00804F60">
        <w:t xml:space="preserve">key </w:t>
      </w:r>
      <w:r w:rsidR="00B4424E">
        <w:t xml:space="preserve">issue in </w:t>
      </w:r>
      <w:r w:rsidR="00804F60">
        <w:t>the develop</w:t>
      </w:r>
      <w:r w:rsidR="009151AE">
        <w:t>ment</w:t>
      </w:r>
      <w:r w:rsidR="00804F60">
        <w:t xml:space="preserve"> of the distributed energy resources distribution deferral tariff</w:t>
      </w:r>
      <w:r w:rsidR="0032189A">
        <w:t xml:space="preserve">.  </w:t>
      </w:r>
      <w:r w:rsidR="002C1496">
        <w:t xml:space="preserve">We also incorporate SCE’s recommendation to </w:t>
      </w:r>
      <w:r w:rsidR="00A17B4A">
        <w:t>ensure that all costs to execute and maintain the tariff are counted.</w:t>
      </w:r>
      <w:r w:rsidR="00A17B4A">
        <w:rPr>
          <w:rStyle w:val="FootnoteReference"/>
        </w:rPr>
        <w:footnoteReference w:id="21"/>
      </w:r>
      <w:r w:rsidR="00A17B4A">
        <w:t xml:space="preserve">  We agree with CESA’s comments that the </w:t>
      </w:r>
      <w:r w:rsidR="00E97DF2">
        <w:t xml:space="preserve">proposed </w:t>
      </w:r>
      <w:r w:rsidR="00A17B4A">
        <w:t>tariff provid</w:t>
      </w:r>
      <w:r w:rsidR="00E97DF2">
        <w:t>es</w:t>
      </w:r>
      <w:r w:rsidR="00A17B4A">
        <w:t xml:space="preserve"> a payment, not an incentive.</w:t>
      </w:r>
      <w:r w:rsidR="00634298">
        <w:rPr>
          <w:rStyle w:val="FootnoteReference"/>
        </w:rPr>
        <w:footnoteReference w:id="22"/>
      </w:r>
      <w:r w:rsidR="00A17B4A">
        <w:t xml:space="preserve">  </w:t>
      </w:r>
      <w:r w:rsidR="00EE19B8">
        <w:t xml:space="preserve">Hence, </w:t>
      </w:r>
      <w:r w:rsidR="00634298">
        <w:t xml:space="preserve">we revise principle 3 </w:t>
      </w:r>
      <w:r w:rsidR="00EE19B8">
        <w:t>as follows:</w:t>
      </w:r>
    </w:p>
    <w:p w:rsidR="00EE19B8" w:rsidP="00C83265" w:rsidRDefault="00A17B4A" w14:paraId="15947F40" w14:textId="7D5EBCFB">
      <w:pPr>
        <w:pStyle w:val="Standard"/>
      </w:pPr>
      <w:r>
        <w:rPr>
          <w:i/>
          <w:iCs/>
        </w:rPr>
        <w:t xml:space="preserve">Provide a payment to distributed energy resources customers for distribution deferral resources, where </w:t>
      </w:r>
      <w:r w:rsidRPr="00EE19B8" w:rsidR="00EE19B8">
        <w:rPr>
          <w:i/>
          <w:iCs/>
        </w:rPr>
        <w:t>the total costs to execute and maintain the distributed energy resource distribution deferral tariff reduces overall energy system costs, relative to other available options</w:t>
      </w:r>
      <w:r w:rsidR="00EE19B8">
        <w:t>.</w:t>
      </w:r>
    </w:p>
    <w:p w:rsidR="00804F60" w:rsidP="00C83265" w:rsidRDefault="003D3897" w14:paraId="2A3C1C57" w14:textId="681440DD">
      <w:pPr>
        <w:pStyle w:val="Standard"/>
      </w:pPr>
      <w:r>
        <w:t xml:space="preserve">We </w:t>
      </w:r>
      <w:r w:rsidR="00265FDD">
        <w:t xml:space="preserve">previously </w:t>
      </w:r>
      <w:r>
        <w:t xml:space="preserve">found that </w:t>
      </w:r>
      <w:r w:rsidR="00804F60">
        <w:t>eliminating barriers to the deployment of cost</w:t>
      </w:r>
      <w:r w:rsidR="00B634C8">
        <w:noBreakHyphen/>
      </w:r>
      <w:r w:rsidR="00804F60">
        <w:t xml:space="preserve">effective distributed energy resources for distribution deferral is another key element.  Hence, </w:t>
      </w:r>
      <w:r w:rsidR="00265FDD">
        <w:t>we find that</w:t>
      </w:r>
      <w:r w:rsidR="00634298">
        <w:t xml:space="preserve"> </w:t>
      </w:r>
      <w:r w:rsidR="00804F60">
        <w:t>key</w:t>
      </w:r>
      <w:r w:rsidR="00634298">
        <w:t>s</w:t>
      </w:r>
      <w:r w:rsidR="00804F60">
        <w:t xml:space="preserve"> to the success of the distribution deferral tariff </w:t>
      </w:r>
      <w:r w:rsidR="00634298">
        <w:lastRenderedPageBreak/>
        <w:t>are</w:t>
      </w:r>
      <w:r w:rsidR="00804F60">
        <w:t xml:space="preserve"> technology neutrality and ensuring fair treatment of distributed energy resources compared with the traditional infrastructure investments.  </w:t>
      </w:r>
      <w:r w:rsidR="008F6CF2">
        <w:t>CUE recommends inclusion of a principle that Behind-the-Meter distributed energy resources should be treated equally with In-Front-Of-Meter resources.</w:t>
      </w:r>
      <w:r w:rsidR="00634298">
        <w:rPr>
          <w:rStyle w:val="FootnoteReference"/>
        </w:rPr>
        <w:footnoteReference w:id="23"/>
      </w:r>
      <w:r w:rsidR="008F6CF2">
        <w:t xml:space="preserve">  We agree but </w:t>
      </w:r>
      <w:r w:rsidR="00244DCD">
        <w:t xml:space="preserve">find all distributed energy resources should be treated equally, making it unnecessary to call out specific resources.  </w:t>
      </w:r>
      <w:r w:rsidR="00804F60">
        <w:t xml:space="preserve">Accordingly, </w:t>
      </w:r>
      <w:r w:rsidR="00634298">
        <w:t xml:space="preserve">we revise </w:t>
      </w:r>
      <w:r w:rsidR="00804F60">
        <w:t xml:space="preserve">principle </w:t>
      </w:r>
      <w:r w:rsidR="00634298">
        <w:t xml:space="preserve">1 to state </w:t>
      </w:r>
      <w:r w:rsidR="00804F60">
        <w:t xml:space="preserve">that the </w:t>
      </w:r>
      <w:r w:rsidR="00634298">
        <w:t xml:space="preserve">design of the distribution deferral </w:t>
      </w:r>
      <w:r w:rsidR="00804F60">
        <w:t xml:space="preserve">tariff should: </w:t>
      </w:r>
    </w:p>
    <w:p w:rsidR="003D3897" w:rsidP="00C83265" w:rsidRDefault="00804F60" w14:paraId="2ACA2FF2" w14:textId="4AC074BB">
      <w:pPr>
        <w:pStyle w:val="Standard"/>
      </w:pPr>
      <w:r>
        <w:rPr>
          <w:i/>
          <w:iCs/>
        </w:rPr>
        <w:t>R</w:t>
      </w:r>
      <w:r w:rsidRPr="00804F60">
        <w:rPr>
          <w:i/>
          <w:iCs/>
        </w:rPr>
        <w:t>esult in a level playing field for distributed energy resources</w:t>
      </w:r>
      <w:r w:rsidR="0053313C">
        <w:rPr>
          <w:i/>
          <w:iCs/>
        </w:rPr>
        <w:t xml:space="preserve"> in comparison to </w:t>
      </w:r>
      <w:r w:rsidRPr="00804F60" w:rsidR="0053313C">
        <w:rPr>
          <w:i/>
          <w:iCs/>
        </w:rPr>
        <w:t>traditional infrastructure investments</w:t>
      </w:r>
      <w:r w:rsidRPr="00804F60">
        <w:rPr>
          <w:i/>
          <w:iCs/>
        </w:rPr>
        <w:t>, while also achieving technology neutrality across all distributed energy resources</w:t>
      </w:r>
    </w:p>
    <w:p w:rsidR="00604955" w:rsidP="00C83265" w:rsidRDefault="00604955" w14:paraId="19E39D1D" w14:textId="5A1215F4">
      <w:pPr>
        <w:pStyle w:val="Standard"/>
      </w:pPr>
      <w:r>
        <w:t xml:space="preserve">Next, we </w:t>
      </w:r>
      <w:r w:rsidR="00634298">
        <w:t xml:space="preserve">review </w:t>
      </w:r>
      <w:r w:rsidR="00265FDD">
        <w:t xml:space="preserve">principle 4 regarding </w:t>
      </w:r>
      <w:r>
        <w:t>revenue requirement recovery and equity.  Here</w:t>
      </w:r>
      <w:r w:rsidR="00D3606C">
        <w:t>,</w:t>
      </w:r>
      <w:r>
        <w:t xml:space="preserve"> parties </w:t>
      </w:r>
      <w:r w:rsidR="00867DDE">
        <w:t xml:space="preserve">generally </w:t>
      </w:r>
      <w:r>
        <w:t xml:space="preserve">agreed on the inclusion and contents of this principle, with </w:t>
      </w:r>
      <w:r w:rsidR="007F35A9">
        <w:t xml:space="preserve">minor </w:t>
      </w:r>
      <w:r>
        <w:t>change</w:t>
      </w:r>
      <w:r w:rsidR="007F35A9">
        <w:t>s</w:t>
      </w:r>
      <w:r>
        <w:t>.</w:t>
      </w:r>
      <w:r w:rsidR="00B4424E">
        <w:rPr>
          <w:rStyle w:val="FootnoteReference"/>
        </w:rPr>
        <w:footnoteReference w:id="24"/>
      </w:r>
      <w:r>
        <w:t xml:space="preserve">  </w:t>
      </w:r>
      <w:r w:rsidR="007F35A9">
        <w:t xml:space="preserve">CUE requested to </w:t>
      </w:r>
      <w:r w:rsidR="00867DDE">
        <w:t>add</w:t>
      </w:r>
      <w:r w:rsidR="007F35A9">
        <w:t xml:space="preserve"> specific language to exclude program administration and DERMs cost.</w:t>
      </w:r>
      <w:r w:rsidR="007F35A9">
        <w:rPr>
          <w:rStyle w:val="FootnoteReference"/>
        </w:rPr>
        <w:footnoteReference w:id="25"/>
      </w:r>
      <w:r w:rsidR="007F35A9">
        <w:t xml:space="preserve">  This is not a principle and we decline to adopt this language. </w:t>
      </w:r>
      <w:r w:rsidR="00CF4D68">
        <w:t xml:space="preserve"> </w:t>
      </w:r>
      <w:r>
        <w:t xml:space="preserve">PG&amp;E requested </w:t>
      </w:r>
      <w:r w:rsidR="00265FDD">
        <w:t>the Com</w:t>
      </w:r>
      <w:r w:rsidR="00634298">
        <w:t>m</w:t>
      </w:r>
      <w:r w:rsidR="00265FDD">
        <w:t xml:space="preserve">ission </w:t>
      </w:r>
      <w:r>
        <w:t>address transparency in this principle.</w:t>
      </w:r>
      <w:r>
        <w:rPr>
          <w:rStyle w:val="FootnoteReference"/>
        </w:rPr>
        <w:footnoteReference w:id="26"/>
      </w:r>
      <w:r>
        <w:t xml:space="preserve">  We agree that the revenue requirement recovery should be transparent and make the following revision</w:t>
      </w:r>
      <w:r w:rsidR="00634298">
        <w:t xml:space="preserve"> to principle 4</w:t>
      </w:r>
      <w:r>
        <w:t xml:space="preserve">: </w:t>
      </w:r>
    </w:p>
    <w:p w:rsidR="00804F60" w:rsidP="00C83265" w:rsidRDefault="00604955" w14:paraId="7C4D8400" w14:textId="79D6C38F">
      <w:pPr>
        <w:pStyle w:val="Standard"/>
        <w:rPr>
          <w:i/>
          <w:iCs/>
        </w:rPr>
      </w:pPr>
      <w:r w:rsidRPr="00604955">
        <w:rPr>
          <w:i/>
          <w:iCs/>
        </w:rPr>
        <w:t>Enable Utilities to recover all Commission-approved revenue requirements equitably and transparently from both participating and non-participating customers</w:t>
      </w:r>
      <w:r>
        <w:rPr>
          <w:i/>
          <w:iCs/>
        </w:rPr>
        <w:t>.</w:t>
      </w:r>
    </w:p>
    <w:p w:rsidR="00604955" w:rsidP="00C83265" w:rsidRDefault="00265FDD" w14:paraId="3F194B5F" w14:textId="4CBFF666">
      <w:pPr>
        <w:pStyle w:val="Standard"/>
      </w:pPr>
      <w:r>
        <w:t xml:space="preserve">Principle 5 </w:t>
      </w:r>
      <w:r w:rsidR="00604955">
        <w:t xml:space="preserve">looks again at our key element of cost-effectiveness. but in terms of deployment and utilization of distributed energy resources.  CUE </w:t>
      </w:r>
      <w:r w:rsidR="00604955">
        <w:lastRenderedPageBreak/>
        <w:t>recommend</w:t>
      </w:r>
      <w:r>
        <w:t>s</w:t>
      </w:r>
      <w:r w:rsidR="00604955">
        <w:t xml:space="preserve"> revisions to emphasize cost-effectiv</w:t>
      </w:r>
      <w:r w:rsidR="008F6CF2">
        <w:t>e</w:t>
      </w:r>
      <w:r w:rsidR="00604955">
        <w:t>ness and maximizing r</w:t>
      </w:r>
      <w:r w:rsidR="008F6CF2">
        <w:t>a</w:t>
      </w:r>
      <w:r w:rsidR="00604955">
        <w:t>tepayer savings.  We find CUE’s recommend</w:t>
      </w:r>
      <w:r>
        <w:t xml:space="preserve">ations </w:t>
      </w:r>
      <w:r w:rsidR="00604955">
        <w:t xml:space="preserve">reasonable and </w:t>
      </w:r>
      <w:r w:rsidR="008F6CF2">
        <w:t xml:space="preserve">should be adopted.  Additionally, we agree with Sunrun that a principle of the tariff should include the encouragement of innovation.  We </w:t>
      </w:r>
      <w:r w:rsidR="00634298">
        <w:t xml:space="preserve">revise principle 5 such </w:t>
      </w:r>
      <w:r w:rsidR="008F6CF2">
        <w:t>that the distribution deferral tariff should:</w:t>
      </w:r>
    </w:p>
    <w:p w:rsidR="008F6CF2" w:rsidP="00C83265" w:rsidRDefault="008F6CF2" w14:paraId="18591C06" w14:textId="4851C066">
      <w:pPr>
        <w:pStyle w:val="Standard"/>
        <w:rPr>
          <w:i/>
          <w:iCs/>
        </w:rPr>
      </w:pPr>
      <w:r w:rsidRPr="008F6CF2">
        <w:rPr>
          <w:i/>
          <w:iCs/>
        </w:rPr>
        <w:t>Improve the deployment and utilization of cost-effective distributed energy resources for distribution deferral purposes, relative to other mechanisms currently available, to maximize savings to ratepayers while also encouraging innovation of distributed energy resources</w:t>
      </w:r>
      <w:r>
        <w:rPr>
          <w:i/>
          <w:iCs/>
        </w:rPr>
        <w:t>.</w:t>
      </w:r>
    </w:p>
    <w:p w:rsidRPr="00265FDD" w:rsidR="00265FDD" w:rsidP="00C83265" w:rsidRDefault="00265FDD" w14:paraId="034EF482" w14:textId="4F14C363">
      <w:pPr>
        <w:pStyle w:val="Standard"/>
      </w:pPr>
      <w:r w:rsidRPr="00265FDD">
        <w:t>We have eliminated principle 6 as a stand-alone principle but included technology neutrality as a requirement above.</w:t>
      </w:r>
      <w:r>
        <w:t xml:space="preserve">  As we previously stated, the statement that “some distributed energy resources will be better able to meet certain needs than others” is not a principle but a fact.  Again, this statement has been eliminated.</w:t>
      </w:r>
    </w:p>
    <w:p w:rsidR="00A92BF8" w:rsidP="00C83265" w:rsidRDefault="00265FDD" w14:paraId="5860542B" w14:textId="75AA6ECA">
      <w:pPr>
        <w:pStyle w:val="Standard"/>
      </w:pPr>
      <w:r w:rsidRPr="00A92BF8">
        <w:t xml:space="preserve">Principles 7 and 8 both involve leveraging distributed energy resources.  Hence, we </w:t>
      </w:r>
      <w:r w:rsidR="00E97DF2">
        <w:t xml:space="preserve">find it reasonable to </w:t>
      </w:r>
      <w:r w:rsidRPr="00A92BF8">
        <w:t>combine the aspects of leveraging into a new principle</w:t>
      </w:r>
      <w:r w:rsidR="00634298">
        <w:t xml:space="preserve"> for simplicity</w:t>
      </w:r>
      <w:r w:rsidRPr="00A92BF8">
        <w:t>.  We eliminate several statements</w:t>
      </w:r>
      <w:r w:rsidR="00634298">
        <w:t>, as we previously stated</w:t>
      </w:r>
      <w:r w:rsidRPr="00A92BF8">
        <w:t xml:space="preserve"> they are </w:t>
      </w:r>
      <w:r w:rsidRPr="00A92BF8" w:rsidR="00A92BF8">
        <w:t xml:space="preserve">not principles.  </w:t>
      </w:r>
      <w:r w:rsidR="00DA2469">
        <w:t xml:space="preserve">We have also removed the examples of existing distributed energy resources programs; it is unnecessary and </w:t>
      </w:r>
      <w:r w:rsidR="00075BCF">
        <w:t>bias</w:t>
      </w:r>
      <w:r w:rsidR="00DA2469">
        <w:t xml:space="preserve"> to list two of the programs.  </w:t>
      </w:r>
      <w:r w:rsidRPr="00A92BF8" w:rsidR="00A92BF8">
        <w:t xml:space="preserve">The new principle is </w:t>
      </w:r>
      <w:r w:rsidR="00DA2469">
        <w:t xml:space="preserve">revised </w:t>
      </w:r>
      <w:r w:rsidRPr="00A92BF8" w:rsidR="00A92BF8">
        <w:t>as follows:</w:t>
      </w:r>
    </w:p>
    <w:p w:rsidRPr="00634298" w:rsidR="00A92BF8" w:rsidP="00C83265" w:rsidRDefault="00A92BF8" w14:paraId="5B17F398" w14:textId="0289C7AC">
      <w:pPr>
        <w:pStyle w:val="Standard"/>
        <w:rPr>
          <w:i/>
          <w:iCs/>
        </w:rPr>
      </w:pPr>
      <w:r w:rsidRPr="00634298">
        <w:rPr>
          <w:i/>
          <w:iCs/>
        </w:rPr>
        <w:t>Leverage private investment in distributed energy resources, including existing distributed energy resources participating in other Commission programs not already providing deferral services, to achieve distribution deferral benefits of least marginal cost to ratepayers.</w:t>
      </w:r>
    </w:p>
    <w:p w:rsidR="00A92BF8" w:rsidP="00C83265" w:rsidRDefault="00A92BF8" w14:paraId="7DC5D151" w14:textId="72C0AC87">
      <w:pPr>
        <w:pStyle w:val="Standard"/>
      </w:pPr>
      <w:r>
        <w:t xml:space="preserve">The final </w:t>
      </w:r>
      <w:r w:rsidR="006E4DEC">
        <w:t xml:space="preserve">revised </w:t>
      </w:r>
      <w:r>
        <w:t xml:space="preserve">principle carves out a section of principle 7 regarding the costs of distributed energy resources.  Here we also address the request of Public </w:t>
      </w:r>
      <w:r>
        <w:lastRenderedPageBreak/>
        <w:t>Advocates Office that the Commission ensure that payments are incremental, so that distributed energy resources customers do not receive double payments.</w:t>
      </w:r>
      <w:r>
        <w:rPr>
          <w:rStyle w:val="FootnoteReference"/>
        </w:rPr>
        <w:footnoteReference w:id="27"/>
      </w:r>
      <w:r>
        <w:t xml:space="preserve">  Hence, we create a new principle on costs, whereby the distribution deferral tariff design</w:t>
      </w:r>
      <w:r w:rsidR="00470695">
        <w:t xml:space="preserve"> shall</w:t>
      </w:r>
      <w:r>
        <w:t>:</w:t>
      </w:r>
    </w:p>
    <w:p w:rsidRPr="00A92BF8" w:rsidR="00A92BF8" w:rsidP="00C83265" w:rsidRDefault="00A92BF8" w14:paraId="4C010EB9" w14:textId="7E9DE24A">
      <w:pPr>
        <w:pStyle w:val="Standard"/>
        <w:rPr>
          <w:i/>
          <w:iCs/>
        </w:rPr>
      </w:pPr>
      <w:r w:rsidRPr="00A92BF8">
        <w:rPr>
          <w:i/>
          <w:iCs/>
        </w:rPr>
        <w:t xml:space="preserve">Ensure payments to distributed energy resources customers for distribution deferral are incremental and </w:t>
      </w:r>
      <w:r w:rsidR="00DA2469">
        <w:rPr>
          <w:i/>
          <w:iCs/>
        </w:rPr>
        <w:t xml:space="preserve">total </w:t>
      </w:r>
      <w:r w:rsidRPr="00A92BF8">
        <w:rPr>
          <w:i/>
          <w:iCs/>
        </w:rPr>
        <w:t>no more than the deferral value cost cap.</w:t>
      </w:r>
    </w:p>
    <w:p w:rsidR="00F30F9A" w:rsidP="0011559B" w:rsidRDefault="00F30F9A" w14:paraId="11C29916" w14:textId="6E631B00">
      <w:pPr>
        <w:pStyle w:val="Heading4"/>
        <w:numPr>
          <w:ilvl w:val="3"/>
          <w:numId w:val="18"/>
        </w:numPr>
      </w:pPr>
      <w:bookmarkStart w:name="_Toc63778677" w:id="18"/>
      <w:r>
        <w:t>Adopted Guiding Principles</w:t>
      </w:r>
      <w:bookmarkEnd w:id="18"/>
    </w:p>
    <w:p w:rsidR="00EE19B8" w:rsidP="00C83265" w:rsidRDefault="00F30F9A" w14:paraId="18EE03D6" w14:textId="7BA4533B">
      <w:pPr>
        <w:pStyle w:val="Standard"/>
      </w:pPr>
      <w:r>
        <w:t xml:space="preserve">We adopt a revised set of Guiding Principles for the design of distributed energy resources tariffs.  As such, </w:t>
      </w:r>
      <w:bookmarkStart w:name="_Hlk56966934" w:id="19"/>
      <w:r>
        <w:t xml:space="preserve">the Commission </w:t>
      </w:r>
      <w:r w:rsidR="00DA2469">
        <w:t>will</w:t>
      </w:r>
      <w:r>
        <w:t xml:space="preserve"> ensure that the distributed energy resources distribution deferral tariff shall</w:t>
      </w:r>
      <w:r w:rsidR="006E4DEC">
        <w:t xml:space="preserve"> be designed to</w:t>
      </w:r>
      <w:r>
        <w:t>:</w:t>
      </w:r>
    </w:p>
    <w:p w:rsidR="00F30F9A" w:rsidP="00C83265" w:rsidRDefault="00DA2469" w14:paraId="30F21AEE" w14:textId="42FDF737">
      <w:pPr>
        <w:pStyle w:val="ListAlpha"/>
        <w:ind w:right="1440"/>
      </w:pPr>
      <w:bookmarkStart w:name="_Hlk57566487" w:id="20"/>
      <w:bookmarkStart w:name="_Hlk57019323" w:id="21"/>
      <w:r w:rsidRPr="00DA2469">
        <w:t>Provide a payment to distributed energy resource customers for distribution deferral resources, where</w:t>
      </w:r>
      <w:r>
        <w:rPr>
          <w:i/>
          <w:iCs/>
        </w:rPr>
        <w:t xml:space="preserve"> </w:t>
      </w:r>
      <w:r w:rsidR="00F30F9A">
        <w:t xml:space="preserve">the total costs to execute and maintain the distributed energy resource distribution deferral tariff reduces overall energy system costs, relative to other available </w:t>
      </w:r>
      <w:proofErr w:type="gramStart"/>
      <w:r w:rsidR="00F30F9A">
        <w:t>options;</w:t>
      </w:r>
      <w:proofErr w:type="gramEnd"/>
    </w:p>
    <w:p w:rsidR="00F30F9A" w:rsidP="00C83265" w:rsidRDefault="00F30F9A" w14:paraId="52FFFCE5" w14:textId="2CECE4EB">
      <w:pPr>
        <w:pStyle w:val="ListAlpha"/>
        <w:ind w:right="1440"/>
      </w:pPr>
      <w:r>
        <w:t>Result in a level playing field for distributed energy resources</w:t>
      </w:r>
      <w:r w:rsidR="0053313C">
        <w:t xml:space="preserve"> in comparison to traditional infrastructure investments</w:t>
      </w:r>
      <w:r>
        <w:t xml:space="preserve">, while also achieving technology neutrality across all distributed energy </w:t>
      </w:r>
      <w:proofErr w:type="gramStart"/>
      <w:r>
        <w:t>resources;</w:t>
      </w:r>
      <w:proofErr w:type="gramEnd"/>
    </w:p>
    <w:p w:rsidR="00F30F9A" w:rsidP="00C83265" w:rsidRDefault="00F30F9A" w14:paraId="4195AE44" w14:textId="77777777">
      <w:pPr>
        <w:pStyle w:val="ListAlpha"/>
        <w:ind w:right="1440"/>
      </w:pPr>
      <w:r>
        <w:t xml:space="preserve">Enable Utilities to recover all Commission-approved revenue requirements equitably and transparently from both participating and non-participating </w:t>
      </w:r>
      <w:proofErr w:type="gramStart"/>
      <w:r>
        <w:t>customers;</w:t>
      </w:r>
      <w:proofErr w:type="gramEnd"/>
    </w:p>
    <w:p w:rsidR="00F30F9A" w:rsidP="00C83265" w:rsidRDefault="00F30F9A" w14:paraId="264B2EB6" w14:textId="77777777">
      <w:pPr>
        <w:pStyle w:val="ListAlpha"/>
        <w:ind w:right="1440"/>
      </w:pPr>
      <w:r>
        <w:t xml:space="preserve">Improve the deployment and utilization of cost-effective distributed energy resources for distribution deferral purposes, relative to other mechanisms currently available, to maximize savings to ratepayers while also encouraging innovation of distributed energy </w:t>
      </w:r>
      <w:proofErr w:type="gramStart"/>
      <w:r>
        <w:t>resources;</w:t>
      </w:r>
      <w:proofErr w:type="gramEnd"/>
    </w:p>
    <w:p w:rsidR="00F30F9A" w:rsidP="00C83265" w:rsidRDefault="00F30F9A" w14:paraId="2D4BC4F3" w14:textId="77777777">
      <w:pPr>
        <w:pStyle w:val="ListAlpha"/>
        <w:ind w:right="1440"/>
      </w:pPr>
      <w:r>
        <w:t xml:space="preserve">Leverage private investment in distributed energy resources, including existing distributed energy resources participating in other Commission programs not already </w:t>
      </w:r>
      <w:r>
        <w:lastRenderedPageBreak/>
        <w:t>providing deferral services, to achieve distribution deferral benefits of least marginal cost to ratepayers; and</w:t>
      </w:r>
    </w:p>
    <w:p w:rsidR="006B3094" w:rsidP="00C83265" w:rsidRDefault="00F30F9A" w14:paraId="355FB31F" w14:textId="318C83D1">
      <w:pPr>
        <w:pStyle w:val="ListAlpha"/>
        <w:ind w:right="1440"/>
      </w:pPr>
      <w:r>
        <w:t xml:space="preserve">Ensure payments to distributed energy resources customers for distributed energy resources distribution deferral are incremental and </w:t>
      </w:r>
      <w:r w:rsidR="00DA2469">
        <w:t xml:space="preserve">total </w:t>
      </w:r>
      <w:r>
        <w:t>no more than the deferral value cost cap</w:t>
      </w:r>
      <w:bookmarkEnd w:id="20"/>
      <w:r>
        <w:t>.</w:t>
      </w:r>
    </w:p>
    <w:p w:rsidR="00CF76E4" w:rsidP="00097CC8" w:rsidRDefault="00652DE4" w14:paraId="0130B7B2" w14:textId="7EA9EE67">
      <w:pPr>
        <w:pStyle w:val="Heading2"/>
      </w:pPr>
      <w:bookmarkStart w:name="_Toc63778678" w:id="22"/>
      <w:bookmarkEnd w:id="19"/>
      <w:bookmarkEnd w:id="21"/>
      <w:r>
        <w:t xml:space="preserve">Distribution Deferral Tariff </w:t>
      </w:r>
      <w:r w:rsidR="00CF76E4">
        <w:t>and Pilot</w:t>
      </w:r>
      <w:bookmarkEnd w:id="22"/>
    </w:p>
    <w:p w:rsidR="00CF76E4" w:rsidP="009B578B" w:rsidRDefault="009065F7" w14:paraId="4503D23A" w14:textId="44FE657A">
      <w:pPr>
        <w:pStyle w:val="Standard"/>
      </w:pPr>
      <w:r>
        <w:t>We adopt a modified distribution deferral tariff pilot</w:t>
      </w:r>
      <w:r w:rsidR="00426D83">
        <w:t>, which we name</w:t>
      </w:r>
      <w:r w:rsidR="00E029C0">
        <w:t xml:space="preserve"> the Partnership Pilot as it relies on partnerships between customers and aggregators, and </w:t>
      </w:r>
      <w:r w:rsidR="0075092D">
        <w:t xml:space="preserve">partnerships between aggregators </w:t>
      </w:r>
      <w:r w:rsidR="00E029C0">
        <w:t xml:space="preserve">and utilities.  </w:t>
      </w:r>
      <w:r>
        <w:t>Below, we describe the proposed tariff and related pilot, as recommended in the Staff Proposal</w:t>
      </w:r>
      <w:r w:rsidR="00525540">
        <w:t>; w</w:t>
      </w:r>
      <w:r w:rsidR="00E029C0">
        <w:t xml:space="preserve">e </w:t>
      </w:r>
      <w:r w:rsidR="00426D83">
        <w:t>refer</w:t>
      </w:r>
      <w:r w:rsidR="00E029C0">
        <w:t xml:space="preserve"> </w:t>
      </w:r>
      <w:r w:rsidR="00426D83">
        <w:t xml:space="preserve">to </w:t>
      </w:r>
      <w:r w:rsidR="00E029C0">
        <w:t xml:space="preserve">these </w:t>
      </w:r>
      <w:r w:rsidR="00426D83">
        <w:t xml:space="preserve">as the Incentive and Incentive Pilot.  </w:t>
      </w:r>
      <w:r>
        <w:t xml:space="preserve">We then present our determinations on the multiple tariff elements, including the </w:t>
      </w:r>
      <w:r w:rsidR="00525540">
        <w:t xml:space="preserve">adopted </w:t>
      </w:r>
      <w:r>
        <w:t>modifications</w:t>
      </w:r>
      <w:r w:rsidR="00033929">
        <w:t xml:space="preserve"> for the Partnership Pilot</w:t>
      </w:r>
      <w:r>
        <w:t>.</w:t>
      </w:r>
    </w:p>
    <w:p w:rsidR="000911A8" w:rsidP="00097CC8" w:rsidRDefault="000911A8" w14:paraId="37426E8F" w14:textId="155A1E21">
      <w:pPr>
        <w:pStyle w:val="Heading3"/>
      </w:pPr>
      <w:bookmarkStart w:name="_Toc63778679" w:id="23"/>
      <w:r>
        <w:t xml:space="preserve">Proposed </w:t>
      </w:r>
      <w:r w:rsidR="00D668B7">
        <w:t>Distribution Deferral Tariff</w:t>
      </w:r>
      <w:bookmarkEnd w:id="23"/>
    </w:p>
    <w:p w:rsidR="000F51AF" w:rsidP="009B578B" w:rsidRDefault="000F51AF" w14:paraId="3536DC20" w14:textId="440CE7F7">
      <w:pPr>
        <w:pStyle w:val="Standard"/>
      </w:pPr>
      <w:r>
        <w:t>Attachment A of this decision contains a copy of the Staff Proposal, as provided with the October 6, 2020 Ruling</w:t>
      </w:r>
      <w:r w:rsidR="00EF0F98">
        <w:t xml:space="preserve"> issued in this proceeding</w:t>
      </w:r>
      <w:r>
        <w:t xml:space="preserve">.  The following is a brief overview of the </w:t>
      </w:r>
      <w:r w:rsidR="00352765">
        <w:t xml:space="preserve">proposed </w:t>
      </w:r>
      <w:r w:rsidR="00652DE4">
        <w:t xml:space="preserve">Distribution Deferral Tariff, proposed to be called the </w:t>
      </w:r>
      <w:r>
        <w:t>Clean Energy Customer Incentive</w:t>
      </w:r>
      <w:r w:rsidR="00652DE4">
        <w:t xml:space="preserve"> (Incentive)</w:t>
      </w:r>
      <w:r>
        <w:t xml:space="preserve">.  </w:t>
      </w:r>
    </w:p>
    <w:p w:rsidR="0021708E" w:rsidP="009B578B" w:rsidRDefault="006758F5" w14:paraId="681058E8" w14:textId="127EB173">
      <w:pPr>
        <w:pStyle w:val="Standard"/>
      </w:pPr>
      <w:r>
        <w:t xml:space="preserve">The </w:t>
      </w:r>
      <w:r w:rsidR="00396D43">
        <w:t xml:space="preserve">Staff Proposal describes the </w:t>
      </w:r>
      <w:r w:rsidR="00A933A0">
        <w:t xml:space="preserve">proposed </w:t>
      </w:r>
      <w:r w:rsidR="00396D43">
        <w:t xml:space="preserve">Incentive as a tariff with a tiered payment structure open to any </w:t>
      </w:r>
      <w:r w:rsidR="00352765">
        <w:t xml:space="preserve">distributed energy resource </w:t>
      </w:r>
      <w:r w:rsidR="00396D43">
        <w:t xml:space="preserve">customer type.  </w:t>
      </w:r>
      <w:r w:rsidR="0021708E">
        <w:t>Th</w:t>
      </w:r>
      <w:r w:rsidR="00EF0F98">
        <w:t xml:space="preserve">is </w:t>
      </w:r>
      <w:r w:rsidR="0021708E">
        <w:t xml:space="preserve">payment structure contains four tiers: </w:t>
      </w:r>
      <w:r w:rsidR="009B578B">
        <w:t xml:space="preserve"> </w:t>
      </w:r>
      <w:r w:rsidR="0021708E">
        <w:t xml:space="preserve">1) </w:t>
      </w:r>
      <w:r w:rsidR="00525540">
        <w:t>Deployment</w:t>
      </w:r>
      <w:r w:rsidR="0021708E">
        <w:t xml:space="preserve"> – Utilities would pay </w:t>
      </w:r>
      <w:r w:rsidR="002F20B2">
        <w:t xml:space="preserve">providers to install distributed energy resources solutions and commit to dispatch; 2) Test – Utilities would pay providers during test events to confirm required dispatch capability; 3) Reservation – Utilities </w:t>
      </w:r>
      <w:r w:rsidR="00596B36">
        <w:t xml:space="preserve">would </w:t>
      </w:r>
      <w:r w:rsidR="002F20B2">
        <w:t xml:space="preserve">pay providers to reserve specific amounts of capacity and energy during specified timeframe; and </w:t>
      </w:r>
      <w:r w:rsidR="002F20B2">
        <w:lastRenderedPageBreak/>
        <w:t>4)</w:t>
      </w:r>
      <w:r w:rsidR="00CF4D68">
        <w:t> </w:t>
      </w:r>
      <w:r w:rsidR="002F20B2">
        <w:t xml:space="preserve">Performance – Utilities </w:t>
      </w:r>
      <w:r w:rsidR="00596B36">
        <w:t xml:space="preserve">would </w:t>
      </w:r>
      <w:r w:rsidR="002F20B2">
        <w:t>pay providers when resources are dispatched according to contracted criteria.</w:t>
      </w:r>
    </w:p>
    <w:p w:rsidRPr="009B578B" w:rsidR="00F96362" w:rsidP="009B578B" w:rsidRDefault="00EF0F98" w14:paraId="0BE4837A" w14:textId="776CBE23">
      <w:pPr>
        <w:pStyle w:val="Standard"/>
      </w:pPr>
      <w:r>
        <w:t>As described in the Staff Proposal, c</w:t>
      </w:r>
      <w:r w:rsidR="00396D43">
        <w:t xml:space="preserve">ustomers </w:t>
      </w:r>
      <w:r w:rsidR="00525540">
        <w:t xml:space="preserve">partner with Aggregators by </w:t>
      </w:r>
      <w:r w:rsidR="00396D43">
        <w:t>enroll</w:t>
      </w:r>
      <w:r w:rsidR="00525540">
        <w:t>ing</w:t>
      </w:r>
      <w:r w:rsidR="00396D43">
        <w:t xml:space="preserve"> in the tariff</w:t>
      </w:r>
      <w:r w:rsidR="00525540">
        <w:t xml:space="preserve"> and </w:t>
      </w:r>
      <w:r w:rsidR="00396D43">
        <w:t>allow</w:t>
      </w:r>
      <w:r w:rsidR="00C66645">
        <w:t>ing</w:t>
      </w:r>
      <w:r w:rsidR="00396D43">
        <w:t xml:space="preserve"> their distributed energy resources to be dispatched by </w:t>
      </w:r>
      <w:r w:rsidR="00F96362">
        <w:t>A</w:t>
      </w:r>
      <w:r w:rsidR="00396D43">
        <w:t>ggregators</w:t>
      </w:r>
      <w:r w:rsidR="00525540">
        <w:t xml:space="preserve">, for the purpose of </w:t>
      </w:r>
      <w:r w:rsidR="00396D43">
        <w:t>address</w:t>
      </w:r>
      <w:r w:rsidR="00525540">
        <w:t>ing</w:t>
      </w:r>
      <w:r w:rsidR="00396D43">
        <w:t xml:space="preserve"> grid needs identified </w:t>
      </w:r>
      <w:r w:rsidRPr="009B578B" w:rsidR="00396D43">
        <w:t>in the DIDF process</w:t>
      </w:r>
      <w:r w:rsidRPr="009B578B" w:rsidR="00AF14B3">
        <w:t>.</w:t>
      </w:r>
      <w:r w:rsidRPr="009B578B" w:rsidR="00396D43">
        <w:t xml:space="preserve">  </w:t>
      </w:r>
      <w:r w:rsidRPr="009B578B" w:rsidR="00A3196A">
        <w:t xml:space="preserve">Enrollment in the Incentive </w:t>
      </w:r>
      <w:r w:rsidRPr="009B578B" w:rsidR="002A771C">
        <w:t xml:space="preserve">would </w:t>
      </w:r>
      <w:r w:rsidRPr="009B578B" w:rsidR="00A3196A">
        <w:t>extend</w:t>
      </w:r>
      <w:r w:rsidRPr="009B578B" w:rsidR="002A771C">
        <w:t xml:space="preserve"> </w:t>
      </w:r>
      <w:r w:rsidRPr="009B578B" w:rsidR="00A3196A">
        <w:t xml:space="preserve">from </w:t>
      </w:r>
      <w:r w:rsidRPr="009B578B" w:rsidR="00C66645">
        <w:t xml:space="preserve">the </w:t>
      </w:r>
      <w:r w:rsidRPr="009B578B" w:rsidR="00A3196A">
        <w:t>subscription period launch until (1) enough offers accepted to meet grid nee</w:t>
      </w:r>
      <w:r w:rsidRPr="009B578B" w:rsidR="00AC5554">
        <w:t>d</w:t>
      </w:r>
      <w:r w:rsidRPr="009B578B" w:rsidR="00A3196A">
        <w:t xml:space="preserve"> plus a 20 percent Procurement Margin or (2) date determined by Utilit</w:t>
      </w:r>
      <w:r w:rsidRPr="009B578B" w:rsidR="00596B36">
        <w:t xml:space="preserve">ies </w:t>
      </w:r>
      <w:r w:rsidRPr="009B578B" w:rsidR="00A3196A">
        <w:t>for contingency plan implementation.</w:t>
      </w:r>
      <w:r w:rsidRPr="009B578B" w:rsidR="008642D4">
        <w:t xml:space="preserve">  </w:t>
      </w:r>
      <w:r w:rsidRPr="009B578B" w:rsidR="00F96362">
        <w:t xml:space="preserve">Marketing to customers and enrollment of customers in the Incentive </w:t>
      </w:r>
      <w:r w:rsidRPr="009B578B">
        <w:t xml:space="preserve">would </w:t>
      </w:r>
      <w:r w:rsidRPr="009B578B" w:rsidR="002A771C">
        <w:t xml:space="preserve">be </w:t>
      </w:r>
      <w:r w:rsidRPr="009B578B" w:rsidR="00F96362">
        <w:t>performed by Aggregators</w:t>
      </w:r>
      <w:r w:rsidRPr="009B578B" w:rsidR="0021708E">
        <w:t xml:space="preserve"> with Utilities serving as marketing partners</w:t>
      </w:r>
      <w:r w:rsidRPr="009B578B" w:rsidR="00F96362">
        <w:t>.</w:t>
      </w:r>
    </w:p>
    <w:p w:rsidRPr="009B578B" w:rsidR="000911A8" w:rsidP="009B578B" w:rsidRDefault="00F96362" w14:paraId="0A9845CF" w14:textId="7E10033E">
      <w:pPr>
        <w:pStyle w:val="Standard"/>
      </w:pPr>
      <w:r w:rsidRPr="009B578B">
        <w:t xml:space="preserve">The Incentive </w:t>
      </w:r>
      <w:r w:rsidRPr="009B578B" w:rsidR="002A771C">
        <w:t xml:space="preserve">would </w:t>
      </w:r>
      <w:r w:rsidRPr="009B578B">
        <w:t>include</w:t>
      </w:r>
      <w:r w:rsidRPr="009B578B" w:rsidR="002A771C">
        <w:t xml:space="preserve"> </w:t>
      </w:r>
      <w:r w:rsidRPr="009B578B">
        <w:t>a prescreening process where Aggregators are prequalified during a</w:t>
      </w:r>
      <w:r w:rsidRPr="009B578B" w:rsidR="00FD7951">
        <w:t xml:space="preserve"> </w:t>
      </w:r>
      <w:r w:rsidRPr="009B578B">
        <w:t xml:space="preserve">30-day period, which </w:t>
      </w:r>
      <w:r w:rsidRPr="009B578B" w:rsidR="00EF0F98">
        <w:t xml:space="preserve">would </w:t>
      </w:r>
      <w:r w:rsidRPr="009B578B">
        <w:t>begin</w:t>
      </w:r>
      <w:r w:rsidRPr="009B578B" w:rsidR="00EF0F98">
        <w:t xml:space="preserve"> annually </w:t>
      </w:r>
      <w:r w:rsidRPr="009B578B">
        <w:t>on July</w:t>
      </w:r>
      <w:r w:rsidRPr="009B578B" w:rsidR="009B578B">
        <w:t> </w:t>
      </w:r>
      <w:r w:rsidRPr="009B578B">
        <w:t xml:space="preserve">15th.  Aggregators </w:t>
      </w:r>
      <w:r w:rsidRPr="009B578B" w:rsidR="00A3196A">
        <w:t xml:space="preserve">passing the prescreening process </w:t>
      </w:r>
      <w:r w:rsidRPr="009B578B" w:rsidR="002A771C">
        <w:t xml:space="preserve">would then </w:t>
      </w:r>
      <w:r w:rsidRPr="009B578B" w:rsidR="00A3196A">
        <w:t xml:space="preserve">remain qualified for two years, after which </w:t>
      </w:r>
      <w:r w:rsidRPr="009B578B" w:rsidR="00C66645">
        <w:t xml:space="preserve">time </w:t>
      </w:r>
      <w:r w:rsidRPr="009B578B" w:rsidR="00A3196A">
        <w:t>they must reapply.  Prequalification periods w</w:t>
      </w:r>
      <w:r w:rsidRPr="009B578B" w:rsidR="002A771C">
        <w:t xml:space="preserve">ould </w:t>
      </w:r>
      <w:r w:rsidRPr="009B578B" w:rsidR="00A3196A">
        <w:t>also be offered 30 days before each tariff subscription launch.</w:t>
      </w:r>
      <w:r w:rsidRPr="009B578B" w:rsidR="00200A06">
        <w:t xml:space="preserve">  </w:t>
      </w:r>
    </w:p>
    <w:p w:rsidRPr="009B578B" w:rsidR="000870B5" w:rsidP="009B578B" w:rsidRDefault="000870B5" w14:paraId="3F978D36" w14:textId="3DE49B77">
      <w:pPr>
        <w:pStyle w:val="Standard"/>
      </w:pPr>
      <w:r w:rsidRPr="009B578B">
        <w:t xml:space="preserve">To address the challenge of changing distribution system needs and risk of over and under procurement, the Staff Proposal recommends including </w:t>
      </w:r>
      <w:r w:rsidRPr="009B578B" w:rsidR="006363CD">
        <w:t xml:space="preserve">Ratable Procurement, which means procuring incremental capacity each year to defer long term needs.  In the case of the Incentive, staff proposes Utilities set distributed energy resources procurement goals for a specific </w:t>
      </w:r>
      <w:proofErr w:type="gramStart"/>
      <w:r w:rsidRPr="009B578B" w:rsidR="006363CD">
        <w:t>period of time</w:t>
      </w:r>
      <w:proofErr w:type="gramEnd"/>
      <w:r w:rsidRPr="009B578B" w:rsidR="006363CD">
        <w:t>, depending on grid need</w:t>
      </w:r>
      <w:r w:rsidRPr="009B578B" w:rsidR="0007624A">
        <w:t>.</w:t>
      </w:r>
    </w:p>
    <w:p w:rsidRPr="009B578B" w:rsidR="0021708E" w:rsidP="009B578B" w:rsidRDefault="0007624A" w14:paraId="116E231F" w14:textId="4B4BEB37">
      <w:pPr>
        <w:pStyle w:val="Standard"/>
      </w:pPr>
      <w:r w:rsidRPr="009B578B">
        <w:t xml:space="preserve">Following the prescreening process, </w:t>
      </w:r>
      <w:r w:rsidRPr="009B578B" w:rsidR="00352765">
        <w:t xml:space="preserve">the Staff Proposal </w:t>
      </w:r>
      <w:r w:rsidRPr="009B578B" w:rsidR="00EF0F98">
        <w:t xml:space="preserve">explains that </w:t>
      </w:r>
      <w:r w:rsidRPr="009B578B">
        <w:t xml:space="preserve">Aggregators </w:t>
      </w:r>
      <w:r w:rsidRPr="009B578B" w:rsidR="00EF0F98">
        <w:t xml:space="preserve">would </w:t>
      </w:r>
      <w:r w:rsidRPr="009B578B">
        <w:t xml:space="preserve">file offer reservations for either a portion or </w:t>
      </w:r>
      <w:proofErr w:type="gramStart"/>
      <w:r w:rsidRPr="009B578B">
        <w:t>all of</w:t>
      </w:r>
      <w:proofErr w:type="gramEnd"/>
      <w:r w:rsidRPr="009B578B">
        <w:t xml:space="preserve"> the needed capacity at the price set by the utility </w:t>
      </w:r>
      <w:r w:rsidRPr="009B578B" w:rsidR="00EF0F98">
        <w:t>T</w:t>
      </w:r>
      <w:r w:rsidRPr="009B578B">
        <w:t xml:space="preserve">ariff </w:t>
      </w:r>
      <w:r w:rsidRPr="009B578B" w:rsidR="00EF0F98">
        <w:t>B</w:t>
      </w:r>
      <w:r w:rsidRPr="009B578B">
        <w:t xml:space="preserve">udget.  </w:t>
      </w:r>
      <w:r w:rsidRPr="009B578B" w:rsidR="002F20B2">
        <w:t>The</w:t>
      </w:r>
      <w:r w:rsidRPr="009B578B" w:rsidR="000F51AF">
        <w:t xml:space="preserve"> </w:t>
      </w:r>
      <w:r w:rsidRPr="009B578B" w:rsidR="00EF0F98">
        <w:t>T</w:t>
      </w:r>
      <w:r w:rsidRPr="009B578B" w:rsidR="000F51AF">
        <w:t xml:space="preserve">ariff </w:t>
      </w:r>
      <w:r w:rsidRPr="009B578B" w:rsidR="00EF0F98">
        <w:t>B</w:t>
      </w:r>
      <w:r w:rsidRPr="009B578B" w:rsidR="000F51AF">
        <w:t>udget</w:t>
      </w:r>
      <w:r w:rsidRPr="009B578B" w:rsidR="00EF0F98">
        <w:t xml:space="preserve"> </w:t>
      </w:r>
      <w:r w:rsidRPr="009B578B" w:rsidR="000F51AF">
        <w:t xml:space="preserve">is </w:t>
      </w:r>
      <w:r w:rsidRPr="009B578B" w:rsidR="000F51AF">
        <w:lastRenderedPageBreak/>
        <w:t>proposed to be set at 85 percent of the cost cap</w:t>
      </w:r>
      <w:r w:rsidRPr="009B578B" w:rsidR="00EF0F98">
        <w:t xml:space="preserve"> of a planned investment, based on the Simple Pricing Method</w:t>
      </w:r>
      <w:r w:rsidRPr="009B578B" w:rsidR="000F51AF">
        <w:t xml:space="preserve">.  </w:t>
      </w:r>
      <w:r w:rsidRPr="009B578B">
        <w:t xml:space="preserve">The Aggregator </w:t>
      </w:r>
      <w:r w:rsidRPr="009B578B" w:rsidR="00352765">
        <w:t xml:space="preserve">would be </w:t>
      </w:r>
      <w:r w:rsidRPr="009B578B">
        <w:t xml:space="preserve">required to show an affidavit of interest from host customers to demonstrate available capacity by the end of a pre-determined reservation period.  </w:t>
      </w:r>
      <w:r w:rsidRPr="009B578B" w:rsidR="000F51AF">
        <w:t>The Staff Proposal recommends that o</w:t>
      </w:r>
      <w:r w:rsidRPr="009B578B">
        <w:t>nce 90 percent of deferral needs are subscribed</w:t>
      </w:r>
      <w:r w:rsidRPr="009B578B" w:rsidR="0021708E">
        <w:t xml:space="preserve"> (Acceptance Trigger)</w:t>
      </w:r>
      <w:r w:rsidRPr="009B578B">
        <w:t xml:space="preserve">, </w:t>
      </w:r>
      <w:r w:rsidRPr="009B578B" w:rsidR="00596B36">
        <w:t>U</w:t>
      </w:r>
      <w:r w:rsidRPr="009B578B">
        <w:t>tilit</w:t>
      </w:r>
      <w:r w:rsidRPr="009B578B" w:rsidR="00596B36">
        <w:t>ies</w:t>
      </w:r>
      <w:r w:rsidR="00596B36">
        <w:t xml:space="preserve"> </w:t>
      </w:r>
      <w:r w:rsidRPr="009B578B">
        <w:t>w</w:t>
      </w:r>
      <w:r w:rsidRPr="009B578B" w:rsidR="00596B36">
        <w:t xml:space="preserve">ould </w:t>
      </w:r>
      <w:r w:rsidRPr="009B578B">
        <w:t>execute Aggregator contracts.</w:t>
      </w:r>
      <w:r w:rsidRPr="009B578B" w:rsidR="000F51AF">
        <w:t xml:space="preserve"> </w:t>
      </w:r>
      <w:r w:rsidRPr="009B578B" w:rsidR="00EF0F98">
        <w:t xml:space="preserve"> </w:t>
      </w:r>
      <w:r w:rsidRPr="009B578B" w:rsidR="0021708E">
        <w:t>With respect to contingency planning, the Staff Proposal recommends Utilities specify a contingency plan date at the subscription period launch.  If Utilities are not able to procure the remaining 10</w:t>
      </w:r>
      <w:r w:rsidR="009B578B">
        <w:t> </w:t>
      </w:r>
      <w:r w:rsidRPr="009B578B" w:rsidR="0021708E">
        <w:t xml:space="preserve">percent of deferral needs after meeting the 90 percent Acceptance Trigger, staff recommends Utilities </w:t>
      </w:r>
      <w:r w:rsidRPr="009B578B" w:rsidR="00596B36">
        <w:t xml:space="preserve">would </w:t>
      </w:r>
      <w:r w:rsidRPr="009B578B" w:rsidR="0021708E">
        <w:t>recover the costs in their Distribution Deferral Memorandum Accounts.</w:t>
      </w:r>
    </w:p>
    <w:p w:rsidRPr="009B578B" w:rsidR="00EF0F98" w:rsidP="009B578B" w:rsidRDefault="00EF0F98" w14:paraId="23F9798D" w14:textId="37BFC071">
      <w:pPr>
        <w:pStyle w:val="Standard"/>
      </w:pPr>
      <w:r w:rsidRPr="009B578B">
        <w:t>Lastly, the Staff Proposal addresses the issue of incrementality and proposes the adoption of language previously discussed in R.14-08-013, with respect to the Self-Generation Incentive Program</w:t>
      </w:r>
      <w:r w:rsidRPr="009B578B" w:rsidR="009065F7">
        <w:t xml:space="preserve"> (SGIP)</w:t>
      </w:r>
      <w:r w:rsidRPr="009B578B">
        <w:t xml:space="preserve">, the Net Energy Metering </w:t>
      </w:r>
      <w:r w:rsidRPr="009B578B" w:rsidR="002342F9">
        <w:t xml:space="preserve">(NEM) </w:t>
      </w:r>
      <w:r w:rsidRPr="009B578B">
        <w:t>tariff, Energy Efficiency programs, and Demand Response programs.</w:t>
      </w:r>
    </w:p>
    <w:p w:rsidR="000911A8" w:rsidP="00097CC8" w:rsidRDefault="000911A8" w14:paraId="0EBAD238" w14:textId="2C777649">
      <w:pPr>
        <w:pStyle w:val="Heading3"/>
      </w:pPr>
      <w:bookmarkStart w:name="_Toc63778680" w:id="24"/>
      <w:r>
        <w:t xml:space="preserve">Proposed </w:t>
      </w:r>
      <w:r w:rsidR="00BA5720">
        <w:t xml:space="preserve">Deferral Opportunity </w:t>
      </w:r>
      <w:r>
        <w:t>Pilot</w:t>
      </w:r>
      <w:bookmarkEnd w:id="24"/>
    </w:p>
    <w:p w:rsidR="00E70812" w:rsidP="00FA1186" w:rsidRDefault="00BA5720" w14:paraId="448FE12D" w14:textId="756B1C4C">
      <w:r>
        <w:t>To test the proposed Incentive</w:t>
      </w:r>
      <w:r w:rsidR="00FA1186">
        <w:t xml:space="preserve"> on identified deferral opportunities or planned investments</w:t>
      </w:r>
      <w:r>
        <w:t>, the Staff Proposal recommends implementation of a five</w:t>
      </w:r>
      <w:r w:rsidR="009B578B">
        <w:noBreakHyphen/>
      </w:r>
      <w:r>
        <w:t xml:space="preserve">year pilot, beginning in 2021.  Utilities would </w:t>
      </w:r>
      <w:r w:rsidR="00596B36">
        <w:t xml:space="preserve">each </w:t>
      </w:r>
      <w:r>
        <w:t xml:space="preserve">be required to propose at least one Tier 1 deferral opportunity, as identified in their Grid Needs Assessment/Distribution Deferral Opportunity Report (Report) filings, and two Tier 2 or Tier 3 deferral opportunities, one of which should address a grid need forecast to occur in four to five years to ensure at least one of the subscription periods is sufficiently long in duration to test the Incentive.  As part of the Report filing, Utilities would be required to justify </w:t>
      </w:r>
      <w:r w:rsidR="000256C8">
        <w:t xml:space="preserve">the appropriateness of the deferral </w:t>
      </w:r>
      <w:r w:rsidR="000256C8">
        <w:lastRenderedPageBreak/>
        <w:t>opportunities selected.</w:t>
      </w:r>
      <w:r w:rsidR="00FA1186">
        <w:t xml:space="preserve">  The Staff Proposal also recommends the deferral opportunities meet one of the following two requirements: </w:t>
      </w:r>
      <w:r w:rsidR="009B578B">
        <w:t xml:space="preserve"> </w:t>
      </w:r>
      <w:r w:rsidR="00FA1186">
        <w:t xml:space="preserve">1) Utilities provide low-cost telemetry to distributed energy resources with basic distributed energy resources management capabilities in place or planned; or 2) one or more aggregators serve the pilot area that can adequately communicate with and manage the distributed energy resources.  </w:t>
      </w:r>
      <w:r w:rsidR="00E70812">
        <w:t>Further, Utilities would be required to describe their approach to implementing the Incentive Pilot and a method for assessing the cost-effectiveness of the Pilot.  The Staff Proposal recommends use of the DPAG to deliberate on Utilities’ implementation approach, cost</w:t>
      </w:r>
      <w:r w:rsidR="0011559B">
        <w:noBreakHyphen/>
      </w:r>
      <w:r w:rsidR="00E70812">
        <w:t>effectiveness methods, as well as other additional deferral opportunities or planned investments suited to the Incentive Pilot.</w:t>
      </w:r>
    </w:p>
    <w:p w:rsidR="00E258B9" w:rsidP="00FA1186" w:rsidRDefault="00FA1186" w14:paraId="5BA894A3" w14:textId="6D5B1AA3">
      <w:r>
        <w:t xml:space="preserve">Staff suggests the budget for the </w:t>
      </w:r>
      <w:r w:rsidR="00E70812">
        <w:t>Incentive P</w:t>
      </w:r>
      <w:r>
        <w:t>ilot be based on the cost cap specific to each planned investment at the time approval to launch the subscription period is received.</w:t>
      </w:r>
    </w:p>
    <w:p w:rsidR="00FA1186" w:rsidP="00FA1186" w:rsidRDefault="00FA1186" w14:paraId="62BC37C8" w14:textId="15C748BB">
      <w:r>
        <w:t>Staff proposes the following schedule for the Incentive Pilot:</w:t>
      </w:r>
    </w:p>
    <w:tbl>
      <w:tblPr>
        <w:tblStyle w:val="TableGrid"/>
        <w:tblW w:w="0" w:type="auto"/>
        <w:jc w:val="center"/>
        <w:tblLook w:val="04A0" w:firstRow="1" w:lastRow="0" w:firstColumn="1" w:lastColumn="0" w:noHBand="0" w:noVBand="1"/>
      </w:tblPr>
      <w:tblGrid>
        <w:gridCol w:w="5665"/>
        <w:gridCol w:w="3685"/>
      </w:tblGrid>
      <w:tr w:rsidRPr="00D624B7" w:rsidR="00FA1186" w:rsidTr="009B578B" w14:paraId="60F94336" w14:textId="77777777">
        <w:trPr>
          <w:jc w:val="center"/>
        </w:trPr>
        <w:tc>
          <w:tcPr>
            <w:tcW w:w="9350" w:type="dxa"/>
            <w:gridSpan w:val="2"/>
          </w:tcPr>
          <w:p w:rsidRPr="00D624B7" w:rsidR="00FA1186" w:rsidP="009B578B" w:rsidRDefault="00FA1186" w14:paraId="391D547A" w14:textId="77777777">
            <w:pPr>
              <w:keepLines/>
              <w:spacing w:line="240" w:lineRule="auto"/>
              <w:ind w:firstLine="0"/>
              <w:jc w:val="center"/>
              <w:rPr>
                <w:b/>
                <w:bCs/>
              </w:rPr>
            </w:pPr>
            <w:r w:rsidRPr="00D624B7">
              <w:rPr>
                <w:b/>
                <w:bCs/>
              </w:rPr>
              <w:t>Table 1</w:t>
            </w:r>
          </w:p>
          <w:p w:rsidRPr="00D624B7" w:rsidR="00D624B7" w:rsidP="009B578B" w:rsidRDefault="00D624B7" w14:paraId="34C0BC01" w14:textId="71717B6C">
            <w:pPr>
              <w:keepLines/>
              <w:spacing w:line="240" w:lineRule="auto"/>
              <w:ind w:firstLine="0"/>
              <w:jc w:val="center"/>
              <w:rPr>
                <w:b/>
                <w:bCs/>
              </w:rPr>
            </w:pPr>
            <w:r w:rsidRPr="00D624B7">
              <w:rPr>
                <w:b/>
                <w:bCs/>
              </w:rPr>
              <w:t>Schedule for Incentive Pilot Implementation</w:t>
            </w:r>
          </w:p>
        </w:tc>
      </w:tr>
      <w:tr w:rsidR="00FA1186" w:rsidTr="009B578B" w14:paraId="31AAC049" w14:textId="77777777">
        <w:trPr>
          <w:jc w:val="center"/>
        </w:trPr>
        <w:tc>
          <w:tcPr>
            <w:tcW w:w="5665" w:type="dxa"/>
          </w:tcPr>
          <w:p w:rsidRPr="00D624B7" w:rsidR="00FA1186" w:rsidP="009B578B" w:rsidRDefault="00D624B7" w14:paraId="55944815" w14:textId="3E0E67D1">
            <w:pPr>
              <w:keepLines/>
              <w:spacing w:line="240" w:lineRule="auto"/>
              <w:ind w:firstLine="0"/>
              <w:jc w:val="center"/>
              <w:rPr>
                <w:b/>
                <w:bCs/>
              </w:rPr>
            </w:pPr>
            <w:r w:rsidRPr="00D624B7">
              <w:rPr>
                <w:b/>
                <w:bCs/>
              </w:rPr>
              <w:t>Activity</w:t>
            </w:r>
          </w:p>
        </w:tc>
        <w:tc>
          <w:tcPr>
            <w:tcW w:w="3685" w:type="dxa"/>
          </w:tcPr>
          <w:p w:rsidRPr="00D624B7" w:rsidR="00FA1186" w:rsidP="009B578B" w:rsidRDefault="00D624B7" w14:paraId="349E22D3" w14:textId="1F19109F">
            <w:pPr>
              <w:keepLines/>
              <w:spacing w:line="240" w:lineRule="auto"/>
              <w:ind w:firstLine="0"/>
              <w:jc w:val="center"/>
              <w:rPr>
                <w:b/>
                <w:bCs/>
              </w:rPr>
            </w:pPr>
            <w:r w:rsidRPr="00D624B7">
              <w:rPr>
                <w:b/>
                <w:bCs/>
              </w:rPr>
              <w:t>Date</w:t>
            </w:r>
          </w:p>
        </w:tc>
      </w:tr>
      <w:tr w:rsidRPr="00D624B7" w:rsidR="00D624B7" w:rsidTr="009B578B" w14:paraId="075FA6F1" w14:textId="77777777">
        <w:trPr>
          <w:jc w:val="center"/>
        </w:trPr>
        <w:tc>
          <w:tcPr>
            <w:tcW w:w="5665" w:type="dxa"/>
            <w:shd w:val="clear" w:color="auto" w:fill="000000" w:themeFill="text1"/>
          </w:tcPr>
          <w:p w:rsidRPr="00D624B7" w:rsidR="00FA1186" w:rsidP="009B578B" w:rsidRDefault="00D624B7" w14:paraId="7E9F7CDE" w14:textId="4CC49FB5">
            <w:pPr>
              <w:keepLines/>
              <w:spacing w:line="240" w:lineRule="auto"/>
              <w:ind w:firstLine="0"/>
              <w:rPr>
                <w:color w:val="FFFFFF" w:themeColor="background1"/>
              </w:rPr>
            </w:pPr>
            <w:r w:rsidRPr="00D624B7">
              <w:rPr>
                <w:color w:val="FFFFFF" w:themeColor="background1"/>
              </w:rPr>
              <w:t>Pre-DPAG 2021</w:t>
            </w:r>
          </w:p>
        </w:tc>
        <w:tc>
          <w:tcPr>
            <w:tcW w:w="3685" w:type="dxa"/>
            <w:shd w:val="clear" w:color="auto" w:fill="000000" w:themeFill="text1"/>
          </w:tcPr>
          <w:p w:rsidRPr="00D624B7" w:rsidR="00FA1186" w:rsidP="009B578B" w:rsidRDefault="00FA1186" w14:paraId="4786545F" w14:textId="77777777">
            <w:pPr>
              <w:keepLines/>
              <w:spacing w:line="240" w:lineRule="auto"/>
              <w:ind w:firstLine="0"/>
              <w:rPr>
                <w:color w:val="FFFFFF" w:themeColor="background1"/>
              </w:rPr>
            </w:pPr>
          </w:p>
        </w:tc>
      </w:tr>
      <w:tr w:rsidR="00FA1186" w:rsidTr="009B578B" w14:paraId="45E4317F" w14:textId="77777777">
        <w:trPr>
          <w:jc w:val="center"/>
        </w:trPr>
        <w:tc>
          <w:tcPr>
            <w:tcW w:w="5665" w:type="dxa"/>
          </w:tcPr>
          <w:p w:rsidR="00FA1186" w:rsidP="009B578B" w:rsidRDefault="00D624B7" w14:paraId="7B942AA3" w14:textId="49CA0562">
            <w:pPr>
              <w:keepLines/>
              <w:spacing w:line="240" w:lineRule="auto"/>
              <w:ind w:firstLine="0"/>
            </w:pPr>
            <w:r>
              <w:t>Pre-DPAG Meetings and/or workshops to include planning discussion for Incentive Pilot</w:t>
            </w:r>
          </w:p>
        </w:tc>
        <w:tc>
          <w:tcPr>
            <w:tcW w:w="3685" w:type="dxa"/>
          </w:tcPr>
          <w:p w:rsidR="00FA1186" w:rsidP="009B578B" w:rsidRDefault="00D624B7" w14:paraId="7E34AD2A" w14:textId="23AA27E8">
            <w:pPr>
              <w:keepLines/>
              <w:spacing w:line="240" w:lineRule="auto"/>
              <w:ind w:firstLine="0"/>
              <w:jc w:val="center"/>
            </w:pPr>
            <w:r>
              <w:t>May 2021</w:t>
            </w:r>
          </w:p>
        </w:tc>
      </w:tr>
      <w:tr w:rsidRPr="00D624B7" w:rsidR="00D624B7" w:rsidTr="009B578B" w14:paraId="31850F14" w14:textId="77777777">
        <w:trPr>
          <w:jc w:val="center"/>
        </w:trPr>
        <w:tc>
          <w:tcPr>
            <w:tcW w:w="5665" w:type="dxa"/>
            <w:shd w:val="clear" w:color="auto" w:fill="000000" w:themeFill="text1"/>
          </w:tcPr>
          <w:p w:rsidRPr="00D624B7" w:rsidR="00FA1186" w:rsidP="009B578B" w:rsidRDefault="00D624B7" w14:paraId="5E4BBE1C" w14:textId="01C2D5FA">
            <w:pPr>
              <w:keepLines/>
              <w:spacing w:line="240" w:lineRule="auto"/>
              <w:ind w:firstLine="0"/>
              <w:rPr>
                <w:color w:val="FFFFFF" w:themeColor="background1"/>
              </w:rPr>
            </w:pPr>
            <w:r w:rsidRPr="00D624B7">
              <w:rPr>
                <w:color w:val="FFFFFF" w:themeColor="background1"/>
              </w:rPr>
              <w:t>DPAG 2021</w:t>
            </w:r>
          </w:p>
        </w:tc>
        <w:tc>
          <w:tcPr>
            <w:tcW w:w="3685" w:type="dxa"/>
            <w:shd w:val="clear" w:color="auto" w:fill="000000" w:themeFill="text1"/>
          </w:tcPr>
          <w:p w:rsidRPr="00D624B7" w:rsidR="00FA1186" w:rsidP="009B578B" w:rsidRDefault="00FA1186" w14:paraId="1AC9245F" w14:textId="77777777">
            <w:pPr>
              <w:keepLines/>
              <w:spacing w:line="240" w:lineRule="auto"/>
              <w:ind w:firstLine="0"/>
              <w:jc w:val="center"/>
              <w:rPr>
                <w:color w:val="FFFFFF" w:themeColor="background1"/>
              </w:rPr>
            </w:pPr>
          </w:p>
        </w:tc>
      </w:tr>
      <w:tr w:rsidR="00FA1186" w:rsidTr="009B578B" w14:paraId="4689558D" w14:textId="77777777">
        <w:trPr>
          <w:jc w:val="center"/>
        </w:trPr>
        <w:tc>
          <w:tcPr>
            <w:tcW w:w="5665" w:type="dxa"/>
          </w:tcPr>
          <w:p w:rsidR="00FA1186" w:rsidP="009B578B" w:rsidRDefault="00D624B7" w14:paraId="58A03F71" w14:textId="18A71EA3">
            <w:pPr>
              <w:keepLines/>
              <w:spacing w:line="240" w:lineRule="auto"/>
              <w:ind w:firstLine="0"/>
            </w:pPr>
            <w:r>
              <w:t>Utilities File GNA/DDOR that identify deferral opportunities/planned investments to test Incentive Pilot</w:t>
            </w:r>
          </w:p>
        </w:tc>
        <w:tc>
          <w:tcPr>
            <w:tcW w:w="3685" w:type="dxa"/>
          </w:tcPr>
          <w:p w:rsidR="00FA1186" w:rsidP="009B578B" w:rsidRDefault="00D624B7" w14:paraId="16AEAF57" w14:textId="46955788">
            <w:pPr>
              <w:keepLines/>
              <w:spacing w:line="240" w:lineRule="auto"/>
              <w:ind w:firstLine="0"/>
              <w:jc w:val="center"/>
            </w:pPr>
            <w:r>
              <w:t>August 15, 2021</w:t>
            </w:r>
          </w:p>
        </w:tc>
      </w:tr>
      <w:tr w:rsidR="00FA1186" w:rsidTr="009B578B" w14:paraId="6B7E12CF" w14:textId="77777777">
        <w:trPr>
          <w:jc w:val="center"/>
        </w:trPr>
        <w:tc>
          <w:tcPr>
            <w:tcW w:w="5665" w:type="dxa"/>
          </w:tcPr>
          <w:p w:rsidR="00FA1186" w:rsidP="009B578B" w:rsidRDefault="00D624B7" w14:paraId="1DA3DDDD" w14:textId="18CF0525">
            <w:pPr>
              <w:keepLines/>
              <w:spacing w:line="240" w:lineRule="auto"/>
              <w:ind w:firstLine="0"/>
            </w:pPr>
            <w:r>
              <w:t>DPAG Activities</w:t>
            </w:r>
          </w:p>
        </w:tc>
        <w:tc>
          <w:tcPr>
            <w:tcW w:w="3685" w:type="dxa"/>
          </w:tcPr>
          <w:p w:rsidR="00FA1186" w:rsidP="009B578B" w:rsidRDefault="00D624B7" w14:paraId="32832062" w14:textId="28FCF3B0">
            <w:pPr>
              <w:keepLines/>
              <w:spacing w:line="240" w:lineRule="auto"/>
              <w:ind w:firstLine="0"/>
              <w:jc w:val="center"/>
            </w:pPr>
            <w:r>
              <w:t>September – November 2021</w:t>
            </w:r>
          </w:p>
        </w:tc>
      </w:tr>
      <w:tr w:rsidR="00FA1186" w:rsidTr="009B578B" w14:paraId="1020B593" w14:textId="77777777">
        <w:trPr>
          <w:jc w:val="center"/>
        </w:trPr>
        <w:tc>
          <w:tcPr>
            <w:tcW w:w="5665" w:type="dxa"/>
          </w:tcPr>
          <w:p w:rsidR="00FA1186" w:rsidP="009B578B" w:rsidRDefault="00D624B7" w14:paraId="5EA48CC7" w14:textId="60337048">
            <w:pPr>
              <w:keepLines/>
              <w:spacing w:line="240" w:lineRule="auto"/>
              <w:ind w:firstLine="0"/>
            </w:pPr>
            <w:r>
              <w:t>Incentive Pilot Advice Letters submitted for approval to pilot Incentive and subscription periods</w:t>
            </w:r>
          </w:p>
        </w:tc>
        <w:tc>
          <w:tcPr>
            <w:tcW w:w="3685" w:type="dxa"/>
          </w:tcPr>
          <w:p w:rsidR="00FA1186" w:rsidP="009B578B" w:rsidRDefault="00D624B7" w14:paraId="69B9989D" w14:textId="034B8F18">
            <w:pPr>
              <w:keepLines/>
              <w:spacing w:line="240" w:lineRule="auto"/>
              <w:ind w:firstLine="0"/>
              <w:jc w:val="center"/>
            </w:pPr>
            <w:r>
              <w:t>November 15, 2021</w:t>
            </w:r>
          </w:p>
        </w:tc>
      </w:tr>
      <w:tr w:rsidRPr="00D624B7" w:rsidR="00D624B7" w:rsidTr="009B578B" w14:paraId="0A3DA269" w14:textId="77777777">
        <w:trPr>
          <w:jc w:val="center"/>
        </w:trPr>
        <w:tc>
          <w:tcPr>
            <w:tcW w:w="5665" w:type="dxa"/>
            <w:shd w:val="clear" w:color="auto" w:fill="000000" w:themeFill="text1"/>
          </w:tcPr>
          <w:p w:rsidRPr="00D624B7" w:rsidR="00D624B7" w:rsidP="00E258B9" w:rsidRDefault="00D624B7" w14:paraId="509B93AC" w14:textId="2B7F78DF">
            <w:pPr>
              <w:keepNext/>
              <w:keepLines/>
              <w:spacing w:line="240" w:lineRule="auto"/>
              <w:ind w:firstLine="0"/>
              <w:rPr>
                <w:color w:val="FFFFFF" w:themeColor="background1"/>
              </w:rPr>
            </w:pPr>
            <w:r w:rsidRPr="00D624B7">
              <w:rPr>
                <w:color w:val="FFFFFF" w:themeColor="background1"/>
              </w:rPr>
              <w:lastRenderedPageBreak/>
              <w:t>Post-DPAG 2021</w:t>
            </w:r>
          </w:p>
        </w:tc>
        <w:tc>
          <w:tcPr>
            <w:tcW w:w="3685" w:type="dxa"/>
            <w:shd w:val="clear" w:color="auto" w:fill="000000" w:themeFill="text1"/>
          </w:tcPr>
          <w:p w:rsidRPr="00D624B7" w:rsidR="00D624B7" w:rsidP="00E258B9" w:rsidRDefault="00D624B7" w14:paraId="7B7D1FE6" w14:textId="77777777">
            <w:pPr>
              <w:keepNext/>
              <w:keepLines/>
              <w:spacing w:line="240" w:lineRule="auto"/>
              <w:ind w:firstLine="0"/>
              <w:jc w:val="center"/>
              <w:rPr>
                <w:color w:val="FFFFFF" w:themeColor="background1"/>
              </w:rPr>
            </w:pPr>
          </w:p>
        </w:tc>
      </w:tr>
      <w:tr w:rsidR="00D624B7" w:rsidTr="009B578B" w14:paraId="0F93E827" w14:textId="77777777">
        <w:trPr>
          <w:jc w:val="center"/>
        </w:trPr>
        <w:tc>
          <w:tcPr>
            <w:tcW w:w="5665" w:type="dxa"/>
          </w:tcPr>
          <w:p w:rsidR="00D624B7" w:rsidP="00E258B9" w:rsidRDefault="00D624B7" w14:paraId="71D086AE" w14:textId="2774EE6B">
            <w:pPr>
              <w:keepNext/>
              <w:keepLines/>
              <w:spacing w:line="240" w:lineRule="auto"/>
              <w:ind w:firstLine="0"/>
            </w:pPr>
            <w:r>
              <w:t>Launch subscription periods and implement marketing plans</w:t>
            </w:r>
          </w:p>
        </w:tc>
        <w:tc>
          <w:tcPr>
            <w:tcW w:w="3685" w:type="dxa"/>
          </w:tcPr>
          <w:p w:rsidR="00D624B7" w:rsidP="00E258B9" w:rsidRDefault="00D624B7" w14:paraId="67CBC6BB" w14:textId="175046D9">
            <w:pPr>
              <w:keepNext/>
              <w:keepLines/>
              <w:spacing w:line="240" w:lineRule="auto"/>
              <w:ind w:firstLine="0"/>
              <w:jc w:val="center"/>
            </w:pPr>
            <w:r>
              <w:t>January 15</w:t>
            </w:r>
            <w:r w:rsidRPr="00D624B7">
              <w:rPr>
                <w:vertAlign w:val="superscript"/>
              </w:rPr>
              <w:t>th</w:t>
            </w:r>
            <w:r>
              <w:t xml:space="preserve"> of each year (2022-2025)</w:t>
            </w:r>
          </w:p>
        </w:tc>
      </w:tr>
      <w:tr w:rsidR="00D624B7" w:rsidTr="009B578B" w14:paraId="037EDC61" w14:textId="77777777">
        <w:trPr>
          <w:jc w:val="center"/>
        </w:trPr>
        <w:tc>
          <w:tcPr>
            <w:tcW w:w="5665" w:type="dxa"/>
          </w:tcPr>
          <w:p w:rsidR="00D624B7" w:rsidP="00E258B9" w:rsidRDefault="00D624B7" w14:paraId="07F337D8" w14:textId="71966A53">
            <w:pPr>
              <w:keepNext/>
              <w:keepLines/>
              <w:spacing w:line="240" w:lineRule="auto"/>
              <w:ind w:firstLine="0"/>
            </w:pPr>
            <w:r>
              <w:t xml:space="preserve">Utility Status and Cost-Effectiveness Reports for Incentive Pilot included in GNA/DDOR for DIDF </w:t>
            </w:r>
          </w:p>
        </w:tc>
        <w:tc>
          <w:tcPr>
            <w:tcW w:w="3685" w:type="dxa"/>
          </w:tcPr>
          <w:p w:rsidR="00D624B7" w:rsidP="00E258B9" w:rsidRDefault="00D624B7" w14:paraId="18B2193C" w14:textId="765E6A76">
            <w:pPr>
              <w:keepNext/>
              <w:keepLines/>
              <w:spacing w:line="240" w:lineRule="auto"/>
              <w:ind w:firstLine="0"/>
              <w:jc w:val="center"/>
            </w:pPr>
            <w:r>
              <w:t>August 15</w:t>
            </w:r>
            <w:r w:rsidRPr="00D624B7">
              <w:rPr>
                <w:vertAlign w:val="superscript"/>
              </w:rPr>
              <w:t>th</w:t>
            </w:r>
            <w:r>
              <w:t xml:space="preserve"> of each year (2022-2025)</w:t>
            </w:r>
          </w:p>
        </w:tc>
      </w:tr>
    </w:tbl>
    <w:p w:rsidR="000911A8" w:rsidP="004232C9" w:rsidRDefault="000911A8" w14:paraId="13AAD6A1" w14:textId="4EA9D53D">
      <w:pPr>
        <w:pStyle w:val="Heading3"/>
        <w:spacing w:before="120"/>
      </w:pPr>
      <w:bookmarkStart w:name="_Toc63778681" w:id="25"/>
      <w:r>
        <w:t xml:space="preserve">Adoption of </w:t>
      </w:r>
      <w:r w:rsidR="00114C30">
        <w:t xml:space="preserve">Partnership </w:t>
      </w:r>
      <w:r>
        <w:t>Pilot</w:t>
      </w:r>
      <w:bookmarkEnd w:id="25"/>
    </w:p>
    <w:p w:rsidR="00D668B7" w:rsidP="009B578B" w:rsidRDefault="00396D43" w14:paraId="2A7482B8" w14:textId="79AC0235">
      <w:pPr>
        <w:pStyle w:val="Standard"/>
      </w:pPr>
      <w:r>
        <w:t xml:space="preserve">The Staff Proposal states the goal of </w:t>
      </w:r>
      <w:r w:rsidR="00D668B7">
        <w:t>its</w:t>
      </w:r>
      <w:r>
        <w:t xml:space="preserve"> Incentive </w:t>
      </w:r>
      <w:r w:rsidR="00AD2D64">
        <w:t>P</w:t>
      </w:r>
      <w:r w:rsidR="00D668B7">
        <w:t xml:space="preserve">ilot </w:t>
      </w:r>
      <w:r>
        <w:t xml:space="preserve">is to streamline, scale, and increase the quantity of distributed energy resources deferral project procurement.  </w:t>
      </w:r>
      <w:r w:rsidR="00D668B7">
        <w:t xml:space="preserve">We find the proposed tariff and pilot </w:t>
      </w:r>
      <w:r w:rsidR="00AD2D64">
        <w:t xml:space="preserve">for distribution deferral </w:t>
      </w:r>
      <w:r w:rsidR="00D668B7">
        <w:t xml:space="preserve">have merit and should be adopted, with modifications.  Because the </w:t>
      </w:r>
      <w:r w:rsidR="0020747C">
        <w:t xml:space="preserve">proposed </w:t>
      </w:r>
      <w:r w:rsidR="00D668B7">
        <w:t xml:space="preserve">tariff </w:t>
      </w:r>
      <w:r w:rsidR="00A907AC">
        <w:t xml:space="preserve">pilot </w:t>
      </w:r>
      <w:r w:rsidR="00D668B7">
        <w:t xml:space="preserve">would provide payments to distributed energy resources customers for distributed energy resource services, we decline to refer to this as an incentive and, instead, refer to it as the </w:t>
      </w:r>
      <w:r w:rsidR="0020747C">
        <w:t xml:space="preserve">Partnership Pilot due to the </w:t>
      </w:r>
      <w:r w:rsidR="00867DDE">
        <w:t xml:space="preserve">multiple </w:t>
      </w:r>
      <w:r w:rsidR="0020747C">
        <w:t>partnerships the pilot encompasses</w:t>
      </w:r>
      <w:r w:rsidR="00D668B7">
        <w:t xml:space="preserve">.  We discuss </w:t>
      </w:r>
      <w:r w:rsidR="005B2ABE">
        <w:t xml:space="preserve">our modifications to the </w:t>
      </w:r>
      <w:r w:rsidR="0020747C">
        <w:t xml:space="preserve">proposed tariff pilot </w:t>
      </w:r>
      <w:r w:rsidR="003349DC">
        <w:t xml:space="preserve">in the sections </w:t>
      </w:r>
      <w:r w:rsidR="005B2ABE">
        <w:t xml:space="preserve">below, </w:t>
      </w:r>
      <w:r w:rsidR="00AD2D64">
        <w:t xml:space="preserve">with </w:t>
      </w:r>
      <w:r w:rsidR="005B2ABE">
        <w:t>our reasoning.</w:t>
      </w:r>
      <w:r w:rsidR="000A6FFA">
        <w:t xml:space="preserve">  Elements not discussed are adopted as proposed in the Staff Proposal including, for example, offer acceptance and contract execution</w:t>
      </w:r>
      <w:r w:rsidR="0064574B">
        <w:t xml:space="preserve"> </w:t>
      </w:r>
      <w:r w:rsidR="006150EE">
        <w:t xml:space="preserve">reporting </w:t>
      </w:r>
      <w:r w:rsidR="0064574B">
        <w:t>procedures</w:t>
      </w:r>
      <w:r w:rsidR="000A6FFA">
        <w:t>.</w:t>
      </w:r>
      <w:r w:rsidR="0064574B">
        <w:t xml:space="preserve">  Further, to maintain consistency with the DIDF RFO process, contract</w:t>
      </w:r>
      <w:r w:rsidR="006150EE">
        <w:t xml:space="preserve"> time periods shall be allowed up to 10 years.</w:t>
      </w:r>
    </w:p>
    <w:p w:rsidR="005B2ABE" w:rsidP="009B578B" w:rsidRDefault="000112BA" w14:paraId="6A9EB93A" w14:textId="5F0AC079">
      <w:pPr>
        <w:pStyle w:val="Standard"/>
      </w:pPr>
      <w:r>
        <w:t xml:space="preserve">First, </w:t>
      </w:r>
      <w:r w:rsidR="003349DC">
        <w:t xml:space="preserve">however, </w:t>
      </w:r>
      <w:r>
        <w:t xml:space="preserve">we </w:t>
      </w:r>
      <w:r w:rsidR="00AD2D64">
        <w:t>address</w:t>
      </w:r>
      <w:r>
        <w:t xml:space="preserve"> </w:t>
      </w:r>
      <w:r w:rsidR="00326AEA">
        <w:t xml:space="preserve">our </w:t>
      </w:r>
      <w:r w:rsidR="003349DC">
        <w:t xml:space="preserve">overall </w:t>
      </w:r>
      <w:r w:rsidR="00326AEA">
        <w:t xml:space="preserve">determination to adopt the concept of the </w:t>
      </w:r>
      <w:r w:rsidR="0020747C">
        <w:t xml:space="preserve">staff </w:t>
      </w:r>
      <w:r w:rsidR="00326AEA">
        <w:t xml:space="preserve">proposed </w:t>
      </w:r>
      <w:r w:rsidR="0020747C">
        <w:t>Incentive and Incentive Pilot</w:t>
      </w:r>
      <w:r w:rsidR="00326AEA">
        <w:t>.  For differing reasons</w:t>
      </w:r>
      <w:r w:rsidR="00F21620">
        <w:t xml:space="preserve">, </w:t>
      </w:r>
      <w:r w:rsidR="00326AEA">
        <w:t xml:space="preserve">PG&amp;E and SDG&amp;E oppose the adoption of the </w:t>
      </w:r>
      <w:r w:rsidR="0020747C">
        <w:t xml:space="preserve">Incentive </w:t>
      </w:r>
      <w:r w:rsidR="00326AEA">
        <w:t xml:space="preserve">Pilot and the </w:t>
      </w:r>
      <w:r w:rsidR="00F71DA6">
        <w:t>Incentive</w:t>
      </w:r>
      <w:r w:rsidR="00326AEA">
        <w:t>, itself.  PG&amp;E considers the tariff unnecessary and</w:t>
      </w:r>
      <w:r>
        <w:t xml:space="preserve"> </w:t>
      </w:r>
      <w:r w:rsidR="00F21620">
        <w:t>recommends the Commission</w:t>
      </w:r>
      <w:r>
        <w:t xml:space="preserve">, instead, </w:t>
      </w:r>
      <w:r w:rsidR="00326AEA">
        <w:t xml:space="preserve">focus on </w:t>
      </w:r>
      <w:r w:rsidR="00F21620">
        <w:t>procuring for distribution deferral projects through the existing DIDF.</w:t>
      </w:r>
      <w:r w:rsidR="00F21620">
        <w:rPr>
          <w:rStyle w:val="FootnoteReference"/>
        </w:rPr>
        <w:footnoteReference w:id="28"/>
      </w:r>
      <w:r w:rsidR="00F21620">
        <w:t xml:space="preserve">  SDG&amp;E contend</w:t>
      </w:r>
      <w:r w:rsidR="00C22C79">
        <w:t>s</w:t>
      </w:r>
      <w:r w:rsidR="00F21620">
        <w:t xml:space="preserve"> the </w:t>
      </w:r>
      <w:r w:rsidR="0075092D">
        <w:t xml:space="preserve">Incentive </w:t>
      </w:r>
      <w:r w:rsidR="00F21620">
        <w:t xml:space="preserve">Pilot and the </w:t>
      </w:r>
      <w:r w:rsidR="00F71DA6">
        <w:t xml:space="preserve">Incentive </w:t>
      </w:r>
      <w:r w:rsidR="00F21620">
        <w:t>present risk</w:t>
      </w:r>
      <w:r w:rsidR="00C22C79">
        <w:t>s</w:t>
      </w:r>
      <w:r w:rsidR="00F21620">
        <w:t xml:space="preserve"> for </w:t>
      </w:r>
      <w:r w:rsidR="00F21620">
        <w:lastRenderedPageBreak/>
        <w:t>under and over procurement.</w:t>
      </w:r>
      <w:r w:rsidR="007045B6">
        <w:rPr>
          <w:rStyle w:val="FootnoteReference"/>
        </w:rPr>
        <w:footnoteReference w:id="29"/>
      </w:r>
      <w:r w:rsidR="00F21620">
        <w:t xml:space="preserve">  As underscored in the Staff Proposal, the current DIDF process presents several challenges, including that of over and under procurement</w:t>
      </w:r>
      <w:r>
        <w:t>, hindering its success</w:t>
      </w:r>
      <w:r w:rsidR="00F21620">
        <w:t>.</w:t>
      </w:r>
      <w:r w:rsidR="00F21620">
        <w:rPr>
          <w:rStyle w:val="FootnoteReference"/>
        </w:rPr>
        <w:footnoteReference w:id="30"/>
      </w:r>
      <w:r w:rsidR="00F21620">
        <w:t xml:space="preserve">  </w:t>
      </w:r>
      <w:r w:rsidR="00C22C79">
        <w:t>R</w:t>
      </w:r>
      <w:r w:rsidR="00F21620">
        <w:t>ecogniz</w:t>
      </w:r>
      <w:r w:rsidR="00C22C79">
        <w:t>ing</w:t>
      </w:r>
      <w:r w:rsidR="00F21620">
        <w:t xml:space="preserve"> the risk of under and over procurement is not eliminated in the proposed </w:t>
      </w:r>
      <w:r w:rsidR="00F71DA6">
        <w:t>Incentive</w:t>
      </w:r>
      <w:r w:rsidR="00F21620">
        <w:t xml:space="preserve">, the </w:t>
      </w:r>
      <w:r w:rsidR="00564869">
        <w:t xml:space="preserve">Staff Proposal explains that </w:t>
      </w:r>
      <w:r w:rsidR="00F21620">
        <w:t xml:space="preserve">the proposed </w:t>
      </w:r>
      <w:r w:rsidR="00F71DA6">
        <w:t xml:space="preserve">Incentive </w:t>
      </w:r>
      <w:r w:rsidR="00F21620">
        <w:t xml:space="preserve">Pilot </w:t>
      </w:r>
      <w:r w:rsidR="00564869">
        <w:t xml:space="preserve">would </w:t>
      </w:r>
      <w:r w:rsidR="00F21620">
        <w:t>test the proposal, refine, and test again</w:t>
      </w:r>
      <w:r w:rsidR="00C22C79">
        <w:t>, which w</w:t>
      </w:r>
      <w:r w:rsidR="00F21620">
        <w:t xml:space="preserve">e address further below.  The Staff Proposal </w:t>
      </w:r>
      <w:r w:rsidR="007045B6">
        <w:t xml:space="preserve">describes other </w:t>
      </w:r>
      <w:r w:rsidR="00F21620">
        <w:t>challenges</w:t>
      </w:r>
      <w:r w:rsidR="007045B6">
        <w:t xml:space="preserve"> with the DIDF process that cannot be cured within the process simply because of the nature of the RFO, such as changing distribution system needs, the timing of the deferral needs, forecast uncertainty</w:t>
      </w:r>
      <w:r>
        <w:t>, and barriers to Behind-The-Meter resources’ successful participation</w:t>
      </w:r>
      <w:r w:rsidR="007045B6">
        <w:t>.</w:t>
      </w:r>
      <w:r w:rsidR="007045B6">
        <w:rPr>
          <w:rStyle w:val="FootnoteReference"/>
        </w:rPr>
        <w:footnoteReference w:id="31"/>
      </w:r>
      <w:r w:rsidR="00C22C79">
        <w:t xml:space="preserve">  </w:t>
      </w:r>
      <w:r>
        <w:t>T</w:t>
      </w:r>
      <w:r w:rsidR="00C22C79">
        <w:t xml:space="preserve">he </w:t>
      </w:r>
      <w:r w:rsidR="00F673FF">
        <w:t xml:space="preserve">proposed </w:t>
      </w:r>
      <w:r w:rsidR="00F71DA6">
        <w:t xml:space="preserve">Incentive </w:t>
      </w:r>
      <w:r w:rsidR="00C22C79">
        <w:t>is designed to address these challenges and the pilot is designed to allow refinement of the solutions, if the original solution is not successful.</w:t>
      </w:r>
      <w:r>
        <w:t xml:space="preserve">  We agree that the DIDF cannot meet these challenges.  Accordingly, the Commission should pilot the </w:t>
      </w:r>
      <w:r w:rsidR="00867DDE">
        <w:t>concept of the staff proposed</w:t>
      </w:r>
      <w:r w:rsidR="007E7208">
        <w:t xml:space="preserve"> </w:t>
      </w:r>
      <w:r w:rsidR="00F71DA6">
        <w:t>Incentive</w:t>
      </w:r>
      <w:r>
        <w:t>, with modifications adopted below</w:t>
      </w:r>
      <w:r w:rsidR="00114C30">
        <w:t xml:space="preserve">, including </w:t>
      </w:r>
      <w:r w:rsidR="00867DDE">
        <w:t>re</w:t>
      </w:r>
      <w:r w:rsidR="00114C30">
        <w:t>naming the pilot</w:t>
      </w:r>
      <w:r w:rsidR="00867DDE">
        <w:t>:</w:t>
      </w:r>
      <w:r w:rsidR="00114C30">
        <w:t xml:space="preserve"> Partnership Pilot</w:t>
      </w:r>
      <w:r>
        <w:t>.</w:t>
      </w:r>
    </w:p>
    <w:p w:rsidR="00A907AC" w:rsidP="009B578B" w:rsidRDefault="000112BA" w14:paraId="78BBB1F8" w14:textId="14B76D45">
      <w:pPr>
        <w:pStyle w:val="Standard"/>
      </w:pPr>
      <w:r>
        <w:t>The Staff Proposal include</w:t>
      </w:r>
      <w:r w:rsidR="0053313C">
        <w:t>s</w:t>
      </w:r>
      <w:r>
        <w:t xml:space="preserve"> as one of its proposed guiding principles, the principle of “Learn </w:t>
      </w:r>
      <w:proofErr w:type="gramStart"/>
      <w:r>
        <w:t>By</w:t>
      </w:r>
      <w:proofErr w:type="gramEnd"/>
      <w:r>
        <w:t xml:space="preserve"> Doing Pilots.”  </w:t>
      </w:r>
      <w:r w:rsidR="007045B6">
        <w:t xml:space="preserve">As we discussed previously, </w:t>
      </w:r>
      <w:r>
        <w:t xml:space="preserve">we do not consider this to be a principle for designing the tariff, but we agree, along with </w:t>
      </w:r>
      <w:r w:rsidR="00AD2D64">
        <w:t xml:space="preserve">many </w:t>
      </w:r>
      <w:r>
        <w:t>part</w:t>
      </w:r>
      <w:r w:rsidR="00AD2D64">
        <w:t xml:space="preserve">ies </w:t>
      </w:r>
      <w:r w:rsidR="007F2A17">
        <w:t>to this proceeding</w:t>
      </w:r>
      <w:r>
        <w:t>, that there is value in allowing for adaptation and exp</w:t>
      </w:r>
      <w:r w:rsidR="007F2A17">
        <w:t>erimentation.</w:t>
      </w:r>
      <w:r w:rsidR="007F2A17">
        <w:rPr>
          <w:rStyle w:val="FootnoteReference"/>
        </w:rPr>
        <w:footnoteReference w:id="32"/>
      </w:r>
      <w:r w:rsidR="007F2A17">
        <w:t xml:space="preserve">  Accordingly, we adopt </w:t>
      </w:r>
      <w:r w:rsidR="008602F1">
        <w:t xml:space="preserve">the policy of adaptation and experimentation to guide </w:t>
      </w:r>
      <w:r w:rsidR="007F2A17">
        <w:t xml:space="preserve">the </w:t>
      </w:r>
      <w:r w:rsidR="00F71DA6">
        <w:t>tariff p</w:t>
      </w:r>
      <w:r w:rsidR="007F2A17">
        <w:t>ilot.</w:t>
      </w:r>
    </w:p>
    <w:p w:rsidR="007045B6" w:rsidP="009B578B" w:rsidRDefault="00AD2D64" w14:paraId="2886BEFE" w14:textId="2DFA7EEF">
      <w:pPr>
        <w:pStyle w:val="Standard"/>
      </w:pPr>
      <w:r>
        <w:lastRenderedPageBreak/>
        <w:t>Along similar lines, Public Advocates Office recommends the adoption of an evaluation process with off-ramps for the pilot</w:t>
      </w:r>
      <w:r>
        <w:rPr>
          <w:rStyle w:val="FootnoteReference"/>
        </w:rPr>
        <w:footnoteReference w:id="33"/>
      </w:r>
      <w:r>
        <w:t xml:space="preserve"> and</w:t>
      </w:r>
      <w:r w:rsidR="00F816C4">
        <w:t xml:space="preserve"> </w:t>
      </w:r>
      <w:r>
        <w:t xml:space="preserve">CUE suggests the inclusion of </w:t>
      </w:r>
      <w:r w:rsidR="00F816C4">
        <w:t xml:space="preserve">guidepost and evaluation </w:t>
      </w:r>
      <w:r>
        <w:t>metrics to determine whether the pilot is successful.</w:t>
      </w:r>
      <w:r w:rsidR="00F816C4">
        <w:rPr>
          <w:rStyle w:val="FootnoteReference"/>
        </w:rPr>
        <w:footnoteReference w:id="34"/>
      </w:r>
      <w:r>
        <w:t xml:space="preserve">  </w:t>
      </w:r>
      <w:r w:rsidR="00F816C4">
        <w:t>We agree</w:t>
      </w:r>
      <w:r w:rsidR="00A907AC">
        <w:t xml:space="preserve"> evaluation metrics are needed</w:t>
      </w:r>
      <w:r w:rsidR="00F816C4">
        <w:t>.  We also agree the evaluation metrics should be developed prior to the launch of the pilot in August</w:t>
      </w:r>
      <w:r w:rsidR="009B578B">
        <w:t> </w:t>
      </w:r>
      <w:r w:rsidR="00F816C4">
        <w:t>2021.</w:t>
      </w:r>
    </w:p>
    <w:p w:rsidR="00EB4CA2" w:rsidP="009B578B" w:rsidRDefault="005735ED" w14:paraId="3AFFA36C" w14:textId="61C1AAAC">
      <w:pPr>
        <w:pStyle w:val="Standard"/>
      </w:pPr>
      <w:r>
        <w:t>Relatedly</w:t>
      </w:r>
      <w:r w:rsidR="00F71DA6">
        <w:t xml:space="preserve">, </w:t>
      </w:r>
      <w:r w:rsidR="00722830">
        <w:t xml:space="preserve">Public Advocates Office </w:t>
      </w:r>
      <w:r w:rsidR="00F816C4">
        <w:t>recommend</w:t>
      </w:r>
      <w:r w:rsidR="00722830">
        <w:t xml:space="preserve">s </w:t>
      </w:r>
      <w:r w:rsidR="00F816C4">
        <w:t xml:space="preserve">the initiation of a working group to </w:t>
      </w:r>
      <w:r w:rsidR="00722830">
        <w:t>design the pilot</w:t>
      </w:r>
      <w:r>
        <w:t xml:space="preserve"> </w:t>
      </w:r>
      <w:r w:rsidR="00A907AC">
        <w:t xml:space="preserve">and </w:t>
      </w:r>
      <w:r>
        <w:t>evaluation criteria</w:t>
      </w:r>
      <w:r w:rsidR="00722830">
        <w:t>.</w:t>
      </w:r>
      <w:r w:rsidR="00722830">
        <w:rPr>
          <w:rStyle w:val="FootnoteReference"/>
        </w:rPr>
        <w:footnoteReference w:id="35"/>
      </w:r>
      <w:r w:rsidR="00722830">
        <w:t xml:space="preserve">  Public Advocates Office </w:t>
      </w:r>
      <w:r w:rsidR="00961D13">
        <w:t xml:space="preserve">asserts this would follow the same steps </w:t>
      </w:r>
      <w:r w:rsidR="00A907AC">
        <w:t>established</w:t>
      </w:r>
      <w:r w:rsidR="00961D13">
        <w:t xml:space="preserve"> in D.16-12-036.  However, the working group </w:t>
      </w:r>
      <w:r w:rsidR="003E77CD">
        <w:t>Public Advocates Office references was formed prior to D.16</w:t>
      </w:r>
      <w:r w:rsidR="009B578B">
        <w:noBreakHyphen/>
      </w:r>
      <w:r w:rsidR="003E77CD">
        <w:t>12</w:t>
      </w:r>
      <w:r w:rsidR="009B578B">
        <w:noBreakHyphen/>
      </w:r>
      <w:r w:rsidR="003E77CD">
        <w:t>036 and developed proposals for the Competitive Solicitation Framework adopted in D.16-12-036.</w:t>
      </w:r>
      <w:r w:rsidR="00EB4CA2">
        <w:t xml:space="preserve">  </w:t>
      </w:r>
      <w:r w:rsidR="003E77CD">
        <w:t>This proceeding has provided for a series of workshops, tariff proposals</w:t>
      </w:r>
      <w:r w:rsidR="00AA53B1">
        <w:t xml:space="preserve"> offered by parties</w:t>
      </w:r>
      <w:r w:rsidR="003E77CD">
        <w:t>, and comments to those proposals</w:t>
      </w:r>
      <w:r w:rsidR="00AA53B1">
        <w:t xml:space="preserve"> (</w:t>
      </w:r>
      <w:r w:rsidR="003E77CD">
        <w:t>as described in the procedural summary above</w:t>
      </w:r>
      <w:r w:rsidR="00AA53B1">
        <w:t xml:space="preserve">); </w:t>
      </w:r>
      <w:r w:rsidR="003E77CD">
        <w:t xml:space="preserve">all of which has led to the development of the Staff Proposal.  The design of the </w:t>
      </w:r>
      <w:r w:rsidR="00F71DA6">
        <w:t xml:space="preserve">Incentive </w:t>
      </w:r>
      <w:r w:rsidR="003E77CD">
        <w:t xml:space="preserve">and </w:t>
      </w:r>
      <w:r w:rsidR="00F71DA6">
        <w:t xml:space="preserve">Incentive </w:t>
      </w:r>
      <w:r w:rsidR="003E77CD">
        <w:t xml:space="preserve">Pilot has been presented to parties and parties have now commented on both.  Hence, we </w:t>
      </w:r>
      <w:r w:rsidR="00C44DC2">
        <w:t xml:space="preserve">find it unnecessary </w:t>
      </w:r>
      <w:r w:rsidR="003E77CD">
        <w:t xml:space="preserve">to </w:t>
      </w:r>
      <w:r w:rsidR="00904B18">
        <w:t xml:space="preserve">adopt Public Advocates Office’s recommendation to </w:t>
      </w:r>
      <w:r w:rsidR="003E77CD">
        <w:t xml:space="preserve">establish a working group </w:t>
      </w:r>
      <w:r w:rsidR="00904B18">
        <w:t xml:space="preserve">to design </w:t>
      </w:r>
      <w:r>
        <w:t>the</w:t>
      </w:r>
      <w:r w:rsidR="00F71DA6">
        <w:t xml:space="preserve"> t</w:t>
      </w:r>
      <w:r w:rsidR="00904B18">
        <w:t xml:space="preserve">ariff and </w:t>
      </w:r>
      <w:r w:rsidR="00F71DA6">
        <w:t>related p</w:t>
      </w:r>
      <w:r w:rsidR="00904B18">
        <w:t>ilot</w:t>
      </w:r>
      <w:r w:rsidR="003E77CD">
        <w:t xml:space="preserve">.  </w:t>
      </w:r>
    </w:p>
    <w:p w:rsidR="00904B18" w:rsidP="009B578B" w:rsidRDefault="0098540D" w14:paraId="1E7FBD7C" w14:textId="679DF983">
      <w:pPr>
        <w:pStyle w:val="Standard"/>
      </w:pPr>
      <w:r>
        <w:t xml:space="preserve">Public </w:t>
      </w:r>
      <w:r w:rsidRPr="00D6116A">
        <w:t>Advocates Office recommends</w:t>
      </w:r>
      <w:r w:rsidRPr="00D6116A" w:rsidR="00EB4CA2">
        <w:t xml:space="preserve"> the </w:t>
      </w:r>
      <w:r w:rsidR="00F673FF">
        <w:t xml:space="preserve">proposed </w:t>
      </w:r>
      <w:r w:rsidRPr="00D6116A">
        <w:t>working group oversee</w:t>
      </w:r>
      <w:r w:rsidRPr="002342F9" w:rsidR="005735ED">
        <w:rPr>
          <w:rFonts w:cs="TimesNewRomanPSMT"/>
          <w:szCs w:val="26"/>
        </w:rPr>
        <w:t xml:space="preserve"> the development of criteria and a subsequent </w:t>
      </w:r>
      <w:r w:rsidRPr="00D6116A" w:rsidR="00EB4CA2">
        <w:t>evaluation process</w:t>
      </w:r>
      <w:r w:rsidR="00F673FF">
        <w:t>,</w:t>
      </w:r>
      <w:r w:rsidRPr="00D6116A" w:rsidR="00EB4CA2">
        <w:t xml:space="preserve"> whereby performance metrics would be defined by the Commission using input </w:t>
      </w:r>
      <w:r w:rsidRPr="00D6116A" w:rsidR="00EB4CA2">
        <w:lastRenderedPageBreak/>
        <w:t>from working group workshops</w:t>
      </w:r>
      <w:r w:rsidRPr="00D6116A" w:rsidR="005735ED">
        <w:t xml:space="preserve"> </w:t>
      </w:r>
      <w:r w:rsidRPr="00D6116A" w:rsidR="00EB4CA2">
        <w:t>and used to monitor and rate the performance of the pilot.</w:t>
      </w:r>
      <w:r w:rsidR="00D6116A">
        <w:rPr>
          <w:rStyle w:val="FootnoteReference"/>
        </w:rPr>
        <w:footnoteReference w:id="36"/>
      </w:r>
      <w:r w:rsidRPr="00D6116A" w:rsidR="005735ED">
        <w:t xml:space="preserve">  While w</w:t>
      </w:r>
      <w:r w:rsidRPr="00D6116A" w:rsidR="003E77CD">
        <w:t>e</w:t>
      </w:r>
      <w:r w:rsidRPr="00D6116A" w:rsidR="005735ED">
        <w:t xml:space="preserve"> </w:t>
      </w:r>
      <w:r w:rsidRPr="00D6116A" w:rsidR="003E77CD">
        <w:t>agree with the need for off-ramps and evaluation criteria</w:t>
      </w:r>
      <w:r w:rsidRPr="00D6116A" w:rsidR="005735ED">
        <w:t>, we decline to introduce a sep</w:t>
      </w:r>
      <w:r w:rsidR="00D6116A">
        <w:t xml:space="preserve">arate </w:t>
      </w:r>
      <w:r w:rsidR="005735ED">
        <w:t>working group to develop the criteria and oversee the evaluation</w:t>
      </w:r>
      <w:r w:rsidR="00AA53B1">
        <w:t xml:space="preserve">.  </w:t>
      </w:r>
      <w:r w:rsidR="008602F1">
        <w:t>Instead, w</w:t>
      </w:r>
      <w:r w:rsidR="00AA53B1">
        <w:t xml:space="preserve">e </w:t>
      </w:r>
      <w:r>
        <w:t xml:space="preserve">adopt </w:t>
      </w:r>
      <w:r w:rsidR="005735ED">
        <w:t xml:space="preserve">the staff recommendation </w:t>
      </w:r>
      <w:r w:rsidR="00AA53B1">
        <w:t>t</w:t>
      </w:r>
      <w:r w:rsidR="00D6116A">
        <w:t xml:space="preserve">o </w:t>
      </w:r>
      <w:r w:rsidR="005735ED">
        <w:t xml:space="preserve">use the DPAG to oversee regular evaluations </w:t>
      </w:r>
      <w:r w:rsidR="00D6116A">
        <w:t xml:space="preserve">and </w:t>
      </w:r>
      <w:r w:rsidR="00AA53B1">
        <w:t>allow for improvements and off</w:t>
      </w:r>
      <w:r w:rsidR="005219EC">
        <w:noBreakHyphen/>
      </w:r>
      <w:r w:rsidR="00AA53B1">
        <w:t xml:space="preserve">ramps in the event the </w:t>
      </w:r>
      <w:r w:rsidR="00AD2C6C">
        <w:t xml:space="preserve">adopted </w:t>
      </w:r>
      <w:r w:rsidR="00F71DA6">
        <w:t xml:space="preserve">pilot </w:t>
      </w:r>
      <w:r w:rsidR="00AA53B1">
        <w:t xml:space="preserve">is </w:t>
      </w:r>
      <w:r w:rsidR="00506FDA">
        <w:t xml:space="preserve">not </w:t>
      </w:r>
      <w:r w:rsidR="00AA53B1">
        <w:t>performing as i</w:t>
      </w:r>
      <w:r w:rsidR="00506FDA">
        <w:t>t</w:t>
      </w:r>
      <w:r w:rsidR="00AA53B1">
        <w:t xml:space="preserve"> should </w:t>
      </w:r>
      <w:r w:rsidR="00904B18">
        <w:t>or</w:t>
      </w:r>
      <w:r w:rsidR="00AA53B1">
        <w:t>, ultimately, not deemed successful.</w:t>
      </w:r>
      <w:r w:rsidR="00D6116A">
        <w:t xml:space="preserve">  Public Advocates Office opposes the use of the DPAG</w:t>
      </w:r>
      <w:r w:rsidR="008602F1">
        <w:t xml:space="preserve"> due to membership limitations and recommends </w:t>
      </w:r>
      <w:r w:rsidR="00D6116A">
        <w:t xml:space="preserve">a working group with </w:t>
      </w:r>
      <w:r w:rsidRPr="00D6116A" w:rsidR="00D6116A">
        <w:t xml:space="preserve">members </w:t>
      </w:r>
      <w:r w:rsidR="00D6116A">
        <w:t xml:space="preserve">to </w:t>
      </w:r>
      <w:r w:rsidRPr="00D6116A" w:rsidR="00D6116A">
        <w:t>include</w:t>
      </w:r>
      <w:r w:rsidR="00D6116A">
        <w:t xml:space="preserve"> </w:t>
      </w:r>
      <w:r w:rsidRPr="00D6116A" w:rsidR="00D6116A">
        <w:t>stakeholders from customer advocacy groups, potential DER providers, environmental</w:t>
      </w:r>
      <w:r w:rsidR="00D6116A">
        <w:t xml:space="preserve"> </w:t>
      </w:r>
      <w:r w:rsidRPr="00D6116A" w:rsidR="00D6116A">
        <w:t>advocacy groups, governmental agencies, and other interested organizations and</w:t>
      </w:r>
      <w:r w:rsidR="00D6116A">
        <w:t xml:space="preserve"> </w:t>
      </w:r>
      <w:r w:rsidRPr="00D6116A" w:rsidR="00D6116A">
        <w:t>individuals.</w:t>
      </w:r>
      <w:r w:rsidR="00D6116A">
        <w:rPr>
          <w:rStyle w:val="FootnoteReference"/>
        </w:rPr>
        <w:footnoteReference w:id="37"/>
      </w:r>
      <w:r w:rsidR="00D6116A">
        <w:t xml:space="preserve">  D.16-12-036, which established the DPAG does not limit the </w:t>
      </w:r>
      <w:r w:rsidR="00D57EA5">
        <w:t>membership of the group.</w:t>
      </w:r>
      <w:r w:rsidR="00D57EA5">
        <w:rPr>
          <w:rStyle w:val="FootnoteReference"/>
        </w:rPr>
        <w:footnoteReference w:id="38"/>
      </w:r>
      <w:r w:rsidR="00D57EA5">
        <w:t xml:space="preserve">  The only limitation is that market participants cannot be present to discuss market sensitive information. </w:t>
      </w:r>
      <w:r w:rsidR="004232C9">
        <w:t xml:space="preserve"> </w:t>
      </w:r>
      <w:r w:rsidR="008602F1">
        <w:t xml:space="preserve">Further, D.18-02-004 describes the composition of the DPAG as </w:t>
      </w:r>
      <w:r w:rsidRPr="008602F1" w:rsidR="008602F1">
        <w:t>consist</w:t>
      </w:r>
      <w:r w:rsidR="008602F1">
        <w:t>ing</w:t>
      </w:r>
      <w:r w:rsidRPr="008602F1" w:rsidR="008602F1">
        <w:t xml:space="preserve"> of </w:t>
      </w:r>
      <w:r w:rsidR="008602F1">
        <w:t>Utilities</w:t>
      </w:r>
      <w:r w:rsidRPr="008602F1" w:rsidR="008602F1">
        <w:t xml:space="preserve">, Commission staff, an </w:t>
      </w:r>
      <w:r w:rsidR="008602F1">
        <w:t>independent professional engineer,</w:t>
      </w:r>
      <w:r w:rsidRPr="008602F1" w:rsidR="008602F1">
        <w:t xml:space="preserve"> non-market participants, and market providers</w:t>
      </w:r>
      <w:r w:rsidR="00AF778F">
        <w:t>.</w:t>
      </w:r>
      <w:r w:rsidR="00AF778F">
        <w:rPr>
          <w:rStyle w:val="FootnoteReference"/>
        </w:rPr>
        <w:footnoteReference w:id="39"/>
      </w:r>
      <w:r w:rsidR="00AF778F">
        <w:t xml:space="preserve">  </w:t>
      </w:r>
      <w:r w:rsidR="00AD2C6C">
        <w:t>We c</w:t>
      </w:r>
      <w:r w:rsidR="00AF778F">
        <w:t xml:space="preserve">onfirm </w:t>
      </w:r>
      <w:r w:rsidR="00AD2C6C">
        <w:t>that DPAG membership is open to all parties to this proceeding.</w:t>
      </w:r>
    </w:p>
    <w:p w:rsidR="00AD2C6C" w:rsidP="009B578B" w:rsidRDefault="003349DC" w14:paraId="5998A09F" w14:textId="1D48BA16">
      <w:pPr>
        <w:pStyle w:val="Standard"/>
      </w:pPr>
      <w:r>
        <w:t xml:space="preserve">With respect to the </w:t>
      </w:r>
      <w:r w:rsidR="00A907AC">
        <w:t xml:space="preserve">development of </w:t>
      </w:r>
      <w:r>
        <w:t xml:space="preserve">evaluation criteria, we authorize Energy Division to invite party proposals on evaluation </w:t>
      </w:r>
      <w:r w:rsidR="00AF778F">
        <w:t xml:space="preserve">and off-ramp </w:t>
      </w:r>
      <w:r>
        <w:t xml:space="preserve">criteria and hold a workshop on those proposals no later than 90 days from the issuance of this decision.  No later than 30 days following the workshop, Utilities shall file </w:t>
      </w:r>
      <w:r>
        <w:lastRenderedPageBreak/>
        <w:t xml:space="preserve">a Tier </w:t>
      </w:r>
      <w:r w:rsidR="00E128CF">
        <w:t>1</w:t>
      </w:r>
      <w:r>
        <w:t xml:space="preserve"> Advice Letter seeking approval of the evaluation criteria for the </w:t>
      </w:r>
      <w:r w:rsidR="00AD2C6C">
        <w:t>adopted t</w:t>
      </w:r>
      <w:r>
        <w:t xml:space="preserve">ariff </w:t>
      </w:r>
      <w:r w:rsidR="00AD2C6C">
        <w:t>and related p</w:t>
      </w:r>
      <w:r>
        <w:t>ilot</w:t>
      </w:r>
      <w:r w:rsidR="00E128CF">
        <w:t>, taking the party proposals into consideration</w:t>
      </w:r>
      <w:r>
        <w:t xml:space="preserve">.  </w:t>
      </w:r>
      <w:r w:rsidR="00E128CF">
        <w:t xml:space="preserve">We agree with SCE that </w:t>
      </w:r>
      <w:r w:rsidRPr="00E128CF" w:rsidR="00E128CF">
        <w:t>Commission has fleshed out the pilot proposal with enough detail such that an entire</w:t>
      </w:r>
      <w:r w:rsidR="00E128CF">
        <w:t xml:space="preserve"> </w:t>
      </w:r>
      <w:r w:rsidRPr="00E128CF" w:rsidR="00E128CF">
        <w:t>working group is not needed and may only delay a pilot launch</w:t>
      </w:r>
      <w:r w:rsidR="00E128CF">
        <w:t>.</w:t>
      </w:r>
      <w:r w:rsidR="00E128CF">
        <w:rPr>
          <w:rStyle w:val="FootnoteReference"/>
        </w:rPr>
        <w:footnoteReference w:id="40"/>
      </w:r>
    </w:p>
    <w:p w:rsidR="00F816C4" w:rsidP="009B578B" w:rsidRDefault="00AD2C6C" w14:paraId="73019F13" w14:textId="423AA720">
      <w:pPr>
        <w:pStyle w:val="Standard"/>
      </w:pPr>
      <w:r>
        <w:t>E</w:t>
      </w:r>
      <w:r w:rsidR="00BF1D89">
        <w:t xml:space="preserve">valuation </w:t>
      </w:r>
      <w:r>
        <w:t xml:space="preserve">of the adopted pilot </w:t>
      </w:r>
      <w:r w:rsidR="00F673FF">
        <w:t xml:space="preserve">and its elements </w:t>
      </w:r>
      <w:r w:rsidR="00BF1D89">
        <w:t xml:space="preserve">shall be conducted </w:t>
      </w:r>
      <w:r w:rsidR="00F673FF">
        <w:t xml:space="preserve">in combination with the annual DIDF reform process, which occurs during the first quarter of the year.  </w:t>
      </w:r>
      <w:r w:rsidR="002161A0">
        <w:t xml:space="preserve">As discussed below, we adopt a five-year pilot based on the </w:t>
      </w:r>
      <w:r w:rsidR="00F750F9">
        <w:t xml:space="preserve">multiple </w:t>
      </w:r>
      <w:r w:rsidR="002161A0">
        <w:t>tariff elements</w:t>
      </w:r>
      <w:r w:rsidR="00F750F9">
        <w:t xml:space="preserve"> and the need to test and refine them</w:t>
      </w:r>
      <w:r w:rsidR="002161A0">
        <w:t>.  However, we allow for a mid-project review and an off-ramp at the beginning of year three to determine</w:t>
      </w:r>
      <w:r w:rsidR="00AF778F">
        <w:t>, based on previously determined evaluation criteria,</w:t>
      </w:r>
      <w:r w:rsidR="002161A0">
        <w:t xml:space="preserve"> whether to continue with procurement in years four and five.</w:t>
      </w:r>
      <w:r w:rsidR="00AF778F">
        <w:t xml:space="preserve">  </w:t>
      </w:r>
      <w:r w:rsidR="003E61A9">
        <w:t>We confirm that c</w:t>
      </w:r>
      <w:r w:rsidR="003A63C0">
        <w:t>ontracted projects</w:t>
      </w:r>
      <w:r w:rsidR="003E61A9">
        <w:t xml:space="preserve">, which </w:t>
      </w:r>
      <w:r w:rsidR="003A63C0">
        <w:t>have been launched</w:t>
      </w:r>
      <w:r w:rsidR="003E61A9">
        <w:t xml:space="preserve">, </w:t>
      </w:r>
      <w:r w:rsidR="003A63C0">
        <w:t xml:space="preserve">will complete implementation and </w:t>
      </w:r>
      <w:r w:rsidR="003E61A9">
        <w:t xml:space="preserve">the contracted </w:t>
      </w:r>
      <w:proofErr w:type="gramStart"/>
      <w:r w:rsidR="003E61A9">
        <w:t>time period</w:t>
      </w:r>
      <w:proofErr w:type="gramEnd"/>
      <w:r w:rsidR="003E61A9">
        <w:t xml:space="preserve">, in accordance with the terms of the contract.  </w:t>
      </w:r>
      <w:r w:rsidR="00AF778F">
        <w:t>The mid</w:t>
      </w:r>
      <w:r w:rsidR="00A872AE">
        <w:noBreakHyphen/>
      </w:r>
      <w:r w:rsidR="00AF778F">
        <w:t>project review will be conducted by Energy Division in collaboration with the DPAG.</w:t>
      </w:r>
      <w:r w:rsidR="00F750F9">
        <w:t xml:space="preserve">  As is currently the practice in R.14-08-013, continuation of procurement in years four and five based on the review will be determined in an Administrative Law Judge Ruling in this proceeding or its successor proceeding.</w:t>
      </w:r>
    </w:p>
    <w:p w:rsidR="00D63E4F" w:rsidP="009B578B" w:rsidRDefault="00D63E4F" w14:paraId="765F6259" w14:textId="4AF97384">
      <w:pPr>
        <w:pStyle w:val="Standard"/>
      </w:pPr>
      <w:r>
        <w:t>We turn to the proposed name of the distributed energy resources distribution deferral tariff, the Clean Energy Incentive Customer Incentive.  CESA</w:t>
      </w:r>
      <w:r w:rsidR="0095633A">
        <w:t xml:space="preserve"> </w:t>
      </w:r>
      <w:r>
        <w:t>and Sunrun oppose the use of the term, incentive, in the name.  CESA contends it is important to frame the concept as a payment for grid service instead of an incentive.</w:t>
      </w:r>
      <w:r>
        <w:rPr>
          <w:rStyle w:val="FootnoteReference"/>
        </w:rPr>
        <w:footnoteReference w:id="41"/>
      </w:r>
      <w:r>
        <w:t xml:space="preserve">  Sunrun agrees, stating the word, incentive, implies that </w:t>
      </w:r>
      <w:r>
        <w:lastRenderedPageBreak/>
        <w:t>the program gives money to developers and customers without requirement of material benefit it exchange.</w:t>
      </w:r>
      <w:r>
        <w:rPr>
          <w:rStyle w:val="FootnoteReference"/>
        </w:rPr>
        <w:footnoteReference w:id="42"/>
      </w:r>
      <w:r>
        <w:t xml:space="preserve">  </w:t>
      </w:r>
      <w:r w:rsidR="0095633A">
        <w:t xml:space="preserve">SDG&amp;E and </w:t>
      </w:r>
      <w:r>
        <w:t xml:space="preserve">CUE </w:t>
      </w:r>
      <w:r w:rsidR="0095633A">
        <w:t>oppose use of the phrase, Clean Energy.  CUE maintains the tariff is not an incentive for clean energy but rather for distribution deferral.</w:t>
      </w:r>
      <w:r w:rsidR="0095633A">
        <w:rPr>
          <w:rStyle w:val="FootnoteReference"/>
        </w:rPr>
        <w:footnoteReference w:id="43"/>
      </w:r>
      <w:r w:rsidR="0095633A">
        <w:t xml:space="preserve">  SDG&amp;E asserts the title implies that traditional planned investments are not clean when such infrastructure supports the interconnection and delivery of clean energy resources.</w:t>
      </w:r>
      <w:r w:rsidR="0095633A">
        <w:rPr>
          <w:rStyle w:val="FootnoteReference"/>
        </w:rPr>
        <w:footnoteReference w:id="44"/>
      </w:r>
    </w:p>
    <w:p w:rsidR="0095633A" w:rsidP="00396D43" w:rsidRDefault="0095633A" w14:paraId="5ED1590E" w14:textId="60482A43">
      <w:r>
        <w:t xml:space="preserve">We agree that neither the word, incentive, nor the phrase, Clean Energy, are appropriate.  For purposes of the pilot phase, we </w:t>
      </w:r>
      <w:r w:rsidR="0053261C">
        <w:t>re</w:t>
      </w:r>
      <w:r>
        <w:t xml:space="preserve">name it the </w:t>
      </w:r>
      <w:r w:rsidR="00AD2C6C">
        <w:t xml:space="preserve">Partnership </w:t>
      </w:r>
      <w:r>
        <w:t>Pilot</w:t>
      </w:r>
      <w:r w:rsidR="0053261C">
        <w:t xml:space="preserve">, as this </w:t>
      </w:r>
      <w:r w:rsidR="00AD2C6C">
        <w:t xml:space="preserve">name </w:t>
      </w:r>
      <w:r w:rsidR="0053261C">
        <w:t xml:space="preserve">describes </w:t>
      </w:r>
      <w:r w:rsidR="00F673FF">
        <w:t>the multiple partnerships involved in the pilot.</w:t>
      </w:r>
    </w:p>
    <w:p w:rsidR="000851F1" w:rsidP="00396D43" w:rsidRDefault="000851F1" w14:paraId="57F69D25" w14:textId="762B693B">
      <w:r>
        <w:t>Relatedly, the Staff Proposal discussed the use of distributed energy resources management systems (DERMS) with respect to the ability to dispatch individual distributed energy resources or aggregators that control aggregations of Behind-the-Meter distributed energy resources.  Parties agree that for purposes of the Partnership Pilot, as well as the Standard-Offer-Contract Pilot discussed below, DERMS are not necessary.</w:t>
      </w:r>
      <w:r>
        <w:rPr>
          <w:rStyle w:val="FootnoteReference"/>
        </w:rPr>
        <w:footnoteReference w:id="45"/>
      </w:r>
      <w:r>
        <w:t xml:space="preserve">  However, </w:t>
      </w:r>
      <w:r w:rsidR="00263179">
        <w:t xml:space="preserve">SDG&amp;E </w:t>
      </w:r>
      <w:r>
        <w:t>maintain</w:t>
      </w:r>
      <w:r w:rsidR="00263179">
        <w:t>s</w:t>
      </w:r>
      <w:r>
        <w:t xml:space="preserve"> that </w:t>
      </w:r>
      <w:r w:rsidR="00263179">
        <w:t>“as the number of distributed energy resources deferring needs and the number of distributed energy resources within distributed energy resources providers’ portfolios increases, existing operating systems may not be adequate and there may come a point where an extensive DERMS is required</w:t>
      </w:r>
      <w:r>
        <w:t>.</w:t>
      </w:r>
      <w:r w:rsidR="00263179">
        <w:t>”</w:t>
      </w:r>
      <w:r w:rsidR="00263179">
        <w:rPr>
          <w:rStyle w:val="FootnoteReference"/>
        </w:rPr>
        <w:footnoteReference w:id="46"/>
      </w:r>
      <w:r>
        <w:t xml:space="preserve"> </w:t>
      </w:r>
      <w:r w:rsidR="009B578B">
        <w:t xml:space="preserve"> </w:t>
      </w:r>
      <w:r w:rsidR="001C0A7D">
        <w:t>We find no DERMS requirements should be ordered as a result of the Staff Proposal.</w:t>
      </w:r>
      <w:r>
        <w:t xml:space="preserve">  </w:t>
      </w:r>
    </w:p>
    <w:p w:rsidR="00904B18" w:rsidP="00396D43" w:rsidRDefault="00904B18" w14:paraId="5E2AB18A" w14:textId="5399F2B0">
      <w:r>
        <w:lastRenderedPageBreak/>
        <w:t xml:space="preserve">The following sections address the </w:t>
      </w:r>
      <w:r w:rsidR="00D63E4F">
        <w:t xml:space="preserve">various </w:t>
      </w:r>
      <w:r>
        <w:t xml:space="preserve">elements of the </w:t>
      </w:r>
      <w:r w:rsidR="00F673FF">
        <w:t xml:space="preserve">Partnership </w:t>
      </w:r>
      <w:r>
        <w:t>Pilot and describe any proposed modifications we have adopted.</w:t>
      </w:r>
    </w:p>
    <w:p w:rsidR="003349DC" w:rsidP="003349DC" w:rsidRDefault="00F673FF" w14:paraId="79F6E40A" w14:textId="5400310A">
      <w:pPr>
        <w:pStyle w:val="Heading4"/>
      </w:pPr>
      <w:bookmarkStart w:name="_Toc63778682" w:id="26"/>
      <w:r>
        <w:t xml:space="preserve">Partnership </w:t>
      </w:r>
      <w:r w:rsidR="003349DC">
        <w:t>Pilot Prescreening Process</w:t>
      </w:r>
      <w:bookmarkEnd w:id="26"/>
    </w:p>
    <w:p w:rsidR="00FF0195" w:rsidP="00EA406D" w:rsidRDefault="008E5A25" w14:paraId="097A3C0B" w14:textId="7E897E75">
      <w:pPr>
        <w:pStyle w:val="Standard"/>
        <w:ind w:right="-90"/>
      </w:pPr>
      <w:r>
        <w:t xml:space="preserve">As described in the Staff Proposal, the </w:t>
      </w:r>
      <w:r w:rsidR="002B0EAD">
        <w:t xml:space="preserve">proposed </w:t>
      </w:r>
      <w:r>
        <w:t xml:space="preserve">prescreening process </w:t>
      </w:r>
      <w:r w:rsidR="002B0EAD">
        <w:t>claims</w:t>
      </w:r>
      <w:r>
        <w:t xml:space="preserve"> several </w:t>
      </w:r>
      <w:r w:rsidR="00DD265B">
        <w:t>improvements</w:t>
      </w:r>
      <w:r w:rsidR="005F3258">
        <w:t xml:space="preserve"> </w:t>
      </w:r>
      <w:r w:rsidR="002B0EAD">
        <w:t>to</w:t>
      </w:r>
      <w:r w:rsidR="005F3258">
        <w:t xml:space="preserve"> the solicitation process</w:t>
      </w:r>
      <w:r w:rsidR="00C42CF9">
        <w:t xml:space="preserve">; </w:t>
      </w:r>
      <w:r>
        <w:t xml:space="preserve">it: </w:t>
      </w:r>
      <w:r w:rsidR="009B578B">
        <w:t xml:space="preserve"> </w:t>
      </w:r>
      <w:r>
        <w:t>1) shortens the offer evaluation period; 2) reduces recurring submittal requirements; and 3) confirms vendor capacities needed for the expected deferral service.</w:t>
      </w:r>
      <w:r>
        <w:rPr>
          <w:rStyle w:val="FootnoteReference"/>
        </w:rPr>
        <w:footnoteReference w:id="47"/>
      </w:r>
      <w:r w:rsidR="0020069D">
        <w:t xml:space="preserve">  </w:t>
      </w:r>
      <w:r w:rsidR="00904B18">
        <w:t xml:space="preserve">PG&amp;E, however, </w:t>
      </w:r>
      <w:r w:rsidR="000600C3">
        <w:t xml:space="preserve">recommends </w:t>
      </w:r>
      <w:r w:rsidR="00904B18">
        <w:t>the proposed prescreening process be deemed optional</w:t>
      </w:r>
      <w:r w:rsidR="000600C3">
        <w:t xml:space="preserve">, contending </w:t>
      </w:r>
      <w:r w:rsidR="00904B18">
        <w:t>it can create a burden on Utilities and counterparties.</w:t>
      </w:r>
      <w:r w:rsidR="00904B18">
        <w:rPr>
          <w:rStyle w:val="FootnoteReference"/>
        </w:rPr>
        <w:footnoteReference w:id="48"/>
      </w:r>
      <w:r w:rsidR="00904B18">
        <w:t xml:space="preserve">  Further, PG&amp;E, as well as SDG&amp;E, argue the information </w:t>
      </w:r>
      <w:r w:rsidR="00FF0195">
        <w:t xml:space="preserve">proposed for </w:t>
      </w:r>
      <w:r w:rsidR="00904B18">
        <w:t>the prescreening process is not sufficiently specific and therefore not valuable.</w:t>
      </w:r>
      <w:r w:rsidR="00904B18">
        <w:rPr>
          <w:rStyle w:val="FootnoteReference"/>
        </w:rPr>
        <w:footnoteReference w:id="49"/>
      </w:r>
      <w:r w:rsidR="00C42CF9">
        <w:t xml:space="preserve">  In response CALSSA, SEIA, and Vote Solar submits PG&amp;E and SDG&amp;E misconstrue the intention of prescreening, which</w:t>
      </w:r>
      <w:r w:rsidR="005F3258">
        <w:t xml:space="preserve">, they assert, </w:t>
      </w:r>
      <w:r w:rsidR="00C42CF9">
        <w:t>is to broadly gauge developers’ experience, financial strength, and ability to dispatch resources, and not to make project-specific determinations.</w:t>
      </w:r>
      <w:r w:rsidR="00C42CF9">
        <w:rPr>
          <w:rStyle w:val="FootnoteReference"/>
        </w:rPr>
        <w:footnoteReference w:id="50"/>
      </w:r>
    </w:p>
    <w:p w:rsidR="002B0EAD" w:rsidP="009B578B" w:rsidRDefault="005F3258" w14:paraId="44B86671" w14:textId="435E39D1">
      <w:pPr>
        <w:pStyle w:val="Standard"/>
      </w:pPr>
      <w:r>
        <w:t>We agree that prescreening should lead to improvements in the solicitation process and should be tested</w:t>
      </w:r>
      <w:r w:rsidR="006C4C5B">
        <w:t xml:space="preserve"> for use in the </w:t>
      </w:r>
      <w:r w:rsidR="00564CC1">
        <w:t xml:space="preserve">Partnership </w:t>
      </w:r>
      <w:r w:rsidR="006C4C5B">
        <w:t>Pilot.</w:t>
      </w:r>
      <w:r w:rsidR="005E4C2A">
        <w:t xml:space="preserve">  </w:t>
      </w:r>
      <w:r w:rsidR="002B0EAD">
        <w:t xml:space="preserve">We also agree that the intention of prescreening is to </w:t>
      </w:r>
      <w:r w:rsidR="00FF0195">
        <w:t xml:space="preserve">ascertain </w:t>
      </w:r>
      <w:r w:rsidR="002B0EAD">
        <w:t>the experience, financial strength, and dispatch ability of distributed energy resources providers</w:t>
      </w:r>
      <w:r w:rsidR="00FF0195">
        <w:t xml:space="preserve"> in general terms</w:t>
      </w:r>
      <w:r w:rsidR="002B0EAD">
        <w:t xml:space="preserve">.  Accordingly, we adopt the </w:t>
      </w:r>
      <w:r w:rsidR="00845FFD">
        <w:t xml:space="preserve">required </w:t>
      </w:r>
      <w:r w:rsidR="002B0EAD">
        <w:t xml:space="preserve">use of the prescreening process for testing in the </w:t>
      </w:r>
      <w:r w:rsidR="00564CC1">
        <w:t xml:space="preserve">Partnership </w:t>
      </w:r>
      <w:r w:rsidR="002B0EAD">
        <w:t>Pilot</w:t>
      </w:r>
      <w:r w:rsidR="005E4C2A">
        <w:t>, with the clarifications and modifications described below</w:t>
      </w:r>
      <w:r w:rsidR="002B0EAD">
        <w:t>.</w:t>
      </w:r>
    </w:p>
    <w:p w:rsidR="00FF0195" w:rsidP="00A872AE" w:rsidRDefault="002B0EAD" w14:paraId="00E96B8A" w14:textId="63DF56E7">
      <w:pPr>
        <w:pStyle w:val="Standard"/>
        <w:ind w:right="-180"/>
      </w:pPr>
      <w:r>
        <w:lastRenderedPageBreak/>
        <w:t xml:space="preserve">Following the issuance of this decision, Utilities shall meet and confer, at least </w:t>
      </w:r>
      <w:r w:rsidR="00845FFD">
        <w:t>once</w:t>
      </w:r>
      <w:r>
        <w:t xml:space="preserve">, with parties and other stakeholders to ascertain the elements of each utility’s prescreening application.  Utilities should be provided flexibility in the prescreening criteria due to the fact that each utility </w:t>
      </w:r>
      <w:r w:rsidR="00FF0195">
        <w:t xml:space="preserve">and each deferral opportunity </w:t>
      </w:r>
      <w:r>
        <w:t xml:space="preserve">requires </w:t>
      </w:r>
      <w:r w:rsidR="00FF0195">
        <w:t>different grid needs and grid architecture.</w:t>
      </w:r>
      <w:r w:rsidR="00FF0195">
        <w:rPr>
          <w:rStyle w:val="FootnoteReference"/>
        </w:rPr>
        <w:footnoteReference w:id="51"/>
      </w:r>
      <w:r w:rsidR="00FF0195">
        <w:t xml:space="preserve">  However, we agree that minimum provider viability should be the same across the three Utilities</w:t>
      </w:r>
      <w:r w:rsidR="00845FFD">
        <w:t xml:space="preserve"> and should maintain technology neutrality and not inhibit new market entrants’ viability</w:t>
      </w:r>
      <w:r w:rsidR="00FF0195">
        <w:t>.</w:t>
      </w:r>
      <w:r w:rsidR="00845FFD">
        <w:rPr>
          <w:rStyle w:val="FootnoteReference"/>
        </w:rPr>
        <w:footnoteReference w:id="52"/>
      </w:r>
      <w:r w:rsidR="00FF0195">
        <w:t xml:space="preserve">  Within 90 days of the issuance of this </w:t>
      </w:r>
      <w:r w:rsidR="00845FFD">
        <w:t>decision, Utilities shall file a Tier</w:t>
      </w:r>
      <w:r w:rsidR="00A872AE">
        <w:t> </w:t>
      </w:r>
      <w:r w:rsidR="00845FFD">
        <w:t>2 Advice Letter detailing the elements of the prescreening application</w:t>
      </w:r>
      <w:r w:rsidR="005E4C2A">
        <w:t>, adhering to the guidance provided in this decision</w:t>
      </w:r>
      <w:r w:rsidR="00C705A8">
        <w:t>, including consistent minimum provider viability requirements that reflect technology neutrality and do not inhibit new market entrants’ viability</w:t>
      </w:r>
      <w:r w:rsidR="00845FFD">
        <w:t>.</w:t>
      </w:r>
    </w:p>
    <w:p w:rsidR="00845FFD" w:rsidP="009B578B" w:rsidRDefault="00FF0195" w14:paraId="5202ECBA" w14:textId="29C11CFF">
      <w:pPr>
        <w:pStyle w:val="Standard"/>
      </w:pPr>
      <w:r>
        <w:t xml:space="preserve">We maintain the proposed two-year </w:t>
      </w:r>
      <w:r w:rsidR="00732516">
        <w:t>prescreening effective period</w:t>
      </w:r>
      <w:r>
        <w:t xml:space="preserve">.  We find this provides a balance between recognizing prior eligibility and performance of a provider </w:t>
      </w:r>
      <w:r w:rsidR="00732516">
        <w:t xml:space="preserve">while </w:t>
      </w:r>
      <w:r>
        <w:t>protect</w:t>
      </w:r>
      <w:r w:rsidR="00732516">
        <w:t xml:space="preserve">ing </w:t>
      </w:r>
      <w:r>
        <w:t>against environmental changes and unknown impacts on the viability of providers (</w:t>
      </w:r>
      <w:r w:rsidRPr="009B578B">
        <w:rPr>
          <w:i/>
          <w:iCs/>
        </w:rPr>
        <w:t>e.g.,</w:t>
      </w:r>
      <w:r>
        <w:t xml:space="preserve"> effect of COVID-19).</w:t>
      </w:r>
      <w:r>
        <w:rPr>
          <w:rStyle w:val="FootnoteReference"/>
        </w:rPr>
        <w:footnoteReference w:id="53"/>
      </w:r>
    </w:p>
    <w:p w:rsidR="000911A8" w:rsidP="009B578B" w:rsidRDefault="002B0EAD" w14:paraId="3800D9A8" w14:textId="070335B8">
      <w:pPr>
        <w:pStyle w:val="Standard"/>
      </w:pPr>
      <w:r>
        <w:t>W</w:t>
      </w:r>
      <w:r w:rsidR="006C4C5B">
        <w:t xml:space="preserve">ith respect to the timing of the prescreening process, </w:t>
      </w:r>
      <w:r>
        <w:t xml:space="preserve">we </w:t>
      </w:r>
      <w:r w:rsidR="00845FFD">
        <w:t>maintain the proposed July 15</w:t>
      </w:r>
      <w:r w:rsidRPr="00845FFD" w:rsidR="00845FFD">
        <w:rPr>
          <w:vertAlign w:val="superscript"/>
        </w:rPr>
        <w:t>th</w:t>
      </w:r>
      <w:r w:rsidR="00845FFD">
        <w:t xml:space="preserve"> </w:t>
      </w:r>
      <w:r w:rsidR="00732516">
        <w:t xml:space="preserve">annual </w:t>
      </w:r>
      <w:r w:rsidR="00845FFD">
        <w:t>commencement date</w:t>
      </w:r>
      <w:r w:rsidR="00732516">
        <w:t>, and lasting 30 days</w:t>
      </w:r>
      <w:r w:rsidR="00845FFD">
        <w:t xml:space="preserve">.  </w:t>
      </w:r>
      <w:r w:rsidR="006C4C5B">
        <w:t xml:space="preserve">Public Advocates Office </w:t>
      </w:r>
      <w:r w:rsidR="00845FFD">
        <w:t>submits</w:t>
      </w:r>
      <w:r w:rsidR="005E4C2A">
        <w:t xml:space="preserve"> </w:t>
      </w:r>
      <w:r w:rsidR="006C4C5B">
        <w:t xml:space="preserve">distributed energy resources providers should be prescreened after the release of the DDOR to </w:t>
      </w:r>
      <w:r w:rsidR="00845FFD">
        <w:t>address the identified grid needs.</w:t>
      </w:r>
      <w:r w:rsidR="00845FFD">
        <w:rPr>
          <w:rStyle w:val="FootnoteReference"/>
        </w:rPr>
        <w:footnoteReference w:id="54"/>
      </w:r>
      <w:r w:rsidR="00845FFD">
        <w:t xml:space="preserve">  SCE cautions that prescreening must be complete in time for the November 15 </w:t>
      </w:r>
      <w:r w:rsidR="00845FFD">
        <w:lastRenderedPageBreak/>
        <w:t>Advice Letter submittal.</w:t>
      </w:r>
      <w:r w:rsidR="0019426F">
        <w:rPr>
          <w:rStyle w:val="FootnoteReference"/>
        </w:rPr>
        <w:footnoteReference w:id="55"/>
      </w:r>
      <w:r w:rsidR="00845FFD">
        <w:t xml:space="preserve">  We reiterate the prescreening process is intended to </w:t>
      </w:r>
      <w:r w:rsidR="00A81570">
        <w:t xml:space="preserve">verify the general capabilities of potential participants </w:t>
      </w:r>
      <w:r w:rsidR="00845FFD">
        <w:t xml:space="preserve">and </w:t>
      </w:r>
      <w:r w:rsidR="00A81570">
        <w:t xml:space="preserve">is </w:t>
      </w:r>
      <w:r w:rsidR="00845FFD">
        <w:t xml:space="preserve">not </w:t>
      </w:r>
      <w:r w:rsidR="00527341">
        <w:t>bound</w:t>
      </w:r>
      <w:r w:rsidR="00A81570">
        <w:t xml:space="preserve"> to a </w:t>
      </w:r>
      <w:r w:rsidR="00845FFD">
        <w:t>specific deferral project.</w:t>
      </w:r>
      <w:r w:rsidR="00732516">
        <w:t xml:space="preserve">  </w:t>
      </w:r>
      <w:r w:rsidR="0019426F">
        <w:t>T</w:t>
      </w:r>
      <w:r w:rsidR="00845FFD">
        <w:t xml:space="preserve">he </w:t>
      </w:r>
      <w:r w:rsidR="0019426F">
        <w:t xml:space="preserve">proposed July 15 </w:t>
      </w:r>
      <w:r w:rsidR="005E4C2A">
        <w:t xml:space="preserve">annual </w:t>
      </w:r>
      <w:r w:rsidR="0019426F">
        <w:t>commencement date provides time to proceed through the prescreening process.</w:t>
      </w:r>
    </w:p>
    <w:p w:rsidR="00A931D2" w:rsidP="009B578B" w:rsidRDefault="00A931D2" w14:paraId="77116831" w14:textId="25D452EA">
      <w:pPr>
        <w:pStyle w:val="Standard"/>
      </w:pPr>
      <w:proofErr w:type="gramStart"/>
      <w:r>
        <w:t>On the subject of a</w:t>
      </w:r>
      <w:proofErr w:type="gramEnd"/>
      <w:r>
        <w:t xml:space="preserve"> prescreening fee, CUE opposes not charging a fee for participating in the prescreening process.  CUE contends this would place an undue burden on ratepayers and decreases the cost-effectiveness of any distribution investment deferral.</w:t>
      </w:r>
      <w:r>
        <w:rPr>
          <w:rStyle w:val="FootnoteReference"/>
        </w:rPr>
        <w:footnoteReference w:id="56"/>
      </w:r>
      <w:r>
        <w:t xml:space="preserve">  CUE recommends factoring the prescreening costs in the cost cap but underscores that such costs would not be recovered if the resulting project is not cost-effective.</w:t>
      </w:r>
      <w:r>
        <w:rPr>
          <w:rStyle w:val="FootnoteReference"/>
        </w:rPr>
        <w:footnoteReference w:id="57"/>
      </w:r>
      <w:r>
        <w:t xml:space="preserve">  The Staff Proposal recommend</w:t>
      </w:r>
      <w:r w:rsidR="00E46160">
        <w:t>s</w:t>
      </w:r>
      <w:r>
        <w:t xml:space="preserve"> no prescreening fee to maintain parity with the Distribution Investment Deferral Framework RFOs.</w:t>
      </w:r>
      <w:r>
        <w:rPr>
          <w:rStyle w:val="FootnoteReference"/>
        </w:rPr>
        <w:footnoteReference w:id="58"/>
      </w:r>
      <w:r>
        <w:t xml:space="preserve"> </w:t>
      </w:r>
    </w:p>
    <w:p w:rsidR="00A931D2" w:rsidP="009B578B" w:rsidRDefault="00A931D2" w14:paraId="71D714B7" w14:textId="77A408DF">
      <w:pPr>
        <w:pStyle w:val="Standard"/>
      </w:pPr>
      <w:proofErr w:type="gramStart"/>
      <w:r>
        <w:t>In order to</w:t>
      </w:r>
      <w:proofErr w:type="gramEnd"/>
      <w:r>
        <w:t xml:space="preserve"> maintain a level playing field across all resources, we </w:t>
      </w:r>
      <w:r w:rsidR="00E46160">
        <w:t>should</w:t>
      </w:r>
      <w:r>
        <w:t xml:space="preserve"> not adopt a prescreening fee.  However, we agree that the costs to administer prescreening should be considered as part of the cost benefit analysis of the resource</w:t>
      </w:r>
      <w:r w:rsidR="00FC0E09">
        <w:t xml:space="preserve"> and considered during the evaluation of the Partnership Pilot to ensure accuracy and reasonableness of the prescreening costs</w:t>
      </w:r>
      <w:r>
        <w:t>.</w:t>
      </w:r>
      <w:r w:rsidR="00FC0E09">
        <w:t xml:space="preserve">  </w:t>
      </w:r>
    </w:p>
    <w:p w:rsidR="00732516" w:rsidP="00732516" w:rsidRDefault="00D81B7C" w14:paraId="199FC38D" w14:textId="213097CE">
      <w:pPr>
        <w:pStyle w:val="Heading4"/>
      </w:pPr>
      <w:bookmarkStart w:name="_Toc63778683" w:id="27"/>
      <w:r>
        <w:t xml:space="preserve">Partnership </w:t>
      </w:r>
      <w:r w:rsidR="00732516">
        <w:t xml:space="preserve">Pilot </w:t>
      </w:r>
      <w:r w:rsidR="003940E8">
        <w:t xml:space="preserve">Use of </w:t>
      </w:r>
      <w:r w:rsidR="00732516">
        <w:t>Ratable Procurement</w:t>
      </w:r>
      <w:r w:rsidR="009212F5">
        <w:t xml:space="preserve">, </w:t>
      </w:r>
      <w:r w:rsidR="00E87936">
        <w:t xml:space="preserve">Acceptance Trigger, and </w:t>
      </w:r>
      <w:r w:rsidR="00FE7ADF">
        <w:t>Procurement</w:t>
      </w:r>
      <w:r w:rsidR="00E87936">
        <w:t xml:space="preserve"> Margin</w:t>
      </w:r>
      <w:bookmarkEnd w:id="27"/>
    </w:p>
    <w:p w:rsidR="00497214" w:rsidP="009B578B" w:rsidRDefault="00572111" w14:paraId="4B195608" w14:textId="42D62016">
      <w:pPr>
        <w:pStyle w:val="Standard"/>
      </w:pPr>
      <w:r>
        <w:t xml:space="preserve">As previously discussed, one of the challenges of the DIDF has been that, although established to be technologically neutral, bids for Behind-The-Meter </w:t>
      </w:r>
      <w:r>
        <w:lastRenderedPageBreak/>
        <w:t>resources have not be</w:t>
      </w:r>
      <w:r w:rsidR="00B74C3A">
        <w:t>en</w:t>
      </w:r>
      <w:r>
        <w:t xml:space="preserve"> awarded contracts</w:t>
      </w:r>
      <w:r w:rsidR="00527341">
        <w:t xml:space="preserve"> due to </w:t>
      </w:r>
      <w:r w:rsidR="00497214">
        <w:t>capacity size barriers</w:t>
      </w:r>
      <w:r>
        <w:t>.</w:t>
      </w:r>
      <w:r w:rsidR="00497214">
        <w:rPr>
          <w:rStyle w:val="FootnoteReference"/>
        </w:rPr>
        <w:footnoteReference w:id="59"/>
      </w:r>
      <w:r>
        <w:t xml:space="preserve">  </w:t>
      </w:r>
      <w:r w:rsidR="00D04ACB">
        <w:t xml:space="preserve">Behind-the-Meter resources are </w:t>
      </w:r>
      <w:r w:rsidR="00B21313">
        <w:t>generally smaller</w:t>
      </w:r>
      <w:r w:rsidR="00512A30">
        <w:t>-</w:t>
      </w:r>
      <w:r w:rsidR="00B21313">
        <w:t xml:space="preserve">sized resources from small business and residential customers.  </w:t>
      </w:r>
      <w:r>
        <w:t>To confront this challenge, the Staff Proposal recommends the use of Ratable Procurement</w:t>
      </w:r>
      <w:r w:rsidR="00497214">
        <w:t>, in combination with an acceptance trigger and procurement margin</w:t>
      </w:r>
      <w:r w:rsidR="00FD7951">
        <w:t>.</w:t>
      </w:r>
      <w:r w:rsidR="00B21313">
        <w:t xml:space="preserve">  As described below, </w:t>
      </w:r>
      <w:r w:rsidR="00DD55F1">
        <w:t xml:space="preserve">the combined effort of these three elements can </w:t>
      </w:r>
      <w:r w:rsidR="00B21313">
        <w:t>increas</w:t>
      </w:r>
      <w:r w:rsidR="00DD55F1">
        <w:t xml:space="preserve">e </w:t>
      </w:r>
      <w:r w:rsidR="00B21313">
        <w:t>Behind-the-Meter resource participation</w:t>
      </w:r>
      <w:r w:rsidR="00DD55F1">
        <w:t xml:space="preserve">, which </w:t>
      </w:r>
      <w:r w:rsidR="00B21313">
        <w:t xml:space="preserve">can </w:t>
      </w:r>
      <w:r w:rsidR="00DD55F1">
        <w:t xml:space="preserve">then </w:t>
      </w:r>
      <w:r w:rsidR="00B21313">
        <w:t xml:space="preserve">lead to increased flexibility and ratability.  </w:t>
      </w:r>
    </w:p>
    <w:p w:rsidR="00150021" w:rsidP="009B578B" w:rsidRDefault="00DD55F1" w14:paraId="049DB94E" w14:textId="10C8E5E4">
      <w:pPr>
        <w:pStyle w:val="Standard"/>
      </w:pPr>
      <w:r>
        <w:t xml:space="preserve">The Staff Proposal explains that Ratable Procurement can apply to long term utility distribution deferral needs three to five years </w:t>
      </w:r>
      <w:r w:rsidR="00867DDE">
        <w:t>in the future</w:t>
      </w:r>
      <w:r>
        <w:t>.  In response to a staff data request, PG&amp;E describes Ratable Procurement as procuring incremental capacity annually to defer long term needs.</w:t>
      </w:r>
      <w:r>
        <w:rPr>
          <w:rStyle w:val="FootnoteReference"/>
        </w:rPr>
        <w:footnoteReference w:id="60"/>
      </w:r>
      <w:r>
        <w:t xml:space="preserve">  SCE adds that through the ratable approach, the entirety of a five-year need does not have to be procured by the Contingency Date for final design construction of the year</w:t>
      </w:r>
      <w:r w:rsidR="00A33F00">
        <w:t> </w:t>
      </w:r>
      <w:r>
        <w:t>five candidate deferral project.</w:t>
      </w:r>
      <w:r>
        <w:rPr>
          <w:rStyle w:val="FootnoteReference"/>
        </w:rPr>
        <w:footnoteReference w:id="61"/>
      </w:r>
      <w:r>
        <w:t xml:space="preserve">  </w:t>
      </w:r>
      <w:r w:rsidR="00FD7951">
        <w:t xml:space="preserve">A </w:t>
      </w:r>
      <w:r w:rsidR="00641270">
        <w:t>proponent</w:t>
      </w:r>
      <w:r w:rsidR="00FD7951">
        <w:t xml:space="preserve"> of Ratable Procurement, SCE cautions that </w:t>
      </w:r>
      <w:r w:rsidR="009212F5">
        <w:t>successful use of this approach</w:t>
      </w:r>
      <w:r w:rsidR="00FD7951">
        <w:t xml:space="preserve"> requires the </w:t>
      </w:r>
      <w:r w:rsidR="00497214">
        <w:t>p</w:t>
      </w:r>
      <w:r w:rsidR="00FD7951">
        <w:t>ilot to procure enough resources to defer the distribution investment for a minimum of two years in the future beyond the initial need date for the planned investment, and in increments of two years beyond each need date thereafter.</w:t>
      </w:r>
      <w:r w:rsidR="00FD7951">
        <w:rPr>
          <w:rStyle w:val="FootnoteReference"/>
        </w:rPr>
        <w:footnoteReference w:id="62"/>
      </w:r>
      <w:r w:rsidR="009212F5">
        <w:t xml:space="preserve">  </w:t>
      </w:r>
      <w:r w:rsidR="00AC1310">
        <w:t xml:space="preserve">Furthermore, Sunrun, also a support of Ratable Procurement, asserts that success requires </w:t>
      </w:r>
      <w:r w:rsidRPr="00AC1310" w:rsidR="00AC1310">
        <w:t>ratable</w:t>
      </w:r>
      <w:r w:rsidR="00AC1310">
        <w:t xml:space="preserve"> </w:t>
      </w:r>
      <w:r w:rsidRPr="00AC1310" w:rsidR="00AC1310">
        <w:t xml:space="preserve">procurement principles </w:t>
      </w:r>
      <w:r w:rsidR="00AC1310">
        <w:t xml:space="preserve">to be </w:t>
      </w:r>
      <w:r w:rsidRPr="00AC1310" w:rsidR="00AC1310">
        <w:t>account</w:t>
      </w:r>
      <w:r w:rsidR="00AC1310">
        <w:t>ed for</w:t>
      </w:r>
      <w:r w:rsidRPr="00AC1310" w:rsidR="00AC1310">
        <w:t xml:space="preserve"> during grid needs identification, project selection,</w:t>
      </w:r>
      <w:r w:rsidR="00AC1310">
        <w:t xml:space="preserve"> </w:t>
      </w:r>
      <w:r w:rsidRPr="00AC1310" w:rsidR="00AC1310">
        <w:t xml:space="preserve">contingency planning, procurement criteria </w:t>
      </w:r>
      <w:r w:rsidRPr="00AC1310" w:rsidR="00AC1310">
        <w:lastRenderedPageBreak/>
        <w:t>requirement identification, and related aspects of the</w:t>
      </w:r>
      <w:r w:rsidR="00AC1310">
        <w:t xml:space="preserve"> </w:t>
      </w:r>
      <w:r w:rsidRPr="00AC1310" w:rsidR="00AC1310">
        <w:t>procurement process.</w:t>
      </w:r>
      <w:r w:rsidR="00AC1310">
        <w:rPr>
          <w:rStyle w:val="FootnoteReference"/>
        </w:rPr>
        <w:footnoteReference w:id="63"/>
      </w:r>
      <w:r w:rsidR="00AC1310">
        <w:t xml:space="preserve">  For such success, Sunrun recommends Utilities identify and prioritize appropriate projects to use this process</w:t>
      </w:r>
      <w:r w:rsidR="00991EAD">
        <w:t>; identify in the GNA and DDOR the procurement capacity amounts (or tranches) necessary to defer the contingency date in six</w:t>
      </w:r>
      <w:r w:rsidR="00A33F00">
        <w:t> </w:t>
      </w:r>
      <w:r w:rsidR="00991EAD">
        <w:t>month intervals; identify criteria to meet the full grid need; and prioritize selection of projects.</w:t>
      </w:r>
      <w:r w:rsidR="00991EAD">
        <w:rPr>
          <w:rStyle w:val="FootnoteReference"/>
        </w:rPr>
        <w:footnoteReference w:id="64"/>
      </w:r>
      <w:r w:rsidR="009B578B">
        <w:t xml:space="preserve">  </w:t>
      </w:r>
      <w:r w:rsidR="009212F5">
        <w:t xml:space="preserve">PG&amp;E </w:t>
      </w:r>
      <w:r w:rsidR="00194BCC">
        <w:t xml:space="preserve">opposes ratable procurement.  Highlighting </w:t>
      </w:r>
      <w:r w:rsidR="009212F5">
        <w:t xml:space="preserve">the Staff Proposal </w:t>
      </w:r>
      <w:r w:rsidR="005C3BE8">
        <w:t xml:space="preserve">acknowledgement </w:t>
      </w:r>
      <w:r w:rsidR="009212F5">
        <w:t xml:space="preserve">that load growth is </w:t>
      </w:r>
      <w:r w:rsidR="005C3BE8">
        <w:t xml:space="preserve">neither steady nor predictable </w:t>
      </w:r>
      <w:r w:rsidR="00194BCC">
        <w:t>, PG&amp;E argues that only procuring part of the grid need each year raises the risk of under and over-procurement.</w:t>
      </w:r>
      <w:r w:rsidR="00194BCC">
        <w:rPr>
          <w:rStyle w:val="FootnoteReference"/>
        </w:rPr>
        <w:footnoteReference w:id="65"/>
      </w:r>
      <w:r w:rsidR="00194BCC">
        <w:t xml:space="preserve">  Also opposing ratable procurement, SDG&amp;E asserts use of the approach could result in insufficient time to implement the contingency plan if incremental needs beyond the initial needs are not met.</w:t>
      </w:r>
      <w:r w:rsidR="00194BCC">
        <w:rPr>
          <w:rStyle w:val="FootnoteReference"/>
        </w:rPr>
        <w:footnoteReference w:id="66"/>
      </w:r>
      <w:r w:rsidR="00194BCC">
        <w:t xml:space="preserve">  However, SCE explains that its proposed two-year buffer provides sufficient time to determine whether the subscription is cost-effective and can meet the deferral need and is cost-effective, or a contingency solution should be implemented.</w:t>
      </w:r>
      <w:r w:rsidR="00194BCC">
        <w:rPr>
          <w:rStyle w:val="FootnoteReference"/>
        </w:rPr>
        <w:footnoteReference w:id="67"/>
      </w:r>
      <w:r w:rsidR="00B74C3A">
        <w:t xml:space="preserve">  </w:t>
      </w:r>
      <w:r w:rsidR="00150021">
        <w:t>CUE contends that use of Ratable Procurement presents risks to ratepayer funds, if the Commission also adopts the 90 percent acceptance trigger.</w:t>
      </w:r>
      <w:r w:rsidR="00150021">
        <w:rPr>
          <w:rStyle w:val="FootnoteReference"/>
        </w:rPr>
        <w:footnoteReference w:id="68"/>
      </w:r>
    </w:p>
    <w:p w:rsidR="00D81B7C" w:rsidP="00B74C3A" w:rsidRDefault="00991EAD" w14:paraId="0ACBBB15" w14:textId="4B8A2E92">
      <w:r>
        <w:t>We agree that u</w:t>
      </w:r>
      <w:r w:rsidR="00D6127B">
        <w:t xml:space="preserve">se of Ratable Procurement could result in the expanded use of Behind-The-Meter resources, allowing the achievement of technology </w:t>
      </w:r>
      <w:r w:rsidR="00D6127B">
        <w:lastRenderedPageBreak/>
        <w:t xml:space="preserve">neutrality. </w:t>
      </w:r>
      <w:r w:rsidR="00497214">
        <w:t xml:space="preserve"> </w:t>
      </w:r>
      <w:r w:rsidR="00B74C3A">
        <w:t xml:space="preserve">We find it reasonable to explore the use of Ratable Procurement through the </w:t>
      </w:r>
      <w:r w:rsidR="005C3BE8">
        <w:t xml:space="preserve">Partnership </w:t>
      </w:r>
      <w:r w:rsidR="00B74C3A">
        <w:t>Pilot</w:t>
      </w:r>
      <w:r w:rsidR="006B7704">
        <w:t xml:space="preserve"> </w:t>
      </w:r>
      <w:r>
        <w:t xml:space="preserve">including </w:t>
      </w:r>
      <w:r w:rsidR="00497214">
        <w:t xml:space="preserve">the </w:t>
      </w:r>
      <w:r>
        <w:t xml:space="preserve">three </w:t>
      </w:r>
      <w:r w:rsidR="00497214">
        <w:t xml:space="preserve">recommended </w:t>
      </w:r>
      <w:r w:rsidR="00B74C3A">
        <w:t>safety measures to decrease risks</w:t>
      </w:r>
      <w:r w:rsidR="00D6127B">
        <w:t xml:space="preserve"> of over and under procurement</w:t>
      </w:r>
      <w:r w:rsidR="00497214">
        <w:t>: the acceptance trigger</w:t>
      </w:r>
      <w:r>
        <w:t xml:space="preserve">, </w:t>
      </w:r>
      <w:r w:rsidR="00497214">
        <w:t xml:space="preserve">the </w:t>
      </w:r>
      <w:r w:rsidR="00D81B7C">
        <w:t>procurement margin</w:t>
      </w:r>
      <w:r>
        <w:t xml:space="preserve">, and </w:t>
      </w:r>
      <w:r w:rsidR="002E0C70">
        <w:t>annual procurement goals (also referred to as tranches)</w:t>
      </w:r>
      <w:r w:rsidR="00B74C3A">
        <w:t xml:space="preserve">.  </w:t>
      </w:r>
      <w:r w:rsidR="00D6127B">
        <w:t xml:space="preserve">Together, the </w:t>
      </w:r>
      <w:r w:rsidR="002E0C70">
        <w:t xml:space="preserve">four elements </w:t>
      </w:r>
      <w:r w:rsidR="00D6127B">
        <w:t xml:space="preserve">should </w:t>
      </w:r>
      <w:r w:rsidR="00CE5BCC">
        <w:t xml:space="preserve">create </w:t>
      </w:r>
      <w:r w:rsidR="00D6127B">
        <w:t xml:space="preserve">balance </w:t>
      </w:r>
      <w:r w:rsidR="002E0C70">
        <w:t xml:space="preserve">to protect against </w:t>
      </w:r>
      <w:r w:rsidR="00D6127B">
        <w:t>over and under procurement.</w:t>
      </w:r>
      <w:r w:rsidR="00CE5BCC">
        <w:t xml:space="preserve">  </w:t>
      </w:r>
    </w:p>
    <w:p w:rsidR="00B74C3A" w:rsidP="005A24F6" w:rsidRDefault="00641270" w14:paraId="46AA9B68" w14:textId="492ADD28">
      <w:pPr>
        <w:pStyle w:val="Standard"/>
      </w:pPr>
      <w:r>
        <w:t xml:space="preserve">The Staff Proposal recommends a 90 percent acceptance trigger to balance ratepayer and provider risks, </w:t>
      </w:r>
      <w:r w:rsidR="00D6127B">
        <w:t>contending</w:t>
      </w:r>
      <w:r>
        <w:t xml:space="preserve"> that if Utilities procure 90 percent of the grid need during the subscription period, it is likely they will procure the remaining grid need.</w:t>
      </w:r>
      <w:r>
        <w:rPr>
          <w:rStyle w:val="FootnoteReference"/>
        </w:rPr>
        <w:footnoteReference w:id="69"/>
      </w:r>
      <w:r>
        <w:t xml:space="preserve">  </w:t>
      </w:r>
      <w:r w:rsidR="004F533B">
        <w:t xml:space="preserve">CESA </w:t>
      </w:r>
      <w:r w:rsidR="00D6127B">
        <w:t>asserts</w:t>
      </w:r>
      <w:r w:rsidR="004F533B">
        <w:t xml:space="preserve"> the Staff Proposal is insufficiently aggressive, arguing that a 90 percent </w:t>
      </w:r>
      <w:r w:rsidRPr="00C57769" w:rsidR="004F533B">
        <w:t>acceptance trigger does not reflect project</w:t>
      </w:r>
      <w:r w:rsidR="00A33F00">
        <w:noBreakHyphen/>
      </w:r>
      <w:r w:rsidRPr="00C57769" w:rsidR="004F533B">
        <w:t>specific factors and would deter some</w:t>
      </w:r>
      <w:r w:rsidR="004F533B">
        <w:t xml:space="preserve"> </w:t>
      </w:r>
      <w:r w:rsidRPr="00C57769" w:rsidR="004F533B">
        <w:t xml:space="preserve">market participation by having </w:t>
      </w:r>
      <w:r w:rsidR="004F533B">
        <w:t xml:space="preserve">customers </w:t>
      </w:r>
      <w:r w:rsidRPr="00C57769" w:rsidR="004F533B">
        <w:t>who have already subscribed to a portion</w:t>
      </w:r>
      <w:r w:rsidR="004F533B">
        <w:t xml:space="preserve"> </w:t>
      </w:r>
      <w:r w:rsidRPr="00C57769" w:rsidR="004F533B">
        <w:t>of the tariff capacity wait for the remaining capacity to be subscribed up to the</w:t>
      </w:r>
      <w:r w:rsidR="004F533B">
        <w:t xml:space="preserve"> </w:t>
      </w:r>
      <w:r w:rsidRPr="00C57769" w:rsidR="004F533B">
        <w:t>acceptance trigger.</w:t>
      </w:r>
      <w:r w:rsidR="004F533B">
        <w:rPr>
          <w:rStyle w:val="FootnoteReference"/>
        </w:rPr>
        <w:footnoteReference w:id="70"/>
      </w:r>
      <w:r w:rsidR="00B36481">
        <w:t xml:space="preserve">  We </w:t>
      </w:r>
      <w:r w:rsidR="00D81B7C">
        <w:t xml:space="preserve">adopt </w:t>
      </w:r>
      <w:r w:rsidR="00B36481">
        <w:t xml:space="preserve">the </w:t>
      </w:r>
      <w:r w:rsidR="00D81B7C">
        <w:t xml:space="preserve">90 percent </w:t>
      </w:r>
      <w:r w:rsidR="00B36481">
        <w:t>acceptance trigger for</w:t>
      </w:r>
      <w:r w:rsidR="006B7704">
        <w:t xml:space="preserve"> (</w:t>
      </w:r>
      <w:r w:rsidR="00B36481">
        <w:t>at least</w:t>
      </w:r>
      <w:r w:rsidR="006B7704">
        <w:t xml:space="preserve">) </w:t>
      </w:r>
      <w:r w:rsidR="00B36481">
        <w:t xml:space="preserve">the first year of the </w:t>
      </w:r>
      <w:r w:rsidR="005C3BE8">
        <w:t xml:space="preserve">Partnership </w:t>
      </w:r>
      <w:r w:rsidR="00B36481">
        <w:t xml:space="preserve">Pilot, </w:t>
      </w:r>
      <w:r>
        <w:t xml:space="preserve">but </w:t>
      </w:r>
      <w:r w:rsidR="00B36481">
        <w:t>w</w:t>
      </w:r>
      <w:r w:rsidR="004F533B">
        <w:t>e require the acceptance trigger to be included as a performance metric</w:t>
      </w:r>
      <w:r w:rsidR="00D61F1B">
        <w:t>, during the review process,</w:t>
      </w:r>
      <w:r w:rsidR="004F533B">
        <w:t xml:space="preserve"> to </w:t>
      </w:r>
      <w:r w:rsidR="00D61F1B">
        <w:t xml:space="preserve">determine </w:t>
      </w:r>
      <w:r w:rsidR="004F533B">
        <w:t xml:space="preserve">whether the trigger should be increased or decreased.  </w:t>
      </w:r>
      <w:r w:rsidR="00B36481">
        <w:t>While we are skeptical that the acceptance trigger should fall to levels suggested by CESA (</w:t>
      </w:r>
      <w:r w:rsidRPr="005A24F6" w:rsidR="00B36481">
        <w:rPr>
          <w:i/>
          <w:iCs/>
        </w:rPr>
        <w:t>i.e.,</w:t>
      </w:r>
      <w:r w:rsidR="00B36481">
        <w:t xml:space="preserve"> 32 percent), i</w:t>
      </w:r>
      <w:r w:rsidR="00B74C3A">
        <w:t xml:space="preserve">f we see that distributed energy resources customers </w:t>
      </w:r>
      <w:r w:rsidR="00383256">
        <w:t xml:space="preserve">show positive interest in use </w:t>
      </w:r>
      <w:r w:rsidR="00720006">
        <w:t xml:space="preserve">of </w:t>
      </w:r>
      <w:r w:rsidR="00383256">
        <w:t xml:space="preserve">the Tariff, we can </w:t>
      </w:r>
      <w:r w:rsidR="00D6127B">
        <w:t xml:space="preserve">consider a </w:t>
      </w:r>
      <w:r w:rsidR="00383256">
        <w:t xml:space="preserve">decrease </w:t>
      </w:r>
      <w:r w:rsidR="00D6127B">
        <w:t xml:space="preserve">to </w:t>
      </w:r>
      <w:r w:rsidR="00383256">
        <w:t xml:space="preserve">the </w:t>
      </w:r>
      <w:r w:rsidR="00720006">
        <w:t xml:space="preserve">acceptance </w:t>
      </w:r>
      <w:r w:rsidR="00383256">
        <w:t>trigger in the future.</w:t>
      </w:r>
      <w:r w:rsidR="002E0C70">
        <w:t xml:space="preserve">  We also clarify the acceptance trigger will be set for each annual procurement goal.  As described by CESA, </w:t>
      </w:r>
      <w:r w:rsidRPr="002E0C70" w:rsidR="002E0C70">
        <w:t>setting a</w:t>
      </w:r>
      <w:r w:rsidR="002E0C70">
        <w:t xml:space="preserve">n </w:t>
      </w:r>
      <w:r w:rsidRPr="002E0C70" w:rsidR="002E0C70">
        <w:t>acceptance trigger that</w:t>
      </w:r>
      <w:r w:rsidR="002E0C70">
        <w:t xml:space="preserve"> </w:t>
      </w:r>
      <w:r w:rsidRPr="002E0C70" w:rsidR="002E0C70">
        <w:t xml:space="preserve">recognizes year-by-year </w:t>
      </w:r>
      <w:r w:rsidRPr="002E0C70" w:rsidR="002E0C70">
        <w:lastRenderedPageBreak/>
        <w:t>needs could allow for early projects to get moving and extend</w:t>
      </w:r>
      <w:r w:rsidR="002E0C70">
        <w:t xml:space="preserve"> </w:t>
      </w:r>
      <w:r w:rsidRPr="002E0C70" w:rsidR="002E0C70">
        <w:t xml:space="preserve">the overall subscription period to support </w:t>
      </w:r>
      <w:r w:rsidR="002E0C70">
        <w:t xml:space="preserve">distributed energy resources </w:t>
      </w:r>
      <w:r w:rsidRPr="002E0C70" w:rsidR="002E0C70">
        <w:t>deployment, customer acquisition, and</w:t>
      </w:r>
      <w:r w:rsidR="0020201C">
        <w:t xml:space="preserve"> marketing and outreach.</w:t>
      </w:r>
      <w:r w:rsidR="0020201C">
        <w:rPr>
          <w:rStyle w:val="FootnoteReference"/>
        </w:rPr>
        <w:footnoteReference w:id="71"/>
      </w:r>
    </w:p>
    <w:p w:rsidR="00B36481" w:rsidP="005A24F6" w:rsidRDefault="00383256" w14:paraId="0001B897" w14:textId="33069DF7">
      <w:pPr>
        <w:pStyle w:val="Standard"/>
      </w:pPr>
      <w:r>
        <w:t xml:space="preserve">Second, we </w:t>
      </w:r>
      <w:r w:rsidR="00D81B7C">
        <w:t xml:space="preserve">adopt </w:t>
      </w:r>
      <w:r>
        <w:t xml:space="preserve">the </w:t>
      </w:r>
      <w:r w:rsidR="00D81B7C">
        <w:t xml:space="preserve">120 percent </w:t>
      </w:r>
      <w:r w:rsidR="0008621C">
        <w:t>procurement</w:t>
      </w:r>
      <w:r>
        <w:t xml:space="preserve"> margin from </w:t>
      </w:r>
      <w:r w:rsidR="00D63E4F">
        <w:t>the Staff Proposal</w:t>
      </w:r>
      <w:r w:rsidR="00E87936">
        <w:t xml:space="preserve">, </w:t>
      </w:r>
      <w:r w:rsidR="0027334E">
        <w:t xml:space="preserve">at which point </w:t>
      </w:r>
      <w:r w:rsidR="00E87936">
        <w:t xml:space="preserve">the subscription period would </w:t>
      </w:r>
      <w:r w:rsidR="0027334E">
        <w:t>end</w:t>
      </w:r>
      <w:r>
        <w:t>.</w:t>
      </w:r>
      <w:r w:rsidR="00D63E4F">
        <w:t xml:space="preserve">  </w:t>
      </w:r>
      <w:r>
        <w:t xml:space="preserve">As noted by CESA, the margin is intended to protect against </w:t>
      </w:r>
      <w:r w:rsidR="0027334E">
        <w:t xml:space="preserve">customer </w:t>
      </w:r>
      <w:r>
        <w:t>attrition or failure of distributed energy resources deployments and underperformance.</w:t>
      </w:r>
      <w:r w:rsidR="00321772">
        <w:rPr>
          <w:rStyle w:val="FootnoteReference"/>
        </w:rPr>
        <w:footnoteReference w:id="72"/>
      </w:r>
      <w:r w:rsidR="00321772">
        <w:t xml:space="preserve">  </w:t>
      </w:r>
      <w:r w:rsidR="004F533B">
        <w:t>We</w:t>
      </w:r>
      <w:r>
        <w:t xml:space="preserve"> agree with CESA this margin can and should be updated </w:t>
      </w:r>
      <w:r w:rsidR="00321772">
        <w:t>to account for grid needs.</w:t>
      </w:r>
      <w:r w:rsidR="006B7704">
        <w:t xml:space="preserve">  The procurement margin sh</w:t>
      </w:r>
      <w:r w:rsidR="0008621C">
        <w:t>all</w:t>
      </w:r>
      <w:r w:rsidR="006B7704">
        <w:t xml:space="preserve"> </w:t>
      </w:r>
      <w:r w:rsidR="00720006">
        <w:t xml:space="preserve">be </w:t>
      </w:r>
      <w:r w:rsidR="006B7704">
        <w:t xml:space="preserve">included as an evaluation metric </w:t>
      </w:r>
      <w:proofErr w:type="gramStart"/>
      <w:r w:rsidR="006B7704">
        <w:t>in order to</w:t>
      </w:r>
      <w:proofErr w:type="gramEnd"/>
      <w:r w:rsidR="006B7704">
        <w:t xml:space="preserve"> ascertain</w:t>
      </w:r>
      <w:r w:rsidR="0008621C">
        <w:t xml:space="preserve">, </w:t>
      </w:r>
      <w:r w:rsidR="000569C7">
        <w:t>during the reform process</w:t>
      </w:r>
      <w:r w:rsidR="0008621C">
        <w:t xml:space="preserve">, </w:t>
      </w:r>
      <w:r w:rsidR="006B7704">
        <w:t>whether to</w:t>
      </w:r>
      <w:r w:rsidR="0027334E">
        <w:t xml:space="preserve"> revise </w:t>
      </w:r>
      <w:r w:rsidR="006B7704">
        <w:t>the margin.</w:t>
      </w:r>
      <w:r w:rsidR="00B36481">
        <w:t xml:space="preserve"> </w:t>
      </w:r>
    </w:p>
    <w:p w:rsidR="00652BF7" w:rsidP="005A24F6" w:rsidRDefault="00D61F1B" w14:paraId="36748E83" w14:textId="4EC09986">
      <w:pPr>
        <w:pStyle w:val="Standard"/>
      </w:pPr>
      <w:r>
        <w:t>Third, annual procurement goals (</w:t>
      </w:r>
      <w:r w:rsidRPr="005A24F6">
        <w:rPr>
          <w:i/>
          <w:iCs/>
        </w:rPr>
        <w:t>i.e.,</w:t>
      </w:r>
      <w:r>
        <w:t xml:space="preserve"> procurement tranches) should further reduce the risk of over procurement.  If the annual procurement goal is not met, then the contingency would be triggered, and no further procurement would occur in the subsequent year.  SCE proposed a two-year period and Sunrun proposed a 6-month period. </w:t>
      </w:r>
      <w:r w:rsidR="005A24F6">
        <w:t xml:space="preserve"> </w:t>
      </w:r>
      <w:r>
        <w:t>The Staff Proposal identified a 12-month period.</w:t>
      </w:r>
      <w:r>
        <w:rPr>
          <w:rStyle w:val="FootnoteReference"/>
        </w:rPr>
        <w:footnoteReference w:id="73"/>
      </w:r>
      <w:r>
        <w:t xml:space="preserve"> </w:t>
      </w:r>
      <w:r w:rsidR="005A24F6">
        <w:t xml:space="preserve"> </w:t>
      </w:r>
      <w:r>
        <w:t xml:space="preserve">An annual period is reasonable for pilot purposes, and </w:t>
      </w:r>
      <w:r w:rsidR="00190A90">
        <w:t>Utilities</w:t>
      </w:r>
      <w:r>
        <w:t xml:space="preserve"> are best positioned to identify the procurement goal, which would be specific to each grid need (MW/MWh requirements).  </w:t>
      </w:r>
      <w:r w:rsidR="00C22CBC">
        <w:t xml:space="preserve">Accordingly, each utility shall establish an annual procurement goal sufficient to defer the grid need for at least one year and update </w:t>
      </w:r>
      <w:r w:rsidR="003E61A9">
        <w:t xml:space="preserve">it </w:t>
      </w:r>
      <w:r w:rsidR="00C22CBC">
        <w:t xml:space="preserve">annually until the entire grid need is met.  Furthermore, the annual refinement </w:t>
      </w:r>
      <w:r>
        <w:t xml:space="preserve">process </w:t>
      </w:r>
      <w:r w:rsidR="00C22CBC">
        <w:t>may review th</w:t>
      </w:r>
      <w:r>
        <w:t xml:space="preserve">is </w:t>
      </w:r>
      <w:r w:rsidR="00C22CBC">
        <w:t>approach to establishing the annual procurement goal.</w:t>
      </w:r>
      <w:r w:rsidR="000B57BC">
        <w:t xml:space="preserve">  </w:t>
      </w:r>
    </w:p>
    <w:p w:rsidR="002D43C6" w:rsidP="005A24F6" w:rsidRDefault="00166C9E" w14:paraId="62ED6516" w14:textId="481439ED">
      <w:pPr>
        <w:pStyle w:val="Standard"/>
      </w:pPr>
      <w:r>
        <w:lastRenderedPageBreak/>
        <w:t xml:space="preserve">Relatedly, </w:t>
      </w:r>
      <w:r w:rsidR="00C130BD">
        <w:t xml:space="preserve">the design details of the annual procurement goal must be developed by Utilities.  </w:t>
      </w:r>
      <w:r w:rsidR="002D43C6">
        <w:t>I</w:t>
      </w:r>
      <w:r w:rsidR="00652BF7">
        <w:t>n comments to the proposed decision, SCE recommends refinement to the payment structure</w:t>
      </w:r>
      <w:r w:rsidR="00C56911">
        <w:t xml:space="preserve"> in terms of the dollar per </w:t>
      </w:r>
      <w:r w:rsidR="005F6FEE">
        <w:t>kilowatt (</w:t>
      </w:r>
      <w:r w:rsidR="00C56911">
        <w:t>kW</w:t>
      </w:r>
      <w:r w:rsidR="005F6FEE">
        <w:t>)</w:t>
      </w:r>
      <w:r w:rsidR="00C56911">
        <w:t xml:space="preserve">.  </w:t>
      </w:r>
      <w:r w:rsidR="00061E40">
        <w:t>SCE proposes this</w:t>
      </w:r>
      <w:r>
        <w:t xml:space="preserve"> refinement would necessitate flexibility in establishing annual procurement goals.</w:t>
      </w:r>
      <w:r w:rsidR="002D43C6">
        <w:rPr>
          <w:rStyle w:val="FootnoteReference"/>
        </w:rPr>
        <w:footnoteReference w:id="74"/>
      </w:r>
      <w:r>
        <w:t xml:space="preserve">  </w:t>
      </w:r>
      <w:r w:rsidR="00C56911">
        <w:t xml:space="preserve">SCE requests the Commission to allow Utilities to set annual tariff budgets to enable consistent per kW deployment, reservation, and performance payments over the full deferral term.  SCE </w:t>
      </w:r>
      <w:r w:rsidR="00196C56">
        <w:t xml:space="preserve">explains </w:t>
      </w:r>
      <w:r w:rsidR="00C56911">
        <w:t>the budgets would be established to maintain the same aggregate budget throughout the entire deferral perio</w:t>
      </w:r>
      <w:r w:rsidR="00196C56">
        <w:t>d with an annual deferral value and cost cap largely fixed.</w:t>
      </w:r>
    </w:p>
    <w:p w:rsidR="00BB1DDC" w:rsidP="005F6FEE" w:rsidRDefault="00C130BD" w14:paraId="552C3F14" w14:textId="700B5E11">
      <w:pPr>
        <w:pStyle w:val="Standard"/>
        <w:ind w:right="-180"/>
      </w:pPr>
      <w:r>
        <w:t xml:space="preserve">SCE’s comments </w:t>
      </w:r>
      <w:r w:rsidR="002D43C6">
        <w:t xml:space="preserve">highlight the importance of the </w:t>
      </w:r>
      <w:r>
        <w:t>design of the annual procurement goals</w:t>
      </w:r>
      <w:r w:rsidR="002D43C6">
        <w:t xml:space="preserve">.  As described in SCE’s comments, designs </w:t>
      </w:r>
      <w:r>
        <w:t>result</w:t>
      </w:r>
      <w:r w:rsidR="002D43C6">
        <w:t>ing</w:t>
      </w:r>
      <w:r>
        <w:t xml:space="preserve"> in declining payments over </w:t>
      </w:r>
      <w:r w:rsidR="002D43C6">
        <w:t>time could lead to a lack of interest by customers or customers losing interest in participating.</w:t>
      </w:r>
      <w:r w:rsidR="002D43C6">
        <w:rPr>
          <w:rStyle w:val="FootnoteReference"/>
        </w:rPr>
        <w:footnoteReference w:id="75"/>
      </w:r>
      <w:r w:rsidR="002D43C6">
        <w:t xml:space="preserve">  </w:t>
      </w:r>
      <w:r w:rsidR="00196C56">
        <w:t xml:space="preserve">SCE requests the Utilities be allowed to develop and present </w:t>
      </w:r>
      <w:r w:rsidR="00BB1DDC">
        <w:t xml:space="preserve">design </w:t>
      </w:r>
      <w:r w:rsidR="00196C56">
        <w:t>approaches for approval in the November 15 advice letters.</w:t>
      </w:r>
      <w:r w:rsidR="00BB1DDC">
        <w:t xml:space="preserve">  Review of the design approaches should, however, be conducted by the DPAG when reviewing the deferral opportunities Utilities propose to pilot.</w:t>
      </w:r>
    </w:p>
    <w:p w:rsidR="00BB1DDC" w:rsidP="00BB1DDC" w:rsidRDefault="00BB1DDC" w14:paraId="7F24A0EB" w14:textId="6EBA93D1">
      <w:pPr>
        <w:pStyle w:val="Standard"/>
      </w:pPr>
      <w:r>
        <w:t>Accordingly, Utility GNA/DDOR filing shall identify the following procurement goals design elements:</w:t>
      </w:r>
    </w:p>
    <w:p w:rsidR="00BB1DDC" w:rsidP="007B5C29" w:rsidRDefault="00BB1DDC" w14:paraId="604F1079" w14:textId="4E127B37">
      <w:pPr>
        <w:pStyle w:val="Standard"/>
        <w:numPr>
          <w:ilvl w:val="0"/>
          <w:numId w:val="28"/>
        </w:numPr>
        <w:spacing w:after="120" w:line="240" w:lineRule="auto"/>
        <w:ind w:left="1080" w:right="1440"/>
      </w:pPr>
      <w:r>
        <w:t xml:space="preserve">Number of procurement goals or tranches and length of time for each goal for the duration of the deferral </w:t>
      </w:r>
      <w:proofErr w:type="gramStart"/>
      <w:r>
        <w:t>opportunity;</w:t>
      </w:r>
      <w:proofErr w:type="gramEnd"/>
    </w:p>
    <w:p w:rsidR="00BB1DDC" w:rsidP="007B5C29" w:rsidRDefault="00BB1DDC" w14:paraId="6212F25F" w14:textId="31B01653">
      <w:pPr>
        <w:pStyle w:val="Standard"/>
        <w:numPr>
          <w:ilvl w:val="0"/>
          <w:numId w:val="28"/>
        </w:numPr>
        <w:spacing w:after="120" w:line="240" w:lineRule="auto"/>
        <w:ind w:left="1080" w:right="1440"/>
      </w:pPr>
      <w:r>
        <w:t xml:space="preserve">Start date of each </w:t>
      </w:r>
      <w:proofErr w:type="gramStart"/>
      <w:r>
        <w:t>tranche;</w:t>
      </w:r>
      <w:proofErr w:type="gramEnd"/>
    </w:p>
    <w:p w:rsidR="004E7E62" w:rsidP="007B5C29" w:rsidRDefault="00BB1DDC" w14:paraId="06D92582" w14:textId="3B980624">
      <w:pPr>
        <w:pStyle w:val="Standard"/>
        <w:numPr>
          <w:ilvl w:val="0"/>
          <w:numId w:val="28"/>
        </w:numPr>
        <w:spacing w:after="120" w:line="240" w:lineRule="auto"/>
        <w:ind w:left="1080" w:right="1440"/>
      </w:pPr>
      <w:r>
        <w:t xml:space="preserve">Capacity </w:t>
      </w:r>
      <w:proofErr w:type="gramStart"/>
      <w:r>
        <w:t>need</w:t>
      </w:r>
      <w:proofErr w:type="gramEnd"/>
      <w:r>
        <w:t xml:space="preserve"> for each tranche</w:t>
      </w:r>
      <w:r w:rsidR="007B5C29">
        <w:t>;</w:t>
      </w:r>
    </w:p>
    <w:p w:rsidRPr="005F3384" w:rsidR="004E7E62" w:rsidP="007B5C29" w:rsidRDefault="004E7E62" w14:paraId="72E774F8" w14:textId="1E7EDD37">
      <w:pPr>
        <w:pStyle w:val="Standard"/>
        <w:numPr>
          <w:ilvl w:val="0"/>
          <w:numId w:val="28"/>
        </w:numPr>
        <w:spacing w:after="120" w:line="240" w:lineRule="auto"/>
        <w:ind w:left="1080" w:right="1440"/>
      </w:pPr>
      <w:r>
        <w:lastRenderedPageBreak/>
        <w:t>Deployment, reservation, and performance payment amounts for each tranche;</w:t>
      </w:r>
      <w:r w:rsidR="007B5C29">
        <w:t xml:space="preserve"> and</w:t>
      </w:r>
    </w:p>
    <w:p w:rsidR="00BB1DDC" w:rsidP="007B5C29" w:rsidRDefault="004E7E62" w14:paraId="42F4CA80" w14:textId="654BE850">
      <w:pPr>
        <w:pStyle w:val="Standard"/>
        <w:numPr>
          <w:ilvl w:val="0"/>
          <w:numId w:val="28"/>
        </w:numPr>
        <w:spacing w:after="240" w:line="240" w:lineRule="auto"/>
        <w:ind w:left="1080" w:right="1440"/>
      </w:pPr>
      <w:r>
        <w:t>Description of the method uses for tranche design and any updates necessary due to annual forecast changes.</w:t>
      </w:r>
    </w:p>
    <w:p w:rsidRPr="004E7E62" w:rsidR="004E7E62" w:rsidP="004E7E62" w:rsidRDefault="004E7E62" w14:paraId="6678A838" w14:textId="77777777">
      <w:pPr>
        <w:pStyle w:val="Standard"/>
      </w:pPr>
      <w:r w:rsidRPr="004E7E62">
        <w:t xml:space="preserve">To facilitate discussion, a preliminary list of tranche design topic areas is provided here: </w:t>
      </w:r>
    </w:p>
    <w:p w:rsidRPr="004E7E62" w:rsidR="004E7E62" w:rsidP="007B5C29" w:rsidRDefault="004E7E62" w14:paraId="3DDA4D14" w14:textId="7045AF0F">
      <w:pPr>
        <w:pStyle w:val="Standard"/>
        <w:numPr>
          <w:ilvl w:val="0"/>
          <w:numId w:val="28"/>
        </w:numPr>
        <w:spacing w:after="120" w:line="240" w:lineRule="auto"/>
        <w:ind w:left="1080" w:right="1440"/>
      </w:pPr>
      <w:r w:rsidRPr="004E7E62">
        <w:t xml:space="preserve">Format and content of procurement tranches and payment structures published by </w:t>
      </w:r>
      <w:r>
        <w:t>Utilities</w:t>
      </w:r>
      <w:r w:rsidRPr="004E7E62">
        <w:t xml:space="preserve"> upon subscription period launch. </w:t>
      </w:r>
    </w:p>
    <w:p w:rsidRPr="004E7E62" w:rsidR="004E7E62" w:rsidP="007B5C29" w:rsidRDefault="004E7E62" w14:paraId="7ACBBED8" w14:textId="404CB2EB">
      <w:pPr>
        <w:pStyle w:val="Standard"/>
        <w:numPr>
          <w:ilvl w:val="0"/>
          <w:numId w:val="28"/>
        </w:numPr>
        <w:spacing w:after="120" w:line="240" w:lineRule="auto"/>
        <w:ind w:left="1080" w:right="1440"/>
      </w:pPr>
      <w:r w:rsidRPr="004E7E62">
        <w:t xml:space="preserve">Consistency between </w:t>
      </w:r>
      <w:r>
        <w:t xml:space="preserve">Utilities’ </w:t>
      </w:r>
      <w:r w:rsidRPr="004E7E62">
        <w:t xml:space="preserve">approaches to tranche design. </w:t>
      </w:r>
    </w:p>
    <w:p w:rsidRPr="004E7E62" w:rsidR="004E7E62" w:rsidP="007B5C29" w:rsidRDefault="004E7E62" w14:paraId="756568B7" w14:textId="03F93C09">
      <w:pPr>
        <w:pStyle w:val="Standard"/>
        <w:numPr>
          <w:ilvl w:val="0"/>
          <w:numId w:val="28"/>
        </w:numPr>
        <w:spacing w:after="120" w:line="240" w:lineRule="auto"/>
        <w:ind w:left="1080" w:right="1440"/>
      </w:pPr>
      <w:r w:rsidRPr="004E7E62">
        <w:t xml:space="preserve">Annual forecast updates and resultant changes in procurement goals and payment amounts. </w:t>
      </w:r>
      <w:r w:rsidR="007B5C29">
        <w:t xml:space="preserve"> </w:t>
      </w:r>
      <w:r w:rsidRPr="004E7E62">
        <w:t xml:space="preserve">To what extent should payments remain consistent year to year or vary? </w:t>
      </w:r>
    </w:p>
    <w:p w:rsidRPr="004E7E62" w:rsidR="004E7E62" w:rsidP="007B5C29" w:rsidRDefault="004E7E62" w14:paraId="4E6F253F" w14:textId="77777777">
      <w:pPr>
        <w:pStyle w:val="Standard"/>
        <w:numPr>
          <w:ilvl w:val="0"/>
          <w:numId w:val="28"/>
        </w:numPr>
        <w:spacing w:after="120" w:line="240" w:lineRule="auto"/>
        <w:ind w:left="1080" w:right="1440"/>
      </w:pPr>
      <w:r w:rsidRPr="004E7E62">
        <w:t>Consideration of various scenarios and payment impacts.</w:t>
      </w:r>
    </w:p>
    <w:p w:rsidRPr="004E7E62" w:rsidR="004E7E62" w:rsidP="007B5C29" w:rsidRDefault="004E7E62" w14:paraId="18F4C9F7" w14:textId="0B80C977">
      <w:pPr>
        <w:pStyle w:val="Standard"/>
        <w:numPr>
          <w:ilvl w:val="0"/>
          <w:numId w:val="28"/>
        </w:numPr>
        <w:spacing w:after="240" w:line="240" w:lineRule="auto"/>
        <w:ind w:left="1080" w:right="1440"/>
      </w:pPr>
      <w:r w:rsidRPr="004E7E62">
        <w:t xml:space="preserve">Accounting for the allocation of unspent performance payment budgets to address forecast need increases. </w:t>
      </w:r>
      <w:r w:rsidR="007B5C29">
        <w:t xml:space="preserve"> </w:t>
      </w:r>
      <w:r w:rsidRPr="004E7E62">
        <w:t xml:space="preserve">In some years, </w:t>
      </w:r>
      <w:r>
        <w:t xml:space="preserve">distributed energy resources </w:t>
      </w:r>
      <w:r w:rsidRPr="004E7E62">
        <w:t>may receive the reservation payment but not be dispatched.</w:t>
      </w:r>
    </w:p>
    <w:p w:rsidR="00BB1DDC" w:rsidRDefault="004E7E62" w14:paraId="0332B9BD" w14:textId="288FC6BE">
      <w:pPr>
        <w:pStyle w:val="Standard"/>
      </w:pPr>
      <w:r w:rsidRPr="004E7E62">
        <w:t xml:space="preserve">Energy Division </w:t>
      </w:r>
      <w:r>
        <w:t>is authorized to</w:t>
      </w:r>
      <w:r w:rsidRPr="004E7E62">
        <w:t xml:space="preserve"> establish dates and times for tranche discussion in the DPAG schedule as needed.</w:t>
      </w:r>
      <w:r>
        <w:t xml:space="preserve">  </w:t>
      </w:r>
      <w:r w:rsidRPr="004E7E62">
        <w:t xml:space="preserve">DPAG feedback shall inform </w:t>
      </w:r>
      <w:r>
        <w:t xml:space="preserve">Utility </w:t>
      </w:r>
      <w:r w:rsidRPr="004E7E62">
        <w:t>November 15 advice letter filings requesting approval to launch subscription periods.</w:t>
      </w:r>
    </w:p>
    <w:p w:rsidR="00121913" w:rsidP="005A24F6" w:rsidRDefault="00121913" w14:paraId="140EC96E" w14:textId="4DCE8910">
      <w:pPr>
        <w:pStyle w:val="Standard"/>
      </w:pPr>
      <w:proofErr w:type="gramStart"/>
      <w:r>
        <w:t>In order for</w:t>
      </w:r>
      <w:proofErr w:type="gramEnd"/>
      <w:r>
        <w:t xml:space="preserve"> </w:t>
      </w:r>
      <w:r w:rsidR="00166C9E">
        <w:t xml:space="preserve">Ratable Procurement and its three safety procedures (acceptance trigger, procurement margin, and annual procurement goals) </w:t>
      </w:r>
      <w:r>
        <w:t xml:space="preserve">to be properly tested, five cycles of annual procurement are needed.  The Staff Proposal notes that five years is the longest grid-need forecast term for most </w:t>
      </w:r>
      <w:r>
        <w:lastRenderedPageBreak/>
        <w:t>GNA/DDOR planned investments.</w:t>
      </w:r>
      <w:r>
        <w:rPr>
          <w:rStyle w:val="FootnoteReference"/>
        </w:rPr>
        <w:footnoteReference w:id="76"/>
      </w:r>
      <w:r w:rsidR="00F750F9">
        <w:t xml:space="preserve">  While we agree that five cycles are needed to properly test the four elements, we are also cognizant of party calls for off</w:t>
      </w:r>
      <w:r w:rsidR="005A24F6">
        <w:noBreakHyphen/>
      </w:r>
      <w:r w:rsidR="00F750F9">
        <w:t xml:space="preserve">ramps.  Hence, as we previously determined, we allow for a mid-project review and an off-ramp at year three to determine, based on previously determined evaluation criteria, whether to continue with procurement in years four and five.  </w:t>
      </w:r>
      <w:r w:rsidR="004E7E62">
        <w:t xml:space="preserve">We reiterate that launched projects will complete implementation and meet the terms of commenced contracts.  </w:t>
      </w:r>
      <w:r w:rsidR="00F750F9">
        <w:t>The mid-project review will be conducted by Energy Division in collaboration with the DPAG.</w:t>
      </w:r>
    </w:p>
    <w:p w:rsidR="00776EC7" w:rsidP="00776EC7" w:rsidRDefault="00D81B7C" w14:paraId="6CE9060D" w14:textId="46993D76">
      <w:pPr>
        <w:pStyle w:val="Heading4"/>
      </w:pPr>
      <w:bookmarkStart w:name="_Toc63778684" w:id="28"/>
      <w:r>
        <w:t xml:space="preserve">Partnership </w:t>
      </w:r>
      <w:r w:rsidR="00776EC7">
        <w:t xml:space="preserve">Pilot Use of </w:t>
      </w:r>
      <w:r w:rsidR="00067ED8">
        <w:t xml:space="preserve">the Simple </w:t>
      </w:r>
      <w:r w:rsidR="00DC51C4">
        <w:t xml:space="preserve">Pricing Method, with 85 Percent </w:t>
      </w:r>
      <w:r w:rsidR="00190A90">
        <w:t>Tariff Budget</w:t>
      </w:r>
      <w:bookmarkEnd w:id="28"/>
    </w:p>
    <w:p w:rsidR="00776EC7" w:rsidP="005A24F6" w:rsidRDefault="0027334E" w14:paraId="0C09BECA" w14:textId="5F1E2447">
      <w:pPr>
        <w:pStyle w:val="Standard"/>
      </w:pPr>
      <w:r>
        <w:t xml:space="preserve">The Staff Proposal recommends </w:t>
      </w:r>
      <w:r w:rsidR="00205909">
        <w:t xml:space="preserve">use of a </w:t>
      </w:r>
      <w:r w:rsidR="00067ED8">
        <w:t>S</w:t>
      </w:r>
      <w:r w:rsidR="00205909">
        <w:t xml:space="preserve">imple </w:t>
      </w:r>
      <w:r w:rsidR="00067ED8">
        <w:t>P</w:t>
      </w:r>
      <w:r w:rsidR="00205909">
        <w:t xml:space="preserve">ricing </w:t>
      </w:r>
      <w:r w:rsidR="00067ED8">
        <w:t>M</w:t>
      </w:r>
      <w:r w:rsidR="00205909">
        <w:t xml:space="preserve">ethod for the </w:t>
      </w:r>
      <w:r w:rsidR="007A578B">
        <w:t xml:space="preserve">Partnership </w:t>
      </w:r>
      <w:r w:rsidR="00205909">
        <w:t xml:space="preserve">Pilot, whereby the tariff </w:t>
      </w:r>
      <w:r w:rsidR="003B4E26">
        <w:t xml:space="preserve">budget </w:t>
      </w:r>
      <w:r w:rsidR="00205909">
        <w:t xml:space="preserve">would be set at 85 percent of the cost cap of the planned investment.  </w:t>
      </w:r>
      <w:r w:rsidR="003B4E26">
        <w:t xml:space="preserve">The cost cap is defined as equal to the deferral value of the planned investment.  </w:t>
      </w:r>
      <w:r w:rsidR="00205909">
        <w:t>While this approach would result in less price competition, the Staff Proposal contends it would ensure ratepayer savings.</w:t>
      </w:r>
      <w:r w:rsidR="00205909">
        <w:rPr>
          <w:rStyle w:val="FootnoteReference"/>
        </w:rPr>
        <w:footnoteReference w:id="77"/>
      </w:r>
      <w:r w:rsidR="00DC51C4">
        <w:t xml:space="preserve">  As described below, we find th</w:t>
      </w:r>
      <w:r w:rsidR="008B3E3C">
        <w:t xml:space="preserve">is </w:t>
      </w:r>
      <w:r w:rsidR="00DC51C4">
        <w:t xml:space="preserve">method reasonable </w:t>
      </w:r>
      <w:r w:rsidR="008B3E3C">
        <w:t>for its simplicity and ratepayer protections</w:t>
      </w:r>
      <w:r w:rsidR="00A24372">
        <w:t xml:space="preserve"> </w:t>
      </w:r>
      <w:r w:rsidR="00DC51C4">
        <w:t>and adopt its use with a</w:t>
      </w:r>
      <w:r w:rsidR="003B4E26">
        <w:t xml:space="preserve"> tariff budget set at</w:t>
      </w:r>
      <w:r w:rsidR="00DC51C4">
        <w:t xml:space="preserve"> 85 percent </w:t>
      </w:r>
      <w:r w:rsidR="003B4E26">
        <w:t xml:space="preserve">of the </w:t>
      </w:r>
      <w:r w:rsidR="00DC51C4">
        <w:t xml:space="preserve">cost cap.  </w:t>
      </w:r>
    </w:p>
    <w:p w:rsidR="00DC51C4" w:rsidP="00776EC7" w:rsidRDefault="00DC51C4" w14:paraId="188BE2D4" w14:textId="3EE93271">
      <w:pPr>
        <w:rPr>
          <w:rFonts w:cs="TimesNewRomanPSMT"/>
          <w:szCs w:val="26"/>
        </w:rPr>
      </w:pPr>
      <w:r>
        <w:t xml:space="preserve">We begin with the threshold argument from SDG&amp;E that cost caps should </w:t>
      </w:r>
      <w:r w:rsidR="008B3E3C">
        <w:t xml:space="preserve">be </w:t>
      </w:r>
      <w:r>
        <w:t>confidential to mitigate risk of market manipulation.</w:t>
      </w:r>
      <w:r>
        <w:rPr>
          <w:rStyle w:val="FootnoteReference"/>
        </w:rPr>
        <w:footnoteReference w:id="78"/>
      </w:r>
      <w:r>
        <w:t xml:space="preserve">  SDG&amp;E asserts that </w:t>
      </w:r>
      <w:r>
        <w:rPr>
          <w:szCs w:val="26"/>
        </w:rPr>
        <w:t xml:space="preserve">publication of the </w:t>
      </w:r>
      <w:r w:rsidR="003B4E26">
        <w:rPr>
          <w:szCs w:val="26"/>
        </w:rPr>
        <w:t xml:space="preserve">cost </w:t>
      </w:r>
      <w:r>
        <w:rPr>
          <w:szCs w:val="26"/>
        </w:rPr>
        <w:t xml:space="preserve">caps </w:t>
      </w:r>
      <w:r>
        <w:rPr>
          <w:rFonts w:cs="TimesNewRomanPSMT"/>
          <w:szCs w:val="26"/>
        </w:rPr>
        <w:t xml:space="preserve">could </w:t>
      </w:r>
      <w:r w:rsidRPr="00C129D9">
        <w:rPr>
          <w:rFonts w:cs="TimesNewRomanPSMT"/>
          <w:szCs w:val="26"/>
        </w:rPr>
        <w:t>allow vendors to deduce the estimated capital cost of the planned investment, thereby</w:t>
      </w:r>
      <w:r>
        <w:t xml:space="preserve"> </w:t>
      </w:r>
      <w:r w:rsidRPr="00C129D9">
        <w:rPr>
          <w:rFonts w:cs="TimesNewRomanPSMT"/>
          <w:szCs w:val="26"/>
        </w:rPr>
        <w:t xml:space="preserve">compromising </w:t>
      </w:r>
      <w:r>
        <w:rPr>
          <w:rFonts w:cs="TimesNewRomanPSMT"/>
          <w:szCs w:val="26"/>
        </w:rPr>
        <w:t xml:space="preserve">the </w:t>
      </w:r>
      <w:r w:rsidRPr="00C129D9">
        <w:rPr>
          <w:rFonts w:cs="TimesNewRomanPSMT"/>
          <w:szCs w:val="26"/>
        </w:rPr>
        <w:t xml:space="preserve">competitive process for building the planned investment in the event </w:t>
      </w:r>
      <w:r>
        <w:rPr>
          <w:rFonts w:cs="TimesNewRomanPSMT"/>
          <w:szCs w:val="26"/>
        </w:rPr>
        <w:t xml:space="preserve">distributed energy resources </w:t>
      </w:r>
      <w:r w:rsidRPr="00C129D9">
        <w:rPr>
          <w:rFonts w:cs="TimesNewRomanPSMT"/>
          <w:szCs w:val="26"/>
        </w:rPr>
        <w:t>are</w:t>
      </w:r>
      <w:r>
        <w:rPr>
          <w:rFonts w:cs="TimesNewRomanPSMT"/>
          <w:szCs w:val="26"/>
        </w:rPr>
        <w:t xml:space="preserve"> </w:t>
      </w:r>
      <w:r w:rsidRPr="00C129D9">
        <w:rPr>
          <w:rFonts w:cs="TimesNewRomanPSMT"/>
          <w:szCs w:val="26"/>
        </w:rPr>
        <w:lastRenderedPageBreak/>
        <w:t>not able to defer the planned investment</w:t>
      </w:r>
      <w:r>
        <w:rPr>
          <w:rFonts w:cs="TimesNewRomanPSMT"/>
          <w:szCs w:val="26"/>
        </w:rPr>
        <w:t>.</w:t>
      </w:r>
      <w:r>
        <w:rPr>
          <w:rStyle w:val="FootnoteReference"/>
          <w:rFonts w:cs="TimesNewRomanPSMT"/>
          <w:szCs w:val="26"/>
        </w:rPr>
        <w:footnoteReference w:id="79"/>
      </w:r>
      <w:r>
        <w:rPr>
          <w:rFonts w:cs="TimesNewRomanPSMT"/>
          <w:szCs w:val="26"/>
        </w:rPr>
        <w:t xml:space="preserve">  </w:t>
      </w:r>
      <w:r w:rsidR="00067ED8">
        <w:rPr>
          <w:rFonts w:cs="TimesNewRomanPSMT"/>
          <w:szCs w:val="26"/>
        </w:rPr>
        <w:t xml:space="preserve">We disagree.  If </w:t>
      </w:r>
      <w:r w:rsidR="003B4E26">
        <w:rPr>
          <w:rFonts w:cs="TimesNewRomanPSMT"/>
          <w:szCs w:val="26"/>
        </w:rPr>
        <w:t xml:space="preserve">cost </w:t>
      </w:r>
      <w:r w:rsidR="00067ED8">
        <w:rPr>
          <w:rFonts w:cs="TimesNewRomanPSMT"/>
          <w:szCs w:val="26"/>
        </w:rPr>
        <w:t>caps are publicized, all vendors will have access to the same information</w:t>
      </w:r>
      <w:r w:rsidR="00A24372">
        <w:rPr>
          <w:rFonts w:cs="TimesNewRomanPSMT"/>
          <w:szCs w:val="26"/>
        </w:rPr>
        <w:t xml:space="preserve"> and v</w:t>
      </w:r>
      <w:r w:rsidR="00067ED8">
        <w:rPr>
          <w:rFonts w:cs="TimesNewRomanPSMT"/>
          <w:szCs w:val="26"/>
        </w:rPr>
        <w:t>endors will still have to offer the most competitive bid.</w:t>
      </w:r>
    </w:p>
    <w:p w:rsidR="00FA5231" w:rsidP="005A24F6" w:rsidRDefault="00A24372" w14:paraId="16CE358D" w14:textId="74983594">
      <w:pPr>
        <w:pStyle w:val="Standard"/>
      </w:pPr>
      <w:r>
        <w:t xml:space="preserve">Parties disagree on where to set the </w:t>
      </w:r>
      <w:r w:rsidR="00190A90">
        <w:t xml:space="preserve">tariff budget </w:t>
      </w:r>
      <w:r w:rsidR="009D4568">
        <w:t xml:space="preserve">as well as </w:t>
      </w:r>
      <w:r>
        <w:t>the flexibility Utilities should have</w:t>
      </w:r>
      <w:r w:rsidR="00FA5231">
        <w:t xml:space="preserve"> on adjusting the </w:t>
      </w:r>
      <w:r w:rsidR="00190A90">
        <w:t>tariff budget</w:t>
      </w:r>
      <w:r w:rsidR="008B3E3C">
        <w:t xml:space="preserve">.  </w:t>
      </w:r>
      <w:r>
        <w:t xml:space="preserve">CESA and AEE assert setting the </w:t>
      </w:r>
      <w:r w:rsidR="00190A90">
        <w:t xml:space="preserve">tariff budget </w:t>
      </w:r>
      <w:r>
        <w:t xml:space="preserve">at 100 percent </w:t>
      </w:r>
      <w:r w:rsidR="00190A90">
        <w:t xml:space="preserve">of the cost cap </w:t>
      </w:r>
      <w:r>
        <w:t>will allow for a greater chance of pilot success.</w:t>
      </w:r>
      <w:r>
        <w:rPr>
          <w:rStyle w:val="FootnoteReference"/>
          <w:rFonts w:cs="TimesNewRomanPSMT"/>
          <w:szCs w:val="26"/>
        </w:rPr>
        <w:footnoteReference w:id="80"/>
      </w:r>
      <w:r w:rsidR="005B06F8">
        <w:t xml:space="preserve">  </w:t>
      </w:r>
      <w:r w:rsidR="001D196E">
        <w:t>Because we are looking at deferring or avoiding distribution investments, a</w:t>
      </w:r>
      <w:r w:rsidR="005B06F8">
        <w:t xml:space="preserve"> </w:t>
      </w:r>
      <w:r>
        <w:t>successful pilot should result in cost savings for ratepayers</w:t>
      </w:r>
      <w:r w:rsidR="005B06F8">
        <w:t>.  Hence</w:t>
      </w:r>
      <w:r>
        <w:t xml:space="preserve">, setting the </w:t>
      </w:r>
      <w:r w:rsidR="00190A90">
        <w:t xml:space="preserve">tariff budget </w:t>
      </w:r>
      <w:r>
        <w:t xml:space="preserve">at a certain percentage of the planned investment cost </w:t>
      </w:r>
      <w:r w:rsidR="005B06F8">
        <w:t xml:space="preserve">should </w:t>
      </w:r>
      <w:r>
        <w:t xml:space="preserve">ensure </w:t>
      </w:r>
      <w:r w:rsidR="001D196E">
        <w:t xml:space="preserve">those </w:t>
      </w:r>
      <w:r>
        <w:t>ratepayer savings</w:t>
      </w:r>
      <w:r w:rsidR="005B06F8">
        <w:t xml:space="preserve">.  </w:t>
      </w:r>
      <w:r w:rsidR="00FA5231">
        <w:t xml:space="preserve">Accordingly, we decline to set the </w:t>
      </w:r>
      <w:r w:rsidR="00190A90">
        <w:t xml:space="preserve">tariff budget </w:t>
      </w:r>
      <w:r w:rsidR="00FA5231">
        <w:t>at 100 percent</w:t>
      </w:r>
      <w:r w:rsidR="00190A90">
        <w:t xml:space="preserve"> of the cost cap</w:t>
      </w:r>
      <w:r w:rsidR="00FA5231">
        <w:t xml:space="preserve">.  We </w:t>
      </w:r>
      <w:r w:rsidR="006834B6">
        <w:t xml:space="preserve">find it reasonable to establish the initial </w:t>
      </w:r>
      <w:r w:rsidR="00190A90">
        <w:t xml:space="preserve">tariff budget </w:t>
      </w:r>
      <w:r w:rsidR="006834B6">
        <w:t>at 85 percent</w:t>
      </w:r>
      <w:r w:rsidR="00190A90">
        <w:t xml:space="preserve"> of the cost cap</w:t>
      </w:r>
      <w:r w:rsidR="003B6F74">
        <w:t xml:space="preserve">.  We require the </w:t>
      </w:r>
      <w:r w:rsidR="00495D08">
        <w:t xml:space="preserve">85 percent </w:t>
      </w:r>
      <w:r w:rsidR="00190A90">
        <w:t xml:space="preserve">tariff budget </w:t>
      </w:r>
      <w:r w:rsidR="003B6F74">
        <w:t xml:space="preserve">to be reviewed </w:t>
      </w:r>
      <w:r w:rsidR="002A1FB2">
        <w:t>during the reform process</w:t>
      </w:r>
      <w:r w:rsidR="003B6F74">
        <w:t xml:space="preserve"> to see </w:t>
      </w:r>
      <w:r w:rsidR="00495D08">
        <w:t xml:space="preserve">whether </w:t>
      </w:r>
      <w:r w:rsidR="003B6F74">
        <w:t>we should revise it</w:t>
      </w:r>
      <w:r w:rsidR="00495D08">
        <w:t xml:space="preserve"> for subsequent pilot years.  This does not affect the underlying specific planned investment cost cap</w:t>
      </w:r>
      <w:r w:rsidR="003B6F74">
        <w:t>.</w:t>
      </w:r>
    </w:p>
    <w:p w:rsidR="00400791" w:rsidP="005A24F6" w:rsidRDefault="00FA5231" w14:paraId="43E1D435" w14:textId="688C0CFB">
      <w:pPr>
        <w:pStyle w:val="Standard"/>
      </w:pPr>
      <w:r>
        <w:t xml:space="preserve">With respect to permitting flexibility </w:t>
      </w:r>
      <w:r w:rsidR="008A12BB">
        <w:t xml:space="preserve">of </w:t>
      </w:r>
      <w:r>
        <w:t>the cost cap, t</w:t>
      </w:r>
      <w:r w:rsidR="005B06F8">
        <w:t>he Staff Proposal recommends requiring Utilities to submit final cost caps with the November</w:t>
      </w:r>
      <w:r w:rsidR="007B5C29">
        <w:t> </w:t>
      </w:r>
      <w:r w:rsidR="005B06F8">
        <w:t>15 request for approval to launch subscription periods</w:t>
      </w:r>
      <w:r w:rsidR="006834B6">
        <w:t xml:space="preserve">; which </w:t>
      </w:r>
      <w:r>
        <w:t xml:space="preserve">was </w:t>
      </w:r>
      <w:r w:rsidR="005B06F8">
        <w:t>recently adopted in the DIDF process with Reform No. 33.</w:t>
      </w:r>
      <w:r w:rsidR="005B06F8">
        <w:rPr>
          <w:rStyle w:val="FootnoteReference"/>
          <w:rFonts w:cs="TimesNewRomanPSMT"/>
          <w:szCs w:val="26"/>
        </w:rPr>
        <w:footnoteReference w:id="81"/>
      </w:r>
      <w:r w:rsidR="005B06F8">
        <w:t xml:space="preserve">  </w:t>
      </w:r>
      <w:r w:rsidR="00792378">
        <w:t xml:space="preserve">Further, </w:t>
      </w:r>
      <w:r w:rsidR="004E6614">
        <w:t>Staff recommends the</w:t>
      </w:r>
      <w:r w:rsidR="00400791">
        <w:t xml:space="preserve"> cost caps only be increased, but not adjusted downward, if the grid need increases or </w:t>
      </w:r>
      <w:r w:rsidR="00400791">
        <w:lastRenderedPageBreak/>
        <w:t>changes during an open subscription period.</w:t>
      </w:r>
      <w:r w:rsidR="00400791">
        <w:rPr>
          <w:rStyle w:val="FootnoteReference"/>
          <w:rFonts w:cs="TimesNewRomanPSMT"/>
          <w:szCs w:val="26"/>
        </w:rPr>
        <w:footnoteReference w:id="82"/>
      </w:r>
      <w:r w:rsidR="00400791">
        <w:t xml:space="preserve">  PG&amp;E opposes the one-way cap adjustment contending it is counter to cost-effective based distribution deferral principles.  PG&amp;E argues the cost cap should be adjusted to reflect the cost of the traditional wire solution.</w:t>
      </w:r>
      <w:r w:rsidR="00400791">
        <w:rPr>
          <w:rStyle w:val="FootnoteReference"/>
          <w:rFonts w:cs="TimesNewRomanPSMT"/>
          <w:szCs w:val="26"/>
        </w:rPr>
        <w:footnoteReference w:id="83"/>
      </w:r>
      <w:r w:rsidR="00400791">
        <w:t xml:space="preserve">  SCE and SDG&amp;E support two-way adjustment of the cost cap.  </w:t>
      </w:r>
      <w:r w:rsidR="00792378">
        <w:t xml:space="preserve">In response, CESA highlights that fluctuating budgets led to challenges in customer acquisition and project </w:t>
      </w:r>
      <w:r w:rsidR="000B57BC">
        <w:t>finance ability</w:t>
      </w:r>
      <w:r w:rsidR="00792378">
        <w:t xml:space="preserve"> as seen with the DIDF RFO moving target issue.</w:t>
      </w:r>
      <w:r w:rsidR="00792378">
        <w:rPr>
          <w:rStyle w:val="FootnoteReference"/>
          <w:rFonts w:cs="TimesNewRomanPSMT"/>
          <w:szCs w:val="26"/>
        </w:rPr>
        <w:footnoteReference w:id="84"/>
      </w:r>
      <w:r w:rsidR="00792378">
        <w:t xml:space="preserve"> </w:t>
      </w:r>
      <w:r w:rsidR="00400791">
        <w:t xml:space="preserve">  </w:t>
      </w:r>
      <w:r w:rsidR="004E6614">
        <w:t xml:space="preserve"> </w:t>
      </w:r>
    </w:p>
    <w:p w:rsidR="004E6614" w:rsidP="005A24F6" w:rsidRDefault="009D4568" w14:paraId="5F746C06" w14:textId="35E52E25">
      <w:pPr>
        <w:pStyle w:val="Standard"/>
      </w:pPr>
      <w:r>
        <w:t>W</w:t>
      </w:r>
      <w:r w:rsidR="005B06F8">
        <w:t xml:space="preserve">e find it reasonable to </w:t>
      </w:r>
      <w:r w:rsidR="00792378">
        <w:t>require a final price cap on November 15</w:t>
      </w:r>
      <w:r w:rsidR="005B06F8">
        <w:t xml:space="preserve">, </w:t>
      </w:r>
      <w:r>
        <w:t xml:space="preserve">to provide </w:t>
      </w:r>
      <w:r w:rsidR="005B06F8">
        <w:t>consistency between the two processes</w:t>
      </w:r>
      <w:r w:rsidR="008A12BB">
        <w:t xml:space="preserve">.  We also find the one-way adjustment provides </w:t>
      </w:r>
      <w:r w:rsidR="005B06F8">
        <w:t xml:space="preserve">market certainty that customers enrolling in the </w:t>
      </w:r>
      <w:r w:rsidR="007A578B">
        <w:t xml:space="preserve">Partnership Pilot </w:t>
      </w:r>
      <w:r w:rsidR="005B06F8">
        <w:t xml:space="preserve">will receive </w:t>
      </w:r>
      <w:r w:rsidR="00AF4C64">
        <w:t>the payment stated at the subscription period launch</w:t>
      </w:r>
      <w:r w:rsidR="005B06F8">
        <w:t>.</w:t>
      </w:r>
      <w:r w:rsidR="00AF4C64">
        <w:rPr>
          <w:rStyle w:val="FootnoteReference"/>
          <w:rFonts w:cs="TimesNewRomanPSMT"/>
          <w:szCs w:val="26"/>
        </w:rPr>
        <w:footnoteReference w:id="85"/>
      </w:r>
      <w:r>
        <w:t xml:space="preserve">  </w:t>
      </w:r>
      <w:r w:rsidR="008A12BB">
        <w:t>We note</w:t>
      </w:r>
      <w:r>
        <w:t xml:space="preserve">, in the case of the </w:t>
      </w:r>
      <w:r w:rsidR="007A578B">
        <w:t>Partnership</w:t>
      </w:r>
      <w:r>
        <w:t xml:space="preserve"> Pilot, the launch date </w:t>
      </w:r>
      <w:r w:rsidR="004E7E62">
        <w:t xml:space="preserve">will be requested in the November </w:t>
      </w:r>
      <w:r>
        <w:t>15</w:t>
      </w:r>
      <w:r w:rsidR="004E7E62">
        <w:t xml:space="preserve"> Advice Letter</w:t>
      </w:r>
      <w:r>
        <w:t xml:space="preserve">.  Accordingly, Utilities shall submit final cost caps </w:t>
      </w:r>
      <w:r w:rsidR="00210B21">
        <w:t xml:space="preserve">for the </w:t>
      </w:r>
      <w:r w:rsidR="007A578B">
        <w:t xml:space="preserve">Partnership </w:t>
      </w:r>
      <w:r w:rsidR="00210B21">
        <w:t xml:space="preserve">Pilot on </w:t>
      </w:r>
      <w:r w:rsidR="004E7E62">
        <w:t>November</w:t>
      </w:r>
      <w:r w:rsidR="000E1602">
        <w:t xml:space="preserve"> </w:t>
      </w:r>
      <w:r w:rsidR="00210B21">
        <w:t>15.</w:t>
      </w:r>
      <w:r w:rsidR="00792378">
        <w:t xml:space="preserve">  The </w:t>
      </w:r>
      <w:r w:rsidR="003B4E26">
        <w:t xml:space="preserve">price cap </w:t>
      </w:r>
      <w:r w:rsidR="008A12BB">
        <w:t xml:space="preserve">and its </w:t>
      </w:r>
      <w:r w:rsidR="003B4E26">
        <w:t>flexibility will be reviewed during the reform process to ensure its continued reasonableness.</w:t>
      </w:r>
    </w:p>
    <w:p w:rsidR="003B6F74" w:rsidP="003B6F74" w:rsidRDefault="007A578B" w14:paraId="312F80D4" w14:textId="20D28AFD">
      <w:pPr>
        <w:pStyle w:val="Heading4"/>
      </w:pPr>
      <w:bookmarkStart w:name="_Toc63778685" w:id="29"/>
      <w:r>
        <w:t xml:space="preserve">Partnership </w:t>
      </w:r>
      <w:r w:rsidR="003B6F74">
        <w:t>Pilot Subscription Period</w:t>
      </w:r>
      <w:r w:rsidR="003B5917">
        <w:t xml:space="preserve">, </w:t>
      </w:r>
      <w:r w:rsidR="003B6F74">
        <w:t>Contingency Date</w:t>
      </w:r>
      <w:r w:rsidR="004F2A89">
        <w:t xml:space="preserve">, </w:t>
      </w:r>
      <w:r w:rsidR="003B5917">
        <w:t xml:space="preserve">and </w:t>
      </w:r>
      <w:r w:rsidR="004F2A89">
        <w:t>Reservation</w:t>
      </w:r>
      <w:r w:rsidR="003B5917">
        <w:t xml:space="preserve"> </w:t>
      </w:r>
      <w:r w:rsidR="004F2A89">
        <w:t>Period</w:t>
      </w:r>
      <w:bookmarkEnd w:id="29"/>
    </w:p>
    <w:p w:rsidR="003B6F74" w:rsidP="005A24F6" w:rsidRDefault="003B6F74" w14:paraId="33B8099F" w14:textId="0D0524D4">
      <w:pPr>
        <w:pStyle w:val="Standard"/>
      </w:pPr>
      <w:r>
        <w:t>The Staff Proposal</w:t>
      </w:r>
      <w:r w:rsidR="00B46D58">
        <w:t xml:space="preserve"> de</w:t>
      </w:r>
      <w:r w:rsidR="0046128E">
        <w:t xml:space="preserve">fines </w:t>
      </w:r>
      <w:r w:rsidR="00B46D58">
        <w:t>the subscription period as the period in which tariff offers are accepted.</w:t>
      </w:r>
      <w:r w:rsidR="00786E14">
        <w:t xml:space="preserve">  Utilities would be required to accept offers starting when offers meet or exceed </w:t>
      </w:r>
      <w:r w:rsidR="00B46D58">
        <w:t>the acceptance trigger of 9</w:t>
      </w:r>
      <w:r w:rsidR="000569C7">
        <w:t>0</w:t>
      </w:r>
      <w:r w:rsidR="00B46D58">
        <w:t xml:space="preserve"> percent </w:t>
      </w:r>
      <w:r w:rsidR="00786E14">
        <w:t>and up to the procurement margin of 1</w:t>
      </w:r>
      <w:r w:rsidR="000569C7">
        <w:t>2</w:t>
      </w:r>
      <w:r w:rsidR="00786E14">
        <w:t>0 percent</w:t>
      </w:r>
      <w:r w:rsidR="00B46D58">
        <w:t xml:space="preserve"> or the contingency date</w:t>
      </w:r>
      <w:r w:rsidR="0046128E">
        <w:t xml:space="preserve">, which would be </w:t>
      </w:r>
      <w:r w:rsidR="00786E14">
        <w:lastRenderedPageBreak/>
        <w:t>provided at the time of the subscription period launch.</w:t>
      </w:r>
      <w:r w:rsidR="0030591A">
        <w:t xml:space="preserve">  </w:t>
      </w:r>
      <w:r w:rsidR="004F2A89">
        <w:t xml:space="preserve">The other </w:t>
      </w:r>
      <w:r w:rsidR="003B5917">
        <w:t xml:space="preserve">related milestone in the Staff Proposal </w:t>
      </w:r>
      <w:r w:rsidR="004F2A89">
        <w:t xml:space="preserve">is </w:t>
      </w:r>
      <w:r w:rsidR="003B5917">
        <w:t>the offer res</w:t>
      </w:r>
      <w:r w:rsidR="004F2A89">
        <w:t>e</w:t>
      </w:r>
      <w:r w:rsidR="003B5917">
        <w:t>rvation</w:t>
      </w:r>
      <w:r w:rsidR="004F2A89">
        <w:t xml:space="preserve"> period, which is established at the launch of the subscription period and can be vetted in the DPAG.  </w:t>
      </w:r>
    </w:p>
    <w:p w:rsidR="0046128E" w:rsidP="005A24F6" w:rsidRDefault="0030591A" w14:paraId="0D0F6065" w14:textId="045C2F22">
      <w:pPr>
        <w:pStyle w:val="Standard"/>
      </w:pPr>
      <w:r>
        <w:t xml:space="preserve">Parties’ comments with respect to the subscription period include discussion of the acceptance trigger and the procurement margin.  We have previously opined on the acceptance trigger and procurement margin and do not repeat the discussion here.  </w:t>
      </w:r>
      <w:r w:rsidR="0046128E">
        <w:t>PG&amp;E recommends establishing a set subscription period of no more than six months to provide certainty to Utilities and developments.</w:t>
      </w:r>
      <w:r w:rsidR="00027DEC">
        <w:rPr>
          <w:rStyle w:val="FootnoteReference"/>
        </w:rPr>
        <w:footnoteReference w:id="86"/>
      </w:r>
      <w:r w:rsidR="00027DEC">
        <w:t xml:space="preserve">  SCE argues six months is not sufficient time in certain cases.</w:t>
      </w:r>
      <w:r>
        <w:rPr>
          <w:rStyle w:val="FootnoteReference"/>
        </w:rPr>
        <w:footnoteReference w:id="87"/>
      </w:r>
      <w:r w:rsidR="00027DEC">
        <w:t xml:space="preserve">  </w:t>
      </w:r>
      <w:r>
        <w:t xml:space="preserve">While we recognize </w:t>
      </w:r>
      <w:r w:rsidR="007960D6">
        <w:t>PG&amp;E’s</w:t>
      </w:r>
      <w:r>
        <w:t xml:space="preserve"> concern regarding certainty, we agree that </w:t>
      </w:r>
      <w:r w:rsidR="007960D6">
        <w:t>six</w:t>
      </w:r>
      <w:r w:rsidR="00A33F00">
        <w:t> </w:t>
      </w:r>
      <w:r w:rsidR="007960D6">
        <w:t>months may not be sufficient time, especially in the case of aggregators.  Hence, we decline to set any additional time limits on the subscription period.  We will review the subscription period on an annual basis to determine whether it should be revised.</w:t>
      </w:r>
    </w:p>
    <w:p w:rsidR="007960D6" w:rsidP="003B6F74" w:rsidRDefault="007960D6" w14:paraId="20D67F26" w14:textId="19629290">
      <w:r>
        <w:t xml:space="preserve">With respect to the contingency date, the Staff Proposal recommends the date be established at the subscription period launch.  The Staff Proposal defines the contingency date as the date identified by a utility for implementing the contingency plan.  Further, staff explains it marks the point at which a utility no longer pursues the deferral of a traditional planned investment by procuring a distributed energy resource and instead moves forward with the traditional solution.  The Staff Proposal underscores each contingency date and implementation plan depend on grid need type and timing and the lead time </w:t>
      </w:r>
      <w:r>
        <w:lastRenderedPageBreak/>
        <w:t>needed to implement the traditional solution.</w:t>
      </w:r>
      <w:r>
        <w:rPr>
          <w:rStyle w:val="FootnoteReference"/>
        </w:rPr>
        <w:footnoteReference w:id="88"/>
      </w:r>
      <w:r>
        <w:t xml:space="preserve">  CESA and SCE concur that the contingency date is unique to each planned investment.</w:t>
      </w:r>
      <w:r>
        <w:rPr>
          <w:rStyle w:val="FootnoteReference"/>
        </w:rPr>
        <w:footnoteReference w:id="89"/>
      </w:r>
      <w:r w:rsidR="00732513">
        <w:t xml:space="preserve">  We agree the contingency date should be dependent upon the planned investment.  Accordingly, we adopt the staff recommendation regarding the contingency date, as proposed.</w:t>
      </w:r>
    </w:p>
    <w:p w:rsidR="004F2A89" w:rsidP="005A24F6" w:rsidRDefault="004F2A89" w14:paraId="4A2CE944" w14:textId="79D6A2E7">
      <w:pPr>
        <w:pStyle w:val="Standard"/>
      </w:pPr>
      <w:r>
        <w:t>The other related milestone is the reservation period, during which time offer reservations may be filed by Providers, along with affidavits to demonstrate sufficient customers to fulfill the grid need.  SDG&amp;E argues the reservation period is not needed if the Commission adopts a prequalification process that requires all distributed energy resources to be operational.  SDG&amp;E contends this would eliminate queue hogging and phantom projects.</w:t>
      </w:r>
      <w:r>
        <w:rPr>
          <w:rStyle w:val="FootnoteReference"/>
        </w:rPr>
        <w:footnoteReference w:id="90"/>
      </w:r>
      <w:r>
        <w:t xml:space="preserve">  </w:t>
      </w:r>
      <w:r w:rsidR="00DF10FC">
        <w:t xml:space="preserve">This is true.  However, as we previously stated, the prescreening process we adopt in this decision (for the purposes of testing) is intended to ascertain the experience, financial strength, and dispatch ability of distributed energy resources providers in general terms.  To balance this approach, we </w:t>
      </w:r>
      <w:r w:rsidR="009175E0">
        <w:t xml:space="preserve">should </w:t>
      </w:r>
      <w:r w:rsidR="00DF10FC">
        <w:t>adopt the reservation period and the required affidavit</w:t>
      </w:r>
      <w:r w:rsidR="002D2D23">
        <w:t>, which will combat the concern of queue hogging and phantom projects</w:t>
      </w:r>
      <w:r w:rsidR="00DF10FC">
        <w:t>.</w:t>
      </w:r>
    </w:p>
    <w:p w:rsidR="002A3888" w:rsidP="005A24F6" w:rsidRDefault="00DF10FC" w14:paraId="3AFED464" w14:textId="759D64F8">
      <w:pPr>
        <w:pStyle w:val="Standard"/>
      </w:pPr>
      <w:r>
        <w:t>SCE and CESA support the use of the reservation process and the affidavit.</w:t>
      </w:r>
      <w:r>
        <w:rPr>
          <w:rStyle w:val="FootnoteReference"/>
        </w:rPr>
        <w:footnoteReference w:id="91"/>
      </w:r>
      <w:r>
        <w:t xml:space="preserve">  However, CESA suggests the Commission consider an upfront contracting approach in the tariff to address its concern of burdensome </w:t>
      </w:r>
      <w:r>
        <w:lastRenderedPageBreak/>
        <w:t>affidavits.</w:t>
      </w:r>
      <w:r>
        <w:rPr>
          <w:rStyle w:val="FootnoteReference"/>
        </w:rPr>
        <w:footnoteReference w:id="92"/>
      </w:r>
      <w:r>
        <w:t xml:space="preserve">  </w:t>
      </w:r>
      <w:r w:rsidR="002D2D23">
        <w:t xml:space="preserve">We are not convinced the affidavit is </w:t>
      </w:r>
      <w:r w:rsidR="00E0137C">
        <w:t>burdensome but</w:t>
      </w:r>
      <w:r w:rsidR="002D2D23">
        <w:t xml:space="preserve"> will consider the burden level during the annual review process.</w:t>
      </w:r>
    </w:p>
    <w:p w:rsidR="002A3888" w:rsidP="002A3888" w:rsidRDefault="007A578B" w14:paraId="77AA02AD" w14:textId="2E0FED77">
      <w:pPr>
        <w:pStyle w:val="Heading4"/>
      </w:pPr>
      <w:bookmarkStart w:name="_Toc63778686" w:id="30"/>
      <w:r>
        <w:t xml:space="preserve">Partnership Pilot </w:t>
      </w:r>
      <w:r w:rsidR="002A3888">
        <w:t>Tiered Payment Structure</w:t>
      </w:r>
      <w:bookmarkEnd w:id="30"/>
    </w:p>
    <w:p w:rsidR="002A3888" w:rsidP="005A24F6" w:rsidRDefault="001075B3" w14:paraId="339E370C" w14:textId="2E1AC14A">
      <w:pPr>
        <w:pStyle w:val="Standard"/>
      </w:pPr>
      <w:r>
        <w:t xml:space="preserve">Hoping to encourage </w:t>
      </w:r>
      <w:r w:rsidR="007A578B">
        <w:t xml:space="preserve">additional </w:t>
      </w:r>
      <w:r w:rsidR="003B4E26">
        <w:t xml:space="preserve">distributed energy resource </w:t>
      </w:r>
      <w:r>
        <w:t>participation</w:t>
      </w:r>
      <w:r w:rsidR="000B57BC">
        <w:t xml:space="preserve"> </w:t>
      </w:r>
      <w:r w:rsidR="003B4E26">
        <w:t>in deferr</w:t>
      </w:r>
      <w:r w:rsidR="000B57BC">
        <w:t>al</w:t>
      </w:r>
      <w:r w:rsidR="003B4E26">
        <w:t xml:space="preserve"> distribution investment</w:t>
      </w:r>
      <w:r>
        <w:t xml:space="preserve">, the Staff Proposal </w:t>
      </w:r>
      <w:r w:rsidR="00160F73">
        <w:t xml:space="preserve">developed a </w:t>
      </w:r>
      <w:r>
        <w:t>four-tiered payment structure that should “ensure ongoing, sufficient [distributed energy resources] capability, and pay for successful dispatch.”</w:t>
      </w:r>
      <w:r>
        <w:rPr>
          <w:rStyle w:val="FootnoteReference"/>
        </w:rPr>
        <w:footnoteReference w:id="93"/>
      </w:r>
      <w:r>
        <w:t xml:space="preserve">  The first tier would pay providers upfront to install a distributed energy resources solution and commit to dispatch in accordance with the contract</w:t>
      </w:r>
      <w:r w:rsidR="00E254FE">
        <w:t>; s</w:t>
      </w:r>
      <w:r>
        <w:t>taff proposes a payment of 20</w:t>
      </w:r>
      <w:r w:rsidR="0011559B">
        <w:t> </w:t>
      </w:r>
      <w:r>
        <w:t>percent of the tariff cost cap.  The second tier would pay providers during test events, ensuring a customer is technically capable of dispatching when called.  The third tier would pay providers to reserve a specific amount of capacity and energy during a specified timeframe.  The fourth tier would pay providers to dispatch according to the contracted criteria</w:t>
      </w:r>
      <w:r w:rsidR="001D106C">
        <w:t xml:space="preserve"> and would be calculated on a dollar</w:t>
      </w:r>
      <w:r w:rsidR="00A33F00">
        <w:t> </w:t>
      </w:r>
      <w:r w:rsidR="001D106C">
        <w:t>per kilowatt per month, based on the cost cap</w:t>
      </w:r>
      <w:r>
        <w:t>.</w:t>
      </w:r>
      <w:r w:rsidR="001D106C">
        <w:rPr>
          <w:rStyle w:val="FootnoteReference"/>
        </w:rPr>
        <w:footnoteReference w:id="94"/>
      </w:r>
      <w:r>
        <w:t xml:space="preserve">  The Staff Proposal clarifies that if a grid need does not arise, providers are not paid.  This, staff contends will increase cost-effectiveness and allow for over-procurement to address changing grid needs.</w:t>
      </w:r>
      <w:r>
        <w:rPr>
          <w:rStyle w:val="FootnoteReference"/>
        </w:rPr>
        <w:footnoteReference w:id="95"/>
      </w:r>
      <w:r w:rsidR="00324575">
        <w:t xml:space="preserve">  We discuss each tier separately.</w:t>
      </w:r>
    </w:p>
    <w:p w:rsidR="00E254FE" w:rsidP="005A24F6" w:rsidRDefault="00324575" w14:paraId="0710DFD4" w14:textId="5BE7AB69">
      <w:pPr>
        <w:pStyle w:val="Standard"/>
      </w:pPr>
      <w:r>
        <w:t xml:space="preserve">Several parties support the deployment tier </w:t>
      </w:r>
      <w:proofErr w:type="gramStart"/>
      <w:r>
        <w:t>as a way to</w:t>
      </w:r>
      <w:proofErr w:type="gramEnd"/>
      <w:r>
        <w:t xml:space="preserve"> reduce upfront systems costs, which Sunrun contends is a major hurdle to customer adoption of </w:t>
      </w:r>
      <w:r>
        <w:lastRenderedPageBreak/>
        <w:t>advanced distributed energy resources.</w:t>
      </w:r>
      <w:r>
        <w:rPr>
          <w:rStyle w:val="FootnoteReference"/>
        </w:rPr>
        <w:footnoteReference w:id="96"/>
      </w:r>
      <w:r>
        <w:t xml:space="preserve">  PG&amp;E cautions</w:t>
      </w:r>
      <w:r w:rsidR="000D2086">
        <w:t xml:space="preserve"> </w:t>
      </w:r>
      <w:r>
        <w:t>that there should be no upfront payment for resources already sourced through SGIP or net energy metering.</w:t>
      </w:r>
      <w:r>
        <w:rPr>
          <w:rStyle w:val="FootnoteReference"/>
        </w:rPr>
        <w:footnoteReference w:id="97"/>
      </w:r>
      <w:r w:rsidR="00B91323">
        <w:t xml:space="preserve">  We find it reasonable to adopt the deployment tier in order to decrease one of the barriers to distributed energy resources adoption.  SDG&amp;E and CUE oppose upfront payments as there is no benefit to ratepayers.</w:t>
      </w:r>
      <w:r w:rsidR="00B91323">
        <w:rPr>
          <w:rStyle w:val="FootnoteReference"/>
        </w:rPr>
        <w:footnoteReference w:id="98"/>
      </w:r>
      <w:r w:rsidR="00B91323">
        <w:t xml:space="preserve">  We disagree and find the reduction of the adoption barrier is good for ratepayers.  </w:t>
      </w:r>
      <w:r w:rsidR="008C69D9">
        <w:t xml:space="preserve">Increased adoption improves the likelihood of distribution investment deferral or avoidance.  </w:t>
      </w:r>
      <w:r w:rsidR="000D2086">
        <w:t xml:space="preserve">We also agree with PG&amp;E, that </w:t>
      </w:r>
      <w:r w:rsidR="00495D08">
        <w:t xml:space="preserve">existing </w:t>
      </w:r>
      <w:r w:rsidR="000D2086">
        <w:t>resources, while eligible for other payments, should not receive the deployment payment.  As noted in the Staff Proposal, providers must disclose if their customers are signed up to any other existing distributed energy resources programs such as SGIP or net energy metering.</w:t>
      </w:r>
      <w:r w:rsidR="000D2086">
        <w:rPr>
          <w:rStyle w:val="FootnoteReference"/>
        </w:rPr>
        <w:footnoteReference w:id="99"/>
      </w:r>
      <w:r w:rsidR="000D2086">
        <w:t xml:space="preserve">  </w:t>
      </w:r>
      <w:r w:rsidR="00B91323">
        <w:t xml:space="preserve">With respect to </w:t>
      </w:r>
      <w:r w:rsidR="000D2086">
        <w:t xml:space="preserve">the </w:t>
      </w:r>
      <w:r w:rsidR="00B91323">
        <w:t>timing</w:t>
      </w:r>
      <w:r w:rsidR="000D2086">
        <w:t xml:space="preserve"> of the deployment payment</w:t>
      </w:r>
      <w:r w:rsidR="00B91323">
        <w:t xml:space="preserve">, we clarify that the deployment payment </w:t>
      </w:r>
      <w:r w:rsidR="00495D08">
        <w:t xml:space="preserve">may be made </w:t>
      </w:r>
      <w:r w:rsidR="00A000B3">
        <w:t xml:space="preserve">according to the terms of </w:t>
      </w:r>
      <w:r w:rsidR="00495D08">
        <w:t xml:space="preserve">the contract </w:t>
      </w:r>
      <w:r w:rsidR="00B91323">
        <w:t xml:space="preserve">after </w:t>
      </w:r>
      <w:r w:rsidR="008C69D9">
        <w:t>offer reservations are filed, affidavits of interest are provided to the utility, the 9</w:t>
      </w:r>
      <w:r w:rsidR="00E90A50">
        <w:t>0</w:t>
      </w:r>
      <w:r w:rsidR="008C69D9">
        <w:t xml:space="preserve"> percent acceptance trigger is reached, </w:t>
      </w:r>
      <w:r w:rsidR="00495D08">
        <w:t xml:space="preserve">and </w:t>
      </w:r>
      <w:r w:rsidR="00A000B3">
        <w:t>the</w:t>
      </w:r>
      <w:r w:rsidR="008C69D9">
        <w:t xml:space="preserve"> contract is signed.</w:t>
      </w:r>
      <w:r w:rsidR="008C69D9">
        <w:rPr>
          <w:rStyle w:val="FootnoteReference"/>
        </w:rPr>
        <w:footnoteReference w:id="100"/>
      </w:r>
      <w:r w:rsidR="008C69D9">
        <w:t xml:space="preserve">  We find a 20 percent of cap payment is reasonable, given the assurances of operability.</w:t>
      </w:r>
      <w:r w:rsidR="000D2086">
        <w:t xml:space="preserve">  We also find this level of payment provides ample assurance to aggregators and developers in comparison to remaining ratepayer risks.</w:t>
      </w:r>
    </w:p>
    <w:p w:rsidR="00FA5264" w:rsidP="005A24F6" w:rsidRDefault="000D2086" w14:paraId="6B23B557" w14:textId="6969D403">
      <w:pPr>
        <w:pStyle w:val="Standard"/>
      </w:pPr>
      <w:r>
        <w:lastRenderedPageBreak/>
        <w:t>Moving on to the test payment, we find t</w:t>
      </w:r>
      <w:r w:rsidR="00FA5264">
        <w:t>here is little support for th</w:t>
      </w:r>
      <w:r>
        <w:t xml:space="preserve">is </w:t>
      </w:r>
      <w:r w:rsidR="00FA5264">
        <w:t>payment</w:t>
      </w:r>
      <w:r w:rsidR="00B36BE9">
        <w:t xml:space="preserve"> tier</w:t>
      </w:r>
      <w:r w:rsidR="00FA5264">
        <w:t xml:space="preserve">.  CALSSA </w:t>
      </w:r>
      <w:r w:rsidR="005F1B9A">
        <w:t xml:space="preserve">maintains </w:t>
      </w:r>
      <w:r w:rsidR="00FA5264">
        <w:t>it is unnecessary if tests happen infrequently and are of short duration.</w:t>
      </w:r>
      <w:r w:rsidR="00FA5264">
        <w:rPr>
          <w:rStyle w:val="FootnoteReference"/>
        </w:rPr>
        <w:footnoteReference w:id="101"/>
      </w:r>
      <w:r w:rsidR="00FA5264">
        <w:t xml:space="preserve">  Further, </w:t>
      </w:r>
      <w:r w:rsidR="005F1B9A">
        <w:t>c</w:t>
      </w:r>
      <w:r w:rsidR="00FA5264">
        <w:t>ontending there is no ratepayer benefits for the testing payment, SDG&amp;E underscores a test is currently a prerequisite in the TNPF for getting contract payment and therefore should not be a payment tier.</w:t>
      </w:r>
      <w:r w:rsidR="00FA5264">
        <w:rPr>
          <w:rStyle w:val="FootnoteReference"/>
        </w:rPr>
        <w:footnoteReference w:id="102"/>
      </w:r>
      <w:r w:rsidR="00B36BE9">
        <w:t xml:space="preserve">  </w:t>
      </w:r>
      <w:r w:rsidR="005F1B9A">
        <w:t xml:space="preserve">We </w:t>
      </w:r>
      <w:r w:rsidR="00B36BE9">
        <w:t xml:space="preserve">find </w:t>
      </w:r>
      <w:r w:rsidR="005F1B9A">
        <w:t>that because the test is a prerequisite</w:t>
      </w:r>
      <w:r w:rsidR="00B36BE9">
        <w:t xml:space="preserve"> </w:t>
      </w:r>
      <w:r w:rsidR="005F1B9A">
        <w:t xml:space="preserve">of the TNPF, </w:t>
      </w:r>
      <w:r w:rsidR="00B36BE9">
        <w:t xml:space="preserve">a test payment would create inequities between the Tariff and the DIDF.  We also find it simplifies the structure to omit one of the four tiers. </w:t>
      </w:r>
    </w:p>
    <w:p w:rsidR="00B36BE9" w:rsidP="005A24F6" w:rsidRDefault="001D106C" w14:paraId="1F6AE21B" w14:textId="7B803B15">
      <w:pPr>
        <w:pStyle w:val="Standard"/>
      </w:pPr>
      <w:r>
        <w:t xml:space="preserve">With respect to the capacity reservation </w:t>
      </w:r>
      <w:r w:rsidR="00D10C97">
        <w:t xml:space="preserve">and performance </w:t>
      </w:r>
      <w:r>
        <w:t>tier</w:t>
      </w:r>
      <w:r w:rsidR="00D10C97">
        <w:t>s</w:t>
      </w:r>
      <w:r>
        <w:t>, CALSSA recommends that, of the remaining 65 percent of the cost cap, the balance should be weighted heavily toward capacity payments as it is a steady stream of payment and provides greater financial certainty to providers.</w:t>
      </w:r>
      <w:r>
        <w:rPr>
          <w:rStyle w:val="FootnoteReference"/>
        </w:rPr>
        <w:footnoteReference w:id="103"/>
      </w:r>
      <w:r>
        <w:t xml:space="preserve">  Public Advocates Office recommends the Commission prioritize performance-based payments.</w:t>
      </w:r>
      <w:r>
        <w:rPr>
          <w:rStyle w:val="FootnoteReference"/>
        </w:rPr>
        <w:footnoteReference w:id="104"/>
      </w:r>
      <w:r>
        <w:t xml:space="preserve">  PG&amp;E agrees with Public Advocates Office, contending </w:t>
      </w:r>
      <w:r w:rsidR="00D10C97">
        <w:t>customers savings are only realized if distributed energy resources can perform to defer the grid need.</w:t>
      </w:r>
      <w:r w:rsidR="00D10C97">
        <w:rPr>
          <w:rStyle w:val="FootnoteReference"/>
        </w:rPr>
        <w:footnoteReference w:id="105"/>
      </w:r>
      <w:r w:rsidR="00D10C97">
        <w:t xml:space="preserve">  SCE adds that inadequate payment for performance could lead to reliability issues and extra ratepayer cost if grid needs are not met and traditional wire solution is required.</w:t>
      </w:r>
      <w:r w:rsidR="00D10C97">
        <w:rPr>
          <w:rStyle w:val="FootnoteReference"/>
        </w:rPr>
        <w:footnoteReference w:id="106"/>
      </w:r>
      <w:r w:rsidR="00D10C97">
        <w:t xml:space="preserve">  The Staff Proposal notes that the performance payment tier is created with the thought that if the grid need does not arise, cost</w:t>
      </w:r>
      <w:r w:rsidR="000E1602">
        <w:noBreakHyphen/>
      </w:r>
      <w:r w:rsidR="00D10C97">
        <w:t xml:space="preserve">effectiveness will increase and allow for over-procurement to address </w:t>
      </w:r>
      <w:r w:rsidR="00D10C97">
        <w:lastRenderedPageBreak/>
        <w:t xml:space="preserve">changing grid needs.  Hence, </w:t>
      </w:r>
      <w:r w:rsidR="00145C02">
        <w:t xml:space="preserve">for the purpose of the </w:t>
      </w:r>
      <w:r w:rsidR="007A578B">
        <w:t xml:space="preserve">Partnership </w:t>
      </w:r>
      <w:r w:rsidR="00145C02">
        <w:t xml:space="preserve">Pilot, the reservation payment tier will be allocated 30 percent of the </w:t>
      </w:r>
      <w:r w:rsidR="00A000B3">
        <w:t xml:space="preserve">cost </w:t>
      </w:r>
      <w:r w:rsidR="00145C02">
        <w:t xml:space="preserve">cap and the performance payment will be allocated </w:t>
      </w:r>
      <w:r w:rsidR="003B4E26">
        <w:t>50</w:t>
      </w:r>
      <w:r w:rsidR="00145C02">
        <w:t xml:space="preserve"> percent of the </w:t>
      </w:r>
      <w:r w:rsidR="00A000B3">
        <w:t xml:space="preserve">cost </w:t>
      </w:r>
      <w:r w:rsidR="00145C02">
        <w:t>cap.  This allocation provides a balance between several competing objectives of this pilot: improving certainty to providers, improving cost-effectiveness, and addressing changing grid needs.</w:t>
      </w:r>
    </w:p>
    <w:p w:rsidR="002A3888" w:rsidP="002A3888" w:rsidRDefault="007A578B" w14:paraId="2AE7DC5A" w14:textId="03CABF10">
      <w:pPr>
        <w:pStyle w:val="Heading4"/>
      </w:pPr>
      <w:bookmarkStart w:name="_Toc63778687" w:id="31"/>
      <w:r>
        <w:t xml:space="preserve">Partnership Pilot </w:t>
      </w:r>
      <w:r w:rsidR="002A3888">
        <w:t>Marketing and Outreach</w:t>
      </w:r>
      <w:bookmarkEnd w:id="31"/>
    </w:p>
    <w:p w:rsidR="002A3888" w:rsidP="005A24F6" w:rsidRDefault="002A3888" w14:paraId="06834C63" w14:textId="4D54E06A">
      <w:pPr>
        <w:pStyle w:val="Standard"/>
      </w:pPr>
      <w:r>
        <w:t xml:space="preserve">The Staff Proposal </w:t>
      </w:r>
      <w:r w:rsidR="00F40415">
        <w:t>explains that a “critical challenge Behind-The-Meter developers face is acquiring the customers necessary to host the requisite amount of capacity, leading to uncertainty.”</w:t>
      </w:r>
      <w:r w:rsidR="00F40415">
        <w:rPr>
          <w:rStyle w:val="FootnoteReference"/>
        </w:rPr>
        <w:footnoteReference w:id="107"/>
      </w:r>
      <w:r w:rsidR="00F60467">
        <w:t xml:space="preserve">  Relying upon an earlier proposal in this proceeding from CALSSA, the Staff Proposal recommends two marketing coordination opportunities for providers and Utilities.  First, require Utilities to be a marketing partner with approved distributed energy resources aggregators</w:t>
      </w:r>
      <w:r w:rsidR="003610D0">
        <w:t>, where u</w:t>
      </w:r>
      <w:r w:rsidR="00F60467">
        <w:t xml:space="preserve">tilities would distribute aggregators’ marketing materials.  Second, </w:t>
      </w:r>
      <w:r w:rsidR="001020DA">
        <w:t xml:space="preserve">require </w:t>
      </w:r>
      <w:r w:rsidR="00F60467">
        <w:t xml:space="preserve">Utilities </w:t>
      </w:r>
      <w:r w:rsidR="001020DA">
        <w:t>to</w:t>
      </w:r>
      <w:r w:rsidR="00F60467">
        <w:t xml:space="preserve"> inform customers about the </w:t>
      </w:r>
      <w:r w:rsidR="00B77CC5">
        <w:t>p</w:t>
      </w:r>
      <w:r w:rsidR="00F60467">
        <w:t>ilot via a dedicated page on the Utilities’ website</w:t>
      </w:r>
      <w:r w:rsidR="006323D4">
        <w:t>, where</w:t>
      </w:r>
      <w:r w:rsidR="00F60467">
        <w:t xml:space="preserve"> </w:t>
      </w:r>
      <w:r w:rsidR="006323D4">
        <w:t>c</w:t>
      </w:r>
      <w:r w:rsidR="00F60467">
        <w:t xml:space="preserve">ustomers would have the ability to opt-in to </w:t>
      </w:r>
      <w:r w:rsidR="00967940">
        <w:t xml:space="preserve">receive direct solicitations from approved providers about </w:t>
      </w:r>
      <w:r w:rsidR="006323D4">
        <w:t xml:space="preserve">pilot </w:t>
      </w:r>
      <w:r w:rsidR="00967940">
        <w:t xml:space="preserve">opportunities.  The Staff Proposal recommends that during the </w:t>
      </w:r>
      <w:r w:rsidR="007A578B">
        <w:t>pilot</w:t>
      </w:r>
      <w:r w:rsidR="00967940">
        <w:t>, providers should not be charged for these marketing efforts.  F</w:t>
      </w:r>
      <w:r w:rsidR="003610D0">
        <w:t>urther, f</w:t>
      </w:r>
      <w:r w:rsidR="00967940">
        <w:t xml:space="preserve">or the duration of the </w:t>
      </w:r>
      <w:r w:rsidR="003610D0">
        <w:t>p</w:t>
      </w:r>
      <w:r w:rsidR="00967940">
        <w:t xml:space="preserve">ilot, </w:t>
      </w:r>
      <w:r w:rsidR="003610D0">
        <w:t xml:space="preserve">staff recommends </w:t>
      </w:r>
      <w:r w:rsidR="00967940">
        <w:t xml:space="preserve">Utilities would track these costs in their Distribution Deferral Memorandum Accounts and request recovery during their General Rate Cases.  </w:t>
      </w:r>
    </w:p>
    <w:p w:rsidR="006323D4" w:rsidP="002A3888" w:rsidRDefault="005E128C" w14:paraId="26F1550C" w14:textId="3A454AB1">
      <w:r>
        <w:t xml:space="preserve">AEE, CALSSA, CESA and Sunrun all support the marketing proposal, noting that the </w:t>
      </w:r>
      <w:r w:rsidR="006323D4">
        <w:t>p</w:t>
      </w:r>
      <w:r>
        <w:t xml:space="preserve">ilot should leverage existing Utility relationships in existing </w:t>
      </w:r>
      <w:r>
        <w:lastRenderedPageBreak/>
        <w:t>programs.</w:t>
      </w:r>
      <w:r>
        <w:rPr>
          <w:rStyle w:val="FootnoteReference"/>
        </w:rPr>
        <w:footnoteReference w:id="108"/>
      </w:r>
      <w:r>
        <w:t xml:space="preserve">  Utilities oppose the marketing proposal.  </w:t>
      </w:r>
      <w:r w:rsidR="00141CCA">
        <w:t>SDG&amp;E contends Utilities provide publicly available maps that show customer composition and generation hosting capacity information throughout each utility’s service area.</w:t>
      </w:r>
      <w:r w:rsidR="00141CCA">
        <w:rPr>
          <w:rStyle w:val="FootnoteReference"/>
        </w:rPr>
        <w:footnoteReference w:id="109"/>
      </w:r>
      <w:r w:rsidR="00141CCA">
        <w:t xml:space="preserve">  </w:t>
      </w:r>
      <w:r>
        <w:t>PG&amp;E calls the proposal a risk to ratepayers, infeasible, and unlawful.</w:t>
      </w:r>
      <w:r>
        <w:rPr>
          <w:rStyle w:val="FootnoteReference"/>
        </w:rPr>
        <w:footnoteReference w:id="110"/>
      </w:r>
      <w:r>
        <w:t xml:space="preserve">  SCE argues the proposals are unfair to bidders in other RFOs.</w:t>
      </w:r>
      <w:r w:rsidR="006323D4">
        <w:rPr>
          <w:rStyle w:val="FootnoteReference"/>
        </w:rPr>
        <w:footnoteReference w:id="111"/>
      </w:r>
      <w:r>
        <w:t xml:space="preserve">  </w:t>
      </w:r>
    </w:p>
    <w:p w:rsidR="00967940" w:rsidP="005A24F6" w:rsidRDefault="005E128C" w14:paraId="5044153C" w14:textId="574AD049">
      <w:pPr>
        <w:pStyle w:val="Standard"/>
      </w:pPr>
      <w:r>
        <w:t xml:space="preserve">We agree that </w:t>
      </w:r>
      <w:r w:rsidR="00141CCA">
        <w:t xml:space="preserve">distribution of </w:t>
      </w:r>
      <w:r w:rsidR="007A578B">
        <w:t xml:space="preserve">Partnership </w:t>
      </w:r>
      <w:r w:rsidR="00141CCA">
        <w:t>Pilot aggregators’ marketing materials would create an unfair advantage over bidders in other RFOs.  SCE suggests Utilities could, instead, provide customers with information on third</w:t>
      </w:r>
      <w:r w:rsidR="005A24F6">
        <w:noBreakHyphen/>
      </w:r>
      <w:r w:rsidR="00141CCA">
        <w:t xml:space="preserve">party distributed energy resources tariff options </w:t>
      </w:r>
      <w:proofErr w:type="gramStart"/>
      <w:r w:rsidR="00141CCA">
        <w:t>similar to</w:t>
      </w:r>
      <w:proofErr w:type="gramEnd"/>
      <w:r w:rsidR="00141CCA">
        <w:t xml:space="preserve"> what it does for other third-party energy service providers.</w:t>
      </w:r>
      <w:r w:rsidR="006323D4">
        <w:rPr>
          <w:rStyle w:val="FootnoteReference"/>
        </w:rPr>
        <w:footnoteReference w:id="112"/>
      </w:r>
      <w:r w:rsidR="00141CCA">
        <w:t xml:space="preserve">  We find </w:t>
      </w:r>
      <w:r w:rsidR="001020DA">
        <w:t>SCE’s</w:t>
      </w:r>
      <w:r w:rsidR="00141CCA">
        <w:t xml:space="preserve"> recommendation would provide a level playing field for all energy service providers.</w:t>
      </w:r>
      <w:r w:rsidR="006323D4">
        <w:t xml:space="preserve">  </w:t>
      </w:r>
      <w:r w:rsidR="00141CCA">
        <w:t xml:space="preserve">To ensure this recommendation </w:t>
      </w:r>
      <w:r w:rsidR="00920BAB">
        <w:t xml:space="preserve">addresses the previously described challenge of acquiring the customers necessary to host the requisite amount of capacity, thereby decreasing aggregator uncertainty, we define the </w:t>
      </w:r>
      <w:r w:rsidR="001020DA">
        <w:t xml:space="preserve">following </w:t>
      </w:r>
      <w:r w:rsidR="00920BAB">
        <w:t>requirements</w:t>
      </w:r>
      <w:r w:rsidR="001020DA">
        <w:t xml:space="preserve">: </w:t>
      </w:r>
      <w:r w:rsidR="005A24F6">
        <w:t xml:space="preserve"> </w:t>
      </w:r>
      <w:r w:rsidR="001020DA">
        <w:t xml:space="preserve">1) </w:t>
      </w:r>
      <w:r w:rsidR="00920BAB">
        <w:t xml:space="preserve">no later than April 30, each of the Utilities shall have developed a page on their website that describes this pilot, advertises the upcoming launch of the subscription, and </w:t>
      </w:r>
      <w:r w:rsidR="001020DA">
        <w:t xml:space="preserve">provides </w:t>
      </w:r>
      <w:r w:rsidR="00920BAB">
        <w:t xml:space="preserve">notice that aggregators will be looking for customers to enroll in the </w:t>
      </w:r>
      <w:r w:rsidR="007A578B">
        <w:t xml:space="preserve">Partnership </w:t>
      </w:r>
      <w:r w:rsidR="00920BAB">
        <w:t xml:space="preserve">Pilot, so </w:t>
      </w:r>
      <w:r w:rsidR="00B77CC5">
        <w:t xml:space="preserve">that </w:t>
      </w:r>
      <w:r w:rsidR="00920BAB">
        <w:t xml:space="preserve">customers </w:t>
      </w:r>
      <w:r w:rsidR="00B77CC5">
        <w:t xml:space="preserve">revisit </w:t>
      </w:r>
      <w:r w:rsidR="00920BAB">
        <w:t xml:space="preserve"> th</w:t>
      </w:r>
      <w:r w:rsidR="00B77CC5">
        <w:t>e</w:t>
      </w:r>
      <w:r w:rsidR="00920BAB">
        <w:t xml:space="preserve"> </w:t>
      </w:r>
      <w:r w:rsidR="00B77CC5">
        <w:t>web</w:t>
      </w:r>
      <w:r w:rsidR="00920BAB">
        <w:t xml:space="preserve">page </w:t>
      </w:r>
      <w:r w:rsidR="00B77CC5">
        <w:t xml:space="preserve">again </w:t>
      </w:r>
      <w:r w:rsidR="00920BAB">
        <w:t>by September 15</w:t>
      </w:r>
      <w:r w:rsidR="001020DA">
        <w:t>; and 2)</w:t>
      </w:r>
      <w:r w:rsidR="00920BAB">
        <w:t xml:space="preserve"> once aggregators have </w:t>
      </w:r>
      <w:r w:rsidR="00A000B3">
        <w:t>passed prescreening</w:t>
      </w:r>
      <w:r w:rsidR="00920BAB">
        <w:t xml:space="preserve">, Utilities shall </w:t>
      </w:r>
      <w:r w:rsidR="00920BAB">
        <w:lastRenderedPageBreak/>
        <w:t xml:space="preserve">include </w:t>
      </w:r>
      <w:r w:rsidR="00A000B3">
        <w:t xml:space="preserve">prescreened </w:t>
      </w:r>
      <w:r w:rsidR="001020DA">
        <w:t xml:space="preserve">aggregator </w:t>
      </w:r>
      <w:r w:rsidR="00920BAB">
        <w:t xml:space="preserve">contact information on the </w:t>
      </w:r>
      <w:r w:rsidR="007A578B">
        <w:t xml:space="preserve">Partnership </w:t>
      </w:r>
      <w:r w:rsidR="00920BAB">
        <w:t xml:space="preserve">Pilot web page so that customers can contact the aggregator to enroll.  </w:t>
      </w:r>
      <w:r w:rsidRPr="00A000B3" w:rsidR="00A000B3">
        <w:t>Additionally</w:t>
      </w:r>
      <w:r w:rsidR="00B77CC5">
        <w:t>,</w:t>
      </w:r>
      <w:r w:rsidRPr="00A000B3" w:rsidR="00A000B3">
        <w:t xml:space="preserve"> </w:t>
      </w:r>
      <w:r w:rsidR="00B77CC5">
        <w:t>U</w:t>
      </w:r>
      <w:r w:rsidRPr="00A000B3" w:rsidR="00A000B3">
        <w:t>tilities shall enable customers to opt-in to being contacted by eligible aggregators</w:t>
      </w:r>
      <w:r w:rsidR="00B77CC5">
        <w:t>.</w:t>
      </w:r>
      <w:r w:rsidRPr="00A000B3" w:rsidR="00A000B3">
        <w:t xml:space="preserve"> </w:t>
      </w:r>
      <w:r w:rsidR="00B77CC5">
        <w:t xml:space="preserve"> </w:t>
      </w:r>
      <w:r w:rsidR="00920BAB">
        <w:t xml:space="preserve">We find the development of the website should fulfill the challenge without any </w:t>
      </w:r>
      <w:r w:rsidR="000725B3">
        <w:t>concerns of unlawful practices</w:t>
      </w:r>
      <w:r w:rsidR="00920BAB">
        <w:t>.</w:t>
      </w:r>
      <w:r w:rsidR="006323D4">
        <w:t xml:space="preserve"> </w:t>
      </w:r>
    </w:p>
    <w:p w:rsidR="000725B3" w:rsidP="005A24F6" w:rsidRDefault="000725B3" w14:paraId="6B1A0823" w14:textId="4EFB0494">
      <w:pPr>
        <w:pStyle w:val="Standard"/>
      </w:pPr>
      <w:r>
        <w:t xml:space="preserve">With respect to the costs for these efforts, we find it reasonable to direct Utilities to track the costs in Distribution Deferral </w:t>
      </w:r>
      <w:r w:rsidR="00542DC9">
        <w:t xml:space="preserve">Administrative Costs </w:t>
      </w:r>
      <w:r>
        <w:t xml:space="preserve">Memorandum Account and seek recovery in their respective General Rate Cases.  We track these costs to ascertain a marketing fee, if the Commission would determine it reasonable to impose such a fee should the </w:t>
      </w:r>
      <w:r w:rsidR="007A578B">
        <w:t xml:space="preserve">Partnership </w:t>
      </w:r>
      <w:r>
        <w:t>Pilot become a permanent tariff.</w:t>
      </w:r>
    </w:p>
    <w:p w:rsidR="00F750F9" w:rsidP="002342F9" w:rsidRDefault="00F750F9" w14:paraId="02C4D63E" w14:textId="0ECCC518">
      <w:pPr>
        <w:pStyle w:val="Heading4"/>
      </w:pPr>
      <w:bookmarkStart w:name="_Toc63778688" w:id="32"/>
      <w:r>
        <w:t>Incrementality</w:t>
      </w:r>
      <w:bookmarkEnd w:id="32"/>
    </w:p>
    <w:p w:rsidR="00A0399B" w:rsidP="005A24F6" w:rsidRDefault="00F750F9" w14:paraId="76803024" w14:textId="04CD7C05">
      <w:pPr>
        <w:pStyle w:val="Standard"/>
      </w:pPr>
      <w:r>
        <w:t xml:space="preserve">The Staff Proposal </w:t>
      </w:r>
      <w:r w:rsidR="00C60396">
        <w:t>contends</w:t>
      </w:r>
      <w:r>
        <w:t xml:space="preserve"> </w:t>
      </w:r>
      <w:r w:rsidR="00C60396">
        <w:t>Utilities’ approaches to incrementality should be clarified and aligned to provide certainty to market participant stakeholders.  Staff explains that D.16-12-036 requires Utilities to recognize that a distributed energy resources is eligible to provide multiple incremental services and shall be compensated for each service.</w:t>
      </w:r>
      <w:r w:rsidR="00C60396">
        <w:rPr>
          <w:rStyle w:val="FootnoteReference"/>
        </w:rPr>
        <w:footnoteReference w:id="113"/>
      </w:r>
      <w:r w:rsidR="00C60396">
        <w:t xml:space="preserve">  Further, a May 11, 2020 Ruling in R.14-08-013 addressed incrementality for SGIP, NEM, and Energy Efficiency distributed energy resources in the DIDF</w:t>
      </w:r>
      <w:r w:rsidR="00A0399B">
        <w:t xml:space="preserve"> and </w:t>
      </w:r>
      <w:r w:rsidR="001C1556">
        <w:t xml:space="preserve">included incrementality requirement </w:t>
      </w:r>
      <w:r w:rsidR="00A0399B">
        <w:t>language</w:t>
      </w:r>
      <w:r w:rsidR="001C1556">
        <w:t xml:space="preserve"> for Utilities</w:t>
      </w:r>
      <w:r w:rsidR="00C60396">
        <w:t xml:space="preserve">.  Staff proposes Utilities </w:t>
      </w:r>
      <w:r w:rsidR="00A0399B">
        <w:t>adopt the language provided in the Staff Proposal, which is largely based on the language in the May 11, 2020 Ruling.</w:t>
      </w:r>
    </w:p>
    <w:p w:rsidR="00F750F9" w:rsidP="005A24F6" w:rsidRDefault="005521BF" w14:paraId="60B45F9C" w14:textId="16AB5630">
      <w:pPr>
        <w:pStyle w:val="Standard"/>
      </w:pPr>
      <w:r>
        <w:t xml:space="preserve">The Commission has determined </w:t>
      </w:r>
      <w:r w:rsidR="001C1556">
        <w:t xml:space="preserve">in D.16-12-036 </w:t>
      </w:r>
      <w:r>
        <w:t xml:space="preserve">that distributed energy resources can provide multiple incremental services and should be compensated for each service.  </w:t>
      </w:r>
      <w:r w:rsidR="00497755">
        <w:t>W</w:t>
      </w:r>
      <w:r w:rsidR="00A95C1A">
        <w:t xml:space="preserve">e find the incrementality language proposed by staff to be </w:t>
      </w:r>
      <w:r w:rsidR="00A95C1A">
        <w:lastRenderedPageBreak/>
        <w:t>reasonable</w:t>
      </w:r>
      <w:r w:rsidR="004D278A">
        <w:t xml:space="preserve"> and </w:t>
      </w:r>
      <w:r>
        <w:t xml:space="preserve">its adoption should lead to </w:t>
      </w:r>
      <w:r w:rsidR="004D278A">
        <w:t>improve</w:t>
      </w:r>
      <w:r>
        <w:t>d</w:t>
      </w:r>
      <w:r w:rsidR="004D278A">
        <w:t xml:space="preserve"> certainty for providers</w:t>
      </w:r>
      <w:r>
        <w:t xml:space="preserve"> and increased availability of distributed energy resources</w:t>
      </w:r>
      <w:r w:rsidR="004D278A">
        <w:t xml:space="preserve">.  </w:t>
      </w:r>
      <w:r w:rsidR="00A95C1A">
        <w:t>We adopt the incrementality language contained in the Staff Proposal and require Utilities to follow the language for the purposes of all distributed energy resources solicitations</w:t>
      </w:r>
      <w:r w:rsidR="001C1556">
        <w:t>, including the Partnership Pilot, the DIDF RFO, and the Standard Offer Contract Pilot</w:t>
      </w:r>
      <w:r w:rsidR="00A95C1A">
        <w:t>.</w:t>
      </w:r>
    </w:p>
    <w:p w:rsidR="004D278A" w:rsidP="005A24F6" w:rsidRDefault="004D278A" w14:paraId="65B403CF" w14:textId="5FFD2428">
      <w:pPr>
        <w:pStyle w:val="Standard"/>
      </w:pPr>
      <w:r>
        <w:t xml:space="preserve">We </w:t>
      </w:r>
      <w:r w:rsidR="00497755">
        <w:t>address</w:t>
      </w:r>
      <w:r>
        <w:t xml:space="preserve"> arguments that</w:t>
      </w:r>
      <w:r w:rsidR="00E64513">
        <w:t xml:space="preserve"> distributed energy resources receiving SGIP incentives or net energy metering tariffs should not be eligible for another incentive. </w:t>
      </w:r>
      <w:r w:rsidR="00497755">
        <w:t xml:space="preserve"> </w:t>
      </w:r>
      <w:r w:rsidR="00E64513">
        <w:t>We reiterate that payments distributed energy resources receive for enrollment and participation in this pilot are in return for a service provided</w:t>
      </w:r>
      <w:r w:rsidR="001C1556">
        <w:t>, and therefore not an incentive</w:t>
      </w:r>
      <w:r w:rsidR="00E64513">
        <w:t>.</w:t>
      </w:r>
    </w:p>
    <w:p w:rsidR="00E64513" w:rsidP="005A24F6" w:rsidRDefault="00E64513" w14:paraId="68B0A79B" w14:textId="7F21E891">
      <w:pPr>
        <w:pStyle w:val="Standard"/>
      </w:pPr>
      <w:r>
        <w:t>We decline to adopt the SCE request to allow Utilities to follow their preferred method for incrementality.  We are not persuaded by SCE’s assertion that different methods for distributed energy resources solicitation approaches would create confusion by third parties.</w:t>
      </w:r>
      <w:r>
        <w:rPr>
          <w:rStyle w:val="FootnoteReference"/>
        </w:rPr>
        <w:footnoteReference w:id="114"/>
      </w:r>
      <w:r>
        <w:t xml:space="preserve"> </w:t>
      </w:r>
      <w:r w:rsidR="005A24F6">
        <w:t xml:space="preserve"> </w:t>
      </w:r>
      <w:r>
        <w:t>The May 11, 2020 Ruling stated that incrementality approach among Utilities should be consistent.</w:t>
      </w:r>
      <w:r>
        <w:rPr>
          <w:rStyle w:val="FootnoteReference"/>
        </w:rPr>
        <w:footnoteReference w:id="115"/>
      </w:r>
      <w:r>
        <w:t xml:space="preserve">  We affirm that statement here today.  </w:t>
      </w:r>
    </w:p>
    <w:p w:rsidR="004D278A" w:rsidP="005A24F6" w:rsidRDefault="00497755" w14:paraId="6260C737" w14:textId="24281B67">
      <w:pPr>
        <w:pStyle w:val="Standard"/>
      </w:pPr>
      <w:r>
        <w:t xml:space="preserve">Lastly, </w:t>
      </w:r>
      <w:r w:rsidR="001C1556">
        <w:t>SDG&amp;E argues the Commission should not move forward with incrementality rules in this proceeding until it reforms SGIP and net energy metering.</w:t>
      </w:r>
      <w:r w:rsidR="001C1556">
        <w:rPr>
          <w:rStyle w:val="FootnoteReference"/>
        </w:rPr>
        <w:footnoteReference w:id="116"/>
      </w:r>
      <w:r w:rsidR="001C1556">
        <w:t xml:space="preserve">  We </w:t>
      </w:r>
      <w:r w:rsidR="000851F1">
        <w:t xml:space="preserve">are not aware of any reform being pursued in SGIP and we disagree that reforms in this proceeding should wait for reforms in the net energy metering proceeding.  </w:t>
      </w:r>
    </w:p>
    <w:p w:rsidR="00CF76E4" w:rsidP="00097CC8" w:rsidRDefault="00CF76E4" w14:paraId="3EA4CC23" w14:textId="1B37BA52">
      <w:pPr>
        <w:pStyle w:val="Heading2"/>
      </w:pPr>
      <w:bookmarkStart w:name="_Toc63778689" w:id="33"/>
      <w:r>
        <w:lastRenderedPageBreak/>
        <w:t>Request for Offer Streamlining</w:t>
      </w:r>
      <w:bookmarkEnd w:id="33"/>
    </w:p>
    <w:p w:rsidR="00CF76E4" w:rsidP="005A24F6" w:rsidRDefault="007D4847" w14:paraId="533835FA" w14:textId="6A1B4161">
      <w:pPr>
        <w:pStyle w:val="Standard"/>
      </w:pPr>
      <w:r>
        <w:t>Below we discuss the proposed revisions to the current RFO process and the party comments to those proposed revisions</w:t>
      </w:r>
      <w:r w:rsidR="00CF76E4">
        <w:t>.</w:t>
      </w:r>
      <w:r>
        <w:t xml:space="preserve">  As discussed in detail below, we adopt </w:t>
      </w:r>
      <w:r w:rsidR="00027DEC">
        <w:t>elimination of the November 15 Tier 2 Advice Letters</w:t>
      </w:r>
      <w:r w:rsidR="00B566A1">
        <w:t xml:space="preserve">, </w:t>
      </w:r>
      <w:r w:rsidR="00AE2A69">
        <w:t xml:space="preserve">and </w:t>
      </w:r>
      <w:r w:rsidR="00027DEC">
        <w:t>the additional language to Reform No. 40</w:t>
      </w:r>
      <w:r w:rsidR="00B566A1">
        <w:t>.</w:t>
      </w:r>
    </w:p>
    <w:p w:rsidR="000911A8" w:rsidP="00097CC8" w:rsidRDefault="000911A8" w14:paraId="7CAF5BE9" w14:textId="3987FECD">
      <w:pPr>
        <w:pStyle w:val="Heading3"/>
      </w:pPr>
      <w:bookmarkStart w:name="_Toc63778690" w:id="34"/>
      <w:r>
        <w:t xml:space="preserve">Proposed Revisions to </w:t>
      </w:r>
      <w:r w:rsidR="00C062C9">
        <w:t xml:space="preserve">the Current </w:t>
      </w:r>
      <w:r>
        <w:t>Request for Offer</w:t>
      </w:r>
      <w:r w:rsidR="00C062C9">
        <w:t xml:space="preserve"> Process</w:t>
      </w:r>
      <w:bookmarkEnd w:id="34"/>
    </w:p>
    <w:p w:rsidR="00AD4AFF" w:rsidP="005A24F6" w:rsidRDefault="003D59C6" w14:paraId="0F266652" w14:textId="08E1ED14">
      <w:pPr>
        <w:pStyle w:val="Standard"/>
      </w:pPr>
      <w:r>
        <w:t xml:space="preserve">The Staff Proposal offers </w:t>
      </w:r>
      <w:r w:rsidR="00D96AED">
        <w:t>three</w:t>
      </w:r>
      <w:r w:rsidR="00D22193">
        <w:t xml:space="preserve"> </w:t>
      </w:r>
      <w:r>
        <w:t>revisions to the current RFO pro</w:t>
      </w:r>
      <w:r w:rsidR="00D46C4F">
        <w:t>cess</w:t>
      </w:r>
      <w:r w:rsidR="00DD7ACD">
        <w:t>.</w:t>
      </w:r>
      <w:r w:rsidR="00D22193">
        <w:t xml:space="preserve">  </w:t>
      </w:r>
    </w:p>
    <w:p w:rsidR="00AD4AFF" w:rsidP="005A24F6" w:rsidRDefault="00D22193" w14:paraId="021A6500" w14:textId="1D056557">
      <w:pPr>
        <w:pStyle w:val="Standard"/>
      </w:pPr>
      <w:r>
        <w:t xml:space="preserve">First, to enable Utilities to more expeditiously procure distributed energy resources to defer grid needs, the Staff Proposal recommends elimination of </w:t>
      </w:r>
      <w:r w:rsidR="004A6EEA">
        <w:t xml:space="preserve">the </w:t>
      </w:r>
      <w:r w:rsidR="00CE2FA7">
        <w:t xml:space="preserve">Utilities’ </w:t>
      </w:r>
      <w:r w:rsidR="004A6EEA">
        <w:t xml:space="preserve">November 15 </w:t>
      </w:r>
      <w:r>
        <w:t>Tier 2 Advice Letter</w:t>
      </w:r>
      <w:r w:rsidR="00CE2FA7">
        <w:t>s</w:t>
      </w:r>
      <w:r>
        <w:t xml:space="preserve"> seeking approval to launch RFOs on Tier 1 deferral opportunities.  This would allow Utilities </w:t>
      </w:r>
      <w:r w:rsidR="00CE2FA7">
        <w:t xml:space="preserve">to launch RFOs </w:t>
      </w:r>
      <w:r w:rsidR="00D96AED">
        <w:t xml:space="preserve">on August 15, which is </w:t>
      </w:r>
      <w:r w:rsidR="00CE2FA7">
        <w:t>five months earlier in the solicitation schedule.</w:t>
      </w:r>
      <w:r w:rsidR="00F21620">
        <w:t xml:space="preserve">  </w:t>
      </w:r>
    </w:p>
    <w:p w:rsidR="00AD4AFF" w:rsidP="005A24F6" w:rsidRDefault="00CE2FA7" w14:paraId="5205520F" w14:textId="0EF815FE">
      <w:pPr>
        <w:pStyle w:val="Standard"/>
      </w:pPr>
      <w:r>
        <w:t>Second, the November 15 Advice Letter would continue to be required seeking approval to not launch an RFP for any remaining deferral opportunities</w:t>
      </w:r>
      <w:r w:rsidR="00AD4DC6">
        <w:t xml:space="preserve">, as amended by Reform No. 40 in the May 7, 2019 </w:t>
      </w:r>
      <w:r w:rsidRPr="00AD4DC6" w:rsidR="00AD4DC6">
        <w:rPr>
          <w:i/>
          <w:iCs/>
        </w:rPr>
        <w:t>Administrative Law Judge Ruling Modifying the Distribution Investment Deferral Framework Filing and Process Requirements.</w:t>
      </w:r>
      <w:r w:rsidR="00AD4DC6">
        <w:t xml:space="preserve">  </w:t>
      </w:r>
      <w:r w:rsidR="00D96AED">
        <w:t>However, S</w:t>
      </w:r>
      <w:r w:rsidR="004A6EEA">
        <w:t xml:space="preserve">taff proposes that </w:t>
      </w:r>
      <w:r>
        <w:t>Reform No. 40 be revised to add the phrase, “or other planned investments</w:t>
      </w:r>
      <w:r w:rsidR="00D96AED">
        <w:t>.</w:t>
      </w:r>
      <w:r w:rsidR="00AD4DC6">
        <w:t>”</w:t>
      </w:r>
    </w:p>
    <w:p w:rsidR="00AD4AFF" w:rsidP="005A24F6" w:rsidRDefault="00AD4AFF" w14:paraId="210B3515" w14:textId="55C974F8">
      <w:pPr>
        <w:pStyle w:val="Standard"/>
      </w:pPr>
      <w:r>
        <w:t xml:space="preserve">The Staff Proposal highlights two previous reforms </w:t>
      </w:r>
      <w:r w:rsidR="00AD4DC6">
        <w:t xml:space="preserve">also </w:t>
      </w:r>
      <w:r>
        <w:t xml:space="preserve">approved in the </w:t>
      </w:r>
      <w:r w:rsidR="00AD4DC6">
        <w:t xml:space="preserve">previously cited </w:t>
      </w:r>
      <w:r>
        <w:t xml:space="preserve">May 7, 2019 </w:t>
      </w:r>
      <w:r w:rsidRPr="00AD4DC6">
        <w:t>Administrative Law Judge Ruling</w:t>
      </w:r>
      <w:r>
        <w:t xml:space="preserve">: </w:t>
      </w:r>
      <w:r w:rsidR="005A24F6">
        <w:t xml:space="preserve"> </w:t>
      </w:r>
      <w:r>
        <w:t xml:space="preserve">1) Reform 42, whereby Utilities are no longer required to explain minor changes to forecast operational requirements, cost caps, or planned investment costs that do not impact deferral viability after the RFO launch and throughout the contract period; and 2) Reform 41, whereby Utilities are no longer required to file a Tier 2 Advice Letter for contract approval if the forecast and operational requirements </w:t>
      </w:r>
      <w:r>
        <w:lastRenderedPageBreak/>
        <w:t>do not change.  The Tier 2 Advice Letter was replaced by a</w:t>
      </w:r>
      <w:r w:rsidR="00AD4DC6">
        <w:t>n Information Only Submittal with the Energy Division upon contract execution.</w:t>
      </w:r>
    </w:p>
    <w:p w:rsidR="00AD4DC6" w:rsidP="005A24F6" w:rsidRDefault="00AD4DC6" w14:paraId="7B978570" w14:textId="1FAAD1DB">
      <w:pPr>
        <w:pStyle w:val="Standard"/>
      </w:pPr>
      <w:r>
        <w:t>Table 2, below, presents a timeline of the current RFO process and proposed revisions.</w:t>
      </w:r>
    </w:p>
    <w:tbl>
      <w:tblPr>
        <w:tblStyle w:val="TableGrid"/>
        <w:tblW w:w="0" w:type="auto"/>
        <w:tblLook w:val="04A0" w:firstRow="1" w:lastRow="0" w:firstColumn="1" w:lastColumn="0" w:noHBand="0" w:noVBand="1"/>
      </w:tblPr>
      <w:tblGrid>
        <w:gridCol w:w="2335"/>
        <w:gridCol w:w="3126"/>
        <w:gridCol w:w="3889"/>
      </w:tblGrid>
      <w:tr w:rsidR="00DD7ACD" w:rsidTr="00D44D30" w14:paraId="465B6C60" w14:textId="77777777">
        <w:trPr>
          <w:tblHeader/>
        </w:trPr>
        <w:tc>
          <w:tcPr>
            <w:tcW w:w="9350" w:type="dxa"/>
            <w:gridSpan w:val="3"/>
          </w:tcPr>
          <w:p w:rsidRPr="00AD4DC6" w:rsidR="00DD7ACD" w:rsidP="007C6914" w:rsidRDefault="00DD7ACD" w14:paraId="7A8CE185" w14:textId="77777777">
            <w:pPr>
              <w:keepLines/>
              <w:spacing w:line="240" w:lineRule="auto"/>
              <w:ind w:firstLine="0"/>
              <w:jc w:val="center"/>
              <w:rPr>
                <w:b/>
                <w:bCs/>
              </w:rPr>
            </w:pPr>
            <w:r w:rsidRPr="00AD4DC6">
              <w:rPr>
                <w:b/>
                <w:bCs/>
              </w:rPr>
              <w:t>Table 2</w:t>
            </w:r>
          </w:p>
          <w:p w:rsidR="00DD7ACD" w:rsidP="007C6914" w:rsidRDefault="00DD7ACD" w14:paraId="47C4075E" w14:textId="6123C927">
            <w:pPr>
              <w:keepLines/>
              <w:spacing w:line="240" w:lineRule="auto"/>
              <w:ind w:firstLine="0"/>
              <w:jc w:val="center"/>
            </w:pPr>
            <w:r w:rsidRPr="00AD4DC6">
              <w:rPr>
                <w:b/>
                <w:bCs/>
              </w:rPr>
              <w:t>Current RFO Process</w:t>
            </w:r>
            <w:r w:rsidRPr="00AD4DC6" w:rsidR="00D44D30">
              <w:rPr>
                <w:b/>
                <w:bCs/>
              </w:rPr>
              <w:t xml:space="preserve"> and Proposed Revisions</w:t>
            </w:r>
          </w:p>
        </w:tc>
      </w:tr>
      <w:tr w:rsidRPr="00DD7ACD" w:rsidR="00DD7ACD" w:rsidTr="001714E2" w14:paraId="691B754B" w14:textId="77777777">
        <w:tc>
          <w:tcPr>
            <w:tcW w:w="2335" w:type="dxa"/>
          </w:tcPr>
          <w:p w:rsidRPr="00DD7ACD" w:rsidR="00DD7ACD" w:rsidP="007C6914" w:rsidRDefault="00DD7ACD" w14:paraId="3C5986CD" w14:textId="391081DF">
            <w:pPr>
              <w:keepLines/>
              <w:spacing w:line="240" w:lineRule="auto"/>
              <w:ind w:firstLine="0"/>
              <w:jc w:val="center"/>
              <w:rPr>
                <w:b/>
                <w:bCs/>
              </w:rPr>
            </w:pPr>
            <w:r w:rsidRPr="00DD7ACD">
              <w:rPr>
                <w:b/>
                <w:bCs/>
              </w:rPr>
              <w:t>Date</w:t>
            </w:r>
          </w:p>
        </w:tc>
        <w:tc>
          <w:tcPr>
            <w:tcW w:w="3126" w:type="dxa"/>
          </w:tcPr>
          <w:p w:rsidRPr="00DD7ACD" w:rsidR="00DD7ACD" w:rsidP="007C6914" w:rsidRDefault="00DD7ACD" w14:paraId="51953DD7" w14:textId="58E729E6">
            <w:pPr>
              <w:keepLines/>
              <w:spacing w:line="240" w:lineRule="auto"/>
              <w:ind w:firstLine="0"/>
              <w:jc w:val="center"/>
              <w:rPr>
                <w:b/>
                <w:bCs/>
              </w:rPr>
            </w:pPr>
            <w:r w:rsidRPr="00DD7ACD">
              <w:rPr>
                <w:b/>
                <w:bCs/>
              </w:rPr>
              <w:t>Current Process</w:t>
            </w:r>
          </w:p>
        </w:tc>
        <w:tc>
          <w:tcPr>
            <w:tcW w:w="3889" w:type="dxa"/>
          </w:tcPr>
          <w:p w:rsidRPr="00DD7ACD" w:rsidR="00DD7ACD" w:rsidP="007C6914" w:rsidRDefault="00DD7ACD" w14:paraId="65723300" w14:textId="156F5D05">
            <w:pPr>
              <w:keepLines/>
              <w:spacing w:line="240" w:lineRule="auto"/>
              <w:ind w:firstLine="0"/>
              <w:jc w:val="center"/>
              <w:rPr>
                <w:b/>
                <w:bCs/>
              </w:rPr>
            </w:pPr>
            <w:r w:rsidRPr="00DD7ACD">
              <w:rPr>
                <w:b/>
                <w:bCs/>
              </w:rPr>
              <w:t>Revis</w:t>
            </w:r>
            <w:r w:rsidR="00793A2A">
              <w:rPr>
                <w:b/>
                <w:bCs/>
              </w:rPr>
              <w:t>ed Process</w:t>
            </w:r>
          </w:p>
        </w:tc>
      </w:tr>
      <w:tr w:rsidR="00DD7ACD" w:rsidTr="001714E2" w14:paraId="338A8AF6" w14:textId="77777777">
        <w:tc>
          <w:tcPr>
            <w:tcW w:w="2335" w:type="dxa"/>
          </w:tcPr>
          <w:p w:rsidR="00DD7ACD" w:rsidP="007C6914" w:rsidRDefault="00DD7ACD" w14:paraId="5D6FA678" w14:textId="38C0D7EE">
            <w:pPr>
              <w:keepLines/>
              <w:spacing w:line="240" w:lineRule="auto"/>
              <w:ind w:firstLine="0"/>
            </w:pPr>
            <w:r>
              <w:t>Spring 2021</w:t>
            </w:r>
          </w:p>
        </w:tc>
        <w:tc>
          <w:tcPr>
            <w:tcW w:w="3126" w:type="dxa"/>
          </w:tcPr>
          <w:p w:rsidR="00DD7ACD" w:rsidP="007C6914" w:rsidRDefault="00DD7ACD" w14:paraId="420379D1" w14:textId="77777777">
            <w:pPr>
              <w:pStyle w:val="ListParagraph"/>
              <w:keepLines/>
              <w:numPr>
                <w:ilvl w:val="0"/>
                <w:numId w:val="10"/>
              </w:numPr>
              <w:spacing w:line="240" w:lineRule="auto"/>
              <w:ind w:left="380"/>
            </w:pPr>
            <w:r>
              <w:t>DIDF Reforms Ruling</w:t>
            </w:r>
          </w:p>
          <w:p w:rsidR="00DD7ACD" w:rsidP="007C6914" w:rsidRDefault="00DD7ACD" w14:paraId="1F523CD6" w14:textId="7303EDF4">
            <w:pPr>
              <w:pStyle w:val="ListParagraph"/>
              <w:keepLines/>
              <w:numPr>
                <w:ilvl w:val="0"/>
                <w:numId w:val="10"/>
              </w:numPr>
              <w:spacing w:line="240" w:lineRule="auto"/>
              <w:ind w:left="380"/>
            </w:pPr>
            <w:r>
              <w:t>Pre DPAG</w:t>
            </w:r>
          </w:p>
        </w:tc>
        <w:tc>
          <w:tcPr>
            <w:tcW w:w="3889" w:type="dxa"/>
          </w:tcPr>
          <w:p w:rsidR="00DD7ACD" w:rsidP="007C6914" w:rsidRDefault="00DD7ACD" w14:paraId="0FBE2F15" w14:textId="77777777">
            <w:pPr>
              <w:pStyle w:val="ListParagraph"/>
              <w:keepLines/>
              <w:numPr>
                <w:ilvl w:val="0"/>
                <w:numId w:val="11"/>
              </w:numPr>
              <w:spacing w:line="240" w:lineRule="auto"/>
              <w:ind w:left="360"/>
            </w:pPr>
            <w:r>
              <w:t>No change</w:t>
            </w:r>
          </w:p>
          <w:p w:rsidR="00DD7ACD" w:rsidP="007C6914" w:rsidRDefault="00DD7ACD" w14:paraId="1CE200E1" w14:textId="77777777">
            <w:pPr>
              <w:pStyle w:val="ListParagraph"/>
              <w:keepLines/>
              <w:numPr>
                <w:ilvl w:val="0"/>
                <w:numId w:val="11"/>
              </w:numPr>
              <w:spacing w:line="240" w:lineRule="auto"/>
              <w:ind w:left="360"/>
            </w:pPr>
            <w:r>
              <w:t>No change</w:t>
            </w:r>
          </w:p>
          <w:p w:rsidR="00DD7ACD" w:rsidP="005F3384" w:rsidRDefault="00DD7ACD" w14:paraId="30F49F28" w14:textId="55E5644F">
            <w:pPr>
              <w:pStyle w:val="ListParagraph"/>
              <w:keepLines/>
              <w:spacing w:line="240" w:lineRule="auto"/>
              <w:ind w:left="360" w:firstLine="0"/>
            </w:pPr>
          </w:p>
        </w:tc>
      </w:tr>
      <w:tr w:rsidR="00DD7ACD" w:rsidTr="001714E2" w14:paraId="50C82272" w14:textId="77777777">
        <w:tc>
          <w:tcPr>
            <w:tcW w:w="2335" w:type="dxa"/>
          </w:tcPr>
          <w:p w:rsidR="00DD7ACD" w:rsidP="007C6914" w:rsidRDefault="00DD7ACD" w14:paraId="6501D981" w14:textId="66D5C994">
            <w:pPr>
              <w:keepLines/>
              <w:spacing w:line="240" w:lineRule="auto"/>
              <w:ind w:firstLine="0"/>
            </w:pPr>
            <w:r>
              <w:t>Spring/Summer 2021</w:t>
            </w:r>
          </w:p>
        </w:tc>
        <w:tc>
          <w:tcPr>
            <w:tcW w:w="3126" w:type="dxa"/>
          </w:tcPr>
          <w:p w:rsidR="00DD7ACD" w:rsidP="007C6914" w:rsidRDefault="00DD7ACD" w14:paraId="13021769" w14:textId="2BE93E0C">
            <w:pPr>
              <w:keepLines/>
              <w:spacing w:line="240" w:lineRule="auto"/>
              <w:ind w:firstLine="0"/>
            </w:pPr>
            <w:r>
              <w:t>Pre-DPAG continued</w:t>
            </w:r>
          </w:p>
        </w:tc>
        <w:tc>
          <w:tcPr>
            <w:tcW w:w="3889" w:type="dxa"/>
          </w:tcPr>
          <w:p w:rsidR="00DD7ACD" w:rsidP="007C6914" w:rsidRDefault="00DD7ACD" w14:paraId="10FA12A4" w14:textId="77777777">
            <w:pPr>
              <w:pStyle w:val="ListParagraph"/>
              <w:keepLines/>
              <w:numPr>
                <w:ilvl w:val="0"/>
                <w:numId w:val="12"/>
              </w:numPr>
              <w:spacing w:line="240" w:lineRule="auto"/>
              <w:ind w:left="360"/>
            </w:pPr>
            <w:r>
              <w:t>No change</w:t>
            </w:r>
          </w:p>
          <w:p w:rsidR="00DD7ACD" w:rsidP="005F3384" w:rsidRDefault="00DD7ACD" w14:paraId="5248E00D" w14:textId="23CDDC1B">
            <w:pPr>
              <w:pStyle w:val="ListParagraph"/>
              <w:keepLines/>
              <w:spacing w:line="240" w:lineRule="auto"/>
              <w:ind w:left="360" w:firstLine="0"/>
            </w:pPr>
          </w:p>
        </w:tc>
      </w:tr>
      <w:tr w:rsidR="00DD7ACD" w:rsidTr="001714E2" w14:paraId="78DD0D85" w14:textId="77777777">
        <w:tc>
          <w:tcPr>
            <w:tcW w:w="2335" w:type="dxa"/>
          </w:tcPr>
          <w:p w:rsidR="00DD7ACD" w:rsidP="007C6914" w:rsidRDefault="009D30DC" w14:paraId="28DE5372" w14:textId="2B8DE28A">
            <w:pPr>
              <w:keepLines/>
              <w:spacing w:line="240" w:lineRule="auto"/>
              <w:ind w:firstLine="0"/>
            </w:pPr>
            <w:r>
              <w:t>August 15, 2021</w:t>
            </w:r>
          </w:p>
        </w:tc>
        <w:tc>
          <w:tcPr>
            <w:tcW w:w="3126" w:type="dxa"/>
          </w:tcPr>
          <w:p w:rsidR="00DD7ACD" w:rsidP="007C6914" w:rsidRDefault="009D30DC" w14:paraId="59A38723" w14:textId="2197A634">
            <w:pPr>
              <w:pStyle w:val="ListParagraph"/>
              <w:keepLines/>
              <w:numPr>
                <w:ilvl w:val="0"/>
                <w:numId w:val="13"/>
              </w:numPr>
              <w:spacing w:line="240" w:lineRule="auto"/>
              <w:ind w:left="380"/>
            </w:pPr>
            <w:r>
              <w:t>GNA/DDOR filings, Final IPE</w:t>
            </w:r>
            <w:r w:rsidR="00AD4DC6">
              <w:rPr>
                <w:rStyle w:val="FootnoteReference"/>
              </w:rPr>
              <w:footnoteReference w:id="117"/>
            </w:r>
            <w:r>
              <w:t xml:space="preserve"> Plans </w:t>
            </w:r>
            <w:proofErr w:type="gramStart"/>
            <w:r>
              <w:t>circulated</w:t>
            </w:r>
            <w:proofErr w:type="gramEnd"/>
          </w:p>
          <w:p w:rsidR="009D30DC" w:rsidP="007C6914" w:rsidRDefault="009D30DC" w14:paraId="743402B2" w14:textId="044FC42F">
            <w:pPr>
              <w:pStyle w:val="ListParagraph"/>
              <w:keepLines/>
              <w:numPr>
                <w:ilvl w:val="0"/>
                <w:numId w:val="13"/>
              </w:numPr>
              <w:spacing w:line="240" w:lineRule="auto"/>
              <w:ind w:left="380"/>
            </w:pPr>
            <w:r>
              <w:t>DPAG period begins</w:t>
            </w:r>
          </w:p>
        </w:tc>
        <w:tc>
          <w:tcPr>
            <w:tcW w:w="3889" w:type="dxa"/>
          </w:tcPr>
          <w:p w:rsidR="00DD7ACD" w:rsidP="007C6914" w:rsidRDefault="009D30DC" w14:paraId="6B69D6A3" w14:textId="77777777">
            <w:pPr>
              <w:pStyle w:val="ListParagraph"/>
              <w:keepLines/>
              <w:numPr>
                <w:ilvl w:val="0"/>
                <w:numId w:val="14"/>
              </w:numPr>
              <w:spacing w:line="240" w:lineRule="auto"/>
              <w:ind w:left="360"/>
            </w:pPr>
            <w:r>
              <w:t>No change</w:t>
            </w:r>
          </w:p>
          <w:p w:rsidR="009D30DC" w:rsidP="007C6914" w:rsidRDefault="009D30DC" w14:paraId="129F42D5" w14:textId="77777777">
            <w:pPr>
              <w:pStyle w:val="ListParagraph"/>
              <w:keepLines/>
              <w:numPr>
                <w:ilvl w:val="0"/>
                <w:numId w:val="14"/>
              </w:numPr>
              <w:spacing w:line="240" w:lineRule="auto"/>
              <w:ind w:left="360"/>
            </w:pPr>
            <w:r>
              <w:t>No change</w:t>
            </w:r>
          </w:p>
          <w:p w:rsidR="009D30DC" w:rsidP="007C6914" w:rsidRDefault="009D30DC" w14:paraId="65A2ECA2" w14:textId="77777777">
            <w:pPr>
              <w:pStyle w:val="ListParagraph"/>
              <w:keepLines/>
              <w:numPr>
                <w:ilvl w:val="0"/>
                <w:numId w:val="14"/>
              </w:numPr>
              <w:spacing w:line="240" w:lineRule="auto"/>
              <w:ind w:left="360"/>
            </w:pPr>
            <w:r>
              <w:t xml:space="preserve">Utilities launch </w:t>
            </w:r>
            <w:proofErr w:type="gramStart"/>
            <w:r>
              <w:t>RFOs</w:t>
            </w:r>
            <w:proofErr w:type="gramEnd"/>
          </w:p>
          <w:p w:rsidR="009D30DC" w:rsidP="007C6914" w:rsidRDefault="009D30DC" w14:paraId="0A584F0B" w14:textId="6C14B90B">
            <w:pPr>
              <w:pStyle w:val="ListParagraph"/>
              <w:keepLines/>
              <w:numPr>
                <w:ilvl w:val="0"/>
                <w:numId w:val="14"/>
              </w:numPr>
              <w:spacing w:line="240" w:lineRule="auto"/>
              <w:ind w:left="360"/>
            </w:pPr>
            <w:r>
              <w:t>Utilities launch SCO pilot for one Tier 1 deferral candidate</w:t>
            </w:r>
          </w:p>
        </w:tc>
      </w:tr>
      <w:tr w:rsidR="00DD7ACD" w:rsidTr="001714E2" w14:paraId="3D3BF3A6" w14:textId="77777777">
        <w:tc>
          <w:tcPr>
            <w:tcW w:w="2335" w:type="dxa"/>
          </w:tcPr>
          <w:p w:rsidR="00DD7ACD" w:rsidP="007C6914" w:rsidRDefault="009D30DC" w14:paraId="535C8DD1" w14:textId="4D23560E">
            <w:pPr>
              <w:keepLines/>
              <w:spacing w:line="240" w:lineRule="auto"/>
              <w:ind w:firstLine="0"/>
            </w:pPr>
            <w:r>
              <w:t>September 5, 2021</w:t>
            </w:r>
          </w:p>
        </w:tc>
        <w:tc>
          <w:tcPr>
            <w:tcW w:w="3126" w:type="dxa"/>
          </w:tcPr>
          <w:p w:rsidR="00DD7ACD" w:rsidP="007C6914" w:rsidRDefault="009D30DC" w14:paraId="20B97759" w14:textId="33DC7515">
            <w:pPr>
              <w:keepLines/>
              <w:spacing w:line="240" w:lineRule="auto"/>
              <w:ind w:firstLine="0"/>
            </w:pPr>
            <w:r>
              <w:t>IPE Preliminary Analysis of GNA/DDOR Data Adequacy for Utilities</w:t>
            </w:r>
          </w:p>
        </w:tc>
        <w:tc>
          <w:tcPr>
            <w:tcW w:w="3889" w:type="dxa"/>
          </w:tcPr>
          <w:p w:rsidR="00DD7ACD" w:rsidP="007C6914" w:rsidRDefault="009D30DC" w14:paraId="062464CE" w14:textId="350B140E">
            <w:pPr>
              <w:keepLines/>
              <w:spacing w:line="240" w:lineRule="auto"/>
              <w:ind w:firstLine="0"/>
            </w:pPr>
            <w:r>
              <w:t>No change</w:t>
            </w:r>
          </w:p>
        </w:tc>
      </w:tr>
      <w:tr w:rsidR="00DD7ACD" w:rsidTr="001714E2" w14:paraId="45BB45B1" w14:textId="77777777">
        <w:tc>
          <w:tcPr>
            <w:tcW w:w="2335" w:type="dxa"/>
          </w:tcPr>
          <w:p w:rsidR="00DD7ACD" w:rsidP="007C6914" w:rsidRDefault="009D30DC" w14:paraId="3FFF05B7" w14:textId="4E1D975A">
            <w:pPr>
              <w:keepLines/>
              <w:spacing w:line="240" w:lineRule="auto"/>
              <w:ind w:firstLine="0"/>
            </w:pPr>
            <w:r>
              <w:t>September – November 2021</w:t>
            </w:r>
          </w:p>
        </w:tc>
        <w:tc>
          <w:tcPr>
            <w:tcW w:w="3126" w:type="dxa"/>
          </w:tcPr>
          <w:p w:rsidR="00DD7ACD" w:rsidP="007C6914" w:rsidRDefault="009D30DC" w14:paraId="72426895" w14:textId="77777777">
            <w:pPr>
              <w:pStyle w:val="ListParagraph"/>
              <w:keepLines/>
              <w:numPr>
                <w:ilvl w:val="0"/>
                <w:numId w:val="15"/>
              </w:numPr>
              <w:spacing w:line="240" w:lineRule="auto"/>
              <w:ind w:left="380"/>
            </w:pPr>
            <w:r>
              <w:t>DPAG meetings</w:t>
            </w:r>
          </w:p>
          <w:p w:rsidR="009D30DC" w:rsidP="007C6914" w:rsidRDefault="009D30DC" w14:paraId="3E40A39A" w14:textId="77777777">
            <w:pPr>
              <w:pStyle w:val="ListParagraph"/>
              <w:keepLines/>
              <w:numPr>
                <w:ilvl w:val="0"/>
                <w:numId w:val="15"/>
              </w:numPr>
              <w:spacing w:line="240" w:lineRule="auto"/>
              <w:ind w:left="380"/>
            </w:pPr>
            <w:r>
              <w:t>Tier 2 Advice Letter seeking approval to launch RFO (11/15/2021)</w:t>
            </w:r>
          </w:p>
          <w:p w:rsidR="009D30DC" w:rsidP="007C6914" w:rsidRDefault="009D30DC" w14:paraId="358B123A" w14:textId="5E76A990">
            <w:pPr>
              <w:pStyle w:val="ListParagraph"/>
              <w:keepLines/>
              <w:numPr>
                <w:ilvl w:val="0"/>
                <w:numId w:val="15"/>
              </w:numPr>
              <w:spacing w:line="240" w:lineRule="auto"/>
              <w:ind w:left="380"/>
            </w:pPr>
            <w:r>
              <w:t xml:space="preserve">Tier 2 Advice Letter for not launching RFPs for all </w:t>
            </w:r>
          </w:p>
        </w:tc>
        <w:tc>
          <w:tcPr>
            <w:tcW w:w="3889" w:type="dxa"/>
          </w:tcPr>
          <w:p w:rsidR="00DD7ACD" w:rsidP="007C6914" w:rsidRDefault="006E52BC" w14:paraId="5015785C" w14:textId="77777777">
            <w:pPr>
              <w:pStyle w:val="ListParagraph"/>
              <w:keepLines/>
              <w:numPr>
                <w:ilvl w:val="0"/>
                <w:numId w:val="16"/>
              </w:numPr>
              <w:spacing w:line="240" w:lineRule="auto"/>
              <w:ind w:left="380"/>
            </w:pPr>
            <w:r>
              <w:t>No change</w:t>
            </w:r>
          </w:p>
          <w:p w:rsidR="006E52BC" w:rsidP="007C6914" w:rsidRDefault="006E52BC" w14:paraId="795540B4" w14:textId="2B81C596">
            <w:pPr>
              <w:pStyle w:val="ListParagraph"/>
              <w:keepLines/>
              <w:numPr>
                <w:ilvl w:val="0"/>
                <w:numId w:val="16"/>
              </w:numPr>
              <w:spacing w:line="240" w:lineRule="auto"/>
              <w:ind w:left="380"/>
            </w:pPr>
            <w:r>
              <w:t xml:space="preserve">Tier 2 Advice Letter </w:t>
            </w:r>
            <w:r w:rsidR="004A6EEA">
              <w:t xml:space="preserve">seeking approval to launch </w:t>
            </w:r>
            <w:r w:rsidR="00E90A50">
              <w:t>RFOs for projects elevated to Tier One during the DPAG meeting</w:t>
            </w:r>
          </w:p>
          <w:p w:rsidR="006E52BC" w:rsidP="007C6914" w:rsidRDefault="006E52BC" w14:paraId="3346FF42" w14:textId="5D6D5E38">
            <w:pPr>
              <w:pStyle w:val="ListParagraph"/>
              <w:keepLines/>
              <w:numPr>
                <w:ilvl w:val="0"/>
                <w:numId w:val="16"/>
              </w:numPr>
              <w:spacing w:line="240" w:lineRule="auto"/>
              <w:ind w:left="380"/>
            </w:pPr>
            <w:r>
              <w:t>No change</w:t>
            </w:r>
          </w:p>
        </w:tc>
      </w:tr>
      <w:tr w:rsidR="006E52BC" w:rsidTr="001714E2" w14:paraId="356C901D" w14:textId="77777777">
        <w:tc>
          <w:tcPr>
            <w:tcW w:w="2335" w:type="dxa"/>
          </w:tcPr>
          <w:p w:rsidR="006E52BC" w:rsidP="007C6914" w:rsidRDefault="006E52BC" w14:paraId="46206DE4" w14:textId="15F37DB8">
            <w:pPr>
              <w:keepLines/>
              <w:spacing w:line="240" w:lineRule="auto"/>
              <w:ind w:firstLine="0"/>
            </w:pPr>
            <w:r>
              <w:t>December 2021- Spring 2022</w:t>
            </w:r>
          </w:p>
        </w:tc>
        <w:tc>
          <w:tcPr>
            <w:tcW w:w="3126" w:type="dxa"/>
          </w:tcPr>
          <w:p w:rsidR="006E52BC" w:rsidP="007C6914" w:rsidRDefault="006E52BC" w14:paraId="059FBD88" w14:textId="77777777">
            <w:pPr>
              <w:pStyle w:val="ListParagraph"/>
              <w:keepLines/>
              <w:numPr>
                <w:ilvl w:val="0"/>
                <w:numId w:val="17"/>
              </w:numPr>
              <w:spacing w:line="240" w:lineRule="auto"/>
              <w:ind w:left="380"/>
            </w:pPr>
            <w:r>
              <w:t>Post-DPAG</w:t>
            </w:r>
          </w:p>
          <w:p w:rsidR="006E52BC" w:rsidP="007C6914" w:rsidRDefault="006E52BC" w14:paraId="122387CA" w14:textId="77777777">
            <w:pPr>
              <w:pStyle w:val="ListParagraph"/>
              <w:keepLines/>
              <w:numPr>
                <w:ilvl w:val="0"/>
                <w:numId w:val="17"/>
              </w:numPr>
              <w:spacing w:line="240" w:lineRule="auto"/>
              <w:ind w:left="380"/>
            </w:pPr>
            <w:r>
              <w:lastRenderedPageBreak/>
              <w:t xml:space="preserve">Review and approval of Advice Letter seeking approval to launch RFOs and Advice Letter for not </w:t>
            </w:r>
            <w:proofErr w:type="gramStart"/>
            <w:r>
              <w:t>launching</w:t>
            </w:r>
            <w:proofErr w:type="gramEnd"/>
            <w:r>
              <w:t xml:space="preserve"> </w:t>
            </w:r>
          </w:p>
          <w:p w:rsidR="004A6EEA" w:rsidP="007C6914" w:rsidRDefault="004A6EEA" w14:paraId="6524AAB4" w14:textId="578BB4E1">
            <w:pPr>
              <w:pStyle w:val="ListParagraph"/>
              <w:keepLines/>
              <w:numPr>
                <w:ilvl w:val="0"/>
                <w:numId w:val="17"/>
              </w:numPr>
              <w:spacing w:line="240" w:lineRule="auto"/>
              <w:ind w:left="380"/>
            </w:pPr>
            <w:r>
              <w:t xml:space="preserve">DIDF reform process </w:t>
            </w:r>
          </w:p>
        </w:tc>
        <w:tc>
          <w:tcPr>
            <w:tcW w:w="3889" w:type="dxa"/>
          </w:tcPr>
          <w:p w:rsidR="006E52BC" w:rsidP="007C6914" w:rsidRDefault="004A6EEA" w14:paraId="55F64D6B" w14:textId="77777777">
            <w:pPr>
              <w:pStyle w:val="ListParagraph"/>
              <w:keepLines/>
              <w:numPr>
                <w:ilvl w:val="0"/>
                <w:numId w:val="19"/>
              </w:numPr>
              <w:spacing w:line="240" w:lineRule="auto"/>
              <w:ind w:left="380"/>
            </w:pPr>
            <w:r>
              <w:lastRenderedPageBreak/>
              <w:t>No change</w:t>
            </w:r>
          </w:p>
          <w:p w:rsidR="004A6EEA" w:rsidP="007C6914" w:rsidRDefault="00E90A50" w14:paraId="766380BF" w14:textId="4610C36D">
            <w:pPr>
              <w:pStyle w:val="ListParagraph"/>
              <w:keepLines/>
              <w:numPr>
                <w:ilvl w:val="0"/>
                <w:numId w:val="19"/>
              </w:numPr>
              <w:spacing w:line="240" w:lineRule="auto"/>
              <w:ind w:left="380"/>
            </w:pPr>
            <w:r>
              <w:t>No Change</w:t>
            </w:r>
          </w:p>
          <w:p w:rsidR="004A6EEA" w:rsidP="007C6914" w:rsidRDefault="004A6EEA" w14:paraId="4AB5A44A" w14:textId="0C93742B">
            <w:pPr>
              <w:pStyle w:val="ListParagraph"/>
              <w:keepLines/>
              <w:numPr>
                <w:ilvl w:val="0"/>
                <w:numId w:val="19"/>
              </w:numPr>
              <w:spacing w:line="240" w:lineRule="auto"/>
              <w:ind w:left="380"/>
            </w:pPr>
            <w:r>
              <w:t>No change</w:t>
            </w:r>
          </w:p>
        </w:tc>
      </w:tr>
      <w:tr w:rsidR="004A6EEA" w:rsidTr="001714E2" w14:paraId="1517FB48" w14:textId="77777777">
        <w:tc>
          <w:tcPr>
            <w:tcW w:w="2335" w:type="dxa"/>
          </w:tcPr>
          <w:p w:rsidR="004A6EEA" w:rsidP="007C6914" w:rsidRDefault="004A6EEA" w14:paraId="25E26C57" w14:textId="213966C7">
            <w:pPr>
              <w:keepLines/>
              <w:spacing w:line="240" w:lineRule="auto"/>
              <w:ind w:firstLine="0"/>
            </w:pPr>
            <w:r>
              <w:t>January 2022</w:t>
            </w:r>
          </w:p>
        </w:tc>
        <w:tc>
          <w:tcPr>
            <w:tcW w:w="3126" w:type="dxa"/>
          </w:tcPr>
          <w:p w:rsidR="004A6EEA" w:rsidP="007C6914" w:rsidRDefault="004A6EEA" w14:paraId="7A63133A" w14:textId="78D25A7A">
            <w:pPr>
              <w:pStyle w:val="ListParagraph"/>
              <w:keepLines/>
              <w:numPr>
                <w:ilvl w:val="0"/>
                <w:numId w:val="20"/>
              </w:numPr>
              <w:spacing w:line="240" w:lineRule="auto"/>
              <w:ind w:left="380"/>
            </w:pPr>
            <w:r>
              <w:t>Annual DIDF reform comments due</w:t>
            </w:r>
          </w:p>
        </w:tc>
        <w:tc>
          <w:tcPr>
            <w:tcW w:w="3889" w:type="dxa"/>
          </w:tcPr>
          <w:p w:rsidR="004A6EEA" w:rsidP="007C6914" w:rsidRDefault="004A6EEA" w14:paraId="1934F27F" w14:textId="77777777">
            <w:pPr>
              <w:pStyle w:val="ListParagraph"/>
              <w:keepLines/>
              <w:numPr>
                <w:ilvl w:val="0"/>
                <w:numId w:val="21"/>
              </w:numPr>
              <w:spacing w:line="240" w:lineRule="auto"/>
              <w:ind w:left="380"/>
            </w:pPr>
            <w:r>
              <w:t>No change</w:t>
            </w:r>
          </w:p>
          <w:p w:rsidR="004A6EEA" w:rsidP="007C6914" w:rsidRDefault="00E90A50" w14:paraId="45E59F2A" w14:textId="0C2606AA">
            <w:pPr>
              <w:pStyle w:val="ListParagraph"/>
              <w:keepLines/>
              <w:numPr>
                <w:ilvl w:val="0"/>
                <w:numId w:val="21"/>
              </w:numPr>
              <w:spacing w:line="240" w:lineRule="auto"/>
              <w:ind w:left="380"/>
            </w:pPr>
            <w:r>
              <w:t>Launch second round of RFOs (if needed)</w:t>
            </w:r>
          </w:p>
        </w:tc>
      </w:tr>
      <w:tr w:rsidR="004A6EEA" w:rsidTr="001714E2" w14:paraId="0E866CB9" w14:textId="77777777">
        <w:tc>
          <w:tcPr>
            <w:tcW w:w="2335" w:type="dxa"/>
          </w:tcPr>
          <w:p w:rsidR="004A6EEA" w:rsidP="007C6914" w:rsidRDefault="004A6EEA" w14:paraId="59AE09F4" w14:textId="40C78E48">
            <w:pPr>
              <w:keepLines/>
              <w:spacing w:line="240" w:lineRule="auto"/>
              <w:ind w:firstLine="0"/>
            </w:pPr>
            <w:r>
              <w:t>February 2022</w:t>
            </w:r>
          </w:p>
        </w:tc>
        <w:tc>
          <w:tcPr>
            <w:tcW w:w="3126" w:type="dxa"/>
          </w:tcPr>
          <w:p w:rsidR="004A6EEA" w:rsidP="007C6914" w:rsidRDefault="004A6EEA" w14:paraId="3F4DE2B4" w14:textId="77777777">
            <w:pPr>
              <w:pStyle w:val="ListParagraph"/>
              <w:keepLines/>
              <w:numPr>
                <w:ilvl w:val="0"/>
                <w:numId w:val="22"/>
              </w:numPr>
              <w:spacing w:line="240" w:lineRule="auto"/>
              <w:ind w:left="380"/>
            </w:pPr>
            <w:r>
              <w:t xml:space="preserve">IPE Post DPAG Report </w:t>
            </w:r>
          </w:p>
          <w:p w:rsidR="00D44D30" w:rsidP="007C6914" w:rsidRDefault="00D44D30" w14:paraId="04C0BAF3" w14:textId="7C64FEEF">
            <w:pPr>
              <w:pStyle w:val="ListParagraph"/>
              <w:keepLines/>
              <w:numPr>
                <w:ilvl w:val="0"/>
                <w:numId w:val="22"/>
              </w:numPr>
              <w:spacing w:line="240" w:lineRule="auto"/>
              <w:ind w:left="380"/>
            </w:pPr>
            <w:r>
              <w:t>Comments on IPE Post DPAG Report and replies to January 20 reform comments due</w:t>
            </w:r>
          </w:p>
        </w:tc>
        <w:tc>
          <w:tcPr>
            <w:tcW w:w="3889" w:type="dxa"/>
          </w:tcPr>
          <w:p w:rsidR="004A6EEA" w:rsidP="007C6914" w:rsidRDefault="004A6EEA" w14:paraId="46E9DED2" w14:textId="77777777">
            <w:pPr>
              <w:pStyle w:val="ListParagraph"/>
              <w:keepLines/>
              <w:numPr>
                <w:ilvl w:val="0"/>
                <w:numId w:val="23"/>
              </w:numPr>
              <w:spacing w:line="240" w:lineRule="auto"/>
              <w:ind w:left="380"/>
            </w:pPr>
            <w:r>
              <w:t>No change</w:t>
            </w:r>
          </w:p>
          <w:p w:rsidR="004A6EEA" w:rsidP="007C6914" w:rsidRDefault="004A6EEA" w14:paraId="0B1CF535" w14:textId="77777777">
            <w:pPr>
              <w:pStyle w:val="ListParagraph"/>
              <w:keepLines/>
              <w:numPr>
                <w:ilvl w:val="0"/>
                <w:numId w:val="23"/>
              </w:numPr>
              <w:spacing w:line="240" w:lineRule="auto"/>
              <w:ind w:left="380"/>
            </w:pPr>
            <w:r>
              <w:t>No change</w:t>
            </w:r>
          </w:p>
          <w:p w:rsidR="004A6EEA" w:rsidP="007C6914" w:rsidRDefault="004A6EEA" w14:paraId="70D09F91" w14:textId="22F1E988">
            <w:pPr>
              <w:pStyle w:val="ListParagraph"/>
              <w:keepLines/>
              <w:numPr>
                <w:ilvl w:val="0"/>
                <w:numId w:val="23"/>
              </w:numPr>
              <w:spacing w:line="240" w:lineRule="auto"/>
              <w:ind w:left="380"/>
            </w:pPr>
            <w:r>
              <w:t xml:space="preserve">Information-Only submittal notification </w:t>
            </w:r>
            <w:r w:rsidR="00D44D30">
              <w:t>of executed contracts for RFP solicitations and SCO pilot</w:t>
            </w:r>
          </w:p>
        </w:tc>
      </w:tr>
    </w:tbl>
    <w:p w:rsidR="000911A8" w:rsidP="00AD4DC6" w:rsidRDefault="000911A8" w14:paraId="0E15049A" w14:textId="1759F2C3">
      <w:pPr>
        <w:pStyle w:val="Heading3"/>
        <w:spacing w:before="120"/>
      </w:pPr>
      <w:bookmarkStart w:name="_Toc63778691" w:id="35"/>
      <w:r>
        <w:t xml:space="preserve">Adoption of </w:t>
      </w:r>
      <w:r w:rsidR="001D279D">
        <w:t xml:space="preserve">RFO </w:t>
      </w:r>
      <w:r>
        <w:t>Revisions</w:t>
      </w:r>
      <w:bookmarkEnd w:id="35"/>
    </w:p>
    <w:p w:rsidR="00671451" w:rsidP="001714E2" w:rsidRDefault="0005596F" w14:paraId="12D24082" w14:textId="762DE680">
      <w:pPr>
        <w:pStyle w:val="Standard"/>
      </w:pPr>
      <w:proofErr w:type="gramStart"/>
      <w:r>
        <w:t>With the exception of</w:t>
      </w:r>
      <w:proofErr w:type="gramEnd"/>
      <w:r>
        <w:t xml:space="preserve"> CUE</w:t>
      </w:r>
      <w:r w:rsidR="00901B6D">
        <w:t xml:space="preserve"> and PG&amp;E</w:t>
      </w:r>
      <w:r>
        <w:t xml:space="preserve">, parties </w:t>
      </w:r>
      <w:r w:rsidR="001439F5">
        <w:t>are</w:t>
      </w:r>
      <w:r>
        <w:t xml:space="preserve"> generally supportive of the proposed RFO revisions</w:t>
      </w:r>
      <w:r w:rsidR="00D858B3">
        <w:t xml:space="preserve"> with recommended revisions</w:t>
      </w:r>
      <w:r>
        <w:t xml:space="preserve">.  </w:t>
      </w:r>
      <w:r w:rsidR="00901B6D">
        <w:t xml:space="preserve">For example, </w:t>
      </w:r>
      <w:r w:rsidR="004E3910">
        <w:t>CESA supports the streamlining proposals but cautions that annual input by stakeholders is necessary to ensure the proposals are working as expected.</w:t>
      </w:r>
      <w:r w:rsidR="004E3910">
        <w:rPr>
          <w:rStyle w:val="FootnoteReference"/>
        </w:rPr>
        <w:footnoteReference w:id="118"/>
      </w:r>
      <w:r w:rsidR="004E3910">
        <w:t xml:space="preserve">  Public Advocates Office submits the revisions could “</w:t>
      </w:r>
      <w:r w:rsidRPr="004E3910" w:rsidR="004E3910">
        <w:t>expedite the</w:t>
      </w:r>
      <w:r w:rsidR="004E3910">
        <w:t xml:space="preserve"> </w:t>
      </w:r>
      <w:r w:rsidRPr="004E3910" w:rsidR="004E3910">
        <w:t xml:space="preserve">procurement of </w:t>
      </w:r>
      <w:r w:rsidR="004E3910">
        <w:t>[distributed energy resources]</w:t>
      </w:r>
      <w:r w:rsidRPr="004E3910" w:rsidR="004E3910">
        <w:t>, shorten the RFO process, and mitigate interconnection</w:t>
      </w:r>
      <w:r w:rsidR="004E3910">
        <w:t xml:space="preserve"> </w:t>
      </w:r>
      <w:r w:rsidRPr="004E3910" w:rsidR="004E3910">
        <w:t>uncertainties.</w:t>
      </w:r>
      <w:r w:rsidR="004E3910">
        <w:t>”</w:t>
      </w:r>
      <w:r w:rsidR="004E3910">
        <w:rPr>
          <w:rStyle w:val="FootnoteReference"/>
        </w:rPr>
        <w:footnoteReference w:id="119"/>
      </w:r>
    </w:p>
    <w:p w:rsidR="00FD76CF" w:rsidP="001714E2" w:rsidRDefault="00830441" w14:paraId="37842751" w14:textId="59F0ACF7">
      <w:pPr>
        <w:pStyle w:val="Standard"/>
      </w:pPr>
      <w:r>
        <w:t xml:space="preserve">CUE opposes the proposal to eliminate the November 15 Tier 2 Advice Letter that seeks approval to launch.  CUE argues removal of this Commission </w:t>
      </w:r>
      <w:r>
        <w:lastRenderedPageBreak/>
        <w:t>review</w:t>
      </w:r>
      <w:r w:rsidR="00FD76CF">
        <w:t xml:space="preserve">, </w:t>
      </w:r>
      <w:r>
        <w:t>in addition to the Tier 2 Advice Letter for contract approval eliminated by Reform No. 41</w:t>
      </w:r>
      <w:r w:rsidR="00FD76CF">
        <w:t xml:space="preserve">, </w:t>
      </w:r>
      <w:r>
        <w:t>gives Utilities “unreviewed latitude in making decisions in the DIDF process.”</w:t>
      </w:r>
      <w:r>
        <w:rPr>
          <w:rStyle w:val="FootnoteReference"/>
        </w:rPr>
        <w:footnoteReference w:id="120"/>
      </w:r>
      <w:r>
        <w:t xml:space="preserve">  We note that Reform 41 only eliminates the contract approval Advice Letter if the forecast and operational requirements do not change.</w:t>
      </w:r>
      <w:r>
        <w:rPr>
          <w:rStyle w:val="FootnoteReference"/>
        </w:rPr>
        <w:footnoteReference w:id="121"/>
      </w:r>
    </w:p>
    <w:p w:rsidR="00830441" w:rsidP="001714E2" w:rsidRDefault="00830441" w14:paraId="68D788BF" w14:textId="2C85D3CD">
      <w:pPr>
        <w:pStyle w:val="Standard"/>
      </w:pPr>
      <w:r>
        <w:t xml:space="preserve">The purpose of the </w:t>
      </w:r>
      <w:proofErr w:type="gramStart"/>
      <w:r>
        <w:t>previously-adopted</w:t>
      </w:r>
      <w:proofErr w:type="gramEnd"/>
      <w:r>
        <w:t xml:space="preserve"> reforms and those proposed here is to streamline the DIDF process.  The proposed elimination of the </w:t>
      </w:r>
      <w:r w:rsidR="00FD76CF">
        <w:t xml:space="preserve">November 15 </w:t>
      </w:r>
      <w:r>
        <w:t>Advice Letter would result in a</w:t>
      </w:r>
      <w:r w:rsidR="00FD76CF">
        <w:t xml:space="preserve"> noticeably </w:t>
      </w:r>
      <w:r>
        <w:t>earlier launch of the RFO, allowing a more expeditious procurement process for deferring distribution investment.</w:t>
      </w:r>
      <w:r w:rsidR="00FD76CF">
        <w:t xml:space="preserve">  Furthermore, the input of the DPAG prior to the launch provides the review necessary for this process.  We </w:t>
      </w:r>
      <w:r w:rsidR="009D4568">
        <w:t>underscore</w:t>
      </w:r>
      <w:r w:rsidR="00FD76CF">
        <w:t xml:space="preserve"> that the D</w:t>
      </w:r>
      <w:r w:rsidR="009D4568">
        <w:t>IDF</w:t>
      </w:r>
      <w:r w:rsidR="00FD76CF">
        <w:t xml:space="preserve"> process includes an annual reform process</w:t>
      </w:r>
      <w:r w:rsidR="00701D5B">
        <w:t>, whereby Utilities are ordered to propose DIDF modifications in the Tier 2 Advice Letters requesting approval of distribution deferral projects</w:t>
      </w:r>
      <w:r w:rsidR="00FD76CF">
        <w:t xml:space="preserve">.  Should any stakeholder, including CUE, have continued and verifiable concerns of additionally needed Commission review, the elimination of the Advice Letter can be </w:t>
      </w:r>
      <w:r w:rsidR="007D4847">
        <w:t>re</w:t>
      </w:r>
      <w:r w:rsidR="0001258E">
        <w:t xml:space="preserve">considered in that process and, if necessary, </w:t>
      </w:r>
      <w:r w:rsidR="00FD76CF">
        <w:t>reversed.</w:t>
      </w:r>
      <w:r w:rsidR="0001258E">
        <w:t xml:space="preserve">  Furthermore, this same reform process should address CESA’s request regarding reviewing lessons learned on an annual basis.</w:t>
      </w:r>
      <w:r w:rsidR="007D4847">
        <w:t xml:space="preserve">  </w:t>
      </w:r>
      <w:r w:rsidR="00F84B75">
        <w:t>Hence</w:t>
      </w:r>
      <w:r w:rsidR="007D4847">
        <w:t xml:space="preserve">, we </w:t>
      </w:r>
      <w:r w:rsidR="00F84B75">
        <w:t xml:space="preserve">find it reasonable </w:t>
      </w:r>
      <w:r w:rsidR="007D4847">
        <w:t xml:space="preserve">to </w:t>
      </w:r>
      <w:r w:rsidR="00F84B75">
        <w:t xml:space="preserve">eliminate the November 15 Tier 2 Advice Letter that seeks approval to launch the </w:t>
      </w:r>
      <w:r w:rsidR="00A000B3">
        <w:t xml:space="preserve">Tier 1 deferral opportunity </w:t>
      </w:r>
      <w:r w:rsidR="00F84B75">
        <w:t>solicitation.</w:t>
      </w:r>
      <w:r w:rsidR="00E90A50">
        <w:t xml:space="preserve">  We clarify that the November 15 Tier 2 Advice Letter is required i</w:t>
      </w:r>
      <w:r w:rsidR="00542DC9">
        <w:t>f</w:t>
      </w:r>
      <w:r w:rsidR="00E90A50">
        <w:t xml:space="preserve"> additional Tier One </w:t>
      </w:r>
      <w:r w:rsidR="00315588">
        <w:t>opportunities are identified during the DPAG.  This would result in the launch of a second round of RFOs, which shall adhere to the current DIDF/RFO schedule.</w:t>
      </w:r>
    </w:p>
    <w:p w:rsidR="00C233EE" w:rsidP="00FD76CF" w:rsidRDefault="00671451" w14:paraId="189F114B" w14:textId="4E0DCEB3">
      <w:r>
        <w:lastRenderedPageBreak/>
        <w:t xml:space="preserve">PG&amp;E </w:t>
      </w:r>
      <w:r w:rsidR="00901B6D">
        <w:t xml:space="preserve">asserts it is not feasible to launch the RFO on August 15, as proposed by Staff.  PG&amp;E </w:t>
      </w:r>
      <w:r w:rsidR="00C233EE">
        <w:t>highlights that the current and proposed timelines require GNA/D</w:t>
      </w:r>
      <w:r w:rsidR="001439F5">
        <w:t xml:space="preserve">DOR </w:t>
      </w:r>
      <w:r w:rsidR="00C233EE">
        <w:t xml:space="preserve">filings on August 15.  PG&amp;E explains that it must meet with DPAG, incorporate DPAG input, finalize the prioritization, and refine the operational needs of the distributed energy resources deferral projects.  PG&amp;E recommends a November 15 launch </w:t>
      </w:r>
      <w:r w:rsidR="009D4568">
        <w:t xml:space="preserve">while </w:t>
      </w:r>
      <w:r w:rsidR="00C233EE">
        <w:t>support</w:t>
      </w:r>
      <w:r w:rsidR="009D4568">
        <w:t>ing</w:t>
      </w:r>
      <w:r w:rsidR="00C233EE">
        <w:t xml:space="preserve"> the elimination of the Advice Letter approving the launch.</w:t>
      </w:r>
      <w:r w:rsidR="00C233EE">
        <w:rPr>
          <w:rStyle w:val="FootnoteReference"/>
        </w:rPr>
        <w:footnoteReference w:id="122"/>
      </w:r>
      <w:r w:rsidR="00C233EE">
        <w:t xml:space="preserve">  In reply comments, SCE asserts it can reasonably launch the RFO within one month of the GNA/</w:t>
      </w:r>
      <w:r w:rsidR="001439F5">
        <w:t xml:space="preserve">DDOR </w:t>
      </w:r>
      <w:r w:rsidR="00C233EE">
        <w:t>filing.</w:t>
      </w:r>
      <w:r w:rsidR="00FD76CF">
        <w:t xml:space="preserve">  </w:t>
      </w:r>
      <w:r w:rsidR="00C233EE">
        <w:t xml:space="preserve">We find it reasonable to revise the </w:t>
      </w:r>
      <w:r w:rsidR="00D96AED">
        <w:t xml:space="preserve">annual </w:t>
      </w:r>
      <w:r w:rsidR="00C233EE">
        <w:t>launch date to September 15</w:t>
      </w:r>
      <w:r w:rsidR="001367FF">
        <w:t xml:space="preserve"> to provide additional time after the filing of the GNA/DDOR</w:t>
      </w:r>
      <w:r w:rsidR="00FD76CF">
        <w:t>.</w:t>
      </w:r>
      <w:r w:rsidR="00F84B75">
        <w:t xml:space="preserve">  Accordingly, we adopt the recommendation in the Staff Proposal to eliminate the November 15 Tier 2 Advice Letter that seeks approval to launch </w:t>
      </w:r>
      <w:r w:rsidR="00D96AED">
        <w:t xml:space="preserve">and move </w:t>
      </w:r>
      <w:r w:rsidR="00F84B75">
        <w:t xml:space="preserve">the annual launch date to </w:t>
      </w:r>
      <w:r w:rsidR="00D96AED">
        <w:t xml:space="preserve">September </w:t>
      </w:r>
      <w:r w:rsidR="00F84B75">
        <w:t>15.</w:t>
      </w:r>
    </w:p>
    <w:p w:rsidR="00FD76CF" w:rsidP="001714E2" w:rsidRDefault="00671451" w14:paraId="4DC4449E" w14:textId="65DCB9A2">
      <w:pPr>
        <w:pStyle w:val="Standard"/>
      </w:pPr>
      <w:r>
        <w:t xml:space="preserve">While supportive of all other RFO Streamlining recommendations, </w:t>
      </w:r>
      <w:r w:rsidR="004E3910">
        <w:t xml:space="preserve">SCE </w:t>
      </w:r>
      <w:r>
        <w:t>recommends</w:t>
      </w:r>
      <w:r w:rsidR="004E3910">
        <w:t xml:space="preserve"> prescreening not be required</w:t>
      </w:r>
      <w:r>
        <w:t>; PG&amp;E concurs</w:t>
      </w:r>
      <w:r w:rsidR="004E3910">
        <w:t>.</w:t>
      </w:r>
      <w:r w:rsidR="00040531">
        <w:rPr>
          <w:rStyle w:val="FootnoteReference"/>
        </w:rPr>
        <w:footnoteReference w:id="123"/>
      </w:r>
      <w:r w:rsidR="004E3910">
        <w:t xml:space="preserve">  </w:t>
      </w:r>
      <w:r w:rsidR="00C233EE">
        <w:t>SCE argues that many RFO participants are project developers and not aggregators and may only be interested in the RFO and not the tariff.</w:t>
      </w:r>
      <w:r w:rsidR="00C233EE">
        <w:rPr>
          <w:rStyle w:val="FootnoteReference"/>
        </w:rPr>
        <w:footnoteReference w:id="124"/>
      </w:r>
      <w:r w:rsidR="00F54FB3">
        <w:t xml:space="preserve">  SDG&amp;E goes further and requests more prescriptive prescreening, as noted in the distribution deferral tariff discussion above.</w:t>
      </w:r>
    </w:p>
    <w:p w:rsidR="0001258E" w:rsidP="001714E2" w:rsidRDefault="00830441" w14:paraId="1A8E0788" w14:textId="515BCC15">
      <w:pPr>
        <w:pStyle w:val="Standard"/>
      </w:pPr>
      <w:r>
        <w:t xml:space="preserve">As stated in the Staff Proposal, the Commission continues to explore ways to streamline the competitive solicitation framework to reduce regulatory filings </w:t>
      </w:r>
      <w:r>
        <w:lastRenderedPageBreak/>
        <w:t xml:space="preserve">and decrease the process time.  As such, we find use of the prescreening process for all distributed energy resources solicitations </w:t>
      </w:r>
      <w:r w:rsidR="00DA4AB2">
        <w:t xml:space="preserve">could </w:t>
      </w:r>
      <w:r>
        <w:t xml:space="preserve">be </w:t>
      </w:r>
      <w:r w:rsidR="00F54FB3">
        <w:t xml:space="preserve">an </w:t>
      </w:r>
      <w:r>
        <w:t>efficient</w:t>
      </w:r>
      <w:r w:rsidR="00F54FB3">
        <w:t xml:space="preserve"> approach to streamlining the RFO</w:t>
      </w:r>
      <w:r>
        <w:t xml:space="preserve">.  </w:t>
      </w:r>
      <w:r w:rsidR="00DA4AB2">
        <w:t>However, in comments to the proposed decision, SCE contends its current process for screening bidder is robust and successful.</w:t>
      </w:r>
      <w:r w:rsidR="00DA4AB2">
        <w:rPr>
          <w:rStyle w:val="FootnoteReference"/>
        </w:rPr>
        <w:footnoteReference w:id="125"/>
      </w:r>
      <w:r w:rsidR="00DA4AB2">
        <w:t xml:space="preserve">  </w:t>
      </w:r>
      <w:r w:rsidR="00C015DE">
        <w:t>Upon further review</w:t>
      </w:r>
      <w:r>
        <w:t xml:space="preserve">, we </w:t>
      </w:r>
      <w:r w:rsidR="00C015DE">
        <w:t xml:space="preserve">decline to </w:t>
      </w:r>
      <w:r>
        <w:t xml:space="preserve">adopt its use as a requirement of all distributed energy resources </w:t>
      </w:r>
      <w:proofErr w:type="gramStart"/>
      <w:r>
        <w:t>solicitations</w:t>
      </w:r>
      <w:proofErr w:type="gramEnd"/>
    </w:p>
    <w:p w:rsidR="00444663" w:rsidP="001714E2" w:rsidRDefault="00444663" w14:paraId="53DF0B89" w14:textId="471EFC0E">
      <w:pPr>
        <w:pStyle w:val="Standard"/>
      </w:pPr>
      <w:r>
        <w:t>No party commented on the proposal to revise Reform No. 40 to add the phrase, “or other planned investment.”  We find the additional language reasonable and adopt it.</w:t>
      </w:r>
    </w:p>
    <w:p w:rsidR="00CF76E4" w:rsidP="00097CC8" w:rsidRDefault="00CF76E4" w14:paraId="43F3AEF6" w14:textId="713C0754">
      <w:pPr>
        <w:pStyle w:val="Heading2"/>
      </w:pPr>
      <w:bookmarkStart w:name="_Toc63778692" w:id="36"/>
      <w:r>
        <w:t>Standard Offer Contract and Pilot</w:t>
      </w:r>
      <w:bookmarkEnd w:id="36"/>
    </w:p>
    <w:p w:rsidR="00CF76E4" w:rsidP="00CF76E4" w:rsidRDefault="00535072" w14:paraId="53D1D770" w14:textId="6D7FD28E">
      <w:r>
        <w:t>Below we describe the Standard Offer Contract and the proposed associated pilot.  We adopt a modified version of the pilot, as described below.</w:t>
      </w:r>
    </w:p>
    <w:p w:rsidR="000911A8" w:rsidP="00097CC8" w:rsidRDefault="000911A8" w14:paraId="1E742728" w14:textId="0E215610">
      <w:pPr>
        <w:pStyle w:val="Heading3"/>
      </w:pPr>
      <w:bookmarkStart w:name="_Toc63778693" w:id="37"/>
      <w:r>
        <w:t xml:space="preserve">Proposed </w:t>
      </w:r>
      <w:r w:rsidR="006A79AB">
        <w:t>S</w:t>
      </w:r>
      <w:r w:rsidR="00F06CCE">
        <w:t>t</w:t>
      </w:r>
      <w:r w:rsidR="006A79AB">
        <w:t>andard Offer Contract</w:t>
      </w:r>
      <w:bookmarkEnd w:id="37"/>
    </w:p>
    <w:p w:rsidR="000911A8" w:rsidP="001714E2" w:rsidRDefault="006E647E" w14:paraId="690EF7FB" w14:textId="4E80E823">
      <w:pPr>
        <w:pStyle w:val="Standard"/>
      </w:pPr>
      <w:r>
        <w:t xml:space="preserve">The Staff Proposal offers a second framework for distributed energy resources solicitations whereby a Standard Offer Contract </w:t>
      </w:r>
      <w:r w:rsidR="001D279D">
        <w:t>(Contract)</w:t>
      </w:r>
      <w:r w:rsidR="00F06CCE">
        <w:t xml:space="preserve">, </w:t>
      </w:r>
      <w:r>
        <w:t>based on the existing Technology-Neutral Pro Forma</w:t>
      </w:r>
      <w:r w:rsidR="00F06CCE">
        <w:t xml:space="preserve">, </w:t>
      </w:r>
      <w:r>
        <w:t xml:space="preserve">would be used to decrease the transactional costs and risks </w:t>
      </w:r>
      <w:r w:rsidR="00F06CCE">
        <w:t xml:space="preserve">present in </w:t>
      </w:r>
      <w:r>
        <w:t>the current RFO process.  Staff highlights this framework is intended for larger scale providers of In-Front-of-Meter distributed energy resources but could also be used by an aggregator of multiple customer-sized Behind-The-Meter distributed energy resources</w:t>
      </w:r>
      <w:r w:rsidR="000911A8">
        <w:t>.</w:t>
      </w:r>
    </w:p>
    <w:p w:rsidR="000911A8" w:rsidP="00097CC8" w:rsidRDefault="000911A8" w14:paraId="7E4C38D6" w14:textId="77777777">
      <w:pPr>
        <w:pStyle w:val="Heading3"/>
      </w:pPr>
      <w:bookmarkStart w:name="_Toc63778694" w:id="38"/>
      <w:r>
        <w:t>Proposed Pilot</w:t>
      </w:r>
      <w:bookmarkEnd w:id="38"/>
    </w:p>
    <w:p w:rsidR="000911A8" w:rsidP="001714E2" w:rsidRDefault="001D279D" w14:paraId="4D2D7615" w14:textId="38454985">
      <w:pPr>
        <w:pStyle w:val="Standard"/>
      </w:pPr>
      <w:r>
        <w:t>The Staff Proposal recommends testing the Contract framework in a five</w:t>
      </w:r>
      <w:r w:rsidR="001714E2">
        <w:noBreakHyphen/>
      </w:r>
      <w:r>
        <w:t xml:space="preserve">year pilot.  </w:t>
      </w:r>
      <w:proofErr w:type="gramStart"/>
      <w:r>
        <w:t>Similar to</w:t>
      </w:r>
      <w:proofErr w:type="gramEnd"/>
      <w:r>
        <w:t xml:space="preserve"> the </w:t>
      </w:r>
      <w:r w:rsidR="00315588">
        <w:t xml:space="preserve">adopted Partnership </w:t>
      </w:r>
      <w:r>
        <w:t xml:space="preserve">pilot, the Contract framework pilot would overlap with the current GNA/DDOR/DIDF RFO process.  Utilities </w:t>
      </w:r>
      <w:r>
        <w:lastRenderedPageBreak/>
        <w:t xml:space="preserve">would select one Tier 1 deferral opportunity from the GNA/DDOR filings to test the Contract framework. </w:t>
      </w:r>
      <w:r w:rsidR="003916F4">
        <w:t xml:space="preserve"> </w:t>
      </w:r>
      <w:r>
        <w:t xml:space="preserve">Here again, the Contract pilot would last approximately five years during which time Utilities would be required to launch no less than one Tier 1 candidate deferral opportunity during each </w:t>
      </w:r>
      <w:r w:rsidR="00623794">
        <w:t>DIDF annual cycle.  The Staff Proposal recommends Energy Division determine whether to extend or reduce the pilot period based upon Utilities’ annual status updates and reporting on tariff outcomes.</w:t>
      </w:r>
    </w:p>
    <w:p w:rsidR="00623794" w:rsidP="001714E2" w:rsidRDefault="00623794" w14:paraId="36947F56" w14:textId="1042AB3E">
      <w:pPr>
        <w:pStyle w:val="Standard"/>
      </w:pPr>
      <w:r>
        <w:t xml:space="preserve">Maintaining the current DIDF timeline, Staff proposes the Contract pilot would require Utilities select the required deferral opportunity annually on August 15, beginning in 2021.  The Contract pilot would require Utilities to provide notice of the distributed energy resource services needed to defer planned investments along with a price sheet to procure the services.  </w:t>
      </w:r>
    </w:p>
    <w:p w:rsidR="00056B7C" w:rsidP="001714E2" w:rsidRDefault="00056B7C" w14:paraId="75960319" w14:textId="01431D32">
      <w:pPr>
        <w:pStyle w:val="Standard"/>
      </w:pPr>
      <w:r>
        <w:t xml:space="preserve">Staff proposes use of the Simple Auction Pricing Method to allow for market-driven pricing.  This pricing method would require Utilities to release cost caps for deferral projects, followed by submission of pricing sheets by interested providers during the subscription period.  Staff contends public release of the cost cap ensures a transparent and fair bidding process. </w:t>
      </w:r>
      <w:r w:rsidR="001714E2">
        <w:t xml:space="preserve"> </w:t>
      </w:r>
      <w:r>
        <w:t xml:space="preserve">The Staff Proposal recommends that when the 90 percent acceptance trigger is met, Utilities would be required to sign contracts with providers.  </w:t>
      </w:r>
    </w:p>
    <w:p w:rsidR="000911A8" w:rsidP="00097CC8" w:rsidRDefault="006A79AB" w14:paraId="6417E5B5" w14:textId="2165E0F7">
      <w:pPr>
        <w:pStyle w:val="Heading3"/>
      </w:pPr>
      <w:bookmarkStart w:name="_Toc63778695" w:id="39"/>
      <w:r>
        <w:t xml:space="preserve">Adoption of Standard Offer Contract </w:t>
      </w:r>
      <w:r w:rsidR="000911A8">
        <w:t>Pilot</w:t>
      </w:r>
      <w:bookmarkEnd w:id="39"/>
    </w:p>
    <w:p w:rsidR="00954D1B" w:rsidP="001714E2" w:rsidRDefault="00D86C07" w14:paraId="1C186F82" w14:textId="46B6E2DD">
      <w:pPr>
        <w:pStyle w:val="Standard"/>
      </w:pPr>
      <w:r>
        <w:t>Parties support the adoption of the Standard Offer Contract pilot to varying degrees and with modifications</w:t>
      </w:r>
      <w:r w:rsidR="000911A8">
        <w:t>.</w:t>
      </w:r>
      <w:r>
        <w:t xml:space="preserve">  </w:t>
      </w:r>
      <w:r w:rsidR="00954D1B">
        <w:t>Accordingly, we direct Utilities to conduct a three</w:t>
      </w:r>
      <w:r w:rsidR="00B75737">
        <w:t>-</w:t>
      </w:r>
      <w:r w:rsidR="00954D1B">
        <w:t>year test of the Standard Offer Contract</w:t>
      </w:r>
      <w:r w:rsidR="009E3EA3">
        <w:t>, for In-Front-Of-Meter resources only</w:t>
      </w:r>
      <w:r w:rsidR="00954D1B">
        <w:t>, using the Technology-Neutral Pro Forma as the base contract.  We find that a three-year pilot</w:t>
      </w:r>
      <w:r w:rsidR="009E3EA3">
        <w:t xml:space="preserve">, </w:t>
      </w:r>
      <w:r w:rsidR="00954D1B">
        <w:t xml:space="preserve">with </w:t>
      </w:r>
      <w:r w:rsidR="00B75737">
        <w:t xml:space="preserve">regular </w:t>
      </w:r>
      <w:r w:rsidR="00954D1B">
        <w:t xml:space="preserve">reviews </w:t>
      </w:r>
      <w:r w:rsidR="00B75737">
        <w:t xml:space="preserve">through the DIDF reform process </w:t>
      </w:r>
      <w:r w:rsidR="00954D1B">
        <w:t>is sufficient to provide an indication of success and</w:t>
      </w:r>
      <w:r w:rsidR="00276449">
        <w:t xml:space="preserve">, if successful, allow </w:t>
      </w:r>
      <w:r w:rsidR="00276449">
        <w:lastRenderedPageBreak/>
        <w:t xml:space="preserve">for </w:t>
      </w:r>
      <w:r w:rsidR="00954D1B">
        <w:t>adoption of a permanent program.  To address party concerns, we make other modifications to the Staff Proposal, as discussed below.</w:t>
      </w:r>
    </w:p>
    <w:p w:rsidR="00276449" w:rsidP="001714E2" w:rsidRDefault="00276449" w14:paraId="1284550F" w14:textId="692071BE">
      <w:pPr>
        <w:pStyle w:val="Standard"/>
      </w:pPr>
      <w:r>
        <w:t xml:space="preserve">CESA supports adoption of the Standard-Contract-Offer pilot, asserting that the </w:t>
      </w:r>
      <w:r w:rsidRPr="00276449">
        <w:t xml:space="preserve">sourcing mechanism could potentially deliver incremental efficiency benefits </w:t>
      </w:r>
      <w:r>
        <w:t xml:space="preserve">through reduced transaction costs, </w:t>
      </w:r>
      <w:r w:rsidRPr="00276449">
        <w:t>increase the viability of deferral</w:t>
      </w:r>
      <w:r>
        <w:t xml:space="preserve">, and encourage </w:t>
      </w:r>
      <w:r w:rsidRPr="00276449">
        <w:t>additional market</w:t>
      </w:r>
      <w:r>
        <w:t xml:space="preserve"> </w:t>
      </w:r>
      <w:r w:rsidRPr="00276449">
        <w:t>participation</w:t>
      </w:r>
      <w:r>
        <w:t>.</w:t>
      </w:r>
      <w:r>
        <w:rPr>
          <w:rStyle w:val="FootnoteReference"/>
        </w:rPr>
        <w:footnoteReference w:id="126"/>
      </w:r>
      <w:r>
        <w:t xml:space="preserve">  CESA notes </w:t>
      </w:r>
      <w:r w:rsidR="00D86C07">
        <w:t>th</w:t>
      </w:r>
      <w:r w:rsidR="007B3216">
        <w:t xml:space="preserve">e solicitation approach in the </w:t>
      </w:r>
      <w:r w:rsidR="00D86C07">
        <w:t xml:space="preserve">pilot is </w:t>
      </w:r>
      <w:proofErr w:type="gramStart"/>
      <w:r w:rsidR="00D86C07">
        <w:t>similar to</w:t>
      </w:r>
      <w:proofErr w:type="gramEnd"/>
      <w:r w:rsidR="00D86C07">
        <w:t xml:space="preserve"> the current RFO</w:t>
      </w:r>
      <w:r w:rsidR="007B3216">
        <w:t xml:space="preserve"> solicitation effort</w:t>
      </w:r>
      <w:r>
        <w:t xml:space="preserve"> and </w:t>
      </w:r>
      <w:r w:rsidR="00D86C07">
        <w:t>contends minor refinement of the pilot makes it feasible to test in the 2021-2022 DIDF cycle.</w:t>
      </w:r>
      <w:r w:rsidR="00D86C07">
        <w:rPr>
          <w:rStyle w:val="FootnoteReference"/>
        </w:rPr>
        <w:footnoteReference w:id="127"/>
      </w:r>
      <w:r w:rsidR="00D86C07">
        <w:t xml:space="preserve">  </w:t>
      </w:r>
    </w:p>
    <w:p w:rsidR="000911A8" w:rsidP="007C6914" w:rsidRDefault="00D86C07" w14:paraId="786D9182" w14:textId="4F56231E">
      <w:pPr>
        <w:pStyle w:val="Standard"/>
        <w:ind w:right="-270"/>
      </w:pPr>
      <w:r>
        <w:t xml:space="preserve">Parties </w:t>
      </w:r>
      <w:r w:rsidR="00A55EA1">
        <w:t>assert</w:t>
      </w:r>
      <w:r>
        <w:t xml:space="preserve"> the Technology-Neutral Pro Forma</w:t>
      </w:r>
      <w:r w:rsidR="00A55EA1">
        <w:t xml:space="preserve"> </w:t>
      </w:r>
      <w:r w:rsidR="005F3258">
        <w:t xml:space="preserve">(TNPF) </w:t>
      </w:r>
      <w:r w:rsidR="00A55EA1">
        <w:t>(</w:t>
      </w:r>
      <w:r>
        <w:t>previously adopted in this proceeding</w:t>
      </w:r>
      <w:r w:rsidR="00A55EA1">
        <w:t>)</w:t>
      </w:r>
      <w:r>
        <w:t xml:space="preserve"> is appropriate for use in this pilot</w:t>
      </w:r>
      <w:r w:rsidR="00A55EA1">
        <w:t xml:space="preserve"> </w:t>
      </w:r>
      <w:r>
        <w:t>but requires revision</w:t>
      </w:r>
      <w:r w:rsidR="00FA64EC">
        <w:t xml:space="preserve"> by interested stakeholders</w:t>
      </w:r>
      <w:r>
        <w:t xml:space="preserve">.  </w:t>
      </w:r>
      <w:r w:rsidR="00971863">
        <w:t>We agree</w:t>
      </w:r>
      <w:r w:rsidR="00A55EA1">
        <w:t>.  H</w:t>
      </w:r>
      <w:r w:rsidR="007B3216">
        <w:t xml:space="preserve">owever, </w:t>
      </w:r>
      <w:r w:rsidR="00971863">
        <w:t>Utilities should not be required to confer with other parties or stakeholders twice prior to finalizing the contract.  As noted by SCE, the parties and other relevant stakeholders vetted the TNPF through an extensive development process with annual Commission-approved updates</w:t>
      </w:r>
      <w:r w:rsidR="00954D1B">
        <w:t>; more than one meeting to discuss additional changes would be duplicative</w:t>
      </w:r>
      <w:r w:rsidR="00971863">
        <w:t>.</w:t>
      </w:r>
      <w:r w:rsidR="00971863">
        <w:rPr>
          <w:rStyle w:val="FootnoteReference"/>
        </w:rPr>
        <w:footnoteReference w:id="128"/>
      </w:r>
      <w:r w:rsidR="00FA64EC">
        <w:t xml:space="preserve">  Hence, within 60 days from the issuance of this </w:t>
      </w:r>
      <w:r w:rsidR="005B3AF0">
        <w:t>decision</w:t>
      </w:r>
      <w:r w:rsidR="00FA64EC">
        <w:t>, Utilities shall host a meeting to discuss further needed changes to the TNPF</w:t>
      </w:r>
      <w:r w:rsidR="00621B11">
        <w:t xml:space="preserve">, with </w:t>
      </w:r>
      <w:r w:rsidR="00FA64EC">
        <w:t xml:space="preserve">input from parties </w:t>
      </w:r>
      <w:r w:rsidR="00621B11">
        <w:t xml:space="preserve">requested by Utilities </w:t>
      </w:r>
      <w:r w:rsidR="00FA64EC">
        <w:t>prior to the discussion.  Utilities shall include the final proposed changes to the TNPF in the Tier 2 Advice Letter required 90 days from the issuance of this decision.</w:t>
      </w:r>
    </w:p>
    <w:p w:rsidR="00FA64EC" w:rsidP="001714E2" w:rsidRDefault="00FA64EC" w14:paraId="488478CC" w14:textId="06299494">
      <w:pPr>
        <w:pStyle w:val="Standard"/>
      </w:pPr>
      <w:r>
        <w:lastRenderedPageBreak/>
        <w:t xml:space="preserve">We </w:t>
      </w:r>
      <w:r w:rsidR="00BA54F6">
        <w:t>agree</w:t>
      </w:r>
      <w:r>
        <w:t xml:space="preserve"> </w:t>
      </w:r>
      <w:r w:rsidR="00BA54F6">
        <w:t xml:space="preserve">with SCE’s assessment of the equity of the pilots with respect to In-Front-Of-Meter and Behind-The-Meter resources and adopt the </w:t>
      </w:r>
      <w:r>
        <w:t>request to limit this pilot to In-Front-Of-Meter resources only.</w:t>
      </w:r>
      <w:r w:rsidR="007B3216">
        <w:rPr>
          <w:rStyle w:val="FootnoteReference"/>
        </w:rPr>
        <w:footnoteReference w:id="129"/>
      </w:r>
      <w:r w:rsidR="00BA54F6">
        <w:t xml:space="preserve">  As noted in the Staff Proposal, the Standard-Offer-Contract pilot is likely best suited for larger scale providers of In-Front-Of-Meter resources.</w:t>
      </w:r>
      <w:r w:rsidR="007B3216">
        <w:rPr>
          <w:rStyle w:val="FootnoteReference"/>
        </w:rPr>
        <w:footnoteReference w:id="130"/>
      </w:r>
      <w:r w:rsidR="00BA54F6">
        <w:t xml:space="preserve">  We agree and find this simplifies the administration of </w:t>
      </w:r>
      <w:r w:rsidR="00A55EA1">
        <w:t xml:space="preserve">the </w:t>
      </w:r>
      <w:r w:rsidR="00BA54F6">
        <w:t>two simultaneous pilot</w:t>
      </w:r>
      <w:r w:rsidR="009E3EA3">
        <w:t>s</w:t>
      </w:r>
      <w:r w:rsidR="00BA54F6">
        <w:t>.  We note</w:t>
      </w:r>
      <w:r w:rsidR="00621B11">
        <w:t xml:space="preserve">, </w:t>
      </w:r>
      <w:r w:rsidR="00BA54F6">
        <w:t xml:space="preserve">however, that the Commission may consider expansion to all resources in the </w:t>
      </w:r>
      <w:proofErr w:type="gramStart"/>
      <w:r w:rsidR="00BA54F6">
        <w:t>future</w:t>
      </w:r>
      <w:proofErr w:type="gramEnd"/>
    </w:p>
    <w:p w:rsidR="00A55EA1" w:rsidP="001714E2" w:rsidRDefault="00BA54F6" w14:paraId="6AFED2E0" w14:textId="58717CF7">
      <w:pPr>
        <w:pStyle w:val="Standard"/>
      </w:pPr>
      <w:r>
        <w:t>The Staff Proposal recommends a five</w:t>
      </w:r>
      <w:r w:rsidR="00276449">
        <w:t>-</w:t>
      </w:r>
      <w:r>
        <w:t xml:space="preserve">year pilot of the Standard-Offer-Contract.  </w:t>
      </w:r>
      <w:r w:rsidR="00C519E5">
        <w:t xml:space="preserve">CESA maintains the Commission should </w:t>
      </w:r>
      <w:r w:rsidR="004F5E2C">
        <w:t xml:space="preserve">not </w:t>
      </w:r>
      <w:r w:rsidRPr="004F5E2C" w:rsidR="004F5E2C">
        <w:t xml:space="preserve">wait </w:t>
      </w:r>
      <w:r w:rsidR="004F5E2C">
        <w:t xml:space="preserve">for over five years to determine whether </w:t>
      </w:r>
      <w:r w:rsidR="00593178">
        <w:t>this</w:t>
      </w:r>
      <w:r w:rsidR="004F5E2C">
        <w:t xml:space="preserve"> pilot should become permanent, </w:t>
      </w:r>
      <w:r w:rsidR="00593178">
        <w:t xml:space="preserve">and </w:t>
      </w:r>
      <w:r w:rsidR="004F5E2C">
        <w:t>highlight</w:t>
      </w:r>
      <w:r w:rsidR="00593178">
        <w:t>s</w:t>
      </w:r>
      <w:r w:rsidR="004F5E2C">
        <w:t xml:space="preserve"> the adoption of the </w:t>
      </w:r>
      <w:r w:rsidRPr="004F5E2C" w:rsidR="004F5E2C">
        <w:t>DIDF annual process</w:t>
      </w:r>
      <w:r w:rsidR="004F5E2C">
        <w:t xml:space="preserve"> </w:t>
      </w:r>
      <w:r w:rsidRPr="004F5E2C" w:rsidR="004F5E2C">
        <w:t xml:space="preserve">just </w:t>
      </w:r>
      <w:r w:rsidR="00593178">
        <w:t xml:space="preserve">over </w:t>
      </w:r>
      <w:r w:rsidRPr="004F5E2C" w:rsidR="004F5E2C">
        <w:t xml:space="preserve">one year after </w:t>
      </w:r>
      <w:r w:rsidR="00593178">
        <w:t xml:space="preserve">implementation of the </w:t>
      </w:r>
      <w:r w:rsidR="004F5E2C">
        <w:t>Competitive Solicitation Framework</w:t>
      </w:r>
      <w:r w:rsidR="00C519E5">
        <w:t>.</w:t>
      </w:r>
      <w:r w:rsidR="004F5E2C">
        <w:rPr>
          <w:rStyle w:val="FootnoteReference"/>
        </w:rPr>
        <w:footnoteReference w:id="131"/>
      </w:r>
      <w:r w:rsidR="004F5E2C">
        <w:t xml:space="preserve">  </w:t>
      </w:r>
      <w:r w:rsidRPr="00DE4806" w:rsidR="00DE4806">
        <w:t xml:space="preserve">SDG&amp;E </w:t>
      </w:r>
      <w:r w:rsidR="00DE4806">
        <w:t xml:space="preserve">asserts the Commission should </w:t>
      </w:r>
      <w:r w:rsidR="003415BF">
        <w:t xml:space="preserve">create guardrails </w:t>
      </w:r>
      <w:r w:rsidR="00621B11">
        <w:t xml:space="preserve">in the pilot, </w:t>
      </w:r>
      <w:r w:rsidR="003415BF">
        <w:t xml:space="preserve">whereby </w:t>
      </w:r>
      <w:r w:rsidR="00DE4806">
        <w:t xml:space="preserve">only one Tier 1 deferral project </w:t>
      </w:r>
      <w:r w:rsidR="003415BF">
        <w:t xml:space="preserve">would </w:t>
      </w:r>
      <w:r w:rsidR="00DE4806">
        <w:t>be piloted by one utility in the first year of a three</w:t>
      </w:r>
      <w:r w:rsidR="004D7139">
        <w:t>-</w:t>
      </w:r>
      <w:r w:rsidR="00DE4806">
        <w:t>year pilot</w:t>
      </w:r>
      <w:r w:rsidR="00CA6FCE">
        <w:t xml:space="preserve">; </w:t>
      </w:r>
      <w:r w:rsidR="003415BF">
        <w:t xml:space="preserve">the project would then be </w:t>
      </w:r>
      <w:r w:rsidR="00DE4806">
        <w:t>monitor</w:t>
      </w:r>
      <w:r w:rsidR="003415BF">
        <w:t xml:space="preserve">ed </w:t>
      </w:r>
      <w:r w:rsidR="00DE4806">
        <w:t xml:space="preserve">for three years, and, if successful, </w:t>
      </w:r>
      <w:r w:rsidR="003415BF">
        <w:t xml:space="preserve">the Commission would </w:t>
      </w:r>
      <w:r w:rsidR="00DE4806">
        <w:t xml:space="preserve">move forward with other Tier 1 projects in </w:t>
      </w:r>
      <w:r w:rsidRPr="00DE4806" w:rsidR="00DE4806">
        <w:t>subsequent DIDF cycle.</w:t>
      </w:r>
      <w:r w:rsidR="00593178">
        <w:rPr>
          <w:rStyle w:val="FootnoteReference"/>
        </w:rPr>
        <w:footnoteReference w:id="132"/>
      </w:r>
      <w:r w:rsidR="00DE4806">
        <w:t xml:space="preserve">  </w:t>
      </w:r>
      <w:r w:rsidR="004F5E2C">
        <w:t>SCE also argues for a shorter pilot time of no more than three years, with annual reviews.</w:t>
      </w:r>
      <w:r w:rsidR="004F5E2C">
        <w:rPr>
          <w:rStyle w:val="FootnoteReference"/>
        </w:rPr>
        <w:footnoteReference w:id="133"/>
      </w:r>
      <w:r w:rsidR="00DE4806">
        <w:t xml:space="preserve"> </w:t>
      </w:r>
    </w:p>
    <w:p w:rsidR="00BA54F6" w:rsidP="001714E2" w:rsidRDefault="00593178" w14:paraId="11D06679" w14:textId="1E3D2B3C">
      <w:pPr>
        <w:pStyle w:val="Standard"/>
      </w:pPr>
      <w:r>
        <w:t>We agree that a five</w:t>
      </w:r>
      <w:r w:rsidR="004D7139">
        <w:t>-</w:t>
      </w:r>
      <w:r>
        <w:t xml:space="preserve">year pilot is unnecessarily lengthy, but we also find SDG&amp;E’s approach unnecessarily stringent.  </w:t>
      </w:r>
      <w:r w:rsidR="007B3216">
        <w:t xml:space="preserve">We </w:t>
      </w:r>
      <w:r>
        <w:t xml:space="preserve">adopt an approach </w:t>
      </w:r>
      <w:proofErr w:type="gramStart"/>
      <w:r w:rsidR="00D1028F">
        <w:t>similar to</w:t>
      </w:r>
      <w:proofErr w:type="gramEnd"/>
      <w:r w:rsidR="00D1028F">
        <w:t xml:space="preserve"> the </w:t>
      </w:r>
      <w:r w:rsidR="00D1028F">
        <w:lastRenderedPageBreak/>
        <w:t xml:space="preserve">annual DIDF reform process, </w:t>
      </w:r>
      <w:r>
        <w:t xml:space="preserve">where a three-year </w:t>
      </w:r>
      <w:r w:rsidR="007B3216">
        <w:t xml:space="preserve">pilot </w:t>
      </w:r>
      <w:r>
        <w:t>w</w:t>
      </w:r>
      <w:r w:rsidR="007B3216">
        <w:t xml:space="preserve">ould be evaluated </w:t>
      </w:r>
      <w:r w:rsidR="00315588">
        <w:t xml:space="preserve">during the annual DIDF reform process </w:t>
      </w:r>
      <w:r w:rsidR="007B3216">
        <w:t xml:space="preserve">to determine whether the </w:t>
      </w:r>
      <w:r>
        <w:t>pilot</w:t>
      </w:r>
      <w:r w:rsidR="007B3216">
        <w:t xml:space="preserve"> should be modified</w:t>
      </w:r>
      <w:r w:rsidR="006D45DD">
        <w:t xml:space="preserve">.  </w:t>
      </w:r>
      <w:r w:rsidR="00895C7F">
        <w:t xml:space="preserve">But we </w:t>
      </w:r>
      <w:r>
        <w:t xml:space="preserve">should </w:t>
      </w:r>
      <w:r w:rsidR="00895C7F">
        <w:t xml:space="preserve">also provide </w:t>
      </w:r>
      <w:r w:rsidR="00621B11">
        <w:t xml:space="preserve">a </w:t>
      </w:r>
      <w:r w:rsidR="003415BF">
        <w:t xml:space="preserve">guardrail </w:t>
      </w:r>
      <w:r w:rsidR="00621B11">
        <w:t>or</w:t>
      </w:r>
      <w:r w:rsidR="003415BF">
        <w:t xml:space="preserve"> </w:t>
      </w:r>
      <w:r w:rsidR="00895C7F">
        <w:t xml:space="preserve">off-ramp, as recommended by </w:t>
      </w:r>
      <w:r w:rsidR="003415BF">
        <w:t xml:space="preserve">SDG&amp;E and </w:t>
      </w:r>
      <w:r w:rsidR="00895C7F">
        <w:t>Public Advocates Office</w:t>
      </w:r>
      <w:r>
        <w:t xml:space="preserve"> to ensure protection of ratepayer funds</w:t>
      </w:r>
      <w:r w:rsidR="00895C7F">
        <w:t>.</w:t>
      </w:r>
      <w:r w:rsidR="00A55EA1">
        <w:rPr>
          <w:rStyle w:val="FootnoteReference"/>
        </w:rPr>
        <w:footnoteReference w:id="134"/>
      </w:r>
      <w:r w:rsidR="00895C7F">
        <w:t xml:space="preserve">  Accordingly, f</w:t>
      </w:r>
      <w:r w:rsidR="006D45DD">
        <w:t xml:space="preserve">ollowing two annual </w:t>
      </w:r>
      <w:r w:rsidR="00315588">
        <w:t>reforms</w:t>
      </w:r>
      <w:r w:rsidR="006D45DD">
        <w:t xml:space="preserve">, we </w:t>
      </w:r>
      <w:r w:rsidR="00A948C0">
        <w:t xml:space="preserve">will </w:t>
      </w:r>
      <w:r w:rsidR="007B3216">
        <w:t>determine whether the pilot is a success</w:t>
      </w:r>
      <w:r w:rsidR="00895C7F">
        <w:t xml:space="preserve"> and should be continued</w:t>
      </w:r>
      <w:r w:rsidR="00621B11">
        <w:t>—</w:t>
      </w:r>
      <w:r w:rsidR="00A948C0">
        <w:t xml:space="preserve">based on the pilot metrics </w:t>
      </w:r>
      <w:r w:rsidR="00895C7F">
        <w:t xml:space="preserve">to be </w:t>
      </w:r>
      <w:r w:rsidR="00A948C0">
        <w:t>adopted by the Commission</w:t>
      </w:r>
      <w:r w:rsidR="00895C7F">
        <w:t xml:space="preserve"> (</w:t>
      </w:r>
      <w:r w:rsidR="00A948C0">
        <w:t>as previously</w:t>
      </w:r>
      <w:r w:rsidR="00895C7F">
        <w:t xml:space="preserve"> </w:t>
      </w:r>
      <w:r w:rsidR="00A948C0">
        <w:t>discussed</w:t>
      </w:r>
      <w:r w:rsidR="00895C7F">
        <w:t>)</w:t>
      </w:r>
      <w:r w:rsidR="00621B11">
        <w:t>—</w:t>
      </w:r>
      <w:r w:rsidR="00895C7F">
        <w:t>or should be terminated</w:t>
      </w:r>
      <w:r w:rsidR="007B3216">
        <w:t>.</w:t>
      </w:r>
    </w:p>
    <w:p w:rsidR="00D1028F" w:rsidP="001714E2" w:rsidRDefault="003415BF" w14:paraId="5CA1F89C" w14:textId="20F97D91">
      <w:pPr>
        <w:pStyle w:val="Standard"/>
      </w:pPr>
      <w:r>
        <w:t xml:space="preserve">With respect to the </w:t>
      </w:r>
      <w:r w:rsidR="00105F30">
        <w:t xml:space="preserve">pricing method for </w:t>
      </w:r>
      <w:r>
        <w:t xml:space="preserve">the Standard Offer Contract pilot, </w:t>
      </w:r>
      <w:r w:rsidR="00105F30">
        <w:t xml:space="preserve">parties.  CESA supports the staff proposed </w:t>
      </w:r>
      <w:r w:rsidR="00205051">
        <w:t xml:space="preserve">simple auction </w:t>
      </w:r>
      <w:r w:rsidR="00105F30">
        <w:t>pricing method but contends standard product definitions and operational requirements may be needed.</w:t>
      </w:r>
      <w:r w:rsidR="00105F30">
        <w:rPr>
          <w:rStyle w:val="FootnoteReference"/>
        </w:rPr>
        <w:footnoteReference w:id="135"/>
      </w:r>
      <w:r w:rsidR="00105F30">
        <w:t xml:space="preserve">  </w:t>
      </w:r>
      <w:r>
        <w:t>PG&amp;E does not oppose use of the simple pricing method (at 85</w:t>
      </w:r>
      <w:r w:rsidR="003916F4">
        <w:t> </w:t>
      </w:r>
      <w:r>
        <w:t>percent of the cost cap) but prefers, with the support of SCE, the simple auction pricing method</w:t>
      </w:r>
      <w:r w:rsidR="00105F30">
        <w:t>.  PG&amp;E contends “</w:t>
      </w:r>
      <w:r w:rsidRPr="00105F30" w:rsidR="00105F30">
        <w:t>an auction</w:t>
      </w:r>
      <w:r w:rsidR="00105F30">
        <w:t xml:space="preserve"> </w:t>
      </w:r>
      <w:r w:rsidRPr="00105F30" w:rsidR="00105F30">
        <w:t>method could yield more competitive results</w:t>
      </w:r>
      <w:r w:rsidR="00105F30">
        <w:t>.”</w:t>
      </w:r>
      <w:r w:rsidR="00105F30">
        <w:rPr>
          <w:rStyle w:val="FootnoteReference"/>
        </w:rPr>
        <w:footnoteReference w:id="136"/>
      </w:r>
      <w:r w:rsidR="00105F30">
        <w:t xml:space="preserve">  CUE </w:t>
      </w:r>
      <w:r w:rsidR="00621B11">
        <w:t xml:space="preserve">and </w:t>
      </w:r>
      <w:r w:rsidR="00105F30">
        <w:t xml:space="preserve">SDG&amp;E </w:t>
      </w:r>
      <w:r w:rsidR="00621B11">
        <w:t xml:space="preserve">oppose the </w:t>
      </w:r>
      <w:r w:rsidR="00105F30">
        <w:t>public</w:t>
      </w:r>
      <w:r w:rsidR="00621B11">
        <w:t xml:space="preserve">ation of </w:t>
      </w:r>
      <w:r w:rsidR="00105F30">
        <w:t>cost caps</w:t>
      </w:r>
      <w:r w:rsidR="00621B11">
        <w:t>, maintaining competition and cost-effectiveness would suffer.</w:t>
      </w:r>
      <w:r w:rsidR="00621B11">
        <w:rPr>
          <w:rStyle w:val="FootnoteReference"/>
        </w:rPr>
        <w:footnoteReference w:id="137"/>
      </w:r>
    </w:p>
    <w:p w:rsidRPr="00C129D9" w:rsidR="00C129D9" w:rsidP="001714E2" w:rsidRDefault="00D1028F" w14:paraId="3B6F67F5" w14:textId="408AAF99">
      <w:pPr>
        <w:pStyle w:val="Standard"/>
      </w:pPr>
      <w:r>
        <w:t>In our discussion of the Distribution Deferral Tariff, we found it reasonable to publish cost caps</w:t>
      </w:r>
      <w:r w:rsidR="009E3EA3">
        <w:t xml:space="preserve">.  For consistency sake, </w:t>
      </w:r>
      <w:r>
        <w:t>we find it reasonable to use the same approach in the Standard Offer Contract pilot.</w:t>
      </w:r>
      <w:r w:rsidR="003F6B92">
        <w:t xml:space="preserve">  However, with respect to the pricing method itself, we </w:t>
      </w:r>
      <w:r w:rsidR="00205051">
        <w:t>expect</w:t>
      </w:r>
      <w:r w:rsidR="003F6B92">
        <w:t xml:space="preserve"> multiple developers </w:t>
      </w:r>
      <w:r w:rsidR="00205051">
        <w:t xml:space="preserve">will </w:t>
      </w:r>
      <w:r w:rsidR="003F6B92">
        <w:t xml:space="preserve">make offers in response to Utilities releasing their distributed energy resources services needs along with the corresponding price sheet, </w:t>
      </w:r>
      <w:r w:rsidR="00205051">
        <w:t xml:space="preserve">which may make </w:t>
      </w:r>
      <w:r w:rsidR="003F6B92">
        <w:t xml:space="preserve">the simple </w:t>
      </w:r>
      <w:r w:rsidR="003F6B92">
        <w:lastRenderedPageBreak/>
        <w:t xml:space="preserve">pricing method </w:t>
      </w:r>
      <w:r w:rsidR="00205051">
        <w:t>in</w:t>
      </w:r>
      <w:r w:rsidR="003F6B92">
        <w:t xml:space="preserve">feasible.  </w:t>
      </w:r>
      <w:r w:rsidR="00205051">
        <w:t>Whereas the simple auction pricing method should provide a more competitive and equitable process when offers are reviewed and selected.  Accordingly, we adopt the staff proposed simple auction pricing method.</w:t>
      </w:r>
    </w:p>
    <w:p w:rsidR="005939A5" w:rsidP="00097CC8" w:rsidRDefault="005939A5" w14:paraId="4A7990F2" w14:textId="77777777">
      <w:pPr>
        <w:pStyle w:val="Heading1"/>
      </w:pPr>
      <w:bookmarkStart w:name="_Toc58545624" w:id="40"/>
      <w:bookmarkStart w:name="_Toc58545665" w:id="41"/>
      <w:bookmarkStart w:name="_Toc58545625" w:id="42"/>
      <w:bookmarkStart w:name="_Toc58545666" w:id="43"/>
      <w:bookmarkStart w:name="_Toc58545626" w:id="44"/>
      <w:bookmarkStart w:name="_Toc58545667" w:id="45"/>
      <w:bookmarkStart w:name="_Toc8123723" w:id="46"/>
      <w:bookmarkStart w:name="_Toc63778696" w:id="47"/>
      <w:bookmarkEnd w:id="40"/>
      <w:bookmarkEnd w:id="41"/>
      <w:bookmarkEnd w:id="42"/>
      <w:bookmarkEnd w:id="43"/>
      <w:bookmarkEnd w:id="44"/>
      <w:bookmarkEnd w:id="45"/>
      <w:r>
        <w:t>Comments on Proposed Decision</w:t>
      </w:r>
      <w:bookmarkEnd w:id="46"/>
      <w:bookmarkEnd w:id="47"/>
    </w:p>
    <w:p w:rsidR="005939A5" w:rsidP="00877B17" w:rsidRDefault="00877B17" w14:paraId="34BA7C97" w14:textId="3A0E6781">
      <w:pPr>
        <w:pStyle w:val="Standard"/>
      </w:pPr>
      <w:r w:rsidRPr="00877B17">
        <w:t>The proposed decision of Administrative Law Judge Hymes in this matter</w:t>
      </w:r>
      <w:r>
        <w:t xml:space="preserve"> </w:t>
      </w:r>
      <w:r w:rsidRPr="00877B17">
        <w:t>was mailed to the parties in accordance with Section</w:t>
      </w:r>
      <w:r w:rsidR="001714E2">
        <w:t> </w:t>
      </w:r>
      <w:r w:rsidRPr="00877B17">
        <w:t>311 of the Public Utilities</w:t>
      </w:r>
      <w:r>
        <w:t xml:space="preserve"> </w:t>
      </w:r>
      <w:r w:rsidRPr="00877B17">
        <w:t>Code and comments were allowed under Rule 14.3 of the Commission’s Rules of</w:t>
      </w:r>
      <w:r>
        <w:t xml:space="preserve"> </w:t>
      </w:r>
      <w:r w:rsidRPr="00877B17">
        <w:t xml:space="preserve">Practice and Procedure. Comments were filed on </w:t>
      </w:r>
      <w:r w:rsidR="00B8290B">
        <w:t xml:space="preserve">January 25, 2021 by 350 Bay Area, AEE, Council, CESA, </w:t>
      </w:r>
      <w:r w:rsidR="00412209">
        <w:t>Center for Energy Efficiency and Renewable Technology (CEERT)</w:t>
      </w:r>
      <w:r w:rsidR="00B8290B">
        <w:t xml:space="preserve">, Clean Coalition, </w:t>
      </w:r>
      <w:r w:rsidR="00380ED7">
        <w:t xml:space="preserve">CUE, </w:t>
      </w:r>
      <w:r w:rsidR="00B8290B">
        <w:t xml:space="preserve">PG&amp;E, SDG&amp;E, SCE, </w:t>
      </w:r>
      <w:proofErr w:type="spellStart"/>
      <w:r w:rsidR="00B8290B">
        <w:t>SunRun</w:t>
      </w:r>
      <w:proofErr w:type="spellEnd"/>
      <w:r w:rsidR="00B8290B">
        <w:t>, and TURN</w:t>
      </w:r>
      <w:r w:rsidRPr="00877B17">
        <w:t>, and</w:t>
      </w:r>
      <w:r>
        <w:t xml:space="preserve"> </w:t>
      </w:r>
      <w:r w:rsidRPr="00877B17">
        <w:t xml:space="preserve">reply comments were filed on </w:t>
      </w:r>
      <w:r w:rsidR="00B8290B">
        <w:t>February 1, 2021</w:t>
      </w:r>
      <w:r w:rsidRPr="00877B17">
        <w:t xml:space="preserve"> by </w:t>
      </w:r>
      <w:r w:rsidR="00B8290B">
        <w:t xml:space="preserve">CESA, PG&amp;E, Public Advocates Office, SDG&amp;E, </w:t>
      </w:r>
      <w:r w:rsidR="00412209">
        <w:t>SEIA/Vote Solar, and SCE</w:t>
      </w:r>
      <w:r w:rsidR="001714E2">
        <w:t>.</w:t>
      </w:r>
      <w:r w:rsidR="00380ED7">
        <w:t xml:space="preserve">  Clarifications and corrections were made throughout this decision in response to comments.  Several parties reiterated positions previously on the record and, thus, are not addressed </w:t>
      </w:r>
      <w:r w:rsidR="00A552FD">
        <w:t>again</w:t>
      </w:r>
      <w:r w:rsidR="00532BAD">
        <w:t xml:space="preserve"> in this decision</w:t>
      </w:r>
      <w:r w:rsidR="00380ED7">
        <w:t>.</w:t>
      </w:r>
      <w:r w:rsidR="00061E40">
        <w:t xml:space="preserve">  We address certain comments and related changes here.</w:t>
      </w:r>
    </w:p>
    <w:p w:rsidR="00061E40" w:rsidP="00877B17" w:rsidRDefault="00061E40" w14:paraId="0C5F94EF" w14:textId="65D0363A">
      <w:pPr>
        <w:pStyle w:val="Standard"/>
      </w:pPr>
      <w:r>
        <w:t xml:space="preserve">PG&amp;E recommends the proposed decision be revised to eliminate the requirement for Utilities to request approval of the proposed language for the Partnership Pilot webpage.  PG&amp;E contends the timeline is challenging and the need to approve the webpage language will impede the process.  We find this request reasonable and have removed the Advice Letter requirement.  We agree the information </w:t>
      </w:r>
      <w:r w:rsidR="00A10002">
        <w:t>required for</w:t>
      </w:r>
      <w:r>
        <w:t xml:space="preserve"> th</w:t>
      </w:r>
      <w:r w:rsidR="00A10002">
        <w:t>e web</w:t>
      </w:r>
      <w:r>
        <w:t xml:space="preserve">page </w:t>
      </w:r>
      <w:r w:rsidR="00A10002">
        <w:t xml:space="preserve">will be </w:t>
      </w:r>
      <w:r>
        <w:t>factual in nature.</w:t>
      </w:r>
      <w:r>
        <w:rPr>
          <w:rStyle w:val="FootnoteReference"/>
        </w:rPr>
        <w:footnoteReference w:id="138"/>
      </w:r>
    </w:p>
    <w:p w:rsidRPr="006E6574" w:rsidR="00C567A2" w:rsidP="00877B17" w:rsidRDefault="00C567A2" w14:paraId="25772C23" w14:textId="09111399">
      <w:pPr>
        <w:pStyle w:val="Standard"/>
      </w:pPr>
      <w:r>
        <w:lastRenderedPageBreak/>
        <w:t>SCE recommends the use of Prescreening not be required in the DIDF RFO.  Maintaining prescreening is used to assess the viability of potential bidders, SCE contends it has a successful track record of screening RFO participants through its current practices.</w:t>
      </w:r>
      <w:r>
        <w:rPr>
          <w:rStyle w:val="FootnoteReference"/>
        </w:rPr>
        <w:footnoteReference w:id="139"/>
      </w:r>
      <w:r>
        <w:t xml:space="preserve">  SCE maintains requiring prescreening in the </w:t>
      </w:r>
      <w:proofErr w:type="gramStart"/>
      <w:r>
        <w:t>RFO</w:t>
      </w:r>
      <w:proofErr w:type="gramEnd"/>
      <w:r>
        <w:t xml:space="preserve"> or Standard Offer Contract processes would be counterproductive and complicate the process.  We agree that prescreening should not be a requirement in the RFO process and have made changes in the decision</w:t>
      </w:r>
      <w:r w:rsidR="00AE2A69">
        <w:t xml:space="preserve"> to remove the requirement</w:t>
      </w:r>
      <w:r>
        <w:t>.</w:t>
      </w:r>
    </w:p>
    <w:p w:rsidR="005939A5" w:rsidP="00097CC8" w:rsidRDefault="005939A5" w14:paraId="714A7D2D" w14:textId="77777777">
      <w:pPr>
        <w:pStyle w:val="Heading1"/>
      </w:pPr>
      <w:bookmarkStart w:name="_Toc8123724" w:id="48"/>
      <w:bookmarkStart w:name="_Toc63778697" w:id="49"/>
      <w:r>
        <w:t>Assignment of Proceeding</w:t>
      </w:r>
      <w:bookmarkEnd w:id="48"/>
      <w:bookmarkEnd w:id="49"/>
    </w:p>
    <w:p w:rsidR="005939A5" w:rsidP="006E6574" w:rsidRDefault="00CF76E4" w14:paraId="51B11CC2" w14:textId="06CCCA91">
      <w:pPr>
        <w:pStyle w:val="Standard"/>
      </w:pPr>
      <w:r>
        <w:t>Marybel Batjer</w:t>
      </w:r>
      <w:r w:rsidR="005939A5">
        <w:t xml:space="preserve"> is the assigned Commissioner and </w:t>
      </w:r>
      <w:r>
        <w:t>Kelly A. Hymes</w:t>
      </w:r>
      <w:r w:rsidR="005939A5">
        <w:t xml:space="preserve"> is the assigned Administrative Law Judge in this proceeding.</w:t>
      </w:r>
    </w:p>
    <w:p w:rsidR="005939A5" w:rsidP="005939A5" w:rsidRDefault="005939A5" w14:paraId="12A93098" w14:textId="77777777">
      <w:pPr>
        <w:pStyle w:val="Dummy"/>
      </w:pPr>
      <w:bookmarkStart w:name="_Toc8123725" w:id="50"/>
      <w:bookmarkStart w:name="_Toc63778698" w:id="51"/>
      <w:bookmarkStart w:name="_Hlk58516730" w:id="52"/>
      <w:r>
        <w:t>Findings of Fact</w:t>
      </w:r>
      <w:bookmarkEnd w:id="50"/>
      <w:bookmarkEnd w:id="51"/>
    </w:p>
    <w:p w:rsidRPr="001E2A62" w:rsidR="00F62B7A" w:rsidP="001E2A62" w:rsidRDefault="007B6E13" w14:paraId="7FBA0331" w14:textId="40E08851">
      <w:pPr>
        <w:pStyle w:val="FoF"/>
      </w:pPr>
      <w:r>
        <w:t>Certain proposed principles focus on the pilot and not the tariff and are not considered to be principles for distributed energy resources distribution deferral tariffs.</w:t>
      </w:r>
    </w:p>
    <w:p w:rsidRPr="001E2A62" w:rsidR="00F62B7A" w:rsidP="001E2A62" w:rsidRDefault="007B6E13" w14:paraId="1E19760C" w14:textId="30A65BC7">
      <w:pPr>
        <w:pStyle w:val="FoF"/>
      </w:pPr>
      <w:r>
        <w:t xml:space="preserve">Cost-effectiveness, minimizing incremental costs and eliminating barriers to deployment of distributed energy resources are key to the development of the distributed energy resources tariff and are appropriate </w:t>
      </w:r>
      <w:r w:rsidR="00F902FC">
        <w:t xml:space="preserve">in </w:t>
      </w:r>
      <w:r>
        <w:t xml:space="preserve">the </w:t>
      </w:r>
      <w:r w:rsidR="00F902FC">
        <w:t xml:space="preserve">discussion of the </w:t>
      </w:r>
      <w:r>
        <w:t>development of guiding principles.</w:t>
      </w:r>
    </w:p>
    <w:p w:rsidR="008E6AE6" w:rsidP="001E2A62" w:rsidRDefault="007B6E13" w14:paraId="51D27EF4" w14:textId="461B07CA">
      <w:pPr>
        <w:pStyle w:val="FoF"/>
      </w:pPr>
      <w:r>
        <w:t>Distributed energy resources</w:t>
      </w:r>
      <w:r w:rsidR="005B3AF0">
        <w:t>’</w:t>
      </w:r>
      <w:r>
        <w:t xml:space="preserve"> differing abilities is a fact, not a principle.</w:t>
      </w:r>
    </w:p>
    <w:p w:rsidR="00700EDA" w:rsidP="001E2A62" w:rsidRDefault="00700EDA" w14:paraId="0CC5B3F8" w14:textId="088827B3">
      <w:pPr>
        <w:pStyle w:val="FoF"/>
      </w:pPr>
      <w:r>
        <w:t>P</w:t>
      </w:r>
      <w:r w:rsidR="00E1670B">
        <w:t>roposed p</w:t>
      </w:r>
      <w:r>
        <w:t>rinciple 2 would conflict with the policy of technology neutrality.</w:t>
      </w:r>
    </w:p>
    <w:p w:rsidR="00700EDA" w:rsidP="001E2A62" w:rsidRDefault="00E1670B" w14:paraId="4890B8F2" w14:textId="1FA88A97">
      <w:pPr>
        <w:pStyle w:val="FoF"/>
      </w:pPr>
      <w:r>
        <w:t>Certain contents of proposed principle 3 are not consistent with the purpose of the distributed energy resources tariff.</w:t>
      </w:r>
    </w:p>
    <w:p w:rsidR="00E1670B" w:rsidP="001E2A62" w:rsidRDefault="00E1670B" w14:paraId="1FD986BE" w14:textId="3DC94630">
      <w:pPr>
        <w:pStyle w:val="FoF"/>
      </w:pPr>
      <w:r>
        <w:lastRenderedPageBreak/>
        <w:t>Distributed energy resource customers receive a payment for a service, not an incentive for that service.</w:t>
      </w:r>
    </w:p>
    <w:p w:rsidR="00E1670B" w:rsidP="001E2A62" w:rsidRDefault="00E1670B" w14:paraId="6D966A23" w14:textId="673CC9AA">
      <w:pPr>
        <w:pStyle w:val="FoF"/>
      </w:pPr>
      <w:r>
        <w:t>Proposed principle 3 addresses elements broader than the distributed energy resources tariff.</w:t>
      </w:r>
    </w:p>
    <w:p w:rsidR="00E1670B" w:rsidP="001E2A62" w:rsidRDefault="00E1670B" w14:paraId="2211797E" w14:textId="529ABA4B">
      <w:pPr>
        <w:pStyle w:val="FoF"/>
      </w:pPr>
      <w:r>
        <w:t>The relevant contents of proposed principle 3 (</w:t>
      </w:r>
      <w:r w:rsidRPr="0011559B">
        <w:rPr>
          <w:i/>
          <w:iCs/>
        </w:rPr>
        <w:t>i.e.</w:t>
      </w:r>
      <w:r>
        <w:t>, importance of cost reduction relative to other available options) should be maintained but revised.</w:t>
      </w:r>
    </w:p>
    <w:p w:rsidR="00E1670B" w:rsidP="001E2A62" w:rsidRDefault="00E1670B" w14:paraId="14E9A3FE" w14:textId="5C0A722E">
      <w:pPr>
        <w:pStyle w:val="FoF"/>
      </w:pPr>
      <w:r>
        <w:t xml:space="preserve">The statement, </w:t>
      </w:r>
      <w:r w:rsidR="002348D4">
        <w:t>“</w:t>
      </w:r>
      <w:r>
        <w:t>deferral tariffs are effective substitutes for competitive processes,</w:t>
      </w:r>
      <w:r w:rsidR="002348D4">
        <w:t>”</w:t>
      </w:r>
      <w:r>
        <w:t xml:space="preserve"> should not be included in proposed principle 7.</w:t>
      </w:r>
    </w:p>
    <w:p w:rsidR="00E1670B" w:rsidP="001E2A62" w:rsidRDefault="00E1670B" w14:paraId="5BBA24CF" w14:textId="1AC471CB">
      <w:pPr>
        <w:pStyle w:val="FoF"/>
      </w:pPr>
      <w:r>
        <w:t>The foundation of proposed principle 7, leveraging private investments, is an element in ensuring cost-effectiveness.</w:t>
      </w:r>
    </w:p>
    <w:p w:rsidR="00D30632" w:rsidP="00D30632" w:rsidRDefault="00E1670B" w14:paraId="6AF4257D" w14:textId="632D2E1B">
      <w:pPr>
        <w:pStyle w:val="FoF"/>
      </w:pPr>
      <w:r>
        <w:t>The foundation of proposed principle 8</w:t>
      </w:r>
      <w:r w:rsidR="00D30632">
        <w:t>, leveraging existing distributed energy resources, is valuable but must be balanced with the protection against double payments.</w:t>
      </w:r>
    </w:p>
    <w:p w:rsidR="00D30632" w:rsidP="00D30632" w:rsidRDefault="00D30632" w14:paraId="574EAA1C" w14:textId="3A0BE84D">
      <w:pPr>
        <w:pStyle w:val="FoF"/>
      </w:pPr>
      <w:r>
        <w:t>Tariff design should encourage innovation.</w:t>
      </w:r>
    </w:p>
    <w:p w:rsidR="00D30632" w:rsidP="00D30632" w:rsidRDefault="00D30632" w14:paraId="75DBB793" w14:textId="66A1362D">
      <w:pPr>
        <w:pStyle w:val="FoF"/>
      </w:pPr>
      <w:r>
        <w:t>The following three concepts should be incorporated into the guiding principles for tariff design: ensuring cost-effective solutions</w:t>
      </w:r>
      <w:r w:rsidR="005B3AF0">
        <w:t xml:space="preserve">; ensuring </w:t>
      </w:r>
      <w:r>
        <w:t>incremental services</w:t>
      </w:r>
      <w:r w:rsidR="005B3AF0">
        <w:t>;</w:t>
      </w:r>
      <w:r>
        <w:t xml:space="preserve"> and avoiding double payments.</w:t>
      </w:r>
    </w:p>
    <w:p w:rsidR="00D30632" w:rsidP="00D30632" w:rsidRDefault="00D30632" w14:paraId="5CDAC26A" w14:textId="359B3251">
      <w:pPr>
        <w:pStyle w:val="FoF"/>
      </w:pPr>
      <w:r>
        <w:t>Concepts specific to tariff and/or contract provisions are not design principles.</w:t>
      </w:r>
    </w:p>
    <w:p w:rsidR="00D30632" w:rsidP="00D30632" w:rsidRDefault="00D30632" w14:paraId="1DE62578" w14:textId="614FDC8E">
      <w:pPr>
        <w:pStyle w:val="FoF"/>
      </w:pPr>
      <w:r>
        <w:t>The Avoided Cost Calculator has been updated in this proceeding to address avoided costs of distributed energy resources.</w:t>
      </w:r>
    </w:p>
    <w:p w:rsidR="00E97DF2" w:rsidP="00D30632" w:rsidRDefault="00E97DF2" w14:paraId="4FCD0FBF" w14:textId="62344A00">
      <w:pPr>
        <w:pStyle w:val="FoF"/>
      </w:pPr>
      <w:r>
        <w:t>Technology neutrality and leveraging of private distributed energy resources investment should be components of the tariff guiding principles.</w:t>
      </w:r>
    </w:p>
    <w:p w:rsidR="00E97DF2" w:rsidP="00D30632" w:rsidRDefault="005B3AF0" w14:paraId="0B07C270" w14:textId="55A59162">
      <w:pPr>
        <w:pStyle w:val="FoF"/>
      </w:pPr>
      <w:r>
        <w:t>The Commission</w:t>
      </w:r>
      <w:r w:rsidR="00E97DF2">
        <w:t xml:space="preserve"> should consider all costs when determining cost</w:t>
      </w:r>
      <w:r w:rsidR="00542DC9">
        <w:t xml:space="preserve"> </w:t>
      </w:r>
      <w:r w:rsidR="00E97DF2">
        <w:t>effectiveness.</w:t>
      </w:r>
    </w:p>
    <w:p w:rsidR="00E97DF2" w:rsidP="00D30632" w:rsidRDefault="009151AE" w14:paraId="5C9997D5" w14:textId="4BC74E6B">
      <w:pPr>
        <w:pStyle w:val="FoF"/>
      </w:pPr>
      <w:r>
        <w:lastRenderedPageBreak/>
        <w:t>Cost</w:t>
      </w:r>
      <w:r w:rsidR="00542DC9">
        <w:t xml:space="preserve"> </w:t>
      </w:r>
      <w:r>
        <w:t>effectiveness is key to the development of the distributed energy resources distribution deferral tariff.</w:t>
      </w:r>
    </w:p>
    <w:p w:rsidR="009151AE" w:rsidP="00D30632" w:rsidRDefault="009151AE" w14:paraId="73D25B68" w14:textId="679A9404">
      <w:pPr>
        <w:pStyle w:val="FoF"/>
      </w:pPr>
      <w:r>
        <w:t>The distributed energy resources distribution deferral tariff provides a payment, not an incentive.</w:t>
      </w:r>
    </w:p>
    <w:p w:rsidR="009151AE" w:rsidP="00D30632" w:rsidRDefault="009151AE" w14:paraId="302D51F8" w14:textId="389A320D">
      <w:pPr>
        <w:pStyle w:val="FoF"/>
      </w:pPr>
      <w:r>
        <w:t xml:space="preserve">Eliminating barriers to the deployment of cost-effective distributed energy resources for distribution deferral is </w:t>
      </w:r>
      <w:r w:rsidR="00F902FC">
        <w:t xml:space="preserve">a </w:t>
      </w:r>
      <w:r>
        <w:t>key element to the development of the distributed energy resources distribution deferral tariff.</w:t>
      </w:r>
    </w:p>
    <w:p w:rsidR="009151AE" w:rsidP="00D30632" w:rsidRDefault="009151AE" w14:paraId="7FE90BB3" w14:textId="6FE843C5">
      <w:pPr>
        <w:pStyle w:val="FoF"/>
      </w:pPr>
      <w:r>
        <w:t xml:space="preserve">Key to the success of the distribution deferral tariff </w:t>
      </w:r>
      <w:proofErr w:type="gramStart"/>
      <w:r>
        <w:t>are</w:t>
      </w:r>
      <w:proofErr w:type="gramEnd"/>
      <w:r>
        <w:t xml:space="preserve"> technology neutrality and ensuring fair treatment of distributed energy resources compared with the traditional infrastructure investments.</w:t>
      </w:r>
    </w:p>
    <w:p w:rsidR="009151AE" w:rsidP="00D30632" w:rsidRDefault="009151AE" w14:paraId="3C7CBFD9" w14:textId="191E8EF0">
      <w:pPr>
        <w:pStyle w:val="FoF"/>
      </w:pPr>
      <w:r>
        <w:t>Behind-the-Meter distributed energy resources should be treated equally with In-Front-Of-Meter resources.</w:t>
      </w:r>
    </w:p>
    <w:p w:rsidR="009151AE" w:rsidP="009151AE" w:rsidRDefault="002348D4" w14:paraId="1B5B0616" w14:textId="5F305B7E">
      <w:pPr>
        <w:pStyle w:val="FoF"/>
      </w:pPr>
      <w:r>
        <w:t xml:space="preserve">Equal treatment of all </w:t>
      </w:r>
      <w:r w:rsidR="009151AE">
        <w:t xml:space="preserve">distributed energy resources </w:t>
      </w:r>
      <w:r>
        <w:t>is necessary for the success of the distribution deferral tariff.</w:t>
      </w:r>
    </w:p>
    <w:p w:rsidR="00F902FC" w:rsidP="009151AE" w:rsidRDefault="00F902FC" w14:paraId="35759EA0" w14:textId="3E1CB3B4">
      <w:pPr>
        <w:pStyle w:val="FoF"/>
      </w:pPr>
      <w:r>
        <w:t>Language to exclude program administration and program costs is not a principle.</w:t>
      </w:r>
    </w:p>
    <w:p w:rsidR="009151AE" w:rsidP="009151AE" w:rsidRDefault="009151AE" w14:paraId="4760AF1A" w14:textId="0E7EE721">
      <w:pPr>
        <w:pStyle w:val="FoF"/>
      </w:pPr>
      <w:r>
        <w:t>Revenue requirement recovery should be transparent.</w:t>
      </w:r>
    </w:p>
    <w:p w:rsidR="009151AE" w:rsidP="009151AE" w:rsidRDefault="009151AE" w14:paraId="632F9570" w14:textId="3B6FDD40">
      <w:pPr>
        <w:pStyle w:val="FoF"/>
      </w:pPr>
      <w:r>
        <w:t>Tariff design guiding principles should emphasize cost-effectiveness and maximize ratepayer savings.</w:t>
      </w:r>
    </w:p>
    <w:p w:rsidR="009151AE" w:rsidP="009151AE" w:rsidRDefault="009151AE" w14:paraId="4D87A94E" w14:textId="7D95BF46">
      <w:pPr>
        <w:pStyle w:val="FoF"/>
      </w:pPr>
      <w:r>
        <w:t>Tariff design guiding principles should include the encouragement of innovation.</w:t>
      </w:r>
    </w:p>
    <w:p w:rsidR="009151AE" w:rsidP="009151AE" w:rsidRDefault="009151AE" w14:paraId="74D7DE9B" w14:textId="09BACBFE">
      <w:pPr>
        <w:pStyle w:val="FoF"/>
      </w:pPr>
      <w:r>
        <w:t>It is reasonable</w:t>
      </w:r>
      <w:r w:rsidR="00075BCF">
        <w:t xml:space="preserve">, for simplicity, </w:t>
      </w:r>
      <w:r>
        <w:t xml:space="preserve">to combine the aspects of leveraging </w:t>
      </w:r>
      <w:r w:rsidR="00075BCF">
        <w:t>private investment in distributed energy resources and leveraging existing distributed energy resource into one principle.</w:t>
      </w:r>
    </w:p>
    <w:p w:rsidR="00075BCF" w:rsidP="009151AE" w:rsidRDefault="00075BCF" w14:paraId="5E3093AE" w14:textId="385858D4">
      <w:pPr>
        <w:pStyle w:val="FoF"/>
      </w:pPr>
      <w:r>
        <w:lastRenderedPageBreak/>
        <w:t>It is unnecessary and bias</w:t>
      </w:r>
      <w:r w:rsidR="00EA6F33">
        <w:t>ed</w:t>
      </w:r>
      <w:r>
        <w:t xml:space="preserve"> to list two examples of existing distributed energy resources.</w:t>
      </w:r>
    </w:p>
    <w:p w:rsidR="009022CA" w:rsidP="009151AE" w:rsidRDefault="009022CA" w14:paraId="71AFCF3D" w14:textId="0CA8834B">
      <w:pPr>
        <w:pStyle w:val="FoF"/>
      </w:pPr>
      <w:r>
        <w:t>The guiding principles should ensure that payments are incremental so that distributed energy resources customers do not receive double payments.</w:t>
      </w:r>
    </w:p>
    <w:p w:rsidR="00075BCF" w:rsidP="009151AE" w:rsidRDefault="00A74157" w14:paraId="2F4B5716" w14:textId="5244970E">
      <w:pPr>
        <w:pStyle w:val="FoF"/>
      </w:pPr>
      <w:r>
        <w:t>The current DIDF process presents several challenges, including that of over and under procurement, which hinder its success.</w:t>
      </w:r>
    </w:p>
    <w:p w:rsidR="009022CA" w:rsidP="009151AE" w:rsidRDefault="009022CA" w14:paraId="2C63CC0E" w14:textId="791BB5A9">
      <w:pPr>
        <w:pStyle w:val="FoF"/>
      </w:pPr>
      <w:r>
        <w:t xml:space="preserve">The risk of under and over procurement is not eliminated in the proposed </w:t>
      </w:r>
      <w:r w:rsidR="00F902FC">
        <w:t>t</w:t>
      </w:r>
      <w:r>
        <w:t>ariff.</w:t>
      </w:r>
    </w:p>
    <w:p w:rsidR="009022CA" w:rsidP="009151AE" w:rsidRDefault="009022CA" w14:paraId="1D26436E" w14:textId="68C806E0">
      <w:pPr>
        <w:pStyle w:val="FoF"/>
      </w:pPr>
      <w:r>
        <w:t xml:space="preserve">The objective of the proposed </w:t>
      </w:r>
      <w:r w:rsidR="00315588">
        <w:t>tariff p</w:t>
      </w:r>
      <w:r>
        <w:t xml:space="preserve">ilot is to test the proposed </w:t>
      </w:r>
      <w:r w:rsidR="005C3BE8">
        <w:t>t</w:t>
      </w:r>
      <w:r>
        <w:t>ariff, refine, and test again.</w:t>
      </w:r>
    </w:p>
    <w:p w:rsidR="009022CA" w:rsidP="009151AE" w:rsidRDefault="009022CA" w14:paraId="21E3B191" w14:textId="42307455">
      <w:pPr>
        <w:pStyle w:val="FoF"/>
      </w:pPr>
      <w:r>
        <w:t>There are challenges with the DIDF process that cannot be cured within the process because of the nature of the RFO.</w:t>
      </w:r>
    </w:p>
    <w:p w:rsidR="009022CA" w:rsidP="009151AE" w:rsidRDefault="009022CA" w14:paraId="1BC1FE66" w14:textId="5CBCBF80">
      <w:pPr>
        <w:pStyle w:val="FoF"/>
      </w:pPr>
      <w:r>
        <w:t xml:space="preserve">The </w:t>
      </w:r>
      <w:r w:rsidR="00315588">
        <w:t xml:space="preserve">proposed tariff pilot </w:t>
      </w:r>
      <w:r>
        <w:t>is designed to address the challenges of the DIDF process.</w:t>
      </w:r>
    </w:p>
    <w:p w:rsidR="009022CA" w:rsidP="009151AE" w:rsidRDefault="009022CA" w14:paraId="6E9AB1D2" w14:textId="500B8291">
      <w:pPr>
        <w:pStyle w:val="FoF"/>
      </w:pPr>
      <w:r>
        <w:t xml:space="preserve">The </w:t>
      </w:r>
      <w:r w:rsidR="00315588">
        <w:t xml:space="preserve">proposed tariff </w:t>
      </w:r>
      <w:r w:rsidR="005C3BE8">
        <w:t xml:space="preserve">Incentive </w:t>
      </w:r>
      <w:r w:rsidR="00315588">
        <w:t>p</w:t>
      </w:r>
      <w:r>
        <w:t>ilot is designed to allow the refinement of the solutions if the original solution is not successful.</w:t>
      </w:r>
    </w:p>
    <w:p w:rsidR="00E20F79" w:rsidP="009151AE" w:rsidRDefault="00E20F79" w14:paraId="6B4417FB" w14:textId="055CC926">
      <w:pPr>
        <w:pStyle w:val="FoF"/>
      </w:pPr>
      <w:r>
        <w:t>There is value in allowing for adaptation and experimentation.</w:t>
      </w:r>
    </w:p>
    <w:p w:rsidR="00E20F79" w:rsidP="009151AE" w:rsidRDefault="00E20F79" w14:paraId="539D712C" w14:textId="5D32D4A7">
      <w:pPr>
        <w:pStyle w:val="FoF"/>
      </w:pPr>
      <w:r>
        <w:t>A tariff pilot evaluation process should include evaluation metrics to determine success.</w:t>
      </w:r>
    </w:p>
    <w:p w:rsidR="00E20F79" w:rsidP="009151AE" w:rsidRDefault="00E20F79" w14:paraId="533BBB9D" w14:textId="7D2CA66B">
      <w:pPr>
        <w:pStyle w:val="FoF"/>
      </w:pPr>
      <w:r>
        <w:t>The tariff pilot evaluation metrics should be developed prior to the launch of the pilot in August 2021.</w:t>
      </w:r>
    </w:p>
    <w:p w:rsidR="00E20F79" w:rsidP="009151AE" w:rsidRDefault="00E20F79" w14:paraId="6FD97748" w14:textId="66156D6B">
      <w:pPr>
        <w:pStyle w:val="FoF"/>
      </w:pPr>
      <w:r>
        <w:t>The working group Public Advocates Office reference was formed prior to the issuance of D.16-12-036 and developed proposals for the Competitive Solicitation Framework adopted in that decision.</w:t>
      </w:r>
    </w:p>
    <w:p w:rsidR="00E20F79" w:rsidP="009151AE" w:rsidRDefault="00E20F79" w14:paraId="5F13812E" w14:textId="575629AE">
      <w:pPr>
        <w:pStyle w:val="FoF"/>
      </w:pPr>
      <w:r>
        <w:lastRenderedPageBreak/>
        <w:t>A series of workshops, tariff proposals offered by parties, and comments to those proposals led to the development of the Staff Proposal.</w:t>
      </w:r>
    </w:p>
    <w:p w:rsidR="00E20F79" w:rsidP="009151AE" w:rsidRDefault="00E20F79" w14:paraId="19A87C25" w14:textId="56FBBE43">
      <w:pPr>
        <w:pStyle w:val="FoF"/>
      </w:pPr>
      <w:r>
        <w:t xml:space="preserve">The design of the </w:t>
      </w:r>
      <w:r w:rsidR="00315588">
        <w:t xml:space="preserve">staff proposed distributed energy resources tariff </w:t>
      </w:r>
      <w:r>
        <w:t xml:space="preserve">and </w:t>
      </w:r>
      <w:r w:rsidR="00315588">
        <w:t>tariff p</w:t>
      </w:r>
      <w:r>
        <w:t>ilot has been presented to parties and parties have commented on both.</w:t>
      </w:r>
    </w:p>
    <w:p w:rsidR="00E20F79" w:rsidP="009151AE" w:rsidRDefault="00E20F79" w14:paraId="5A9CDF0C" w14:textId="76DD54DC">
      <w:pPr>
        <w:pStyle w:val="FoF"/>
      </w:pPr>
      <w:r>
        <w:t>It is unnecessary to adopt Public Advocates Office’s recommendation to establish a working group to design a distributed energy resources tariff and pilot.</w:t>
      </w:r>
    </w:p>
    <w:p w:rsidR="00E20F79" w:rsidP="009151AE" w:rsidRDefault="00E20F79" w14:paraId="240D7E73" w14:textId="5713DD04">
      <w:pPr>
        <w:pStyle w:val="FoF"/>
      </w:pPr>
      <w:r>
        <w:t xml:space="preserve">There is a need for the development of off-ramps and evaluation criteria for the </w:t>
      </w:r>
      <w:r w:rsidR="005C3BE8">
        <w:t>Partnership</w:t>
      </w:r>
      <w:r>
        <w:t xml:space="preserve"> Pilot.</w:t>
      </w:r>
    </w:p>
    <w:p w:rsidR="00F902FC" w:rsidP="009151AE" w:rsidRDefault="00F902FC" w14:paraId="1738AB50" w14:textId="2928646B">
      <w:pPr>
        <w:pStyle w:val="FoF"/>
      </w:pPr>
      <w:r>
        <w:t>It is unnecessary to introduce a separate working group to develop evaluation criteria and oversee the pilot evaluation.</w:t>
      </w:r>
    </w:p>
    <w:p w:rsidR="00E20F79" w:rsidP="009151AE" w:rsidRDefault="00F902FC" w14:paraId="745A10E7" w14:textId="3E143741">
      <w:pPr>
        <w:pStyle w:val="FoF"/>
      </w:pPr>
      <w:r>
        <w:t>D.16-12-036, which established the DPAG, does not limit the membership of the group.</w:t>
      </w:r>
    </w:p>
    <w:p w:rsidR="00F902FC" w:rsidP="009151AE" w:rsidRDefault="00F902FC" w14:paraId="0FA3BDBE" w14:textId="1E95169F">
      <w:pPr>
        <w:pStyle w:val="FoF"/>
      </w:pPr>
      <w:r>
        <w:t>D.18-02-004 describes the composition of the DPAG as consisting of Utilities, Commission staff, an independent professional engineer, non-market participants, and market participants.</w:t>
      </w:r>
    </w:p>
    <w:p w:rsidR="00F902FC" w:rsidP="009151AE" w:rsidRDefault="00F902FC" w14:paraId="58919DD0" w14:textId="1EF093C2">
      <w:pPr>
        <w:pStyle w:val="FoF"/>
      </w:pPr>
      <w:r>
        <w:t>DPAG membership is open to all parties to this proceeding.</w:t>
      </w:r>
    </w:p>
    <w:p w:rsidR="0053261C" w:rsidP="009151AE" w:rsidRDefault="0053261C" w14:paraId="3347D732" w14:textId="1B223F90">
      <w:pPr>
        <w:pStyle w:val="FoF"/>
      </w:pPr>
      <w:r>
        <w:t xml:space="preserve">Neither the word, </w:t>
      </w:r>
      <w:r w:rsidR="00A76D02">
        <w:t>“</w:t>
      </w:r>
      <w:r>
        <w:t>incentive,</w:t>
      </w:r>
      <w:r w:rsidR="00A76D02">
        <w:t>”</w:t>
      </w:r>
      <w:r>
        <w:t xml:space="preserve"> nor the phrase, </w:t>
      </w:r>
      <w:r w:rsidR="00A76D02">
        <w:t>“</w:t>
      </w:r>
      <w:r>
        <w:t>Clean Energy,</w:t>
      </w:r>
      <w:r w:rsidR="00A76D02">
        <w:t>”</w:t>
      </w:r>
      <w:r>
        <w:t xml:space="preserve"> are appropriate for use in the title of the </w:t>
      </w:r>
      <w:r w:rsidR="005C3BE8">
        <w:t xml:space="preserve">staff proposed </w:t>
      </w:r>
      <w:r>
        <w:t>distributed energy resources distribution deferral tariff pilot.</w:t>
      </w:r>
    </w:p>
    <w:p w:rsidR="0053261C" w:rsidP="009151AE" w:rsidRDefault="0053261C" w14:paraId="675D8F83" w14:textId="4F551DFD">
      <w:pPr>
        <w:pStyle w:val="FoF"/>
      </w:pPr>
      <w:r>
        <w:t xml:space="preserve">The name, </w:t>
      </w:r>
      <w:r w:rsidR="005C3BE8">
        <w:t>Partnership</w:t>
      </w:r>
      <w:r>
        <w:t xml:space="preserve"> Tariff describes </w:t>
      </w:r>
      <w:r w:rsidR="00F902FC">
        <w:t>the multiple partnerships involved in the Pilot</w:t>
      </w:r>
      <w:r>
        <w:t>.</w:t>
      </w:r>
    </w:p>
    <w:p w:rsidR="00F902FC" w:rsidP="009151AE" w:rsidRDefault="00F902FC" w14:paraId="7641D955" w14:textId="0182D94C">
      <w:pPr>
        <w:pStyle w:val="FoF"/>
      </w:pPr>
      <w:r>
        <w:t xml:space="preserve">No DERMS requirements are needed to be ordered </w:t>
      </w:r>
      <w:proofErr w:type="gramStart"/>
      <w:r>
        <w:t>as a result of</w:t>
      </w:r>
      <w:proofErr w:type="gramEnd"/>
      <w:r>
        <w:t xml:space="preserve"> the Staff Proposal.</w:t>
      </w:r>
    </w:p>
    <w:p w:rsidR="0053261C" w:rsidP="009151AE" w:rsidRDefault="0053261C" w14:paraId="1883B801" w14:textId="0214E962">
      <w:pPr>
        <w:pStyle w:val="FoF"/>
      </w:pPr>
      <w:r>
        <w:t xml:space="preserve">Prescreening </w:t>
      </w:r>
      <w:r w:rsidR="00A76D02">
        <w:t xml:space="preserve">is likely to </w:t>
      </w:r>
      <w:r>
        <w:t>lead to improvements in the solicitation process.</w:t>
      </w:r>
    </w:p>
    <w:p w:rsidR="0053261C" w:rsidP="009151AE" w:rsidRDefault="0053261C" w14:paraId="72ABB9E5" w14:textId="1556BAD5">
      <w:pPr>
        <w:pStyle w:val="FoF"/>
      </w:pPr>
      <w:r>
        <w:lastRenderedPageBreak/>
        <w:t>The intention of prescreening is to ascertain the experience, financial strength, and dispatch ability of distributed energy resources providers in general terms.</w:t>
      </w:r>
    </w:p>
    <w:p w:rsidR="00FF4EEB" w:rsidP="009151AE" w:rsidRDefault="00FF4EEB" w14:paraId="3B4A2FA8" w14:textId="4717F29B">
      <w:pPr>
        <w:pStyle w:val="FoF"/>
      </w:pPr>
      <w:r>
        <w:t>Each utility and each deferral opportunity require different grid needs and grid architecture.</w:t>
      </w:r>
    </w:p>
    <w:p w:rsidR="00FF4EEB" w:rsidP="009151AE" w:rsidRDefault="00FF4EEB" w14:paraId="2558202E" w14:textId="0F6C616F">
      <w:pPr>
        <w:pStyle w:val="FoF"/>
      </w:pPr>
      <w:r>
        <w:t>Utilities should be provided flexibility in the prescreening criteria.</w:t>
      </w:r>
    </w:p>
    <w:p w:rsidR="00F902FC" w:rsidP="009151AE" w:rsidRDefault="00F902FC" w14:paraId="372EB989" w14:textId="0B3D74E3">
      <w:pPr>
        <w:pStyle w:val="FoF"/>
      </w:pPr>
      <w:r>
        <w:t xml:space="preserve">Minimum provider viability </w:t>
      </w:r>
      <w:r w:rsidR="001729DE">
        <w:t xml:space="preserve">is likely to </w:t>
      </w:r>
      <w:r w:rsidR="00A0362E">
        <w:t xml:space="preserve">be the same across Utilities and </w:t>
      </w:r>
      <w:r w:rsidR="001729DE">
        <w:t xml:space="preserve">likely to </w:t>
      </w:r>
      <w:r w:rsidR="00A0362E">
        <w:t>maintain technology neutrality and not inhibit new market entrants’ viability.</w:t>
      </w:r>
    </w:p>
    <w:p w:rsidR="00FF4EEB" w:rsidP="009151AE" w:rsidRDefault="00E46160" w14:paraId="4ACA9A97" w14:textId="13D6EC2A">
      <w:pPr>
        <w:pStyle w:val="FoF"/>
      </w:pPr>
      <w:r>
        <w:t>A</w:t>
      </w:r>
      <w:r w:rsidR="00FF4EEB">
        <w:t xml:space="preserve"> two-year prescreening effective period provide</w:t>
      </w:r>
      <w:r>
        <w:t>s</w:t>
      </w:r>
      <w:r w:rsidR="00FF4EEB">
        <w:t xml:space="preserve"> balance between recognizing prior eligibility and performance of a provider </w:t>
      </w:r>
      <w:r>
        <w:t>while protecting against environmental changes and unknown impacts on the viability of providers.</w:t>
      </w:r>
    </w:p>
    <w:p w:rsidR="00E46160" w:rsidP="009151AE" w:rsidRDefault="00E46160" w14:paraId="5A97E0E5" w14:textId="0FC73351">
      <w:pPr>
        <w:pStyle w:val="FoF"/>
      </w:pPr>
      <w:r>
        <w:t xml:space="preserve">The prescreening process is intended to </w:t>
      </w:r>
      <w:r w:rsidR="00A0362E">
        <w:t xml:space="preserve">verify the </w:t>
      </w:r>
      <w:r>
        <w:t xml:space="preserve">general </w:t>
      </w:r>
      <w:r w:rsidR="00A0362E">
        <w:t>capabilities of participants</w:t>
      </w:r>
      <w:r>
        <w:t xml:space="preserve"> and </w:t>
      </w:r>
      <w:r w:rsidR="00A0362E">
        <w:t xml:space="preserve">is </w:t>
      </w:r>
      <w:r>
        <w:t xml:space="preserve">not </w:t>
      </w:r>
      <w:r w:rsidR="00A0362E">
        <w:t xml:space="preserve">bound to a </w:t>
      </w:r>
      <w:r>
        <w:t>specific deferral project.</w:t>
      </w:r>
    </w:p>
    <w:p w:rsidR="00E46160" w:rsidP="009151AE" w:rsidRDefault="00E46160" w14:paraId="04B8437E" w14:textId="215926D3">
      <w:pPr>
        <w:pStyle w:val="FoF"/>
      </w:pPr>
      <w:r>
        <w:t>The proposed July 15 annual commencement date provides time to proceed through the prescreening process.</w:t>
      </w:r>
    </w:p>
    <w:p w:rsidR="00E46160" w:rsidP="009151AE" w:rsidRDefault="00E46160" w14:paraId="74333D7F" w14:textId="43D2C612">
      <w:pPr>
        <w:pStyle w:val="FoF"/>
      </w:pPr>
      <w:r>
        <w:t>Not adopting a prescreening process fee maintains a level playing fi</w:t>
      </w:r>
      <w:r w:rsidR="00D6127B">
        <w:t>el</w:t>
      </w:r>
      <w:r>
        <w:t>d across all resources.</w:t>
      </w:r>
    </w:p>
    <w:p w:rsidR="00A0362E" w:rsidP="009151AE" w:rsidRDefault="00A0362E" w14:paraId="0805888B" w14:textId="540568D8">
      <w:pPr>
        <w:pStyle w:val="FoF"/>
      </w:pPr>
      <w:r>
        <w:t>Bids for Behind-the-Meter resources are generally smaller-sized resources from small business and residential customers.</w:t>
      </w:r>
    </w:p>
    <w:p w:rsidR="00D6127B" w:rsidP="009151AE" w:rsidRDefault="00A0362E" w14:paraId="2863D207" w14:textId="0C64359F">
      <w:pPr>
        <w:pStyle w:val="FoF"/>
      </w:pPr>
      <w:bookmarkStart w:name="_Hlk60306424" w:id="53"/>
      <w:r>
        <w:t xml:space="preserve">The combined effort of </w:t>
      </w:r>
      <w:r w:rsidR="00696B86">
        <w:t xml:space="preserve">Ratable Procurement, </w:t>
      </w:r>
      <w:r>
        <w:t xml:space="preserve">the </w:t>
      </w:r>
      <w:r w:rsidR="00696B86">
        <w:t xml:space="preserve">acceptance trigger, and a procurement margin </w:t>
      </w:r>
      <w:r w:rsidR="00427A61">
        <w:t xml:space="preserve">in the Partnership Pilot </w:t>
      </w:r>
      <w:r>
        <w:t>can increase Behind-the-Meter resource participation, which can then lead to increased flexibility and ratability.</w:t>
      </w:r>
    </w:p>
    <w:bookmarkEnd w:id="53"/>
    <w:p w:rsidR="00D6127B" w:rsidP="009151AE" w:rsidRDefault="00A0362E" w14:paraId="1B472D6A" w14:textId="024B05E4">
      <w:pPr>
        <w:pStyle w:val="FoF"/>
      </w:pPr>
      <w:r>
        <w:lastRenderedPageBreak/>
        <w:t>Ratable Procurement, the acceptance trigger, a procurement margin, and procurement goals should create balance to protect against over and under procurement</w:t>
      </w:r>
      <w:r w:rsidR="00D6127B">
        <w:t>.</w:t>
      </w:r>
    </w:p>
    <w:p w:rsidR="00696B86" w:rsidP="009151AE" w:rsidRDefault="00696B86" w14:paraId="62A536C5" w14:textId="66F08C39">
      <w:pPr>
        <w:pStyle w:val="FoF"/>
      </w:pPr>
      <w:r>
        <w:t>We are skeptical that the acceptance trigger should fall to levels as low as 32 percent.</w:t>
      </w:r>
    </w:p>
    <w:p w:rsidR="00CB0E83" w:rsidP="00CB0E83" w:rsidRDefault="00CB0E83" w14:paraId="7DE9B50D" w14:textId="3D093003">
      <w:pPr>
        <w:pStyle w:val="FoF"/>
      </w:pPr>
      <w:r>
        <w:t>The Simple Pricing Method is reasonable for its simplicity and ratepayer protections.</w:t>
      </w:r>
    </w:p>
    <w:p w:rsidR="00CB0E83" w:rsidP="009151AE" w:rsidRDefault="00CB0E83" w14:paraId="04E91EF1" w14:textId="7B68D6AA">
      <w:pPr>
        <w:pStyle w:val="FoF"/>
      </w:pPr>
      <w:r>
        <w:t xml:space="preserve">If </w:t>
      </w:r>
      <w:r w:rsidR="00A0362E">
        <w:t>cost</w:t>
      </w:r>
      <w:r>
        <w:t xml:space="preserve"> caps are publicized, all vendors will have access to the same information a</w:t>
      </w:r>
      <w:r w:rsidR="000B57BC">
        <w:t>n</w:t>
      </w:r>
      <w:r>
        <w:t>d vendors will still have to offer the most competitive bid.</w:t>
      </w:r>
    </w:p>
    <w:p w:rsidR="00CB0E83" w:rsidP="009151AE" w:rsidRDefault="00CB0E83" w14:paraId="68D29AB0" w14:textId="24F2AFD7">
      <w:pPr>
        <w:pStyle w:val="FoF"/>
      </w:pPr>
      <w:r>
        <w:t xml:space="preserve">Because we are deferring or avoiding distribution investments, a successful pilot </w:t>
      </w:r>
      <w:r w:rsidR="001729DE">
        <w:t xml:space="preserve">is likely to </w:t>
      </w:r>
      <w:r>
        <w:t>result in cost savings for ratepayers.</w:t>
      </w:r>
    </w:p>
    <w:p w:rsidR="00CB0E83" w:rsidP="009151AE" w:rsidRDefault="00CB0E83" w14:paraId="32F64412" w14:textId="62C72FAC">
      <w:pPr>
        <w:pStyle w:val="FoF"/>
      </w:pPr>
      <w:r>
        <w:t xml:space="preserve">Setting the tariff </w:t>
      </w:r>
      <w:r w:rsidR="00A0362E">
        <w:t>budget</w:t>
      </w:r>
      <w:r>
        <w:t xml:space="preserve"> at a certain percentage of the planned investment cost </w:t>
      </w:r>
      <w:r w:rsidR="001729DE">
        <w:t xml:space="preserve">is likely to </w:t>
      </w:r>
      <w:r>
        <w:t>ensure those ratepayer savings.</w:t>
      </w:r>
    </w:p>
    <w:p w:rsidR="00CB0E83" w:rsidP="009151AE" w:rsidRDefault="00CB0E83" w14:paraId="6DD374D8" w14:textId="21A3BECF">
      <w:pPr>
        <w:pStyle w:val="FoF"/>
      </w:pPr>
      <w:r>
        <w:t xml:space="preserve">It is reasonable to establish the initial </w:t>
      </w:r>
      <w:r w:rsidR="00A0362E">
        <w:t>tariff budget</w:t>
      </w:r>
      <w:r>
        <w:t xml:space="preserve"> at 85 percent</w:t>
      </w:r>
      <w:r w:rsidR="00A0362E">
        <w:t xml:space="preserve"> of the cost cap</w:t>
      </w:r>
      <w:r>
        <w:t>.</w:t>
      </w:r>
    </w:p>
    <w:p w:rsidR="00CB0E83" w:rsidP="009151AE" w:rsidRDefault="00CB0E83" w14:paraId="66F5781A" w14:textId="3B683188">
      <w:pPr>
        <w:pStyle w:val="FoF"/>
      </w:pPr>
      <w:r>
        <w:t>Reform No</w:t>
      </w:r>
      <w:r w:rsidR="00D66B1F">
        <w:t>.</w:t>
      </w:r>
      <w:r>
        <w:t xml:space="preserve"> 33 in the DIDF process requires Utilities to submit final cost caps with the November 15 request for approval to launch subscriptions periods.</w:t>
      </w:r>
    </w:p>
    <w:p w:rsidR="00A0362E" w:rsidP="009151AE" w:rsidRDefault="00D66B1F" w14:paraId="7034F6E6" w14:textId="083CDAA5">
      <w:pPr>
        <w:pStyle w:val="FoF"/>
      </w:pPr>
      <w:r>
        <w:t xml:space="preserve">Adopting a similar requirement to Reform No. 33 in the </w:t>
      </w:r>
      <w:r w:rsidR="00A0362E">
        <w:t>Partnership Pilot</w:t>
      </w:r>
      <w:r>
        <w:t xml:space="preserve"> will provide consistency between the DIDF and the </w:t>
      </w:r>
      <w:r w:rsidR="00A0362E">
        <w:t>p</w:t>
      </w:r>
      <w:r>
        <w:t>ilot</w:t>
      </w:r>
      <w:r w:rsidR="00A0362E">
        <w:t>.</w:t>
      </w:r>
    </w:p>
    <w:p w:rsidR="00CB0E83" w:rsidP="009151AE" w:rsidRDefault="00A0362E" w14:paraId="2FA012BA" w14:textId="0F2F8DF8">
      <w:pPr>
        <w:pStyle w:val="FoF"/>
      </w:pPr>
      <w:r>
        <w:t>The one-way adjustment of the tariff budget</w:t>
      </w:r>
      <w:r w:rsidR="00D66B1F">
        <w:t xml:space="preserve"> </w:t>
      </w:r>
      <w:r>
        <w:t>provides</w:t>
      </w:r>
      <w:r w:rsidR="00D66B1F">
        <w:t xml:space="preserve"> market certainty that customers enrolling in the </w:t>
      </w:r>
      <w:r>
        <w:t>Partnership Pilot</w:t>
      </w:r>
      <w:r w:rsidR="00D66B1F">
        <w:t xml:space="preserve"> will receive the payment stated at the subscription period launch.</w:t>
      </w:r>
    </w:p>
    <w:p w:rsidR="00D66B1F" w:rsidP="009151AE" w:rsidRDefault="009175E0" w14:paraId="2786BEF1" w14:textId="2D4E3CCD">
      <w:pPr>
        <w:pStyle w:val="FoF"/>
      </w:pPr>
      <w:r>
        <w:t xml:space="preserve">A </w:t>
      </w:r>
      <w:proofErr w:type="gramStart"/>
      <w:r>
        <w:t>six month</w:t>
      </w:r>
      <w:proofErr w:type="gramEnd"/>
      <w:r>
        <w:t xml:space="preserve"> subscription period may not provide sufficient time, especially in the case of aggregators.</w:t>
      </w:r>
    </w:p>
    <w:p w:rsidR="009175E0" w:rsidP="009151AE" w:rsidRDefault="009175E0" w14:paraId="2D7F5E9D" w14:textId="73695FDC">
      <w:pPr>
        <w:pStyle w:val="FoF"/>
      </w:pPr>
      <w:r>
        <w:t>The contingency date should be dependent upon the planned investment.</w:t>
      </w:r>
    </w:p>
    <w:p w:rsidR="002D2D23" w:rsidP="009151AE" w:rsidRDefault="002D2D23" w14:paraId="2C8F7821" w14:textId="532AD785">
      <w:pPr>
        <w:pStyle w:val="FoF"/>
      </w:pPr>
      <w:r>
        <w:lastRenderedPageBreak/>
        <w:t>The prescreening process we adopt in this decision is intended to ascertain the experience, financial strength, and dispatch ability of distributed energy resources providers in general terms.</w:t>
      </w:r>
    </w:p>
    <w:p w:rsidR="002D2D23" w:rsidP="009151AE" w:rsidRDefault="002D2D23" w14:paraId="2D9AF5BE" w14:textId="3A7C53AE">
      <w:pPr>
        <w:pStyle w:val="FoF"/>
      </w:pPr>
      <w:r>
        <w:t>Adoption of the reservation period and the required affidavit to combat the concern of queue hogging and phantom projects balances the use of the prescreening process.</w:t>
      </w:r>
    </w:p>
    <w:p w:rsidR="002D2D23" w:rsidP="009151AE" w:rsidRDefault="00932F85" w14:paraId="4EA30EF4" w14:textId="7713DB1B">
      <w:pPr>
        <w:pStyle w:val="FoF"/>
      </w:pPr>
      <w:r>
        <w:t>T</w:t>
      </w:r>
      <w:r w:rsidR="002D2D23">
        <w:t xml:space="preserve">he affidavits </w:t>
      </w:r>
      <w:r>
        <w:t xml:space="preserve">have not been found </w:t>
      </w:r>
      <w:r w:rsidR="00160F73">
        <w:t>to be</w:t>
      </w:r>
      <w:r w:rsidR="002D2D23">
        <w:t xml:space="preserve"> burdensome.</w:t>
      </w:r>
    </w:p>
    <w:p w:rsidR="00160F73" w:rsidP="009151AE" w:rsidRDefault="00160F73" w14:paraId="71239FD7" w14:textId="4E129146">
      <w:pPr>
        <w:pStyle w:val="FoF"/>
      </w:pPr>
      <w:r>
        <w:t xml:space="preserve">Adoption of the deployment tier </w:t>
      </w:r>
      <w:r w:rsidR="001729DE">
        <w:t xml:space="preserve">is likely to </w:t>
      </w:r>
      <w:r>
        <w:t>reduce upfront system costs for distributed energy resources providers, thus decreasing a barrier to distributed energy resources adoption.</w:t>
      </w:r>
    </w:p>
    <w:p w:rsidR="00160F73" w:rsidP="009151AE" w:rsidRDefault="00160F73" w14:paraId="2483788F" w14:textId="3BA35D37">
      <w:pPr>
        <w:pStyle w:val="FoF"/>
      </w:pPr>
      <w:r>
        <w:t>The reduction of the adoption barrier is good for ratepayers since increased adoption improves the likelihood of distribution investment deferral or avoidance.</w:t>
      </w:r>
    </w:p>
    <w:p w:rsidR="00160F73" w:rsidP="009151AE" w:rsidRDefault="00A0362E" w14:paraId="053BEDA3" w14:textId="38183557">
      <w:pPr>
        <w:pStyle w:val="FoF"/>
      </w:pPr>
      <w:r>
        <w:t>Existing r</w:t>
      </w:r>
      <w:r w:rsidR="00160F73">
        <w:t xml:space="preserve">esources should not receive deployment payment, as they </w:t>
      </w:r>
      <w:r w:rsidR="00542DC9">
        <w:t xml:space="preserve">are </w:t>
      </w:r>
      <w:r w:rsidR="00160F73">
        <w:t xml:space="preserve">already </w:t>
      </w:r>
      <w:r w:rsidR="00542DC9">
        <w:t xml:space="preserve">deployed and may have </w:t>
      </w:r>
      <w:r w:rsidR="00160F73">
        <w:t>received an incentive to deploy.</w:t>
      </w:r>
    </w:p>
    <w:p w:rsidR="00160F73" w:rsidP="009151AE" w:rsidRDefault="00160F73" w14:paraId="55D5DBF1" w14:textId="5492680E">
      <w:pPr>
        <w:pStyle w:val="FoF"/>
      </w:pPr>
      <w:r>
        <w:t xml:space="preserve">The deployment payment </w:t>
      </w:r>
      <w:r w:rsidR="00A0362E">
        <w:t>may be made according to the terms of the contract</w:t>
      </w:r>
      <w:r>
        <w:t xml:space="preserve"> after offer reservations are filed, affidavits of interest are provided to the utility, the 9</w:t>
      </w:r>
      <w:r w:rsidR="00A0362E">
        <w:t>0</w:t>
      </w:r>
      <w:r>
        <w:t xml:space="preserve"> percent acceptance trigger is reach</w:t>
      </w:r>
      <w:r w:rsidR="00F5562B">
        <w:t>ed</w:t>
      </w:r>
      <w:r>
        <w:t xml:space="preserve">, </w:t>
      </w:r>
      <w:r w:rsidR="00A0362E">
        <w:t xml:space="preserve">and </w:t>
      </w:r>
      <w:r>
        <w:t>a contract is signed.</w:t>
      </w:r>
    </w:p>
    <w:p w:rsidR="00160F73" w:rsidP="009151AE" w:rsidRDefault="00160F73" w14:paraId="702CCF42" w14:textId="48820619">
      <w:pPr>
        <w:pStyle w:val="FoF"/>
      </w:pPr>
      <w:r>
        <w:t>A</w:t>
      </w:r>
      <w:r w:rsidR="00DB144E">
        <w:t>n amount of</w:t>
      </w:r>
      <w:r>
        <w:t xml:space="preserve"> 20 percent of </w:t>
      </w:r>
      <w:r w:rsidR="0051357D">
        <w:t>tariff budget</w:t>
      </w:r>
      <w:r>
        <w:t xml:space="preserve"> is a reasonable deployment payment, given the assurances of operability.</w:t>
      </w:r>
    </w:p>
    <w:p w:rsidR="00160F73" w:rsidP="005B3AF0" w:rsidRDefault="00160F73" w14:paraId="3F5CCC8A" w14:textId="09E2EE51">
      <w:pPr>
        <w:pStyle w:val="FoF"/>
      </w:pPr>
      <w:r>
        <w:t>The 20 percent o</w:t>
      </w:r>
      <w:r w:rsidR="0051357D">
        <w:t>f tariff budget</w:t>
      </w:r>
      <w:r>
        <w:t xml:space="preserve"> provides ample assurance to aggregators and developers in comparison to remaining ratepayer risks.</w:t>
      </w:r>
    </w:p>
    <w:p w:rsidR="00160F73" w:rsidP="009151AE" w:rsidRDefault="00EF57A1" w14:paraId="03D507F8" w14:textId="61DD4A6D">
      <w:pPr>
        <w:pStyle w:val="FoF"/>
      </w:pPr>
      <w:r>
        <w:t xml:space="preserve">Because a test is a prerequisite of the TNPF, a test payment would create inequities between the </w:t>
      </w:r>
      <w:r w:rsidR="0051357D">
        <w:t>Partnership Pilot</w:t>
      </w:r>
      <w:r>
        <w:t xml:space="preserve"> and the DIDF.</w:t>
      </w:r>
    </w:p>
    <w:p w:rsidR="00EF57A1" w:rsidP="009151AE" w:rsidRDefault="00EF57A1" w14:paraId="703CD260" w14:textId="489F2BA6">
      <w:pPr>
        <w:pStyle w:val="FoF"/>
      </w:pPr>
      <w:r>
        <w:t>Elimination of the test payment tier simplifies the tier structure.</w:t>
      </w:r>
    </w:p>
    <w:p w:rsidR="00EF57A1" w:rsidP="009151AE" w:rsidRDefault="00EF57A1" w14:paraId="1D5A4930" w14:textId="3E20D4B1">
      <w:pPr>
        <w:pStyle w:val="FoF"/>
      </w:pPr>
      <w:r>
        <w:lastRenderedPageBreak/>
        <w:t>The performance payment tier is created with the thought that if the</w:t>
      </w:r>
      <w:r w:rsidR="004821FC">
        <w:br/>
      </w:r>
      <w:r>
        <w:t xml:space="preserve">grid need does not </w:t>
      </w:r>
      <w:proofErr w:type="gramStart"/>
      <w:r>
        <w:t>arise,</w:t>
      </w:r>
      <w:proofErr w:type="gramEnd"/>
      <w:r>
        <w:t xml:space="preserve"> cost</w:t>
      </w:r>
      <w:r w:rsidR="00542DC9">
        <w:t xml:space="preserve"> </w:t>
      </w:r>
      <w:r>
        <w:t>effectiveness will increase and allow for over</w:t>
      </w:r>
      <w:r w:rsidR="00542DC9">
        <w:t xml:space="preserve"> </w:t>
      </w:r>
      <w:r>
        <w:t>procurement to address changing needs.</w:t>
      </w:r>
    </w:p>
    <w:p w:rsidR="00EF57A1" w:rsidP="009151AE" w:rsidRDefault="00EF57A1" w14:paraId="39BEE098" w14:textId="017D2FDD">
      <w:pPr>
        <w:pStyle w:val="FoF"/>
      </w:pPr>
      <w:r>
        <w:t xml:space="preserve">An allocation of 30 percent </w:t>
      </w:r>
      <w:r w:rsidR="0051357D">
        <w:t xml:space="preserve">of the tariff budget </w:t>
      </w:r>
      <w:r>
        <w:t>to the reservation payment tier and 5</w:t>
      </w:r>
      <w:r w:rsidR="0051357D">
        <w:t>0</w:t>
      </w:r>
      <w:r>
        <w:t xml:space="preserve"> percent </w:t>
      </w:r>
      <w:r w:rsidR="0051357D">
        <w:t xml:space="preserve">of the tariff budget </w:t>
      </w:r>
      <w:r>
        <w:t>to the performance payment tier provides a balance between competing objectives of this pilot: improving certainty to providers, improving cost-effectiveness, and addressing changing grid needs.</w:t>
      </w:r>
    </w:p>
    <w:p w:rsidR="001020DA" w:rsidP="009151AE" w:rsidRDefault="001020DA" w14:paraId="4E5F57B4" w14:textId="714751AF">
      <w:pPr>
        <w:pStyle w:val="FoF"/>
      </w:pPr>
      <w:r>
        <w:t>Behind-the-Meter developers face a challenge in acquiring the customers necessary to host the requisite amount of capacity, which creates uncertainty.</w:t>
      </w:r>
    </w:p>
    <w:p w:rsidR="0036086E" w:rsidP="009151AE" w:rsidRDefault="001020DA" w14:paraId="1FEB896C" w14:textId="3AA1D2DB">
      <w:pPr>
        <w:pStyle w:val="FoF"/>
      </w:pPr>
      <w:r>
        <w:t xml:space="preserve">Distribution of </w:t>
      </w:r>
      <w:r w:rsidR="0051357D">
        <w:t>Partnership</w:t>
      </w:r>
      <w:r>
        <w:t xml:space="preserve"> Pilot aggregators’ marketing materials would create an unfair advantage over bidders in other RFOs.</w:t>
      </w:r>
    </w:p>
    <w:p w:rsidR="001020DA" w:rsidP="009151AE" w:rsidRDefault="001020DA" w14:paraId="0C111CFC" w14:textId="3F6D3902">
      <w:pPr>
        <w:pStyle w:val="FoF"/>
      </w:pPr>
      <w:r>
        <w:t>SCE’s recommendation to provide customers with information on third</w:t>
      </w:r>
      <w:r w:rsidR="004821FC">
        <w:noBreakHyphen/>
      </w:r>
      <w:r>
        <w:t>party distributed energy resources tariff options would provide a level playing field for all energy service providers.</w:t>
      </w:r>
    </w:p>
    <w:p w:rsidR="007D2EE5" w:rsidP="009151AE" w:rsidRDefault="001020DA" w14:paraId="0FCA8BDC" w14:textId="77777777">
      <w:pPr>
        <w:pStyle w:val="FoF"/>
      </w:pPr>
      <w:r>
        <w:t xml:space="preserve">Development of </w:t>
      </w:r>
      <w:r w:rsidR="007D2EE5">
        <w:t>a specific</w:t>
      </w:r>
      <w:r>
        <w:t xml:space="preserve"> webpage should </w:t>
      </w:r>
      <w:r w:rsidR="007D2EE5">
        <w:t>help Behind-the-Meter developers meet the challenge of acquiring enough customers and capacity.</w:t>
      </w:r>
    </w:p>
    <w:p w:rsidR="007D2EE5" w:rsidP="009151AE" w:rsidRDefault="007D2EE5" w14:paraId="38D2D86C" w14:textId="7DC01931">
      <w:pPr>
        <w:pStyle w:val="FoF"/>
      </w:pPr>
      <w:r>
        <w:t xml:space="preserve">It is reasonable to direct Utilities to track marketing costs in the Distribution Deferral </w:t>
      </w:r>
      <w:r w:rsidR="00542DC9">
        <w:t xml:space="preserve">Administrative Costs </w:t>
      </w:r>
      <w:r>
        <w:t>Memorandum Account and seek recovery in their respective General Rate Cases.</w:t>
      </w:r>
    </w:p>
    <w:p w:rsidR="001020DA" w:rsidP="009151AE" w:rsidRDefault="007D2EE5" w14:paraId="16F61B74" w14:textId="6D22DD6B">
      <w:pPr>
        <w:pStyle w:val="FoF"/>
      </w:pPr>
      <w:r>
        <w:t xml:space="preserve">The marketing costs are tracked to ascertain a marketing fee, if the Commission determines it reasonable to impose such a fee should the </w:t>
      </w:r>
      <w:r w:rsidR="0051357D">
        <w:t>Partnership</w:t>
      </w:r>
      <w:r>
        <w:t xml:space="preserve"> Pilot become a permanent tariff.</w:t>
      </w:r>
    </w:p>
    <w:p w:rsidR="0051357D" w:rsidP="009151AE" w:rsidRDefault="0051357D" w14:paraId="72A127B4" w14:textId="5002558C">
      <w:pPr>
        <w:pStyle w:val="FoF"/>
      </w:pPr>
      <w:r>
        <w:t>The Commission determined in D.16-12-036 that distributed energy resources can provide multiple incremental services and should be compensated for each service.</w:t>
      </w:r>
    </w:p>
    <w:p w:rsidR="0051357D" w:rsidP="009151AE" w:rsidRDefault="0051357D" w14:paraId="0498C9C8" w14:textId="56632F30">
      <w:pPr>
        <w:pStyle w:val="FoF"/>
      </w:pPr>
      <w:r>
        <w:lastRenderedPageBreak/>
        <w:t>The incrementality language contained in the Staff Proposal should lead to improved certainty for providers and increased availability of distributed energy resources.</w:t>
      </w:r>
    </w:p>
    <w:p w:rsidR="0051357D" w:rsidP="009151AE" w:rsidRDefault="0051357D" w14:paraId="36161F54" w14:textId="5FCE9B63">
      <w:pPr>
        <w:pStyle w:val="FoF"/>
      </w:pPr>
      <w:r>
        <w:t>Payments distributed energy resources providers receive for enrollment and participation in the Partnership Pilot are in return for a service provided and are not an incentive.</w:t>
      </w:r>
    </w:p>
    <w:p w:rsidR="0051357D" w:rsidP="009151AE" w:rsidRDefault="0051357D" w14:paraId="142BFC1C" w14:textId="6C8A618A">
      <w:pPr>
        <w:pStyle w:val="FoF"/>
      </w:pPr>
      <w:r>
        <w:t>The May 11, 2020 Ruling stated that incrementality approaches among Utilities should be consistent.</w:t>
      </w:r>
    </w:p>
    <w:p w:rsidR="001439F5" w:rsidP="009151AE" w:rsidRDefault="001439F5" w14:paraId="5386F4B9" w14:textId="2ED669AF">
      <w:pPr>
        <w:pStyle w:val="FoF"/>
      </w:pPr>
      <w:r>
        <w:t xml:space="preserve">The purpose of the </w:t>
      </w:r>
      <w:proofErr w:type="gramStart"/>
      <w:r>
        <w:t>previously-adopted</w:t>
      </w:r>
      <w:proofErr w:type="gramEnd"/>
      <w:r>
        <w:t xml:space="preserve"> reforms and those proposed here is to streamline the DIDF process.</w:t>
      </w:r>
    </w:p>
    <w:p w:rsidR="001439F5" w:rsidP="009151AE" w:rsidRDefault="001439F5" w14:paraId="26E819F7" w14:textId="77777777">
      <w:pPr>
        <w:pStyle w:val="FoF"/>
      </w:pPr>
      <w:r>
        <w:t>The proposed elimination of the November 15 Advice Letter would result in a noticeably earlier launch of the RFO, allowing a more expeditious procurement process for deferring distribution investment.</w:t>
      </w:r>
    </w:p>
    <w:p w:rsidR="001439F5" w:rsidP="009151AE" w:rsidRDefault="001439F5" w14:paraId="7B385216" w14:textId="77777777">
      <w:pPr>
        <w:pStyle w:val="FoF"/>
      </w:pPr>
      <w:r>
        <w:t>The input of the DPAG prior to the launch provides the review necessary for this process.</w:t>
      </w:r>
    </w:p>
    <w:p w:rsidR="001439F5" w:rsidP="009151AE" w:rsidRDefault="001439F5" w14:paraId="4DA679DE" w14:textId="05C99755">
      <w:pPr>
        <w:pStyle w:val="FoF"/>
      </w:pPr>
      <w:r>
        <w:t>The DIDF process includes an annual reform process, whereby Utilities</w:t>
      </w:r>
      <w:r w:rsidR="00572FC6">
        <w:br/>
      </w:r>
      <w:r>
        <w:t xml:space="preserve">are ordered to propose DIDF modifications in </w:t>
      </w:r>
      <w:r w:rsidR="00542DC9">
        <w:t>comments due annually on January</w:t>
      </w:r>
      <w:r w:rsidR="00572FC6">
        <w:t> </w:t>
      </w:r>
      <w:r w:rsidR="00542DC9">
        <w:t>20</w:t>
      </w:r>
      <w:r>
        <w:t xml:space="preserve">.  </w:t>
      </w:r>
    </w:p>
    <w:p w:rsidR="001439F5" w:rsidP="009151AE" w:rsidRDefault="001439F5" w14:paraId="5016971A" w14:textId="46AD8DF6">
      <w:pPr>
        <w:pStyle w:val="FoF"/>
      </w:pPr>
      <w:r>
        <w:t>It is reasonable to eliminate the November 15 Tier 2 Advice Letter that seeks approval to launch the RFO solicitation.</w:t>
      </w:r>
    </w:p>
    <w:p w:rsidR="001439F5" w:rsidP="009151AE" w:rsidRDefault="001367FF" w14:paraId="0B2BE8DE" w14:textId="4DBFC094">
      <w:pPr>
        <w:pStyle w:val="FoF"/>
      </w:pPr>
      <w:r>
        <w:t>It is reasonable to revise the annual launch date to September 15 to provide additional time after the filing of the GNA/DDOR.</w:t>
      </w:r>
    </w:p>
    <w:p w:rsidR="00BF1D89" w:rsidP="009151AE" w:rsidRDefault="00BF1D89" w14:paraId="504BD039" w14:textId="52031CC3">
      <w:pPr>
        <w:pStyle w:val="FoF"/>
      </w:pPr>
      <w:r>
        <w:t>The Commission continues to explore ways to streamline the competitive solicitation framework to reduce regulatory filings and decrease the process time.</w:t>
      </w:r>
    </w:p>
    <w:p w:rsidR="00F11AE9" w:rsidP="009151AE" w:rsidRDefault="00F11AE9" w14:paraId="1B567CFE" w14:textId="2765B548">
      <w:pPr>
        <w:pStyle w:val="FoF"/>
      </w:pPr>
      <w:r>
        <w:lastRenderedPageBreak/>
        <w:t>No party commented on the proposal to revise Reform No. 40 to add the phrase, “or other planned investment.”</w:t>
      </w:r>
    </w:p>
    <w:p w:rsidR="00F11AE9" w:rsidP="00F11AE9" w:rsidRDefault="00F11AE9" w14:paraId="2BBCEEBB" w14:textId="512E168C">
      <w:pPr>
        <w:pStyle w:val="FoF"/>
      </w:pPr>
      <w:r>
        <w:t>The additional language for Reform No. 40 is reasonable.</w:t>
      </w:r>
    </w:p>
    <w:p w:rsidR="00F11AE9" w:rsidP="00F11AE9" w:rsidRDefault="00F11AE9" w14:paraId="7023E50E" w14:textId="25454FC6">
      <w:pPr>
        <w:pStyle w:val="FoF"/>
      </w:pPr>
      <w:r>
        <w:t>Parties support the adoption of the Standard Offer Contract pilot to varying degrees and with modifications.</w:t>
      </w:r>
    </w:p>
    <w:p w:rsidR="00F11AE9" w:rsidP="00F11AE9" w:rsidRDefault="00F11AE9" w14:paraId="6F121D31" w14:textId="463E85BF">
      <w:pPr>
        <w:pStyle w:val="FoF"/>
      </w:pPr>
      <w:r>
        <w:t>A three-year pilot of the Standard Offer Contract, with annual reviews, is sufficient to provide an indication of success and, if successful, allow for adoption of a permanent program.</w:t>
      </w:r>
    </w:p>
    <w:p w:rsidR="00F11AE9" w:rsidP="00F11AE9" w:rsidRDefault="00F11AE9" w14:paraId="679DCA13" w14:textId="34A1D614">
      <w:pPr>
        <w:pStyle w:val="FoF"/>
      </w:pPr>
      <w:r>
        <w:t>The TNPF is appropriate for use in this pilot but requires revision by interested stakeholders.</w:t>
      </w:r>
    </w:p>
    <w:p w:rsidR="00F11AE9" w:rsidP="00F11AE9" w:rsidRDefault="00F11AE9" w14:paraId="3F9E8100" w14:textId="7749F87D">
      <w:pPr>
        <w:pStyle w:val="FoF"/>
      </w:pPr>
      <w:r>
        <w:t xml:space="preserve">Utilities should not be required to confer with </w:t>
      </w:r>
      <w:r w:rsidR="0061268C">
        <w:t xml:space="preserve">parties </w:t>
      </w:r>
      <w:r>
        <w:t xml:space="preserve">or </w:t>
      </w:r>
      <w:r w:rsidR="0061268C">
        <w:t xml:space="preserve">other </w:t>
      </w:r>
      <w:r>
        <w:t>stakeholders more than once prior to finalizing the TNPF.</w:t>
      </w:r>
    </w:p>
    <w:p w:rsidR="00F11AE9" w:rsidP="00F11AE9" w:rsidRDefault="00F11AE9" w14:paraId="7DDA8F6E" w14:textId="4AE94AE3">
      <w:pPr>
        <w:pStyle w:val="FoF"/>
      </w:pPr>
      <w:r>
        <w:t>Parties and other relevant stakeholders vetted the TNPF through an extensive development process with annual Commission-approved updates.</w:t>
      </w:r>
    </w:p>
    <w:p w:rsidR="00F11AE9" w:rsidP="00F11AE9" w:rsidRDefault="00F11AE9" w14:paraId="72EAD1C2" w14:textId="703B5E9B">
      <w:pPr>
        <w:pStyle w:val="FoF"/>
      </w:pPr>
      <w:r>
        <w:t>More than one meeting to discuss additional changes to the TNPF would be duplicative.</w:t>
      </w:r>
    </w:p>
    <w:p w:rsidR="00F11AE9" w:rsidP="00F11AE9" w:rsidRDefault="00F11AE9" w14:paraId="30A94251" w14:textId="301AB945">
      <w:pPr>
        <w:pStyle w:val="FoF"/>
      </w:pPr>
      <w:bookmarkStart w:name="_Hlk60305987" w:id="54"/>
      <w:r>
        <w:t>The Standard-Offer-Contract is likely best suited for larger scale providers of In-Front-Of-Meter resources.</w:t>
      </w:r>
    </w:p>
    <w:p w:rsidR="00F11AE9" w:rsidP="00F11AE9" w:rsidRDefault="00F11AE9" w14:paraId="32EACD58" w14:textId="2AE71C5E">
      <w:pPr>
        <w:pStyle w:val="FoF"/>
      </w:pPr>
      <w:r>
        <w:t>Limiting the Standard-Offer-Contract to In-Front-Of-Meter resources simpli</w:t>
      </w:r>
      <w:r w:rsidR="00D04075">
        <w:t>fi</w:t>
      </w:r>
      <w:r>
        <w:t>es the administration of two simu</w:t>
      </w:r>
      <w:r w:rsidR="00D04075">
        <w:t>l</w:t>
      </w:r>
      <w:r>
        <w:t>taneou</w:t>
      </w:r>
      <w:r w:rsidR="00D04075">
        <w:t>s</w:t>
      </w:r>
      <w:r>
        <w:t xml:space="preserve"> pilots.</w:t>
      </w:r>
    </w:p>
    <w:bookmarkEnd w:id="54"/>
    <w:p w:rsidR="00DE5025" w:rsidP="00DE5025" w:rsidRDefault="00DE5025" w14:paraId="794B92A3" w14:textId="2D8E2BAE">
      <w:pPr>
        <w:pStyle w:val="FoF"/>
      </w:pPr>
      <w:r>
        <w:t xml:space="preserve">A five-year pilot </w:t>
      </w:r>
      <w:r w:rsidR="00D41B43">
        <w:t xml:space="preserve">for the Standard Offer Contract pilot </w:t>
      </w:r>
      <w:r>
        <w:t>is unnecessarily lengthy and SDG&amp;E’s approach is unnecessarily stringent.</w:t>
      </w:r>
    </w:p>
    <w:p w:rsidR="00DE5025" w:rsidP="00DE5025" w:rsidRDefault="00DE5025" w14:paraId="02EA25FA" w14:textId="7B521531">
      <w:pPr>
        <w:pStyle w:val="FoF"/>
      </w:pPr>
      <w:r>
        <w:t>To ensure protection of ratepayer funds, we should provide a guardrail or off-ramp for the Standard-Offer-Contract pilot.</w:t>
      </w:r>
    </w:p>
    <w:p w:rsidR="003675FA" w:rsidP="00205051" w:rsidRDefault="00DE5025" w14:paraId="7B96063F" w14:textId="41127AE0">
      <w:pPr>
        <w:pStyle w:val="FoF"/>
      </w:pPr>
      <w:r>
        <w:lastRenderedPageBreak/>
        <w:t xml:space="preserve">In our discussion of the </w:t>
      </w:r>
      <w:r w:rsidR="0051357D">
        <w:t>Partnership</w:t>
      </w:r>
      <w:r>
        <w:t xml:space="preserve"> Pilot, we found it reasonable to publi</w:t>
      </w:r>
      <w:r w:rsidR="00205051">
        <w:t>sh</w:t>
      </w:r>
      <w:r>
        <w:t xml:space="preserve"> cost caps</w:t>
      </w:r>
      <w:r w:rsidR="00205051">
        <w:t>; f</w:t>
      </w:r>
      <w:r>
        <w:t>or consistency sake, we find it reasonable to use the same approach for the Standard-Offer-Contract pilot</w:t>
      </w:r>
      <w:r w:rsidR="00205051">
        <w:t>.</w:t>
      </w:r>
    </w:p>
    <w:p w:rsidR="00950A78" w:rsidP="00205051" w:rsidRDefault="00950A78" w14:paraId="7D5B015C" w14:textId="77777777">
      <w:pPr>
        <w:pStyle w:val="FoF"/>
      </w:pPr>
      <w:r>
        <w:t>We expect multiple developers will make offers in response to Utilities releasing their distributed energy resources services needs along with the corresponding price sheet, which may make the simple pricing method infeasible.</w:t>
      </w:r>
    </w:p>
    <w:p w:rsidRPr="001E2A62" w:rsidR="00205051" w:rsidRDefault="00950A78" w14:paraId="0573B34B" w14:textId="26063E67">
      <w:pPr>
        <w:pStyle w:val="FoF"/>
      </w:pPr>
      <w:r>
        <w:t xml:space="preserve">The simple auction pricing method </w:t>
      </w:r>
      <w:r w:rsidR="00EF51DB">
        <w:t xml:space="preserve">is likely to </w:t>
      </w:r>
      <w:r>
        <w:t>provide a more competitive and equitable process than the simple pricing method when offers are reviewed and selected.</w:t>
      </w:r>
    </w:p>
    <w:p w:rsidR="005939A5" w:rsidP="005939A5" w:rsidRDefault="005939A5" w14:paraId="135D3341" w14:textId="77777777">
      <w:pPr>
        <w:pStyle w:val="Dummy"/>
      </w:pPr>
      <w:bookmarkStart w:name="_Toc8123726" w:id="55"/>
      <w:bookmarkStart w:name="_Toc63778699" w:id="56"/>
      <w:r>
        <w:t>Conclusions of Law</w:t>
      </w:r>
      <w:bookmarkEnd w:id="55"/>
      <w:bookmarkEnd w:id="56"/>
    </w:p>
    <w:p w:rsidRPr="001E2A62" w:rsidR="00932865" w:rsidP="001E2A62" w:rsidRDefault="009022CA" w14:paraId="79840B91" w14:textId="15D86912">
      <w:pPr>
        <w:pStyle w:val="CoL"/>
      </w:pPr>
      <w:r>
        <w:t>The Commission should adopt the revised six guiding principles for the design of distributed energy resources tariffs.</w:t>
      </w:r>
    </w:p>
    <w:p w:rsidRPr="001E2A62" w:rsidR="00932865" w:rsidP="001E2A62" w:rsidRDefault="009022CA" w14:paraId="59BCBA67" w14:textId="733E50BA">
      <w:pPr>
        <w:pStyle w:val="CoL"/>
      </w:pPr>
      <w:r>
        <w:t>The Commission should pilot the distributed energy resources distribution deferral tariff, with modifications.</w:t>
      </w:r>
    </w:p>
    <w:p w:rsidR="0053261C" w:rsidP="00D44DB6" w:rsidRDefault="0053261C" w14:paraId="3D00012A" w14:textId="1D9683FC">
      <w:pPr>
        <w:pStyle w:val="CoL"/>
      </w:pPr>
      <w:r>
        <w:t xml:space="preserve">The tariff pilot should be retitled as, the </w:t>
      </w:r>
      <w:r w:rsidR="0051357D">
        <w:t>Partnership</w:t>
      </w:r>
      <w:r>
        <w:t xml:space="preserve"> Pilot.</w:t>
      </w:r>
    </w:p>
    <w:p w:rsidR="0053261C" w:rsidP="00D44DB6" w:rsidRDefault="00FF4EEB" w14:paraId="4AFC4754" w14:textId="325211FF">
      <w:pPr>
        <w:pStyle w:val="CoL"/>
      </w:pPr>
      <w:r>
        <w:t xml:space="preserve">Prescreening should be tested in the </w:t>
      </w:r>
      <w:r w:rsidR="0051357D">
        <w:t>Partnership</w:t>
      </w:r>
      <w:r>
        <w:t xml:space="preserve"> Pilot, as </w:t>
      </w:r>
      <w:proofErr w:type="gramStart"/>
      <w:r>
        <w:t>defined</w:t>
      </w:r>
      <w:proofErr w:type="gramEnd"/>
      <w:r>
        <w:t xml:space="preserve"> and modified in this decision.</w:t>
      </w:r>
    </w:p>
    <w:p w:rsidR="00E46160" w:rsidP="00D44DB6" w:rsidRDefault="00E46160" w14:paraId="3F051316" w14:textId="11892700">
      <w:pPr>
        <w:pStyle w:val="CoL"/>
      </w:pPr>
      <w:r>
        <w:t xml:space="preserve">The Commission should not adopt a prescreening fee for the duration of the </w:t>
      </w:r>
      <w:r w:rsidR="00AB2D39">
        <w:t>Partnership</w:t>
      </w:r>
      <w:r>
        <w:t xml:space="preserve"> Pilot.</w:t>
      </w:r>
    </w:p>
    <w:p w:rsidR="00E46160" w:rsidP="00D44DB6" w:rsidRDefault="00E46160" w14:paraId="5C1A6241" w14:textId="099CE635">
      <w:pPr>
        <w:pStyle w:val="CoL"/>
      </w:pPr>
      <w:r>
        <w:t>The costs to administer prescreening should be considered as part of the cost-benefit analysis of the resource.</w:t>
      </w:r>
    </w:p>
    <w:p w:rsidR="00696B86" w:rsidP="00D44DB6" w:rsidRDefault="00696B86" w14:paraId="6338454F" w14:textId="7E7534B0">
      <w:pPr>
        <w:pStyle w:val="CoL"/>
      </w:pPr>
      <w:r>
        <w:t xml:space="preserve">The Commission should adopt the use of Ratable Procurement in the </w:t>
      </w:r>
      <w:r w:rsidR="00AB2D39">
        <w:t>Partnership</w:t>
      </w:r>
      <w:r>
        <w:t xml:space="preserve"> Pilot in combination with a 9</w:t>
      </w:r>
      <w:r w:rsidR="00AB2D39">
        <w:t>0</w:t>
      </w:r>
      <w:r>
        <w:t xml:space="preserve"> percent acceptance trigger and a 1</w:t>
      </w:r>
      <w:r w:rsidR="00AB2D39">
        <w:t>2</w:t>
      </w:r>
      <w:r>
        <w:t>0</w:t>
      </w:r>
      <w:r w:rsidR="004821FC">
        <w:t> </w:t>
      </w:r>
      <w:r>
        <w:t>percent procurement margin.</w:t>
      </w:r>
    </w:p>
    <w:p w:rsidR="00D66B1F" w:rsidP="00D44DB6" w:rsidRDefault="00D66B1F" w14:paraId="03D1EBD3" w14:textId="72AA538C">
      <w:pPr>
        <w:pStyle w:val="CoL"/>
      </w:pPr>
      <w:r>
        <w:lastRenderedPageBreak/>
        <w:t xml:space="preserve">The Commission should adopt the use of the simple pricing method with a </w:t>
      </w:r>
      <w:r w:rsidR="00AB2D39">
        <w:t xml:space="preserve">tariff budget </w:t>
      </w:r>
      <w:r>
        <w:t xml:space="preserve">of 85 percent </w:t>
      </w:r>
      <w:r w:rsidR="00AB2D39">
        <w:t xml:space="preserve">of the cost cap </w:t>
      </w:r>
      <w:r>
        <w:t xml:space="preserve">and a final submission date of </w:t>
      </w:r>
      <w:r w:rsidR="00542DC9">
        <w:t xml:space="preserve">November </w:t>
      </w:r>
      <w:r>
        <w:t>15</w:t>
      </w:r>
      <w:r w:rsidR="00AB2D39">
        <w:t>.</w:t>
      </w:r>
    </w:p>
    <w:p w:rsidR="009175E0" w:rsidP="00D44DB6" w:rsidRDefault="009175E0" w14:paraId="4479D3F9" w14:textId="3A9C4F66">
      <w:pPr>
        <w:pStyle w:val="CoL"/>
      </w:pPr>
      <w:r>
        <w:t>The Commission should not set any additional time limits on the subscription period and should adopt the subscription period as proposed.</w:t>
      </w:r>
    </w:p>
    <w:p w:rsidR="009175E0" w:rsidP="00D44DB6" w:rsidRDefault="009175E0" w14:paraId="199ECFD4" w14:textId="0B5D50D3">
      <w:pPr>
        <w:pStyle w:val="CoL"/>
      </w:pPr>
      <w:r>
        <w:t>The Commission should adopt the contingency date as proposed.</w:t>
      </w:r>
    </w:p>
    <w:p w:rsidR="00EF57A1" w:rsidP="00EF57A1" w:rsidRDefault="002D2D23" w14:paraId="6F47F1C1" w14:textId="5F1DDD24">
      <w:pPr>
        <w:pStyle w:val="CoL"/>
      </w:pPr>
      <w:r>
        <w:t>The Commission should adopt the combined use of the reservation period and the required affidavit.</w:t>
      </w:r>
    </w:p>
    <w:p w:rsidR="00EF57A1" w:rsidP="00EF57A1" w:rsidRDefault="00EF57A1" w14:paraId="17B9A717" w14:textId="61F244F0">
      <w:pPr>
        <w:pStyle w:val="CoL"/>
      </w:pPr>
      <w:r>
        <w:t xml:space="preserve">The Commission should adopt a </w:t>
      </w:r>
      <w:proofErr w:type="gramStart"/>
      <w:r>
        <w:t>three tier</w:t>
      </w:r>
      <w:proofErr w:type="gramEnd"/>
      <w:r>
        <w:t xml:space="preserve"> payment structure with the following allocations: deployment payment tier – 20 percent of </w:t>
      </w:r>
      <w:r w:rsidR="00AB2D39">
        <w:t>the tariff budget</w:t>
      </w:r>
      <w:r>
        <w:t xml:space="preserve">; capacity reservation payment tier – 30 percent of </w:t>
      </w:r>
      <w:r w:rsidR="00AB2D39">
        <w:t>the tariff budget</w:t>
      </w:r>
      <w:r>
        <w:t xml:space="preserve">; and performance payment tier – </w:t>
      </w:r>
      <w:r w:rsidR="00AB2D39">
        <w:t>50</w:t>
      </w:r>
      <w:r>
        <w:t xml:space="preserve"> percent of </w:t>
      </w:r>
      <w:r w:rsidR="00AB2D39">
        <w:t>the tariff budget</w:t>
      </w:r>
      <w:r>
        <w:t>.</w:t>
      </w:r>
    </w:p>
    <w:p w:rsidR="001439F5" w:rsidP="00EF57A1" w:rsidRDefault="007D2EE5" w14:paraId="564DFB9C" w14:textId="1D5A868A">
      <w:pPr>
        <w:pStyle w:val="CoL"/>
      </w:pPr>
      <w:r>
        <w:t xml:space="preserve">The Commission </w:t>
      </w:r>
      <w:r w:rsidR="001439F5">
        <w:t xml:space="preserve">should require Utilities to develop marketing web sites to </w:t>
      </w:r>
      <w:r w:rsidR="00542DC9">
        <w:t xml:space="preserve">assist </w:t>
      </w:r>
      <w:r w:rsidR="001439F5">
        <w:t>Behind-The-Meter developers</w:t>
      </w:r>
      <w:r w:rsidR="00542DC9">
        <w:t xml:space="preserve"> address marketing challenges</w:t>
      </w:r>
      <w:r w:rsidR="001439F5">
        <w:t>.</w:t>
      </w:r>
    </w:p>
    <w:p w:rsidR="007D2EE5" w:rsidP="00EF57A1" w:rsidRDefault="001439F5" w14:paraId="47A98F99" w14:textId="325FA792">
      <w:pPr>
        <w:pStyle w:val="CoL"/>
      </w:pPr>
      <w:r>
        <w:t xml:space="preserve">The Commission </w:t>
      </w:r>
      <w:r w:rsidR="007D2EE5">
        <w:t xml:space="preserve">should direct Utilities to track the marketing costs in their Distribution Deferral Memorandum Accounts and seek recovery in their respective General Rate Cases.  </w:t>
      </w:r>
    </w:p>
    <w:p w:rsidR="001439F5" w:rsidP="00EF57A1" w:rsidRDefault="001439F5" w14:paraId="1AAC4895" w14:textId="13F27667">
      <w:pPr>
        <w:pStyle w:val="CoL"/>
      </w:pPr>
      <w:r>
        <w:t>The Commission should eliminate the November 15 Tier 2 Advice Letter seeking approval to launch the RFO solicitation.</w:t>
      </w:r>
    </w:p>
    <w:p w:rsidR="0029225C" w:rsidP="00EF57A1" w:rsidRDefault="0029225C" w14:paraId="57B50577" w14:textId="496FCFE6">
      <w:pPr>
        <w:pStyle w:val="CoL"/>
      </w:pPr>
      <w:r>
        <w:t>The Commission should revise the RFO launch date to September 15, annually.</w:t>
      </w:r>
    </w:p>
    <w:p w:rsidR="0029225C" w:rsidP="00EF57A1" w:rsidRDefault="0029225C" w14:paraId="2CD1C8D9" w14:textId="5D253CCA">
      <w:pPr>
        <w:pStyle w:val="CoL"/>
      </w:pPr>
      <w:r>
        <w:t>The Commission should modify Reform No. 40 to add the language, “or other planned investment.</w:t>
      </w:r>
      <w:r w:rsidR="00DB144E">
        <w:t>”</w:t>
      </w:r>
    </w:p>
    <w:p w:rsidR="0029225C" w:rsidP="00EF57A1" w:rsidRDefault="003675FA" w14:paraId="412C45F3" w14:textId="1CE1E577">
      <w:pPr>
        <w:pStyle w:val="CoL"/>
      </w:pPr>
      <w:r>
        <w:t>The Commission should adopt a three-year pilot of the Standard-Offer-Contract, with modifications of the Staff Proposal.</w:t>
      </w:r>
    </w:p>
    <w:p w:rsidR="003675FA" w:rsidP="00EF57A1" w:rsidRDefault="003675FA" w14:paraId="212CD223" w14:textId="2A45F3FC">
      <w:pPr>
        <w:pStyle w:val="CoL"/>
      </w:pPr>
      <w:r>
        <w:lastRenderedPageBreak/>
        <w:t>The Commission should direct Utilities to confer with stakeholders to update the TNPF for use in the Standard-Offer-Contract pilot.</w:t>
      </w:r>
    </w:p>
    <w:p w:rsidR="003675FA" w:rsidP="00EF57A1" w:rsidRDefault="003675FA" w14:paraId="58ADE642" w14:textId="264B98F6">
      <w:pPr>
        <w:pStyle w:val="CoL"/>
      </w:pPr>
      <w:bookmarkStart w:name="_Hlk60306028" w:id="57"/>
      <w:r>
        <w:t xml:space="preserve">The Commission should limit the Standard-Offer-Contract pilot to In-Front-Of-Meter resources and the </w:t>
      </w:r>
      <w:r w:rsidR="00AB2D39">
        <w:t>Partnership</w:t>
      </w:r>
      <w:r>
        <w:t xml:space="preserve"> Pilot to Behind-The-Meter resources.</w:t>
      </w:r>
    </w:p>
    <w:bookmarkEnd w:id="57"/>
    <w:p w:rsidR="00950A78" w:rsidP="00EF57A1" w:rsidRDefault="009F063E" w14:paraId="4D4AEE24" w14:textId="1D34BAB5">
      <w:pPr>
        <w:pStyle w:val="CoL"/>
      </w:pPr>
      <w:r>
        <w:t xml:space="preserve">The Commission should adopt the same approach used in the </w:t>
      </w:r>
      <w:r w:rsidR="00AB2D39">
        <w:t>Partnership</w:t>
      </w:r>
      <w:r>
        <w:t xml:space="preserve"> Pilot and publish cost caps</w:t>
      </w:r>
      <w:r w:rsidR="00950A78">
        <w:t xml:space="preserve"> in the Standard-Offer-Contract pilot.</w:t>
      </w:r>
    </w:p>
    <w:p w:rsidR="009F063E" w:rsidP="00EF57A1" w:rsidRDefault="00950A78" w14:paraId="2E4ABA0C" w14:textId="732D0201">
      <w:pPr>
        <w:pStyle w:val="CoL"/>
      </w:pPr>
      <w:r>
        <w:t xml:space="preserve">The Commission should </w:t>
      </w:r>
      <w:r w:rsidR="009F063E">
        <w:t xml:space="preserve">adopt the simple </w:t>
      </w:r>
      <w:r>
        <w:t xml:space="preserve">auction </w:t>
      </w:r>
      <w:r w:rsidR="009F063E">
        <w:t>pricing metho</w:t>
      </w:r>
      <w:r>
        <w:t>d for the Standard-Offer-Contract pilot</w:t>
      </w:r>
      <w:r w:rsidR="009F063E">
        <w:t>.</w:t>
      </w:r>
    </w:p>
    <w:p w:rsidR="00BB0243" w:rsidP="000A6E05" w:rsidRDefault="005939A5" w14:paraId="380F4083" w14:textId="39B79586">
      <w:pPr>
        <w:pStyle w:val="Mainex"/>
      </w:pPr>
      <w:bookmarkStart w:name="_Toc63778700" w:id="58"/>
      <w:r>
        <w:t>O</w:t>
      </w:r>
      <w:r w:rsidR="00722850">
        <w:t>RDER</w:t>
      </w:r>
      <w:bookmarkEnd w:id="58"/>
      <w:r w:rsidR="002D2D23">
        <w:t xml:space="preserve"> </w:t>
      </w:r>
    </w:p>
    <w:p w:rsidR="00BB0243" w:rsidP="000A6E05" w:rsidRDefault="00BB0243" w14:paraId="3C2AAA32" w14:textId="77777777">
      <w:pPr>
        <w:keepNext/>
      </w:pPr>
      <w:r w:rsidRPr="00BB0243">
        <w:rPr>
          <w:b/>
        </w:rPr>
        <w:t>IT IS ORDERED</w:t>
      </w:r>
      <w:r>
        <w:t xml:space="preserve"> that:</w:t>
      </w:r>
    </w:p>
    <w:p w:rsidR="00932865" w:rsidP="001E2A62" w:rsidRDefault="00506FDA" w14:paraId="4BD01A61" w14:textId="4FAB01C6">
      <w:pPr>
        <w:pStyle w:val="OP"/>
      </w:pPr>
      <w:r>
        <w:t xml:space="preserve">The following six guiding principles are adopted for the design of </w:t>
      </w:r>
      <w:r w:rsidR="0053261C">
        <w:t>d</w:t>
      </w:r>
      <w:r>
        <w:t xml:space="preserve">istributed </w:t>
      </w:r>
      <w:r w:rsidR="0053261C">
        <w:t>e</w:t>
      </w:r>
      <w:r>
        <w:t xml:space="preserve">nergy </w:t>
      </w:r>
      <w:r w:rsidR="0053261C">
        <w:t>r</w:t>
      </w:r>
      <w:r>
        <w:t xml:space="preserve">esources </w:t>
      </w:r>
      <w:r w:rsidR="0053261C">
        <w:t>t</w:t>
      </w:r>
      <w:r>
        <w:t>ariff</w:t>
      </w:r>
      <w:r w:rsidR="0053261C">
        <w:t>s</w:t>
      </w:r>
      <w:r>
        <w:t>.  The distributed energy resources distribution deferral tariff shall be designed to:</w:t>
      </w:r>
    </w:p>
    <w:p w:rsidR="00506FDA" w:rsidP="0011559B" w:rsidRDefault="00506FDA" w14:paraId="64FC1A9A" w14:textId="1BAA5D9A">
      <w:pPr>
        <w:pStyle w:val="OP"/>
        <w:numPr>
          <w:ilvl w:val="0"/>
          <w:numId w:val="24"/>
        </w:numPr>
        <w:spacing w:after="120" w:line="240" w:lineRule="auto"/>
        <w:ind w:left="1080" w:right="1440"/>
      </w:pPr>
      <w:r w:rsidRPr="00DA2469">
        <w:t>Provide a payment to distributed energy resource customers for</w:t>
      </w:r>
      <w:r>
        <w:t xml:space="preserve"> </w:t>
      </w:r>
      <w:r w:rsidRPr="00DA2469">
        <w:t>distribution deferral resources, where</w:t>
      </w:r>
      <w:r>
        <w:rPr>
          <w:i/>
          <w:iCs/>
        </w:rPr>
        <w:t xml:space="preserve"> </w:t>
      </w:r>
      <w:r>
        <w:t xml:space="preserve">the total costs to execute and maintain the distributed energy resource distribution deferral tariff reduces overall energy system costs, relative to other available </w:t>
      </w:r>
      <w:proofErr w:type="gramStart"/>
      <w:r>
        <w:t>options;</w:t>
      </w:r>
      <w:proofErr w:type="gramEnd"/>
    </w:p>
    <w:p w:rsidR="00506FDA" w:rsidP="0011559B" w:rsidRDefault="00506FDA" w14:paraId="3695719E" w14:textId="2D728F8A">
      <w:pPr>
        <w:pStyle w:val="OP"/>
        <w:numPr>
          <w:ilvl w:val="0"/>
          <w:numId w:val="24"/>
        </w:numPr>
        <w:spacing w:after="120" w:line="240" w:lineRule="auto"/>
        <w:ind w:left="1080" w:right="1440"/>
      </w:pPr>
      <w:r>
        <w:t xml:space="preserve">Result in a level playing field for </w:t>
      </w:r>
      <w:r w:rsidR="00AB2D39">
        <w:t>distributed energy resources</w:t>
      </w:r>
      <w:r w:rsidDel="00AB2D39" w:rsidR="00AB2D39">
        <w:t xml:space="preserve"> </w:t>
      </w:r>
      <w:r>
        <w:t xml:space="preserve">in comparison with </w:t>
      </w:r>
      <w:r w:rsidR="00AB2D39">
        <w:t>traditional infrastructure investments</w:t>
      </w:r>
      <w:r>
        <w:t xml:space="preserve">, while also achieving technology neutrality across all distributed energy </w:t>
      </w:r>
      <w:proofErr w:type="gramStart"/>
      <w:r>
        <w:t>resources;</w:t>
      </w:r>
      <w:proofErr w:type="gramEnd"/>
    </w:p>
    <w:p w:rsidR="00506FDA" w:rsidP="0011559B" w:rsidRDefault="00506FDA" w14:paraId="1E3494EA" w14:textId="217ACA22">
      <w:pPr>
        <w:pStyle w:val="OP"/>
        <w:numPr>
          <w:ilvl w:val="0"/>
          <w:numId w:val="24"/>
        </w:numPr>
        <w:spacing w:after="120" w:line="240" w:lineRule="auto"/>
        <w:ind w:left="1080" w:right="1440"/>
      </w:pPr>
      <w:r>
        <w:t xml:space="preserve">Enable Utilities to recover all Commission-approved revenue requirements equitably and transparently from both participating and non-participating </w:t>
      </w:r>
      <w:proofErr w:type="gramStart"/>
      <w:r>
        <w:t>customers;</w:t>
      </w:r>
      <w:proofErr w:type="gramEnd"/>
    </w:p>
    <w:p w:rsidR="00506FDA" w:rsidP="0011559B" w:rsidRDefault="00506FDA" w14:paraId="624198AB" w14:textId="220C351C">
      <w:pPr>
        <w:pStyle w:val="OP"/>
        <w:numPr>
          <w:ilvl w:val="0"/>
          <w:numId w:val="24"/>
        </w:numPr>
        <w:spacing w:after="120" w:line="240" w:lineRule="auto"/>
        <w:ind w:left="1080" w:right="1440"/>
      </w:pPr>
      <w:r>
        <w:t xml:space="preserve">Improve the deployment and utilization of cost-effective distributed energy resources for distribution deferral purposes, relative to other mechanisms currently available, </w:t>
      </w:r>
      <w:r>
        <w:lastRenderedPageBreak/>
        <w:t xml:space="preserve">to maximize savings to ratepayers while also encouraging innovation of distributed energy </w:t>
      </w:r>
      <w:proofErr w:type="gramStart"/>
      <w:r>
        <w:t>resources;</w:t>
      </w:r>
      <w:proofErr w:type="gramEnd"/>
    </w:p>
    <w:p w:rsidR="00506FDA" w:rsidP="0011559B" w:rsidRDefault="00506FDA" w14:paraId="5E687104" w14:textId="0590092C">
      <w:pPr>
        <w:pStyle w:val="OP"/>
        <w:numPr>
          <w:ilvl w:val="0"/>
          <w:numId w:val="24"/>
        </w:numPr>
        <w:spacing w:after="120" w:line="240" w:lineRule="auto"/>
        <w:ind w:left="1080" w:right="1440"/>
      </w:pPr>
      <w:r>
        <w:t>Leverage private investment in distributed energy resources, including existing distributed energy resources participating in other Commission programs not already providing deferral services, to achieve distribution deferral benefits of least marginal cost to ratepayers; and</w:t>
      </w:r>
    </w:p>
    <w:p w:rsidRPr="001E2A62" w:rsidR="00506FDA" w:rsidP="0011559B" w:rsidRDefault="00506FDA" w14:paraId="1B1DE58D" w14:textId="44D0C61D">
      <w:pPr>
        <w:pStyle w:val="OP"/>
        <w:numPr>
          <w:ilvl w:val="0"/>
          <w:numId w:val="24"/>
        </w:numPr>
        <w:spacing w:after="120" w:line="240" w:lineRule="auto"/>
        <w:ind w:left="1080" w:right="1440"/>
      </w:pPr>
      <w:r>
        <w:t>Ensure payments to distributed energy resources customers for distributed energy resources distribution deferral are incremental and total no more than the deferral value cost cap.</w:t>
      </w:r>
    </w:p>
    <w:p w:rsidR="00506FDA" w:rsidP="00B3087D" w:rsidRDefault="00506FDA" w14:paraId="76ECDA66" w14:textId="7F4C3DC0">
      <w:pPr>
        <w:pStyle w:val="OP"/>
      </w:pPr>
      <w:r>
        <w:t>The distributed energy resources distribution deferral tariff pilot</w:t>
      </w:r>
      <w:r w:rsidR="00FF4EEB">
        <w:t xml:space="preserve"> (Pilot)</w:t>
      </w:r>
      <w:r>
        <w:t xml:space="preserve"> </w:t>
      </w:r>
      <w:r w:rsidR="00595A30">
        <w:t xml:space="preserve">recommended in the Staff Proposal attached to this decision is adopted with the following </w:t>
      </w:r>
      <w:r w:rsidR="009175E0">
        <w:t xml:space="preserve">elements and </w:t>
      </w:r>
      <w:r w:rsidR="00595A30">
        <w:t xml:space="preserve">revisions: </w:t>
      </w:r>
    </w:p>
    <w:p w:rsidR="00595A30" w:rsidP="0011559B" w:rsidRDefault="00FF4EEB" w14:paraId="2D4D3FF1" w14:textId="30F445B7">
      <w:pPr>
        <w:pStyle w:val="OP"/>
        <w:numPr>
          <w:ilvl w:val="0"/>
          <w:numId w:val="26"/>
        </w:numPr>
        <w:spacing w:after="120" w:line="240" w:lineRule="auto"/>
        <w:ind w:left="1080" w:right="1440"/>
      </w:pPr>
      <w:r>
        <w:t xml:space="preserve">The </w:t>
      </w:r>
      <w:r w:rsidR="00AB2D39">
        <w:t xml:space="preserve">five-year </w:t>
      </w:r>
      <w:r>
        <w:t xml:space="preserve">Pilot is renamed the </w:t>
      </w:r>
      <w:r w:rsidR="00AB2D39">
        <w:t>Partnership</w:t>
      </w:r>
      <w:r>
        <w:t xml:space="preserve"> </w:t>
      </w:r>
      <w:r w:rsidR="007D2EE5">
        <w:t>P</w:t>
      </w:r>
      <w:r>
        <w:t>ilot</w:t>
      </w:r>
      <w:r w:rsidR="00DC79B2">
        <w:t xml:space="preserve"> and is limited to Behind-the-Meter resources</w:t>
      </w:r>
      <w:r>
        <w:t>.</w:t>
      </w:r>
    </w:p>
    <w:p w:rsidR="00FF4EEB" w:rsidP="0011559B" w:rsidRDefault="00FF4EEB" w14:paraId="09E8AE42" w14:textId="44658468">
      <w:pPr>
        <w:pStyle w:val="OP"/>
        <w:numPr>
          <w:ilvl w:val="0"/>
          <w:numId w:val="26"/>
        </w:numPr>
        <w:spacing w:after="120" w:line="240" w:lineRule="auto"/>
        <w:ind w:left="1080" w:right="1440"/>
      </w:pPr>
      <w:r>
        <w:t>Prescreening</w:t>
      </w:r>
      <w:r w:rsidR="00E46160">
        <w:t>, at no cost to providers,</w:t>
      </w:r>
      <w:r>
        <w:t xml:space="preserve"> shall be used in the Pilot with a two-year effective period</w:t>
      </w:r>
      <w:r w:rsidR="00E46160">
        <w:t xml:space="preserve"> and shall be initiated annually on July 15 and last 30 days.</w:t>
      </w:r>
    </w:p>
    <w:p w:rsidR="00696B86" w:rsidP="0011559B" w:rsidRDefault="00696B86" w14:paraId="60971773" w14:textId="31252124">
      <w:pPr>
        <w:pStyle w:val="OP"/>
        <w:numPr>
          <w:ilvl w:val="0"/>
          <w:numId w:val="26"/>
        </w:numPr>
        <w:spacing w:after="120" w:line="240" w:lineRule="auto"/>
        <w:ind w:left="1080" w:right="1440"/>
      </w:pPr>
      <w:r>
        <w:t xml:space="preserve">Ratable Procurement shall be </w:t>
      </w:r>
      <w:r w:rsidR="00D66B1F">
        <w:t>used</w:t>
      </w:r>
      <w:r>
        <w:t xml:space="preserve"> in combination with a 9</w:t>
      </w:r>
      <w:r w:rsidR="00AB2D39">
        <w:t>0</w:t>
      </w:r>
      <w:r>
        <w:t xml:space="preserve"> percent acceptance trigger and a procurement margin of 1</w:t>
      </w:r>
      <w:r w:rsidR="00AB2D39">
        <w:t>2</w:t>
      </w:r>
      <w:r>
        <w:t>0 percent.</w:t>
      </w:r>
    </w:p>
    <w:p w:rsidR="00D66B1F" w:rsidP="0011559B" w:rsidRDefault="00D66B1F" w14:paraId="3610C7C8" w14:textId="44948B43">
      <w:pPr>
        <w:pStyle w:val="OP"/>
        <w:numPr>
          <w:ilvl w:val="0"/>
          <w:numId w:val="26"/>
        </w:numPr>
        <w:spacing w:after="120" w:line="240" w:lineRule="auto"/>
        <w:ind w:left="1080" w:right="1440"/>
      </w:pPr>
      <w:r>
        <w:t xml:space="preserve">The Simple Pricing Method shall be used, with a </w:t>
      </w:r>
      <w:r w:rsidR="00AB2D39">
        <w:t xml:space="preserve">tariff budget of 85 percent of the </w:t>
      </w:r>
      <w:r>
        <w:t>cost cap and a final cost cap submission date of November 15</w:t>
      </w:r>
      <w:r w:rsidR="00AC1C36">
        <w:t xml:space="preserve"> within the Tier 2 Advice Letter requesting to launch subscription periods for the Partnership Pilot</w:t>
      </w:r>
      <w:r>
        <w:t>.</w:t>
      </w:r>
      <w:r w:rsidR="00AC1C36">
        <w:t xml:space="preserve">  Cost caps shall not be revised downward after the submission.  Cost cap revisions are subject to review in the Distribution Investment Deferral Framework reform process.</w:t>
      </w:r>
      <w:r>
        <w:t xml:space="preserve"> </w:t>
      </w:r>
    </w:p>
    <w:p w:rsidR="009175E0" w:rsidP="0011559B" w:rsidRDefault="009175E0" w14:paraId="1E51F9E1" w14:textId="1CC24732">
      <w:pPr>
        <w:pStyle w:val="OP"/>
        <w:numPr>
          <w:ilvl w:val="0"/>
          <w:numId w:val="26"/>
        </w:numPr>
        <w:spacing w:after="120" w:line="240" w:lineRule="auto"/>
        <w:ind w:left="1080" w:right="1440"/>
      </w:pPr>
      <w:r>
        <w:t>The subscription period and contingency date are adopted as proposed.</w:t>
      </w:r>
      <w:r w:rsidR="006D0E8A">
        <w:t xml:space="preserve">  After reaching the 90 percent acceptance trigger, subscription periods for the next procurement goal or tranche shall open.</w:t>
      </w:r>
    </w:p>
    <w:p w:rsidR="009175E0" w:rsidP="0011559B" w:rsidRDefault="002D2D23" w14:paraId="13866426" w14:textId="5E3FE618">
      <w:pPr>
        <w:pStyle w:val="OP"/>
        <w:numPr>
          <w:ilvl w:val="0"/>
          <w:numId w:val="26"/>
        </w:numPr>
        <w:spacing w:after="120" w:line="240" w:lineRule="auto"/>
        <w:ind w:left="1080" w:right="1440"/>
      </w:pPr>
      <w:r>
        <w:lastRenderedPageBreak/>
        <w:t>The reservation period and affidavit are adopted as proposed.</w:t>
      </w:r>
    </w:p>
    <w:p w:rsidR="00871F6A" w:rsidP="0011559B" w:rsidRDefault="00EF57A1" w14:paraId="2ABC0049" w14:textId="21BF4F07">
      <w:pPr>
        <w:pStyle w:val="OP"/>
        <w:numPr>
          <w:ilvl w:val="0"/>
          <w:numId w:val="26"/>
        </w:numPr>
        <w:spacing w:after="120" w:line="240" w:lineRule="auto"/>
        <w:ind w:left="1080" w:right="1440"/>
      </w:pPr>
      <w:r>
        <w:t xml:space="preserve">The Tiered Payment Structure is simplified to three tiers with the following allocations: </w:t>
      </w:r>
      <w:r w:rsidR="00572FC6">
        <w:t xml:space="preserve"> </w:t>
      </w:r>
      <w:r>
        <w:t>deployment payment tier – 20 percent</w:t>
      </w:r>
      <w:r w:rsidR="0036086E">
        <w:t xml:space="preserve"> of </w:t>
      </w:r>
      <w:r w:rsidR="00AB2D39">
        <w:t>the tariff budget</w:t>
      </w:r>
      <w:r>
        <w:t xml:space="preserve">; </w:t>
      </w:r>
      <w:r w:rsidR="0036086E">
        <w:t xml:space="preserve">capacity reservation payment tier – 30 percent of </w:t>
      </w:r>
      <w:r w:rsidR="00AB2D39">
        <w:t>the tariff budget</w:t>
      </w:r>
      <w:r w:rsidR="0036086E">
        <w:t>; and performance payment tier – 5</w:t>
      </w:r>
      <w:r w:rsidR="00AB2D39">
        <w:t>0</w:t>
      </w:r>
      <w:r w:rsidR="0036086E">
        <w:t xml:space="preserve"> percent of </w:t>
      </w:r>
      <w:r w:rsidR="00AB2D39">
        <w:t>the tariff budget</w:t>
      </w:r>
      <w:r w:rsidR="0036086E">
        <w:t>.</w:t>
      </w:r>
    </w:p>
    <w:p w:rsidR="000A6FFA" w:rsidP="0011559B" w:rsidRDefault="000A6FFA" w14:paraId="44BEAB7D" w14:textId="5DC8E922">
      <w:pPr>
        <w:pStyle w:val="OP"/>
        <w:numPr>
          <w:ilvl w:val="0"/>
          <w:numId w:val="26"/>
        </w:numPr>
        <w:spacing w:after="120" w:line="240" w:lineRule="auto"/>
        <w:ind w:left="1080" w:right="1440"/>
      </w:pPr>
      <w:r>
        <w:t>Offer acceptance and contract execution procedures are adopted as proposed in the attached Staff Proposal.</w:t>
      </w:r>
    </w:p>
    <w:p w:rsidR="004E07D5" w:rsidP="00B3087D" w:rsidRDefault="00AB2D39" w14:paraId="27D3D38D" w14:textId="11AF5791">
      <w:pPr>
        <w:pStyle w:val="OP"/>
      </w:pPr>
      <w:r>
        <w:t xml:space="preserve">Pacific Gas and Electric Company, San Diego Gas &amp; Electric Company, and Southern California Edison Company shall </w:t>
      </w:r>
      <w:r w:rsidR="004E07D5">
        <w:t xml:space="preserve">identify, in their annual Grid Needs Assessments/Distribution Deferral Opportunity Report, the procurement goal parameters listed in this Ordering Paragraph for each deferral opportunity using ratable procurement as adopted in Ordering Paragraph 2.  Procurement goal is defined as the amount of capacity needed to defer the planned investment for no less than one year.  The parameters contained in the Grid Needs Assessment/Distribution Deferral Opportunity Report </w:t>
      </w:r>
      <w:proofErr w:type="gramStart"/>
      <w:r w:rsidR="004E07D5">
        <w:t>are considered to be</w:t>
      </w:r>
      <w:proofErr w:type="gramEnd"/>
      <w:r w:rsidR="004E07D5">
        <w:t xml:space="preserve"> preliminary and will be reviewed </w:t>
      </w:r>
      <w:r w:rsidR="003961EB">
        <w:t xml:space="preserve">during </w:t>
      </w:r>
      <w:r w:rsidR="004E07D5">
        <w:t xml:space="preserve">the Distribution </w:t>
      </w:r>
      <w:r w:rsidR="003961EB">
        <w:t>Planning</w:t>
      </w:r>
      <w:r w:rsidR="004E07D5">
        <w:t xml:space="preserve"> Advisory Group </w:t>
      </w:r>
      <w:r w:rsidR="003961EB">
        <w:t xml:space="preserve">review </w:t>
      </w:r>
      <w:r w:rsidR="004E07D5">
        <w:t>process</w:t>
      </w:r>
      <w:r w:rsidR="003961EB">
        <w:t xml:space="preserve"> and finalized for inclusion in the November 15 advice letters.  Procurement goals may be updated annually during the DPAG process until the entire grid need is met or the contingency date occurs</w:t>
      </w:r>
      <w:r w:rsidR="00B313EB">
        <w:t>, whichever happens sooner</w:t>
      </w:r>
      <w:r w:rsidR="003961EB">
        <w:t>.</w:t>
      </w:r>
    </w:p>
    <w:p w:rsidR="004E07D5" w:rsidP="00174D6A" w:rsidRDefault="00174D6A" w14:paraId="7EEF8AEF" w14:textId="69CD97F5">
      <w:pPr>
        <w:pStyle w:val="OP"/>
        <w:numPr>
          <w:ilvl w:val="1"/>
          <w:numId w:val="5"/>
        </w:numPr>
        <w:tabs>
          <w:tab w:val="left" w:pos="990"/>
        </w:tabs>
        <w:spacing w:after="120" w:line="240" w:lineRule="auto"/>
        <w:ind w:left="1170" w:right="1440" w:hanging="180"/>
      </w:pPr>
      <w:r>
        <w:tab/>
      </w:r>
      <w:r w:rsidR="004E07D5">
        <w:t xml:space="preserve">Total procurement goal defined by the number of tranches and the amount of capacity to be procured in each </w:t>
      </w:r>
      <w:proofErr w:type="gramStart"/>
      <w:r w:rsidR="004E07D5">
        <w:t>tranche;</w:t>
      </w:r>
      <w:proofErr w:type="gramEnd"/>
    </w:p>
    <w:p w:rsidR="004E07D5" w:rsidP="00174D6A" w:rsidRDefault="00174D6A" w14:paraId="7436F0D0" w14:textId="0AAE52D3">
      <w:pPr>
        <w:pStyle w:val="OP"/>
        <w:numPr>
          <w:ilvl w:val="1"/>
          <w:numId w:val="5"/>
        </w:numPr>
        <w:tabs>
          <w:tab w:val="left" w:pos="990"/>
        </w:tabs>
        <w:spacing w:after="120" w:line="240" w:lineRule="auto"/>
        <w:ind w:left="1170" w:right="1440" w:hanging="180"/>
      </w:pPr>
      <w:r>
        <w:tab/>
      </w:r>
      <w:r w:rsidR="004E07D5">
        <w:t xml:space="preserve">Subscription </w:t>
      </w:r>
      <w:proofErr w:type="gramStart"/>
      <w:r w:rsidR="004E07D5">
        <w:t>period</w:t>
      </w:r>
      <w:proofErr w:type="gramEnd"/>
      <w:r w:rsidR="004E07D5">
        <w:t xml:space="preserve"> start date and duration for each tranche;</w:t>
      </w:r>
    </w:p>
    <w:p w:rsidR="004E07D5" w:rsidP="00174D6A" w:rsidRDefault="00174D6A" w14:paraId="33611B58" w14:textId="5CAC196E">
      <w:pPr>
        <w:pStyle w:val="OP"/>
        <w:numPr>
          <w:ilvl w:val="1"/>
          <w:numId w:val="5"/>
        </w:numPr>
        <w:tabs>
          <w:tab w:val="left" w:pos="990"/>
        </w:tabs>
        <w:spacing w:after="120" w:line="240" w:lineRule="auto"/>
        <w:ind w:left="1170" w:right="1440" w:hanging="180"/>
      </w:pPr>
      <w:r>
        <w:tab/>
      </w:r>
      <w:r w:rsidR="004E07D5">
        <w:t>Contingency date for each tranche; and</w:t>
      </w:r>
    </w:p>
    <w:p w:rsidR="003961EB" w:rsidP="00174D6A" w:rsidRDefault="00174D6A" w14:paraId="09CF45A6" w14:textId="0E78D7B4">
      <w:pPr>
        <w:pStyle w:val="OP"/>
        <w:numPr>
          <w:ilvl w:val="1"/>
          <w:numId w:val="5"/>
        </w:numPr>
        <w:tabs>
          <w:tab w:val="left" w:pos="990"/>
        </w:tabs>
        <w:spacing w:after="120" w:line="240" w:lineRule="auto"/>
        <w:ind w:left="1170" w:right="1440" w:hanging="180"/>
      </w:pPr>
      <w:r>
        <w:lastRenderedPageBreak/>
        <w:tab/>
      </w:r>
      <w:r w:rsidR="004E07D5">
        <w:t>Date by which capacity of each tranche must be operational.</w:t>
      </w:r>
      <w:r w:rsidR="00AB2D39">
        <w:t xml:space="preserve"> </w:t>
      </w:r>
    </w:p>
    <w:p w:rsidR="00AB2D39" w:rsidRDefault="003961EB" w14:paraId="6220B670" w14:textId="157C699D">
      <w:pPr>
        <w:pStyle w:val="OP"/>
      </w:pPr>
      <w:r>
        <w:t>Pacific Gas and Electric Company, San Diego Gas &amp; Electric Company, and Southern California Edison Company (Utilities) shall each identify, in their annual Grid Needs Assessments/Distribution Deferral Opportunity Report,</w:t>
      </w:r>
      <w:r w:rsidR="006D0E8A">
        <w:t xml:space="preserve"> </w:t>
      </w:r>
      <w:proofErr w:type="spellStart"/>
      <w:r w:rsidR="006D0E8A">
        <w:t>i</w:t>
      </w:r>
      <w:proofErr w:type="spellEnd"/>
      <w:r w:rsidR="006D0E8A">
        <w:t>)</w:t>
      </w:r>
      <w:r w:rsidR="00174D6A">
        <w:t> </w:t>
      </w:r>
      <w:r>
        <w:t>the proposed total tariff budget for each Partnership Pilot deferral opportunity</w:t>
      </w:r>
      <w:r w:rsidR="006D0E8A">
        <w:t>; ii)</w:t>
      </w:r>
      <w:r w:rsidR="00174D6A">
        <w:t> </w:t>
      </w:r>
      <w:r>
        <w:t>the tariff budget for each tranche identified in Ordering Paragraph 3</w:t>
      </w:r>
      <w:r w:rsidR="006D0E8A">
        <w:t>;</w:t>
      </w:r>
      <w:r w:rsidR="00174D6A">
        <w:br/>
      </w:r>
      <w:r w:rsidR="006D0E8A">
        <w:t>iii)</w:t>
      </w:r>
      <w:r w:rsidR="00174D6A">
        <w:t> </w:t>
      </w:r>
      <w:r w:rsidR="006D0E8A">
        <w:t>a listing of each monthly procurement tranche update and report on overall procurement progress inclusive through 30 days prior to the Grid Needs Assessment/Distribution Deferral Opportunity Report filing date</w:t>
      </w:r>
      <w:r>
        <w:t xml:space="preserve">.  Utilities shall each present a description and quantitative presentation of the procurement goal or tranche and tariff budget design including deployment, reservation, and performance payment amounts for each tranche.  Future refinements to these designs may </w:t>
      </w:r>
      <w:r w:rsidR="00B82CFD">
        <w:t xml:space="preserve">be reviewed </w:t>
      </w:r>
      <w:r>
        <w:t>in the annual Distribution Planning Advisory Group review process</w:t>
      </w:r>
      <w:r w:rsidR="00B82CFD">
        <w:t xml:space="preserve"> and the annual Distribution Investment Deferral Framework reform process</w:t>
      </w:r>
      <w:r>
        <w:t xml:space="preserve">.  </w:t>
      </w:r>
      <w:r w:rsidR="00B82CFD">
        <w:t>Utilities shall include the final tariff budget and procurement goal tranche designs, based on Distribution Planning Advisory Group feedback, in the November 15 Advice Letters.</w:t>
      </w:r>
    </w:p>
    <w:p w:rsidR="00595A30" w:rsidP="00B3087D" w:rsidRDefault="00595A30" w14:paraId="58BD6AFE" w14:textId="5B54AD61">
      <w:pPr>
        <w:pStyle w:val="OP"/>
      </w:pPr>
      <w:r>
        <w:t xml:space="preserve">The Energy Division is authorized to invite party proposals on evaluation criteria for the </w:t>
      </w:r>
      <w:r w:rsidR="00286235">
        <w:t>Partnership P</w:t>
      </w:r>
      <w:r>
        <w:t>ilot adopted in Ordering Paragraph 2</w:t>
      </w:r>
      <w:r w:rsidR="0021294B">
        <w:t xml:space="preserve"> and the Standard Offer Contract Pilot adopted in Ordering Paragraph 9</w:t>
      </w:r>
      <w:r>
        <w:t>.  No later than 90</w:t>
      </w:r>
      <w:r w:rsidR="001714E2">
        <w:t> </w:t>
      </w:r>
      <w:r>
        <w:t>days from the issuance of this decision, Energy Division is authorized to facilitate a workshop to discuss these proposals.</w:t>
      </w:r>
    </w:p>
    <w:p w:rsidR="00595A30" w:rsidP="00174D6A" w:rsidRDefault="00595A30" w14:paraId="474C1CC1" w14:textId="6EDF320E">
      <w:pPr>
        <w:pStyle w:val="OP"/>
        <w:ind w:right="-360"/>
      </w:pPr>
      <w:r>
        <w:t xml:space="preserve">No later than 30 days from the date of the workshop in Ordering Paragraph </w:t>
      </w:r>
      <w:r w:rsidR="00A77181">
        <w:t>4</w:t>
      </w:r>
      <w:r>
        <w:t xml:space="preserve">, Pacific Gas and Electric Company, San Diego Gas &amp; Electric Company and Southern California Edison Company shall jointly </w:t>
      </w:r>
      <w:r w:rsidR="00286235">
        <w:t xml:space="preserve">submit </w:t>
      </w:r>
      <w:r>
        <w:t xml:space="preserve">a Tier 1 Advice Letter seeking </w:t>
      </w:r>
      <w:r>
        <w:lastRenderedPageBreak/>
        <w:t xml:space="preserve">approval of the evaluation criteria for the </w:t>
      </w:r>
      <w:r w:rsidR="00286235">
        <w:t>Partnership P</w:t>
      </w:r>
      <w:r>
        <w:t>ilot</w:t>
      </w:r>
      <w:r w:rsidR="0021294B">
        <w:t xml:space="preserve"> and the Standard-Offer-Contract pilot</w:t>
      </w:r>
      <w:r>
        <w:t xml:space="preserve">, taking party proposals </w:t>
      </w:r>
      <w:r w:rsidR="00E432E7">
        <w:t>and discussion</w:t>
      </w:r>
      <w:r>
        <w:t xml:space="preserve"> at the workshop into consideration.</w:t>
      </w:r>
      <w:r w:rsidR="00696B86">
        <w:t xml:space="preserve">  Evaluation</w:t>
      </w:r>
      <w:r w:rsidR="00CB0E83">
        <w:t xml:space="preserve"> criteria shall </w:t>
      </w:r>
      <w:r w:rsidR="00CA7C6C">
        <w:t xml:space="preserve">include </w:t>
      </w:r>
      <w:r w:rsidR="00CB0E83">
        <w:t xml:space="preserve">review </w:t>
      </w:r>
      <w:r w:rsidR="00CA7C6C">
        <w:t xml:space="preserve">of </w:t>
      </w:r>
      <w:r w:rsidR="00CB0E83">
        <w:t xml:space="preserve">the acceptance criteria, procurement margin, </w:t>
      </w:r>
      <w:r w:rsidR="00BF1D89">
        <w:t xml:space="preserve">and </w:t>
      </w:r>
      <w:r w:rsidR="009175E0">
        <w:t>subscription period</w:t>
      </w:r>
      <w:r w:rsidR="00BF1D89">
        <w:t xml:space="preserve">.  The evaluation shall be conducted </w:t>
      </w:r>
      <w:r w:rsidR="00CA7C6C">
        <w:t>during the Distribution Investment Deferral Framework annual reform process</w:t>
      </w:r>
      <w:r w:rsidR="00BF1D89">
        <w:t xml:space="preserve">, culminating with an ultimate determination of whether to adopt the </w:t>
      </w:r>
      <w:r w:rsidR="00286235">
        <w:t>Partnership Pilot</w:t>
      </w:r>
      <w:r w:rsidR="00BF1D89">
        <w:t xml:space="preserve"> </w:t>
      </w:r>
      <w:r w:rsidR="0021294B">
        <w:t xml:space="preserve">and/or Standard Offer Contract </w:t>
      </w:r>
      <w:r w:rsidR="00BF1D89">
        <w:t>as permanent solution</w:t>
      </w:r>
      <w:r w:rsidR="00286235">
        <w:t>s</w:t>
      </w:r>
      <w:r w:rsidR="00BF1D89">
        <w:t xml:space="preserve">.  </w:t>
      </w:r>
      <w:r w:rsidR="00CA7C6C">
        <w:t xml:space="preserve">During the third procurement cycle, the Energy Division </w:t>
      </w:r>
      <w:r w:rsidR="00497755">
        <w:t xml:space="preserve">in consultation with the Distribution Planning Advisory Group </w:t>
      </w:r>
      <w:r w:rsidR="00A933A0">
        <w:t>is authorized to</w:t>
      </w:r>
      <w:r w:rsidR="00497755">
        <w:t xml:space="preserve"> perform a mid-stream evaluation to determine whether to move forward with procurement for years four and five</w:t>
      </w:r>
      <w:r w:rsidR="00D41B43">
        <w:t xml:space="preserve"> of the Partnership Pilot</w:t>
      </w:r>
      <w:r w:rsidR="00497755">
        <w:t>.</w:t>
      </w:r>
      <w:r w:rsidR="007E7208">
        <w:t xml:space="preserve">  Continuation of procurement in years four and five based on the review will be determined in an Administrative Law Judge Ruling in this proceeding or its successor proceeding.</w:t>
      </w:r>
    </w:p>
    <w:p w:rsidR="00286235" w:rsidP="00B3087D" w:rsidRDefault="00FF4EEB" w14:paraId="5EA4364A" w14:textId="02BF6D20">
      <w:pPr>
        <w:pStyle w:val="OP"/>
      </w:pPr>
      <w:r>
        <w:t xml:space="preserve">No later than 90 days from the issuance of this decision, Pacific Gas and Electric Company, San Diego Gas &amp; Electric Company and Southern California Edison Company shall each </w:t>
      </w:r>
      <w:r w:rsidR="00286235">
        <w:t xml:space="preserve">submit </w:t>
      </w:r>
      <w:r>
        <w:t>a Tier 2 Advice Letter detailing the elements of the prescreening application and adhering to the following guidance: minimum provider viability should be the same across all three utilities and should maintain technology neutrality and not inhibit new market entrants’ viability.</w:t>
      </w:r>
    </w:p>
    <w:p w:rsidR="00871F6A" w:rsidRDefault="00871F6A" w14:paraId="2C5B3FD5" w14:textId="1E58ECF6">
      <w:pPr>
        <w:pStyle w:val="OP"/>
      </w:pPr>
      <w:r>
        <w:t xml:space="preserve">No later than April 30, 2021, Pacific Gas and Electric Company, San Diego Gas &amp; Electric Company and Southern California Edison Company </w:t>
      </w:r>
      <w:r w:rsidR="00332930">
        <w:t xml:space="preserve">(Utilities) </w:t>
      </w:r>
      <w:r>
        <w:t xml:space="preserve">shall have each developed a page on their company website that describes the </w:t>
      </w:r>
      <w:r w:rsidR="00CA7C6C">
        <w:t>Partnership</w:t>
      </w:r>
      <w:r>
        <w:t xml:space="preserve"> Pilot, advertises the upcoming launch of the Pilot subscription</w:t>
      </w:r>
      <w:r w:rsidR="006D0E8A">
        <w:t xml:space="preserve"> and notices availability of procurement tranches within 30 days of tranche opening</w:t>
      </w:r>
      <w:r>
        <w:t xml:space="preserve">, </w:t>
      </w:r>
      <w:r w:rsidR="00B82CFD">
        <w:lastRenderedPageBreak/>
        <w:t xml:space="preserve">identifies </w:t>
      </w:r>
      <w:r w:rsidR="006D0E8A">
        <w:t xml:space="preserve">monthly updated </w:t>
      </w:r>
      <w:r w:rsidR="00B82CFD">
        <w:t xml:space="preserve">Procurement Goals for each deferral opportunity, </w:t>
      </w:r>
      <w:r>
        <w:t>and provides notice that aggregators will be looking for custome</w:t>
      </w:r>
      <w:r w:rsidR="00332930">
        <w:t xml:space="preserve">rs to enroll in the Tariff Pilot and customers should </w:t>
      </w:r>
      <w:r w:rsidR="00286235">
        <w:t>revisit the webpage again</w:t>
      </w:r>
      <w:r w:rsidR="00332930">
        <w:t xml:space="preserve"> by September 15.  </w:t>
      </w:r>
      <w:r w:rsidR="00286235">
        <w:t xml:space="preserve">Once aggregators </w:t>
      </w:r>
      <w:r w:rsidR="00CA7C6C">
        <w:t>have passed prescreening</w:t>
      </w:r>
      <w:r w:rsidR="00332930">
        <w:t xml:space="preserve">, Utilities shall include </w:t>
      </w:r>
      <w:r w:rsidR="00CA7C6C">
        <w:t xml:space="preserve">prescreened </w:t>
      </w:r>
      <w:r w:rsidR="00332930">
        <w:t xml:space="preserve">aggregator contact information on the </w:t>
      </w:r>
      <w:r w:rsidR="00CA7C6C">
        <w:t xml:space="preserve">Partnership </w:t>
      </w:r>
      <w:r w:rsidR="00332930">
        <w:t xml:space="preserve">Pilot web page </w:t>
      </w:r>
      <w:r w:rsidR="00D41B43">
        <w:t xml:space="preserve">no later than September 15, </w:t>
      </w:r>
      <w:r w:rsidR="00332930">
        <w:t>so that customers can contract the aggregator directly to enroll in the Tariff</w:t>
      </w:r>
      <w:r w:rsidR="00CA7C6C">
        <w:t xml:space="preserve">.  </w:t>
      </w:r>
      <w:r w:rsidR="00286235">
        <w:t>U</w:t>
      </w:r>
      <w:r w:rsidRPr="00A000B3" w:rsidR="00286235">
        <w:t>tilities shall enable customers to opt-in to being contacted by eligible aggregators</w:t>
      </w:r>
      <w:r w:rsidR="00286235">
        <w:t>.</w:t>
      </w:r>
      <w:r w:rsidRPr="00A000B3" w:rsidR="00286235">
        <w:t xml:space="preserve"> </w:t>
      </w:r>
    </w:p>
    <w:p w:rsidR="001439F5" w:rsidP="00B3087D" w:rsidRDefault="001439F5" w14:paraId="593AE6D0" w14:textId="390A76A9">
      <w:pPr>
        <w:pStyle w:val="OP"/>
      </w:pPr>
      <w:r>
        <w:t xml:space="preserve">Pacific Gas and Electric Company, San Diego Gas &amp; Electric Company and Southern California Edison Company shall each track the costs of implementing Ordering Paragraph </w:t>
      </w:r>
      <w:r w:rsidR="00CA7C6C">
        <w:t>7</w:t>
      </w:r>
      <w:r>
        <w:t xml:space="preserve"> in their Distribution Deferral </w:t>
      </w:r>
      <w:r w:rsidR="00B82CFD">
        <w:t xml:space="preserve">Administrative Costs </w:t>
      </w:r>
      <w:r>
        <w:t>Memorandum Account and seek recovery in their respective General Rate Cases.</w:t>
      </w:r>
    </w:p>
    <w:p w:rsidR="00497755" w:rsidP="00B3087D" w:rsidRDefault="00497755" w14:paraId="0AE302E3" w14:textId="1BD3C2D9">
      <w:pPr>
        <w:pStyle w:val="OP"/>
      </w:pPr>
      <w:r>
        <w:t xml:space="preserve">Pacific Gas and Electric Company, San Diego Gas &amp; Electric Company, and Southern California Edison Company </w:t>
      </w:r>
      <w:r w:rsidR="0075731A">
        <w:t xml:space="preserve">(Utilities) </w:t>
      </w:r>
      <w:r>
        <w:t>shall adhere to the following incrementality policies:</w:t>
      </w:r>
    </w:p>
    <w:p w:rsidR="0075731A" w:rsidP="0011559B" w:rsidRDefault="0075731A" w14:paraId="73AA8217" w14:textId="6E8BD782">
      <w:pPr>
        <w:pStyle w:val="OP"/>
        <w:numPr>
          <w:ilvl w:val="0"/>
          <w:numId w:val="27"/>
        </w:numPr>
        <w:spacing w:after="120" w:line="240" w:lineRule="auto"/>
        <w:ind w:left="1260" w:right="1440" w:hanging="540"/>
      </w:pPr>
      <w:r w:rsidRPr="0033503E">
        <w:rPr>
          <w:u w:val="single"/>
        </w:rPr>
        <w:t>Self-Generation Incentive Program (SGIP)</w:t>
      </w:r>
      <w:r>
        <w:t xml:space="preserve">: </w:t>
      </w:r>
      <w:r w:rsidR="002E6058">
        <w:t xml:space="preserve"> </w:t>
      </w:r>
      <w:r w:rsidRPr="00497755" w:rsidR="00497755">
        <w:t>Projects receiving SGIP funding sh</w:t>
      </w:r>
      <w:r>
        <w:t>all</w:t>
      </w:r>
      <w:r w:rsidRPr="00497755" w:rsidR="00497755">
        <w:t xml:space="preserve"> be considered fully incremental for the purposes of </w:t>
      </w:r>
      <w:r w:rsidR="00AC52C9">
        <w:t xml:space="preserve">all </w:t>
      </w:r>
      <w:r w:rsidRPr="00497755" w:rsidR="00497755">
        <w:t>D</w:t>
      </w:r>
      <w:r>
        <w:t xml:space="preserve">istribution Investment Deferral Framework (DIDF) </w:t>
      </w:r>
      <w:r w:rsidR="00AC52C9">
        <w:t>procurement mechanisms (</w:t>
      </w:r>
      <w:r w:rsidRPr="00680520" w:rsidR="00AC52C9">
        <w:rPr>
          <w:i/>
          <w:iCs/>
        </w:rPr>
        <w:t>e.g.</w:t>
      </w:r>
      <w:r w:rsidR="00AC52C9">
        <w:t xml:space="preserve">, </w:t>
      </w:r>
      <w:r w:rsidRPr="00497755" w:rsidR="00497755">
        <w:t>R</w:t>
      </w:r>
      <w:r>
        <w:t xml:space="preserve">equest </w:t>
      </w:r>
      <w:proofErr w:type="gramStart"/>
      <w:r w:rsidRPr="00497755" w:rsidR="00497755">
        <w:t>F</w:t>
      </w:r>
      <w:r>
        <w:t>or</w:t>
      </w:r>
      <w:proofErr w:type="gramEnd"/>
      <w:r>
        <w:t xml:space="preserve"> </w:t>
      </w:r>
      <w:r w:rsidRPr="00497755" w:rsidR="00497755">
        <w:t>O</w:t>
      </w:r>
      <w:r>
        <w:t>ffer</w:t>
      </w:r>
      <w:r w:rsidRPr="00497755" w:rsidR="00497755">
        <w:t xml:space="preserve"> </w:t>
      </w:r>
      <w:r>
        <w:t xml:space="preserve">(RFO) </w:t>
      </w:r>
      <w:r w:rsidRPr="00497755" w:rsidR="00497755">
        <w:t>bids</w:t>
      </w:r>
      <w:r w:rsidR="00AC52C9">
        <w:t>, Standard Offer Contracts,</w:t>
      </w:r>
      <w:r w:rsidRPr="00497755" w:rsidR="00497755">
        <w:t xml:space="preserve"> and deferral tariff offers</w:t>
      </w:r>
      <w:r w:rsidR="00FE0CA0">
        <w:t>)</w:t>
      </w:r>
      <w:r w:rsidRPr="00497755" w:rsidR="00497755">
        <w:t>, if the provider commits to meeting the dispatch requirements</w:t>
      </w:r>
      <w:r>
        <w:t xml:space="preserve"> </w:t>
      </w:r>
      <w:r w:rsidRPr="00497755" w:rsidR="00497755">
        <w:t xml:space="preserve">pursuant to the contract for the </w:t>
      </w:r>
      <w:r>
        <w:t>utility</w:t>
      </w:r>
      <w:r w:rsidRPr="00497755" w:rsidR="00497755">
        <w:t xml:space="preserve">-solicited deferral services. </w:t>
      </w:r>
      <w:r>
        <w:t xml:space="preserve"> Utilities</w:t>
      </w:r>
      <w:r w:rsidRPr="00497755" w:rsidR="00497755">
        <w:t xml:space="preserve"> sh</w:t>
      </w:r>
      <w:r>
        <w:t xml:space="preserve">all </w:t>
      </w:r>
      <w:r w:rsidRPr="00497755" w:rsidR="00497755">
        <w:t>treat SGIP projects that provide an incremental service as fully incremental.</w:t>
      </w:r>
      <w:r>
        <w:t xml:space="preserve">  </w:t>
      </w:r>
      <w:r w:rsidRPr="00497755" w:rsidR="00497755">
        <w:t>SGIP projects must meet all applicable SGIP requirements to obtain SGIP incentives.</w:t>
      </w:r>
      <w:r>
        <w:t xml:space="preserve"> </w:t>
      </w:r>
      <w:r w:rsidRPr="00497755" w:rsidR="00497755">
        <w:t xml:space="preserve"> SGIP projects</w:t>
      </w:r>
      <w:r>
        <w:t xml:space="preserve"> </w:t>
      </w:r>
      <w:r w:rsidRPr="00497755" w:rsidR="00497755">
        <w:t xml:space="preserve">do not currently have an obligation to respond to utility dispatch signals. </w:t>
      </w:r>
      <w:r w:rsidR="00680520">
        <w:t xml:space="preserve"> </w:t>
      </w:r>
      <w:r w:rsidRPr="00497755" w:rsidR="00497755">
        <w:t>As a result, a commitment</w:t>
      </w:r>
      <w:r>
        <w:t xml:space="preserve"> </w:t>
      </w:r>
      <w:r w:rsidRPr="00497755" w:rsidR="00497755">
        <w:t>of SGIP capacity to meet dispatch requirements sh</w:t>
      </w:r>
      <w:r>
        <w:t xml:space="preserve">all </w:t>
      </w:r>
      <w:r w:rsidRPr="00497755" w:rsidR="00497755">
        <w:t xml:space="preserve">be considered an incremental service </w:t>
      </w:r>
      <w:r w:rsidRPr="00497755" w:rsidR="00497755">
        <w:lastRenderedPageBreak/>
        <w:t>above</w:t>
      </w:r>
      <w:r>
        <w:t xml:space="preserve"> </w:t>
      </w:r>
      <w:r w:rsidRPr="00497755" w:rsidR="00497755">
        <w:t xml:space="preserve">and beyond what is compensated via SGIP. </w:t>
      </w:r>
      <w:r>
        <w:t xml:space="preserve"> Utilities </w:t>
      </w:r>
      <w:r w:rsidRPr="00497755" w:rsidR="00497755">
        <w:t>sh</w:t>
      </w:r>
      <w:r>
        <w:t>all</w:t>
      </w:r>
      <w:r w:rsidRPr="00497755" w:rsidR="00497755">
        <w:t xml:space="preserve"> treat any SGIP</w:t>
      </w:r>
      <w:r>
        <w:t xml:space="preserve"> </w:t>
      </w:r>
      <w:r w:rsidRPr="00497755" w:rsidR="00497755">
        <w:t>incentivized</w:t>
      </w:r>
      <w:r>
        <w:t xml:space="preserve"> </w:t>
      </w:r>
      <w:r w:rsidRPr="00497755" w:rsidR="00497755">
        <w:t xml:space="preserve">storage project that provides the services they are soliciting as wholly incremental. </w:t>
      </w:r>
      <w:r>
        <w:t xml:space="preserve"> Utilities </w:t>
      </w:r>
      <w:r w:rsidRPr="00497755" w:rsidR="00497755">
        <w:t>sh</w:t>
      </w:r>
      <w:r>
        <w:t>all</w:t>
      </w:r>
      <w:r w:rsidRPr="00497755" w:rsidR="00497755">
        <w:t xml:space="preserve"> give the provider the full payment for services procured irrespective of any additional</w:t>
      </w:r>
      <w:r>
        <w:t xml:space="preserve"> </w:t>
      </w:r>
      <w:r w:rsidRPr="00497755" w:rsidR="00497755">
        <w:t>SGIP incentives payments the provider may receive</w:t>
      </w:r>
      <w:r>
        <w:t xml:space="preserve">.  </w:t>
      </w:r>
      <w:r w:rsidRPr="0075731A">
        <w:t>SGIP program costs should not be counted against DIDF cost-effectiveness assessments, because</w:t>
      </w:r>
      <w:r>
        <w:t xml:space="preserve"> </w:t>
      </w:r>
      <w:r w:rsidRPr="0075731A">
        <w:t xml:space="preserve">DIDF procurements are intended to leverage both public and private </w:t>
      </w:r>
      <w:r>
        <w:t>distributed energy resources</w:t>
      </w:r>
      <w:r w:rsidRPr="0075731A">
        <w:t xml:space="preserve"> investments. </w:t>
      </w:r>
      <w:r w:rsidR="00680520">
        <w:t xml:space="preserve"> </w:t>
      </w:r>
      <w:r w:rsidRPr="0075731A">
        <w:t>For DIDF</w:t>
      </w:r>
      <w:r>
        <w:t xml:space="preserve"> </w:t>
      </w:r>
      <w:r w:rsidRPr="0075731A">
        <w:t xml:space="preserve">purposes, SGIP costs are “sunk costs” that occur regardless of the DIDF. </w:t>
      </w:r>
      <w:r>
        <w:t xml:space="preserve"> </w:t>
      </w:r>
      <w:r w:rsidRPr="0075731A">
        <w:t>SGIP incentivizes</w:t>
      </w:r>
      <w:r>
        <w:t xml:space="preserve"> </w:t>
      </w:r>
      <w:r w:rsidRPr="0075731A">
        <w:t xml:space="preserve">customers to install storage technology, but SGIP does not direct customers to defer </w:t>
      </w:r>
      <w:r>
        <w:t xml:space="preserve">utility </w:t>
      </w:r>
      <w:r w:rsidRPr="0075731A">
        <w:t xml:space="preserve">distribution investments or locate their storage in areas with grid needs. </w:t>
      </w:r>
      <w:r>
        <w:t xml:space="preserve"> </w:t>
      </w:r>
      <w:r w:rsidRPr="0075731A">
        <w:t>Deferral tariffs would add to</w:t>
      </w:r>
      <w:r>
        <w:t xml:space="preserve"> </w:t>
      </w:r>
      <w:r w:rsidRPr="0075731A">
        <w:t>(and leverage) SGIP incentives for customers that commit to siting storage in areas with grid needs</w:t>
      </w:r>
      <w:r>
        <w:t xml:space="preserve"> </w:t>
      </w:r>
      <w:r w:rsidRPr="0075731A">
        <w:t xml:space="preserve">and ensuring their energy storage is dispatchable as required by </w:t>
      </w:r>
      <w:r>
        <w:t>Utilities</w:t>
      </w:r>
      <w:r w:rsidRPr="0075731A">
        <w:t xml:space="preserve">. </w:t>
      </w:r>
      <w:r w:rsidR="00680520">
        <w:t xml:space="preserve"> </w:t>
      </w:r>
      <w:r w:rsidRPr="0075731A">
        <w:t>This applies to both new</w:t>
      </w:r>
      <w:r>
        <w:t xml:space="preserve"> </w:t>
      </w:r>
      <w:r w:rsidRPr="0075731A">
        <w:t>and existing SGIP participants.</w:t>
      </w:r>
    </w:p>
    <w:p w:rsidR="0075731A" w:rsidP="0011559B" w:rsidRDefault="00F101EF" w14:paraId="62CCD57E" w14:textId="05D78AAB">
      <w:pPr>
        <w:pStyle w:val="OP"/>
        <w:numPr>
          <w:ilvl w:val="0"/>
          <w:numId w:val="27"/>
        </w:numPr>
        <w:spacing w:after="120" w:line="240" w:lineRule="auto"/>
        <w:ind w:left="1260" w:right="1440" w:hanging="540"/>
      </w:pPr>
      <w:r w:rsidRPr="002342F9">
        <w:rPr>
          <w:u w:val="single"/>
        </w:rPr>
        <w:t>Net Energy Metering (NEM):</w:t>
      </w:r>
      <w:r>
        <w:t xml:space="preserve"> </w:t>
      </w:r>
      <w:r w:rsidR="00680520">
        <w:t xml:space="preserve"> </w:t>
      </w:r>
      <w:r w:rsidRPr="00F101EF">
        <w:t>Projects already compensated through NEM sh</w:t>
      </w:r>
      <w:r>
        <w:t>all</w:t>
      </w:r>
      <w:r w:rsidRPr="00F101EF">
        <w:t xml:space="preserve"> be considered fully incremental for the</w:t>
      </w:r>
      <w:r>
        <w:t xml:space="preserve"> </w:t>
      </w:r>
      <w:r w:rsidRPr="00F101EF">
        <w:t xml:space="preserve">purposes of </w:t>
      </w:r>
      <w:r w:rsidR="00AC52C9">
        <w:t xml:space="preserve">all </w:t>
      </w:r>
      <w:r w:rsidRPr="00F101EF">
        <w:t xml:space="preserve">DIDF </w:t>
      </w:r>
      <w:r w:rsidR="00AC52C9">
        <w:t>procurement mechanisms (</w:t>
      </w:r>
      <w:r w:rsidRPr="00680520" w:rsidR="00AC52C9">
        <w:rPr>
          <w:i/>
          <w:iCs/>
        </w:rPr>
        <w:t>e.g.</w:t>
      </w:r>
      <w:r w:rsidR="00AC52C9">
        <w:t xml:space="preserve">, </w:t>
      </w:r>
      <w:r w:rsidRPr="00F101EF">
        <w:t>RFO bids</w:t>
      </w:r>
      <w:r w:rsidR="00AC52C9">
        <w:t>, Standard Offer Contracts,</w:t>
      </w:r>
      <w:r w:rsidRPr="00F101EF">
        <w:t xml:space="preserve"> and deferral tariff offers</w:t>
      </w:r>
      <w:r w:rsidR="00AC52C9">
        <w:t>)</w:t>
      </w:r>
      <w:r w:rsidRPr="00F101EF">
        <w:t xml:space="preserve"> if the </w:t>
      </w:r>
      <w:r>
        <w:t xml:space="preserve">distributed energy resources </w:t>
      </w:r>
      <w:r w:rsidRPr="00F101EF">
        <w:t>provider makes a material</w:t>
      </w:r>
      <w:r>
        <w:t xml:space="preserve"> </w:t>
      </w:r>
      <w:r w:rsidRPr="00F101EF">
        <w:t xml:space="preserve">enhancement to provide the </w:t>
      </w:r>
      <w:r>
        <w:t>utility</w:t>
      </w:r>
      <w:r w:rsidRPr="00F101EF">
        <w:t>-solicited deferral services (</w:t>
      </w:r>
      <w:r w:rsidRPr="0011559B">
        <w:rPr>
          <w:i/>
          <w:iCs/>
        </w:rPr>
        <w:t>e.g.</w:t>
      </w:r>
      <w:r w:rsidRPr="00F101EF">
        <w:t>, the addition of storage that</w:t>
      </w:r>
      <w:r>
        <w:t xml:space="preserve"> </w:t>
      </w:r>
      <w:r w:rsidRPr="00F101EF">
        <w:t>commits to meeting the dispatch requirements described in the solicitation terms and pursuant to</w:t>
      </w:r>
      <w:r>
        <w:t xml:space="preserve"> </w:t>
      </w:r>
      <w:r w:rsidRPr="00F101EF">
        <w:t xml:space="preserve">the contract for the </w:t>
      </w:r>
      <w:r>
        <w:t>utility</w:t>
      </w:r>
      <w:r w:rsidRPr="00F101EF">
        <w:t xml:space="preserve">-solicited deferral services). </w:t>
      </w:r>
      <w:r>
        <w:t xml:space="preserve"> </w:t>
      </w:r>
      <w:r w:rsidRPr="00F101EF">
        <w:t>NEM projects without material enhancement</w:t>
      </w:r>
      <w:r>
        <w:t xml:space="preserve"> </w:t>
      </w:r>
      <w:r w:rsidRPr="00F101EF">
        <w:t>(</w:t>
      </w:r>
      <w:r w:rsidRPr="0011559B">
        <w:rPr>
          <w:i/>
          <w:iCs/>
        </w:rPr>
        <w:t>i.e.,</w:t>
      </w:r>
      <w:r w:rsidRPr="00F101EF">
        <w:t xml:space="preserve"> storage) sh</w:t>
      </w:r>
      <w:r>
        <w:t>all</w:t>
      </w:r>
      <w:r w:rsidRPr="00F101EF">
        <w:t xml:space="preserve"> not be considered incremental</w:t>
      </w:r>
    </w:p>
    <w:p w:rsidR="00F101EF" w:rsidP="0011559B" w:rsidRDefault="00F101EF" w14:paraId="2979AF4B" w14:textId="5B305785">
      <w:pPr>
        <w:pStyle w:val="OP"/>
        <w:numPr>
          <w:ilvl w:val="0"/>
          <w:numId w:val="27"/>
        </w:numPr>
        <w:spacing w:after="120" w:line="240" w:lineRule="auto"/>
        <w:ind w:left="1260" w:right="1440" w:hanging="540"/>
      </w:pPr>
      <w:r w:rsidRPr="002342F9">
        <w:rPr>
          <w:u w:val="single"/>
        </w:rPr>
        <w:t>Energy Efficiency Resources (Not in the Portfolio):</w:t>
      </w:r>
      <w:r>
        <w:t xml:space="preserve"> </w:t>
      </w:r>
      <w:r w:rsidR="00680520">
        <w:t xml:space="preserve"> </w:t>
      </w:r>
      <w:r w:rsidRPr="00F101EF">
        <w:t xml:space="preserve">New </w:t>
      </w:r>
      <w:r>
        <w:t>energy efficiency</w:t>
      </w:r>
      <w:r w:rsidRPr="00F101EF">
        <w:t xml:space="preserve"> projects should be allowed to either demonstrate incrementality subject to </w:t>
      </w:r>
      <w:r>
        <w:t>the energy efficiency</w:t>
      </w:r>
      <w:r w:rsidRPr="00F101EF">
        <w:t xml:space="preserve"> </w:t>
      </w:r>
      <w:r>
        <w:t>p</w:t>
      </w:r>
      <w:r w:rsidRPr="00F101EF">
        <w:t>rogram</w:t>
      </w:r>
      <w:r>
        <w:t xml:space="preserve"> a</w:t>
      </w:r>
      <w:r w:rsidRPr="00F101EF">
        <w:t>dministrator</w:t>
      </w:r>
      <w:r>
        <w:t xml:space="preserve"> </w:t>
      </w:r>
      <w:r w:rsidRPr="00F101EF">
        <w:t xml:space="preserve">review or elect to use a pre-specified “overlap factor” method. </w:t>
      </w:r>
      <w:r w:rsidR="00680520">
        <w:t xml:space="preserve"> </w:t>
      </w:r>
      <w:r w:rsidRPr="00F101EF">
        <w:t>Providers that</w:t>
      </w:r>
      <w:r>
        <w:t xml:space="preserve"> </w:t>
      </w:r>
      <w:r w:rsidRPr="00F101EF">
        <w:lastRenderedPageBreak/>
        <w:t xml:space="preserve">choose </w:t>
      </w:r>
      <w:r>
        <w:t>energy efficiency</w:t>
      </w:r>
      <w:r w:rsidRPr="00F101EF">
        <w:t xml:space="preserve"> </w:t>
      </w:r>
      <w:r>
        <w:t>p</w:t>
      </w:r>
      <w:r w:rsidRPr="00F101EF">
        <w:t xml:space="preserve">rogram </w:t>
      </w:r>
      <w:r>
        <w:t>a</w:t>
      </w:r>
      <w:r w:rsidRPr="00F101EF">
        <w:t xml:space="preserve">dministrator review would describe their proposed </w:t>
      </w:r>
      <w:r>
        <w:t>energy efficiency</w:t>
      </w:r>
      <w:r w:rsidRPr="00F101EF">
        <w:t xml:space="preserve"> measures and targeted</w:t>
      </w:r>
      <w:r>
        <w:t xml:space="preserve"> </w:t>
      </w:r>
      <w:r w:rsidRPr="00F101EF">
        <w:t xml:space="preserve">market segments and demonstrate that the projects do not overlap with the </w:t>
      </w:r>
      <w:r>
        <w:t>energy efficiency</w:t>
      </w:r>
      <w:r w:rsidRPr="00F101EF">
        <w:t xml:space="preserve"> </w:t>
      </w:r>
      <w:r>
        <w:t>p</w:t>
      </w:r>
      <w:r w:rsidRPr="00F101EF">
        <w:t>rogram</w:t>
      </w:r>
      <w:r>
        <w:t xml:space="preserve"> a</w:t>
      </w:r>
      <w:r w:rsidRPr="00F101EF">
        <w:t xml:space="preserve">dministrator’s existing </w:t>
      </w:r>
      <w:r>
        <w:t>energy efficiency</w:t>
      </w:r>
      <w:r w:rsidRPr="00F101EF">
        <w:t xml:space="preserve"> programs.</w:t>
      </w:r>
      <w:r>
        <w:t xml:space="preserve">  </w:t>
      </w:r>
      <w:r w:rsidRPr="00F101EF">
        <w:t>Program incrementality using this method could range from</w:t>
      </w:r>
      <w:r>
        <w:t xml:space="preserve"> </w:t>
      </w:r>
      <w:r w:rsidRPr="00F101EF">
        <w:t>0</w:t>
      </w:r>
      <w:r>
        <w:t xml:space="preserve"> percent</w:t>
      </w:r>
      <w:r w:rsidRPr="00F101EF">
        <w:t xml:space="preserve"> to 100</w:t>
      </w:r>
      <w:r>
        <w:t xml:space="preserve"> percent</w:t>
      </w:r>
      <w:r w:rsidRPr="00F101EF">
        <w:t xml:space="preserve"> based on </w:t>
      </w:r>
      <w:r>
        <w:t>energy efficiency p</w:t>
      </w:r>
      <w:r w:rsidRPr="00F101EF">
        <w:t xml:space="preserve">rogram </w:t>
      </w:r>
      <w:r>
        <w:t>a</w:t>
      </w:r>
      <w:r w:rsidRPr="00F101EF">
        <w:t>dministrator review.</w:t>
      </w:r>
      <w:r>
        <w:t xml:space="preserve">  </w:t>
      </w:r>
      <w:r w:rsidRPr="00F101EF">
        <w:t>Alternatively, providers can use a pre-specified “overlap factor” method that does not require an</w:t>
      </w:r>
      <w:r>
        <w:t xml:space="preserve"> </w:t>
      </w:r>
      <w:r w:rsidRPr="00F101EF">
        <w:t xml:space="preserve">explicit demonstration of incrementality. </w:t>
      </w:r>
      <w:r>
        <w:t xml:space="preserve"> </w:t>
      </w:r>
      <w:r w:rsidRPr="00F101EF">
        <w:t xml:space="preserve">With this approach, a proposed </w:t>
      </w:r>
      <w:r>
        <w:t>energy efficiency</w:t>
      </w:r>
      <w:r w:rsidRPr="00F101EF">
        <w:t xml:space="preserve"> program is assumed to</w:t>
      </w:r>
      <w:r>
        <w:t xml:space="preserve"> </w:t>
      </w:r>
      <w:r w:rsidRPr="00F101EF">
        <w:t>be 80</w:t>
      </w:r>
      <w:r w:rsidR="00680520">
        <w:t> </w:t>
      </w:r>
      <w:r>
        <w:t>percent</w:t>
      </w:r>
      <w:r w:rsidRPr="00F101EF">
        <w:t xml:space="preserve"> incremental. </w:t>
      </w:r>
      <w:r>
        <w:t xml:space="preserve"> </w:t>
      </w:r>
      <w:r w:rsidRPr="00F101EF">
        <w:t>Their contribution to the grid need is discounted by 20</w:t>
      </w:r>
      <w:r>
        <w:t xml:space="preserve"> percent</w:t>
      </w:r>
      <w:r w:rsidRPr="00F101EF">
        <w:t xml:space="preserve">. </w:t>
      </w:r>
      <w:r>
        <w:t xml:space="preserve"> </w:t>
      </w:r>
      <w:r w:rsidRPr="00F101EF">
        <w:t>For example,</w:t>
      </w:r>
      <w:r>
        <w:t xml:space="preserve"> </w:t>
      </w:r>
      <w:r w:rsidRPr="00F101EF">
        <w:t xml:space="preserve">assuming the need is 1 </w:t>
      </w:r>
      <w:r w:rsidR="004A2BC4">
        <w:t>megawatt (</w:t>
      </w:r>
      <w:r w:rsidRPr="00F101EF">
        <w:t>MW</w:t>
      </w:r>
      <w:r w:rsidR="004A2BC4">
        <w:t>)</w:t>
      </w:r>
      <w:r w:rsidRPr="00F101EF">
        <w:t xml:space="preserve">, an </w:t>
      </w:r>
      <w:r>
        <w:t>energy efficiency</w:t>
      </w:r>
      <w:r w:rsidRPr="00F101EF">
        <w:t xml:space="preserve"> proposal using this “haircut” method must deliver 1.2</w:t>
      </w:r>
      <w:r w:rsidR="00680520">
        <w:t> </w:t>
      </w:r>
      <w:r w:rsidRPr="00F101EF">
        <w:t>MW.</w:t>
      </w:r>
      <w:r>
        <w:t xml:space="preserve">  Utilities,</w:t>
      </w:r>
      <w:r w:rsidRPr="00F101EF">
        <w:t xml:space="preserve"> in consultation with the </w:t>
      </w:r>
      <w:r>
        <w:t>Distribution Planning Advisory Group,</w:t>
      </w:r>
      <w:r w:rsidRPr="00F101EF">
        <w:t xml:space="preserve"> may propose to Energy Division to modify the overlap</w:t>
      </w:r>
      <w:r>
        <w:t xml:space="preserve"> </w:t>
      </w:r>
      <w:r w:rsidRPr="00F101EF">
        <w:t>factor percentage and method, and Energy Division may approve modifications.</w:t>
      </w:r>
      <w:r>
        <w:t xml:space="preserve"> </w:t>
      </w:r>
    </w:p>
    <w:p w:rsidR="004A2BC4" w:rsidP="0011559B" w:rsidRDefault="004A2BC4" w14:paraId="3039EEB4" w14:textId="037B8000">
      <w:pPr>
        <w:pStyle w:val="OP"/>
        <w:numPr>
          <w:ilvl w:val="0"/>
          <w:numId w:val="27"/>
        </w:numPr>
        <w:spacing w:after="120" w:line="240" w:lineRule="auto"/>
        <w:ind w:left="1260" w:right="1440" w:hanging="540"/>
      </w:pPr>
      <w:r w:rsidRPr="0033503E">
        <w:rPr>
          <w:u w:val="single"/>
        </w:rPr>
        <w:t>Energy Efficiency Resources (In the Portfolio):</w:t>
      </w:r>
      <w:r>
        <w:t xml:space="preserve">  </w:t>
      </w:r>
      <w:r w:rsidRPr="004A2BC4">
        <w:t>Projects already included in a</w:t>
      </w:r>
      <w:r>
        <w:t xml:space="preserve"> utility energy efficiency</w:t>
      </w:r>
      <w:r w:rsidRPr="004A2BC4">
        <w:t xml:space="preserve"> program portfolio should not be considered incremental</w:t>
      </w:r>
      <w:r>
        <w:t xml:space="preserve"> </w:t>
      </w:r>
      <w:r w:rsidRPr="004A2BC4">
        <w:t>without a material enhancement for the</w:t>
      </w:r>
      <w:r>
        <w:t xml:space="preserve"> </w:t>
      </w:r>
      <w:r w:rsidRPr="004A2BC4">
        <w:t xml:space="preserve">purpose of </w:t>
      </w:r>
      <w:r w:rsidR="00AC52C9">
        <w:t xml:space="preserve">all </w:t>
      </w:r>
      <w:r w:rsidRPr="004A2BC4">
        <w:t xml:space="preserve">DIDF </w:t>
      </w:r>
      <w:r w:rsidR="00AC52C9">
        <w:t>procurement mechanisms (</w:t>
      </w:r>
      <w:r w:rsidRPr="00680520" w:rsidR="00AC52C9">
        <w:rPr>
          <w:i/>
          <w:iCs/>
        </w:rPr>
        <w:t>e.g.</w:t>
      </w:r>
      <w:r w:rsidR="00AC52C9">
        <w:t xml:space="preserve">, </w:t>
      </w:r>
      <w:r w:rsidRPr="004A2BC4">
        <w:t>RFO bids</w:t>
      </w:r>
      <w:r w:rsidR="00AC52C9">
        <w:t>, Standard Offer Contracts,</w:t>
      </w:r>
      <w:r w:rsidRPr="004A2BC4">
        <w:t xml:space="preserve"> and deferral tariff offers.</w:t>
      </w:r>
      <w:r w:rsidR="00AC52C9">
        <w:t>)</w:t>
      </w:r>
      <w:r w:rsidRPr="004A2BC4">
        <w:t xml:space="preserve"> </w:t>
      </w:r>
      <w:r>
        <w:t xml:space="preserve"> </w:t>
      </w:r>
      <w:r w:rsidRPr="004A2BC4">
        <w:t>The</w:t>
      </w:r>
      <w:r>
        <w:t xml:space="preserve"> </w:t>
      </w:r>
      <w:r w:rsidRPr="004A2BC4">
        <w:t xml:space="preserve">enhancement must be clearly demonstrable above and beyond the scope of the original </w:t>
      </w:r>
      <w:r>
        <w:t xml:space="preserve">energy efficiency </w:t>
      </w:r>
      <w:r w:rsidRPr="004A2BC4">
        <w:t>measures and installations to be considered wholly incremental.</w:t>
      </w:r>
    </w:p>
    <w:p w:rsidR="004A2BC4" w:rsidP="0011559B" w:rsidRDefault="004A2BC4" w14:paraId="4B09254C" w14:textId="689A7283">
      <w:pPr>
        <w:pStyle w:val="OP"/>
        <w:numPr>
          <w:ilvl w:val="0"/>
          <w:numId w:val="27"/>
        </w:numPr>
        <w:spacing w:after="120" w:line="240" w:lineRule="auto"/>
        <w:ind w:left="1260" w:right="1440" w:hanging="540"/>
      </w:pPr>
      <w:r w:rsidRPr="00127386">
        <w:rPr>
          <w:u w:val="single"/>
        </w:rPr>
        <w:t>De</w:t>
      </w:r>
      <w:r w:rsidRPr="002342F9">
        <w:rPr>
          <w:u w:val="single"/>
        </w:rPr>
        <w:t>mand Response Resources</w:t>
      </w:r>
      <w:r>
        <w:t>:</w:t>
      </w:r>
      <w:r w:rsidRPr="004A2BC4">
        <w:rPr>
          <w:rFonts w:ascii="Garamond" w:hAnsi="Garamond" w:cs="Garamond"/>
          <w:sz w:val="24"/>
          <w:szCs w:val="24"/>
        </w:rPr>
        <w:t xml:space="preserve"> </w:t>
      </w:r>
      <w:r w:rsidR="00680520">
        <w:rPr>
          <w:rFonts w:ascii="Garamond" w:hAnsi="Garamond" w:cs="Garamond"/>
          <w:sz w:val="24"/>
          <w:szCs w:val="24"/>
        </w:rPr>
        <w:t xml:space="preserve"> </w:t>
      </w:r>
      <w:r w:rsidRPr="004A2BC4">
        <w:t xml:space="preserve">Demand Response offers are eligible for the purposes of </w:t>
      </w:r>
      <w:r w:rsidR="00AC52C9">
        <w:t xml:space="preserve">all </w:t>
      </w:r>
      <w:r w:rsidRPr="004A2BC4">
        <w:t xml:space="preserve">DIDF </w:t>
      </w:r>
      <w:r w:rsidR="00AC52C9">
        <w:t>procurement mechanisms (</w:t>
      </w:r>
      <w:r w:rsidRPr="00427A61" w:rsidR="00AC52C9">
        <w:rPr>
          <w:i/>
          <w:iCs/>
        </w:rPr>
        <w:t>e.g.</w:t>
      </w:r>
      <w:r w:rsidR="00AC52C9">
        <w:t xml:space="preserve">, </w:t>
      </w:r>
      <w:r w:rsidRPr="004A2BC4">
        <w:t>RFO</w:t>
      </w:r>
      <w:r w:rsidR="00AC52C9">
        <w:t xml:space="preserve"> bid</w:t>
      </w:r>
      <w:r w:rsidRPr="004A2BC4">
        <w:t>s</w:t>
      </w:r>
      <w:r w:rsidR="00AC52C9">
        <w:t>, Standard Offer Contracts,</w:t>
      </w:r>
      <w:r w:rsidRPr="004A2BC4">
        <w:t xml:space="preserve"> and deferral tariff</w:t>
      </w:r>
      <w:r w:rsidR="00AC52C9">
        <w:t xml:space="preserve"> offer</w:t>
      </w:r>
      <w:r w:rsidRPr="004A2BC4">
        <w:t>s</w:t>
      </w:r>
      <w:r>
        <w:t>, including pilots</w:t>
      </w:r>
      <w:r w:rsidRPr="004A2BC4">
        <w:t>.</w:t>
      </w:r>
      <w:r w:rsidR="00AC52C9">
        <w:t>)</w:t>
      </w:r>
      <w:r w:rsidRPr="004A2BC4">
        <w:t xml:space="preserve"> Such</w:t>
      </w:r>
      <w:r>
        <w:t xml:space="preserve"> </w:t>
      </w:r>
      <w:r w:rsidRPr="004A2BC4">
        <w:t>offers are fully incremental as long as the provider commits to meeting the dispatch requirements</w:t>
      </w:r>
      <w:r>
        <w:t xml:space="preserve"> </w:t>
      </w:r>
      <w:r w:rsidRPr="004A2BC4">
        <w:t xml:space="preserve">pursuant to the contract for the </w:t>
      </w:r>
      <w:r>
        <w:t>utility</w:t>
      </w:r>
      <w:r w:rsidRPr="004A2BC4">
        <w:t xml:space="preserve">-solicited deferral services and the </w:t>
      </w:r>
      <w:r w:rsidRPr="004A2BC4">
        <w:lastRenderedPageBreak/>
        <w:t>commitment does not</w:t>
      </w:r>
      <w:r>
        <w:t xml:space="preserve"> </w:t>
      </w:r>
      <w:r w:rsidRPr="004A2BC4">
        <w:t>conflict with the Demand Response programs to which the provider is already subscribed.</w:t>
      </w:r>
    </w:p>
    <w:p w:rsidR="001367FF" w:rsidRDefault="001367FF" w14:paraId="74C114EC" w14:textId="5C3768C9">
      <w:pPr>
        <w:pStyle w:val="OP"/>
      </w:pPr>
      <w:r>
        <w:t>The current Request for Offer process in the Distribution Investment Deferral Framework is revised such that the annual November 15 Tier 2 Advice Letter seeking approval to launch the Requests for Offer is eliminated.</w:t>
      </w:r>
      <w:r w:rsidR="0075731A">
        <w:t xml:space="preserve">  </w:t>
      </w:r>
      <w:r>
        <w:t>Pacific Gas and Electric Company, San Diego Gas &amp; Electric Company and Southern California Edison Company (Utilities) shall launch the Requests for Offers annually, on September 15.  Pilot in the Requests for Offer process.  Reform No.</w:t>
      </w:r>
      <w:r w:rsidR="001969A3">
        <w:t> </w:t>
      </w:r>
      <w:r>
        <w:t xml:space="preserve">40 of </w:t>
      </w:r>
      <w:r w:rsidR="0029225C">
        <w:t>t</w:t>
      </w:r>
      <w:r>
        <w:t xml:space="preserve">he </w:t>
      </w:r>
      <w:r w:rsidR="0029225C">
        <w:t>Distribution Investment Deferral Framework reform process is modified to add the language “or other planned investment.”</w:t>
      </w:r>
    </w:p>
    <w:p w:rsidR="00632702" w:rsidP="00B3087D" w:rsidRDefault="00632702" w14:paraId="34E22AC8" w14:textId="33AF0E05">
      <w:pPr>
        <w:pStyle w:val="OP"/>
      </w:pPr>
      <w:r>
        <w:t>The Standard Offer Contract pilot recommended in the Staff Proposal attached to this decision is adopted with the following elements and revisions:</w:t>
      </w:r>
    </w:p>
    <w:p w:rsidR="00632702" w:rsidP="0011559B" w:rsidRDefault="00632702" w14:paraId="5DB9AADC" w14:textId="2AC5E757">
      <w:pPr>
        <w:pStyle w:val="OP"/>
        <w:numPr>
          <w:ilvl w:val="0"/>
          <w:numId w:val="25"/>
        </w:numPr>
        <w:spacing w:after="120" w:line="240" w:lineRule="auto"/>
        <w:ind w:left="1080" w:right="1440"/>
      </w:pPr>
      <w:r>
        <w:t>The pilot shall be conducted for three years, with reviews</w:t>
      </w:r>
      <w:r w:rsidR="00CA7C6C">
        <w:t xml:space="preserve"> conducted in the annual Distribution Investment Deferral Framework reform process</w:t>
      </w:r>
      <w:r w:rsidR="0021294B">
        <w:t>;</w:t>
      </w:r>
    </w:p>
    <w:p w:rsidR="00632702" w:rsidP="0011559B" w:rsidRDefault="00632702" w14:paraId="22DFADEE" w14:textId="143ACAFB">
      <w:pPr>
        <w:pStyle w:val="OP"/>
        <w:numPr>
          <w:ilvl w:val="0"/>
          <w:numId w:val="25"/>
        </w:numPr>
        <w:spacing w:after="120" w:line="240" w:lineRule="auto"/>
        <w:ind w:left="1080" w:right="1440"/>
      </w:pPr>
      <w:r>
        <w:t>The Technology-Neutral Pro Forma contract shall be used as the standard contract</w:t>
      </w:r>
      <w:r w:rsidR="0021294B">
        <w:t>;</w:t>
      </w:r>
    </w:p>
    <w:p w:rsidR="0021294B" w:rsidRDefault="0021294B" w14:paraId="7DD2AC86" w14:textId="48E88279">
      <w:pPr>
        <w:pStyle w:val="OP"/>
        <w:numPr>
          <w:ilvl w:val="0"/>
          <w:numId w:val="25"/>
        </w:numPr>
        <w:spacing w:after="120" w:line="240" w:lineRule="auto"/>
        <w:ind w:left="1080" w:right="1440"/>
      </w:pPr>
      <w:r>
        <w:t xml:space="preserve">The pilot shall be limited to In-Front-Of-Meter resources only; and </w:t>
      </w:r>
    </w:p>
    <w:p w:rsidR="0021294B" w:rsidP="0011559B" w:rsidRDefault="0021294B" w14:paraId="706139F8" w14:textId="71A7DE4B">
      <w:pPr>
        <w:pStyle w:val="OP"/>
        <w:numPr>
          <w:ilvl w:val="0"/>
          <w:numId w:val="25"/>
        </w:numPr>
        <w:spacing w:after="120" w:line="240" w:lineRule="auto"/>
        <w:ind w:left="1080" w:right="1440"/>
      </w:pPr>
      <w:r>
        <w:t xml:space="preserve">The pilot shall use published cost caps, </w:t>
      </w:r>
      <w:r w:rsidR="00950A78">
        <w:t xml:space="preserve">and </w:t>
      </w:r>
      <w:r>
        <w:t xml:space="preserve">the simple </w:t>
      </w:r>
      <w:r w:rsidR="00950A78">
        <w:t xml:space="preserve">auction </w:t>
      </w:r>
      <w:r>
        <w:t>pricing method.</w:t>
      </w:r>
    </w:p>
    <w:p w:rsidR="0021294B" w:rsidP="0021294B" w:rsidRDefault="00632702" w14:paraId="47E66CE1" w14:textId="17D9F167">
      <w:pPr>
        <w:pStyle w:val="OP"/>
      </w:pPr>
      <w:r>
        <w:t>Within 60 days from the issuance of this decision, Pacific Gas and Electric Company, San Diego Gas &amp; Electric Company and Southern California Edison Company (Utilities) shall host a meeting to discuss further needed changes to the Technology-Neutral Pro Forma (TNPF) contract, with input from parties requested by Utilities prior to the discussion.  Utilities shall include the final proposed changes to the TNPF in the Tier 2 Advice Letter required 90 days from the issuance of this decision.</w:t>
      </w:r>
    </w:p>
    <w:p w:rsidR="00F6397D" w:rsidP="00B3087D" w:rsidRDefault="00E23CBB" w14:paraId="0990C964" w14:textId="197D39CD">
      <w:pPr>
        <w:pStyle w:val="OP"/>
      </w:pPr>
      <w:r w:rsidRPr="001E2A62">
        <w:lastRenderedPageBreak/>
        <w:t>Rulemaking</w:t>
      </w:r>
      <w:r w:rsidR="00506FDA">
        <w:t xml:space="preserve"> 14-10-003</w:t>
      </w:r>
      <w:r w:rsidRPr="001E2A62">
        <w:t xml:space="preserve"> </w:t>
      </w:r>
      <w:r w:rsidR="00CA7C6C">
        <w:t>remains open.</w:t>
      </w:r>
    </w:p>
    <w:p w:rsidR="008F0116" w:rsidP="008F0116" w:rsidRDefault="008F0116" w14:paraId="128AC61E" w14:textId="77777777">
      <w:r>
        <w:t>This order is effective today.</w:t>
      </w:r>
    </w:p>
    <w:p w:rsidR="00C22FEB" w:rsidP="00816E05" w:rsidRDefault="008F0116" w14:paraId="70DF16A1" w14:textId="62FA0673">
      <w:r>
        <w:t xml:space="preserve">Dated </w:t>
      </w:r>
      <w:r w:rsidR="000A65CF">
        <w:t>February 11, 2021</w:t>
      </w:r>
      <w:r>
        <w:t>, at San Francisco, California</w:t>
      </w:r>
      <w:bookmarkEnd w:id="52"/>
      <w:r w:rsidR="00FF44AD">
        <w:t>.</w:t>
      </w:r>
    </w:p>
    <w:p w:rsidR="000A65CF" w:rsidP="00816E05" w:rsidRDefault="000A65CF" w14:paraId="2CD64BC9" w14:textId="342627FA"/>
    <w:p w:rsidRPr="00623DE7" w:rsidR="000A65CF" w:rsidP="000A65CF" w:rsidRDefault="000A65CF" w14:paraId="66C42A6F" w14:textId="77777777">
      <w:pPr>
        <w:keepNext/>
        <w:keepLines/>
        <w:autoSpaceDE w:val="0"/>
        <w:autoSpaceDN w:val="0"/>
        <w:adjustRightInd w:val="0"/>
        <w:spacing w:line="240" w:lineRule="auto"/>
        <w:ind w:left="4320"/>
        <w:jc w:val="both"/>
        <w:rPr>
          <w:rFonts w:cs="Times New Roman"/>
          <w:szCs w:val="20"/>
        </w:rPr>
      </w:pPr>
      <w:bookmarkStart w:name="_Hlk17215919" w:id="59"/>
      <w:r w:rsidRPr="00623DE7">
        <w:rPr>
          <w:rFonts w:cs="Times New Roman"/>
          <w:szCs w:val="20"/>
        </w:rPr>
        <w:t>MARYBEL BATJER</w:t>
      </w:r>
    </w:p>
    <w:p w:rsidRPr="00623DE7" w:rsidR="000A65CF" w:rsidP="000A65CF" w:rsidRDefault="000A65CF" w14:paraId="0E9CD937" w14:textId="77777777">
      <w:pPr>
        <w:keepNext/>
        <w:keepLines/>
        <w:autoSpaceDE w:val="0"/>
        <w:autoSpaceDN w:val="0"/>
        <w:adjustRightInd w:val="0"/>
        <w:spacing w:line="240" w:lineRule="auto"/>
        <w:jc w:val="both"/>
        <w:rPr>
          <w:rFonts w:cs="Times New Roman"/>
          <w:szCs w:val="20"/>
        </w:rPr>
      </w:pPr>
      <w:r w:rsidRPr="00623DE7">
        <w:rPr>
          <w:rFonts w:cs="Times New Roman"/>
          <w:szCs w:val="20"/>
        </w:rPr>
        <w:tab/>
      </w:r>
      <w:r w:rsidRPr="00623DE7">
        <w:rPr>
          <w:rFonts w:cs="Times New Roman"/>
          <w:szCs w:val="20"/>
        </w:rPr>
        <w:tab/>
      </w:r>
      <w:r w:rsidRPr="00623DE7">
        <w:rPr>
          <w:rFonts w:cs="Times New Roman"/>
          <w:szCs w:val="20"/>
        </w:rPr>
        <w:tab/>
      </w:r>
      <w:r w:rsidRPr="00623DE7">
        <w:rPr>
          <w:rFonts w:cs="Times New Roman"/>
          <w:szCs w:val="20"/>
        </w:rPr>
        <w:tab/>
      </w:r>
      <w:r w:rsidRPr="00623DE7">
        <w:rPr>
          <w:rFonts w:cs="Times New Roman"/>
          <w:szCs w:val="20"/>
        </w:rPr>
        <w:tab/>
        <w:t xml:space="preserve">                       President</w:t>
      </w:r>
    </w:p>
    <w:p w:rsidRPr="00623DE7" w:rsidR="000A65CF" w:rsidP="000A65CF" w:rsidRDefault="000A65CF" w14:paraId="3245D43F" w14:textId="77777777">
      <w:pPr>
        <w:keepNext/>
        <w:keepLines/>
        <w:autoSpaceDE w:val="0"/>
        <w:autoSpaceDN w:val="0"/>
        <w:adjustRightInd w:val="0"/>
        <w:spacing w:line="240" w:lineRule="auto"/>
        <w:ind w:left="4320"/>
        <w:jc w:val="both"/>
        <w:rPr>
          <w:rFonts w:cs="Times New Roman"/>
          <w:szCs w:val="20"/>
        </w:rPr>
      </w:pPr>
      <w:r w:rsidRPr="00623DE7">
        <w:rPr>
          <w:rFonts w:cs="Times New Roman"/>
          <w:szCs w:val="20"/>
        </w:rPr>
        <w:t>MARTHA GUZMAN ACEVES</w:t>
      </w:r>
    </w:p>
    <w:p w:rsidRPr="00623DE7" w:rsidR="000A65CF" w:rsidP="000A65CF" w:rsidRDefault="000A65CF" w14:paraId="3BEC3061" w14:textId="77777777">
      <w:pPr>
        <w:keepNext/>
        <w:keepLines/>
        <w:autoSpaceDE w:val="0"/>
        <w:autoSpaceDN w:val="0"/>
        <w:adjustRightInd w:val="0"/>
        <w:spacing w:line="240" w:lineRule="auto"/>
        <w:ind w:left="4320"/>
        <w:jc w:val="both"/>
        <w:rPr>
          <w:rFonts w:cs="Times New Roman"/>
          <w:szCs w:val="20"/>
        </w:rPr>
      </w:pPr>
      <w:r w:rsidRPr="00623DE7">
        <w:rPr>
          <w:rFonts w:cs="Times New Roman"/>
          <w:szCs w:val="20"/>
        </w:rPr>
        <w:t>CLIFFORD RECHTSCHAFFEN</w:t>
      </w:r>
    </w:p>
    <w:p w:rsidRPr="00623DE7" w:rsidR="000A65CF" w:rsidP="000A65CF" w:rsidRDefault="000A65CF" w14:paraId="6F08DB9E" w14:textId="77777777">
      <w:pPr>
        <w:keepNext/>
        <w:keepLines/>
        <w:autoSpaceDE w:val="0"/>
        <w:autoSpaceDN w:val="0"/>
        <w:adjustRightInd w:val="0"/>
        <w:spacing w:line="240" w:lineRule="auto"/>
        <w:ind w:left="4320"/>
        <w:jc w:val="both"/>
        <w:rPr>
          <w:rFonts w:cs="Times New Roman"/>
          <w:szCs w:val="20"/>
        </w:rPr>
      </w:pPr>
      <w:r w:rsidRPr="00623DE7">
        <w:rPr>
          <w:rFonts w:cs="Times New Roman"/>
          <w:szCs w:val="20"/>
        </w:rPr>
        <w:t>GENEVIEVE SHIROMA</w:t>
      </w:r>
    </w:p>
    <w:p w:rsidR="0033503E" w:rsidP="000A65CF" w:rsidRDefault="000A65CF" w14:paraId="0AE4C13D" w14:textId="6CABF0DB">
      <w:pPr>
        <w:keepNext/>
        <w:keepLines/>
        <w:autoSpaceDE w:val="0"/>
        <w:autoSpaceDN w:val="0"/>
        <w:adjustRightInd w:val="0"/>
        <w:spacing w:line="240" w:lineRule="auto"/>
        <w:ind w:left="4320"/>
        <w:jc w:val="both"/>
        <w:rPr>
          <w:rFonts w:cs="Times New Roman"/>
          <w:szCs w:val="20"/>
        </w:rPr>
      </w:pPr>
      <w:r w:rsidRPr="00623DE7">
        <w:rPr>
          <w:rFonts w:cs="Times New Roman"/>
          <w:szCs w:val="20"/>
        </w:rPr>
        <w:t xml:space="preserve">                 Commissioners</w:t>
      </w:r>
      <w:bookmarkEnd w:id="59"/>
    </w:p>
    <w:p w:rsidR="000A65CF" w:rsidP="000A65CF" w:rsidRDefault="000A65CF" w14:paraId="1B43EF1B" w14:textId="77777777">
      <w:pPr>
        <w:spacing w:after="160" w:line="259" w:lineRule="auto"/>
        <w:ind w:firstLine="0"/>
      </w:pPr>
    </w:p>
    <w:p w:rsidR="0033503E" w:rsidRDefault="0033503E" w14:paraId="6D96FB65" w14:textId="69700E62">
      <w:pPr>
        <w:spacing w:after="160" w:line="259" w:lineRule="auto"/>
        <w:ind w:firstLine="0"/>
        <w:sectPr w:rsidR="0033503E" w:rsidSect="005553E2">
          <w:headerReference w:type="default" r:id="rId12"/>
          <w:footerReference w:type="default" r:id="rId13"/>
          <w:pgSz w:w="12240" w:h="15840"/>
          <w:pgMar w:top="1728" w:right="1440" w:bottom="1440" w:left="1440" w:header="720" w:footer="720" w:gutter="0"/>
          <w:pgNumType w:start="2"/>
          <w:cols w:space="720"/>
          <w:docGrid w:linePitch="360"/>
        </w:sectPr>
      </w:pPr>
    </w:p>
    <w:p w:rsidR="00C22FEB" w:rsidRDefault="00C22FEB" w14:paraId="3B032369" w14:textId="6D47911D">
      <w:pPr>
        <w:spacing w:after="160" w:line="259" w:lineRule="auto"/>
        <w:ind w:firstLine="0"/>
      </w:pPr>
    </w:p>
    <w:p w:rsidRPr="0033503E" w:rsidR="0033503E" w:rsidP="0033503E" w:rsidRDefault="00C22FEB" w14:paraId="57D54251" w14:textId="661923DA">
      <w:pPr>
        <w:jc w:val="center"/>
        <w:rPr>
          <w:b/>
          <w:bCs/>
          <w:sz w:val="48"/>
          <w:szCs w:val="48"/>
        </w:rPr>
      </w:pPr>
      <w:r w:rsidRPr="0033503E">
        <w:rPr>
          <w:b/>
          <w:bCs/>
          <w:sz w:val="48"/>
          <w:szCs w:val="48"/>
        </w:rPr>
        <w:t>Attachment A:</w:t>
      </w:r>
    </w:p>
    <w:p w:rsidRPr="0033503E" w:rsidR="00714CF2" w:rsidP="0033503E" w:rsidRDefault="00DC79B2" w14:paraId="65516A1C" w14:textId="0BF52D3D">
      <w:pPr>
        <w:jc w:val="center"/>
        <w:rPr>
          <w:b/>
          <w:bCs/>
          <w:sz w:val="36"/>
          <w:szCs w:val="36"/>
        </w:rPr>
      </w:pPr>
      <w:r w:rsidRPr="0033503E">
        <w:rPr>
          <w:b/>
          <w:bCs/>
          <w:sz w:val="36"/>
          <w:szCs w:val="36"/>
        </w:rPr>
        <w:t xml:space="preserve">Commission Energy Division </w:t>
      </w:r>
      <w:r w:rsidRPr="0033503E" w:rsidR="00C22FEB">
        <w:rPr>
          <w:b/>
          <w:bCs/>
          <w:sz w:val="36"/>
          <w:szCs w:val="36"/>
        </w:rPr>
        <w:t>Staff Proposal</w:t>
      </w:r>
    </w:p>
    <w:p w:rsidRPr="0033503E" w:rsidR="00C22FEB" w:rsidP="0033503E" w:rsidRDefault="00C22FEB" w14:paraId="4E6AD4A4" w14:textId="447CF088">
      <w:pPr>
        <w:jc w:val="center"/>
        <w:rPr>
          <w:b/>
          <w:bCs/>
          <w:sz w:val="36"/>
          <w:szCs w:val="36"/>
        </w:rPr>
      </w:pPr>
      <w:r w:rsidRPr="0033503E">
        <w:rPr>
          <w:b/>
          <w:bCs/>
          <w:sz w:val="36"/>
          <w:szCs w:val="36"/>
        </w:rPr>
        <w:t>Distributed Energy Resources Deferral Tariff and Request for Offer Streamlining</w:t>
      </w:r>
    </w:p>
    <w:p w:rsidRPr="00714CF2" w:rsidR="00C22FEB" w:rsidP="00816E05" w:rsidRDefault="00C22FEB" w14:paraId="08246362" w14:textId="77777777"/>
    <w:sectPr w:rsidRPr="00714CF2" w:rsidR="00C22FEB" w:rsidSect="005553E2">
      <w:headerReference w:type="default" r:id="rId14"/>
      <w:footerReference w:type="default" r:id="rId15"/>
      <w:pgSz w:w="12240" w:h="15840"/>
      <w:pgMar w:top="1728" w:right="1440" w:bottom="1440" w:left="1440" w:header="720" w:footer="720" w:gutter="0"/>
      <w:pgNumType w:start="2"/>
      <w:cols w:space="720"/>
      <w:docGrid w:linePitch="360"/>
    </w:sectPr>
    <w:p>
      <w:r>
        <w:t xml:space="preserve"/>
      </w:r>
    </w:p>
    <w:p>
      <w:r>
        <w:t xml:space="preserve">Attachment 1: </w:t>
      </w:r>
    </w:p>
    <w:p>
      <w:hyperlink w:history="true" r:id="Rd1afb90b369c40a5">
        <w:r w:rsidRPr="00CB1292">
          <w:rPr>
            <w:rStyle w:val="Hyperlink"/>
            <w:color w:val="2E74B5" w:themeColor="accent1" w:themeShade="BF"/>
            <w:u w:val="single"/>
          </w:rPr>
          <w:t>D2102006 Attachment A R1410003</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61B62" w14:textId="77777777" w:rsidR="005F3384" w:rsidRDefault="005F3384" w:rsidP="0098138E">
      <w:pPr>
        <w:spacing w:line="240" w:lineRule="auto"/>
      </w:pPr>
      <w:r>
        <w:separator/>
      </w:r>
    </w:p>
  </w:endnote>
  <w:endnote w:type="continuationSeparator" w:id="0">
    <w:p w14:paraId="4FFBCA33" w14:textId="77777777" w:rsidR="005F3384" w:rsidRDefault="005F3384"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3AFCA" w14:textId="3BBE9107" w:rsidR="005F3384" w:rsidRPr="002A2709" w:rsidRDefault="00595EB3" w:rsidP="002A2709">
    <w:pPr>
      <w:pStyle w:val="Footer"/>
      <w:ind w:firstLine="0"/>
    </w:pPr>
    <w:r w:rsidRPr="00595EB3">
      <w:rPr>
        <w:sz w:val="16"/>
        <w:szCs w:val="16"/>
      </w:rPr>
      <w:t>365628213</w:t>
    </w:r>
    <w:r w:rsidR="005F3384">
      <w:tab/>
      <w:t>-</w:t>
    </w:r>
    <w:r w:rsidR="005F3384">
      <w:fldChar w:fldCharType="begin"/>
    </w:r>
    <w:r w:rsidR="005F3384">
      <w:instrText xml:space="preserve"> PAGE   \* MERGEFORMAT </w:instrText>
    </w:r>
    <w:r w:rsidR="005F3384">
      <w:fldChar w:fldCharType="separate"/>
    </w:r>
    <w:r w:rsidR="005F3384">
      <w:rPr>
        <w:noProof/>
      </w:rPr>
      <w:t>1</w:t>
    </w:r>
    <w:r w:rsidR="005F3384">
      <w:rPr>
        <w:noProof/>
      </w:rPr>
      <w:fldChar w:fldCharType="end"/>
    </w:r>
    <w:r w:rsidR="005F3384">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BB05" w14:textId="77777777" w:rsidR="005F3384" w:rsidRDefault="005F3384"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8CA1" w14:textId="000BC7C6" w:rsidR="005F3384" w:rsidRDefault="005F3384" w:rsidP="0033503E">
    <w:pPr>
      <w:tabs>
        <w:tab w:val="center" w:pos="4680"/>
      </w:tabs>
      <w:ind w:firstLine="0"/>
    </w:pPr>
    <w:r>
      <w:tab/>
      <w:t>-</w:t>
    </w:r>
    <w:r>
      <w:fldChar w:fldCharType="begin"/>
    </w:r>
    <w:r>
      <w:instrText xml:space="preserve"> PAGE   \* MERGEFORMAT </w:instrText>
    </w:r>
    <w:r>
      <w:fldChar w:fldCharType="separate"/>
    </w:r>
    <w:r>
      <w:rPr>
        <w:noProof/>
      </w:rPr>
      <w:t>1</w:t>
    </w:r>
    <w:r>
      <w:rPr>
        <w:noProof/>
      </w:rPr>
      <w:fldChar w:fldCharType="end"/>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1DEE2" w14:textId="73AF16B9" w:rsidR="005F3384" w:rsidRPr="000A65CF" w:rsidRDefault="000A65CF" w:rsidP="000A65CF">
    <w:pPr>
      <w:pStyle w:val="Footer"/>
      <w:ind w:firstLine="0"/>
      <w:rPr>
        <w:sz w:val="16"/>
        <w:szCs w:val="16"/>
      </w:rPr>
    </w:pPr>
    <w:r w:rsidRPr="000A65CF">
      <w:rPr>
        <w:sz w:val="16"/>
        <w:szCs w:val="16"/>
      </w:rPr>
      <w:t>365464340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AED94" w14:textId="77777777" w:rsidR="005F3384" w:rsidRDefault="005F3384" w:rsidP="00DF58E7">
      <w:pPr>
        <w:spacing w:line="240" w:lineRule="auto"/>
        <w:ind w:firstLine="0"/>
      </w:pPr>
      <w:r>
        <w:separator/>
      </w:r>
    </w:p>
  </w:footnote>
  <w:footnote w:type="continuationSeparator" w:id="0">
    <w:p w14:paraId="50572A6E" w14:textId="77777777" w:rsidR="005F3384" w:rsidRDefault="005F3384" w:rsidP="00DF58E7">
      <w:pPr>
        <w:spacing w:line="240" w:lineRule="auto"/>
        <w:ind w:firstLine="0"/>
      </w:pPr>
      <w:r>
        <w:continuationSeparator/>
      </w:r>
    </w:p>
  </w:footnote>
  <w:footnote w:type="continuationNotice" w:id="1">
    <w:p w14:paraId="1228B910" w14:textId="77777777" w:rsidR="005F3384" w:rsidRPr="00DF58E7" w:rsidRDefault="005F3384" w:rsidP="00DF58E7">
      <w:pPr>
        <w:spacing w:line="240" w:lineRule="auto"/>
        <w:ind w:firstLine="0"/>
        <w:jc w:val="right"/>
        <w:rPr>
          <w:i/>
          <w:sz w:val="22"/>
        </w:rPr>
      </w:pPr>
      <w:r w:rsidRPr="00DF58E7">
        <w:rPr>
          <w:i/>
          <w:sz w:val="22"/>
        </w:rPr>
        <w:t>Footnote continued on next page.</w:t>
      </w:r>
    </w:p>
  </w:footnote>
  <w:footnote w:id="2">
    <w:p w14:paraId="71448AC5" w14:textId="48F50AEC" w:rsidR="005F3384" w:rsidRDefault="005F3384">
      <w:pPr>
        <w:pStyle w:val="FootnoteText"/>
      </w:pPr>
      <w:r>
        <w:rPr>
          <w:rStyle w:val="FootnoteReference"/>
        </w:rPr>
        <w:footnoteRef/>
      </w:r>
      <w:r>
        <w:t xml:space="preserve">  Staff Proposal at 20.</w:t>
      </w:r>
    </w:p>
  </w:footnote>
  <w:footnote w:id="3">
    <w:p w14:paraId="12447B31" w14:textId="7BB0E8C8" w:rsidR="005F3384" w:rsidRDefault="005F3384">
      <w:pPr>
        <w:pStyle w:val="FootnoteText"/>
      </w:pPr>
      <w:r>
        <w:rPr>
          <w:rStyle w:val="FootnoteReference"/>
        </w:rPr>
        <w:footnoteRef/>
      </w:r>
      <w:r>
        <w:t xml:space="preserve">  Public Advocates Office Opening Comments, October 30, 2020 at 5.</w:t>
      </w:r>
    </w:p>
  </w:footnote>
  <w:footnote w:id="4">
    <w:p w14:paraId="11FA87B6" w14:textId="4CDF33D2" w:rsidR="005F3384" w:rsidRDefault="005F3384">
      <w:pPr>
        <w:pStyle w:val="FootnoteText"/>
      </w:pPr>
      <w:r>
        <w:rPr>
          <w:rStyle w:val="FootnoteReference"/>
        </w:rPr>
        <w:footnoteRef/>
      </w:r>
      <w:r>
        <w:t xml:space="preserve">  CUE Opening Comments, October 30, 2020 at 7.</w:t>
      </w:r>
    </w:p>
  </w:footnote>
  <w:footnote w:id="5">
    <w:p w14:paraId="001746CD" w14:textId="29D3E02C" w:rsidR="005F3384" w:rsidRDefault="005F3384">
      <w:pPr>
        <w:pStyle w:val="FootnoteText"/>
      </w:pPr>
      <w:r>
        <w:rPr>
          <w:rStyle w:val="FootnoteReference"/>
        </w:rPr>
        <w:footnoteRef/>
      </w:r>
      <w:r>
        <w:t xml:space="preserve">  Public Utilities Code Sections 769(b)(2), 769(b)(3), and 769(b)(5).</w:t>
      </w:r>
    </w:p>
  </w:footnote>
  <w:footnote w:id="6">
    <w:p w14:paraId="33C544E5" w14:textId="34EAC5C3" w:rsidR="005F3384" w:rsidRDefault="005F3384">
      <w:pPr>
        <w:pStyle w:val="FootnoteText"/>
      </w:pPr>
      <w:r>
        <w:rPr>
          <w:rStyle w:val="FootnoteReference"/>
        </w:rPr>
        <w:footnoteRef/>
      </w:r>
      <w:r>
        <w:t xml:space="preserve">  SDG&amp;E Opening Comments, October 30, 2020 at 7-8.</w:t>
      </w:r>
    </w:p>
  </w:footnote>
  <w:footnote w:id="7">
    <w:p w14:paraId="514E4FE2" w14:textId="03145AF4" w:rsidR="005F3384" w:rsidRDefault="005F3384">
      <w:pPr>
        <w:pStyle w:val="FootnoteText"/>
      </w:pPr>
      <w:r>
        <w:rPr>
          <w:rStyle w:val="FootnoteReference"/>
        </w:rPr>
        <w:footnoteRef/>
      </w:r>
      <w:r>
        <w:t xml:space="preserve">  CUE Opening Comments, October 30, 2020 at 4 and PG&amp;E Opening Comments, October 30, 2020 at 6-7.</w:t>
      </w:r>
    </w:p>
  </w:footnote>
  <w:footnote w:id="8">
    <w:p w14:paraId="4E963B7D" w14:textId="4AB6DBD6" w:rsidR="005F3384" w:rsidRDefault="005F3384">
      <w:pPr>
        <w:pStyle w:val="FootnoteText"/>
      </w:pPr>
      <w:r>
        <w:rPr>
          <w:rStyle w:val="FootnoteReference"/>
        </w:rPr>
        <w:footnoteRef/>
      </w:r>
      <w:r>
        <w:t xml:space="preserve">  CUE Opening Comments, October 30, 2020 at 4.</w:t>
      </w:r>
    </w:p>
  </w:footnote>
  <w:footnote w:id="9">
    <w:p w14:paraId="7169EB9E" w14:textId="641C6F57" w:rsidR="005F3384" w:rsidRDefault="005F3384">
      <w:pPr>
        <w:pStyle w:val="FootnoteText"/>
      </w:pPr>
      <w:r>
        <w:rPr>
          <w:rStyle w:val="FootnoteReference"/>
        </w:rPr>
        <w:footnoteRef/>
      </w:r>
      <w:r>
        <w:t xml:space="preserve">  CESA Opening Comments, October 30, 2020 at 8.</w:t>
      </w:r>
    </w:p>
  </w:footnote>
  <w:footnote w:id="10">
    <w:p w14:paraId="61F32ABC" w14:textId="31E84B33" w:rsidR="005F3384" w:rsidRDefault="005F3384">
      <w:pPr>
        <w:pStyle w:val="FootnoteText"/>
      </w:pPr>
      <w:r>
        <w:rPr>
          <w:rStyle w:val="FootnoteReference"/>
        </w:rPr>
        <w:footnoteRef/>
      </w:r>
      <w:r>
        <w:t xml:space="preserve">  CUE Opening Comments, October 30, 2020 at 5.</w:t>
      </w:r>
    </w:p>
  </w:footnote>
  <w:footnote w:id="11">
    <w:p w14:paraId="05460C2D" w14:textId="027E5DBF" w:rsidR="005F3384" w:rsidRDefault="005F3384">
      <w:pPr>
        <w:pStyle w:val="FootnoteText"/>
      </w:pPr>
      <w:r>
        <w:rPr>
          <w:rStyle w:val="FootnoteReference"/>
        </w:rPr>
        <w:footnoteRef/>
      </w:r>
      <w:r>
        <w:t xml:space="preserve">  CESA Opening Comments, October 30, 2020 at 22.</w:t>
      </w:r>
    </w:p>
  </w:footnote>
  <w:footnote w:id="12">
    <w:p w14:paraId="1CEE7EE0" w14:textId="5E9AD19F" w:rsidR="005F3384" w:rsidRDefault="005F3384">
      <w:pPr>
        <w:pStyle w:val="FootnoteText"/>
      </w:pPr>
      <w:r>
        <w:rPr>
          <w:rStyle w:val="FootnoteReference"/>
        </w:rPr>
        <w:footnoteRef/>
      </w:r>
      <w:r>
        <w:t xml:space="preserve">  SDG&amp;E Opening Comments, October 30, 2020 at 9-10.</w:t>
      </w:r>
    </w:p>
  </w:footnote>
  <w:footnote w:id="13">
    <w:p w14:paraId="76863C33" w14:textId="74689D72" w:rsidR="005F3384" w:rsidRDefault="005F3384">
      <w:pPr>
        <w:pStyle w:val="FootnoteText"/>
      </w:pPr>
      <w:r>
        <w:rPr>
          <w:rStyle w:val="FootnoteReference"/>
        </w:rPr>
        <w:footnoteRef/>
      </w:r>
      <w:r>
        <w:t xml:space="preserve">  SunRun Opening Comments, October 30, 2020 at 2 and 6.</w:t>
      </w:r>
    </w:p>
  </w:footnote>
  <w:footnote w:id="14">
    <w:p w14:paraId="6462339A" w14:textId="1DA2DC5E" w:rsidR="005F3384" w:rsidRDefault="005F3384">
      <w:pPr>
        <w:pStyle w:val="FootnoteText"/>
      </w:pPr>
      <w:r>
        <w:rPr>
          <w:rStyle w:val="FootnoteReference"/>
        </w:rPr>
        <w:footnoteRef/>
      </w:r>
      <w:r>
        <w:t xml:space="preserve">  SCE Reply Comments, November 10, 2020 at 5-6.</w:t>
      </w:r>
    </w:p>
  </w:footnote>
  <w:footnote w:id="15">
    <w:p w14:paraId="7193A8D8" w14:textId="0BECBD7F" w:rsidR="005F3384" w:rsidRDefault="005F3384" w:rsidP="00F30F9A">
      <w:pPr>
        <w:pStyle w:val="FootnoteText"/>
      </w:pPr>
      <w:r>
        <w:rPr>
          <w:rStyle w:val="FootnoteReference"/>
        </w:rPr>
        <w:footnoteRef/>
      </w:r>
      <w:r>
        <w:t xml:space="preserve">  350 Bay Area Opening Comments, October 30, 2020 at 6-7.</w:t>
      </w:r>
    </w:p>
  </w:footnote>
  <w:footnote w:id="16">
    <w:p w14:paraId="48C16B8B" w14:textId="19D56076" w:rsidR="005F3384" w:rsidRDefault="005F3384" w:rsidP="00F30F9A">
      <w:pPr>
        <w:pStyle w:val="FootnoteText"/>
      </w:pPr>
      <w:r>
        <w:rPr>
          <w:rStyle w:val="FootnoteReference"/>
        </w:rPr>
        <w:footnoteRef/>
      </w:r>
      <w:r>
        <w:t xml:space="preserve">  AEE Opening Comments, October 30, 2020 at 3.</w:t>
      </w:r>
    </w:p>
  </w:footnote>
  <w:footnote w:id="17">
    <w:p w14:paraId="3F477DC0" w14:textId="29E24A52" w:rsidR="005F3384" w:rsidRDefault="005F3384" w:rsidP="00F30F9A">
      <w:pPr>
        <w:pStyle w:val="FootnoteText"/>
      </w:pPr>
      <w:r>
        <w:rPr>
          <w:rStyle w:val="FootnoteReference"/>
        </w:rPr>
        <w:footnoteRef/>
      </w:r>
      <w:r>
        <w:t xml:space="preserve">  Council Opening Comments, October 30, 2020 at 3.</w:t>
      </w:r>
    </w:p>
  </w:footnote>
  <w:footnote w:id="18">
    <w:p w14:paraId="34B008D1" w14:textId="694A06DD" w:rsidR="005F3384" w:rsidRDefault="005F3384" w:rsidP="00F30F9A">
      <w:pPr>
        <w:pStyle w:val="FootnoteText"/>
      </w:pPr>
      <w:r>
        <w:rPr>
          <w:rStyle w:val="FootnoteReference"/>
        </w:rPr>
        <w:footnoteRef/>
      </w:r>
      <w:r>
        <w:t xml:space="preserve">  Public Advocates Office Opening Comments, October 30, 2020 at 3-4.</w:t>
      </w:r>
    </w:p>
  </w:footnote>
  <w:footnote w:id="19">
    <w:p w14:paraId="604EFA23" w14:textId="57F63106" w:rsidR="005F3384" w:rsidRDefault="005F3384" w:rsidP="00F30F9A">
      <w:pPr>
        <w:pStyle w:val="FootnoteText"/>
      </w:pPr>
      <w:r>
        <w:rPr>
          <w:rStyle w:val="FootnoteReference"/>
        </w:rPr>
        <w:footnoteRef/>
      </w:r>
      <w:r>
        <w:t xml:space="preserve">  </w:t>
      </w:r>
      <w:r w:rsidRPr="00A172CF">
        <w:rPr>
          <w:i/>
          <w:iCs/>
        </w:rPr>
        <w:t>Id</w:t>
      </w:r>
      <w:r>
        <w:t>. at 4-5.</w:t>
      </w:r>
    </w:p>
  </w:footnote>
  <w:footnote w:id="20">
    <w:p w14:paraId="50DF041B" w14:textId="1AC3A885" w:rsidR="005F3384" w:rsidRDefault="005F3384" w:rsidP="00F30F9A">
      <w:pPr>
        <w:pStyle w:val="FootnoteText"/>
      </w:pPr>
      <w:r>
        <w:rPr>
          <w:rStyle w:val="FootnoteReference"/>
        </w:rPr>
        <w:footnoteRef/>
      </w:r>
      <w:r>
        <w:t xml:space="preserve">  SCE Opening Comments, October 30, 2020 at 5-6.</w:t>
      </w:r>
    </w:p>
  </w:footnote>
  <w:footnote w:id="21">
    <w:p w14:paraId="7741C0D1" w14:textId="4AB3B81A" w:rsidR="005F3384" w:rsidRDefault="005F3384">
      <w:pPr>
        <w:pStyle w:val="FootnoteText"/>
      </w:pPr>
      <w:r>
        <w:rPr>
          <w:rStyle w:val="FootnoteReference"/>
        </w:rPr>
        <w:footnoteRef/>
      </w:r>
      <w:r>
        <w:t xml:space="preserve">  </w:t>
      </w:r>
      <w:r w:rsidRPr="00A17B4A">
        <w:rPr>
          <w:i/>
          <w:iCs/>
        </w:rPr>
        <w:t>Ibid</w:t>
      </w:r>
      <w:r>
        <w:t>.</w:t>
      </w:r>
    </w:p>
  </w:footnote>
  <w:footnote w:id="22">
    <w:p w14:paraId="2269CA93" w14:textId="6BAA9E66" w:rsidR="005F3384" w:rsidRDefault="005F3384">
      <w:pPr>
        <w:pStyle w:val="FootnoteText"/>
      </w:pPr>
      <w:r>
        <w:rPr>
          <w:rStyle w:val="FootnoteReference"/>
        </w:rPr>
        <w:footnoteRef/>
      </w:r>
      <w:r>
        <w:t xml:space="preserve">  CESA Opening Comments, October 30, 2020 at 21.</w:t>
      </w:r>
    </w:p>
  </w:footnote>
  <w:footnote w:id="23">
    <w:p w14:paraId="0986CBA3" w14:textId="0B8BB0E9" w:rsidR="005F3384" w:rsidRDefault="005F3384">
      <w:pPr>
        <w:pStyle w:val="FootnoteText"/>
      </w:pPr>
      <w:r>
        <w:rPr>
          <w:rStyle w:val="FootnoteReference"/>
        </w:rPr>
        <w:footnoteRef/>
      </w:r>
      <w:r>
        <w:t xml:space="preserve">  CUE Opening Comments, October 30, 2020 at 6.</w:t>
      </w:r>
    </w:p>
  </w:footnote>
  <w:footnote w:id="24">
    <w:p w14:paraId="570EAFF6" w14:textId="090E85E2" w:rsidR="005F3384" w:rsidRDefault="005F3384">
      <w:pPr>
        <w:pStyle w:val="FootnoteText"/>
      </w:pPr>
      <w:r>
        <w:rPr>
          <w:rStyle w:val="FootnoteReference"/>
        </w:rPr>
        <w:footnoteRef/>
      </w:r>
      <w:r>
        <w:t xml:space="preserve">  We previously addressed 350 Bay Area’s comments on this. </w:t>
      </w:r>
    </w:p>
  </w:footnote>
  <w:footnote w:id="25">
    <w:p w14:paraId="353AB59F" w14:textId="0D32DB2A" w:rsidR="005F3384" w:rsidRDefault="005F3384">
      <w:pPr>
        <w:pStyle w:val="FootnoteText"/>
      </w:pPr>
      <w:r>
        <w:rPr>
          <w:rStyle w:val="FootnoteReference"/>
        </w:rPr>
        <w:footnoteRef/>
      </w:r>
      <w:r>
        <w:t xml:space="preserve">  CUE Opening Comments, October 30, 2020 at 6.</w:t>
      </w:r>
    </w:p>
  </w:footnote>
  <w:footnote w:id="26">
    <w:p w14:paraId="462D768D" w14:textId="730E863D" w:rsidR="005F3384" w:rsidRDefault="005F3384">
      <w:pPr>
        <w:pStyle w:val="FootnoteText"/>
      </w:pPr>
      <w:r>
        <w:rPr>
          <w:rStyle w:val="FootnoteReference"/>
        </w:rPr>
        <w:footnoteRef/>
      </w:r>
      <w:r>
        <w:t xml:space="preserve">  PG&amp;E Opening Comments, October 30, 2020 at 5.</w:t>
      </w:r>
    </w:p>
  </w:footnote>
  <w:footnote w:id="27">
    <w:p w14:paraId="4A541731" w14:textId="6259B9D0" w:rsidR="005F3384" w:rsidRDefault="005F3384">
      <w:pPr>
        <w:pStyle w:val="FootnoteText"/>
      </w:pPr>
      <w:r>
        <w:rPr>
          <w:rStyle w:val="FootnoteReference"/>
        </w:rPr>
        <w:footnoteRef/>
      </w:r>
      <w:r>
        <w:t xml:space="preserve">  Public Advocates Office Opening Comments, October 30, 2020 at 4-5.</w:t>
      </w:r>
    </w:p>
  </w:footnote>
  <w:footnote w:id="28">
    <w:p w14:paraId="550B9379" w14:textId="3A86BE6B" w:rsidR="005F3384" w:rsidRDefault="005F3384">
      <w:pPr>
        <w:pStyle w:val="FootnoteText"/>
      </w:pPr>
      <w:r>
        <w:rPr>
          <w:rStyle w:val="FootnoteReference"/>
        </w:rPr>
        <w:footnoteRef/>
      </w:r>
      <w:r>
        <w:t xml:space="preserve">  PG&amp;E Opening Comments, October 30, 2020 at 19.  </w:t>
      </w:r>
    </w:p>
  </w:footnote>
  <w:footnote w:id="29">
    <w:p w14:paraId="3B2B5719" w14:textId="5E43EE41" w:rsidR="005F3384" w:rsidRDefault="005F3384">
      <w:pPr>
        <w:pStyle w:val="FootnoteText"/>
      </w:pPr>
      <w:r>
        <w:rPr>
          <w:rStyle w:val="FootnoteReference"/>
        </w:rPr>
        <w:footnoteRef/>
      </w:r>
      <w:r>
        <w:t xml:space="preserve">  SDG&amp;E at 24-25.</w:t>
      </w:r>
    </w:p>
  </w:footnote>
  <w:footnote w:id="30">
    <w:p w14:paraId="39F6F17F" w14:textId="6F181637" w:rsidR="005F3384" w:rsidRDefault="005F3384">
      <w:pPr>
        <w:pStyle w:val="FootnoteText"/>
      </w:pPr>
      <w:r>
        <w:rPr>
          <w:rStyle w:val="FootnoteReference"/>
        </w:rPr>
        <w:footnoteRef/>
      </w:r>
      <w:r>
        <w:t xml:space="preserve">  Staff Proposal at 16.</w:t>
      </w:r>
    </w:p>
  </w:footnote>
  <w:footnote w:id="31">
    <w:p w14:paraId="43108236" w14:textId="27D4D7CF" w:rsidR="005F3384" w:rsidRDefault="005F3384">
      <w:pPr>
        <w:pStyle w:val="FootnoteText"/>
      </w:pPr>
      <w:r>
        <w:rPr>
          <w:rStyle w:val="FootnoteReference"/>
        </w:rPr>
        <w:footnoteRef/>
      </w:r>
      <w:r>
        <w:t xml:space="preserve">  </w:t>
      </w:r>
      <w:r w:rsidRPr="009B578B">
        <w:rPr>
          <w:i/>
          <w:iCs/>
        </w:rPr>
        <w:t>Id</w:t>
      </w:r>
      <w:r>
        <w:t>. at 16-17.</w:t>
      </w:r>
    </w:p>
  </w:footnote>
  <w:footnote w:id="32">
    <w:p w14:paraId="765CE5B4" w14:textId="6460B4BF" w:rsidR="005F3384" w:rsidRDefault="005F3384">
      <w:pPr>
        <w:pStyle w:val="FootnoteText"/>
      </w:pPr>
      <w:r>
        <w:rPr>
          <w:rStyle w:val="FootnoteReference"/>
        </w:rPr>
        <w:footnoteRef/>
      </w:r>
      <w:r>
        <w:t xml:space="preserve">  </w:t>
      </w:r>
      <w:r w:rsidRPr="009B578B">
        <w:rPr>
          <w:i/>
          <w:iCs/>
        </w:rPr>
        <w:t>See</w:t>
      </w:r>
      <w:r>
        <w:t>, for example, CUE Opening Comments, October 30, 2020 at 7; PG&amp;E Opening Comments, October 30, 2020 at 6; and SDG&amp;E Opening Comments, October 30, 2020 at 10.</w:t>
      </w:r>
    </w:p>
  </w:footnote>
  <w:footnote w:id="33">
    <w:p w14:paraId="42F4B34D" w14:textId="47A05ED5" w:rsidR="005F3384" w:rsidRDefault="005F3384">
      <w:pPr>
        <w:pStyle w:val="FootnoteText"/>
      </w:pPr>
      <w:r>
        <w:rPr>
          <w:rStyle w:val="FootnoteReference"/>
        </w:rPr>
        <w:footnoteRef/>
      </w:r>
      <w:r>
        <w:t xml:space="preserve">  Public Advocates Office Opening Comments, October 30, 2020 at 3-6.</w:t>
      </w:r>
    </w:p>
  </w:footnote>
  <w:footnote w:id="34">
    <w:p w14:paraId="085CBB52" w14:textId="6E62E0E0" w:rsidR="005F3384" w:rsidRDefault="005F3384">
      <w:pPr>
        <w:pStyle w:val="FootnoteText"/>
      </w:pPr>
      <w:r>
        <w:rPr>
          <w:rStyle w:val="FootnoteReference"/>
        </w:rPr>
        <w:footnoteRef/>
      </w:r>
      <w:r>
        <w:t xml:space="preserve">  CUE Opening Comments, October 30, 2020 at 7.</w:t>
      </w:r>
    </w:p>
  </w:footnote>
  <w:footnote w:id="35">
    <w:p w14:paraId="6F9A4F77" w14:textId="5DBD6F6F" w:rsidR="005F3384" w:rsidRDefault="005F3384">
      <w:pPr>
        <w:pStyle w:val="FootnoteText"/>
      </w:pPr>
      <w:r>
        <w:rPr>
          <w:rStyle w:val="FootnoteReference"/>
        </w:rPr>
        <w:footnoteRef/>
      </w:r>
      <w:r>
        <w:t xml:space="preserve">  Public Advocates Office Opening Comments, October 30, 2020 at 14-16.</w:t>
      </w:r>
    </w:p>
  </w:footnote>
  <w:footnote w:id="36">
    <w:p w14:paraId="52A666D4" w14:textId="4768E531" w:rsidR="005F3384" w:rsidRDefault="005F3384">
      <w:pPr>
        <w:pStyle w:val="FootnoteText"/>
      </w:pPr>
      <w:r>
        <w:rPr>
          <w:rStyle w:val="FootnoteReference"/>
        </w:rPr>
        <w:footnoteRef/>
      </w:r>
      <w:r>
        <w:t xml:space="preserve">  </w:t>
      </w:r>
      <w:r w:rsidRPr="002342F9">
        <w:rPr>
          <w:i/>
          <w:iCs/>
        </w:rPr>
        <w:t>Id</w:t>
      </w:r>
      <w:r>
        <w:t>. at 15.</w:t>
      </w:r>
    </w:p>
  </w:footnote>
  <w:footnote w:id="37">
    <w:p w14:paraId="6D9670FB" w14:textId="1E2D69E9" w:rsidR="005F3384" w:rsidRDefault="005F3384">
      <w:pPr>
        <w:pStyle w:val="FootnoteText"/>
      </w:pPr>
      <w:r>
        <w:rPr>
          <w:rStyle w:val="FootnoteReference"/>
        </w:rPr>
        <w:footnoteRef/>
      </w:r>
      <w:r>
        <w:t xml:space="preserve">  </w:t>
      </w:r>
      <w:r w:rsidRPr="002342F9">
        <w:rPr>
          <w:i/>
          <w:iCs/>
        </w:rPr>
        <w:t>Id</w:t>
      </w:r>
      <w:r>
        <w:t>. at 16.</w:t>
      </w:r>
    </w:p>
  </w:footnote>
  <w:footnote w:id="38">
    <w:p w14:paraId="046794AA" w14:textId="4F44D2B4" w:rsidR="005F3384" w:rsidRDefault="005F3384">
      <w:pPr>
        <w:pStyle w:val="FootnoteText"/>
      </w:pPr>
      <w:r>
        <w:rPr>
          <w:rStyle w:val="FootnoteReference"/>
        </w:rPr>
        <w:footnoteRef/>
      </w:r>
      <w:r>
        <w:t xml:space="preserve">  D.16-12-036 at 23-30 and Ordering Paragraph 11.</w:t>
      </w:r>
    </w:p>
  </w:footnote>
  <w:footnote w:id="39">
    <w:p w14:paraId="366D89C6" w14:textId="1E543309" w:rsidR="005F3384" w:rsidRDefault="005F3384">
      <w:pPr>
        <w:pStyle w:val="FootnoteText"/>
      </w:pPr>
      <w:r>
        <w:rPr>
          <w:rStyle w:val="FootnoteReference"/>
        </w:rPr>
        <w:footnoteRef/>
      </w:r>
      <w:r>
        <w:t xml:space="preserve">  D.18-02-004 at Ordering Paragraph 2s.</w:t>
      </w:r>
    </w:p>
  </w:footnote>
  <w:footnote w:id="40">
    <w:p w14:paraId="6BB6D792" w14:textId="16073FF5" w:rsidR="005F3384" w:rsidRDefault="005F3384">
      <w:pPr>
        <w:pStyle w:val="FootnoteText"/>
      </w:pPr>
      <w:r>
        <w:rPr>
          <w:rStyle w:val="FootnoteReference"/>
        </w:rPr>
        <w:footnoteRef/>
      </w:r>
      <w:r>
        <w:t xml:space="preserve">  SCE Reply Comments, November 10, 2020 at 3.</w:t>
      </w:r>
    </w:p>
  </w:footnote>
  <w:footnote w:id="41">
    <w:p w14:paraId="00170F44" w14:textId="2F2D58DF" w:rsidR="005F3384" w:rsidRDefault="005F3384">
      <w:pPr>
        <w:pStyle w:val="FootnoteText"/>
      </w:pPr>
      <w:r>
        <w:rPr>
          <w:rStyle w:val="FootnoteReference"/>
        </w:rPr>
        <w:footnoteRef/>
      </w:r>
      <w:r>
        <w:t xml:space="preserve">  CESA Opening Comments, October 30, 2020 at 21.</w:t>
      </w:r>
    </w:p>
  </w:footnote>
  <w:footnote w:id="42">
    <w:p w14:paraId="6E1C7F24" w14:textId="1ECB3E8D" w:rsidR="005F3384" w:rsidRDefault="005F3384">
      <w:pPr>
        <w:pStyle w:val="FootnoteText"/>
      </w:pPr>
      <w:r>
        <w:rPr>
          <w:rStyle w:val="FootnoteReference"/>
        </w:rPr>
        <w:footnoteRef/>
      </w:r>
      <w:r>
        <w:t xml:space="preserve">  Sunrun Opening Comments, October 30, 2020 at 17-18.</w:t>
      </w:r>
    </w:p>
  </w:footnote>
  <w:footnote w:id="43">
    <w:p w14:paraId="48A6169A" w14:textId="7A70FD9B" w:rsidR="005F3384" w:rsidRDefault="005F3384">
      <w:pPr>
        <w:pStyle w:val="FootnoteText"/>
      </w:pPr>
      <w:r>
        <w:rPr>
          <w:rStyle w:val="FootnoteReference"/>
        </w:rPr>
        <w:footnoteRef/>
      </w:r>
      <w:r>
        <w:t xml:space="preserve">  CUE Opening Comments, October 30, 2020 at 17.</w:t>
      </w:r>
    </w:p>
  </w:footnote>
  <w:footnote w:id="44">
    <w:p w14:paraId="65634130" w14:textId="5BBE2934" w:rsidR="005F3384" w:rsidRDefault="005F3384">
      <w:pPr>
        <w:pStyle w:val="FootnoteText"/>
      </w:pPr>
      <w:r>
        <w:rPr>
          <w:rStyle w:val="FootnoteReference"/>
        </w:rPr>
        <w:footnoteRef/>
      </w:r>
      <w:r>
        <w:t xml:space="preserve">  SDG&amp;E Opening Comments, October 30, 2020 at 21.</w:t>
      </w:r>
    </w:p>
  </w:footnote>
  <w:footnote w:id="45">
    <w:p w14:paraId="15DE26A6" w14:textId="293FA082" w:rsidR="005F3384" w:rsidRDefault="005F3384">
      <w:pPr>
        <w:pStyle w:val="FootnoteText"/>
      </w:pPr>
      <w:r>
        <w:rPr>
          <w:rStyle w:val="FootnoteReference"/>
        </w:rPr>
        <w:footnoteRef/>
      </w:r>
      <w:r>
        <w:t xml:space="preserve">  </w:t>
      </w:r>
      <w:r w:rsidRPr="009B578B">
        <w:rPr>
          <w:i/>
          <w:iCs/>
        </w:rPr>
        <w:t>See</w:t>
      </w:r>
      <w:r>
        <w:t>, SCE Opening Comments, October 30, 2020 at 12-13, SDG&amp;E Opening Comments, October 30, 2020 at 22, Sunrun Opening Comments, October 30, 2020 at 18-19.</w:t>
      </w:r>
    </w:p>
  </w:footnote>
  <w:footnote w:id="46">
    <w:p w14:paraId="418947C7" w14:textId="08FD754B" w:rsidR="005F3384" w:rsidRDefault="005F3384">
      <w:pPr>
        <w:pStyle w:val="FootnoteText"/>
      </w:pPr>
      <w:r>
        <w:rPr>
          <w:rStyle w:val="FootnoteReference"/>
        </w:rPr>
        <w:footnoteRef/>
      </w:r>
      <w:r>
        <w:t xml:space="preserve">  SDG&amp;E Opening Comments, October 30, 2020 at 22.</w:t>
      </w:r>
    </w:p>
  </w:footnote>
  <w:footnote w:id="47">
    <w:p w14:paraId="6F9C5109" w14:textId="7BC541E4" w:rsidR="005F3384" w:rsidRDefault="005F3384">
      <w:pPr>
        <w:pStyle w:val="FootnoteText"/>
      </w:pPr>
      <w:r>
        <w:rPr>
          <w:rStyle w:val="FootnoteReference"/>
        </w:rPr>
        <w:footnoteRef/>
      </w:r>
      <w:r>
        <w:t xml:space="preserve">  Staff Proposal at 23.</w:t>
      </w:r>
    </w:p>
  </w:footnote>
  <w:footnote w:id="48">
    <w:p w14:paraId="7D00A670" w14:textId="597DBD8A" w:rsidR="005F3384" w:rsidRDefault="005F3384">
      <w:pPr>
        <w:pStyle w:val="FootnoteText"/>
      </w:pPr>
      <w:r>
        <w:rPr>
          <w:rStyle w:val="FootnoteReference"/>
        </w:rPr>
        <w:footnoteRef/>
      </w:r>
      <w:r>
        <w:t xml:space="preserve">  PG&amp;E Opening Comments, October 30, 2020 at 8-9.</w:t>
      </w:r>
    </w:p>
  </w:footnote>
  <w:footnote w:id="49">
    <w:p w14:paraId="0581D004" w14:textId="60D73E62" w:rsidR="005F3384" w:rsidRDefault="005F3384">
      <w:pPr>
        <w:pStyle w:val="FootnoteText"/>
      </w:pPr>
      <w:r>
        <w:rPr>
          <w:rStyle w:val="FootnoteReference"/>
        </w:rPr>
        <w:footnoteRef/>
      </w:r>
      <w:r>
        <w:t xml:space="preserve">  PG&amp;E Opening Comments, October 30, 2020 at 8-9 and SDG&amp;E Opening Comments, October 30, 2020 at 10-11.</w:t>
      </w:r>
    </w:p>
  </w:footnote>
  <w:footnote w:id="50">
    <w:p w14:paraId="47868EDA" w14:textId="0DBD7A56" w:rsidR="005F3384" w:rsidRDefault="005F3384">
      <w:pPr>
        <w:pStyle w:val="FootnoteText"/>
      </w:pPr>
      <w:r>
        <w:rPr>
          <w:rStyle w:val="FootnoteReference"/>
        </w:rPr>
        <w:footnoteRef/>
      </w:r>
      <w:r>
        <w:t xml:space="preserve">  CALSSA/SEIA/Vote Solar Reply Comments, November 10, 2020 at 3-4.</w:t>
      </w:r>
    </w:p>
  </w:footnote>
  <w:footnote w:id="51">
    <w:p w14:paraId="758F7976" w14:textId="3C811CDB" w:rsidR="005F3384" w:rsidRDefault="005F3384">
      <w:pPr>
        <w:pStyle w:val="FootnoteText"/>
      </w:pPr>
      <w:r>
        <w:rPr>
          <w:rStyle w:val="FootnoteReference"/>
        </w:rPr>
        <w:footnoteRef/>
      </w:r>
      <w:r>
        <w:t xml:space="preserve">  CESA Opening Comments October 30, 2020 at 9.</w:t>
      </w:r>
    </w:p>
  </w:footnote>
  <w:footnote w:id="52">
    <w:p w14:paraId="0AE4A9E5" w14:textId="403CD394" w:rsidR="005F3384" w:rsidRDefault="005F3384">
      <w:pPr>
        <w:pStyle w:val="FootnoteText"/>
      </w:pPr>
      <w:r>
        <w:rPr>
          <w:rStyle w:val="FootnoteReference"/>
        </w:rPr>
        <w:footnoteRef/>
      </w:r>
      <w:r>
        <w:t xml:space="preserve">  </w:t>
      </w:r>
      <w:r w:rsidRPr="00845FFD">
        <w:rPr>
          <w:i/>
          <w:iCs/>
        </w:rPr>
        <w:t>Id</w:t>
      </w:r>
      <w:r>
        <w:t>. at 8.</w:t>
      </w:r>
    </w:p>
  </w:footnote>
  <w:footnote w:id="53">
    <w:p w14:paraId="27115DE3" w14:textId="788D9C52" w:rsidR="005F3384" w:rsidRDefault="005F3384">
      <w:pPr>
        <w:pStyle w:val="FootnoteText"/>
      </w:pPr>
      <w:r>
        <w:rPr>
          <w:rStyle w:val="FootnoteReference"/>
        </w:rPr>
        <w:footnoteRef/>
      </w:r>
      <w:r>
        <w:t xml:space="preserve">  </w:t>
      </w:r>
      <w:r w:rsidRPr="00FF0195">
        <w:rPr>
          <w:i/>
          <w:iCs/>
        </w:rPr>
        <w:t>Id</w:t>
      </w:r>
      <w:r>
        <w:t>. and CUE Opening Comments October 30, 2020 at 9.</w:t>
      </w:r>
    </w:p>
  </w:footnote>
  <w:footnote w:id="54">
    <w:p w14:paraId="50A495DA" w14:textId="6BB2E189" w:rsidR="005F3384" w:rsidRDefault="005F3384">
      <w:pPr>
        <w:pStyle w:val="FootnoteText"/>
      </w:pPr>
      <w:r>
        <w:rPr>
          <w:rStyle w:val="FootnoteReference"/>
        </w:rPr>
        <w:footnoteRef/>
      </w:r>
      <w:r>
        <w:t xml:space="preserve">  Public Advocates Office Opening Comments, October 30, 2020 at 7.</w:t>
      </w:r>
    </w:p>
  </w:footnote>
  <w:footnote w:id="55">
    <w:p w14:paraId="3C43106F" w14:textId="48832667" w:rsidR="005F3384" w:rsidRDefault="005F3384">
      <w:pPr>
        <w:pStyle w:val="FootnoteText"/>
      </w:pPr>
      <w:r>
        <w:rPr>
          <w:rStyle w:val="FootnoteReference"/>
        </w:rPr>
        <w:footnoteRef/>
      </w:r>
      <w:r>
        <w:t xml:space="preserve">  SCE Reply Comments, November 10, 2020 at 13.</w:t>
      </w:r>
    </w:p>
  </w:footnote>
  <w:footnote w:id="56">
    <w:p w14:paraId="08800A14" w14:textId="6A650AF7" w:rsidR="005F3384" w:rsidRDefault="005F3384" w:rsidP="00A931D2">
      <w:pPr>
        <w:pStyle w:val="FootnoteText"/>
      </w:pPr>
      <w:r>
        <w:rPr>
          <w:rStyle w:val="FootnoteReference"/>
        </w:rPr>
        <w:footnoteRef/>
      </w:r>
      <w:r>
        <w:t xml:space="preserve">  CUE Opening Comments, October 30, 2020 at 20.</w:t>
      </w:r>
    </w:p>
  </w:footnote>
  <w:footnote w:id="57">
    <w:p w14:paraId="330F62AE" w14:textId="4162A5DC" w:rsidR="005F3384" w:rsidRDefault="005F3384" w:rsidP="00A931D2">
      <w:pPr>
        <w:pStyle w:val="FootnoteText"/>
      </w:pPr>
      <w:r>
        <w:rPr>
          <w:rStyle w:val="FootnoteReference"/>
        </w:rPr>
        <w:footnoteRef/>
      </w:r>
      <w:r>
        <w:t xml:space="preserve">  </w:t>
      </w:r>
      <w:r w:rsidRPr="00263712">
        <w:rPr>
          <w:i/>
          <w:iCs/>
        </w:rPr>
        <w:t>Ibid</w:t>
      </w:r>
      <w:r>
        <w:t>.</w:t>
      </w:r>
    </w:p>
  </w:footnote>
  <w:footnote w:id="58">
    <w:p w14:paraId="704976A3" w14:textId="0081B3A1" w:rsidR="005F3384" w:rsidRDefault="005F3384" w:rsidP="00A931D2">
      <w:pPr>
        <w:pStyle w:val="FootnoteText"/>
      </w:pPr>
      <w:r>
        <w:rPr>
          <w:rStyle w:val="FootnoteReference"/>
        </w:rPr>
        <w:footnoteRef/>
      </w:r>
      <w:r>
        <w:t xml:space="preserve">  Staff Proposal at 51.</w:t>
      </w:r>
    </w:p>
  </w:footnote>
  <w:footnote w:id="59">
    <w:p w14:paraId="11D7B445" w14:textId="5E75DFE3" w:rsidR="005F3384" w:rsidRDefault="005F3384">
      <w:pPr>
        <w:pStyle w:val="FootnoteText"/>
      </w:pPr>
      <w:r>
        <w:rPr>
          <w:rStyle w:val="FootnoteReference"/>
        </w:rPr>
        <w:footnoteRef/>
      </w:r>
      <w:r>
        <w:t xml:space="preserve">  Staff Proposal at 21-22.</w:t>
      </w:r>
    </w:p>
  </w:footnote>
  <w:footnote w:id="60">
    <w:p w14:paraId="72857444" w14:textId="6B1AEE90" w:rsidR="005F3384" w:rsidRDefault="005F3384">
      <w:pPr>
        <w:pStyle w:val="FootnoteText"/>
      </w:pPr>
      <w:r>
        <w:rPr>
          <w:rStyle w:val="FootnoteReference"/>
        </w:rPr>
        <w:footnoteRef/>
      </w:r>
      <w:r>
        <w:t xml:space="preserve">  </w:t>
      </w:r>
      <w:r w:rsidRPr="002342F9">
        <w:rPr>
          <w:i/>
          <w:iCs/>
        </w:rPr>
        <w:t>Id</w:t>
      </w:r>
      <w:r>
        <w:t>. at 25.</w:t>
      </w:r>
    </w:p>
  </w:footnote>
  <w:footnote w:id="61">
    <w:p w14:paraId="01EB1FBE" w14:textId="033F081F" w:rsidR="005F3384" w:rsidRDefault="005F3384">
      <w:pPr>
        <w:pStyle w:val="FootnoteText"/>
      </w:pPr>
      <w:r>
        <w:rPr>
          <w:rStyle w:val="FootnoteReference"/>
        </w:rPr>
        <w:footnoteRef/>
      </w:r>
      <w:r>
        <w:t xml:space="preserve">  </w:t>
      </w:r>
      <w:r w:rsidRPr="002342F9">
        <w:rPr>
          <w:i/>
          <w:iCs/>
        </w:rPr>
        <w:t>Ibid</w:t>
      </w:r>
      <w:r>
        <w:t>.</w:t>
      </w:r>
    </w:p>
  </w:footnote>
  <w:footnote w:id="62">
    <w:p w14:paraId="7ED51BF4" w14:textId="3CDDB006" w:rsidR="005F3384" w:rsidRDefault="005F3384">
      <w:pPr>
        <w:pStyle w:val="FootnoteText"/>
      </w:pPr>
      <w:r>
        <w:rPr>
          <w:rStyle w:val="FootnoteReference"/>
        </w:rPr>
        <w:footnoteRef/>
      </w:r>
      <w:r>
        <w:t xml:space="preserve">  SCE Opening Comments, October 30, 2020 at 7.</w:t>
      </w:r>
    </w:p>
  </w:footnote>
  <w:footnote w:id="63">
    <w:p w14:paraId="23B78D4B" w14:textId="1FB6A1DC" w:rsidR="005F3384" w:rsidRDefault="005F3384">
      <w:pPr>
        <w:pStyle w:val="FootnoteText"/>
      </w:pPr>
      <w:r>
        <w:rPr>
          <w:rStyle w:val="FootnoteReference"/>
        </w:rPr>
        <w:footnoteRef/>
      </w:r>
      <w:r>
        <w:t xml:space="preserve">  Sunrun Opening Comments, October 30, 2020 at 8.</w:t>
      </w:r>
    </w:p>
  </w:footnote>
  <w:footnote w:id="64">
    <w:p w14:paraId="0B787F49" w14:textId="3C6C39EE" w:rsidR="005F3384" w:rsidRDefault="005F3384">
      <w:pPr>
        <w:pStyle w:val="FootnoteText"/>
      </w:pPr>
      <w:r>
        <w:rPr>
          <w:rStyle w:val="FootnoteReference"/>
        </w:rPr>
        <w:footnoteRef/>
      </w:r>
      <w:r>
        <w:t xml:space="preserve">  </w:t>
      </w:r>
      <w:r w:rsidRPr="002342F9">
        <w:rPr>
          <w:i/>
          <w:iCs/>
        </w:rPr>
        <w:t>Ibid</w:t>
      </w:r>
      <w:r>
        <w:t>.</w:t>
      </w:r>
    </w:p>
  </w:footnote>
  <w:footnote w:id="65">
    <w:p w14:paraId="46509759" w14:textId="1EF74477" w:rsidR="005F3384" w:rsidRDefault="005F3384">
      <w:pPr>
        <w:pStyle w:val="FootnoteText"/>
      </w:pPr>
      <w:r>
        <w:rPr>
          <w:rStyle w:val="FootnoteReference"/>
        </w:rPr>
        <w:footnoteRef/>
      </w:r>
      <w:r>
        <w:t xml:space="preserve">  PG&amp;E Opening Comments, October 30, 2020 at 9-10 citing Staff Proposal at 26, noting the challenge of Ratable Procurement.</w:t>
      </w:r>
    </w:p>
  </w:footnote>
  <w:footnote w:id="66">
    <w:p w14:paraId="23255898" w14:textId="0F0A5D61" w:rsidR="005F3384" w:rsidRDefault="005F3384">
      <w:pPr>
        <w:pStyle w:val="FootnoteText"/>
      </w:pPr>
      <w:r>
        <w:rPr>
          <w:rStyle w:val="FootnoteReference"/>
        </w:rPr>
        <w:footnoteRef/>
      </w:r>
      <w:r>
        <w:t xml:space="preserve">  SDG&amp;E Opening Comments, October 30, 2020 at 12-13.</w:t>
      </w:r>
    </w:p>
  </w:footnote>
  <w:footnote w:id="67">
    <w:p w14:paraId="4E43CF0C" w14:textId="1BAD050B" w:rsidR="005F3384" w:rsidRDefault="005F3384" w:rsidP="00194BCC">
      <w:pPr>
        <w:pStyle w:val="FootnoteText"/>
      </w:pPr>
      <w:r>
        <w:rPr>
          <w:rStyle w:val="FootnoteReference"/>
        </w:rPr>
        <w:footnoteRef/>
      </w:r>
      <w:r>
        <w:t xml:space="preserve">  </w:t>
      </w:r>
      <w:r w:rsidRPr="002342F9">
        <w:t>SCE Opening Comments, October 30, 2020 at 7</w:t>
      </w:r>
      <w:r>
        <w:t>.</w:t>
      </w:r>
    </w:p>
  </w:footnote>
  <w:footnote w:id="68">
    <w:p w14:paraId="044BD1B1" w14:textId="57A73051" w:rsidR="005F3384" w:rsidRDefault="005F3384">
      <w:pPr>
        <w:pStyle w:val="FootnoteText"/>
      </w:pPr>
      <w:r>
        <w:rPr>
          <w:rStyle w:val="FootnoteReference"/>
        </w:rPr>
        <w:footnoteRef/>
      </w:r>
      <w:r>
        <w:t xml:space="preserve">  CUE Opening Comments, October 30, 2020 at 9-10.</w:t>
      </w:r>
    </w:p>
  </w:footnote>
  <w:footnote w:id="69">
    <w:p w14:paraId="5FFE8460" w14:textId="43F56B8B" w:rsidR="005F3384" w:rsidRDefault="005F3384">
      <w:pPr>
        <w:pStyle w:val="FootnoteText"/>
      </w:pPr>
      <w:r>
        <w:rPr>
          <w:rStyle w:val="FootnoteReference"/>
        </w:rPr>
        <w:footnoteRef/>
      </w:r>
      <w:r>
        <w:t xml:space="preserve">  Staff Proposal at 28.</w:t>
      </w:r>
    </w:p>
  </w:footnote>
  <w:footnote w:id="70">
    <w:p w14:paraId="6F528EF6" w14:textId="392B7E5A" w:rsidR="005F3384" w:rsidRDefault="005F3384" w:rsidP="004F533B">
      <w:pPr>
        <w:pStyle w:val="FootnoteText"/>
      </w:pPr>
      <w:r>
        <w:rPr>
          <w:rStyle w:val="FootnoteReference"/>
        </w:rPr>
        <w:footnoteRef/>
      </w:r>
      <w:r>
        <w:t xml:space="preserve">  CESA Opening Comments, October 30, 2020 at 15-17.</w:t>
      </w:r>
    </w:p>
  </w:footnote>
  <w:footnote w:id="71">
    <w:p w14:paraId="43B4E8C9" w14:textId="1D08B069" w:rsidR="005F3384" w:rsidRDefault="005F3384">
      <w:pPr>
        <w:pStyle w:val="FootnoteText"/>
      </w:pPr>
      <w:r>
        <w:rPr>
          <w:rStyle w:val="FootnoteReference"/>
        </w:rPr>
        <w:footnoteRef/>
      </w:r>
      <w:r>
        <w:t xml:space="preserve">  </w:t>
      </w:r>
      <w:r w:rsidRPr="005F6FEE">
        <w:rPr>
          <w:i/>
          <w:iCs/>
        </w:rPr>
        <w:t>Id</w:t>
      </w:r>
      <w:r>
        <w:t xml:space="preserve">. at 16-17. </w:t>
      </w:r>
    </w:p>
  </w:footnote>
  <w:footnote w:id="72">
    <w:p w14:paraId="3FC89ACD" w14:textId="0C731802" w:rsidR="005F3384" w:rsidRDefault="005F3384">
      <w:pPr>
        <w:pStyle w:val="FootnoteText"/>
      </w:pPr>
      <w:r>
        <w:rPr>
          <w:rStyle w:val="FootnoteReference"/>
        </w:rPr>
        <w:footnoteRef/>
      </w:r>
      <w:r>
        <w:t xml:space="preserve">  CESA Opening Comments, October 30, 2020 at 11.</w:t>
      </w:r>
    </w:p>
  </w:footnote>
  <w:footnote w:id="73">
    <w:p w14:paraId="7D58E56B" w14:textId="17FF3C9A" w:rsidR="005F3384" w:rsidRDefault="005F3384" w:rsidP="00D61F1B">
      <w:pPr>
        <w:pStyle w:val="FootnoteText"/>
      </w:pPr>
      <w:r>
        <w:rPr>
          <w:rStyle w:val="FootnoteReference"/>
        </w:rPr>
        <w:footnoteRef/>
      </w:r>
      <w:r>
        <w:t xml:space="preserve">  Staff Proposal at 26.</w:t>
      </w:r>
    </w:p>
  </w:footnote>
  <w:footnote w:id="74">
    <w:p w14:paraId="3092914A" w14:textId="5230553D" w:rsidR="005F3384" w:rsidRDefault="005F3384">
      <w:pPr>
        <w:pStyle w:val="FootnoteText"/>
      </w:pPr>
      <w:r>
        <w:rPr>
          <w:rStyle w:val="FootnoteReference"/>
        </w:rPr>
        <w:footnoteRef/>
      </w:r>
      <w:r>
        <w:t xml:space="preserve"> </w:t>
      </w:r>
      <w:r w:rsidR="007B5C29">
        <w:t xml:space="preserve"> </w:t>
      </w:r>
      <w:r>
        <w:t>SCE Opening Comments to Proposed Decision at 6-9.</w:t>
      </w:r>
    </w:p>
  </w:footnote>
  <w:footnote w:id="75">
    <w:p w14:paraId="6ED69786" w14:textId="2342EDE9" w:rsidR="005F3384" w:rsidRDefault="005F3384">
      <w:pPr>
        <w:pStyle w:val="FootnoteText"/>
      </w:pPr>
      <w:r>
        <w:rPr>
          <w:rStyle w:val="FootnoteReference"/>
        </w:rPr>
        <w:footnoteRef/>
      </w:r>
      <w:r>
        <w:t xml:space="preserve"> </w:t>
      </w:r>
      <w:r w:rsidR="007B5C29">
        <w:t xml:space="preserve"> </w:t>
      </w:r>
      <w:r w:rsidRPr="005F3384">
        <w:rPr>
          <w:i/>
          <w:iCs/>
        </w:rPr>
        <w:t>Id</w:t>
      </w:r>
      <w:r>
        <w:t>. at 7-9.</w:t>
      </w:r>
    </w:p>
  </w:footnote>
  <w:footnote w:id="76">
    <w:p w14:paraId="3DE01925" w14:textId="35C48E67" w:rsidR="005F3384" w:rsidRDefault="005F3384">
      <w:pPr>
        <w:pStyle w:val="FootnoteText"/>
      </w:pPr>
      <w:r>
        <w:rPr>
          <w:rStyle w:val="FootnoteReference"/>
        </w:rPr>
        <w:footnoteRef/>
      </w:r>
      <w:r>
        <w:t xml:space="preserve">  Staff Proposal at 39.</w:t>
      </w:r>
    </w:p>
  </w:footnote>
  <w:footnote w:id="77">
    <w:p w14:paraId="1C94A248" w14:textId="5097D092" w:rsidR="005F3384" w:rsidRDefault="005F3384">
      <w:pPr>
        <w:pStyle w:val="FootnoteText"/>
      </w:pPr>
      <w:r>
        <w:rPr>
          <w:rStyle w:val="FootnoteReference"/>
        </w:rPr>
        <w:footnoteRef/>
      </w:r>
      <w:r>
        <w:t xml:space="preserve">  Staff Proposal at 30.</w:t>
      </w:r>
    </w:p>
  </w:footnote>
  <w:footnote w:id="78">
    <w:p w14:paraId="4C7BE687" w14:textId="6B2951FE" w:rsidR="005F3384" w:rsidRDefault="005F3384">
      <w:pPr>
        <w:pStyle w:val="FootnoteText"/>
      </w:pPr>
      <w:r>
        <w:rPr>
          <w:rStyle w:val="FootnoteReference"/>
        </w:rPr>
        <w:footnoteRef/>
      </w:r>
      <w:r>
        <w:t xml:space="preserve">  SDG&amp;E Opening Comments, October 30, 2020 at 14.</w:t>
      </w:r>
    </w:p>
  </w:footnote>
  <w:footnote w:id="79">
    <w:p w14:paraId="5D7BA515" w14:textId="2B3B7F20" w:rsidR="005F3384" w:rsidRDefault="005F3384" w:rsidP="00DC51C4">
      <w:pPr>
        <w:pStyle w:val="FootnoteText"/>
      </w:pPr>
      <w:r>
        <w:rPr>
          <w:rStyle w:val="FootnoteReference"/>
        </w:rPr>
        <w:footnoteRef/>
      </w:r>
      <w:r>
        <w:t xml:space="preserve">  SDG&amp;E Opening Comments, October 30, 2020 at 15. </w:t>
      </w:r>
    </w:p>
  </w:footnote>
  <w:footnote w:id="80">
    <w:p w14:paraId="21A3B4B9" w14:textId="15EB4E44" w:rsidR="005F3384" w:rsidRDefault="005F3384">
      <w:pPr>
        <w:pStyle w:val="FootnoteText"/>
      </w:pPr>
      <w:r>
        <w:rPr>
          <w:rStyle w:val="FootnoteReference"/>
        </w:rPr>
        <w:footnoteRef/>
      </w:r>
      <w:r>
        <w:t xml:space="preserve">  CESA Opening Comments, October 30, 2020 at 13-14 and AEE Reply Comments, November 10, 2020 at 7. </w:t>
      </w:r>
    </w:p>
  </w:footnote>
  <w:footnote w:id="81">
    <w:p w14:paraId="2295AEE3" w14:textId="7F264677" w:rsidR="005F3384" w:rsidRDefault="005F3384">
      <w:pPr>
        <w:pStyle w:val="FootnoteText"/>
      </w:pPr>
      <w:r>
        <w:rPr>
          <w:rStyle w:val="FootnoteReference"/>
        </w:rPr>
        <w:footnoteRef/>
      </w:r>
      <w:r>
        <w:t xml:space="preserve">  May 1, 2020 Administrative Law Judge Ruling, which states, “From the date of RFP issuance, the cost cap for the planned investment shall not be updated prior to distributed energy resources deferral contract execution or notification to Energy Division and all DPAG stakeholders that no bids were accepted.”</w:t>
      </w:r>
    </w:p>
  </w:footnote>
  <w:footnote w:id="82">
    <w:p w14:paraId="3B4E497A" w14:textId="7A6A332C" w:rsidR="005F3384" w:rsidRDefault="005F3384">
      <w:pPr>
        <w:pStyle w:val="FootnoteText"/>
      </w:pPr>
      <w:r>
        <w:rPr>
          <w:rStyle w:val="FootnoteReference"/>
        </w:rPr>
        <w:footnoteRef/>
      </w:r>
      <w:r>
        <w:t xml:space="preserve">  Staff Proposal at 27.</w:t>
      </w:r>
    </w:p>
  </w:footnote>
  <w:footnote w:id="83">
    <w:p w14:paraId="75866706" w14:textId="573A0735" w:rsidR="005F3384" w:rsidRDefault="005F3384">
      <w:pPr>
        <w:pStyle w:val="FootnoteText"/>
      </w:pPr>
      <w:r>
        <w:rPr>
          <w:rStyle w:val="FootnoteReference"/>
        </w:rPr>
        <w:footnoteRef/>
      </w:r>
      <w:r>
        <w:t xml:space="preserve">  PG&amp;E Opening Comments, October 30, 2020 at 11.</w:t>
      </w:r>
    </w:p>
  </w:footnote>
  <w:footnote w:id="84">
    <w:p w14:paraId="43DAC80F" w14:textId="68336F91" w:rsidR="005F3384" w:rsidRDefault="005F3384">
      <w:pPr>
        <w:pStyle w:val="FootnoteText"/>
      </w:pPr>
      <w:r>
        <w:rPr>
          <w:rStyle w:val="FootnoteReference"/>
        </w:rPr>
        <w:footnoteRef/>
      </w:r>
      <w:r>
        <w:t xml:space="preserve">  CESA Reply Comments, November 10, 2020 at 7.</w:t>
      </w:r>
    </w:p>
  </w:footnote>
  <w:footnote w:id="85">
    <w:p w14:paraId="2B0FADBA" w14:textId="56D7667D" w:rsidR="005F3384" w:rsidRDefault="005F3384">
      <w:pPr>
        <w:pStyle w:val="FootnoteText"/>
      </w:pPr>
      <w:r>
        <w:rPr>
          <w:rStyle w:val="FootnoteReference"/>
        </w:rPr>
        <w:footnoteRef/>
      </w:r>
      <w:r>
        <w:t xml:space="preserve">  </w:t>
      </w:r>
      <w:r w:rsidRPr="002342F9">
        <w:rPr>
          <w:i/>
          <w:iCs/>
        </w:rPr>
        <w:t>Ibid</w:t>
      </w:r>
      <w:r>
        <w:t>.</w:t>
      </w:r>
    </w:p>
  </w:footnote>
  <w:footnote w:id="86">
    <w:p w14:paraId="3EF9083B" w14:textId="60D404F9" w:rsidR="005F3384" w:rsidRDefault="005F3384">
      <w:pPr>
        <w:pStyle w:val="FootnoteText"/>
      </w:pPr>
      <w:r>
        <w:rPr>
          <w:rStyle w:val="FootnoteReference"/>
        </w:rPr>
        <w:footnoteRef/>
      </w:r>
      <w:r>
        <w:t xml:space="preserve">  PG&amp;E Opening Comments, October 30, 2020 at 10-11.</w:t>
      </w:r>
    </w:p>
  </w:footnote>
  <w:footnote w:id="87">
    <w:p w14:paraId="5A0184B1" w14:textId="40CFB91F" w:rsidR="005F3384" w:rsidRDefault="005F3384">
      <w:pPr>
        <w:pStyle w:val="FootnoteText"/>
      </w:pPr>
      <w:r>
        <w:rPr>
          <w:rStyle w:val="FootnoteReference"/>
        </w:rPr>
        <w:footnoteRef/>
      </w:r>
      <w:r>
        <w:t xml:space="preserve">  SCE Reply Comments, November 10, 2020 at 6.</w:t>
      </w:r>
    </w:p>
  </w:footnote>
  <w:footnote w:id="88">
    <w:p w14:paraId="50D17B64" w14:textId="7BFDACFB" w:rsidR="005F3384" w:rsidRDefault="005F3384">
      <w:pPr>
        <w:pStyle w:val="FootnoteText"/>
      </w:pPr>
      <w:r>
        <w:rPr>
          <w:rStyle w:val="FootnoteReference"/>
        </w:rPr>
        <w:footnoteRef/>
      </w:r>
      <w:r>
        <w:t xml:space="preserve">  Staff Proposal at 4.</w:t>
      </w:r>
    </w:p>
  </w:footnote>
  <w:footnote w:id="89">
    <w:p w14:paraId="568F5A4D" w14:textId="4DE20767" w:rsidR="005F3384" w:rsidRDefault="005F3384">
      <w:pPr>
        <w:pStyle w:val="FootnoteText"/>
      </w:pPr>
      <w:r>
        <w:rPr>
          <w:rStyle w:val="FootnoteReference"/>
        </w:rPr>
        <w:footnoteRef/>
      </w:r>
      <w:r>
        <w:t xml:space="preserve">  CESA Opening Comments, October 30, 2020 at 4, and 11-13; SCE Opening Comments, October 30, 2020 at 8.</w:t>
      </w:r>
    </w:p>
  </w:footnote>
  <w:footnote w:id="90">
    <w:p w14:paraId="30D5D114" w14:textId="7342DBBF" w:rsidR="005F3384" w:rsidRDefault="005F3384">
      <w:pPr>
        <w:pStyle w:val="FootnoteText"/>
      </w:pPr>
      <w:r>
        <w:rPr>
          <w:rStyle w:val="FootnoteReference"/>
        </w:rPr>
        <w:footnoteRef/>
      </w:r>
      <w:r>
        <w:t xml:space="preserve">  SDG&amp;E Opening Comments, October 30, 2020 at 14-15.</w:t>
      </w:r>
    </w:p>
  </w:footnote>
  <w:footnote w:id="91">
    <w:p w14:paraId="2995A871" w14:textId="03D80706" w:rsidR="005F3384" w:rsidRDefault="005F3384">
      <w:pPr>
        <w:pStyle w:val="FootnoteText"/>
      </w:pPr>
      <w:r>
        <w:rPr>
          <w:rStyle w:val="FootnoteReference"/>
        </w:rPr>
        <w:footnoteRef/>
      </w:r>
      <w:r>
        <w:t xml:space="preserve">  SCE Opening Comments, October 30, 2020 at 9 and CESA Opening Comments, October 30, 2020 at 4 and 14-15.</w:t>
      </w:r>
    </w:p>
  </w:footnote>
  <w:footnote w:id="92">
    <w:p w14:paraId="4569BB4A" w14:textId="66C14BE9" w:rsidR="005F3384" w:rsidRDefault="005F3384">
      <w:pPr>
        <w:pStyle w:val="FootnoteText"/>
      </w:pPr>
      <w:r>
        <w:rPr>
          <w:rStyle w:val="FootnoteReference"/>
        </w:rPr>
        <w:footnoteRef/>
      </w:r>
      <w:r>
        <w:t xml:space="preserve">  CESA Opening Comments, October 30, 2020 at 4 and 14-15.</w:t>
      </w:r>
    </w:p>
  </w:footnote>
  <w:footnote w:id="93">
    <w:p w14:paraId="2CC397EE" w14:textId="208A04E9" w:rsidR="005F3384" w:rsidRDefault="005F3384">
      <w:pPr>
        <w:pStyle w:val="FootnoteText"/>
      </w:pPr>
      <w:r>
        <w:rPr>
          <w:rStyle w:val="FootnoteReference"/>
        </w:rPr>
        <w:footnoteRef/>
      </w:r>
      <w:r>
        <w:t xml:space="preserve">  Staff Proposal at 32.</w:t>
      </w:r>
    </w:p>
  </w:footnote>
  <w:footnote w:id="94">
    <w:p w14:paraId="7E9DB662" w14:textId="119215E6" w:rsidR="005F3384" w:rsidRDefault="005F3384">
      <w:pPr>
        <w:pStyle w:val="FootnoteText"/>
      </w:pPr>
      <w:r>
        <w:rPr>
          <w:rStyle w:val="FootnoteReference"/>
        </w:rPr>
        <w:footnoteRef/>
      </w:r>
      <w:r>
        <w:t xml:space="preserve">  </w:t>
      </w:r>
      <w:r w:rsidRPr="001D106C">
        <w:rPr>
          <w:i/>
          <w:iCs/>
        </w:rPr>
        <w:t>Ibid</w:t>
      </w:r>
      <w:r>
        <w:t>.</w:t>
      </w:r>
    </w:p>
  </w:footnote>
  <w:footnote w:id="95">
    <w:p w14:paraId="2F73EF8A" w14:textId="2C5ECC2F" w:rsidR="005F3384" w:rsidRDefault="005F3384">
      <w:pPr>
        <w:pStyle w:val="FootnoteText"/>
      </w:pPr>
      <w:r>
        <w:rPr>
          <w:rStyle w:val="FootnoteReference"/>
        </w:rPr>
        <w:footnoteRef/>
      </w:r>
      <w:r>
        <w:t xml:space="preserve">  </w:t>
      </w:r>
      <w:r w:rsidRPr="001D106C">
        <w:rPr>
          <w:i/>
          <w:iCs/>
        </w:rPr>
        <w:t>Ibid</w:t>
      </w:r>
      <w:r>
        <w:t>.</w:t>
      </w:r>
    </w:p>
  </w:footnote>
  <w:footnote w:id="96">
    <w:p w14:paraId="5E865E88" w14:textId="0561CE3F" w:rsidR="005F3384" w:rsidRDefault="005F3384">
      <w:pPr>
        <w:pStyle w:val="FootnoteText"/>
      </w:pPr>
      <w:r>
        <w:rPr>
          <w:rStyle w:val="FootnoteReference"/>
        </w:rPr>
        <w:footnoteRef/>
      </w:r>
      <w:r>
        <w:t xml:space="preserve">  Sunrun Opening Comments, October 30, 2020 at 14.  </w:t>
      </w:r>
      <w:r w:rsidRPr="0011559B">
        <w:rPr>
          <w:i/>
          <w:iCs/>
        </w:rPr>
        <w:t>See</w:t>
      </w:r>
      <w:r>
        <w:t xml:space="preserve"> also CESA Opening Comments, October 30, 2020 at 4 and 18; CALSSA Opening Comments, October 30, 2020 at 3; and SCE</w:t>
      </w:r>
      <w:r w:rsidR="000749A0">
        <w:t xml:space="preserve"> </w:t>
      </w:r>
      <w:r>
        <w:t>Opening Comments, October 30, 2020 at 11.</w:t>
      </w:r>
    </w:p>
  </w:footnote>
  <w:footnote w:id="97">
    <w:p w14:paraId="3B6BF503" w14:textId="67697AEF" w:rsidR="005F3384" w:rsidRDefault="005F3384">
      <w:pPr>
        <w:pStyle w:val="FootnoteText"/>
      </w:pPr>
      <w:r>
        <w:rPr>
          <w:rStyle w:val="FootnoteReference"/>
        </w:rPr>
        <w:footnoteRef/>
      </w:r>
      <w:r>
        <w:t xml:space="preserve">  PG&amp;E Opening Comments, October 30, 2020 at 13.</w:t>
      </w:r>
    </w:p>
  </w:footnote>
  <w:footnote w:id="98">
    <w:p w14:paraId="39B30197" w14:textId="20CCBBE9" w:rsidR="005F3384" w:rsidRDefault="005F3384">
      <w:pPr>
        <w:pStyle w:val="FootnoteText"/>
      </w:pPr>
      <w:r>
        <w:rPr>
          <w:rStyle w:val="FootnoteReference"/>
        </w:rPr>
        <w:footnoteRef/>
      </w:r>
      <w:r>
        <w:t xml:space="preserve">  SDG&amp;E Opening Comments, October 30, 2020 at 18-19 and CUE Opening Comments, October 30, 2020 at 13-14.</w:t>
      </w:r>
    </w:p>
  </w:footnote>
  <w:footnote w:id="99">
    <w:p w14:paraId="66D164E7" w14:textId="6951A10D" w:rsidR="005F3384" w:rsidRDefault="005F3384">
      <w:pPr>
        <w:pStyle w:val="FootnoteText"/>
      </w:pPr>
      <w:r>
        <w:rPr>
          <w:rStyle w:val="FootnoteReference"/>
        </w:rPr>
        <w:footnoteRef/>
      </w:r>
      <w:r>
        <w:t xml:space="preserve">  Staff Proposal at 28.</w:t>
      </w:r>
    </w:p>
  </w:footnote>
  <w:footnote w:id="100">
    <w:p w14:paraId="7D2494E8" w14:textId="7B9C4D88" w:rsidR="005F3384" w:rsidRDefault="005F3384">
      <w:pPr>
        <w:pStyle w:val="FootnoteText"/>
      </w:pPr>
      <w:r>
        <w:rPr>
          <w:rStyle w:val="FootnoteReference"/>
        </w:rPr>
        <w:footnoteRef/>
      </w:r>
      <w:r>
        <w:t xml:space="preserve">  Staff Proposal at 27-28.</w:t>
      </w:r>
    </w:p>
  </w:footnote>
  <w:footnote w:id="101">
    <w:p w14:paraId="5FDAA27F" w14:textId="36574422" w:rsidR="005F3384" w:rsidRDefault="005F3384">
      <w:pPr>
        <w:pStyle w:val="FootnoteText"/>
      </w:pPr>
      <w:r>
        <w:rPr>
          <w:rStyle w:val="FootnoteReference"/>
        </w:rPr>
        <w:footnoteRef/>
      </w:r>
      <w:r>
        <w:t xml:space="preserve">  CALSSA Opening Comments, October 30, 2020 at 3.</w:t>
      </w:r>
    </w:p>
  </w:footnote>
  <w:footnote w:id="102">
    <w:p w14:paraId="5CFCF1FE" w14:textId="4CDD8B37" w:rsidR="005F3384" w:rsidRDefault="005F3384">
      <w:pPr>
        <w:pStyle w:val="FootnoteText"/>
      </w:pPr>
      <w:r>
        <w:rPr>
          <w:rStyle w:val="FootnoteReference"/>
        </w:rPr>
        <w:footnoteRef/>
      </w:r>
      <w:r>
        <w:t xml:space="preserve">  SDG&amp;E Opening Comments, October 30, 2020 at 18-19.</w:t>
      </w:r>
    </w:p>
  </w:footnote>
  <w:footnote w:id="103">
    <w:p w14:paraId="1635713F" w14:textId="631AB60C" w:rsidR="005F3384" w:rsidRDefault="005F3384">
      <w:pPr>
        <w:pStyle w:val="FootnoteText"/>
      </w:pPr>
      <w:r>
        <w:rPr>
          <w:rStyle w:val="FootnoteReference"/>
        </w:rPr>
        <w:footnoteRef/>
      </w:r>
      <w:r>
        <w:t xml:space="preserve">  CALSSA Opening Comments, October 30, 2020 at 3-4.</w:t>
      </w:r>
    </w:p>
  </w:footnote>
  <w:footnote w:id="104">
    <w:p w14:paraId="16E105AB" w14:textId="12C6DB6E" w:rsidR="005F3384" w:rsidRDefault="005F3384">
      <w:pPr>
        <w:pStyle w:val="FootnoteText"/>
      </w:pPr>
      <w:r>
        <w:rPr>
          <w:rStyle w:val="FootnoteReference"/>
        </w:rPr>
        <w:footnoteRef/>
      </w:r>
      <w:r>
        <w:t xml:space="preserve">  Public Advocates Office Opening Comments, October 30, 2020 at 10.</w:t>
      </w:r>
    </w:p>
  </w:footnote>
  <w:footnote w:id="105">
    <w:p w14:paraId="0640C349" w14:textId="71DCC21B" w:rsidR="005F3384" w:rsidRDefault="005F3384">
      <w:pPr>
        <w:pStyle w:val="FootnoteText"/>
      </w:pPr>
      <w:r>
        <w:rPr>
          <w:rStyle w:val="FootnoteReference"/>
        </w:rPr>
        <w:footnoteRef/>
      </w:r>
      <w:r>
        <w:t xml:space="preserve">  PG&amp;E Opening Comments, October 30, 2020 at 14.</w:t>
      </w:r>
    </w:p>
  </w:footnote>
  <w:footnote w:id="106">
    <w:p w14:paraId="7C0B6091" w14:textId="3D0F7A06" w:rsidR="005F3384" w:rsidRDefault="005F3384">
      <w:pPr>
        <w:pStyle w:val="FootnoteText"/>
      </w:pPr>
      <w:r>
        <w:rPr>
          <w:rStyle w:val="FootnoteReference"/>
        </w:rPr>
        <w:footnoteRef/>
      </w:r>
      <w:r>
        <w:t xml:space="preserve">  SCE Reply Comments, November 10, 2020 at 11.</w:t>
      </w:r>
    </w:p>
  </w:footnote>
  <w:footnote w:id="107">
    <w:p w14:paraId="47EC9C1E" w14:textId="15C90788" w:rsidR="005F3384" w:rsidRDefault="005F3384">
      <w:pPr>
        <w:pStyle w:val="FootnoteText"/>
      </w:pPr>
      <w:r>
        <w:rPr>
          <w:rStyle w:val="FootnoteReference"/>
        </w:rPr>
        <w:footnoteRef/>
      </w:r>
      <w:r>
        <w:t xml:space="preserve">  Staff Proposal at 29.</w:t>
      </w:r>
    </w:p>
  </w:footnote>
  <w:footnote w:id="108">
    <w:p w14:paraId="08D7D09F" w14:textId="7DA84695" w:rsidR="005F3384" w:rsidRDefault="005F3384">
      <w:pPr>
        <w:pStyle w:val="FootnoteText"/>
      </w:pPr>
      <w:r>
        <w:rPr>
          <w:rStyle w:val="FootnoteReference"/>
        </w:rPr>
        <w:footnoteRef/>
      </w:r>
      <w:r>
        <w:t xml:space="preserve">  AEE Opening Comments, October 30, 2020 at 5; CALSSA Opening Comments, October 30, 2020 at 3; CESA Opening Comments, October 30, 2020 at 4, 17, and 18; and Sunrun Opening Comments, October 30, 2020 at 13.</w:t>
      </w:r>
    </w:p>
  </w:footnote>
  <w:footnote w:id="109">
    <w:p w14:paraId="54175236" w14:textId="1F3A7B1C" w:rsidR="005F3384" w:rsidRDefault="005F3384">
      <w:pPr>
        <w:pStyle w:val="FootnoteText"/>
      </w:pPr>
      <w:r>
        <w:rPr>
          <w:rStyle w:val="FootnoteReference"/>
        </w:rPr>
        <w:footnoteRef/>
      </w:r>
      <w:r>
        <w:t xml:space="preserve">  SDG&amp;E Opening Comments, October 30, 2020 at 16.</w:t>
      </w:r>
    </w:p>
  </w:footnote>
  <w:footnote w:id="110">
    <w:p w14:paraId="24B3E57E" w14:textId="6FE148F7" w:rsidR="005F3384" w:rsidRDefault="005F3384">
      <w:pPr>
        <w:pStyle w:val="FootnoteText"/>
      </w:pPr>
      <w:r>
        <w:rPr>
          <w:rStyle w:val="FootnoteReference"/>
        </w:rPr>
        <w:footnoteRef/>
      </w:r>
      <w:r>
        <w:t xml:space="preserve">  PG&amp;E Opening Comments, October 30, 2020 at 12 and PG&amp;E Reply Comments, November 10, 2020 at 9.</w:t>
      </w:r>
    </w:p>
  </w:footnote>
  <w:footnote w:id="111">
    <w:p w14:paraId="16981064" w14:textId="6AE6401E" w:rsidR="005F3384" w:rsidRDefault="005F3384">
      <w:pPr>
        <w:pStyle w:val="FootnoteText"/>
      </w:pPr>
      <w:r>
        <w:rPr>
          <w:rStyle w:val="FootnoteReference"/>
        </w:rPr>
        <w:footnoteRef/>
      </w:r>
      <w:r>
        <w:t xml:space="preserve">  SCE Opening Comments, October 30, 2020 at 10.</w:t>
      </w:r>
    </w:p>
  </w:footnote>
  <w:footnote w:id="112">
    <w:p w14:paraId="6A5D5A29" w14:textId="30B91814" w:rsidR="005F3384" w:rsidRDefault="005F3384">
      <w:pPr>
        <w:pStyle w:val="FootnoteText"/>
      </w:pPr>
      <w:r>
        <w:rPr>
          <w:rStyle w:val="FootnoteReference"/>
        </w:rPr>
        <w:footnoteRef/>
      </w:r>
      <w:r>
        <w:t xml:space="preserve">  </w:t>
      </w:r>
      <w:r w:rsidRPr="002342F9">
        <w:rPr>
          <w:i/>
          <w:iCs/>
        </w:rPr>
        <w:t>Ibid</w:t>
      </w:r>
      <w:r>
        <w:t>.</w:t>
      </w:r>
    </w:p>
  </w:footnote>
  <w:footnote w:id="113">
    <w:p w14:paraId="11F1EE03" w14:textId="51171F8B" w:rsidR="005F3384" w:rsidRDefault="005F3384">
      <w:pPr>
        <w:pStyle w:val="FootnoteText"/>
      </w:pPr>
      <w:r>
        <w:rPr>
          <w:rStyle w:val="FootnoteReference"/>
        </w:rPr>
        <w:footnoteRef/>
      </w:r>
      <w:r>
        <w:t xml:space="preserve">  Staff Proposal at 33 citing D.16-12-036 at Ordering Paragraph 3f.</w:t>
      </w:r>
    </w:p>
  </w:footnote>
  <w:footnote w:id="114">
    <w:p w14:paraId="3AADF1B0" w14:textId="52E3F10B" w:rsidR="005F3384" w:rsidRDefault="005F3384">
      <w:pPr>
        <w:pStyle w:val="FootnoteText"/>
      </w:pPr>
      <w:r>
        <w:rPr>
          <w:rStyle w:val="FootnoteReference"/>
        </w:rPr>
        <w:footnoteRef/>
      </w:r>
      <w:r>
        <w:t xml:space="preserve">  SCE Opening Comments, October 30, 2020 at 11.</w:t>
      </w:r>
    </w:p>
  </w:footnote>
  <w:footnote w:id="115">
    <w:p w14:paraId="409A391F" w14:textId="0DA32245" w:rsidR="005F3384" w:rsidRDefault="005F3384">
      <w:pPr>
        <w:pStyle w:val="FootnoteText"/>
      </w:pPr>
      <w:r>
        <w:rPr>
          <w:rStyle w:val="FootnoteReference"/>
        </w:rPr>
        <w:footnoteRef/>
      </w:r>
      <w:r>
        <w:t xml:space="preserve">  CESA Reply Comments, November 10, 2020 at 8 citing May 11, 2020 Ruling at 77.</w:t>
      </w:r>
    </w:p>
  </w:footnote>
  <w:footnote w:id="116">
    <w:p w14:paraId="68370CEC" w14:textId="46665A6D" w:rsidR="005F3384" w:rsidRDefault="005F3384">
      <w:pPr>
        <w:pStyle w:val="FootnoteText"/>
      </w:pPr>
      <w:r>
        <w:rPr>
          <w:rStyle w:val="FootnoteReference"/>
        </w:rPr>
        <w:footnoteRef/>
      </w:r>
      <w:r>
        <w:t xml:space="preserve">  SDG&amp;E Opening Comments, October 30, 2020 at 20-21.</w:t>
      </w:r>
    </w:p>
  </w:footnote>
  <w:footnote w:id="117">
    <w:p w14:paraId="51CFCF36" w14:textId="298EBA66" w:rsidR="005F3384" w:rsidRDefault="005F3384">
      <w:pPr>
        <w:pStyle w:val="FootnoteText"/>
      </w:pPr>
      <w:r>
        <w:rPr>
          <w:rStyle w:val="FootnoteReference"/>
        </w:rPr>
        <w:footnoteRef/>
      </w:r>
      <w:r>
        <w:t xml:space="preserve">  IPE is the acronym for Independent Primary Engineer.</w:t>
      </w:r>
    </w:p>
  </w:footnote>
  <w:footnote w:id="118">
    <w:p w14:paraId="4FBA24E5" w14:textId="521719B8" w:rsidR="005F3384" w:rsidRDefault="005F3384">
      <w:pPr>
        <w:pStyle w:val="FootnoteText"/>
      </w:pPr>
      <w:r>
        <w:rPr>
          <w:rStyle w:val="FootnoteReference"/>
        </w:rPr>
        <w:footnoteRef/>
      </w:r>
      <w:r>
        <w:t xml:space="preserve">  CESA Opening Comments, October 30, 2020 at 24-25.</w:t>
      </w:r>
    </w:p>
  </w:footnote>
  <w:footnote w:id="119">
    <w:p w14:paraId="53923BBC" w14:textId="1001EC0D" w:rsidR="005F3384" w:rsidRDefault="005F3384">
      <w:pPr>
        <w:pStyle w:val="FootnoteText"/>
      </w:pPr>
      <w:r>
        <w:rPr>
          <w:rStyle w:val="FootnoteReference"/>
        </w:rPr>
        <w:footnoteRef/>
      </w:r>
      <w:r>
        <w:t xml:space="preserve">  Public Advocates Office Opening Comments, October 30, 2020 at 18-19.</w:t>
      </w:r>
    </w:p>
  </w:footnote>
  <w:footnote w:id="120">
    <w:p w14:paraId="0F783DCA" w14:textId="34C9601A" w:rsidR="005F3384" w:rsidRDefault="005F3384" w:rsidP="00830441">
      <w:pPr>
        <w:pStyle w:val="FootnoteText"/>
      </w:pPr>
      <w:r>
        <w:rPr>
          <w:rStyle w:val="FootnoteReference"/>
        </w:rPr>
        <w:footnoteRef/>
      </w:r>
      <w:r>
        <w:t xml:space="preserve">  CUE Opening Comments, October 30, 2020 at 19-20.</w:t>
      </w:r>
    </w:p>
  </w:footnote>
  <w:footnote w:id="121">
    <w:p w14:paraId="12E729A7" w14:textId="2C7893D2" w:rsidR="005F3384" w:rsidRDefault="005F3384" w:rsidP="00830441">
      <w:pPr>
        <w:pStyle w:val="FootnoteText"/>
      </w:pPr>
      <w:r>
        <w:rPr>
          <w:rStyle w:val="FootnoteReference"/>
        </w:rPr>
        <w:footnoteRef/>
      </w:r>
      <w:r>
        <w:t xml:space="preserve">  May 7, 2020 Administrative Law Judge Ruling, Attachment A at 96.</w:t>
      </w:r>
    </w:p>
  </w:footnote>
  <w:footnote w:id="122">
    <w:p w14:paraId="6F1B5B5A" w14:textId="25810AE7" w:rsidR="005F3384" w:rsidRDefault="005F3384">
      <w:pPr>
        <w:pStyle w:val="FootnoteText"/>
      </w:pPr>
      <w:r>
        <w:rPr>
          <w:rStyle w:val="FootnoteReference"/>
        </w:rPr>
        <w:footnoteRef/>
      </w:r>
      <w:r>
        <w:t xml:space="preserve">  PG&amp;E Opening Comments, October 30, 2020 at 20.</w:t>
      </w:r>
    </w:p>
  </w:footnote>
  <w:footnote w:id="123">
    <w:p w14:paraId="29D918B4" w14:textId="2D1DDA5C" w:rsidR="005F3384" w:rsidRDefault="005F3384">
      <w:pPr>
        <w:pStyle w:val="FootnoteText"/>
      </w:pPr>
      <w:r>
        <w:rPr>
          <w:rStyle w:val="FootnoteReference"/>
        </w:rPr>
        <w:footnoteRef/>
      </w:r>
      <w:r>
        <w:t xml:space="preserve">  PG&amp;E Opening Comments, October 30, 2020 at 20 and SCE Opening Comments, October 30, 2020 at 16.</w:t>
      </w:r>
    </w:p>
  </w:footnote>
  <w:footnote w:id="124">
    <w:p w14:paraId="60EC902F" w14:textId="321E6C29" w:rsidR="005F3384" w:rsidRDefault="005F3384">
      <w:pPr>
        <w:pStyle w:val="FootnoteText"/>
      </w:pPr>
      <w:r>
        <w:rPr>
          <w:rStyle w:val="FootnoteReference"/>
        </w:rPr>
        <w:footnoteRef/>
      </w:r>
      <w:r>
        <w:t xml:space="preserve">  SCE Opening Comments, October 30, 2020 at 16.</w:t>
      </w:r>
    </w:p>
  </w:footnote>
  <w:footnote w:id="125">
    <w:p w14:paraId="789CBD5B" w14:textId="6B28DDE9" w:rsidR="005F3384" w:rsidRDefault="005F3384">
      <w:pPr>
        <w:pStyle w:val="FootnoteText"/>
      </w:pPr>
      <w:r>
        <w:rPr>
          <w:rStyle w:val="FootnoteReference"/>
        </w:rPr>
        <w:footnoteRef/>
      </w:r>
      <w:r>
        <w:t xml:space="preserve"> </w:t>
      </w:r>
      <w:r w:rsidR="0053516E">
        <w:t xml:space="preserve"> </w:t>
      </w:r>
      <w:r>
        <w:t>SCE Opening Comments to Proposed Decision at 10.</w:t>
      </w:r>
    </w:p>
  </w:footnote>
  <w:footnote w:id="126">
    <w:p w14:paraId="2B08D3A1" w14:textId="3C1D8819" w:rsidR="005F3384" w:rsidRDefault="005F3384">
      <w:pPr>
        <w:pStyle w:val="FootnoteText"/>
      </w:pPr>
      <w:r>
        <w:rPr>
          <w:rStyle w:val="FootnoteReference"/>
        </w:rPr>
        <w:footnoteRef/>
      </w:r>
      <w:r>
        <w:t xml:space="preserve">  CESA Opening Comments, October 30, 2020 at 25.</w:t>
      </w:r>
    </w:p>
  </w:footnote>
  <w:footnote w:id="127">
    <w:p w14:paraId="39A02687" w14:textId="1E6E90A8" w:rsidR="005F3384" w:rsidRDefault="005F3384">
      <w:pPr>
        <w:pStyle w:val="FootnoteText"/>
      </w:pPr>
      <w:r>
        <w:rPr>
          <w:rStyle w:val="FootnoteReference"/>
        </w:rPr>
        <w:footnoteRef/>
      </w:r>
      <w:r>
        <w:t xml:space="preserve">  CESA Opening Comments, October 30, 2020 at 28-29.  </w:t>
      </w:r>
    </w:p>
  </w:footnote>
  <w:footnote w:id="128">
    <w:p w14:paraId="4F619041" w14:textId="12B04F91" w:rsidR="005F3384" w:rsidRDefault="005F3384">
      <w:pPr>
        <w:pStyle w:val="FootnoteText"/>
      </w:pPr>
      <w:r>
        <w:rPr>
          <w:rStyle w:val="FootnoteReference"/>
        </w:rPr>
        <w:footnoteRef/>
      </w:r>
      <w:r>
        <w:t xml:space="preserve">  SCE Opening Comments, October 30, 2020 at 17-18.</w:t>
      </w:r>
    </w:p>
  </w:footnote>
  <w:footnote w:id="129">
    <w:p w14:paraId="24E64600" w14:textId="10E9374C" w:rsidR="005F3384" w:rsidRDefault="005F3384">
      <w:pPr>
        <w:pStyle w:val="FootnoteText"/>
      </w:pPr>
      <w:r>
        <w:rPr>
          <w:rStyle w:val="FootnoteReference"/>
        </w:rPr>
        <w:footnoteRef/>
      </w:r>
      <w:r>
        <w:t xml:space="preserve">  </w:t>
      </w:r>
      <w:r w:rsidRPr="0011559B">
        <w:rPr>
          <w:i/>
          <w:iCs/>
        </w:rPr>
        <w:t>See</w:t>
      </w:r>
      <w:r>
        <w:t xml:space="preserve"> SCE Opening Comments, October 30, 2020 at 16-17.</w:t>
      </w:r>
    </w:p>
  </w:footnote>
  <w:footnote w:id="130">
    <w:p w14:paraId="38B88061" w14:textId="5DFB109F" w:rsidR="005F3384" w:rsidRDefault="005F3384">
      <w:pPr>
        <w:pStyle w:val="FootnoteText"/>
      </w:pPr>
      <w:r>
        <w:rPr>
          <w:rStyle w:val="FootnoteReference"/>
        </w:rPr>
        <w:footnoteRef/>
      </w:r>
      <w:r>
        <w:t xml:space="preserve">  Staff Proposal at 52.</w:t>
      </w:r>
    </w:p>
  </w:footnote>
  <w:footnote w:id="131">
    <w:p w14:paraId="10B07331" w14:textId="03B99A31" w:rsidR="005F3384" w:rsidRDefault="005F3384">
      <w:pPr>
        <w:pStyle w:val="FootnoteText"/>
      </w:pPr>
      <w:r>
        <w:rPr>
          <w:rStyle w:val="FootnoteReference"/>
        </w:rPr>
        <w:footnoteRef/>
      </w:r>
      <w:r>
        <w:t xml:space="preserve">  CESA Opening Comments, October 30, 2020 at 25.</w:t>
      </w:r>
    </w:p>
  </w:footnote>
  <w:footnote w:id="132">
    <w:p w14:paraId="77816D95" w14:textId="025CED52" w:rsidR="005F3384" w:rsidRDefault="005F3384">
      <w:pPr>
        <w:pStyle w:val="FootnoteText"/>
      </w:pPr>
      <w:r>
        <w:rPr>
          <w:rStyle w:val="FootnoteReference"/>
        </w:rPr>
        <w:footnoteRef/>
      </w:r>
      <w:r>
        <w:t xml:space="preserve">  SDG&amp;E Opening Comments, October 30, 2020 at 4.</w:t>
      </w:r>
    </w:p>
  </w:footnote>
  <w:footnote w:id="133">
    <w:p w14:paraId="3451F992" w14:textId="42091A03" w:rsidR="005F3384" w:rsidRDefault="005F3384">
      <w:pPr>
        <w:pStyle w:val="FootnoteText"/>
      </w:pPr>
      <w:r>
        <w:rPr>
          <w:rStyle w:val="FootnoteReference"/>
        </w:rPr>
        <w:footnoteRef/>
      </w:r>
      <w:r>
        <w:t xml:space="preserve">  SCE, Opening Comments, October 30, 2020 at 17.</w:t>
      </w:r>
    </w:p>
  </w:footnote>
  <w:footnote w:id="134">
    <w:p w14:paraId="345D5DC6" w14:textId="7237B9E9" w:rsidR="005F3384" w:rsidRDefault="005F3384">
      <w:pPr>
        <w:pStyle w:val="FootnoteText"/>
      </w:pPr>
      <w:r>
        <w:rPr>
          <w:rStyle w:val="FootnoteReference"/>
        </w:rPr>
        <w:footnoteRef/>
      </w:r>
      <w:r>
        <w:t xml:space="preserve">  Public Advocates Office Opening Comments, October 30, 2020 at 5.</w:t>
      </w:r>
    </w:p>
  </w:footnote>
  <w:footnote w:id="135">
    <w:p w14:paraId="519C8008" w14:textId="0615A4D8" w:rsidR="005F3384" w:rsidRDefault="005F3384">
      <w:pPr>
        <w:pStyle w:val="FootnoteText"/>
      </w:pPr>
      <w:r>
        <w:rPr>
          <w:rStyle w:val="FootnoteReference"/>
        </w:rPr>
        <w:footnoteRef/>
      </w:r>
      <w:r>
        <w:t xml:space="preserve">  CESA Opening Comments, October 30, 2020 at 26-27.</w:t>
      </w:r>
    </w:p>
  </w:footnote>
  <w:footnote w:id="136">
    <w:p w14:paraId="54973EE0" w14:textId="07619577" w:rsidR="005F3384" w:rsidRDefault="005F3384">
      <w:pPr>
        <w:pStyle w:val="FootnoteText"/>
      </w:pPr>
      <w:r>
        <w:rPr>
          <w:rStyle w:val="FootnoteReference"/>
        </w:rPr>
        <w:footnoteRef/>
      </w:r>
      <w:r>
        <w:t xml:space="preserve">  PG&amp;E Opening Comments, October 30, 2020 at 21-22.</w:t>
      </w:r>
    </w:p>
  </w:footnote>
  <w:footnote w:id="137">
    <w:p w14:paraId="5C00B9F4" w14:textId="6D3ACEA0" w:rsidR="005F3384" w:rsidRDefault="005F3384">
      <w:pPr>
        <w:pStyle w:val="FootnoteText"/>
      </w:pPr>
      <w:r>
        <w:rPr>
          <w:rStyle w:val="FootnoteReference"/>
        </w:rPr>
        <w:footnoteRef/>
      </w:r>
      <w:r>
        <w:t xml:space="preserve">  CUE Opening Comments, October 30, 2020 at 22 and SDG&amp;E Opening Comments, October 30, 2020 at 17.</w:t>
      </w:r>
    </w:p>
  </w:footnote>
  <w:footnote w:id="138">
    <w:p w14:paraId="460FED85" w14:textId="16B58775" w:rsidR="005F3384" w:rsidRDefault="005F3384">
      <w:pPr>
        <w:pStyle w:val="FootnoteText"/>
      </w:pPr>
      <w:r>
        <w:rPr>
          <w:rStyle w:val="FootnoteReference"/>
        </w:rPr>
        <w:footnoteRef/>
      </w:r>
      <w:r>
        <w:t xml:space="preserve"> </w:t>
      </w:r>
      <w:r w:rsidR="0053516E">
        <w:t xml:space="preserve"> </w:t>
      </w:r>
      <w:r>
        <w:t>PG&amp;E Opening Comments to Proposed Decision at 7.</w:t>
      </w:r>
    </w:p>
  </w:footnote>
  <w:footnote w:id="139">
    <w:p w14:paraId="7563B21A" w14:textId="05E3FE46" w:rsidR="005F3384" w:rsidRDefault="005F3384">
      <w:pPr>
        <w:pStyle w:val="FootnoteText"/>
      </w:pPr>
      <w:r>
        <w:rPr>
          <w:rStyle w:val="FootnoteReference"/>
        </w:rPr>
        <w:footnoteRef/>
      </w:r>
      <w:r>
        <w:t xml:space="preserve"> </w:t>
      </w:r>
      <w:r w:rsidR="0053516E">
        <w:t xml:space="preserve"> </w:t>
      </w:r>
      <w:r>
        <w:t>SCE Opening Comments on Proposed Decision at 10 and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6D91" w14:textId="1B01BAFB" w:rsidR="005F3384" w:rsidRDefault="005F3384" w:rsidP="00F92385">
    <w:pPr>
      <w:pStyle w:val="Header"/>
      <w:ind w:firstLine="0"/>
      <w:rPr>
        <w:i/>
        <w:color w:val="FF0000"/>
      </w:rPr>
    </w:pPr>
  </w:p>
  <w:p w14:paraId="2C6EF9E3" w14:textId="387556FA" w:rsidR="005F3384" w:rsidRDefault="005F3384" w:rsidP="00F92385">
    <w:pPr>
      <w:pStyle w:val="Header"/>
      <w:ind w:firstLine="0"/>
      <w:rPr>
        <w:i/>
        <w:color w:val="FF0000"/>
      </w:rPr>
    </w:pPr>
  </w:p>
  <w:p w14:paraId="089682AD" w14:textId="77777777" w:rsidR="005F3384" w:rsidRDefault="005F3384" w:rsidP="00F92385">
    <w:pPr>
      <w:pStyle w:val="Header"/>
      <w:ind w:firstLine="0"/>
      <w:rPr>
        <w:i/>
        <w:color w:val="FF0000"/>
      </w:rPr>
    </w:pPr>
  </w:p>
  <w:p w14:paraId="390BBCE7" w14:textId="77777777" w:rsidR="005F3384" w:rsidRDefault="005F3384"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27DA" w14:textId="45E57362" w:rsidR="005F3384" w:rsidRDefault="005F3384" w:rsidP="00EE4315">
    <w:pPr>
      <w:pStyle w:val="Header"/>
      <w:tabs>
        <w:tab w:val="clear" w:pos="4680"/>
      </w:tabs>
      <w:ind w:firstLine="0"/>
      <w:rPr>
        <w:b/>
      </w:rPr>
    </w:pPr>
    <w:r>
      <w:t>R.14-10-003 ALJ/KHY/jnf</w:t>
    </w:r>
    <w:r>
      <w:tab/>
    </w:r>
  </w:p>
  <w:p w14:paraId="323AA7BE" w14:textId="111FCFC3" w:rsidR="005F3384" w:rsidRDefault="005F3384" w:rsidP="00B3087D">
    <w:pPr>
      <w:pStyle w:val="Header"/>
      <w:tabs>
        <w:tab w:val="clear" w:pos="4680"/>
      </w:tabs>
      <w:ind w:firstLine="0"/>
      <w:rPr>
        <w:i/>
        <w:color w:val="FF0000"/>
      </w:rPr>
    </w:pPr>
  </w:p>
  <w:p w14:paraId="0C722610" w14:textId="122AEC76" w:rsidR="005F3384" w:rsidRDefault="005F3384" w:rsidP="00B3087D">
    <w:pPr>
      <w:pStyle w:val="Header"/>
      <w:tabs>
        <w:tab w:val="clear" w:pos="4680"/>
      </w:tabs>
      <w:ind w:firstLine="0"/>
      <w:rPr>
        <w:i/>
        <w:color w:val="FF0000"/>
      </w:rPr>
    </w:pPr>
  </w:p>
  <w:p w14:paraId="13BE2AA2" w14:textId="77777777" w:rsidR="005F3384" w:rsidRDefault="005F3384"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0124" w14:textId="0E884EF2" w:rsidR="005F3384" w:rsidRDefault="005F3384" w:rsidP="00EE4315">
    <w:pPr>
      <w:pStyle w:val="Header"/>
      <w:tabs>
        <w:tab w:val="clear" w:pos="4680"/>
      </w:tabs>
      <w:ind w:firstLine="0"/>
      <w:rPr>
        <w:b/>
      </w:rPr>
    </w:pPr>
    <w:r>
      <w:t>R.14-10-</w:t>
    </w:r>
    <w:proofErr w:type="gramStart"/>
    <w:r>
      <w:t>003  ALJ</w:t>
    </w:r>
    <w:proofErr w:type="gramEnd"/>
    <w:r>
      <w:t>/KHY/jnf</w:t>
    </w:r>
    <w:r>
      <w:tab/>
    </w:r>
  </w:p>
  <w:p w14:paraId="6BC6462B" w14:textId="0176526F" w:rsidR="005F3384" w:rsidRDefault="005F3384" w:rsidP="00B3087D">
    <w:pPr>
      <w:pStyle w:val="Header"/>
      <w:tabs>
        <w:tab w:val="clear" w:pos="4680"/>
      </w:tabs>
      <w:ind w:firstLine="0"/>
      <w:rPr>
        <w:i/>
        <w:color w:val="FF0000"/>
      </w:rPr>
    </w:pPr>
  </w:p>
  <w:p w14:paraId="33452E0A" w14:textId="0003F494" w:rsidR="005F3384" w:rsidRDefault="005F3384" w:rsidP="00B3087D">
    <w:pPr>
      <w:pStyle w:val="Header"/>
      <w:tabs>
        <w:tab w:val="clear" w:pos="4680"/>
      </w:tabs>
      <w:ind w:firstLine="0"/>
      <w:rPr>
        <w:i/>
        <w:color w:val="FF0000"/>
      </w:rPr>
    </w:pPr>
  </w:p>
  <w:p w14:paraId="32CA808F" w14:textId="77777777" w:rsidR="005F3384" w:rsidRDefault="005F3384" w:rsidP="00B3087D">
    <w:pPr>
      <w:pStyle w:val="Header"/>
      <w:tabs>
        <w:tab w:val="clear" w:pos="4680"/>
      </w:tabs>
      <w:ind w:firstLine="0"/>
      <w:rPr>
        <w:i/>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3669" w14:textId="1E495350" w:rsidR="005F3384" w:rsidRDefault="005F3384" w:rsidP="00EE4315">
    <w:pPr>
      <w:pStyle w:val="Header"/>
      <w:tabs>
        <w:tab w:val="clear" w:pos="4680"/>
      </w:tabs>
      <w:ind w:firstLine="0"/>
      <w:rPr>
        <w:b/>
      </w:rPr>
    </w:pPr>
    <w:r>
      <w:t>R.14-10-</w:t>
    </w:r>
    <w:proofErr w:type="gramStart"/>
    <w:r>
      <w:t>003  ALJ</w:t>
    </w:r>
    <w:proofErr w:type="gramEnd"/>
    <w:r>
      <w:t>/KHY/jnf</w:t>
    </w:r>
    <w:r>
      <w:tab/>
    </w:r>
  </w:p>
  <w:p w14:paraId="2E47038F" w14:textId="6EECDA6F" w:rsidR="005F3384" w:rsidRDefault="005F3384" w:rsidP="00B3087D">
    <w:pPr>
      <w:pStyle w:val="Header"/>
      <w:tabs>
        <w:tab w:val="clear" w:pos="4680"/>
      </w:tabs>
      <w:ind w:firstLine="0"/>
      <w:rPr>
        <w:i/>
        <w:color w:val="FF0000"/>
      </w:rPr>
    </w:pPr>
  </w:p>
  <w:p w14:paraId="0F84D774" w14:textId="764A2BD1" w:rsidR="005F3384" w:rsidRDefault="005F3384" w:rsidP="00B3087D">
    <w:pPr>
      <w:pStyle w:val="Header"/>
      <w:tabs>
        <w:tab w:val="clear" w:pos="4680"/>
      </w:tabs>
      <w:ind w:firstLine="0"/>
      <w:rPr>
        <w:i/>
        <w:color w:val="FF0000"/>
      </w:rPr>
    </w:pPr>
  </w:p>
  <w:p w14:paraId="167FF75A" w14:textId="77777777" w:rsidR="005F3384" w:rsidRDefault="005F3384"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E491E"/>
    <w:multiLevelType w:val="hybridMultilevel"/>
    <w:tmpl w:val="FE885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5F056CB"/>
    <w:multiLevelType w:val="multilevel"/>
    <w:tmpl w:val="18F4A5AC"/>
    <w:numStyleLink w:val="FoFCoLOP"/>
  </w:abstractNum>
  <w:abstractNum w:abstractNumId="4" w15:restartNumberingAfterBreak="0">
    <w:nsid w:val="16015E63"/>
    <w:multiLevelType w:val="hybridMultilevel"/>
    <w:tmpl w:val="93C44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3492B"/>
    <w:multiLevelType w:val="hybridMultilevel"/>
    <w:tmpl w:val="913E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25E10"/>
    <w:multiLevelType w:val="hybridMultilevel"/>
    <w:tmpl w:val="C7A6D68C"/>
    <w:lvl w:ilvl="0" w:tplc="C28CF5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460674"/>
    <w:multiLevelType w:val="hybridMultilevel"/>
    <w:tmpl w:val="A32EA8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285B79"/>
    <w:multiLevelType w:val="hybridMultilevel"/>
    <w:tmpl w:val="68947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F6D42"/>
    <w:multiLevelType w:val="multilevel"/>
    <w:tmpl w:val="8402D774"/>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0" w15:restartNumberingAfterBreak="0">
    <w:nsid w:val="37021823"/>
    <w:multiLevelType w:val="hybridMultilevel"/>
    <w:tmpl w:val="FE885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56A1E"/>
    <w:multiLevelType w:val="hybridMultilevel"/>
    <w:tmpl w:val="FE885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D7645"/>
    <w:multiLevelType w:val="hybridMultilevel"/>
    <w:tmpl w:val="A4E68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642E9"/>
    <w:multiLevelType w:val="multilevel"/>
    <w:tmpl w:val="0D12D098"/>
    <w:lvl w:ilvl="0">
      <w:start w:val="1"/>
      <w:numFmt w:val="lowerLetter"/>
      <w:lvlText w:val="(%1)"/>
      <w:lvlJc w:val="left"/>
      <w:pPr>
        <w:ind w:left="1440" w:hanging="360"/>
      </w:pPr>
      <w:rPr>
        <w:rFonts w:hint="default"/>
        <w:b w:val="0"/>
        <w:bCs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42A91507"/>
    <w:multiLevelType w:val="hybridMultilevel"/>
    <w:tmpl w:val="68947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3BEA"/>
    <w:multiLevelType w:val="hybridMultilevel"/>
    <w:tmpl w:val="29261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A0C67"/>
    <w:multiLevelType w:val="hybridMultilevel"/>
    <w:tmpl w:val="FE885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43A5B"/>
    <w:multiLevelType w:val="hybridMultilevel"/>
    <w:tmpl w:val="FF561CFC"/>
    <w:lvl w:ilvl="0" w:tplc="6082E5D6">
      <w:start w:val="1"/>
      <w:numFmt w:val="decimal"/>
      <w:lvlText w:val="%1."/>
      <w:lvlJc w:val="left"/>
      <w:pPr>
        <w:ind w:left="360" w:hanging="360"/>
      </w:pPr>
      <w:rPr>
        <w:rFonts w:ascii="Book Antiqua" w:eastAsiaTheme="minorHAnsi" w:hAnsi="Book Antiqua"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D042D7"/>
    <w:multiLevelType w:val="multilevel"/>
    <w:tmpl w:val="18F4A5AC"/>
    <w:numStyleLink w:val="FoFCoLOP"/>
  </w:abstractNum>
  <w:abstractNum w:abstractNumId="19" w15:restartNumberingAfterBreak="0">
    <w:nsid w:val="5A9E2171"/>
    <w:multiLevelType w:val="multilevel"/>
    <w:tmpl w:val="59A22BA2"/>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0" w15:restartNumberingAfterBreak="0">
    <w:nsid w:val="5B9F29BE"/>
    <w:multiLevelType w:val="hybridMultilevel"/>
    <w:tmpl w:val="A296D782"/>
    <w:lvl w:ilvl="0" w:tplc="C80C2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7E67A2"/>
    <w:multiLevelType w:val="hybridMultilevel"/>
    <w:tmpl w:val="545CC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50ECD"/>
    <w:multiLevelType w:val="hybridMultilevel"/>
    <w:tmpl w:val="68947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E6934"/>
    <w:multiLevelType w:val="hybridMultilevel"/>
    <w:tmpl w:val="79508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93EAD"/>
    <w:multiLevelType w:val="hybridMultilevel"/>
    <w:tmpl w:val="2B90A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931BE"/>
    <w:multiLevelType w:val="hybridMultilevel"/>
    <w:tmpl w:val="219EF910"/>
    <w:lvl w:ilvl="0" w:tplc="A27AA012">
      <w:start w:val="1"/>
      <w:numFmt w:val="bullet"/>
      <w:lvlText w:val=""/>
      <w:lvlJc w:val="left"/>
      <w:pPr>
        <w:ind w:left="720" w:hanging="360"/>
      </w:pPr>
      <w:rPr>
        <w:rFonts w:ascii="Symbol" w:hAnsi="Symbol" w:hint="default"/>
      </w:rPr>
    </w:lvl>
    <w:lvl w:ilvl="1" w:tplc="7C38D90E">
      <w:start w:val="1"/>
      <w:numFmt w:val="bullet"/>
      <w:lvlText w:val=""/>
      <w:lvlJc w:val="left"/>
      <w:pPr>
        <w:ind w:left="1440" w:hanging="360"/>
      </w:pPr>
      <w:rPr>
        <w:rFonts w:ascii="Symbol" w:hAnsi="Symbol" w:hint="default"/>
      </w:rPr>
    </w:lvl>
    <w:lvl w:ilvl="2" w:tplc="954E7FEA">
      <w:start w:val="1"/>
      <w:numFmt w:val="bullet"/>
      <w:lvlText w:val=""/>
      <w:lvlJc w:val="left"/>
      <w:pPr>
        <w:ind w:left="2160" w:hanging="360"/>
      </w:pPr>
      <w:rPr>
        <w:rFonts w:ascii="Wingdings" w:hAnsi="Wingdings" w:hint="default"/>
      </w:rPr>
    </w:lvl>
    <w:lvl w:ilvl="3" w:tplc="D10EC062">
      <w:start w:val="1"/>
      <w:numFmt w:val="bullet"/>
      <w:lvlText w:val=""/>
      <w:lvlJc w:val="left"/>
      <w:pPr>
        <w:ind w:left="2880" w:hanging="360"/>
      </w:pPr>
      <w:rPr>
        <w:rFonts w:ascii="Symbol" w:hAnsi="Symbol" w:hint="default"/>
      </w:rPr>
    </w:lvl>
    <w:lvl w:ilvl="4" w:tplc="E4E49E62">
      <w:start w:val="1"/>
      <w:numFmt w:val="bullet"/>
      <w:lvlText w:val="o"/>
      <w:lvlJc w:val="left"/>
      <w:pPr>
        <w:ind w:left="3600" w:hanging="360"/>
      </w:pPr>
      <w:rPr>
        <w:rFonts w:ascii="Courier New" w:hAnsi="Courier New" w:hint="default"/>
      </w:rPr>
    </w:lvl>
    <w:lvl w:ilvl="5" w:tplc="866C77A2">
      <w:start w:val="1"/>
      <w:numFmt w:val="bullet"/>
      <w:lvlText w:val=""/>
      <w:lvlJc w:val="left"/>
      <w:pPr>
        <w:ind w:left="4320" w:hanging="360"/>
      </w:pPr>
      <w:rPr>
        <w:rFonts w:ascii="Wingdings" w:hAnsi="Wingdings" w:hint="default"/>
      </w:rPr>
    </w:lvl>
    <w:lvl w:ilvl="6" w:tplc="F376A482">
      <w:start w:val="1"/>
      <w:numFmt w:val="bullet"/>
      <w:lvlText w:val=""/>
      <w:lvlJc w:val="left"/>
      <w:pPr>
        <w:ind w:left="5040" w:hanging="360"/>
      </w:pPr>
      <w:rPr>
        <w:rFonts w:ascii="Symbol" w:hAnsi="Symbol" w:hint="default"/>
      </w:rPr>
    </w:lvl>
    <w:lvl w:ilvl="7" w:tplc="7E785D02">
      <w:start w:val="1"/>
      <w:numFmt w:val="bullet"/>
      <w:lvlText w:val="o"/>
      <w:lvlJc w:val="left"/>
      <w:pPr>
        <w:ind w:left="5760" w:hanging="360"/>
      </w:pPr>
      <w:rPr>
        <w:rFonts w:ascii="Courier New" w:hAnsi="Courier New" w:hint="default"/>
      </w:rPr>
    </w:lvl>
    <w:lvl w:ilvl="8" w:tplc="912CEBE6">
      <w:start w:val="1"/>
      <w:numFmt w:val="bullet"/>
      <w:lvlText w:val=""/>
      <w:lvlJc w:val="left"/>
      <w:pPr>
        <w:ind w:left="6480" w:hanging="360"/>
      </w:pPr>
      <w:rPr>
        <w:rFonts w:ascii="Wingdings" w:hAnsi="Wingdings" w:hint="default"/>
      </w:rPr>
    </w:lvl>
  </w:abstractNum>
  <w:abstractNum w:abstractNumId="26" w15:restartNumberingAfterBreak="0">
    <w:nsid w:val="77541289"/>
    <w:multiLevelType w:val="multilevel"/>
    <w:tmpl w:val="813088B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9A0AFE"/>
    <w:multiLevelType w:val="multilevel"/>
    <w:tmpl w:val="18F4A5AC"/>
    <w:numStyleLink w:val="FoFCoLOP"/>
  </w:abstractNum>
  <w:abstractNum w:abstractNumId="28" w15:restartNumberingAfterBreak="0">
    <w:nsid w:val="7F652CA3"/>
    <w:multiLevelType w:val="hybridMultilevel"/>
    <w:tmpl w:val="C7A6D68C"/>
    <w:lvl w:ilvl="0" w:tplc="C28CF5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
  </w:num>
  <w:num w:numId="3">
    <w:abstractNumId w:val="18"/>
  </w:num>
  <w:num w:numId="4">
    <w:abstractNumId w:val="3"/>
  </w:num>
  <w:num w:numId="5">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6">
    <w:abstractNumId w:val="9"/>
  </w:num>
  <w:num w:numId="7">
    <w:abstractNumId w:val="0"/>
  </w:num>
  <w:num w:numId="8">
    <w:abstractNumId w:val="7"/>
  </w:num>
  <w:num w:numId="9">
    <w:abstractNumId w:val="17"/>
  </w:num>
  <w:num w:numId="10">
    <w:abstractNumId w:val="23"/>
  </w:num>
  <w:num w:numId="11">
    <w:abstractNumId w:val="12"/>
  </w:num>
  <w:num w:numId="12">
    <w:abstractNumId w:val="5"/>
  </w:num>
  <w:num w:numId="13">
    <w:abstractNumId w:val="21"/>
  </w:num>
  <w:num w:numId="14">
    <w:abstractNumId w:val="15"/>
  </w:num>
  <w:num w:numId="15">
    <w:abstractNumId w:val="24"/>
  </w:num>
  <w:num w:numId="16">
    <w:abstractNumId w:val="1"/>
  </w:num>
  <w:num w:numId="17">
    <w:abstractNumId w:val="2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11"/>
  </w:num>
  <w:num w:numId="22">
    <w:abstractNumId w:val="14"/>
  </w:num>
  <w:num w:numId="23">
    <w:abstractNumId w:val="16"/>
  </w:num>
  <w:num w:numId="24">
    <w:abstractNumId w:val="6"/>
  </w:num>
  <w:num w:numId="25">
    <w:abstractNumId w:val="20"/>
  </w:num>
  <w:num w:numId="26">
    <w:abstractNumId w:val="28"/>
  </w:num>
  <w:num w:numId="27">
    <w:abstractNumId w:val="13"/>
  </w:num>
  <w:num w:numId="28">
    <w:abstractNumId w:val="4"/>
  </w:num>
  <w:num w:numId="29">
    <w:abstractNumId w:val="26"/>
  </w:num>
  <w:num w:numId="30">
    <w:abstractNumId w:val="25"/>
  </w:num>
  <w:num w:numId="31">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32">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33">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34">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35">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36">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37">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38">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39">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40">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41">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42">
    <w:abstractNumId w:val="27"/>
    <w:lvlOverride w:ilvl="0">
      <w:lvl w:ilvl="0">
        <w:start w:val="1"/>
        <w:numFmt w:val="decimal"/>
        <w:pStyle w:val="OP"/>
        <w:lvlText w:val="%1."/>
        <w:lvlJc w:val="right"/>
        <w:pPr>
          <w:ind w:left="0" w:firstLine="540"/>
        </w:pPr>
        <w:rPr>
          <w:rFonts w:hint="default"/>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EE"/>
    <w:rsid w:val="00000F6A"/>
    <w:rsid w:val="00004FAA"/>
    <w:rsid w:val="000112BA"/>
    <w:rsid w:val="00011F37"/>
    <w:rsid w:val="0001258E"/>
    <w:rsid w:val="00023B1B"/>
    <w:rsid w:val="000256C8"/>
    <w:rsid w:val="00027DEC"/>
    <w:rsid w:val="00033929"/>
    <w:rsid w:val="00040531"/>
    <w:rsid w:val="000458DE"/>
    <w:rsid w:val="0005048E"/>
    <w:rsid w:val="0005596F"/>
    <w:rsid w:val="000569C7"/>
    <w:rsid w:val="00056B7C"/>
    <w:rsid w:val="000600C3"/>
    <w:rsid w:val="00061E40"/>
    <w:rsid w:val="00067ED8"/>
    <w:rsid w:val="0007115A"/>
    <w:rsid w:val="0007177D"/>
    <w:rsid w:val="000725B3"/>
    <w:rsid w:val="000749A0"/>
    <w:rsid w:val="00075BCF"/>
    <w:rsid w:val="0007624A"/>
    <w:rsid w:val="000851F1"/>
    <w:rsid w:val="0008621C"/>
    <w:rsid w:val="000870B5"/>
    <w:rsid w:val="000911A8"/>
    <w:rsid w:val="000932EC"/>
    <w:rsid w:val="000948E0"/>
    <w:rsid w:val="000973C8"/>
    <w:rsid w:val="00097CC8"/>
    <w:rsid w:val="000A1E16"/>
    <w:rsid w:val="000A2AA9"/>
    <w:rsid w:val="000A56F2"/>
    <w:rsid w:val="000A65CF"/>
    <w:rsid w:val="000A6E05"/>
    <w:rsid w:val="000A6FFA"/>
    <w:rsid w:val="000B12FA"/>
    <w:rsid w:val="000B57BC"/>
    <w:rsid w:val="000C08BF"/>
    <w:rsid w:val="000C3B9A"/>
    <w:rsid w:val="000D122A"/>
    <w:rsid w:val="000D2086"/>
    <w:rsid w:val="000D25A8"/>
    <w:rsid w:val="000D7F13"/>
    <w:rsid w:val="000E1602"/>
    <w:rsid w:val="000E270A"/>
    <w:rsid w:val="000E4B33"/>
    <w:rsid w:val="000E4C53"/>
    <w:rsid w:val="000E4F4D"/>
    <w:rsid w:val="000E646F"/>
    <w:rsid w:val="000F3691"/>
    <w:rsid w:val="000F51AF"/>
    <w:rsid w:val="001001E8"/>
    <w:rsid w:val="001020DA"/>
    <w:rsid w:val="00102EBE"/>
    <w:rsid w:val="00103376"/>
    <w:rsid w:val="00105F30"/>
    <w:rsid w:val="00106B77"/>
    <w:rsid w:val="001075B3"/>
    <w:rsid w:val="00111446"/>
    <w:rsid w:val="00114C30"/>
    <w:rsid w:val="0011559B"/>
    <w:rsid w:val="00116E45"/>
    <w:rsid w:val="00121089"/>
    <w:rsid w:val="00121913"/>
    <w:rsid w:val="00123B34"/>
    <w:rsid w:val="00127386"/>
    <w:rsid w:val="00131C5B"/>
    <w:rsid w:val="001367FF"/>
    <w:rsid w:val="00137CA3"/>
    <w:rsid w:val="00140B59"/>
    <w:rsid w:val="00141CCA"/>
    <w:rsid w:val="0014348A"/>
    <w:rsid w:val="001439F5"/>
    <w:rsid w:val="0014406E"/>
    <w:rsid w:val="00145C02"/>
    <w:rsid w:val="00150021"/>
    <w:rsid w:val="00160F73"/>
    <w:rsid w:val="00166C9E"/>
    <w:rsid w:val="001714E2"/>
    <w:rsid w:val="001729DE"/>
    <w:rsid w:val="00174D6A"/>
    <w:rsid w:val="0018271A"/>
    <w:rsid w:val="001859D3"/>
    <w:rsid w:val="00190A90"/>
    <w:rsid w:val="0019426F"/>
    <w:rsid w:val="00194BCC"/>
    <w:rsid w:val="001969A3"/>
    <w:rsid w:val="00196C56"/>
    <w:rsid w:val="001A26C7"/>
    <w:rsid w:val="001A56FD"/>
    <w:rsid w:val="001C0A7D"/>
    <w:rsid w:val="001C1556"/>
    <w:rsid w:val="001C363F"/>
    <w:rsid w:val="001D106C"/>
    <w:rsid w:val="001D196E"/>
    <w:rsid w:val="001D279D"/>
    <w:rsid w:val="001D4E1F"/>
    <w:rsid w:val="001E1A00"/>
    <w:rsid w:val="001E2A62"/>
    <w:rsid w:val="001F2819"/>
    <w:rsid w:val="0020069D"/>
    <w:rsid w:val="00200A06"/>
    <w:rsid w:val="00201127"/>
    <w:rsid w:val="0020201C"/>
    <w:rsid w:val="002043EC"/>
    <w:rsid w:val="00205051"/>
    <w:rsid w:val="00205909"/>
    <w:rsid w:val="0020747C"/>
    <w:rsid w:val="00210B21"/>
    <w:rsid w:val="0021294B"/>
    <w:rsid w:val="00213A28"/>
    <w:rsid w:val="002161A0"/>
    <w:rsid w:val="0021708E"/>
    <w:rsid w:val="00231A27"/>
    <w:rsid w:val="002342F9"/>
    <w:rsid w:val="002348D4"/>
    <w:rsid w:val="00243DC0"/>
    <w:rsid w:val="00244DCD"/>
    <w:rsid w:val="00247477"/>
    <w:rsid w:val="00252266"/>
    <w:rsid w:val="00256556"/>
    <w:rsid w:val="00263179"/>
    <w:rsid w:val="00263712"/>
    <w:rsid w:val="00265FDD"/>
    <w:rsid w:val="00267CFC"/>
    <w:rsid w:val="00270440"/>
    <w:rsid w:val="0027334E"/>
    <w:rsid w:val="00275BB6"/>
    <w:rsid w:val="00276449"/>
    <w:rsid w:val="00286235"/>
    <w:rsid w:val="00287BC5"/>
    <w:rsid w:val="00291E6A"/>
    <w:rsid w:val="0029225C"/>
    <w:rsid w:val="00293DEE"/>
    <w:rsid w:val="002A0B5D"/>
    <w:rsid w:val="002A1FB2"/>
    <w:rsid w:val="002A2709"/>
    <w:rsid w:val="002A3888"/>
    <w:rsid w:val="002A771C"/>
    <w:rsid w:val="002B0EAD"/>
    <w:rsid w:val="002C1496"/>
    <w:rsid w:val="002C7FE9"/>
    <w:rsid w:val="002D0DC5"/>
    <w:rsid w:val="002D2D23"/>
    <w:rsid w:val="002D43C6"/>
    <w:rsid w:val="002D4EFD"/>
    <w:rsid w:val="002E0C70"/>
    <w:rsid w:val="002E46DC"/>
    <w:rsid w:val="002E6058"/>
    <w:rsid w:val="002E756D"/>
    <w:rsid w:val="002F20B2"/>
    <w:rsid w:val="0030591A"/>
    <w:rsid w:val="00315588"/>
    <w:rsid w:val="00316071"/>
    <w:rsid w:val="00321772"/>
    <w:rsid w:val="0032189A"/>
    <w:rsid w:val="00324575"/>
    <w:rsid w:val="00326AEA"/>
    <w:rsid w:val="00332930"/>
    <w:rsid w:val="003349DC"/>
    <w:rsid w:val="0033503E"/>
    <w:rsid w:val="003415BF"/>
    <w:rsid w:val="00343E5C"/>
    <w:rsid w:val="00344FB8"/>
    <w:rsid w:val="00352765"/>
    <w:rsid w:val="003551AC"/>
    <w:rsid w:val="0036017B"/>
    <w:rsid w:val="0036086E"/>
    <w:rsid w:val="003610D0"/>
    <w:rsid w:val="00362755"/>
    <w:rsid w:val="003675FA"/>
    <w:rsid w:val="00373B93"/>
    <w:rsid w:val="00380CD1"/>
    <w:rsid w:val="00380ED7"/>
    <w:rsid w:val="00383256"/>
    <w:rsid w:val="003916F4"/>
    <w:rsid w:val="003940E8"/>
    <w:rsid w:val="003961EB"/>
    <w:rsid w:val="00396D43"/>
    <w:rsid w:val="003A38F0"/>
    <w:rsid w:val="003A63C0"/>
    <w:rsid w:val="003B2D2F"/>
    <w:rsid w:val="003B3C1B"/>
    <w:rsid w:val="003B4886"/>
    <w:rsid w:val="003B4E26"/>
    <w:rsid w:val="003B5917"/>
    <w:rsid w:val="003B6F74"/>
    <w:rsid w:val="003C6EF6"/>
    <w:rsid w:val="003D3897"/>
    <w:rsid w:val="003D59C6"/>
    <w:rsid w:val="003E61A9"/>
    <w:rsid w:val="003E77CD"/>
    <w:rsid w:val="003F069A"/>
    <w:rsid w:val="003F4329"/>
    <w:rsid w:val="003F6B92"/>
    <w:rsid w:val="00400791"/>
    <w:rsid w:val="00400AE0"/>
    <w:rsid w:val="0040523A"/>
    <w:rsid w:val="00412209"/>
    <w:rsid w:val="00412534"/>
    <w:rsid w:val="00412C83"/>
    <w:rsid w:val="004232C9"/>
    <w:rsid w:val="00423529"/>
    <w:rsid w:val="00426014"/>
    <w:rsid w:val="00426D83"/>
    <w:rsid w:val="00427A61"/>
    <w:rsid w:val="00430C91"/>
    <w:rsid w:val="004337B9"/>
    <w:rsid w:val="00444663"/>
    <w:rsid w:val="004560D8"/>
    <w:rsid w:val="004574B8"/>
    <w:rsid w:val="00460B7D"/>
    <w:rsid w:val="0046128E"/>
    <w:rsid w:val="00470695"/>
    <w:rsid w:val="004738B0"/>
    <w:rsid w:val="00480CB0"/>
    <w:rsid w:val="004821FC"/>
    <w:rsid w:val="0048496F"/>
    <w:rsid w:val="00492989"/>
    <w:rsid w:val="00495D08"/>
    <w:rsid w:val="00497214"/>
    <w:rsid w:val="00497755"/>
    <w:rsid w:val="004A2BC4"/>
    <w:rsid w:val="004A6EEA"/>
    <w:rsid w:val="004B34EA"/>
    <w:rsid w:val="004B5494"/>
    <w:rsid w:val="004C114A"/>
    <w:rsid w:val="004C7A2B"/>
    <w:rsid w:val="004C7D3A"/>
    <w:rsid w:val="004D278A"/>
    <w:rsid w:val="004D7139"/>
    <w:rsid w:val="004E07D5"/>
    <w:rsid w:val="004E3910"/>
    <w:rsid w:val="004E47DA"/>
    <w:rsid w:val="004E6614"/>
    <w:rsid w:val="004E7E62"/>
    <w:rsid w:val="004F2A89"/>
    <w:rsid w:val="004F533B"/>
    <w:rsid w:val="004F5E2C"/>
    <w:rsid w:val="005018A8"/>
    <w:rsid w:val="005018DC"/>
    <w:rsid w:val="00505A39"/>
    <w:rsid w:val="00506FDA"/>
    <w:rsid w:val="00510D8B"/>
    <w:rsid w:val="0051155A"/>
    <w:rsid w:val="00512A30"/>
    <w:rsid w:val="0051357D"/>
    <w:rsid w:val="0051522C"/>
    <w:rsid w:val="005219EC"/>
    <w:rsid w:val="005240BF"/>
    <w:rsid w:val="00525540"/>
    <w:rsid w:val="00527341"/>
    <w:rsid w:val="0053261C"/>
    <w:rsid w:val="00532BAD"/>
    <w:rsid w:val="0053313C"/>
    <w:rsid w:val="00535072"/>
    <w:rsid w:val="0053516E"/>
    <w:rsid w:val="00542DC9"/>
    <w:rsid w:val="005521BF"/>
    <w:rsid w:val="005553E2"/>
    <w:rsid w:val="005617B9"/>
    <w:rsid w:val="00564869"/>
    <w:rsid w:val="00564CC1"/>
    <w:rsid w:val="00567346"/>
    <w:rsid w:val="00572111"/>
    <w:rsid w:val="0057232D"/>
    <w:rsid w:val="00572FC6"/>
    <w:rsid w:val="005735ED"/>
    <w:rsid w:val="005845DB"/>
    <w:rsid w:val="00585390"/>
    <w:rsid w:val="00586FA1"/>
    <w:rsid w:val="00593178"/>
    <w:rsid w:val="005939A5"/>
    <w:rsid w:val="00595A30"/>
    <w:rsid w:val="00595EB3"/>
    <w:rsid w:val="00596B36"/>
    <w:rsid w:val="00597F02"/>
    <w:rsid w:val="005A148C"/>
    <w:rsid w:val="005A24F6"/>
    <w:rsid w:val="005A3223"/>
    <w:rsid w:val="005A4947"/>
    <w:rsid w:val="005A7DA0"/>
    <w:rsid w:val="005B06F8"/>
    <w:rsid w:val="005B2ABE"/>
    <w:rsid w:val="005B3AF0"/>
    <w:rsid w:val="005C3BE8"/>
    <w:rsid w:val="005E128C"/>
    <w:rsid w:val="005E4C2A"/>
    <w:rsid w:val="005F1B9A"/>
    <w:rsid w:val="005F3258"/>
    <w:rsid w:val="005F3384"/>
    <w:rsid w:val="005F6FEE"/>
    <w:rsid w:val="006010B0"/>
    <w:rsid w:val="00601E97"/>
    <w:rsid w:val="00604955"/>
    <w:rsid w:val="0061268C"/>
    <w:rsid w:val="006150EE"/>
    <w:rsid w:val="00621B11"/>
    <w:rsid w:val="00623794"/>
    <w:rsid w:val="00632207"/>
    <w:rsid w:val="006323D4"/>
    <w:rsid w:val="00632702"/>
    <w:rsid w:val="00634298"/>
    <w:rsid w:val="0063491C"/>
    <w:rsid w:val="00635EEB"/>
    <w:rsid w:val="0063625B"/>
    <w:rsid w:val="006363CD"/>
    <w:rsid w:val="00641270"/>
    <w:rsid w:val="00644DEE"/>
    <w:rsid w:val="0064574B"/>
    <w:rsid w:val="00645F40"/>
    <w:rsid w:val="00652BF7"/>
    <w:rsid w:val="00652DE4"/>
    <w:rsid w:val="00661AFE"/>
    <w:rsid w:val="00664D4D"/>
    <w:rsid w:val="00671451"/>
    <w:rsid w:val="006758F5"/>
    <w:rsid w:val="00680520"/>
    <w:rsid w:val="006834B6"/>
    <w:rsid w:val="00683EA5"/>
    <w:rsid w:val="00696B86"/>
    <w:rsid w:val="006A222D"/>
    <w:rsid w:val="006A79AB"/>
    <w:rsid w:val="006A7C8C"/>
    <w:rsid w:val="006B3094"/>
    <w:rsid w:val="006B7704"/>
    <w:rsid w:val="006C1F10"/>
    <w:rsid w:val="006C4C5B"/>
    <w:rsid w:val="006D0E8A"/>
    <w:rsid w:val="006D45DD"/>
    <w:rsid w:val="006E115E"/>
    <w:rsid w:val="006E4DEC"/>
    <w:rsid w:val="006E52BC"/>
    <w:rsid w:val="006E5E28"/>
    <w:rsid w:val="006E647E"/>
    <w:rsid w:val="006E6574"/>
    <w:rsid w:val="006F0FEC"/>
    <w:rsid w:val="006F6750"/>
    <w:rsid w:val="00700EDA"/>
    <w:rsid w:val="00701D5B"/>
    <w:rsid w:val="00702628"/>
    <w:rsid w:val="007045B6"/>
    <w:rsid w:val="00710264"/>
    <w:rsid w:val="0071254A"/>
    <w:rsid w:val="00714CF2"/>
    <w:rsid w:val="007156B9"/>
    <w:rsid w:val="00720006"/>
    <w:rsid w:val="00720817"/>
    <w:rsid w:val="00722830"/>
    <w:rsid w:val="00722850"/>
    <w:rsid w:val="00732513"/>
    <w:rsid w:val="00732516"/>
    <w:rsid w:val="0073353F"/>
    <w:rsid w:val="00735A91"/>
    <w:rsid w:val="00742E45"/>
    <w:rsid w:val="007447AF"/>
    <w:rsid w:val="00750816"/>
    <w:rsid w:val="0075092D"/>
    <w:rsid w:val="00751109"/>
    <w:rsid w:val="00756891"/>
    <w:rsid w:val="0075731A"/>
    <w:rsid w:val="0076054D"/>
    <w:rsid w:val="00762A61"/>
    <w:rsid w:val="007657C1"/>
    <w:rsid w:val="007768C4"/>
    <w:rsid w:val="00776EC7"/>
    <w:rsid w:val="0077755F"/>
    <w:rsid w:val="0078422F"/>
    <w:rsid w:val="00786E14"/>
    <w:rsid w:val="00792378"/>
    <w:rsid w:val="00793A2A"/>
    <w:rsid w:val="007960D6"/>
    <w:rsid w:val="007A3342"/>
    <w:rsid w:val="007A406D"/>
    <w:rsid w:val="007A578B"/>
    <w:rsid w:val="007A62B0"/>
    <w:rsid w:val="007B3216"/>
    <w:rsid w:val="007B5C29"/>
    <w:rsid w:val="007B6E13"/>
    <w:rsid w:val="007C381C"/>
    <w:rsid w:val="007C52E1"/>
    <w:rsid w:val="007C5A0C"/>
    <w:rsid w:val="007C6914"/>
    <w:rsid w:val="007D2720"/>
    <w:rsid w:val="007D2EE5"/>
    <w:rsid w:val="007D4847"/>
    <w:rsid w:val="007E0193"/>
    <w:rsid w:val="007E0FEE"/>
    <w:rsid w:val="007E1A32"/>
    <w:rsid w:val="007E1C81"/>
    <w:rsid w:val="007E7208"/>
    <w:rsid w:val="007F2017"/>
    <w:rsid w:val="007F2A17"/>
    <w:rsid w:val="007F35A9"/>
    <w:rsid w:val="007F6BFB"/>
    <w:rsid w:val="00800B7A"/>
    <w:rsid w:val="00804F60"/>
    <w:rsid w:val="008167F1"/>
    <w:rsid w:val="00816E05"/>
    <w:rsid w:val="00830441"/>
    <w:rsid w:val="008339BB"/>
    <w:rsid w:val="0083618B"/>
    <w:rsid w:val="00845FFD"/>
    <w:rsid w:val="008516BB"/>
    <w:rsid w:val="008602F1"/>
    <w:rsid w:val="0086419A"/>
    <w:rsid w:val="008642D4"/>
    <w:rsid w:val="00867DDE"/>
    <w:rsid w:val="0087023B"/>
    <w:rsid w:val="00870601"/>
    <w:rsid w:val="00871F6A"/>
    <w:rsid w:val="00877B17"/>
    <w:rsid w:val="00895A24"/>
    <w:rsid w:val="00895C7F"/>
    <w:rsid w:val="008A12BB"/>
    <w:rsid w:val="008A179F"/>
    <w:rsid w:val="008B0864"/>
    <w:rsid w:val="008B3E3C"/>
    <w:rsid w:val="008B7CE3"/>
    <w:rsid w:val="008C0C46"/>
    <w:rsid w:val="008C42F5"/>
    <w:rsid w:val="008C69D9"/>
    <w:rsid w:val="008C7413"/>
    <w:rsid w:val="008D16B7"/>
    <w:rsid w:val="008D4B9F"/>
    <w:rsid w:val="008E293F"/>
    <w:rsid w:val="008E5A25"/>
    <w:rsid w:val="008E6AE6"/>
    <w:rsid w:val="008F0116"/>
    <w:rsid w:val="008F143D"/>
    <w:rsid w:val="008F37CC"/>
    <w:rsid w:val="008F6CF2"/>
    <w:rsid w:val="00901B6D"/>
    <w:rsid w:val="009022CA"/>
    <w:rsid w:val="00904B18"/>
    <w:rsid w:val="009065F7"/>
    <w:rsid w:val="00907DE4"/>
    <w:rsid w:val="009151AE"/>
    <w:rsid w:val="009159D6"/>
    <w:rsid w:val="0091692B"/>
    <w:rsid w:val="009175E0"/>
    <w:rsid w:val="00920732"/>
    <w:rsid w:val="00920BAB"/>
    <w:rsid w:val="009212F5"/>
    <w:rsid w:val="009262B7"/>
    <w:rsid w:val="00932865"/>
    <w:rsid w:val="00932F85"/>
    <w:rsid w:val="00936D2A"/>
    <w:rsid w:val="009430F7"/>
    <w:rsid w:val="00950A78"/>
    <w:rsid w:val="00951422"/>
    <w:rsid w:val="00954D1B"/>
    <w:rsid w:val="0095633A"/>
    <w:rsid w:val="00961D13"/>
    <w:rsid w:val="00967894"/>
    <w:rsid w:val="00967940"/>
    <w:rsid w:val="00970150"/>
    <w:rsid w:val="0097114D"/>
    <w:rsid w:val="00971863"/>
    <w:rsid w:val="0098138E"/>
    <w:rsid w:val="0098540D"/>
    <w:rsid w:val="0098655A"/>
    <w:rsid w:val="00991EAD"/>
    <w:rsid w:val="00991F1B"/>
    <w:rsid w:val="009B1D76"/>
    <w:rsid w:val="009B578B"/>
    <w:rsid w:val="009B7CCA"/>
    <w:rsid w:val="009B7D09"/>
    <w:rsid w:val="009C668C"/>
    <w:rsid w:val="009D30DC"/>
    <w:rsid w:val="009D4568"/>
    <w:rsid w:val="009E3647"/>
    <w:rsid w:val="009E3EA3"/>
    <w:rsid w:val="009E7C7F"/>
    <w:rsid w:val="009F063E"/>
    <w:rsid w:val="009F646D"/>
    <w:rsid w:val="00A000B3"/>
    <w:rsid w:val="00A0362E"/>
    <w:rsid w:val="00A0399B"/>
    <w:rsid w:val="00A10002"/>
    <w:rsid w:val="00A172CF"/>
    <w:rsid w:val="00A17B4A"/>
    <w:rsid w:val="00A17CE0"/>
    <w:rsid w:val="00A23D48"/>
    <w:rsid w:val="00A24372"/>
    <w:rsid w:val="00A3196A"/>
    <w:rsid w:val="00A33F00"/>
    <w:rsid w:val="00A41DD2"/>
    <w:rsid w:val="00A42306"/>
    <w:rsid w:val="00A44E8D"/>
    <w:rsid w:val="00A47771"/>
    <w:rsid w:val="00A478D5"/>
    <w:rsid w:val="00A552FD"/>
    <w:rsid w:val="00A55ACD"/>
    <w:rsid w:val="00A55EA1"/>
    <w:rsid w:val="00A74157"/>
    <w:rsid w:val="00A76D02"/>
    <w:rsid w:val="00A77181"/>
    <w:rsid w:val="00A81570"/>
    <w:rsid w:val="00A8279C"/>
    <w:rsid w:val="00A86FED"/>
    <w:rsid w:val="00A872AE"/>
    <w:rsid w:val="00A907AC"/>
    <w:rsid w:val="00A92BF8"/>
    <w:rsid w:val="00A931D2"/>
    <w:rsid w:val="00A933A0"/>
    <w:rsid w:val="00A948C0"/>
    <w:rsid w:val="00A95C1A"/>
    <w:rsid w:val="00AA25AE"/>
    <w:rsid w:val="00AA53B1"/>
    <w:rsid w:val="00AB2D39"/>
    <w:rsid w:val="00AB4692"/>
    <w:rsid w:val="00AB7875"/>
    <w:rsid w:val="00AC1310"/>
    <w:rsid w:val="00AC1C36"/>
    <w:rsid w:val="00AC44E2"/>
    <w:rsid w:val="00AC52C9"/>
    <w:rsid w:val="00AC5554"/>
    <w:rsid w:val="00AC68EE"/>
    <w:rsid w:val="00AD2C6C"/>
    <w:rsid w:val="00AD2D64"/>
    <w:rsid w:val="00AD4AFF"/>
    <w:rsid w:val="00AD4DC6"/>
    <w:rsid w:val="00AE1AAB"/>
    <w:rsid w:val="00AE2A69"/>
    <w:rsid w:val="00AF14B3"/>
    <w:rsid w:val="00AF1793"/>
    <w:rsid w:val="00AF2DD4"/>
    <w:rsid w:val="00AF4C64"/>
    <w:rsid w:val="00AF778F"/>
    <w:rsid w:val="00B01F7E"/>
    <w:rsid w:val="00B06825"/>
    <w:rsid w:val="00B21313"/>
    <w:rsid w:val="00B2441E"/>
    <w:rsid w:val="00B24EC8"/>
    <w:rsid w:val="00B3087D"/>
    <w:rsid w:val="00B313EB"/>
    <w:rsid w:val="00B34794"/>
    <w:rsid w:val="00B36481"/>
    <w:rsid w:val="00B36BE9"/>
    <w:rsid w:val="00B4424E"/>
    <w:rsid w:val="00B46219"/>
    <w:rsid w:val="00B46D58"/>
    <w:rsid w:val="00B566A1"/>
    <w:rsid w:val="00B60421"/>
    <w:rsid w:val="00B634C8"/>
    <w:rsid w:val="00B64735"/>
    <w:rsid w:val="00B74C3A"/>
    <w:rsid w:val="00B75737"/>
    <w:rsid w:val="00B75903"/>
    <w:rsid w:val="00B77CC5"/>
    <w:rsid w:val="00B8290B"/>
    <w:rsid w:val="00B82CFD"/>
    <w:rsid w:val="00B83303"/>
    <w:rsid w:val="00B84EE0"/>
    <w:rsid w:val="00B91323"/>
    <w:rsid w:val="00BA54F6"/>
    <w:rsid w:val="00BA5720"/>
    <w:rsid w:val="00BB0243"/>
    <w:rsid w:val="00BB1B50"/>
    <w:rsid w:val="00BB1DDC"/>
    <w:rsid w:val="00BC6932"/>
    <w:rsid w:val="00BD5652"/>
    <w:rsid w:val="00BE1F49"/>
    <w:rsid w:val="00BE6468"/>
    <w:rsid w:val="00BF1D89"/>
    <w:rsid w:val="00C015DE"/>
    <w:rsid w:val="00C05145"/>
    <w:rsid w:val="00C062C9"/>
    <w:rsid w:val="00C10B5F"/>
    <w:rsid w:val="00C129D9"/>
    <w:rsid w:val="00C130BD"/>
    <w:rsid w:val="00C174E4"/>
    <w:rsid w:val="00C22C79"/>
    <w:rsid w:val="00C22CBC"/>
    <w:rsid w:val="00C22FEB"/>
    <w:rsid w:val="00C233EE"/>
    <w:rsid w:val="00C31F98"/>
    <w:rsid w:val="00C42CF9"/>
    <w:rsid w:val="00C44DC2"/>
    <w:rsid w:val="00C4730C"/>
    <w:rsid w:val="00C519E5"/>
    <w:rsid w:val="00C567A2"/>
    <w:rsid w:val="00C56911"/>
    <w:rsid w:val="00C57769"/>
    <w:rsid w:val="00C60396"/>
    <w:rsid w:val="00C66645"/>
    <w:rsid w:val="00C705A8"/>
    <w:rsid w:val="00C83265"/>
    <w:rsid w:val="00C913A1"/>
    <w:rsid w:val="00CA6FCE"/>
    <w:rsid w:val="00CA7C6C"/>
    <w:rsid w:val="00CB0E83"/>
    <w:rsid w:val="00CB1F4A"/>
    <w:rsid w:val="00CB3755"/>
    <w:rsid w:val="00CC6A99"/>
    <w:rsid w:val="00CE2FA7"/>
    <w:rsid w:val="00CE5BCC"/>
    <w:rsid w:val="00CF4D68"/>
    <w:rsid w:val="00CF5FC0"/>
    <w:rsid w:val="00CF76E4"/>
    <w:rsid w:val="00D00AA3"/>
    <w:rsid w:val="00D04075"/>
    <w:rsid w:val="00D04ACB"/>
    <w:rsid w:val="00D07F73"/>
    <w:rsid w:val="00D1028F"/>
    <w:rsid w:val="00D10C97"/>
    <w:rsid w:val="00D14844"/>
    <w:rsid w:val="00D2041C"/>
    <w:rsid w:val="00D22193"/>
    <w:rsid w:val="00D25ADE"/>
    <w:rsid w:val="00D27BE1"/>
    <w:rsid w:val="00D30632"/>
    <w:rsid w:val="00D31287"/>
    <w:rsid w:val="00D3571E"/>
    <w:rsid w:val="00D3606C"/>
    <w:rsid w:val="00D41B43"/>
    <w:rsid w:val="00D43297"/>
    <w:rsid w:val="00D44D30"/>
    <w:rsid w:val="00D44DB6"/>
    <w:rsid w:val="00D46C4F"/>
    <w:rsid w:val="00D50119"/>
    <w:rsid w:val="00D57EA5"/>
    <w:rsid w:val="00D6116A"/>
    <w:rsid w:val="00D6127B"/>
    <w:rsid w:val="00D61F1B"/>
    <w:rsid w:val="00D624B7"/>
    <w:rsid w:val="00D63E4F"/>
    <w:rsid w:val="00D668B7"/>
    <w:rsid w:val="00D66B1F"/>
    <w:rsid w:val="00D758A3"/>
    <w:rsid w:val="00D77A39"/>
    <w:rsid w:val="00D81B7C"/>
    <w:rsid w:val="00D82A43"/>
    <w:rsid w:val="00D858B3"/>
    <w:rsid w:val="00D86C07"/>
    <w:rsid w:val="00D96AED"/>
    <w:rsid w:val="00DA2469"/>
    <w:rsid w:val="00DA3D4F"/>
    <w:rsid w:val="00DA4AB2"/>
    <w:rsid w:val="00DA4E1D"/>
    <w:rsid w:val="00DA7630"/>
    <w:rsid w:val="00DA7B5D"/>
    <w:rsid w:val="00DB144E"/>
    <w:rsid w:val="00DB7B94"/>
    <w:rsid w:val="00DC33DA"/>
    <w:rsid w:val="00DC51C4"/>
    <w:rsid w:val="00DC79B2"/>
    <w:rsid w:val="00DD265B"/>
    <w:rsid w:val="00DD438B"/>
    <w:rsid w:val="00DD55F1"/>
    <w:rsid w:val="00DD7ACD"/>
    <w:rsid w:val="00DE4806"/>
    <w:rsid w:val="00DE5025"/>
    <w:rsid w:val="00DF10FC"/>
    <w:rsid w:val="00DF58E7"/>
    <w:rsid w:val="00E0137C"/>
    <w:rsid w:val="00E029C0"/>
    <w:rsid w:val="00E064B0"/>
    <w:rsid w:val="00E11876"/>
    <w:rsid w:val="00E128CF"/>
    <w:rsid w:val="00E15FF7"/>
    <w:rsid w:val="00E1670B"/>
    <w:rsid w:val="00E202E6"/>
    <w:rsid w:val="00E20F79"/>
    <w:rsid w:val="00E23932"/>
    <w:rsid w:val="00E23CBB"/>
    <w:rsid w:val="00E254FE"/>
    <w:rsid w:val="00E258B9"/>
    <w:rsid w:val="00E371C7"/>
    <w:rsid w:val="00E3748D"/>
    <w:rsid w:val="00E37B59"/>
    <w:rsid w:val="00E432E7"/>
    <w:rsid w:val="00E46160"/>
    <w:rsid w:val="00E53438"/>
    <w:rsid w:val="00E64513"/>
    <w:rsid w:val="00E70812"/>
    <w:rsid w:val="00E725FC"/>
    <w:rsid w:val="00E81B09"/>
    <w:rsid w:val="00E87936"/>
    <w:rsid w:val="00E90A50"/>
    <w:rsid w:val="00E960A7"/>
    <w:rsid w:val="00E97DF2"/>
    <w:rsid w:val="00EA36C6"/>
    <w:rsid w:val="00EA406D"/>
    <w:rsid w:val="00EA6F33"/>
    <w:rsid w:val="00EB4CA2"/>
    <w:rsid w:val="00EC2FD7"/>
    <w:rsid w:val="00EC30F9"/>
    <w:rsid w:val="00ED142F"/>
    <w:rsid w:val="00ED5725"/>
    <w:rsid w:val="00ED7031"/>
    <w:rsid w:val="00EE19B8"/>
    <w:rsid w:val="00EE3060"/>
    <w:rsid w:val="00EE3F01"/>
    <w:rsid w:val="00EE4315"/>
    <w:rsid w:val="00EE4678"/>
    <w:rsid w:val="00EF0C3E"/>
    <w:rsid w:val="00EF0F98"/>
    <w:rsid w:val="00EF51DB"/>
    <w:rsid w:val="00EF57A1"/>
    <w:rsid w:val="00EF6925"/>
    <w:rsid w:val="00F06CCE"/>
    <w:rsid w:val="00F101EF"/>
    <w:rsid w:val="00F11AE9"/>
    <w:rsid w:val="00F15240"/>
    <w:rsid w:val="00F21620"/>
    <w:rsid w:val="00F26ED3"/>
    <w:rsid w:val="00F275CA"/>
    <w:rsid w:val="00F30F9A"/>
    <w:rsid w:val="00F329BB"/>
    <w:rsid w:val="00F37E63"/>
    <w:rsid w:val="00F40415"/>
    <w:rsid w:val="00F440AF"/>
    <w:rsid w:val="00F54FB3"/>
    <w:rsid w:val="00F5562B"/>
    <w:rsid w:val="00F60467"/>
    <w:rsid w:val="00F60DD5"/>
    <w:rsid w:val="00F62B7A"/>
    <w:rsid w:val="00F6397D"/>
    <w:rsid w:val="00F673FF"/>
    <w:rsid w:val="00F71DA6"/>
    <w:rsid w:val="00F7293E"/>
    <w:rsid w:val="00F750F9"/>
    <w:rsid w:val="00F7578E"/>
    <w:rsid w:val="00F76650"/>
    <w:rsid w:val="00F769DB"/>
    <w:rsid w:val="00F816C4"/>
    <w:rsid w:val="00F84B75"/>
    <w:rsid w:val="00F902FC"/>
    <w:rsid w:val="00F9187B"/>
    <w:rsid w:val="00F92385"/>
    <w:rsid w:val="00F93809"/>
    <w:rsid w:val="00F96362"/>
    <w:rsid w:val="00FA1186"/>
    <w:rsid w:val="00FA1B4F"/>
    <w:rsid w:val="00FA5231"/>
    <w:rsid w:val="00FA5264"/>
    <w:rsid w:val="00FA64EC"/>
    <w:rsid w:val="00FC0E09"/>
    <w:rsid w:val="00FC3EEA"/>
    <w:rsid w:val="00FC47F9"/>
    <w:rsid w:val="00FD05E3"/>
    <w:rsid w:val="00FD76CF"/>
    <w:rsid w:val="00FD7951"/>
    <w:rsid w:val="00FE0CA0"/>
    <w:rsid w:val="00FE2351"/>
    <w:rsid w:val="00FE337D"/>
    <w:rsid w:val="00FE5580"/>
    <w:rsid w:val="00FE7ADF"/>
    <w:rsid w:val="00FF0195"/>
    <w:rsid w:val="00FF110C"/>
    <w:rsid w:val="00FF44AD"/>
    <w:rsid w:val="00FF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15F447"/>
  <w15:chartTrackingRefBased/>
  <w15:docId w15:val="{E7515AED-5787-4E51-A03D-073E675C3C0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3888"/>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
      </w:numPr>
      <w:ind w:right="2160"/>
      <w:outlineLvl w:val="1"/>
    </w:pPr>
  </w:style>
  <w:style w:type="paragraph" w:styleId="Heading3">
    <w:name w:val="heading 3"/>
    <w:basedOn w:val="Dummy"/>
    <w:next w:val="Standard"/>
    <w:link w:val="Heading3Char"/>
    <w:uiPriority w:val="4"/>
    <w:qFormat/>
    <w:rsid w:val="000E270A"/>
    <w:pPr>
      <w:numPr>
        <w:ilvl w:val="2"/>
        <w:numId w:val="1"/>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
      </w:numPr>
      <w:spacing w:after="120" w:line="240" w:lineRule="auto"/>
    </w:pPr>
  </w:style>
  <w:style w:type="paragraph" w:styleId="ListBullet">
    <w:name w:val="List Bullet"/>
    <w:basedOn w:val="Standard"/>
    <w:uiPriority w:val="4"/>
    <w:qFormat/>
    <w:rsid w:val="001F2819"/>
    <w:pPr>
      <w:numPr>
        <w:numId w:val="7"/>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
      </w:numPr>
      <w:spacing w:after="120" w:line="240" w:lineRule="auto"/>
    </w:pPr>
  </w:style>
  <w:style w:type="paragraph" w:styleId="ListParagraph">
    <w:name w:val="List Paragraph"/>
    <w:basedOn w:val="Normal"/>
    <w:uiPriority w:val="34"/>
    <w:rsid w:val="00291E6A"/>
    <w:pPr>
      <w:ind w:left="720"/>
      <w:contextualSpacing/>
    </w:pPr>
  </w:style>
  <w:style w:type="character" w:styleId="CommentReference">
    <w:name w:val="annotation reference"/>
    <w:basedOn w:val="DefaultParagraphFont"/>
    <w:uiPriority w:val="99"/>
    <w:semiHidden/>
    <w:unhideWhenUsed/>
    <w:rsid w:val="006A222D"/>
    <w:rPr>
      <w:sz w:val="16"/>
      <w:szCs w:val="16"/>
    </w:rPr>
  </w:style>
  <w:style w:type="paragraph" w:styleId="CommentText">
    <w:name w:val="annotation text"/>
    <w:basedOn w:val="Normal"/>
    <w:link w:val="CommentTextChar"/>
    <w:uiPriority w:val="99"/>
    <w:semiHidden/>
    <w:unhideWhenUsed/>
    <w:rsid w:val="006A222D"/>
    <w:pPr>
      <w:spacing w:line="240" w:lineRule="auto"/>
    </w:pPr>
    <w:rPr>
      <w:sz w:val="20"/>
      <w:szCs w:val="20"/>
    </w:rPr>
  </w:style>
  <w:style w:type="character" w:customStyle="1" w:styleId="CommentTextChar">
    <w:name w:val="Comment Text Char"/>
    <w:basedOn w:val="DefaultParagraphFont"/>
    <w:link w:val="CommentText"/>
    <w:uiPriority w:val="99"/>
    <w:semiHidden/>
    <w:rsid w:val="006A222D"/>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6A222D"/>
    <w:rPr>
      <w:b/>
      <w:bCs/>
    </w:rPr>
  </w:style>
  <w:style w:type="character" w:customStyle="1" w:styleId="CommentSubjectChar">
    <w:name w:val="Comment Subject Char"/>
    <w:basedOn w:val="CommentTextChar"/>
    <w:link w:val="CommentSubject"/>
    <w:uiPriority w:val="99"/>
    <w:semiHidden/>
    <w:rsid w:val="006A222D"/>
    <w:rPr>
      <w:rFonts w:ascii="Book Antiqua" w:hAnsi="Book Antiqua"/>
      <w:b/>
      <w:bCs/>
      <w:sz w:val="20"/>
      <w:szCs w:val="20"/>
    </w:rPr>
  </w:style>
  <w:style w:type="paragraph" w:styleId="Revision">
    <w:name w:val="Revision"/>
    <w:hidden/>
    <w:uiPriority w:val="99"/>
    <w:semiHidden/>
    <w:rsid w:val="006A222D"/>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078246">
      <w:bodyDiv w:val="1"/>
      <w:marLeft w:val="0"/>
      <w:marRight w:val="0"/>
      <w:marTop w:val="0"/>
      <w:marBottom w:val="0"/>
      <w:divBdr>
        <w:top w:val="none" w:sz="0" w:space="0" w:color="auto"/>
        <w:left w:val="none" w:sz="0" w:space="0" w:color="auto"/>
        <w:bottom w:val="none" w:sz="0" w:space="0" w:color="auto"/>
        <w:right w:val="none" w:sz="0" w:space="0" w:color="auto"/>
      </w:divBdr>
    </w:div>
    <w:div w:id="653031612">
      <w:bodyDiv w:val="1"/>
      <w:marLeft w:val="0"/>
      <w:marRight w:val="0"/>
      <w:marTop w:val="0"/>
      <w:marBottom w:val="0"/>
      <w:divBdr>
        <w:top w:val="none" w:sz="0" w:space="0" w:color="auto"/>
        <w:left w:val="none" w:sz="0" w:space="0" w:color="auto"/>
        <w:bottom w:val="none" w:sz="0" w:space="0" w:color="auto"/>
        <w:right w:val="none" w:sz="0" w:space="0" w:color="auto"/>
      </w:divBdr>
    </w:div>
    <w:div w:id="7022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4.xml" Id="rId14" /><Relationship Type="http://schemas.openxmlformats.org/officeDocument/2006/relationships/hyperlink" Target="http://docs.cpuc.ca.gov/PublishedDocs/Published/G000/M365/K464/365464340.pdf" TargetMode="External" Id="Rd1afb90b369c40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88</ap:Pages>
  <ap:Words>20574</ap:Words>
  <ap:Characters>117274</ap:Characters>
  <ap:Application>Microsoft Office Word</ap:Application>
  <ap:DocSecurity>0</ap:DocSecurity>
  <ap:Lines>977</ap:Lines>
  <ap:Paragraphs>275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137573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2021-10-19T09:53:54Z</dcterms:created>
  <dcterms:modified xsi:type="dcterms:W3CDTF">2021-10-19T09:53:54Z</dcterms:modified>
</cp:coreProperties>
</file>