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1ADC" w:rsidR="00023A7C" w:rsidP="00023A7C" w:rsidRDefault="00023A7C" w14:paraId="49E9D254" w14:textId="77777777">
      <w:pPr>
        <w:pStyle w:val="NoSpacing"/>
        <w:jc w:val="center"/>
        <w:rPr>
          <w:rFonts w:ascii="Times New Roman" w:hAnsi="Times New Roman" w:cs="Times New Roman"/>
          <w:bCs/>
          <w:sz w:val="26"/>
          <w:szCs w:val="26"/>
        </w:rPr>
      </w:pPr>
      <w:r w:rsidRPr="00FA1ADC">
        <w:rPr>
          <w:rFonts w:ascii="Times New Roman" w:hAnsi="Times New Roman" w:cs="Times New Roman"/>
          <w:bCs/>
          <w:sz w:val="26"/>
          <w:szCs w:val="26"/>
        </w:rPr>
        <w:t>PUBLIC UTILITIES COMMISSION OF THE STATE OF CALIFORNIA</w:t>
      </w:r>
    </w:p>
    <w:p w:rsidRPr="00FA1ADC" w:rsidR="002647B3" w:rsidP="00C102C4" w:rsidRDefault="002647B3" w14:paraId="53AFEEF1" w14:textId="77777777">
      <w:pPr>
        <w:rPr>
          <w:sz w:val="26"/>
          <w:szCs w:val="26"/>
        </w:rPr>
      </w:pPr>
    </w:p>
    <w:p w:rsidRPr="00FA1ADC" w:rsidR="00100097" w:rsidP="00C102C4" w:rsidRDefault="00100097" w14:paraId="3D0E826D" w14:textId="4B7B4918">
      <w:pPr>
        <w:rPr>
          <w:sz w:val="26"/>
          <w:szCs w:val="26"/>
        </w:rPr>
      </w:pPr>
      <w:r w:rsidRPr="00FA1ADC">
        <w:rPr>
          <w:sz w:val="26"/>
          <w:szCs w:val="26"/>
        </w:rPr>
        <w:t>Executive Division</w:t>
      </w:r>
      <w:r w:rsidRPr="00FA1ADC">
        <w:rPr>
          <w:sz w:val="26"/>
          <w:szCs w:val="26"/>
        </w:rPr>
        <w:tab/>
      </w:r>
      <w:r w:rsidRPr="00FA1ADC">
        <w:rPr>
          <w:sz w:val="26"/>
          <w:szCs w:val="26"/>
        </w:rPr>
        <w:tab/>
      </w:r>
      <w:r w:rsidRPr="00FA1ADC">
        <w:rPr>
          <w:sz w:val="26"/>
          <w:szCs w:val="26"/>
        </w:rPr>
        <w:tab/>
      </w:r>
      <w:r w:rsidRPr="00FA1ADC">
        <w:rPr>
          <w:sz w:val="26"/>
          <w:szCs w:val="26"/>
        </w:rPr>
        <w:tab/>
      </w:r>
      <w:r w:rsidRPr="00FA1ADC">
        <w:rPr>
          <w:sz w:val="26"/>
          <w:szCs w:val="26"/>
        </w:rPr>
        <w:tab/>
      </w:r>
      <w:r w:rsidRPr="00FA1ADC">
        <w:rPr>
          <w:sz w:val="26"/>
          <w:szCs w:val="26"/>
        </w:rPr>
        <w:tab/>
      </w:r>
      <w:r w:rsidRPr="00FA1ADC">
        <w:rPr>
          <w:sz w:val="26"/>
          <w:szCs w:val="26"/>
        </w:rPr>
        <w:tab/>
        <w:t xml:space="preserve">Date: </w:t>
      </w:r>
      <w:r w:rsidRPr="00FA1ADC" w:rsidR="4FB9F56A">
        <w:rPr>
          <w:sz w:val="26"/>
          <w:szCs w:val="26"/>
        </w:rPr>
        <w:t>April 15</w:t>
      </w:r>
      <w:r w:rsidRPr="00FA1ADC">
        <w:rPr>
          <w:sz w:val="26"/>
          <w:szCs w:val="26"/>
        </w:rPr>
        <w:t xml:space="preserve">, 2021 </w:t>
      </w:r>
    </w:p>
    <w:p w:rsidRPr="00FA1ADC" w:rsidR="00100097" w:rsidP="35B2998E" w:rsidRDefault="00100097" w14:paraId="70AE5FB1" w14:textId="0D708776">
      <w:pPr>
        <w:ind w:left="5760" w:firstLine="720"/>
        <w:rPr>
          <w:sz w:val="26"/>
          <w:szCs w:val="26"/>
          <w:vertAlign w:val="subscript"/>
        </w:rPr>
      </w:pPr>
      <w:r w:rsidRPr="00FA1ADC">
        <w:rPr>
          <w:sz w:val="26"/>
          <w:szCs w:val="26"/>
        </w:rPr>
        <w:t>Resolution M-</w:t>
      </w:r>
      <w:r w:rsidRPr="00FA1ADC" w:rsidR="207E76A6">
        <w:rPr>
          <w:sz w:val="26"/>
          <w:szCs w:val="26"/>
        </w:rPr>
        <w:t>4851</w:t>
      </w:r>
    </w:p>
    <w:p w:rsidRPr="00FA1ADC" w:rsidR="00100097" w:rsidP="00100097" w:rsidRDefault="00100097" w14:paraId="6C9A102B" w14:textId="77777777">
      <w:pPr>
        <w:tabs>
          <w:tab w:val="right" w:pos="8910"/>
        </w:tabs>
        <w:rPr>
          <w:b/>
          <w:sz w:val="26"/>
          <w:szCs w:val="26"/>
        </w:rPr>
      </w:pPr>
    </w:p>
    <w:p w:rsidRPr="00FA1ADC" w:rsidR="00100097" w:rsidP="00100097" w:rsidRDefault="00100097" w14:paraId="6D6B4006" w14:textId="77777777">
      <w:pPr>
        <w:pStyle w:val="mainex"/>
        <w:rPr>
          <w:rFonts w:ascii="Times New Roman" w:hAnsi="Times New Roman"/>
          <w:szCs w:val="26"/>
          <w:u w:val="single"/>
        </w:rPr>
      </w:pPr>
      <w:bookmarkStart w:name="_Ref404993683" w:id="0"/>
      <w:r w:rsidRPr="00FA1ADC">
        <w:rPr>
          <w:rFonts w:ascii="Times New Roman" w:hAnsi="Times New Roman"/>
          <w:szCs w:val="26"/>
          <w:u w:val="single"/>
        </w:rPr>
        <w:t>RESOLUTION</w:t>
      </w:r>
    </w:p>
    <w:p w:rsidRPr="00FA1ADC" w:rsidR="00100097" w:rsidP="00100097" w:rsidRDefault="00100097" w14:paraId="46841081" w14:textId="77777777">
      <w:pPr>
        <w:rPr>
          <w:sz w:val="26"/>
          <w:szCs w:val="26"/>
        </w:rPr>
      </w:pPr>
    </w:p>
    <w:p w:rsidRPr="00FA1ADC" w:rsidR="00100097" w:rsidP="35B2998E" w:rsidRDefault="00100097" w14:paraId="08BD219F" w14:textId="2A60A7B4">
      <w:pPr>
        <w:pStyle w:val="Res-Caption"/>
        <w:rPr>
          <w:rFonts w:ascii="Times New Roman" w:hAnsi="Times New Roman"/>
          <w:szCs w:val="26"/>
        </w:rPr>
      </w:pPr>
      <w:r w:rsidRPr="00FA1ADC">
        <w:rPr>
          <w:rFonts w:ascii="Times New Roman" w:hAnsi="Times New Roman"/>
          <w:b/>
          <w:bCs/>
          <w:szCs w:val="26"/>
        </w:rPr>
        <w:t>RESOLUTION M-</w:t>
      </w:r>
      <w:r w:rsidRPr="00FA1ADC" w:rsidR="1A35E31E">
        <w:rPr>
          <w:rFonts w:ascii="Times New Roman" w:hAnsi="Times New Roman"/>
          <w:b/>
          <w:bCs/>
          <w:szCs w:val="26"/>
        </w:rPr>
        <w:t>4851</w:t>
      </w:r>
      <w:r w:rsidRPr="00FA1ADC">
        <w:rPr>
          <w:rFonts w:ascii="Times New Roman" w:hAnsi="Times New Roman"/>
          <w:b/>
          <w:bCs/>
          <w:szCs w:val="26"/>
        </w:rPr>
        <w:t xml:space="preserve">:  RATIFIES </w:t>
      </w:r>
      <w:r w:rsidRPr="00FA1ADC" w:rsidR="003726FE">
        <w:rPr>
          <w:rFonts w:ascii="Times New Roman" w:hAnsi="Times New Roman"/>
          <w:b/>
          <w:bCs/>
          <w:szCs w:val="26"/>
        </w:rPr>
        <w:t>AND UPHOLDS</w:t>
      </w:r>
      <w:r w:rsidRPr="00FA1ADC" w:rsidR="00B4721D">
        <w:rPr>
          <w:rFonts w:ascii="Times New Roman" w:hAnsi="Times New Roman"/>
          <w:b/>
          <w:bCs/>
          <w:szCs w:val="26"/>
        </w:rPr>
        <w:t xml:space="preserve"> </w:t>
      </w:r>
      <w:r w:rsidRPr="00FA1ADC">
        <w:rPr>
          <w:rFonts w:ascii="Times New Roman" w:hAnsi="Times New Roman"/>
          <w:b/>
          <w:bCs/>
          <w:szCs w:val="26"/>
        </w:rPr>
        <w:t xml:space="preserve">THE </w:t>
      </w:r>
      <w:r w:rsidRPr="00FA1ADC" w:rsidR="000D4B0A">
        <w:rPr>
          <w:rFonts w:ascii="Times New Roman" w:hAnsi="Times New Roman"/>
          <w:b/>
          <w:bCs/>
          <w:szCs w:val="26"/>
        </w:rPr>
        <w:t xml:space="preserve">LETTER FROM DIRECTOR OF WILDFIRE SAFETY DIVISION GRANTING SAFETY CERTIFICATION TO PACIFIC GAS AND ELECTRIC COMPANY </w:t>
      </w:r>
      <w:r w:rsidRPr="00FA1ADC" w:rsidR="00B4721D">
        <w:rPr>
          <w:rFonts w:ascii="Times New Roman" w:hAnsi="Times New Roman"/>
          <w:b/>
          <w:bCs/>
          <w:szCs w:val="26"/>
        </w:rPr>
        <w:t>PURSUANT TO PUBLIC UTILITIES CODE SECTION</w:t>
      </w:r>
      <w:r w:rsidRPr="00FA1ADC" w:rsidR="003726FE">
        <w:rPr>
          <w:rFonts w:ascii="Times New Roman" w:hAnsi="Times New Roman"/>
          <w:b/>
          <w:bCs/>
          <w:szCs w:val="26"/>
        </w:rPr>
        <w:t>S</w:t>
      </w:r>
      <w:r w:rsidRPr="00FA1ADC" w:rsidR="00B4721D">
        <w:rPr>
          <w:rFonts w:ascii="Times New Roman" w:hAnsi="Times New Roman"/>
          <w:b/>
          <w:bCs/>
          <w:szCs w:val="26"/>
        </w:rPr>
        <w:t xml:space="preserve"> </w:t>
      </w:r>
      <w:r w:rsidRPr="00FA1ADC" w:rsidR="00CC5280">
        <w:rPr>
          <w:rFonts w:ascii="Times New Roman" w:hAnsi="Times New Roman"/>
          <w:b/>
          <w:bCs/>
          <w:szCs w:val="26"/>
        </w:rPr>
        <w:t>838</w:t>
      </w:r>
      <w:r w:rsidRPr="00FA1ADC" w:rsidR="00781BAD">
        <w:rPr>
          <w:rFonts w:ascii="Times New Roman" w:hAnsi="Times New Roman"/>
          <w:b/>
          <w:bCs/>
          <w:szCs w:val="26"/>
        </w:rPr>
        <w:t>9</w:t>
      </w:r>
      <w:r w:rsidRPr="00FA1ADC" w:rsidR="003726FE">
        <w:rPr>
          <w:rFonts w:ascii="Times New Roman" w:hAnsi="Times New Roman"/>
          <w:b/>
          <w:bCs/>
          <w:szCs w:val="26"/>
        </w:rPr>
        <w:t xml:space="preserve">(e) AND </w:t>
      </w:r>
      <w:r w:rsidRPr="00FA1ADC" w:rsidR="00781BAD">
        <w:rPr>
          <w:rFonts w:ascii="Times New Roman" w:hAnsi="Times New Roman"/>
          <w:b/>
          <w:bCs/>
          <w:szCs w:val="26"/>
        </w:rPr>
        <w:t>(f)</w:t>
      </w:r>
    </w:p>
    <w:bookmarkEnd w:id="0"/>
    <w:p w:rsidRPr="00FA1ADC" w:rsidR="00781BAD" w:rsidP="00100097" w:rsidRDefault="00781BAD" w14:paraId="3BD8B2C1" w14:textId="77777777">
      <w:pPr>
        <w:rPr>
          <w:b/>
          <w:bCs/>
          <w:sz w:val="26"/>
          <w:szCs w:val="26"/>
          <w:u w:val="single"/>
        </w:rPr>
      </w:pPr>
    </w:p>
    <w:p w:rsidRPr="00FA1ADC" w:rsidR="00100097" w:rsidP="00100097" w:rsidRDefault="00781BAD" w14:paraId="5ABF7A32" w14:textId="034E6551">
      <w:pPr>
        <w:rPr>
          <w:b/>
          <w:bCs/>
          <w:sz w:val="26"/>
          <w:szCs w:val="26"/>
          <w:u w:val="single"/>
        </w:rPr>
      </w:pPr>
      <w:r w:rsidRPr="00FA1ADC">
        <w:rPr>
          <w:b/>
          <w:bCs/>
          <w:sz w:val="26"/>
          <w:szCs w:val="26"/>
          <w:u w:val="single"/>
        </w:rPr>
        <w:t>S</w:t>
      </w:r>
      <w:r w:rsidRPr="00FA1ADC" w:rsidR="00100097">
        <w:rPr>
          <w:b/>
          <w:bCs/>
          <w:sz w:val="26"/>
          <w:szCs w:val="26"/>
          <w:u w:val="single"/>
        </w:rPr>
        <w:t>UMMARY</w:t>
      </w:r>
    </w:p>
    <w:p w:rsidRPr="00FA1ADC" w:rsidR="00100097" w:rsidP="00100097" w:rsidRDefault="00100097" w14:paraId="7EBFBB28" w14:textId="77777777">
      <w:pPr>
        <w:rPr>
          <w:b/>
          <w:bCs/>
          <w:sz w:val="26"/>
          <w:szCs w:val="26"/>
          <w:u w:val="single"/>
        </w:rPr>
      </w:pPr>
    </w:p>
    <w:p w:rsidRPr="00FA1ADC" w:rsidR="0030633F" w:rsidP="00100097" w:rsidRDefault="00100097" w14:paraId="13BFF74F" w14:textId="55A1DF5F">
      <w:pPr>
        <w:rPr>
          <w:sz w:val="26"/>
          <w:szCs w:val="26"/>
        </w:rPr>
      </w:pPr>
      <w:r w:rsidRPr="00FA1ADC">
        <w:rPr>
          <w:sz w:val="26"/>
          <w:szCs w:val="26"/>
        </w:rPr>
        <w:t xml:space="preserve">This Resolution is issued to ratify </w:t>
      </w:r>
      <w:r w:rsidRPr="00FA1ADC" w:rsidR="00B4721D">
        <w:rPr>
          <w:sz w:val="26"/>
          <w:szCs w:val="26"/>
        </w:rPr>
        <w:t xml:space="preserve">and </w:t>
      </w:r>
      <w:r w:rsidRPr="00FA1ADC" w:rsidR="003726FE">
        <w:rPr>
          <w:sz w:val="26"/>
          <w:szCs w:val="26"/>
        </w:rPr>
        <w:t>uphold</w:t>
      </w:r>
      <w:r w:rsidRPr="00FA1ADC" w:rsidR="00B4721D">
        <w:rPr>
          <w:sz w:val="26"/>
          <w:szCs w:val="26"/>
        </w:rPr>
        <w:t xml:space="preserve"> </w:t>
      </w:r>
      <w:r w:rsidRPr="00FA1ADC">
        <w:rPr>
          <w:sz w:val="26"/>
          <w:szCs w:val="26"/>
        </w:rPr>
        <w:t xml:space="preserve">the </w:t>
      </w:r>
      <w:r w:rsidRPr="00FA1ADC" w:rsidR="00B4721D">
        <w:rPr>
          <w:sz w:val="26"/>
          <w:szCs w:val="26"/>
        </w:rPr>
        <w:t xml:space="preserve">action of the Director of the Commission’s Wildfire Safety Division (WSD) taken by </w:t>
      </w:r>
      <w:r w:rsidRPr="00FA1ADC">
        <w:rPr>
          <w:sz w:val="26"/>
          <w:szCs w:val="26"/>
        </w:rPr>
        <w:t xml:space="preserve">letter dated </w:t>
      </w:r>
      <w:r w:rsidRPr="00FA1ADC" w:rsidR="00C50A33">
        <w:rPr>
          <w:sz w:val="26"/>
          <w:szCs w:val="26"/>
        </w:rPr>
        <w:t>January 14</w:t>
      </w:r>
      <w:r w:rsidRPr="00FA1ADC">
        <w:rPr>
          <w:sz w:val="26"/>
          <w:szCs w:val="26"/>
        </w:rPr>
        <w:t xml:space="preserve">, 2021, granting </w:t>
      </w:r>
      <w:r w:rsidRPr="00FA1ADC" w:rsidR="00B4721D">
        <w:rPr>
          <w:sz w:val="26"/>
          <w:szCs w:val="26"/>
        </w:rPr>
        <w:t>Pacific Gas and Electric Company (PG&amp;E) a safety certification pursuant to Public Utilities Code Section</w:t>
      </w:r>
      <w:r w:rsidRPr="00FA1ADC" w:rsidR="00DA06B8">
        <w:rPr>
          <w:sz w:val="26"/>
          <w:szCs w:val="26"/>
        </w:rPr>
        <w:t>s</w:t>
      </w:r>
      <w:r w:rsidRPr="00FA1ADC" w:rsidR="00B4721D">
        <w:rPr>
          <w:sz w:val="26"/>
          <w:szCs w:val="26"/>
        </w:rPr>
        <w:t xml:space="preserve"> </w:t>
      </w:r>
      <w:r w:rsidRPr="00FA1ADC" w:rsidR="00781BAD">
        <w:rPr>
          <w:sz w:val="26"/>
          <w:szCs w:val="26"/>
        </w:rPr>
        <w:t>838</w:t>
      </w:r>
      <w:r w:rsidRPr="00FA1ADC" w:rsidR="00DA06B8">
        <w:rPr>
          <w:sz w:val="26"/>
          <w:szCs w:val="26"/>
        </w:rPr>
        <w:t xml:space="preserve">9(e) and </w:t>
      </w:r>
      <w:r w:rsidRPr="00FA1ADC" w:rsidR="00781BAD">
        <w:rPr>
          <w:sz w:val="26"/>
          <w:szCs w:val="26"/>
        </w:rPr>
        <w:t>(f)</w:t>
      </w:r>
      <w:r w:rsidRPr="00FA1ADC" w:rsidR="00B4721D">
        <w:rPr>
          <w:sz w:val="26"/>
          <w:szCs w:val="26"/>
        </w:rPr>
        <w:t xml:space="preserve">.  </w:t>
      </w:r>
      <w:r w:rsidRPr="00FA1ADC" w:rsidR="0030633F">
        <w:rPr>
          <w:sz w:val="26"/>
          <w:szCs w:val="26"/>
        </w:rPr>
        <w:t xml:space="preserve">The Utility Reform Network (TURN) requested review on </w:t>
      </w:r>
      <w:r w:rsidRPr="00FA1ADC" w:rsidR="00317E5A">
        <w:rPr>
          <w:sz w:val="26"/>
          <w:szCs w:val="26"/>
        </w:rPr>
        <w:t>January 25</w:t>
      </w:r>
      <w:r w:rsidRPr="00FA1ADC" w:rsidR="0030633F">
        <w:rPr>
          <w:sz w:val="26"/>
          <w:szCs w:val="26"/>
        </w:rPr>
        <w:t>, 2021.  We address the request for review as if it were filed pursuant to Commission General Order (GO) 96-B, Section</w:t>
      </w:r>
      <w:r w:rsidRPr="00FA1ADC" w:rsidR="00317E5A">
        <w:rPr>
          <w:sz w:val="26"/>
          <w:szCs w:val="26"/>
        </w:rPr>
        <w:t xml:space="preserve"> 7.6.3</w:t>
      </w:r>
      <w:r w:rsidRPr="00FA1ADC" w:rsidR="0030633F">
        <w:rPr>
          <w:sz w:val="26"/>
          <w:szCs w:val="26"/>
        </w:rPr>
        <w:t xml:space="preserve">.  </w:t>
      </w:r>
    </w:p>
    <w:p w:rsidRPr="00FA1ADC" w:rsidR="0030633F" w:rsidP="00100097" w:rsidRDefault="0030633F" w14:paraId="1E705FC9" w14:textId="77777777">
      <w:pPr>
        <w:rPr>
          <w:sz w:val="26"/>
          <w:szCs w:val="26"/>
        </w:rPr>
      </w:pPr>
    </w:p>
    <w:p w:rsidRPr="00FA1ADC" w:rsidR="00415B10" w:rsidP="00100097" w:rsidRDefault="0030633F" w14:paraId="15E5A528" w14:textId="3D912BB8">
      <w:pPr>
        <w:rPr>
          <w:sz w:val="26"/>
          <w:szCs w:val="26"/>
        </w:rPr>
      </w:pPr>
      <w:r w:rsidRPr="00FA1ADC">
        <w:rPr>
          <w:sz w:val="26"/>
          <w:szCs w:val="26"/>
        </w:rPr>
        <w:t xml:space="preserve">Assembly Bill (AB) 1054 </w:t>
      </w:r>
      <w:r w:rsidRPr="00FA1ADC" w:rsidR="00317E5A">
        <w:rPr>
          <w:sz w:val="26"/>
          <w:szCs w:val="26"/>
        </w:rPr>
        <w:t xml:space="preserve">(Stats. 2019, Ch. 79) </w:t>
      </w:r>
      <w:r w:rsidRPr="00FA1ADC">
        <w:rPr>
          <w:sz w:val="26"/>
          <w:szCs w:val="26"/>
        </w:rPr>
        <w:t>provides for issuance of a safety certification if enumerated conditions are present.  The WSD found, and the Commission affirms, that PG&amp;E satisfied the statutory conditions</w:t>
      </w:r>
      <w:r w:rsidRPr="00FA1ADC" w:rsidR="00415B10">
        <w:rPr>
          <w:sz w:val="26"/>
          <w:szCs w:val="26"/>
        </w:rPr>
        <w:t xml:space="preserve"> when the safety certification was issued</w:t>
      </w:r>
      <w:r w:rsidRPr="00FA1ADC">
        <w:rPr>
          <w:sz w:val="26"/>
          <w:szCs w:val="26"/>
        </w:rPr>
        <w:t>.  TURN asserts other problems with PG&amp;E’s safety record</w:t>
      </w:r>
      <w:r w:rsidRPr="00FA1ADC" w:rsidR="5B161720">
        <w:rPr>
          <w:sz w:val="26"/>
          <w:szCs w:val="26"/>
        </w:rPr>
        <w:t>,</w:t>
      </w:r>
      <w:r w:rsidRPr="00FA1ADC">
        <w:rPr>
          <w:sz w:val="26"/>
          <w:szCs w:val="26"/>
        </w:rPr>
        <w:t xml:space="preserve"> </w:t>
      </w:r>
      <w:r w:rsidRPr="00FA1ADC" w:rsidR="5B161720">
        <w:rPr>
          <w:sz w:val="26"/>
          <w:szCs w:val="26"/>
        </w:rPr>
        <w:t xml:space="preserve">and while they are important, </w:t>
      </w:r>
      <w:r w:rsidRPr="00FA1ADC">
        <w:rPr>
          <w:sz w:val="26"/>
          <w:szCs w:val="26"/>
        </w:rPr>
        <w:t xml:space="preserve">none of TURN’s assertions </w:t>
      </w:r>
      <w:r w:rsidRPr="00FA1ADC" w:rsidR="00415B10">
        <w:rPr>
          <w:sz w:val="26"/>
          <w:szCs w:val="26"/>
        </w:rPr>
        <w:t xml:space="preserve">are </w:t>
      </w:r>
      <w:r w:rsidRPr="00FA1ADC" w:rsidR="7CCCF43E">
        <w:rPr>
          <w:sz w:val="26"/>
          <w:szCs w:val="26"/>
        </w:rPr>
        <w:t xml:space="preserve">legally </w:t>
      </w:r>
      <w:r w:rsidRPr="00FA1ADC" w:rsidR="00415B10">
        <w:rPr>
          <w:sz w:val="26"/>
          <w:szCs w:val="26"/>
        </w:rPr>
        <w:t xml:space="preserve">sufficient to overturn the WSD’s determination.  </w:t>
      </w:r>
    </w:p>
    <w:p w:rsidRPr="00FA1ADC" w:rsidR="00415B10" w:rsidP="00100097" w:rsidRDefault="00415B10" w14:paraId="0DD0BBFF" w14:textId="77777777">
      <w:pPr>
        <w:rPr>
          <w:sz w:val="26"/>
          <w:szCs w:val="26"/>
        </w:rPr>
      </w:pPr>
    </w:p>
    <w:p w:rsidRPr="00FA1ADC" w:rsidR="00100097" w:rsidP="00100097" w:rsidRDefault="00415B10" w14:paraId="1C7BFC6C" w14:textId="58AF7834">
      <w:pPr>
        <w:rPr>
          <w:sz w:val="26"/>
          <w:szCs w:val="26"/>
        </w:rPr>
      </w:pPr>
      <w:r w:rsidRPr="00FA1ADC">
        <w:rPr>
          <w:sz w:val="26"/>
          <w:szCs w:val="26"/>
        </w:rPr>
        <w:t xml:space="preserve">The WSD and Commission have many </w:t>
      </w:r>
      <w:r w:rsidRPr="00FA1ADC" w:rsidR="08DDC385">
        <w:rPr>
          <w:sz w:val="26"/>
          <w:szCs w:val="26"/>
        </w:rPr>
        <w:t xml:space="preserve">oversight procedures and </w:t>
      </w:r>
      <w:r w:rsidRPr="00FA1ADC">
        <w:rPr>
          <w:sz w:val="26"/>
          <w:szCs w:val="26"/>
        </w:rPr>
        <w:t xml:space="preserve">remedies available to </w:t>
      </w:r>
      <w:r w:rsidRPr="00FA1ADC" w:rsidR="3023154D">
        <w:rPr>
          <w:sz w:val="26"/>
          <w:szCs w:val="26"/>
        </w:rPr>
        <w:t xml:space="preserve">monitor whether </w:t>
      </w:r>
      <w:r w:rsidRPr="00FA1ADC">
        <w:rPr>
          <w:sz w:val="26"/>
          <w:szCs w:val="26"/>
        </w:rPr>
        <w:t>PG&amp;E acts in accordance with its Wildfire Mitigation Plan</w:t>
      </w:r>
      <w:r w:rsidRPr="00FA1ADC" w:rsidR="002F2BB1">
        <w:rPr>
          <w:sz w:val="26"/>
          <w:szCs w:val="26"/>
        </w:rPr>
        <w:t xml:space="preserve"> </w:t>
      </w:r>
      <w:r w:rsidRPr="00FA1ADC" w:rsidR="003D16D8">
        <w:rPr>
          <w:sz w:val="26"/>
          <w:szCs w:val="26"/>
        </w:rPr>
        <w:t xml:space="preserve">(WMP) </w:t>
      </w:r>
      <w:r w:rsidRPr="00FA1ADC" w:rsidR="002F2BB1">
        <w:rPr>
          <w:sz w:val="26"/>
          <w:szCs w:val="26"/>
        </w:rPr>
        <w:t xml:space="preserve">and </w:t>
      </w:r>
      <w:r w:rsidRPr="00FA1ADC" w:rsidR="14D66544">
        <w:rPr>
          <w:sz w:val="26"/>
          <w:szCs w:val="26"/>
        </w:rPr>
        <w:t>meets its safety obligations</w:t>
      </w:r>
      <w:r w:rsidRPr="00FA1ADC" w:rsidR="002F2BB1">
        <w:rPr>
          <w:sz w:val="26"/>
          <w:szCs w:val="26"/>
        </w:rPr>
        <w:t xml:space="preserve">.  Nothing in the grant of a safety certification undermines those </w:t>
      </w:r>
      <w:r w:rsidRPr="00FA1ADC" w:rsidR="119E5F09">
        <w:rPr>
          <w:sz w:val="26"/>
          <w:szCs w:val="26"/>
        </w:rPr>
        <w:t xml:space="preserve">procedures and </w:t>
      </w:r>
      <w:r w:rsidRPr="00FA1ADC" w:rsidR="002F2BB1">
        <w:rPr>
          <w:sz w:val="26"/>
          <w:szCs w:val="26"/>
        </w:rPr>
        <w:t xml:space="preserve">remedies or limits the Commission’s authority.  </w:t>
      </w:r>
    </w:p>
    <w:p w:rsidRPr="00FA1ADC" w:rsidR="00100097" w:rsidP="00100097" w:rsidRDefault="00100097" w14:paraId="5B8F7DB2" w14:textId="77777777">
      <w:pPr>
        <w:rPr>
          <w:sz w:val="26"/>
          <w:szCs w:val="26"/>
        </w:rPr>
      </w:pPr>
    </w:p>
    <w:p w:rsidRPr="00FA1ADC" w:rsidR="00100097" w:rsidP="00100097" w:rsidRDefault="00100097" w14:paraId="0A193DB6" w14:textId="77777777">
      <w:pPr>
        <w:rPr>
          <w:b/>
          <w:bCs/>
          <w:sz w:val="26"/>
          <w:szCs w:val="26"/>
          <w:u w:val="single"/>
        </w:rPr>
      </w:pPr>
      <w:r w:rsidRPr="00FA1ADC">
        <w:rPr>
          <w:b/>
          <w:bCs/>
          <w:sz w:val="26"/>
          <w:szCs w:val="26"/>
          <w:u w:val="single"/>
        </w:rPr>
        <w:t>BACKGROUND</w:t>
      </w:r>
    </w:p>
    <w:p w:rsidRPr="00FA1ADC" w:rsidR="00100097" w:rsidP="00100097" w:rsidRDefault="00100097" w14:paraId="05612D16" w14:textId="77777777">
      <w:pPr>
        <w:rPr>
          <w:sz w:val="26"/>
          <w:szCs w:val="26"/>
        </w:rPr>
      </w:pPr>
    </w:p>
    <w:p w:rsidRPr="00FA1ADC" w:rsidR="008507B9" w:rsidP="00100097" w:rsidRDefault="002F2BB1" w14:paraId="0CC0EF96" w14:textId="3B21A5F6">
      <w:pPr>
        <w:rPr>
          <w:sz w:val="26"/>
          <w:szCs w:val="26"/>
        </w:rPr>
      </w:pPr>
      <w:r w:rsidRPr="00FA1ADC">
        <w:rPr>
          <w:sz w:val="26"/>
          <w:szCs w:val="26"/>
        </w:rPr>
        <w:t>AB</w:t>
      </w:r>
      <w:r w:rsidRPr="00FA1ADC" w:rsidR="00317E5A">
        <w:rPr>
          <w:sz w:val="26"/>
          <w:szCs w:val="26"/>
        </w:rPr>
        <w:t xml:space="preserve"> </w:t>
      </w:r>
      <w:r w:rsidRPr="00FA1ADC">
        <w:rPr>
          <w:sz w:val="26"/>
          <w:szCs w:val="26"/>
        </w:rPr>
        <w:t>1054 provides for the WSD to issue an annual safety certification to electrical corporations.  Issuance of the safety certification gives an electrical corporation such as PG&amp;E the benefit of a less stringent burden of proof to recover wildfire-related costs from ratepayers than would otherwise be the case.  Public Utilities Code Section 451.1</w:t>
      </w:r>
      <w:r w:rsidRPr="00FA1ADC" w:rsidR="007264D6">
        <w:rPr>
          <w:sz w:val="26"/>
          <w:szCs w:val="26"/>
        </w:rPr>
        <w:t>(c)</w:t>
      </w:r>
      <w:r w:rsidRPr="00FA1ADC">
        <w:rPr>
          <w:sz w:val="26"/>
          <w:szCs w:val="26"/>
        </w:rPr>
        <w:t xml:space="preserve"> provides</w:t>
      </w:r>
      <w:r w:rsidRPr="00FA1ADC" w:rsidR="003D16D8">
        <w:rPr>
          <w:sz w:val="26"/>
          <w:szCs w:val="26"/>
        </w:rPr>
        <w:t xml:space="preserve"> that the conduct of an electrical corporation with a safety certification for the relevant time period is deemed reasonable, unless another party creates a serious doubt as to reasonableness</w:t>
      </w:r>
      <w:r w:rsidRPr="00FA1ADC" w:rsidR="008507B9">
        <w:rPr>
          <w:sz w:val="26"/>
          <w:szCs w:val="26"/>
        </w:rPr>
        <w:t>:</w:t>
      </w:r>
    </w:p>
    <w:p w:rsidRPr="00FA1ADC" w:rsidR="008507B9" w:rsidP="00100097" w:rsidRDefault="008507B9" w14:paraId="73232C72" w14:textId="77777777">
      <w:pPr>
        <w:rPr>
          <w:sz w:val="26"/>
          <w:szCs w:val="26"/>
        </w:rPr>
      </w:pPr>
    </w:p>
    <w:p w:rsidRPr="00FA1ADC" w:rsidR="008507B9" w:rsidP="00D85C4F" w:rsidRDefault="008507B9" w14:paraId="276D0BB3" w14:textId="77777777">
      <w:pPr>
        <w:ind w:left="720" w:right="1440"/>
        <w:rPr>
          <w:sz w:val="26"/>
          <w:szCs w:val="26"/>
        </w:rPr>
      </w:pPr>
      <w:r w:rsidRPr="00FA1ADC">
        <w:rPr>
          <w:sz w:val="26"/>
          <w:szCs w:val="26"/>
        </w:rPr>
        <w:t>If the electrical corporation has received a valid safety certification for the time period in which the covered wildfire ignited, an electrical corporation’s conduct shall be deemed to have been reasonable pursuant to subdivision (b) unless a party to the proceeding creates a serious doubt as to the reasonableness of the electrical corporation’s conduct. Once serious doubt has been raised, the electrical corporation has the burden of dispelling that doubt and proving the conduct to have been reasonable.</w:t>
      </w:r>
    </w:p>
    <w:p w:rsidRPr="00FA1ADC" w:rsidR="008507B9" w:rsidP="00100097" w:rsidRDefault="008507B9" w14:paraId="4997F578" w14:textId="77777777">
      <w:pPr>
        <w:rPr>
          <w:sz w:val="26"/>
          <w:szCs w:val="26"/>
        </w:rPr>
      </w:pPr>
    </w:p>
    <w:p w:rsidRPr="00FA1ADC" w:rsidR="007264D6" w:rsidP="00100097" w:rsidRDefault="008507B9" w14:paraId="2FC949AD" w14:textId="14EB8F39">
      <w:pPr>
        <w:rPr>
          <w:sz w:val="26"/>
          <w:szCs w:val="26"/>
        </w:rPr>
      </w:pPr>
      <w:r w:rsidRPr="00FA1ADC">
        <w:rPr>
          <w:sz w:val="26"/>
          <w:szCs w:val="26"/>
        </w:rPr>
        <w:t>Without a</w:t>
      </w:r>
      <w:r w:rsidRPr="00FA1ADC" w:rsidR="0190B28F">
        <w:rPr>
          <w:sz w:val="26"/>
          <w:szCs w:val="26"/>
        </w:rPr>
        <w:t>n approved</w:t>
      </w:r>
      <w:r w:rsidRPr="00FA1ADC">
        <w:rPr>
          <w:sz w:val="26"/>
          <w:szCs w:val="26"/>
        </w:rPr>
        <w:t xml:space="preserve"> safety certification, the </w:t>
      </w:r>
      <w:r w:rsidRPr="00FA1ADC" w:rsidR="002F2BB1">
        <w:rPr>
          <w:sz w:val="26"/>
          <w:szCs w:val="26"/>
        </w:rPr>
        <w:t>electrical corporation</w:t>
      </w:r>
      <w:r w:rsidRPr="00FA1ADC" w:rsidR="007264D6">
        <w:rPr>
          <w:sz w:val="26"/>
          <w:szCs w:val="26"/>
        </w:rPr>
        <w:t xml:space="preserve"> bears the burden at the outset of </w:t>
      </w:r>
      <w:r w:rsidRPr="00FA1ADC" w:rsidR="002F2BB1">
        <w:rPr>
          <w:sz w:val="26"/>
          <w:szCs w:val="26"/>
        </w:rPr>
        <w:t>proving entitlement to ratepayer coverage of costs</w:t>
      </w:r>
      <w:r w:rsidRPr="00FA1ADC" w:rsidR="007264D6">
        <w:rPr>
          <w:sz w:val="26"/>
          <w:szCs w:val="26"/>
        </w:rPr>
        <w:t xml:space="preserve"> pursuant to Public Utilities Code Section 451.1(b):</w:t>
      </w:r>
    </w:p>
    <w:p w:rsidRPr="00FA1ADC" w:rsidR="007264D6" w:rsidP="00100097" w:rsidRDefault="007264D6" w14:paraId="4C1E23D2" w14:textId="77777777">
      <w:pPr>
        <w:rPr>
          <w:sz w:val="26"/>
          <w:szCs w:val="26"/>
        </w:rPr>
      </w:pPr>
    </w:p>
    <w:p w:rsidRPr="00FA1ADC" w:rsidR="007264D6" w:rsidP="001E0D78" w:rsidRDefault="007264D6" w14:paraId="3B63F509" w14:textId="216092FB">
      <w:pPr>
        <w:ind w:left="1080" w:right="1440" w:hanging="360"/>
        <w:rPr>
          <w:sz w:val="26"/>
          <w:szCs w:val="26"/>
        </w:rPr>
      </w:pPr>
      <w:r w:rsidRPr="00FA1ADC">
        <w:rPr>
          <w:sz w:val="26"/>
          <w:szCs w:val="26"/>
        </w:rPr>
        <w:t>(b) When determining an application by an electrical corporation to recover costs and expenses arising from a covered wildfire, the commission shall allow cost recovery if the costs and expenses are just and reasonable. Costs and expenses arising from a covered wildfire are just and reasonable if the conduct of the electrical corporation related to the ignition was consistent with actions that a reasonable utility would have undertaken in good faith under similar circumstances, at the relevant point in time, and based on the information available to the electrical corporation at the relevant point of time. Reasonable conduct is not limited to the optimum practice, method, or act to the exclusion of others, but rather encompasses a spectrum of possible practices, methods, or acts consistent with utility system needs, the interest of the ratepayers, and the requirements of governmental agencies of competent jurisdiction. Costs and expenses in the application may be allocated for cost recovery in full or in part taking into account factors both within and beyond the utility’s control that may have exacerbated the costs and expenses, including humidity, temperature, and winds.</w:t>
      </w:r>
    </w:p>
    <w:p w:rsidRPr="00FA1ADC" w:rsidR="008507B9" w:rsidP="659349F7" w:rsidRDefault="008507B9" w14:paraId="422047CE" w14:textId="44B545C3">
      <w:pPr>
        <w:rPr>
          <w:sz w:val="26"/>
          <w:szCs w:val="26"/>
        </w:rPr>
      </w:pPr>
    </w:p>
    <w:p w:rsidRPr="00FA1ADC" w:rsidR="008507B9" w:rsidP="659349F7" w:rsidRDefault="0589A211" w14:paraId="6D5935C0" w14:textId="4239E7D3">
      <w:pPr>
        <w:rPr>
          <w:sz w:val="26"/>
          <w:szCs w:val="26"/>
        </w:rPr>
      </w:pPr>
      <w:r w:rsidRPr="00FA1ADC">
        <w:rPr>
          <w:sz w:val="26"/>
          <w:szCs w:val="26"/>
        </w:rPr>
        <w:t xml:space="preserve">Because PG&amp;E elected to and is participating in the Wildfire Insurance Fund established under </w:t>
      </w:r>
      <w:r w:rsidRPr="00FA1ADC" w:rsidR="003347FA">
        <w:rPr>
          <w:sz w:val="26"/>
          <w:szCs w:val="26"/>
        </w:rPr>
        <w:t>AB 1054</w:t>
      </w:r>
      <w:r w:rsidRPr="00FA1ADC">
        <w:rPr>
          <w:sz w:val="26"/>
          <w:szCs w:val="26"/>
        </w:rPr>
        <w:t xml:space="preserve">, the effect of a Commission finding that PG&amp;E may recover wildfire-related costs in rates means that PG&amp;E </w:t>
      </w:r>
      <w:r w:rsidRPr="00FA1ADC" w:rsidR="48F814D2">
        <w:rPr>
          <w:sz w:val="26"/>
          <w:szCs w:val="26"/>
        </w:rPr>
        <w:t xml:space="preserve">shareholders are not required to </w:t>
      </w:r>
      <w:r w:rsidRPr="00FA1ADC">
        <w:rPr>
          <w:sz w:val="26"/>
          <w:szCs w:val="26"/>
        </w:rPr>
        <w:t xml:space="preserve">reimburse the fund for any eligible claims paid to wildfire victims. </w:t>
      </w:r>
      <w:r w:rsidRPr="00FA1ADC">
        <w:rPr>
          <w:i/>
          <w:iCs/>
          <w:sz w:val="26"/>
          <w:szCs w:val="26"/>
        </w:rPr>
        <w:t xml:space="preserve">See </w:t>
      </w:r>
      <w:r w:rsidRPr="00FA1ADC">
        <w:rPr>
          <w:sz w:val="26"/>
          <w:szCs w:val="26"/>
        </w:rPr>
        <w:t xml:space="preserve">Decision (D.) 19-10-056 </w:t>
      </w:r>
      <w:r w:rsidR="00FA1ADC">
        <w:rPr>
          <w:sz w:val="26"/>
          <w:szCs w:val="26"/>
        </w:rPr>
        <w:br/>
      </w:r>
      <w:r w:rsidRPr="00FA1ADC">
        <w:rPr>
          <w:sz w:val="26"/>
          <w:szCs w:val="26"/>
        </w:rPr>
        <w:t>at 35-36.</w:t>
      </w:r>
    </w:p>
    <w:p w:rsidRPr="00FA1ADC" w:rsidR="659349F7" w:rsidP="659349F7" w:rsidRDefault="659349F7" w14:paraId="6DF107D8" w14:textId="0D778025">
      <w:pPr>
        <w:rPr>
          <w:sz w:val="26"/>
          <w:szCs w:val="26"/>
        </w:rPr>
      </w:pPr>
    </w:p>
    <w:p w:rsidRPr="00FA1ADC" w:rsidR="007264D6" w:rsidP="00100097" w:rsidRDefault="007264D6" w14:paraId="095D8B22" w14:textId="30A670D6">
      <w:pPr>
        <w:rPr>
          <w:sz w:val="26"/>
          <w:szCs w:val="26"/>
        </w:rPr>
      </w:pPr>
      <w:r w:rsidRPr="00FA1ADC">
        <w:rPr>
          <w:sz w:val="26"/>
          <w:szCs w:val="26"/>
        </w:rPr>
        <w:lastRenderedPageBreak/>
        <w:t>The Commission’s executive director issues an initial safety certification, but certifications in subsequent years are issued by the WSD.</w:t>
      </w:r>
      <w:r w:rsidRPr="00FA1ADC" w:rsidR="007F3D2E">
        <w:rPr>
          <w:rStyle w:val="FootnoteReference"/>
          <w:b/>
          <w:bCs/>
          <w:sz w:val="26"/>
          <w:szCs w:val="26"/>
          <w:u w:val="single"/>
        </w:rPr>
        <w:footnoteReference w:id="2"/>
      </w:r>
      <w:r w:rsidRPr="00FA1ADC">
        <w:rPr>
          <w:sz w:val="26"/>
          <w:szCs w:val="26"/>
        </w:rPr>
        <w:t xml:space="preserve">  In order to secure a safety certification, an electrical corporation must </w:t>
      </w:r>
      <w:r w:rsidRPr="00FA1ADC" w:rsidR="003D16D8">
        <w:rPr>
          <w:sz w:val="26"/>
          <w:szCs w:val="26"/>
        </w:rPr>
        <w:t xml:space="preserve">satisfy certain board of directors and executive compensation requirements (which are not at issue in TURN’s request of review) and also </w:t>
      </w:r>
      <w:r w:rsidRPr="00FA1ADC">
        <w:rPr>
          <w:sz w:val="26"/>
          <w:szCs w:val="26"/>
        </w:rPr>
        <w:t>satisfy the following requirements:</w:t>
      </w:r>
    </w:p>
    <w:p w:rsidRPr="00FA1ADC" w:rsidR="007264D6" w:rsidP="00100097" w:rsidRDefault="007264D6" w14:paraId="324CAA68" w14:textId="77777777">
      <w:pPr>
        <w:rPr>
          <w:sz w:val="26"/>
          <w:szCs w:val="26"/>
        </w:rPr>
      </w:pPr>
    </w:p>
    <w:p w:rsidRPr="00FA1ADC" w:rsidR="003D16D8" w:rsidP="001E0D78" w:rsidRDefault="003D16D8" w14:paraId="78C07F76" w14:textId="47306642">
      <w:pPr>
        <w:spacing w:after="120"/>
        <w:ind w:left="1080" w:right="1440" w:hanging="360"/>
        <w:rPr>
          <w:sz w:val="26"/>
          <w:szCs w:val="26"/>
        </w:rPr>
      </w:pPr>
      <w:r w:rsidRPr="00FA1ADC">
        <w:rPr>
          <w:sz w:val="26"/>
          <w:szCs w:val="26"/>
        </w:rPr>
        <w:t>(1) The electrical corporation has an approved wildfire mitigation plan.</w:t>
      </w:r>
    </w:p>
    <w:p w:rsidRPr="00FA1ADC" w:rsidR="003D16D8" w:rsidP="001E0D78" w:rsidRDefault="003D16D8" w14:paraId="1C3FD95F" w14:textId="10BE20EA">
      <w:pPr>
        <w:spacing w:after="120"/>
        <w:ind w:left="1080" w:right="1440" w:hanging="360"/>
        <w:rPr>
          <w:sz w:val="26"/>
          <w:szCs w:val="26"/>
        </w:rPr>
      </w:pPr>
      <w:r w:rsidRPr="00FA1ADC">
        <w:rPr>
          <w:sz w:val="26"/>
          <w:szCs w:val="26"/>
        </w:rPr>
        <w:t>(2) The electrical corporation is in good standing, which can be satisfied by the electrical corporation having agreed to implement the findings of its most recent safety culture assessment, if applicable.</w:t>
      </w:r>
      <w:r w:rsidRPr="00FA1ADC" w:rsidR="00317E5A">
        <w:rPr>
          <w:sz w:val="26"/>
          <w:szCs w:val="26"/>
        </w:rPr>
        <w:t xml:space="preserve">  </w:t>
      </w:r>
      <w:bookmarkStart w:name="_Hlk61514286" w:id="1"/>
      <w:r w:rsidRPr="00FA1ADC">
        <w:rPr>
          <w:sz w:val="26"/>
          <w:szCs w:val="26"/>
        </w:rPr>
        <w:t xml:space="preserve">Pub. Util. Code </w:t>
      </w:r>
      <w:r w:rsidRPr="00FA1ADC" w:rsidR="003726FE">
        <w:rPr>
          <w:sz w:val="26"/>
          <w:szCs w:val="26"/>
        </w:rPr>
        <w:t>§</w:t>
      </w:r>
      <w:r w:rsidRPr="00FA1ADC" w:rsidR="000A4DC4">
        <w:rPr>
          <w:sz w:val="26"/>
          <w:szCs w:val="26"/>
        </w:rPr>
        <w:t xml:space="preserve">§ </w:t>
      </w:r>
      <w:r w:rsidRPr="00FA1ADC" w:rsidR="00A962F6">
        <w:rPr>
          <w:sz w:val="26"/>
          <w:szCs w:val="26"/>
        </w:rPr>
        <w:t>838</w:t>
      </w:r>
      <w:r w:rsidRPr="00FA1ADC" w:rsidR="00775BC7">
        <w:rPr>
          <w:sz w:val="26"/>
          <w:szCs w:val="26"/>
        </w:rPr>
        <w:t>9</w:t>
      </w:r>
      <w:r w:rsidRPr="00FA1ADC" w:rsidR="00A962F6">
        <w:rPr>
          <w:sz w:val="26"/>
          <w:szCs w:val="26"/>
        </w:rPr>
        <w:t>(e)(1)</w:t>
      </w:r>
      <w:r w:rsidRPr="00FA1ADC" w:rsidR="00DA06B8">
        <w:rPr>
          <w:sz w:val="26"/>
          <w:szCs w:val="26"/>
        </w:rPr>
        <w:t xml:space="preserve"> &amp;</w:t>
      </w:r>
      <w:r w:rsidRPr="00FA1ADC" w:rsidR="00A962F6">
        <w:rPr>
          <w:sz w:val="26"/>
          <w:szCs w:val="26"/>
        </w:rPr>
        <w:t xml:space="preserve"> (2</w:t>
      </w:r>
      <w:r w:rsidRPr="00FA1ADC" w:rsidR="00DA06B8">
        <w:rPr>
          <w:sz w:val="26"/>
          <w:szCs w:val="26"/>
        </w:rPr>
        <w:t>).</w:t>
      </w:r>
    </w:p>
    <w:p w:rsidRPr="00FA1ADC" w:rsidR="00100097" w:rsidP="003D16D8" w:rsidRDefault="00100097" w14:paraId="756D1B30" w14:textId="5B962304">
      <w:pPr>
        <w:pStyle w:val="BodyText"/>
        <w:spacing w:before="10"/>
        <w:ind w:left="720"/>
        <w:rPr>
          <w:sz w:val="26"/>
          <w:szCs w:val="26"/>
        </w:rPr>
      </w:pPr>
    </w:p>
    <w:bookmarkEnd w:id="1"/>
    <w:p w:rsidRPr="00FA1ADC" w:rsidR="00100097" w:rsidP="00100097" w:rsidRDefault="003D16D8" w14:paraId="75B8F672" w14:textId="0A4E7FC3">
      <w:pPr>
        <w:rPr>
          <w:b/>
          <w:sz w:val="26"/>
          <w:szCs w:val="26"/>
          <w:u w:val="single"/>
        </w:rPr>
      </w:pPr>
      <w:r w:rsidRPr="00FA1ADC">
        <w:rPr>
          <w:b/>
          <w:sz w:val="26"/>
          <w:szCs w:val="26"/>
          <w:u w:val="single"/>
        </w:rPr>
        <w:t>TURN’s REQUEST FOR REVIEW</w:t>
      </w:r>
    </w:p>
    <w:p w:rsidRPr="00FA1ADC" w:rsidR="003D16D8" w:rsidP="00100097" w:rsidRDefault="003D16D8" w14:paraId="008C5369" w14:textId="22688EFB">
      <w:pPr>
        <w:rPr>
          <w:b/>
          <w:bCs/>
          <w:sz w:val="26"/>
          <w:szCs w:val="26"/>
          <w:u w:val="single"/>
        </w:rPr>
      </w:pPr>
    </w:p>
    <w:p w:rsidRPr="00FA1ADC" w:rsidR="00A962F6" w:rsidP="00100097" w:rsidRDefault="003D16D8" w14:paraId="22AFF5A7" w14:textId="1D430338">
      <w:pPr>
        <w:rPr>
          <w:sz w:val="26"/>
          <w:szCs w:val="26"/>
        </w:rPr>
      </w:pPr>
      <w:r w:rsidRPr="00FA1ADC">
        <w:rPr>
          <w:sz w:val="26"/>
          <w:szCs w:val="26"/>
        </w:rPr>
        <w:t xml:space="preserve">TURN asserts that PG&amp;E cannot satisfy </w:t>
      </w:r>
      <w:r w:rsidRPr="00FA1ADC" w:rsidR="00A962F6">
        <w:rPr>
          <w:sz w:val="26"/>
          <w:szCs w:val="26"/>
        </w:rPr>
        <w:t xml:space="preserve">Section </w:t>
      </w:r>
      <w:r w:rsidRPr="00FA1ADC" w:rsidR="00DA06B8">
        <w:rPr>
          <w:sz w:val="26"/>
          <w:szCs w:val="26"/>
        </w:rPr>
        <w:t>8389</w:t>
      </w:r>
      <w:r w:rsidRPr="00FA1ADC" w:rsidR="00A962F6">
        <w:rPr>
          <w:sz w:val="26"/>
          <w:szCs w:val="26"/>
        </w:rPr>
        <w:t>(e)(1) because, while the WSD approved</w:t>
      </w:r>
      <w:r w:rsidRPr="00FA1ADC" w:rsidR="00C8115B">
        <w:rPr>
          <w:sz w:val="26"/>
          <w:szCs w:val="26"/>
        </w:rPr>
        <w:t>,</w:t>
      </w:r>
      <w:r w:rsidRPr="00FA1ADC" w:rsidR="00A962F6">
        <w:rPr>
          <w:sz w:val="26"/>
          <w:szCs w:val="26"/>
        </w:rPr>
        <w:t xml:space="preserve"> and the Commission ratified</w:t>
      </w:r>
      <w:r w:rsidRPr="00FA1ADC" w:rsidR="00C8115B">
        <w:rPr>
          <w:sz w:val="26"/>
          <w:szCs w:val="26"/>
        </w:rPr>
        <w:t>,</w:t>
      </w:r>
      <w:r w:rsidRPr="00FA1ADC" w:rsidR="00A962F6">
        <w:rPr>
          <w:sz w:val="26"/>
          <w:szCs w:val="26"/>
        </w:rPr>
        <w:t xml:space="preserve"> the WSD’s approval of PG&amp;E’s 2020 WMP, such approval came with conditions.  TURN also asserts that the “most recent” safety culture assessment is out-of-date, and therefore cannot satisfy the requirement of Section </w:t>
      </w:r>
      <w:r w:rsidRPr="00FA1ADC" w:rsidR="00DA06B8">
        <w:rPr>
          <w:sz w:val="26"/>
          <w:szCs w:val="26"/>
        </w:rPr>
        <w:t>8389</w:t>
      </w:r>
      <w:r w:rsidRPr="00FA1ADC" w:rsidR="00A962F6">
        <w:rPr>
          <w:sz w:val="26"/>
          <w:szCs w:val="26"/>
        </w:rPr>
        <w:t>(e)(2).</w:t>
      </w:r>
    </w:p>
    <w:p w:rsidRPr="00FA1ADC" w:rsidR="0065634C" w:rsidP="00100097" w:rsidRDefault="0065634C" w14:paraId="08C2114E" w14:textId="77777777">
      <w:pPr>
        <w:rPr>
          <w:bCs/>
          <w:sz w:val="26"/>
          <w:szCs w:val="26"/>
        </w:rPr>
      </w:pPr>
    </w:p>
    <w:p w:rsidRPr="00FA1ADC" w:rsidR="00100097" w:rsidP="00100097" w:rsidRDefault="00100097" w14:paraId="53D376EA" w14:textId="38CCD1E3">
      <w:pPr>
        <w:rPr>
          <w:bCs/>
          <w:sz w:val="26"/>
          <w:szCs w:val="26"/>
        </w:rPr>
      </w:pPr>
      <w:r w:rsidRPr="00FA1ADC">
        <w:rPr>
          <w:b/>
          <w:bCs/>
          <w:sz w:val="26"/>
          <w:szCs w:val="26"/>
          <w:u w:val="single"/>
        </w:rPr>
        <w:t>DISCUSSION</w:t>
      </w:r>
    </w:p>
    <w:p w:rsidRPr="00FA1ADC" w:rsidR="00100097" w:rsidP="00100097" w:rsidRDefault="00100097" w14:paraId="7285C074" w14:textId="249CBF51">
      <w:pPr>
        <w:rPr>
          <w:sz w:val="26"/>
          <w:szCs w:val="26"/>
        </w:rPr>
      </w:pPr>
    </w:p>
    <w:p w:rsidRPr="00FA1ADC" w:rsidR="0065634C" w:rsidP="00100097" w:rsidRDefault="792F9FA5" w14:paraId="5C173EDA" w14:textId="122E2E5B">
      <w:pPr>
        <w:rPr>
          <w:sz w:val="26"/>
          <w:szCs w:val="26"/>
        </w:rPr>
      </w:pPr>
      <w:r w:rsidRPr="00FA1ADC">
        <w:rPr>
          <w:sz w:val="26"/>
          <w:szCs w:val="26"/>
        </w:rPr>
        <w:t xml:space="preserve">Upon review, </w:t>
      </w:r>
      <w:r w:rsidRPr="00FA1ADC" w:rsidR="00A962F6">
        <w:rPr>
          <w:sz w:val="26"/>
          <w:szCs w:val="26"/>
        </w:rPr>
        <w:t xml:space="preserve">TURN’s assertions do not warrant </w:t>
      </w:r>
      <w:r w:rsidRPr="00FA1ADC" w:rsidR="6D0C2052">
        <w:rPr>
          <w:sz w:val="26"/>
          <w:szCs w:val="26"/>
        </w:rPr>
        <w:t xml:space="preserve">overturning </w:t>
      </w:r>
      <w:r w:rsidRPr="00FA1ADC" w:rsidR="00A962F6">
        <w:rPr>
          <w:sz w:val="26"/>
          <w:szCs w:val="26"/>
        </w:rPr>
        <w:t xml:space="preserve">the WSD’s decision to grant PG&amp;E a safety certification.  First, the safety certification provision requires that an electrical corporation have an approved WMP, and that it be carrying out that WMP.  The Commission approved PG&amp;E’s WMP on June </w:t>
      </w:r>
      <w:r w:rsidRPr="00FA1ADC" w:rsidR="00317E5A">
        <w:rPr>
          <w:sz w:val="26"/>
          <w:szCs w:val="26"/>
        </w:rPr>
        <w:t>11</w:t>
      </w:r>
      <w:r w:rsidRPr="00FA1ADC" w:rsidR="005269C2">
        <w:rPr>
          <w:sz w:val="26"/>
          <w:szCs w:val="26"/>
        </w:rPr>
        <w:t xml:space="preserve">, 2020, and PG&amp;E has filed several compliance reports since then demonstrating that it is carrying out its WMP.  Second, TURN is correct that the “most recent” safety culture assessment dates from 2019 and builds upon earlier requirements adopted in PG&amp;E’s safety culture proceeding, </w:t>
      </w:r>
      <w:r w:rsidRPr="00FA1ADC" w:rsidR="003726FE">
        <w:rPr>
          <w:sz w:val="26"/>
          <w:szCs w:val="26"/>
        </w:rPr>
        <w:t xml:space="preserve">Investigation </w:t>
      </w:r>
      <w:r w:rsidRPr="00FA1ADC" w:rsidR="00C04707">
        <w:rPr>
          <w:sz w:val="26"/>
          <w:szCs w:val="26"/>
        </w:rPr>
        <w:t>(</w:t>
      </w:r>
      <w:r w:rsidRPr="00FA1ADC" w:rsidR="003726FE">
        <w:rPr>
          <w:sz w:val="26"/>
          <w:szCs w:val="26"/>
        </w:rPr>
        <w:t>I</w:t>
      </w:r>
      <w:r w:rsidRPr="00FA1ADC" w:rsidR="00C04707">
        <w:rPr>
          <w:sz w:val="26"/>
          <w:szCs w:val="26"/>
        </w:rPr>
        <w:t xml:space="preserve">.) </w:t>
      </w:r>
      <w:r w:rsidRPr="00FA1ADC" w:rsidR="00DA06B8">
        <w:rPr>
          <w:sz w:val="26"/>
          <w:szCs w:val="26"/>
        </w:rPr>
        <w:t>15-08-019</w:t>
      </w:r>
      <w:r w:rsidRPr="00FA1ADC" w:rsidR="0065634C">
        <w:rPr>
          <w:sz w:val="26"/>
          <w:szCs w:val="26"/>
        </w:rPr>
        <w:t>.  However, PG&amp;E’s agreement to implement the most recent safety culture assessment findings is what the statute requires, and PG&amp;E has so agreed.</w:t>
      </w:r>
    </w:p>
    <w:p w:rsidRPr="00FA1ADC" w:rsidR="0065634C" w:rsidP="006E3E99" w:rsidRDefault="0065634C" w14:paraId="412DE6CC" w14:textId="3951B951">
      <w:pPr>
        <w:pStyle w:val="Heading2"/>
        <w:rPr>
          <w:sz w:val="26"/>
          <w:szCs w:val="26"/>
        </w:rPr>
      </w:pPr>
      <w:r w:rsidRPr="00FA1ADC">
        <w:rPr>
          <w:sz w:val="26"/>
          <w:szCs w:val="26"/>
        </w:rPr>
        <w:t xml:space="preserve">The Commission Approved PG&amp;E’s 2020 WMP; PG&amp;E Therefore Satisfied Section </w:t>
      </w:r>
      <w:r w:rsidRPr="00FA1ADC" w:rsidR="00DA06B8">
        <w:rPr>
          <w:sz w:val="26"/>
          <w:szCs w:val="26"/>
        </w:rPr>
        <w:t>8389</w:t>
      </w:r>
      <w:r w:rsidRPr="00FA1ADC">
        <w:rPr>
          <w:sz w:val="26"/>
          <w:szCs w:val="26"/>
        </w:rPr>
        <w:t>(e)(1)</w:t>
      </w:r>
    </w:p>
    <w:p w:rsidRPr="00FA1ADC" w:rsidR="00C50A33" w:rsidP="00C50A33" w:rsidRDefault="0065634C" w14:paraId="35876078" w14:textId="68CA4C43">
      <w:pPr>
        <w:rPr>
          <w:sz w:val="26"/>
          <w:szCs w:val="26"/>
        </w:rPr>
      </w:pPr>
      <w:r w:rsidRPr="00FA1ADC">
        <w:rPr>
          <w:sz w:val="26"/>
          <w:szCs w:val="26"/>
        </w:rPr>
        <w:t xml:space="preserve">PG&amp;E’s 2020 WMP met all of the requirements of Public Utilities Code Section </w:t>
      </w:r>
      <w:r w:rsidRPr="00FA1ADC" w:rsidR="00DA06B8">
        <w:rPr>
          <w:sz w:val="26"/>
          <w:szCs w:val="26"/>
        </w:rPr>
        <w:t>838</w:t>
      </w:r>
      <w:r w:rsidRPr="00FA1ADC" w:rsidR="59446274">
        <w:rPr>
          <w:sz w:val="26"/>
          <w:szCs w:val="26"/>
        </w:rPr>
        <w:t>6(c)</w:t>
      </w:r>
      <w:r w:rsidRPr="00FA1ADC">
        <w:rPr>
          <w:sz w:val="26"/>
          <w:szCs w:val="26"/>
        </w:rPr>
        <w:t xml:space="preserve">, as the WSD </w:t>
      </w:r>
      <w:r w:rsidRPr="00FA1ADC" w:rsidR="7012D3A4">
        <w:rPr>
          <w:sz w:val="26"/>
          <w:szCs w:val="26"/>
        </w:rPr>
        <w:t xml:space="preserve">determined </w:t>
      </w:r>
      <w:r w:rsidRPr="00FA1ADC">
        <w:rPr>
          <w:sz w:val="26"/>
          <w:szCs w:val="26"/>
        </w:rPr>
        <w:t xml:space="preserve">and the Commission </w:t>
      </w:r>
      <w:r w:rsidRPr="00FA1ADC" w:rsidR="4C1BC734">
        <w:rPr>
          <w:sz w:val="26"/>
          <w:szCs w:val="26"/>
        </w:rPr>
        <w:t xml:space="preserve">ratified </w:t>
      </w:r>
      <w:r w:rsidRPr="00FA1ADC">
        <w:rPr>
          <w:sz w:val="26"/>
          <w:szCs w:val="26"/>
        </w:rPr>
        <w:t>in Resolution WSD-</w:t>
      </w:r>
      <w:r w:rsidRPr="00FA1ADC" w:rsidR="00317E5A">
        <w:rPr>
          <w:sz w:val="26"/>
          <w:szCs w:val="26"/>
        </w:rPr>
        <w:t>003</w:t>
      </w:r>
      <w:r w:rsidRPr="00FA1ADC" w:rsidR="005163B3">
        <w:rPr>
          <w:sz w:val="26"/>
          <w:szCs w:val="26"/>
        </w:rPr>
        <w:t>.</w:t>
      </w:r>
      <w:r w:rsidRPr="00FA1ADC" w:rsidR="00317E5A">
        <w:rPr>
          <w:rStyle w:val="FootnoteReference"/>
          <w:b/>
          <w:bCs/>
          <w:sz w:val="26"/>
          <w:szCs w:val="26"/>
          <w:u w:val="single"/>
        </w:rPr>
        <w:footnoteReference w:id="3"/>
      </w:r>
      <w:r w:rsidRPr="00FA1ADC" w:rsidR="005163B3">
        <w:rPr>
          <w:sz w:val="26"/>
          <w:szCs w:val="26"/>
        </w:rPr>
        <w:t xml:space="preserve">  TURN is correct that the WSD and </w:t>
      </w:r>
      <w:r w:rsidRPr="00FA1ADC" w:rsidR="004C7F41">
        <w:rPr>
          <w:sz w:val="26"/>
          <w:szCs w:val="26"/>
        </w:rPr>
        <w:t xml:space="preserve">the </w:t>
      </w:r>
      <w:r w:rsidRPr="00FA1ADC" w:rsidR="005163B3">
        <w:rPr>
          <w:sz w:val="26"/>
          <w:szCs w:val="26"/>
        </w:rPr>
        <w:t xml:space="preserve">Commission conditioned their approval on PG&amp;E (and </w:t>
      </w:r>
      <w:r w:rsidRPr="00FA1ADC" w:rsidR="005163B3">
        <w:rPr>
          <w:sz w:val="26"/>
          <w:szCs w:val="26"/>
        </w:rPr>
        <w:lastRenderedPageBreak/>
        <w:t xml:space="preserve">other electrical corporations) meeting various </w:t>
      </w:r>
      <w:r w:rsidRPr="00FA1ADC" w:rsidR="008F5363">
        <w:rPr>
          <w:sz w:val="26"/>
          <w:szCs w:val="26"/>
        </w:rPr>
        <w:t xml:space="preserve">requirements, but the statute contemplates such action.  Section </w:t>
      </w:r>
      <w:r w:rsidRPr="00FA1ADC" w:rsidR="00DA06B8">
        <w:rPr>
          <w:sz w:val="26"/>
          <w:szCs w:val="26"/>
        </w:rPr>
        <w:t>8389</w:t>
      </w:r>
      <w:r w:rsidRPr="00FA1ADC" w:rsidR="00C50A33">
        <w:rPr>
          <w:sz w:val="26"/>
          <w:szCs w:val="26"/>
        </w:rPr>
        <w:t>.3(a)</w:t>
      </w:r>
      <w:r w:rsidRPr="00FA1ADC" w:rsidR="008F5363">
        <w:rPr>
          <w:sz w:val="26"/>
          <w:szCs w:val="26"/>
        </w:rPr>
        <w:t xml:space="preserve"> provides </w:t>
      </w:r>
      <w:r w:rsidRPr="00FA1ADC" w:rsidR="00C50A33">
        <w:rPr>
          <w:sz w:val="26"/>
          <w:szCs w:val="26"/>
        </w:rPr>
        <w:t xml:space="preserve">for modifications before approval:  “Before approval, the division may require modifications of the plan.”  </w:t>
      </w:r>
    </w:p>
    <w:p w:rsidRPr="00FA1ADC" w:rsidR="00C50A33" w:rsidP="00C50A33" w:rsidRDefault="00C50A33" w14:paraId="230D8A01" w14:textId="77777777">
      <w:pPr>
        <w:rPr>
          <w:sz w:val="26"/>
          <w:szCs w:val="26"/>
        </w:rPr>
      </w:pPr>
    </w:p>
    <w:p w:rsidRPr="00FA1ADC" w:rsidR="00C50A33" w:rsidP="00C50A33" w:rsidRDefault="00C50A33" w14:paraId="0DED2D68" w14:textId="3C4010A7">
      <w:pPr>
        <w:rPr>
          <w:sz w:val="26"/>
          <w:szCs w:val="26"/>
        </w:rPr>
      </w:pPr>
      <w:r w:rsidRPr="00FA1ADC">
        <w:rPr>
          <w:sz w:val="26"/>
          <w:szCs w:val="26"/>
        </w:rPr>
        <w:t>TURN contends that the conditions the WSD and Commission imposed in Resolution WSD-</w:t>
      </w:r>
      <w:r w:rsidRPr="00FA1ADC" w:rsidR="00317E5A">
        <w:rPr>
          <w:sz w:val="26"/>
          <w:szCs w:val="26"/>
        </w:rPr>
        <w:t>003</w:t>
      </w:r>
      <w:r w:rsidRPr="00FA1ADC">
        <w:rPr>
          <w:sz w:val="26"/>
          <w:szCs w:val="26"/>
        </w:rPr>
        <w:t xml:space="preserve"> do not meet the statutory intent allowing “modifications.”  TURN is incorrect.  The statute contemplates that a WMP may not fully meet all of the statutory requirements, and that the WSD and Commission may require modifications to a WMP.  Here, the conditions were modifications  – requirements that PG&amp;E modify its WMP or furnish more information.  </w:t>
      </w:r>
    </w:p>
    <w:p w:rsidRPr="00FA1ADC" w:rsidR="007F1629" w:rsidP="00C50A33" w:rsidRDefault="007F1629" w14:paraId="06219231" w14:textId="50F219B2">
      <w:pPr>
        <w:rPr>
          <w:sz w:val="26"/>
          <w:szCs w:val="26"/>
        </w:rPr>
      </w:pPr>
    </w:p>
    <w:p w:rsidRPr="00FA1ADC" w:rsidR="007F1629" w:rsidP="03F2406C" w:rsidRDefault="007F1629" w14:paraId="72D0AED5" w14:textId="587E600C">
      <w:pPr>
        <w:rPr>
          <w:sz w:val="26"/>
          <w:szCs w:val="26"/>
        </w:rPr>
      </w:pPr>
      <w:r w:rsidRPr="00FA1ADC">
        <w:rPr>
          <w:sz w:val="26"/>
          <w:szCs w:val="26"/>
        </w:rPr>
        <w:t>The WSD and Commission approved PG&amp;E’s 2020 WMP</w:t>
      </w:r>
      <w:r w:rsidRPr="00FA1ADC" w:rsidR="6139EBA5">
        <w:rPr>
          <w:sz w:val="26"/>
          <w:szCs w:val="26"/>
        </w:rPr>
        <w:t xml:space="preserve"> on </w:t>
      </w:r>
      <w:r w:rsidRPr="00FA1ADC" w:rsidR="5A640152">
        <w:rPr>
          <w:sz w:val="26"/>
          <w:szCs w:val="26"/>
        </w:rPr>
        <w:t>June 11, 2020.</w:t>
      </w:r>
      <w:r w:rsidRPr="00FA1ADC">
        <w:rPr>
          <w:sz w:val="26"/>
          <w:szCs w:val="26"/>
        </w:rPr>
        <w:t xml:space="preserve">  TURN did not </w:t>
      </w:r>
      <w:r w:rsidRPr="00FA1ADC" w:rsidR="003726FE">
        <w:rPr>
          <w:sz w:val="26"/>
          <w:szCs w:val="26"/>
        </w:rPr>
        <w:t xml:space="preserve">seek </w:t>
      </w:r>
      <w:r w:rsidRPr="00FA1ADC" w:rsidR="165CBFB5">
        <w:rPr>
          <w:sz w:val="26"/>
          <w:szCs w:val="26"/>
        </w:rPr>
        <w:t>re</w:t>
      </w:r>
      <w:r w:rsidRPr="00FA1ADC" w:rsidR="15FDAE91">
        <w:rPr>
          <w:sz w:val="26"/>
          <w:szCs w:val="26"/>
        </w:rPr>
        <w:t xml:space="preserve">hearing </w:t>
      </w:r>
      <w:r w:rsidRPr="00FA1ADC" w:rsidR="003726FE">
        <w:rPr>
          <w:sz w:val="26"/>
          <w:szCs w:val="26"/>
        </w:rPr>
        <w:t xml:space="preserve">of </w:t>
      </w:r>
      <w:r w:rsidRPr="00FA1ADC">
        <w:rPr>
          <w:sz w:val="26"/>
          <w:szCs w:val="26"/>
        </w:rPr>
        <w:t>the approval</w:t>
      </w:r>
      <w:r w:rsidRPr="00FA1ADC" w:rsidR="28949192">
        <w:rPr>
          <w:sz w:val="26"/>
          <w:szCs w:val="26"/>
        </w:rPr>
        <w:t>, which is now final</w:t>
      </w:r>
      <w:r w:rsidRPr="00FA1ADC">
        <w:rPr>
          <w:sz w:val="26"/>
          <w:szCs w:val="26"/>
        </w:rPr>
        <w:t xml:space="preserve">.  </w:t>
      </w:r>
    </w:p>
    <w:p w:rsidRPr="00FA1ADC" w:rsidR="00C50A33" w:rsidP="00C50A33" w:rsidRDefault="00C50A33" w14:paraId="161E7874" w14:textId="29FFB2A3">
      <w:pPr>
        <w:rPr>
          <w:sz w:val="26"/>
          <w:szCs w:val="26"/>
        </w:rPr>
      </w:pPr>
    </w:p>
    <w:p w:rsidRPr="00FA1ADC" w:rsidR="007F1629" w:rsidP="00C50A33" w:rsidRDefault="00C50A33" w14:paraId="4DA0943F" w14:textId="3EA6229B">
      <w:pPr>
        <w:rPr>
          <w:sz w:val="26"/>
          <w:szCs w:val="26"/>
        </w:rPr>
      </w:pPr>
      <w:r w:rsidRPr="00FA1ADC">
        <w:rPr>
          <w:sz w:val="26"/>
          <w:szCs w:val="26"/>
        </w:rPr>
        <w:t>It is true that after PG&amp;E submitted the modifications and information, the WSD found deficiencies.  Resolution</w:t>
      </w:r>
      <w:r w:rsidRPr="00FA1ADC" w:rsidR="00DA06B8">
        <w:rPr>
          <w:sz w:val="26"/>
          <w:szCs w:val="26"/>
        </w:rPr>
        <w:t>s</w:t>
      </w:r>
      <w:r w:rsidRPr="00FA1ADC">
        <w:rPr>
          <w:sz w:val="26"/>
          <w:szCs w:val="26"/>
        </w:rPr>
        <w:t xml:space="preserve"> WSD-</w:t>
      </w:r>
      <w:r w:rsidRPr="00FA1ADC" w:rsidR="00DA06B8">
        <w:rPr>
          <w:sz w:val="26"/>
          <w:szCs w:val="26"/>
        </w:rPr>
        <w:t>002 and 003</w:t>
      </w:r>
      <w:r w:rsidRPr="00FA1ADC">
        <w:rPr>
          <w:sz w:val="26"/>
          <w:szCs w:val="26"/>
        </w:rPr>
        <w:t xml:space="preserve"> required PG&amp;E to submit information within 45 days of the Resolutions’ adoption in a Remedial Compliance Plan, and within 90 days of the Resolutions’ adoption in Quarterly Reports.  </w:t>
      </w:r>
    </w:p>
    <w:p w:rsidRPr="00FA1ADC" w:rsidR="007F1629" w:rsidP="00C50A33" w:rsidRDefault="007F1629" w14:paraId="2F1F9587" w14:textId="77777777">
      <w:pPr>
        <w:rPr>
          <w:sz w:val="26"/>
          <w:szCs w:val="26"/>
        </w:rPr>
      </w:pPr>
    </w:p>
    <w:p w:rsidRPr="00FA1ADC" w:rsidR="007F1629" w:rsidP="00C50A33" w:rsidRDefault="00AF4C9C" w14:paraId="19816ABA" w14:textId="3B2A7B12">
      <w:pPr>
        <w:rPr>
          <w:sz w:val="26"/>
          <w:szCs w:val="26"/>
        </w:rPr>
      </w:pPr>
      <w:r w:rsidRPr="00FA1ADC">
        <w:rPr>
          <w:sz w:val="26"/>
          <w:szCs w:val="26"/>
        </w:rPr>
        <w:t xml:space="preserve">PG&amp;E submitted the </w:t>
      </w:r>
      <w:r w:rsidRPr="00FA1ADC" w:rsidR="44BB8E99">
        <w:rPr>
          <w:sz w:val="26"/>
          <w:szCs w:val="26"/>
        </w:rPr>
        <w:t>Remedial Compliance Plan</w:t>
      </w:r>
      <w:r w:rsidRPr="00FA1ADC" w:rsidR="00C50A33">
        <w:rPr>
          <w:sz w:val="26"/>
          <w:szCs w:val="26"/>
        </w:rPr>
        <w:t xml:space="preserve"> </w:t>
      </w:r>
      <w:r w:rsidRPr="00FA1ADC">
        <w:rPr>
          <w:sz w:val="26"/>
          <w:szCs w:val="26"/>
        </w:rPr>
        <w:t xml:space="preserve">and </w:t>
      </w:r>
      <w:r w:rsidRPr="00FA1ADC" w:rsidR="476E3FD8">
        <w:rPr>
          <w:sz w:val="26"/>
          <w:szCs w:val="26"/>
        </w:rPr>
        <w:t xml:space="preserve">Quarterly </w:t>
      </w:r>
      <w:r w:rsidRPr="00FA1ADC" w:rsidR="003347FA">
        <w:rPr>
          <w:sz w:val="26"/>
          <w:szCs w:val="26"/>
        </w:rPr>
        <w:t xml:space="preserve">Reports </w:t>
      </w:r>
      <w:r w:rsidRPr="00FA1ADC" w:rsidR="007F1629">
        <w:rPr>
          <w:sz w:val="26"/>
          <w:szCs w:val="26"/>
        </w:rPr>
        <w:t>on schedule,</w:t>
      </w:r>
      <w:r w:rsidRPr="00FA1ADC">
        <w:rPr>
          <w:sz w:val="26"/>
          <w:szCs w:val="26"/>
        </w:rPr>
        <w:t xml:space="preserve"> </w:t>
      </w:r>
      <w:r w:rsidRPr="00FA1ADC" w:rsidR="00C50A33">
        <w:rPr>
          <w:sz w:val="26"/>
          <w:szCs w:val="26"/>
        </w:rPr>
        <w:t xml:space="preserve">and </w:t>
      </w:r>
      <w:r w:rsidRPr="00FA1ADC" w:rsidR="007F1629">
        <w:rPr>
          <w:sz w:val="26"/>
          <w:szCs w:val="26"/>
        </w:rPr>
        <w:t xml:space="preserve">thereafter </w:t>
      </w:r>
      <w:r w:rsidRPr="00FA1ADC" w:rsidR="00C50A33">
        <w:rPr>
          <w:sz w:val="26"/>
          <w:szCs w:val="26"/>
        </w:rPr>
        <w:t xml:space="preserve">the </w:t>
      </w:r>
      <w:r w:rsidRPr="00FA1ADC">
        <w:rPr>
          <w:sz w:val="26"/>
          <w:szCs w:val="26"/>
        </w:rPr>
        <w:t xml:space="preserve">WSD </w:t>
      </w:r>
      <w:r w:rsidRPr="00FA1ADC" w:rsidR="007F1629">
        <w:rPr>
          <w:sz w:val="26"/>
          <w:szCs w:val="26"/>
        </w:rPr>
        <w:t>imposed additional requirements that PG&amp;E must meet with its 2021 WMP update</w:t>
      </w:r>
      <w:r w:rsidRPr="00FA1ADC" w:rsidR="5361FE32">
        <w:rPr>
          <w:sz w:val="26"/>
          <w:szCs w:val="26"/>
        </w:rPr>
        <w:t xml:space="preserve"> pursuant to Public Utilities Code Section 8386(c)(22)</w:t>
      </w:r>
      <w:r w:rsidRPr="00FA1ADC" w:rsidR="007F1629">
        <w:rPr>
          <w:sz w:val="26"/>
          <w:szCs w:val="26"/>
        </w:rPr>
        <w:t xml:space="preserve">.  The WSD also issued a “Notice of </w:t>
      </w:r>
      <w:proofErr w:type="gramStart"/>
      <w:r w:rsidRPr="00FA1ADC" w:rsidR="007F1629">
        <w:rPr>
          <w:sz w:val="26"/>
          <w:szCs w:val="26"/>
        </w:rPr>
        <w:t>Non Compliance</w:t>
      </w:r>
      <w:proofErr w:type="gramEnd"/>
      <w:r w:rsidRPr="00FA1ADC" w:rsidR="007F1629">
        <w:rPr>
          <w:sz w:val="26"/>
          <w:szCs w:val="26"/>
        </w:rPr>
        <w:t xml:space="preserve">” as to the </w:t>
      </w:r>
      <w:r w:rsidRPr="00FA1ADC" w:rsidR="44BB8E99">
        <w:rPr>
          <w:sz w:val="26"/>
          <w:szCs w:val="26"/>
        </w:rPr>
        <w:t>Remedial Compliance Plan</w:t>
      </w:r>
      <w:r w:rsidRPr="00FA1ADC" w:rsidR="007F1629">
        <w:rPr>
          <w:sz w:val="26"/>
          <w:szCs w:val="26"/>
        </w:rPr>
        <w:t xml:space="preserve"> and </w:t>
      </w:r>
      <w:r w:rsidRPr="00FA1ADC" w:rsidR="476E3FD8">
        <w:rPr>
          <w:sz w:val="26"/>
          <w:szCs w:val="26"/>
        </w:rPr>
        <w:t>Quarterly Report</w:t>
      </w:r>
      <w:r w:rsidRPr="00FA1ADC" w:rsidR="007F1629">
        <w:rPr>
          <w:sz w:val="26"/>
          <w:szCs w:val="26"/>
        </w:rPr>
        <w:t xml:space="preserve">s.  Therefore, the WSD has made clear what PG&amp;E is required to do to address the deficiencies, and the 2021 WMP updates – </w:t>
      </w:r>
      <w:r w:rsidRPr="00FA1ADC" w:rsidR="555FB9A9">
        <w:rPr>
          <w:sz w:val="26"/>
          <w:szCs w:val="26"/>
        </w:rPr>
        <w:t xml:space="preserve">submitted on </w:t>
      </w:r>
      <w:r w:rsidRPr="00FA1ADC" w:rsidR="007F1629">
        <w:rPr>
          <w:sz w:val="26"/>
          <w:szCs w:val="26"/>
        </w:rPr>
        <w:t xml:space="preserve">February 5, 2021 – should address them.  If PG&amp;E’s 2021 WMP update does not address the new matters, there are remedies available to the WSD and </w:t>
      </w:r>
      <w:r w:rsidRPr="00FA1ADC" w:rsidR="372C4CD2">
        <w:rPr>
          <w:sz w:val="26"/>
          <w:szCs w:val="26"/>
        </w:rPr>
        <w:t xml:space="preserve">the </w:t>
      </w:r>
      <w:r w:rsidRPr="00FA1ADC" w:rsidR="007F1629">
        <w:rPr>
          <w:sz w:val="26"/>
          <w:szCs w:val="26"/>
        </w:rPr>
        <w:t xml:space="preserve">Commission.  However, </w:t>
      </w:r>
      <w:r w:rsidRPr="00FA1ADC" w:rsidR="003347FA">
        <w:rPr>
          <w:sz w:val="26"/>
          <w:szCs w:val="26"/>
        </w:rPr>
        <w:t xml:space="preserve">nothing in </w:t>
      </w:r>
      <w:r w:rsidRPr="00FA1ADC" w:rsidR="007F1629">
        <w:rPr>
          <w:sz w:val="26"/>
          <w:szCs w:val="26"/>
        </w:rPr>
        <w:t>the foregoing process has the effect of undoing</w:t>
      </w:r>
      <w:r w:rsidRPr="00FA1ADC" w:rsidR="009959F7">
        <w:rPr>
          <w:sz w:val="26"/>
          <w:szCs w:val="26"/>
        </w:rPr>
        <w:t xml:space="preserve"> WSD approval and</w:t>
      </w:r>
      <w:r w:rsidRPr="00FA1ADC" w:rsidR="007F1629">
        <w:rPr>
          <w:sz w:val="26"/>
          <w:szCs w:val="26"/>
        </w:rPr>
        <w:t xml:space="preserve"> Commission </w:t>
      </w:r>
      <w:r w:rsidRPr="00FA1ADC" w:rsidR="009959F7">
        <w:rPr>
          <w:sz w:val="26"/>
          <w:szCs w:val="26"/>
        </w:rPr>
        <w:t xml:space="preserve">ratification </w:t>
      </w:r>
      <w:r w:rsidRPr="00FA1ADC" w:rsidR="007F1629">
        <w:rPr>
          <w:sz w:val="26"/>
          <w:szCs w:val="26"/>
        </w:rPr>
        <w:t xml:space="preserve">of the 2020 WMP, which occurred more than half a year ago.  </w:t>
      </w:r>
    </w:p>
    <w:p w:rsidRPr="00FA1ADC" w:rsidR="007F1629" w:rsidP="006E3E99" w:rsidRDefault="007F1629" w14:paraId="13CA5110" w14:textId="5677B72D">
      <w:pPr>
        <w:pStyle w:val="Heading2"/>
        <w:rPr>
          <w:sz w:val="26"/>
          <w:szCs w:val="26"/>
        </w:rPr>
      </w:pPr>
      <w:r w:rsidRPr="00FA1ADC">
        <w:rPr>
          <w:sz w:val="26"/>
          <w:szCs w:val="26"/>
        </w:rPr>
        <w:t xml:space="preserve">PG&amp;E Agreed to Carry out the Requirements of its Most Recent Safety Culture Assessment; PG&amp;E Therefore </w:t>
      </w:r>
      <w:r w:rsidRPr="00FA1ADC" w:rsidR="00B63E37">
        <w:rPr>
          <w:sz w:val="26"/>
          <w:szCs w:val="26"/>
        </w:rPr>
        <w:t xml:space="preserve">Meets the Requirements of Public Utilities Code </w:t>
      </w:r>
      <w:r w:rsidRPr="00FA1ADC">
        <w:rPr>
          <w:sz w:val="26"/>
          <w:szCs w:val="26"/>
        </w:rPr>
        <w:t xml:space="preserve">Section </w:t>
      </w:r>
      <w:r w:rsidRPr="00FA1ADC" w:rsidR="00DA06B8">
        <w:rPr>
          <w:sz w:val="26"/>
          <w:szCs w:val="26"/>
        </w:rPr>
        <w:t>8389</w:t>
      </w:r>
      <w:r w:rsidRPr="00FA1ADC">
        <w:rPr>
          <w:sz w:val="26"/>
          <w:szCs w:val="26"/>
        </w:rPr>
        <w:t>(e)(2)</w:t>
      </w:r>
    </w:p>
    <w:p w:rsidRPr="00FA1ADC" w:rsidR="007F1629" w:rsidP="007F1629" w:rsidRDefault="007F1629" w14:paraId="443F36DD" w14:textId="54CF8A71">
      <w:pPr>
        <w:rPr>
          <w:sz w:val="26"/>
          <w:szCs w:val="26"/>
        </w:rPr>
      </w:pPr>
      <w:r w:rsidRPr="00FA1ADC">
        <w:rPr>
          <w:sz w:val="26"/>
          <w:szCs w:val="26"/>
        </w:rPr>
        <w:t xml:space="preserve">TURN’s second argument – that the WSD was in error in relying on the </w:t>
      </w:r>
      <w:r w:rsidRPr="00FA1ADC" w:rsidR="00A807D6">
        <w:rPr>
          <w:sz w:val="26"/>
          <w:szCs w:val="26"/>
        </w:rPr>
        <w:t>PG&amp;E safety culture assessment</w:t>
      </w:r>
      <w:r w:rsidRPr="00FA1ADC">
        <w:rPr>
          <w:sz w:val="26"/>
          <w:szCs w:val="26"/>
        </w:rPr>
        <w:t xml:space="preserve"> </w:t>
      </w:r>
      <w:r w:rsidRPr="00FA1ADC" w:rsidR="00A807D6">
        <w:rPr>
          <w:sz w:val="26"/>
          <w:szCs w:val="26"/>
        </w:rPr>
        <w:t xml:space="preserve">in the safety culture proceeding, </w:t>
      </w:r>
      <w:r w:rsidRPr="00FA1ADC" w:rsidR="003726FE">
        <w:rPr>
          <w:sz w:val="26"/>
          <w:szCs w:val="26"/>
        </w:rPr>
        <w:t>I</w:t>
      </w:r>
      <w:r w:rsidRPr="00FA1ADC" w:rsidR="00A807D6">
        <w:rPr>
          <w:sz w:val="26"/>
          <w:szCs w:val="26"/>
        </w:rPr>
        <w:t>.15-08-019</w:t>
      </w:r>
      <w:r w:rsidRPr="00FA1ADC" w:rsidR="003726FE">
        <w:rPr>
          <w:sz w:val="26"/>
          <w:szCs w:val="26"/>
        </w:rPr>
        <w:t>,</w:t>
      </w:r>
      <w:r w:rsidRPr="00FA1ADC" w:rsidR="00A807D6">
        <w:rPr>
          <w:sz w:val="26"/>
          <w:szCs w:val="26"/>
        </w:rPr>
        <w:t xml:space="preserve"> </w:t>
      </w:r>
      <w:r w:rsidRPr="00FA1ADC">
        <w:rPr>
          <w:sz w:val="26"/>
          <w:szCs w:val="26"/>
        </w:rPr>
        <w:t>to approve PG&amp;E’s safety certification – finds no support in AB 1054.  That statute requires that the utility agree to implement the findings of its most recent assessment, and TURN does not dispute that PG&amp;E did this.</w:t>
      </w:r>
    </w:p>
    <w:p w:rsidRPr="00FA1ADC" w:rsidR="007F1629" w:rsidP="007F1629" w:rsidRDefault="007F1629" w14:paraId="1FD75256" w14:textId="227E807D">
      <w:pPr>
        <w:rPr>
          <w:sz w:val="26"/>
          <w:szCs w:val="26"/>
        </w:rPr>
      </w:pPr>
    </w:p>
    <w:p w:rsidRPr="00FA1ADC" w:rsidR="003347FA" w:rsidP="004831D9" w:rsidRDefault="007F1629" w14:paraId="1D5C0C92" w14:textId="08356A6F">
      <w:pPr>
        <w:rPr>
          <w:sz w:val="26"/>
          <w:szCs w:val="26"/>
        </w:rPr>
      </w:pPr>
      <w:r w:rsidRPr="00FA1ADC">
        <w:rPr>
          <w:sz w:val="26"/>
          <w:szCs w:val="26"/>
        </w:rPr>
        <w:t xml:space="preserve">TURN’s argument is that the WSD and </w:t>
      </w:r>
      <w:r w:rsidRPr="00FA1ADC" w:rsidR="00473ACE">
        <w:rPr>
          <w:sz w:val="26"/>
          <w:szCs w:val="26"/>
        </w:rPr>
        <w:t xml:space="preserve">the </w:t>
      </w:r>
      <w:r w:rsidRPr="00FA1ADC">
        <w:rPr>
          <w:sz w:val="26"/>
          <w:szCs w:val="26"/>
        </w:rPr>
        <w:t xml:space="preserve">Commission are required to conduct a safety </w:t>
      </w:r>
      <w:r w:rsidRPr="00FA1ADC" w:rsidR="00FF304D">
        <w:rPr>
          <w:sz w:val="26"/>
          <w:szCs w:val="26"/>
        </w:rPr>
        <w:t xml:space="preserve">culture </w:t>
      </w:r>
      <w:r w:rsidRPr="00FA1ADC">
        <w:rPr>
          <w:sz w:val="26"/>
          <w:szCs w:val="26"/>
        </w:rPr>
        <w:t xml:space="preserve">assessment on </w:t>
      </w:r>
      <w:r w:rsidRPr="00FA1ADC" w:rsidR="00B61E3C">
        <w:rPr>
          <w:sz w:val="26"/>
          <w:szCs w:val="26"/>
        </w:rPr>
        <w:t>a required schedule.  Failure to meet this schedule</w:t>
      </w:r>
      <w:r w:rsidRPr="00FA1ADC" w:rsidR="00B63E37">
        <w:rPr>
          <w:sz w:val="26"/>
          <w:szCs w:val="26"/>
        </w:rPr>
        <w:t>, TURN asserts,</w:t>
      </w:r>
      <w:r w:rsidRPr="00FA1ADC" w:rsidR="00B61E3C">
        <w:rPr>
          <w:sz w:val="26"/>
          <w:szCs w:val="26"/>
        </w:rPr>
        <w:t xml:space="preserve"> makes it impossible to rely on the results of the most recent safety culture assessment in reviewing a request for safety certification.  However, the WSD letter granting PG&amp;E a </w:t>
      </w:r>
      <w:r w:rsidRPr="00FA1ADC" w:rsidR="00B61E3C">
        <w:rPr>
          <w:sz w:val="26"/>
          <w:szCs w:val="26"/>
        </w:rPr>
        <w:lastRenderedPageBreak/>
        <w:t xml:space="preserve">safety certification explains that a new </w:t>
      </w:r>
      <w:r w:rsidRPr="00FA1ADC" w:rsidR="00A807D6">
        <w:rPr>
          <w:sz w:val="26"/>
          <w:szCs w:val="26"/>
        </w:rPr>
        <w:t>safety culture assessment</w:t>
      </w:r>
      <w:r w:rsidRPr="00FA1ADC" w:rsidR="00B61E3C">
        <w:rPr>
          <w:sz w:val="26"/>
          <w:szCs w:val="26"/>
        </w:rPr>
        <w:t xml:space="preserve"> process will occur early this year</w:t>
      </w:r>
      <w:r w:rsidRPr="00FA1ADC" w:rsidR="003347FA">
        <w:rPr>
          <w:sz w:val="26"/>
          <w:szCs w:val="26"/>
        </w:rPr>
        <w:t>, stating that t</w:t>
      </w:r>
      <w:r w:rsidRPr="00FA1ADC" w:rsidR="00B61E3C">
        <w:rPr>
          <w:sz w:val="26"/>
          <w:szCs w:val="26"/>
        </w:rPr>
        <w:t xml:space="preserve">o date, the WSD has not implemented its recently approved process for annual </w:t>
      </w:r>
      <w:r w:rsidRPr="00FA1ADC" w:rsidR="003347FA">
        <w:rPr>
          <w:sz w:val="26"/>
          <w:szCs w:val="26"/>
        </w:rPr>
        <w:t>s</w:t>
      </w:r>
      <w:r w:rsidRPr="00FA1ADC" w:rsidR="00B61E3C">
        <w:rPr>
          <w:sz w:val="26"/>
          <w:szCs w:val="26"/>
        </w:rPr>
        <w:t xml:space="preserve">afety </w:t>
      </w:r>
      <w:r w:rsidRPr="00FA1ADC" w:rsidR="003347FA">
        <w:rPr>
          <w:sz w:val="26"/>
          <w:szCs w:val="26"/>
        </w:rPr>
        <w:t>c</w:t>
      </w:r>
      <w:r w:rsidRPr="00FA1ADC" w:rsidR="00B61E3C">
        <w:rPr>
          <w:sz w:val="26"/>
          <w:szCs w:val="26"/>
        </w:rPr>
        <w:t xml:space="preserve">ulture </w:t>
      </w:r>
      <w:r w:rsidRPr="00FA1ADC" w:rsidR="003347FA">
        <w:rPr>
          <w:sz w:val="26"/>
          <w:szCs w:val="26"/>
        </w:rPr>
        <w:t>a</w:t>
      </w:r>
      <w:r w:rsidRPr="00FA1ADC" w:rsidR="00B61E3C">
        <w:rPr>
          <w:sz w:val="26"/>
          <w:szCs w:val="26"/>
        </w:rPr>
        <w:t>ssessments, which is anticipated to begin in early 2021.</w:t>
      </w:r>
      <w:r w:rsidRPr="00FA1ADC" w:rsidR="00B63E37">
        <w:rPr>
          <w:sz w:val="26"/>
          <w:szCs w:val="26"/>
        </w:rPr>
        <w:t xml:space="preserve"> </w:t>
      </w:r>
    </w:p>
    <w:p w:rsidRPr="00FA1ADC" w:rsidR="003347FA" w:rsidP="004831D9" w:rsidRDefault="003347FA" w14:paraId="12CEDB54" w14:textId="77777777">
      <w:pPr>
        <w:rPr>
          <w:sz w:val="26"/>
          <w:szCs w:val="26"/>
        </w:rPr>
      </w:pPr>
    </w:p>
    <w:p w:rsidRPr="00FA1ADC" w:rsidR="00B61E3C" w:rsidP="004831D9" w:rsidRDefault="00B63E37" w14:paraId="6308933B" w14:textId="6F5B0B56">
      <w:pPr>
        <w:rPr>
          <w:sz w:val="26"/>
          <w:szCs w:val="26"/>
        </w:rPr>
      </w:pPr>
      <w:r w:rsidRPr="00FA1ADC">
        <w:rPr>
          <w:sz w:val="26"/>
          <w:szCs w:val="26"/>
        </w:rPr>
        <w:t xml:space="preserve">The Commission approved the WSD’s </w:t>
      </w:r>
      <w:r w:rsidRPr="00FA1ADC" w:rsidR="00A807D6">
        <w:rPr>
          <w:sz w:val="26"/>
          <w:szCs w:val="26"/>
        </w:rPr>
        <w:t>safety culture assessment</w:t>
      </w:r>
      <w:r w:rsidRPr="00FA1ADC">
        <w:rPr>
          <w:sz w:val="26"/>
          <w:szCs w:val="26"/>
        </w:rPr>
        <w:t xml:space="preserve"> process on November 19, 2020</w:t>
      </w:r>
      <w:r w:rsidRPr="00FA1ADC" w:rsidR="00444BDA">
        <w:rPr>
          <w:sz w:val="26"/>
          <w:szCs w:val="26"/>
        </w:rPr>
        <w:t>,</w:t>
      </w:r>
      <w:r w:rsidRPr="00FA1ADC">
        <w:rPr>
          <w:sz w:val="26"/>
          <w:szCs w:val="26"/>
        </w:rPr>
        <w:t xml:space="preserve"> in Resolution WSD-011, to begin in 2021.  PG&amp;E will be subject to that process for its next annual safety certification, but the Commission cannot require adherence to requirements that have not yet been implemented.</w:t>
      </w:r>
    </w:p>
    <w:p w:rsidRPr="00FA1ADC" w:rsidR="00B63E37" w:rsidP="004831D9" w:rsidRDefault="00B63E37" w14:paraId="7D75DCDC" w14:textId="2DA6DE48">
      <w:pPr>
        <w:rPr>
          <w:sz w:val="26"/>
          <w:szCs w:val="26"/>
        </w:rPr>
      </w:pPr>
    </w:p>
    <w:p w:rsidRPr="00FA1ADC" w:rsidR="00B63E37" w:rsidP="004831D9" w:rsidRDefault="00B63E37" w14:paraId="75AA3B75" w14:textId="5A1162AC">
      <w:pPr>
        <w:rPr>
          <w:sz w:val="26"/>
          <w:szCs w:val="26"/>
        </w:rPr>
      </w:pPr>
      <w:r w:rsidRPr="00FA1ADC">
        <w:rPr>
          <w:sz w:val="26"/>
          <w:szCs w:val="26"/>
        </w:rPr>
        <w:t xml:space="preserve">Therefore, the WSD appropriately relied on the existing </w:t>
      </w:r>
      <w:r w:rsidRPr="00FA1ADC" w:rsidR="00A807D6">
        <w:rPr>
          <w:sz w:val="26"/>
          <w:szCs w:val="26"/>
        </w:rPr>
        <w:t>safety culture assessment</w:t>
      </w:r>
      <w:r w:rsidRPr="00FA1ADC">
        <w:rPr>
          <w:sz w:val="26"/>
          <w:szCs w:val="26"/>
        </w:rPr>
        <w:t xml:space="preserve"> process in the Commission’s formal </w:t>
      </w:r>
      <w:r w:rsidRPr="00FA1ADC" w:rsidR="003726FE">
        <w:rPr>
          <w:sz w:val="26"/>
          <w:szCs w:val="26"/>
        </w:rPr>
        <w:t xml:space="preserve">investigation, </w:t>
      </w:r>
      <w:r w:rsidRPr="00FA1ADC">
        <w:rPr>
          <w:sz w:val="26"/>
          <w:szCs w:val="26"/>
        </w:rPr>
        <w:t xml:space="preserve">I.15-08-019.  The assessment referred to in that proceeding is the “most recent” </w:t>
      </w:r>
      <w:r w:rsidRPr="00FA1ADC" w:rsidR="00A807D6">
        <w:rPr>
          <w:sz w:val="26"/>
          <w:szCs w:val="26"/>
        </w:rPr>
        <w:t>safety culture assessment</w:t>
      </w:r>
      <w:r w:rsidRPr="00FA1ADC">
        <w:rPr>
          <w:sz w:val="26"/>
          <w:szCs w:val="26"/>
        </w:rPr>
        <w:t xml:space="preserve"> for purposes of Public Utilities Code Section </w:t>
      </w:r>
      <w:r w:rsidRPr="00FA1ADC" w:rsidR="00DA06B8">
        <w:rPr>
          <w:sz w:val="26"/>
          <w:szCs w:val="26"/>
        </w:rPr>
        <w:t>8389</w:t>
      </w:r>
      <w:r w:rsidRPr="00FA1ADC">
        <w:rPr>
          <w:sz w:val="26"/>
          <w:szCs w:val="26"/>
        </w:rPr>
        <w:t>(e)(2).  TURN disputes that I.15-18-019 is the appropriate assessment to rely upon but does not dispute that PG&amp;E agreed to implement all requirements of that assessment.</w:t>
      </w:r>
    </w:p>
    <w:p w:rsidRPr="00FA1ADC" w:rsidR="00DA06B8" w:rsidP="004831D9" w:rsidRDefault="00DA06B8" w14:paraId="7C3A2920" w14:textId="5E48A13E">
      <w:pPr>
        <w:rPr>
          <w:sz w:val="26"/>
          <w:szCs w:val="26"/>
        </w:rPr>
      </w:pPr>
    </w:p>
    <w:p w:rsidRPr="00FA1ADC" w:rsidR="00C04707" w:rsidP="004831D9" w:rsidRDefault="00DA06B8" w14:paraId="06538DF0" w14:textId="56586609">
      <w:pPr>
        <w:rPr>
          <w:sz w:val="26"/>
          <w:szCs w:val="26"/>
        </w:rPr>
      </w:pPr>
      <w:r w:rsidRPr="00FA1ADC">
        <w:rPr>
          <w:sz w:val="26"/>
          <w:szCs w:val="26"/>
        </w:rPr>
        <w:t xml:space="preserve">TURN argues that the </w:t>
      </w:r>
      <w:r w:rsidRPr="00FA1ADC" w:rsidR="00C04707">
        <w:rPr>
          <w:sz w:val="26"/>
          <w:szCs w:val="26"/>
        </w:rPr>
        <w:t>Commission</w:t>
      </w:r>
      <w:r w:rsidRPr="00FA1ADC">
        <w:rPr>
          <w:sz w:val="26"/>
          <w:szCs w:val="26"/>
        </w:rPr>
        <w:t xml:space="preserve"> was required to carry out a safety culture assessment of PG&amp;E at some time after the assessment in R.1</w:t>
      </w:r>
      <w:r w:rsidRPr="00FA1ADC" w:rsidR="00C04707">
        <w:rPr>
          <w:sz w:val="26"/>
          <w:szCs w:val="26"/>
        </w:rPr>
        <w:t>5-08-019</w:t>
      </w:r>
      <w:r w:rsidRPr="00FA1ADC">
        <w:rPr>
          <w:sz w:val="26"/>
          <w:szCs w:val="26"/>
        </w:rPr>
        <w:t xml:space="preserve"> (the safety culture proceeding) and before early 2021.  However, AB 1054 does not require that.  Section 8389(d)</w:t>
      </w:r>
      <w:r w:rsidRPr="00FA1ADC" w:rsidR="00C04707">
        <w:rPr>
          <w:sz w:val="26"/>
          <w:szCs w:val="26"/>
        </w:rPr>
        <w:t>(4)</w:t>
      </w:r>
      <w:r w:rsidRPr="00FA1ADC">
        <w:rPr>
          <w:sz w:val="26"/>
          <w:szCs w:val="26"/>
        </w:rPr>
        <w:t>, which TURN cites, did not trigger a process for “annual” safety culture reviews until Dec</w:t>
      </w:r>
      <w:r w:rsidRPr="00FA1ADC" w:rsidR="00C04707">
        <w:rPr>
          <w:sz w:val="26"/>
          <w:szCs w:val="26"/>
        </w:rPr>
        <w:t>e</w:t>
      </w:r>
      <w:r w:rsidRPr="00FA1ADC">
        <w:rPr>
          <w:sz w:val="26"/>
          <w:szCs w:val="26"/>
        </w:rPr>
        <w:t>mber</w:t>
      </w:r>
      <w:r w:rsidRPr="00FA1ADC" w:rsidR="00C04707">
        <w:rPr>
          <w:sz w:val="26"/>
          <w:szCs w:val="26"/>
        </w:rPr>
        <w:t xml:space="preserve"> 1, 2020:</w:t>
      </w:r>
    </w:p>
    <w:p w:rsidRPr="00FA1ADC" w:rsidR="00C04707" w:rsidP="004831D9" w:rsidRDefault="00C04707" w14:paraId="0FCB3689" w14:textId="77777777">
      <w:pPr>
        <w:rPr>
          <w:sz w:val="26"/>
          <w:szCs w:val="26"/>
        </w:rPr>
      </w:pPr>
    </w:p>
    <w:p w:rsidRPr="00FA1ADC" w:rsidR="00C04707" w:rsidP="001E0D78" w:rsidRDefault="00C04707" w14:paraId="2ABEA22F" w14:textId="77777777">
      <w:pPr>
        <w:spacing w:after="120"/>
        <w:ind w:left="1080" w:right="1440" w:hanging="360"/>
        <w:rPr>
          <w:sz w:val="26"/>
          <w:szCs w:val="26"/>
        </w:rPr>
      </w:pPr>
      <w:r w:rsidRPr="00FA1ADC">
        <w:rPr>
          <w:sz w:val="26"/>
          <w:szCs w:val="26"/>
        </w:rPr>
        <w:t>(d) By December 1, 2020, and annually thereafter, the commission, after consultation with the division, shall adopt and approve all of the following:</w:t>
      </w:r>
    </w:p>
    <w:p w:rsidRPr="00FA1ADC" w:rsidR="00C04707" w:rsidP="006E3E99" w:rsidRDefault="00C04707" w14:paraId="4F02749F" w14:textId="21991DC5">
      <w:pPr>
        <w:spacing w:after="120"/>
        <w:ind w:left="1080" w:right="1440"/>
        <w:rPr>
          <w:sz w:val="26"/>
          <w:szCs w:val="26"/>
        </w:rPr>
      </w:pPr>
      <w:r w:rsidRPr="00FA1ADC">
        <w:rPr>
          <w:sz w:val="26"/>
          <w:szCs w:val="26"/>
        </w:rPr>
        <w:t>…(4) A process for the division to conduct annual safety culture assessments for each electrical corporation.</w:t>
      </w:r>
    </w:p>
    <w:p w:rsidRPr="00FA1ADC" w:rsidR="00C04707" w:rsidP="00C04707" w:rsidRDefault="00C04707" w14:paraId="2C40D832" w14:textId="77777777">
      <w:pPr>
        <w:rPr>
          <w:sz w:val="26"/>
          <w:szCs w:val="26"/>
        </w:rPr>
      </w:pPr>
    </w:p>
    <w:p w:rsidRPr="00FA1ADC" w:rsidR="00DA06B8" w:rsidP="004831D9" w:rsidRDefault="00C04707" w14:paraId="235EA1AA" w14:textId="5E197DD6">
      <w:pPr>
        <w:rPr>
          <w:sz w:val="26"/>
          <w:szCs w:val="26"/>
        </w:rPr>
      </w:pPr>
      <w:r w:rsidRPr="00FA1ADC">
        <w:rPr>
          <w:sz w:val="26"/>
          <w:szCs w:val="26"/>
        </w:rPr>
        <w:t xml:space="preserve">The Commission adopted a process, as required, by December 1, 2020, in Resolution WSD-011, and the WSD will implement that process in early 2021.  </w:t>
      </w:r>
    </w:p>
    <w:p w:rsidRPr="00FA1ADC" w:rsidR="332977A4" w:rsidP="332977A4" w:rsidRDefault="332977A4" w14:paraId="534D08B5" w14:textId="619AA443">
      <w:pPr>
        <w:rPr>
          <w:sz w:val="26"/>
          <w:szCs w:val="26"/>
        </w:rPr>
      </w:pPr>
    </w:p>
    <w:p w:rsidRPr="00FA1ADC" w:rsidR="28CCA520" w:rsidP="332977A4" w:rsidRDefault="003347FA" w14:paraId="6B3BF58F" w14:textId="0440EA3C">
      <w:pPr>
        <w:rPr>
          <w:sz w:val="26"/>
          <w:szCs w:val="26"/>
        </w:rPr>
      </w:pPr>
      <w:r w:rsidRPr="00FA1ADC">
        <w:rPr>
          <w:sz w:val="26"/>
          <w:szCs w:val="26"/>
        </w:rPr>
        <w:t>Finally, n</w:t>
      </w:r>
      <w:r w:rsidRPr="00FA1ADC" w:rsidR="28CCA520">
        <w:rPr>
          <w:sz w:val="26"/>
          <w:szCs w:val="26"/>
        </w:rPr>
        <w:t>othing in this Resolution abridges or otherwise affects the authority of the Commission or the Wildfire Safety Division to take enforcement action against Pacific Gas and Electric with regard to any matter in its 2020 or 2021 Wildfire Mitigation Plan and update, including matters contained in Assembly Bill 1054 or D</w:t>
      </w:r>
      <w:r w:rsidRPr="00FA1ADC" w:rsidR="64D8904B">
        <w:rPr>
          <w:sz w:val="26"/>
          <w:szCs w:val="26"/>
        </w:rPr>
        <w:t>.</w:t>
      </w:r>
      <w:r w:rsidRPr="00FA1ADC" w:rsidR="28CCA520">
        <w:rPr>
          <w:sz w:val="26"/>
          <w:szCs w:val="26"/>
        </w:rPr>
        <w:t>20-05-053.</w:t>
      </w:r>
    </w:p>
    <w:p w:rsidRPr="00FA1ADC" w:rsidR="00B61E3C" w:rsidP="007F1629" w:rsidRDefault="00B61E3C" w14:paraId="0D8633F3" w14:textId="77777777">
      <w:pPr>
        <w:rPr>
          <w:sz w:val="26"/>
          <w:szCs w:val="26"/>
        </w:rPr>
      </w:pPr>
    </w:p>
    <w:p w:rsidRPr="00FA1ADC" w:rsidR="00100097" w:rsidP="00100097" w:rsidRDefault="00100097" w14:paraId="4FD3E4CD" w14:textId="77777777">
      <w:pPr>
        <w:rPr>
          <w:b/>
          <w:bCs/>
          <w:sz w:val="26"/>
          <w:szCs w:val="26"/>
          <w:u w:val="single"/>
        </w:rPr>
      </w:pPr>
      <w:r w:rsidRPr="00FA1ADC">
        <w:rPr>
          <w:b/>
          <w:bCs/>
          <w:sz w:val="26"/>
          <w:szCs w:val="26"/>
          <w:u w:val="single"/>
        </w:rPr>
        <w:t>COMMENTS</w:t>
      </w:r>
    </w:p>
    <w:p w:rsidRPr="00FA1ADC" w:rsidR="00100097" w:rsidP="00100097" w:rsidRDefault="00100097" w14:paraId="0EFD6830" w14:textId="77777777">
      <w:pPr>
        <w:rPr>
          <w:sz w:val="26"/>
          <w:szCs w:val="26"/>
        </w:rPr>
      </w:pPr>
    </w:p>
    <w:p w:rsidRPr="00FA1ADC" w:rsidR="00100097" w:rsidP="00DF5662" w:rsidRDefault="00100097" w14:paraId="59E348F4" w14:textId="130610AB">
      <w:pPr>
        <w:rPr>
          <w:sz w:val="26"/>
          <w:szCs w:val="26"/>
        </w:rPr>
      </w:pPr>
      <w:r w:rsidRPr="00FA1ADC">
        <w:rPr>
          <w:sz w:val="26"/>
          <w:szCs w:val="26"/>
        </w:rPr>
        <w:t xml:space="preserve">Public Utilities Code </w:t>
      </w:r>
      <w:r w:rsidRPr="00FA1ADC" w:rsidR="00DA06B8">
        <w:rPr>
          <w:sz w:val="26"/>
          <w:szCs w:val="26"/>
        </w:rPr>
        <w:t>S</w:t>
      </w:r>
      <w:r w:rsidRPr="00FA1ADC">
        <w:rPr>
          <w:sz w:val="26"/>
          <w:szCs w:val="26"/>
        </w:rPr>
        <w:t xml:space="preserve">ection 311(g)(1) provides that this Resolution must be served on all parties and subject to at least 30 days public review and comment prior to a vote of the Commission.  </w:t>
      </w:r>
    </w:p>
    <w:p w:rsidRPr="00FA1ADC" w:rsidR="00DF5662" w:rsidP="00DF5662" w:rsidRDefault="00DF5662" w14:paraId="6ABA205F" w14:textId="77777777">
      <w:pPr>
        <w:rPr>
          <w:sz w:val="26"/>
          <w:szCs w:val="26"/>
        </w:rPr>
      </w:pPr>
    </w:p>
    <w:p w:rsidRPr="00FA1ADC" w:rsidR="00100097" w:rsidP="00100097" w:rsidRDefault="00100097" w14:paraId="7F72903A" w14:textId="77777777">
      <w:pPr>
        <w:rPr>
          <w:b/>
          <w:bCs/>
          <w:sz w:val="26"/>
          <w:szCs w:val="26"/>
          <w:u w:val="single"/>
        </w:rPr>
      </w:pPr>
      <w:r w:rsidRPr="00FA1ADC">
        <w:rPr>
          <w:b/>
          <w:bCs/>
          <w:sz w:val="26"/>
          <w:szCs w:val="26"/>
          <w:u w:val="single"/>
        </w:rPr>
        <w:lastRenderedPageBreak/>
        <w:t>FINDINGS</w:t>
      </w:r>
    </w:p>
    <w:p w:rsidRPr="00FA1ADC" w:rsidR="00100097" w:rsidP="00100097" w:rsidRDefault="00100097" w14:paraId="69140E3C" w14:textId="77777777">
      <w:pPr>
        <w:rPr>
          <w:b/>
          <w:bCs/>
          <w:sz w:val="26"/>
          <w:szCs w:val="26"/>
          <w:u w:val="single"/>
        </w:rPr>
      </w:pPr>
    </w:p>
    <w:p w:rsidRPr="00FA1ADC" w:rsidR="00F64A6A" w:rsidP="009F65A1" w:rsidRDefault="00F64A6A" w14:paraId="7FF658B9" w14:textId="7C55B478">
      <w:pPr>
        <w:pStyle w:val="ListParagraph"/>
        <w:numPr>
          <w:ilvl w:val="0"/>
          <w:numId w:val="2"/>
        </w:numPr>
        <w:spacing w:after="120"/>
        <w:ind w:left="360"/>
        <w:contextualSpacing w:val="0"/>
        <w:rPr>
          <w:rFonts w:ascii="Times New Roman" w:hAnsi="Times New Roman"/>
          <w:szCs w:val="26"/>
        </w:rPr>
      </w:pPr>
      <w:r w:rsidRPr="00FA1ADC">
        <w:rPr>
          <w:rFonts w:ascii="Times New Roman" w:hAnsi="Times New Roman"/>
          <w:szCs w:val="26"/>
        </w:rPr>
        <w:t xml:space="preserve">The WSD approved and </w:t>
      </w:r>
      <w:r w:rsidRPr="00FA1ADC" w:rsidR="00FD5BB9">
        <w:rPr>
          <w:rFonts w:ascii="Times New Roman" w:hAnsi="Times New Roman"/>
          <w:szCs w:val="26"/>
        </w:rPr>
        <w:t xml:space="preserve">the </w:t>
      </w:r>
      <w:r w:rsidRPr="00FA1ADC">
        <w:rPr>
          <w:rFonts w:ascii="Times New Roman" w:hAnsi="Times New Roman"/>
          <w:szCs w:val="26"/>
        </w:rPr>
        <w:t>Commission ratified WSD’s approval of PG&amp;E’s 2020 WMP.</w:t>
      </w:r>
    </w:p>
    <w:p w:rsidRPr="00FA1ADC" w:rsidR="00F64A6A" w:rsidP="009F65A1" w:rsidRDefault="00F64A6A" w14:paraId="56E330C4" w14:textId="12C5A1D3">
      <w:pPr>
        <w:pStyle w:val="ListParagraph"/>
        <w:numPr>
          <w:ilvl w:val="0"/>
          <w:numId w:val="2"/>
        </w:numPr>
        <w:spacing w:after="120"/>
        <w:ind w:left="360"/>
        <w:contextualSpacing w:val="0"/>
        <w:rPr>
          <w:rFonts w:ascii="Times New Roman" w:hAnsi="Times New Roman"/>
          <w:szCs w:val="26"/>
        </w:rPr>
      </w:pPr>
      <w:r w:rsidRPr="00FA1ADC">
        <w:rPr>
          <w:rFonts w:ascii="Times New Roman" w:hAnsi="Times New Roman"/>
          <w:szCs w:val="26"/>
        </w:rPr>
        <w:t>TURN did not seek rehearing of Resolution</w:t>
      </w:r>
      <w:r w:rsidRPr="00FA1ADC" w:rsidR="00DA06B8">
        <w:rPr>
          <w:rFonts w:ascii="Times New Roman" w:hAnsi="Times New Roman"/>
          <w:szCs w:val="26"/>
        </w:rPr>
        <w:t>s</w:t>
      </w:r>
      <w:r w:rsidRPr="00FA1ADC">
        <w:rPr>
          <w:rFonts w:ascii="Times New Roman" w:hAnsi="Times New Roman"/>
          <w:szCs w:val="26"/>
        </w:rPr>
        <w:t xml:space="preserve"> WSD-</w:t>
      </w:r>
      <w:r w:rsidRPr="00FA1ADC" w:rsidR="00DA06B8">
        <w:rPr>
          <w:rFonts w:ascii="Times New Roman" w:hAnsi="Times New Roman"/>
          <w:szCs w:val="26"/>
        </w:rPr>
        <w:t>002 or WSD-003</w:t>
      </w:r>
      <w:r w:rsidRPr="00FA1ADC">
        <w:rPr>
          <w:rFonts w:ascii="Times New Roman" w:hAnsi="Times New Roman"/>
          <w:szCs w:val="26"/>
        </w:rPr>
        <w:t>.</w:t>
      </w:r>
    </w:p>
    <w:p w:rsidRPr="00FA1ADC" w:rsidR="00F64A6A" w:rsidP="009F65A1" w:rsidRDefault="00F64A6A" w14:paraId="7925C920" w14:textId="4D12F908">
      <w:pPr>
        <w:pStyle w:val="ListParagraph"/>
        <w:numPr>
          <w:ilvl w:val="0"/>
          <w:numId w:val="2"/>
        </w:numPr>
        <w:spacing w:after="120"/>
        <w:ind w:left="360"/>
        <w:contextualSpacing w:val="0"/>
        <w:rPr>
          <w:rFonts w:ascii="Times New Roman" w:hAnsi="Times New Roman"/>
          <w:szCs w:val="26"/>
        </w:rPr>
      </w:pPr>
      <w:r w:rsidRPr="00FA1ADC">
        <w:rPr>
          <w:rFonts w:ascii="Times New Roman" w:hAnsi="Times New Roman"/>
          <w:szCs w:val="26"/>
        </w:rPr>
        <w:t xml:space="preserve">PG&amp;E met the WSD’s deadlines for filing a </w:t>
      </w:r>
      <w:r w:rsidRPr="00FA1ADC" w:rsidR="44BB8E99">
        <w:rPr>
          <w:rFonts w:ascii="Times New Roman" w:hAnsi="Times New Roman"/>
          <w:szCs w:val="26"/>
        </w:rPr>
        <w:t>Remedial Compliance Plan</w:t>
      </w:r>
      <w:r w:rsidRPr="00FA1ADC">
        <w:rPr>
          <w:rFonts w:ascii="Times New Roman" w:hAnsi="Times New Roman"/>
          <w:szCs w:val="26"/>
        </w:rPr>
        <w:t xml:space="preserve"> and </w:t>
      </w:r>
      <w:r w:rsidRPr="00FA1ADC" w:rsidR="476E3FD8">
        <w:rPr>
          <w:rFonts w:ascii="Times New Roman" w:hAnsi="Times New Roman"/>
          <w:szCs w:val="26"/>
        </w:rPr>
        <w:t>Quarterly Report</w:t>
      </w:r>
      <w:r w:rsidRPr="00FA1ADC">
        <w:rPr>
          <w:rFonts w:ascii="Times New Roman" w:hAnsi="Times New Roman"/>
          <w:szCs w:val="26"/>
        </w:rPr>
        <w:t xml:space="preserve"> </w:t>
      </w:r>
      <w:r w:rsidRPr="00FA1ADC" w:rsidR="537B1D19">
        <w:rPr>
          <w:rFonts w:ascii="Times New Roman" w:hAnsi="Times New Roman"/>
          <w:szCs w:val="26"/>
        </w:rPr>
        <w:t>as</w:t>
      </w:r>
      <w:r w:rsidRPr="00FA1ADC" w:rsidR="2C0C172E">
        <w:rPr>
          <w:rFonts w:ascii="Times New Roman" w:hAnsi="Times New Roman"/>
          <w:szCs w:val="26"/>
        </w:rPr>
        <w:t xml:space="preserve"> </w:t>
      </w:r>
      <w:r w:rsidRPr="00FA1ADC">
        <w:rPr>
          <w:rFonts w:ascii="Times New Roman" w:hAnsi="Times New Roman"/>
          <w:szCs w:val="26"/>
        </w:rPr>
        <w:t>set forth in Resolution</w:t>
      </w:r>
      <w:r w:rsidRPr="00FA1ADC" w:rsidR="00DA06B8">
        <w:rPr>
          <w:rFonts w:ascii="Times New Roman" w:hAnsi="Times New Roman"/>
          <w:szCs w:val="26"/>
        </w:rPr>
        <w:t>s</w:t>
      </w:r>
      <w:r w:rsidRPr="00FA1ADC">
        <w:rPr>
          <w:rFonts w:ascii="Times New Roman" w:hAnsi="Times New Roman"/>
          <w:szCs w:val="26"/>
        </w:rPr>
        <w:t xml:space="preserve"> WSD-</w:t>
      </w:r>
      <w:r w:rsidRPr="00FA1ADC" w:rsidR="00DA06B8">
        <w:rPr>
          <w:rFonts w:ascii="Times New Roman" w:hAnsi="Times New Roman"/>
          <w:szCs w:val="26"/>
        </w:rPr>
        <w:t>002 and 003</w:t>
      </w:r>
      <w:r w:rsidRPr="00FA1ADC">
        <w:rPr>
          <w:rFonts w:ascii="Times New Roman" w:hAnsi="Times New Roman"/>
          <w:szCs w:val="26"/>
        </w:rPr>
        <w:t>.</w:t>
      </w:r>
    </w:p>
    <w:p w:rsidRPr="00FA1ADC" w:rsidR="00F64A6A" w:rsidP="009F65A1" w:rsidRDefault="00F64A6A" w14:paraId="4456CD57" w14:textId="222096F4">
      <w:pPr>
        <w:pStyle w:val="ListParagraph"/>
        <w:numPr>
          <w:ilvl w:val="0"/>
          <w:numId w:val="2"/>
        </w:numPr>
        <w:spacing w:after="120"/>
        <w:ind w:left="360"/>
        <w:contextualSpacing w:val="0"/>
        <w:rPr>
          <w:rFonts w:ascii="Times New Roman" w:hAnsi="Times New Roman"/>
          <w:szCs w:val="26"/>
        </w:rPr>
      </w:pPr>
      <w:r w:rsidRPr="00FA1ADC">
        <w:rPr>
          <w:rFonts w:ascii="Times New Roman" w:hAnsi="Times New Roman"/>
          <w:szCs w:val="26"/>
        </w:rPr>
        <w:t xml:space="preserve">Upon reviewing PG&amp;E’s </w:t>
      </w:r>
      <w:r w:rsidRPr="00FA1ADC" w:rsidR="44BB8E99">
        <w:rPr>
          <w:rFonts w:ascii="Times New Roman" w:hAnsi="Times New Roman"/>
          <w:szCs w:val="26"/>
        </w:rPr>
        <w:t>Remedial Compliance Plan</w:t>
      </w:r>
      <w:r w:rsidRPr="00FA1ADC">
        <w:rPr>
          <w:rFonts w:ascii="Times New Roman" w:hAnsi="Times New Roman"/>
          <w:szCs w:val="26"/>
        </w:rPr>
        <w:t xml:space="preserve"> and </w:t>
      </w:r>
      <w:r w:rsidRPr="00FA1ADC" w:rsidR="476E3FD8">
        <w:rPr>
          <w:rFonts w:ascii="Times New Roman" w:hAnsi="Times New Roman"/>
          <w:szCs w:val="26"/>
        </w:rPr>
        <w:t>Quarterly Report</w:t>
      </w:r>
      <w:r w:rsidRPr="00FA1ADC">
        <w:rPr>
          <w:rFonts w:ascii="Times New Roman" w:hAnsi="Times New Roman"/>
          <w:szCs w:val="26"/>
        </w:rPr>
        <w:t>, the WSD set additional requirements due with PG&amp;E’s 2021 WMP update on February 5, 2021.</w:t>
      </w:r>
    </w:p>
    <w:p w:rsidRPr="00FA1ADC" w:rsidR="00F64A6A" w:rsidP="009F65A1" w:rsidRDefault="00F64A6A" w14:paraId="6618E955" w14:textId="77777777">
      <w:pPr>
        <w:pStyle w:val="ListParagraph"/>
        <w:numPr>
          <w:ilvl w:val="0"/>
          <w:numId w:val="2"/>
        </w:numPr>
        <w:spacing w:after="120"/>
        <w:ind w:left="360"/>
        <w:contextualSpacing w:val="0"/>
        <w:rPr>
          <w:rFonts w:ascii="Times New Roman" w:hAnsi="Times New Roman"/>
          <w:szCs w:val="26"/>
        </w:rPr>
      </w:pPr>
      <w:r w:rsidRPr="00FA1ADC">
        <w:rPr>
          <w:rFonts w:ascii="Times New Roman" w:hAnsi="Times New Roman"/>
          <w:szCs w:val="26"/>
        </w:rPr>
        <w:t xml:space="preserve">Review of PG&amp;E’s 2021 WMP update will include review of the material required in the previous finding. </w:t>
      </w:r>
    </w:p>
    <w:p w:rsidRPr="00FA1ADC" w:rsidR="00F64A6A" w:rsidP="009F65A1" w:rsidRDefault="00F64A6A" w14:paraId="37C67B84" w14:textId="3B91564F">
      <w:pPr>
        <w:pStyle w:val="ListParagraph"/>
        <w:numPr>
          <w:ilvl w:val="0"/>
          <w:numId w:val="2"/>
        </w:numPr>
        <w:spacing w:after="120"/>
        <w:ind w:left="360"/>
        <w:contextualSpacing w:val="0"/>
        <w:rPr>
          <w:rFonts w:ascii="Times New Roman" w:hAnsi="Times New Roman"/>
          <w:szCs w:val="26"/>
        </w:rPr>
      </w:pPr>
      <w:r w:rsidRPr="00FA1ADC">
        <w:rPr>
          <w:rFonts w:ascii="Times New Roman" w:hAnsi="Times New Roman"/>
          <w:szCs w:val="26"/>
        </w:rPr>
        <w:t>The most recent safety culture assessment of PG&amp;E was issued in connection with I.15-18-019.</w:t>
      </w:r>
    </w:p>
    <w:p w:rsidRPr="00FA1ADC" w:rsidR="00C04707" w:rsidP="009F65A1" w:rsidRDefault="00C04707" w14:paraId="51A8D968" w14:textId="538AE687">
      <w:pPr>
        <w:pStyle w:val="ListParagraph"/>
        <w:numPr>
          <w:ilvl w:val="0"/>
          <w:numId w:val="2"/>
        </w:numPr>
        <w:spacing w:after="120"/>
        <w:ind w:left="360"/>
        <w:contextualSpacing w:val="0"/>
        <w:rPr>
          <w:rFonts w:ascii="Times New Roman" w:hAnsi="Times New Roman"/>
          <w:szCs w:val="26"/>
        </w:rPr>
      </w:pPr>
      <w:r w:rsidRPr="00FA1ADC">
        <w:rPr>
          <w:rFonts w:ascii="Times New Roman" w:hAnsi="Times New Roman"/>
          <w:szCs w:val="26"/>
        </w:rPr>
        <w:t>Resolution WSD-011 timely adopted a process for the WSD to conduct annual safety culture assessments.</w:t>
      </w:r>
    </w:p>
    <w:p w:rsidRPr="00FA1ADC" w:rsidR="00CC5280" w:rsidP="009F65A1" w:rsidRDefault="00F64A6A" w14:paraId="5B63FED6" w14:textId="7A1A7234">
      <w:pPr>
        <w:pStyle w:val="ListParagraph"/>
        <w:numPr>
          <w:ilvl w:val="0"/>
          <w:numId w:val="2"/>
        </w:numPr>
        <w:spacing w:after="120"/>
        <w:ind w:left="360"/>
        <w:contextualSpacing w:val="0"/>
        <w:rPr>
          <w:rFonts w:ascii="Times New Roman" w:hAnsi="Times New Roman"/>
          <w:szCs w:val="26"/>
        </w:rPr>
      </w:pPr>
      <w:r w:rsidRPr="00FA1ADC">
        <w:rPr>
          <w:rFonts w:ascii="Times New Roman" w:hAnsi="Times New Roman"/>
          <w:szCs w:val="26"/>
        </w:rPr>
        <w:t xml:space="preserve">The WSD will implement safety </w:t>
      </w:r>
      <w:r w:rsidRPr="00FA1ADC" w:rsidR="00CC5280">
        <w:rPr>
          <w:rFonts w:ascii="Times New Roman" w:hAnsi="Times New Roman"/>
          <w:szCs w:val="26"/>
        </w:rPr>
        <w:t>culture assessment</w:t>
      </w:r>
      <w:r w:rsidRPr="00FA1ADC" w:rsidR="00C04707">
        <w:rPr>
          <w:rFonts w:ascii="Times New Roman" w:hAnsi="Times New Roman"/>
          <w:szCs w:val="26"/>
        </w:rPr>
        <w:t xml:space="preserve"> process adopted in Resolution WSD-011 i</w:t>
      </w:r>
      <w:r w:rsidRPr="00FA1ADC" w:rsidR="00CC5280">
        <w:rPr>
          <w:rFonts w:ascii="Times New Roman" w:hAnsi="Times New Roman"/>
          <w:szCs w:val="26"/>
        </w:rPr>
        <w:t>n early 2021.</w:t>
      </w:r>
    </w:p>
    <w:p w:rsidRPr="00FA1ADC" w:rsidR="00100097" w:rsidP="00CC5280" w:rsidRDefault="268FAD2A" w14:paraId="3ADD0E0C" w14:textId="72042209">
      <w:pPr>
        <w:pStyle w:val="ListParagraph"/>
        <w:numPr>
          <w:ilvl w:val="0"/>
          <w:numId w:val="2"/>
        </w:numPr>
        <w:spacing w:after="120"/>
        <w:ind w:left="360"/>
        <w:contextualSpacing w:val="0"/>
        <w:rPr>
          <w:szCs w:val="26"/>
        </w:rPr>
      </w:pPr>
      <w:r w:rsidRPr="00FA1ADC">
        <w:rPr>
          <w:rFonts w:ascii="Times New Roman" w:hAnsi="Times New Roman"/>
          <w:szCs w:val="26"/>
        </w:rPr>
        <w:t xml:space="preserve">The  Commission </w:t>
      </w:r>
      <w:r w:rsidRPr="00FA1ADC" w:rsidR="5463C68B">
        <w:rPr>
          <w:rFonts w:ascii="Times New Roman" w:hAnsi="Times New Roman"/>
          <w:szCs w:val="26"/>
        </w:rPr>
        <w:t xml:space="preserve">has </w:t>
      </w:r>
      <w:r w:rsidRPr="00FA1ADC">
        <w:rPr>
          <w:rFonts w:ascii="Times New Roman" w:hAnsi="Times New Roman"/>
          <w:szCs w:val="26"/>
        </w:rPr>
        <w:t xml:space="preserve">several </w:t>
      </w:r>
      <w:r w:rsidRPr="00FA1ADC" w:rsidR="6215E0AC">
        <w:rPr>
          <w:rFonts w:ascii="Times New Roman" w:hAnsi="Times New Roman"/>
          <w:szCs w:val="26"/>
        </w:rPr>
        <w:t xml:space="preserve">available </w:t>
      </w:r>
      <w:r w:rsidRPr="00FA1ADC">
        <w:rPr>
          <w:rFonts w:ascii="Times New Roman" w:hAnsi="Times New Roman"/>
          <w:szCs w:val="26"/>
        </w:rPr>
        <w:t>enforcement mechanisms</w:t>
      </w:r>
      <w:r w:rsidRPr="00FA1ADC" w:rsidR="1E21C3DD">
        <w:rPr>
          <w:rFonts w:ascii="Times New Roman" w:hAnsi="Times New Roman"/>
          <w:szCs w:val="26"/>
        </w:rPr>
        <w:t xml:space="preserve"> related to wildfire</w:t>
      </w:r>
      <w:r w:rsidRPr="00FA1ADC">
        <w:rPr>
          <w:rFonts w:ascii="Times New Roman" w:hAnsi="Times New Roman"/>
          <w:szCs w:val="26"/>
        </w:rPr>
        <w:t xml:space="preserve">.  </w:t>
      </w:r>
    </w:p>
    <w:p w:rsidRPr="00FA1ADC" w:rsidR="00100097" w:rsidP="00100097" w:rsidRDefault="00100097" w14:paraId="4D70C3D7" w14:textId="77777777">
      <w:pPr>
        <w:rPr>
          <w:sz w:val="26"/>
          <w:szCs w:val="26"/>
        </w:rPr>
      </w:pPr>
    </w:p>
    <w:p w:rsidRPr="00FA1ADC" w:rsidR="00100097" w:rsidP="00100097" w:rsidRDefault="00100097" w14:paraId="7A15F501" w14:textId="77777777">
      <w:pPr>
        <w:keepNext/>
        <w:keepLines/>
        <w:rPr>
          <w:b/>
          <w:bCs/>
          <w:sz w:val="26"/>
          <w:szCs w:val="26"/>
        </w:rPr>
      </w:pPr>
      <w:r w:rsidRPr="00FA1ADC">
        <w:rPr>
          <w:b/>
          <w:bCs/>
          <w:sz w:val="26"/>
          <w:szCs w:val="26"/>
        </w:rPr>
        <w:t xml:space="preserve">THEREFORE, IT IS ORDERED that: </w:t>
      </w:r>
    </w:p>
    <w:p w:rsidRPr="00FA1ADC" w:rsidR="00100097" w:rsidP="00100097" w:rsidRDefault="00100097" w14:paraId="376528C4" w14:textId="77777777">
      <w:pPr>
        <w:rPr>
          <w:sz w:val="26"/>
          <w:szCs w:val="26"/>
        </w:rPr>
      </w:pPr>
    </w:p>
    <w:p w:rsidRPr="00FA1ADC" w:rsidR="00CC5280" w:rsidP="009E40E0" w:rsidRDefault="00CC5280" w14:paraId="2B7E8FDB" w14:textId="4310FEC1">
      <w:pPr>
        <w:pStyle w:val="ListParagraph"/>
        <w:numPr>
          <w:ilvl w:val="0"/>
          <w:numId w:val="1"/>
        </w:numPr>
        <w:ind w:left="360"/>
        <w:contextualSpacing w:val="0"/>
        <w:rPr>
          <w:rFonts w:ascii="Times New Roman" w:hAnsi="Times New Roman"/>
          <w:szCs w:val="26"/>
        </w:rPr>
      </w:pPr>
      <w:r w:rsidRPr="00FA1ADC">
        <w:rPr>
          <w:rFonts w:ascii="Times New Roman" w:hAnsi="Times New Roman"/>
          <w:szCs w:val="26"/>
        </w:rPr>
        <w:t>The Request for Review filed by The Utility Reform Network of the Wildfire Safety Division’s letter</w:t>
      </w:r>
      <w:r w:rsidRPr="00FA1ADC" w:rsidR="00100097">
        <w:rPr>
          <w:rFonts w:ascii="Times New Roman" w:hAnsi="Times New Roman"/>
          <w:szCs w:val="26"/>
        </w:rPr>
        <w:t xml:space="preserve"> dated January 1</w:t>
      </w:r>
      <w:r w:rsidRPr="00FA1ADC">
        <w:rPr>
          <w:rFonts w:ascii="Times New Roman" w:hAnsi="Times New Roman"/>
          <w:szCs w:val="26"/>
        </w:rPr>
        <w:t>4</w:t>
      </w:r>
      <w:r w:rsidRPr="00FA1ADC" w:rsidR="00100097">
        <w:rPr>
          <w:rFonts w:ascii="Times New Roman" w:hAnsi="Times New Roman"/>
          <w:szCs w:val="26"/>
        </w:rPr>
        <w:t xml:space="preserve">, 2021, attached as Appendix A, granting </w:t>
      </w:r>
      <w:r w:rsidRPr="00FA1ADC">
        <w:rPr>
          <w:rFonts w:ascii="Times New Roman" w:hAnsi="Times New Roman"/>
          <w:szCs w:val="26"/>
        </w:rPr>
        <w:t xml:space="preserve">Pacific Gas and Electric Company an annual safety certification is denied. </w:t>
      </w:r>
    </w:p>
    <w:p w:rsidRPr="00FA1ADC" w:rsidR="00CC5280" w:rsidP="72DA510F" w:rsidRDefault="00CC5280" w14:paraId="3A0F096F" w14:textId="1ADFC34F">
      <w:pPr>
        <w:rPr>
          <w:sz w:val="26"/>
          <w:szCs w:val="26"/>
        </w:rPr>
      </w:pPr>
    </w:p>
    <w:p w:rsidRPr="00FA1ADC" w:rsidR="00100097" w:rsidP="00100097" w:rsidRDefault="00100097" w14:paraId="0240E817" w14:textId="0C8088DC">
      <w:pPr>
        <w:rPr>
          <w:rFonts w:eastAsia="Calibri"/>
          <w:sz w:val="26"/>
          <w:szCs w:val="26"/>
        </w:rPr>
      </w:pPr>
      <w:r w:rsidRPr="00FA1ADC">
        <w:rPr>
          <w:rFonts w:eastAsia="Calibri"/>
          <w:sz w:val="26"/>
          <w:szCs w:val="26"/>
        </w:rPr>
        <w:t>This Resolution is effective today.</w:t>
      </w:r>
    </w:p>
    <w:p w:rsidRPr="00FA1ADC" w:rsidR="00100097" w:rsidP="00100097" w:rsidRDefault="00100097" w14:paraId="0F1471BB" w14:textId="77777777">
      <w:pPr>
        <w:tabs>
          <w:tab w:val="left" w:pos="720"/>
          <w:tab w:val="left" w:pos="1296"/>
          <w:tab w:val="left" w:pos="2016"/>
          <w:tab w:val="left" w:pos="2736"/>
          <w:tab w:val="left" w:pos="3456"/>
          <w:tab w:val="left" w:pos="4176"/>
          <w:tab w:val="left" w:pos="5760"/>
        </w:tabs>
        <w:jc w:val="both"/>
        <w:rPr>
          <w:sz w:val="26"/>
          <w:szCs w:val="26"/>
        </w:rPr>
      </w:pPr>
    </w:p>
    <w:p w:rsidRPr="00FA1ADC" w:rsidR="00100097" w:rsidP="00100097" w:rsidRDefault="00100097" w14:paraId="1E5BCF55" w14:textId="369F6333">
      <w:pPr>
        <w:rPr>
          <w:sz w:val="26"/>
          <w:szCs w:val="26"/>
        </w:rPr>
      </w:pPr>
      <w:r w:rsidRPr="00FA1ADC">
        <w:rPr>
          <w:snapToGrid w:val="0"/>
          <w:sz w:val="26"/>
          <w:szCs w:val="26"/>
        </w:rPr>
        <w:t xml:space="preserve">I certify that the foregoing Resolution was duly introduced, passed and adopted at a conference of the Public Utilities Commission of the State of California held on </w:t>
      </w:r>
      <w:r w:rsidRPr="00FA1ADC" w:rsidR="3A9F6E39">
        <w:rPr>
          <w:snapToGrid w:val="0"/>
          <w:sz w:val="26"/>
          <w:szCs w:val="26"/>
        </w:rPr>
        <w:t xml:space="preserve">April 15, </w:t>
      </w:r>
      <w:r w:rsidRPr="00FA1ADC">
        <w:rPr>
          <w:snapToGrid w:val="0"/>
          <w:sz w:val="26"/>
          <w:szCs w:val="26"/>
        </w:rPr>
        <w:t>2021, the following Commissioners voting favorably thereon:</w:t>
      </w:r>
    </w:p>
    <w:p w:rsidRPr="00FA1ADC" w:rsidR="00100097" w:rsidP="00100097" w:rsidRDefault="00100097" w14:paraId="432DA36E" w14:textId="77777777">
      <w:pPr>
        <w:tabs>
          <w:tab w:val="left" w:pos="720"/>
          <w:tab w:val="left" w:pos="1152"/>
          <w:tab w:val="left" w:pos="1728"/>
          <w:tab w:val="left" w:pos="3168"/>
          <w:tab w:val="left" w:pos="5040"/>
        </w:tabs>
        <w:ind w:right="144"/>
        <w:jc w:val="both"/>
        <w:rPr>
          <w:sz w:val="26"/>
          <w:szCs w:val="26"/>
        </w:rPr>
      </w:pPr>
    </w:p>
    <w:p w:rsidRPr="00FA1ADC" w:rsidR="00100097" w:rsidP="00100097" w:rsidRDefault="00100097" w14:paraId="48E38B9A" w14:textId="77777777">
      <w:pPr>
        <w:tabs>
          <w:tab w:val="left" w:pos="720"/>
          <w:tab w:val="left" w:pos="1152"/>
          <w:tab w:val="left" w:pos="1728"/>
          <w:tab w:val="left" w:pos="3168"/>
          <w:tab w:val="left" w:pos="5040"/>
        </w:tabs>
        <w:ind w:right="144"/>
        <w:jc w:val="both"/>
        <w:rPr>
          <w:sz w:val="26"/>
          <w:szCs w:val="26"/>
          <w:u w:val="single"/>
        </w:rPr>
      </w:pPr>
    </w:p>
    <w:p w:rsidRPr="00FA1ADC" w:rsidR="00100097" w:rsidP="00100097" w:rsidRDefault="00100097" w14:paraId="5C6F6836" w14:textId="77777777">
      <w:pPr>
        <w:ind w:left="5040"/>
        <w:rPr>
          <w:sz w:val="26"/>
          <w:szCs w:val="26"/>
        </w:rPr>
      </w:pPr>
    </w:p>
    <w:p w:rsidRPr="00FA1ADC" w:rsidR="00100097" w:rsidP="00100097" w:rsidRDefault="00100097" w14:paraId="38FDD495" w14:textId="77777777">
      <w:pPr>
        <w:ind w:left="5040"/>
        <w:rPr>
          <w:sz w:val="26"/>
          <w:szCs w:val="26"/>
        </w:rPr>
      </w:pPr>
    </w:p>
    <w:p w:rsidRPr="00FA1ADC" w:rsidR="00100097" w:rsidP="00100097" w:rsidRDefault="00100097" w14:paraId="7CD1205B" w14:textId="77777777">
      <w:pPr>
        <w:ind w:left="5040"/>
        <w:rPr>
          <w:sz w:val="26"/>
          <w:szCs w:val="26"/>
          <w:u w:val="single"/>
        </w:rPr>
      </w:pPr>
      <w:r w:rsidRPr="00FA1ADC">
        <w:rPr>
          <w:sz w:val="26"/>
          <w:szCs w:val="26"/>
          <w:u w:val="single"/>
        </w:rPr>
        <w:tab/>
      </w:r>
      <w:r w:rsidRPr="00FA1ADC">
        <w:rPr>
          <w:sz w:val="26"/>
          <w:szCs w:val="26"/>
          <w:u w:val="single"/>
        </w:rPr>
        <w:tab/>
      </w:r>
      <w:r w:rsidRPr="00FA1ADC">
        <w:rPr>
          <w:sz w:val="26"/>
          <w:szCs w:val="26"/>
          <w:u w:val="single"/>
        </w:rPr>
        <w:tab/>
      </w:r>
      <w:r w:rsidRPr="00FA1ADC">
        <w:rPr>
          <w:sz w:val="26"/>
          <w:szCs w:val="26"/>
          <w:u w:val="single"/>
        </w:rPr>
        <w:tab/>
      </w:r>
    </w:p>
    <w:p w:rsidRPr="00FA1ADC" w:rsidR="00100097" w:rsidP="00100097" w:rsidRDefault="006E3E99" w14:paraId="7DD34727" w14:textId="1C62743D">
      <w:pPr>
        <w:ind w:left="5040"/>
        <w:rPr>
          <w:sz w:val="26"/>
          <w:szCs w:val="26"/>
        </w:rPr>
      </w:pPr>
      <w:r w:rsidRPr="00FA1ADC">
        <w:rPr>
          <w:sz w:val="26"/>
          <w:szCs w:val="26"/>
        </w:rPr>
        <w:t xml:space="preserve">  </w:t>
      </w:r>
      <w:r w:rsidRPr="00FA1ADC" w:rsidR="00100097">
        <w:rPr>
          <w:sz w:val="26"/>
          <w:szCs w:val="26"/>
        </w:rPr>
        <w:t xml:space="preserve">    RACHEL PETERSON</w:t>
      </w:r>
    </w:p>
    <w:p w:rsidRPr="00FA1ADC" w:rsidR="00100097" w:rsidP="00100097" w:rsidRDefault="006E3E99" w14:paraId="2D5DAC5D" w14:textId="0B9BE3F2">
      <w:pPr>
        <w:ind w:left="5040"/>
        <w:rPr>
          <w:sz w:val="26"/>
          <w:szCs w:val="26"/>
        </w:rPr>
      </w:pPr>
      <w:r w:rsidRPr="00FA1ADC">
        <w:rPr>
          <w:sz w:val="26"/>
          <w:szCs w:val="26"/>
        </w:rPr>
        <w:t xml:space="preserve">    </w:t>
      </w:r>
      <w:r w:rsidRPr="00FA1ADC" w:rsidR="00742D3E">
        <w:rPr>
          <w:sz w:val="26"/>
          <w:szCs w:val="26"/>
        </w:rPr>
        <w:t xml:space="preserve">    </w:t>
      </w:r>
      <w:r w:rsidRPr="00FA1ADC" w:rsidR="00100097">
        <w:rPr>
          <w:sz w:val="26"/>
          <w:szCs w:val="26"/>
        </w:rPr>
        <w:t>Executive Director</w:t>
      </w:r>
    </w:p>
    <w:p w:rsidRPr="00FA1ADC" w:rsidR="00244478" w:rsidRDefault="00244478" w14:paraId="6970DF0E" w14:textId="77777777">
      <w:pPr>
        <w:rPr>
          <w:sz w:val="26"/>
          <w:szCs w:val="26"/>
        </w:rPr>
      </w:pPr>
    </w:p>
    <w:sectPr w:rsidRPr="00FA1ADC" w:rsidR="00244478" w:rsidSect="0010009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
      <w:r>
        <w:t xml:space="preserve"/>
      </w:r>
    </w:p>
    <w:p>
      <w:r>
        <w:t xml:space="preserve">Attachment 1: </w:t>
      </w:r>
    </w:p>
    <w:p>
      <w:hyperlink w:history="true" r:id="Rf7d646231b664e00">
        <w:r w:rsidRPr="00CB1292">
          <w:rPr>
            <w:rStyle w:val="Hyperlink"/>
            <w:color w:val="2E74B5" w:themeColor="accent1" w:themeShade="BF"/>
            <w:u w:val="single"/>
          </w:rPr>
          <w:t>Appendix A - WSD to PGE - Safety Certificate</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29AA7" w14:textId="77777777" w:rsidR="000C320B" w:rsidRDefault="000C320B" w:rsidP="00100097">
      <w:r>
        <w:separator/>
      </w:r>
    </w:p>
  </w:endnote>
  <w:endnote w:type="continuationSeparator" w:id="0">
    <w:p w14:paraId="49CA4D62" w14:textId="77777777" w:rsidR="000C320B" w:rsidRDefault="000C320B" w:rsidP="00100097">
      <w:r>
        <w:continuationSeparator/>
      </w:r>
    </w:p>
  </w:endnote>
  <w:endnote w:type="continuationNotice" w:id="1">
    <w:p w14:paraId="4B0F5919" w14:textId="77777777" w:rsidR="000C320B" w:rsidRDefault="000C3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580212"/>
      <w:docPartObj>
        <w:docPartGallery w:val="Page Numbers (Bottom of Page)"/>
        <w:docPartUnique/>
      </w:docPartObj>
    </w:sdtPr>
    <w:sdtEndPr>
      <w:rPr>
        <w:rFonts w:ascii="Times New Roman" w:hAnsi="Times New Roman"/>
        <w:noProof/>
        <w:sz w:val="22"/>
        <w:szCs w:val="22"/>
      </w:rPr>
    </w:sdtEndPr>
    <w:sdtContent>
      <w:p w14:paraId="0D72311B" w14:textId="4C5231D4" w:rsidR="001E0D78" w:rsidRPr="001E0D78" w:rsidRDefault="00862D26" w:rsidP="00862D26">
        <w:pPr>
          <w:pStyle w:val="Footer"/>
          <w:rPr>
            <w:rFonts w:ascii="Times New Roman" w:hAnsi="Times New Roman"/>
            <w:sz w:val="22"/>
            <w:szCs w:val="22"/>
          </w:rPr>
        </w:pPr>
        <w:r w:rsidRPr="00862D26">
          <w:rPr>
            <w:rFonts w:ascii="Times New Roman" w:hAnsi="Times New Roman"/>
            <w:sz w:val="18"/>
            <w:szCs w:val="18"/>
          </w:rPr>
          <w:t>367717454</w:t>
        </w:r>
        <w:r>
          <w:tab/>
        </w:r>
        <w:r w:rsidR="001E0D78" w:rsidRPr="001E0D78">
          <w:rPr>
            <w:rFonts w:ascii="Times New Roman" w:hAnsi="Times New Roman"/>
            <w:sz w:val="22"/>
            <w:szCs w:val="22"/>
          </w:rPr>
          <w:fldChar w:fldCharType="begin"/>
        </w:r>
        <w:r w:rsidR="001E0D78" w:rsidRPr="001E0D78">
          <w:rPr>
            <w:rFonts w:ascii="Times New Roman" w:hAnsi="Times New Roman"/>
            <w:sz w:val="22"/>
            <w:szCs w:val="22"/>
          </w:rPr>
          <w:instrText xml:space="preserve"> PAGE   \* MERGEFORMAT </w:instrText>
        </w:r>
        <w:r w:rsidR="001E0D78" w:rsidRPr="001E0D78">
          <w:rPr>
            <w:rFonts w:ascii="Times New Roman" w:hAnsi="Times New Roman"/>
            <w:sz w:val="22"/>
            <w:szCs w:val="22"/>
          </w:rPr>
          <w:fldChar w:fldCharType="separate"/>
        </w:r>
        <w:r w:rsidR="001E0D78" w:rsidRPr="001E0D78">
          <w:rPr>
            <w:rFonts w:ascii="Times New Roman" w:hAnsi="Times New Roman"/>
            <w:noProof/>
            <w:sz w:val="22"/>
            <w:szCs w:val="22"/>
          </w:rPr>
          <w:t>2</w:t>
        </w:r>
        <w:r w:rsidR="001E0D78" w:rsidRPr="001E0D78">
          <w:rPr>
            <w:rFonts w:ascii="Times New Roman" w:hAnsi="Times New Roman"/>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707856"/>
      <w:docPartObj>
        <w:docPartGallery w:val="Page Numbers (Bottom of Page)"/>
        <w:docPartUnique/>
      </w:docPartObj>
    </w:sdtPr>
    <w:sdtEndPr>
      <w:rPr>
        <w:rFonts w:ascii="Times New Roman" w:hAnsi="Times New Roman"/>
        <w:sz w:val="24"/>
        <w:szCs w:val="24"/>
      </w:rPr>
    </w:sdtEndPr>
    <w:sdtContent>
      <w:p w14:paraId="3A88684A" w14:textId="23D2B618" w:rsidR="006E3E99" w:rsidRPr="00D85C4F" w:rsidRDefault="00D85C4F" w:rsidP="00D85C4F">
        <w:pPr>
          <w:pStyle w:val="Footer"/>
          <w:rPr>
            <w:rFonts w:ascii="Times New Roman" w:hAnsi="Times New Roman"/>
            <w:sz w:val="24"/>
            <w:szCs w:val="24"/>
          </w:rPr>
        </w:pPr>
        <w:r w:rsidRPr="00862D26">
          <w:rPr>
            <w:rFonts w:ascii="Times New Roman" w:hAnsi="Times New Roman"/>
            <w:sz w:val="18"/>
            <w:szCs w:val="18"/>
          </w:rPr>
          <w:t>367717454</w:t>
        </w:r>
        <w:r>
          <w:rPr>
            <w:rFonts w:ascii="Times New Roman" w:hAnsi="Times New Roman"/>
            <w:sz w:val="18"/>
            <w:szCs w:val="18"/>
          </w:rPr>
          <w:tab/>
        </w:r>
        <w:r w:rsidR="006E3E99" w:rsidRPr="00D85C4F">
          <w:rPr>
            <w:rFonts w:ascii="Times New Roman" w:hAnsi="Times New Roman"/>
            <w:sz w:val="24"/>
            <w:szCs w:val="24"/>
          </w:rPr>
          <w:fldChar w:fldCharType="begin"/>
        </w:r>
        <w:r w:rsidR="006E3E99" w:rsidRPr="00D85C4F">
          <w:rPr>
            <w:rFonts w:ascii="Times New Roman" w:hAnsi="Times New Roman"/>
            <w:sz w:val="24"/>
            <w:szCs w:val="24"/>
          </w:rPr>
          <w:instrText xml:space="preserve"> PAGE   \* MERGEFORMAT </w:instrText>
        </w:r>
        <w:r w:rsidR="006E3E99" w:rsidRPr="00D85C4F">
          <w:rPr>
            <w:rFonts w:ascii="Times New Roman" w:hAnsi="Times New Roman"/>
            <w:sz w:val="24"/>
            <w:szCs w:val="24"/>
          </w:rPr>
          <w:fldChar w:fldCharType="separate"/>
        </w:r>
        <w:r w:rsidR="006E3E99" w:rsidRPr="00D85C4F">
          <w:rPr>
            <w:rFonts w:ascii="Times New Roman" w:hAnsi="Times New Roman"/>
            <w:sz w:val="24"/>
            <w:szCs w:val="24"/>
          </w:rPr>
          <w:t>2</w:t>
        </w:r>
        <w:r w:rsidR="006E3E99" w:rsidRPr="00D85C4F">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A9601" w14:textId="77777777" w:rsidR="000C320B" w:rsidRDefault="000C320B" w:rsidP="00100097">
      <w:r>
        <w:separator/>
      </w:r>
    </w:p>
  </w:footnote>
  <w:footnote w:type="continuationSeparator" w:id="0">
    <w:p w14:paraId="2622E40F" w14:textId="77777777" w:rsidR="000C320B" w:rsidRDefault="000C320B" w:rsidP="00100097">
      <w:r>
        <w:continuationSeparator/>
      </w:r>
    </w:p>
  </w:footnote>
  <w:footnote w:type="continuationNotice" w:id="1">
    <w:p w14:paraId="7BEF0DF7" w14:textId="77777777" w:rsidR="000C320B" w:rsidRDefault="000C320B"/>
  </w:footnote>
  <w:footnote w:id="2">
    <w:p w14:paraId="09D07D28" w14:textId="7612DAB0" w:rsidR="007F3D2E" w:rsidRPr="00FA1ADC" w:rsidRDefault="007F3D2E" w:rsidP="006E3E99">
      <w:pPr>
        <w:pStyle w:val="FootnoteText"/>
        <w:spacing w:after="120" w:line="240" w:lineRule="exact"/>
        <w:rPr>
          <w:rFonts w:ascii="Times New Roman" w:hAnsi="Times New Roman"/>
          <w:szCs w:val="24"/>
        </w:rPr>
      </w:pPr>
      <w:r w:rsidRPr="00FA1ADC">
        <w:rPr>
          <w:rStyle w:val="FootnoteReference"/>
          <w:rFonts w:ascii="Times New Roman" w:hAnsi="Times New Roman"/>
          <w:b/>
          <w:bCs/>
          <w:szCs w:val="24"/>
          <w:u w:val="single"/>
        </w:rPr>
        <w:footnoteRef/>
      </w:r>
      <w:r w:rsidRPr="00FA1ADC">
        <w:rPr>
          <w:rFonts w:ascii="Times New Roman" w:hAnsi="Times New Roman"/>
          <w:szCs w:val="24"/>
        </w:rPr>
        <w:t xml:space="preserve"> Pub. Util. Code § 8389(f)(2).</w:t>
      </w:r>
    </w:p>
  </w:footnote>
  <w:footnote w:id="3">
    <w:p w14:paraId="1FA70F44" w14:textId="7E81C517" w:rsidR="00317E5A" w:rsidRPr="00FA1ADC" w:rsidRDefault="00317E5A" w:rsidP="006E3E99">
      <w:pPr>
        <w:pStyle w:val="FootnoteText"/>
        <w:spacing w:after="120" w:line="240" w:lineRule="exact"/>
        <w:rPr>
          <w:rFonts w:ascii="Times New Roman" w:hAnsi="Times New Roman"/>
          <w:szCs w:val="24"/>
        </w:rPr>
      </w:pPr>
      <w:r w:rsidRPr="00FA1ADC">
        <w:rPr>
          <w:rStyle w:val="FootnoteReference"/>
          <w:rFonts w:ascii="Times New Roman" w:hAnsi="Times New Roman"/>
          <w:b/>
          <w:bCs/>
          <w:szCs w:val="24"/>
          <w:u w:val="single"/>
        </w:rPr>
        <w:footnoteRef/>
      </w:r>
      <w:r w:rsidRPr="00FA1ADC">
        <w:rPr>
          <w:rFonts w:ascii="Times New Roman" w:hAnsi="Times New Roman"/>
          <w:szCs w:val="24"/>
        </w:rPr>
        <w:t xml:space="preserve"> </w:t>
      </w:r>
      <w:r w:rsidR="00DA06B8" w:rsidRPr="00FA1ADC">
        <w:rPr>
          <w:rFonts w:ascii="Times New Roman" w:hAnsi="Times New Roman"/>
          <w:szCs w:val="24"/>
        </w:rPr>
        <w:t>At the same time, the Commission adopted</w:t>
      </w:r>
      <w:r w:rsidRPr="00FA1ADC">
        <w:rPr>
          <w:rFonts w:ascii="Times New Roman" w:hAnsi="Times New Roman"/>
          <w:szCs w:val="24"/>
        </w:rPr>
        <w:t xml:space="preserve"> Resolution WSD-002, </w:t>
      </w:r>
      <w:r w:rsidR="00DA06B8" w:rsidRPr="00FA1ADC">
        <w:rPr>
          <w:rFonts w:ascii="Times New Roman" w:hAnsi="Times New Roman"/>
          <w:szCs w:val="24"/>
        </w:rPr>
        <w:t>which contains “guidance” conditions applicable to all electrical corporations including PG&amp;E</w:t>
      </w:r>
      <w:r w:rsidRPr="00FA1ADC">
        <w:rPr>
          <w:rFonts w:ascii="Times New Roman" w:hAnsi="Times New Roman"/>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DC74" w14:textId="001FAFEC" w:rsidR="00100097" w:rsidRDefault="00100097" w:rsidP="00100097">
    <w:pPr>
      <w:pStyle w:val="Header"/>
    </w:pPr>
    <w:r w:rsidRPr="008E1AD7">
      <w:rPr>
        <w:rFonts w:ascii="Times New Roman" w:hAnsi="Times New Roman"/>
      </w:rPr>
      <w:t xml:space="preserve">Resolution </w:t>
    </w:r>
    <w:r>
      <w:rPr>
        <w:rFonts w:ascii="Times New Roman" w:hAnsi="Times New Roman"/>
      </w:rPr>
      <w:t>M-</w:t>
    </w:r>
    <w:r w:rsidR="00023A7C">
      <w:rPr>
        <w:rFonts w:ascii="Times New Roman" w:hAnsi="Times New Roman"/>
      </w:rPr>
      <w:t>4851</w:t>
    </w:r>
    <w:r w:rsidRPr="008E1AD7">
      <w:rPr>
        <w:rFonts w:ascii="Times New Roman" w:hAnsi="Times New Roman"/>
      </w:rPr>
      <w:t xml:space="preserve">                                    </w:t>
    </w:r>
    <w:r w:rsidRPr="008E1AD7">
      <w:rPr>
        <w:rFonts w:ascii="Times New Roman" w:hAnsi="Times New Roman"/>
        <w:b/>
        <w:bCs/>
      </w:rPr>
      <w:t>DRAFT</w:t>
    </w:r>
    <w:r w:rsidRPr="008E1AD7">
      <w:rPr>
        <w:rFonts w:ascii="Times New Roman" w:hAnsi="Times New Roman"/>
      </w:rPr>
      <w:t xml:space="preserve">             </w:t>
    </w:r>
    <w:r>
      <w:rPr>
        <w:rFonts w:ascii="Times New Roman" w:hAnsi="Times New Roman"/>
      </w:rPr>
      <w:tab/>
    </w:r>
    <w:r w:rsidR="00023A7C">
      <w:rPr>
        <w:rFonts w:ascii="Times New Roman" w:hAnsi="Times New Roman"/>
      </w:rPr>
      <w:t xml:space="preserve">April 15, </w:t>
    </w:r>
    <w:r>
      <w:rPr>
        <w:rFonts w:ascii="Times New Roman" w:hAnsi="Times New Roman"/>
      </w:rPr>
      <w:t>2021</w:t>
    </w:r>
  </w:p>
  <w:p w14:paraId="11F4F897" w14:textId="77777777" w:rsidR="00A962F6" w:rsidRDefault="00A962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78D2" w14:textId="3B09B384" w:rsidR="00100097" w:rsidRDefault="00100097" w:rsidP="00100097">
    <w:pPr>
      <w:pStyle w:val="Header"/>
    </w:pPr>
    <w:r>
      <w:rPr>
        <w:rFonts w:ascii="Times New Roman" w:hAnsi="Times New Roman"/>
        <w:b/>
        <w:bCs/>
      </w:rPr>
      <w:tab/>
    </w:r>
    <w:r w:rsidRPr="008E1AD7">
      <w:rPr>
        <w:rFonts w:ascii="Times New Roman" w:hAnsi="Times New Roman"/>
        <w:b/>
        <w:bCs/>
      </w:rPr>
      <w:t>DRAFT</w:t>
    </w:r>
    <w:r w:rsidRPr="008E1AD7">
      <w:rPr>
        <w:rFonts w:ascii="Times New Roman" w:hAnsi="Times New Roman"/>
      </w:rPr>
      <w:t xml:space="preserve">             </w:t>
    </w:r>
    <w:r>
      <w:rPr>
        <w:rFonts w:ascii="Times New Roman" w:hAnsi="Times New Roman"/>
      </w:rPr>
      <w:tab/>
    </w:r>
    <w:r w:rsidRPr="00C92E2A">
      <w:rPr>
        <w:rFonts w:ascii="Times New Roman" w:hAnsi="Times New Roman"/>
        <w:b/>
        <w:bCs/>
      </w:rPr>
      <w:t xml:space="preserve">Item __ [Agenda ID </w:t>
    </w:r>
    <w:r w:rsidR="002647B3">
      <w:rPr>
        <w:rFonts w:ascii="Times New Roman" w:hAnsi="Times New Roman"/>
        <w:b/>
        <w:bCs/>
      </w:rPr>
      <w:t># 19235</w:t>
    </w:r>
  </w:p>
  <w:p w14:paraId="7F968F82" w14:textId="77777777" w:rsidR="00100097" w:rsidRDefault="00100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BD1"/>
    <w:multiLevelType w:val="hybridMultilevel"/>
    <w:tmpl w:val="0D2E0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10AF5"/>
    <w:multiLevelType w:val="hybridMultilevel"/>
    <w:tmpl w:val="B0923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7E53"/>
    <w:multiLevelType w:val="hybridMultilevel"/>
    <w:tmpl w:val="EAE63F12"/>
    <w:lvl w:ilvl="0" w:tplc="CF128A98">
      <w:start w:val="1"/>
      <w:numFmt w:val="upperRoman"/>
      <w:pStyle w:val="Heading1"/>
      <w:lvlText w:val="%1."/>
      <w:lvlJc w:val="left"/>
      <w:pPr>
        <w:ind w:left="0" w:firstLine="0"/>
      </w:pPr>
    </w:lvl>
    <w:lvl w:ilvl="1" w:tplc="6F80DBEE">
      <w:start w:val="1"/>
      <w:numFmt w:val="upperLetter"/>
      <w:pStyle w:val="Heading2"/>
      <w:lvlText w:val="%2."/>
      <w:lvlJc w:val="left"/>
      <w:pPr>
        <w:ind w:left="720" w:firstLine="0"/>
      </w:pPr>
    </w:lvl>
    <w:lvl w:ilvl="2" w:tplc="F828CC1E">
      <w:start w:val="1"/>
      <w:numFmt w:val="decimal"/>
      <w:pStyle w:val="Heading3"/>
      <w:lvlText w:val="%3."/>
      <w:lvlJc w:val="left"/>
      <w:pPr>
        <w:ind w:left="1440" w:firstLine="0"/>
      </w:pPr>
    </w:lvl>
    <w:lvl w:ilvl="3" w:tplc="22F8DED4">
      <w:start w:val="1"/>
      <w:numFmt w:val="lowerLetter"/>
      <w:pStyle w:val="Heading4"/>
      <w:lvlText w:val="%4)"/>
      <w:lvlJc w:val="left"/>
      <w:pPr>
        <w:ind w:left="2160" w:firstLine="0"/>
      </w:pPr>
    </w:lvl>
    <w:lvl w:ilvl="4" w:tplc="1F623876">
      <w:start w:val="1"/>
      <w:numFmt w:val="decimal"/>
      <w:pStyle w:val="Heading5"/>
      <w:lvlText w:val="(%5)"/>
      <w:lvlJc w:val="left"/>
      <w:pPr>
        <w:ind w:left="2880" w:firstLine="0"/>
      </w:pPr>
    </w:lvl>
    <w:lvl w:ilvl="5" w:tplc="613474DA">
      <w:start w:val="1"/>
      <w:numFmt w:val="lowerLetter"/>
      <w:pStyle w:val="Heading6"/>
      <w:lvlText w:val="(%6)"/>
      <w:lvlJc w:val="left"/>
      <w:pPr>
        <w:ind w:left="3600" w:firstLine="0"/>
      </w:pPr>
    </w:lvl>
    <w:lvl w:ilvl="6" w:tplc="58B8FE16">
      <w:start w:val="1"/>
      <w:numFmt w:val="lowerRoman"/>
      <w:pStyle w:val="Heading7"/>
      <w:lvlText w:val="(%7)"/>
      <w:lvlJc w:val="left"/>
      <w:pPr>
        <w:ind w:left="4320" w:firstLine="0"/>
      </w:pPr>
    </w:lvl>
    <w:lvl w:ilvl="7" w:tplc="4950F6CE">
      <w:start w:val="1"/>
      <w:numFmt w:val="lowerLetter"/>
      <w:pStyle w:val="Heading8"/>
      <w:lvlText w:val="(%8)"/>
      <w:lvlJc w:val="left"/>
      <w:pPr>
        <w:ind w:left="5040" w:firstLine="0"/>
      </w:pPr>
    </w:lvl>
    <w:lvl w:ilvl="8" w:tplc="EEEA2056">
      <w:start w:val="1"/>
      <w:numFmt w:val="lowerRoman"/>
      <w:pStyle w:val="Heading9"/>
      <w:lvlText w:val="(%9)"/>
      <w:lvlJc w:val="left"/>
      <w:pPr>
        <w:ind w:left="5760" w:firstLine="0"/>
      </w:pPr>
    </w:lvl>
  </w:abstractNum>
  <w:abstractNum w:abstractNumId="3" w15:restartNumberingAfterBreak="0">
    <w:nsid w:val="27B15C8E"/>
    <w:multiLevelType w:val="hybridMultilevel"/>
    <w:tmpl w:val="BB0A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A115D"/>
    <w:multiLevelType w:val="hybridMultilevel"/>
    <w:tmpl w:val="832EF962"/>
    <w:lvl w:ilvl="0" w:tplc="DC8A1AF4">
      <w:start w:val="1"/>
      <w:numFmt w:val="decimal"/>
      <w:lvlText w:val="%1."/>
      <w:lvlJc w:val="left"/>
      <w:pPr>
        <w:ind w:left="1350" w:hanging="450"/>
      </w:pPr>
      <w:rPr>
        <w:rFonts w:ascii="Times New Roman" w:eastAsia="Times New Roman" w:hAnsi="Times New Roman" w:cs="Times New Roman" w:hint="default"/>
        <w:w w:val="100"/>
        <w:sz w:val="24"/>
        <w:szCs w:val="24"/>
      </w:rPr>
    </w:lvl>
    <w:lvl w:ilvl="1" w:tplc="7B2E3900">
      <w:numFmt w:val="bullet"/>
      <w:lvlText w:val="•"/>
      <w:lvlJc w:val="left"/>
      <w:pPr>
        <w:ind w:left="2192" w:hanging="450"/>
      </w:pPr>
      <w:rPr>
        <w:rFonts w:hint="default"/>
      </w:rPr>
    </w:lvl>
    <w:lvl w:ilvl="2" w:tplc="1144A80E">
      <w:numFmt w:val="bullet"/>
      <w:lvlText w:val="•"/>
      <w:lvlJc w:val="left"/>
      <w:pPr>
        <w:ind w:left="3024" w:hanging="450"/>
      </w:pPr>
      <w:rPr>
        <w:rFonts w:hint="default"/>
      </w:rPr>
    </w:lvl>
    <w:lvl w:ilvl="3" w:tplc="8A98832A">
      <w:numFmt w:val="bullet"/>
      <w:lvlText w:val="•"/>
      <w:lvlJc w:val="left"/>
      <w:pPr>
        <w:ind w:left="3856" w:hanging="450"/>
      </w:pPr>
      <w:rPr>
        <w:rFonts w:hint="default"/>
      </w:rPr>
    </w:lvl>
    <w:lvl w:ilvl="4" w:tplc="6A42E310">
      <w:numFmt w:val="bullet"/>
      <w:lvlText w:val="•"/>
      <w:lvlJc w:val="left"/>
      <w:pPr>
        <w:ind w:left="4688" w:hanging="450"/>
      </w:pPr>
      <w:rPr>
        <w:rFonts w:hint="default"/>
      </w:rPr>
    </w:lvl>
    <w:lvl w:ilvl="5" w:tplc="5880985C">
      <w:numFmt w:val="bullet"/>
      <w:lvlText w:val="•"/>
      <w:lvlJc w:val="left"/>
      <w:pPr>
        <w:ind w:left="5520" w:hanging="450"/>
      </w:pPr>
      <w:rPr>
        <w:rFonts w:hint="default"/>
      </w:rPr>
    </w:lvl>
    <w:lvl w:ilvl="6" w:tplc="8A42A4AC">
      <w:numFmt w:val="bullet"/>
      <w:lvlText w:val="•"/>
      <w:lvlJc w:val="left"/>
      <w:pPr>
        <w:ind w:left="6352" w:hanging="450"/>
      </w:pPr>
      <w:rPr>
        <w:rFonts w:hint="default"/>
      </w:rPr>
    </w:lvl>
    <w:lvl w:ilvl="7" w:tplc="F7BA2A38">
      <w:numFmt w:val="bullet"/>
      <w:lvlText w:val="•"/>
      <w:lvlJc w:val="left"/>
      <w:pPr>
        <w:ind w:left="7184" w:hanging="450"/>
      </w:pPr>
      <w:rPr>
        <w:rFonts w:hint="default"/>
      </w:rPr>
    </w:lvl>
    <w:lvl w:ilvl="8" w:tplc="336296D2">
      <w:numFmt w:val="bullet"/>
      <w:lvlText w:val="•"/>
      <w:lvlJc w:val="left"/>
      <w:pPr>
        <w:ind w:left="8016" w:hanging="450"/>
      </w:pPr>
      <w:rPr>
        <w:rFonts w:hint="default"/>
      </w:rPr>
    </w:lvl>
  </w:abstractNum>
  <w:abstractNum w:abstractNumId="5" w15:restartNumberingAfterBreak="0">
    <w:nsid w:val="513E0BBF"/>
    <w:multiLevelType w:val="hybridMultilevel"/>
    <w:tmpl w:val="9134187C"/>
    <w:lvl w:ilvl="0" w:tplc="8EEA37B6">
      <w:numFmt w:val="bullet"/>
      <w:lvlText w:val=""/>
      <w:lvlJc w:val="left"/>
      <w:pPr>
        <w:ind w:left="1350" w:hanging="450"/>
      </w:pPr>
      <w:rPr>
        <w:rFonts w:ascii="Symbol" w:eastAsia="Symbol" w:hAnsi="Symbol" w:cs="Symbol" w:hint="default"/>
        <w:w w:val="100"/>
        <w:sz w:val="20"/>
        <w:szCs w:val="20"/>
      </w:rPr>
    </w:lvl>
    <w:lvl w:ilvl="1" w:tplc="88887118">
      <w:numFmt w:val="bullet"/>
      <w:lvlText w:val="•"/>
      <w:lvlJc w:val="left"/>
      <w:pPr>
        <w:ind w:left="2192" w:hanging="450"/>
      </w:pPr>
      <w:rPr>
        <w:rFonts w:hint="default"/>
      </w:rPr>
    </w:lvl>
    <w:lvl w:ilvl="2" w:tplc="28B06BBA">
      <w:numFmt w:val="bullet"/>
      <w:lvlText w:val="•"/>
      <w:lvlJc w:val="left"/>
      <w:pPr>
        <w:ind w:left="3024" w:hanging="450"/>
      </w:pPr>
      <w:rPr>
        <w:rFonts w:hint="default"/>
      </w:rPr>
    </w:lvl>
    <w:lvl w:ilvl="3" w:tplc="5830BBBA">
      <w:numFmt w:val="bullet"/>
      <w:lvlText w:val="•"/>
      <w:lvlJc w:val="left"/>
      <w:pPr>
        <w:ind w:left="3856" w:hanging="450"/>
      </w:pPr>
      <w:rPr>
        <w:rFonts w:hint="default"/>
      </w:rPr>
    </w:lvl>
    <w:lvl w:ilvl="4" w:tplc="560A39C0">
      <w:numFmt w:val="bullet"/>
      <w:lvlText w:val="•"/>
      <w:lvlJc w:val="left"/>
      <w:pPr>
        <w:ind w:left="4688" w:hanging="450"/>
      </w:pPr>
      <w:rPr>
        <w:rFonts w:hint="default"/>
      </w:rPr>
    </w:lvl>
    <w:lvl w:ilvl="5" w:tplc="EDF4524C">
      <w:numFmt w:val="bullet"/>
      <w:lvlText w:val="•"/>
      <w:lvlJc w:val="left"/>
      <w:pPr>
        <w:ind w:left="5520" w:hanging="450"/>
      </w:pPr>
      <w:rPr>
        <w:rFonts w:hint="default"/>
      </w:rPr>
    </w:lvl>
    <w:lvl w:ilvl="6" w:tplc="9F46E048">
      <w:numFmt w:val="bullet"/>
      <w:lvlText w:val="•"/>
      <w:lvlJc w:val="left"/>
      <w:pPr>
        <w:ind w:left="6352" w:hanging="450"/>
      </w:pPr>
      <w:rPr>
        <w:rFonts w:hint="default"/>
      </w:rPr>
    </w:lvl>
    <w:lvl w:ilvl="7" w:tplc="E62A8E28">
      <w:numFmt w:val="bullet"/>
      <w:lvlText w:val="•"/>
      <w:lvlJc w:val="left"/>
      <w:pPr>
        <w:ind w:left="7184" w:hanging="450"/>
      </w:pPr>
      <w:rPr>
        <w:rFonts w:hint="default"/>
      </w:rPr>
    </w:lvl>
    <w:lvl w:ilvl="8" w:tplc="39F27848">
      <w:numFmt w:val="bullet"/>
      <w:lvlText w:val="•"/>
      <w:lvlJc w:val="left"/>
      <w:pPr>
        <w:ind w:left="8016" w:hanging="450"/>
      </w:pPr>
      <w:rPr>
        <w:rFonts w:hint="default"/>
      </w:rPr>
    </w:lvl>
  </w:abstractNum>
  <w:abstractNum w:abstractNumId="6" w15:restartNumberingAfterBreak="0">
    <w:nsid w:val="67E806A5"/>
    <w:multiLevelType w:val="hybridMultilevel"/>
    <w:tmpl w:val="0D2E0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97"/>
    <w:rsid w:val="0001270C"/>
    <w:rsid w:val="000167B8"/>
    <w:rsid w:val="0002126A"/>
    <w:rsid w:val="00023A7C"/>
    <w:rsid w:val="00026733"/>
    <w:rsid w:val="000A4DC4"/>
    <w:rsid w:val="000B159E"/>
    <w:rsid w:val="000B7CCE"/>
    <w:rsid w:val="000C320B"/>
    <w:rsid w:val="000C6B56"/>
    <w:rsid w:val="000D4B0A"/>
    <w:rsid w:val="00100097"/>
    <w:rsid w:val="00100BD3"/>
    <w:rsid w:val="00133578"/>
    <w:rsid w:val="00133ADE"/>
    <w:rsid w:val="001520E7"/>
    <w:rsid w:val="00170465"/>
    <w:rsid w:val="001B68A2"/>
    <w:rsid w:val="001D0DA5"/>
    <w:rsid w:val="001E0D78"/>
    <w:rsid w:val="001F3BEF"/>
    <w:rsid w:val="00212260"/>
    <w:rsid w:val="00244478"/>
    <w:rsid w:val="002525B4"/>
    <w:rsid w:val="002647B3"/>
    <w:rsid w:val="002721CC"/>
    <w:rsid w:val="00283F34"/>
    <w:rsid w:val="00295615"/>
    <w:rsid w:val="002D1403"/>
    <w:rsid w:val="002D3A82"/>
    <w:rsid w:val="002D6C8F"/>
    <w:rsid w:val="002F25B4"/>
    <w:rsid w:val="002F2BB1"/>
    <w:rsid w:val="003017C8"/>
    <w:rsid w:val="003036E1"/>
    <w:rsid w:val="0030633F"/>
    <w:rsid w:val="00317E5A"/>
    <w:rsid w:val="003337D5"/>
    <w:rsid w:val="003347FA"/>
    <w:rsid w:val="0034012F"/>
    <w:rsid w:val="00370E2C"/>
    <w:rsid w:val="003726FE"/>
    <w:rsid w:val="003931BC"/>
    <w:rsid w:val="00393C81"/>
    <w:rsid w:val="003D16D8"/>
    <w:rsid w:val="003D66BD"/>
    <w:rsid w:val="00415B10"/>
    <w:rsid w:val="0042206F"/>
    <w:rsid w:val="00441128"/>
    <w:rsid w:val="00443649"/>
    <w:rsid w:val="00444BDA"/>
    <w:rsid w:val="00462511"/>
    <w:rsid w:val="00473ACE"/>
    <w:rsid w:val="004831D9"/>
    <w:rsid w:val="0049263B"/>
    <w:rsid w:val="00493EAD"/>
    <w:rsid w:val="00495E9A"/>
    <w:rsid w:val="004C7F41"/>
    <w:rsid w:val="004D6A92"/>
    <w:rsid w:val="004F51A1"/>
    <w:rsid w:val="00513572"/>
    <w:rsid w:val="005163B3"/>
    <w:rsid w:val="005269C2"/>
    <w:rsid w:val="0053383D"/>
    <w:rsid w:val="005421F7"/>
    <w:rsid w:val="005423BE"/>
    <w:rsid w:val="00542C99"/>
    <w:rsid w:val="005724BC"/>
    <w:rsid w:val="00574AA5"/>
    <w:rsid w:val="00574DF9"/>
    <w:rsid w:val="0058687D"/>
    <w:rsid w:val="00594677"/>
    <w:rsid w:val="005961C2"/>
    <w:rsid w:val="005B308A"/>
    <w:rsid w:val="005B7957"/>
    <w:rsid w:val="005C368C"/>
    <w:rsid w:val="00604873"/>
    <w:rsid w:val="0063038D"/>
    <w:rsid w:val="0063088C"/>
    <w:rsid w:val="0065361E"/>
    <w:rsid w:val="0065634C"/>
    <w:rsid w:val="00686B2B"/>
    <w:rsid w:val="006B4113"/>
    <w:rsid w:val="006D7592"/>
    <w:rsid w:val="006E3ACD"/>
    <w:rsid w:val="006E3E99"/>
    <w:rsid w:val="006E7CDC"/>
    <w:rsid w:val="0071174A"/>
    <w:rsid w:val="00713819"/>
    <w:rsid w:val="007244C8"/>
    <w:rsid w:val="007264D6"/>
    <w:rsid w:val="00727E34"/>
    <w:rsid w:val="00742D3E"/>
    <w:rsid w:val="00761976"/>
    <w:rsid w:val="007657A3"/>
    <w:rsid w:val="00771893"/>
    <w:rsid w:val="00775BC7"/>
    <w:rsid w:val="00781BAD"/>
    <w:rsid w:val="00783EFA"/>
    <w:rsid w:val="007A20D4"/>
    <w:rsid w:val="007A690C"/>
    <w:rsid w:val="007A7139"/>
    <w:rsid w:val="007B05EF"/>
    <w:rsid w:val="007B6F9D"/>
    <w:rsid w:val="007E3234"/>
    <w:rsid w:val="007F1629"/>
    <w:rsid w:val="007F3D2E"/>
    <w:rsid w:val="008507B9"/>
    <w:rsid w:val="008626CD"/>
    <w:rsid w:val="00862D26"/>
    <w:rsid w:val="00875DD1"/>
    <w:rsid w:val="008766AC"/>
    <w:rsid w:val="008D125D"/>
    <w:rsid w:val="008D767A"/>
    <w:rsid w:val="008E4F3F"/>
    <w:rsid w:val="008F5363"/>
    <w:rsid w:val="00961CAE"/>
    <w:rsid w:val="00970FFA"/>
    <w:rsid w:val="00974988"/>
    <w:rsid w:val="009959F7"/>
    <w:rsid w:val="009B2D50"/>
    <w:rsid w:val="009C28B1"/>
    <w:rsid w:val="009C63B7"/>
    <w:rsid w:val="009C642F"/>
    <w:rsid w:val="009D656B"/>
    <w:rsid w:val="009E1FB4"/>
    <w:rsid w:val="009E40E0"/>
    <w:rsid w:val="009F1FAA"/>
    <w:rsid w:val="009F65A1"/>
    <w:rsid w:val="009F7B9B"/>
    <w:rsid w:val="00A0090E"/>
    <w:rsid w:val="00A05548"/>
    <w:rsid w:val="00A14831"/>
    <w:rsid w:val="00A16924"/>
    <w:rsid w:val="00A451BD"/>
    <w:rsid w:val="00A807D6"/>
    <w:rsid w:val="00A962F6"/>
    <w:rsid w:val="00AB4373"/>
    <w:rsid w:val="00AC6ECF"/>
    <w:rsid w:val="00AE53AA"/>
    <w:rsid w:val="00AE788F"/>
    <w:rsid w:val="00AF4C9C"/>
    <w:rsid w:val="00B150D7"/>
    <w:rsid w:val="00B20648"/>
    <w:rsid w:val="00B33007"/>
    <w:rsid w:val="00B337E6"/>
    <w:rsid w:val="00B4721D"/>
    <w:rsid w:val="00B4766F"/>
    <w:rsid w:val="00B51A6F"/>
    <w:rsid w:val="00B61E3C"/>
    <w:rsid w:val="00B6236C"/>
    <w:rsid w:val="00B63E37"/>
    <w:rsid w:val="00BB1E89"/>
    <w:rsid w:val="00BB7B9F"/>
    <w:rsid w:val="00BE7746"/>
    <w:rsid w:val="00BF6537"/>
    <w:rsid w:val="00C04707"/>
    <w:rsid w:val="00C102C4"/>
    <w:rsid w:val="00C10E1E"/>
    <w:rsid w:val="00C1412F"/>
    <w:rsid w:val="00C1630F"/>
    <w:rsid w:val="00C21F32"/>
    <w:rsid w:val="00C410D2"/>
    <w:rsid w:val="00C44BF9"/>
    <w:rsid w:val="00C461FB"/>
    <w:rsid w:val="00C50A33"/>
    <w:rsid w:val="00C64248"/>
    <w:rsid w:val="00C75FCF"/>
    <w:rsid w:val="00C8115B"/>
    <w:rsid w:val="00C832E3"/>
    <w:rsid w:val="00C92E2A"/>
    <w:rsid w:val="00CA0913"/>
    <w:rsid w:val="00CC263C"/>
    <w:rsid w:val="00CC5280"/>
    <w:rsid w:val="00CE35E5"/>
    <w:rsid w:val="00D62827"/>
    <w:rsid w:val="00D66951"/>
    <w:rsid w:val="00D672AD"/>
    <w:rsid w:val="00D80E4A"/>
    <w:rsid w:val="00D8243A"/>
    <w:rsid w:val="00D85C4F"/>
    <w:rsid w:val="00DA06B8"/>
    <w:rsid w:val="00DE6327"/>
    <w:rsid w:val="00DF5662"/>
    <w:rsid w:val="00E45B60"/>
    <w:rsid w:val="00E85113"/>
    <w:rsid w:val="00E85CDC"/>
    <w:rsid w:val="00E93E9F"/>
    <w:rsid w:val="00EA4BB2"/>
    <w:rsid w:val="00EB6DB5"/>
    <w:rsid w:val="00ED0164"/>
    <w:rsid w:val="00EF3D1F"/>
    <w:rsid w:val="00F251A8"/>
    <w:rsid w:val="00F64A6A"/>
    <w:rsid w:val="00F7390E"/>
    <w:rsid w:val="00F9329A"/>
    <w:rsid w:val="00FA1ADC"/>
    <w:rsid w:val="00FB2227"/>
    <w:rsid w:val="00FC4AD6"/>
    <w:rsid w:val="00FD5BB9"/>
    <w:rsid w:val="00FD61F5"/>
    <w:rsid w:val="00FD794C"/>
    <w:rsid w:val="00FE6DAF"/>
    <w:rsid w:val="00FF304D"/>
    <w:rsid w:val="0190B28F"/>
    <w:rsid w:val="0276B5F3"/>
    <w:rsid w:val="03F2406C"/>
    <w:rsid w:val="043EF210"/>
    <w:rsid w:val="04A9F053"/>
    <w:rsid w:val="04C81337"/>
    <w:rsid w:val="04F2C728"/>
    <w:rsid w:val="0515D9D6"/>
    <w:rsid w:val="0589A211"/>
    <w:rsid w:val="065D332D"/>
    <w:rsid w:val="06DA5D4B"/>
    <w:rsid w:val="06EBDBE9"/>
    <w:rsid w:val="07323FDE"/>
    <w:rsid w:val="07B114CF"/>
    <w:rsid w:val="084265E4"/>
    <w:rsid w:val="08613DDD"/>
    <w:rsid w:val="08DDC385"/>
    <w:rsid w:val="090A8A18"/>
    <w:rsid w:val="0A353254"/>
    <w:rsid w:val="0ACD010A"/>
    <w:rsid w:val="0DB5ACDB"/>
    <w:rsid w:val="0E29E6B4"/>
    <w:rsid w:val="119E5F09"/>
    <w:rsid w:val="11E128CE"/>
    <w:rsid w:val="1229FA17"/>
    <w:rsid w:val="14D66544"/>
    <w:rsid w:val="15A2231C"/>
    <w:rsid w:val="15FDAE91"/>
    <w:rsid w:val="165CBFB5"/>
    <w:rsid w:val="16E4F38D"/>
    <w:rsid w:val="175CF0E1"/>
    <w:rsid w:val="19B227C2"/>
    <w:rsid w:val="1A35E31E"/>
    <w:rsid w:val="1A444B98"/>
    <w:rsid w:val="1B9A7BEA"/>
    <w:rsid w:val="1DED01A9"/>
    <w:rsid w:val="1E21C3DD"/>
    <w:rsid w:val="1F46BB0D"/>
    <w:rsid w:val="1F6FA6CA"/>
    <w:rsid w:val="207E76A6"/>
    <w:rsid w:val="21C89F5F"/>
    <w:rsid w:val="23738083"/>
    <w:rsid w:val="24430C89"/>
    <w:rsid w:val="24CD1573"/>
    <w:rsid w:val="26149CA4"/>
    <w:rsid w:val="268FAD2A"/>
    <w:rsid w:val="280A8EB7"/>
    <w:rsid w:val="2835512D"/>
    <w:rsid w:val="283A7ED7"/>
    <w:rsid w:val="28949192"/>
    <w:rsid w:val="28B46EB0"/>
    <w:rsid w:val="28CCA520"/>
    <w:rsid w:val="2954FD61"/>
    <w:rsid w:val="2B3B185F"/>
    <w:rsid w:val="2C0C172E"/>
    <w:rsid w:val="2D6058B8"/>
    <w:rsid w:val="2D7369C8"/>
    <w:rsid w:val="2E78AD6E"/>
    <w:rsid w:val="3023154D"/>
    <w:rsid w:val="302586D0"/>
    <w:rsid w:val="303979B9"/>
    <w:rsid w:val="3060652A"/>
    <w:rsid w:val="3136B5BB"/>
    <w:rsid w:val="31C8ACF8"/>
    <w:rsid w:val="332977A4"/>
    <w:rsid w:val="345E1F3E"/>
    <w:rsid w:val="34B434F5"/>
    <w:rsid w:val="34E5A7C3"/>
    <w:rsid w:val="35446F14"/>
    <w:rsid w:val="356EA2D7"/>
    <w:rsid w:val="3585D796"/>
    <w:rsid w:val="35B2998E"/>
    <w:rsid w:val="35F9E826"/>
    <w:rsid w:val="372C4CD2"/>
    <w:rsid w:val="383EAD68"/>
    <w:rsid w:val="39B918E6"/>
    <w:rsid w:val="3A9F6E39"/>
    <w:rsid w:val="3AD38067"/>
    <w:rsid w:val="3B72A1FD"/>
    <w:rsid w:val="3BAB913C"/>
    <w:rsid w:val="3BFF0C0E"/>
    <w:rsid w:val="3C048E6B"/>
    <w:rsid w:val="3D619674"/>
    <w:rsid w:val="3E09F82E"/>
    <w:rsid w:val="3EC4858E"/>
    <w:rsid w:val="40146E94"/>
    <w:rsid w:val="4136F691"/>
    <w:rsid w:val="41630F4F"/>
    <w:rsid w:val="41C6BDB5"/>
    <w:rsid w:val="42662E36"/>
    <w:rsid w:val="433C4904"/>
    <w:rsid w:val="43512DF6"/>
    <w:rsid w:val="439F19EE"/>
    <w:rsid w:val="43A653DC"/>
    <w:rsid w:val="43ADFD7D"/>
    <w:rsid w:val="44BB8E99"/>
    <w:rsid w:val="470B12DB"/>
    <w:rsid w:val="4721E117"/>
    <w:rsid w:val="476E3FD8"/>
    <w:rsid w:val="47A27154"/>
    <w:rsid w:val="483B59D5"/>
    <w:rsid w:val="48D8DF44"/>
    <w:rsid w:val="48F814D2"/>
    <w:rsid w:val="4950445C"/>
    <w:rsid w:val="4A6A0C50"/>
    <w:rsid w:val="4A786478"/>
    <w:rsid w:val="4B72FA97"/>
    <w:rsid w:val="4BC2275B"/>
    <w:rsid w:val="4C1434D9"/>
    <w:rsid w:val="4C1BC734"/>
    <w:rsid w:val="4CF4CF1E"/>
    <w:rsid w:val="4DE732D8"/>
    <w:rsid w:val="4E583587"/>
    <w:rsid w:val="4FA7F730"/>
    <w:rsid w:val="4FB9F56A"/>
    <w:rsid w:val="52D0B2C6"/>
    <w:rsid w:val="5340EB67"/>
    <w:rsid w:val="5361FE32"/>
    <w:rsid w:val="537B1D19"/>
    <w:rsid w:val="53954FD1"/>
    <w:rsid w:val="53CF3D84"/>
    <w:rsid w:val="544DD6B7"/>
    <w:rsid w:val="5463C68B"/>
    <w:rsid w:val="553E4FC1"/>
    <w:rsid w:val="555FB9A9"/>
    <w:rsid w:val="55AB632C"/>
    <w:rsid w:val="5762B8CF"/>
    <w:rsid w:val="57ED6FB8"/>
    <w:rsid w:val="59446274"/>
    <w:rsid w:val="59FBE635"/>
    <w:rsid w:val="5A640152"/>
    <w:rsid w:val="5AC2A634"/>
    <w:rsid w:val="5AF4534A"/>
    <w:rsid w:val="5B161720"/>
    <w:rsid w:val="5B64BDE4"/>
    <w:rsid w:val="5C01EC8D"/>
    <w:rsid w:val="5DB46A35"/>
    <w:rsid w:val="6139EBA5"/>
    <w:rsid w:val="613BB975"/>
    <w:rsid w:val="6215E0AC"/>
    <w:rsid w:val="62515A95"/>
    <w:rsid w:val="633F4AB0"/>
    <w:rsid w:val="63F77996"/>
    <w:rsid w:val="6469C7A1"/>
    <w:rsid w:val="64D8904B"/>
    <w:rsid w:val="65830B3F"/>
    <w:rsid w:val="659349F7"/>
    <w:rsid w:val="6604C310"/>
    <w:rsid w:val="660A9B3D"/>
    <w:rsid w:val="66C7A051"/>
    <w:rsid w:val="66FE95B8"/>
    <w:rsid w:val="6772E257"/>
    <w:rsid w:val="67F9E292"/>
    <w:rsid w:val="68E0C9A4"/>
    <w:rsid w:val="6A27C905"/>
    <w:rsid w:val="6AF57226"/>
    <w:rsid w:val="6D0C2052"/>
    <w:rsid w:val="6D35D6E7"/>
    <w:rsid w:val="6E07B599"/>
    <w:rsid w:val="7012D3A4"/>
    <w:rsid w:val="708EEB2D"/>
    <w:rsid w:val="710E3004"/>
    <w:rsid w:val="71CBA304"/>
    <w:rsid w:val="7237CF8F"/>
    <w:rsid w:val="72DA510F"/>
    <w:rsid w:val="73CDC860"/>
    <w:rsid w:val="75B469FD"/>
    <w:rsid w:val="765E3E9F"/>
    <w:rsid w:val="7771B28F"/>
    <w:rsid w:val="782D3E38"/>
    <w:rsid w:val="789EF907"/>
    <w:rsid w:val="792F9FA5"/>
    <w:rsid w:val="7CAED3B3"/>
    <w:rsid w:val="7CCCF43E"/>
    <w:rsid w:val="7D119E09"/>
    <w:rsid w:val="7D392853"/>
    <w:rsid w:val="7FD7A4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B7D39"/>
  <w15:chartTrackingRefBased/>
  <w15:docId w15:val="{76CFA6CD-04C4-4F37-8512-5BFE30DE586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3E99"/>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6E3E99"/>
    <w:pPr>
      <w:keepNext/>
      <w:keepLines/>
      <w:numPr>
        <w:ilvl w:val="1"/>
        <w:numId w:val="7"/>
      </w:numPr>
      <w:spacing w:before="120" w:after="120"/>
      <w:ind w:left="1440" w:right="720" w:hanging="720"/>
      <w:outlineLvl w:val="1"/>
    </w:pPr>
    <w:rPr>
      <w:rFonts w:eastAsiaTheme="majorEastAsia"/>
      <w:b/>
      <w:bCs/>
    </w:rPr>
  </w:style>
  <w:style w:type="paragraph" w:styleId="Heading3">
    <w:name w:val="heading 3"/>
    <w:basedOn w:val="Normal"/>
    <w:next w:val="Normal"/>
    <w:link w:val="Heading3Char"/>
    <w:uiPriority w:val="9"/>
    <w:semiHidden/>
    <w:unhideWhenUsed/>
    <w:qFormat/>
    <w:rsid w:val="006E3E99"/>
    <w:pPr>
      <w:keepNext/>
      <w:keepLines/>
      <w:numPr>
        <w:ilvl w:val="2"/>
        <w:numId w:val="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E3E99"/>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E3E99"/>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E3E99"/>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E3E99"/>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E3E99"/>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3E99"/>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fn,fn C"/>
    <w:basedOn w:val="Normal"/>
    <w:link w:val="FootnoteTextChar"/>
    <w:uiPriority w:val="99"/>
    <w:qFormat/>
    <w:rsid w:val="00100097"/>
    <w:pPr>
      <w:spacing w:after="240"/>
    </w:pPr>
    <w:rPr>
      <w:rFonts w:ascii="Palatino" w:hAnsi="Palatino"/>
      <w:szCs w:val="20"/>
    </w:rPr>
  </w:style>
  <w:style w:type="character" w:customStyle="1" w:styleId="FootnoteTextChar">
    <w:name w:val="Footnote Text Char"/>
    <w:aliases w:val="Footnote Text Char1 Char1,Footnote Text Char Char Char1,Footnote Text Char1 Char Char,Footnote Text Char Char Char Char,Char Char Char,Footnote Text Char2 Char Char,Footnote Text Char2 Char Char Char Char Char,fn Char,fn C Char"/>
    <w:basedOn w:val="DefaultParagraphFont"/>
    <w:link w:val="FootnoteText"/>
    <w:uiPriority w:val="99"/>
    <w:rsid w:val="00100097"/>
    <w:rPr>
      <w:rFonts w:ascii="Palatino" w:eastAsia="Times New Roman" w:hAnsi="Palatino" w:cs="Times New Roman"/>
      <w:sz w:val="24"/>
      <w:szCs w:val="20"/>
    </w:rPr>
  </w:style>
  <w:style w:type="paragraph" w:customStyle="1" w:styleId="mainex">
    <w:name w:val="mainex"/>
    <w:basedOn w:val="Normal"/>
    <w:rsid w:val="00100097"/>
    <w:pPr>
      <w:keepNext/>
      <w:jc w:val="center"/>
    </w:pPr>
    <w:rPr>
      <w:rFonts w:ascii="Helvetica" w:hAnsi="Helvetica"/>
      <w:b/>
      <w:spacing w:val="120"/>
      <w:sz w:val="26"/>
      <w:szCs w:val="20"/>
    </w:rPr>
  </w:style>
  <w:style w:type="character" w:styleId="FootnoteReference">
    <w:name w:val="footnote reference"/>
    <w:aliases w:val="o,fr,Style 3,o1,o2,o3,o4,o5,o6,o11,o21,o7,Footnote Reference1,Style 17,Style 13,Appel note de bas de p,Style 12,(NECG) Footnote Reference,Style 124"/>
    <w:qFormat/>
    <w:rsid w:val="00100097"/>
    <w:rPr>
      <w:vertAlign w:val="superscript"/>
    </w:rPr>
  </w:style>
  <w:style w:type="paragraph" w:customStyle="1" w:styleId="Res-Caption">
    <w:name w:val="Res-Caption"/>
    <w:basedOn w:val="Normal"/>
    <w:rsid w:val="00100097"/>
    <w:pPr>
      <w:ind w:left="720" w:right="720"/>
    </w:pPr>
    <w:rPr>
      <w:rFonts w:ascii="Palatino" w:hAnsi="Palatino"/>
      <w:sz w:val="26"/>
      <w:szCs w:val="20"/>
    </w:rPr>
  </w:style>
  <w:style w:type="paragraph" w:styleId="ListParagraph">
    <w:name w:val="List Paragraph"/>
    <w:basedOn w:val="Normal"/>
    <w:uiPriority w:val="34"/>
    <w:qFormat/>
    <w:rsid w:val="00100097"/>
    <w:pPr>
      <w:ind w:left="720"/>
      <w:contextualSpacing/>
    </w:pPr>
    <w:rPr>
      <w:rFonts w:ascii="Palatino" w:hAnsi="Palatino"/>
      <w:sz w:val="26"/>
      <w:szCs w:val="20"/>
    </w:rPr>
  </w:style>
  <w:style w:type="paragraph" w:styleId="BodyText">
    <w:name w:val="Body Text"/>
    <w:basedOn w:val="Normal"/>
    <w:link w:val="BodyTextChar"/>
    <w:uiPriority w:val="1"/>
    <w:qFormat/>
    <w:rsid w:val="00100097"/>
    <w:pPr>
      <w:widowControl w:val="0"/>
      <w:autoSpaceDE w:val="0"/>
      <w:autoSpaceDN w:val="0"/>
    </w:pPr>
  </w:style>
  <w:style w:type="character" w:customStyle="1" w:styleId="BodyTextChar">
    <w:name w:val="Body Text Char"/>
    <w:basedOn w:val="DefaultParagraphFont"/>
    <w:link w:val="BodyText"/>
    <w:uiPriority w:val="1"/>
    <w:rsid w:val="0010009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097"/>
    <w:pPr>
      <w:tabs>
        <w:tab w:val="center" w:pos="4680"/>
        <w:tab w:val="right" w:pos="9360"/>
      </w:tabs>
    </w:pPr>
    <w:rPr>
      <w:rFonts w:ascii="Palatino" w:hAnsi="Palatino"/>
      <w:sz w:val="26"/>
      <w:szCs w:val="20"/>
    </w:rPr>
  </w:style>
  <w:style w:type="character" w:customStyle="1" w:styleId="HeaderChar">
    <w:name w:val="Header Char"/>
    <w:basedOn w:val="DefaultParagraphFont"/>
    <w:link w:val="Header"/>
    <w:uiPriority w:val="99"/>
    <w:rsid w:val="00100097"/>
    <w:rPr>
      <w:rFonts w:ascii="Palatino" w:eastAsia="Times New Roman" w:hAnsi="Palatino" w:cs="Times New Roman"/>
      <w:sz w:val="26"/>
      <w:szCs w:val="20"/>
    </w:rPr>
  </w:style>
  <w:style w:type="paragraph" w:styleId="Footer">
    <w:name w:val="footer"/>
    <w:basedOn w:val="Normal"/>
    <w:link w:val="FooterChar"/>
    <w:uiPriority w:val="99"/>
    <w:unhideWhenUsed/>
    <w:rsid w:val="00100097"/>
    <w:pPr>
      <w:tabs>
        <w:tab w:val="center" w:pos="4680"/>
        <w:tab w:val="right" w:pos="9360"/>
      </w:tabs>
    </w:pPr>
    <w:rPr>
      <w:rFonts w:ascii="Palatino" w:hAnsi="Palatino"/>
      <w:sz w:val="26"/>
      <w:szCs w:val="20"/>
    </w:rPr>
  </w:style>
  <w:style w:type="character" w:customStyle="1" w:styleId="FooterChar">
    <w:name w:val="Footer Char"/>
    <w:basedOn w:val="DefaultParagraphFont"/>
    <w:link w:val="Footer"/>
    <w:uiPriority w:val="99"/>
    <w:rsid w:val="00100097"/>
    <w:rPr>
      <w:rFonts w:ascii="Palatino" w:eastAsia="Times New Roman" w:hAnsi="Palatino" w:cs="Times New Roman"/>
      <w:sz w:val="26"/>
      <w:szCs w:val="20"/>
    </w:rPr>
  </w:style>
  <w:style w:type="character" w:styleId="Hyperlink">
    <w:name w:val="Hyperlink"/>
    <w:basedOn w:val="DefaultParagraphFont"/>
    <w:uiPriority w:val="99"/>
    <w:unhideWhenUsed/>
    <w:rsid w:val="00C410D2"/>
    <w:rPr>
      <w:color w:val="0563C1" w:themeColor="hyperlink"/>
      <w:u w:val="single"/>
    </w:rPr>
  </w:style>
  <w:style w:type="character" w:styleId="UnresolvedMention">
    <w:name w:val="Unresolved Mention"/>
    <w:basedOn w:val="DefaultParagraphFont"/>
    <w:uiPriority w:val="99"/>
    <w:semiHidden/>
    <w:unhideWhenUsed/>
    <w:rsid w:val="00C410D2"/>
    <w:rPr>
      <w:color w:val="605E5C"/>
      <w:shd w:val="clear" w:color="auto" w:fill="E1DFDD"/>
    </w:rPr>
  </w:style>
  <w:style w:type="character" w:styleId="CommentReference">
    <w:name w:val="annotation reference"/>
    <w:basedOn w:val="DefaultParagraphFont"/>
    <w:uiPriority w:val="99"/>
    <w:semiHidden/>
    <w:unhideWhenUsed/>
    <w:rsid w:val="008E4F3F"/>
    <w:rPr>
      <w:sz w:val="16"/>
      <w:szCs w:val="16"/>
    </w:rPr>
  </w:style>
  <w:style w:type="paragraph" w:styleId="CommentText">
    <w:name w:val="annotation text"/>
    <w:basedOn w:val="Normal"/>
    <w:link w:val="CommentTextChar"/>
    <w:uiPriority w:val="99"/>
    <w:unhideWhenUsed/>
    <w:rsid w:val="008E4F3F"/>
    <w:rPr>
      <w:sz w:val="20"/>
      <w:szCs w:val="20"/>
    </w:rPr>
  </w:style>
  <w:style w:type="character" w:customStyle="1" w:styleId="CommentTextChar">
    <w:name w:val="Comment Text Char"/>
    <w:basedOn w:val="DefaultParagraphFont"/>
    <w:link w:val="CommentText"/>
    <w:uiPriority w:val="99"/>
    <w:rsid w:val="008E4F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4F3F"/>
    <w:rPr>
      <w:b/>
      <w:bCs/>
    </w:rPr>
  </w:style>
  <w:style w:type="character" w:customStyle="1" w:styleId="CommentSubjectChar">
    <w:name w:val="Comment Subject Char"/>
    <w:basedOn w:val="CommentTextChar"/>
    <w:link w:val="CommentSubject"/>
    <w:uiPriority w:val="99"/>
    <w:semiHidden/>
    <w:rsid w:val="008E4F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6FE"/>
    <w:rPr>
      <w:sz w:val="18"/>
      <w:szCs w:val="18"/>
    </w:rPr>
  </w:style>
  <w:style w:type="character" w:customStyle="1" w:styleId="BalloonTextChar">
    <w:name w:val="Balloon Text Char"/>
    <w:basedOn w:val="DefaultParagraphFont"/>
    <w:link w:val="BalloonText"/>
    <w:uiPriority w:val="99"/>
    <w:semiHidden/>
    <w:rsid w:val="003726FE"/>
    <w:rPr>
      <w:rFonts w:ascii="Times New Roman" w:eastAsia="Times New Roman" w:hAnsi="Times New Roman" w:cs="Times New Roman"/>
      <w:sz w:val="18"/>
      <w:szCs w:val="18"/>
    </w:rPr>
  </w:style>
  <w:style w:type="paragraph" w:styleId="Revision">
    <w:name w:val="Revision"/>
    <w:hidden/>
    <w:uiPriority w:val="99"/>
    <w:semiHidden/>
    <w:rsid w:val="003726F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3E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3E99"/>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6E3E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E3E9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6E3E9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6E3E9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6E3E99"/>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6E3E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3E99"/>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023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57967">
      <w:bodyDiv w:val="1"/>
      <w:marLeft w:val="0"/>
      <w:marRight w:val="0"/>
      <w:marTop w:val="0"/>
      <w:marBottom w:val="0"/>
      <w:divBdr>
        <w:top w:val="none" w:sz="0" w:space="0" w:color="auto"/>
        <w:left w:val="none" w:sz="0" w:space="0" w:color="auto"/>
        <w:bottom w:val="none" w:sz="0" w:space="0" w:color="auto"/>
        <w:right w:val="none" w:sz="0" w:space="0" w:color="auto"/>
      </w:divBdr>
      <w:divsChild>
        <w:div w:id="516968591">
          <w:marLeft w:val="0"/>
          <w:marRight w:val="0"/>
          <w:marTop w:val="0"/>
          <w:marBottom w:val="240"/>
          <w:divBdr>
            <w:top w:val="none" w:sz="0" w:space="0" w:color="auto"/>
            <w:left w:val="none" w:sz="0" w:space="0" w:color="auto"/>
            <w:bottom w:val="none" w:sz="0" w:space="0" w:color="auto"/>
            <w:right w:val="none" w:sz="0" w:space="0" w:color="auto"/>
          </w:divBdr>
        </w:div>
        <w:div w:id="1037579612">
          <w:marLeft w:val="0"/>
          <w:marRight w:val="0"/>
          <w:marTop w:val="0"/>
          <w:marBottom w:val="240"/>
          <w:divBdr>
            <w:top w:val="none" w:sz="0" w:space="0" w:color="auto"/>
            <w:left w:val="none" w:sz="0" w:space="0" w:color="auto"/>
            <w:bottom w:val="none" w:sz="0" w:space="0" w:color="auto"/>
            <w:right w:val="none" w:sz="0" w:space="0" w:color="auto"/>
          </w:divBdr>
        </w:div>
      </w:divsChild>
    </w:div>
    <w:div w:id="1674067132">
      <w:bodyDiv w:val="1"/>
      <w:marLeft w:val="0"/>
      <w:marRight w:val="0"/>
      <w:marTop w:val="0"/>
      <w:marBottom w:val="0"/>
      <w:divBdr>
        <w:top w:val="none" w:sz="0" w:space="0" w:color="auto"/>
        <w:left w:val="none" w:sz="0" w:space="0" w:color="auto"/>
        <w:bottom w:val="none" w:sz="0" w:space="0" w:color="auto"/>
        <w:right w:val="none" w:sz="0" w:space="0" w:color="auto"/>
      </w:divBdr>
      <w:divsChild>
        <w:div w:id="1605650523">
          <w:marLeft w:val="0"/>
          <w:marRight w:val="0"/>
          <w:marTop w:val="0"/>
          <w:marBottom w:val="240"/>
          <w:divBdr>
            <w:top w:val="none" w:sz="0" w:space="0" w:color="auto"/>
            <w:left w:val="none" w:sz="0" w:space="0" w:color="auto"/>
            <w:bottom w:val="none" w:sz="0" w:space="0" w:color="auto"/>
            <w:right w:val="none" w:sz="0" w:space="0" w:color="auto"/>
          </w:divBdr>
        </w:div>
      </w:divsChild>
    </w:div>
    <w:div w:id="1787115917">
      <w:bodyDiv w:val="1"/>
      <w:marLeft w:val="0"/>
      <w:marRight w:val="0"/>
      <w:marTop w:val="0"/>
      <w:marBottom w:val="0"/>
      <w:divBdr>
        <w:top w:val="none" w:sz="0" w:space="0" w:color="auto"/>
        <w:left w:val="none" w:sz="0" w:space="0" w:color="auto"/>
        <w:bottom w:val="none" w:sz="0" w:space="0" w:color="auto"/>
        <w:right w:val="none" w:sz="0" w:space="0" w:color="auto"/>
      </w:divBdr>
      <w:divsChild>
        <w:div w:id="261959779">
          <w:marLeft w:val="0"/>
          <w:marRight w:val="0"/>
          <w:marTop w:val="0"/>
          <w:marBottom w:val="240"/>
          <w:divBdr>
            <w:top w:val="none" w:sz="0" w:space="0" w:color="auto"/>
            <w:left w:val="none" w:sz="0" w:space="0" w:color="auto"/>
            <w:bottom w:val="none" w:sz="0" w:space="0" w:color="auto"/>
            <w:right w:val="none" w:sz="0" w:space="0" w:color="auto"/>
          </w:divBdr>
        </w:div>
        <w:div w:id="397753145">
          <w:marLeft w:val="0"/>
          <w:marRight w:val="0"/>
          <w:marTop w:val="0"/>
          <w:marBottom w:val="240"/>
          <w:divBdr>
            <w:top w:val="none" w:sz="0" w:space="0" w:color="auto"/>
            <w:left w:val="none" w:sz="0" w:space="0" w:color="auto"/>
            <w:bottom w:val="none" w:sz="0" w:space="0" w:color="auto"/>
            <w:right w:val="none" w:sz="0" w:space="0" w:color="auto"/>
          </w:divBdr>
        </w:div>
        <w:div w:id="464274287">
          <w:marLeft w:val="0"/>
          <w:marRight w:val="0"/>
          <w:marTop w:val="0"/>
          <w:marBottom w:val="240"/>
          <w:divBdr>
            <w:top w:val="none" w:sz="0" w:space="0" w:color="auto"/>
            <w:left w:val="none" w:sz="0" w:space="0" w:color="auto"/>
            <w:bottom w:val="none" w:sz="0" w:space="0" w:color="auto"/>
            <w:right w:val="none" w:sz="0" w:space="0" w:color="auto"/>
          </w:divBdr>
        </w:div>
        <w:div w:id="565652302">
          <w:marLeft w:val="0"/>
          <w:marRight w:val="0"/>
          <w:marTop w:val="0"/>
          <w:marBottom w:val="240"/>
          <w:divBdr>
            <w:top w:val="none" w:sz="0" w:space="0" w:color="auto"/>
            <w:left w:val="none" w:sz="0" w:space="0" w:color="auto"/>
            <w:bottom w:val="none" w:sz="0" w:space="0" w:color="auto"/>
            <w:right w:val="none" w:sz="0" w:space="0" w:color="auto"/>
          </w:divBdr>
        </w:div>
        <w:div w:id="754783186">
          <w:marLeft w:val="0"/>
          <w:marRight w:val="0"/>
          <w:marTop w:val="0"/>
          <w:marBottom w:val="240"/>
          <w:divBdr>
            <w:top w:val="none" w:sz="0" w:space="0" w:color="auto"/>
            <w:left w:val="none" w:sz="0" w:space="0" w:color="auto"/>
            <w:bottom w:val="none" w:sz="0" w:space="0" w:color="auto"/>
            <w:right w:val="none" w:sz="0" w:space="0" w:color="auto"/>
          </w:divBdr>
        </w:div>
        <w:div w:id="935092072">
          <w:marLeft w:val="0"/>
          <w:marRight w:val="0"/>
          <w:marTop w:val="0"/>
          <w:marBottom w:val="240"/>
          <w:divBdr>
            <w:top w:val="none" w:sz="0" w:space="0" w:color="auto"/>
            <w:left w:val="none" w:sz="0" w:space="0" w:color="auto"/>
            <w:bottom w:val="none" w:sz="0" w:space="0" w:color="auto"/>
            <w:right w:val="none" w:sz="0" w:space="0" w:color="auto"/>
          </w:divBdr>
        </w:div>
        <w:div w:id="1010181104">
          <w:marLeft w:val="0"/>
          <w:marRight w:val="0"/>
          <w:marTop w:val="0"/>
          <w:marBottom w:val="240"/>
          <w:divBdr>
            <w:top w:val="none" w:sz="0" w:space="0" w:color="auto"/>
            <w:left w:val="none" w:sz="0" w:space="0" w:color="auto"/>
            <w:bottom w:val="none" w:sz="0" w:space="0" w:color="auto"/>
            <w:right w:val="none" w:sz="0" w:space="0" w:color="auto"/>
          </w:divBdr>
        </w:div>
        <w:div w:id="1010258136">
          <w:marLeft w:val="0"/>
          <w:marRight w:val="0"/>
          <w:marTop w:val="0"/>
          <w:marBottom w:val="240"/>
          <w:divBdr>
            <w:top w:val="none" w:sz="0" w:space="0" w:color="auto"/>
            <w:left w:val="none" w:sz="0" w:space="0" w:color="auto"/>
            <w:bottom w:val="none" w:sz="0" w:space="0" w:color="auto"/>
            <w:right w:val="none" w:sz="0" w:space="0" w:color="auto"/>
          </w:divBdr>
        </w:div>
        <w:div w:id="1061640006">
          <w:marLeft w:val="0"/>
          <w:marRight w:val="0"/>
          <w:marTop w:val="0"/>
          <w:marBottom w:val="240"/>
          <w:divBdr>
            <w:top w:val="none" w:sz="0" w:space="0" w:color="auto"/>
            <w:left w:val="none" w:sz="0" w:space="0" w:color="auto"/>
            <w:bottom w:val="none" w:sz="0" w:space="0" w:color="auto"/>
            <w:right w:val="none" w:sz="0" w:space="0" w:color="auto"/>
          </w:divBdr>
        </w:div>
        <w:div w:id="1122262780">
          <w:marLeft w:val="0"/>
          <w:marRight w:val="0"/>
          <w:marTop w:val="0"/>
          <w:marBottom w:val="240"/>
          <w:divBdr>
            <w:top w:val="none" w:sz="0" w:space="0" w:color="auto"/>
            <w:left w:val="none" w:sz="0" w:space="0" w:color="auto"/>
            <w:bottom w:val="none" w:sz="0" w:space="0" w:color="auto"/>
            <w:right w:val="none" w:sz="0" w:space="0" w:color="auto"/>
          </w:divBdr>
        </w:div>
        <w:div w:id="1244101282">
          <w:marLeft w:val="0"/>
          <w:marRight w:val="0"/>
          <w:marTop w:val="0"/>
          <w:marBottom w:val="240"/>
          <w:divBdr>
            <w:top w:val="none" w:sz="0" w:space="0" w:color="auto"/>
            <w:left w:val="none" w:sz="0" w:space="0" w:color="auto"/>
            <w:bottom w:val="none" w:sz="0" w:space="0" w:color="auto"/>
            <w:right w:val="none" w:sz="0" w:space="0" w:color="auto"/>
          </w:divBdr>
        </w:div>
        <w:div w:id="1465199070">
          <w:marLeft w:val="0"/>
          <w:marRight w:val="0"/>
          <w:marTop w:val="0"/>
          <w:marBottom w:val="240"/>
          <w:divBdr>
            <w:top w:val="none" w:sz="0" w:space="0" w:color="auto"/>
            <w:left w:val="none" w:sz="0" w:space="0" w:color="auto"/>
            <w:bottom w:val="none" w:sz="0" w:space="0" w:color="auto"/>
            <w:right w:val="none" w:sz="0" w:space="0" w:color="auto"/>
          </w:divBdr>
        </w:div>
        <w:div w:id="1738747155">
          <w:marLeft w:val="0"/>
          <w:marRight w:val="0"/>
          <w:marTop w:val="0"/>
          <w:marBottom w:val="240"/>
          <w:divBdr>
            <w:top w:val="none" w:sz="0" w:space="0" w:color="auto"/>
            <w:left w:val="none" w:sz="0" w:space="0" w:color="auto"/>
            <w:bottom w:val="none" w:sz="0" w:space="0" w:color="auto"/>
            <w:right w:val="none" w:sz="0" w:space="0" w:color="auto"/>
          </w:divBdr>
        </w:div>
        <w:div w:id="1784226419">
          <w:marLeft w:val="0"/>
          <w:marRight w:val="0"/>
          <w:marTop w:val="0"/>
          <w:marBottom w:val="240"/>
          <w:divBdr>
            <w:top w:val="none" w:sz="0" w:space="0" w:color="auto"/>
            <w:left w:val="none" w:sz="0" w:space="0" w:color="auto"/>
            <w:bottom w:val="none" w:sz="0" w:space="0" w:color="auto"/>
            <w:right w:val="none" w:sz="0" w:space="0" w:color="auto"/>
          </w:divBdr>
        </w:div>
        <w:div w:id="2065177087">
          <w:marLeft w:val="0"/>
          <w:marRight w:val="0"/>
          <w:marTop w:val="0"/>
          <w:marBottom w:val="240"/>
          <w:divBdr>
            <w:top w:val="none" w:sz="0" w:space="0" w:color="auto"/>
            <w:left w:val="none" w:sz="0" w:space="0" w:color="auto"/>
            <w:bottom w:val="none" w:sz="0" w:space="0" w:color="auto"/>
            <w:right w:val="none" w:sz="0" w:space="0" w:color="auto"/>
          </w:divBdr>
        </w:div>
      </w:divsChild>
    </w:div>
    <w:div w:id="1844393432">
      <w:bodyDiv w:val="1"/>
      <w:marLeft w:val="0"/>
      <w:marRight w:val="0"/>
      <w:marTop w:val="0"/>
      <w:marBottom w:val="0"/>
      <w:divBdr>
        <w:top w:val="none" w:sz="0" w:space="0" w:color="auto"/>
        <w:left w:val="none" w:sz="0" w:space="0" w:color="auto"/>
        <w:bottom w:val="none" w:sz="0" w:space="0" w:color="auto"/>
        <w:right w:val="none" w:sz="0" w:space="0" w:color="auto"/>
      </w:divBdr>
      <w:divsChild>
        <w:div w:id="215244594">
          <w:marLeft w:val="0"/>
          <w:marRight w:val="0"/>
          <w:marTop w:val="0"/>
          <w:marBottom w:val="240"/>
          <w:divBdr>
            <w:top w:val="none" w:sz="0" w:space="0" w:color="auto"/>
            <w:left w:val="none" w:sz="0" w:space="0" w:color="auto"/>
            <w:bottom w:val="none" w:sz="0" w:space="0" w:color="auto"/>
            <w:right w:val="none" w:sz="0" w:space="0" w:color="auto"/>
          </w:divBdr>
        </w:div>
        <w:div w:id="678429005">
          <w:marLeft w:val="0"/>
          <w:marRight w:val="0"/>
          <w:marTop w:val="0"/>
          <w:marBottom w:val="240"/>
          <w:divBdr>
            <w:top w:val="none" w:sz="0" w:space="0" w:color="auto"/>
            <w:left w:val="none" w:sz="0" w:space="0" w:color="auto"/>
            <w:bottom w:val="none" w:sz="0" w:space="0" w:color="auto"/>
            <w:right w:val="none" w:sz="0" w:space="0" w:color="auto"/>
          </w:divBdr>
        </w:div>
        <w:div w:id="949973653">
          <w:marLeft w:val="0"/>
          <w:marRight w:val="0"/>
          <w:marTop w:val="0"/>
          <w:marBottom w:val="240"/>
          <w:divBdr>
            <w:top w:val="none" w:sz="0" w:space="0" w:color="auto"/>
            <w:left w:val="none" w:sz="0" w:space="0" w:color="auto"/>
            <w:bottom w:val="none" w:sz="0" w:space="0" w:color="auto"/>
            <w:right w:val="none" w:sz="0" w:space="0" w:color="auto"/>
          </w:divBdr>
        </w:div>
        <w:div w:id="1861815228">
          <w:marLeft w:val="0"/>
          <w:marRight w:val="0"/>
          <w:marTop w:val="0"/>
          <w:marBottom w:val="240"/>
          <w:divBdr>
            <w:top w:val="none" w:sz="0" w:space="0" w:color="auto"/>
            <w:left w:val="none" w:sz="0" w:space="0" w:color="auto"/>
            <w:bottom w:val="none" w:sz="0" w:space="0" w:color="auto"/>
            <w:right w:val="none" w:sz="0" w:space="0" w:color="auto"/>
          </w:divBdr>
        </w:div>
        <w:div w:id="1890334404">
          <w:marLeft w:val="0"/>
          <w:marRight w:val="0"/>
          <w:marTop w:val="0"/>
          <w:marBottom w:val="240"/>
          <w:divBdr>
            <w:top w:val="none" w:sz="0" w:space="0" w:color="auto"/>
            <w:left w:val="none" w:sz="0" w:space="0" w:color="auto"/>
            <w:bottom w:val="none" w:sz="0" w:space="0" w:color="auto"/>
            <w:right w:val="none" w:sz="0" w:space="0" w:color="auto"/>
          </w:divBdr>
        </w:div>
      </w:divsChild>
    </w:div>
    <w:div w:id="2131974804">
      <w:bodyDiv w:val="1"/>
      <w:marLeft w:val="0"/>
      <w:marRight w:val="0"/>
      <w:marTop w:val="0"/>
      <w:marBottom w:val="0"/>
      <w:divBdr>
        <w:top w:val="none" w:sz="0" w:space="0" w:color="auto"/>
        <w:left w:val="none" w:sz="0" w:space="0" w:color="auto"/>
        <w:bottom w:val="none" w:sz="0" w:space="0" w:color="auto"/>
        <w:right w:val="none" w:sz="0" w:space="0" w:color="auto"/>
      </w:divBdr>
    </w:div>
    <w:div w:id="2134592803">
      <w:bodyDiv w:val="1"/>
      <w:marLeft w:val="0"/>
      <w:marRight w:val="0"/>
      <w:marTop w:val="0"/>
      <w:marBottom w:val="0"/>
      <w:divBdr>
        <w:top w:val="none" w:sz="0" w:space="0" w:color="auto"/>
        <w:left w:val="none" w:sz="0" w:space="0" w:color="auto"/>
        <w:bottom w:val="none" w:sz="0" w:space="0" w:color="auto"/>
        <w:right w:val="none" w:sz="0" w:space="0" w:color="auto"/>
      </w:divBdr>
      <w:divsChild>
        <w:div w:id="1044064475">
          <w:marLeft w:val="0"/>
          <w:marRight w:val="0"/>
          <w:marTop w:val="0"/>
          <w:marBottom w:val="240"/>
          <w:divBdr>
            <w:top w:val="none" w:sz="0" w:space="0" w:color="auto"/>
            <w:left w:val="none" w:sz="0" w:space="0" w:color="auto"/>
            <w:bottom w:val="none" w:sz="0" w:space="0" w:color="auto"/>
            <w:right w:val="none" w:sz="0" w:space="0" w:color="auto"/>
          </w:divBdr>
        </w:div>
        <w:div w:id="1596355969">
          <w:marLeft w:val="0"/>
          <w:marRight w:val="0"/>
          <w:marTop w:val="0"/>
          <w:marBottom w:val="240"/>
          <w:divBdr>
            <w:top w:val="none" w:sz="0" w:space="0" w:color="auto"/>
            <w:left w:val="none" w:sz="0" w:space="0" w:color="auto"/>
            <w:bottom w:val="none" w:sz="0" w:space="0" w:color="auto"/>
            <w:right w:val="none" w:sz="0" w:space="0" w:color="auto"/>
          </w:divBdr>
        </w:div>
        <w:div w:id="1735158254">
          <w:marLeft w:val="0"/>
          <w:marRight w:val="0"/>
          <w:marTop w:val="0"/>
          <w:marBottom w:val="240"/>
          <w:divBdr>
            <w:top w:val="none" w:sz="0" w:space="0" w:color="auto"/>
            <w:left w:val="none" w:sz="0" w:space="0" w:color="auto"/>
            <w:bottom w:val="none" w:sz="0" w:space="0" w:color="auto"/>
            <w:right w:val="none" w:sz="0" w:space="0" w:color="auto"/>
          </w:divBdr>
        </w:div>
        <w:div w:id="1876889115">
          <w:marLeft w:val="0"/>
          <w:marRight w:val="0"/>
          <w:marTop w:val="0"/>
          <w:marBottom w:val="240"/>
          <w:divBdr>
            <w:top w:val="none" w:sz="0" w:space="0" w:color="auto"/>
            <w:left w:val="none" w:sz="0" w:space="0" w:color="auto"/>
            <w:bottom w:val="none" w:sz="0" w:space="0" w:color="auto"/>
            <w:right w:val="none" w:sz="0" w:space="0" w:color="auto"/>
          </w:divBdr>
        </w:div>
        <w:div w:id="202855857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docs.cpuc.ca.gov/PublishedDocs/Published/G000/M364/K159/364159208.pdf" TargetMode="External" Id="Rf7d646231b664e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6D8E-30A7-8E46-B147-A40F4006C78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1991</ap:Words>
  <ap:Characters>11351</ap:Characters>
  <ap:Application>Microsoft Office Word</ap:Application>
  <ap:DocSecurity>0</ap:DocSecurity>
  <ap:Lines>94</ap:Lines>
  <ap:Paragraphs>26</ap:Paragraphs>
  <ap:ScaleCrop>false</ap:ScaleCrop>
  <ap:Company/>
  <ap:LinksUpToDate>false</ap:LinksUpToDate>
  <ap:CharactersWithSpaces>13316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2021-02-25T14:01:08Z</dcterms:created>
  <dcterms:modified xsi:type="dcterms:W3CDTF">2021-02-25T14:01:08Z</dcterms:modified>
</cp:coreProperties>
</file>