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60421" w:rsidP="000778D2" w:rsidRDefault="00846154" w14:paraId="3F301799" w14:textId="1295354C">
      <w:pPr>
        <w:tabs>
          <w:tab w:val="center" w:pos="4050"/>
          <w:tab w:val="right" w:pos="9360"/>
        </w:tabs>
        <w:spacing w:line="240" w:lineRule="auto"/>
        <w:ind w:firstLine="0"/>
      </w:pPr>
      <w:r>
        <w:t>ALJ</w:t>
      </w:r>
      <w:r w:rsidR="00DA7B5D">
        <w:t>/</w:t>
      </w:r>
      <w:r>
        <w:t>PD1</w:t>
      </w:r>
      <w:r w:rsidR="00DA7B5D">
        <w:t>/</w:t>
      </w:r>
      <w:r>
        <w:t>gp2</w:t>
      </w:r>
      <w:r w:rsidR="007E0FEE">
        <w:tab/>
      </w:r>
      <w:r w:rsidR="00DA7B5D">
        <w:rPr>
          <w:rFonts w:ascii="Arial" w:hAnsi="Arial" w:cs="Arial"/>
          <w:b/>
          <w:sz w:val="32"/>
          <w:szCs w:val="32"/>
        </w:rPr>
        <w:t>PROPOSED DECISION</w:t>
      </w:r>
      <w:r w:rsidR="00DA7B5D">
        <w:tab/>
      </w:r>
      <w:r w:rsidRPr="00EE4315" w:rsidR="00DA7B5D">
        <w:rPr>
          <w:b/>
        </w:rPr>
        <w:t>Agenda ID #</w:t>
      </w:r>
      <w:r w:rsidR="009C035D">
        <w:rPr>
          <w:b/>
          <w:bCs/>
        </w:rPr>
        <w:t>19161</w:t>
      </w:r>
      <w:r w:rsidR="000778D2">
        <w:rPr>
          <w:b/>
          <w:bCs/>
        </w:rPr>
        <w:t xml:space="preserve"> (Rev.1)</w:t>
      </w:r>
    </w:p>
    <w:p w:rsidR="00DA7B5D" w:rsidP="00632207" w:rsidRDefault="00846154" w14:paraId="33060FB1" w14:textId="30CB40E0">
      <w:pPr>
        <w:spacing w:line="240" w:lineRule="auto"/>
        <w:jc w:val="right"/>
        <w:rPr>
          <w:b/>
        </w:rPr>
      </w:pPr>
      <w:proofErr w:type="spellStart"/>
      <w:r>
        <w:rPr>
          <w:b/>
        </w:rPr>
        <w:t>Ratesetting</w:t>
      </w:r>
      <w:proofErr w:type="spellEnd"/>
    </w:p>
    <w:p w:rsidRPr="00EE4315" w:rsidR="000778D2" w:rsidP="00632207" w:rsidRDefault="000778D2" w14:paraId="0084938A" w14:textId="2B9AC040">
      <w:pPr>
        <w:spacing w:line="240" w:lineRule="auto"/>
        <w:jc w:val="right"/>
        <w:rPr>
          <w:b/>
        </w:rPr>
      </w:pPr>
      <w:r>
        <w:rPr>
          <w:b/>
        </w:rPr>
        <w:t>3/4/</w:t>
      </w:r>
      <w:proofErr w:type="gramStart"/>
      <w:r>
        <w:rPr>
          <w:b/>
        </w:rPr>
        <w:t>2021  Item</w:t>
      </w:r>
      <w:proofErr w:type="gramEnd"/>
      <w:r>
        <w:rPr>
          <w:b/>
        </w:rPr>
        <w:t xml:space="preserve"> #8</w:t>
      </w:r>
    </w:p>
    <w:p w:rsidR="00DA7B5D" w:rsidP="008F0116" w:rsidRDefault="00DA7B5D" w14:paraId="0A94BB3E" w14:textId="77777777">
      <w:pPr>
        <w:ind w:firstLine="0"/>
      </w:pPr>
    </w:p>
    <w:p w:rsidRPr="00846154" w:rsidR="00DA7B5D" w:rsidP="0098655A" w:rsidRDefault="00DA7B5D" w14:paraId="06DFE702" w14:textId="396C0562">
      <w:pPr>
        <w:ind w:left="1080" w:hanging="1080"/>
        <w:rPr>
          <w:b/>
          <w:bCs/>
        </w:rPr>
      </w:pPr>
      <w:r>
        <w:t xml:space="preserve">Decision </w:t>
      </w:r>
      <w:r w:rsidR="00846154">
        <w:rPr>
          <w:b/>
          <w:bCs/>
          <w:u w:val="single"/>
        </w:rPr>
        <w:t>PROPOSED DECISION OF ALJ DOHERTY</w:t>
      </w:r>
      <w:r w:rsidR="00846154">
        <w:rPr>
          <w:b/>
          <w:bCs/>
        </w:rPr>
        <w:t xml:space="preserve"> (Mailed </w:t>
      </w:r>
      <w:r w:rsidR="000C1AD3">
        <w:rPr>
          <w:b/>
          <w:bCs/>
        </w:rPr>
        <w:t>1/26</w:t>
      </w:r>
      <w:r w:rsidR="00846154">
        <w:rPr>
          <w:b/>
          <w:bCs/>
        </w:rPr>
        <w:t>/2021)</w:t>
      </w:r>
    </w:p>
    <w:p w:rsidR="00DA7B5D" w:rsidP="00BB0243" w:rsidRDefault="00DA7B5D" w14:paraId="56ADF504" w14:textId="77777777">
      <w:pPr>
        <w:spacing w:line="240" w:lineRule="auto"/>
        <w:jc w:val="center"/>
        <w:rPr>
          <w:u w:val="single"/>
        </w:rPr>
      </w:pPr>
    </w:p>
    <w:p w:rsidR="00DA7B5D" w:rsidP="00BB0243" w:rsidRDefault="00DA7B5D" w14:paraId="6A9D8A9E"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38DBCC61" w14:textId="77777777">
      <w:pPr>
        <w:spacing w:line="240" w:lineRule="auto"/>
        <w:ind w:firstLine="0"/>
        <w:rPr>
          <w:rFonts w:ascii="Arial" w:hAnsi="Arial" w:cs="Arial"/>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68"/>
        <w:gridCol w:w="4382"/>
      </w:tblGrid>
      <w:tr w:rsidRPr="00892DE3" w:rsidR="00DA7B5D" w:rsidTr="00846154" w14:paraId="0F8B9490" w14:textId="77777777">
        <w:tc>
          <w:tcPr>
            <w:tcW w:w="4968" w:type="dxa"/>
            <w:tcBorders>
              <w:top w:val="nil"/>
              <w:left w:val="nil"/>
              <w:bottom w:val="single" w:color="auto" w:sz="4" w:space="0"/>
              <w:right w:val="single" w:color="auto" w:sz="4" w:space="0"/>
            </w:tcBorders>
            <w:shd w:val="clear" w:color="auto" w:fill="auto"/>
          </w:tcPr>
          <w:p w:rsidRPr="00892DE3" w:rsidR="00DA7B5D" w:rsidP="00892DE3" w:rsidRDefault="00683174" w14:paraId="633C7E2D" w14:textId="77777777">
            <w:pPr>
              <w:spacing w:line="240" w:lineRule="auto"/>
              <w:ind w:firstLine="0"/>
              <w:rPr>
                <w:rFonts w:cs="Arial"/>
                <w:szCs w:val="26"/>
              </w:rPr>
            </w:pPr>
            <w:r w:rsidRPr="00892DE3">
              <w:rPr>
                <w:rFonts w:cs="Arial"/>
                <w:szCs w:val="26"/>
              </w:rPr>
              <w:t>Application of San Diego Gas &amp; Electric Company (U 902 E) for Authority to Eliminate the Seasonal Differential in its Residential Rates Per Decision 19-04-018.</w:t>
            </w:r>
            <w:r w:rsidRPr="00892DE3" w:rsidR="00DA7B5D">
              <w:rPr>
                <w:rFonts w:cs="Arial"/>
                <w:szCs w:val="26"/>
              </w:rPr>
              <w:br/>
            </w:r>
          </w:p>
        </w:tc>
        <w:tc>
          <w:tcPr>
            <w:tcW w:w="4382" w:type="dxa"/>
            <w:tcBorders>
              <w:top w:val="nil"/>
              <w:left w:val="single" w:color="auto" w:sz="4" w:space="0"/>
              <w:bottom w:val="nil"/>
              <w:right w:val="nil"/>
            </w:tcBorders>
            <w:shd w:val="clear" w:color="auto" w:fill="auto"/>
            <w:vAlign w:val="center"/>
          </w:tcPr>
          <w:p w:rsidRPr="00892DE3" w:rsidR="00683174" w:rsidP="00846154" w:rsidRDefault="00683174" w14:paraId="72C520E3" w14:textId="1242EB69">
            <w:pPr>
              <w:spacing w:line="240" w:lineRule="auto"/>
              <w:ind w:firstLine="0"/>
              <w:jc w:val="center"/>
              <w:rPr>
                <w:rFonts w:cs="Arial"/>
                <w:szCs w:val="26"/>
              </w:rPr>
            </w:pPr>
            <w:r w:rsidRPr="00892DE3">
              <w:rPr>
                <w:rFonts w:cs="Arial"/>
                <w:szCs w:val="26"/>
              </w:rPr>
              <w:t>Application 19-09-014</w:t>
            </w:r>
          </w:p>
        </w:tc>
      </w:tr>
    </w:tbl>
    <w:p w:rsidR="00DA7B5D" w:rsidP="008F0116" w:rsidRDefault="00DA7B5D" w14:paraId="78CF0198" w14:textId="77777777">
      <w:pPr>
        <w:spacing w:line="240" w:lineRule="auto"/>
        <w:ind w:firstLine="0"/>
        <w:rPr>
          <w:rFonts w:ascii="Arial" w:hAnsi="Arial" w:cs="Arial"/>
          <w:sz w:val="24"/>
          <w:szCs w:val="24"/>
        </w:rPr>
      </w:pPr>
    </w:p>
    <w:p w:rsidR="00DA7B5D" w:rsidP="008F0116" w:rsidRDefault="00DA7B5D" w14:paraId="387D27A5" w14:textId="77777777">
      <w:pPr>
        <w:spacing w:line="240" w:lineRule="auto"/>
        <w:ind w:firstLine="0"/>
        <w:rPr>
          <w:rFonts w:ascii="Arial" w:hAnsi="Arial" w:cs="Arial"/>
          <w:sz w:val="24"/>
          <w:szCs w:val="24"/>
        </w:rPr>
      </w:pPr>
    </w:p>
    <w:p w:rsidRPr="00F92385" w:rsidR="00F92385" w:rsidP="00B3087D" w:rsidRDefault="00683174" w14:paraId="3466AF7F" w14:textId="701AEBE7">
      <w:pPr>
        <w:pStyle w:val="Dummy"/>
        <w:jc w:val="center"/>
        <w:sectPr w:rsidRPr="00F92385" w:rsidR="00F92385" w:rsidSect="008B5F60">
          <w:headerReference w:type="first" r:id="rId8"/>
          <w:footerReference w:type="first" r:id="rId9"/>
          <w:pgSz w:w="12240" w:h="15840"/>
          <w:pgMar w:top="1440" w:right="1440" w:bottom="1440" w:left="1440" w:header="720" w:footer="720" w:gutter="0"/>
          <w:pgNumType w:start="1"/>
          <w:cols w:space="720"/>
          <w:titlePg/>
          <w:docGrid w:linePitch="360"/>
        </w:sectPr>
      </w:pPr>
      <w:bookmarkStart w:name="_Toc62139422" w:id="0"/>
      <w:bookmarkStart w:name="_Toc65157797" w:id="1"/>
      <w:r>
        <w:t>DECISION CONCERNING</w:t>
      </w:r>
      <w:r w:rsidR="00ED32DF">
        <w:t xml:space="preserve"> ADJUSTMENT OF</w:t>
      </w:r>
      <w:r>
        <w:t xml:space="preserve"> </w:t>
      </w:r>
      <w:r w:rsidR="00ED32DF">
        <w:t xml:space="preserve">THE </w:t>
      </w:r>
      <w:r w:rsidR="00266E88">
        <w:t xml:space="preserve">HIGH USAGE CHARGE </w:t>
      </w:r>
      <w:r w:rsidR="00ED32DF">
        <w:t xml:space="preserve">FOR </w:t>
      </w:r>
      <w:r w:rsidR="00266E88">
        <w:t>THE LARGE ELECTRICAL CORPORATIONS</w:t>
      </w:r>
      <w:bookmarkEnd w:id="0"/>
      <w:bookmarkEnd w:id="1"/>
    </w:p>
    <w:p w:rsidRPr="001E2A62" w:rsidR="00D50119" w:rsidP="00F76650" w:rsidRDefault="00D50119" w14:paraId="62676AB5" w14:textId="77777777">
      <w:pPr>
        <w:pStyle w:val="Main"/>
        <w:rPr>
          <w:rFonts w:ascii="Book Antiqua" w:hAnsi="Book Antiqua"/>
        </w:rPr>
      </w:pPr>
      <w:r w:rsidRPr="001E2A62">
        <w:rPr>
          <w:rFonts w:ascii="Book Antiqua" w:hAnsi="Book Antiqua"/>
        </w:rPr>
        <w:lastRenderedPageBreak/>
        <w:t>TABLE OF CONTENTS</w:t>
      </w:r>
    </w:p>
    <w:p w:rsidRPr="00D50119" w:rsidR="00D50119" w:rsidP="007E0FEE" w:rsidRDefault="00D50119" w14:paraId="34759E36" w14:textId="77777777">
      <w:pPr>
        <w:tabs>
          <w:tab w:val="right" w:pos="9360"/>
        </w:tabs>
        <w:ind w:firstLine="0"/>
      </w:pPr>
      <w:r w:rsidRPr="00D50119">
        <w:rPr>
          <w:b/>
        </w:rPr>
        <w:t>Title</w:t>
      </w:r>
      <w:r>
        <w:tab/>
      </w:r>
      <w:r w:rsidRPr="00D50119">
        <w:rPr>
          <w:b/>
        </w:rPr>
        <w:t>Page</w:t>
      </w:r>
    </w:p>
    <w:p w:rsidR="000778D2" w:rsidP="00E27214" w:rsidRDefault="008C7413" w14:paraId="738E0774" w14:textId="5DFA9ACE">
      <w:pPr>
        <w:pStyle w:val="TOC1"/>
        <w:tabs>
          <w:tab w:val="right" w:leader="dot" w:pos="9350"/>
        </w:tabs>
        <w:ind w:left="0" w:firstLine="0"/>
        <w:rPr>
          <w:rFonts w:asciiTheme="minorHAnsi" w:hAnsiTheme="minorHAnsi" w:eastAsiaTheme="minorEastAsia" w:cstheme="minorBidi"/>
          <w:noProof/>
          <w:sz w:val="22"/>
        </w:rPr>
      </w:pPr>
      <w:r w:rsidRPr="00892DE3">
        <w:rPr>
          <w:rFonts w:ascii="Calibri" w:hAnsi="Calibri"/>
          <w:sz w:val="22"/>
        </w:rPr>
        <w:fldChar w:fldCharType="begin"/>
      </w:r>
      <w:r w:rsidRPr="00892DE3">
        <w:rPr>
          <w:rFonts w:ascii="Calibri" w:hAnsi="Calibri"/>
          <w:sz w:val="22"/>
        </w:rPr>
        <w:instrText xml:space="preserve"> TOC \o "1-6" \h \z \u </w:instrText>
      </w:r>
      <w:r w:rsidRPr="00892DE3">
        <w:rPr>
          <w:rFonts w:ascii="Calibri" w:hAnsi="Calibri"/>
          <w:sz w:val="22"/>
        </w:rPr>
        <w:fldChar w:fldCharType="separate"/>
      </w:r>
      <w:hyperlink w:history="1" w:anchor="_Toc65157798">
        <w:r w:rsidRPr="00BB5D8E" w:rsidR="000778D2">
          <w:rPr>
            <w:rStyle w:val="Hyperlink"/>
            <w:caps/>
            <w:noProof/>
          </w:rPr>
          <w:t>DECISION CONCERNING ADJUSTMENT OF THE HIGH USAGE CHARGE FOR THE LARGE ELECTRICAL CORPORATIONS</w:t>
        </w:r>
        <w:r w:rsidR="000778D2">
          <w:rPr>
            <w:noProof/>
            <w:webHidden/>
          </w:rPr>
          <w:tab/>
        </w:r>
        <w:r w:rsidR="000778D2">
          <w:rPr>
            <w:noProof/>
            <w:webHidden/>
          </w:rPr>
          <w:fldChar w:fldCharType="begin"/>
        </w:r>
        <w:r w:rsidR="000778D2">
          <w:rPr>
            <w:noProof/>
            <w:webHidden/>
          </w:rPr>
          <w:instrText xml:space="preserve"> PAGEREF _Toc65157798 \h </w:instrText>
        </w:r>
        <w:r w:rsidR="000778D2">
          <w:rPr>
            <w:noProof/>
            <w:webHidden/>
          </w:rPr>
        </w:r>
        <w:r w:rsidR="000778D2">
          <w:rPr>
            <w:noProof/>
            <w:webHidden/>
          </w:rPr>
          <w:fldChar w:fldCharType="separate"/>
        </w:r>
        <w:r w:rsidR="000778D2">
          <w:rPr>
            <w:noProof/>
            <w:webHidden/>
          </w:rPr>
          <w:t>2</w:t>
        </w:r>
        <w:r w:rsidR="000778D2">
          <w:rPr>
            <w:noProof/>
            <w:webHidden/>
          </w:rPr>
          <w:fldChar w:fldCharType="end"/>
        </w:r>
      </w:hyperlink>
    </w:p>
    <w:p w:rsidR="000778D2" w:rsidRDefault="000778D2" w14:paraId="2AC0EC25" w14:textId="4C0FAEC0">
      <w:pPr>
        <w:pStyle w:val="TOC1"/>
        <w:tabs>
          <w:tab w:val="right" w:leader="dot" w:pos="9350"/>
        </w:tabs>
        <w:rPr>
          <w:rFonts w:asciiTheme="minorHAnsi" w:hAnsiTheme="minorHAnsi" w:eastAsiaTheme="minorEastAsia" w:cstheme="minorBidi"/>
          <w:noProof/>
          <w:sz w:val="22"/>
        </w:rPr>
      </w:pPr>
      <w:hyperlink w:history="1" w:anchor="_Toc65157799">
        <w:r w:rsidRPr="00BB5D8E">
          <w:rPr>
            <w:rStyle w:val="Hyperlink"/>
            <w:noProof/>
          </w:rPr>
          <w:t>Summary</w:t>
        </w:r>
        <w:r>
          <w:rPr>
            <w:noProof/>
            <w:webHidden/>
          </w:rPr>
          <w:tab/>
        </w:r>
        <w:r>
          <w:rPr>
            <w:noProof/>
            <w:webHidden/>
          </w:rPr>
          <w:fldChar w:fldCharType="begin"/>
        </w:r>
        <w:r>
          <w:rPr>
            <w:noProof/>
            <w:webHidden/>
          </w:rPr>
          <w:instrText xml:space="preserve"> PAGEREF _Toc65157799 \h </w:instrText>
        </w:r>
        <w:r>
          <w:rPr>
            <w:noProof/>
            <w:webHidden/>
          </w:rPr>
        </w:r>
        <w:r>
          <w:rPr>
            <w:noProof/>
            <w:webHidden/>
          </w:rPr>
          <w:fldChar w:fldCharType="separate"/>
        </w:r>
        <w:r>
          <w:rPr>
            <w:noProof/>
            <w:webHidden/>
          </w:rPr>
          <w:t>2</w:t>
        </w:r>
        <w:r>
          <w:rPr>
            <w:noProof/>
            <w:webHidden/>
          </w:rPr>
          <w:fldChar w:fldCharType="end"/>
        </w:r>
      </w:hyperlink>
    </w:p>
    <w:p w:rsidR="000778D2" w:rsidRDefault="000778D2" w14:paraId="46301CC9" w14:textId="6359D1AF">
      <w:pPr>
        <w:pStyle w:val="TOC1"/>
        <w:tabs>
          <w:tab w:val="right" w:leader="dot" w:pos="9350"/>
        </w:tabs>
        <w:rPr>
          <w:rFonts w:asciiTheme="minorHAnsi" w:hAnsiTheme="minorHAnsi" w:eastAsiaTheme="minorEastAsia" w:cstheme="minorBidi"/>
          <w:noProof/>
          <w:sz w:val="22"/>
        </w:rPr>
      </w:pPr>
      <w:hyperlink w:history="1" w:anchor="_Toc65157800">
        <w:r w:rsidRPr="00BB5D8E">
          <w:rPr>
            <w:rStyle w:val="Hyperlink"/>
            <w:noProof/>
          </w:rPr>
          <w:t>1.</w:t>
        </w:r>
        <w:r>
          <w:rPr>
            <w:rFonts w:asciiTheme="minorHAnsi" w:hAnsiTheme="minorHAnsi" w:eastAsiaTheme="minorEastAsia" w:cstheme="minorBidi"/>
            <w:noProof/>
            <w:sz w:val="22"/>
          </w:rPr>
          <w:tab/>
        </w:r>
        <w:r w:rsidRPr="00BB5D8E">
          <w:rPr>
            <w:rStyle w:val="Hyperlink"/>
            <w:noProof/>
          </w:rPr>
          <w:t>Background</w:t>
        </w:r>
        <w:r>
          <w:rPr>
            <w:noProof/>
            <w:webHidden/>
          </w:rPr>
          <w:tab/>
        </w:r>
        <w:r>
          <w:rPr>
            <w:noProof/>
            <w:webHidden/>
          </w:rPr>
          <w:fldChar w:fldCharType="begin"/>
        </w:r>
        <w:r>
          <w:rPr>
            <w:noProof/>
            <w:webHidden/>
          </w:rPr>
          <w:instrText xml:space="preserve"> PAGEREF _Toc65157800 \h </w:instrText>
        </w:r>
        <w:r>
          <w:rPr>
            <w:noProof/>
            <w:webHidden/>
          </w:rPr>
        </w:r>
        <w:r>
          <w:rPr>
            <w:noProof/>
            <w:webHidden/>
          </w:rPr>
          <w:fldChar w:fldCharType="separate"/>
        </w:r>
        <w:r>
          <w:rPr>
            <w:noProof/>
            <w:webHidden/>
          </w:rPr>
          <w:t>2</w:t>
        </w:r>
        <w:r>
          <w:rPr>
            <w:noProof/>
            <w:webHidden/>
          </w:rPr>
          <w:fldChar w:fldCharType="end"/>
        </w:r>
      </w:hyperlink>
    </w:p>
    <w:p w:rsidR="000778D2" w:rsidRDefault="000778D2" w14:paraId="3ECD2097" w14:textId="71BE9E39">
      <w:pPr>
        <w:pStyle w:val="TOC1"/>
        <w:tabs>
          <w:tab w:val="right" w:leader="dot" w:pos="9350"/>
        </w:tabs>
        <w:rPr>
          <w:rFonts w:asciiTheme="minorHAnsi" w:hAnsiTheme="minorHAnsi" w:eastAsiaTheme="minorEastAsia" w:cstheme="minorBidi"/>
          <w:noProof/>
          <w:sz w:val="22"/>
        </w:rPr>
      </w:pPr>
      <w:hyperlink w:history="1" w:anchor="_Toc65157801">
        <w:r w:rsidRPr="00BB5D8E">
          <w:rPr>
            <w:rStyle w:val="Hyperlink"/>
            <w:noProof/>
          </w:rPr>
          <w:t>2.</w:t>
        </w:r>
        <w:r>
          <w:rPr>
            <w:rFonts w:asciiTheme="minorHAnsi" w:hAnsiTheme="minorHAnsi" w:eastAsiaTheme="minorEastAsia" w:cstheme="minorBidi"/>
            <w:noProof/>
            <w:sz w:val="22"/>
          </w:rPr>
          <w:tab/>
        </w:r>
        <w:r w:rsidRPr="00BB5D8E">
          <w:rPr>
            <w:rStyle w:val="Hyperlink"/>
            <w:noProof/>
          </w:rPr>
          <w:t>Issues Before the Commission</w:t>
        </w:r>
        <w:r>
          <w:rPr>
            <w:noProof/>
            <w:webHidden/>
          </w:rPr>
          <w:tab/>
        </w:r>
        <w:r>
          <w:rPr>
            <w:noProof/>
            <w:webHidden/>
          </w:rPr>
          <w:fldChar w:fldCharType="begin"/>
        </w:r>
        <w:r>
          <w:rPr>
            <w:noProof/>
            <w:webHidden/>
          </w:rPr>
          <w:instrText xml:space="preserve"> PAGEREF _Toc65157801 \h </w:instrText>
        </w:r>
        <w:r>
          <w:rPr>
            <w:noProof/>
            <w:webHidden/>
          </w:rPr>
        </w:r>
        <w:r>
          <w:rPr>
            <w:noProof/>
            <w:webHidden/>
          </w:rPr>
          <w:fldChar w:fldCharType="separate"/>
        </w:r>
        <w:r>
          <w:rPr>
            <w:noProof/>
            <w:webHidden/>
          </w:rPr>
          <w:t>4</w:t>
        </w:r>
        <w:r>
          <w:rPr>
            <w:noProof/>
            <w:webHidden/>
          </w:rPr>
          <w:fldChar w:fldCharType="end"/>
        </w:r>
      </w:hyperlink>
    </w:p>
    <w:p w:rsidR="000778D2" w:rsidRDefault="000778D2" w14:paraId="5E6804F7" w14:textId="3D396D6B">
      <w:pPr>
        <w:pStyle w:val="TOC1"/>
        <w:tabs>
          <w:tab w:val="right" w:leader="dot" w:pos="9350"/>
        </w:tabs>
        <w:rPr>
          <w:rFonts w:asciiTheme="minorHAnsi" w:hAnsiTheme="minorHAnsi" w:eastAsiaTheme="minorEastAsia" w:cstheme="minorBidi"/>
          <w:noProof/>
          <w:sz w:val="22"/>
        </w:rPr>
      </w:pPr>
      <w:hyperlink w:history="1" w:anchor="_Toc65157802">
        <w:r w:rsidRPr="00BB5D8E">
          <w:rPr>
            <w:rStyle w:val="Hyperlink"/>
            <w:noProof/>
          </w:rPr>
          <w:t>3.</w:t>
        </w:r>
        <w:r>
          <w:rPr>
            <w:rFonts w:asciiTheme="minorHAnsi" w:hAnsiTheme="minorHAnsi" w:eastAsiaTheme="minorEastAsia" w:cstheme="minorBidi"/>
            <w:noProof/>
            <w:sz w:val="22"/>
          </w:rPr>
          <w:tab/>
        </w:r>
        <w:r w:rsidRPr="00BB5D8E">
          <w:rPr>
            <w:rStyle w:val="Hyperlink"/>
            <w:noProof/>
          </w:rPr>
          <w:t>Modification or Elimination of the Residential High Usage Charge</w:t>
        </w:r>
        <w:r>
          <w:rPr>
            <w:noProof/>
            <w:webHidden/>
          </w:rPr>
          <w:tab/>
        </w:r>
        <w:r>
          <w:rPr>
            <w:noProof/>
            <w:webHidden/>
          </w:rPr>
          <w:fldChar w:fldCharType="begin"/>
        </w:r>
        <w:r>
          <w:rPr>
            <w:noProof/>
            <w:webHidden/>
          </w:rPr>
          <w:instrText xml:space="preserve"> PAGEREF _Toc65157802 \h </w:instrText>
        </w:r>
        <w:r>
          <w:rPr>
            <w:noProof/>
            <w:webHidden/>
          </w:rPr>
        </w:r>
        <w:r>
          <w:rPr>
            <w:noProof/>
            <w:webHidden/>
          </w:rPr>
          <w:fldChar w:fldCharType="separate"/>
        </w:r>
        <w:r>
          <w:rPr>
            <w:noProof/>
            <w:webHidden/>
          </w:rPr>
          <w:t>4</w:t>
        </w:r>
        <w:r>
          <w:rPr>
            <w:noProof/>
            <w:webHidden/>
          </w:rPr>
          <w:fldChar w:fldCharType="end"/>
        </w:r>
      </w:hyperlink>
    </w:p>
    <w:p w:rsidR="000778D2" w:rsidRDefault="000778D2" w14:paraId="579355D7" w14:textId="14D42A12">
      <w:pPr>
        <w:pStyle w:val="TOC2"/>
        <w:tabs>
          <w:tab w:val="right" w:leader="dot" w:pos="9350"/>
        </w:tabs>
        <w:rPr>
          <w:rFonts w:asciiTheme="minorHAnsi" w:hAnsiTheme="minorHAnsi" w:eastAsiaTheme="minorEastAsia" w:cstheme="minorBidi"/>
          <w:noProof/>
          <w:sz w:val="22"/>
        </w:rPr>
      </w:pPr>
      <w:hyperlink w:history="1" w:anchor="_Toc65157803">
        <w:r w:rsidRPr="00BB5D8E">
          <w:rPr>
            <w:rStyle w:val="Hyperlink"/>
            <w:noProof/>
          </w:rPr>
          <w:t>3.1.</w:t>
        </w:r>
        <w:r>
          <w:rPr>
            <w:rFonts w:asciiTheme="minorHAnsi" w:hAnsiTheme="minorHAnsi" w:eastAsiaTheme="minorEastAsia" w:cstheme="minorBidi"/>
            <w:noProof/>
            <w:sz w:val="22"/>
          </w:rPr>
          <w:tab/>
        </w:r>
        <w:r w:rsidRPr="00BB5D8E">
          <w:rPr>
            <w:rStyle w:val="Hyperlink"/>
            <w:noProof/>
          </w:rPr>
          <w:t>Genesis of the High Usage Charge</w:t>
        </w:r>
        <w:r>
          <w:rPr>
            <w:noProof/>
            <w:webHidden/>
          </w:rPr>
          <w:tab/>
        </w:r>
        <w:r>
          <w:rPr>
            <w:noProof/>
            <w:webHidden/>
          </w:rPr>
          <w:fldChar w:fldCharType="begin"/>
        </w:r>
        <w:r>
          <w:rPr>
            <w:noProof/>
            <w:webHidden/>
          </w:rPr>
          <w:instrText xml:space="preserve"> PAGEREF _Toc65157803 \h </w:instrText>
        </w:r>
        <w:r>
          <w:rPr>
            <w:noProof/>
            <w:webHidden/>
          </w:rPr>
        </w:r>
        <w:r>
          <w:rPr>
            <w:noProof/>
            <w:webHidden/>
          </w:rPr>
          <w:fldChar w:fldCharType="separate"/>
        </w:r>
        <w:r>
          <w:rPr>
            <w:noProof/>
            <w:webHidden/>
          </w:rPr>
          <w:t>4</w:t>
        </w:r>
        <w:r>
          <w:rPr>
            <w:noProof/>
            <w:webHidden/>
          </w:rPr>
          <w:fldChar w:fldCharType="end"/>
        </w:r>
      </w:hyperlink>
    </w:p>
    <w:p w:rsidR="000778D2" w:rsidRDefault="000778D2" w14:paraId="4A50F857" w14:textId="2C76A4CA">
      <w:pPr>
        <w:pStyle w:val="TOC2"/>
        <w:tabs>
          <w:tab w:val="right" w:leader="dot" w:pos="9350"/>
        </w:tabs>
        <w:rPr>
          <w:rFonts w:asciiTheme="minorHAnsi" w:hAnsiTheme="minorHAnsi" w:eastAsiaTheme="minorEastAsia" w:cstheme="minorBidi"/>
          <w:noProof/>
          <w:sz w:val="22"/>
        </w:rPr>
      </w:pPr>
      <w:hyperlink w:history="1" w:anchor="_Toc65157804">
        <w:r w:rsidRPr="00BB5D8E">
          <w:rPr>
            <w:rStyle w:val="Hyperlink"/>
            <w:noProof/>
          </w:rPr>
          <w:t>3.2.</w:t>
        </w:r>
        <w:r>
          <w:rPr>
            <w:rFonts w:asciiTheme="minorHAnsi" w:hAnsiTheme="minorHAnsi" w:eastAsiaTheme="minorEastAsia" w:cstheme="minorBidi"/>
            <w:noProof/>
            <w:sz w:val="22"/>
          </w:rPr>
          <w:tab/>
        </w:r>
        <w:r w:rsidRPr="00BB5D8E">
          <w:rPr>
            <w:rStyle w:val="Hyperlink"/>
            <w:noProof/>
          </w:rPr>
          <w:t>Party Positions on the HUC</w:t>
        </w:r>
        <w:r>
          <w:rPr>
            <w:noProof/>
            <w:webHidden/>
          </w:rPr>
          <w:tab/>
        </w:r>
        <w:r>
          <w:rPr>
            <w:noProof/>
            <w:webHidden/>
          </w:rPr>
          <w:fldChar w:fldCharType="begin"/>
        </w:r>
        <w:r>
          <w:rPr>
            <w:noProof/>
            <w:webHidden/>
          </w:rPr>
          <w:instrText xml:space="preserve"> PAGEREF _Toc65157804 \h </w:instrText>
        </w:r>
        <w:r>
          <w:rPr>
            <w:noProof/>
            <w:webHidden/>
          </w:rPr>
        </w:r>
        <w:r>
          <w:rPr>
            <w:noProof/>
            <w:webHidden/>
          </w:rPr>
          <w:fldChar w:fldCharType="separate"/>
        </w:r>
        <w:r>
          <w:rPr>
            <w:noProof/>
            <w:webHidden/>
          </w:rPr>
          <w:t>6</w:t>
        </w:r>
        <w:r>
          <w:rPr>
            <w:noProof/>
            <w:webHidden/>
          </w:rPr>
          <w:fldChar w:fldCharType="end"/>
        </w:r>
      </w:hyperlink>
    </w:p>
    <w:p w:rsidR="000778D2" w:rsidRDefault="000778D2" w14:paraId="1F53F647" w14:textId="437DBFD8">
      <w:pPr>
        <w:pStyle w:val="TOC3"/>
        <w:tabs>
          <w:tab w:val="left" w:pos="1296"/>
          <w:tab w:val="right" w:leader="dot" w:pos="9350"/>
        </w:tabs>
        <w:rPr>
          <w:rFonts w:asciiTheme="minorHAnsi" w:hAnsiTheme="minorHAnsi" w:eastAsiaTheme="minorEastAsia" w:cstheme="minorBidi"/>
          <w:noProof/>
          <w:sz w:val="22"/>
        </w:rPr>
      </w:pPr>
      <w:hyperlink w:history="1" w:anchor="_Toc65157805">
        <w:r w:rsidRPr="00BB5D8E">
          <w:rPr>
            <w:rStyle w:val="Hyperlink"/>
            <w:noProof/>
          </w:rPr>
          <w:t>3.2.1.</w:t>
        </w:r>
        <w:r>
          <w:rPr>
            <w:rFonts w:asciiTheme="minorHAnsi" w:hAnsiTheme="minorHAnsi" w:eastAsiaTheme="minorEastAsia" w:cstheme="minorBidi"/>
            <w:noProof/>
            <w:sz w:val="22"/>
          </w:rPr>
          <w:tab/>
        </w:r>
        <w:r w:rsidRPr="00BB5D8E">
          <w:rPr>
            <w:rStyle w:val="Hyperlink"/>
            <w:noProof/>
          </w:rPr>
          <w:t>Application of the HUC Beyond Original Intent</w:t>
        </w:r>
        <w:r>
          <w:rPr>
            <w:noProof/>
            <w:webHidden/>
          </w:rPr>
          <w:tab/>
        </w:r>
        <w:r>
          <w:rPr>
            <w:noProof/>
            <w:webHidden/>
          </w:rPr>
          <w:fldChar w:fldCharType="begin"/>
        </w:r>
        <w:r>
          <w:rPr>
            <w:noProof/>
            <w:webHidden/>
          </w:rPr>
          <w:instrText xml:space="preserve"> PAGEREF _Toc65157805 \h </w:instrText>
        </w:r>
        <w:r>
          <w:rPr>
            <w:noProof/>
            <w:webHidden/>
          </w:rPr>
        </w:r>
        <w:r>
          <w:rPr>
            <w:noProof/>
            <w:webHidden/>
          </w:rPr>
          <w:fldChar w:fldCharType="separate"/>
        </w:r>
        <w:r>
          <w:rPr>
            <w:noProof/>
            <w:webHidden/>
          </w:rPr>
          <w:t>7</w:t>
        </w:r>
        <w:r>
          <w:rPr>
            <w:noProof/>
            <w:webHidden/>
          </w:rPr>
          <w:fldChar w:fldCharType="end"/>
        </w:r>
      </w:hyperlink>
    </w:p>
    <w:p w:rsidR="000778D2" w:rsidRDefault="000778D2" w14:paraId="731BBF02" w14:textId="43C29FF8">
      <w:pPr>
        <w:pStyle w:val="TOC3"/>
        <w:tabs>
          <w:tab w:val="left" w:pos="1296"/>
          <w:tab w:val="right" w:leader="dot" w:pos="9350"/>
        </w:tabs>
        <w:rPr>
          <w:rFonts w:asciiTheme="minorHAnsi" w:hAnsiTheme="minorHAnsi" w:eastAsiaTheme="minorEastAsia" w:cstheme="minorBidi"/>
          <w:noProof/>
          <w:sz w:val="22"/>
        </w:rPr>
      </w:pPr>
      <w:hyperlink w:history="1" w:anchor="_Toc65157806">
        <w:r w:rsidRPr="00BB5D8E">
          <w:rPr>
            <w:rStyle w:val="Hyperlink"/>
            <w:noProof/>
          </w:rPr>
          <w:t>3.2.2.</w:t>
        </w:r>
        <w:r>
          <w:rPr>
            <w:rFonts w:asciiTheme="minorHAnsi" w:hAnsiTheme="minorHAnsi" w:eastAsiaTheme="minorEastAsia" w:cstheme="minorBidi"/>
            <w:noProof/>
            <w:sz w:val="22"/>
          </w:rPr>
          <w:tab/>
        </w:r>
        <w:r w:rsidRPr="00BB5D8E">
          <w:rPr>
            <w:rStyle w:val="Hyperlink"/>
            <w:noProof/>
          </w:rPr>
          <w:t>HUC Impact on Conservation</w:t>
        </w:r>
        <w:r>
          <w:rPr>
            <w:noProof/>
            <w:webHidden/>
          </w:rPr>
          <w:tab/>
        </w:r>
        <w:r>
          <w:rPr>
            <w:noProof/>
            <w:webHidden/>
          </w:rPr>
          <w:fldChar w:fldCharType="begin"/>
        </w:r>
        <w:r>
          <w:rPr>
            <w:noProof/>
            <w:webHidden/>
          </w:rPr>
          <w:instrText xml:space="preserve"> PAGEREF _Toc65157806 \h </w:instrText>
        </w:r>
        <w:r>
          <w:rPr>
            <w:noProof/>
            <w:webHidden/>
          </w:rPr>
        </w:r>
        <w:r>
          <w:rPr>
            <w:noProof/>
            <w:webHidden/>
          </w:rPr>
          <w:fldChar w:fldCharType="separate"/>
        </w:r>
        <w:r>
          <w:rPr>
            <w:noProof/>
            <w:webHidden/>
          </w:rPr>
          <w:t>8</w:t>
        </w:r>
        <w:r>
          <w:rPr>
            <w:noProof/>
            <w:webHidden/>
          </w:rPr>
          <w:fldChar w:fldCharType="end"/>
        </w:r>
      </w:hyperlink>
    </w:p>
    <w:p w:rsidR="000778D2" w:rsidRDefault="000778D2" w14:paraId="0A7B98EE" w14:textId="1DC6D99D">
      <w:pPr>
        <w:pStyle w:val="TOC3"/>
        <w:tabs>
          <w:tab w:val="left" w:pos="1296"/>
          <w:tab w:val="right" w:leader="dot" w:pos="9350"/>
        </w:tabs>
        <w:rPr>
          <w:rFonts w:asciiTheme="minorHAnsi" w:hAnsiTheme="minorHAnsi" w:eastAsiaTheme="minorEastAsia" w:cstheme="minorBidi"/>
          <w:noProof/>
          <w:sz w:val="22"/>
        </w:rPr>
      </w:pPr>
      <w:hyperlink w:history="1" w:anchor="_Toc65157807">
        <w:r w:rsidRPr="00BB5D8E">
          <w:rPr>
            <w:rStyle w:val="Hyperlink"/>
            <w:noProof/>
          </w:rPr>
          <w:t>3.2.3.</w:t>
        </w:r>
        <w:r>
          <w:rPr>
            <w:rFonts w:asciiTheme="minorHAnsi" w:hAnsiTheme="minorHAnsi" w:eastAsiaTheme="minorEastAsia" w:cstheme="minorBidi"/>
            <w:noProof/>
            <w:sz w:val="22"/>
          </w:rPr>
          <w:tab/>
        </w:r>
        <w:r w:rsidRPr="00BB5D8E">
          <w:rPr>
            <w:rStyle w:val="Hyperlink"/>
            <w:noProof/>
          </w:rPr>
          <w:t>Cost of Service Concerns</w:t>
        </w:r>
        <w:r>
          <w:rPr>
            <w:noProof/>
            <w:webHidden/>
          </w:rPr>
          <w:tab/>
        </w:r>
        <w:r>
          <w:rPr>
            <w:noProof/>
            <w:webHidden/>
          </w:rPr>
          <w:fldChar w:fldCharType="begin"/>
        </w:r>
        <w:r>
          <w:rPr>
            <w:noProof/>
            <w:webHidden/>
          </w:rPr>
          <w:instrText xml:space="preserve"> PAGEREF _Toc65157807 \h </w:instrText>
        </w:r>
        <w:r>
          <w:rPr>
            <w:noProof/>
            <w:webHidden/>
          </w:rPr>
        </w:r>
        <w:r>
          <w:rPr>
            <w:noProof/>
            <w:webHidden/>
          </w:rPr>
          <w:fldChar w:fldCharType="separate"/>
        </w:r>
        <w:r>
          <w:rPr>
            <w:noProof/>
            <w:webHidden/>
          </w:rPr>
          <w:t>10</w:t>
        </w:r>
        <w:r>
          <w:rPr>
            <w:noProof/>
            <w:webHidden/>
          </w:rPr>
          <w:fldChar w:fldCharType="end"/>
        </w:r>
      </w:hyperlink>
    </w:p>
    <w:p w:rsidR="000778D2" w:rsidRDefault="000778D2" w14:paraId="42A696D6" w14:textId="3CB93902">
      <w:pPr>
        <w:pStyle w:val="TOC3"/>
        <w:tabs>
          <w:tab w:val="left" w:pos="1296"/>
          <w:tab w:val="right" w:leader="dot" w:pos="9350"/>
        </w:tabs>
        <w:rPr>
          <w:rFonts w:asciiTheme="minorHAnsi" w:hAnsiTheme="minorHAnsi" w:eastAsiaTheme="minorEastAsia" w:cstheme="minorBidi"/>
          <w:noProof/>
          <w:sz w:val="22"/>
        </w:rPr>
      </w:pPr>
      <w:hyperlink w:history="1" w:anchor="_Toc65157808">
        <w:r w:rsidRPr="00BB5D8E">
          <w:rPr>
            <w:rStyle w:val="Hyperlink"/>
            <w:noProof/>
          </w:rPr>
          <w:t>3.2.4.</w:t>
        </w:r>
        <w:r>
          <w:rPr>
            <w:rFonts w:asciiTheme="minorHAnsi" w:hAnsiTheme="minorHAnsi" w:eastAsiaTheme="minorEastAsia" w:cstheme="minorBidi"/>
            <w:noProof/>
            <w:sz w:val="22"/>
          </w:rPr>
          <w:tab/>
        </w:r>
        <w:r w:rsidRPr="00BB5D8E">
          <w:rPr>
            <w:rStyle w:val="Hyperlink"/>
            <w:noProof/>
          </w:rPr>
          <w:t>Effect of Migration to Default TOU</w:t>
        </w:r>
        <w:r>
          <w:rPr>
            <w:noProof/>
            <w:webHidden/>
          </w:rPr>
          <w:tab/>
        </w:r>
        <w:r>
          <w:rPr>
            <w:noProof/>
            <w:webHidden/>
          </w:rPr>
          <w:fldChar w:fldCharType="begin"/>
        </w:r>
        <w:r>
          <w:rPr>
            <w:noProof/>
            <w:webHidden/>
          </w:rPr>
          <w:instrText xml:space="preserve"> PAGEREF _Toc65157808 \h </w:instrText>
        </w:r>
        <w:r>
          <w:rPr>
            <w:noProof/>
            <w:webHidden/>
          </w:rPr>
        </w:r>
        <w:r>
          <w:rPr>
            <w:noProof/>
            <w:webHidden/>
          </w:rPr>
          <w:fldChar w:fldCharType="separate"/>
        </w:r>
        <w:r>
          <w:rPr>
            <w:noProof/>
            <w:webHidden/>
          </w:rPr>
          <w:t>11</w:t>
        </w:r>
        <w:r>
          <w:rPr>
            <w:noProof/>
            <w:webHidden/>
          </w:rPr>
          <w:fldChar w:fldCharType="end"/>
        </w:r>
      </w:hyperlink>
    </w:p>
    <w:p w:rsidR="000778D2" w:rsidRDefault="000778D2" w14:paraId="0BF56850" w14:textId="365A2BA2">
      <w:pPr>
        <w:pStyle w:val="TOC3"/>
        <w:tabs>
          <w:tab w:val="left" w:pos="1296"/>
          <w:tab w:val="right" w:leader="dot" w:pos="9350"/>
        </w:tabs>
        <w:rPr>
          <w:rFonts w:asciiTheme="minorHAnsi" w:hAnsiTheme="minorHAnsi" w:eastAsiaTheme="minorEastAsia" w:cstheme="minorBidi"/>
          <w:noProof/>
          <w:sz w:val="22"/>
        </w:rPr>
      </w:pPr>
      <w:hyperlink w:history="1" w:anchor="_Toc65157809">
        <w:r w:rsidRPr="00BB5D8E">
          <w:rPr>
            <w:rStyle w:val="Hyperlink"/>
            <w:noProof/>
          </w:rPr>
          <w:t>3.2.5.</w:t>
        </w:r>
        <w:r>
          <w:rPr>
            <w:rFonts w:asciiTheme="minorHAnsi" w:hAnsiTheme="minorHAnsi" w:eastAsiaTheme="minorEastAsia" w:cstheme="minorBidi"/>
            <w:noProof/>
            <w:sz w:val="22"/>
          </w:rPr>
          <w:tab/>
        </w:r>
        <w:r w:rsidRPr="00BB5D8E">
          <w:rPr>
            <w:rStyle w:val="Hyperlink"/>
            <w:noProof/>
          </w:rPr>
          <w:t>HUC Effect on Electrification</w:t>
        </w:r>
        <w:r>
          <w:rPr>
            <w:noProof/>
            <w:webHidden/>
          </w:rPr>
          <w:tab/>
        </w:r>
        <w:r>
          <w:rPr>
            <w:noProof/>
            <w:webHidden/>
          </w:rPr>
          <w:fldChar w:fldCharType="begin"/>
        </w:r>
        <w:r>
          <w:rPr>
            <w:noProof/>
            <w:webHidden/>
          </w:rPr>
          <w:instrText xml:space="preserve"> PAGEREF _Toc65157809 \h </w:instrText>
        </w:r>
        <w:r>
          <w:rPr>
            <w:noProof/>
            <w:webHidden/>
          </w:rPr>
        </w:r>
        <w:r>
          <w:rPr>
            <w:noProof/>
            <w:webHidden/>
          </w:rPr>
          <w:fldChar w:fldCharType="separate"/>
        </w:r>
        <w:r>
          <w:rPr>
            <w:noProof/>
            <w:webHidden/>
          </w:rPr>
          <w:t>13</w:t>
        </w:r>
        <w:r>
          <w:rPr>
            <w:noProof/>
            <w:webHidden/>
          </w:rPr>
          <w:fldChar w:fldCharType="end"/>
        </w:r>
      </w:hyperlink>
    </w:p>
    <w:p w:rsidR="000778D2" w:rsidRDefault="000778D2" w14:paraId="60AF6CFF" w14:textId="5C719AC5">
      <w:pPr>
        <w:pStyle w:val="TOC3"/>
        <w:tabs>
          <w:tab w:val="left" w:pos="1296"/>
          <w:tab w:val="right" w:leader="dot" w:pos="9350"/>
        </w:tabs>
        <w:rPr>
          <w:rFonts w:asciiTheme="minorHAnsi" w:hAnsiTheme="minorHAnsi" w:eastAsiaTheme="minorEastAsia" w:cstheme="minorBidi"/>
          <w:noProof/>
          <w:sz w:val="22"/>
        </w:rPr>
      </w:pPr>
      <w:hyperlink w:history="1" w:anchor="_Toc65157810">
        <w:r w:rsidRPr="00BB5D8E">
          <w:rPr>
            <w:rStyle w:val="Hyperlink"/>
            <w:noProof/>
          </w:rPr>
          <w:t>3.2.6.</w:t>
        </w:r>
        <w:r>
          <w:rPr>
            <w:rFonts w:asciiTheme="minorHAnsi" w:hAnsiTheme="minorHAnsi" w:eastAsiaTheme="minorEastAsia" w:cstheme="minorBidi"/>
            <w:noProof/>
            <w:sz w:val="22"/>
          </w:rPr>
          <w:tab/>
        </w:r>
        <w:r w:rsidRPr="00BB5D8E">
          <w:rPr>
            <w:rStyle w:val="Hyperlink"/>
            <w:noProof/>
          </w:rPr>
          <w:t>Rate and Bill Impacts of HUC Elimination</w:t>
        </w:r>
        <w:r>
          <w:rPr>
            <w:noProof/>
            <w:webHidden/>
          </w:rPr>
          <w:tab/>
        </w:r>
        <w:r>
          <w:rPr>
            <w:noProof/>
            <w:webHidden/>
          </w:rPr>
          <w:fldChar w:fldCharType="begin"/>
        </w:r>
        <w:r>
          <w:rPr>
            <w:noProof/>
            <w:webHidden/>
          </w:rPr>
          <w:instrText xml:space="preserve"> PAGEREF _Toc65157810 \h </w:instrText>
        </w:r>
        <w:r>
          <w:rPr>
            <w:noProof/>
            <w:webHidden/>
          </w:rPr>
        </w:r>
        <w:r>
          <w:rPr>
            <w:noProof/>
            <w:webHidden/>
          </w:rPr>
          <w:fldChar w:fldCharType="separate"/>
        </w:r>
        <w:r>
          <w:rPr>
            <w:noProof/>
            <w:webHidden/>
          </w:rPr>
          <w:t>14</w:t>
        </w:r>
        <w:r>
          <w:rPr>
            <w:noProof/>
            <w:webHidden/>
          </w:rPr>
          <w:fldChar w:fldCharType="end"/>
        </w:r>
      </w:hyperlink>
    </w:p>
    <w:p w:rsidR="000778D2" w:rsidRDefault="000778D2" w14:paraId="44F56BB9" w14:textId="59F4137E">
      <w:pPr>
        <w:pStyle w:val="TOC2"/>
        <w:tabs>
          <w:tab w:val="right" w:leader="dot" w:pos="9350"/>
        </w:tabs>
        <w:rPr>
          <w:rFonts w:asciiTheme="minorHAnsi" w:hAnsiTheme="minorHAnsi" w:eastAsiaTheme="minorEastAsia" w:cstheme="minorBidi"/>
          <w:noProof/>
          <w:sz w:val="22"/>
        </w:rPr>
      </w:pPr>
      <w:hyperlink w:history="1" w:anchor="_Toc65157811">
        <w:r w:rsidRPr="00BB5D8E">
          <w:rPr>
            <w:rStyle w:val="Hyperlink"/>
            <w:noProof/>
          </w:rPr>
          <w:t>3.3.</w:t>
        </w:r>
        <w:r>
          <w:rPr>
            <w:rFonts w:asciiTheme="minorHAnsi" w:hAnsiTheme="minorHAnsi" w:eastAsiaTheme="minorEastAsia" w:cstheme="minorBidi"/>
            <w:noProof/>
            <w:sz w:val="22"/>
          </w:rPr>
          <w:tab/>
        </w:r>
        <w:r w:rsidRPr="00BB5D8E">
          <w:rPr>
            <w:rStyle w:val="Hyperlink"/>
            <w:noProof/>
          </w:rPr>
          <w:t>Contested Settlement on HUC Issues</w:t>
        </w:r>
        <w:r>
          <w:rPr>
            <w:noProof/>
            <w:webHidden/>
          </w:rPr>
          <w:tab/>
        </w:r>
        <w:r>
          <w:rPr>
            <w:noProof/>
            <w:webHidden/>
          </w:rPr>
          <w:fldChar w:fldCharType="begin"/>
        </w:r>
        <w:r>
          <w:rPr>
            <w:noProof/>
            <w:webHidden/>
          </w:rPr>
          <w:instrText xml:space="preserve"> PAGEREF _Toc65157811 \h </w:instrText>
        </w:r>
        <w:r>
          <w:rPr>
            <w:noProof/>
            <w:webHidden/>
          </w:rPr>
        </w:r>
        <w:r>
          <w:rPr>
            <w:noProof/>
            <w:webHidden/>
          </w:rPr>
          <w:fldChar w:fldCharType="separate"/>
        </w:r>
        <w:r>
          <w:rPr>
            <w:noProof/>
            <w:webHidden/>
          </w:rPr>
          <w:t>17</w:t>
        </w:r>
        <w:r>
          <w:rPr>
            <w:noProof/>
            <w:webHidden/>
          </w:rPr>
          <w:fldChar w:fldCharType="end"/>
        </w:r>
      </w:hyperlink>
    </w:p>
    <w:p w:rsidR="000778D2" w:rsidRDefault="000778D2" w14:paraId="16326011" w14:textId="23CCE3DE">
      <w:pPr>
        <w:pStyle w:val="TOC3"/>
        <w:tabs>
          <w:tab w:val="left" w:pos="1296"/>
          <w:tab w:val="right" w:leader="dot" w:pos="9350"/>
        </w:tabs>
        <w:rPr>
          <w:rFonts w:asciiTheme="minorHAnsi" w:hAnsiTheme="minorHAnsi" w:eastAsiaTheme="minorEastAsia" w:cstheme="minorBidi"/>
          <w:noProof/>
          <w:sz w:val="22"/>
        </w:rPr>
      </w:pPr>
      <w:hyperlink w:history="1" w:anchor="_Toc65157812">
        <w:r w:rsidRPr="00BB5D8E">
          <w:rPr>
            <w:rStyle w:val="Hyperlink"/>
            <w:noProof/>
          </w:rPr>
          <w:t>3.3.1.</w:t>
        </w:r>
        <w:r>
          <w:rPr>
            <w:rFonts w:asciiTheme="minorHAnsi" w:hAnsiTheme="minorHAnsi" w:eastAsiaTheme="minorEastAsia" w:cstheme="minorBidi"/>
            <w:noProof/>
            <w:sz w:val="22"/>
          </w:rPr>
          <w:tab/>
        </w:r>
        <w:r w:rsidRPr="00BB5D8E">
          <w:rPr>
            <w:rStyle w:val="Hyperlink"/>
            <w:noProof/>
          </w:rPr>
          <w:t>Commission Review of Settlements</w:t>
        </w:r>
        <w:r>
          <w:rPr>
            <w:noProof/>
            <w:webHidden/>
          </w:rPr>
          <w:tab/>
        </w:r>
        <w:r>
          <w:rPr>
            <w:noProof/>
            <w:webHidden/>
          </w:rPr>
          <w:fldChar w:fldCharType="begin"/>
        </w:r>
        <w:r>
          <w:rPr>
            <w:noProof/>
            <w:webHidden/>
          </w:rPr>
          <w:instrText xml:space="preserve"> PAGEREF _Toc65157812 \h </w:instrText>
        </w:r>
        <w:r>
          <w:rPr>
            <w:noProof/>
            <w:webHidden/>
          </w:rPr>
        </w:r>
        <w:r>
          <w:rPr>
            <w:noProof/>
            <w:webHidden/>
          </w:rPr>
          <w:fldChar w:fldCharType="separate"/>
        </w:r>
        <w:r>
          <w:rPr>
            <w:noProof/>
            <w:webHidden/>
          </w:rPr>
          <w:t>18</w:t>
        </w:r>
        <w:r>
          <w:rPr>
            <w:noProof/>
            <w:webHidden/>
          </w:rPr>
          <w:fldChar w:fldCharType="end"/>
        </w:r>
      </w:hyperlink>
    </w:p>
    <w:p w:rsidR="000778D2" w:rsidRDefault="000778D2" w14:paraId="259C2712" w14:textId="1372801C">
      <w:pPr>
        <w:pStyle w:val="TOC3"/>
        <w:tabs>
          <w:tab w:val="left" w:pos="1296"/>
          <w:tab w:val="right" w:leader="dot" w:pos="9350"/>
        </w:tabs>
        <w:rPr>
          <w:rFonts w:asciiTheme="minorHAnsi" w:hAnsiTheme="minorHAnsi" w:eastAsiaTheme="minorEastAsia" w:cstheme="minorBidi"/>
          <w:noProof/>
          <w:sz w:val="22"/>
        </w:rPr>
      </w:pPr>
      <w:hyperlink w:history="1" w:anchor="_Toc65157813">
        <w:r w:rsidRPr="00BB5D8E">
          <w:rPr>
            <w:rStyle w:val="Hyperlink"/>
            <w:noProof/>
          </w:rPr>
          <w:t>3.3.2.</w:t>
        </w:r>
        <w:r>
          <w:rPr>
            <w:rFonts w:asciiTheme="minorHAnsi" w:hAnsiTheme="minorHAnsi" w:eastAsiaTheme="minorEastAsia" w:cstheme="minorBidi"/>
            <w:noProof/>
            <w:sz w:val="22"/>
          </w:rPr>
          <w:tab/>
        </w:r>
        <w:r w:rsidRPr="00BB5D8E">
          <w:rPr>
            <w:rStyle w:val="Hyperlink"/>
            <w:noProof/>
          </w:rPr>
          <w:t>Reasonableness in Light of the Whole Record</w:t>
        </w:r>
        <w:r>
          <w:rPr>
            <w:noProof/>
            <w:webHidden/>
          </w:rPr>
          <w:tab/>
        </w:r>
        <w:r>
          <w:rPr>
            <w:noProof/>
            <w:webHidden/>
          </w:rPr>
          <w:fldChar w:fldCharType="begin"/>
        </w:r>
        <w:r>
          <w:rPr>
            <w:noProof/>
            <w:webHidden/>
          </w:rPr>
          <w:instrText xml:space="preserve"> PAGEREF _Toc65157813 \h </w:instrText>
        </w:r>
        <w:r>
          <w:rPr>
            <w:noProof/>
            <w:webHidden/>
          </w:rPr>
        </w:r>
        <w:r>
          <w:rPr>
            <w:noProof/>
            <w:webHidden/>
          </w:rPr>
          <w:fldChar w:fldCharType="separate"/>
        </w:r>
        <w:r>
          <w:rPr>
            <w:noProof/>
            <w:webHidden/>
          </w:rPr>
          <w:t>18</w:t>
        </w:r>
        <w:r>
          <w:rPr>
            <w:noProof/>
            <w:webHidden/>
          </w:rPr>
          <w:fldChar w:fldCharType="end"/>
        </w:r>
      </w:hyperlink>
    </w:p>
    <w:p w:rsidR="000778D2" w:rsidRDefault="000778D2" w14:paraId="7293AE89" w14:textId="44EA2A27">
      <w:pPr>
        <w:pStyle w:val="TOC3"/>
        <w:tabs>
          <w:tab w:val="left" w:pos="1296"/>
          <w:tab w:val="right" w:leader="dot" w:pos="9350"/>
        </w:tabs>
        <w:rPr>
          <w:rFonts w:asciiTheme="minorHAnsi" w:hAnsiTheme="minorHAnsi" w:eastAsiaTheme="minorEastAsia" w:cstheme="minorBidi"/>
          <w:noProof/>
          <w:sz w:val="22"/>
        </w:rPr>
      </w:pPr>
      <w:hyperlink w:history="1" w:anchor="_Toc65157814">
        <w:r w:rsidRPr="00BB5D8E">
          <w:rPr>
            <w:rStyle w:val="Hyperlink"/>
            <w:noProof/>
          </w:rPr>
          <w:t>3.3.3.</w:t>
        </w:r>
        <w:r>
          <w:rPr>
            <w:rFonts w:asciiTheme="minorHAnsi" w:hAnsiTheme="minorHAnsi" w:eastAsiaTheme="minorEastAsia" w:cstheme="minorBidi"/>
            <w:noProof/>
            <w:sz w:val="22"/>
          </w:rPr>
          <w:tab/>
        </w:r>
        <w:r w:rsidRPr="00BB5D8E">
          <w:rPr>
            <w:rStyle w:val="Hyperlink"/>
            <w:noProof/>
          </w:rPr>
          <w:t>Consistency with the Law</w:t>
        </w:r>
        <w:r>
          <w:rPr>
            <w:noProof/>
            <w:webHidden/>
          </w:rPr>
          <w:tab/>
        </w:r>
        <w:r>
          <w:rPr>
            <w:noProof/>
            <w:webHidden/>
          </w:rPr>
          <w:fldChar w:fldCharType="begin"/>
        </w:r>
        <w:r>
          <w:rPr>
            <w:noProof/>
            <w:webHidden/>
          </w:rPr>
          <w:instrText xml:space="preserve"> PAGEREF _Toc65157814 \h </w:instrText>
        </w:r>
        <w:r>
          <w:rPr>
            <w:noProof/>
            <w:webHidden/>
          </w:rPr>
        </w:r>
        <w:r>
          <w:rPr>
            <w:noProof/>
            <w:webHidden/>
          </w:rPr>
          <w:fldChar w:fldCharType="separate"/>
        </w:r>
        <w:r>
          <w:rPr>
            <w:noProof/>
            <w:webHidden/>
          </w:rPr>
          <w:t>19</w:t>
        </w:r>
        <w:r>
          <w:rPr>
            <w:noProof/>
            <w:webHidden/>
          </w:rPr>
          <w:fldChar w:fldCharType="end"/>
        </w:r>
      </w:hyperlink>
    </w:p>
    <w:p w:rsidR="000778D2" w:rsidRDefault="000778D2" w14:paraId="269BA52C" w14:textId="259DED5F">
      <w:pPr>
        <w:pStyle w:val="TOC3"/>
        <w:tabs>
          <w:tab w:val="left" w:pos="1296"/>
          <w:tab w:val="right" w:leader="dot" w:pos="9350"/>
        </w:tabs>
        <w:rPr>
          <w:rFonts w:asciiTheme="minorHAnsi" w:hAnsiTheme="minorHAnsi" w:eastAsiaTheme="minorEastAsia" w:cstheme="minorBidi"/>
          <w:noProof/>
          <w:sz w:val="22"/>
        </w:rPr>
      </w:pPr>
      <w:hyperlink w:history="1" w:anchor="_Toc65157815">
        <w:r w:rsidRPr="00BB5D8E">
          <w:rPr>
            <w:rStyle w:val="Hyperlink"/>
            <w:noProof/>
          </w:rPr>
          <w:t>3.3.4.</w:t>
        </w:r>
        <w:r>
          <w:rPr>
            <w:rFonts w:asciiTheme="minorHAnsi" w:hAnsiTheme="minorHAnsi" w:eastAsiaTheme="minorEastAsia" w:cstheme="minorBidi"/>
            <w:noProof/>
            <w:sz w:val="22"/>
          </w:rPr>
          <w:tab/>
        </w:r>
        <w:r w:rsidRPr="00BB5D8E">
          <w:rPr>
            <w:rStyle w:val="Hyperlink"/>
            <w:noProof/>
          </w:rPr>
          <w:t>Is the HUC Settlement in the Public Interest?</w:t>
        </w:r>
        <w:r>
          <w:rPr>
            <w:noProof/>
            <w:webHidden/>
          </w:rPr>
          <w:tab/>
        </w:r>
        <w:r>
          <w:rPr>
            <w:noProof/>
            <w:webHidden/>
          </w:rPr>
          <w:fldChar w:fldCharType="begin"/>
        </w:r>
        <w:r>
          <w:rPr>
            <w:noProof/>
            <w:webHidden/>
          </w:rPr>
          <w:instrText xml:space="preserve"> PAGEREF _Toc65157815 \h </w:instrText>
        </w:r>
        <w:r>
          <w:rPr>
            <w:noProof/>
            <w:webHidden/>
          </w:rPr>
        </w:r>
        <w:r>
          <w:rPr>
            <w:noProof/>
            <w:webHidden/>
          </w:rPr>
          <w:fldChar w:fldCharType="separate"/>
        </w:r>
        <w:r>
          <w:rPr>
            <w:noProof/>
            <w:webHidden/>
          </w:rPr>
          <w:t>20</w:t>
        </w:r>
        <w:r>
          <w:rPr>
            <w:noProof/>
            <w:webHidden/>
          </w:rPr>
          <w:fldChar w:fldCharType="end"/>
        </w:r>
      </w:hyperlink>
    </w:p>
    <w:p w:rsidR="000778D2" w:rsidRDefault="000778D2" w14:paraId="3C1C55F0" w14:textId="7CCF75B7">
      <w:pPr>
        <w:pStyle w:val="TOC3"/>
        <w:tabs>
          <w:tab w:val="left" w:pos="1296"/>
          <w:tab w:val="right" w:leader="dot" w:pos="9350"/>
        </w:tabs>
        <w:rPr>
          <w:rFonts w:asciiTheme="minorHAnsi" w:hAnsiTheme="minorHAnsi" w:eastAsiaTheme="minorEastAsia" w:cstheme="minorBidi"/>
          <w:noProof/>
          <w:sz w:val="22"/>
        </w:rPr>
      </w:pPr>
      <w:hyperlink w:history="1" w:anchor="_Toc65157816">
        <w:r w:rsidRPr="00BB5D8E">
          <w:rPr>
            <w:rStyle w:val="Hyperlink"/>
            <w:noProof/>
          </w:rPr>
          <w:t>3.3.5.</w:t>
        </w:r>
        <w:r>
          <w:rPr>
            <w:rFonts w:asciiTheme="minorHAnsi" w:hAnsiTheme="minorHAnsi" w:eastAsiaTheme="minorEastAsia" w:cstheme="minorBidi"/>
            <w:noProof/>
            <w:sz w:val="22"/>
          </w:rPr>
          <w:tab/>
        </w:r>
        <w:r w:rsidRPr="00BB5D8E">
          <w:rPr>
            <w:rStyle w:val="Hyperlink"/>
            <w:noProof/>
          </w:rPr>
          <w:t>Representation of Affected Interests</w:t>
        </w:r>
        <w:r>
          <w:rPr>
            <w:noProof/>
            <w:webHidden/>
          </w:rPr>
          <w:tab/>
        </w:r>
        <w:r>
          <w:rPr>
            <w:noProof/>
            <w:webHidden/>
          </w:rPr>
          <w:fldChar w:fldCharType="begin"/>
        </w:r>
        <w:r>
          <w:rPr>
            <w:noProof/>
            <w:webHidden/>
          </w:rPr>
          <w:instrText xml:space="preserve"> PAGEREF _Toc65157816 \h </w:instrText>
        </w:r>
        <w:r>
          <w:rPr>
            <w:noProof/>
            <w:webHidden/>
          </w:rPr>
        </w:r>
        <w:r>
          <w:rPr>
            <w:noProof/>
            <w:webHidden/>
          </w:rPr>
          <w:fldChar w:fldCharType="separate"/>
        </w:r>
        <w:r>
          <w:rPr>
            <w:noProof/>
            <w:webHidden/>
          </w:rPr>
          <w:t>21</w:t>
        </w:r>
        <w:r>
          <w:rPr>
            <w:noProof/>
            <w:webHidden/>
          </w:rPr>
          <w:fldChar w:fldCharType="end"/>
        </w:r>
      </w:hyperlink>
    </w:p>
    <w:p w:rsidR="000778D2" w:rsidRDefault="000778D2" w14:paraId="2619A092" w14:textId="65A7FF29">
      <w:pPr>
        <w:pStyle w:val="TOC3"/>
        <w:tabs>
          <w:tab w:val="left" w:pos="1296"/>
          <w:tab w:val="right" w:leader="dot" w:pos="9350"/>
        </w:tabs>
        <w:rPr>
          <w:rFonts w:asciiTheme="minorHAnsi" w:hAnsiTheme="minorHAnsi" w:eastAsiaTheme="minorEastAsia" w:cstheme="minorBidi"/>
          <w:noProof/>
          <w:sz w:val="22"/>
        </w:rPr>
      </w:pPr>
      <w:hyperlink w:history="1" w:anchor="_Toc65157817">
        <w:r w:rsidRPr="00BB5D8E">
          <w:rPr>
            <w:rStyle w:val="Hyperlink"/>
            <w:noProof/>
          </w:rPr>
          <w:t>3.3.6.</w:t>
        </w:r>
        <w:r>
          <w:rPr>
            <w:rFonts w:asciiTheme="minorHAnsi" w:hAnsiTheme="minorHAnsi" w:eastAsiaTheme="minorEastAsia" w:cstheme="minorBidi"/>
            <w:noProof/>
            <w:sz w:val="22"/>
          </w:rPr>
          <w:tab/>
        </w:r>
        <w:r w:rsidRPr="00BB5D8E">
          <w:rPr>
            <w:rStyle w:val="Hyperlink"/>
            <w:noProof/>
          </w:rPr>
          <w:t>Conservation Signal</w:t>
        </w:r>
        <w:r>
          <w:rPr>
            <w:noProof/>
            <w:webHidden/>
          </w:rPr>
          <w:tab/>
        </w:r>
        <w:r>
          <w:rPr>
            <w:noProof/>
            <w:webHidden/>
          </w:rPr>
          <w:fldChar w:fldCharType="begin"/>
        </w:r>
        <w:r>
          <w:rPr>
            <w:noProof/>
            <w:webHidden/>
          </w:rPr>
          <w:instrText xml:space="preserve"> PAGEREF _Toc65157817 \h </w:instrText>
        </w:r>
        <w:r>
          <w:rPr>
            <w:noProof/>
            <w:webHidden/>
          </w:rPr>
        </w:r>
        <w:r>
          <w:rPr>
            <w:noProof/>
            <w:webHidden/>
          </w:rPr>
          <w:fldChar w:fldCharType="separate"/>
        </w:r>
        <w:r>
          <w:rPr>
            <w:noProof/>
            <w:webHidden/>
          </w:rPr>
          <w:t>22</w:t>
        </w:r>
        <w:r>
          <w:rPr>
            <w:noProof/>
            <w:webHidden/>
          </w:rPr>
          <w:fldChar w:fldCharType="end"/>
        </w:r>
      </w:hyperlink>
    </w:p>
    <w:p w:rsidR="000778D2" w:rsidRDefault="000778D2" w14:paraId="4031C659" w14:textId="458A0A71">
      <w:pPr>
        <w:pStyle w:val="TOC3"/>
        <w:tabs>
          <w:tab w:val="left" w:pos="1296"/>
          <w:tab w:val="right" w:leader="dot" w:pos="9350"/>
        </w:tabs>
        <w:rPr>
          <w:rFonts w:asciiTheme="minorHAnsi" w:hAnsiTheme="minorHAnsi" w:eastAsiaTheme="minorEastAsia" w:cstheme="minorBidi"/>
          <w:noProof/>
          <w:sz w:val="22"/>
        </w:rPr>
      </w:pPr>
      <w:hyperlink w:history="1" w:anchor="_Toc65157818">
        <w:r w:rsidRPr="00BB5D8E">
          <w:rPr>
            <w:rStyle w:val="Hyperlink"/>
            <w:noProof/>
          </w:rPr>
          <w:t>3.3.7.</w:t>
        </w:r>
        <w:r>
          <w:rPr>
            <w:rFonts w:asciiTheme="minorHAnsi" w:hAnsiTheme="minorHAnsi" w:eastAsiaTheme="minorEastAsia" w:cstheme="minorBidi"/>
            <w:noProof/>
            <w:sz w:val="22"/>
          </w:rPr>
          <w:tab/>
        </w:r>
        <w:r w:rsidRPr="00BB5D8E">
          <w:rPr>
            <w:rStyle w:val="Hyperlink"/>
            <w:noProof/>
          </w:rPr>
          <w:t>Equity of Rate and Bill Impacts</w:t>
        </w:r>
        <w:r>
          <w:rPr>
            <w:noProof/>
            <w:webHidden/>
          </w:rPr>
          <w:tab/>
        </w:r>
        <w:r>
          <w:rPr>
            <w:noProof/>
            <w:webHidden/>
          </w:rPr>
          <w:fldChar w:fldCharType="begin"/>
        </w:r>
        <w:r>
          <w:rPr>
            <w:noProof/>
            <w:webHidden/>
          </w:rPr>
          <w:instrText xml:space="preserve"> PAGEREF _Toc65157818 \h </w:instrText>
        </w:r>
        <w:r>
          <w:rPr>
            <w:noProof/>
            <w:webHidden/>
          </w:rPr>
        </w:r>
        <w:r>
          <w:rPr>
            <w:noProof/>
            <w:webHidden/>
          </w:rPr>
          <w:fldChar w:fldCharType="separate"/>
        </w:r>
        <w:r>
          <w:rPr>
            <w:noProof/>
            <w:webHidden/>
          </w:rPr>
          <w:t>23</w:t>
        </w:r>
        <w:r>
          <w:rPr>
            <w:noProof/>
            <w:webHidden/>
          </w:rPr>
          <w:fldChar w:fldCharType="end"/>
        </w:r>
      </w:hyperlink>
    </w:p>
    <w:p w:rsidR="000778D2" w:rsidRDefault="000778D2" w14:paraId="50931ED8" w14:textId="70C24260">
      <w:pPr>
        <w:pStyle w:val="TOC3"/>
        <w:tabs>
          <w:tab w:val="left" w:pos="1296"/>
          <w:tab w:val="right" w:leader="dot" w:pos="9350"/>
        </w:tabs>
        <w:rPr>
          <w:rFonts w:asciiTheme="minorHAnsi" w:hAnsiTheme="minorHAnsi" w:eastAsiaTheme="minorEastAsia" w:cstheme="minorBidi"/>
          <w:noProof/>
          <w:sz w:val="22"/>
        </w:rPr>
      </w:pPr>
      <w:hyperlink w:history="1" w:anchor="_Toc65157819">
        <w:r w:rsidRPr="00BB5D8E">
          <w:rPr>
            <w:rStyle w:val="Hyperlink"/>
            <w:noProof/>
          </w:rPr>
          <w:t>3.3.8.</w:t>
        </w:r>
        <w:r>
          <w:rPr>
            <w:rFonts w:asciiTheme="minorHAnsi" w:hAnsiTheme="minorHAnsi" w:eastAsiaTheme="minorEastAsia" w:cstheme="minorBidi"/>
            <w:noProof/>
            <w:sz w:val="22"/>
          </w:rPr>
          <w:tab/>
        </w:r>
        <w:r w:rsidRPr="00BB5D8E">
          <w:rPr>
            <w:rStyle w:val="Hyperlink"/>
            <w:noProof/>
          </w:rPr>
          <w:t>Regulatory Certainty</w:t>
        </w:r>
        <w:r>
          <w:rPr>
            <w:noProof/>
            <w:webHidden/>
          </w:rPr>
          <w:tab/>
        </w:r>
        <w:r>
          <w:rPr>
            <w:noProof/>
            <w:webHidden/>
          </w:rPr>
          <w:fldChar w:fldCharType="begin"/>
        </w:r>
        <w:r>
          <w:rPr>
            <w:noProof/>
            <w:webHidden/>
          </w:rPr>
          <w:instrText xml:space="preserve"> PAGEREF _Toc65157819 \h </w:instrText>
        </w:r>
        <w:r>
          <w:rPr>
            <w:noProof/>
            <w:webHidden/>
          </w:rPr>
        </w:r>
        <w:r>
          <w:rPr>
            <w:noProof/>
            <w:webHidden/>
          </w:rPr>
          <w:fldChar w:fldCharType="separate"/>
        </w:r>
        <w:r>
          <w:rPr>
            <w:noProof/>
            <w:webHidden/>
          </w:rPr>
          <w:t>25</w:t>
        </w:r>
        <w:r>
          <w:rPr>
            <w:noProof/>
            <w:webHidden/>
          </w:rPr>
          <w:fldChar w:fldCharType="end"/>
        </w:r>
      </w:hyperlink>
    </w:p>
    <w:p w:rsidR="000778D2" w:rsidRDefault="000778D2" w14:paraId="37132E7E" w14:textId="01E71968">
      <w:pPr>
        <w:pStyle w:val="TOC1"/>
        <w:tabs>
          <w:tab w:val="right" w:leader="dot" w:pos="9350"/>
        </w:tabs>
        <w:rPr>
          <w:rFonts w:asciiTheme="minorHAnsi" w:hAnsiTheme="minorHAnsi" w:eastAsiaTheme="minorEastAsia" w:cstheme="minorBidi"/>
          <w:noProof/>
          <w:sz w:val="22"/>
        </w:rPr>
      </w:pPr>
      <w:hyperlink w:history="1" w:anchor="_Toc65157820">
        <w:r w:rsidRPr="00BB5D8E">
          <w:rPr>
            <w:rStyle w:val="Hyperlink"/>
            <w:noProof/>
          </w:rPr>
          <w:t>4.</w:t>
        </w:r>
        <w:r>
          <w:rPr>
            <w:rFonts w:asciiTheme="minorHAnsi" w:hAnsiTheme="minorHAnsi" w:eastAsiaTheme="minorEastAsia" w:cstheme="minorBidi"/>
            <w:noProof/>
            <w:sz w:val="22"/>
          </w:rPr>
          <w:tab/>
        </w:r>
        <w:r w:rsidRPr="00BB5D8E">
          <w:rPr>
            <w:rStyle w:val="Hyperlink"/>
            <w:noProof/>
          </w:rPr>
          <w:t>Seasonality of SDG&amp;E’s Opt-In TOU Rates</w:t>
        </w:r>
        <w:r>
          <w:rPr>
            <w:noProof/>
            <w:webHidden/>
          </w:rPr>
          <w:tab/>
        </w:r>
        <w:r>
          <w:rPr>
            <w:noProof/>
            <w:webHidden/>
          </w:rPr>
          <w:fldChar w:fldCharType="begin"/>
        </w:r>
        <w:r>
          <w:rPr>
            <w:noProof/>
            <w:webHidden/>
          </w:rPr>
          <w:instrText xml:space="preserve"> PAGEREF _Toc65157820 \h </w:instrText>
        </w:r>
        <w:r>
          <w:rPr>
            <w:noProof/>
            <w:webHidden/>
          </w:rPr>
        </w:r>
        <w:r>
          <w:rPr>
            <w:noProof/>
            <w:webHidden/>
          </w:rPr>
          <w:fldChar w:fldCharType="separate"/>
        </w:r>
        <w:r>
          <w:rPr>
            <w:noProof/>
            <w:webHidden/>
          </w:rPr>
          <w:t>28</w:t>
        </w:r>
        <w:r>
          <w:rPr>
            <w:noProof/>
            <w:webHidden/>
          </w:rPr>
          <w:fldChar w:fldCharType="end"/>
        </w:r>
      </w:hyperlink>
    </w:p>
    <w:p w:rsidR="000778D2" w:rsidRDefault="000778D2" w14:paraId="75EB726F" w14:textId="4B1B4833">
      <w:pPr>
        <w:pStyle w:val="TOC2"/>
        <w:tabs>
          <w:tab w:val="right" w:leader="dot" w:pos="9350"/>
        </w:tabs>
        <w:rPr>
          <w:rFonts w:asciiTheme="minorHAnsi" w:hAnsiTheme="minorHAnsi" w:eastAsiaTheme="minorEastAsia" w:cstheme="minorBidi"/>
          <w:noProof/>
          <w:sz w:val="22"/>
        </w:rPr>
      </w:pPr>
      <w:hyperlink w:history="1" w:anchor="_Toc65157821">
        <w:r w:rsidRPr="00BB5D8E">
          <w:rPr>
            <w:rStyle w:val="Hyperlink"/>
            <w:noProof/>
          </w:rPr>
          <w:t>4.1.</w:t>
        </w:r>
        <w:r>
          <w:rPr>
            <w:rFonts w:asciiTheme="minorHAnsi" w:hAnsiTheme="minorHAnsi" w:eastAsiaTheme="minorEastAsia" w:cstheme="minorBidi"/>
            <w:noProof/>
            <w:sz w:val="22"/>
          </w:rPr>
          <w:tab/>
        </w:r>
        <w:r w:rsidRPr="00BB5D8E">
          <w:rPr>
            <w:rStyle w:val="Hyperlink"/>
            <w:noProof/>
          </w:rPr>
          <w:t>Application of Article 12 of the Rules</w:t>
        </w:r>
        <w:r>
          <w:rPr>
            <w:noProof/>
            <w:webHidden/>
          </w:rPr>
          <w:tab/>
        </w:r>
        <w:r>
          <w:rPr>
            <w:noProof/>
            <w:webHidden/>
          </w:rPr>
          <w:fldChar w:fldCharType="begin"/>
        </w:r>
        <w:r>
          <w:rPr>
            <w:noProof/>
            <w:webHidden/>
          </w:rPr>
          <w:instrText xml:space="preserve"> PAGEREF _Toc65157821 \h </w:instrText>
        </w:r>
        <w:r>
          <w:rPr>
            <w:noProof/>
            <w:webHidden/>
          </w:rPr>
        </w:r>
        <w:r>
          <w:rPr>
            <w:noProof/>
            <w:webHidden/>
          </w:rPr>
          <w:fldChar w:fldCharType="separate"/>
        </w:r>
        <w:r>
          <w:rPr>
            <w:noProof/>
            <w:webHidden/>
          </w:rPr>
          <w:t>32</w:t>
        </w:r>
        <w:r>
          <w:rPr>
            <w:noProof/>
            <w:webHidden/>
          </w:rPr>
          <w:fldChar w:fldCharType="end"/>
        </w:r>
      </w:hyperlink>
    </w:p>
    <w:p w:rsidR="000778D2" w:rsidRDefault="000778D2" w14:paraId="64920448" w14:textId="3B4A724F">
      <w:pPr>
        <w:pStyle w:val="TOC1"/>
        <w:tabs>
          <w:tab w:val="right" w:leader="dot" w:pos="9350"/>
        </w:tabs>
        <w:rPr>
          <w:rFonts w:asciiTheme="minorHAnsi" w:hAnsiTheme="minorHAnsi" w:eastAsiaTheme="minorEastAsia" w:cstheme="minorBidi"/>
          <w:noProof/>
          <w:sz w:val="22"/>
        </w:rPr>
      </w:pPr>
      <w:hyperlink w:history="1" w:anchor="_Toc65157822">
        <w:r w:rsidRPr="00BB5D8E">
          <w:rPr>
            <w:rStyle w:val="Hyperlink"/>
            <w:noProof/>
          </w:rPr>
          <w:t>5.</w:t>
        </w:r>
        <w:r>
          <w:rPr>
            <w:rFonts w:asciiTheme="minorHAnsi" w:hAnsiTheme="minorHAnsi" w:eastAsiaTheme="minorEastAsia" w:cstheme="minorBidi"/>
            <w:noProof/>
            <w:sz w:val="22"/>
          </w:rPr>
          <w:tab/>
        </w:r>
        <w:r w:rsidRPr="00BB5D8E">
          <w:rPr>
            <w:rStyle w:val="Hyperlink"/>
            <w:noProof/>
          </w:rPr>
          <w:t>Outstanding Motions</w:t>
        </w:r>
        <w:r>
          <w:rPr>
            <w:noProof/>
            <w:webHidden/>
          </w:rPr>
          <w:tab/>
        </w:r>
        <w:r>
          <w:rPr>
            <w:noProof/>
            <w:webHidden/>
          </w:rPr>
          <w:fldChar w:fldCharType="begin"/>
        </w:r>
        <w:r>
          <w:rPr>
            <w:noProof/>
            <w:webHidden/>
          </w:rPr>
          <w:instrText xml:space="preserve"> PAGEREF _Toc65157822 \h </w:instrText>
        </w:r>
        <w:r>
          <w:rPr>
            <w:noProof/>
            <w:webHidden/>
          </w:rPr>
        </w:r>
        <w:r>
          <w:rPr>
            <w:noProof/>
            <w:webHidden/>
          </w:rPr>
          <w:fldChar w:fldCharType="separate"/>
        </w:r>
        <w:r>
          <w:rPr>
            <w:noProof/>
            <w:webHidden/>
          </w:rPr>
          <w:t>34</w:t>
        </w:r>
        <w:r>
          <w:rPr>
            <w:noProof/>
            <w:webHidden/>
          </w:rPr>
          <w:fldChar w:fldCharType="end"/>
        </w:r>
      </w:hyperlink>
    </w:p>
    <w:p w:rsidR="000778D2" w:rsidRDefault="000778D2" w14:paraId="50BB3704" w14:textId="5FB415EB">
      <w:pPr>
        <w:pStyle w:val="TOC1"/>
        <w:tabs>
          <w:tab w:val="right" w:leader="dot" w:pos="9350"/>
        </w:tabs>
        <w:rPr>
          <w:rFonts w:asciiTheme="minorHAnsi" w:hAnsiTheme="minorHAnsi" w:eastAsiaTheme="minorEastAsia" w:cstheme="minorBidi"/>
          <w:noProof/>
          <w:sz w:val="22"/>
        </w:rPr>
      </w:pPr>
      <w:hyperlink w:history="1" w:anchor="_Toc65157823">
        <w:r w:rsidRPr="00BB5D8E">
          <w:rPr>
            <w:rStyle w:val="Hyperlink"/>
            <w:noProof/>
          </w:rPr>
          <w:t>6.</w:t>
        </w:r>
        <w:r>
          <w:rPr>
            <w:rFonts w:asciiTheme="minorHAnsi" w:hAnsiTheme="minorHAnsi" w:eastAsiaTheme="minorEastAsia" w:cstheme="minorBidi"/>
            <w:noProof/>
            <w:sz w:val="22"/>
          </w:rPr>
          <w:tab/>
        </w:r>
        <w:r w:rsidRPr="00BB5D8E">
          <w:rPr>
            <w:rStyle w:val="Hyperlink"/>
            <w:noProof/>
          </w:rPr>
          <w:t>Comments on Proposed Decision</w:t>
        </w:r>
        <w:r>
          <w:rPr>
            <w:noProof/>
            <w:webHidden/>
          </w:rPr>
          <w:tab/>
        </w:r>
        <w:r>
          <w:rPr>
            <w:noProof/>
            <w:webHidden/>
          </w:rPr>
          <w:fldChar w:fldCharType="begin"/>
        </w:r>
        <w:r>
          <w:rPr>
            <w:noProof/>
            <w:webHidden/>
          </w:rPr>
          <w:instrText xml:space="preserve"> PAGEREF _Toc65157823 \h </w:instrText>
        </w:r>
        <w:r>
          <w:rPr>
            <w:noProof/>
            <w:webHidden/>
          </w:rPr>
        </w:r>
        <w:r>
          <w:rPr>
            <w:noProof/>
            <w:webHidden/>
          </w:rPr>
          <w:fldChar w:fldCharType="separate"/>
        </w:r>
        <w:r>
          <w:rPr>
            <w:noProof/>
            <w:webHidden/>
          </w:rPr>
          <w:t>34</w:t>
        </w:r>
        <w:r>
          <w:rPr>
            <w:noProof/>
            <w:webHidden/>
          </w:rPr>
          <w:fldChar w:fldCharType="end"/>
        </w:r>
      </w:hyperlink>
    </w:p>
    <w:p w:rsidR="000778D2" w:rsidRDefault="000778D2" w14:paraId="393A6DC5" w14:textId="61AC8F41">
      <w:pPr>
        <w:pStyle w:val="TOC1"/>
        <w:tabs>
          <w:tab w:val="right" w:leader="dot" w:pos="9350"/>
        </w:tabs>
        <w:rPr>
          <w:rFonts w:asciiTheme="minorHAnsi" w:hAnsiTheme="minorHAnsi" w:eastAsiaTheme="minorEastAsia" w:cstheme="minorBidi"/>
          <w:noProof/>
          <w:sz w:val="22"/>
        </w:rPr>
      </w:pPr>
      <w:hyperlink w:history="1" w:anchor="_Toc65157824">
        <w:r w:rsidRPr="00BB5D8E">
          <w:rPr>
            <w:rStyle w:val="Hyperlink"/>
            <w:noProof/>
          </w:rPr>
          <w:t>7.</w:t>
        </w:r>
        <w:r>
          <w:rPr>
            <w:rFonts w:asciiTheme="minorHAnsi" w:hAnsiTheme="minorHAnsi" w:eastAsiaTheme="minorEastAsia" w:cstheme="minorBidi"/>
            <w:noProof/>
            <w:sz w:val="22"/>
          </w:rPr>
          <w:tab/>
        </w:r>
        <w:r w:rsidRPr="00BB5D8E">
          <w:rPr>
            <w:rStyle w:val="Hyperlink"/>
            <w:noProof/>
          </w:rPr>
          <w:t>Assignment of Proceeding</w:t>
        </w:r>
        <w:r>
          <w:rPr>
            <w:noProof/>
            <w:webHidden/>
          </w:rPr>
          <w:tab/>
        </w:r>
        <w:r>
          <w:rPr>
            <w:noProof/>
            <w:webHidden/>
          </w:rPr>
          <w:fldChar w:fldCharType="begin"/>
        </w:r>
        <w:r>
          <w:rPr>
            <w:noProof/>
            <w:webHidden/>
          </w:rPr>
          <w:instrText xml:space="preserve"> PAGEREF _Toc65157824 \h </w:instrText>
        </w:r>
        <w:r>
          <w:rPr>
            <w:noProof/>
            <w:webHidden/>
          </w:rPr>
        </w:r>
        <w:r>
          <w:rPr>
            <w:noProof/>
            <w:webHidden/>
          </w:rPr>
          <w:fldChar w:fldCharType="separate"/>
        </w:r>
        <w:r>
          <w:rPr>
            <w:noProof/>
            <w:webHidden/>
          </w:rPr>
          <w:t>34</w:t>
        </w:r>
        <w:r>
          <w:rPr>
            <w:noProof/>
            <w:webHidden/>
          </w:rPr>
          <w:fldChar w:fldCharType="end"/>
        </w:r>
      </w:hyperlink>
    </w:p>
    <w:p w:rsidR="000778D2" w:rsidRDefault="000778D2" w14:paraId="1191E5D4" w14:textId="2D9B8A40">
      <w:pPr>
        <w:pStyle w:val="TOC1"/>
        <w:tabs>
          <w:tab w:val="right" w:leader="dot" w:pos="9350"/>
        </w:tabs>
        <w:rPr>
          <w:rFonts w:asciiTheme="minorHAnsi" w:hAnsiTheme="minorHAnsi" w:eastAsiaTheme="minorEastAsia" w:cstheme="minorBidi"/>
          <w:noProof/>
          <w:sz w:val="22"/>
        </w:rPr>
      </w:pPr>
      <w:hyperlink w:history="1" w:anchor="_Toc65157825">
        <w:r w:rsidRPr="00BB5D8E">
          <w:rPr>
            <w:rStyle w:val="Hyperlink"/>
            <w:noProof/>
          </w:rPr>
          <w:t>Findings of Fact</w:t>
        </w:r>
        <w:r>
          <w:rPr>
            <w:noProof/>
            <w:webHidden/>
          </w:rPr>
          <w:tab/>
        </w:r>
        <w:r>
          <w:rPr>
            <w:noProof/>
            <w:webHidden/>
          </w:rPr>
          <w:fldChar w:fldCharType="begin"/>
        </w:r>
        <w:r>
          <w:rPr>
            <w:noProof/>
            <w:webHidden/>
          </w:rPr>
          <w:instrText xml:space="preserve"> PAGEREF _Toc65157825 \h </w:instrText>
        </w:r>
        <w:r>
          <w:rPr>
            <w:noProof/>
            <w:webHidden/>
          </w:rPr>
        </w:r>
        <w:r>
          <w:rPr>
            <w:noProof/>
            <w:webHidden/>
          </w:rPr>
          <w:fldChar w:fldCharType="separate"/>
        </w:r>
        <w:r>
          <w:rPr>
            <w:noProof/>
            <w:webHidden/>
          </w:rPr>
          <w:t>34</w:t>
        </w:r>
        <w:r>
          <w:rPr>
            <w:noProof/>
            <w:webHidden/>
          </w:rPr>
          <w:fldChar w:fldCharType="end"/>
        </w:r>
      </w:hyperlink>
    </w:p>
    <w:p w:rsidR="000778D2" w:rsidRDefault="000778D2" w14:paraId="252A9F87" w14:textId="676C2A98">
      <w:pPr>
        <w:pStyle w:val="TOC1"/>
        <w:tabs>
          <w:tab w:val="right" w:leader="dot" w:pos="9350"/>
        </w:tabs>
        <w:rPr>
          <w:rFonts w:asciiTheme="minorHAnsi" w:hAnsiTheme="minorHAnsi" w:eastAsiaTheme="minorEastAsia" w:cstheme="minorBidi"/>
          <w:noProof/>
          <w:sz w:val="22"/>
        </w:rPr>
      </w:pPr>
      <w:hyperlink w:history="1" w:anchor="_Toc65157826">
        <w:r w:rsidRPr="00BB5D8E">
          <w:rPr>
            <w:rStyle w:val="Hyperlink"/>
            <w:noProof/>
          </w:rPr>
          <w:t>Conclusions of Law</w:t>
        </w:r>
        <w:r>
          <w:rPr>
            <w:noProof/>
            <w:webHidden/>
          </w:rPr>
          <w:tab/>
        </w:r>
        <w:r>
          <w:rPr>
            <w:noProof/>
            <w:webHidden/>
          </w:rPr>
          <w:fldChar w:fldCharType="begin"/>
        </w:r>
        <w:r>
          <w:rPr>
            <w:noProof/>
            <w:webHidden/>
          </w:rPr>
          <w:instrText xml:space="preserve"> PAGEREF _Toc65157826 \h </w:instrText>
        </w:r>
        <w:r>
          <w:rPr>
            <w:noProof/>
            <w:webHidden/>
          </w:rPr>
        </w:r>
        <w:r>
          <w:rPr>
            <w:noProof/>
            <w:webHidden/>
          </w:rPr>
          <w:fldChar w:fldCharType="separate"/>
        </w:r>
        <w:r>
          <w:rPr>
            <w:noProof/>
            <w:webHidden/>
          </w:rPr>
          <w:t>36</w:t>
        </w:r>
        <w:r>
          <w:rPr>
            <w:noProof/>
            <w:webHidden/>
          </w:rPr>
          <w:fldChar w:fldCharType="end"/>
        </w:r>
      </w:hyperlink>
    </w:p>
    <w:p w:rsidR="000778D2" w:rsidRDefault="000778D2" w14:paraId="6F36C9A5" w14:textId="6F75EC87">
      <w:pPr>
        <w:pStyle w:val="TOC1"/>
        <w:tabs>
          <w:tab w:val="right" w:leader="dot" w:pos="9350"/>
        </w:tabs>
        <w:rPr>
          <w:rFonts w:asciiTheme="minorHAnsi" w:hAnsiTheme="minorHAnsi" w:eastAsiaTheme="minorEastAsia" w:cstheme="minorBidi"/>
          <w:noProof/>
          <w:sz w:val="22"/>
        </w:rPr>
      </w:pPr>
      <w:hyperlink w:history="1" w:anchor="_Toc65157827">
        <w:r w:rsidRPr="00BB5D8E">
          <w:rPr>
            <w:rStyle w:val="Hyperlink"/>
            <w:noProof/>
          </w:rPr>
          <w:t>ORDER</w:t>
        </w:r>
        <w:r>
          <w:rPr>
            <w:noProof/>
            <w:webHidden/>
          </w:rPr>
          <w:tab/>
        </w:r>
        <w:r>
          <w:rPr>
            <w:noProof/>
            <w:webHidden/>
          </w:rPr>
          <w:fldChar w:fldCharType="begin"/>
        </w:r>
        <w:r>
          <w:rPr>
            <w:noProof/>
            <w:webHidden/>
          </w:rPr>
          <w:instrText xml:space="preserve"> PAGEREF _Toc65157827 \h </w:instrText>
        </w:r>
        <w:r>
          <w:rPr>
            <w:noProof/>
            <w:webHidden/>
          </w:rPr>
        </w:r>
        <w:r>
          <w:rPr>
            <w:noProof/>
            <w:webHidden/>
          </w:rPr>
          <w:fldChar w:fldCharType="separate"/>
        </w:r>
        <w:r>
          <w:rPr>
            <w:noProof/>
            <w:webHidden/>
          </w:rPr>
          <w:t>38</w:t>
        </w:r>
        <w:r>
          <w:rPr>
            <w:noProof/>
            <w:webHidden/>
          </w:rPr>
          <w:fldChar w:fldCharType="end"/>
        </w:r>
      </w:hyperlink>
    </w:p>
    <w:p w:rsidR="0097776E" w:rsidP="0097776E" w:rsidRDefault="008C7413" w14:paraId="24CBFC6B" w14:textId="719C8CA3">
      <w:pPr>
        <w:pStyle w:val="TOC1"/>
        <w:tabs>
          <w:tab w:val="right" w:leader="dot" w:pos="9350"/>
        </w:tabs>
      </w:pPr>
      <w:r w:rsidRPr="00892DE3">
        <w:rPr>
          <w:rFonts w:ascii="Calibri" w:hAnsi="Calibri"/>
          <w:sz w:val="22"/>
        </w:rPr>
        <w:fldChar w:fldCharType="end"/>
      </w:r>
    </w:p>
    <w:p w:rsidRPr="0097776E" w:rsidR="0097776E" w:rsidP="0097776E" w:rsidRDefault="0097776E" w14:paraId="76EF16F1" w14:textId="488EAE92">
      <w:pPr>
        <w:sectPr w:rsidRPr="0097776E" w:rsidR="0097776E" w:rsidSect="00D44DB6">
          <w:headerReference w:type="default" r:id="rId10"/>
          <w:footerReference w:type="default" r:id="rId11"/>
          <w:pgSz w:w="12240" w:h="15840"/>
          <w:pgMar w:top="1728" w:right="1440" w:bottom="1440" w:left="1440" w:header="720" w:footer="720" w:gutter="0"/>
          <w:pgNumType w:fmt="lowerRoman" w:start="1"/>
          <w:cols w:space="720"/>
          <w:docGrid w:linePitch="360"/>
        </w:sectPr>
      </w:pPr>
    </w:p>
    <w:p w:rsidRPr="00892DE3" w:rsidR="003D64DB" w:rsidP="003D64DB" w:rsidRDefault="003D64DB" w14:paraId="4D5006C6" w14:textId="77777777">
      <w:pPr>
        <w:pStyle w:val="Dummy"/>
        <w:jc w:val="center"/>
        <w:rPr>
          <w:rFonts w:eastAsia="Times New Roman" w:cs="Times New Roman"/>
          <w:caps/>
          <w:szCs w:val="56"/>
        </w:rPr>
      </w:pPr>
      <w:bookmarkStart w:name="_Toc65157798" w:id="2"/>
      <w:bookmarkStart w:name="_Toc8123714" w:id="3"/>
      <w:r w:rsidRPr="00892DE3">
        <w:rPr>
          <w:rFonts w:eastAsia="Times New Roman" w:cs="Times New Roman"/>
          <w:caps/>
          <w:szCs w:val="56"/>
        </w:rPr>
        <w:lastRenderedPageBreak/>
        <w:t xml:space="preserve">DECISION CONCERNING </w:t>
      </w:r>
      <w:r w:rsidRPr="00892DE3" w:rsidR="00266E88">
        <w:rPr>
          <w:rFonts w:eastAsia="Times New Roman" w:cs="Times New Roman"/>
          <w:caps/>
          <w:szCs w:val="56"/>
        </w:rPr>
        <w:t>ADJUSTMENT OF THE HIGH USAGE CHARGE FOR THE LARGE ELECTRICAL CORPORATIONS</w:t>
      </w:r>
      <w:bookmarkEnd w:id="2"/>
    </w:p>
    <w:p w:rsidR="005A148C" w:rsidP="005A148C" w:rsidRDefault="005A148C" w14:paraId="1220B113" w14:textId="77777777">
      <w:pPr>
        <w:pStyle w:val="Dummy"/>
      </w:pPr>
      <w:bookmarkStart w:name="_Toc65157799" w:id="4"/>
      <w:r>
        <w:t>Summary</w:t>
      </w:r>
      <w:bookmarkEnd w:id="3"/>
      <w:bookmarkEnd w:id="4"/>
    </w:p>
    <w:p w:rsidR="002B505D" w:rsidP="002B505D" w:rsidRDefault="001121B3" w14:paraId="0B35E2E6" w14:textId="705FFAB1">
      <w:pPr>
        <w:pStyle w:val="Standard"/>
      </w:pPr>
      <w:r>
        <w:t xml:space="preserve">This decision adopts an uncontested settlement to modify the seasonal price differentials in San Diego Gas &amp; Electric Company’s opt-in residential time-of-use rates.  </w:t>
      </w:r>
      <w:r w:rsidR="005A148C">
        <w:t>Th</w:t>
      </w:r>
      <w:r w:rsidR="002B505D">
        <w:t xml:space="preserve">is decision </w:t>
      </w:r>
      <w:r w:rsidR="00EF08FC">
        <w:t xml:space="preserve">modifies a contested settlement in this proceeding </w:t>
      </w:r>
      <w:r w:rsidR="00EC0827">
        <w:t>to potentially eliminate</w:t>
      </w:r>
      <w:r w:rsidR="00EF08FC">
        <w:t xml:space="preserve"> the </w:t>
      </w:r>
      <w:r w:rsidR="00884825">
        <w:t>high usage charge of the large electrical corporations</w:t>
      </w:r>
      <w:bookmarkStart w:name="_Hlk36811731" w:id="5"/>
      <w:r w:rsidR="00884825">
        <w:t xml:space="preserve"> </w:t>
      </w:r>
      <w:r w:rsidR="00EF08FC">
        <w:t>at the completion of each large electrical corporation’s migration of its residential customers to time-of-use rates</w:t>
      </w:r>
      <w:r w:rsidR="00884825">
        <w:t xml:space="preserve">.  </w:t>
      </w:r>
      <w:r w:rsidR="00EF08FC">
        <w:t xml:space="preserve">  </w:t>
      </w:r>
      <w:bookmarkEnd w:id="5"/>
    </w:p>
    <w:p w:rsidR="0073353F" w:rsidP="006E6574" w:rsidRDefault="002B505D" w14:paraId="2D4E3F7D" w14:textId="77777777">
      <w:pPr>
        <w:pStyle w:val="Standard"/>
      </w:pPr>
      <w:r>
        <w:t>Th</w:t>
      </w:r>
      <w:r w:rsidR="004E1AE5">
        <w:t>is</w:t>
      </w:r>
      <w:r>
        <w:t xml:space="preserve"> proceeding </w:t>
      </w:r>
      <w:r w:rsidR="00EF08FC">
        <w:t>is closed</w:t>
      </w:r>
      <w:r w:rsidR="0073353F">
        <w:t>.</w:t>
      </w:r>
    </w:p>
    <w:p w:rsidRPr="00121089" w:rsidR="005A148C" w:rsidP="0097776E" w:rsidRDefault="002C7FE9" w14:paraId="2DE65F26" w14:textId="77777777">
      <w:pPr>
        <w:pStyle w:val="Heading1"/>
        <w:numPr>
          <w:ilvl w:val="0"/>
          <w:numId w:val="1"/>
        </w:numPr>
      </w:pPr>
      <w:bookmarkStart w:name="_Toc8123715" w:id="6"/>
      <w:bookmarkStart w:name="_Toc65157800" w:id="7"/>
      <w:r w:rsidRPr="0097776E">
        <w:t>Background</w:t>
      </w:r>
      <w:bookmarkEnd w:id="6"/>
      <w:bookmarkEnd w:id="7"/>
    </w:p>
    <w:p w:rsidR="003A6016" w:rsidP="006E6574" w:rsidRDefault="003D64DB" w14:paraId="79DD0C3E" w14:textId="77777777">
      <w:pPr>
        <w:pStyle w:val="Standard"/>
      </w:pPr>
      <w:r>
        <w:t>In Decision (D.) 19-04-018, the Commission considered and rejected a request by San Diego Gas &amp; Electric Company (SDG&amp;E) to eliminate the high usage charge</w:t>
      </w:r>
      <w:r w:rsidR="00B00D91">
        <w:rPr>
          <w:rStyle w:val="FootnoteReference"/>
        </w:rPr>
        <w:footnoteReference w:id="2"/>
      </w:r>
      <w:r>
        <w:t xml:space="preserve"> for its residential </w:t>
      </w:r>
      <w:r w:rsidR="003E3238">
        <w:t xml:space="preserve">tiered rate </w:t>
      </w:r>
      <w:r>
        <w:t xml:space="preserve">customers with very high electricity usage.  SDG&amp;E’s request was premised on the theory that the elimination of the high usage charge would reduce summer bill volatility for </w:t>
      </w:r>
      <w:r w:rsidR="003E3238">
        <w:t xml:space="preserve">tiered rate </w:t>
      </w:r>
      <w:r>
        <w:t>customers paying the charge.  In rejecting SDG&amp;E’s proposal, the Commission ordered SDG&amp;E to consider eliminating the seasonal differential in its residential rates instead, as the record demonstrated that such elimination would more effectively address seasonal bill volatility than SDG&amp;E’s original proposal.</w:t>
      </w:r>
      <w:r>
        <w:rPr>
          <w:rStyle w:val="FootnoteReference"/>
        </w:rPr>
        <w:footnoteReference w:id="3"/>
      </w:r>
    </w:p>
    <w:p w:rsidR="003D64DB" w:rsidP="003D64DB" w:rsidRDefault="003D64DB" w14:paraId="302BA5C1" w14:textId="37F940C9">
      <w:pPr>
        <w:pStyle w:val="Standard"/>
      </w:pPr>
      <w:r>
        <w:t xml:space="preserve">SDG&amp;E filed the instant application in compliance with </w:t>
      </w:r>
      <w:r w:rsidR="008C1184">
        <w:t>D.19-04-018</w:t>
      </w:r>
      <w:r>
        <w:t xml:space="preserve"> on September 23, 2019.  </w:t>
      </w:r>
      <w:r w:rsidR="00CF12A9">
        <w:t>Protests and responses to the application were filed by the Center for Accessible Technology (</w:t>
      </w:r>
      <w:proofErr w:type="spellStart"/>
      <w:r w:rsidR="00CF12A9">
        <w:t>CforAT</w:t>
      </w:r>
      <w:proofErr w:type="spellEnd"/>
      <w:r w:rsidR="00CF12A9">
        <w:t xml:space="preserve">), the Public Advocates Office </w:t>
      </w:r>
      <w:r w:rsidR="00CF12A9">
        <w:lastRenderedPageBreak/>
        <w:t>(Cal</w:t>
      </w:r>
      <w:r w:rsidR="00900325">
        <w:t> </w:t>
      </w:r>
      <w:r w:rsidR="00CF12A9">
        <w:t>Advocates), the Utility Consumers’ Action Network (UCAN), and the Utility Reform Network (TURN) on October 25 and 28, 2019.  A prehearing conference was held on November 6, 2019, and an Assigned Commissioner’s Scoping Memo and Ruling (scoping memo) was issued on November 21, 2019.</w:t>
      </w:r>
    </w:p>
    <w:p w:rsidR="000C1817" w:rsidP="003D64DB" w:rsidRDefault="00CF12A9" w14:paraId="1582A113" w14:textId="77777777">
      <w:pPr>
        <w:pStyle w:val="Standard"/>
      </w:pPr>
      <w:r>
        <w:t xml:space="preserve">The scoping memo created two phases of this proceeding.  In the first phase, the Commission </w:t>
      </w:r>
      <w:r w:rsidR="00A46273">
        <w:t>considered</w:t>
      </w:r>
      <w:r>
        <w:t xml:space="preserve"> whether </w:t>
      </w:r>
      <w:r w:rsidRPr="00CF12A9">
        <w:t xml:space="preserve">SDG&amp;E’s proposal to eliminate the seasonal differential between summer and winter rates in </w:t>
      </w:r>
      <w:proofErr w:type="gramStart"/>
      <w:r w:rsidRPr="00CF12A9">
        <w:t>all of</w:t>
      </w:r>
      <w:proofErr w:type="gramEnd"/>
      <w:r w:rsidRPr="00CF12A9">
        <w:t xml:space="preserve"> its residential rate designs – including its </w:t>
      </w:r>
      <w:r w:rsidR="003E3238">
        <w:t xml:space="preserve">residential </w:t>
      </w:r>
      <w:r w:rsidRPr="00CF12A9">
        <w:t xml:space="preserve">time-of-use rates – </w:t>
      </w:r>
      <w:r w:rsidR="00A46273">
        <w:t>wa</w:t>
      </w:r>
      <w:r w:rsidRPr="00CF12A9">
        <w:t>s reasonable</w:t>
      </w:r>
      <w:r w:rsidR="004676FE">
        <w:t>, and w</w:t>
      </w:r>
      <w:r w:rsidRPr="00CF12A9">
        <w:t xml:space="preserve">hether the rate and bill impacts that would result from an elimination of the seasonal differential between summer and winter rates, including for all-electric customers, </w:t>
      </w:r>
      <w:r w:rsidR="00A46273">
        <w:t>we</w:t>
      </w:r>
      <w:r w:rsidRPr="00CF12A9">
        <w:t>re reasonable</w:t>
      </w:r>
      <w:r w:rsidR="004676FE">
        <w:t xml:space="preserve">.  According to the scoping memo, the first phase of this proceeding </w:t>
      </w:r>
      <w:r w:rsidR="00A46273">
        <w:t>wa</w:t>
      </w:r>
      <w:r w:rsidR="004676FE">
        <w:t xml:space="preserve">s to be completed by April 2020 </w:t>
      </w:r>
      <w:proofErr w:type="gramStart"/>
      <w:r w:rsidR="004676FE">
        <w:t>in order to</w:t>
      </w:r>
      <w:proofErr w:type="gramEnd"/>
      <w:r w:rsidR="004676FE">
        <w:t xml:space="preserve"> allow SDG&amp;E to make any approved changes to the seasonal differential in its residential rates in time for the summer 2020 season.  </w:t>
      </w:r>
    </w:p>
    <w:p w:rsidR="00CF12A9" w:rsidP="003D64DB" w:rsidRDefault="004676FE" w14:paraId="4F6A2613" w14:textId="77777777">
      <w:pPr>
        <w:pStyle w:val="Standard"/>
      </w:pPr>
      <w:r>
        <w:t xml:space="preserve">The second phase of this proceeding is to consider whether </w:t>
      </w:r>
      <w:r w:rsidRPr="004676FE">
        <w:t xml:space="preserve">the high usage charge </w:t>
      </w:r>
      <w:r w:rsidR="00884825">
        <w:t xml:space="preserve">(HUC) </w:t>
      </w:r>
      <w:r w:rsidRPr="004676FE">
        <w:t>in SDG&amp;E’s residential tiered rate should be modified or eliminated, and if so whether the rate and bill impacts that would result from a modification or elimination of the high usage charge are reasonable</w:t>
      </w:r>
      <w:r>
        <w:t>.</w:t>
      </w:r>
      <w:r w:rsidR="006B463E">
        <w:t xml:space="preserve">  </w:t>
      </w:r>
      <w:r w:rsidR="001A2754">
        <w:t xml:space="preserve">The amended Assigned Commissioner’s Scoping Memo and Ruling (amended scoping memo) filed on May 14, 2020 </w:t>
      </w:r>
      <w:r w:rsidR="0034495C">
        <w:t>ordered</w:t>
      </w:r>
      <w:r w:rsidR="006B463E">
        <w:t xml:space="preserve"> Southern California Edison Company (SCE) and Pacific Gas and Electric Company (PG&amp;E) to join the second phase of this proceeding</w:t>
      </w:r>
      <w:r w:rsidR="0034495C">
        <w:t xml:space="preserve"> to determine whether their versions of the HUC should be modified or eliminated as well</w:t>
      </w:r>
      <w:r w:rsidR="006B463E">
        <w:t>.</w:t>
      </w:r>
      <w:r w:rsidR="0034495C">
        <w:rPr>
          <w:rStyle w:val="FootnoteReference"/>
        </w:rPr>
        <w:footnoteReference w:id="4"/>
      </w:r>
      <w:r w:rsidR="006B463E">
        <w:t xml:space="preserve">  </w:t>
      </w:r>
    </w:p>
    <w:p w:rsidRPr="0097776E" w:rsidR="001121B3" w:rsidP="0097776E" w:rsidRDefault="00884825" w14:paraId="58B9F328" w14:textId="3216E1DE">
      <w:pPr>
        <w:pStyle w:val="Standard"/>
      </w:pPr>
      <w:r>
        <w:lastRenderedPageBreak/>
        <w:t>A Commission decision on some Phase 1 issues was approved at the Commission’s business meeting on April 16, 2020</w:t>
      </w:r>
      <w:r w:rsidR="001121B3">
        <w:t xml:space="preserve"> (D.20-04-007)</w:t>
      </w:r>
      <w:r>
        <w:t xml:space="preserve">.  That decision removed the seasonal differential from SDG&amp;E’s tiered </w:t>
      </w:r>
      <w:r w:rsidR="001121B3">
        <w:t xml:space="preserve">residential electricity </w:t>
      </w:r>
      <w:r>
        <w:t xml:space="preserve">rate and postponed a decision on the seasonal differentials in SDG&amp;E’s residential </w:t>
      </w:r>
      <w:r w:rsidR="001121B3">
        <w:t>time-of-use (</w:t>
      </w:r>
      <w:r>
        <w:t>TOU</w:t>
      </w:r>
      <w:r w:rsidR="001121B3">
        <w:t>)</w:t>
      </w:r>
      <w:r>
        <w:t xml:space="preserve"> rates.  </w:t>
      </w:r>
      <w:r w:rsidR="001121B3">
        <w:t xml:space="preserve">A subsequent Commission decision (D.20-05-013) temporarily adjusted the HUC of each of the large electrical corporations in response to the COVID-19 emergency.  Finally, a third Commission decision in this proceeding (D.20-06-006) </w:t>
      </w:r>
      <w:r w:rsidRPr="001121B3" w:rsidR="001121B3">
        <w:t>adjust</w:t>
      </w:r>
      <w:r w:rsidR="001121B3">
        <w:t>ed</w:t>
      </w:r>
      <w:r w:rsidRPr="001121B3" w:rsidR="001121B3">
        <w:t xml:space="preserve"> the seasonal differential in the default </w:t>
      </w:r>
      <w:r w:rsidR="00721FE8">
        <w:t xml:space="preserve">TOU </w:t>
      </w:r>
      <w:r w:rsidRPr="001121B3" w:rsidR="001121B3">
        <w:t xml:space="preserve">rate for </w:t>
      </w:r>
      <w:r w:rsidR="001121B3">
        <w:t>SDG&amp;E</w:t>
      </w:r>
      <w:r w:rsidRPr="001121B3" w:rsidR="001121B3">
        <w:t xml:space="preserve">’s residential customers. </w:t>
      </w:r>
      <w:r w:rsidR="001121B3">
        <w:t xml:space="preserve"> </w:t>
      </w:r>
    </w:p>
    <w:p w:rsidR="001121B3" w:rsidP="0097776E" w:rsidRDefault="001121B3" w14:paraId="70B23027" w14:textId="415F4882">
      <w:pPr>
        <w:pStyle w:val="Heading1"/>
        <w:numPr>
          <w:ilvl w:val="0"/>
          <w:numId w:val="1"/>
        </w:numPr>
      </w:pPr>
      <w:bookmarkStart w:name="_Toc65157801" w:id="8"/>
      <w:r>
        <w:t>Issues Before the Commission</w:t>
      </w:r>
      <w:bookmarkEnd w:id="8"/>
    </w:p>
    <w:p w:rsidR="00965604" w:rsidP="0063014F" w:rsidRDefault="001121B3" w14:paraId="7EEE3436" w14:textId="77777777">
      <w:pPr>
        <w:pStyle w:val="Standard"/>
      </w:pPr>
      <w:r>
        <w:t xml:space="preserve">This fourth Commission decision in this proceeding resolves the remaining issues as </w:t>
      </w:r>
      <w:r w:rsidR="00965604">
        <w:t>defined by the amended scoping memo:</w:t>
      </w:r>
    </w:p>
    <w:p w:rsidR="00965604" w:rsidP="0097776E" w:rsidRDefault="00965604" w14:paraId="1355F920" w14:textId="77777777">
      <w:pPr>
        <w:pStyle w:val="Standard"/>
        <w:numPr>
          <w:ilvl w:val="0"/>
          <w:numId w:val="12"/>
        </w:numPr>
        <w:spacing w:after="120" w:line="240" w:lineRule="auto"/>
        <w:ind w:left="1080" w:right="1440"/>
      </w:pPr>
      <w:r>
        <w:t xml:space="preserve">Whether modification or elimination of the residential HUC applied by </w:t>
      </w:r>
      <w:proofErr w:type="gramStart"/>
      <w:r>
        <w:t>all of</w:t>
      </w:r>
      <w:proofErr w:type="gramEnd"/>
      <w:r>
        <w:t xml:space="preserve"> the large electrical corporations to customers on tiered rates is reasonable, and if so whether the rate and bill impacts that would result from a modification or elimination of the HUC are reasonable.</w:t>
      </w:r>
    </w:p>
    <w:p w:rsidR="00965604" w:rsidP="0097776E" w:rsidRDefault="00965604" w14:paraId="6442FDB1" w14:textId="77777777">
      <w:pPr>
        <w:pStyle w:val="Standard"/>
        <w:numPr>
          <w:ilvl w:val="0"/>
          <w:numId w:val="12"/>
        </w:numPr>
        <w:spacing w:after="120" w:line="240" w:lineRule="auto"/>
        <w:ind w:left="1080" w:right="1440"/>
      </w:pPr>
      <w:r>
        <w:t xml:space="preserve">Whether changes to the seasonal differential present in SDG&amp;E’s opt-in residential TOU rates (including both tiered and </w:t>
      </w:r>
      <w:proofErr w:type="spellStart"/>
      <w:r>
        <w:t>untiered</w:t>
      </w:r>
      <w:proofErr w:type="spellEnd"/>
      <w:r>
        <w:t xml:space="preserve"> rates) are reasonable.</w:t>
      </w:r>
    </w:p>
    <w:p w:rsidR="005939A5" w:rsidP="0097776E" w:rsidRDefault="0063014F" w14:paraId="790B4A8F" w14:textId="77777777">
      <w:pPr>
        <w:pStyle w:val="Heading1"/>
        <w:numPr>
          <w:ilvl w:val="0"/>
          <w:numId w:val="1"/>
        </w:numPr>
      </w:pPr>
      <w:bookmarkStart w:name="_Toc65157802" w:id="9"/>
      <w:r>
        <w:t xml:space="preserve">Modification or Elimination of the Residential </w:t>
      </w:r>
      <w:r w:rsidRPr="0097776E">
        <w:t>High</w:t>
      </w:r>
      <w:r>
        <w:t xml:space="preserve"> Usage Charge</w:t>
      </w:r>
      <w:bookmarkEnd w:id="9"/>
    </w:p>
    <w:p w:rsidRPr="0063014F" w:rsidR="0063014F" w:rsidP="0097776E" w:rsidRDefault="004743AB" w14:paraId="4138594B" w14:textId="77777777">
      <w:pPr>
        <w:pStyle w:val="Heading2"/>
        <w:numPr>
          <w:ilvl w:val="1"/>
          <w:numId w:val="1"/>
        </w:numPr>
      </w:pPr>
      <w:bookmarkStart w:name="_Toc65157803" w:id="10"/>
      <w:r>
        <w:t xml:space="preserve">Genesis of the </w:t>
      </w:r>
      <w:r w:rsidR="0063014F">
        <w:t>High Usage Charge</w:t>
      </w:r>
      <w:bookmarkEnd w:id="10"/>
      <w:r w:rsidR="0063014F">
        <w:t xml:space="preserve"> </w:t>
      </w:r>
    </w:p>
    <w:p w:rsidR="002632E3" w:rsidP="00A238D3" w:rsidRDefault="004B5120" w14:paraId="29C66A23" w14:textId="2B73121E">
      <w:pPr>
        <w:pStyle w:val="Standard"/>
        <w:rPr>
          <w:szCs w:val="26"/>
        </w:rPr>
      </w:pPr>
      <w:r>
        <w:t xml:space="preserve">The HUC is an extra charge that applies to residential energy usage </w:t>
      </w:r>
      <w:r w:rsidR="0063014F">
        <w:t xml:space="preserve">on a large electrical corporation’s tiered rate </w:t>
      </w:r>
      <w:r>
        <w:t>that exceeds 400</w:t>
      </w:r>
      <w:r w:rsidR="00FE2209">
        <w:t xml:space="preserve"> </w:t>
      </w:r>
      <w:r w:rsidR="0097776E">
        <w:t>percent</w:t>
      </w:r>
      <w:r>
        <w:t xml:space="preserve"> of baseline.  </w:t>
      </w:r>
      <w:r w:rsidR="002632E3">
        <w:t>D.15-07-001 created the HUC</w:t>
      </w:r>
      <w:r w:rsidR="005876EF">
        <w:t xml:space="preserve">.  That decision </w:t>
      </w:r>
      <w:r>
        <w:t xml:space="preserve">expressed </w:t>
      </w:r>
      <w:r w:rsidR="00731A84">
        <w:t xml:space="preserve">the Commission’s </w:t>
      </w:r>
      <w:r>
        <w:t>intent</w:t>
      </w:r>
      <w:r w:rsidR="002632E3">
        <w:t xml:space="preserve"> for the HUC to signal to customers that their usage was abnormally high and </w:t>
      </w:r>
      <w:r w:rsidR="002632E3">
        <w:lastRenderedPageBreak/>
        <w:t>provide a financial incentive to reduce usage to a normal level.</w:t>
      </w:r>
      <w:r w:rsidR="00B4354E">
        <w:rPr>
          <w:rStyle w:val="FootnoteReference"/>
        </w:rPr>
        <w:footnoteReference w:id="5"/>
      </w:r>
      <w:r w:rsidR="002632E3">
        <w:t xml:space="preserve">  The HUC is only applicable to residential </w:t>
      </w:r>
      <w:r w:rsidR="00731A84">
        <w:t xml:space="preserve">electricity </w:t>
      </w:r>
      <w:r w:rsidR="002632E3">
        <w:t>customers on a tiered rate, and is not appli</w:t>
      </w:r>
      <w:r>
        <w:t>ed</w:t>
      </w:r>
      <w:r w:rsidR="002632E3">
        <w:t xml:space="preserve"> to residential </w:t>
      </w:r>
      <w:r w:rsidR="00731A84">
        <w:t xml:space="preserve">electricity </w:t>
      </w:r>
      <w:r w:rsidR="002632E3">
        <w:t>customers on a TOU rate.</w:t>
      </w:r>
      <w:r w:rsidR="00317FE0">
        <w:rPr>
          <w:rStyle w:val="FootnoteReference"/>
        </w:rPr>
        <w:footnoteReference w:id="6"/>
      </w:r>
      <w:r w:rsidR="00A238D3">
        <w:t xml:space="preserve">  The Commission anticipated that the HUC would apply only to a “small number of customers who use an extreme amount of energy” and that there would be a minimal risk that it would be incurred by “ordinary customers.”</w:t>
      </w:r>
      <w:r w:rsidR="00A238D3">
        <w:rPr>
          <w:rStyle w:val="FootnoteReference"/>
        </w:rPr>
        <w:footnoteReference w:id="7"/>
      </w:r>
      <w:r w:rsidR="00A238D3">
        <w:t xml:space="preserve">  The Commission quantified this estimate when it found that it expected the HUC to be incurred by </w:t>
      </w:r>
      <w:r w:rsidR="00A238D3">
        <w:rPr>
          <w:szCs w:val="26"/>
        </w:rPr>
        <w:t>2</w:t>
      </w:r>
      <w:r w:rsidR="00FE2209">
        <w:rPr>
          <w:szCs w:val="26"/>
        </w:rPr>
        <w:t xml:space="preserve"> </w:t>
      </w:r>
      <w:r w:rsidR="0097776E">
        <w:rPr>
          <w:szCs w:val="26"/>
        </w:rPr>
        <w:t>percent</w:t>
      </w:r>
      <w:r w:rsidR="00A238D3">
        <w:rPr>
          <w:szCs w:val="26"/>
        </w:rPr>
        <w:t xml:space="preserve"> to 10</w:t>
      </w:r>
      <w:r w:rsidR="00FE2209">
        <w:rPr>
          <w:szCs w:val="26"/>
        </w:rPr>
        <w:t xml:space="preserve"> </w:t>
      </w:r>
      <w:r w:rsidR="0097776E">
        <w:rPr>
          <w:szCs w:val="26"/>
        </w:rPr>
        <w:t>percent</w:t>
      </w:r>
      <w:r w:rsidR="00A238D3">
        <w:rPr>
          <w:szCs w:val="26"/>
        </w:rPr>
        <w:t xml:space="preserve"> of customers on a tiered rate.</w:t>
      </w:r>
      <w:r w:rsidR="00A238D3">
        <w:rPr>
          <w:rStyle w:val="FootnoteReference"/>
          <w:szCs w:val="26"/>
        </w:rPr>
        <w:footnoteReference w:id="8"/>
      </w:r>
    </w:p>
    <w:p w:rsidR="00A238D3" w:rsidP="00A238D3" w:rsidRDefault="00D36ABE" w14:paraId="3BE29D07" w14:textId="77777777">
      <w:pPr>
        <w:pStyle w:val="Standard"/>
        <w:rPr>
          <w:szCs w:val="26"/>
        </w:rPr>
      </w:pPr>
      <w:r>
        <w:rPr>
          <w:szCs w:val="26"/>
        </w:rPr>
        <w:t xml:space="preserve">It </w:t>
      </w:r>
      <w:r w:rsidR="008458A5">
        <w:rPr>
          <w:szCs w:val="26"/>
        </w:rPr>
        <w:t>should be recalled</w:t>
      </w:r>
      <w:r>
        <w:rPr>
          <w:szCs w:val="26"/>
        </w:rPr>
        <w:t xml:space="preserve"> that the HUC was a small part of a much broader decision consolidating residential electricity tiers and reducing the price differentials between those tiers.  D.15-07-001 began a process by which the price for baseline electricity increased while the prices for electricity above baseline decreased, relative to their prices before adoption of D.15-07-001.  These changes were applied </w:t>
      </w:r>
      <w:r w:rsidR="000F2996">
        <w:rPr>
          <w:szCs w:val="26"/>
        </w:rPr>
        <w:t>by</w:t>
      </w:r>
      <w:r>
        <w:rPr>
          <w:szCs w:val="26"/>
        </w:rPr>
        <w:t xml:space="preserve"> the large electrical corporations to their default rates for residential electricity, meaning that the rate reforms adopted by D.15-07-001 affected </w:t>
      </w:r>
      <w:proofErr w:type="gramStart"/>
      <w:r>
        <w:rPr>
          <w:szCs w:val="26"/>
        </w:rPr>
        <w:t xml:space="preserve">the majority </w:t>
      </w:r>
      <w:r w:rsidR="005B6165">
        <w:rPr>
          <w:szCs w:val="26"/>
        </w:rPr>
        <w:t>of</w:t>
      </w:r>
      <w:proofErr w:type="gramEnd"/>
      <w:r w:rsidR="005B6165">
        <w:rPr>
          <w:szCs w:val="26"/>
        </w:rPr>
        <w:t xml:space="preserve"> </w:t>
      </w:r>
      <w:r>
        <w:rPr>
          <w:szCs w:val="26"/>
        </w:rPr>
        <w:t xml:space="preserve">residential electricity customers in California.  </w:t>
      </w:r>
      <w:proofErr w:type="gramStart"/>
      <w:r>
        <w:rPr>
          <w:szCs w:val="26"/>
        </w:rPr>
        <w:t>In light of</w:t>
      </w:r>
      <w:proofErr w:type="gramEnd"/>
      <w:r>
        <w:rPr>
          <w:szCs w:val="26"/>
        </w:rPr>
        <w:t xml:space="preserve"> these reforms that lowered the prices for electricity usage above baseline, a</w:t>
      </w:r>
      <w:r w:rsidR="00A238D3">
        <w:rPr>
          <w:szCs w:val="26"/>
        </w:rPr>
        <w:t xml:space="preserve"> key factor motivating the Commission’s </w:t>
      </w:r>
      <w:r>
        <w:rPr>
          <w:szCs w:val="26"/>
        </w:rPr>
        <w:t xml:space="preserve">creation of the HUC was the desire to avoid </w:t>
      </w:r>
      <w:r w:rsidR="008458A5">
        <w:rPr>
          <w:szCs w:val="26"/>
        </w:rPr>
        <w:lastRenderedPageBreak/>
        <w:t>sending a “</w:t>
      </w:r>
      <w:r>
        <w:rPr>
          <w:szCs w:val="26"/>
        </w:rPr>
        <w:t>reward</w:t>
      </w:r>
      <w:r w:rsidR="008458A5">
        <w:rPr>
          <w:szCs w:val="26"/>
        </w:rPr>
        <w:t>” signal to</w:t>
      </w:r>
      <w:r>
        <w:rPr>
          <w:szCs w:val="26"/>
        </w:rPr>
        <w:t xml:space="preserve"> very high users of electricity.  Had the HUC not been imposed, very high users of electricity would have seen substantial bill reductions </w:t>
      </w:r>
      <w:proofErr w:type="gramStart"/>
      <w:r>
        <w:rPr>
          <w:szCs w:val="26"/>
        </w:rPr>
        <w:t>as a result of</w:t>
      </w:r>
      <w:proofErr w:type="gramEnd"/>
      <w:r>
        <w:rPr>
          <w:szCs w:val="26"/>
        </w:rPr>
        <w:t xml:space="preserve"> the broader rate reforms adopted by D.15-07-001, and the Commission resolved not to allow those financial </w:t>
      </w:r>
      <w:r w:rsidR="008458A5">
        <w:rPr>
          <w:szCs w:val="26"/>
        </w:rPr>
        <w:t>benefits</w:t>
      </w:r>
      <w:r>
        <w:rPr>
          <w:szCs w:val="26"/>
        </w:rPr>
        <w:t xml:space="preserve"> to pass through without some sort of signal </w:t>
      </w:r>
      <w:r w:rsidR="005876EF">
        <w:rPr>
          <w:szCs w:val="26"/>
        </w:rPr>
        <w:t>for</w:t>
      </w:r>
      <w:r>
        <w:rPr>
          <w:szCs w:val="26"/>
        </w:rPr>
        <w:t xml:space="preserve"> those customers to conserve.</w:t>
      </w:r>
      <w:r>
        <w:rPr>
          <w:rStyle w:val="FootnoteReference"/>
          <w:szCs w:val="26"/>
        </w:rPr>
        <w:footnoteReference w:id="9"/>
      </w:r>
      <w:r>
        <w:rPr>
          <w:szCs w:val="26"/>
        </w:rPr>
        <w:t xml:space="preserve">  </w:t>
      </w:r>
    </w:p>
    <w:p w:rsidR="00D36ABE" w:rsidP="00A238D3" w:rsidRDefault="00D36ABE" w14:paraId="7FAEE6FD" w14:textId="74BB1FA0">
      <w:pPr>
        <w:pStyle w:val="Standard"/>
      </w:pPr>
      <w:r>
        <w:rPr>
          <w:szCs w:val="26"/>
        </w:rPr>
        <w:t>This context is important to bear in mind.  D.15-07-001 set in motion a seri</w:t>
      </w:r>
      <w:r w:rsidR="005B6165">
        <w:rPr>
          <w:szCs w:val="26"/>
        </w:rPr>
        <w:t>e</w:t>
      </w:r>
      <w:r>
        <w:rPr>
          <w:szCs w:val="26"/>
        </w:rPr>
        <w:t>s of reforms to residential rates that are ongoing more than five years after the decision</w:t>
      </w:r>
      <w:r w:rsidR="008458A5">
        <w:rPr>
          <w:szCs w:val="26"/>
        </w:rPr>
        <w:t>’s issuance</w:t>
      </w:r>
      <w:r>
        <w:rPr>
          <w:szCs w:val="26"/>
        </w:rPr>
        <w:t xml:space="preserve">.  </w:t>
      </w:r>
      <w:r w:rsidR="008458A5">
        <w:rPr>
          <w:szCs w:val="26"/>
        </w:rPr>
        <w:t xml:space="preserve">California is now in the second phase of those reforms, where customers </w:t>
      </w:r>
      <w:r w:rsidR="001F3597">
        <w:rPr>
          <w:szCs w:val="26"/>
        </w:rPr>
        <w:t xml:space="preserve">(including very high users) </w:t>
      </w:r>
      <w:r w:rsidR="008458A5">
        <w:rPr>
          <w:szCs w:val="26"/>
        </w:rPr>
        <w:t xml:space="preserve">that had been on reformed tiered rates are being defaulted </w:t>
      </w:r>
      <w:r w:rsidR="000F2996">
        <w:rPr>
          <w:szCs w:val="26"/>
        </w:rPr>
        <w:t>to</w:t>
      </w:r>
      <w:r w:rsidR="008458A5">
        <w:rPr>
          <w:szCs w:val="26"/>
        </w:rPr>
        <w:t xml:space="preserve"> TOU rates.  The </w:t>
      </w:r>
      <w:proofErr w:type="gramStart"/>
      <w:r w:rsidR="008458A5">
        <w:rPr>
          <w:szCs w:val="26"/>
        </w:rPr>
        <w:t>period of time</w:t>
      </w:r>
      <w:proofErr w:type="gramEnd"/>
      <w:r w:rsidR="008458A5">
        <w:rPr>
          <w:szCs w:val="26"/>
        </w:rPr>
        <w:t xml:space="preserve"> whe</w:t>
      </w:r>
      <w:r w:rsidR="00F03D0C">
        <w:rPr>
          <w:szCs w:val="26"/>
        </w:rPr>
        <w:t>n</w:t>
      </w:r>
      <w:r w:rsidR="008458A5">
        <w:rPr>
          <w:szCs w:val="26"/>
        </w:rPr>
        <w:t xml:space="preserve"> very high users of electricity </w:t>
      </w:r>
      <w:r w:rsidR="001F3597">
        <w:rPr>
          <w:szCs w:val="26"/>
        </w:rPr>
        <w:t xml:space="preserve">experienced </w:t>
      </w:r>
      <w:r w:rsidR="008458A5">
        <w:rPr>
          <w:szCs w:val="26"/>
        </w:rPr>
        <w:t>financial benefits from the consolidation and repricing of electricity tiers has passed.</w:t>
      </w:r>
    </w:p>
    <w:p w:rsidR="00731A84" w:rsidP="0097776E" w:rsidRDefault="00731A84" w14:paraId="73E062C1" w14:textId="77777777">
      <w:pPr>
        <w:pStyle w:val="Heading2"/>
        <w:numPr>
          <w:ilvl w:val="1"/>
          <w:numId w:val="1"/>
        </w:numPr>
      </w:pPr>
      <w:bookmarkStart w:name="_Toc65157804" w:id="11"/>
      <w:r>
        <w:t>Party Positions on the HUC</w:t>
      </w:r>
      <w:bookmarkEnd w:id="11"/>
    </w:p>
    <w:p w:rsidR="006C123E" w:rsidP="00F36B23" w:rsidRDefault="00F36B23" w14:paraId="02398738" w14:textId="77777777">
      <w:pPr>
        <w:pStyle w:val="Standard"/>
      </w:pPr>
      <w:r>
        <w:t xml:space="preserve">Generally, the large electrical corporations recommended elimination of the HUC, either immediately or after a transition period.  </w:t>
      </w:r>
      <w:r w:rsidR="006C123E">
        <w:t>UCAN supported SDG&amp;E’s proposal to eliminate the HUC.</w:t>
      </w:r>
      <w:r w:rsidR="006C123E">
        <w:rPr>
          <w:rStyle w:val="FootnoteReference"/>
        </w:rPr>
        <w:footnoteReference w:id="10"/>
      </w:r>
    </w:p>
    <w:p w:rsidR="006C123E" w:rsidP="00F36B23" w:rsidRDefault="00F36B23" w14:paraId="7405219E" w14:textId="0171721F">
      <w:pPr>
        <w:pStyle w:val="Standard"/>
      </w:pPr>
      <w:r>
        <w:t>Cal Advocates favored raising the HUC threshold to 600</w:t>
      </w:r>
      <w:r w:rsidR="00FE2209">
        <w:t xml:space="preserve"> </w:t>
      </w:r>
      <w:r w:rsidR="0097776E">
        <w:t>percent</w:t>
      </w:r>
      <w:r>
        <w:t xml:space="preserve"> of baseline from the existing threshold of 400</w:t>
      </w:r>
      <w:r w:rsidR="00FE2209">
        <w:t xml:space="preserve"> </w:t>
      </w:r>
      <w:r w:rsidR="0097776E">
        <w:t>percent</w:t>
      </w:r>
      <w:r>
        <w:t xml:space="preserve"> of </w:t>
      </w:r>
      <w:proofErr w:type="gramStart"/>
      <w:r>
        <w:t xml:space="preserve">baseline, </w:t>
      </w:r>
      <w:r w:rsidR="0011501E">
        <w:t>and</w:t>
      </w:r>
      <w:proofErr w:type="gramEnd"/>
      <w:r w:rsidR="0011501E">
        <w:t xml:space="preserve"> maintaining </w:t>
      </w:r>
      <w:r w:rsidR="0011501E">
        <w:lastRenderedPageBreak/>
        <w:t>the reduced HUC differential established by D.20-05-013 while rebalancing the prices of the various tiers in order to ensure adequate revenue collection.</w:t>
      </w:r>
      <w:r w:rsidR="00B544FC">
        <w:t xml:space="preserve">  </w:t>
      </w:r>
    </w:p>
    <w:p w:rsidRPr="00F36B23" w:rsidR="00F36B23" w:rsidP="00F36B23" w:rsidRDefault="00B544FC" w14:paraId="03E7A609" w14:textId="7833D312">
      <w:pPr>
        <w:pStyle w:val="Standard"/>
      </w:pPr>
      <w:r>
        <w:t>TURN opposed the elimination of the HUC in its testimony, and recommended returning the HUC</w:t>
      </w:r>
      <w:r w:rsidR="00BF1648">
        <w:t xml:space="preserve"> price to a level 75</w:t>
      </w:r>
      <w:r w:rsidR="00FE2209">
        <w:t xml:space="preserve"> </w:t>
      </w:r>
      <w:r w:rsidR="0097776E">
        <w:t>percent</w:t>
      </w:r>
      <w:r w:rsidR="00BF1648">
        <w:t xml:space="preserve"> high</w:t>
      </w:r>
      <w:r w:rsidR="00DA3041">
        <w:t>er</w:t>
      </w:r>
      <w:r w:rsidR="00BF1648">
        <w:t xml:space="preserve"> than the Tier 2 price at the conclusion of the COVID-19 emergency.</w:t>
      </w:r>
      <w:r w:rsidR="00BF1648">
        <w:rPr>
          <w:rStyle w:val="FootnoteReference"/>
        </w:rPr>
        <w:footnoteReference w:id="11"/>
      </w:r>
      <w:r w:rsidR="005876EF">
        <w:t xml:space="preserve">  </w:t>
      </w:r>
      <w:proofErr w:type="spellStart"/>
      <w:r w:rsidR="005876EF">
        <w:t>CforAT</w:t>
      </w:r>
      <w:proofErr w:type="spellEnd"/>
      <w:r w:rsidR="005876EF">
        <w:t xml:space="preserve"> also opposed the elimination of the HUC, citing the bill impacts of elimination on non-HUC customers on tiered rate plans.</w:t>
      </w:r>
      <w:r w:rsidR="005876EF">
        <w:rPr>
          <w:rStyle w:val="FootnoteReference"/>
        </w:rPr>
        <w:footnoteReference w:id="12"/>
      </w:r>
      <w:r w:rsidR="00A94891">
        <w:t xml:space="preserve">  However, </w:t>
      </w:r>
      <w:proofErr w:type="spellStart"/>
      <w:r w:rsidR="00A94891">
        <w:t>CforAT</w:t>
      </w:r>
      <w:proofErr w:type="spellEnd"/>
      <w:r w:rsidR="00A94891">
        <w:t xml:space="preserve"> granted that some modifications to the HUC, such as a modified threshold or a fixed charge HUC replacement, may allow for the intent of the HUC to be reaffirmed even if the charge is structurally modified.</w:t>
      </w:r>
      <w:r w:rsidR="00A94891">
        <w:rPr>
          <w:rStyle w:val="FootnoteReference"/>
        </w:rPr>
        <w:footnoteReference w:id="13"/>
      </w:r>
    </w:p>
    <w:p w:rsidRPr="005D63CA" w:rsidR="005D63CA" w:rsidP="0097776E" w:rsidRDefault="005D63CA" w14:paraId="68D96695" w14:textId="77777777">
      <w:pPr>
        <w:pStyle w:val="Heading3"/>
        <w:numPr>
          <w:ilvl w:val="2"/>
          <w:numId w:val="1"/>
        </w:numPr>
        <w:tabs>
          <w:tab w:val="left" w:pos="1620"/>
        </w:tabs>
      </w:pPr>
      <w:bookmarkStart w:name="_Toc65157805" w:id="12"/>
      <w:r>
        <w:t xml:space="preserve">Application of </w:t>
      </w:r>
      <w:r w:rsidRPr="0097776E">
        <w:t>the</w:t>
      </w:r>
      <w:r>
        <w:t xml:space="preserve"> HUC Beyond Original Intent</w:t>
      </w:r>
      <w:bookmarkEnd w:id="12"/>
    </w:p>
    <w:p w:rsidR="00A649D7" w:rsidP="00411DA5" w:rsidRDefault="00B2748C" w14:paraId="77414E9F" w14:textId="513733F9">
      <w:pPr>
        <w:pStyle w:val="Standard"/>
      </w:pPr>
      <w:r>
        <w:t>SDG&amp;E</w:t>
      </w:r>
      <w:r w:rsidR="00AD6AD5">
        <w:t xml:space="preserve"> argued that the original intent of the Commission to target a small number of very high users with the HUC was not being achieved.  They claimed that in 2018 over 10</w:t>
      </w:r>
      <w:r w:rsidR="00FE2209">
        <w:t xml:space="preserve"> </w:t>
      </w:r>
      <w:r w:rsidR="0097776E">
        <w:t>percent</w:t>
      </w:r>
      <w:r w:rsidR="00AD6AD5">
        <w:t xml:space="preserve"> of SDG&amp;E’s customer population was assessed the HUC during at least one month of a full calendar year</w:t>
      </w:r>
      <w:r>
        <w:t>,</w:t>
      </w:r>
      <w:r>
        <w:rPr>
          <w:rStyle w:val="FootnoteReference"/>
        </w:rPr>
        <w:footnoteReference w:id="14"/>
      </w:r>
      <w:r>
        <w:t xml:space="preserve"> and that the trend continued in 2019 with 12</w:t>
      </w:r>
      <w:r w:rsidR="00FE2209">
        <w:t xml:space="preserve"> </w:t>
      </w:r>
      <w:r w:rsidR="0097776E">
        <w:t>percent</w:t>
      </w:r>
      <w:r>
        <w:t xml:space="preserve"> of tiered rate customers experiencing the HUC.</w:t>
      </w:r>
      <w:r>
        <w:rPr>
          <w:rStyle w:val="FootnoteReference"/>
        </w:rPr>
        <w:footnoteReference w:id="15"/>
      </w:r>
      <w:r>
        <w:t xml:space="preserve">  Furthermore, SDG&amp;E alleged that the HUC was not based on the cost to serve residential customers and was therefore an unjustified “punitive charge.”</w:t>
      </w:r>
      <w:r>
        <w:rPr>
          <w:rStyle w:val="FootnoteReference"/>
        </w:rPr>
        <w:footnoteReference w:id="16"/>
      </w:r>
      <w:r w:rsidR="00411DA5">
        <w:t xml:space="preserve">  </w:t>
      </w:r>
      <w:r w:rsidR="00411DA5">
        <w:lastRenderedPageBreak/>
        <w:t>PG&amp;E asserted that “the original HUC, plain and simple, is punitive and unfair.”</w:t>
      </w:r>
      <w:r w:rsidR="00411DA5">
        <w:rPr>
          <w:rStyle w:val="FootnoteReference"/>
        </w:rPr>
        <w:footnoteReference w:id="17"/>
      </w:r>
    </w:p>
    <w:p w:rsidR="00300FC6" w:rsidP="005876EF" w:rsidRDefault="00300FC6" w14:paraId="1F722A91" w14:textId="77777777">
      <w:pPr>
        <w:pStyle w:val="Standard"/>
      </w:pPr>
      <w:r>
        <w:t xml:space="preserve">Cal Advocates agreed </w:t>
      </w:r>
      <w:r w:rsidR="003D6BB2">
        <w:t xml:space="preserve">with SDG&amp;E </w:t>
      </w:r>
      <w:r>
        <w:t xml:space="preserve">that the HUC is now a “punitive” charge that </w:t>
      </w:r>
      <w:r w:rsidR="003D6BB2">
        <w:t>is being applied to more residential customers than originally intended by the Commission in D.15-07-001</w:t>
      </w:r>
      <w:r>
        <w:t>.</w:t>
      </w:r>
      <w:r>
        <w:rPr>
          <w:rStyle w:val="FootnoteReference"/>
        </w:rPr>
        <w:footnoteReference w:id="18"/>
      </w:r>
      <w:r>
        <w:t xml:space="preserve"> </w:t>
      </w:r>
      <w:r w:rsidR="006C123E">
        <w:t xml:space="preserve"> UCAN largely concurred, stating that “there is significant evidence the HUC is placing an undue burden on many customers just cooling homes during hot weather.”</w:t>
      </w:r>
      <w:r w:rsidR="006C123E">
        <w:rPr>
          <w:rStyle w:val="FootnoteReference"/>
        </w:rPr>
        <w:footnoteReference w:id="19"/>
      </w:r>
      <w:r w:rsidR="006C123E">
        <w:t xml:space="preserve">  UCAN note</w:t>
      </w:r>
      <w:r w:rsidR="00647CF1">
        <w:t>d</w:t>
      </w:r>
      <w:r w:rsidR="006C123E">
        <w:t xml:space="preserve"> that the HUC may be incurred for a variety of reasons, and in some cases is not arguably within the control of the customer</w:t>
      </w:r>
      <w:r w:rsidR="00647CF1">
        <w:t xml:space="preserve"> (</w:t>
      </w:r>
      <w:r w:rsidR="00647CF1">
        <w:rPr>
          <w:i/>
          <w:iCs/>
        </w:rPr>
        <w:t>e.g.</w:t>
      </w:r>
      <w:r w:rsidR="00647CF1">
        <w:t xml:space="preserve">, a home with a large </w:t>
      </w:r>
      <w:r w:rsidR="00DF5E9F">
        <w:t xml:space="preserve">surface </w:t>
      </w:r>
      <w:r w:rsidR="00647CF1">
        <w:t>area)</w:t>
      </w:r>
      <w:r w:rsidR="006C123E">
        <w:t>.</w:t>
      </w:r>
      <w:r w:rsidR="00647CF1">
        <w:rPr>
          <w:rStyle w:val="FootnoteReference"/>
        </w:rPr>
        <w:footnoteReference w:id="20"/>
      </w:r>
      <w:r w:rsidR="005876EF">
        <w:t xml:space="preserve">  While not supporting HUC elimination, </w:t>
      </w:r>
      <w:proofErr w:type="spellStart"/>
      <w:r w:rsidR="005876EF">
        <w:t>CforAT</w:t>
      </w:r>
      <w:proofErr w:type="spellEnd"/>
      <w:r w:rsidR="005876EF">
        <w:t xml:space="preserve"> nevertheless granted that “the HUC as applied appears to have impacted more customers than was the initial intent of the Commission….”</w:t>
      </w:r>
      <w:r w:rsidR="005876EF">
        <w:rPr>
          <w:rStyle w:val="FootnoteReference"/>
        </w:rPr>
        <w:footnoteReference w:id="21"/>
      </w:r>
    </w:p>
    <w:p w:rsidR="000F12B5" w:rsidP="000F12B5" w:rsidRDefault="000F12B5" w14:paraId="79D7B970" w14:textId="7F664F78">
      <w:pPr>
        <w:pStyle w:val="Standard"/>
      </w:pPr>
      <w:r>
        <w:t>TURN disputed that the HUC had expanded to affect customers beyond the original intent of D.15-07-001, noting that “SDG&amp;E’s and SCE’s experience of 10</w:t>
      </w:r>
      <w:r w:rsidR="0097776E">
        <w:t xml:space="preserve"> percent</w:t>
      </w:r>
      <w:r>
        <w:t xml:space="preserve"> or 11</w:t>
      </w:r>
      <w:r w:rsidR="0097776E">
        <w:t xml:space="preserve"> percent</w:t>
      </w:r>
      <w:r>
        <w:t xml:space="preserve"> of customers incurring HUC is not inconsistent the customer impact expectations of 2</w:t>
      </w:r>
      <w:r w:rsidR="00FE2209">
        <w:t xml:space="preserve"> </w:t>
      </w:r>
      <w:r w:rsidR="0097776E">
        <w:t>percent</w:t>
      </w:r>
      <w:r>
        <w:t>-10</w:t>
      </w:r>
      <w:r w:rsidR="00FE2209">
        <w:t xml:space="preserve"> </w:t>
      </w:r>
      <w:r w:rsidR="0097776E">
        <w:t>percent</w:t>
      </w:r>
      <w:r>
        <w:t xml:space="preserve"> of [D.15-07-00].”</w:t>
      </w:r>
      <w:r>
        <w:rPr>
          <w:rStyle w:val="FootnoteReference"/>
        </w:rPr>
        <w:footnoteReference w:id="22"/>
      </w:r>
    </w:p>
    <w:p w:rsidR="00741204" w:rsidP="0097776E" w:rsidRDefault="00741204" w14:paraId="63F209CD" w14:textId="77777777">
      <w:pPr>
        <w:pStyle w:val="Heading3"/>
        <w:numPr>
          <w:ilvl w:val="2"/>
          <w:numId w:val="1"/>
        </w:numPr>
        <w:tabs>
          <w:tab w:val="left" w:pos="2340"/>
        </w:tabs>
        <w:ind w:left="2520" w:hanging="1080"/>
      </w:pPr>
      <w:bookmarkStart w:name="_Toc65157806" w:id="13"/>
      <w:r>
        <w:t>HUC Impact on Conservation</w:t>
      </w:r>
      <w:bookmarkEnd w:id="13"/>
    </w:p>
    <w:p w:rsidR="005D63CA" w:rsidP="005D63CA" w:rsidRDefault="00212C15" w14:paraId="576EF116" w14:textId="77777777">
      <w:pPr>
        <w:pStyle w:val="Standard"/>
      </w:pPr>
      <w:r>
        <w:t xml:space="preserve">With respect to the HUC’s conservation objective, </w:t>
      </w:r>
      <w:r w:rsidR="005D63CA">
        <w:t>SDG&amp;E asserted that eliminating the HUC would have a minimal impact on conservation incentives.</w:t>
      </w:r>
      <w:r w:rsidR="005D63CA">
        <w:rPr>
          <w:rStyle w:val="FootnoteReference"/>
        </w:rPr>
        <w:footnoteReference w:id="23"/>
      </w:r>
      <w:r w:rsidR="005D63CA">
        <w:t xml:space="preserve">  </w:t>
      </w:r>
      <w:r w:rsidR="00DF5E9F">
        <w:lastRenderedPageBreak/>
        <w:t>UCAN concurred, reasoning that because SDG&amp;E’s rates were among the highest in the nation, even a rate plan without a HUC element would still provide adequate financial incentives to conserve electricity.</w:t>
      </w:r>
      <w:r w:rsidR="00DF5E9F">
        <w:rPr>
          <w:rStyle w:val="FootnoteReference"/>
        </w:rPr>
        <w:footnoteReference w:id="24"/>
      </w:r>
      <w:r w:rsidR="00507B0C">
        <w:t xml:space="preserve"> </w:t>
      </w:r>
    </w:p>
    <w:p w:rsidR="00212C15" w:rsidP="00212C15" w:rsidRDefault="00212C15" w14:paraId="5623BD3F" w14:textId="77777777">
      <w:pPr>
        <w:pStyle w:val="Standard"/>
      </w:pPr>
      <w:r>
        <w:t xml:space="preserve">SCE provided evidence that </w:t>
      </w:r>
      <w:r w:rsidR="005876EF">
        <w:t>its</w:t>
      </w:r>
      <w:r>
        <w:t xml:space="preserve"> customers that “received HUC notifications and charges in January 2018 did not demonstrate conservation in the month of February when comparing either (1) their February 2018 usage to their February 2016 and 2017 usage (relatively flat), or (2) their February 2018 versus February 2017 </w:t>
      </w:r>
      <w:r w:rsidR="001A2754">
        <w:t>[kilowatt-hour (</w:t>
      </w:r>
      <w:r>
        <w:t>kWh</w:t>
      </w:r>
      <w:r w:rsidR="001A2754">
        <w:t>)]</w:t>
      </w:r>
      <w:r>
        <w:t xml:space="preserve"> differential to the control group (relatively flat for the HUC group versus a </w:t>
      </w:r>
      <w:proofErr w:type="gramStart"/>
      <w:r>
        <w:t>42 kWh</w:t>
      </w:r>
      <w:proofErr w:type="gramEnd"/>
      <w:r>
        <w:t xml:space="preserve"> usage reduction for the control group).”  SCE</w:t>
      </w:r>
      <w:r w:rsidR="005876EF">
        <w:t xml:space="preserve"> </w:t>
      </w:r>
      <w:r>
        <w:t>asserted that this trend continued in 2020.</w:t>
      </w:r>
      <w:r>
        <w:rPr>
          <w:rStyle w:val="FootnoteReference"/>
        </w:rPr>
        <w:footnoteReference w:id="25"/>
      </w:r>
      <w:r>
        <w:t xml:space="preserve">  In summary, SCE contended that “more often than not, a customer who incurred the HUC charge once was unable (or unwilling) to avoid becoming subject to the HUC again in a future month, and thus continued to be penalized.”</w:t>
      </w:r>
      <w:r>
        <w:rPr>
          <w:rStyle w:val="FootnoteReference"/>
        </w:rPr>
        <w:footnoteReference w:id="26"/>
      </w:r>
    </w:p>
    <w:p w:rsidR="0026404D" w:rsidP="0026404D" w:rsidRDefault="0026404D" w14:paraId="341FF513" w14:textId="77777777">
      <w:pPr>
        <w:pStyle w:val="Standard"/>
      </w:pPr>
      <w:r>
        <w:t>PG&amp;E argued that the HUC is no</w:t>
      </w:r>
      <w:r w:rsidR="00B676B2">
        <w:t>t</w:t>
      </w:r>
      <w:r>
        <w:t xml:space="preserve"> necessary to drive conservation, given that the Commission previously found that “only a mild differential” between two rate tiers (</w:t>
      </w:r>
      <w:r w:rsidRPr="00FE2209">
        <w:rPr>
          <w:i/>
          <w:iCs/>
        </w:rPr>
        <w:t>i.e.,</w:t>
      </w:r>
      <w:r>
        <w:t xml:space="preserve"> without the HUC) is necessary to incent conservation.</w:t>
      </w:r>
      <w:r>
        <w:rPr>
          <w:rStyle w:val="FootnoteReference"/>
        </w:rPr>
        <w:footnoteReference w:id="27"/>
      </w:r>
      <w:r w:rsidR="00507B0C">
        <w:t xml:space="preserve">  Like UCAN, PG&amp;E argued that its rate would remain high enough in the absence of the HUC to sufficiently incent conservation.</w:t>
      </w:r>
      <w:r w:rsidR="00507B0C">
        <w:rPr>
          <w:rStyle w:val="FootnoteReference"/>
        </w:rPr>
        <w:footnoteReference w:id="28"/>
      </w:r>
    </w:p>
    <w:p w:rsidR="003D6BB2" w:rsidP="00212C15" w:rsidRDefault="003D6BB2" w14:paraId="4909B5EA" w14:textId="77777777">
      <w:pPr>
        <w:pStyle w:val="Standard"/>
      </w:pPr>
      <w:r>
        <w:lastRenderedPageBreak/>
        <w:t>Cal Advocates cited SCE’s analysis and asserted that steeply inclining tiered rates, such as reflected by the HUC, do not necessarily lead to electricity conservation when compared to more mild increases in tiered rates.</w:t>
      </w:r>
      <w:r>
        <w:rPr>
          <w:rStyle w:val="FootnoteReference"/>
        </w:rPr>
        <w:footnoteReference w:id="29"/>
      </w:r>
    </w:p>
    <w:p w:rsidR="000F12B5" w:rsidP="000F12B5" w:rsidRDefault="00AF1C11" w14:paraId="1494ADF3" w14:textId="77777777">
      <w:pPr>
        <w:pStyle w:val="Standard"/>
      </w:pPr>
      <w:r>
        <w:t xml:space="preserve">TURN disputed the parties’ assertions that the HUC was not meeting its conservation objective.  TURN provided evidence that </w:t>
      </w:r>
      <w:r w:rsidR="000F12B5">
        <w:t xml:space="preserve">HUC usage in kWh decreased between 2017 and 2019 for all the large electrical corporations, and that the percentage of overall residential usage made up of HUC usage also declined over the same </w:t>
      </w:r>
      <w:proofErr w:type="gramStart"/>
      <w:r w:rsidR="000F12B5">
        <w:t>time period</w:t>
      </w:r>
      <w:proofErr w:type="gramEnd"/>
      <w:r w:rsidR="000F12B5">
        <w:t>.  TURN concluded that this “evidence clearly demonstrates that HUC is working well as an incentive for customer conservation.”</w:t>
      </w:r>
      <w:r w:rsidR="000F12B5">
        <w:rPr>
          <w:rStyle w:val="FootnoteReference"/>
        </w:rPr>
        <w:footnoteReference w:id="30"/>
      </w:r>
      <w:r w:rsidR="0026404D">
        <w:t xml:space="preserve">  In rebuttal testimony, PG&amp;E rejected this contention, reasoning that reductions in observed HUC consumption could be attributed to other factors – such as the weather or reductions in HUC customers overall – rather than the HUC itself.</w:t>
      </w:r>
      <w:r w:rsidR="0026404D">
        <w:rPr>
          <w:rStyle w:val="FootnoteReference"/>
        </w:rPr>
        <w:footnoteReference w:id="31"/>
      </w:r>
    </w:p>
    <w:p w:rsidR="00B951E9" w:rsidP="000F12B5" w:rsidRDefault="00B951E9" w14:paraId="26E1F1E2" w14:textId="77777777">
      <w:pPr>
        <w:pStyle w:val="Standard"/>
      </w:pPr>
      <w:proofErr w:type="spellStart"/>
      <w:r>
        <w:t>CforAT</w:t>
      </w:r>
      <w:proofErr w:type="spellEnd"/>
      <w:r>
        <w:t xml:space="preserve"> distinguished between HUC customers that chose not to conserve and those that could not conserve due to their </w:t>
      </w:r>
      <w:proofErr w:type="gramStart"/>
      <w:r>
        <w:t>circumstances, and</w:t>
      </w:r>
      <w:proofErr w:type="gramEnd"/>
      <w:r>
        <w:t xml:space="preserve"> argued that eliminating the HUC would unfairly reward customers with very high usage that simply chose not to conserve even though they have the ability to do so.</w:t>
      </w:r>
      <w:r>
        <w:rPr>
          <w:rStyle w:val="FootnoteReference"/>
        </w:rPr>
        <w:footnoteReference w:id="32"/>
      </w:r>
    </w:p>
    <w:p w:rsidR="000B75F0" w:rsidP="00FE2209" w:rsidRDefault="000B75F0" w14:paraId="45094431" w14:textId="77777777">
      <w:pPr>
        <w:pStyle w:val="Heading3"/>
        <w:numPr>
          <w:ilvl w:val="2"/>
          <w:numId w:val="1"/>
        </w:numPr>
        <w:tabs>
          <w:tab w:val="left" w:pos="2340"/>
        </w:tabs>
        <w:ind w:left="2520" w:hanging="1080"/>
      </w:pPr>
      <w:bookmarkStart w:name="_Toc65157807" w:id="14"/>
      <w:r>
        <w:t>Cost of Service Concerns</w:t>
      </w:r>
      <w:bookmarkEnd w:id="14"/>
    </w:p>
    <w:p w:rsidR="000B75F0" w:rsidP="000B75F0" w:rsidRDefault="000B75F0" w14:paraId="0F89E485" w14:textId="77777777">
      <w:pPr>
        <w:pStyle w:val="Standard"/>
      </w:pPr>
      <w:r>
        <w:t xml:space="preserve">PG&amp;E argued for elimination of the HUC in part due to the claimed lack of relationship between the HUC and cost of service.  PG&amp;E alleged that the “very steep HUC element of an inclining block rate structure bears no relationship to actual cost of service, where the cost per kWh does not increase as a customer’s </w:t>
      </w:r>
      <w:r>
        <w:lastRenderedPageBreak/>
        <w:t>cumulative monthly usage increases.”</w:t>
      </w:r>
      <w:r>
        <w:rPr>
          <w:rStyle w:val="FootnoteReference"/>
        </w:rPr>
        <w:footnoteReference w:id="33"/>
      </w:r>
      <w:r>
        <w:t xml:space="preserve">  PG&amp;E claimed that the lack of cost basis for the HUC was particularly inequitable given that “[m]any of those hitting the HUC tier do not earn high incomes but may simply have an above average number of family members at home and are home for many or all hours of the month.”</w:t>
      </w:r>
      <w:r>
        <w:rPr>
          <w:rStyle w:val="FootnoteReference"/>
        </w:rPr>
        <w:footnoteReference w:id="34"/>
      </w:r>
    </w:p>
    <w:p w:rsidRPr="000B75F0" w:rsidR="00E62F24" w:rsidP="000B75F0" w:rsidRDefault="00E62F24" w14:paraId="38107831" w14:textId="2E344EBA">
      <w:pPr>
        <w:pStyle w:val="Standard"/>
      </w:pPr>
      <w:r>
        <w:t>Cal Advocates agreed with the reasoning and concurred that the HUC does not reflect the cost to serv</w:t>
      </w:r>
      <w:r w:rsidR="00687848">
        <w:t>e</w:t>
      </w:r>
      <w:r>
        <w:t xml:space="preserve"> residential customers that consume electricity </w:t>
      </w:r>
      <w:proofErr w:type="gramStart"/>
      <w:r>
        <w:t>in excess of</w:t>
      </w:r>
      <w:proofErr w:type="gramEnd"/>
      <w:r>
        <w:t xml:space="preserve"> 400</w:t>
      </w:r>
      <w:r w:rsidR="00FE2209">
        <w:t xml:space="preserve"> </w:t>
      </w:r>
      <w:r w:rsidR="0097776E">
        <w:t>percent</w:t>
      </w:r>
      <w:r>
        <w:t xml:space="preserve"> of baseline.</w:t>
      </w:r>
      <w:r>
        <w:rPr>
          <w:rStyle w:val="FootnoteReference"/>
        </w:rPr>
        <w:footnoteReference w:id="35"/>
      </w:r>
    </w:p>
    <w:p w:rsidR="00212C15" w:rsidP="00FE2209" w:rsidRDefault="00741204" w14:paraId="6ADFBA47" w14:textId="77777777">
      <w:pPr>
        <w:pStyle w:val="Heading3"/>
        <w:numPr>
          <w:ilvl w:val="2"/>
          <w:numId w:val="1"/>
        </w:numPr>
        <w:tabs>
          <w:tab w:val="left" w:pos="2340"/>
        </w:tabs>
        <w:ind w:left="2700" w:hanging="1260"/>
      </w:pPr>
      <w:bookmarkStart w:name="_Toc65157808" w:id="15"/>
      <w:r>
        <w:t>E</w:t>
      </w:r>
      <w:r w:rsidR="00212C15">
        <w:t>ffect of Migration to Default TOU</w:t>
      </w:r>
      <w:bookmarkEnd w:id="15"/>
    </w:p>
    <w:p w:rsidRPr="00212C15" w:rsidR="00212C15" w:rsidP="008B01FA" w:rsidRDefault="00212C15" w14:paraId="23FA24C4" w14:textId="77777777">
      <w:pPr>
        <w:pStyle w:val="Standard"/>
      </w:pPr>
      <w:r>
        <w:t>SCE made several contentions that the composition of HUC customers w</w:t>
      </w:r>
      <w:r w:rsidR="00314B18">
        <w:t>as</w:t>
      </w:r>
      <w:r>
        <w:t xml:space="preserve"> likely to change after the transition of most residential electricity customers to TOU rates.  </w:t>
      </w:r>
      <w:r w:rsidR="00535590">
        <w:t xml:space="preserve">As TOU rates do not include the HUC, </w:t>
      </w:r>
      <w:proofErr w:type="gramStart"/>
      <w:r w:rsidR="00535590">
        <w:t>by definition moving</w:t>
      </w:r>
      <w:proofErr w:type="gramEnd"/>
      <w:r w:rsidR="00535590">
        <w:t xml:space="preserve"> most residential customers to TOU means moving those customers away from the HUC – regardless of whether or not they are very high users of electricity.  Those customers that may not be defaulted to TOU rates – and that therefore remain on tiered rates with the HUC – are disproportionately low-income customers in hot climate zones</w:t>
      </w:r>
      <w:r w:rsidR="008B01FA">
        <w:t>.  Because of their presence in hot climate zones, the probability that their usage may approach the level required to trigger the HUC is greater.  By SCE’s estimate, approximately 36,000 low-income customers in its hot climate zones would be ineligible for the default TOU transition and may trigger the HUC during a one</w:t>
      </w:r>
      <w:r w:rsidR="00741204">
        <w:t>-</w:t>
      </w:r>
      <w:r w:rsidR="008B01FA">
        <w:t>year period in the future.</w:t>
      </w:r>
      <w:r w:rsidR="008B01FA">
        <w:rPr>
          <w:rStyle w:val="FootnoteReference"/>
        </w:rPr>
        <w:footnoteReference w:id="36"/>
      </w:r>
      <w:r w:rsidR="008B01FA">
        <w:t xml:space="preserve">  </w:t>
      </w:r>
    </w:p>
    <w:p w:rsidR="00CC542A" w:rsidP="00A719E4" w:rsidRDefault="00741204" w14:paraId="4E612721" w14:textId="77777777">
      <w:pPr>
        <w:pStyle w:val="Standard"/>
      </w:pPr>
      <w:r>
        <w:lastRenderedPageBreak/>
        <w:t>The upshot of the transition to default TOU, according to SCE, is that far fewer customers will be exposed to the HUC and those that remain exposed will be disproportionately low-income or otherwise vulnerable customers.</w:t>
      </w:r>
      <w:r w:rsidR="006F4102">
        <w:rPr>
          <w:rStyle w:val="FootnoteReference"/>
        </w:rPr>
        <w:footnoteReference w:id="37"/>
      </w:r>
      <w:r>
        <w:t xml:space="preserve">  SCE contends that the “Commission could not have anticipated this development when it enacted the HUC,” and that </w:t>
      </w:r>
      <w:r w:rsidR="00672025">
        <w:t xml:space="preserve">it </w:t>
      </w:r>
      <w:r>
        <w:t>“favors the reduction and elimination of the HUC given the expected disproportionate impact on economically vulnerable customers once the TOU transition takes place.”</w:t>
      </w:r>
      <w:r>
        <w:rPr>
          <w:rStyle w:val="FootnoteReference"/>
        </w:rPr>
        <w:footnoteReference w:id="38"/>
      </w:r>
      <w:r w:rsidR="007723CD">
        <w:t xml:space="preserve">  PG&amp;E made similar arguments in its testimony</w:t>
      </w:r>
      <w:r w:rsidR="00A719E4">
        <w:t>,</w:t>
      </w:r>
      <w:r w:rsidR="007723CD">
        <w:rPr>
          <w:rStyle w:val="FootnoteReference"/>
        </w:rPr>
        <w:footnoteReference w:id="39"/>
      </w:r>
      <w:r w:rsidR="00A719E4">
        <w:t xml:space="preserve"> contending that “the remaining pool of E-1 customers by early 2022 [after implementation of default TOU] is expected to have a disproportionately higher percentage of [] lower-income hot climate-zone customers compared to today’s E-1 customer population.”</w:t>
      </w:r>
      <w:r w:rsidR="00A719E4">
        <w:rPr>
          <w:rStyle w:val="FootnoteReference"/>
        </w:rPr>
        <w:footnoteReference w:id="40"/>
      </w:r>
    </w:p>
    <w:p w:rsidR="0011501E" w:rsidP="00CC542A" w:rsidRDefault="0011501E" w14:paraId="0026F21C" w14:textId="2913CDEF">
      <w:pPr>
        <w:pStyle w:val="Standard"/>
      </w:pPr>
      <w:r>
        <w:t xml:space="preserve">Cal Advocates concurred that the HUC is expected to disproportionately affect low-income </w:t>
      </w:r>
      <w:proofErr w:type="gramStart"/>
      <w:r>
        <w:t>customers, and</w:t>
      </w:r>
      <w:proofErr w:type="gramEnd"/>
      <w:r>
        <w:t xml:space="preserve"> cited this concern when recommending that the HUC threshold be increased to 600</w:t>
      </w:r>
      <w:r w:rsidR="00F554F6">
        <w:t xml:space="preserve"> </w:t>
      </w:r>
      <w:r w:rsidR="0097776E">
        <w:t>percent</w:t>
      </w:r>
      <w:r>
        <w:t xml:space="preserve"> of baseline.  Cal Advocates </w:t>
      </w:r>
      <w:r w:rsidR="00737F39">
        <w:t xml:space="preserve">argued </w:t>
      </w:r>
      <w:r>
        <w:t xml:space="preserve">that raising the threshold to </w:t>
      </w:r>
      <w:r w:rsidR="00737F39">
        <w:t>600</w:t>
      </w:r>
      <w:r w:rsidR="00F554F6">
        <w:t xml:space="preserve"> </w:t>
      </w:r>
      <w:r w:rsidR="0097776E">
        <w:t>percent</w:t>
      </w:r>
      <w:r>
        <w:t xml:space="preserve"> would </w:t>
      </w:r>
      <w:r w:rsidR="00737F39">
        <w:t>reduce by 90</w:t>
      </w:r>
      <w:r w:rsidR="00F554F6">
        <w:t xml:space="preserve"> </w:t>
      </w:r>
      <w:r w:rsidR="0097776E">
        <w:t>percent</w:t>
      </w:r>
      <w:r w:rsidR="00737F39">
        <w:t xml:space="preserve"> the number of CARE customers affected by the HUC</w:t>
      </w:r>
      <w:r>
        <w:t>.</w:t>
      </w:r>
      <w:r>
        <w:rPr>
          <w:rStyle w:val="FootnoteReference"/>
        </w:rPr>
        <w:footnoteReference w:id="41"/>
      </w:r>
      <w:r w:rsidR="0026546A">
        <w:t xml:space="preserve">  Cal Advocates also cited analysis demonstrating that HUC customers were more likely to be disconnected than non-HUC customers.  Cal Advocates reasoned that the HUC was one of several factors that contributed to disconnections for HUC customers, and </w:t>
      </w:r>
      <w:r w:rsidR="0026546A">
        <w:lastRenderedPageBreak/>
        <w:t>therefore recommended raising the HUC threshold to 600</w:t>
      </w:r>
      <w:r w:rsidR="00F554F6">
        <w:t xml:space="preserve"> </w:t>
      </w:r>
      <w:r w:rsidR="0097776E">
        <w:t>percent</w:t>
      </w:r>
      <w:r w:rsidR="0026546A">
        <w:t xml:space="preserve"> of baseline to reduce the number of customers potentially exposed to the HUC.</w:t>
      </w:r>
      <w:r w:rsidR="0026546A">
        <w:rPr>
          <w:rStyle w:val="FootnoteReference"/>
        </w:rPr>
        <w:footnoteReference w:id="42"/>
      </w:r>
    </w:p>
    <w:p w:rsidR="0055494A" w:rsidP="0055494A" w:rsidRDefault="0077649B" w14:paraId="7122DCD5" w14:textId="77777777">
      <w:pPr>
        <w:pStyle w:val="Standard"/>
      </w:pPr>
      <w:r>
        <w:t>TURN disagreed that the HUC disproportionately affects low-income customers.  TURN provided analysis that the majority of HUC kWh usage and charges are “incurred by customers who are not on low-income programs or otherwise economically vulnerable and as such will be defaulted to TOU rates by the end of 2020” and that HUC charges “are incurred disproportionately in</w:t>
      </w:r>
      <w:r w:rsidR="0055494A">
        <w:t xml:space="preserve"> </w:t>
      </w:r>
      <w:r>
        <w:t>communities where customers typically have a high ability to pay for their electricity usage</w:t>
      </w:r>
      <w:r w:rsidR="0055494A">
        <w:t>.”</w:t>
      </w:r>
      <w:r w:rsidR="0055494A">
        <w:rPr>
          <w:rStyle w:val="FootnoteReference"/>
        </w:rPr>
        <w:footnoteReference w:id="43"/>
      </w:r>
      <w:r w:rsidR="0055494A">
        <w:t xml:space="preserve">  TURN also argued that it was not a given that customers remaining on tiered rates after the transition to default TOU would be disproportionately low-income, stating that customers of any income level could always return to tiered rates if they wished.</w:t>
      </w:r>
      <w:r w:rsidR="0055494A">
        <w:rPr>
          <w:rStyle w:val="FootnoteReference"/>
        </w:rPr>
        <w:footnoteReference w:id="44"/>
      </w:r>
    </w:p>
    <w:p w:rsidR="007723CD" w:rsidP="00F554F6" w:rsidRDefault="007723CD" w14:paraId="617ECE37" w14:textId="77777777">
      <w:pPr>
        <w:pStyle w:val="Heading3"/>
        <w:numPr>
          <w:ilvl w:val="2"/>
          <w:numId w:val="1"/>
        </w:numPr>
        <w:tabs>
          <w:tab w:val="left" w:pos="2340"/>
        </w:tabs>
        <w:ind w:left="2376" w:hanging="936"/>
      </w:pPr>
      <w:bookmarkStart w:name="_Toc65157809" w:id="16"/>
      <w:r>
        <w:t>HUC Effect on Electrification</w:t>
      </w:r>
      <w:bookmarkEnd w:id="16"/>
    </w:p>
    <w:p w:rsidR="007723CD" w:rsidP="007723CD" w:rsidRDefault="007723CD" w14:paraId="58B9FF5A" w14:textId="49B92905">
      <w:pPr>
        <w:pStyle w:val="Standard"/>
      </w:pPr>
      <w:r>
        <w:t>Each of the large electrical corporations argued that elimination of the HUC would promote the state’s policy goal of increased electrification.  PG&amp;E asserted that for those customers that remain on tiered rates in the future, due to either personal preference or difficulty in shifting load, the existence of the HUC would disincentivize electrification.  PG&amp;E reasoned that electrification necessarily increases electricity usage to high levels, leading to the HUC rate becoming the marginal electricity price faced by residential customers considering electrification, which would tend to discourage electrification given its high price compared to Tier 1 and Tier 2 prices.</w:t>
      </w:r>
      <w:r>
        <w:rPr>
          <w:rStyle w:val="FootnoteReference"/>
        </w:rPr>
        <w:footnoteReference w:id="45"/>
      </w:r>
      <w:r>
        <w:t xml:space="preserve">   </w:t>
      </w:r>
    </w:p>
    <w:p w:rsidR="0055494A" w:rsidP="00B45F8B" w:rsidRDefault="0055494A" w14:paraId="728604B2" w14:textId="77777777">
      <w:pPr>
        <w:pStyle w:val="Standard"/>
      </w:pPr>
      <w:r>
        <w:lastRenderedPageBreak/>
        <w:t>TURN argued that the HUC incentivizes installations of solar generation systems,</w:t>
      </w:r>
      <w:r w:rsidR="00B45F8B">
        <w:rPr>
          <w:rStyle w:val="FootnoteReference"/>
        </w:rPr>
        <w:footnoteReference w:id="46"/>
      </w:r>
      <w:r>
        <w:t xml:space="preserve"> and therefore does not create the barrier to electrification posited by the large electrical corporations.  </w:t>
      </w:r>
      <w:r w:rsidR="00B45F8B">
        <w:t>TURN stated that “the goal of electrification is not to increase overall electricity usage for its own sake but rather to continue California’s movement toward sustainable sources of energy.”</w:t>
      </w:r>
      <w:r w:rsidR="00B45F8B">
        <w:rPr>
          <w:rStyle w:val="FootnoteReference"/>
        </w:rPr>
        <w:footnoteReference w:id="47"/>
      </w:r>
      <w:r w:rsidR="00B45F8B">
        <w:t xml:space="preserve">  TURN reasoned that if the HUC is eliminated from a tiered rate it would reduce the marginal cost of electricity for those on a tiered </w:t>
      </w:r>
      <w:proofErr w:type="gramStart"/>
      <w:r w:rsidR="00B45F8B">
        <w:t>rate, but</w:t>
      </w:r>
      <w:proofErr w:type="gramEnd"/>
      <w:r w:rsidR="00B45F8B">
        <w:t xml:space="preserve"> would not incentivize the load shifting or specific technology adoptions necessary to realize beneficial residential electrification.</w:t>
      </w:r>
      <w:r w:rsidR="00B45F8B">
        <w:rPr>
          <w:rStyle w:val="FootnoteReference"/>
        </w:rPr>
        <w:footnoteReference w:id="48"/>
      </w:r>
    </w:p>
    <w:p w:rsidR="00B951E9" w:rsidP="00B45F8B" w:rsidRDefault="00B951E9" w14:paraId="1A6F1B2D" w14:textId="77777777">
      <w:pPr>
        <w:pStyle w:val="Standard"/>
      </w:pPr>
      <w:proofErr w:type="spellStart"/>
      <w:r>
        <w:t>CforAT</w:t>
      </w:r>
      <w:proofErr w:type="spellEnd"/>
      <w:r>
        <w:t xml:space="preserve"> argued that if the question is how to best promote electrification, then the answer is non-tiered TOU rates designed to accommodate beneficial electrification with low off-peak prices.  Elimination of the HUC would, in </w:t>
      </w:r>
      <w:proofErr w:type="spellStart"/>
      <w:r>
        <w:t>CforAT’s</w:t>
      </w:r>
      <w:proofErr w:type="spellEnd"/>
      <w:r>
        <w:t xml:space="preserve"> view, reward very high usage customers regardless of </w:t>
      </w:r>
      <w:proofErr w:type="gramStart"/>
      <w:r>
        <w:t>whether or not</w:t>
      </w:r>
      <w:proofErr w:type="gramEnd"/>
      <w:r>
        <w:t xml:space="preserve"> that usage was beneficial and helped meet state policy goals.  In essence, </w:t>
      </w:r>
      <w:proofErr w:type="spellStart"/>
      <w:r>
        <w:t>CforAT</w:t>
      </w:r>
      <w:proofErr w:type="spellEnd"/>
      <w:r>
        <w:t xml:space="preserve"> contended that the tiered non-TOU rate is not the appropriate rate to rely on to achieve this important state policy goal, regardless of </w:t>
      </w:r>
      <w:proofErr w:type="gramStart"/>
      <w:r>
        <w:t>whether or not</w:t>
      </w:r>
      <w:proofErr w:type="gramEnd"/>
      <w:r>
        <w:t xml:space="preserve"> the HUC is eliminated.</w:t>
      </w:r>
      <w:r>
        <w:rPr>
          <w:rStyle w:val="FootnoteReference"/>
        </w:rPr>
        <w:footnoteReference w:id="49"/>
      </w:r>
    </w:p>
    <w:p w:rsidR="00CC542A" w:rsidP="00F554F6" w:rsidRDefault="00CC542A" w14:paraId="3372403A" w14:textId="77777777">
      <w:pPr>
        <w:pStyle w:val="Heading3"/>
        <w:numPr>
          <w:ilvl w:val="2"/>
          <w:numId w:val="1"/>
        </w:numPr>
        <w:tabs>
          <w:tab w:val="left" w:pos="2340"/>
        </w:tabs>
        <w:ind w:left="2376" w:hanging="936"/>
      </w:pPr>
      <w:bookmarkStart w:name="_Toc65157810" w:id="17"/>
      <w:r>
        <w:t>Rate and Bill Impacts of HUC Elimination</w:t>
      </w:r>
      <w:bookmarkEnd w:id="17"/>
    </w:p>
    <w:p w:rsidR="00CC542A" w:rsidP="00CC542A" w:rsidRDefault="00CC542A" w14:paraId="4116B15C" w14:textId="2DA7CC02">
      <w:pPr>
        <w:pStyle w:val="Standard"/>
      </w:pPr>
      <w:r>
        <w:t xml:space="preserve">Those parties that argued for the elimination of the HUC asserted that the rate and bill </w:t>
      </w:r>
      <w:proofErr w:type="gramStart"/>
      <w:r>
        <w:t>impacts</w:t>
      </w:r>
      <w:proofErr w:type="gramEnd"/>
      <w:r>
        <w:t xml:space="preserve"> of such an elimination would be reasonable.  SCE claimed </w:t>
      </w:r>
      <w:r>
        <w:lastRenderedPageBreak/>
        <w:t>that if the HUC were eliminated immediately, the result would be monthly bill increases of between $0 and $4 per month for lower and moderate usage non</w:t>
      </w:r>
      <w:r w:rsidR="00F554F6">
        <w:noBreakHyphen/>
      </w:r>
      <w:r>
        <w:t>CARE and CARE customers.  For higher users, there would be anticipated bill reductions.  For example, SCE estimated that if the HUC were eliminated, CARE customers in hot climate zones with monthly usage above 2,000 kWh could save $39 or more on their monthly bills.  Overall, SCE proposed that these were reasonable rate and bill impacts to result from HUC elimination.</w:t>
      </w:r>
      <w:r>
        <w:rPr>
          <w:rStyle w:val="FootnoteReference"/>
        </w:rPr>
        <w:footnoteReference w:id="50"/>
      </w:r>
    </w:p>
    <w:p w:rsidR="008731E6" w:rsidP="00371E21" w:rsidRDefault="008731E6" w14:paraId="1E9EEA6B" w14:textId="7FD5E186">
      <w:pPr>
        <w:pStyle w:val="Standard"/>
      </w:pPr>
      <w:r>
        <w:t>PG&amp;E reported that HUC elimination would lead to 94.4</w:t>
      </w:r>
      <w:r w:rsidR="00F554F6">
        <w:t xml:space="preserve"> </w:t>
      </w:r>
      <w:r w:rsidR="0097776E">
        <w:t>percent</w:t>
      </w:r>
      <w:r>
        <w:t xml:space="preserve"> of non</w:t>
      </w:r>
      <w:r w:rsidR="00F554F6">
        <w:noBreakHyphen/>
      </w:r>
      <w:r>
        <w:t>CARE customers on tiered rates experiencing higher bills, with 62.5</w:t>
      </w:r>
      <w:r w:rsidR="00F554F6">
        <w:t xml:space="preserve"> </w:t>
      </w:r>
      <w:r w:rsidR="0097776E">
        <w:t>percent</w:t>
      </w:r>
      <w:r>
        <w:t xml:space="preserve"> experiencing bill increases of less than $5 per month.</w:t>
      </w:r>
      <w:r>
        <w:rPr>
          <w:rStyle w:val="FootnoteReference"/>
        </w:rPr>
        <w:footnoteReference w:id="51"/>
      </w:r>
      <w:r w:rsidR="003019EA">
        <w:t xml:space="preserve">  They also reported that </w:t>
      </w:r>
      <w:r w:rsidR="00371E21">
        <w:t>HUC elimination would lead to 97.8</w:t>
      </w:r>
      <w:r w:rsidR="00F554F6">
        <w:t xml:space="preserve"> </w:t>
      </w:r>
      <w:r w:rsidR="0097776E">
        <w:t>percent</w:t>
      </w:r>
      <w:r w:rsidR="00371E21">
        <w:t xml:space="preserve"> of CARE customers on tiered rates experiencing higher bills, with 82.4</w:t>
      </w:r>
      <w:r w:rsidR="00F554F6">
        <w:t xml:space="preserve"> </w:t>
      </w:r>
      <w:r w:rsidR="0097776E">
        <w:t>percent</w:t>
      </w:r>
      <w:r w:rsidR="00371E21">
        <w:t xml:space="preserve"> experiencing bill increases of less than $5 per month.</w:t>
      </w:r>
      <w:r w:rsidR="00371E21">
        <w:rPr>
          <w:rStyle w:val="FootnoteReference"/>
        </w:rPr>
        <w:footnoteReference w:id="52"/>
      </w:r>
    </w:p>
    <w:p w:rsidR="00672025" w:rsidP="00A174A3" w:rsidRDefault="00A174A3" w14:paraId="5193D619" w14:textId="51CF9D0A">
      <w:pPr>
        <w:pStyle w:val="Standard"/>
      </w:pPr>
      <w:r>
        <w:t xml:space="preserve">As noted by SCE, eliminating the HUC also creates bill impacts for residential customers on TOU rates with a baseline credit, which includes the default residential TOU rate for each of the large electrical corporations.  In SCE’s case, </w:t>
      </w:r>
      <w:r w:rsidR="00701C43">
        <w:t xml:space="preserve">for example, </w:t>
      </w:r>
      <w:r>
        <w:t>it argued that nearly 33</w:t>
      </w:r>
      <w:r w:rsidR="00F03D0C">
        <w:t xml:space="preserve"> </w:t>
      </w:r>
      <w:r w:rsidR="0097776E">
        <w:t>percent</w:t>
      </w:r>
      <w:r>
        <w:t xml:space="preserve"> of its non-CARE customers would see bill savings on a TOU rate if the HUC were eliminated, while those customers who would see a bill increase would only see a monthly increase of between $1 and $2.  SCE considered these TOU bill impacts reasonable.</w:t>
      </w:r>
      <w:r>
        <w:rPr>
          <w:rStyle w:val="FootnoteReference"/>
        </w:rPr>
        <w:footnoteReference w:id="53"/>
      </w:r>
    </w:p>
    <w:p w:rsidR="00DF5E9F" w:rsidP="00A174A3" w:rsidRDefault="00DF5E9F" w14:paraId="2F896502" w14:textId="77777777">
      <w:pPr>
        <w:pStyle w:val="Standard"/>
      </w:pPr>
      <w:r>
        <w:lastRenderedPageBreak/>
        <w:t xml:space="preserve">UCAN considered the bill impacts calculated by SDG&amp;E to be justifiable </w:t>
      </w:r>
      <w:proofErr w:type="gramStart"/>
      <w:r>
        <w:t>in light of</w:t>
      </w:r>
      <w:proofErr w:type="gramEnd"/>
      <w:r>
        <w:t xml:space="preserve"> the advantages in eliminating the HUC.</w:t>
      </w:r>
      <w:r>
        <w:rPr>
          <w:rStyle w:val="FootnoteReference"/>
        </w:rPr>
        <w:footnoteReference w:id="54"/>
      </w:r>
      <w:r>
        <w:t xml:space="preserve">  </w:t>
      </w:r>
    </w:p>
    <w:p w:rsidR="00672025" w:rsidP="00CC542A" w:rsidRDefault="0026546A" w14:paraId="44F4D518" w14:textId="73050B3F">
      <w:pPr>
        <w:pStyle w:val="Standard"/>
      </w:pPr>
      <w:r>
        <w:t xml:space="preserve">Cal Advocates noted that the bill impacts </w:t>
      </w:r>
      <w:r w:rsidR="008879B8">
        <w:t>associated with the adjustment of the HUC threshold to 600</w:t>
      </w:r>
      <w:r w:rsidR="00F554F6">
        <w:t xml:space="preserve"> </w:t>
      </w:r>
      <w:r w:rsidR="0097776E">
        <w:t>percent</w:t>
      </w:r>
      <w:r w:rsidR="008879B8">
        <w:t xml:space="preserve"> of baseline would be significantly less than the bill impacts associated with the elimination of the HUC (where the HUC price is 75</w:t>
      </w:r>
      <w:r w:rsidR="00F554F6">
        <w:t xml:space="preserve"> </w:t>
      </w:r>
      <w:r w:rsidR="0097776E">
        <w:t>percent</w:t>
      </w:r>
      <w:r w:rsidR="008879B8">
        <w:t xml:space="preserve"> higher than the Tier 2 price).</w:t>
      </w:r>
      <w:r w:rsidR="008879B8">
        <w:rPr>
          <w:rStyle w:val="FootnoteReference"/>
        </w:rPr>
        <w:footnoteReference w:id="55"/>
      </w:r>
      <w:r w:rsidR="008879B8">
        <w:t xml:space="preserve">   </w:t>
      </w:r>
    </w:p>
    <w:p w:rsidR="0055494A" w:rsidP="00B45F8B" w:rsidRDefault="0055494A" w14:paraId="7F9FCB9D" w14:textId="77777777">
      <w:pPr>
        <w:pStyle w:val="Standard"/>
      </w:pPr>
      <w:r>
        <w:t xml:space="preserve">TURN cited the bill impacts calculated by the large electrical corporations as evidence that the elimination of the HUC would </w:t>
      </w:r>
      <w:proofErr w:type="gramStart"/>
      <w:r>
        <w:t>actually harm</w:t>
      </w:r>
      <w:proofErr w:type="gramEnd"/>
      <w:r>
        <w:t>, rather than benefit, low-income customers remaining on a tiered rate.  They reasoned that if the over $400 million in annual revenue currently collected through the HUC were to be redistributed to other customers, there would be an overall negative bill impact on non-HUC customers as a result of HUC elimination.</w:t>
      </w:r>
      <w:r>
        <w:rPr>
          <w:rStyle w:val="FootnoteReference"/>
        </w:rPr>
        <w:footnoteReference w:id="56"/>
      </w:r>
      <w:r w:rsidR="00B45F8B">
        <w:t xml:space="preserve">  To the extent certain customers would experience very high bills if the HUC were retained, TURN recommended “identifying and targeting the individual customers that are expected to experience extreme HUC impacts to encourage them to opt-in to TOU rates” and if the customers will not switch to TOU, then</w:t>
      </w:r>
      <w:r w:rsidR="006C123E">
        <w:t xml:space="preserve"> </w:t>
      </w:r>
      <w:r w:rsidR="00B45F8B">
        <w:t xml:space="preserve">extend </w:t>
      </w:r>
      <w:r w:rsidR="006C123E">
        <w:t>a</w:t>
      </w:r>
      <w:r w:rsidR="00B45F8B">
        <w:t xml:space="preserve"> </w:t>
      </w:r>
      <w:r w:rsidR="006C123E">
        <w:t>year of bill protection to further entice them to switch to a TOU rate.</w:t>
      </w:r>
      <w:r w:rsidR="006C123E">
        <w:rPr>
          <w:rStyle w:val="FootnoteReference"/>
        </w:rPr>
        <w:footnoteReference w:id="57"/>
      </w:r>
    </w:p>
    <w:p w:rsidR="00B00D91" w:rsidP="00B00D91" w:rsidRDefault="00B00D91" w14:paraId="30533455" w14:textId="77777777">
      <w:pPr>
        <w:pStyle w:val="Standard"/>
      </w:pPr>
      <w:proofErr w:type="spellStart"/>
      <w:r>
        <w:t>CforAT</w:t>
      </w:r>
      <w:proofErr w:type="spellEnd"/>
      <w:r>
        <w:t xml:space="preserve"> noted that the bill impacts of HUC elimination were </w:t>
      </w:r>
      <w:proofErr w:type="gramStart"/>
      <w:r>
        <w:t>similar to</w:t>
      </w:r>
      <w:proofErr w:type="gramEnd"/>
      <w:r>
        <w:t xml:space="preserve"> those considered and cited by the Commission in rejecting SDG&amp;E’s proposal to eliminate the HUC in D.19-04-18.  </w:t>
      </w:r>
      <w:proofErr w:type="spellStart"/>
      <w:r>
        <w:t>CforAT</w:t>
      </w:r>
      <w:proofErr w:type="spellEnd"/>
      <w:r>
        <w:t xml:space="preserve"> argued that the bill impacts on the majority of non-TOU, tiered rate customers militate against HUC elimination.  </w:t>
      </w:r>
      <w:proofErr w:type="spellStart"/>
      <w:r>
        <w:t>CforAT</w:t>
      </w:r>
      <w:proofErr w:type="spellEnd"/>
      <w:r>
        <w:t xml:space="preserve"> contended that arguments for HUC elimination “fail to provide </w:t>
      </w:r>
      <w:r>
        <w:lastRenderedPageBreak/>
        <w:t>adequate support for a change in rate design which would benefit a small group of customers who use very high levels of electricity at the expense of virtually everyone else.”</w:t>
      </w:r>
      <w:r>
        <w:rPr>
          <w:rStyle w:val="FootnoteReference"/>
        </w:rPr>
        <w:footnoteReference w:id="58"/>
      </w:r>
      <w:r w:rsidR="00411DA5">
        <w:t xml:space="preserve">  PG&amp;E responded to </w:t>
      </w:r>
      <w:proofErr w:type="spellStart"/>
      <w:r w:rsidR="00411DA5">
        <w:t>CforAT’s</w:t>
      </w:r>
      <w:proofErr w:type="spellEnd"/>
      <w:r w:rsidR="00411DA5">
        <w:t xml:space="preserve"> arguments by asserting that the HUC was a subsidy that deserved to be eliminated, and that therefore the bill impacts of HUC elimination on non-HUC customers were justified.</w:t>
      </w:r>
      <w:r w:rsidR="00411DA5">
        <w:rPr>
          <w:rStyle w:val="FootnoteReference"/>
        </w:rPr>
        <w:footnoteReference w:id="59"/>
      </w:r>
    </w:p>
    <w:p w:rsidR="0001106C" w:rsidP="00F554F6" w:rsidRDefault="0001106C" w14:paraId="030B62BF" w14:textId="77777777">
      <w:pPr>
        <w:pStyle w:val="Heading2"/>
        <w:numPr>
          <w:ilvl w:val="1"/>
          <w:numId w:val="1"/>
        </w:numPr>
      </w:pPr>
      <w:bookmarkStart w:name="_Toc65157811" w:id="18"/>
      <w:r w:rsidRPr="00F554F6">
        <w:t>Contested</w:t>
      </w:r>
      <w:r>
        <w:t xml:space="preserve"> Settlement on HUC Issues</w:t>
      </w:r>
      <w:bookmarkEnd w:id="18"/>
    </w:p>
    <w:p w:rsidR="0001106C" w:rsidP="00C87524" w:rsidRDefault="00C87524" w14:paraId="66D7DFE6" w14:textId="77777777">
      <w:pPr>
        <w:pStyle w:val="Standard"/>
      </w:pPr>
      <w:r>
        <w:t xml:space="preserve">On October 23, 2020, Cal Advocates, TURN, UCAN, PG&amp;E, SDG&amp;E, and SCE (the Settling Parties) jointly filed a motion to adopt a settlement agreement resolving the HUC issues within the scope of this proceeding (HUC settlement).  </w:t>
      </w:r>
      <w:proofErr w:type="spellStart"/>
      <w:r>
        <w:t>CforAT</w:t>
      </w:r>
      <w:proofErr w:type="spellEnd"/>
      <w:r>
        <w:t xml:space="preserve"> did not join the settlement and therefore the HUC settlement is regarded as a contested settlement under Article 12 of the Commission’s Rules of Practice and Procedure (Rules).  </w:t>
      </w:r>
    </w:p>
    <w:p w:rsidR="000A3D63" w:rsidP="00C87524" w:rsidRDefault="00484564" w14:paraId="02B56256" w14:textId="77777777">
      <w:pPr>
        <w:pStyle w:val="Standard"/>
      </w:pPr>
      <w:r>
        <w:t xml:space="preserve">The HUC settlement contains a roadmap for altering the HUC, and perhaps eliminating the HUC if certain criteria are met.  The HUC settlement proposes the following </w:t>
      </w:r>
      <w:r w:rsidR="00937003">
        <w:t xml:space="preserve">significant </w:t>
      </w:r>
      <w:r>
        <w:t>elements</w:t>
      </w:r>
      <w:r w:rsidR="00937003">
        <w:t xml:space="preserve"> related to HUC modification and elimination</w:t>
      </w:r>
      <w:r>
        <w:t>:</w:t>
      </w:r>
    </w:p>
    <w:p w:rsidR="00484564" w:rsidP="00F554F6" w:rsidRDefault="00484564" w14:paraId="038A3751" w14:textId="24C87116">
      <w:pPr>
        <w:pStyle w:val="ListBullet"/>
      </w:pPr>
      <w:r>
        <w:t>Each large electrical corporation shall maintain a HUC price ratio at the level established by D.20-05-013 (</w:t>
      </w:r>
      <w:r w:rsidRPr="00F554F6">
        <w:rPr>
          <w:i/>
          <w:iCs/>
        </w:rPr>
        <w:t>i.e.,</w:t>
      </w:r>
      <w:r>
        <w:t xml:space="preserve"> 25</w:t>
      </w:r>
      <w:r w:rsidR="00F03D0C">
        <w:t xml:space="preserve"> </w:t>
      </w:r>
      <w:r w:rsidR="0097776E">
        <w:t>percent</w:t>
      </w:r>
      <w:r>
        <w:t xml:space="preserve"> more expensive than Tier 2).</w:t>
      </w:r>
    </w:p>
    <w:p w:rsidR="00484564" w:rsidP="00F554F6" w:rsidRDefault="00484564" w14:paraId="6878C923" w14:textId="77777777">
      <w:pPr>
        <w:pStyle w:val="ListBullet"/>
      </w:pPr>
      <w:proofErr w:type="gramStart"/>
      <w:r>
        <w:t>In order to</w:t>
      </w:r>
      <w:proofErr w:type="gramEnd"/>
      <w:r>
        <w:t xml:space="preserve"> ensure revenue neutrality given the maintenance of the price ratio established by D.20-05-013, each large electrical corporation shall rebalance their tiered non-TOU residential rates as soon as is practicable, so that the rates collect the authorized revenue requirement.</w:t>
      </w:r>
    </w:p>
    <w:p w:rsidR="00484564" w:rsidP="00F554F6" w:rsidRDefault="00484564" w14:paraId="7CC922B6" w14:textId="77777777">
      <w:pPr>
        <w:pStyle w:val="ListBullet"/>
      </w:pPr>
      <w:r>
        <w:t>Each large electrical corporation may file a Tier 1 advice letter in the future that eliminates the HUC if the following criteria are met:</w:t>
      </w:r>
    </w:p>
    <w:p w:rsidR="00484564" w:rsidP="00F554F6" w:rsidRDefault="00484564" w14:paraId="4B459D52" w14:textId="77777777">
      <w:pPr>
        <w:pStyle w:val="Standard"/>
        <w:numPr>
          <w:ilvl w:val="1"/>
          <w:numId w:val="13"/>
        </w:numPr>
        <w:spacing w:after="120" w:line="240" w:lineRule="auto"/>
        <w:ind w:left="1440" w:right="1440"/>
      </w:pPr>
      <w:r>
        <w:lastRenderedPageBreak/>
        <w:t>The large electrical corporation has completed a mass default of its residential customers to TOU rates,</w:t>
      </w:r>
      <w:r>
        <w:rPr>
          <w:rStyle w:val="FootnoteReference"/>
        </w:rPr>
        <w:footnoteReference w:id="60"/>
      </w:r>
      <w:r>
        <w:t xml:space="preserve"> and </w:t>
      </w:r>
    </w:p>
    <w:p w:rsidR="00937003" w:rsidP="00F554F6" w:rsidRDefault="00531648" w14:paraId="48B140B5" w14:textId="6B825DFE">
      <w:pPr>
        <w:pStyle w:val="Standard"/>
        <w:numPr>
          <w:ilvl w:val="1"/>
          <w:numId w:val="13"/>
        </w:numPr>
        <w:spacing w:after="120" w:line="240" w:lineRule="auto"/>
        <w:ind w:left="1440" w:right="1440"/>
      </w:pPr>
      <w:r>
        <w:t xml:space="preserve">For a period of three consecutive months, HUC usage in a month is less than or equal to the difference between a) </w:t>
      </w:r>
      <w:r w:rsidRPr="00531648">
        <w:t>the tota</w:t>
      </w:r>
      <w:r>
        <w:t xml:space="preserve">l HUC usage </w:t>
      </w:r>
      <w:r w:rsidR="00217F59">
        <w:t xml:space="preserve">measured </w:t>
      </w:r>
      <w:r>
        <w:t xml:space="preserve">at </w:t>
      </w:r>
      <w:r w:rsidR="00217F59">
        <w:t xml:space="preserve">a threshold of </w:t>
      </w:r>
      <w:r>
        <w:t>400</w:t>
      </w:r>
      <w:r w:rsidR="00F554F6">
        <w:t> </w:t>
      </w:r>
      <w:r w:rsidR="0097776E">
        <w:t>percent</w:t>
      </w:r>
      <w:r>
        <w:t xml:space="preserve"> of baseline for that same month in </w:t>
      </w:r>
      <w:r w:rsidR="00217F59">
        <w:t>2018 (for SDG&amp;E) or 2019 (for SCE and PG&amp;E)</w:t>
      </w:r>
      <w:r>
        <w:t xml:space="preserve"> and </w:t>
      </w:r>
      <w:r w:rsidR="00217F59">
        <w:t>b</w:t>
      </w:r>
      <w:r>
        <w:t>)</w:t>
      </w:r>
      <w:r w:rsidR="00217F59">
        <w:t xml:space="preserve"> </w:t>
      </w:r>
      <w:r w:rsidRPr="00531648" w:rsidR="00217F59">
        <w:t>the tota</w:t>
      </w:r>
      <w:r w:rsidR="00217F59">
        <w:t>l HUC usage measured at a threshold of 600</w:t>
      </w:r>
      <w:r w:rsidR="00F554F6">
        <w:t xml:space="preserve"> </w:t>
      </w:r>
      <w:r w:rsidR="0097776E">
        <w:t>percent</w:t>
      </w:r>
      <w:r w:rsidR="00217F59">
        <w:t xml:space="preserve"> of baseline for that same month in 2018 (for SDG&amp;E) or 2019 (for SCE and PG&amp;E).</w:t>
      </w:r>
    </w:p>
    <w:p w:rsidR="00FD0A79" w:rsidP="00FD0A79" w:rsidRDefault="00FD0A79" w14:paraId="530C4B80" w14:textId="77777777">
      <w:pPr>
        <w:pStyle w:val="Standard"/>
      </w:pPr>
      <w:r>
        <w:t>The HUC settlement also required the large electrical corporations to comply with certain reporting requirements if the HUC is eliminated.</w:t>
      </w:r>
    </w:p>
    <w:p w:rsidR="00937003" w:rsidP="00F554F6" w:rsidRDefault="00937003" w14:paraId="19B94EFC" w14:textId="77777777">
      <w:pPr>
        <w:pStyle w:val="Heading3"/>
        <w:numPr>
          <w:ilvl w:val="2"/>
          <w:numId w:val="1"/>
        </w:numPr>
        <w:tabs>
          <w:tab w:val="left" w:pos="2340"/>
        </w:tabs>
        <w:ind w:left="2430" w:hanging="990"/>
      </w:pPr>
      <w:bookmarkStart w:name="_Toc65157812" w:id="19"/>
      <w:r>
        <w:t>Commission Review of Settlements</w:t>
      </w:r>
      <w:bookmarkEnd w:id="19"/>
    </w:p>
    <w:p w:rsidR="00937003" w:rsidP="00937003" w:rsidRDefault="00937003" w14:paraId="7517D915" w14:textId="77777777">
      <w:pPr>
        <w:pStyle w:val="Standard"/>
      </w:pPr>
      <w:r w:rsidRPr="00937003">
        <w:t xml:space="preserve">The Commission has long favored the settlement of disputes. </w:t>
      </w:r>
      <w:r>
        <w:t xml:space="preserve"> </w:t>
      </w:r>
      <w:r w:rsidRPr="00937003">
        <w:t xml:space="preserve">Article 12 of the Rules generally concerns settlements. </w:t>
      </w:r>
      <w:r>
        <w:t xml:space="preserve"> </w:t>
      </w:r>
      <w:r w:rsidRPr="00937003">
        <w:t xml:space="preserve">Pursuant to Rule 12.1(d), the Commission will not approve a settlement unless it is found to be reasonable </w:t>
      </w:r>
      <w:proofErr w:type="gramStart"/>
      <w:r w:rsidRPr="00937003">
        <w:t>in light of</w:t>
      </w:r>
      <w:proofErr w:type="gramEnd"/>
      <w:r w:rsidRPr="00937003">
        <w:t xml:space="preserve"> the whole record, consistent with law, and in the public interest. </w:t>
      </w:r>
      <w:r w:rsidR="00FD0A79">
        <w:t xml:space="preserve"> </w:t>
      </w:r>
      <w:r w:rsidRPr="00937003">
        <w:t xml:space="preserve">This standard applies to settlements that are contested as well as uncontested. </w:t>
      </w:r>
      <w:r w:rsidR="00FD0A79">
        <w:t xml:space="preserve"> </w:t>
      </w:r>
      <w:r w:rsidRPr="00937003">
        <w:t xml:space="preserve">Where a settlement is contested, </w:t>
      </w:r>
      <w:r w:rsidR="00FD0A79">
        <w:t xml:space="preserve">such as the HUC settlement, </w:t>
      </w:r>
      <w:r w:rsidRPr="00937003">
        <w:t>it will be subject to more scrutiny than an uncontested settlement.</w:t>
      </w:r>
      <w:r>
        <w:rPr>
          <w:rStyle w:val="FootnoteReference"/>
        </w:rPr>
        <w:footnoteReference w:id="61"/>
      </w:r>
    </w:p>
    <w:p w:rsidRPr="00937003" w:rsidR="00A0531E" w:rsidP="00F554F6" w:rsidRDefault="00A0531E" w14:paraId="2EEFFC08" w14:textId="77777777">
      <w:pPr>
        <w:pStyle w:val="Heading3"/>
        <w:numPr>
          <w:ilvl w:val="2"/>
          <w:numId w:val="1"/>
        </w:numPr>
        <w:tabs>
          <w:tab w:val="left" w:pos="2340"/>
        </w:tabs>
        <w:ind w:left="2376" w:hanging="936"/>
      </w:pPr>
      <w:bookmarkStart w:name="_Toc65157813" w:id="20"/>
      <w:r>
        <w:t xml:space="preserve">Reasonableness </w:t>
      </w:r>
      <w:proofErr w:type="gramStart"/>
      <w:r>
        <w:t>in Light of</w:t>
      </w:r>
      <w:proofErr w:type="gramEnd"/>
      <w:r>
        <w:t xml:space="preserve"> the Whole Record</w:t>
      </w:r>
      <w:bookmarkEnd w:id="20"/>
    </w:p>
    <w:p w:rsidR="00484564" w:rsidP="00A0531E" w:rsidRDefault="00FD0A79" w14:paraId="47A48D0E" w14:textId="77777777">
      <w:pPr>
        <w:pStyle w:val="Standard"/>
      </w:pPr>
      <w:r>
        <w:t xml:space="preserve">The first question considered is whether the HUC settlement is reasonable </w:t>
      </w:r>
      <w:proofErr w:type="gramStart"/>
      <w:r>
        <w:t>in light of</w:t>
      </w:r>
      <w:proofErr w:type="gramEnd"/>
      <w:r>
        <w:t xml:space="preserve"> the whole record.  The </w:t>
      </w:r>
      <w:r w:rsidR="00A0531E">
        <w:t xml:space="preserve">motion filed by the Settling Parties asserted that the HUC settlement is reasonable in light of the whole record as it is the product of settlement negotiations that led to outcomes that “are within the range of </w:t>
      </w:r>
      <w:r w:rsidR="00A0531E">
        <w:lastRenderedPageBreak/>
        <w:t>positions and outcomes presented by the parties in the instant proceeding.”</w:t>
      </w:r>
      <w:r w:rsidR="00A0531E">
        <w:rPr>
          <w:rStyle w:val="FootnoteReference"/>
        </w:rPr>
        <w:footnoteReference w:id="62"/>
      </w:r>
      <w:r w:rsidR="00A0531E">
        <w:t xml:space="preserve">  The motion recalled that the range of HUC proposals in this proceeding included elimination of the HUC at one end of the spectrum, and retention of the HUC without modification at the other, “with various proposals in between aimed at refining the HUC to mitigate its impact on customers.”</w:t>
      </w:r>
      <w:r w:rsidR="00A0531E">
        <w:rPr>
          <w:rStyle w:val="FootnoteReference"/>
        </w:rPr>
        <w:footnoteReference w:id="63"/>
      </w:r>
      <w:r w:rsidR="00BD091B">
        <w:t xml:space="preserve">  </w:t>
      </w:r>
      <w:proofErr w:type="spellStart"/>
      <w:r w:rsidR="00BD091B">
        <w:t>CforAT</w:t>
      </w:r>
      <w:proofErr w:type="spellEnd"/>
      <w:r w:rsidR="00BD091B">
        <w:t xml:space="preserve"> disagreed that the outcome of the HUC settlement should be accepted simply because it was within the range of possible outcomes posed by parties in their testimony, and instead sought broader Commission review of the HUC settlement outcomes.</w:t>
      </w:r>
      <w:r w:rsidR="00BD091B">
        <w:rPr>
          <w:rStyle w:val="FootnoteReference"/>
        </w:rPr>
        <w:footnoteReference w:id="64"/>
      </w:r>
    </w:p>
    <w:p w:rsidR="007E683C" w:rsidP="00A0531E" w:rsidRDefault="007E683C" w14:paraId="0EC43D3D" w14:textId="77777777">
      <w:pPr>
        <w:pStyle w:val="Standard"/>
      </w:pPr>
      <w:r>
        <w:t xml:space="preserve">Because the HUC settlement adopts a position that is within the range of positions and outcomes proffered by the parties in their testimony, this decision finds that the HUC settlement is reasonable </w:t>
      </w:r>
      <w:proofErr w:type="gramStart"/>
      <w:r>
        <w:t>in light of</w:t>
      </w:r>
      <w:proofErr w:type="gramEnd"/>
      <w:r>
        <w:t xml:space="preserve"> the whole record.</w:t>
      </w:r>
      <w:r w:rsidR="00BD091B">
        <w:t xml:space="preserve">  Nevertheless, the substantive policy arguments posed by </w:t>
      </w:r>
      <w:proofErr w:type="spellStart"/>
      <w:r w:rsidR="00BD091B">
        <w:t>CforAT</w:t>
      </w:r>
      <w:proofErr w:type="spellEnd"/>
      <w:r w:rsidR="00BD091B">
        <w:t xml:space="preserve"> in opposition to the HUC settlement are considered when evaluating whether the HUC settlement is in the public interest.</w:t>
      </w:r>
    </w:p>
    <w:p w:rsidR="00A0531E" w:rsidP="00F554F6" w:rsidRDefault="00A0531E" w14:paraId="196DF6E6" w14:textId="77777777">
      <w:pPr>
        <w:pStyle w:val="Heading3"/>
        <w:numPr>
          <w:ilvl w:val="2"/>
          <w:numId w:val="1"/>
        </w:numPr>
        <w:tabs>
          <w:tab w:val="left" w:pos="2340"/>
        </w:tabs>
        <w:ind w:left="2376" w:hanging="936"/>
      </w:pPr>
      <w:bookmarkStart w:name="_Toc65157814" w:id="21"/>
      <w:r>
        <w:t>Consistency with the Law</w:t>
      </w:r>
      <w:bookmarkEnd w:id="21"/>
    </w:p>
    <w:p w:rsidRPr="006E78E4" w:rsidR="006E78E4" w:rsidP="006E78E4" w:rsidRDefault="006E78E4" w14:paraId="2AA58FB3" w14:textId="77777777">
      <w:pPr>
        <w:pStyle w:val="Standard"/>
      </w:pPr>
      <w:r>
        <w:t>The motion to adopt the HUC settlement argued that the settlement is fully consistent with relevant statutes and Commission decisions.</w:t>
      </w:r>
      <w:r>
        <w:rPr>
          <w:rStyle w:val="FootnoteReference"/>
        </w:rPr>
        <w:footnoteReference w:id="65"/>
      </w:r>
      <w:r>
        <w:t xml:space="preserve">  No party disputed that the HUC settlement is consistent with the law, and this decision finds that there is no inconsistency.  Therefore, </w:t>
      </w:r>
      <w:r w:rsidR="0019725D">
        <w:t xml:space="preserve">this decision finds that </w:t>
      </w:r>
      <w:r>
        <w:t>the HUC settlement is consistent with the law.</w:t>
      </w:r>
    </w:p>
    <w:p w:rsidR="00A0531E" w:rsidP="00F554F6" w:rsidRDefault="00A0531E" w14:paraId="2C869E12" w14:textId="77777777">
      <w:pPr>
        <w:pStyle w:val="Heading3"/>
        <w:numPr>
          <w:ilvl w:val="2"/>
          <w:numId w:val="1"/>
        </w:numPr>
        <w:tabs>
          <w:tab w:val="left" w:pos="2340"/>
        </w:tabs>
        <w:ind w:left="2376" w:hanging="936"/>
      </w:pPr>
      <w:bookmarkStart w:name="_Toc65157815" w:id="22"/>
      <w:r>
        <w:lastRenderedPageBreak/>
        <w:t>Is the HUC Settlement in the Public Interest?</w:t>
      </w:r>
      <w:bookmarkEnd w:id="22"/>
    </w:p>
    <w:p w:rsidR="00A0531E" w:rsidP="006E78E4" w:rsidRDefault="00A0531E" w14:paraId="436ADC6D" w14:textId="77777777">
      <w:pPr>
        <w:pStyle w:val="Standard"/>
      </w:pPr>
      <w:r>
        <w:t xml:space="preserve">The motion to adopt the HUC settlement </w:t>
      </w:r>
      <w:r w:rsidR="008C36A0">
        <w:t>argued</w:t>
      </w:r>
      <w:r>
        <w:t xml:space="preserve"> that eliminating the HUC using the proposed criteria “will reduce the impact of the HUC on CARE customers and will reduce the bill impacts to all other customers when compared to the immediate and full elimination of the HUC”</w:t>
      </w:r>
      <w:r w:rsidR="008C36A0">
        <w:t xml:space="preserve"> and “provides a process to</w:t>
      </w:r>
      <w:r w:rsidR="006E78E4">
        <w:t xml:space="preserve"> </w:t>
      </w:r>
      <w:r w:rsidR="008C36A0">
        <w:t>eliminate the HUC in a manner that produces mild bill impact</w:t>
      </w:r>
      <w:r w:rsidR="006E78E4">
        <w:t>s.”</w:t>
      </w:r>
      <w:r>
        <w:rPr>
          <w:rStyle w:val="FootnoteReference"/>
        </w:rPr>
        <w:footnoteReference w:id="66"/>
      </w:r>
      <w:r>
        <w:t xml:space="preserve">  This is because the HUC settlement requires the amount of HUC revenue to fall to </w:t>
      </w:r>
      <w:r w:rsidR="00C65859">
        <w:t xml:space="preserve">a </w:t>
      </w:r>
      <w:r>
        <w:t xml:space="preserve">relatively low amount compared with today’s HUC revenue, </w:t>
      </w:r>
      <w:r w:rsidR="008C36A0">
        <w:t xml:space="preserve">which in turn should reduce the amount of HUC revenue that must be collected through Tier 1 and Tier 2 rates </w:t>
      </w:r>
      <w:r w:rsidR="00C65859">
        <w:t xml:space="preserve">on a per customer basis </w:t>
      </w:r>
      <w:r w:rsidR="008C36A0">
        <w:t>if the HUC is eliminated.</w:t>
      </w:r>
      <w:r w:rsidR="008C36A0">
        <w:rPr>
          <w:rStyle w:val="FootnoteReference"/>
        </w:rPr>
        <w:footnoteReference w:id="67"/>
      </w:r>
    </w:p>
    <w:p w:rsidR="006E78E4" w:rsidP="00E013C0" w:rsidRDefault="006E78E4" w14:paraId="75970ACD" w14:textId="77777777">
      <w:pPr>
        <w:pStyle w:val="Standard"/>
      </w:pPr>
      <w:r>
        <w:t xml:space="preserve">The </w:t>
      </w:r>
      <w:r w:rsidR="00E013C0">
        <w:t xml:space="preserve">motion to adopt the </w:t>
      </w:r>
      <w:r>
        <w:t>HUC settlement also argued that by maintaining the HUC price at the level established by D.20-05-013, the settlement terms allow for the moderation of HUC impacts on HUC customers as originally sought by some parties.</w:t>
      </w:r>
      <w:r>
        <w:rPr>
          <w:rStyle w:val="FootnoteReference"/>
        </w:rPr>
        <w:footnoteReference w:id="68"/>
      </w:r>
      <w:r>
        <w:t xml:space="preserve">  </w:t>
      </w:r>
      <w:r w:rsidR="00E013C0">
        <w:t>Finally, the motion asserted that the HUC settlement “provides more certainty to residential customers regarding their present and future costs, which is in the public interest.”</w:t>
      </w:r>
      <w:r w:rsidR="00E013C0">
        <w:rPr>
          <w:rStyle w:val="FootnoteReference"/>
        </w:rPr>
        <w:footnoteReference w:id="69"/>
      </w:r>
    </w:p>
    <w:p w:rsidR="00C65859" w:rsidP="00C65859" w:rsidRDefault="00C65859" w14:paraId="3E864612" w14:textId="77777777">
      <w:pPr>
        <w:pStyle w:val="Standard"/>
      </w:pPr>
      <w:r>
        <w:t>SCE also argued that the HUC settlement was in the public interest because it is supported by parties that fairly represent the affected interests at stake in this proceeding (namely, residential customers of the large electric utilities).</w:t>
      </w:r>
      <w:r>
        <w:rPr>
          <w:rStyle w:val="FootnoteReference"/>
        </w:rPr>
        <w:footnoteReference w:id="70"/>
      </w:r>
    </w:p>
    <w:p w:rsidR="006E78E4" w:rsidP="006E78E4" w:rsidRDefault="006728CF" w14:paraId="403AF416" w14:textId="5F67943C">
      <w:pPr>
        <w:pStyle w:val="Standard"/>
      </w:pPr>
      <w:proofErr w:type="spellStart"/>
      <w:r>
        <w:lastRenderedPageBreak/>
        <w:t>CforAT</w:t>
      </w:r>
      <w:proofErr w:type="spellEnd"/>
      <w:r>
        <w:t xml:space="preserve"> disputed that the HUC settlement is in the public interest </w:t>
      </w:r>
      <w:r w:rsidR="00F03D0C">
        <w:t xml:space="preserve">on </w:t>
      </w:r>
      <w:r>
        <w:t>several grounds.  First, they asserted that the HUC settlement is intended to establish a path toward HUC elimination, which should not be considered to be in the public interest for reasons established in previous Commission decisions</w:t>
      </w:r>
      <w:r w:rsidR="00D244AE">
        <w:t xml:space="preserve"> (</w:t>
      </w:r>
      <w:r w:rsidR="00D244AE">
        <w:rPr>
          <w:i/>
          <w:iCs/>
        </w:rPr>
        <w:t>e.g.</w:t>
      </w:r>
      <w:r w:rsidR="00D244AE">
        <w:t xml:space="preserve">, </w:t>
      </w:r>
      <w:r w:rsidR="00C63A2A">
        <w:t xml:space="preserve">that the HUC should </w:t>
      </w:r>
      <w:r w:rsidR="00D244AE">
        <w:t xml:space="preserve">exist to </w:t>
      </w:r>
      <w:r w:rsidR="00C63A2A">
        <w:t>serve as a clear signal to customers to reduce their electricity usage</w:t>
      </w:r>
      <w:r w:rsidR="00D244AE">
        <w:t>)</w:t>
      </w:r>
      <w:r>
        <w:t>.</w:t>
      </w:r>
      <w:r>
        <w:rPr>
          <w:rStyle w:val="FootnoteReference"/>
        </w:rPr>
        <w:footnoteReference w:id="71"/>
      </w:r>
      <w:r>
        <w:t xml:space="preserve">  Second, they argued that even if there are disproportionate impacts on some customers caused by the HUC, the public interest demands modifying or adjusting the HUC as </w:t>
      </w:r>
      <w:r w:rsidR="007B39CA">
        <w:t xml:space="preserve">blunt HUC </w:t>
      </w:r>
      <w:r>
        <w:t>elimination would “</w:t>
      </w:r>
      <w:r w:rsidRPr="006728CF">
        <w:t>benefit an even smaller number of customers at the expense of all other customers</w:t>
      </w:r>
      <w:r>
        <w:t>.”</w:t>
      </w:r>
      <w:r>
        <w:rPr>
          <w:rStyle w:val="FootnoteReference"/>
        </w:rPr>
        <w:footnoteReference w:id="72"/>
      </w:r>
      <w:r>
        <w:t xml:space="preserve">  </w:t>
      </w:r>
      <w:r w:rsidR="007B39CA">
        <w:t xml:space="preserve">Finally, </w:t>
      </w:r>
      <w:proofErr w:type="spellStart"/>
      <w:r w:rsidR="007B39CA">
        <w:t>CforAT</w:t>
      </w:r>
      <w:proofErr w:type="spellEnd"/>
      <w:r w:rsidR="007B39CA">
        <w:t xml:space="preserve"> rejected the argument that the HUC settlement’s mitigation of bill impacts is in the public interest, arguing that the logic of raising non-HUC customer bills to eliminate the HUC remains unjustified even if the bill impacts are mitigated.</w:t>
      </w:r>
      <w:r w:rsidR="007B39CA">
        <w:rPr>
          <w:rStyle w:val="FootnoteReference"/>
        </w:rPr>
        <w:footnoteReference w:id="73"/>
      </w:r>
    </w:p>
    <w:p w:rsidR="008E7871" w:rsidP="006E78E4" w:rsidRDefault="008E7871" w14:paraId="30B2B7C6" w14:textId="77777777">
      <w:pPr>
        <w:pStyle w:val="Standard"/>
      </w:pPr>
      <w:proofErr w:type="spellStart"/>
      <w:r>
        <w:t>CforAT</w:t>
      </w:r>
      <w:proofErr w:type="spellEnd"/>
      <w:r>
        <w:t xml:space="preserve"> raises critical issues that must be addressed if the Commission is to find that the HUC settlement is in the public interest.</w:t>
      </w:r>
    </w:p>
    <w:p w:rsidR="00C65859" w:rsidP="00867700" w:rsidRDefault="00C65859" w14:paraId="53410138" w14:textId="77777777">
      <w:pPr>
        <w:pStyle w:val="Heading3"/>
        <w:numPr>
          <w:ilvl w:val="2"/>
          <w:numId w:val="1"/>
        </w:numPr>
        <w:tabs>
          <w:tab w:val="left" w:pos="2340"/>
        </w:tabs>
        <w:ind w:left="2376" w:hanging="936"/>
      </w:pPr>
      <w:bookmarkStart w:name="_Toc65157816" w:id="23"/>
      <w:r>
        <w:t>Representation of Affected Interests</w:t>
      </w:r>
      <w:bookmarkEnd w:id="23"/>
    </w:p>
    <w:p w:rsidRPr="00C65859" w:rsidR="00C65859" w:rsidP="00C65859" w:rsidRDefault="00C65859" w14:paraId="7FD89675" w14:textId="77777777">
      <w:pPr>
        <w:pStyle w:val="Standard"/>
      </w:pPr>
      <w:r>
        <w:t xml:space="preserve">SCE’s argument that the parties to the HUC settlement represent the interests of residential customers of the large electrical </w:t>
      </w:r>
      <w:r w:rsidR="001E1A7B">
        <w:t>corporations</w:t>
      </w:r>
      <w:r>
        <w:t xml:space="preserve"> is indisputable.  While the party opposing the settlement represents those interests as well, this decision finds that TURN and Cal Advocates also represent the interests of residential customers</w:t>
      </w:r>
      <w:r w:rsidR="000F1E2C">
        <w:rPr>
          <w:rStyle w:val="FootnoteReference"/>
        </w:rPr>
        <w:footnoteReference w:id="74"/>
      </w:r>
      <w:r>
        <w:t xml:space="preserve"> and therefore their support of the settlement </w:t>
      </w:r>
      <w:r w:rsidR="008020FA">
        <w:t>buttresses</w:t>
      </w:r>
      <w:r>
        <w:t xml:space="preserve"> a finding that the HUC settlement is in the public interest.</w:t>
      </w:r>
      <w:r w:rsidR="008020FA">
        <w:t xml:space="preserve"> </w:t>
      </w:r>
    </w:p>
    <w:p w:rsidR="00D17E8C" w:rsidP="00867700" w:rsidRDefault="00D17E8C" w14:paraId="331113E5" w14:textId="77777777">
      <w:pPr>
        <w:pStyle w:val="Heading3"/>
        <w:numPr>
          <w:ilvl w:val="2"/>
          <w:numId w:val="1"/>
        </w:numPr>
        <w:tabs>
          <w:tab w:val="left" w:pos="2340"/>
        </w:tabs>
        <w:ind w:left="2376" w:hanging="936"/>
      </w:pPr>
      <w:bookmarkStart w:name="_Toc65157817" w:id="24"/>
      <w:r>
        <w:lastRenderedPageBreak/>
        <w:t>Conservation Signal</w:t>
      </w:r>
      <w:bookmarkEnd w:id="24"/>
    </w:p>
    <w:p w:rsidR="00BB2CA6" w:rsidP="006E78E4" w:rsidRDefault="008E7871" w14:paraId="313508BE" w14:textId="77777777">
      <w:pPr>
        <w:pStyle w:val="Standard"/>
      </w:pPr>
      <w:r>
        <w:t xml:space="preserve">First, with respect to the HUC’s impact as a conservation signal, the Commission must be able to find that the elimination of the HUC would be in the public interest despite any effect that elimination would have on conservation.  </w:t>
      </w:r>
      <w:r w:rsidR="00BB2CA6">
        <w:t>This is because the HUC was designed as a tool to incent conservation among the highest users of electricity o</w:t>
      </w:r>
      <w:r w:rsidR="00BB7B39">
        <w:t>n</w:t>
      </w:r>
      <w:r w:rsidR="00BB2CA6">
        <w:t xml:space="preserve"> tiered rates, and the state policy goals supporting that determination </w:t>
      </w:r>
      <w:r w:rsidR="000C77D1">
        <w:t xml:space="preserve">– and therefore the public interest in those goals – </w:t>
      </w:r>
      <w:r w:rsidR="00BB2CA6">
        <w:t>have not changed since the issuance of D.15-07-001.</w:t>
      </w:r>
      <w:r w:rsidR="00BB2CA6">
        <w:rPr>
          <w:rStyle w:val="FootnoteReference"/>
        </w:rPr>
        <w:footnoteReference w:id="75"/>
      </w:r>
      <w:r w:rsidR="000E5C25">
        <w:t xml:space="preserve">  While parties to the HUC settlement argued that the Commission </w:t>
      </w:r>
      <w:r w:rsidR="00DD395C">
        <w:t>need</w:t>
      </w:r>
      <w:r w:rsidR="000E5C25">
        <w:t xml:space="preserve"> not make a finding regarding the HUC’s conservation effect,</w:t>
      </w:r>
      <w:r w:rsidR="000E5C25">
        <w:rPr>
          <w:rStyle w:val="FootnoteReference"/>
        </w:rPr>
        <w:footnoteReference w:id="76"/>
      </w:r>
      <w:r w:rsidR="000E5C25">
        <w:t xml:space="preserve"> this decision finds that it is necessary to do so in order to determine if the HUC settlement is in the public interest.</w:t>
      </w:r>
    </w:p>
    <w:p w:rsidR="008E7871" w:rsidP="00724ED7" w:rsidRDefault="008E7871" w14:paraId="5A9D1E9D" w14:textId="77777777">
      <w:pPr>
        <w:pStyle w:val="Standard"/>
      </w:pPr>
      <w:r>
        <w:t xml:space="preserve">In this proceeding, several parties have provided evidence that the HUC does not actually lead to conservation by HUC customers.  While TURN attempted to provide evidence to the contrary, SCE correctly pointed out that the failure by TURN to </w:t>
      </w:r>
      <w:r w:rsidR="007B02BE">
        <w:t xml:space="preserve">consider other causal factors for declines in HUC usage, and the exclusive use by SCE of HUC data disaggregated on a </w:t>
      </w:r>
      <w:r>
        <w:t>per customer basis</w:t>
      </w:r>
      <w:r w:rsidR="007B02BE">
        <w:t>,</w:t>
      </w:r>
      <w:r>
        <w:t xml:space="preserve"> means that </w:t>
      </w:r>
      <w:r w:rsidR="007B02BE">
        <w:t>TURN’s</w:t>
      </w:r>
      <w:r>
        <w:t xml:space="preserve"> data cannot be relied on to show to the HUC actually leads to conservation by </w:t>
      </w:r>
      <w:r w:rsidRPr="008E7871">
        <w:rPr>
          <w:i/>
          <w:iCs/>
        </w:rPr>
        <w:t xml:space="preserve">individual </w:t>
      </w:r>
      <w:r w:rsidRPr="008E7871">
        <w:t>HUC customers</w:t>
      </w:r>
      <w:r>
        <w:t>.</w:t>
      </w:r>
      <w:r w:rsidR="009F4073">
        <w:rPr>
          <w:rStyle w:val="FootnoteReference"/>
        </w:rPr>
        <w:footnoteReference w:id="77"/>
      </w:r>
      <w:r>
        <w:t xml:space="preserve">  </w:t>
      </w:r>
      <w:r w:rsidR="00724ED7">
        <w:t xml:space="preserve">Cal Advocates summarized the </w:t>
      </w:r>
      <w:r w:rsidR="00D247B3">
        <w:t>direction of evidence</w:t>
      </w:r>
      <w:r w:rsidR="00724ED7">
        <w:t xml:space="preserve"> well in briefs, stating that “[t]</w:t>
      </w:r>
      <w:proofErr w:type="spellStart"/>
      <w:r w:rsidR="00724ED7">
        <w:t>hough</w:t>
      </w:r>
      <w:proofErr w:type="spellEnd"/>
      <w:r w:rsidR="00724ED7">
        <w:t xml:space="preserve"> the Commission </w:t>
      </w:r>
      <w:r w:rsidR="00724ED7">
        <w:lastRenderedPageBreak/>
        <w:t>adopted the HUC to incentivize conservation, the [large electrical corporations’] data compellingly illustrates that the HUC no longer serves the purpose for which it was intended.”</w:t>
      </w:r>
      <w:r w:rsidR="00724ED7">
        <w:rPr>
          <w:rStyle w:val="FootnoteReference"/>
        </w:rPr>
        <w:footnoteReference w:id="78"/>
      </w:r>
      <w:r w:rsidR="00724ED7">
        <w:t xml:space="preserve">  </w:t>
      </w:r>
      <w:r>
        <w:t>Based on the preponderance of the evidence provided in this proceeding, this decision finds that the HUC does not have a substantial impact on the conservation of electricity by individual HUC customers.  The HUC is therefore failing in its original purpose to signal to HUC customers that they should conserve electricity.</w:t>
      </w:r>
      <w:r w:rsidR="005744D6">
        <w:rPr>
          <w:rStyle w:val="FootnoteReference"/>
        </w:rPr>
        <w:footnoteReference w:id="79"/>
      </w:r>
      <w:r>
        <w:t xml:space="preserve">  </w:t>
      </w:r>
    </w:p>
    <w:p w:rsidR="008E7871" w:rsidP="006E78E4" w:rsidRDefault="004D322A" w14:paraId="58AC52B6" w14:textId="77777777">
      <w:pPr>
        <w:pStyle w:val="Standard"/>
      </w:pPr>
      <w:r>
        <w:t>Because the HUC is not fulfilling its purpose to reduce the consumption of very high users of electricity, it is consistent with the public interest to adopt a settlement that will lead to the elimination of the HUC.</w:t>
      </w:r>
    </w:p>
    <w:p w:rsidR="00D17E8C" w:rsidP="00867700" w:rsidRDefault="00D17E8C" w14:paraId="65EDFC9D" w14:textId="77777777">
      <w:pPr>
        <w:pStyle w:val="Heading3"/>
        <w:numPr>
          <w:ilvl w:val="2"/>
          <w:numId w:val="1"/>
        </w:numPr>
        <w:tabs>
          <w:tab w:val="left" w:pos="2340"/>
        </w:tabs>
        <w:ind w:left="2376" w:hanging="936"/>
      </w:pPr>
      <w:bookmarkStart w:name="_Toc65157818" w:id="25"/>
      <w:r>
        <w:t>Equity of Rate and Bill Impacts</w:t>
      </w:r>
      <w:bookmarkEnd w:id="25"/>
    </w:p>
    <w:p w:rsidR="00996FFE" w:rsidP="006E78E4" w:rsidRDefault="00996FFE" w14:paraId="7600ED78" w14:textId="77777777">
      <w:pPr>
        <w:pStyle w:val="Standard"/>
      </w:pPr>
      <w:r>
        <w:t xml:space="preserve">The second issue raised by </w:t>
      </w:r>
      <w:proofErr w:type="spellStart"/>
      <w:r>
        <w:t>CforAT</w:t>
      </w:r>
      <w:proofErr w:type="spellEnd"/>
      <w:r>
        <w:t xml:space="preserve"> is whether it is in the public interest to eliminate the HUC given that the financial benefits of HUC elimination will accrue to a small number of very high electricity users, while rates and bills for </w:t>
      </w:r>
      <w:proofErr w:type="gramStart"/>
      <w:r>
        <w:t>the majority of</w:t>
      </w:r>
      <w:proofErr w:type="gramEnd"/>
      <w:r>
        <w:t xml:space="preserve"> tiered rate customers (</w:t>
      </w:r>
      <w:r w:rsidRPr="00867700">
        <w:rPr>
          <w:i/>
          <w:iCs/>
        </w:rPr>
        <w:t>i.e.</w:t>
      </w:r>
      <w:r>
        <w:t xml:space="preserve">, non-HUC customers) will rise as a result.  </w:t>
      </w:r>
      <w:proofErr w:type="spellStart"/>
      <w:r>
        <w:t>CforAT</w:t>
      </w:r>
      <w:proofErr w:type="spellEnd"/>
      <w:r>
        <w:t xml:space="preserve"> cites previous Commission decisions that establish a principle that the HUC should not be eliminated if it will only benefit a few customers at the expense of many others.</w:t>
      </w:r>
      <w:r w:rsidR="004655B9">
        <w:rPr>
          <w:rStyle w:val="FootnoteReference"/>
        </w:rPr>
        <w:footnoteReference w:id="80"/>
      </w:r>
    </w:p>
    <w:p w:rsidR="00996FFE" w:rsidP="006E78E4" w:rsidRDefault="004655B9" w14:paraId="1CA31E04" w14:textId="77777777">
      <w:pPr>
        <w:pStyle w:val="Standard"/>
      </w:pPr>
      <w:r>
        <w:t xml:space="preserve">This principle was at the heart of the rationale for adopting the HUC in D.15-07-001.  As described earlier in this decision, the context for the adoption of the HUC is important to keep in mind.  At that time, customers using baseline </w:t>
      </w:r>
      <w:r>
        <w:lastRenderedPageBreak/>
        <w:t>amounts of electricity were facing large increases in their rates and bills due to reform of the tiered rate structure.  The effect of the HUC was to help moderate the impact of rate reform on prices for baseline quantities of electricity.</w:t>
      </w:r>
      <w:r>
        <w:rPr>
          <w:rStyle w:val="FootnoteReference"/>
        </w:rPr>
        <w:footnoteReference w:id="81"/>
      </w:r>
      <w:r>
        <w:t xml:space="preserve">  At the time this principle supporting the HUC was restated in D.19-</w:t>
      </w:r>
      <w:r w:rsidRPr="00D17E8C" w:rsidR="00D17E8C">
        <w:t>04</w:t>
      </w:r>
      <w:r w:rsidRPr="00D17E8C">
        <w:t>-</w:t>
      </w:r>
      <w:r w:rsidR="00D17E8C">
        <w:t>018</w:t>
      </w:r>
      <w:r>
        <w:t xml:space="preserve"> the tiered rate was still the default rate for most residential customers of the large electrical corporations.  </w:t>
      </w:r>
    </w:p>
    <w:p w:rsidR="00E013C0" w:rsidP="006E78E4" w:rsidRDefault="00CE0C4C" w14:paraId="38C33806" w14:textId="77777777">
      <w:pPr>
        <w:pStyle w:val="Standard"/>
      </w:pPr>
      <w:r>
        <w:t>As noted previously in this decision, th</w:t>
      </w:r>
      <w:r w:rsidR="00323FDD">
        <w:t>e</w:t>
      </w:r>
      <w:r>
        <w:t xml:space="preserve"> phase of rate reform where baseline prices for electricity were undergoing significant increases for most residential electricity customers has passed.  California is now in a subsequent phase of residential rate reform, where most residential customers will be defaulted to a TOU rate </w:t>
      </w:r>
      <w:r w:rsidR="007A547E">
        <w:t xml:space="preserve">without a HUC component </w:t>
      </w:r>
      <w:r>
        <w:t>by 2022.  The impact of HUC elimination on tiered rate customers using baseline quantities of electricity, while still evident, is no</w:t>
      </w:r>
      <w:r w:rsidR="00D17E8C">
        <w:t xml:space="preserve">t an imposition on </w:t>
      </w:r>
      <w:proofErr w:type="gramStart"/>
      <w:r w:rsidR="00D17E8C">
        <w:t>the majority of</w:t>
      </w:r>
      <w:proofErr w:type="gramEnd"/>
      <w:r w:rsidR="00D17E8C">
        <w:t xml:space="preserve"> residential electricity customers as it would have been in 2015 or 2019.  </w:t>
      </w:r>
    </w:p>
    <w:p w:rsidR="00D17E8C" w:rsidP="006E78E4" w:rsidRDefault="00D17E8C" w14:paraId="34491D57" w14:textId="775FC70B">
      <w:pPr>
        <w:pStyle w:val="Standard"/>
      </w:pPr>
      <w:r>
        <w:t xml:space="preserve">As noted by PG&amp;E in its testimony, the HUC was adopted as part of </w:t>
      </w:r>
      <w:r w:rsidR="00F03D0C">
        <w:t xml:space="preserve">a </w:t>
      </w:r>
      <w:r>
        <w:t>compromise to ensure the issuance of D.15-07-001.</w:t>
      </w:r>
      <w:r w:rsidR="00543005">
        <w:rPr>
          <w:rStyle w:val="FootnoteReference"/>
        </w:rPr>
        <w:footnoteReference w:id="82"/>
      </w:r>
      <w:r>
        <w:t xml:space="preserve">  Part of the rationale for the HUC was to limit the rate increases for Tier 1 (or baseline) customers that resulted from the rate reforms imposed by D.15-07-001.  Even with the HUC in place, D.15-07-001 allowed increases to Tier 1 rates </w:t>
      </w:r>
      <w:r w:rsidR="008652EC">
        <w:t xml:space="preserve">resulting from rate reform </w:t>
      </w:r>
      <w:r>
        <w:t>of 5</w:t>
      </w:r>
      <w:r w:rsidR="00F03D0C">
        <w:t xml:space="preserve"> </w:t>
      </w:r>
      <w:r w:rsidR="0097776E">
        <w:t>percent</w:t>
      </w:r>
      <w:r>
        <w:t xml:space="preserve"> per year.</w:t>
      </w:r>
      <w:r w:rsidR="00087D69">
        <w:rPr>
          <w:rStyle w:val="FootnoteReference"/>
        </w:rPr>
        <w:footnoteReference w:id="83"/>
      </w:r>
    </w:p>
    <w:p w:rsidR="00D17E8C" w:rsidP="006E78E4" w:rsidRDefault="00D17E8C" w14:paraId="73F7604E" w14:textId="3063E6B6">
      <w:pPr>
        <w:pStyle w:val="Standard"/>
      </w:pPr>
      <w:r>
        <w:lastRenderedPageBreak/>
        <w:t xml:space="preserve">Before issuance of the HUC settlement, SCE estimated that HUC elimination would increase Tier 1 rates by </w:t>
      </w:r>
      <w:r w:rsidRPr="000B0FE0" w:rsidR="000B0FE0">
        <w:t>3.7</w:t>
      </w:r>
      <w:r w:rsidR="00867700">
        <w:t xml:space="preserve"> </w:t>
      </w:r>
      <w:r w:rsidR="0097776E">
        <w:t>percent</w:t>
      </w:r>
      <w:r w:rsidRPr="000B0FE0">
        <w:t>,</w:t>
      </w:r>
      <w:r w:rsidR="000B0FE0">
        <w:rPr>
          <w:rStyle w:val="FootnoteReference"/>
        </w:rPr>
        <w:footnoteReference w:id="84"/>
      </w:r>
      <w:r w:rsidRPr="000B0FE0">
        <w:t xml:space="preserve"> </w:t>
      </w:r>
      <w:r w:rsidRPr="00087D69">
        <w:t xml:space="preserve">SDG&amp;E estimated an </w:t>
      </w:r>
      <w:r w:rsidRPr="00087D69" w:rsidR="00087D69">
        <w:t xml:space="preserve">increase to Tier 1 rates </w:t>
      </w:r>
      <w:r w:rsidRPr="00087D69">
        <w:t xml:space="preserve">of </w:t>
      </w:r>
      <w:r w:rsidRPr="00087D69" w:rsidR="00087D69">
        <w:t>3.8</w:t>
      </w:r>
      <w:r w:rsidR="00F03D0C">
        <w:t xml:space="preserve"> </w:t>
      </w:r>
      <w:r w:rsidR="0097776E">
        <w:t>percent</w:t>
      </w:r>
      <w:r w:rsidRPr="00087D69">
        <w:t>,</w:t>
      </w:r>
      <w:r w:rsidR="00087D69">
        <w:rPr>
          <w:rStyle w:val="FootnoteReference"/>
        </w:rPr>
        <w:footnoteReference w:id="85"/>
      </w:r>
      <w:r w:rsidRPr="00087D69">
        <w:t xml:space="preserve"> </w:t>
      </w:r>
      <w:r w:rsidRPr="000B0FE0">
        <w:t xml:space="preserve">and PG&amp;E estimated an </w:t>
      </w:r>
      <w:r w:rsidR="00087D69">
        <w:t>increase to Tier 1 rates</w:t>
      </w:r>
      <w:r w:rsidRPr="000B0FE0">
        <w:t xml:space="preserve"> of </w:t>
      </w:r>
      <w:r w:rsidR="000B0FE0">
        <w:t>3.9</w:t>
      </w:r>
      <w:r w:rsidR="00867700">
        <w:t xml:space="preserve"> </w:t>
      </w:r>
      <w:r w:rsidR="0097776E">
        <w:t>percent</w:t>
      </w:r>
      <w:r>
        <w:t>.</w:t>
      </w:r>
      <w:r w:rsidR="000B0FE0">
        <w:rPr>
          <w:rStyle w:val="FootnoteReference"/>
        </w:rPr>
        <w:footnoteReference w:id="86"/>
      </w:r>
      <w:r>
        <w:t xml:space="preserve">  </w:t>
      </w:r>
      <w:r w:rsidR="00CE1EF5">
        <w:t xml:space="preserve">Therefore, the impact of HUC elimination on Tier 1 electricity prices in 2021 for SDG&amp;E and 2022 for SCE and PG&amp;E will be less than the impact on Tier 1 rates approved by D.15-07-001.  </w:t>
      </w:r>
      <w:r>
        <w:t>Parties to the HUC settlement testified, and the motion to adopt the HUC settlement argued, that these impacts would be lessened by adoption of the HUC settlement.</w:t>
      </w:r>
      <w:r w:rsidR="00543005">
        <w:t xml:space="preserve">  </w:t>
      </w:r>
      <w:r w:rsidR="00401D31">
        <w:t>Consequently</w:t>
      </w:r>
      <w:r w:rsidR="00543005">
        <w:t>, this decision finds that at a minimum the elimination of the HUC will not lead to rate and bill impacts on Tier 1 customers that are greater than those imposed by D.15-07-001.</w:t>
      </w:r>
    </w:p>
    <w:p w:rsidR="00D17E8C" w:rsidP="006E78E4" w:rsidRDefault="00D17E8C" w14:paraId="74367809" w14:textId="77777777">
      <w:pPr>
        <w:pStyle w:val="Standard"/>
      </w:pPr>
      <w:r>
        <w:t xml:space="preserve">Because the rate and bill </w:t>
      </w:r>
      <w:proofErr w:type="gramStart"/>
      <w:r>
        <w:t>impacts</w:t>
      </w:r>
      <w:proofErr w:type="gramEnd"/>
      <w:r>
        <w:t xml:space="preserve"> of HUC elimination under the terms of the HUC settlement would be less than the </w:t>
      </w:r>
      <w:r w:rsidR="00543005">
        <w:t>impacts of rate reform imposed by D.15-07-001, and because the rate and bill impacts of HUC elimination will not affect most residential customers after the transition to default TOU rates is complete, this decision holds that it is in the public interest to adopt the HUC settlement despite the rate and bill impacts that would result.</w:t>
      </w:r>
    </w:p>
    <w:p w:rsidR="00E013C0" w:rsidP="00867700" w:rsidRDefault="000614CE" w14:paraId="68A7DA18" w14:textId="77777777">
      <w:pPr>
        <w:pStyle w:val="Heading3"/>
        <w:numPr>
          <w:ilvl w:val="2"/>
          <w:numId w:val="1"/>
        </w:numPr>
        <w:tabs>
          <w:tab w:val="left" w:pos="2340"/>
        </w:tabs>
        <w:ind w:left="2376" w:hanging="936"/>
      </w:pPr>
      <w:bookmarkStart w:name="_Toc65157819" w:id="26"/>
      <w:r>
        <w:t>Regulatory Certainty</w:t>
      </w:r>
      <w:bookmarkEnd w:id="26"/>
    </w:p>
    <w:p w:rsidR="00E013C0" w:rsidP="006E78E4" w:rsidRDefault="00E013C0" w14:paraId="0A66A90F" w14:textId="77777777">
      <w:pPr>
        <w:pStyle w:val="Standard"/>
      </w:pPr>
      <w:r>
        <w:t>The motion to adopt the HUC settlement argued that it was in the public interest because it provides more “certainty” to residential customers regarding their current and future costs on a tiered rate.</w:t>
      </w:r>
      <w:r w:rsidR="00A8728E">
        <w:rPr>
          <w:rStyle w:val="FootnoteReference"/>
        </w:rPr>
        <w:footnoteReference w:id="87"/>
      </w:r>
      <w:r>
        <w:t xml:space="preserve">  </w:t>
      </w:r>
      <w:r w:rsidR="008020FA">
        <w:t xml:space="preserve">SCE’s opening brief made a </w:t>
      </w:r>
      <w:r w:rsidR="008020FA">
        <w:lastRenderedPageBreak/>
        <w:t>similar argument.</w:t>
      </w:r>
      <w:r w:rsidR="008020FA">
        <w:rPr>
          <w:rStyle w:val="FootnoteReference"/>
        </w:rPr>
        <w:footnoteReference w:id="88"/>
      </w:r>
      <w:r w:rsidR="008020FA">
        <w:t xml:space="preserve">  </w:t>
      </w:r>
      <w:r>
        <w:t>However, the record reveals that the HUC settlement does not actually provide the asserted certainty.  In fact, there are two levels of uncertainty that muddle the potential elimination of the HUC.  The first is whether the revenue criteria established by the HUC settlement as a condition precedent for HUC elimination will ever be realized, and the second is whether the HUC will be eliminated by a large electrical corporation even if the revenue criteria are met.</w:t>
      </w:r>
      <w:r>
        <w:rPr>
          <w:rStyle w:val="FootnoteReference"/>
        </w:rPr>
        <w:footnoteReference w:id="89"/>
      </w:r>
      <w:r>
        <w:t xml:space="preserve">  </w:t>
      </w:r>
    </w:p>
    <w:p w:rsidR="00A8728E" w:rsidP="006E78E4" w:rsidRDefault="00E013C0" w14:paraId="1F704BDD" w14:textId="52BED9D5">
      <w:pPr>
        <w:pStyle w:val="Standard"/>
      </w:pPr>
      <w:r>
        <w:t xml:space="preserve">This decision agrees with the position of </w:t>
      </w:r>
      <w:r w:rsidR="008020FA">
        <w:t xml:space="preserve">SCE and </w:t>
      </w:r>
      <w:r>
        <w:t xml:space="preserve">the motion to adopt the HUC settlement that regulatory certainty is a public interest objective that should be satisfied when the Commission adopts a settlement. </w:t>
      </w:r>
      <w:r w:rsidR="00A8728E">
        <w:t xml:space="preserve"> Therefore, this decision </w:t>
      </w:r>
      <w:r w:rsidR="00B5765A">
        <w:t xml:space="preserve">rejects </w:t>
      </w:r>
      <w:r w:rsidR="00A61796">
        <w:t xml:space="preserve">an </w:t>
      </w:r>
      <w:r w:rsidR="008E16E6">
        <w:t xml:space="preserve">element of </w:t>
      </w:r>
      <w:r w:rsidR="00B5765A">
        <w:t xml:space="preserve">the HUC settlement on the grounds that the uncertainty </w:t>
      </w:r>
      <w:r w:rsidR="00A61796">
        <w:t>it</w:t>
      </w:r>
      <w:r w:rsidR="008E16E6">
        <w:t xml:space="preserve"> </w:t>
      </w:r>
      <w:r w:rsidR="00B5765A">
        <w:t>create</w:t>
      </w:r>
      <w:r w:rsidR="00A61796">
        <w:t>s</w:t>
      </w:r>
      <w:r w:rsidR="00B5765A">
        <w:t xml:space="preserve"> is not in the public </w:t>
      </w:r>
      <w:proofErr w:type="gramStart"/>
      <w:r w:rsidR="00B5765A">
        <w:t>interest, and</w:t>
      </w:r>
      <w:proofErr w:type="gramEnd"/>
      <w:r w:rsidR="00B5765A">
        <w:t xml:space="preserve"> </w:t>
      </w:r>
      <w:r w:rsidR="00A8728E">
        <w:t xml:space="preserve">alters the HUC settlement to ensure that certainty is achieved.  </w:t>
      </w:r>
    </w:p>
    <w:p w:rsidR="00CE0C4C" w:rsidP="006E78E4" w:rsidRDefault="00BF01E3" w14:paraId="321B2598" w14:textId="68028137">
      <w:pPr>
        <w:pStyle w:val="Standard"/>
      </w:pPr>
      <w:r>
        <w:t>Therefore, the</w:t>
      </w:r>
      <w:r w:rsidR="00A8728E">
        <w:t xml:space="preserve"> discretion afforded to the large electrical corporations </w:t>
      </w:r>
      <w:r>
        <w:t xml:space="preserve">by the HUC settlement </w:t>
      </w:r>
      <w:r w:rsidR="00A8728E">
        <w:t xml:space="preserve">to seek elimination of the HUC is removed.  Instead, the large electrical corporations shall file a Tier 1 advice letter to eliminate the HUC </w:t>
      </w:r>
      <w:r w:rsidR="008020FA">
        <w:t xml:space="preserve">once the relevant </w:t>
      </w:r>
      <w:r w:rsidR="000A5420">
        <w:t>condition</w:t>
      </w:r>
      <w:r>
        <w:t>s</w:t>
      </w:r>
      <w:r w:rsidR="008020FA">
        <w:t xml:space="preserve"> </w:t>
      </w:r>
      <w:r>
        <w:t>are</w:t>
      </w:r>
      <w:r w:rsidR="000A5420">
        <w:t xml:space="preserve"> </w:t>
      </w:r>
      <w:r w:rsidR="008020FA">
        <w:t xml:space="preserve">met, </w:t>
      </w:r>
      <w:r w:rsidR="00A8728E">
        <w:t xml:space="preserve">without </w:t>
      </w:r>
      <w:r w:rsidR="008020FA">
        <w:t xml:space="preserve">the exercise of </w:t>
      </w:r>
      <w:r w:rsidR="00A8728E">
        <w:t>discretion.</w:t>
      </w:r>
    </w:p>
    <w:p w:rsidR="00BC4CA9" w:rsidP="006E78E4" w:rsidRDefault="004C6740" w14:paraId="27505599" w14:textId="4FCCCE6C">
      <w:pPr>
        <w:pStyle w:val="Standard"/>
      </w:pPr>
      <w:r>
        <w:t>Given th</w:t>
      </w:r>
      <w:r w:rsidR="00BF01E3">
        <w:t>is</w:t>
      </w:r>
      <w:r>
        <w:t xml:space="preserve"> change to the HUC settlement, this decision finds that the HUC settlement is in the public interest.</w:t>
      </w:r>
      <w:r w:rsidR="00BF01E3">
        <w:t xml:space="preserve">  While the proposed version of this decision sought the removal of the HUC revenue calculation condition outlined in paragraph 2 of section B.2 of the HUC settlement, the Settling Parties opposed the removal of that condition in their comments to the proposed decision.  </w:t>
      </w:r>
      <w:r w:rsidR="00D70A73">
        <w:t xml:space="preserve">Regulatory certainty would be enhanced if the HUC revenue calculation </w:t>
      </w:r>
      <w:r w:rsidR="00D70A73">
        <w:lastRenderedPageBreak/>
        <w:t>condition were removed</w:t>
      </w:r>
      <w:r w:rsidR="00CE6445">
        <w:t>.</w:t>
      </w:r>
      <w:r w:rsidR="00D70A73">
        <w:t xml:space="preserve"> </w:t>
      </w:r>
      <w:r w:rsidR="00CE6445">
        <w:t xml:space="preserve"> H</w:t>
      </w:r>
      <w:r w:rsidR="00D70A73">
        <w:t>owever</w:t>
      </w:r>
      <w:r w:rsidR="00CE6445">
        <w:t>,</w:t>
      </w:r>
      <w:r w:rsidR="00D70A73">
        <w:t xml:space="preserve"> this decision holds that traditional Commission respect for settlements and </w:t>
      </w:r>
      <w:r w:rsidR="00CA4399">
        <w:t xml:space="preserve">record indicating that the inclusion of the HUC revenue calculation condition </w:t>
      </w:r>
      <w:r w:rsidRPr="00CA4399" w:rsidR="00CA4399">
        <w:rPr>
          <w:i/>
          <w:iCs/>
        </w:rPr>
        <w:t>may</w:t>
      </w:r>
      <w:r w:rsidR="00CA4399">
        <w:t xml:space="preserve"> lead to mitigated bill impacts</w:t>
      </w:r>
      <w:r w:rsidR="00D70A73">
        <w:t xml:space="preserve"> </w:t>
      </w:r>
      <w:r w:rsidR="00CE6445">
        <w:t>allows for</w:t>
      </w:r>
      <w:r w:rsidR="004F0B23">
        <w:t xml:space="preserve"> a finding</w:t>
      </w:r>
      <w:r w:rsidR="00D70A73">
        <w:t xml:space="preserve"> that acceptance of the HUC revenue calculation condition is reasonable</w:t>
      </w:r>
      <w:r w:rsidR="00CE6445">
        <w:t xml:space="preserve"> </w:t>
      </w:r>
      <w:proofErr w:type="gramStart"/>
      <w:r w:rsidR="00CE6445">
        <w:t>in spite of</w:t>
      </w:r>
      <w:proofErr w:type="gramEnd"/>
      <w:r w:rsidR="00CE6445">
        <w:t xml:space="preserve"> its diminution of regulatory certainty</w:t>
      </w:r>
      <w:r w:rsidR="00D70A73">
        <w:t>.</w:t>
      </w:r>
      <w:r w:rsidR="009D3A6E">
        <w:rPr>
          <w:rStyle w:val="FootnoteReference"/>
        </w:rPr>
        <w:footnoteReference w:id="90"/>
      </w:r>
      <w:r w:rsidR="00BC4CA9">
        <w:t xml:space="preserve">  </w:t>
      </w:r>
    </w:p>
    <w:p w:rsidR="00315702" w:rsidP="00315702" w:rsidRDefault="00BC4CA9" w14:paraId="4FF0A619" w14:textId="18DAEC5D">
      <w:pPr>
        <w:pStyle w:val="Standard"/>
      </w:pPr>
      <w:r>
        <w:t xml:space="preserve">The treatment of the HUC in the </w:t>
      </w:r>
      <w:proofErr w:type="gramStart"/>
      <w:r>
        <w:t>period of time</w:t>
      </w:r>
      <w:proofErr w:type="gramEnd"/>
      <w:r>
        <w:t xml:space="preserve"> between this decision and the effective date of the </w:t>
      </w:r>
      <w:r w:rsidR="004F0B23">
        <w:t xml:space="preserve">potential </w:t>
      </w:r>
      <w:r>
        <w:t xml:space="preserve">advice letter for each large electrical corporation </w:t>
      </w:r>
      <w:r w:rsidR="008820DB">
        <w:t xml:space="preserve">that </w:t>
      </w:r>
      <w:r w:rsidR="004F0B23">
        <w:t>seeks</w:t>
      </w:r>
      <w:r w:rsidR="008820DB">
        <w:t xml:space="preserve"> elimination of the HUC </w:t>
      </w:r>
      <w:r>
        <w:t>shall be in accord with section B.1 of the HUC settlement, and the prices of Tier 1, Tier 2, HUC electricity shall be rebalanced accordingly.</w:t>
      </w:r>
      <w:r w:rsidR="00315702">
        <w:t xml:space="preserve">  This means that for </w:t>
      </w:r>
      <w:r w:rsidR="008820DB">
        <w:t xml:space="preserve">SDG&amp;E, </w:t>
      </w:r>
      <w:r w:rsidR="00315702">
        <w:t>SCE</w:t>
      </w:r>
      <w:r w:rsidR="008820DB">
        <w:t>,</w:t>
      </w:r>
      <w:r w:rsidR="00315702">
        <w:t xml:space="preserve"> and PG&amp;E customers, the HUC price will remain 25</w:t>
      </w:r>
      <w:r w:rsidR="00A206DA">
        <w:t xml:space="preserve"> </w:t>
      </w:r>
      <w:r w:rsidR="0097776E">
        <w:t>percent</w:t>
      </w:r>
      <w:r w:rsidR="00315702">
        <w:t xml:space="preserve"> greater than the Tier 2 price until the HUC is eliminated.</w:t>
      </w:r>
      <w:r w:rsidR="004F0B23">
        <w:rPr>
          <w:rStyle w:val="FootnoteReference"/>
        </w:rPr>
        <w:footnoteReference w:id="91"/>
      </w:r>
      <w:r w:rsidR="00315702">
        <w:t xml:space="preserve">  </w:t>
      </w:r>
      <w:r w:rsidR="00254D9E">
        <w:t>In accordance with the terms of the HUC settlement, t</w:t>
      </w:r>
      <w:r w:rsidR="00315702">
        <w:t>his decision expressly modifies Ordering Paragraphs 2, 4, and 6 of D.20-05-013 and no longer allows for a letter from the Commission’s Executive Director to reset the HUC price to its former amount.</w:t>
      </w:r>
    </w:p>
    <w:p w:rsidR="009C027B" w:rsidP="006E78E4" w:rsidRDefault="00315702" w14:paraId="5E20ECEA" w14:textId="7F17F3FA">
      <w:pPr>
        <w:pStyle w:val="Standard"/>
      </w:pPr>
      <w:proofErr w:type="gramStart"/>
      <w:r>
        <w:t>In order to</w:t>
      </w:r>
      <w:proofErr w:type="gramEnd"/>
      <w:r>
        <w:t xml:space="preserve"> maintain revenue neutrality, </w:t>
      </w:r>
      <w:r w:rsidR="008820DB">
        <w:t xml:space="preserve">SDG&amp;E, </w:t>
      </w:r>
      <w:r>
        <w:t>SCE</w:t>
      </w:r>
      <w:r w:rsidR="008820DB">
        <w:t>,</w:t>
      </w:r>
      <w:r>
        <w:t xml:space="preserve"> and PG&amp;E shall periodically file advice letters to rebalance their tiered rates while maintaining a HUC price that is 25</w:t>
      </w:r>
      <w:r w:rsidR="00A206DA">
        <w:t xml:space="preserve"> </w:t>
      </w:r>
      <w:r w:rsidR="0097776E">
        <w:t>percent</w:t>
      </w:r>
      <w:r>
        <w:t xml:space="preserve"> greater than the Tier 2 price.  </w:t>
      </w:r>
    </w:p>
    <w:p w:rsidRPr="008E7871" w:rsidR="007E683C" w:rsidP="006E78E4" w:rsidRDefault="007E683C" w14:paraId="302DB310" w14:textId="3C2E215D">
      <w:pPr>
        <w:pStyle w:val="Standard"/>
      </w:pPr>
      <w:r>
        <w:t xml:space="preserve">For the sake of clarity, this decision holds that all elements of the HUC settlement should be approved pursuant to Article 12 of the Rules, </w:t>
      </w:r>
      <w:proofErr w:type="gramStart"/>
      <w:r>
        <w:t xml:space="preserve">with the </w:t>
      </w:r>
      <w:r>
        <w:lastRenderedPageBreak/>
        <w:t>exception of</w:t>
      </w:r>
      <w:proofErr w:type="gramEnd"/>
      <w:r>
        <w:t xml:space="preserve"> the modification to the HUC settlement </w:t>
      </w:r>
      <w:r w:rsidR="00C37C6B">
        <w:t xml:space="preserve">that </w:t>
      </w:r>
      <w:r w:rsidR="00042845">
        <w:t>remove</w:t>
      </w:r>
      <w:r w:rsidR="00C37C6B">
        <w:t>s</w:t>
      </w:r>
      <w:r w:rsidR="00042845">
        <w:t xml:space="preserve"> electrical corporation discretion to seek elimination of the HUC once the relevant elimination conditions are met</w:t>
      </w:r>
      <w:r>
        <w:t>.</w:t>
      </w:r>
    </w:p>
    <w:p w:rsidR="00F97F4E" w:rsidP="0097776E" w:rsidRDefault="00F97F4E" w14:paraId="643B2F6C" w14:textId="77777777">
      <w:pPr>
        <w:pStyle w:val="Heading1"/>
        <w:numPr>
          <w:ilvl w:val="0"/>
          <w:numId w:val="1"/>
        </w:numPr>
      </w:pPr>
      <w:bookmarkStart w:name="_Toc65157820" w:id="27"/>
      <w:r>
        <w:t>Seasonality of SDG&amp;E’s Opt-In TOU Rates</w:t>
      </w:r>
      <w:bookmarkEnd w:id="27"/>
    </w:p>
    <w:p w:rsidR="00C43D92" w:rsidP="00C43D92" w:rsidRDefault="00F97F4E" w14:paraId="4D972E6E" w14:textId="54951314">
      <w:pPr>
        <w:pStyle w:val="Standard"/>
      </w:pPr>
      <w:r>
        <w:t xml:space="preserve">SDG&amp;E proposed </w:t>
      </w:r>
      <w:r w:rsidR="00C43D92">
        <w:t>to modify its opt-in residential TOU rates for the purpose of 1) reducing summer bill volatility by decreasing summer rates and 2)</w:t>
      </w:r>
      <w:r w:rsidR="00A206DA">
        <w:t> </w:t>
      </w:r>
      <w:r w:rsidR="00C43D92">
        <w:t>conforming rate designs of the opt-in residential TOU rates with the rate design approved in D.20-06-006 for SDG&amp;E’s default residential TOU rate, Schedule TOU</w:t>
      </w:r>
      <w:r w:rsidR="00F7581C">
        <w:t>-</w:t>
      </w:r>
      <w:r w:rsidR="00C43D92">
        <w:t>DR1.</w:t>
      </w:r>
      <w:r w:rsidR="00C43D92">
        <w:rPr>
          <w:rStyle w:val="FootnoteReference"/>
        </w:rPr>
        <w:footnoteReference w:id="92"/>
      </w:r>
      <w:r w:rsidR="00C43D92">
        <w:t xml:space="preserve">  SDG&amp;E’s opt-in residential TOU rates are Schedules TOU</w:t>
      </w:r>
      <w:r w:rsidR="00A206DA">
        <w:noBreakHyphen/>
      </w:r>
      <w:r w:rsidR="00C43D92">
        <w:t>DR2, DR-SES, DR-TOU, TOU-DR, TOU-DR-P, EV-TOU2 and EV-TOU-5.</w:t>
      </w:r>
    </w:p>
    <w:p w:rsidR="00C43D92" w:rsidP="00812377" w:rsidRDefault="008D1899" w14:paraId="3BDD16E4" w14:textId="2E24571A">
      <w:pPr>
        <w:pStyle w:val="Standard"/>
      </w:pPr>
      <w:r>
        <w:t>SDG&amp;E stated that D.20-06-006 modified SDG&amp;E’s default TOU rate, Schedule TOU-DR1, by decreasing summer rates by approximately 5</w:t>
      </w:r>
      <w:r w:rsidR="00F03D0C">
        <w:t xml:space="preserve"> </w:t>
      </w:r>
      <w:r w:rsidR="0097776E">
        <w:t>percent</w:t>
      </w:r>
      <w:r>
        <w:t xml:space="preserve"> and increasing winter rates by approximately 4</w:t>
      </w:r>
      <w:r w:rsidR="00F03D0C">
        <w:t xml:space="preserve"> </w:t>
      </w:r>
      <w:r w:rsidR="0097776E">
        <w:t>percent</w:t>
      </w:r>
      <w:r>
        <w:t xml:space="preserve">.  </w:t>
      </w:r>
      <w:proofErr w:type="gramStart"/>
      <w:r>
        <w:t>In order to</w:t>
      </w:r>
      <w:proofErr w:type="gramEnd"/>
      <w:r>
        <w:t xml:space="preserve"> conform the rate designs of SDG&amp;E’s opt-in residential TOU rates with that change, </w:t>
      </w:r>
      <w:r w:rsidR="00812377">
        <w:t xml:space="preserve">and to provide summer bill relief to all residential customers similar to the bill relief provided to customers on Schedule DR and Schedule TOU-DR1, </w:t>
      </w:r>
      <w:r>
        <w:t>SDG&amp;E proposed the following changes to its opt-in residential TOU rates:</w:t>
      </w:r>
    </w:p>
    <w:p w:rsidR="00812377" w:rsidP="00A206DA" w:rsidRDefault="00812377" w14:paraId="2BC3F601" w14:textId="77777777">
      <w:pPr>
        <w:pStyle w:val="ListBullet"/>
      </w:pPr>
      <w:r>
        <w:t>Lower summer rates and raise winter rates for opt-in residential TOU rate customers, which has the effect of reducing summer bill volatility and summer bills.</w:t>
      </w:r>
    </w:p>
    <w:p w:rsidR="008D1899" w:rsidP="00A206DA" w:rsidRDefault="008D1899" w14:paraId="17C161A7" w14:textId="2D0C3F2C">
      <w:pPr>
        <w:pStyle w:val="ListBullet"/>
      </w:pPr>
      <w:r>
        <w:t xml:space="preserve">Use the TRAC mechanism to modify the rate designs of the </w:t>
      </w:r>
      <w:r w:rsidR="00592D9B">
        <w:t xml:space="preserve">tiered </w:t>
      </w:r>
      <w:r>
        <w:t>opt</w:t>
      </w:r>
      <w:r w:rsidR="00A206DA">
        <w:noBreakHyphen/>
      </w:r>
      <w:r>
        <w:t xml:space="preserve">in residential TOU rates, rather than the commodity cost component of the rate, </w:t>
      </w:r>
      <w:r w:rsidR="00F7581C">
        <w:t xml:space="preserve">as was endorsed by D.20-06-006 </w:t>
      </w:r>
      <w:r>
        <w:t>for purposes of adjusting SDG&amp;E’s default TOU rate</w:t>
      </w:r>
      <w:r w:rsidR="00F7581C">
        <w:t xml:space="preserve"> design.</w:t>
      </w:r>
    </w:p>
    <w:p w:rsidR="00812377" w:rsidP="00A206DA" w:rsidRDefault="00812377" w14:paraId="70CBFC9C" w14:textId="77777777">
      <w:pPr>
        <w:pStyle w:val="ListBullet"/>
      </w:pPr>
      <w:r>
        <w:t xml:space="preserve">For </w:t>
      </w:r>
      <w:proofErr w:type="spellStart"/>
      <w:r>
        <w:t>untiered</w:t>
      </w:r>
      <w:proofErr w:type="spellEnd"/>
      <w:r>
        <w:t xml:space="preserve"> opt-in residential TOU rates, adjust the commodity rate component, also known as the Electric Energy Commodity Cost (EECC) </w:t>
      </w:r>
      <w:r>
        <w:lastRenderedPageBreak/>
        <w:t>rate component, to make the desired rate design changes instead of the TRAC component.</w:t>
      </w:r>
      <w:r>
        <w:rPr>
          <w:rStyle w:val="FootnoteReference"/>
        </w:rPr>
        <w:footnoteReference w:id="93"/>
      </w:r>
      <w:r>
        <w:t xml:space="preserve">  </w:t>
      </w:r>
    </w:p>
    <w:p w:rsidR="00F7581C" w:rsidP="00A206DA" w:rsidRDefault="00F7581C" w14:paraId="5CA6EEAC" w14:textId="2DD35252">
      <w:pPr>
        <w:pStyle w:val="ListBullet"/>
      </w:pPr>
      <w:r>
        <w:t>For Schedule TOU-DR2, lower summer on-peak rates by 3.6</w:t>
      </w:r>
      <w:r w:rsidR="00A206DA">
        <w:t xml:space="preserve"> </w:t>
      </w:r>
      <w:r w:rsidR="0097776E">
        <w:t>percent</w:t>
      </w:r>
      <w:r>
        <w:t xml:space="preserve"> and summer off-peak rates by 5.7</w:t>
      </w:r>
      <w:r w:rsidR="00A206DA">
        <w:t xml:space="preserve"> </w:t>
      </w:r>
      <w:r w:rsidR="0097776E">
        <w:t>percent</w:t>
      </w:r>
      <w:r>
        <w:t>, while raising winter on-peak rates by 4.3</w:t>
      </w:r>
      <w:r w:rsidR="00A206DA">
        <w:t xml:space="preserve"> </w:t>
      </w:r>
      <w:r w:rsidR="0097776E">
        <w:t>percent</w:t>
      </w:r>
      <w:r>
        <w:t xml:space="preserve"> and winter off-peak rates by 4.5</w:t>
      </w:r>
      <w:r w:rsidR="00A206DA">
        <w:t xml:space="preserve"> </w:t>
      </w:r>
      <w:r w:rsidR="0097776E">
        <w:t>percent</w:t>
      </w:r>
      <w:r>
        <w:t>.</w:t>
      </w:r>
    </w:p>
    <w:p w:rsidR="00F7581C" w:rsidP="00A206DA" w:rsidRDefault="00F7581C" w14:paraId="0B1F1C06" w14:textId="1F6B6BD8">
      <w:pPr>
        <w:pStyle w:val="ListBullet"/>
      </w:pPr>
      <w:r>
        <w:t>For Schedule TOU-DR, lower summer on-peak rates by 4.2</w:t>
      </w:r>
      <w:r w:rsidR="00A206DA">
        <w:t xml:space="preserve"> </w:t>
      </w:r>
      <w:r w:rsidR="0097776E">
        <w:t>percent</w:t>
      </w:r>
      <w:r>
        <w:t>, summer off-peak rates by 4.8</w:t>
      </w:r>
      <w:r w:rsidR="00A206DA">
        <w:t xml:space="preserve"> </w:t>
      </w:r>
      <w:r w:rsidR="0097776E">
        <w:t>percent</w:t>
      </w:r>
      <w:r>
        <w:t xml:space="preserve"> and summer super off-peak rates by 5.5</w:t>
      </w:r>
      <w:r w:rsidR="00A206DA">
        <w:t xml:space="preserve"> </w:t>
      </w:r>
      <w:r w:rsidR="0097776E">
        <w:t>percent</w:t>
      </w:r>
      <w:r>
        <w:t>, while raising winter on-peak rates by 4.5</w:t>
      </w:r>
      <w:r w:rsidR="00A206DA">
        <w:t xml:space="preserve"> </w:t>
      </w:r>
      <w:r w:rsidR="0097776E">
        <w:t>percent</w:t>
      </w:r>
      <w:r w:rsidR="00592D9B">
        <w:t xml:space="preserve">, </w:t>
      </w:r>
      <w:r>
        <w:t>winter off-peak rates by 4.6</w:t>
      </w:r>
      <w:r w:rsidR="00A206DA">
        <w:t xml:space="preserve"> </w:t>
      </w:r>
      <w:r w:rsidR="0097776E">
        <w:t>percent</w:t>
      </w:r>
      <w:r w:rsidR="00592D9B">
        <w:t>, and winter super off-peak rates by 4.7</w:t>
      </w:r>
      <w:r w:rsidR="00A206DA">
        <w:t> </w:t>
      </w:r>
      <w:r w:rsidR="0097776E">
        <w:t>percent</w:t>
      </w:r>
      <w:r>
        <w:t>.</w:t>
      </w:r>
    </w:p>
    <w:p w:rsidR="00592D9B" w:rsidP="00A206DA" w:rsidRDefault="00592D9B" w14:paraId="4382B5FF" w14:textId="4ED034DD">
      <w:pPr>
        <w:pStyle w:val="ListBullet"/>
      </w:pPr>
      <w:r>
        <w:t>For Schedule DR-TOU, lower summer on-peak rates by 4.2</w:t>
      </w:r>
      <w:r w:rsidR="00A206DA">
        <w:t xml:space="preserve"> </w:t>
      </w:r>
      <w:r w:rsidR="0097776E">
        <w:t>percent</w:t>
      </w:r>
      <w:r>
        <w:t xml:space="preserve"> and summer off-peak rates by 5.1</w:t>
      </w:r>
      <w:r w:rsidR="00A206DA">
        <w:t xml:space="preserve"> </w:t>
      </w:r>
      <w:r w:rsidR="0097776E">
        <w:t>percent</w:t>
      </w:r>
      <w:r>
        <w:t>, while raising winter on-peak rates by 5.0</w:t>
      </w:r>
      <w:r w:rsidR="00A206DA">
        <w:t xml:space="preserve"> </w:t>
      </w:r>
      <w:r w:rsidR="0097776E">
        <w:t>percent</w:t>
      </w:r>
      <w:r>
        <w:t xml:space="preserve"> and winter off-peak rates by 5.1</w:t>
      </w:r>
      <w:r w:rsidR="00A206DA">
        <w:t xml:space="preserve"> </w:t>
      </w:r>
      <w:r w:rsidR="0097776E">
        <w:t>percent</w:t>
      </w:r>
      <w:r>
        <w:t>.</w:t>
      </w:r>
    </w:p>
    <w:p w:rsidR="00592D9B" w:rsidP="00A206DA" w:rsidRDefault="00592D9B" w14:paraId="088CCABC" w14:textId="6161F5AF">
      <w:pPr>
        <w:pStyle w:val="ListBullet"/>
      </w:pPr>
      <w:r>
        <w:t>For Schedule TOU-DR-P, lower summer on-peak rates by 4.7</w:t>
      </w:r>
      <w:r w:rsidR="00A206DA">
        <w:t xml:space="preserve"> </w:t>
      </w:r>
      <w:r w:rsidR="0097776E">
        <w:t>percent</w:t>
      </w:r>
      <w:r>
        <w:t>, summer off-peak rates by 4.8</w:t>
      </w:r>
      <w:r w:rsidR="00F03D0C">
        <w:t xml:space="preserve"> </w:t>
      </w:r>
      <w:r w:rsidR="0097776E">
        <w:t>percent</w:t>
      </w:r>
      <w:r>
        <w:t xml:space="preserve"> and summer super off-peak rates by 6.1</w:t>
      </w:r>
      <w:r w:rsidR="00A206DA">
        <w:t xml:space="preserve"> </w:t>
      </w:r>
      <w:r w:rsidR="0097776E">
        <w:t>percent</w:t>
      </w:r>
      <w:r>
        <w:t>, while raising winter on-peak rates by 4.5</w:t>
      </w:r>
      <w:r w:rsidR="00A206DA">
        <w:t xml:space="preserve"> </w:t>
      </w:r>
      <w:r w:rsidR="0097776E">
        <w:t>percent</w:t>
      </w:r>
      <w:r>
        <w:t>, winter off-peak rates by 4.6</w:t>
      </w:r>
      <w:r w:rsidR="00A206DA">
        <w:t xml:space="preserve"> </w:t>
      </w:r>
      <w:r w:rsidR="0097776E">
        <w:t>percent</w:t>
      </w:r>
      <w:r>
        <w:t>, and winter super off-peak rates by 4.7</w:t>
      </w:r>
      <w:r w:rsidR="00A206DA">
        <w:t> </w:t>
      </w:r>
      <w:r w:rsidR="0097776E">
        <w:t>percent</w:t>
      </w:r>
      <w:r>
        <w:t>.</w:t>
      </w:r>
      <w:r>
        <w:rPr>
          <w:rStyle w:val="FootnoteReference"/>
        </w:rPr>
        <w:footnoteReference w:id="94"/>
      </w:r>
    </w:p>
    <w:p w:rsidR="00812377" w:rsidP="00A206DA" w:rsidRDefault="00812377" w14:paraId="1C4A52A2" w14:textId="21377765">
      <w:pPr>
        <w:pStyle w:val="ListBullet"/>
      </w:pPr>
      <w:r>
        <w:t>For Schedule DR-SES, lower summer on-peak rates by 4.8</w:t>
      </w:r>
      <w:r w:rsidR="00A206DA">
        <w:t xml:space="preserve"> </w:t>
      </w:r>
      <w:r w:rsidR="0097776E">
        <w:t>percent</w:t>
      </w:r>
      <w:r>
        <w:t xml:space="preserve"> and summer off-peak rates by 5.1</w:t>
      </w:r>
      <w:r w:rsidR="00A206DA">
        <w:t xml:space="preserve"> </w:t>
      </w:r>
      <w:r w:rsidR="0097776E">
        <w:t>percent</w:t>
      </w:r>
      <w:r>
        <w:t>, while raising winter on-peak rates by 7.1</w:t>
      </w:r>
      <w:r w:rsidR="00A206DA">
        <w:t xml:space="preserve"> </w:t>
      </w:r>
      <w:r w:rsidR="0097776E">
        <w:t>percent</w:t>
      </w:r>
      <w:r>
        <w:t xml:space="preserve"> and winter off-peak rates by 5.1</w:t>
      </w:r>
      <w:r w:rsidR="00A206DA">
        <w:t xml:space="preserve"> </w:t>
      </w:r>
      <w:r w:rsidR="0097776E">
        <w:t>percent</w:t>
      </w:r>
      <w:r>
        <w:t>.  Super off</w:t>
      </w:r>
      <w:r w:rsidR="00A206DA">
        <w:noBreakHyphen/>
      </w:r>
      <w:r>
        <w:t>peak rates in both seasons would remain unchanged.</w:t>
      </w:r>
    </w:p>
    <w:p w:rsidR="00812377" w:rsidP="00A206DA" w:rsidRDefault="00812377" w14:paraId="6A50DD80" w14:textId="432E46E1">
      <w:pPr>
        <w:pStyle w:val="ListBullet"/>
      </w:pPr>
      <w:r>
        <w:t>For Schedule EV-TOU, lower summer on-peak rates by 4.</w:t>
      </w:r>
      <w:r w:rsidR="00500BF2">
        <w:t>4</w:t>
      </w:r>
      <w:r w:rsidR="00A206DA">
        <w:t xml:space="preserve"> </w:t>
      </w:r>
      <w:r w:rsidR="0097776E">
        <w:t>percent</w:t>
      </w:r>
      <w:r>
        <w:t xml:space="preserve"> and summer off-peak rates by </w:t>
      </w:r>
      <w:r w:rsidR="00500BF2">
        <w:t>4.5</w:t>
      </w:r>
      <w:r w:rsidR="00A206DA">
        <w:t xml:space="preserve"> </w:t>
      </w:r>
      <w:r w:rsidR="0097776E">
        <w:t>percent</w:t>
      </w:r>
      <w:r>
        <w:t xml:space="preserve">, while raising winter on-peak rates by </w:t>
      </w:r>
      <w:r w:rsidR="00500BF2">
        <w:t>6</w:t>
      </w:r>
      <w:r>
        <w:t>.1</w:t>
      </w:r>
      <w:r w:rsidR="00F03D0C">
        <w:t xml:space="preserve"> </w:t>
      </w:r>
      <w:r w:rsidR="0097776E">
        <w:t>percent</w:t>
      </w:r>
      <w:r>
        <w:t xml:space="preserve"> and winter off-peak rates by </w:t>
      </w:r>
      <w:r w:rsidR="00500BF2">
        <w:t>4.4</w:t>
      </w:r>
      <w:r w:rsidR="00A206DA">
        <w:t xml:space="preserve"> </w:t>
      </w:r>
      <w:r w:rsidR="0097776E">
        <w:t>percent</w:t>
      </w:r>
      <w:r>
        <w:t>.  Super off</w:t>
      </w:r>
      <w:r w:rsidR="00A206DA">
        <w:noBreakHyphen/>
      </w:r>
      <w:r>
        <w:t>peak rates in both seasons would remain unchanged.</w:t>
      </w:r>
    </w:p>
    <w:p w:rsidR="00500BF2" w:rsidP="00A206DA" w:rsidRDefault="00500BF2" w14:paraId="3B4E70BC" w14:textId="0E9C901F">
      <w:pPr>
        <w:pStyle w:val="ListBullet"/>
      </w:pPr>
      <w:r>
        <w:t>For Schedule EV-TOU2, lower summer on-peak rates by 4.4</w:t>
      </w:r>
      <w:r w:rsidR="00A206DA">
        <w:t xml:space="preserve"> </w:t>
      </w:r>
      <w:r w:rsidR="0097776E">
        <w:t>percent</w:t>
      </w:r>
      <w:r>
        <w:t xml:space="preserve"> and summer off-peak rates by 4.5</w:t>
      </w:r>
      <w:r w:rsidR="0097776E">
        <w:t>percent</w:t>
      </w:r>
      <w:r>
        <w:t xml:space="preserve">, while raising winter on-peak </w:t>
      </w:r>
      <w:r>
        <w:lastRenderedPageBreak/>
        <w:t>rates by 6.1</w:t>
      </w:r>
      <w:r w:rsidR="00A206DA">
        <w:t xml:space="preserve"> </w:t>
      </w:r>
      <w:r w:rsidR="0097776E">
        <w:t>percent</w:t>
      </w:r>
      <w:r>
        <w:t xml:space="preserve"> and winter off-peak rates by 4.4</w:t>
      </w:r>
      <w:r w:rsidR="00A206DA">
        <w:t xml:space="preserve"> </w:t>
      </w:r>
      <w:r w:rsidR="0097776E">
        <w:t>percent</w:t>
      </w:r>
      <w:r>
        <w:t>.  Super off</w:t>
      </w:r>
      <w:r w:rsidR="00A206DA">
        <w:noBreakHyphen/>
      </w:r>
      <w:r>
        <w:t>peak rates in both seasons would remain unchanged.</w:t>
      </w:r>
    </w:p>
    <w:p w:rsidR="00500BF2" w:rsidP="00A206DA" w:rsidRDefault="00500BF2" w14:paraId="4B47B217" w14:textId="5C93E282">
      <w:pPr>
        <w:pStyle w:val="ListBullet"/>
      </w:pPr>
      <w:r>
        <w:t>For Schedule EV-TOU-5, lower summer on-peak rates by 4.9</w:t>
      </w:r>
      <w:r w:rsidR="00A206DA">
        <w:t xml:space="preserve"> </w:t>
      </w:r>
      <w:r w:rsidR="0097776E">
        <w:t>percent</w:t>
      </w:r>
      <w:r>
        <w:t xml:space="preserve"> and summer off-peak rates by 5.3</w:t>
      </w:r>
      <w:r w:rsidR="00F03D0C">
        <w:t xml:space="preserve"> </w:t>
      </w:r>
      <w:r w:rsidR="0097776E">
        <w:t>percent</w:t>
      </w:r>
      <w:r>
        <w:t>, while raising winter on-peak rates by 7.3</w:t>
      </w:r>
      <w:r w:rsidR="00F03D0C">
        <w:t xml:space="preserve"> </w:t>
      </w:r>
      <w:r w:rsidR="0097776E">
        <w:t>percent</w:t>
      </w:r>
      <w:r>
        <w:t xml:space="preserve"> and winter off-peak rates by 5.3</w:t>
      </w:r>
      <w:r w:rsidR="00A206DA">
        <w:t xml:space="preserve"> </w:t>
      </w:r>
      <w:r w:rsidR="0097776E">
        <w:t>percent</w:t>
      </w:r>
      <w:r>
        <w:t>.  Super off</w:t>
      </w:r>
      <w:r w:rsidR="00A206DA">
        <w:noBreakHyphen/>
      </w:r>
      <w:r>
        <w:t>peak rates in both seasons would be lowered by 0.1</w:t>
      </w:r>
      <w:r w:rsidR="00A206DA">
        <w:t xml:space="preserve"> </w:t>
      </w:r>
      <w:r w:rsidR="0097776E">
        <w:t>percent</w:t>
      </w:r>
      <w:r>
        <w:t>.</w:t>
      </w:r>
      <w:r>
        <w:rPr>
          <w:rStyle w:val="FootnoteReference"/>
        </w:rPr>
        <w:footnoteReference w:id="95"/>
      </w:r>
    </w:p>
    <w:p w:rsidR="00500BF2" w:rsidP="00500BF2" w:rsidRDefault="00500BF2" w14:paraId="1887F55F" w14:textId="30657EBA">
      <w:pPr>
        <w:pStyle w:val="Standard"/>
      </w:pPr>
      <w:r>
        <w:t xml:space="preserve">The bill impacts of SDG&amp;E’s proposed rate design changes are summarized in the table below.  </w:t>
      </w:r>
      <w:proofErr w:type="gramStart"/>
      <w:r>
        <w:t>Generally speaking, average</w:t>
      </w:r>
      <w:proofErr w:type="gramEnd"/>
      <w:r>
        <w:t xml:space="preserve"> summer bills would decrease 4-5</w:t>
      </w:r>
      <w:r w:rsidR="00F03D0C">
        <w:t xml:space="preserve"> </w:t>
      </w:r>
      <w:r w:rsidR="0097776E">
        <w:t>percent</w:t>
      </w:r>
      <w:r>
        <w:t xml:space="preserve"> and average winter bills would increase 4-5</w:t>
      </w:r>
      <w:r w:rsidR="00A206DA">
        <w:t xml:space="preserve"> </w:t>
      </w:r>
      <w:r w:rsidR="0097776E">
        <w:t>percent</w:t>
      </w:r>
      <w:r>
        <w:t>, in line with the objective of the proposed rate design changes.</w:t>
      </w:r>
      <w:r w:rsidR="00F53ED0">
        <w:rPr>
          <w:rStyle w:val="FootnoteReference"/>
        </w:rPr>
        <w:footnoteReference w:id="96"/>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73"/>
        <w:gridCol w:w="1869"/>
        <w:gridCol w:w="1869"/>
        <w:gridCol w:w="1869"/>
        <w:gridCol w:w="1870"/>
      </w:tblGrid>
      <w:tr w:rsidR="00452F07" w:rsidTr="003B3B21" w14:paraId="7F38716D" w14:textId="77777777">
        <w:tc>
          <w:tcPr>
            <w:tcW w:w="1915" w:type="dxa"/>
            <w:shd w:val="clear" w:color="auto" w:fill="auto"/>
          </w:tcPr>
          <w:p w:rsidR="00452F07" w:rsidP="00A206DA" w:rsidRDefault="00452F07" w14:paraId="32DD0F42" w14:textId="77777777">
            <w:pPr>
              <w:pStyle w:val="Standard"/>
              <w:spacing w:line="240" w:lineRule="auto"/>
              <w:ind w:firstLine="0"/>
            </w:pPr>
            <w:r>
              <w:t>Schedule</w:t>
            </w:r>
          </w:p>
        </w:tc>
        <w:tc>
          <w:tcPr>
            <w:tcW w:w="1915" w:type="dxa"/>
            <w:shd w:val="clear" w:color="auto" w:fill="auto"/>
          </w:tcPr>
          <w:p w:rsidR="00452F07" w:rsidP="00A206DA" w:rsidRDefault="00452F07" w14:paraId="659F3755" w14:textId="77777777">
            <w:pPr>
              <w:pStyle w:val="Standard"/>
              <w:spacing w:line="240" w:lineRule="auto"/>
              <w:ind w:firstLine="0"/>
            </w:pPr>
            <w:r>
              <w:t>Non-CARE Average Summer Bill Impact</w:t>
            </w:r>
          </w:p>
        </w:tc>
        <w:tc>
          <w:tcPr>
            <w:tcW w:w="1915" w:type="dxa"/>
            <w:shd w:val="clear" w:color="auto" w:fill="auto"/>
          </w:tcPr>
          <w:p w:rsidR="00452F07" w:rsidP="00A206DA" w:rsidRDefault="00452F07" w14:paraId="281AA859" w14:textId="77777777">
            <w:pPr>
              <w:pStyle w:val="Standard"/>
              <w:spacing w:line="240" w:lineRule="auto"/>
              <w:ind w:firstLine="0"/>
            </w:pPr>
            <w:r>
              <w:t>Non-CARE Average Winter Bill Impact</w:t>
            </w:r>
          </w:p>
        </w:tc>
        <w:tc>
          <w:tcPr>
            <w:tcW w:w="1915" w:type="dxa"/>
            <w:shd w:val="clear" w:color="auto" w:fill="auto"/>
          </w:tcPr>
          <w:p w:rsidR="00452F07" w:rsidP="00A206DA" w:rsidRDefault="00452F07" w14:paraId="21B92A76" w14:textId="77777777">
            <w:pPr>
              <w:pStyle w:val="Standard"/>
              <w:spacing w:line="240" w:lineRule="auto"/>
              <w:ind w:firstLine="0"/>
            </w:pPr>
            <w:r>
              <w:t>CARE Average Summer Bill Impact</w:t>
            </w:r>
          </w:p>
        </w:tc>
        <w:tc>
          <w:tcPr>
            <w:tcW w:w="1916" w:type="dxa"/>
            <w:shd w:val="clear" w:color="auto" w:fill="auto"/>
          </w:tcPr>
          <w:p w:rsidR="00452F07" w:rsidP="00A206DA" w:rsidRDefault="00452F07" w14:paraId="579EB952" w14:textId="77777777">
            <w:pPr>
              <w:pStyle w:val="Standard"/>
              <w:spacing w:line="240" w:lineRule="auto"/>
              <w:ind w:firstLine="0"/>
            </w:pPr>
            <w:r>
              <w:t>CARE Average Winter Bill Impact</w:t>
            </w:r>
          </w:p>
        </w:tc>
      </w:tr>
      <w:tr w:rsidR="00452F07" w:rsidTr="003B3B21" w14:paraId="6270CA76" w14:textId="77777777">
        <w:tc>
          <w:tcPr>
            <w:tcW w:w="1915" w:type="dxa"/>
            <w:shd w:val="clear" w:color="auto" w:fill="auto"/>
          </w:tcPr>
          <w:p w:rsidR="00452F07" w:rsidP="003B3B21" w:rsidRDefault="00452F07" w14:paraId="33645F5B" w14:textId="77777777">
            <w:pPr>
              <w:pStyle w:val="Standard"/>
              <w:ind w:firstLine="0"/>
            </w:pPr>
            <w:r>
              <w:t>TOU-DR2</w:t>
            </w:r>
          </w:p>
        </w:tc>
        <w:tc>
          <w:tcPr>
            <w:tcW w:w="1915" w:type="dxa"/>
            <w:shd w:val="clear" w:color="auto" w:fill="auto"/>
          </w:tcPr>
          <w:p w:rsidR="00452F07" w:rsidP="003B3B21" w:rsidRDefault="00452F07" w14:paraId="2CAAEA2B" w14:textId="6488DEA3">
            <w:pPr>
              <w:pStyle w:val="Standard"/>
              <w:ind w:firstLine="0"/>
            </w:pPr>
            <w:r>
              <w:t>- 4.9</w:t>
            </w:r>
            <w:r w:rsidR="00A206DA">
              <w:t>%</w:t>
            </w:r>
          </w:p>
        </w:tc>
        <w:tc>
          <w:tcPr>
            <w:tcW w:w="1915" w:type="dxa"/>
            <w:shd w:val="clear" w:color="auto" w:fill="auto"/>
          </w:tcPr>
          <w:p w:rsidR="00452F07" w:rsidP="003B3B21" w:rsidRDefault="00452F07" w14:paraId="33E651BB" w14:textId="71D208C6">
            <w:pPr>
              <w:pStyle w:val="Standard"/>
              <w:ind w:firstLine="0"/>
            </w:pPr>
            <w:r>
              <w:t>4.4</w:t>
            </w:r>
            <w:r w:rsidR="00A206DA">
              <w:t>%</w:t>
            </w:r>
          </w:p>
        </w:tc>
        <w:tc>
          <w:tcPr>
            <w:tcW w:w="1915" w:type="dxa"/>
            <w:shd w:val="clear" w:color="auto" w:fill="auto"/>
          </w:tcPr>
          <w:p w:rsidR="00452F07" w:rsidP="003B3B21" w:rsidRDefault="00452F07" w14:paraId="25DA522B" w14:textId="62915717">
            <w:pPr>
              <w:pStyle w:val="Standard"/>
              <w:ind w:firstLine="0"/>
            </w:pPr>
            <w:r>
              <w:t>- 5.2</w:t>
            </w:r>
            <w:r w:rsidR="00A206DA">
              <w:t>%</w:t>
            </w:r>
          </w:p>
        </w:tc>
        <w:tc>
          <w:tcPr>
            <w:tcW w:w="1916" w:type="dxa"/>
            <w:shd w:val="clear" w:color="auto" w:fill="auto"/>
          </w:tcPr>
          <w:p w:rsidR="00452F07" w:rsidP="003B3B21" w:rsidRDefault="00452F07" w14:paraId="438F104A" w14:textId="79F3000C">
            <w:pPr>
              <w:pStyle w:val="Standard"/>
              <w:ind w:firstLine="0"/>
            </w:pPr>
            <w:r>
              <w:t>4.6</w:t>
            </w:r>
            <w:r w:rsidR="00A206DA">
              <w:t>%</w:t>
            </w:r>
          </w:p>
        </w:tc>
      </w:tr>
      <w:tr w:rsidR="00452F07" w:rsidTr="003B3B21" w14:paraId="7212BE63" w14:textId="77777777">
        <w:tc>
          <w:tcPr>
            <w:tcW w:w="1915" w:type="dxa"/>
            <w:shd w:val="clear" w:color="auto" w:fill="auto"/>
          </w:tcPr>
          <w:p w:rsidR="00452F07" w:rsidP="003B3B21" w:rsidRDefault="00452F07" w14:paraId="1C13FA12" w14:textId="77777777">
            <w:pPr>
              <w:pStyle w:val="Standard"/>
              <w:ind w:firstLine="0"/>
            </w:pPr>
            <w:r>
              <w:t>TOU-DR</w:t>
            </w:r>
          </w:p>
        </w:tc>
        <w:tc>
          <w:tcPr>
            <w:tcW w:w="1915" w:type="dxa"/>
            <w:shd w:val="clear" w:color="auto" w:fill="auto"/>
          </w:tcPr>
          <w:p w:rsidR="00452F07" w:rsidP="003B3B21" w:rsidRDefault="00452F07" w14:paraId="456D38EA" w14:textId="452029E4">
            <w:pPr>
              <w:pStyle w:val="Standard"/>
              <w:ind w:firstLine="0"/>
            </w:pPr>
            <w:r>
              <w:t>- 4.8</w:t>
            </w:r>
            <w:r w:rsidR="00A206DA">
              <w:t>%</w:t>
            </w:r>
          </w:p>
        </w:tc>
        <w:tc>
          <w:tcPr>
            <w:tcW w:w="1915" w:type="dxa"/>
            <w:shd w:val="clear" w:color="auto" w:fill="auto"/>
          </w:tcPr>
          <w:p w:rsidR="00452F07" w:rsidP="003B3B21" w:rsidRDefault="00452F07" w14:paraId="0A2D4194" w14:textId="12D385BA">
            <w:pPr>
              <w:pStyle w:val="Standard"/>
              <w:ind w:firstLine="0"/>
            </w:pPr>
            <w:r>
              <w:t>4.6</w:t>
            </w:r>
            <w:r w:rsidR="00A206DA">
              <w:t>%</w:t>
            </w:r>
          </w:p>
        </w:tc>
        <w:tc>
          <w:tcPr>
            <w:tcW w:w="1915" w:type="dxa"/>
            <w:shd w:val="clear" w:color="auto" w:fill="auto"/>
          </w:tcPr>
          <w:p w:rsidR="00452F07" w:rsidP="003B3B21" w:rsidRDefault="00452F07" w14:paraId="053972B5" w14:textId="29CE7E73">
            <w:pPr>
              <w:pStyle w:val="Standard"/>
              <w:ind w:firstLine="0"/>
            </w:pPr>
            <w:r>
              <w:t>- 5.0</w:t>
            </w:r>
            <w:r w:rsidR="00A206DA">
              <w:t>%</w:t>
            </w:r>
          </w:p>
        </w:tc>
        <w:tc>
          <w:tcPr>
            <w:tcW w:w="1916" w:type="dxa"/>
            <w:shd w:val="clear" w:color="auto" w:fill="auto"/>
          </w:tcPr>
          <w:p w:rsidR="00452F07" w:rsidP="003B3B21" w:rsidRDefault="00452F07" w14:paraId="07F2361D" w14:textId="3051FC5F">
            <w:pPr>
              <w:pStyle w:val="Standard"/>
              <w:ind w:firstLine="0"/>
            </w:pPr>
            <w:r>
              <w:t>4.8</w:t>
            </w:r>
            <w:r w:rsidR="00A206DA">
              <w:t>%</w:t>
            </w:r>
          </w:p>
        </w:tc>
      </w:tr>
      <w:tr w:rsidR="00452F07" w:rsidTr="003B3B21" w14:paraId="04A7CB2A" w14:textId="77777777">
        <w:tc>
          <w:tcPr>
            <w:tcW w:w="1915" w:type="dxa"/>
            <w:shd w:val="clear" w:color="auto" w:fill="auto"/>
          </w:tcPr>
          <w:p w:rsidR="00452F07" w:rsidP="003B3B21" w:rsidRDefault="00452F07" w14:paraId="541EE396" w14:textId="77777777">
            <w:pPr>
              <w:pStyle w:val="Standard"/>
              <w:ind w:firstLine="0"/>
            </w:pPr>
            <w:r>
              <w:t>TOU-DR-P</w:t>
            </w:r>
          </w:p>
        </w:tc>
        <w:tc>
          <w:tcPr>
            <w:tcW w:w="1915" w:type="dxa"/>
            <w:shd w:val="clear" w:color="auto" w:fill="auto"/>
          </w:tcPr>
          <w:p w:rsidR="00452F07" w:rsidP="003B3B21" w:rsidRDefault="00452F07" w14:paraId="400DC2A4" w14:textId="716FCD18">
            <w:pPr>
              <w:pStyle w:val="Standard"/>
              <w:ind w:firstLine="0"/>
            </w:pPr>
            <w:r>
              <w:t>- 5.1</w:t>
            </w:r>
            <w:r w:rsidR="00A206DA">
              <w:t>%</w:t>
            </w:r>
          </w:p>
        </w:tc>
        <w:tc>
          <w:tcPr>
            <w:tcW w:w="1915" w:type="dxa"/>
            <w:shd w:val="clear" w:color="auto" w:fill="auto"/>
          </w:tcPr>
          <w:p w:rsidR="00452F07" w:rsidP="003B3B21" w:rsidRDefault="00452F07" w14:paraId="6AF0DC8D" w14:textId="7202BDD8">
            <w:pPr>
              <w:pStyle w:val="Standard"/>
              <w:ind w:firstLine="0"/>
            </w:pPr>
            <w:r>
              <w:t>4.6</w:t>
            </w:r>
            <w:r w:rsidR="00A206DA">
              <w:t>%</w:t>
            </w:r>
          </w:p>
        </w:tc>
        <w:tc>
          <w:tcPr>
            <w:tcW w:w="1915" w:type="dxa"/>
            <w:shd w:val="clear" w:color="auto" w:fill="auto"/>
          </w:tcPr>
          <w:p w:rsidR="00452F07" w:rsidP="003B3B21" w:rsidRDefault="00452F07" w14:paraId="3549F84C" w14:textId="429B8AC9">
            <w:pPr>
              <w:pStyle w:val="Standard"/>
              <w:ind w:firstLine="0"/>
            </w:pPr>
            <w:r>
              <w:t>- 5.3</w:t>
            </w:r>
            <w:r w:rsidR="00A206DA">
              <w:t>%</w:t>
            </w:r>
          </w:p>
        </w:tc>
        <w:tc>
          <w:tcPr>
            <w:tcW w:w="1916" w:type="dxa"/>
            <w:shd w:val="clear" w:color="auto" w:fill="auto"/>
          </w:tcPr>
          <w:p w:rsidR="00452F07" w:rsidP="003B3B21" w:rsidRDefault="00452F07" w14:paraId="71C744D0" w14:textId="737E25DD">
            <w:pPr>
              <w:pStyle w:val="Standard"/>
              <w:ind w:firstLine="0"/>
            </w:pPr>
            <w:r>
              <w:t>4.8</w:t>
            </w:r>
            <w:r w:rsidR="00A206DA">
              <w:t>%</w:t>
            </w:r>
          </w:p>
        </w:tc>
      </w:tr>
      <w:tr w:rsidR="00452F07" w:rsidTr="003B3B21" w14:paraId="3F90B7E9" w14:textId="77777777">
        <w:tc>
          <w:tcPr>
            <w:tcW w:w="1915" w:type="dxa"/>
            <w:shd w:val="clear" w:color="auto" w:fill="auto"/>
          </w:tcPr>
          <w:p w:rsidR="00452F07" w:rsidP="003B3B21" w:rsidRDefault="00452F07" w14:paraId="3429B771" w14:textId="77777777">
            <w:pPr>
              <w:pStyle w:val="Standard"/>
              <w:ind w:firstLine="0"/>
            </w:pPr>
            <w:r>
              <w:t>DR-TOU</w:t>
            </w:r>
          </w:p>
        </w:tc>
        <w:tc>
          <w:tcPr>
            <w:tcW w:w="1915" w:type="dxa"/>
            <w:shd w:val="clear" w:color="auto" w:fill="auto"/>
          </w:tcPr>
          <w:p w:rsidR="00452F07" w:rsidP="003B3B21" w:rsidRDefault="00452F07" w14:paraId="3F6F31D5" w14:textId="3D5A440A">
            <w:pPr>
              <w:pStyle w:val="Standard"/>
              <w:ind w:firstLine="0"/>
            </w:pPr>
            <w:r>
              <w:t>- 4.9</w:t>
            </w:r>
            <w:r w:rsidR="00A206DA">
              <w:t>%</w:t>
            </w:r>
          </w:p>
        </w:tc>
        <w:tc>
          <w:tcPr>
            <w:tcW w:w="1915" w:type="dxa"/>
            <w:shd w:val="clear" w:color="auto" w:fill="auto"/>
          </w:tcPr>
          <w:p w:rsidR="00452F07" w:rsidP="003B3B21" w:rsidRDefault="00452F07" w14:paraId="27D792AB" w14:textId="1920B4DA">
            <w:pPr>
              <w:pStyle w:val="Standard"/>
              <w:ind w:firstLine="0"/>
            </w:pPr>
            <w:r>
              <w:t>5.1</w:t>
            </w:r>
            <w:r w:rsidR="00A206DA">
              <w:t>%</w:t>
            </w:r>
          </w:p>
        </w:tc>
        <w:tc>
          <w:tcPr>
            <w:tcW w:w="1915" w:type="dxa"/>
            <w:shd w:val="clear" w:color="auto" w:fill="auto"/>
          </w:tcPr>
          <w:p w:rsidR="00452F07" w:rsidP="003B3B21" w:rsidRDefault="00452F07" w14:paraId="14227F3E" w14:textId="646E97E7">
            <w:pPr>
              <w:pStyle w:val="Standard"/>
              <w:ind w:firstLine="0"/>
            </w:pPr>
            <w:r>
              <w:t>- 5.1</w:t>
            </w:r>
            <w:r w:rsidR="00A206DA">
              <w:t>%</w:t>
            </w:r>
          </w:p>
        </w:tc>
        <w:tc>
          <w:tcPr>
            <w:tcW w:w="1916" w:type="dxa"/>
            <w:shd w:val="clear" w:color="auto" w:fill="auto"/>
          </w:tcPr>
          <w:p w:rsidR="00452F07" w:rsidP="003B3B21" w:rsidRDefault="00452F07" w14:paraId="0A782E31" w14:textId="316D021F">
            <w:pPr>
              <w:pStyle w:val="Standard"/>
              <w:ind w:firstLine="0"/>
            </w:pPr>
            <w:r>
              <w:t>5.4</w:t>
            </w:r>
            <w:r w:rsidR="00A206DA">
              <w:t>%</w:t>
            </w:r>
          </w:p>
        </w:tc>
      </w:tr>
      <w:tr w:rsidR="00452F07" w:rsidTr="003B3B21" w14:paraId="62C0C4F2" w14:textId="77777777">
        <w:tc>
          <w:tcPr>
            <w:tcW w:w="1915" w:type="dxa"/>
            <w:shd w:val="clear" w:color="auto" w:fill="auto"/>
          </w:tcPr>
          <w:p w:rsidR="00452F07" w:rsidP="003B3B21" w:rsidRDefault="005153C3" w14:paraId="2DEC42A2" w14:textId="77777777">
            <w:pPr>
              <w:pStyle w:val="Standard"/>
              <w:ind w:firstLine="0"/>
            </w:pPr>
            <w:r>
              <w:t>DR-SES</w:t>
            </w:r>
          </w:p>
        </w:tc>
        <w:tc>
          <w:tcPr>
            <w:tcW w:w="1915" w:type="dxa"/>
            <w:shd w:val="clear" w:color="auto" w:fill="auto"/>
          </w:tcPr>
          <w:p w:rsidR="00452F07" w:rsidP="003B3B21" w:rsidRDefault="005153C3" w14:paraId="5BC50449" w14:textId="5053A340">
            <w:pPr>
              <w:pStyle w:val="Standard"/>
              <w:ind w:firstLine="0"/>
            </w:pPr>
            <w:r>
              <w:t>- 4.0</w:t>
            </w:r>
            <w:r w:rsidR="00A206DA">
              <w:t>%</w:t>
            </w:r>
          </w:p>
        </w:tc>
        <w:tc>
          <w:tcPr>
            <w:tcW w:w="1915" w:type="dxa"/>
            <w:shd w:val="clear" w:color="auto" w:fill="auto"/>
          </w:tcPr>
          <w:p w:rsidR="00452F07" w:rsidP="003B3B21" w:rsidRDefault="005153C3" w14:paraId="304250A4" w14:textId="34305557">
            <w:pPr>
              <w:pStyle w:val="Standard"/>
              <w:ind w:firstLine="0"/>
            </w:pPr>
            <w:r>
              <w:t>3.8</w:t>
            </w:r>
            <w:r w:rsidR="00A206DA">
              <w:t>%</w:t>
            </w:r>
          </w:p>
        </w:tc>
        <w:tc>
          <w:tcPr>
            <w:tcW w:w="1915" w:type="dxa"/>
            <w:shd w:val="clear" w:color="auto" w:fill="auto"/>
          </w:tcPr>
          <w:p w:rsidR="00452F07" w:rsidP="003B3B21" w:rsidRDefault="005153C3" w14:paraId="7B1C8189" w14:textId="5D52ED73">
            <w:pPr>
              <w:pStyle w:val="Standard"/>
              <w:ind w:firstLine="0"/>
            </w:pPr>
            <w:r>
              <w:t>- 4.1</w:t>
            </w:r>
            <w:r w:rsidR="00A206DA">
              <w:t>%</w:t>
            </w:r>
          </w:p>
        </w:tc>
        <w:tc>
          <w:tcPr>
            <w:tcW w:w="1916" w:type="dxa"/>
            <w:shd w:val="clear" w:color="auto" w:fill="auto"/>
          </w:tcPr>
          <w:p w:rsidR="00452F07" w:rsidP="003B3B21" w:rsidRDefault="005153C3" w14:paraId="0FA25C6F" w14:textId="3FA9A509">
            <w:pPr>
              <w:pStyle w:val="Standard"/>
              <w:ind w:firstLine="0"/>
            </w:pPr>
            <w:r>
              <w:t>3.8</w:t>
            </w:r>
            <w:r w:rsidR="00A206DA">
              <w:t>%</w:t>
            </w:r>
          </w:p>
        </w:tc>
      </w:tr>
      <w:tr w:rsidR="00452F07" w:rsidTr="003B3B21" w14:paraId="2B050BC1" w14:textId="77777777">
        <w:tc>
          <w:tcPr>
            <w:tcW w:w="1915" w:type="dxa"/>
            <w:shd w:val="clear" w:color="auto" w:fill="auto"/>
          </w:tcPr>
          <w:p w:rsidR="00452F07" w:rsidP="003B3B21" w:rsidRDefault="005153C3" w14:paraId="185061B7" w14:textId="77777777">
            <w:pPr>
              <w:pStyle w:val="Standard"/>
              <w:ind w:firstLine="0"/>
            </w:pPr>
            <w:r>
              <w:t>EV-TOU2</w:t>
            </w:r>
          </w:p>
        </w:tc>
        <w:tc>
          <w:tcPr>
            <w:tcW w:w="1915" w:type="dxa"/>
            <w:shd w:val="clear" w:color="auto" w:fill="auto"/>
          </w:tcPr>
          <w:p w:rsidR="00452F07" w:rsidP="003B3B21" w:rsidRDefault="005153C3" w14:paraId="5EC16F3D" w14:textId="5EE66DD4">
            <w:pPr>
              <w:pStyle w:val="Standard"/>
              <w:ind w:firstLine="0"/>
            </w:pPr>
            <w:r>
              <w:t>- 3.6</w:t>
            </w:r>
            <w:r w:rsidR="00A206DA">
              <w:t>%</w:t>
            </w:r>
          </w:p>
        </w:tc>
        <w:tc>
          <w:tcPr>
            <w:tcW w:w="1915" w:type="dxa"/>
            <w:shd w:val="clear" w:color="auto" w:fill="auto"/>
          </w:tcPr>
          <w:p w:rsidR="00452F07" w:rsidP="003B3B21" w:rsidRDefault="005153C3" w14:paraId="3DD5551F" w14:textId="0FAB8DAE">
            <w:pPr>
              <w:pStyle w:val="Standard"/>
              <w:ind w:firstLine="0"/>
            </w:pPr>
            <w:r>
              <w:t>3.5</w:t>
            </w:r>
            <w:r w:rsidR="00A206DA">
              <w:t>%</w:t>
            </w:r>
          </w:p>
        </w:tc>
        <w:tc>
          <w:tcPr>
            <w:tcW w:w="1915" w:type="dxa"/>
            <w:shd w:val="clear" w:color="auto" w:fill="auto"/>
          </w:tcPr>
          <w:p w:rsidR="00452F07" w:rsidP="003B3B21" w:rsidRDefault="005153C3" w14:paraId="3C2F578F" w14:textId="62CA84D4">
            <w:pPr>
              <w:pStyle w:val="Standard"/>
              <w:ind w:firstLine="0"/>
            </w:pPr>
            <w:r>
              <w:t>- 3.7</w:t>
            </w:r>
            <w:r w:rsidR="00A206DA">
              <w:t>%</w:t>
            </w:r>
          </w:p>
        </w:tc>
        <w:tc>
          <w:tcPr>
            <w:tcW w:w="1916" w:type="dxa"/>
            <w:shd w:val="clear" w:color="auto" w:fill="auto"/>
          </w:tcPr>
          <w:p w:rsidR="00452F07" w:rsidP="003B3B21" w:rsidRDefault="005153C3" w14:paraId="7F3EE5DB" w14:textId="2F5FF2C7">
            <w:pPr>
              <w:pStyle w:val="Standard"/>
              <w:ind w:firstLine="0"/>
            </w:pPr>
            <w:r>
              <w:t>3.8</w:t>
            </w:r>
            <w:r w:rsidR="00A206DA">
              <w:t>%</w:t>
            </w:r>
          </w:p>
        </w:tc>
      </w:tr>
      <w:tr w:rsidR="00452F07" w:rsidTr="003B3B21" w14:paraId="459C72E0" w14:textId="77777777">
        <w:tc>
          <w:tcPr>
            <w:tcW w:w="1915" w:type="dxa"/>
            <w:shd w:val="clear" w:color="auto" w:fill="auto"/>
          </w:tcPr>
          <w:p w:rsidR="00452F07" w:rsidP="003B3B21" w:rsidRDefault="00F53ED0" w14:paraId="7BA0B510" w14:textId="77777777">
            <w:pPr>
              <w:pStyle w:val="Standard"/>
              <w:ind w:firstLine="0"/>
            </w:pPr>
            <w:r>
              <w:t>EV-TOU-5</w:t>
            </w:r>
          </w:p>
        </w:tc>
        <w:tc>
          <w:tcPr>
            <w:tcW w:w="1915" w:type="dxa"/>
            <w:shd w:val="clear" w:color="auto" w:fill="auto"/>
          </w:tcPr>
          <w:p w:rsidR="00452F07" w:rsidP="003B3B21" w:rsidRDefault="00F53ED0" w14:paraId="5F4F31BA" w14:textId="61D7CD87">
            <w:pPr>
              <w:pStyle w:val="Standard"/>
              <w:ind w:firstLine="0"/>
            </w:pPr>
            <w:r>
              <w:t>- 4.0</w:t>
            </w:r>
            <w:r w:rsidR="00A206DA">
              <w:t>%</w:t>
            </w:r>
          </w:p>
        </w:tc>
        <w:tc>
          <w:tcPr>
            <w:tcW w:w="1915" w:type="dxa"/>
            <w:shd w:val="clear" w:color="auto" w:fill="auto"/>
          </w:tcPr>
          <w:p w:rsidR="00452F07" w:rsidP="003B3B21" w:rsidRDefault="00F53ED0" w14:paraId="7C33A3C7" w14:textId="77C2DF75">
            <w:pPr>
              <w:pStyle w:val="Standard"/>
              <w:ind w:firstLine="0"/>
            </w:pPr>
            <w:r>
              <w:t>4.0</w:t>
            </w:r>
            <w:r w:rsidR="00A206DA">
              <w:t>%</w:t>
            </w:r>
          </w:p>
        </w:tc>
        <w:tc>
          <w:tcPr>
            <w:tcW w:w="1915" w:type="dxa"/>
            <w:shd w:val="clear" w:color="auto" w:fill="auto"/>
          </w:tcPr>
          <w:p w:rsidR="00452F07" w:rsidP="003B3B21" w:rsidRDefault="00F53ED0" w14:paraId="641F091E" w14:textId="46891FB0">
            <w:pPr>
              <w:pStyle w:val="Standard"/>
              <w:ind w:firstLine="0"/>
            </w:pPr>
            <w:r>
              <w:t>- 4.3</w:t>
            </w:r>
            <w:r w:rsidR="00A206DA">
              <w:t>%</w:t>
            </w:r>
          </w:p>
        </w:tc>
        <w:tc>
          <w:tcPr>
            <w:tcW w:w="1916" w:type="dxa"/>
            <w:shd w:val="clear" w:color="auto" w:fill="auto"/>
          </w:tcPr>
          <w:p w:rsidR="00452F07" w:rsidP="003B3B21" w:rsidRDefault="00F53ED0" w14:paraId="15ADBF9C" w14:textId="0A9A8264">
            <w:pPr>
              <w:pStyle w:val="Standard"/>
              <w:ind w:firstLine="0"/>
            </w:pPr>
            <w:r>
              <w:t>4.4</w:t>
            </w:r>
            <w:r w:rsidR="00A206DA">
              <w:t>%</w:t>
            </w:r>
          </w:p>
        </w:tc>
      </w:tr>
    </w:tbl>
    <w:p w:rsidRPr="00A206DA" w:rsidR="00F53ED0" w:rsidP="00F97F4E" w:rsidRDefault="00F53ED0" w14:paraId="1DEFE5DA" w14:textId="77777777">
      <w:pPr>
        <w:pStyle w:val="Standard"/>
        <w:rPr>
          <w:sz w:val="10"/>
          <w:szCs w:val="10"/>
        </w:rPr>
      </w:pPr>
    </w:p>
    <w:p w:rsidR="00B4240A" w:rsidP="00B4240A" w:rsidRDefault="007B083A" w14:paraId="175193F2" w14:textId="77777777">
      <w:pPr>
        <w:pStyle w:val="Standard"/>
      </w:pPr>
      <w:r>
        <w:t xml:space="preserve">UCAN, </w:t>
      </w:r>
      <w:r w:rsidR="00F97F4E">
        <w:t xml:space="preserve">TURN and </w:t>
      </w:r>
      <w:proofErr w:type="spellStart"/>
      <w:r w:rsidR="00F97F4E">
        <w:t>CforAT</w:t>
      </w:r>
      <w:proofErr w:type="spellEnd"/>
      <w:r w:rsidR="00F97F4E">
        <w:t xml:space="preserve"> each argued that SDG&amp;E implement any changes to its opt-in TOU rates </w:t>
      </w:r>
      <w:r w:rsidRPr="00EB6DA8" w:rsidR="00F97F4E">
        <w:t>at the start of the summer season of 2021</w:t>
      </w:r>
      <w:r w:rsidR="00F97F4E">
        <w:t xml:space="preserve"> </w:t>
      </w:r>
      <w:proofErr w:type="gramStart"/>
      <w:r w:rsidR="00F97F4E">
        <w:t>in order to</w:t>
      </w:r>
      <w:proofErr w:type="gramEnd"/>
      <w:r w:rsidR="00F97F4E">
        <w:t xml:space="preserve"> avoid adverse bill impacts during the winter season.</w:t>
      </w:r>
      <w:r w:rsidR="00F97F4E">
        <w:rPr>
          <w:rStyle w:val="FootnoteReference"/>
        </w:rPr>
        <w:footnoteReference w:id="97"/>
      </w:r>
      <w:r w:rsidR="00564C4E">
        <w:t xml:space="preserve">  </w:t>
      </w:r>
      <w:r w:rsidR="00B4240A">
        <w:t xml:space="preserve">SDG&amp;E agreed that changes to </w:t>
      </w:r>
      <w:proofErr w:type="spellStart"/>
      <w:r w:rsidR="00B4240A">
        <w:t>untiered</w:t>
      </w:r>
      <w:proofErr w:type="spellEnd"/>
      <w:r w:rsidR="00B4240A">
        <w:t xml:space="preserve"> rates could occur by summer 2021, but argued that it was not </w:t>
      </w:r>
      <w:r w:rsidR="00B4240A">
        <w:lastRenderedPageBreak/>
        <w:t>possible to make changes to the tiered rate designs until “its next available rate change.”</w:t>
      </w:r>
      <w:r w:rsidR="007E3198">
        <w:rPr>
          <w:rStyle w:val="FootnoteReference"/>
        </w:rPr>
        <w:footnoteReference w:id="98"/>
      </w:r>
    </w:p>
    <w:p w:rsidR="00F97F4E" w:rsidP="00F97F4E" w:rsidRDefault="00564C4E" w14:paraId="2FA563C9" w14:textId="77777777">
      <w:pPr>
        <w:pStyle w:val="Standard"/>
      </w:pPr>
      <w:proofErr w:type="spellStart"/>
      <w:r>
        <w:t>CforAT</w:t>
      </w:r>
      <w:proofErr w:type="spellEnd"/>
      <w:r>
        <w:t xml:space="preserve"> expressed no opposition to the modified rate designs put forward by SDG&amp;E for opt-in residential TOU rates.</w:t>
      </w:r>
      <w:r>
        <w:rPr>
          <w:rStyle w:val="FootnoteReference"/>
        </w:rPr>
        <w:footnoteReference w:id="99"/>
      </w:r>
    </w:p>
    <w:p w:rsidR="00F22CA4" w:rsidP="00F97F4E" w:rsidRDefault="00F22CA4" w14:paraId="76F1EAAF" w14:textId="77777777">
      <w:pPr>
        <w:pStyle w:val="Standard"/>
      </w:pPr>
      <w:r>
        <w:t xml:space="preserve">UCAN supported the proposed revisions to the rate designs of SDG&amp;E’s tiered opt-in residential TOU </w:t>
      </w:r>
      <w:proofErr w:type="gramStart"/>
      <w:r>
        <w:t>rates, and</w:t>
      </w:r>
      <w:proofErr w:type="gramEnd"/>
      <w:r>
        <w:t xml:space="preserve"> argued that the rate and bill impacts of the proposed revisions were reasonable.</w:t>
      </w:r>
      <w:r>
        <w:rPr>
          <w:rStyle w:val="FootnoteReference"/>
        </w:rPr>
        <w:footnoteReference w:id="100"/>
      </w:r>
      <w:r>
        <w:t xml:space="preserve">  However, with respect to the </w:t>
      </w:r>
      <w:proofErr w:type="spellStart"/>
      <w:r>
        <w:t>untiered</w:t>
      </w:r>
      <w:proofErr w:type="spellEnd"/>
      <w:r>
        <w:t xml:space="preserve"> rate design modifications using the EECC in lieu of the TRAC rate component, UCAN expressed concern.  UCAN noted that the modifications to the </w:t>
      </w:r>
      <w:proofErr w:type="spellStart"/>
      <w:r>
        <w:t>untiered</w:t>
      </w:r>
      <w:proofErr w:type="spellEnd"/>
      <w:r>
        <w:t xml:space="preserve"> rates showed no changes to the super off-peak </w:t>
      </w:r>
      <w:r w:rsidR="007B083A">
        <w:t xml:space="preserve">prices, while modifications to the tiered rates showed changes to super off-peak prices where applicable.  UCAN argued that for simplicity’s sake the super off-peak prices be adjusted for the </w:t>
      </w:r>
      <w:proofErr w:type="spellStart"/>
      <w:r w:rsidR="007B083A">
        <w:t>untiered</w:t>
      </w:r>
      <w:proofErr w:type="spellEnd"/>
      <w:r w:rsidR="007B083A">
        <w:t xml:space="preserve"> rates as they are for the tiered rates.</w:t>
      </w:r>
      <w:r w:rsidR="007B083A">
        <w:rPr>
          <w:rStyle w:val="FootnoteReference"/>
        </w:rPr>
        <w:footnoteReference w:id="101"/>
      </w:r>
    </w:p>
    <w:p w:rsidR="00B4240A" w:rsidP="00F97F4E" w:rsidRDefault="00B4240A" w14:paraId="39C54585" w14:textId="77777777">
      <w:pPr>
        <w:pStyle w:val="Standard"/>
      </w:pPr>
      <w:r>
        <w:t xml:space="preserve">SDG&amp;E attempted to refute UCAN’s concerns by noting that the objective of the modified rate designs for the </w:t>
      </w:r>
      <w:proofErr w:type="spellStart"/>
      <w:r>
        <w:t>untiered</w:t>
      </w:r>
      <w:proofErr w:type="spellEnd"/>
      <w:r>
        <w:t xml:space="preserve"> rates is to reduce summer bills and seasonal bill volatility by reducing average summer bills slightly and increasing winter bills slightly.  In SDG&amp;E’s view, the proposed modifications achieve those goals without resorting to modifications to the super off-peak prices.</w:t>
      </w:r>
      <w:r>
        <w:rPr>
          <w:rStyle w:val="FootnoteReference"/>
        </w:rPr>
        <w:footnoteReference w:id="102"/>
      </w:r>
    </w:p>
    <w:p w:rsidR="00CE1D26" w:rsidP="00F97F4E" w:rsidRDefault="00CE1D26" w14:paraId="6008C23A" w14:textId="77777777">
      <w:pPr>
        <w:pStyle w:val="Standard"/>
      </w:pPr>
      <w:r>
        <w:t xml:space="preserve">On October 23, 2020, SDG&amp;E, UCAN, </w:t>
      </w:r>
      <w:proofErr w:type="spellStart"/>
      <w:r>
        <w:t>CforAT</w:t>
      </w:r>
      <w:proofErr w:type="spellEnd"/>
      <w:r>
        <w:t xml:space="preserve">, TURN, and Cal Advocates filed a joint motion to adopt a joint settlement agreement regarding changes to </w:t>
      </w:r>
      <w:r>
        <w:lastRenderedPageBreak/>
        <w:t xml:space="preserve">the seasonal differential present in SDG&amp;E’s opt-in residential TOU rates (TOU settlement).  </w:t>
      </w:r>
    </w:p>
    <w:p w:rsidR="00CE1D26" w:rsidP="00CE1D26" w:rsidRDefault="00CE1D26" w14:paraId="4B100CC7" w14:textId="39F7DF1A">
      <w:pPr>
        <w:pStyle w:val="Standard"/>
      </w:pPr>
      <w:r>
        <w:t xml:space="preserve">The terms of the TOU settlement are consistent with SDG&amp;E’s originally proposed rate design modifications and rate and bill impacts, including the use of the TRAC component to adjust tiered TOU rates and the EECC component to adjust </w:t>
      </w:r>
      <w:proofErr w:type="spellStart"/>
      <w:r>
        <w:t>untiered</w:t>
      </w:r>
      <w:proofErr w:type="spellEnd"/>
      <w:r>
        <w:t xml:space="preserve"> TOU rates.  The TOU settlement also stated that all seasonality adjustments shall become effective the beginning of the summer period in June</w:t>
      </w:r>
      <w:r w:rsidR="00A206DA">
        <w:t> </w:t>
      </w:r>
      <w:r>
        <w:t>2021.</w:t>
      </w:r>
    </w:p>
    <w:p w:rsidR="00CE1D26" w:rsidP="0097776E" w:rsidRDefault="00CE1D26" w14:paraId="41C702BD" w14:textId="77777777">
      <w:pPr>
        <w:pStyle w:val="Heading2"/>
        <w:numPr>
          <w:ilvl w:val="1"/>
          <w:numId w:val="1"/>
        </w:numPr>
      </w:pPr>
      <w:bookmarkStart w:name="_Toc65157821" w:id="28"/>
      <w:r>
        <w:t>Application of Article 12 of the Rules</w:t>
      </w:r>
      <w:bookmarkEnd w:id="28"/>
    </w:p>
    <w:p w:rsidR="0069273B" w:rsidP="0069273B" w:rsidRDefault="0069273B" w14:paraId="0AC0DB57" w14:textId="77777777">
      <w:pPr>
        <w:pStyle w:val="Standard"/>
      </w:pPr>
      <w:r w:rsidRPr="00937003">
        <w:t xml:space="preserve">The Commission has long favored the settlement of disputes. </w:t>
      </w:r>
      <w:r>
        <w:t xml:space="preserve"> </w:t>
      </w:r>
      <w:r w:rsidRPr="00937003">
        <w:t xml:space="preserve">Article 12 of the Rules generally concerns settlements. </w:t>
      </w:r>
      <w:r>
        <w:t xml:space="preserve"> </w:t>
      </w:r>
      <w:r w:rsidRPr="00937003">
        <w:t xml:space="preserve">Pursuant to Rule 12.1(d), the Commission will not approve a settlement unless it is found to be reasonable </w:t>
      </w:r>
      <w:proofErr w:type="gramStart"/>
      <w:r w:rsidRPr="00937003">
        <w:t>in light of</w:t>
      </w:r>
      <w:proofErr w:type="gramEnd"/>
      <w:r w:rsidRPr="00937003">
        <w:t xml:space="preserve"> the whole record, consistent with law, and in the public interest. </w:t>
      </w:r>
      <w:r>
        <w:t xml:space="preserve"> </w:t>
      </w:r>
      <w:r w:rsidRPr="00937003">
        <w:t xml:space="preserve">This standard applies to settlements that are contested as well as uncontested. </w:t>
      </w:r>
      <w:r>
        <w:t xml:space="preserve"> The TOU settlement is uncontested.</w:t>
      </w:r>
    </w:p>
    <w:p w:rsidR="0069273B" w:rsidP="0069273B" w:rsidRDefault="0069273B" w14:paraId="23AB4172" w14:textId="77777777">
      <w:pPr>
        <w:pStyle w:val="Standard"/>
      </w:pPr>
      <w:r>
        <w:t xml:space="preserve">The motion to adopt the TOU settlement claimed that the settlement should be found to be reasonable </w:t>
      </w:r>
      <w:proofErr w:type="gramStart"/>
      <w:r>
        <w:t>in light of</w:t>
      </w:r>
      <w:proofErr w:type="gramEnd"/>
      <w:r>
        <w:t xml:space="preserve"> the whole record as it adopts rate design proposals put forward by SDG&amp;E while adopting implementation timeframes recommended by TURN, </w:t>
      </w:r>
      <w:proofErr w:type="spellStart"/>
      <w:r>
        <w:t>CforAT</w:t>
      </w:r>
      <w:proofErr w:type="spellEnd"/>
      <w:r>
        <w:t>, and UCAN.</w:t>
      </w:r>
      <w:r>
        <w:rPr>
          <w:rStyle w:val="FootnoteReference"/>
        </w:rPr>
        <w:footnoteReference w:id="103"/>
      </w:r>
      <w:r>
        <w:t xml:space="preserve">  This decision agrees that the TOU settlement is reasonable in light of the whole record for those reasons.</w:t>
      </w:r>
    </w:p>
    <w:p w:rsidR="0069273B" w:rsidP="0069273B" w:rsidRDefault="0069273B" w14:paraId="7BFA65A9" w14:textId="77777777">
      <w:pPr>
        <w:pStyle w:val="Standard"/>
      </w:pPr>
      <w:r>
        <w:t xml:space="preserve">The motion to adopt the TOU settlement argued that the settlement was consistent with the law as the terms complied with </w:t>
      </w:r>
      <w:r w:rsidRPr="0069273B">
        <w:t>relevant statutes, Commission decisions, and public policy</w:t>
      </w:r>
      <w:r>
        <w:t xml:space="preserve">.  The motion to adopt the TOU </w:t>
      </w:r>
      <w:r>
        <w:lastRenderedPageBreak/>
        <w:t>settlement also noted that the settlement’s revisions to the rate designs of SDG&amp;E’s opt-in residential TOU rates are consistent with the Commission’s changes to other SDG&amp;E residential rate designs made by D.20-06-006.</w:t>
      </w:r>
      <w:r w:rsidR="0097614E">
        <w:rPr>
          <w:rStyle w:val="FootnoteReference"/>
        </w:rPr>
        <w:footnoteReference w:id="104"/>
      </w:r>
      <w:r>
        <w:t xml:space="preserve">  This decision agrees that the TOU settlement is consistent with the law for those reasons.</w:t>
      </w:r>
    </w:p>
    <w:p w:rsidR="0069273B" w:rsidP="00B0153B" w:rsidRDefault="00B0153B" w14:paraId="501B0DE3" w14:textId="77777777">
      <w:pPr>
        <w:pStyle w:val="Standard"/>
      </w:pPr>
      <w:r>
        <w:t xml:space="preserve">The motion to adopt the TOU settlement argued that the settlement was in the public interest because it commanded broad support among participants </w:t>
      </w:r>
      <w:proofErr w:type="gramStart"/>
      <w:r>
        <w:t>fairly reflective</w:t>
      </w:r>
      <w:proofErr w:type="gramEnd"/>
      <w:r>
        <w:t xml:space="preserve"> of the affected interests and does not contain terms which contravene statutory provisions or prior Commission decisions.</w:t>
      </w:r>
      <w:r>
        <w:rPr>
          <w:rStyle w:val="FootnoteReference"/>
        </w:rPr>
        <w:footnoteReference w:id="105"/>
      </w:r>
      <w:r>
        <w:t xml:space="preserve">  The motion also asserted that the TOU settlement will reduce bill volatility and provide greater certainty to SDG&amp;E’s residential opt-in TOU customers regarding their present and future costs.</w:t>
      </w:r>
      <w:r>
        <w:rPr>
          <w:rStyle w:val="FootnoteReference"/>
        </w:rPr>
        <w:footnoteReference w:id="106"/>
      </w:r>
    </w:p>
    <w:p w:rsidRPr="00CE1D26" w:rsidR="00CE1D26" w:rsidP="00CE1D26" w:rsidRDefault="00B0153B" w14:paraId="38F0A34B" w14:textId="77777777">
      <w:pPr>
        <w:pStyle w:val="Standard"/>
      </w:pPr>
      <w:r>
        <w:t xml:space="preserve">This decision agrees that the TOU settlement is in the public interest for the reasons stated by the motion, however this decision must also evaluate the rate and bill impacts of the rate design changes proposed by the TOU settlement to complete a public interest analysis.  Because the rate and bill </w:t>
      </w:r>
      <w:proofErr w:type="gramStart"/>
      <w:r>
        <w:t>impacts</w:t>
      </w:r>
      <w:proofErr w:type="gramEnd"/>
      <w:r>
        <w:t xml:space="preserve"> for SDG&amp;E’s opt-in residential TOU rates </w:t>
      </w:r>
      <w:r w:rsidR="00B53F89">
        <w:t xml:space="preserve">are relatively modest and </w:t>
      </w:r>
      <w:r>
        <w:t xml:space="preserve">mirror those adopted by the Commission in D.20-06-006 for other SDG&amp;E residential customers, the rate and bill impacts are </w:t>
      </w:r>
      <w:r w:rsidR="00B53F89">
        <w:t>reasonable</w:t>
      </w:r>
      <w:r>
        <w:t>.  Adopting the TOU settlement will harmonize seasonal rate designs across all of SDG&amp;E’s residential rates, and therefore the TOU settlement should be approved.  SDG&amp;E shall execute the terms of the TOU settlement as soon as practicable.</w:t>
      </w:r>
    </w:p>
    <w:p w:rsidR="00FA1B4F" w:rsidP="0097776E" w:rsidRDefault="00BF0D27" w14:paraId="02B54852" w14:textId="77777777">
      <w:pPr>
        <w:pStyle w:val="Heading1"/>
        <w:numPr>
          <w:ilvl w:val="0"/>
          <w:numId w:val="1"/>
        </w:numPr>
      </w:pPr>
      <w:bookmarkStart w:name="_Toc65157822" w:id="29"/>
      <w:r>
        <w:lastRenderedPageBreak/>
        <w:t>Outstanding Motions</w:t>
      </w:r>
      <w:bookmarkEnd w:id="29"/>
      <w:r>
        <w:t xml:space="preserve"> </w:t>
      </w:r>
    </w:p>
    <w:p w:rsidRPr="00343E5C" w:rsidR="00343E5C" w:rsidP="00343E5C" w:rsidRDefault="00BF0D27" w14:paraId="7FA41D9E" w14:textId="77777777">
      <w:pPr>
        <w:pStyle w:val="Standard"/>
      </w:pPr>
      <w:r>
        <w:t xml:space="preserve">This decision </w:t>
      </w:r>
      <w:r w:rsidR="00672025">
        <w:t>closes the proceeding.  A</w:t>
      </w:r>
      <w:r>
        <w:t xml:space="preserve">ll motions not previously ruled on </w:t>
      </w:r>
      <w:r w:rsidR="00672025">
        <w:t xml:space="preserve">are deemed </w:t>
      </w:r>
      <w:r>
        <w:t>denied</w:t>
      </w:r>
      <w:r w:rsidR="00343E5C">
        <w:t>.</w:t>
      </w:r>
      <w:r w:rsidR="00672025">
        <w:t xml:space="preserve">  All previous rulings of the ALJ are affirmed.</w:t>
      </w:r>
    </w:p>
    <w:p w:rsidR="005939A5" w:rsidP="0097776E" w:rsidRDefault="005939A5" w14:paraId="56114091" w14:textId="77777777">
      <w:pPr>
        <w:pStyle w:val="Heading1"/>
        <w:numPr>
          <w:ilvl w:val="0"/>
          <w:numId w:val="1"/>
        </w:numPr>
      </w:pPr>
      <w:bookmarkStart w:name="_Toc8123723" w:id="30"/>
      <w:bookmarkStart w:name="_Toc65157823" w:id="31"/>
      <w:r>
        <w:t>Comments on Proposed Decision</w:t>
      </w:r>
      <w:bookmarkEnd w:id="30"/>
      <w:bookmarkEnd w:id="31"/>
    </w:p>
    <w:p w:rsidR="008B5F60" w:rsidP="007E3CEF" w:rsidRDefault="008B5F60" w14:paraId="1A449D7B" w14:textId="6AF0A8B1">
      <w:pPr>
        <w:pStyle w:val="Standard"/>
      </w:pPr>
      <w:bookmarkStart w:name="_Toc8123724" w:id="32"/>
      <w:r w:rsidRPr="008B5F60">
        <w:t xml:space="preserve">The proposed decision of ALJ </w:t>
      </w:r>
      <w:r>
        <w:t>Doherty</w:t>
      </w:r>
      <w:r w:rsidRPr="008B5F60">
        <w:t xml:space="preserve"> in this matter was mailed to the parties in accordance with Section 311 of the Public Utilities Code and comments were allowed under Rule 14.3 of the Commission’s Rules of Practice and Procedure.  Comments were filed on </w:t>
      </w:r>
      <w:r w:rsidR="00C37C6B">
        <w:t xml:space="preserve">February 16, 2021 by </w:t>
      </w:r>
      <w:proofErr w:type="spellStart"/>
      <w:r w:rsidR="00C37C6B">
        <w:t>CforAT</w:t>
      </w:r>
      <w:proofErr w:type="spellEnd"/>
      <w:r w:rsidR="00C37C6B">
        <w:t xml:space="preserve"> and the Settling </w:t>
      </w:r>
      <w:r w:rsidR="00042205">
        <w:t>P</w:t>
      </w:r>
      <w:r w:rsidR="00C37C6B">
        <w:t>arties</w:t>
      </w:r>
      <w:r w:rsidRPr="008B5F60">
        <w:t xml:space="preserve">, and reply comments were filed on </w:t>
      </w:r>
      <w:r w:rsidR="003D2452">
        <w:t>February 22, 2021</w:t>
      </w:r>
      <w:r w:rsidRPr="008B5F60" w:rsidR="003D2452">
        <w:t xml:space="preserve"> </w:t>
      </w:r>
      <w:r w:rsidRPr="008B5F60">
        <w:t xml:space="preserve">by </w:t>
      </w:r>
      <w:r w:rsidR="003D2452">
        <w:t>the Settling Parties</w:t>
      </w:r>
      <w:r w:rsidRPr="008B5F60">
        <w:t>.</w:t>
      </w:r>
    </w:p>
    <w:p w:rsidR="00672025" w:rsidP="007E3CEF" w:rsidRDefault="00C37C6B" w14:paraId="2B98796A" w14:textId="4FB80F7E">
      <w:pPr>
        <w:pStyle w:val="Standard"/>
      </w:pPr>
      <w:r>
        <w:t xml:space="preserve">Changes have been made throughout the decision in response to party comments.  </w:t>
      </w:r>
      <w:proofErr w:type="spellStart"/>
      <w:r>
        <w:t>CforAT</w:t>
      </w:r>
      <w:proofErr w:type="spellEnd"/>
      <w:r>
        <w:t xml:space="preserve"> sought clarity on the factors that distinguish this decision from previous decisions that established and maintained the HUC.  Discussion of those distinguishing factors can be found throughout this decision but center on 1) the transition of most residential electric customers away from tiered non-TOU rates</w:t>
      </w:r>
      <w:r w:rsidR="004C5B98">
        <w:t>,</w:t>
      </w:r>
      <w:r>
        <w:t xml:space="preserve"> which obviates the need to protect most residential electric customers from Tier 1 rate increases resulting from HUC elimination, and 2) the demonstrated failure of the HUC to meet its conservation objective.  Because the HUC is no longer needed to fulfill one of its original goals</w:t>
      </w:r>
      <w:r w:rsidR="00042205">
        <w:t xml:space="preserve"> (FOF 11</w:t>
      </w:r>
      <w:proofErr w:type="gramStart"/>
      <w:r w:rsidR="00042205">
        <w:t>)</w:t>
      </w:r>
      <w:r>
        <w:t>, and</w:t>
      </w:r>
      <w:proofErr w:type="gramEnd"/>
      <w:r>
        <w:t xml:space="preserve"> is apparently incapable of meeting its other original goal</w:t>
      </w:r>
      <w:r w:rsidR="00042205">
        <w:t xml:space="preserve"> (FOF 9)</w:t>
      </w:r>
      <w:r>
        <w:t>, this decision finds that the elimination of the HUC is reasonable.</w:t>
      </w:r>
    </w:p>
    <w:p w:rsidR="005939A5" w:rsidP="0097776E" w:rsidRDefault="005939A5" w14:paraId="1376AE0E" w14:textId="77777777">
      <w:pPr>
        <w:pStyle w:val="Heading1"/>
        <w:numPr>
          <w:ilvl w:val="0"/>
          <w:numId w:val="1"/>
        </w:numPr>
      </w:pPr>
      <w:bookmarkStart w:name="_Toc65157824" w:id="33"/>
      <w:r>
        <w:t>Assignment of Proceeding</w:t>
      </w:r>
      <w:bookmarkEnd w:id="32"/>
      <w:bookmarkEnd w:id="33"/>
    </w:p>
    <w:p w:rsidR="005939A5" w:rsidP="006E6574" w:rsidRDefault="00D05E1A" w14:paraId="4AFFFAB2" w14:textId="77777777">
      <w:pPr>
        <w:pStyle w:val="Standard"/>
      </w:pPr>
      <w:r>
        <w:t>Genevieve Shiroma</w:t>
      </w:r>
      <w:r w:rsidR="005939A5">
        <w:t xml:space="preserve"> is the assigned Commissioner and </w:t>
      </w:r>
      <w:r>
        <w:t>Patrick Doherty</w:t>
      </w:r>
      <w:r w:rsidR="005939A5">
        <w:t xml:space="preserve"> is the assigned </w:t>
      </w:r>
      <w:r w:rsidR="00A10781">
        <w:t>ALJ</w:t>
      </w:r>
      <w:r w:rsidR="005939A5">
        <w:t xml:space="preserve"> in this proceeding.</w:t>
      </w:r>
    </w:p>
    <w:p w:rsidR="005939A5" w:rsidP="005939A5" w:rsidRDefault="005939A5" w14:paraId="59414D90" w14:textId="77777777">
      <w:pPr>
        <w:pStyle w:val="Dummy"/>
      </w:pPr>
      <w:bookmarkStart w:name="_Toc8123725" w:id="34"/>
      <w:bookmarkStart w:name="_Toc65157825" w:id="35"/>
      <w:r>
        <w:t>Findings of Fact</w:t>
      </w:r>
      <w:bookmarkEnd w:id="34"/>
      <w:bookmarkEnd w:id="35"/>
    </w:p>
    <w:p w:rsidR="00021D77" w:rsidP="001E2A62" w:rsidRDefault="001E1A7B" w14:paraId="3949716B" w14:textId="77777777">
      <w:pPr>
        <w:pStyle w:val="FoF"/>
      </w:pPr>
      <w:r>
        <w:rPr>
          <w:szCs w:val="26"/>
        </w:rPr>
        <w:t>A key factor motivating the Commission’s creation of the HUC was the desire to avoid sending a “reward” signal to very high users of electricity</w:t>
      </w:r>
      <w:r w:rsidR="00021D77">
        <w:t>.</w:t>
      </w:r>
    </w:p>
    <w:p w:rsidR="005F4B45" w:rsidP="001E2A62" w:rsidRDefault="001E1A7B" w14:paraId="5190E31F" w14:textId="77777777">
      <w:pPr>
        <w:pStyle w:val="FoF"/>
      </w:pPr>
      <w:r>
        <w:rPr>
          <w:szCs w:val="26"/>
        </w:rPr>
        <w:lastRenderedPageBreak/>
        <w:t xml:space="preserve">Had the HUC not been imposed, very high users of electricity would have seen substantial bill reductions </w:t>
      </w:r>
      <w:proofErr w:type="gramStart"/>
      <w:r>
        <w:rPr>
          <w:szCs w:val="26"/>
        </w:rPr>
        <w:t>as a result of</w:t>
      </w:r>
      <w:proofErr w:type="gramEnd"/>
      <w:r>
        <w:rPr>
          <w:szCs w:val="26"/>
        </w:rPr>
        <w:t xml:space="preserve"> the broader rate reforms adopted by D.15-07-001, and the Commission resolved not to allow those financial benefits to pass through without some sort of signal for those customers to conserve</w:t>
      </w:r>
      <w:r w:rsidR="005F4B45">
        <w:t xml:space="preserve">. </w:t>
      </w:r>
    </w:p>
    <w:p w:rsidR="008C1253" w:rsidP="001E2A62" w:rsidRDefault="001E1A7B" w14:paraId="3E660084" w14:textId="77777777">
      <w:pPr>
        <w:pStyle w:val="FoF"/>
      </w:pPr>
      <w:r>
        <w:rPr>
          <w:szCs w:val="26"/>
        </w:rPr>
        <w:t xml:space="preserve">The </w:t>
      </w:r>
      <w:proofErr w:type="gramStart"/>
      <w:r>
        <w:rPr>
          <w:szCs w:val="26"/>
        </w:rPr>
        <w:t>period of time</w:t>
      </w:r>
      <w:proofErr w:type="gramEnd"/>
      <w:r>
        <w:rPr>
          <w:szCs w:val="26"/>
        </w:rPr>
        <w:t xml:space="preserve"> where very high users of electricity experienced financial benefits from the consolidation and repricing of electricity tiers has passed</w:t>
      </w:r>
      <w:r w:rsidR="005F4B45">
        <w:t>.</w:t>
      </w:r>
    </w:p>
    <w:p w:rsidR="005F4B45" w:rsidP="001E2A62" w:rsidRDefault="001E1A7B" w14:paraId="6A2EA323" w14:textId="77777777">
      <w:pPr>
        <w:pStyle w:val="FoF"/>
      </w:pPr>
      <w:r>
        <w:t>The HUC settlement adopts a position that is within the range of positions and outcomes proffered by the parties in their testimony</w:t>
      </w:r>
      <w:r w:rsidR="005F4B45">
        <w:t xml:space="preserve">. </w:t>
      </w:r>
    </w:p>
    <w:p w:rsidR="005F4B45" w:rsidP="001E2A62" w:rsidRDefault="001E1A7B" w14:paraId="1A357818" w14:textId="77777777">
      <w:pPr>
        <w:pStyle w:val="FoF"/>
      </w:pPr>
      <w:r>
        <w:t>The HUC settlement is fully consistent with relevant statutes and Commission decisions</w:t>
      </w:r>
      <w:r w:rsidR="005F4B45">
        <w:t>.</w:t>
      </w:r>
    </w:p>
    <w:p w:rsidR="005F4B45" w:rsidP="001E2A62" w:rsidRDefault="001E1A7B" w14:paraId="104CE64C" w14:textId="77777777">
      <w:pPr>
        <w:pStyle w:val="FoF"/>
      </w:pPr>
      <w:r>
        <w:t xml:space="preserve">Parties to the HUC settlement </w:t>
      </w:r>
      <w:r w:rsidR="00BB7B39">
        <w:t xml:space="preserve">such as </w:t>
      </w:r>
      <w:proofErr w:type="gramStart"/>
      <w:r w:rsidR="00BB7B39">
        <w:t>TURN</w:t>
      </w:r>
      <w:proofErr w:type="gramEnd"/>
      <w:r w:rsidR="00BB7B39">
        <w:t xml:space="preserve"> and Cal Advocates </w:t>
      </w:r>
      <w:r>
        <w:t>represent the interests of residential customers of the large electrical corporations</w:t>
      </w:r>
      <w:r w:rsidR="005F4B45">
        <w:t xml:space="preserve">.  </w:t>
      </w:r>
    </w:p>
    <w:p w:rsidR="00052C17" w:rsidP="001E2A62" w:rsidRDefault="00BB7B39" w14:paraId="712BA036" w14:textId="77777777">
      <w:pPr>
        <w:pStyle w:val="FoF"/>
      </w:pPr>
      <w:r>
        <w:t>The HUC was designed as a tool to incent conservation among the highest users of electricity on tiered rates</w:t>
      </w:r>
      <w:r w:rsidR="00052C17">
        <w:t>.</w:t>
      </w:r>
    </w:p>
    <w:p w:rsidR="00052C17" w:rsidP="001E2A62" w:rsidRDefault="0031545C" w14:paraId="31AE3712" w14:textId="77777777">
      <w:pPr>
        <w:pStyle w:val="FoF"/>
      </w:pPr>
      <w:r>
        <w:t>The HUC does not have a substantial impact on the conservation of electricity by individual HUC customers</w:t>
      </w:r>
      <w:r w:rsidR="00052C17">
        <w:t>.</w:t>
      </w:r>
    </w:p>
    <w:p w:rsidR="00AC00E0" w:rsidP="001E2A62" w:rsidRDefault="0031545C" w14:paraId="03838655" w14:textId="77777777">
      <w:pPr>
        <w:pStyle w:val="FoF"/>
      </w:pPr>
      <w:r>
        <w:t>The HUC is failing in its original purpose to signal to HUC customers that they should conserve electricity</w:t>
      </w:r>
      <w:r w:rsidR="00AC00E0">
        <w:t>.</w:t>
      </w:r>
    </w:p>
    <w:p w:rsidR="00DB386E" w:rsidP="001E2A62" w:rsidRDefault="00C65A99" w14:paraId="67C527B8" w14:textId="77777777">
      <w:pPr>
        <w:pStyle w:val="FoF"/>
      </w:pPr>
      <w:r>
        <w:t>Most residential customers of the large electrical corporations will be defaulted to a TOU rate without a HUC component by 2022</w:t>
      </w:r>
      <w:r w:rsidR="00DB386E">
        <w:t>.</w:t>
      </w:r>
    </w:p>
    <w:p w:rsidR="0037364B" w:rsidP="001E2A62" w:rsidRDefault="00C65A99" w14:paraId="1191AA91" w14:textId="77777777">
      <w:pPr>
        <w:pStyle w:val="FoF"/>
      </w:pPr>
      <w:r>
        <w:t xml:space="preserve">The impact of HUC elimination on tiered rate customers using baseline quantities of electricity is not an imposition on </w:t>
      </w:r>
      <w:proofErr w:type="gramStart"/>
      <w:r>
        <w:t>the majority of</w:t>
      </w:r>
      <w:proofErr w:type="gramEnd"/>
      <w:r>
        <w:t xml:space="preserve"> residential electricity customers as it would have been in 2015 or 2019</w:t>
      </w:r>
      <w:r w:rsidR="0037364B">
        <w:t xml:space="preserve">.  </w:t>
      </w:r>
    </w:p>
    <w:p w:rsidR="009D1EA2" w:rsidP="001E2A62" w:rsidRDefault="00C65A99" w14:paraId="1C4945A9" w14:textId="2BC5EA7A">
      <w:pPr>
        <w:pStyle w:val="FoF"/>
      </w:pPr>
      <w:r>
        <w:t>Even with the HUC in place, D.15-07-001 allowed increases to Tier 1 rates resulting from rate reform of 5</w:t>
      </w:r>
      <w:r w:rsidR="008B5F60">
        <w:t xml:space="preserve"> percent</w:t>
      </w:r>
      <w:r>
        <w:t xml:space="preserve"> per year</w:t>
      </w:r>
      <w:r w:rsidR="009D1EA2">
        <w:t xml:space="preserve">.  </w:t>
      </w:r>
    </w:p>
    <w:p w:rsidR="00C65A99" w:rsidP="001E2A62" w:rsidRDefault="00C65A99" w14:paraId="420214B9" w14:textId="77777777">
      <w:pPr>
        <w:pStyle w:val="FoF"/>
      </w:pPr>
      <w:r>
        <w:lastRenderedPageBreak/>
        <w:t>The impact of HUC elimination on Tier 1 electricity prices in 2021 for SDG&amp;E and 2022 for SCE and PG&amp;E will be less than the impact on Tier 1 rates approved by D.15-07-001.</w:t>
      </w:r>
    </w:p>
    <w:p w:rsidR="00C65A99" w:rsidP="001E2A62" w:rsidRDefault="00C65A99" w14:paraId="64E1DD1D" w14:textId="77777777">
      <w:pPr>
        <w:pStyle w:val="FoF"/>
      </w:pPr>
      <w:r>
        <w:t>The elimination of the HUC will not lead to rate and bill impacts on Tier 1 customers that are greater than those imposed by D.15-07-001.</w:t>
      </w:r>
    </w:p>
    <w:p w:rsidR="00AA7425" w:rsidP="001E2A62" w:rsidRDefault="00EA3E5B" w14:paraId="18A12F43" w14:textId="77777777">
      <w:pPr>
        <w:pStyle w:val="FoF"/>
      </w:pPr>
      <w:r>
        <w:t xml:space="preserve">The TOU settlement adopts rate design proposals put forward by SDG&amp;E while adopting implementation timeframes recommended by TURN, </w:t>
      </w:r>
      <w:proofErr w:type="spellStart"/>
      <w:r>
        <w:t>CforAT</w:t>
      </w:r>
      <w:proofErr w:type="spellEnd"/>
      <w:r>
        <w:t>, and UCAN.</w:t>
      </w:r>
    </w:p>
    <w:p w:rsidR="00EA3E5B" w:rsidP="001E2A62" w:rsidRDefault="00EA3E5B" w14:paraId="7A9ED861" w14:textId="77777777">
      <w:pPr>
        <w:pStyle w:val="FoF"/>
      </w:pPr>
      <w:r>
        <w:t xml:space="preserve">The TOU settlement complies with </w:t>
      </w:r>
      <w:r w:rsidRPr="0069273B">
        <w:t xml:space="preserve">relevant statutes, Commission decisions, </w:t>
      </w:r>
      <w:r>
        <w:t xml:space="preserve">including D.20-06-006, </w:t>
      </w:r>
      <w:r w:rsidRPr="0069273B">
        <w:t>and public policy</w:t>
      </w:r>
      <w:r>
        <w:t>.</w:t>
      </w:r>
    </w:p>
    <w:p w:rsidR="00EA3E5B" w:rsidP="001E2A62" w:rsidRDefault="00EA3E5B" w14:paraId="3AE00689" w14:textId="77777777">
      <w:pPr>
        <w:pStyle w:val="FoF"/>
      </w:pPr>
      <w:r>
        <w:t xml:space="preserve">The TOU settlement commanded broad support among participants </w:t>
      </w:r>
      <w:proofErr w:type="gramStart"/>
      <w:r>
        <w:t>fairly reflective</w:t>
      </w:r>
      <w:proofErr w:type="gramEnd"/>
      <w:r>
        <w:t xml:space="preserve"> of the affected interests and does not contain terms which contravene statutory provisions or prior Commission decisions.</w:t>
      </w:r>
    </w:p>
    <w:p w:rsidR="00EA3E5B" w:rsidP="001E2A62" w:rsidRDefault="00EA3E5B" w14:paraId="3F679501" w14:textId="77777777">
      <w:pPr>
        <w:pStyle w:val="FoF"/>
      </w:pPr>
      <w:r>
        <w:t>The TOU settlement will reduce bill volatility and provide greater certainty to SDG&amp;E’s residential opt-in TOU customers regarding their present and future costs.</w:t>
      </w:r>
    </w:p>
    <w:p w:rsidR="00EA3E5B" w:rsidP="001E2A62" w:rsidRDefault="00EA3E5B" w14:paraId="03CC1C09" w14:textId="77777777">
      <w:pPr>
        <w:pStyle w:val="FoF"/>
      </w:pPr>
      <w:r>
        <w:t xml:space="preserve">The rate and bill </w:t>
      </w:r>
      <w:proofErr w:type="gramStart"/>
      <w:r>
        <w:t>impacts</w:t>
      </w:r>
      <w:proofErr w:type="gramEnd"/>
      <w:r>
        <w:t xml:space="preserve"> for SDG&amp;E’s opt-in residential TOU rates, as a result of the TOU settlement, are relatively modest and mirror those adopted by the Commission in D.20-06-006 for other SDG&amp;E residential customers.</w:t>
      </w:r>
    </w:p>
    <w:p w:rsidR="00EA3E5B" w:rsidP="001E2A62" w:rsidRDefault="00EA3E5B" w14:paraId="485C427C" w14:textId="77777777">
      <w:pPr>
        <w:pStyle w:val="FoF"/>
      </w:pPr>
      <w:r>
        <w:t>Adopting the TOU settlement will harmonize seasonal rate designs across all of SDG&amp;E’s residential rates.</w:t>
      </w:r>
    </w:p>
    <w:p w:rsidR="005939A5" w:rsidP="005939A5" w:rsidRDefault="005939A5" w14:paraId="166F7840" w14:textId="77777777">
      <w:pPr>
        <w:pStyle w:val="Dummy"/>
      </w:pPr>
      <w:bookmarkStart w:name="_Toc8123726" w:id="36"/>
      <w:bookmarkStart w:name="_Toc65157826" w:id="37"/>
      <w:r>
        <w:t>Conclusions of Law</w:t>
      </w:r>
      <w:bookmarkEnd w:id="36"/>
      <w:bookmarkEnd w:id="37"/>
    </w:p>
    <w:p w:rsidR="008F143D" w:rsidP="00A80BC0" w:rsidRDefault="001E1A7B" w14:paraId="4D64E3A0" w14:textId="77777777">
      <w:pPr>
        <w:pStyle w:val="CoL"/>
      </w:pPr>
      <w:r>
        <w:t xml:space="preserve">The HUC settlement is reasonable </w:t>
      </w:r>
      <w:proofErr w:type="gramStart"/>
      <w:r>
        <w:t>in light of</w:t>
      </w:r>
      <w:proofErr w:type="gramEnd"/>
      <w:r>
        <w:t xml:space="preserve"> the whole record</w:t>
      </w:r>
      <w:r w:rsidR="008C1253">
        <w:t>.</w:t>
      </w:r>
    </w:p>
    <w:p w:rsidR="00052C17" w:rsidP="00A80BC0" w:rsidRDefault="001E1A7B" w14:paraId="327D49B1" w14:textId="77777777">
      <w:pPr>
        <w:pStyle w:val="CoL"/>
      </w:pPr>
      <w:r>
        <w:t>The HUC settlement is consistent with the law</w:t>
      </w:r>
      <w:r w:rsidR="00052C17">
        <w:t>.</w:t>
      </w:r>
    </w:p>
    <w:p w:rsidR="00052C17" w:rsidP="00A80BC0" w:rsidRDefault="008D2905" w14:paraId="0B80D99B" w14:textId="77777777">
      <w:pPr>
        <w:pStyle w:val="CoL"/>
      </w:pPr>
      <w:r>
        <w:lastRenderedPageBreak/>
        <w:t>The state policy goals supporting the use of the HUC to incent conservation – and therefore the public interest in those goals – have not changed since the issuance of D.15-07-001</w:t>
      </w:r>
      <w:r w:rsidR="00052C17">
        <w:t>.</w:t>
      </w:r>
    </w:p>
    <w:p w:rsidR="00E12D1C" w:rsidP="00A80BC0" w:rsidRDefault="008D2905" w14:paraId="6928BBAA" w14:textId="77777777">
      <w:pPr>
        <w:pStyle w:val="CoL"/>
      </w:pPr>
      <w:r>
        <w:t xml:space="preserve">It is necessary to make a finding regarding the HUC’s conservation effect </w:t>
      </w:r>
      <w:proofErr w:type="gramStart"/>
      <w:r>
        <w:t>in order to</w:t>
      </w:r>
      <w:proofErr w:type="gramEnd"/>
      <w:r>
        <w:t xml:space="preserve"> determine if the HUC settlement is in the public interest</w:t>
      </w:r>
      <w:r w:rsidR="00E12D1C">
        <w:t>.</w:t>
      </w:r>
    </w:p>
    <w:p w:rsidR="00AC00E0" w:rsidP="00A80BC0" w:rsidRDefault="007B02BE" w14:paraId="5AB456FA" w14:textId="77777777">
      <w:pPr>
        <w:pStyle w:val="CoL"/>
      </w:pPr>
      <w:r>
        <w:t>Because the HUC is not fulfilling its purpose to reduce the consumption of very high users of electricity, it is consistent with the public interest to adopt a settlement that will lead to the elimination of the HUC</w:t>
      </w:r>
      <w:r w:rsidR="00AC00E0">
        <w:t>.</w:t>
      </w:r>
    </w:p>
    <w:p w:rsidR="00AC00E0" w:rsidP="00A80BC0" w:rsidRDefault="00C65A99" w14:paraId="53799614" w14:textId="77777777">
      <w:pPr>
        <w:pStyle w:val="CoL"/>
      </w:pPr>
      <w:r>
        <w:t>It is in the public interest to adopt the HUC settlement despite the rate and bill impacts that would result</w:t>
      </w:r>
      <w:r w:rsidR="00AC00E0">
        <w:t>.</w:t>
      </w:r>
    </w:p>
    <w:p w:rsidR="00DB386E" w:rsidP="00A80BC0" w:rsidRDefault="00AA7425" w14:paraId="7A7F4E43" w14:textId="77777777">
      <w:pPr>
        <w:pStyle w:val="CoL"/>
      </w:pPr>
      <w:r>
        <w:t>Regulatory certainty is a public interest objective that should be satisfied when the Commission adopts a settlement</w:t>
      </w:r>
      <w:r w:rsidR="00DB386E">
        <w:t>.</w:t>
      </w:r>
    </w:p>
    <w:p w:rsidR="00315436" w:rsidP="00A80BC0" w:rsidRDefault="00AA7425" w14:paraId="00EA47BF" w14:textId="77777777">
      <w:pPr>
        <w:pStyle w:val="CoL"/>
      </w:pPr>
      <w:r>
        <w:t>The uncertainty as to the timing or even possibility of HUC elimination under the terms of the HUC settlement is contrary to the public interest in regulatory certainty</w:t>
      </w:r>
      <w:r w:rsidR="0037364B">
        <w:t>.</w:t>
      </w:r>
    </w:p>
    <w:p w:rsidR="00AA7425" w:rsidP="00A80BC0" w:rsidRDefault="00305AAD" w14:paraId="40CB0F34" w14:textId="2A9AFD93">
      <w:pPr>
        <w:pStyle w:val="CoL"/>
      </w:pPr>
      <w:r>
        <w:t xml:space="preserve">With </w:t>
      </w:r>
      <w:r w:rsidR="00AA7425">
        <w:t>the change to the HUC settlement made by this decision</w:t>
      </w:r>
      <w:r w:rsidR="00857F15">
        <w:t xml:space="preserve"> (</w:t>
      </w:r>
      <w:r w:rsidR="00857F15">
        <w:rPr>
          <w:i/>
          <w:iCs/>
        </w:rPr>
        <w:t>i.e.</w:t>
      </w:r>
      <w:r w:rsidR="00857F15">
        <w:t>, removing discretion to seek elimination of the HUC</w:t>
      </w:r>
      <w:r w:rsidR="00AB537E">
        <w:t xml:space="preserve"> once relevant elimination criteria are met</w:t>
      </w:r>
      <w:r w:rsidR="00857F15">
        <w:t>)</w:t>
      </w:r>
      <w:r w:rsidR="00AA7425">
        <w:t>, the HUC settlement is in the public interest</w:t>
      </w:r>
      <w:r w:rsidR="006F76E3">
        <w:t>.</w:t>
      </w:r>
    </w:p>
    <w:p w:rsidR="00E673A8" w:rsidP="00A80BC0" w:rsidRDefault="00E673A8" w14:paraId="49130EAA" w14:textId="77777777">
      <w:pPr>
        <w:pStyle w:val="CoL"/>
      </w:pPr>
      <w:r>
        <w:t>In accordance with the terms of the HUC settlement, Ordering Paragraphs 2, 4, and 6 of D.20-05-013 are modified to no longer allow a letter from the Commission’s Executive Director to reset the HUC price to its former amount.</w:t>
      </w:r>
    </w:p>
    <w:p w:rsidR="008E2ACD" w:rsidP="00A80BC0" w:rsidRDefault="008E2ACD" w14:paraId="7B266240" w14:textId="624DFB9A">
      <w:pPr>
        <w:pStyle w:val="CoL"/>
      </w:pPr>
      <w:r>
        <w:t xml:space="preserve">All elements of the HUC settlement should be approved, </w:t>
      </w:r>
      <w:proofErr w:type="gramStart"/>
      <w:r>
        <w:t>with the exception of</w:t>
      </w:r>
      <w:proofErr w:type="gramEnd"/>
      <w:r>
        <w:t xml:space="preserve"> the </w:t>
      </w:r>
      <w:r w:rsidR="00AB537E">
        <w:t>provision of</w:t>
      </w:r>
      <w:r>
        <w:t xml:space="preserve"> the HUC settlement </w:t>
      </w:r>
      <w:r w:rsidR="00541F01">
        <w:t>eliminated</w:t>
      </w:r>
      <w:r w:rsidR="00AB537E">
        <w:t xml:space="preserve"> </w:t>
      </w:r>
      <w:r>
        <w:t>by this decision.</w:t>
      </w:r>
    </w:p>
    <w:p w:rsidR="00EA3E5B" w:rsidP="00A80BC0" w:rsidRDefault="00EA3E5B" w14:paraId="0A9430EE" w14:textId="77777777">
      <w:pPr>
        <w:pStyle w:val="CoL"/>
      </w:pPr>
      <w:r>
        <w:t xml:space="preserve">The TOU settlement is reasonable </w:t>
      </w:r>
      <w:proofErr w:type="gramStart"/>
      <w:r>
        <w:t>in light of</w:t>
      </w:r>
      <w:proofErr w:type="gramEnd"/>
      <w:r>
        <w:t xml:space="preserve"> the whole record.</w:t>
      </w:r>
    </w:p>
    <w:p w:rsidR="00EA3E5B" w:rsidP="00A80BC0" w:rsidRDefault="00EA3E5B" w14:paraId="7225E1B7" w14:textId="77777777">
      <w:pPr>
        <w:pStyle w:val="CoL"/>
      </w:pPr>
      <w:r>
        <w:t>The TOU settlement is consistent with the law.</w:t>
      </w:r>
    </w:p>
    <w:p w:rsidR="00EA3E5B" w:rsidP="00A80BC0" w:rsidRDefault="00EA3E5B" w14:paraId="32511FB8" w14:textId="77777777">
      <w:pPr>
        <w:pStyle w:val="CoL"/>
      </w:pPr>
      <w:r>
        <w:t>The TOU settlement is in the public interest.</w:t>
      </w:r>
    </w:p>
    <w:p w:rsidR="00EA3E5B" w:rsidP="00A80BC0" w:rsidRDefault="00EA3E5B" w14:paraId="6D3AA198" w14:textId="77777777">
      <w:pPr>
        <w:pStyle w:val="CoL"/>
      </w:pPr>
      <w:r>
        <w:lastRenderedPageBreak/>
        <w:t xml:space="preserve">The rate and bill </w:t>
      </w:r>
      <w:proofErr w:type="gramStart"/>
      <w:r>
        <w:t>impacts</w:t>
      </w:r>
      <w:proofErr w:type="gramEnd"/>
      <w:r>
        <w:t xml:space="preserve"> of the TOU settlement are reasonable.</w:t>
      </w:r>
    </w:p>
    <w:p w:rsidRPr="001E2A62" w:rsidR="00EA3E5B" w:rsidP="00A80BC0" w:rsidRDefault="00EA3E5B" w14:paraId="7D56368E" w14:textId="77777777">
      <w:pPr>
        <w:pStyle w:val="CoL"/>
      </w:pPr>
      <w:r>
        <w:t>The TOU settlement should be approved.</w:t>
      </w:r>
    </w:p>
    <w:p w:rsidR="00BB0243" w:rsidP="000A6E05" w:rsidRDefault="005939A5" w14:paraId="6F77ECFB" w14:textId="77777777">
      <w:pPr>
        <w:pStyle w:val="Mainex"/>
      </w:pPr>
      <w:bookmarkStart w:name="_Toc65157827" w:id="38"/>
      <w:r>
        <w:t>O</w:t>
      </w:r>
      <w:r w:rsidR="00722850">
        <w:t>RDER</w:t>
      </w:r>
      <w:bookmarkEnd w:id="38"/>
    </w:p>
    <w:p w:rsidR="00BB0243" w:rsidP="000A6E05" w:rsidRDefault="00BB0243" w14:paraId="66CB3BB6" w14:textId="77777777">
      <w:pPr>
        <w:keepNext/>
      </w:pPr>
      <w:r w:rsidRPr="00BB0243">
        <w:rPr>
          <w:b/>
        </w:rPr>
        <w:t>IT IS ORDERED</w:t>
      </w:r>
      <w:r>
        <w:t xml:space="preserve"> that:</w:t>
      </w:r>
    </w:p>
    <w:p w:rsidR="00057DB8" w:rsidP="00994497" w:rsidRDefault="007B7EED" w14:paraId="1DBEAFED" w14:textId="64BA2CE4">
      <w:pPr>
        <w:pStyle w:val="OP"/>
      </w:pPr>
      <w:r>
        <w:t xml:space="preserve">San Diego Gas &amp; Electric Company shall file a Tier 1 advice letter seeking to eliminate the High Usage Charge as soon as </w:t>
      </w:r>
      <w:r w:rsidR="00AB537E">
        <w:t>practicable after the relevant elimination criteria of the High Usage Charge settlement are met</w:t>
      </w:r>
      <w:r w:rsidR="00BD46AA">
        <w:t xml:space="preserve">.  </w:t>
      </w:r>
    </w:p>
    <w:p w:rsidR="00896212" w:rsidP="00896212" w:rsidRDefault="007B7EED" w14:paraId="376FE5C6" w14:textId="1F0F2F1F">
      <w:pPr>
        <w:pStyle w:val="OP"/>
      </w:pPr>
      <w:r>
        <w:t xml:space="preserve">Southern California Edison Company shall file a Tier 1 advice letter seeking to eliminate the High Usage Charge as soon as </w:t>
      </w:r>
      <w:r w:rsidR="00AB537E">
        <w:t>practicable after the relevant elimination criteria of the High Usage Charge settlement are met</w:t>
      </w:r>
      <w:r w:rsidR="00896212">
        <w:t>.</w:t>
      </w:r>
    </w:p>
    <w:p w:rsidR="006D553B" w:rsidP="006D553B" w:rsidRDefault="008D4E78" w14:paraId="5ACEAC21" w14:textId="248F8E22">
      <w:pPr>
        <w:pStyle w:val="OP"/>
      </w:pPr>
      <w:r>
        <w:t xml:space="preserve">Pacific Gas and Electric Company shall file a Tier 1 advice letter seeking to eliminate the High Usage Charge </w:t>
      </w:r>
      <w:r w:rsidR="00AB537E">
        <w:t>as soon as practicable after the relevant elimination criteria of the High Usage Charge settlement are met</w:t>
      </w:r>
      <w:r w:rsidR="006D553B">
        <w:t xml:space="preserve">.  </w:t>
      </w:r>
    </w:p>
    <w:p w:rsidR="00AB537E" w:rsidP="006D553B" w:rsidRDefault="00AB537E" w14:paraId="0970A8F0" w14:textId="3DD52102">
      <w:pPr>
        <w:pStyle w:val="OP"/>
      </w:pPr>
      <w:r>
        <w:t>San Diego Gas &amp; Electric Company shall periodically file advice letters to rebalance its tiered rate while maintaining a High Usage Charge price that is 25 percent greater than the Tier 2 price.</w:t>
      </w:r>
    </w:p>
    <w:p w:rsidR="006D553B" w:rsidP="006D553B" w:rsidRDefault="008E2ACD" w14:paraId="45AE479A" w14:textId="618A15BC">
      <w:pPr>
        <w:pStyle w:val="OP"/>
      </w:pPr>
      <w:r>
        <w:t>Southern California Edison Company shall periodically file advice letters to rebalance its tiered rate while maintaining a High Usage Charge price that is 25</w:t>
      </w:r>
      <w:r w:rsidR="008B5F60">
        <w:t xml:space="preserve"> percent</w:t>
      </w:r>
      <w:r>
        <w:t xml:space="preserve"> greater than the Tier 2 price</w:t>
      </w:r>
      <w:r w:rsidR="006D553B">
        <w:t>.</w:t>
      </w:r>
    </w:p>
    <w:p w:rsidR="008E2ACD" w:rsidP="008E2ACD" w:rsidRDefault="008E2ACD" w14:paraId="49FDC213" w14:textId="43AEEEAB">
      <w:pPr>
        <w:pStyle w:val="OP"/>
      </w:pPr>
      <w:r>
        <w:t>Pacific Gas and Electric Company shall periodically file advice letters to rebalance its tiered rate while maintaining a High Usage Charge price that is 25</w:t>
      </w:r>
      <w:r w:rsidR="008B5F60">
        <w:t xml:space="preserve"> percent</w:t>
      </w:r>
      <w:r>
        <w:t xml:space="preserve"> greater than the Tier 2 price.</w:t>
      </w:r>
    </w:p>
    <w:p w:rsidR="008E2ACD" w:rsidP="006D553B" w:rsidRDefault="00EA3E5B" w14:paraId="270B38A8" w14:textId="77777777">
      <w:pPr>
        <w:pStyle w:val="OP"/>
      </w:pPr>
      <w:r>
        <w:t>San Diego Gas &amp; Electric Company (SDG&amp;E) shall execute the terms of the joint settlement agreement regarding changes to the seasonal differential present in SDG&amp;E’s opt-in residential time-of-use rates as soon as practicable.</w:t>
      </w:r>
    </w:p>
    <w:p w:rsidR="00F6397D" w:rsidP="000778D2" w:rsidRDefault="00E23CBB" w14:paraId="74895221" w14:textId="77777777">
      <w:pPr>
        <w:pStyle w:val="OP"/>
        <w:keepNext/>
        <w:keepLines/>
      </w:pPr>
      <w:r w:rsidRPr="001E2A62">
        <w:lastRenderedPageBreak/>
        <w:t xml:space="preserve">Application </w:t>
      </w:r>
      <w:r w:rsidR="007D3585">
        <w:t xml:space="preserve">19-09-014 </w:t>
      </w:r>
      <w:r w:rsidR="00EA3E5B">
        <w:t>is closed</w:t>
      </w:r>
      <w:r w:rsidRPr="001E2A62">
        <w:t>.</w:t>
      </w:r>
    </w:p>
    <w:p w:rsidR="008F0116" w:rsidP="000778D2" w:rsidRDefault="008F0116" w14:paraId="5320B8AB" w14:textId="77777777">
      <w:pPr>
        <w:keepNext/>
        <w:keepLines/>
      </w:pPr>
      <w:r>
        <w:t>This order is effective today.</w:t>
      </w:r>
    </w:p>
    <w:p w:rsidRPr="00714CF2" w:rsidR="00714CF2" w:rsidP="008B5F60" w:rsidRDefault="008F0116" w14:paraId="1D456AF4" w14:textId="38243EE9">
      <w:r>
        <w:t xml:space="preserve">Dated </w:t>
      </w:r>
      <w:r>
        <w:rPr>
          <w:u w:val="single"/>
        </w:rPr>
        <w:tab/>
      </w:r>
      <w:r>
        <w:rPr>
          <w:u w:val="single"/>
        </w:rPr>
        <w:tab/>
      </w:r>
      <w:r>
        <w:rPr>
          <w:u w:val="single"/>
        </w:rPr>
        <w:tab/>
      </w:r>
      <w:r>
        <w:rPr>
          <w:u w:val="single"/>
        </w:rPr>
        <w:tab/>
      </w:r>
      <w:r>
        <w:rPr>
          <w:u w:val="single"/>
        </w:rPr>
        <w:tab/>
      </w:r>
      <w:r>
        <w:t>, at San Francisco, California</w:t>
      </w:r>
      <w:r w:rsidR="00FF110C">
        <w:t>.</w:t>
      </w:r>
    </w:p>
    <w:sectPr w:rsidRPr="00714CF2" w:rsidR="00714CF2" w:rsidSect="008B5F60">
      <w:footerReference w:type="default" r:id="rId12"/>
      <w:pgSz w:w="12240" w:h="15840"/>
      <w:pgMar w:top="1728" w:right="1440" w:bottom="1440" w:left="1440" w:header="720" w:footer="720" w:gutter="0"/>
      <w:pgNumType w:start="2"/>
      <w:cols w:space="720"/>
      <w:docGrid w:linePitch="360"/>
    </w:sectPr>
    <w:p>
      <w:r>
        <w:t xml:space="preserve"/>
      </w:r>
    </w:p>
    <w:p>
      <w:r>
        <w:t xml:space="preserve">Attachment 1: </w:t>
      </w:r>
    </w:p>
    <w:p>
      <w:hyperlink w:history="true" r:id="R552e370c103c4f2b">
        <w:r w:rsidRPr="00CB1292">
          <w:rPr>
            <w:rStyle w:val="Hyperlink"/>
            <w:color w:val="2E74B5" w:themeColor="accent1" w:themeShade="BF"/>
            <w:u w:val="single"/>
          </w:rPr>
          <w:t>A1909014 (Redline Version) Concerning Adjustment of the High Usage Charge.pdf</w:t>
        </w:r>
      </w:hyperlink>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BCE2B" w14:textId="77777777" w:rsidR="000778D2" w:rsidRDefault="000778D2" w:rsidP="0098138E">
      <w:pPr>
        <w:spacing w:line="240" w:lineRule="auto"/>
      </w:pPr>
      <w:r>
        <w:separator/>
      </w:r>
    </w:p>
  </w:endnote>
  <w:endnote w:type="continuationSeparator" w:id="0">
    <w:p w14:paraId="0A860E80" w14:textId="77777777" w:rsidR="000778D2" w:rsidRDefault="000778D2" w:rsidP="00981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A05F1" w14:textId="324C67F9" w:rsidR="000778D2" w:rsidRDefault="00803512" w:rsidP="007E0FEE">
    <w:pPr>
      <w:tabs>
        <w:tab w:val="center" w:pos="4680"/>
      </w:tabs>
      <w:ind w:firstLine="0"/>
      <w:rPr>
        <w:noProof/>
      </w:rPr>
    </w:pPr>
    <w:r w:rsidRPr="00803512">
      <w:rPr>
        <w:rFonts w:ascii="Arial" w:hAnsi="Arial" w:cs="Arial"/>
        <w:sz w:val="16"/>
        <w:szCs w:val="16"/>
      </w:rPr>
      <w:t>367915726</w:t>
    </w:r>
    <w:r w:rsidR="000778D2">
      <w:rPr>
        <w:rFonts w:ascii="Arial" w:hAnsi="Arial" w:cs="Arial"/>
        <w:sz w:val="16"/>
        <w:szCs w:val="16"/>
      </w:rPr>
      <w:tab/>
    </w:r>
    <w:r w:rsidR="000778D2">
      <w:t xml:space="preserve">- </w:t>
    </w:r>
    <w:r w:rsidR="000778D2">
      <w:fldChar w:fldCharType="begin"/>
    </w:r>
    <w:r w:rsidR="000778D2">
      <w:instrText xml:space="preserve"> PAGE   \* MERGEFORMAT </w:instrText>
    </w:r>
    <w:r w:rsidR="000778D2">
      <w:fldChar w:fldCharType="separate"/>
    </w:r>
    <w:r w:rsidR="000778D2">
      <w:rPr>
        <w:noProof/>
      </w:rPr>
      <w:t>2</w:t>
    </w:r>
    <w:r w:rsidR="000778D2">
      <w:rPr>
        <w:noProof/>
      </w:rPr>
      <w:fldChar w:fldCharType="end"/>
    </w:r>
    <w:r w:rsidR="000778D2">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22FEF" w14:textId="77777777" w:rsidR="000778D2" w:rsidRDefault="000778D2" w:rsidP="007E0FEE">
    <w:pPr>
      <w:ind w:firstLine="0"/>
      <w:jc w:val="center"/>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47677" w14:textId="1FF612A2" w:rsidR="000778D2" w:rsidRDefault="000778D2" w:rsidP="007E0FEE">
    <w:pPr>
      <w:ind w:firstLine="0"/>
      <w:jc w:val="center"/>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D44DE" w14:textId="77777777" w:rsidR="000778D2" w:rsidRDefault="000778D2" w:rsidP="00DF58E7">
      <w:pPr>
        <w:spacing w:line="240" w:lineRule="auto"/>
        <w:ind w:firstLine="0"/>
      </w:pPr>
      <w:r>
        <w:separator/>
      </w:r>
    </w:p>
  </w:footnote>
  <w:footnote w:type="continuationSeparator" w:id="0">
    <w:p w14:paraId="24ED028A" w14:textId="77777777" w:rsidR="000778D2" w:rsidRDefault="000778D2" w:rsidP="00DF58E7">
      <w:pPr>
        <w:spacing w:line="240" w:lineRule="auto"/>
        <w:ind w:firstLine="0"/>
      </w:pPr>
      <w:r>
        <w:continuationSeparator/>
      </w:r>
    </w:p>
  </w:footnote>
  <w:footnote w:type="continuationNotice" w:id="1">
    <w:p w14:paraId="61B3BBE9" w14:textId="70372E24" w:rsidR="000778D2" w:rsidRPr="00DF58E7" w:rsidRDefault="000778D2" w:rsidP="00DF58E7">
      <w:pPr>
        <w:spacing w:line="240" w:lineRule="auto"/>
        <w:ind w:firstLine="0"/>
        <w:jc w:val="right"/>
        <w:rPr>
          <w:i/>
          <w:sz w:val="22"/>
        </w:rPr>
      </w:pPr>
    </w:p>
  </w:footnote>
  <w:footnote w:id="2">
    <w:p w14:paraId="77D7BBCB" w14:textId="4DF2A712" w:rsidR="000778D2" w:rsidRDefault="000778D2" w:rsidP="00B00D91">
      <w:pPr>
        <w:pStyle w:val="FootnoteText"/>
      </w:pPr>
      <w:r>
        <w:rPr>
          <w:rStyle w:val="FootnoteReference"/>
        </w:rPr>
        <w:footnoteRef/>
      </w:r>
      <w:r>
        <w:t xml:space="preserve">  The “high usage charge” is the current nomenclature for the “Super-User Electric Surcharge (SUE Surcharge)” originally adopted by D.15-07-001.  All references to the high usage charge in this decision also refer to the SUE Surcharge adopted by D.15-07-001.</w:t>
      </w:r>
    </w:p>
  </w:footnote>
  <w:footnote w:id="3">
    <w:p w14:paraId="2A4C5841" w14:textId="710042FD" w:rsidR="000778D2" w:rsidRDefault="000778D2" w:rsidP="003D64DB">
      <w:pPr>
        <w:pStyle w:val="FootnoteText"/>
      </w:pPr>
      <w:r>
        <w:rPr>
          <w:rStyle w:val="FootnoteReference"/>
        </w:rPr>
        <w:footnoteRef/>
      </w:r>
      <w:r>
        <w:t xml:space="preserve">  D.19-04-018 at OP 2.</w:t>
      </w:r>
    </w:p>
  </w:footnote>
  <w:footnote w:id="4">
    <w:p w14:paraId="4DE27E38" w14:textId="4CFF23EA" w:rsidR="000778D2" w:rsidRDefault="000778D2">
      <w:pPr>
        <w:pStyle w:val="FootnoteText"/>
      </w:pPr>
      <w:r>
        <w:rPr>
          <w:rStyle w:val="FootnoteReference"/>
        </w:rPr>
        <w:footnoteRef/>
      </w:r>
      <w:r>
        <w:t xml:space="preserve">  As noted by PG&amp;E, the term “HUC” has been used in different ways over the years.  (</w:t>
      </w:r>
      <w:r>
        <w:t xml:space="preserve">Exh. PG&amp;E-01 at 6.)  </w:t>
      </w:r>
      <w:r>
        <w:t xml:space="preserve">In order to avoid confusion, this decision refers to the HUC in the same manner as PG&amp;E in its testimony – the all-in price per kilowatt-hour (kWh) imposed on tiered rate, non-TOU customers for usage that exceeds 400 percent of baseline.  </w:t>
      </w:r>
    </w:p>
  </w:footnote>
  <w:footnote w:id="5">
    <w:p w14:paraId="05110490" w14:textId="05D53D3B" w:rsidR="000778D2" w:rsidRDefault="000778D2">
      <w:pPr>
        <w:pStyle w:val="FootnoteText"/>
      </w:pPr>
      <w:r>
        <w:rPr>
          <w:rStyle w:val="FootnoteReference"/>
        </w:rPr>
        <w:footnoteRef/>
      </w:r>
      <w:r>
        <w:t xml:space="preserve">  D.15-07-001 at 124, finding that it is</w:t>
      </w:r>
      <w:r w:rsidRPr="00B4354E">
        <w:t xml:space="preserve"> important to signal to </w:t>
      </w:r>
      <w:r>
        <w:t xml:space="preserve">residential </w:t>
      </w:r>
      <w:r w:rsidRPr="00B4354E">
        <w:t>customers</w:t>
      </w:r>
      <w:r>
        <w:t xml:space="preserve"> </w:t>
      </w:r>
      <w:r w:rsidRPr="00B4354E">
        <w:t>that usage above 400</w:t>
      </w:r>
      <w:r>
        <w:t xml:space="preserve"> percent</w:t>
      </w:r>
      <w:r w:rsidRPr="00B4354E">
        <w:t xml:space="preserve"> of baseline is high and that</w:t>
      </w:r>
      <w:r>
        <w:t xml:space="preserve"> customers</w:t>
      </w:r>
      <w:r w:rsidRPr="00B4354E">
        <w:t xml:space="preserve"> shoul</w:t>
      </w:r>
      <w:r>
        <w:t xml:space="preserve">d </w:t>
      </w:r>
      <w:r w:rsidRPr="00B4354E">
        <w:t>conserve</w:t>
      </w:r>
      <w:r>
        <w:t xml:space="preserve"> electricity once reaching that level of usage (“[w]</w:t>
      </w:r>
      <w:r w:rsidRPr="00133F1E">
        <w:t xml:space="preserve">e intend for the </w:t>
      </w:r>
      <w:r>
        <w:t>[HUC]</w:t>
      </w:r>
      <w:r w:rsidRPr="00133F1E">
        <w:t xml:space="preserve"> adopted today to serve a similar notice role: sending a message to customers that their usage is not simply moving into another tier, but that their usage is significantly above typical household use.  To be effective, this signal must go beyond a mere indication that the customer has passed into a higher usage tier; the customer must be able to clearly tell that a portion of their usage was far </w:t>
      </w:r>
      <w:r w:rsidRPr="00133F1E">
        <w:t>in excess of the typical household usage and that conservation steps should be taken</w:t>
      </w:r>
      <w:r>
        <w:t>”).</w:t>
      </w:r>
    </w:p>
  </w:footnote>
  <w:footnote w:id="6">
    <w:p w14:paraId="78E8B019" w14:textId="2CEAB443" w:rsidR="000778D2" w:rsidRDefault="000778D2">
      <w:pPr>
        <w:pStyle w:val="FootnoteText"/>
      </w:pPr>
      <w:r>
        <w:rPr>
          <w:rStyle w:val="FootnoteReference"/>
        </w:rPr>
        <w:footnoteRef/>
      </w:r>
      <w:r>
        <w:t xml:space="preserve">  D.15-07-001 at 128.</w:t>
      </w:r>
    </w:p>
  </w:footnote>
  <w:footnote w:id="7">
    <w:p w14:paraId="11B89A3C" w14:textId="43124495" w:rsidR="000778D2" w:rsidRDefault="000778D2">
      <w:pPr>
        <w:pStyle w:val="FootnoteText"/>
      </w:pPr>
      <w:r>
        <w:rPr>
          <w:rStyle w:val="FootnoteReference"/>
        </w:rPr>
        <w:footnoteRef/>
      </w:r>
      <w:r>
        <w:t xml:space="preserve">  D.15-07-001 at 108.</w:t>
      </w:r>
    </w:p>
  </w:footnote>
  <w:footnote w:id="8">
    <w:p w14:paraId="720199AE" w14:textId="2EDDE497" w:rsidR="000778D2" w:rsidRDefault="000778D2">
      <w:pPr>
        <w:pStyle w:val="FootnoteText"/>
      </w:pPr>
      <w:r>
        <w:rPr>
          <w:rStyle w:val="FootnoteReference"/>
        </w:rPr>
        <w:footnoteRef/>
      </w:r>
      <w:r>
        <w:t xml:space="preserve">  D.15-07-001 at 125.</w:t>
      </w:r>
    </w:p>
  </w:footnote>
  <w:footnote w:id="9">
    <w:p w14:paraId="427196A8" w14:textId="1197543E" w:rsidR="000778D2" w:rsidRPr="005876EF" w:rsidRDefault="000778D2" w:rsidP="00E2466B">
      <w:pPr>
        <w:pStyle w:val="FootnoteText"/>
      </w:pPr>
      <w:r>
        <w:rPr>
          <w:rStyle w:val="FootnoteReference"/>
        </w:rPr>
        <w:footnoteRef/>
      </w:r>
      <w:r>
        <w:t xml:space="preserve">  D.15-07-001 at 126 (“[a]</w:t>
      </w:r>
      <w:r w:rsidRPr="00D36ABE">
        <w:t xml:space="preserve">lthough today’s rate reform is not intended </w:t>
      </w:r>
      <w:r>
        <w:t>[to] ‘</w:t>
      </w:r>
      <w:r w:rsidRPr="00D36ABE">
        <w:t>reward</w:t>
      </w:r>
      <w:r>
        <w:t>’</w:t>
      </w:r>
      <w:r w:rsidRPr="00D36ABE">
        <w:t xml:space="preserve"> any group of customers, we believe it is important to send a clear message that the most extreme users are not the intended beneficiaries of this decision, and that overall conservation by these superusers remains an important goal</w:t>
      </w:r>
      <w:r>
        <w:t xml:space="preserve">”).  </w:t>
      </w:r>
      <w:r>
        <w:rPr>
          <w:i/>
          <w:iCs/>
        </w:rPr>
        <w:t xml:space="preserve">See also </w:t>
      </w:r>
      <w:r>
        <w:t>Exh. CforAT-01 at 5-6 (citing CforAT’s original arguments for the HUC, including that “for a small subset of customers who use extremely high amounts of electricity, efforts to encourage conservation and energy efficiency should take priority; it should not be controversial to recognize that, for this limited subset of customers who use much more electricity than typical households, a substantial bill reduction (indeed, under many of the concepts under discussion in [R.12-06-013], households that consume the very most energy would see the highest bill reductions) would send the wrong message about the use they are making of the system”).</w:t>
      </w:r>
    </w:p>
  </w:footnote>
  <w:footnote w:id="10">
    <w:p w14:paraId="1AAD7AFB" w14:textId="75878AC3" w:rsidR="000778D2" w:rsidRDefault="000778D2">
      <w:pPr>
        <w:pStyle w:val="FootnoteText"/>
      </w:pPr>
      <w:r>
        <w:rPr>
          <w:rStyle w:val="FootnoteReference"/>
        </w:rPr>
        <w:footnoteRef/>
      </w:r>
      <w:r>
        <w:t xml:space="preserve">  </w:t>
      </w:r>
      <w:r>
        <w:t>Exh. UCAN-01 at 2.</w:t>
      </w:r>
    </w:p>
  </w:footnote>
  <w:footnote w:id="11">
    <w:p w14:paraId="0C53C1C2" w14:textId="6BE35C8A" w:rsidR="000778D2" w:rsidRDefault="000778D2">
      <w:pPr>
        <w:pStyle w:val="FootnoteText"/>
      </w:pPr>
      <w:r>
        <w:rPr>
          <w:rStyle w:val="FootnoteReference"/>
        </w:rPr>
        <w:footnoteRef/>
      </w:r>
      <w:r>
        <w:t xml:space="preserve">  </w:t>
      </w:r>
      <w:r>
        <w:t>Exh. TURN-02-E at 4.</w:t>
      </w:r>
    </w:p>
  </w:footnote>
  <w:footnote w:id="12">
    <w:p w14:paraId="043CE966" w14:textId="0C620429" w:rsidR="000778D2" w:rsidRDefault="000778D2">
      <w:pPr>
        <w:pStyle w:val="FootnoteText"/>
      </w:pPr>
      <w:r>
        <w:rPr>
          <w:rStyle w:val="FootnoteReference"/>
        </w:rPr>
        <w:footnoteRef/>
      </w:r>
      <w:r>
        <w:t xml:space="preserve">  </w:t>
      </w:r>
      <w:r>
        <w:t>Exh. CforAT-01 at 1.</w:t>
      </w:r>
    </w:p>
  </w:footnote>
  <w:footnote w:id="13">
    <w:p w14:paraId="2FD2B131" w14:textId="69873873" w:rsidR="000778D2" w:rsidRDefault="000778D2">
      <w:pPr>
        <w:pStyle w:val="FootnoteText"/>
      </w:pPr>
      <w:r>
        <w:rPr>
          <w:rStyle w:val="FootnoteReference"/>
        </w:rPr>
        <w:footnoteRef/>
      </w:r>
      <w:r>
        <w:t xml:space="preserve">  </w:t>
      </w:r>
      <w:r>
        <w:t>Exh. CforAT-01 at 14-16.</w:t>
      </w:r>
    </w:p>
  </w:footnote>
  <w:footnote w:id="14">
    <w:p w14:paraId="40E4750D" w14:textId="038D8AEB" w:rsidR="000778D2" w:rsidRDefault="000778D2">
      <w:pPr>
        <w:pStyle w:val="FootnoteText"/>
      </w:pPr>
      <w:r>
        <w:rPr>
          <w:rStyle w:val="FootnoteReference"/>
        </w:rPr>
        <w:footnoteRef/>
      </w:r>
      <w:r>
        <w:t xml:space="preserve">  </w:t>
      </w:r>
      <w:r>
        <w:t>Exh. SDG&amp;E-03 at NM-6.</w:t>
      </w:r>
    </w:p>
  </w:footnote>
  <w:footnote w:id="15">
    <w:p w14:paraId="176B3BCE" w14:textId="68170580" w:rsidR="000778D2" w:rsidRDefault="000778D2">
      <w:pPr>
        <w:pStyle w:val="FootnoteText"/>
      </w:pPr>
      <w:r>
        <w:rPr>
          <w:rStyle w:val="FootnoteReference"/>
        </w:rPr>
        <w:footnoteRef/>
      </w:r>
      <w:r>
        <w:t xml:space="preserve">  </w:t>
      </w:r>
      <w:r>
        <w:t>Exh. SDG&amp;E-03 at NM-7.</w:t>
      </w:r>
    </w:p>
  </w:footnote>
  <w:footnote w:id="16">
    <w:p w14:paraId="07E21DA3" w14:textId="563AFF2D" w:rsidR="000778D2" w:rsidRDefault="000778D2">
      <w:pPr>
        <w:pStyle w:val="FootnoteText"/>
      </w:pPr>
      <w:r>
        <w:rPr>
          <w:rStyle w:val="FootnoteReference"/>
        </w:rPr>
        <w:footnoteRef/>
      </w:r>
      <w:r>
        <w:t xml:space="preserve">  </w:t>
      </w:r>
      <w:r>
        <w:t>Exh. SDG&amp;E-03 at NM-9.</w:t>
      </w:r>
    </w:p>
  </w:footnote>
  <w:footnote w:id="17">
    <w:p w14:paraId="0897BADA" w14:textId="305C4EF8" w:rsidR="000778D2" w:rsidRDefault="000778D2">
      <w:pPr>
        <w:pStyle w:val="FootnoteText"/>
      </w:pPr>
      <w:r>
        <w:rPr>
          <w:rStyle w:val="FootnoteReference"/>
        </w:rPr>
        <w:footnoteRef/>
      </w:r>
      <w:r>
        <w:t xml:space="preserve">  </w:t>
      </w:r>
      <w:r>
        <w:t>Exh. PG&amp;E-02 at 9.</w:t>
      </w:r>
    </w:p>
  </w:footnote>
  <w:footnote w:id="18">
    <w:p w14:paraId="3FE7FF5B" w14:textId="604E4FF7" w:rsidR="000778D2" w:rsidRDefault="000778D2">
      <w:pPr>
        <w:pStyle w:val="FootnoteText"/>
      </w:pPr>
      <w:r>
        <w:rPr>
          <w:rStyle w:val="FootnoteReference"/>
        </w:rPr>
        <w:footnoteRef/>
      </w:r>
      <w:r>
        <w:t xml:space="preserve">  </w:t>
      </w:r>
      <w:r>
        <w:t>Exh. Cal Advocates-01 at 1-3.</w:t>
      </w:r>
    </w:p>
  </w:footnote>
  <w:footnote w:id="19">
    <w:p w14:paraId="423C2ECF" w14:textId="375EA8B2" w:rsidR="000778D2" w:rsidRDefault="000778D2">
      <w:pPr>
        <w:pStyle w:val="FootnoteText"/>
      </w:pPr>
      <w:r>
        <w:rPr>
          <w:rStyle w:val="FootnoteReference"/>
        </w:rPr>
        <w:footnoteRef/>
      </w:r>
      <w:r>
        <w:t xml:space="preserve">  </w:t>
      </w:r>
      <w:r>
        <w:t>Exh. UCAN-01 at 9.</w:t>
      </w:r>
    </w:p>
  </w:footnote>
  <w:footnote w:id="20">
    <w:p w14:paraId="19DC927E" w14:textId="457A9911" w:rsidR="000778D2" w:rsidRDefault="000778D2">
      <w:pPr>
        <w:pStyle w:val="FootnoteText"/>
      </w:pPr>
      <w:r>
        <w:rPr>
          <w:rStyle w:val="FootnoteReference"/>
        </w:rPr>
        <w:footnoteRef/>
      </w:r>
      <w:r>
        <w:t xml:space="preserve">  </w:t>
      </w:r>
      <w:r>
        <w:t>Exh. UCAN-01 at 9-10.</w:t>
      </w:r>
    </w:p>
  </w:footnote>
  <w:footnote w:id="21">
    <w:p w14:paraId="3DECB6B4" w14:textId="1303ACB3" w:rsidR="000778D2" w:rsidRDefault="000778D2">
      <w:pPr>
        <w:pStyle w:val="FootnoteText"/>
      </w:pPr>
      <w:r>
        <w:rPr>
          <w:rStyle w:val="FootnoteReference"/>
        </w:rPr>
        <w:footnoteRef/>
      </w:r>
      <w:r>
        <w:t xml:space="preserve">  </w:t>
      </w:r>
      <w:r>
        <w:t>Exh. CforAT-01 at 1.</w:t>
      </w:r>
    </w:p>
  </w:footnote>
  <w:footnote w:id="22">
    <w:p w14:paraId="3D29E371" w14:textId="0F051D7B" w:rsidR="000778D2" w:rsidRDefault="000778D2">
      <w:pPr>
        <w:pStyle w:val="FootnoteText"/>
      </w:pPr>
      <w:r>
        <w:rPr>
          <w:rStyle w:val="FootnoteReference"/>
        </w:rPr>
        <w:footnoteRef/>
      </w:r>
      <w:r>
        <w:t xml:space="preserve">  </w:t>
      </w:r>
      <w:r>
        <w:t>Exh. TURN-02-E at 10.</w:t>
      </w:r>
    </w:p>
  </w:footnote>
  <w:footnote w:id="23">
    <w:p w14:paraId="0B074DE8" w14:textId="5248B1FA" w:rsidR="000778D2" w:rsidRDefault="000778D2" w:rsidP="005D63CA">
      <w:pPr>
        <w:pStyle w:val="FootnoteText"/>
      </w:pPr>
      <w:r>
        <w:rPr>
          <w:rStyle w:val="FootnoteReference"/>
        </w:rPr>
        <w:footnoteRef/>
      </w:r>
      <w:r>
        <w:t xml:space="preserve">  </w:t>
      </w:r>
      <w:r>
        <w:t>Exh. SDG&amp;E-03 at NM-2.</w:t>
      </w:r>
    </w:p>
  </w:footnote>
  <w:footnote w:id="24">
    <w:p w14:paraId="32446751" w14:textId="49E0A9CC" w:rsidR="000778D2" w:rsidRDefault="000778D2">
      <w:pPr>
        <w:pStyle w:val="FootnoteText"/>
      </w:pPr>
      <w:r>
        <w:rPr>
          <w:rStyle w:val="FootnoteReference"/>
        </w:rPr>
        <w:footnoteRef/>
      </w:r>
      <w:r>
        <w:t xml:space="preserve">  </w:t>
      </w:r>
      <w:r>
        <w:t>Exh. UCAN-01 at 13.</w:t>
      </w:r>
    </w:p>
  </w:footnote>
  <w:footnote w:id="25">
    <w:p w14:paraId="053C6473" w14:textId="4ADED91E" w:rsidR="000778D2" w:rsidRDefault="000778D2">
      <w:pPr>
        <w:pStyle w:val="FootnoteText"/>
      </w:pPr>
      <w:r>
        <w:rPr>
          <w:rStyle w:val="FootnoteReference"/>
        </w:rPr>
        <w:footnoteRef/>
      </w:r>
      <w:r>
        <w:t xml:space="preserve">  </w:t>
      </w:r>
      <w:r>
        <w:t>Exh. SCE-01 at 6.</w:t>
      </w:r>
    </w:p>
  </w:footnote>
  <w:footnote w:id="26">
    <w:p w14:paraId="78E630F8" w14:textId="623C1DDA" w:rsidR="000778D2" w:rsidRDefault="000778D2">
      <w:pPr>
        <w:pStyle w:val="FootnoteText"/>
      </w:pPr>
      <w:r>
        <w:rPr>
          <w:rStyle w:val="FootnoteReference"/>
        </w:rPr>
        <w:footnoteRef/>
      </w:r>
      <w:r>
        <w:t xml:space="preserve">  </w:t>
      </w:r>
      <w:r>
        <w:t>Exh. SCE-01 at 7.</w:t>
      </w:r>
    </w:p>
  </w:footnote>
  <w:footnote w:id="27">
    <w:p w14:paraId="31F185D8" w14:textId="375218C0" w:rsidR="000778D2" w:rsidRDefault="000778D2" w:rsidP="0026404D">
      <w:pPr>
        <w:pStyle w:val="FootnoteText"/>
      </w:pPr>
      <w:r>
        <w:rPr>
          <w:rStyle w:val="FootnoteReference"/>
        </w:rPr>
        <w:footnoteRef/>
      </w:r>
      <w:r>
        <w:t xml:space="preserve">  </w:t>
      </w:r>
      <w:r>
        <w:t>Exh. PG&amp;E-02 at 7-8, citing D.15-07-001 Finding of Fact 62 (“[t]o the extent tiered rates may promote energy efficiency or conservation, a mild differential between two tiers is sufficient to maintain a conservation signal”).</w:t>
      </w:r>
    </w:p>
  </w:footnote>
  <w:footnote w:id="28">
    <w:p w14:paraId="19A86ABD" w14:textId="638C4E72" w:rsidR="000778D2" w:rsidRDefault="000778D2">
      <w:pPr>
        <w:pStyle w:val="FootnoteText"/>
      </w:pPr>
      <w:r>
        <w:rPr>
          <w:rStyle w:val="FootnoteReference"/>
        </w:rPr>
        <w:footnoteRef/>
      </w:r>
      <w:r>
        <w:t xml:space="preserve">  </w:t>
      </w:r>
      <w:r>
        <w:t>Exh. PG&amp;E-02 at 8.</w:t>
      </w:r>
    </w:p>
  </w:footnote>
  <w:footnote w:id="29">
    <w:p w14:paraId="6D13A222" w14:textId="18AA5D4F" w:rsidR="000778D2" w:rsidRDefault="000778D2">
      <w:pPr>
        <w:pStyle w:val="FootnoteText"/>
      </w:pPr>
      <w:r>
        <w:rPr>
          <w:rStyle w:val="FootnoteReference"/>
        </w:rPr>
        <w:footnoteRef/>
      </w:r>
      <w:r>
        <w:t xml:space="preserve">  </w:t>
      </w:r>
      <w:r>
        <w:t xml:space="preserve">Exh. Cal Advocates-01 at 1-9 – 1-10. </w:t>
      </w:r>
    </w:p>
  </w:footnote>
  <w:footnote w:id="30">
    <w:p w14:paraId="253FEB83" w14:textId="616BA237" w:rsidR="000778D2" w:rsidRDefault="000778D2">
      <w:pPr>
        <w:pStyle w:val="FootnoteText"/>
      </w:pPr>
      <w:r>
        <w:rPr>
          <w:rStyle w:val="FootnoteReference"/>
        </w:rPr>
        <w:footnoteRef/>
      </w:r>
      <w:r>
        <w:t xml:space="preserve">  </w:t>
      </w:r>
      <w:r>
        <w:t>Exh. TURN-02-E at 8-10.</w:t>
      </w:r>
    </w:p>
  </w:footnote>
  <w:footnote w:id="31">
    <w:p w14:paraId="203ACF7E" w14:textId="793B00CD" w:rsidR="000778D2" w:rsidRDefault="000778D2">
      <w:pPr>
        <w:pStyle w:val="FootnoteText"/>
      </w:pPr>
      <w:r>
        <w:rPr>
          <w:rStyle w:val="FootnoteReference"/>
        </w:rPr>
        <w:footnoteRef/>
      </w:r>
      <w:r>
        <w:t xml:space="preserve">  </w:t>
      </w:r>
      <w:r>
        <w:t>Exh. PG&amp;E-02 at 6.</w:t>
      </w:r>
    </w:p>
  </w:footnote>
  <w:footnote w:id="32">
    <w:p w14:paraId="0B36D285" w14:textId="679ABD18" w:rsidR="000778D2" w:rsidRDefault="000778D2">
      <w:pPr>
        <w:pStyle w:val="FootnoteText"/>
      </w:pPr>
      <w:r>
        <w:rPr>
          <w:rStyle w:val="FootnoteReference"/>
        </w:rPr>
        <w:footnoteRef/>
      </w:r>
      <w:r>
        <w:t xml:space="preserve">  </w:t>
      </w:r>
      <w:r>
        <w:t>Exh. CforAT-01 at 11-12.</w:t>
      </w:r>
    </w:p>
  </w:footnote>
  <w:footnote w:id="33">
    <w:p w14:paraId="5136DF34" w14:textId="36552F0A" w:rsidR="000778D2" w:rsidRDefault="000778D2">
      <w:pPr>
        <w:pStyle w:val="FootnoteText"/>
      </w:pPr>
      <w:r>
        <w:rPr>
          <w:rStyle w:val="FootnoteReference"/>
        </w:rPr>
        <w:footnoteRef/>
      </w:r>
      <w:r>
        <w:t xml:space="preserve">  </w:t>
      </w:r>
      <w:r>
        <w:t>Exh. PG&amp;E-01 at 2.</w:t>
      </w:r>
    </w:p>
  </w:footnote>
  <w:footnote w:id="34">
    <w:p w14:paraId="411DB225" w14:textId="7CFA6CFE" w:rsidR="000778D2" w:rsidRDefault="000778D2">
      <w:pPr>
        <w:pStyle w:val="FootnoteText"/>
      </w:pPr>
      <w:r>
        <w:rPr>
          <w:rStyle w:val="FootnoteReference"/>
        </w:rPr>
        <w:footnoteRef/>
      </w:r>
      <w:r>
        <w:t xml:space="preserve">  </w:t>
      </w:r>
      <w:r>
        <w:t>Exh. PG&amp;E-01 at 3.</w:t>
      </w:r>
    </w:p>
  </w:footnote>
  <w:footnote w:id="35">
    <w:p w14:paraId="2B4810A1" w14:textId="29A75D7D" w:rsidR="000778D2" w:rsidRDefault="000778D2">
      <w:pPr>
        <w:pStyle w:val="FootnoteText"/>
      </w:pPr>
      <w:r>
        <w:rPr>
          <w:rStyle w:val="FootnoteReference"/>
        </w:rPr>
        <w:footnoteRef/>
      </w:r>
      <w:r>
        <w:t xml:space="preserve">  </w:t>
      </w:r>
      <w:r>
        <w:t>Exh. Cal Advocates-01 at 1-3 and 1-5.</w:t>
      </w:r>
    </w:p>
  </w:footnote>
  <w:footnote w:id="36">
    <w:p w14:paraId="06B2CC81" w14:textId="14BA54F6" w:rsidR="000778D2" w:rsidRDefault="000778D2">
      <w:pPr>
        <w:pStyle w:val="FootnoteText"/>
      </w:pPr>
      <w:r>
        <w:rPr>
          <w:rStyle w:val="FootnoteReference"/>
        </w:rPr>
        <w:footnoteRef/>
      </w:r>
      <w:r>
        <w:t xml:space="preserve">  </w:t>
      </w:r>
      <w:r>
        <w:t>Exh. SCE-01 at 8-9.</w:t>
      </w:r>
    </w:p>
  </w:footnote>
  <w:footnote w:id="37">
    <w:p w14:paraId="145C2671" w14:textId="4B5A1EF5" w:rsidR="000778D2" w:rsidRDefault="000778D2" w:rsidP="006F4102">
      <w:pPr>
        <w:pStyle w:val="FootnoteText"/>
      </w:pPr>
      <w:r>
        <w:rPr>
          <w:rStyle w:val="FootnoteReference"/>
        </w:rPr>
        <w:footnoteRef/>
      </w:r>
      <w:r>
        <w:t xml:space="preserve">  While customers of any economic class and usage level may choose to opt-out of default TOU rates, SCE argued that it does not believe many very high users of electricity will opt-out given the bill savings they will experience under TOU rates.  “SCE’s data illustrates that the highest usage customers will benefit significantly by moving to TOU” (</w:t>
      </w:r>
      <w:r>
        <w:t>Exh. SCE-01 at 11).</w:t>
      </w:r>
    </w:p>
  </w:footnote>
  <w:footnote w:id="38">
    <w:p w14:paraId="2E3B6BA8" w14:textId="77D00936" w:rsidR="000778D2" w:rsidRDefault="000778D2">
      <w:pPr>
        <w:pStyle w:val="FootnoteText"/>
      </w:pPr>
      <w:r>
        <w:rPr>
          <w:rStyle w:val="FootnoteReference"/>
        </w:rPr>
        <w:footnoteRef/>
      </w:r>
      <w:r>
        <w:t xml:space="preserve">  </w:t>
      </w:r>
      <w:r>
        <w:t>Exh. SCE-01 at 11.</w:t>
      </w:r>
    </w:p>
  </w:footnote>
  <w:footnote w:id="39">
    <w:p w14:paraId="389DE51F" w14:textId="02FE5016" w:rsidR="000778D2" w:rsidRDefault="000778D2">
      <w:pPr>
        <w:pStyle w:val="FootnoteText"/>
      </w:pPr>
      <w:r>
        <w:rPr>
          <w:rStyle w:val="FootnoteReference"/>
        </w:rPr>
        <w:footnoteRef/>
      </w:r>
      <w:r>
        <w:t xml:space="preserve">  </w:t>
      </w:r>
      <w:r>
        <w:t>Exh. PG&amp;E-01 at 5, 9-10.</w:t>
      </w:r>
    </w:p>
  </w:footnote>
  <w:footnote w:id="40">
    <w:p w14:paraId="1C6BAEFB" w14:textId="71530C05" w:rsidR="000778D2" w:rsidRDefault="000778D2">
      <w:pPr>
        <w:pStyle w:val="FootnoteText"/>
      </w:pPr>
      <w:r>
        <w:rPr>
          <w:rStyle w:val="FootnoteReference"/>
        </w:rPr>
        <w:footnoteRef/>
      </w:r>
      <w:r>
        <w:t xml:space="preserve">  </w:t>
      </w:r>
      <w:r>
        <w:t>Exh. PG&amp;E-02 at 26.</w:t>
      </w:r>
    </w:p>
  </w:footnote>
  <w:footnote w:id="41">
    <w:p w14:paraId="6A24890E" w14:textId="1A010638" w:rsidR="000778D2" w:rsidRDefault="000778D2">
      <w:pPr>
        <w:pStyle w:val="FootnoteText"/>
      </w:pPr>
      <w:r>
        <w:rPr>
          <w:rStyle w:val="FootnoteReference"/>
        </w:rPr>
        <w:footnoteRef/>
      </w:r>
      <w:r>
        <w:t xml:space="preserve">  </w:t>
      </w:r>
      <w:r>
        <w:t>Exh. Cal Advocates-01 at 1-12.</w:t>
      </w:r>
    </w:p>
  </w:footnote>
  <w:footnote w:id="42">
    <w:p w14:paraId="16AACEEE" w14:textId="34585A33" w:rsidR="000778D2" w:rsidRDefault="000778D2">
      <w:pPr>
        <w:pStyle w:val="FootnoteText"/>
      </w:pPr>
      <w:r>
        <w:rPr>
          <w:rStyle w:val="FootnoteReference"/>
        </w:rPr>
        <w:footnoteRef/>
      </w:r>
      <w:r>
        <w:t xml:space="preserve">  </w:t>
      </w:r>
      <w:r>
        <w:t>Exh. Cal Advocates-01 at 1-10 and 1-11.</w:t>
      </w:r>
    </w:p>
  </w:footnote>
  <w:footnote w:id="43">
    <w:p w14:paraId="31D14911" w14:textId="2E6170B8" w:rsidR="000778D2" w:rsidRDefault="000778D2">
      <w:pPr>
        <w:pStyle w:val="FootnoteText"/>
      </w:pPr>
      <w:r>
        <w:rPr>
          <w:rStyle w:val="FootnoteReference"/>
        </w:rPr>
        <w:footnoteRef/>
      </w:r>
      <w:r>
        <w:t xml:space="preserve">  </w:t>
      </w:r>
      <w:r>
        <w:t>Exh. TURN-02-E at 10-12.</w:t>
      </w:r>
    </w:p>
  </w:footnote>
  <w:footnote w:id="44">
    <w:p w14:paraId="44ECEB64" w14:textId="6B2E0680" w:rsidR="000778D2" w:rsidRDefault="000778D2">
      <w:pPr>
        <w:pStyle w:val="FootnoteText"/>
      </w:pPr>
      <w:r>
        <w:rPr>
          <w:rStyle w:val="FootnoteReference"/>
        </w:rPr>
        <w:footnoteRef/>
      </w:r>
      <w:r>
        <w:t xml:space="preserve">  </w:t>
      </w:r>
      <w:r>
        <w:t>Exh. TURN-02-E at 13.</w:t>
      </w:r>
    </w:p>
  </w:footnote>
  <w:footnote w:id="45">
    <w:p w14:paraId="500F297A" w14:textId="5FBC5D86" w:rsidR="000778D2" w:rsidRDefault="000778D2">
      <w:pPr>
        <w:pStyle w:val="FootnoteText"/>
      </w:pPr>
      <w:r>
        <w:rPr>
          <w:rStyle w:val="FootnoteReference"/>
        </w:rPr>
        <w:footnoteRef/>
      </w:r>
      <w:r>
        <w:t xml:space="preserve">  </w:t>
      </w:r>
      <w:r>
        <w:t>Exh. PG&amp;E-01 at 4-5.</w:t>
      </w:r>
    </w:p>
  </w:footnote>
  <w:footnote w:id="46">
    <w:p w14:paraId="70B71877" w14:textId="73058739" w:rsidR="000778D2" w:rsidRDefault="000778D2" w:rsidP="00B45F8B">
      <w:pPr>
        <w:pStyle w:val="FootnoteText"/>
      </w:pPr>
      <w:r>
        <w:rPr>
          <w:rStyle w:val="FootnoteReference"/>
        </w:rPr>
        <w:footnoteRef/>
      </w:r>
      <w:r>
        <w:t xml:space="preserve">  </w:t>
      </w:r>
      <w:r>
        <w:t>Exh. TURN-02-E at 18 (“for 2017-2019, the percentage of customers incurring HUC in one year who became NEM customers in the following year averaged 14 percent, 20 percent and 26 percent of total new NEM customers for PG&amp;E, SCE and SDG&amp;E indicating that a significant number of new NEM customers were incentivized by HUC charges to make the investment”).</w:t>
      </w:r>
    </w:p>
  </w:footnote>
  <w:footnote w:id="47">
    <w:p w14:paraId="3B3283B1" w14:textId="194A4591" w:rsidR="000778D2" w:rsidRDefault="000778D2">
      <w:pPr>
        <w:pStyle w:val="FootnoteText"/>
      </w:pPr>
      <w:r>
        <w:rPr>
          <w:rStyle w:val="FootnoteReference"/>
        </w:rPr>
        <w:footnoteRef/>
      </w:r>
      <w:r>
        <w:t xml:space="preserve">  </w:t>
      </w:r>
      <w:r>
        <w:t>Exh. TURN-02-E at 17.</w:t>
      </w:r>
    </w:p>
  </w:footnote>
  <w:footnote w:id="48">
    <w:p w14:paraId="1BF2FDE3" w14:textId="515B812D" w:rsidR="000778D2" w:rsidRDefault="000778D2">
      <w:pPr>
        <w:pStyle w:val="FootnoteText"/>
      </w:pPr>
      <w:r>
        <w:rPr>
          <w:rStyle w:val="FootnoteReference"/>
        </w:rPr>
        <w:footnoteRef/>
      </w:r>
      <w:r>
        <w:t xml:space="preserve">  </w:t>
      </w:r>
      <w:r>
        <w:t>Exh. TURN-02-E at 17-19.</w:t>
      </w:r>
    </w:p>
  </w:footnote>
  <w:footnote w:id="49">
    <w:p w14:paraId="5402A61C" w14:textId="3E776959" w:rsidR="000778D2" w:rsidRDefault="000778D2">
      <w:pPr>
        <w:pStyle w:val="FootnoteText"/>
      </w:pPr>
      <w:r>
        <w:rPr>
          <w:rStyle w:val="FootnoteReference"/>
        </w:rPr>
        <w:footnoteRef/>
      </w:r>
      <w:r>
        <w:t xml:space="preserve">  </w:t>
      </w:r>
      <w:r>
        <w:t>Exh. CforAT-01 at 13-14.</w:t>
      </w:r>
    </w:p>
  </w:footnote>
  <w:footnote w:id="50">
    <w:p w14:paraId="04AB664E" w14:textId="066623B5" w:rsidR="000778D2" w:rsidRDefault="000778D2">
      <w:pPr>
        <w:pStyle w:val="FootnoteText"/>
      </w:pPr>
      <w:r>
        <w:rPr>
          <w:rStyle w:val="FootnoteReference"/>
        </w:rPr>
        <w:footnoteRef/>
      </w:r>
      <w:r>
        <w:t xml:space="preserve">  </w:t>
      </w:r>
      <w:r>
        <w:t>Exh. SCE-01 at 20-21.</w:t>
      </w:r>
    </w:p>
  </w:footnote>
  <w:footnote w:id="51">
    <w:p w14:paraId="3E80618D" w14:textId="177499BE" w:rsidR="000778D2" w:rsidRDefault="000778D2">
      <w:pPr>
        <w:pStyle w:val="FootnoteText"/>
      </w:pPr>
      <w:r>
        <w:rPr>
          <w:rStyle w:val="FootnoteReference"/>
        </w:rPr>
        <w:footnoteRef/>
      </w:r>
      <w:r>
        <w:t xml:space="preserve">  </w:t>
      </w:r>
      <w:r>
        <w:t>Exh. PG&amp;E-01 at 13.</w:t>
      </w:r>
    </w:p>
  </w:footnote>
  <w:footnote w:id="52">
    <w:p w14:paraId="5E2B464C" w14:textId="6F3AD055" w:rsidR="000778D2" w:rsidRDefault="000778D2">
      <w:pPr>
        <w:pStyle w:val="FootnoteText"/>
      </w:pPr>
      <w:r>
        <w:rPr>
          <w:rStyle w:val="FootnoteReference"/>
        </w:rPr>
        <w:footnoteRef/>
      </w:r>
      <w:r>
        <w:t xml:space="preserve">  </w:t>
      </w:r>
      <w:r>
        <w:t>Exh. PG&amp;E-01 at 16.</w:t>
      </w:r>
    </w:p>
  </w:footnote>
  <w:footnote w:id="53">
    <w:p w14:paraId="3D34B6EA" w14:textId="3E574391" w:rsidR="000778D2" w:rsidRDefault="000778D2">
      <w:pPr>
        <w:pStyle w:val="FootnoteText"/>
      </w:pPr>
      <w:r>
        <w:rPr>
          <w:rStyle w:val="FootnoteReference"/>
        </w:rPr>
        <w:footnoteRef/>
      </w:r>
      <w:r>
        <w:t xml:space="preserve">  </w:t>
      </w:r>
      <w:r>
        <w:t>Exh. SCE-01 at 22-23.</w:t>
      </w:r>
    </w:p>
  </w:footnote>
  <w:footnote w:id="54">
    <w:p w14:paraId="2A59F8AA" w14:textId="34C7E0BA" w:rsidR="000778D2" w:rsidRDefault="000778D2">
      <w:pPr>
        <w:pStyle w:val="FootnoteText"/>
      </w:pPr>
      <w:r>
        <w:rPr>
          <w:rStyle w:val="FootnoteReference"/>
        </w:rPr>
        <w:footnoteRef/>
      </w:r>
      <w:r>
        <w:t xml:space="preserve">  </w:t>
      </w:r>
      <w:r>
        <w:t>Exh. UCAN-01 at 12.</w:t>
      </w:r>
    </w:p>
  </w:footnote>
  <w:footnote w:id="55">
    <w:p w14:paraId="58A55A70" w14:textId="159159A2" w:rsidR="000778D2" w:rsidRDefault="000778D2">
      <w:pPr>
        <w:pStyle w:val="FootnoteText"/>
      </w:pPr>
      <w:r>
        <w:rPr>
          <w:rStyle w:val="FootnoteReference"/>
        </w:rPr>
        <w:footnoteRef/>
      </w:r>
      <w:r>
        <w:t xml:space="preserve">  </w:t>
      </w:r>
      <w:r>
        <w:t>Exh. Cal Advocates-01 at 1-12.</w:t>
      </w:r>
    </w:p>
  </w:footnote>
  <w:footnote w:id="56">
    <w:p w14:paraId="5A8B5BDE" w14:textId="04285F84" w:rsidR="000778D2" w:rsidRDefault="000778D2">
      <w:pPr>
        <w:pStyle w:val="FootnoteText"/>
      </w:pPr>
      <w:r>
        <w:rPr>
          <w:rStyle w:val="FootnoteReference"/>
        </w:rPr>
        <w:footnoteRef/>
      </w:r>
      <w:r>
        <w:t xml:space="preserve">  </w:t>
      </w:r>
      <w:r>
        <w:t>Exh. TURN-02-E at 15-16.</w:t>
      </w:r>
    </w:p>
  </w:footnote>
  <w:footnote w:id="57">
    <w:p w14:paraId="2F50440B" w14:textId="1BE4FF41" w:rsidR="000778D2" w:rsidRDefault="000778D2">
      <w:pPr>
        <w:pStyle w:val="FootnoteText"/>
      </w:pPr>
      <w:r>
        <w:rPr>
          <w:rStyle w:val="FootnoteReference"/>
        </w:rPr>
        <w:footnoteRef/>
      </w:r>
      <w:r>
        <w:t xml:space="preserve">  </w:t>
      </w:r>
      <w:r>
        <w:t>Exh. TURN-02-E at 19.</w:t>
      </w:r>
    </w:p>
  </w:footnote>
  <w:footnote w:id="58">
    <w:p w14:paraId="354F1F28" w14:textId="3B213236" w:rsidR="000778D2" w:rsidRDefault="000778D2">
      <w:pPr>
        <w:pStyle w:val="FootnoteText"/>
      </w:pPr>
      <w:r>
        <w:rPr>
          <w:rStyle w:val="FootnoteReference"/>
        </w:rPr>
        <w:footnoteRef/>
      </w:r>
      <w:r>
        <w:t xml:space="preserve">  </w:t>
      </w:r>
      <w:r>
        <w:t>Exh. CforAT-01 at 10, restating one of the guiding principles of D.19-04-018.</w:t>
      </w:r>
    </w:p>
  </w:footnote>
  <w:footnote w:id="59">
    <w:p w14:paraId="376B0E1C" w14:textId="4C067C87" w:rsidR="000778D2" w:rsidRDefault="000778D2">
      <w:pPr>
        <w:pStyle w:val="FootnoteText"/>
      </w:pPr>
      <w:r>
        <w:rPr>
          <w:rStyle w:val="FootnoteReference"/>
        </w:rPr>
        <w:footnoteRef/>
      </w:r>
      <w:r>
        <w:t xml:space="preserve">  </w:t>
      </w:r>
      <w:r>
        <w:t>Exh. PG&amp;E-02 at 10.</w:t>
      </w:r>
    </w:p>
  </w:footnote>
  <w:footnote w:id="60">
    <w:p w14:paraId="21091414" w14:textId="2FE41A24" w:rsidR="000778D2" w:rsidRDefault="000778D2">
      <w:pPr>
        <w:pStyle w:val="FootnoteText"/>
      </w:pPr>
      <w:r>
        <w:rPr>
          <w:rStyle w:val="FootnoteReference"/>
        </w:rPr>
        <w:footnoteRef/>
      </w:r>
      <w:r>
        <w:t xml:space="preserve">  The completion has already occurred for SDG&amp;E, will occur by March 2022 for SCE, and will occur by April 2022 for PG&amp;E (RT Ramirez/Keane/Malik 69:5-26).</w:t>
      </w:r>
    </w:p>
  </w:footnote>
  <w:footnote w:id="61">
    <w:p w14:paraId="7453F6D0" w14:textId="43E61D2F" w:rsidR="000778D2" w:rsidRDefault="000778D2">
      <w:pPr>
        <w:pStyle w:val="FootnoteText"/>
      </w:pPr>
      <w:r>
        <w:rPr>
          <w:rStyle w:val="FootnoteReference"/>
        </w:rPr>
        <w:footnoteRef/>
      </w:r>
      <w:r>
        <w:t xml:space="preserve">  D.18-08-013 at 11.</w:t>
      </w:r>
    </w:p>
  </w:footnote>
  <w:footnote w:id="62">
    <w:p w14:paraId="54308891" w14:textId="6DFA6F42" w:rsidR="000778D2" w:rsidRDefault="000778D2">
      <w:pPr>
        <w:pStyle w:val="FootnoteText"/>
      </w:pPr>
      <w:r>
        <w:rPr>
          <w:rStyle w:val="FootnoteReference"/>
        </w:rPr>
        <w:footnoteRef/>
      </w:r>
      <w:r>
        <w:t xml:space="preserve">  Motion to adopt HUC settlement at 8.</w:t>
      </w:r>
    </w:p>
  </w:footnote>
  <w:footnote w:id="63">
    <w:p w14:paraId="64F3F804" w14:textId="6B397F8B" w:rsidR="000778D2" w:rsidRPr="007E683C" w:rsidRDefault="000778D2">
      <w:pPr>
        <w:pStyle w:val="FootnoteText"/>
      </w:pPr>
      <w:r>
        <w:rPr>
          <w:rStyle w:val="FootnoteReference"/>
        </w:rPr>
        <w:footnoteRef/>
      </w:r>
      <w:r>
        <w:t xml:space="preserve">  Motion to adopt HUC settlement at 10.  </w:t>
      </w:r>
      <w:r>
        <w:rPr>
          <w:i/>
          <w:iCs/>
        </w:rPr>
        <w:t xml:space="preserve">See also </w:t>
      </w:r>
      <w:r>
        <w:t>SCE opening brief at 10.</w:t>
      </w:r>
    </w:p>
  </w:footnote>
  <w:footnote w:id="64">
    <w:p w14:paraId="7E7EAD62" w14:textId="17DEE8B7" w:rsidR="000778D2" w:rsidRDefault="000778D2">
      <w:pPr>
        <w:pStyle w:val="FootnoteText"/>
      </w:pPr>
      <w:r>
        <w:rPr>
          <w:rStyle w:val="FootnoteReference"/>
        </w:rPr>
        <w:footnoteRef/>
      </w:r>
      <w:r>
        <w:t xml:space="preserve">  </w:t>
      </w:r>
      <w:r>
        <w:t>CforAT reply brief at 2-3.</w:t>
      </w:r>
    </w:p>
  </w:footnote>
  <w:footnote w:id="65">
    <w:p w14:paraId="5CCE7313" w14:textId="5D9279A3" w:rsidR="000778D2" w:rsidRDefault="000778D2">
      <w:pPr>
        <w:pStyle w:val="FootnoteText"/>
      </w:pPr>
      <w:r>
        <w:rPr>
          <w:rStyle w:val="FootnoteReference"/>
        </w:rPr>
        <w:footnoteRef/>
      </w:r>
      <w:r>
        <w:t xml:space="preserve">  Motion to adopt HUC settlement at 11.</w:t>
      </w:r>
    </w:p>
  </w:footnote>
  <w:footnote w:id="66">
    <w:p w14:paraId="77217E16" w14:textId="026BC104" w:rsidR="000778D2" w:rsidRDefault="000778D2">
      <w:pPr>
        <w:pStyle w:val="FootnoteText"/>
      </w:pPr>
      <w:r>
        <w:rPr>
          <w:rStyle w:val="FootnoteReference"/>
        </w:rPr>
        <w:footnoteRef/>
      </w:r>
      <w:r>
        <w:t xml:space="preserve">  Motion to adopt HUC settlement at 11.</w:t>
      </w:r>
    </w:p>
  </w:footnote>
  <w:footnote w:id="67">
    <w:p w14:paraId="5AEEF831" w14:textId="4B79C7BB" w:rsidR="000778D2" w:rsidRDefault="000778D2">
      <w:pPr>
        <w:pStyle w:val="FootnoteText"/>
      </w:pPr>
      <w:r>
        <w:rPr>
          <w:rStyle w:val="FootnoteReference"/>
        </w:rPr>
        <w:footnoteRef/>
      </w:r>
      <w:r>
        <w:t xml:space="preserve">  SCE opening brief at 14, citing </w:t>
      </w:r>
      <w:r w:rsidRPr="00C65859">
        <w:t>Tr. Vol. 1, PG&amp;E/Keane, 80:22—81:1</w:t>
      </w:r>
      <w:r>
        <w:t xml:space="preserve"> and </w:t>
      </w:r>
      <w:r w:rsidRPr="00C65859">
        <w:t>SCE/Ramirez,</w:t>
      </w:r>
      <w:r>
        <w:t> </w:t>
      </w:r>
      <w:r w:rsidRPr="00C65859">
        <w:t>80:1</w:t>
      </w:r>
      <w:r>
        <w:noBreakHyphen/>
      </w:r>
      <w:r w:rsidRPr="00C65859">
        <w:t>3</w:t>
      </w:r>
      <w:r>
        <w:t>.</w:t>
      </w:r>
    </w:p>
  </w:footnote>
  <w:footnote w:id="68">
    <w:p w14:paraId="1CB466B7" w14:textId="5D0E0DFE" w:rsidR="000778D2" w:rsidRDefault="000778D2">
      <w:pPr>
        <w:pStyle w:val="FootnoteText"/>
      </w:pPr>
      <w:r>
        <w:rPr>
          <w:rStyle w:val="FootnoteReference"/>
        </w:rPr>
        <w:footnoteRef/>
      </w:r>
      <w:r>
        <w:t xml:space="preserve">  HUC settlement at 11.</w:t>
      </w:r>
    </w:p>
  </w:footnote>
  <w:footnote w:id="69">
    <w:p w14:paraId="4FD53812" w14:textId="7F3BBDA2" w:rsidR="000778D2" w:rsidRDefault="000778D2">
      <w:pPr>
        <w:pStyle w:val="FootnoteText"/>
      </w:pPr>
      <w:r>
        <w:rPr>
          <w:rStyle w:val="FootnoteReference"/>
        </w:rPr>
        <w:footnoteRef/>
      </w:r>
      <w:r>
        <w:t xml:space="preserve">  Motion to adopt HUC settlement at 12.</w:t>
      </w:r>
    </w:p>
  </w:footnote>
  <w:footnote w:id="70">
    <w:p w14:paraId="41D4F038" w14:textId="31E6F36D" w:rsidR="000778D2" w:rsidRDefault="000778D2">
      <w:pPr>
        <w:pStyle w:val="FootnoteText"/>
      </w:pPr>
      <w:r>
        <w:rPr>
          <w:rStyle w:val="FootnoteReference"/>
        </w:rPr>
        <w:footnoteRef/>
      </w:r>
      <w:r>
        <w:t xml:space="preserve">  SCE opening brief at 16.</w:t>
      </w:r>
    </w:p>
  </w:footnote>
  <w:footnote w:id="71">
    <w:p w14:paraId="21105A7B" w14:textId="3755B57D" w:rsidR="000778D2" w:rsidRDefault="000778D2">
      <w:pPr>
        <w:pStyle w:val="FootnoteText"/>
      </w:pPr>
      <w:r>
        <w:rPr>
          <w:rStyle w:val="FootnoteReference"/>
        </w:rPr>
        <w:footnoteRef/>
      </w:r>
      <w:r>
        <w:t xml:space="preserve">  </w:t>
      </w:r>
      <w:r>
        <w:t>CforAT opening brief at 7-8, 11.</w:t>
      </w:r>
    </w:p>
  </w:footnote>
  <w:footnote w:id="72">
    <w:p w14:paraId="0B6BD4C3" w14:textId="6E203C3F" w:rsidR="000778D2" w:rsidRDefault="000778D2">
      <w:pPr>
        <w:pStyle w:val="FootnoteText"/>
      </w:pPr>
      <w:r>
        <w:rPr>
          <w:rStyle w:val="FootnoteReference"/>
        </w:rPr>
        <w:footnoteRef/>
      </w:r>
      <w:r>
        <w:t xml:space="preserve">  </w:t>
      </w:r>
      <w:r>
        <w:t>CforAT opening brief at 10.</w:t>
      </w:r>
    </w:p>
  </w:footnote>
  <w:footnote w:id="73">
    <w:p w14:paraId="42CDF988" w14:textId="65B433CC" w:rsidR="000778D2" w:rsidRDefault="000778D2">
      <w:pPr>
        <w:pStyle w:val="FootnoteText"/>
      </w:pPr>
      <w:r>
        <w:rPr>
          <w:rStyle w:val="FootnoteReference"/>
        </w:rPr>
        <w:footnoteRef/>
      </w:r>
      <w:r>
        <w:t xml:space="preserve">  </w:t>
      </w:r>
      <w:r>
        <w:t>CforAT reply brief at 10.</w:t>
      </w:r>
    </w:p>
  </w:footnote>
  <w:footnote w:id="74">
    <w:p w14:paraId="72EAB530" w14:textId="4D33FD23" w:rsidR="000778D2" w:rsidRPr="000F1E2C" w:rsidRDefault="000778D2">
      <w:pPr>
        <w:pStyle w:val="FootnoteText"/>
      </w:pPr>
      <w:r>
        <w:rPr>
          <w:rStyle w:val="FootnoteReference"/>
        </w:rPr>
        <w:footnoteRef/>
      </w:r>
      <w:r>
        <w:t xml:space="preserve">  </w:t>
      </w:r>
      <w:r>
        <w:rPr>
          <w:i/>
          <w:iCs/>
        </w:rPr>
        <w:t xml:space="preserve">See, e.g., </w:t>
      </w:r>
      <w:r>
        <w:t>TURN reply brief at 2.</w:t>
      </w:r>
    </w:p>
  </w:footnote>
  <w:footnote w:id="75">
    <w:p w14:paraId="3135EA06" w14:textId="5E83145C" w:rsidR="000778D2" w:rsidRPr="00BB2CA6" w:rsidRDefault="000778D2" w:rsidP="00B5765A">
      <w:pPr>
        <w:pStyle w:val="FootnoteText"/>
      </w:pPr>
      <w:r>
        <w:rPr>
          <w:rStyle w:val="FootnoteReference"/>
        </w:rPr>
        <w:footnoteRef/>
      </w:r>
      <w:r>
        <w:t xml:space="preserve">  </w:t>
      </w:r>
      <w:r>
        <w:rPr>
          <w:i/>
          <w:iCs/>
        </w:rPr>
        <w:t>See, e.g.</w:t>
      </w:r>
      <w:r>
        <w:t xml:space="preserve">, D.15-07-001 at 124.  Notably, some parties argued that this policy goal has changed in recent years to embrace less conservation in the name of residential electrification.  Because the merits of residential electrification may depend on the time electricity is used and the technologies that consume the electricity, which are not factors specifically influenced by the HUC, it is not necessary to consider whether the HUC benefits or harms residential electrification goals.  </w:t>
      </w:r>
      <w:r>
        <w:rPr>
          <w:i/>
          <w:iCs/>
        </w:rPr>
        <w:t xml:space="preserve">See also </w:t>
      </w:r>
      <w:r>
        <w:t>CforAT opening brief at 13.  Instead, t</w:t>
      </w:r>
      <w:r w:rsidRPr="00B5765A">
        <w:t>his</w:t>
      </w:r>
      <w:r>
        <w:t xml:space="preserve"> decision evaluates whether the HUC has achieved its original goal of reducing electrical usage by the highest users of electricity taking service on a tiered non-TOU rate.</w:t>
      </w:r>
    </w:p>
  </w:footnote>
  <w:footnote w:id="76">
    <w:p w14:paraId="7C5FBE1E" w14:textId="65B0F5CC" w:rsidR="000778D2" w:rsidRPr="000E5C25" w:rsidRDefault="000778D2">
      <w:pPr>
        <w:pStyle w:val="FootnoteText"/>
      </w:pPr>
      <w:r>
        <w:rPr>
          <w:rStyle w:val="FootnoteReference"/>
        </w:rPr>
        <w:footnoteRef/>
      </w:r>
      <w:r>
        <w:t xml:space="preserve">  </w:t>
      </w:r>
      <w:r>
        <w:rPr>
          <w:i/>
          <w:iCs/>
        </w:rPr>
        <w:t>See, e.g.</w:t>
      </w:r>
      <w:r>
        <w:t>, PG&amp;E reply brief at SR-1.</w:t>
      </w:r>
    </w:p>
  </w:footnote>
  <w:footnote w:id="77">
    <w:p w14:paraId="000D9238" w14:textId="50D26DEC" w:rsidR="000778D2" w:rsidRDefault="000778D2">
      <w:pPr>
        <w:pStyle w:val="FootnoteText"/>
      </w:pPr>
      <w:r>
        <w:rPr>
          <w:rStyle w:val="FootnoteReference"/>
        </w:rPr>
        <w:footnoteRef/>
      </w:r>
      <w:r>
        <w:t xml:space="preserve">  </w:t>
      </w:r>
      <w:r>
        <w:t>Exh. SCE-</w:t>
      </w:r>
      <w:r w:rsidRPr="007B02BE">
        <w:t>02 at 2-4.</w:t>
      </w:r>
    </w:p>
  </w:footnote>
  <w:footnote w:id="78">
    <w:p w14:paraId="23AF11A3" w14:textId="1F20C236" w:rsidR="000778D2" w:rsidRPr="009F4073" w:rsidRDefault="000778D2">
      <w:pPr>
        <w:pStyle w:val="FootnoteText"/>
      </w:pPr>
      <w:r>
        <w:rPr>
          <w:rStyle w:val="FootnoteReference"/>
        </w:rPr>
        <w:footnoteRef/>
      </w:r>
      <w:r>
        <w:t xml:space="preserve">  Cal Advocates opening brief at 7.  </w:t>
      </w:r>
      <w:r>
        <w:rPr>
          <w:i/>
          <w:iCs/>
        </w:rPr>
        <w:t>See also</w:t>
      </w:r>
      <w:r>
        <w:t xml:space="preserve"> PG&amp;E opening brief at 21-22.</w:t>
      </w:r>
    </w:p>
  </w:footnote>
  <w:footnote w:id="79">
    <w:p w14:paraId="0E4462E6" w14:textId="46C76683" w:rsidR="000778D2" w:rsidRDefault="000778D2">
      <w:pPr>
        <w:pStyle w:val="FootnoteText"/>
      </w:pPr>
      <w:r>
        <w:rPr>
          <w:rStyle w:val="FootnoteReference"/>
        </w:rPr>
        <w:footnoteRef/>
      </w:r>
      <w:r>
        <w:t xml:space="preserve">  Semantically, one could argue that the mere existence of the HUC signal complies with the stated intent of D.15-07-001 that the HUC should signal to very high users that their usage is abnormally high; but retaining a signal that does not result in a desired customer response would be illogical.</w:t>
      </w:r>
    </w:p>
  </w:footnote>
  <w:footnote w:id="80">
    <w:p w14:paraId="7092DA02" w14:textId="6AB481B5" w:rsidR="000778D2" w:rsidRDefault="000778D2">
      <w:pPr>
        <w:pStyle w:val="FootnoteText"/>
      </w:pPr>
      <w:r>
        <w:rPr>
          <w:rStyle w:val="FootnoteReference"/>
        </w:rPr>
        <w:footnoteRef/>
      </w:r>
      <w:r>
        <w:t xml:space="preserve">  </w:t>
      </w:r>
      <w:r>
        <w:t>CforAT opening brief at 9-10.</w:t>
      </w:r>
    </w:p>
  </w:footnote>
  <w:footnote w:id="81">
    <w:p w14:paraId="4CC2715E" w14:textId="29E0FFF4" w:rsidR="000778D2" w:rsidRDefault="000778D2" w:rsidP="004655B9">
      <w:pPr>
        <w:pStyle w:val="FootnoteText"/>
      </w:pPr>
      <w:r>
        <w:rPr>
          <w:rStyle w:val="FootnoteReference"/>
        </w:rPr>
        <w:footnoteRef/>
      </w:r>
      <w:r>
        <w:t xml:space="preserve">  </w:t>
      </w:r>
      <w:r>
        <w:t>CforAT opening brief at 9, citing D.15-07-001 at 108 (“the [HUC] is a mechanism to target the small number of customers who use an extreme amount of energy while minimizing the risk that ordinary customers will inadvertently be hit with electricity rates set significantly higher than cost”).</w:t>
      </w:r>
    </w:p>
  </w:footnote>
  <w:footnote w:id="82">
    <w:p w14:paraId="5A83F9B0" w14:textId="710B0C79" w:rsidR="000778D2" w:rsidRDefault="000778D2">
      <w:pPr>
        <w:pStyle w:val="FootnoteText"/>
      </w:pPr>
      <w:r>
        <w:rPr>
          <w:rStyle w:val="FootnoteReference"/>
        </w:rPr>
        <w:footnoteRef/>
      </w:r>
      <w:r>
        <w:t xml:space="preserve">  While the foundation for the statement by the PG&amp;E witness is unclear, this decision accepts that the HUC was intended to facilitate a broader compromise leading to the adoption of D.15</w:t>
      </w:r>
      <w:r>
        <w:noBreakHyphen/>
        <w:t>07-001.</w:t>
      </w:r>
    </w:p>
  </w:footnote>
  <w:footnote w:id="83">
    <w:p w14:paraId="140ECD46" w14:textId="110795DE" w:rsidR="000778D2" w:rsidRDefault="000778D2">
      <w:pPr>
        <w:pStyle w:val="FootnoteText"/>
      </w:pPr>
      <w:r>
        <w:rPr>
          <w:rStyle w:val="FootnoteReference"/>
        </w:rPr>
        <w:footnoteRef/>
      </w:r>
      <w:r>
        <w:t xml:space="preserve">  D.15-07-001 at 277, 285, 294.</w:t>
      </w:r>
    </w:p>
  </w:footnote>
  <w:footnote w:id="84">
    <w:p w14:paraId="16E5C555" w14:textId="4BFAC138" w:rsidR="000778D2" w:rsidRDefault="000778D2">
      <w:pPr>
        <w:pStyle w:val="FootnoteText"/>
      </w:pPr>
      <w:r>
        <w:rPr>
          <w:rStyle w:val="FootnoteReference"/>
        </w:rPr>
        <w:footnoteRef/>
      </w:r>
      <w:r>
        <w:t xml:space="preserve">  </w:t>
      </w:r>
      <w:r>
        <w:t>Exh. SCE-01 at 15.</w:t>
      </w:r>
    </w:p>
  </w:footnote>
  <w:footnote w:id="85">
    <w:p w14:paraId="07D00BA0" w14:textId="6DD35184" w:rsidR="000778D2" w:rsidRDefault="000778D2">
      <w:pPr>
        <w:pStyle w:val="FootnoteText"/>
      </w:pPr>
      <w:r>
        <w:rPr>
          <w:rStyle w:val="FootnoteReference"/>
        </w:rPr>
        <w:footnoteRef/>
      </w:r>
      <w:r>
        <w:t xml:space="preserve">  </w:t>
      </w:r>
      <w:r>
        <w:t>Exh. SDG&amp;E-03 at NM-17.</w:t>
      </w:r>
    </w:p>
  </w:footnote>
  <w:footnote w:id="86">
    <w:p w14:paraId="535AA003" w14:textId="5EEB1C6D" w:rsidR="000778D2" w:rsidRDefault="000778D2">
      <w:pPr>
        <w:pStyle w:val="FootnoteText"/>
      </w:pPr>
      <w:r>
        <w:rPr>
          <w:rStyle w:val="FootnoteReference"/>
        </w:rPr>
        <w:footnoteRef/>
      </w:r>
      <w:r>
        <w:t xml:space="preserve">  </w:t>
      </w:r>
      <w:r>
        <w:t>Exh. PG&amp;E-01 at 12.</w:t>
      </w:r>
    </w:p>
  </w:footnote>
  <w:footnote w:id="87">
    <w:p w14:paraId="56B97758" w14:textId="7CAE7BF4" w:rsidR="000778D2" w:rsidRDefault="000778D2">
      <w:pPr>
        <w:pStyle w:val="FootnoteText"/>
      </w:pPr>
      <w:r>
        <w:rPr>
          <w:rStyle w:val="FootnoteReference"/>
        </w:rPr>
        <w:footnoteRef/>
      </w:r>
      <w:r>
        <w:t xml:space="preserve">  Motion to adopt the HUC settlement at 12.</w:t>
      </w:r>
    </w:p>
  </w:footnote>
  <w:footnote w:id="88">
    <w:p w14:paraId="24244629" w14:textId="4CD6313B" w:rsidR="000778D2" w:rsidRDefault="000778D2">
      <w:pPr>
        <w:pStyle w:val="FootnoteText"/>
      </w:pPr>
      <w:r>
        <w:rPr>
          <w:rStyle w:val="FootnoteReference"/>
        </w:rPr>
        <w:footnoteRef/>
      </w:r>
      <w:r>
        <w:t xml:space="preserve">  SCE opening brief at 17.</w:t>
      </w:r>
    </w:p>
  </w:footnote>
  <w:footnote w:id="89">
    <w:p w14:paraId="1EA4488C" w14:textId="502B8C5C" w:rsidR="000778D2" w:rsidRDefault="000778D2">
      <w:pPr>
        <w:pStyle w:val="FootnoteText"/>
      </w:pPr>
      <w:r>
        <w:rPr>
          <w:rStyle w:val="FootnoteReference"/>
        </w:rPr>
        <w:footnoteRef/>
      </w:r>
      <w:r>
        <w:t xml:space="preserve">  TR Ramirez 66:2-14.</w:t>
      </w:r>
    </w:p>
  </w:footnote>
  <w:footnote w:id="90">
    <w:p w14:paraId="752F4C6A" w14:textId="7BBAF045" w:rsidR="000778D2" w:rsidRDefault="000778D2">
      <w:pPr>
        <w:pStyle w:val="FootnoteText"/>
      </w:pPr>
      <w:r>
        <w:rPr>
          <w:rStyle w:val="FootnoteReference"/>
        </w:rPr>
        <w:footnoteRef/>
      </w:r>
      <w:r>
        <w:t xml:space="preserve"> The comment of the Settling Parties on the proposed decision indicated that they preferred the maintenance of electrical corporation discretion as described in the HUC settlement.  However, the comment also indicated that the Settling Parties only sought, at a minimum, the reinsertion of the HUC revenue calculation condition.  This decision therefore interprets the comment of the Settling Parties on the proposed decision as accepting the removal of electrical corporation discretion to seek elimination of the HUC once relevant elimination criteria are met.</w:t>
      </w:r>
    </w:p>
  </w:footnote>
  <w:footnote w:id="91">
    <w:p w14:paraId="21AA6316" w14:textId="3D5EEA82" w:rsidR="000778D2" w:rsidRDefault="000778D2">
      <w:pPr>
        <w:pStyle w:val="FootnoteText"/>
      </w:pPr>
      <w:r>
        <w:rPr>
          <w:rStyle w:val="FootnoteReference"/>
        </w:rPr>
        <w:footnoteRef/>
      </w:r>
      <w:r>
        <w:t xml:space="preserve"> </w:t>
      </w:r>
      <w:r>
        <w:t>In the event that the HUC elimination criteria are not met, then this price ratio would remain until modified by a subsequent Commission decision.</w:t>
      </w:r>
    </w:p>
  </w:footnote>
  <w:footnote w:id="92">
    <w:p w14:paraId="09483650" w14:textId="7609BD1B" w:rsidR="000778D2" w:rsidRDefault="000778D2">
      <w:pPr>
        <w:pStyle w:val="FootnoteText"/>
      </w:pPr>
      <w:r>
        <w:rPr>
          <w:rStyle w:val="FootnoteReference"/>
        </w:rPr>
        <w:footnoteRef/>
      </w:r>
      <w:r>
        <w:t xml:space="preserve">  </w:t>
      </w:r>
      <w:r>
        <w:t>Exh. SDG&amp;E-04 at NM-1.</w:t>
      </w:r>
    </w:p>
  </w:footnote>
  <w:footnote w:id="93">
    <w:p w14:paraId="325842DA" w14:textId="4467430A" w:rsidR="000778D2" w:rsidRDefault="000778D2" w:rsidP="00812377">
      <w:pPr>
        <w:pStyle w:val="FootnoteText"/>
      </w:pPr>
      <w:r>
        <w:rPr>
          <w:rStyle w:val="FootnoteReference"/>
        </w:rPr>
        <w:footnoteRef/>
      </w:r>
      <w:r>
        <w:t xml:space="preserve">  </w:t>
      </w:r>
      <w:r>
        <w:t xml:space="preserve">Exh. SDG&amp;E-04 at NM-8.  SDG&amp;E reported that the EECC is designed to reflect the marginal generation costs by season and by TOU period as approved in SDG&amp;E’s 2016 GRC Phase 2 and that </w:t>
      </w:r>
      <w:r>
        <w:t>in order to adjust untiered opt-in residential TOU rates to moderately reduce summer rates, SDG&amp;E would adjust the recovery of the summer on-peak generation demand costs and the summer generation capacity costs by shifting some of those costs to the winter commodity rates.  (Exh. SDG&amp;E-04 at NM-9.)</w:t>
      </w:r>
    </w:p>
  </w:footnote>
  <w:footnote w:id="94">
    <w:p w14:paraId="7F0969FA" w14:textId="4883BC03" w:rsidR="000778D2" w:rsidRDefault="000778D2">
      <w:pPr>
        <w:pStyle w:val="FootnoteText"/>
      </w:pPr>
      <w:r>
        <w:rPr>
          <w:rStyle w:val="FootnoteReference"/>
        </w:rPr>
        <w:footnoteRef/>
      </w:r>
      <w:r>
        <w:t xml:space="preserve">  </w:t>
      </w:r>
      <w:r>
        <w:t>Exh. SDG&amp;E-04 at NM-5 to NM-7.</w:t>
      </w:r>
    </w:p>
  </w:footnote>
  <w:footnote w:id="95">
    <w:p w14:paraId="27339249" w14:textId="77777777" w:rsidR="000778D2" w:rsidRDefault="000778D2">
      <w:pPr>
        <w:pStyle w:val="FootnoteText"/>
      </w:pPr>
      <w:r>
        <w:rPr>
          <w:rStyle w:val="FootnoteReference"/>
        </w:rPr>
        <w:footnoteRef/>
      </w:r>
      <w:r>
        <w:t xml:space="preserve"> </w:t>
      </w:r>
      <w:r>
        <w:t>Exh. SDG&amp;E-04 at NM-11 to NM-12.</w:t>
      </w:r>
    </w:p>
  </w:footnote>
  <w:footnote w:id="96">
    <w:p w14:paraId="007FB4BE" w14:textId="77777777" w:rsidR="000778D2" w:rsidRDefault="000778D2">
      <w:pPr>
        <w:pStyle w:val="FootnoteText"/>
      </w:pPr>
      <w:r>
        <w:rPr>
          <w:rStyle w:val="FootnoteReference"/>
        </w:rPr>
        <w:footnoteRef/>
      </w:r>
      <w:r>
        <w:t xml:space="preserve"> </w:t>
      </w:r>
      <w:r>
        <w:t>Exh. SDG&amp;E-04 at NM-15 to NM-21.</w:t>
      </w:r>
    </w:p>
  </w:footnote>
  <w:footnote w:id="97">
    <w:p w14:paraId="3E4595AB" w14:textId="21A793E9" w:rsidR="000778D2" w:rsidRDefault="000778D2" w:rsidP="00F97F4E">
      <w:pPr>
        <w:pStyle w:val="FootnoteText"/>
      </w:pPr>
      <w:r>
        <w:rPr>
          <w:rStyle w:val="FootnoteReference"/>
        </w:rPr>
        <w:footnoteRef/>
      </w:r>
      <w:r>
        <w:t xml:space="preserve">  </w:t>
      </w:r>
      <w:r>
        <w:t>Exh. UCAN-01 at 17; Exh. TURN-03 at 2; CforAT-01 at 4-5.</w:t>
      </w:r>
    </w:p>
  </w:footnote>
  <w:footnote w:id="98">
    <w:p w14:paraId="0E8BA741" w14:textId="34E20E6A" w:rsidR="000778D2" w:rsidRDefault="000778D2">
      <w:pPr>
        <w:pStyle w:val="FootnoteText"/>
      </w:pPr>
      <w:r>
        <w:rPr>
          <w:rStyle w:val="FootnoteReference"/>
        </w:rPr>
        <w:footnoteRef/>
      </w:r>
      <w:r>
        <w:t xml:space="preserve">  </w:t>
      </w:r>
      <w:r>
        <w:t>Exh. SDG&amp;E-07 at NM-6 to NM-7.</w:t>
      </w:r>
    </w:p>
  </w:footnote>
  <w:footnote w:id="99">
    <w:p w14:paraId="1E9C174C" w14:textId="5F4FB7E5" w:rsidR="000778D2" w:rsidRDefault="000778D2">
      <w:pPr>
        <w:pStyle w:val="FootnoteText"/>
      </w:pPr>
      <w:r>
        <w:rPr>
          <w:rStyle w:val="FootnoteReference"/>
        </w:rPr>
        <w:footnoteRef/>
      </w:r>
      <w:r>
        <w:t xml:space="preserve">  </w:t>
      </w:r>
      <w:r>
        <w:t>Exh. CforAT-01 at 5.</w:t>
      </w:r>
    </w:p>
  </w:footnote>
  <w:footnote w:id="100">
    <w:p w14:paraId="6536784D" w14:textId="104EBFA9" w:rsidR="000778D2" w:rsidRDefault="000778D2">
      <w:pPr>
        <w:pStyle w:val="FootnoteText"/>
      </w:pPr>
      <w:r>
        <w:rPr>
          <w:rStyle w:val="FootnoteReference"/>
        </w:rPr>
        <w:footnoteRef/>
      </w:r>
      <w:r>
        <w:t xml:space="preserve">  </w:t>
      </w:r>
      <w:r>
        <w:t>Exh. UCAN-01 at 14-15.</w:t>
      </w:r>
    </w:p>
  </w:footnote>
  <w:footnote w:id="101">
    <w:p w14:paraId="75B21CED" w14:textId="381B6659" w:rsidR="000778D2" w:rsidRDefault="000778D2">
      <w:pPr>
        <w:pStyle w:val="FootnoteText"/>
      </w:pPr>
      <w:r>
        <w:rPr>
          <w:rStyle w:val="FootnoteReference"/>
        </w:rPr>
        <w:footnoteRef/>
      </w:r>
      <w:r>
        <w:t xml:space="preserve">  </w:t>
      </w:r>
      <w:r>
        <w:t>Exh. UCAN-01 at 15-17.</w:t>
      </w:r>
    </w:p>
  </w:footnote>
  <w:footnote w:id="102">
    <w:p w14:paraId="4D0CB312" w14:textId="7536CB6C" w:rsidR="000778D2" w:rsidRDefault="000778D2">
      <w:pPr>
        <w:pStyle w:val="FootnoteText"/>
      </w:pPr>
      <w:r>
        <w:rPr>
          <w:rStyle w:val="FootnoteReference"/>
        </w:rPr>
        <w:footnoteRef/>
      </w:r>
      <w:r>
        <w:t xml:space="preserve">  </w:t>
      </w:r>
      <w:r>
        <w:t>Exh. SDG&amp;E-07 at NM-5 to NM-6.</w:t>
      </w:r>
    </w:p>
  </w:footnote>
  <w:footnote w:id="103">
    <w:p w14:paraId="7B3EA6DB" w14:textId="77777777" w:rsidR="000778D2" w:rsidRDefault="000778D2">
      <w:pPr>
        <w:pStyle w:val="FootnoteText"/>
      </w:pPr>
      <w:r>
        <w:rPr>
          <w:rStyle w:val="FootnoteReference"/>
        </w:rPr>
        <w:footnoteRef/>
      </w:r>
      <w:r>
        <w:t xml:space="preserve"> Motion to adopt TOU settlement at 8-9.</w:t>
      </w:r>
    </w:p>
  </w:footnote>
  <w:footnote w:id="104">
    <w:p w14:paraId="2D942049" w14:textId="77777777" w:rsidR="000778D2" w:rsidRDefault="000778D2">
      <w:pPr>
        <w:pStyle w:val="FootnoteText"/>
      </w:pPr>
      <w:r>
        <w:rPr>
          <w:rStyle w:val="FootnoteReference"/>
        </w:rPr>
        <w:footnoteRef/>
      </w:r>
      <w:r>
        <w:t xml:space="preserve"> Motion to adopt TOU settlement at 9.</w:t>
      </w:r>
    </w:p>
  </w:footnote>
  <w:footnote w:id="105">
    <w:p w14:paraId="26A76CC2" w14:textId="77777777" w:rsidR="000778D2" w:rsidRDefault="000778D2">
      <w:pPr>
        <w:pStyle w:val="FootnoteText"/>
      </w:pPr>
      <w:r>
        <w:rPr>
          <w:rStyle w:val="FootnoteReference"/>
        </w:rPr>
        <w:footnoteRef/>
      </w:r>
      <w:r>
        <w:t xml:space="preserve"> Motion to adopt TOU settlement at 9.</w:t>
      </w:r>
    </w:p>
  </w:footnote>
  <w:footnote w:id="106">
    <w:p w14:paraId="000418F6" w14:textId="77777777" w:rsidR="000778D2" w:rsidRDefault="000778D2">
      <w:pPr>
        <w:pStyle w:val="FootnoteText"/>
      </w:pPr>
      <w:r>
        <w:rPr>
          <w:rStyle w:val="FootnoteReference"/>
        </w:rPr>
        <w:footnoteRef/>
      </w:r>
      <w:r>
        <w:t xml:space="preserve"> Motion to adopt TOU settlement at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C2B12" w14:textId="77777777" w:rsidR="000778D2" w:rsidRPr="00F92385" w:rsidRDefault="000778D2" w:rsidP="00F92385">
    <w:pPr>
      <w:pStyle w:val="Header"/>
      <w:ind w:firstLine="0"/>
      <w:rPr>
        <w:i/>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86209" w14:textId="33E50ED8" w:rsidR="000778D2" w:rsidRDefault="000778D2" w:rsidP="00EE4315">
    <w:pPr>
      <w:pStyle w:val="Header"/>
      <w:tabs>
        <w:tab w:val="clear" w:pos="4680"/>
      </w:tabs>
      <w:ind w:firstLine="0"/>
      <w:rPr>
        <w:b/>
      </w:rPr>
    </w:pPr>
    <w:r>
      <w:t>A.19-09-</w:t>
    </w:r>
    <w:proofErr w:type="gramStart"/>
    <w:r>
      <w:t>014  ALJ</w:t>
    </w:r>
    <w:proofErr w:type="gramEnd"/>
    <w:r>
      <w:t>/PD1/gp2</w:t>
    </w:r>
    <w:r>
      <w:tab/>
    </w:r>
    <w:r>
      <w:rPr>
        <w:b/>
      </w:rPr>
      <w:t>PROPOSED DECISION (Rev.1)</w:t>
    </w:r>
  </w:p>
  <w:p w14:paraId="5D34CEE9" w14:textId="77777777" w:rsidR="000778D2" w:rsidRPr="00B3087D" w:rsidRDefault="000778D2" w:rsidP="00B3087D">
    <w:pPr>
      <w:pStyle w:val="Header"/>
      <w:tabs>
        <w:tab w:val="clear" w:pos="4680"/>
      </w:tabs>
      <w:ind w:firstLine="0"/>
      <w:rPr>
        <w:i/>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587D27"/>
    <w:multiLevelType w:val="hybridMultilevel"/>
    <w:tmpl w:val="2A9863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AAEF45C">
      <w:start w:val="4"/>
      <w:numFmt w:val="bullet"/>
      <w:lvlText w:val="-"/>
      <w:lvlJc w:val="left"/>
      <w:pPr>
        <w:ind w:left="2880" w:hanging="360"/>
      </w:pPr>
      <w:rPr>
        <w:rFonts w:ascii="Book Antiqua" w:eastAsia="Calibri" w:hAnsi="Book Antiqua"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6C1C14"/>
    <w:multiLevelType w:val="multilevel"/>
    <w:tmpl w:val="18F4A5AC"/>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3" w15:restartNumberingAfterBreak="0">
    <w:nsid w:val="15F056CB"/>
    <w:multiLevelType w:val="multilevel"/>
    <w:tmpl w:val="18F4A5AC"/>
    <w:numStyleLink w:val="FoFCoLOP"/>
  </w:abstractNum>
  <w:abstractNum w:abstractNumId="4" w15:restartNumberingAfterBreak="0">
    <w:nsid w:val="1DDD6094"/>
    <w:multiLevelType w:val="hybridMultilevel"/>
    <w:tmpl w:val="AE30EA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2242C9"/>
    <w:multiLevelType w:val="multilevel"/>
    <w:tmpl w:val="81169AF6"/>
    <w:numStyleLink w:val="Headings"/>
  </w:abstractNum>
  <w:abstractNum w:abstractNumId="6" w15:restartNumberingAfterBreak="0">
    <w:nsid w:val="331F6D42"/>
    <w:multiLevelType w:val="multilevel"/>
    <w:tmpl w:val="81169AF6"/>
    <w:styleLink w:val="Headings"/>
    <w:lvl w:ilvl="0">
      <w:start w:val="1"/>
      <w:numFmt w:val="decimal"/>
      <w:pStyle w:val="Heading1"/>
      <w:lvlText w:val="%1."/>
      <w:lvlJc w:val="left"/>
      <w:pPr>
        <w:ind w:left="360" w:hanging="360"/>
      </w:pPr>
      <w:rPr>
        <w:rFonts w:ascii="Arial" w:hAnsi="Arial" w:hint="default"/>
        <w:b/>
        <w:i w:val="0"/>
        <w:caps w:val="0"/>
        <w:strike w:val="0"/>
        <w:dstrike w:val="0"/>
        <w:vanish w:val="0"/>
        <w:color w:val="auto"/>
        <w:kern w:val="0"/>
        <w:position w:val="0"/>
        <w:sz w:val="26"/>
        <w:u w:val="none"/>
        <w:vertAlign w:val="baseline"/>
      </w:rPr>
    </w:lvl>
    <w:lvl w:ilvl="1">
      <w:start w:val="1"/>
      <w:numFmt w:val="decimal"/>
      <w:pStyle w:val="Heading2"/>
      <w:lvlText w:val="%1.%2."/>
      <w:lvlJc w:val="left"/>
      <w:pPr>
        <w:tabs>
          <w:tab w:val="num" w:pos="720"/>
        </w:tabs>
        <w:ind w:left="1368" w:hanging="648"/>
      </w:pPr>
      <w:rPr>
        <w:rFonts w:ascii="Arial" w:hAnsi="Arial" w:hint="default"/>
        <w:b/>
        <w:i w:val="0"/>
        <w:caps w:val="0"/>
        <w:strike w:val="0"/>
        <w:dstrike w:val="0"/>
        <w:vanish w:val="0"/>
        <w:color w:val="auto"/>
        <w:kern w:val="0"/>
        <w:sz w:val="26"/>
        <w:u w:val="none"/>
        <w:vertAlign w:val="baseline"/>
      </w:rPr>
    </w:lvl>
    <w:lvl w:ilvl="2">
      <w:start w:val="1"/>
      <w:numFmt w:val="decimal"/>
      <w:pStyle w:val="Heading3"/>
      <w:lvlText w:val="%1.%2.%3."/>
      <w:lvlJc w:val="left"/>
      <w:pPr>
        <w:tabs>
          <w:tab w:val="num" w:pos="1440"/>
        </w:tabs>
        <w:ind w:left="2304" w:hanging="864"/>
      </w:pPr>
      <w:rPr>
        <w:rFonts w:ascii="Arial" w:hAnsi="Arial" w:hint="default"/>
        <w:b/>
        <w:i w:val="0"/>
        <w:caps w:val="0"/>
        <w:strike w:val="0"/>
        <w:dstrike w:val="0"/>
        <w:vanish w:val="0"/>
        <w:color w:val="auto"/>
        <w:kern w:val="0"/>
        <w:sz w:val="26"/>
        <w:u w:val="none"/>
        <w:vertAlign w:val="baseline"/>
      </w:rPr>
    </w:lvl>
    <w:lvl w:ilvl="3">
      <w:start w:val="1"/>
      <w:numFmt w:val="decimal"/>
      <w:pStyle w:val="Heading4"/>
      <w:lvlText w:val="%1.%2.%3.%4."/>
      <w:lvlJc w:val="left"/>
      <w:pPr>
        <w:tabs>
          <w:tab w:val="num" w:pos="2160"/>
        </w:tabs>
        <w:ind w:left="3240" w:hanging="1080"/>
      </w:pPr>
      <w:rPr>
        <w:rFonts w:ascii="Arial" w:hAnsi="Arial" w:hint="default"/>
        <w:b/>
        <w:i w:val="0"/>
        <w:caps w:val="0"/>
        <w:strike w:val="0"/>
        <w:dstrike w:val="0"/>
        <w:vanish w:val="0"/>
        <w:kern w:val="0"/>
        <w:sz w:val="26"/>
        <w:vertAlign w:val="baseline"/>
      </w:rPr>
    </w:lvl>
    <w:lvl w:ilvl="4">
      <w:start w:val="1"/>
      <w:numFmt w:val="decimal"/>
      <w:pStyle w:val="Heading5"/>
      <w:lvlText w:val="%1.%2.%3.%4.%5."/>
      <w:lvlJc w:val="left"/>
      <w:pPr>
        <w:tabs>
          <w:tab w:val="num" w:pos="2880"/>
        </w:tabs>
        <w:ind w:left="4176" w:hanging="1296"/>
      </w:pPr>
      <w:rPr>
        <w:rFonts w:ascii="Arial" w:hAnsi="Arial" w:hint="default"/>
        <w:b/>
        <w:i w:val="0"/>
        <w:sz w:val="26"/>
      </w:rPr>
    </w:lvl>
    <w:lvl w:ilvl="5">
      <w:start w:val="1"/>
      <w:numFmt w:val="decimal"/>
      <w:pStyle w:val="Heading6"/>
      <w:lvlText w:val="%1.%2.%3.%4.%5.%6."/>
      <w:lvlJc w:val="left"/>
      <w:pPr>
        <w:tabs>
          <w:tab w:val="num" w:pos="3600"/>
        </w:tabs>
        <w:ind w:left="5112" w:hanging="1512"/>
      </w:pPr>
      <w:rPr>
        <w:rFonts w:ascii="Arial" w:hAnsi="Arial" w:hint="default"/>
        <w:b/>
        <w:i w:val="0"/>
        <w:sz w:val="26"/>
      </w:rPr>
    </w:lvl>
    <w:lvl w:ilvl="6">
      <w:start w:val="1"/>
      <w:numFmt w:val="decimal"/>
      <w:lvlText w:val="%1.%2.%3.%4.%5.%6.%7."/>
      <w:lvlJc w:val="left"/>
      <w:pPr>
        <w:tabs>
          <w:tab w:val="num" w:pos="4320"/>
        </w:tabs>
        <w:ind w:left="5760" w:hanging="1440"/>
      </w:pPr>
      <w:rPr>
        <w:rFonts w:ascii="Arial" w:hAnsi="Arial" w:hint="default"/>
        <w:b/>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7" w15:restartNumberingAfterBreak="0">
    <w:nsid w:val="3E1625CF"/>
    <w:multiLevelType w:val="hybridMultilevel"/>
    <w:tmpl w:val="72443C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9D042D7"/>
    <w:multiLevelType w:val="multilevel"/>
    <w:tmpl w:val="18F4A5AC"/>
    <w:numStyleLink w:val="FoFCoLOP"/>
  </w:abstractNum>
  <w:abstractNum w:abstractNumId="9" w15:restartNumberingAfterBreak="0">
    <w:nsid w:val="5A9E2171"/>
    <w:multiLevelType w:val="multilevel"/>
    <w:tmpl w:val="BD4C7B80"/>
    <w:lvl w:ilvl="0">
      <w:start w:val="1"/>
      <w:numFmt w:val="decimal"/>
      <w:lvlText w:val="%1."/>
      <w:lvlJc w:val="left"/>
      <w:pPr>
        <w:ind w:left="360" w:hanging="360"/>
      </w:pPr>
      <w:rPr>
        <w:rFonts w:ascii="Arial" w:hAnsi="Arial" w:hint="default"/>
        <w:b/>
        <w:i w:val="0"/>
        <w:caps w:val="0"/>
        <w:strike w:val="0"/>
        <w:dstrike w:val="0"/>
        <w:vanish w:val="0"/>
        <w:color w:val="auto"/>
        <w:kern w:val="0"/>
        <w:position w:val="0"/>
        <w:sz w:val="26"/>
        <w:u w:val="none"/>
        <w:vertAlign w:val="baseline"/>
      </w:rPr>
    </w:lvl>
    <w:lvl w:ilvl="1">
      <w:start w:val="1"/>
      <w:numFmt w:val="decimal"/>
      <w:lvlText w:val="%1.%2."/>
      <w:lvlJc w:val="left"/>
      <w:pPr>
        <w:ind w:left="1440" w:hanging="720"/>
      </w:pPr>
      <w:rPr>
        <w:rFonts w:ascii="Arial" w:hAnsi="Arial" w:hint="default"/>
        <w:b/>
        <w:i w:val="0"/>
        <w:caps w:val="0"/>
        <w:strike w:val="0"/>
        <w:dstrike w:val="0"/>
        <w:vanish w:val="0"/>
        <w:color w:val="auto"/>
        <w:kern w:val="0"/>
        <w:sz w:val="26"/>
        <w:u w:val="none"/>
        <w:vertAlign w:val="baseline"/>
      </w:rPr>
    </w:lvl>
    <w:lvl w:ilvl="2">
      <w:start w:val="1"/>
      <w:numFmt w:val="decimal"/>
      <w:lvlText w:val="%1.%2.%3."/>
      <w:lvlJc w:val="left"/>
      <w:pPr>
        <w:tabs>
          <w:tab w:val="num" w:pos="792"/>
        </w:tabs>
        <w:ind w:left="1440" w:hanging="720"/>
      </w:pPr>
      <w:rPr>
        <w:rFonts w:ascii="Arial" w:hAnsi="Arial" w:hint="default"/>
        <w:b/>
        <w:i w:val="0"/>
        <w:caps w:val="0"/>
        <w:strike w:val="0"/>
        <w:dstrike w:val="0"/>
        <w:vanish w:val="0"/>
        <w:color w:val="auto"/>
        <w:kern w:val="0"/>
        <w:sz w:val="26"/>
        <w:u w:val="none"/>
        <w:vertAlign w:val="baseline"/>
      </w:rPr>
    </w:lvl>
    <w:lvl w:ilvl="3">
      <w:start w:val="1"/>
      <w:numFmt w:val="decimal"/>
      <w:lvlText w:val="%3.%2.%1.%4."/>
      <w:lvlJc w:val="left"/>
      <w:pPr>
        <w:ind w:left="1440" w:hanging="720"/>
      </w:pPr>
      <w:rPr>
        <w:rFonts w:ascii="Arial" w:hAnsi="Arial" w:hint="default"/>
        <w:b/>
        <w:i w:val="0"/>
        <w:caps w:val="0"/>
        <w:strike w:val="0"/>
        <w:dstrike w:val="0"/>
        <w:vanish w:val="0"/>
        <w:kern w:val="0"/>
        <w:sz w:val="26"/>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89A0AFE"/>
    <w:multiLevelType w:val="multilevel"/>
    <w:tmpl w:val="18F4A5AC"/>
    <w:numStyleLink w:val="FoFCoLOP"/>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3"/>
  </w:num>
  <w:num w:numId="5">
    <w:abstractNumId w:val="11"/>
  </w:num>
  <w:num w:numId="6">
    <w:abstractNumId w:val="6"/>
  </w:num>
  <w:num w:numId="7">
    <w:abstractNumId w:val="5"/>
  </w:num>
  <w:num w:numId="8">
    <w:abstractNumId w:val="10"/>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174"/>
    <w:rsid w:val="0000022C"/>
    <w:rsid w:val="00000F6A"/>
    <w:rsid w:val="0000583F"/>
    <w:rsid w:val="000068A1"/>
    <w:rsid w:val="0001106C"/>
    <w:rsid w:val="000115C6"/>
    <w:rsid w:val="000179F8"/>
    <w:rsid w:val="00021D77"/>
    <w:rsid w:val="00022AAC"/>
    <w:rsid w:val="0003154F"/>
    <w:rsid w:val="00041FDA"/>
    <w:rsid w:val="00042205"/>
    <w:rsid w:val="00042845"/>
    <w:rsid w:val="00052C17"/>
    <w:rsid w:val="000537BE"/>
    <w:rsid w:val="00057DB8"/>
    <w:rsid w:val="000614CE"/>
    <w:rsid w:val="00062254"/>
    <w:rsid w:val="00062824"/>
    <w:rsid w:val="0007115A"/>
    <w:rsid w:val="000747D3"/>
    <w:rsid w:val="000778D2"/>
    <w:rsid w:val="00080CBD"/>
    <w:rsid w:val="00087D69"/>
    <w:rsid w:val="0009614C"/>
    <w:rsid w:val="0009713E"/>
    <w:rsid w:val="000973C8"/>
    <w:rsid w:val="000A0A3B"/>
    <w:rsid w:val="000A2AA9"/>
    <w:rsid w:val="000A3D63"/>
    <w:rsid w:val="000A5420"/>
    <w:rsid w:val="000A56F2"/>
    <w:rsid w:val="000A6E05"/>
    <w:rsid w:val="000A6E3F"/>
    <w:rsid w:val="000B0FE0"/>
    <w:rsid w:val="000B12FA"/>
    <w:rsid w:val="000B59A0"/>
    <w:rsid w:val="000B75F0"/>
    <w:rsid w:val="000C08BF"/>
    <w:rsid w:val="000C1817"/>
    <w:rsid w:val="000C1AD3"/>
    <w:rsid w:val="000C2F00"/>
    <w:rsid w:val="000C3B9A"/>
    <w:rsid w:val="000C4361"/>
    <w:rsid w:val="000C5113"/>
    <w:rsid w:val="000C77D1"/>
    <w:rsid w:val="000D115B"/>
    <w:rsid w:val="000D25A8"/>
    <w:rsid w:val="000D6B58"/>
    <w:rsid w:val="000E131E"/>
    <w:rsid w:val="000E4C53"/>
    <w:rsid w:val="000E5C25"/>
    <w:rsid w:val="000E5D24"/>
    <w:rsid w:val="000F12B5"/>
    <w:rsid w:val="000F1E2C"/>
    <w:rsid w:val="000F2996"/>
    <w:rsid w:val="000F700D"/>
    <w:rsid w:val="00103792"/>
    <w:rsid w:val="001070AB"/>
    <w:rsid w:val="001121B3"/>
    <w:rsid w:val="0011501E"/>
    <w:rsid w:val="00115B7C"/>
    <w:rsid w:val="00121089"/>
    <w:rsid w:val="00123F2F"/>
    <w:rsid w:val="00126808"/>
    <w:rsid w:val="00133F1E"/>
    <w:rsid w:val="00134458"/>
    <w:rsid w:val="001601DF"/>
    <w:rsid w:val="00164678"/>
    <w:rsid w:val="00174526"/>
    <w:rsid w:val="00180FFB"/>
    <w:rsid w:val="00186F6E"/>
    <w:rsid w:val="0019367A"/>
    <w:rsid w:val="00196057"/>
    <w:rsid w:val="0019725D"/>
    <w:rsid w:val="001A1F9D"/>
    <w:rsid w:val="001A2754"/>
    <w:rsid w:val="001A59F6"/>
    <w:rsid w:val="001B1427"/>
    <w:rsid w:val="001B7FED"/>
    <w:rsid w:val="001C1CE7"/>
    <w:rsid w:val="001C363F"/>
    <w:rsid w:val="001E0D1C"/>
    <w:rsid w:val="001E1A7B"/>
    <w:rsid w:val="001E2A62"/>
    <w:rsid w:val="001E4E16"/>
    <w:rsid w:val="001E50F3"/>
    <w:rsid w:val="001F1161"/>
    <w:rsid w:val="001F2819"/>
    <w:rsid w:val="001F3597"/>
    <w:rsid w:val="001F42B1"/>
    <w:rsid w:val="0020331E"/>
    <w:rsid w:val="002043EC"/>
    <w:rsid w:val="00212C15"/>
    <w:rsid w:val="00217F59"/>
    <w:rsid w:val="002215F8"/>
    <w:rsid w:val="002224BF"/>
    <w:rsid w:val="00223D79"/>
    <w:rsid w:val="00243DC0"/>
    <w:rsid w:val="00246EFB"/>
    <w:rsid w:val="00247477"/>
    <w:rsid w:val="00247F9E"/>
    <w:rsid w:val="00250DC0"/>
    <w:rsid w:val="00254D9E"/>
    <w:rsid w:val="002632E3"/>
    <w:rsid w:val="00263D96"/>
    <w:rsid w:val="0026404D"/>
    <w:rsid w:val="0026546A"/>
    <w:rsid w:val="00266E88"/>
    <w:rsid w:val="00270440"/>
    <w:rsid w:val="00270E0D"/>
    <w:rsid w:val="002746D2"/>
    <w:rsid w:val="00290742"/>
    <w:rsid w:val="00293DEE"/>
    <w:rsid w:val="0029545B"/>
    <w:rsid w:val="002A0B5D"/>
    <w:rsid w:val="002A3B01"/>
    <w:rsid w:val="002B505D"/>
    <w:rsid w:val="002C123B"/>
    <w:rsid w:val="002C58B7"/>
    <w:rsid w:val="002C7A32"/>
    <w:rsid w:val="002C7FE9"/>
    <w:rsid w:val="002D08C0"/>
    <w:rsid w:val="002D4EFD"/>
    <w:rsid w:val="002D6CEC"/>
    <w:rsid w:val="002F10AD"/>
    <w:rsid w:val="002F5604"/>
    <w:rsid w:val="002F733B"/>
    <w:rsid w:val="00300FC6"/>
    <w:rsid w:val="003019EA"/>
    <w:rsid w:val="003045C1"/>
    <w:rsid w:val="00305AAD"/>
    <w:rsid w:val="0030651D"/>
    <w:rsid w:val="003130C6"/>
    <w:rsid w:val="00314340"/>
    <w:rsid w:val="0031463B"/>
    <w:rsid w:val="00314B18"/>
    <w:rsid w:val="00315436"/>
    <w:rsid w:val="0031545C"/>
    <w:rsid w:val="003154D7"/>
    <w:rsid w:val="00315702"/>
    <w:rsid w:val="00316071"/>
    <w:rsid w:val="00317FE0"/>
    <w:rsid w:val="00320A15"/>
    <w:rsid w:val="00320EE5"/>
    <w:rsid w:val="00323FDD"/>
    <w:rsid w:val="00326132"/>
    <w:rsid w:val="003325FE"/>
    <w:rsid w:val="00334364"/>
    <w:rsid w:val="00335A8A"/>
    <w:rsid w:val="00335EB0"/>
    <w:rsid w:val="00340C84"/>
    <w:rsid w:val="00343E5C"/>
    <w:rsid w:val="0034495C"/>
    <w:rsid w:val="00344D9D"/>
    <w:rsid w:val="003503FB"/>
    <w:rsid w:val="003569C7"/>
    <w:rsid w:val="0036017B"/>
    <w:rsid w:val="003609A5"/>
    <w:rsid w:val="00362755"/>
    <w:rsid w:val="00366BFC"/>
    <w:rsid w:val="003709B1"/>
    <w:rsid w:val="00371E21"/>
    <w:rsid w:val="0037364B"/>
    <w:rsid w:val="00373B93"/>
    <w:rsid w:val="003747AD"/>
    <w:rsid w:val="00375631"/>
    <w:rsid w:val="003809D8"/>
    <w:rsid w:val="0039139B"/>
    <w:rsid w:val="00391A33"/>
    <w:rsid w:val="00391C6D"/>
    <w:rsid w:val="003A1836"/>
    <w:rsid w:val="003A38F0"/>
    <w:rsid w:val="003A6016"/>
    <w:rsid w:val="003A6FA0"/>
    <w:rsid w:val="003A7097"/>
    <w:rsid w:val="003B0171"/>
    <w:rsid w:val="003B31D2"/>
    <w:rsid w:val="003B3B21"/>
    <w:rsid w:val="003C3195"/>
    <w:rsid w:val="003D2452"/>
    <w:rsid w:val="003D64DB"/>
    <w:rsid w:val="003D6BB2"/>
    <w:rsid w:val="003D780F"/>
    <w:rsid w:val="003E2FDC"/>
    <w:rsid w:val="003E3238"/>
    <w:rsid w:val="003F1B38"/>
    <w:rsid w:val="003F4329"/>
    <w:rsid w:val="00401D31"/>
    <w:rsid w:val="00411026"/>
    <w:rsid w:val="00411DA5"/>
    <w:rsid w:val="00412534"/>
    <w:rsid w:val="00412C83"/>
    <w:rsid w:val="00415E08"/>
    <w:rsid w:val="00422F33"/>
    <w:rsid w:val="004245A3"/>
    <w:rsid w:val="00426014"/>
    <w:rsid w:val="00431F13"/>
    <w:rsid w:val="004430CE"/>
    <w:rsid w:val="00444235"/>
    <w:rsid w:val="00446361"/>
    <w:rsid w:val="00452329"/>
    <w:rsid w:val="00452F07"/>
    <w:rsid w:val="0045777F"/>
    <w:rsid w:val="00460B7D"/>
    <w:rsid w:val="004647A6"/>
    <w:rsid w:val="004655B9"/>
    <w:rsid w:val="004668E5"/>
    <w:rsid w:val="004676FE"/>
    <w:rsid w:val="00467EBF"/>
    <w:rsid w:val="00472D1F"/>
    <w:rsid w:val="004743AB"/>
    <w:rsid w:val="00480CB0"/>
    <w:rsid w:val="00484564"/>
    <w:rsid w:val="004846A1"/>
    <w:rsid w:val="0048531B"/>
    <w:rsid w:val="0049327A"/>
    <w:rsid w:val="004A07AE"/>
    <w:rsid w:val="004A124B"/>
    <w:rsid w:val="004A1467"/>
    <w:rsid w:val="004A5376"/>
    <w:rsid w:val="004B079E"/>
    <w:rsid w:val="004B34EA"/>
    <w:rsid w:val="004B5120"/>
    <w:rsid w:val="004B5494"/>
    <w:rsid w:val="004B7EDA"/>
    <w:rsid w:val="004C0385"/>
    <w:rsid w:val="004C5B98"/>
    <w:rsid w:val="004C6430"/>
    <w:rsid w:val="004C6740"/>
    <w:rsid w:val="004C6CE8"/>
    <w:rsid w:val="004C7D3A"/>
    <w:rsid w:val="004D2B21"/>
    <w:rsid w:val="004D322A"/>
    <w:rsid w:val="004D33B7"/>
    <w:rsid w:val="004E1AE5"/>
    <w:rsid w:val="004F0B23"/>
    <w:rsid w:val="004F1FD9"/>
    <w:rsid w:val="00500BF2"/>
    <w:rsid w:val="00501846"/>
    <w:rsid w:val="005018A8"/>
    <w:rsid w:val="00505A39"/>
    <w:rsid w:val="00507B0C"/>
    <w:rsid w:val="00512AF1"/>
    <w:rsid w:val="005153C3"/>
    <w:rsid w:val="005178E4"/>
    <w:rsid w:val="00520977"/>
    <w:rsid w:val="00522902"/>
    <w:rsid w:val="005240BF"/>
    <w:rsid w:val="00524B1E"/>
    <w:rsid w:val="00524C71"/>
    <w:rsid w:val="00526820"/>
    <w:rsid w:val="00531648"/>
    <w:rsid w:val="00533C17"/>
    <w:rsid w:val="00535590"/>
    <w:rsid w:val="005377CC"/>
    <w:rsid w:val="00541F01"/>
    <w:rsid w:val="00543005"/>
    <w:rsid w:val="00547987"/>
    <w:rsid w:val="00551526"/>
    <w:rsid w:val="0055494A"/>
    <w:rsid w:val="00564C4E"/>
    <w:rsid w:val="00566D97"/>
    <w:rsid w:val="00570079"/>
    <w:rsid w:val="005744D6"/>
    <w:rsid w:val="005838B5"/>
    <w:rsid w:val="00585390"/>
    <w:rsid w:val="005876EF"/>
    <w:rsid w:val="00592D9B"/>
    <w:rsid w:val="005939A5"/>
    <w:rsid w:val="005971D9"/>
    <w:rsid w:val="005A148C"/>
    <w:rsid w:val="005A410E"/>
    <w:rsid w:val="005A5CDE"/>
    <w:rsid w:val="005A78A3"/>
    <w:rsid w:val="005B501C"/>
    <w:rsid w:val="005B6165"/>
    <w:rsid w:val="005C1E73"/>
    <w:rsid w:val="005C282C"/>
    <w:rsid w:val="005C2936"/>
    <w:rsid w:val="005C493A"/>
    <w:rsid w:val="005D2274"/>
    <w:rsid w:val="005D3782"/>
    <w:rsid w:val="005D5899"/>
    <w:rsid w:val="005D63CA"/>
    <w:rsid w:val="005D76BB"/>
    <w:rsid w:val="005E772B"/>
    <w:rsid w:val="005F4B45"/>
    <w:rsid w:val="0060594C"/>
    <w:rsid w:val="00606E85"/>
    <w:rsid w:val="00610A50"/>
    <w:rsid w:val="0062451E"/>
    <w:rsid w:val="0063014F"/>
    <w:rsid w:val="006315D1"/>
    <w:rsid w:val="00632207"/>
    <w:rsid w:val="0063491C"/>
    <w:rsid w:val="00642229"/>
    <w:rsid w:val="00642901"/>
    <w:rsid w:val="00647CF1"/>
    <w:rsid w:val="00665100"/>
    <w:rsid w:val="00670686"/>
    <w:rsid w:val="00672025"/>
    <w:rsid w:val="006728CF"/>
    <w:rsid w:val="00683174"/>
    <w:rsid w:val="006866BE"/>
    <w:rsid w:val="00687499"/>
    <w:rsid w:val="00687848"/>
    <w:rsid w:val="0069273B"/>
    <w:rsid w:val="00694D66"/>
    <w:rsid w:val="00696CD8"/>
    <w:rsid w:val="006A1897"/>
    <w:rsid w:val="006A2C7D"/>
    <w:rsid w:val="006B40A3"/>
    <w:rsid w:val="006B463E"/>
    <w:rsid w:val="006C123E"/>
    <w:rsid w:val="006D0F5A"/>
    <w:rsid w:val="006D2F6A"/>
    <w:rsid w:val="006D4CBB"/>
    <w:rsid w:val="006D5391"/>
    <w:rsid w:val="006D553B"/>
    <w:rsid w:val="006E0DFA"/>
    <w:rsid w:val="006E48B5"/>
    <w:rsid w:val="006E5E28"/>
    <w:rsid w:val="006E6574"/>
    <w:rsid w:val="006E78E4"/>
    <w:rsid w:val="006F1219"/>
    <w:rsid w:val="006F3302"/>
    <w:rsid w:val="006F4102"/>
    <w:rsid w:val="006F5667"/>
    <w:rsid w:val="006F6688"/>
    <w:rsid w:val="006F76E3"/>
    <w:rsid w:val="00701C43"/>
    <w:rsid w:val="0071058C"/>
    <w:rsid w:val="00712CDF"/>
    <w:rsid w:val="00714CF2"/>
    <w:rsid w:val="007156B9"/>
    <w:rsid w:val="0071574A"/>
    <w:rsid w:val="00720817"/>
    <w:rsid w:val="00721FE8"/>
    <w:rsid w:val="00722850"/>
    <w:rsid w:val="00724ED7"/>
    <w:rsid w:val="00731A84"/>
    <w:rsid w:val="0073353F"/>
    <w:rsid w:val="00735447"/>
    <w:rsid w:val="00737F39"/>
    <w:rsid w:val="00740030"/>
    <w:rsid w:val="00741204"/>
    <w:rsid w:val="00742E45"/>
    <w:rsid w:val="007447AF"/>
    <w:rsid w:val="00747DE0"/>
    <w:rsid w:val="00750816"/>
    <w:rsid w:val="00757D34"/>
    <w:rsid w:val="00764B25"/>
    <w:rsid w:val="007657C1"/>
    <w:rsid w:val="0076736F"/>
    <w:rsid w:val="007723CD"/>
    <w:rsid w:val="00772830"/>
    <w:rsid w:val="00776072"/>
    <w:rsid w:val="0077649B"/>
    <w:rsid w:val="007921A4"/>
    <w:rsid w:val="0079728B"/>
    <w:rsid w:val="007A406D"/>
    <w:rsid w:val="007A547E"/>
    <w:rsid w:val="007A62B0"/>
    <w:rsid w:val="007B02BE"/>
    <w:rsid w:val="007B083A"/>
    <w:rsid w:val="007B0EB1"/>
    <w:rsid w:val="007B39CA"/>
    <w:rsid w:val="007B6C65"/>
    <w:rsid w:val="007B6D5C"/>
    <w:rsid w:val="007B6FC6"/>
    <w:rsid w:val="007B7EED"/>
    <w:rsid w:val="007C3CC3"/>
    <w:rsid w:val="007C5A0C"/>
    <w:rsid w:val="007D3585"/>
    <w:rsid w:val="007D7183"/>
    <w:rsid w:val="007E0FEE"/>
    <w:rsid w:val="007E3198"/>
    <w:rsid w:val="007E3CEF"/>
    <w:rsid w:val="007E3EEF"/>
    <w:rsid w:val="007E534B"/>
    <w:rsid w:val="007E683C"/>
    <w:rsid w:val="007F2017"/>
    <w:rsid w:val="008020FA"/>
    <w:rsid w:val="00803512"/>
    <w:rsid w:val="0081074D"/>
    <w:rsid w:val="008114BE"/>
    <w:rsid w:val="00812377"/>
    <w:rsid w:val="00817274"/>
    <w:rsid w:val="00822C62"/>
    <w:rsid w:val="00827202"/>
    <w:rsid w:val="008339BB"/>
    <w:rsid w:val="008428CA"/>
    <w:rsid w:val="008458A5"/>
    <w:rsid w:val="00845AFE"/>
    <w:rsid w:val="00845D9B"/>
    <w:rsid w:val="00846154"/>
    <w:rsid w:val="008572EF"/>
    <w:rsid w:val="00857F15"/>
    <w:rsid w:val="0086419A"/>
    <w:rsid w:val="008652EC"/>
    <w:rsid w:val="00867700"/>
    <w:rsid w:val="0087023B"/>
    <w:rsid w:val="008731E6"/>
    <w:rsid w:val="008741A7"/>
    <w:rsid w:val="008819E1"/>
    <w:rsid w:val="008820DB"/>
    <w:rsid w:val="008846E9"/>
    <w:rsid w:val="00884825"/>
    <w:rsid w:val="008868B3"/>
    <w:rsid w:val="008879B8"/>
    <w:rsid w:val="00890EB5"/>
    <w:rsid w:val="00892DE3"/>
    <w:rsid w:val="00896212"/>
    <w:rsid w:val="0089697F"/>
    <w:rsid w:val="008A0982"/>
    <w:rsid w:val="008A179F"/>
    <w:rsid w:val="008B01FA"/>
    <w:rsid w:val="008B0864"/>
    <w:rsid w:val="008B5618"/>
    <w:rsid w:val="008B5F60"/>
    <w:rsid w:val="008C1184"/>
    <w:rsid w:val="008C1253"/>
    <w:rsid w:val="008C36A0"/>
    <w:rsid w:val="008C4417"/>
    <w:rsid w:val="008C7413"/>
    <w:rsid w:val="008D1263"/>
    <w:rsid w:val="008D16B7"/>
    <w:rsid w:val="008D1899"/>
    <w:rsid w:val="008D20B8"/>
    <w:rsid w:val="008D2905"/>
    <w:rsid w:val="008D2A63"/>
    <w:rsid w:val="008D2BB9"/>
    <w:rsid w:val="008D4E78"/>
    <w:rsid w:val="008E16E6"/>
    <w:rsid w:val="008E28B0"/>
    <w:rsid w:val="008E2ACD"/>
    <w:rsid w:val="008E6AE6"/>
    <w:rsid w:val="008E7871"/>
    <w:rsid w:val="008F0116"/>
    <w:rsid w:val="008F143D"/>
    <w:rsid w:val="008F5705"/>
    <w:rsid w:val="00900325"/>
    <w:rsid w:val="00910104"/>
    <w:rsid w:val="0091292D"/>
    <w:rsid w:val="00932865"/>
    <w:rsid w:val="00937003"/>
    <w:rsid w:val="009425FF"/>
    <w:rsid w:val="009454A9"/>
    <w:rsid w:val="00946542"/>
    <w:rsid w:val="00951BB4"/>
    <w:rsid w:val="00951C23"/>
    <w:rsid w:val="00955B99"/>
    <w:rsid w:val="00956E80"/>
    <w:rsid w:val="00957EA0"/>
    <w:rsid w:val="0096033C"/>
    <w:rsid w:val="00962347"/>
    <w:rsid w:val="00963E78"/>
    <w:rsid w:val="00965460"/>
    <w:rsid w:val="00965604"/>
    <w:rsid w:val="009720CB"/>
    <w:rsid w:val="0097614E"/>
    <w:rsid w:val="0097776E"/>
    <w:rsid w:val="0098138E"/>
    <w:rsid w:val="00984C16"/>
    <w:rsid w:val="0098655A"/>
    <w:rsid w:val="00987DA8"/>
    <w:rsid w:val="00994497"/>
    <w:rsid w:val="00996FFE"/>
    <w:rsid w:val="009A028D"/>
    <w:rsid w:val="009B6F14"/>
    <w:rsid w:val="009C027B"/>
    <w:rsid w:val="009C035D"/>
    <w:rsid w:val="009C11D5"/>
    <w:rsid w:val="009D170A"/>
    <w:rsid w:val="009D1EA2"/>
    <w:rsid w:val="009D3A6E"/>
    <w:rsid w:val="009E7C7F"/>
    <w:rsid w:val="009F348D"/>
    <w:rsid w:val="009F37CF"/>
    <w:rsid w:val="009F4073"/>
    <w:rsid w:val="009F4CE5"/>
    <w:rsid w:val="009F57F6"/>
    <w:rsid w:val="00A05310"/>
    <w:rsid w:val="00A0531E"/>
    <w:rsid w:val="00A06B11"/>
    <w:rsid w:val="00A07592"/>
    <w:rsid w:val="00A10781"/>
    <w:rsid w:val="00A174A3"/>
    <w:rsid w:val="00A17CE0"/>
    <w:rsid w:val="00A206DA"/>
    <w:rsid w:val="00A2309F"/>
    <w:rsid w:val="00A238D3"/>
    <w:rsid w:val="00A32646"/>
    <w:rsid w:val="00A36A35"/>
    <w:rsid w:val="00A40098"/>
    <w:rsid w:val="00A41E5F"/>
    <w:rsid w:val="00A42306"/>
    <w:rsid w:val="00A46273"/>
    <w:rsid w:val="00A53AC3"/>
    <w:rsid w:val="00A55ACD"/>
    <w:rsid w:val="00A56CCC"/>
    <w:rsid w:val="00A61796"/>
    <w:rsid w:val="00A643B1"/>
    <w:rsid w:val="00A649D7"/>
    <w:rsid w:val="00A719E4"/>
    <w:rsid w:val="00A80BC0"/>
    <w:rsid w:val="00A84D70"/>
    <w:rsid w:val="00A8728E"/>
    <w:rsid w:val="00A9461E"/>
    <w:rsid w:val="00A94891"/>
    <w:rsid w:val="00A950DC"/>
    <w:rsid w:val="00AA227A"/>
    <w:rsid w:val="00AA3967"/>
    <w:rsid w:val="00AA7425"/>
    <w:rsid w:val="00AB537E"/>
    <w:rsid w:val="00AC00E0"/>
    <w:rsid w:val="00AC179A"/>
    <w:rsid w:val="00AC50CE"/>
    <w:rsid w:val="00AC55DF"/>
    <w:rsid w:val="00AC7204"/>
    <w:rsid w:val="00AD0A35"/>
    <w:rsid w:val="00AD4518"/>
    <w:rsid w:val="00AD6AD5"/>
    <w:rsid w:val="00AF1C11"/>
    <w:rsid w:val="00AF3773"/>
    <w:rsid w:val="00AF4076"/>
    <w:rsid w:val="00B002AE"/>
    <w:rsid w:val="00B00D91"/>
    <w:rsid w:val="00B0153B"/>
    <w:rsid w:val="00B01F7E"/>
    <w:rsid w:val="00B06729"/>
    <w:rsid w:val="00B13A3B"/>
    <w:rsid w:val="00B227DE"/>
    <w:rsid w:val="00B25326"/>
    <w:rsid w:val="00B2748C"/>
    <w:rsid w:val="00B3087D"/>
    <w:rsid w:val="00B34794"/>
    <w:rsid w:val="00B4240A"/>
    <w:rsid w:val="00B4354E"/>
    <w:rsid w:val="00B45F8B"/>
    <w:rsid w:val="00B515C6"/>
    <w:rsid w:val="00B53F89"/>
    <w:rsid w:val="00B544FC"/>
    <w:rsid w:val="00B5572E"/>
    <w:rsid w:val="00B570AC"/>
    <w:rsid w:val="00B5765A"/>
    <w:rsid w:val="00B60421"/>
    <w:rsid w:val="00B6247E"/>
    <w:rsid w:val="00B6569C"/>
    <w:rsid w:val="00B665FE"/>
    <w:rsid w:val="00B676B2"/>
    <w:rsid w:val="00B758C2"/>
    <w:rsid w:val="00B76B58"/>
    <w:rsid w:val="00B82EA6"/>
    <w:rsid w:val="00B91478"/>
    <w:rsid w:val="00B94991"/>
    <w:rsid w:val="00B951E9"/>
    <w:rsid w:val="00BA2750"/>
    <w:rsid w:val="00BA3B88"/>
    <w:rsid w:val="00BA6506"/>
    <w:rsid w:val="00BA7554"/>
    <w:rsid w:val="00BB0243"/>
    <w:rsid w:val="00BB0DC7"/>
    <w:rsid w:val="00BB2CA6"/>
    <w:rsid w:val="00BB40D4"/>
    <w:rsid w:val="00BB4DB8"/>
    <w:rsid w:val="00BB74FC"/>
    <w:rsid w:val="00BB7B39"/>
    <w:rsid w:val="00BC373F"/>
    <w:rsid w:val="00BC4CA9"/>
    <w:rsid w:val="00BD091B"/>
    <w:rsid w:val="00BD46AA"/>
    <w:rsid w:val="00BD71B2"/>
    <w:rsid w:val="00BE1206"/>
    <w:rsid w:val="00BE32FA"/>
    <w:rsid w:val="00BF01E3"/>
    <w:rsid w:val="00BF0D27"/>
    <w:rsid w:val="00BF1648"/>
    <w:rsid w:val="00BF4DEA"/>
    <w:rsid w:val="00C0179C"/>
    <w:rsid w:val="00C0397E"/>
    <w:rsid w:val="00C10B5F"/>
    <w:rsid w:val="00C13583"/>
    <w:rsid w:val="00C14483"/>
    <w:rsid w:val="00C22E31"/>
    <w:rsid w:val="00C24041"/>
    <w:rsid w:val="00C2601E"/>
    <w:rsid w:val="00C2754A"/>
    <w:rsid w:val="00C34F2F"/>
    <w:rsid w:val="00C37C6B"/>
    <w:rsid w:val="00C43D92"/>
    <w:rsid w:val="00C577D6"/>
    <w:rsid w:val="00C63A2A"/>
    <w:rsid w:val="00C65859"/>
    <w:rsid w:val="00C65A99"/>
    <w:rsid w:val="00C67613"/>
    <w:rsid w:val="00C72113"/>
    <w:rsid w:val="00C7394A"/>
    <w:rsid w:val="00C77786"/>
    <w:rsid w:val="00C80AFE"/>
    <w:rsid w:val="00C839C0"/>
    <w:rsid w:val="00C86E05"/>
    <w:rsid w:val="00C87524"/>
    <w:rsid w:val="00C90C6E"/>
    <w:rsid w:val="00C913A1"/>
    <w:rsid w:val="00C94D34"/>
    <w:rsid w:val="00CA0708"/>
    <w:rsid w:val="00CA0D2A"/>
    <w:rsid w:val="00CA27E2"/>
    <w:rsid w:val="00CA4399"/>
    <w:rsid w:val="00CB015D"/>
    <w:rsid w:val="00CB697C"/>
    <w:rsid w:val="00CC2DC6"/>
    <w:rsid w:val="00CC4A74"/>
    <w:rsid w:val="00CC542A"/>
    <w:rsid w:val="00CC6A99"/>
    <w:rsid w:val="00CD4EE7"/>
    <w:rsid w:val="00CE0C4C"/>
    <w:rsid w:val="00CE1D26"/>
    <w:rsid w:val="00CE1EF5"/>
    <w:rsid w:val="00CE4EA6"/>
    <w:rsid w:val="00CE5510"/>
    <w:rsid w:val="00CE6445"/>
    <w:rsid w:val="00CE7C18"/>
    <w:rsid w:val="00CF12A9"/>
    <w:rsid w:val="00CF326B"/>
    <w:rsid w:val="00D001BD"/>
    <w:rsid w:val="00D00AA3"/>
    <w:rsid w:val="00D027D4"/>
    <w:rsid w:val="00D05E1A"/>
    <w:rsid w:val="00D07F73"/>
    <w:rsid w:val="00D17E8C"/>
    <w:rsid w:val="00D2041C"/>
    <w:rsid w:val="00D242DC"/>
    <w:rsid w:val="00D244AE"/>
    <w:rsid w:val="00D247B3"/>
    <w:rsid w:val="00D25ADE"/>
    <w:rsid w:val="00D306F6"/>
    <w:rsid w:val="00D32DE8"/>
    <w:rsid w:val="00D33CC3"/>
    <w:rsid w:val="00D36ABE"/>
    <w:rsid w:val="00D37FD3"/>
    <w:rsid w:val="00D4230A"/>
    <w:rsid w:val="00D43297"/>
    <w:rsid w:val="00D44DB6"/>
    <w:rsid w:val="00D50119"/>
    <w:rsid w:val="00D61390"/>
    <w:rsid w:val="00D707F6"/>
    <w:rsid w:val="00D70A73"/>
    <w:rsid w:val="00D75F76"/>
    <w:rsid w:val="00D775DD"/>
    <w:rsid w:val="00D82A43"/>
    <w:rsid w:val="00D831A7"/>
    <w:rsid w:val="00D865FE"/>
    <w:rsid w:val="00DA0893"/>
    <w:rsid w:val="00DA3041"/>
    <w:rsid w:val="00DA7B5D"/>
    <w:rsid w:val="00DB054E"/>
    <w:rsid w:val="00DB087D"/>
    <w:rsid w:val="00DB0A85"/>
    <w:rsid w:val="00DB386E"/>
    <w:rsid w:val="00DB6084"/>
    <w:rsid w:val="00DB65E8"/>
    <w:rsid w:val="00DC2536"/>
    <w:rsid w:val="00DC438F"/>
    <w:rsid w:val="00DC5382"/>
    <w:rsid w:val="00DD0AA1"/>
    <w:rsid w:val="00DD395C"/>
    <w:rsid w:val="00DD766F"/>
    <w:rsid w:val="00DE060E"/>
    <w:rsid w:val="00DF3BE5"/>
    <w:rsid w:val="00DF4283"/>
    <w:rsid w:val="00DF58E7"/>
    <w:rsid w:val="00DF5E9F"/>
    <w:rsid w:val="00E00986"/>
    <w:rsid w:val="00E013C0"/>
    <w:rsid w:val="00E11876"/>
    <w:rsid w:val="00E12D1C"/>
    <w:rsid w:val="00E16483"/>
    <w:rsid w:val="00E16620"/>
    <w:rsid w:val="00E17A04"/>
    <w:rsid w:val="00E235E4"/>
    <w:rsid w:val="00E23CBB"/>
    <w:rsid w:val="00E2466B"/>
    <w:rsid w:val="00E27214"/>
    <w:rsid w:val="00E27EB7"/>
    <w:rsid w:val="00E329B8"/>
    <w:rsid w:val="00E35855"/>
    <w:rsid w:val="00E37B59"/>
    <w:rsid w:val="00E449D5"/>
    <w:rsid w:val="00E52BB2"/>
    <w:rsid w:val="00E54A0D"/>
    <w:rsid w:val="00E617C7"/>
    <w:rsid w:val="00E62F24"/>
    <w:rsid w:val="00E673A8"/>
    <w:rsid w:val="00E80FC9"/>
    <w:rsid w:val="00E91D9B"/>
    <w:rsid w:val="00E92693"/>
    <w:rsid w:val="00E92EB2"/>
    <w:rsid w:val="00E96368"/>
    <w:rsid w:val="00EA03E4"/>
    <w:rsid w:val="00EA1D14"/>
    <w:rsid w:val="00EA3063"/>
    <w:rsid w:val="00EA36C6"/>
    <w:rsid w:val="00EA3E5B"/>
    <w:rsid w:val="00EB6DA8"/>
    <w:rsid w:val="00EC0827"/>
    <w:rsid w:val="00EC5535"/>
    <w:rsid w:val="00ED0989"/>
    <w:rsid w:val="00ED0DC8"/>
    <w:rsid w:val="00ED32DF"/>
    <w:rsid w:val="00ED5725"/>
    <w:rsid w:val="00ED69F1"/>
    <w:rsid w:val="00ED7031"/>
    <w:rsid w:val="00EE3060"/>
    <w:rsid w:val="00EE4315"/>
    <w:rsid w:val="00EE5C31"/>
    <w:rsid w:val="00EF08FC"/>
    <w:rsid w:val="00EF1126"/>
    <w:rsid w:val="00EF202A"/>
    <w:rsid w:val="00EF752F"/>
    <w:rsid w:val="00F03D0C"/>
    <w:rsid w:val="00F22CA4"/>
    <w:rsid w:val="00F259B7"/>
    <w:rsid w:val="00F26ED3"/>
    <w:rsid w:val="00F31C50"/>
    <w:rsid w:val="00F32888"/>
    <w:rsid w:val="00F34C8E"/>
    <w:rsid w:val="00F36B23"/>
    <w:rsid w:val="00F40B45"/>
    <w:rsid w:val="00F41AAC"/>
    <w:rsid w:val="00F53ED0"/>
    <w:rsid w:val="00F554F6"/>
    <w:rsid w:val="00F62B7A"/>
    <w:rsid w:val="00F635A3"/>
    <w:rsid w:val="00F6397D"/>
    <w:rsid w:val="00F70635"/>
    <w:rsid w:val="00F722BB"/>
    <w:rsid w:val="00F7293E"/>
    <w:rsid w:val="00F7581C"/>
    <w:rsid w:val="00F76650"/>
    <w:rsid w:val="00F8000D"/>
    <w:rsid w:val="00F81A54"/>
    <w:rsid w:val="00F87DB7"/>
    <w:rsid w:val="00F9144F"/>
    <w:rsid w:val="00F9187B"/>
    <w:rsid w:val="00F92385"/>
    <w:rsid w:val="00F947C6"/>
    <w:rsid w:val="00F9688D"/>
    <w:rsid w:val="00F96B59"/>
    <w:rsid w:val="00F976C5"/>
    <w:rsid w:val="00F97F4E"/>
    <w:rsid w:val="00FA1B4F"/>
    <w:rsid w:val="00FA3FD1"/>
    <w:rsid w:val="00FB16D4"/>
    <w:rsid w:val="00FC2A02"/>
    <w:rsid w:val="00FC47F9"/>
    <w:rsid w:val="00FC7FC9"/>
    <w:rsid w:val="00FD0A79"/>
    <w:rsid w:val="00FD53A4"/>
    <w:rsid w:val="00FE2209"/>
    <w:rsid w:val="00FE5580"/>
    <w:rsid w:val="00FE60B9"/>
    <w:rsid w:val="00FF110C"/>
    <w:rsid w:val="00FF1433"/>
    <w:rsid w:val="00FF4FAE"/>
    <w:rsid w:val="00FF6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682179"/>
  <w15:chartTrackingRefBased/>
  <w15:docId w15:val="{25D27952-D813-4BB2-B9A3-108006E72E64}"/>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776E"/>
    <w:pPr>
      <w:spacing w:line="360" w:lineRule="auto"/>
      <w:ind w:firstLine="720"/>
    </w:pPr>
    <w:rPr>
      <w:rFonts w:ascii="Book Antiqua" w:hAnsi="Book Antiqua"/>
      <w:sz w:val="26"/>
      <w:szCs w:val="22"/>
    </w:rPr>
  </w:style>
  <w:style w:type="paragraph" w:styleId="Heading1">
    <w:name w:val="heading 1"/>
    <w:basedOn w:val="Dummy"/>
    <w:next w:val="Standard"/>
    <w:link w:val="Heading1Char"/>
    <w:uiPriority w:val="4"/>
    <w:qFormat/>
    <w:rsid w:val="000A56F2"/>
    <w:pPr>
      <w:numPr>
        <w:numId w:val="6"/>
      </w:numPr>
    </w:pPr>
    <w:rPr>
      <w:rFonts w:eastAsia="Times New Roman" w:cs="Times New Roman"/>
      <w:szCs w:val="32"/>
    </w:rPr>
  </w:style>
  <w:style w:type="paragraph" w:styleId="Heading2">
    <w:name w:val="heading 2"/>
    <w:basedOn w:val="Dummy"/>
    <w:next w:val="Standard"/>
    <w:link w:val="Heading2Char"/>
    <w:uiPriority w:val="4"/>
    <w:qFormat/>
    <w:rsid w:val="000A56F2"/>
    <w:pPr>
      <w:numPr>
        <w:ilvl w:val="1"/>
        <w:numId w:val="6"/>
      </w:numPr>
      <w:outlineLvl w:val="1"/>
    </w:pPr>
  </w:style>
  <w:style w:type="paragraph" w:styleId="Heading3">
    <w:name w:val="heading 3"/>
    <w:basedOn w:val="Dummy"/>
    <w:next w:val="Standard"/>
    <w:link w:val="Heading3Char"/>
    <w:uiPriority w:val="4"/>
    <w:qFormat/>
    <w:rsid w:val="0097776E"/>
    <w:pPr>
      <w:numPr>
        <w:ilvl w:val="2"/>
        <w:numId w:val="6"/>
      </w:numPr>
      <w:ind w:left="2376" w:hanging="936"/>
      <w:outlineLvl w:val="2"/>
    </w:pPr>
    <w:rPr>
      <w:rFonts w:eastAsia="Times New Roman" w:cs="Times New Roman"/>
      <w:szCs w:val="24"/>
    </w:rPr>
  </w:style>
  <w:style w:type="paragraph" w:styleId="Heading4">
    <w:name w:val="heading 4"/>
    <w:basedOn w:val="Dummy"/>
    <w:next w:val="Standard"/>
    <w:link w:val="Heading4Char"/>
    <w:uiPriority w:val="4"/>
    <w:rsid w:val="000A56F2"/>
    <w:pPr>
      <w:numPr>
        <w:ilvl w:val="3"/>
        <w:numId w:val="6"/>
      </w:numPr>
      <w:outlineLvl w:val="3"/>
    </w:pPr>
    <w:rPr>
      <w:rFonts w:eastAsia="Times New Roman" w:cs="Times New Roman"/>
      <w:iCs/>
    </w:rPr>
  </w:style>
  <w:style w:type="paragraph" w:styleId="Heading5">
    <w:name w:val="heading 5"/>
    <w:basedOn w:val="Dummy"/>
    <w:next w:val="Standard"/>
    <w:link w:val="Heading5Char"/>
    <w:uiPriority w:val="4"/>
    <w:rsid w:val="000A56F2"/>
    <w:pPr>
      <w:numPr>
        <w:ilvl w:val="4"/>
        <w:numId w:val="6"/>
      </w:numPr>
      <w:outlineLvl w:val="4"/>
    </w:pPr>
    <w:rPr>
      <w:rFonts w:eastAsia="Times New Roman" w:cs="Times New Roman"/>
    </w:rPr>
  </w:style>
  <w:style w:type="paragraph" w:styleId="Heading6">
    <w:name w:val="heading 6"/>
    <w:basedOn w:val="Dummy"/>
    <w:next w:val="Standard"/>
    <w:link w:val="Heading6Char"/>
    <w:uiPriority w:val="4"/>
    <w:rsid w:val="000A56F2"/>
    <w:pPr>
      <w:numPr>
        <w:ilvl w:val="5"/>
        <w:numId w:val="6"/>
      </w:numPr>
      <w:spacing w:before="40"/>
      <w:outlineLvl w:val="5"/>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4"/>
    <w:rsid w:val="0036017B"/>
    <w:rPr>
      <w:rFonts w:ascii="Arial" w:eastAsia="Times New Roman" w:hAnsi="Arial" w:cs="Times New Roman"/>
      <w:b/>
      <w:sz w:val="26"/>
      <w:szCs w:val="32"/>
    </w:rPr>
  </w:style>
  <w:style w:type="paragraph" w:styleId="TOCHeading">
    <w:name w:val="TOC Heading"/>
    <w:next w:val="Normal"/>
    <w:uiPriority w:val="39"/>
    <w:unhideWhenUsed/>
    <w:rsid w:val="001E2A62"/>
    <w:pPr>
      <w:spacing w:after="160"/>
      <w:jc w:val="center"/>
    </w:pPr>
    <w:rPr>
      <w:rFonts w:ascii="Arial" w:eastAsia="Times New Roman" w:hAnsi="Arial"/>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imes New Roman" w:cs="Times New Roman"/>
      <w:caps/>
      <w:szCs w:val="56"/>
    </w:rPr>
  </w:style>
  <w:style w:type="character" w:customStyle="1" w:styleId="TitleChar">
    <w:name w:val="Title Char"/>
    <w:link w:val="Title"/>
    <w:uiPriority w:val="10"/>
    <w:semiHidden/>
    <w:rsid w:val="0036017B"/>
    <w:rPr>
      <w:rFonts w:ascii="Arial" w:eastAsia="Times New Roman" w:hAnsi="Arial" w:cs="Times New Roman"/>
      <w:b/>
      <w:caps/>
      <w:sz w:val="26"/>
      <w:szCs w:val="56"/>
    </w:rPr>
  </w:style>
  <w:style w:type="paragraph" w:customStyle="1" w:styleId="Dummy">
    <w:name w:val="Dummy"/>
    <w:next w:val="Normal"/>
    <w:uiPriority w:val="19"/>
    <w:rsid w:val="00F62B7A"/>
    <w:pPr>
      <w:keepNext/>
      <w:keepLines/>
      <w:spacing w:after="120"/>
      <w:outlineLvl w:val="0"/>
    </w:pPr>
    <w:rPr>
      <w:rFonts w:ascii="Arial" w:hAnsi="Arial" w:cs="Arial"/>
      <w:b/>
      <w:sz w:val="26"/>
      <w:szCs w:val="26"/>
    </w:rPr>
  </w:style>
  <w:style w:type="character" w:customStyle="1" w:styleId="Heading2Char">
    <w:name w:val="Heading 2 Char"/>
    <w:link w:val="Heading2"/>
    <w:uiPriority w:val="4"/>
    <w:rsid w:val="00ED5725"/>
    <w:rPr>
      <w:rFonts w:ascii="Arial" w:hAnsi="Arial" w:cs="Arial"/>
      <w:b/>
      <w:sz w:val="26"/>
      <w:szCs w:val="26"/>
    </w:rPr>
  </w:style>
  <w:style w:type="character" w:customStyle="1" w:styleId="Heading3Char">
    <w:name w:val="Heading 3 Char"/>
    <w:link w:val="Heading3"/>
    <w:uiPriority w:val="4"/>
    <w:rsid w:val="0097776E"/>
    <w:rPr>
      <w:rFonts w:ascii="Arial" w:eastAsia="Times New Roman" w:hAnsi="Arial"/>
      <w:b/>
      <w:sz w:val="26"/>
      <w:szCs w:val="24"/>
    </w:rPr>
  </w:style>
  <w:style w:type="character" w:customStyle="1" w:styleId="Heading4Char">
    <w:name w:val="Heading 4 Char"/>
    <w:link w:val="Heading4"/>
    <w:uiPriority w:val="4"/>
    <w:rsid w:val="007A406D"/>
    <w:rPr>
      <w:rFonts w:ascii="Arial" w:eastAsia="Times New Roman" w:hAnsi="Arial" w:cs="Times New Roman"/>
      <w:b/>
      <w:iCs/>
      <w:sz w:val="26"/>
      <w:szCs w:val="26"/>
    </w:rPr>
  </w:style>
  <w:style w:type="character" w:customStyle="1" w:styleId="Heading5Char">
    <w:name w:val="Heading 5 Char"/>
    <w:link w:val="Heading5"/>
    <w:uiPriority w:val="4"/>
    <w:rsid w:val="008A179F"/>
    <w:rPr>
      <w:rFonts w:ascii="Arial" w:eastAsia="Times New Roman" w:hAnsi="Arial" w:cs="Times New Roman"/>
      <w:b/>
      <w:sz w:val="26"/>
      <w:szCs w:val="26"/>
    </w:rPr>
  </w:style>
  <w:style w:type="paragraph" w:customStyle="1" w:styleId="Main">
    <w:name w:val="Main"/>
    <w:next w:val="Normal"/>
    <w:uiPriority w:val="19"/>
    <w:rsid w:val="00F62B7A"/>
    <w:pPr>
      <w:jc w:val="center"/>
    </w:pPr>
    <w:rPr>
      <w:rFonts w:ascii="Arial" w:eastAsia="Times New Roman" w:hAnsi="Arial"/>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imes New Roman"/>
    </w:rPr>
  </w:style>
  <w:style w:type="paragraph" w:styleId="TOC1">
    <w:name w:val="toc 1"/>
    <w:basedOn w:val="Normal"/>
    <w:next w:val="Normal"/>
    <w:uiPriority w:val="39"/>
    <w:unhideWhenUsed/>
    <w:rsid w:val="00ED5725"/>
    <w:pPr>
      <w:spacing w:line="240" w:lineRule="auto"/>
      <w:ind w:left="432" w:hanging="432"/>
    </w:pPr>
    <w:rPr>
      <w:rFonts w:eastAsia="Times New Roman"/>
    </w:rPr>
  </w:style>
  <w:style w:type="paragraph" w:styleId="TOC3">
    <w:name w:val="toc 3"/>
    <w:basedOn w:val="Normal"/>
    <w:next w:val="Normal"/>
    <w:uiPriority w:val="39"/>
    <w:unhideWhenUsed/>
    <w:rsid w:val="008C7413"/>
    <w:pPr>
      <w:spacing w:line="240" w:lineRule="auto"/>
      <w:ind w:left="1296" w:hanging="864"/>
    </w:pPr>
    <w:rPr>
      <w:rFonts w:eastAsia="Times New Roman"/>
    </w:rPr>
  </w:style>
  <w:style w:type="character" w:styleId="Hyperlink">
    <w:name w:val="Hyperlink"/>
    <w:uiPriority w:val="99"/>
    <w:rsid w:val="00D82A43"/>
    <w:rPr>
      <w:color w:val="0563C1"/>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link w:val="Header"/>
    <w:uiPriority w:val="99"/>
    <w:semiHidden/>
    <w:rsid w:val="000A56F2"/>
    <w:rPr>
      <w:rFonts w:ascii="Book Antiqua" w:hAnsi="Book Antiqua"/>
      <w:sz w:val="26"/>
    </w:rPr>
  </w:style>
  <w:style w:type="paragraph" w:styleId="Footer">
    <w:name w:val="footer"/>
    <w:basedOn w:val="Normal"/>
    <w:link w:val="FooterChar"/>
    <w:uiPriority w:val="99"/>
    <w:semiHidden/>
    <w:rsid w:val="00EE3060"/>
    <w:pPr>
      <w:tabs>
        <w:tab w:val="center" w:pos="4680"/>
        <w:tab w:val="right" w:pos="9360"/>
      </w:tabs>
      <w:spacing w:line="240" w:lineRule="auto"/>
    </w:pPr>
  </w:style>
  <w:style w:type="character" w:customStyle="1" w:styleId="FooterChar">
    <w:name w:val="Footer Char"/>
    <w:link w:val="Footer"/>
    <w:uiPriority w:val="99"/>
    <w:semiHidden/>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basedOn w:val="Normal"/>
    <w:link w:val="FootnoteTextChar"/>
    <w:uiPriority w:val="40"/>
    <w:rsid w:val="00B01F7E"/>
    <w:pPr>
      <w:spacing w:after="120" w:line="240" w:lineRule="auto"/>
      <w:ind w:firstLine="0"/>
    </w:pPr>
    <w:rPr>
      <w:sz w:val="22"/>
      <w:szCs w:val="20"/>
    </w:rPr>
  </w:style>
  <w:style w:type="character" w:customStyle="1" w:styleId="FootnoteTextChar">
    <w:name w:val="Footnote Text Char"/>
    <w:link w:val="FootnoteText"/>
    <w:uiPriority w:val="40"/>
    <w:rsid w:val="007657C1"/>
    <w:rPr>
      <w:rFonts w:ascii="Book Antiqua" w:hAnsi="Book Antiqua"/>
      <w:szCs w:val="20"/>
    </w:rPr>
  </w:style>
  <w:style w:type="character" w:styleId="FootnoteReference">
    <w:name w:val="footnote reference"/>
    <w:uiPriority w:val="99"/>
    <w:semiHidden/>
    <w:unhideWhenUsed/>
    <w:rsid w:val="00DF58E7"/>
    <w:rPr>
      <w:vertAlign w:val="superscript"/>
    </w:rPr>
  </w:style>
  <w:style w:type="paragraph" w:customStyle="1" w:styleId="FoF">
    <w:name w:val="FoF"/>
    <w:basedOn w:val="Standard"/>
    <w:uiPriority w:val="6"/>
    <w:qFormat/>
    <w:rsid w:val="001E2A62"/>
    <w:pPr>
      <w:numPr>
        <w:numId w:val="3"/>
      </w:numPr>
      <w:ind w:firstLine="547"/>
    </w:pPr>
  </w:style>
  <w:style w:type="paragraph" w:customStyle="1" w:styleId="CoL">
    <w:name w:val="CoL"/>
    <w:basedOn w:val="Standard"/>
    <w:uiPriority w:val="7"/>
    <w:qFormat/>
    <w:rsid w:val="001E2A62"/>
    <w:pPr>
      <w:numPr>
        <w:numId w:val="4"/>
      </w:numPr>
      <w:ind w:firstLine="547"/>
    </w:pPr>
  </w:style>
  <w:style w:type="paragraph" w:styleId="NoSpacing">
    <w:name w:val="No Spacing"/>
    <w:basedOn w:val="Standard"/>
    <w:uiPriority w:val="1"/>
    <w:rsid w:val="001E2A62"/>
    <w:pPr>
      <w:spacing w:line="240" w:lineRule="auto"/>
      <w:ind w:firstLine="0"/>
    </w:pPr>
  </w:style>
  <w:style w:type="paragraph" w:customStyle="1" w:styleId="OP">
    <w:name w:val="OP"/>
    <w:basedOn w:val="Standard"/>
    <w:uiPriority w:val="8"/>
    <w:qFormat/>
    <w:rsid w:val="001E2A62"/>
    <w:pPr>
      <w:numPr>
        <w:numId w:val="5"/>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4C7D3A"/>
    <w:rPr>
      <w:rFonts w:ascii="Segoe UI" w:hAnsi="Segoe UI" w:cs="Segoe UI"/>
      <w:sz w:val="18"/>
      <w:szCs w:val="18"/>
    </w:rPr>
  </w:style>
  <w:style w:type="numbering" w:customStyle="1" w:styleId="Headings">
    <w:name w:val="Headings"/>
    <w:uiPriority w:val="99"/>
    <w:rsid w:val="000A56F2"/>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A56F2"/>
    <w:pPr>
      <w:numPr>
        <w:ilvl w:val="7"/>
        <w:numId w:val="6"/>
      </w:numPr>
      <w:spacing w:after="120" w:line="240" w:lineRule="auto"/>
    </w:pPr>
  </w:style>
  <w:style w:type="paragraph" w:styleId="ListBullet">
    <w:name w:val="List Bullet"/>
    <w:basedOn w:val="Standard"/>
    <w:uiPriority w:val="4"/>
    <w:qFormat/>
    <w:rsid w:val="001F2819"/>
    <w:pPr>
      <w:numPr>
        <w:numId w:val="9"/>
      </w:numPr>
      <w:tabs>
        <w:tab w:val="clear" w:pos="360"/>
      </w:tabs>
      <w:spacing w:after="120" w:line="240" w:lineRule="auto"/>
      <w:ind w:left="1080"/>
    </w:pPr>
  </w:style>
  <w:style w:type="character" w:customStyle="1" w:styleId="Heading6Char">
    <w:name w:val="Heading 6 Char"/>
    <w:link w:val="Heading6"/>
    <w:uiPriority w:val="4"/>
    <w:rsid w:val="000A56F2"/>
    <w:rPr>
      <w:rFonts w:ascii="Arial" w:eastAsia="Times New Roman" w:hAnsi="Arial" w:cs="Times New Roman"/>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styleId="ListParagraph">
    <w:name w:val="List Paragraph"/>
    <w:basedOn w:val="Normal"/>
    <w:uiPriority w:val="34"/>
    <w:rsid w:val="00D306F6"/>
    <w:pPr>
      <w:ind w:left="720"/>
      <w:contextualSpacing/>
    </w:pPr>
  </w:style>
  <w:style w:type="character" w:styleId="CommentReference">
    <w:name w:val="annotation reference"/>
    <w:uiPriority w:val="99"/>
    <w:semiHidden/>
    <w:unhideWhenUsed/>
    <w:rsid w:val="006A2C7D"/>
    <w:rPr>
      <w:sz w:val="16"/>
      <w:szCs w:val="16"/>
    </w:rPr>
  </w:style>
  <w:style w:type="paragraph" w:styleId="CommentText">
    <w:name w:val="annotation text"/>
    <w:basedOn w:val="Normal"/>
    <w:link w:val="CommentTextChar"/>
    <w:uiPriority w:val="99"/>
    <w:semiHidden/>
    <w:unhideWhenUsed/>
    <w:rsid w:val="006A2C7D"/>
    <w:pPr>
      <w:spacing w:line="240" w:lineRule="auto"/>
    </w:pPr>
    <w:rPr>
      <w:sz w:val="20"/>
      <w:szCs w:val="20"/>
    </w:rPr>
  </w:style>
  <w:style w:type="character" w:customStyle="1" w:styleId="CommentTextChar">
    <w:name w:val="Comment Text Char"/>
    <w:link w:val="CommentText"/>
    <w:uiPriority w:val="99"/>
    <w:semiHidden/>
    <w:rsid w:val="006A2C7D"/>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B676B2"/>
    <w:pPr>
      <w:spacing w:line="360" w:lineRule="auto"/>
    </w:pPr>
    <w:rPr>
      <w:b/>
      <w:bCs/>
    </w:rPr>
  </w:style>
  <w:style w:type="character" w:customStyle="1" w:styleId="CommentSubjectChar">
    <w:name w:val="Comment Subject Char"/>
    <w:link w:val="CommentSubject"/>
    <w:uiPriority w:val="99"/>
    <w:semiHidden/>
    <w:rsid w:val="00B676B2"/>
    <w:rPr>
      <w:rFonts w:ascii="Book Antiqua" w:hAnsi="Book Antiqu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8889491">
      <w:bodyDiv w:val="1"/>
      <w:marLeft w:val="0"/>
      <w:marRight w:val="0"/>
      <w:marTop w:val="0"/>
      <w:marBottom w:val="0"/>
      <w:divBdr>
        <w:top w:val="none" w:sz="0" w:space="0" w:color="auto"/>
        <w:left w:val="none" w:sz="0" w:space="0" w:color="auto"/>
        <w:bottom w:val="none" w:sz="0" w:space="0" w:color="auto"/>
        <w:right w:val="none" w:sz="0" w:space="0" w:color="auto"/>
      </w:divBdr>
    </w:div>
    <w:div w:id="869151511">
      <w:bodyDiv w:val="1"/>
      <w:marLeft w:val="0"/>
      <w:marRight w:val="0"/>
      <w:marTop w:val="0"/>
      <w:marBottom w:val="0"/>
      <w:divBdr>
        <w:top w:val="none" w:sz="0" w:space="0" w:color="auto"/>
        <w:left w:val="none" w:sz="0" w:space="0" w:color="auto"/>
        <w:bottom w:val="none" w:sz="0" w:space="0" w:color="auto"/>
        <w:right w:val="none" w:sz="0" w:space="0" w:color="auto"/>
      </w:divBdr>
    </w:div>
    <w:div w:id="1003358876">
      <w:bodyDiv w:val="1"/>
      <w:marLeft w:val="0"/>
      <w:marRight w:val="0"/>
      <w:marTop w:val="0"/>
      <w:marBottom w:val="0"/>
      <w:divBdr>
        <w:top w:val="none" w:sz="0" w:space="0" w:color="auto"/>
        <w:left w:val="none" w:sz="0" w:space="0" w:color="auto"/>
        <w:bottom w:val="none" w:sz="0" w:space="0" w:color="auto"/>
        <w:right w:val="none" w:sz="0" w:space="0" w:color="auto"/>
      </w:divBdr>
    </w:div>
    <w:div w:id="1235554644">
      <w:bodyDiv w:val="1"/>
      <w:marLeft w:val="0"/>
      <w:marRight w:val="0"/>
      <w:marTop w:val="0"/>
      <w:marBottom w:val="0"/>
      <w:divBdr>
        <w:top w:val="none" w:sz="0" w:space="0" w:color="auto"/>
        <w:left w:val="none" w:sz="0" w:space="0" w:color="auto"/>
        <w:bottom w:val="none" w:sz="0" w:space="0" w:color="auto"/>
        <w:right w:val="none" w:sz="0" w:space="0" w:color="auto"/>
      </w:divBdr>
    </w:div>
    <w:div w:id="1335494686">
      <w:bodyDiv w:val="1"/>
      <w:marLeft w:val="0"/>
      <w:marRight w:val="0"/>
      <w:marTop w:val="0"/>
      <w:marBottom w:val="0"/>
      <w:divBdr>
        <w:top w:val="none" w:sz="0" w:space="0" w:color="auto"/>
        <w:left w:val="none" w:sz="0" w:space="0" w:color="auto"/>
        <w:bottom w:val="none" w:sz="0" w:space="0" w:color="auto"/>
        <w:right w:val="none" w:sz="0" w:space="0" w:color="auto"/>
      </w:divBdr>
    </w:div>
    <w:div w:id="1434785197">
      <w:bodyDiv w:val="1"/>
      <w:marLeft w:val="0"/>
      <w:marRight w:val="0"/>
      <w:marTop w:val="0"/>
      <w:marBottom w:val="0"/>
      <w:divBdr>
        <w:top w:val="none" w:sz="0" w:space="0" w:color="auto"/>
        <w:left w:val="none" w:sz="0" w:space="0" w:color="auto"/>
        <w:bottom w:val="none" w:sz="0" w:space="0" w:color="auto"/>
        <w:right w:val="none" w:sz="0" w:space="0" w:color="auto"/>
      </w:divBdr>
    </w:div>
    <w:div w:id="1683119931">
      <w:bodyDiv w:val="1"/>
      <w:marLeft w:val="0"/>
      <w:marRight w:val="0"/>
      <w:marTop w:val="0"/>
      <w:marBottom w:val="0"/>
      <w:divBdr>
        <w:top w:val="none" w:sz="0" w:space="0" w:color="auto"/>
        <w:left w:val="none" w:sz="0" w:space="0" w:color="auto"/>
        <w:bottom w:val="none" w:sz="0" w:space="0" w:color="auto"/>
        <w:right w:val="none" w:sz="0" w:space="0" w:color="auto"/>
      </w:divBdr>
    </w:div>
    <w:div w:id="1733500172">
      <w:bodyDiv w:val="1"/>
      <w:marLeft w:val="0"/>
      <w:marRight w:val="0"/>
      <w:marTop w:val="0"/>
      <w:marBottom w:val="0"/>
      <w:divBdr>
        <w:top w:val="none" w:sz="0" w:space="0" w:color="auto"/>
        <w:left w:val="none" w:sz="0" w:space="0" w:color="auto"/>
        <w:bottom w:val="none" w:sz="0" w:space="0" w:color="auto"/>
        <w:right w:val="none" w:sz="0" w:space="0" w:color="auto"/>
      </w:divBdr>
    </w:div>
    <w:div w:id="1834759717">
      <w:bodyDiv w:val="1"/>
      <w:marLeft w:val="0"/>
      <w:marRight w:val="0"/>
      <w:marTop w:val="0"/>
      <w:marBottom w:val="0"/>
      <w:divBdr>
        <w:top w:val="none" w:sz="0" w:space="0" w:color="auto"/>
        <w:left w:val="none" w:sz="0" w:space="0" w:color="auto"/>
        <w:bottom w:val="none" w:sz="0" w:space="0" w:color="auto"/>
        <w:right w:val="none" w:sz="0" w:space="0" w:color="auto"/>
      </w:divBdr>
    </w:div>
    <w:div w:id="194402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hyperlink" Target="http://docs.cpuc.ca.gov/PublishedDocs/Published/G000/M368/K098/368098715.pdf" TargetMode="External" Id="R552e370c103c4f2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0305C-B6BA-40F2-B6ED-17BD1FFC9165}">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40</ap:Pages>
  <ap:Words>8840</ap:Words>
  <ap:Characters>50388</ap:Characters>
  <ap:Application>Microsoft Office Word</ap:Application>
  <ap:DocSecurity>0</ap:DocSecurity>
  <ap:Lines>419</ap:Lines>
  <ap:Paragraphs>118</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59110</ap:CharactersWithSpaces>
  <ap:SharedDoc>false</ap:SharedDoc>
  <ap:HLinks>
    <vt:vector baseType="variant" size="96">
      <vt:variant>
        <vt:i4>1179702</vt:i4>
      </vt:variant>
      <vt:variant>
        <vt:i4>92</vt:i4>
      </vt:variant>
      <vt:variant>
        <vt:i4>0</vt:i4>
      </vt:variant>
      <vt:variant>
        <vt:i4>5</vt:i4>
      </vt:variant>
      <vt:variant>
        <vt:lpwstr/>
      </vt:variant>
      <vt:variant>
        <vt:lpwstr>_Toc12866697</vt:lpwstr>
      </vt:variant>
      <vt:variant>
        <vt:i4>1245238</vt:i4>
      </vt:variant>
      <vt:variant>
        <vt:i4>86</vt:i4>
      </vt:variant>
      <vt:variant>
        <vt:i4>0</vt:i4>
      </vt:variant>
      <vt:variant>
        <vt:i4>5</vt:i4>
      </vt:variant>
      <vt:variant>
        <vt:lpwstr/>
      </vt:variant>
      <vt:variant>
        <vt:lpwstr>_Toc12866696</vt:lpwstr>
      </vt:variant>
      <vt:variant>
        <vt:i4>1048630</vt:i4>
      </vt:variant>
      <vt:variant>
        <vt:i4>80</vt:i4>
      </vt:variant>
      <vt:variant>
        <vt:i4>0</vt:i4>
      </vt:variant>
      <vt:variant>
        <vt:i4>5</vt:i4>
      </vt:variant>
      <vt:variant>
        <vt:lpwstr/>
      </vt:variant>
      <vt:variant>
        <vt:lpwstr>_Toc12866695</vt:lpwstr>
      </vt:variant>
      <vt:variant>
        <vt:i4>1114166</vt:i4>
      </vt:variant>
      <vt:variant>
        <vt:i4>74</vt:i4>
      </vt:variant>
      <vt:variant>
        <vt:i4>0</vt:i4>
      </vt:variant>
      <vt:variant>
        <vt:i4>5</vt:i4>
      </vt:variant>
      <vt:variant>
        <vt:lpwstr/>
      </vt:variant>
      <vt:variant>
        <vt:lpwstr>_Toc12866694</vt:lpwstr>
      </vt:variant>
      <vt:variant>
        <vt:i4>1441846</vt:i4>
      </vt:variant>
      <vt:variant>
        <vt:i4>68</vt:i4>
      </vt:variant>
      <vt:variant>
        <vt:i4>0</vt:i4>
      </vt:variant>
      <vt:variant>
        <vt:i4>5</vt:i4>
      </vt:variant>
      <vt:variant>
        <vt:lpwstr/>
      </vt:variant>
      <vt:variant>
        <vt:lpwstr>_Toc12866693</vt:lpwstr>
      </vt:variant>
      <vt:variant>
        <vt:i4>1507382</vt:i4>
      </vt:variant>
      <vt:variant>
        <vt:i4>62</vt:i4>
      </vt:variant>
      <vt:variant>
        <vt:i4>0</vt:i4>
      </vt:variant>
      <vt:variant>
        <vt:i4>5</vt:i4>
      </vt:variant>
      <vt:variant>
        <vt:lpwstr/>
      </vt:variant>
      <vt:variant>
        <vt:lpwstr>_Toc12866692</vt:lpwstr>
      </vt:variant>
      <vt:variant>
        <vt:i4>1310774</vt:i4>
      </vt:variant>
      <vt:variant>
        <vt:i4>56</vt:i4>
      </vt:variant>
      <vt:variant>
        <vt:i4>0</vt:i4>
      </vt:variant>
      <vt:variant>
        <vt:i4>5</vt:i4>
      </vt:variant>
      <vt:variant>
        <vt:lpwstr/>
      </vt:variant>
      <vt:variant>
        <vt:lpwstr>_Toc12866691</vt:lpwstr>
      </vt:variant>
      <vt:variant>
        <vt:i4>1376310</vt:i4>
      </vt:variant>
      <vt:variant>
        <vt:i4>50</vt:i4>
      </vt:variant>
      <vt:variant>
        <vt:i4>0</vt:i4>
      </vt:variant>
      <vt:variant>
        <vt:i4>5</vt:i4>
      </vt:variant>
      <vt:variant>
        <vt:lpwstr/>
      </vt:variant>
      <vt:variant>
        <vt:lpwstr>_Toc12866690</vt:lpwstr>
      </vt:variant>
      <vt:variant>
        <vt:i4>1835063</vt:i4>
      </vt:variant>
      <vt:variant>
        <vt:i4>44</vt:i4>
      </vt:variant>
      <vt:variant>
        <vt:i4>0</vt:i4>
      </vt:variant>
      <vt:variant>
        <vt:i4>5</vt:i4>
      </vt:variant>
      <vt:variant>
        <vt:lpwstr/>
      </vt:variant>
      <vt:variant>
        <vt:lpwstr>_Toc12866689</vt:lpwstr>
      </vt:variant>
      <vt:variant>
        <vt:i4>1900599</vt:i4>
      </vt:variant>
      <vt:variant>
        <vt:i4>38</vt:i4>
      </vt:variant>
      <vt:variant>
        <vt:i4>0</vt:i4>
      </vt:variant>
      <vt:variant>
        <vt:i4>5</vt:i4>
      </vt:variant>
      <vt:variant>
        <vt:lpwstr/>
      </vt:variant>
      <vt:variant>
        <vt:lpwstr>_Toc12866688</vt:lpwstr>
      </vt:variant>
      <vt:variant>
        <vt:i4>1179703</vt:i4>
      </vt:variant>
      <vt:variant>
        <vt:i4>32</vt:i4>
      </vt:variant>
      <vt:variant>
        <vt:i4>0</vt:i4>
      </vt:variant>
      <vt:variant>
        <vt:i4>5</vt:i4>
      </vt:variant>
      <vt:variant>
        <vt:lpwstr/>
      </vt:variant>
      <vt:variant>
        <vt:lpwstr>_Toc12866687</vt:lpwstr>
      </vt:variant>
      <vt:variant>
        <vt:i4>1245239</vt:i4>
      </vt:variant>
      <vt:variant>
        <vt:i4>26</vt:i4>
      </vt:variant>
      <vt:variant>
        <vt:i4>0</vt:i4>
      </vt:variant>
      <vt:variant>
        <vt:i4>5</vt:i4>
      </vt:variant>
      <vt:variant>
        <vt:lpwstr/>
      </vt:variant>
      <vt:variant>
        <vt:lpwstr>_Toc12866686</vt:lpwstr>
      </vt:variant>
      <vt:variant>
        <vt:i4>1048631</vt:i4>
      </vt:variant>
      <vt:variant>
        <vt:i4>20</vt:i4>
      </vt:variant>
      <vt:variant>
        <vt:i4>0</vt:i4>
      </vt:variant>
      <vt:variant>
        <vt:i4>5</vt:i4>
      </vt:variant>
      <vt:variant>
        <vt:lpwstr/>
      </vt:variant>
      <vt:variant>
        <vt:lpwstr>_Toc12866685</vt:lpwstr>
      </vt:variant>
      <vt:variant>
        <vt:i4>1114167</vt:i4>
      </vt:variant>
      <vt:variant>
        <vt:i4>14</vt:i4>
      </vt:variant>
      <vt:variant>
        <vt:i4>0</vt:i4>
      </vt:variant>
      <vt:variant>
        <vt:i4>5</vt:i4>
      </vt:variant>
      <vt:variant>
        <vt:lpwstr/>
      </vt:variant>
      <vt:variant>
        <vt:lpwstr>_Toc12866684</vt:lpwstr>
      </vt:variant>
      <vt:variant>
        <vt:i4>1441847</vt:i4>
      </vt:variant>
      <vt:variant>
        <vt:i4>8</vt:i4>
      </vt:variant>
      <vt:variant>
        <vt:i4>0</vt:i4>
      </vt:variant>
      <vt:variant>
        <vt:i4>5</vt:i4>
      </vt:variant>
      <vt:variant>
        <vt:lpwstr/>
      </vt:variant>
      <vt:variant>
        <vt:lpwstr>_Toc12866683</vt:lpwstr>
      </vt:variant>
      <vt:variant>
        <vt:i4>1507383</vt:i4>
      </vt:variant>
      <vt:variant>
        <vt:i4>2</vt:i4>
      </vt:variant>
      <vt:variant>
        <vt:i4>0</vt:i4>
      </vt:variant>
      <vt:variant>
        <vt:i4>5</vt:i4>
      </vt:variant>
      <vt:variant>
        <vt:lpwstr/>
      </vt:variant>
      <vt:variant>
        <vt:lpwstr>_Toc12866682</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2021-01-26T19:38:00Z</cp:lastPrinted>
  <dcterms:created xsi:type="dcterms:W3CDTF">2021-02-26T08:48:00Z</dcterms:created>
  <dcterms:modified xsi:type="dcterms:W3CDTF">2021-02-26T08:48:00Z</dcterms:modified>
</cp:coreProperties>
</file>