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1386B" w:rsidR="00100097" w:rsidP="00C3697A" w:rsidRDefault="00100097" w14:paraId="3D0E826D" w14:textId="4478D486">
      <w:pPr>
        <w:rPr>
          <w:rFonts w:ascii="Times New Roman" w:hAnsi="Times New Roman"/>
          <w:bCs/>
          <w:szCs w:val="26"/>
        </w:rPr>
      </w:pPr>
      <w:r w:rsidRPr="0091386B">
        <w:rPr>
          <w:rFonts w:ascii="Times New Roman" w:hAnsi="Times New Roman"/>
          <w:bCs/>
          <w:szCs w:val="26"/>
        </w:rPr>
        <w:t>Executive Division</w:t>
      </w:r>
      <w:r w:rsidRPr="0091386B">
        <w:rPr>
          <w:rFonts w:ascii="Times New Roman" w:hAnsi="Times New Roman"/>
          <w:bCs/>
          <w:szCs w:val="26"/>
        </w:rPr>
        <w:tab/>
      </w:r>
      <w:r w:rsidRPr="0091386B">
        <w:rPr>
          <w:rFonts w:ascii="Times New Roman" w:hAnsi="Times New Roman"/>
          <w:bCs/>
          <w:szCs w:val="26"/>
        </w:rPr>
        <w:tab/>
      </w:r>
      <w:r w:rsidRPr="0091386B">
        <w:rPr>
          <w:rFonts w:ascii="Times New Roman" w:hAnsi="Times New Roman"/>
          <w:bCs/>
          <w:szCs w:val="26"/>
        </w:rPr>
        <w:tab/>
      </w:r>
      <w:r w:rsidRPr="0091386B">
        <w:rPr>
          <w:rFonts w:ascii="Times New Roman" w:hAnsi="Times New Roman"/>
          <w:bCs/>
          <w:szCs w:val="26"/>
        </w:rPr>
        <w:tab/>
      </w:r>
      <w:r w:rsidRPr="0091386B">
        <w:rPr>
          <w:rFonts w:ascii="Times New Roman" w:hAnsi="Times New Roman"/>
          <w:bCs/>
          <w:szCs w:val="26"/>
        </w:rPr>
        <w:tab/>
      </w:r>
      <w:r w:rsidRPr="0091386B">
        <w:rPr>
          <w:rFonts w:ascii="Times New Roman" w:hAnsi="Times New Roman"/>
          <w:bCs/>
          <w:szCs w:val="26"/>
        </w:rPr>
        <w:tab/>
      </w:r>
      <w:r w:rsidR="00C3697A">
        <w:rPr>
          <w:rFonts w:ascii="Times New Roman" w:hAnsi="Times New Roman"/>
          <w:bCs/>
          <w:szCs w:val="26"/>
        </w:rPr>
        <w:tab/>
      </w:r>
      <w:r w:rsidRPr="0091386B">
        <w:rPr>
          <w:rFonts w:ascii="Times New Roman" w:hAnsi="Times New Roman"/>
          <w:bCs/>
          <w:szCs w:val="26"/>
        </w:rPr>
        <w:t xml:space="preserve">Date: March 4, 2021 </w:t>
      </w:r>
    </w:p>
    <w:p w:rsidRPr="0091386B" w:rsidR="00100097" w:rsidP="00100097" w:rsidRDefault="00100097" w14:paraId="70AE5FB1" w14:textId="77777777">
      <w:pPr>
        <w:ind w:left="5760" w:firstLine="720"/>
        <w:rPr>
          <w:rFonts w:ascii="Times New Roman" w:hAnsi="Times New Roman"/>
          <w:bCs/>
          <w:szCs w:val="26"/>
          <w:vertAlign w:val="subscript"/>
        </w:rPr>
      </w:pPr>
      <w:r w:rsidRPr="0091386B">
        <w:rPr>
          <w:rFonts w:ascii="Times New Roman" w:hAnsi="Times New Roman"/>
          <w:bCs/>
          <w:szCs w:val="26"/>
        </w:rPr>
        <w:t>Resolution M-4850</w:t>
      </w:r>
    </w:p>
    <w:p w:rsidRPr="0091386B" w:rsidR="00100097" w:rsidP="00100097" w:rsidRDefault="00100097" w14:paraId="6C9A102B" w14:textId="77777777">
      <w:pPr>
        <w:tabs>
          <w:tab w:val="right" w:pos="8910"/>
        </w:tabs>
        <w:rPr>
          <w:rFonts w:ascii="Times New Roman" w:hAnsi="Times New Roman"/>
          <w:b/>
          <w:szCs w:val="26"/>
        </w:rPr>
      </w:pPr>
    </w:p>
    <w:p w:rsidRPr="0091386B" w:rsidR="00100097" w:rsidP="00100097" w:rsidRDefault="00100097" w14:paraId="6D6B4006" w14:textId="77777777">
      <w:pPr>
        <w:pStyle w:val="mainex"/>
        <w:rPr>
          <w:rFonts w:ascii="Times New Roman" w:hAnsi="Times New Roman"/>
          <w:szCs w:val="26"/>
          <w:u w:val="single"/>
        </w:rPr>
      </w:pPr>
      <w:bookmarkStart w:name="_Ref404993683" w:id="0"/>
      <w:r w:rsidRPr="0091386B">
        <w:rPr>
          <w:rFonts w:ascii="Times New Roman" w:hAnsi="Times New Roman"/>
          <w:szCs w:val="26"/>
          <w:u w:val="single"/>
        </w:rPr>
        <w:t>RESOLUTION</w:t>
      </w:r>
    </w:p>
    <w:p w:rsidRPr="0091386B" w:rsidR="00100097" w:rsidP="00100097" w:rsidRDefault="00100097" w14:paraId="46841081" w14:textId="77777777">
      <w:pPr>
        <w:rPr>
          <w:rFonts w:ascii="Times New Roman" w:hAnsi="Times New Roman"/>
          <w:szCs w:val="26"/>
        </w:rPr>
      </w:pPr>
    </w:p>
    <w:p w:rsidRPr="0091386B" w:rsidR="00100097" w:rsidP="00100097" w:rsidRDefault="00100097" w14:paraId="5379F51C" w14:textId="77777777">
      <w:pPr>
        <w:pStyle w:val="Res-Caption"/>
        <w:rPr>
          <w:rFonts w:ascii="Times New Roman" w:hAnsi="Times New Roman"/>
          <w:b/>
          <w:bCs/>
          <w:szCs w:val="26"/>
        </w:rPr>
      </w:pPr>
      <w:r w:rsidRPr="0091386B">
        <w:rPr>
          <w:rFonts w:ascii="Times New Roman" w:hAnsi="Times New Roman"/>
          <w:b/>
          <w:bCs/>
          <w:szCs w:val="26"/>
        </w:rPr>
        <w:t>RESOLUTION M-4850:  RATIFIES THE EXECUTIVE DIRECTOR’S LETTER TO SOUTHERN CALIFORNIA GAS COMPANY GRANTING, WITH CONDITIONS, A THREE-MONTH EXTENSION TO COMPLETE GAS TRANSMISSION PIPELINE INSPECTION AND MAINTENANCE, WHERE THE COVID-19 PANDEMIC MAKES SUCH WORK IMPOSSIBLE, WITH NOTICE REQUIREMENTS AND AN EXPIRATION DATE</w:t>
      </w:r>
    </w:p>
    <w:p w:rsidRPr="0091386B" w:rsidR="00100097" w:rsidP="00100097" w:rsidRDefault="00100097" w14:paraId="08BD219F" w14:textId="77777777">
      <w:pPr>
        <w:pStyle w:val="Res-Caption"/>
        <w:rPr>
          <w:rFonts w:ascii="Times New Roman" w:hAnsi="Times New Roman"/>
          <w:szCs w:val="26"/>
        </w:rPr>
      </w:pPr>
    </w:p>
    <w:bookmarkEnd w:id="0"/>
    <w:p w:rsidRPr="0091386B" w:rsidR="00100097" w:rsidP="00100097" w:rsidRDefault="00100097" w14:paraId="5ABF7A32" w14:textId="77777777">
      <w:pPr>
        <w:rPr>
          <w:rFonts w:ascii="Times New Roman" w:hAnsi="Times New Roman"/>
          <w:b/>
          <w:bCs/>
          <w:szCs w:val="26"/>
          <w:u w:val="single"/>
        </w:rPr>
      </w:pPr>
      <w:r w:rsidRPr="0091386B">
        <w:rPr>
          <w:rFonts w:ascii="Times New Roman" w:hAnsi="Times New Roman"/>
          <w:b/>
          <w:bCs/>
          <w:szCs w:val="26"/>
          <w:u w:val="single"/>
        </w:rPr>
        <w:t>SUMMARY</w:t>
      </w:r>
    </w:p>
    <w:p w:rsidRPr="0091386B" w:rsidR="00100097" w:rsidP="00100097" w:rsidRDefault="00100097" w14:paraId="7EBFBB28" w14:textId="77777777">
      <w:pPr>
        <w:rPr>
          <w:rFonts w:ascii="Times New Roman" w:hAnsi="Times New Roman"/>
          <w:b/>
          <w:bCs/>
          <w:szCs w:val="26"/>
          <w:u w:val="single"/>
        </w:rPr>
      </w:pPr>
    </w:p>
    <w:p w:rsidRPr="0091386B" w:rsidR="00100097" w:rsidP="00100097" w:rsidRDefault="00100097" w14:paraId="1C7BFC6C" w14:textId="77777777">
      <w:pPr>
        <w:rPr>
          <w:rFonts w:ascii="Times New Roman" w:hAnsi="Times New Roman"/>
          <w:szCs w:val="26"/>
        </w:rPr>
      </w:pPr>
      <w:r w:rsidRPr="0091386B">
        <w:rPr>
          <w:rFonts w:ascii="Times New Roman" w:hAnsi="Times New Roman"/>
          <w:szCs w:val="26"/>
        </w:rPr>
        <w:t>This Resolution is issued to ratify the Executive Director’s action taken by letter dated January 11, 2021, granting Southern California Gas Company (SoCalGas) a three-month waiver, with conditions, of compliance with specific sections of 49 C.F.R. Parts 190 through 199, promulgated by the Pipeline and Hazardous Materials Safety Administration (PHMSA), for certain SoCalGas gas pipeline facilities in its service territory due to the COVID-19 pandemic. The specific PHMSA regulations for which this waiver is applicable are identified in a table in the Executive Director’s January 11, 2021 letter, entitled “ATTACHMENT 1 (Revised).” The Executive Director’s January 11, 2021 letter modifies the interim approval granted in her previous letter dated October 8, 2020.</w:t>
      </w:r>
      <w:r w:rsidRPr="0091386B">
        <w:rPr>
          <w:rStyle w:val="FootnoteReference"/>
          <w:rFonts w:ascii="Times New Roman" w:hAnsi="Times New Roman"/>
          <w:b/>
          <w:bCs/>
          <w:szCs w:val="26"/>
          <w:u w:val="single"/>
        </w:rPr>
        <w:footnoteReference w:id="1"/>
      </w:r>
      <w:r w:rsidRPr="0091386B">
        <w:rPr>
          <w:rFonts w:ascii="Times New Roman" w:hAnsi="Times New Roman"/>
          <w:szCs w:val="26"/>
        </w:rPr>
        <w:t xml:space="preserve">  </w:t>
      </w:r>
    </w:p>
    <w:p w:rsidRPr="0091386B" w:rsidR="00100097" w:rsidP="00100097" w:rsidRDefault="00100097" w14:paraId="5B8F7DB2" w14:textId="77777777">
      <w:pPr>
        <w:rPr>
          <w:rFonts w:ascii="Times New Roman" w:hAnsi="Times New Roman"/>
          <w:szCs w:val="26"/>
        </w:rPr>
      </w:pPr>
    </w:p>
    <w:p w:rsidRPr="0091386B" w:rsidR="00100097" w:rsidP="00100097" w:rsidRDefault="00100097" w14:paraId="2AD5F3ED" w14:textId="77777777">
      <w:pPr>
        <w:rPr>
          <w:rFonts w:ascii="Times New Roman" w:hAnsi="Times New Roman"/>
          <w:szCs w:val="26"/>
        </w:rPr>
      </w:pPr>
      <w:r w:rsidRPr="0091386B">
        <w:rPr>
          <w:rFonts w:ascii="Times New Roman" w:hAnsi="Times New Roman"/>
          <w:szCs w:val="26"/>
        </w:rPr>
        <w:t xml:space="preserve">The effect of the waiver will be to allow SoCalGas a three-month extension, beginning January 11, 2021, to perform certain required inspection, maintenance and other compliance activities required by PHMSA regulations, where COVID-19 makes compliance impossible or where the risk to human health and safety due to COVID-19 outweighs the safety risk due to the compliance delay. </w:t>
      </w:r>
    </w:p>
    <w:p w:rsidRPr="0091386B" w:rsidR="00100097" w:rsidP="00100097" w:rsidRDefault="00100097" w14:paraId="6CFB91E7" w14:textId="77777777">
      <w:pPr>
        <w:spacing w:after="200" w:line="276" w:lineRule="auto"/>
        <w:rPr>
          <w:rFonts w:ascii="Times New Roman" w:hAnsi="Times New Roman"/>
          <w:szCs w:val="26"/>
        </w:rPr>
      </w:pPr>
      <w:r w:rsidRPr="0091386B">
        <w:rPr>
          <w:rFonts w:ascii="Times New Roman" w:hAnsi="Times New Roman"/>
          <w:szCs w:val="26"/>
        </w:rPr>
        <w:br w:type="page"/>
      </w:r>
    </w:p>
    <w:p w:rsidRPr="0091386B" w:rsidR="00100097" w:rsidP="00100097" w:rsidRDefault="00100097" w14:paraId="0A193DB6" w14:textId="77777777">
      <w:pPr>
        <w:rPr>
          <w:rFonts w:ascii="Times New Roman" w:hAnsi="Times New Roman"/>
          <w:b/>
          <w:bCs/>
          <w:szCs w:val="26"/>
          <w:u w:val="single"/>
        </w:rPr>
      </w:pPr>
      <w:r w:rsidRPr="0091386B">
        <w:rPr>
          <w:rFonts w:ascii="Times New Roman" w:hAnsi="Times New Roman"/>
          <w:b/>
          <w:bCs/>
          <w:szCs w:val="26"/>
          <w:u w:val="single"/>
        </w:rPr>
        <w:lastRenderedPageBreak/>
        <w:t>BACKGROUND</w:t>
      </w:r>
    </w:p>
    <w:p w:rsidRPr="0091386B" w:rsidR="00100097" w:rsidP="00100097" w:rsidRDefault="00100097" w14:paraId="05612D16" w14:textId="77777777">
      <w:pPr>
        <w:rPr>
          <w:rFonts w:ascii="Times New Roman" w:hAnsi="Times New Roman"/>
          <w:szCs w:val="26"/>
        </w:rPr>
      </w:pPr>
    </w:p>
    <w:p w:rsidRPr="0091386B" w:rsidR="00100097" w:rsidP="00100097" w:rsidRDefault="00100097" w14:paraId="7C0B60C8" w14:textId="77777777">
      <w:pPr>
        <w:rPr>
          <w:rFonts w:ascii="Times New Roman" w:hAnsi="Times New Roman"/>
          <w:szCs w:val="26"/>
        </w:rPr>
      </w:pPr>
      <w:r w:rsidRPr="0091386B">
        <w:rPr>
          <w:rFonts w:ascii="Times New Roman" w:hAnsi="Times New Roman"/>
          <w:szCs w:val="26"/>
        </w:rPr>
        <w:t>On August 14, 2020, SoCalGas submitted a waiver request to SED, which followed several months of discussion about SoCalGas’ asserted need to extend natural gas pipeline safety inspections and maintenance due to the COVID-19 pandemic. Initially, SoCalGas requested three-month extension of all compliance activity, but through discussions with SED, narrowed its request to that stated in its August 14, 2020 letter.</w:t>
      </w:r>
    </w:p>
    <w:p w:rsidRPr="0091386B" w:rsidR="00100097" w:rsidP="00100097" w:rsidRDefault="00100097" w14:paraId="5B8CD6E9" w14:textId="77777777">
      <w:pPr>
        <w:rPr>
          <w:rFonts w:ascii="Times New Roman" w:hAnsi="Times New Roman"/>
          <w:szCs w:val="26"/>
        </w:rPr>
      </w:pPr>
    </w:p>
    <w:p w:rsidRPr="0091386B" w:rsidR="00100097" w:rsidP="00100097" w:rsidRDefault="00100097" w14:paraId="451D8508" w14:textId="77777777">
      <w:pPr>
        <w:rPr>
          <w:rFonts w:ascii="Times New Roman" w:hAnsi="Times New Roman"/>
          <w:szCs w:val="26"/>
        </w:rPr>
      </w:pPr>
      <w:r w:rsidRPr="0091386B">
        <w:rPr>
          <w:rFonts w:ascii="Times New Roman" w:hAnsi="Times New Roman"/>
          <w:szCs w:val="26"/>
        </w:rPr>
        <w:t>SoCalGas stated the following in its August 14, 2020 letter:</w:t>
      </w:r>
    </w:p>
    <w:p w:rsidRPr="0091386B" w:rsidR="00100097" w:rsidP="00100097" w:rsidRDefault="00100097" w14:paraId="18855C53" w14:textId="77777777">
      <w:pPr>
        <w:rPr>
          <w:rFonts w:ascii="Times New Roman" w:hAnsi="Times New Roman"/>
          <w:szCs w:val="26"/>
        </w:rPr>
      </w:pPr>
    </w:p>
    <w:p w:rsidRPr="0091386B" w:rsidR="00100097" w:rsidP="00100097" w:rsidRDefault="00100097" w14:paraId="4F339C84" w14:textId="77777777">
      <w:pPr>
        <w:numPr>
          <w:ilvl w:val="0"/>
          <w:numId w:val="4"/>
        </w:numPr>
        <w:spacing w:after="120"/>
        <w:ind w:left="1166" w:right="1440" w:hanging="446"/>
        <w:rPr>
          <w:rFonts w:ascii="Times New Roman" w:hAnsi="Times New Roman"/>
          <w:szCs w:val="26"/>
        </w:rPr>
      </w:pPr>
      <w:r w:rsidRPr="0091386B">
        <w:rPr>
          <w:rFonts w:ascii="Times New Roman" w:hAnsi="Times New Roman"/>
          <w:szCs w:val="26"/>
        </w:rPr>
        <w:t>SoCalGas will continue to work toward completion of all safety and compliance activities as we are currently doing.</w:t>
      </w:r>
    </w:p>
    <w:p w:rsidRPr="0091386B" w:rsidR="00100097" w:rsidP="00100097" w:rsidRDefault="00100097" w14:paraId="0A084EEB" w14:textId="77777777">
      <w:pPr>
        <w:numPr>
          <w:ilvl w:val="0"/>
          <w:numId w:val="4"/>
        </w:numPr>
        <w:spacing w:after="120"/>
        <w:ind w:left="1166" w:right="1440" w:hanging="446"/>
        <w:rPr>
          <w:rFonts w:ascii="Times New Roman" w:hAnsi="Times New Roman"/>
          <w:szCs w:val="26"/>
        </w:rPr>
      </w:pPr>
      <w:r w:rsidRPr="0091386B">
        <w:rPr>
          <w:rFonts w:ascii="Times New Roman" w:hAnsi="Times New Roman"/>
          <w:szCs w:val="26"/>
        </w:rPr>
        <w:t>If COVID-19 begins to impact [SoCalGas’s] operations, and a need arises to re-allocate resources in order to continue safe and reliable service, [SoCalGas] will utilize the list in Attachment 1 and defer some or a combination of the compliance activities listed in [Attachment 1 thereto], based on workforce needs (i.e. operator qualification requirements); not to exceed three months.</w:t>
      </w:r>
    </w:p>
    <w:p w:rsidRPr="0091386B" w:rsidR="00100097" w:rsidP="00100097" w:rsidRDefault="00100097" w14:paraId="7BC8547A" w14:textId="77777777">
      <w:pPr>
        <w:numPr>
          <w:ilvl w:val="0"/>
          <w:numId w:val="4"/>
        </w:numPr>
        <w:spacing w:after="120"/>
        <w:ind w:left="1166" w:right="1440" w:hanging="446"/>
        <w:rPr>
          <w:rFonts w:ascii="Times New Roman" w:hAnsi="Times New Roman"/>
          <w:szCs w:val="26"/>
        </w:rPr>
      </w:pPr>
      <w:r w:rsidRPr="0091386B">
        <w:rPr>
          <w:rFonts w:ascii="Times New Roman" w:hAnsi="Times New Roman"/>
          <w:szCs w:val="26"/>
        </w:rPr>
        <w:t>Should compliance activity deadline(s) be missed, SoCalGas will proactively track and complete the missed work order(s) by flagging them in our work management systems (i.e. Maximo or SAP), and establish a new “compliance due-date” (within the three month extended timeline) whereby operational personnel can then be re-dispatched to complete them once resources are available.</w:t>
      </w:r>
    </w:p>
    <w:p w:rsidRPr="0091386B" w:rsidR="00100097" w:rsidP="00100097" w:rsidRDefault="00100097" w14:paraId="4F5DB49F" w14:textId="77777777">
      <w:pPr>
        <w:numPr>
          <w:ilvl w:val="0"/>
          <w:numId w:val="4"/>
        </w:numPr>
        <w:spacing w:after="120"/>
        <w:ind w:left="1166" w:right="1440" w:hanging="446"/>
        <w:rPr>
          <w:rFonts w:ascii="Times New Roman" w:hAnsi="Times New Roman"/>
          <w:szCs w:val="26"/>
        </w:rPr>
      </w:pPr>
      <w:r w:rsidRPr="0091386B">
        <w:rPr>
          <w:rFonts w:ascii="Times New Roman" w:hAnsi="Times New Roman"/>
          <w:szCs w:val="26"/>
        </w:rPr>
        <w:t>[SoCalGas] will utilize [its] current formalized procedures to communicate with, and report deviations to the SED.</w:t>
      </w:r>
    </w:p>
    <w:p w:rsidRPr="0091386B" w:rsidR="00100097" w:rsidP="00100097" w:rsidRDefault="00100097" w14:paraId="58E70B9B" w14:textId="77777777">
      <w:pPr>
        <w:ind w:left="720" w:right="1440"/>
        <w:rPr>
          <w:rFonts w:ascii="Times New Roman" w:hAnsi="Times New Roman"/>
          <w:szCs w:val="26"/>
        </w:rPr>
      </w:pPr>
    </w:p>
    <w:p w:rsidRPr="0091386B" w:rsidR="00100097" w:rsidP="00100097" w:rsidRDefault="00100097" w14:paraId="32B51CF7" w14:textId="77777777">
      <w:pPr>
        <w:rPr>
          <w:rFonts w:ascii="Times New Roman" w:hAnsi="Times New Roman"/>
          <w:szCs w:val="26"/>
        </w:rPr>
      </w:pPr>
      <w:r w:rsidRPr="0091386B">
        <w:rPr>
          <w:rFonts w:ascii="Times New Roman" w:hAnsi="Times New Roman"/>
          <w:szCs w:val="26"/>
        </w:rPr>
        <w:t xml:space="preserve">Following discussion between SED and SoCalGas, the Executive Director issued a letter dated October 8, 2020, tentatively approving the request for waiver, with certain conditions and subject to ratification by the Commission. </w:t>
      </w:r>
    </w:p>
    <w:p w:rsidRPr="0091386B" w:rsidR="00100097" w:rsidP="00100097" w:rsidRDefault="00100097" w14:paraId="6924F988" w14:textId="77777777">
      <w:pPr>
        <w:rPr>
          <w:rFonts w:ascii="Times New Roman" w:hAnsi="Times New Roman"/>
          <w:szCs w:val="26"/>
        </w:rPr>
      </w:pPr>
    </w:p>
    <w:p w:rsidRPr="0091386B" w:rsidR="00100097" w:rsidP="00100097" w:rsidRDefault="00100097" w14:paraId="4A85D363" w14:textId="77777777">
      <w:pPr>
        <w:rPr>
          <w:rFonts w:ascii="Times New Roman" w:hAnsi="Times New Roman"/>
          <w:szCs w:val="26"/>
        </w:rPr>
      </w:pPr>
      <w:r w:rsidRPr="0091386B">
        <w:rPr>
          <w:rFonts w:ascii="Times New Roman" w:hAnsi="Times New Roman"/>
          <w:szCs w:val="26"/>
        </w:rPr>
        <w:t>PHMSA received a copy of this letter granting tentative approval, and after review, requested SoCalGas identify the specific Part 192 code sections for which the waiver will be applicable. On October 19, 2020 SoCalGas provided a table of compliance activities and corresponding applicable code sections.  On November 16, 2020 SED and PHMSA met with SoCalGas to discuss its October 19</w:t>
      </w:r>
      <w:r w:rsidRPr="0091386B">
        <w:rPr>
          <w:rFonts w:ascii="Times New Roman" w:hAnsi="Times New Roman"/>
          <w:szCs w:val="26"/>
          <w:vertAlign w:val="superscript"/>
        </w:rPr>
        <w:t>th</w:t>
      </w:r>
      <w:r w:rsidRPr="0091386B">
        <w:rPr>
          <w:rFonts w:ascii="Times New Roman" w:hAnsi="Times New Roman"/>
          <w:szCs w:val="26"/>
        </w:rPr>
        <w:t xml:space="preserve"> response. After discussions, all parties agreed that not all the Code sections for which SoCalGas had originally requested a waiver should be included in the waiver request. </w:t>
      </w:r>
    </w:p>
    <w:p w:rsidRPr="0091386B" w:rsidR="00100097" w:rsidP="00100097" w:rsidRDefault="00100097" w14:paraId="0B0B55E9" w14:textId="77777777">
      <w:pPr>
        <w:pStyle w:val="BodyText"/>
        <w:ind w:right="150"/>
        <w:rPr>
          <w:sz w:val="26"/>
          <w:szCs w:val="26"/>
        </w:rPr>
      </w:pPr>
    </w:p>
    <w:p w:rsidRPr="0091386B" w:rsidR="00100097" w:rsidP="00100097" w:rsidRDefault="00100097" w14:paraId="4CEB700F" w14:textId="77777777">
      <w:pPr>
        <w:pStyle w:val="BodyText"/>
        <w:ind w:right="150"/>
        <w:rPr>
          <w:sz w:val="26"/>
          <w:szCs w:val="26"/>
        </w:rPr>
      </w:pPr>
      <w:r w:rsidRPr="0091386B">
        <w:rPr>
          <w:sz w:val="26"/>
          <w:szCs w:val="26"/>
        </w:rPr>
        <w:lastRenderedPageBreak/>
        <w:t>On December 7, 2020 SoCalGas submitted a letter modifying its request for waiver. This letter included a revised table, marked as Attachment 3 thereto, which significantly reduced the number and scope of code sections for which the waiver will be applicable. On December 10, SED submitted its comments to PHMSA, stating that based on its review, the revised code section request appeared to be reasonable. On December 16, PHMSA indicated that it had no further comments on the request for waiver.</w:t>
      </w:r>
    </w:p>
    <w:p w:rsidRPr="0091386B" w:rsidR="00100097" w:rsidP="00100097" w:rsidRDefault="00100097" w14:paraId="7F36D3ED" w14:textId="77777777">
      <w:pPr>
        <w:pStyle w:val="BodyText"/>
        <w:ind w:right="150"/>
        <w:rPr>
          <w:sz w:val="26"/>
          <w:szCs w:val="26"/>
        </w:rPr>
      </w:pPr>
    </w:p>
    <w:p w:rsidRPr="0091386B" w:rsidR="00100097" w:rsidP="00100097" w:rsidRDefault="00100097" w14:paraId="756D1B30" w14:textId="77777777">
      <w:pPr>
        <w:pStyle w:val="BodyText"/>
        <w:spacing w:before="10"/>
        <w:rPr>
          <w:sz w:val="26"/>
          <w:szCs w:val="26"/>
        </w:rPr>
      </w:pPr>
      <w:r w:rsidRPr="0091386B">
        <w:rPr>
          <w:sz w:val="26"/>
          <w:szCs w:val="26"/>
        </w:rPr>
        <w:t xml:space="preserve">On January 11, 2021, the Executive Director issued a letter granting SoCalGas’s modified request for waiver, as specified in its letter dated December 7, 2020. </w:t>
      </w:r>
      <w:bookmarkStart w:name="_Hlk61514286" w:id="1"/>
      <w:r w:rsidRPr="0091386B">
        <w:rPr>
          <w:sz w:val="26"/>
          <w:szCs w:val="26"/>
        </w:rPr>
        <w:t xml:space="preserve">The letter identified the specific PHMSA regulations for which the waiver is applicable in a table identified therein as “ATTACHMENT 1 (Revised).”  </w:t>
      </w:r>
    </w:p>
    <w:bookmarkEnd w:id="1"/>
    <w:p w:rsidRPr="0091386B" w:rsidR="00100097" w:rsidP="00100097" w:rsidRDefault="00100097" w14:paraId="75B8F672" w14:textId="77777777">
      <w:pPr>
        <w:rPr>
          <w:rFonts w:ascii="Times New Roman" w:hAnsi="Times New Roman"/>
          <w:szCs w:val="26"/>
        </w:rPr>
      </w:pPr>
    </w:p>
    <w:p w:rsidRPr="0091386B" w:rsidR="00100097" w:rsidP="00100097" w:rsidRDefault="00100097" w14:paraId="53D376EA" w14:textId="77777777">
      <w:pPr>
        <w:rPr>
          <w:rFonts w:ascii="Times New Roman" w:hAnsi="Times New Roman"/>
          <w:b/>
          <w:bCs/>
          <w:szCs w:val="26"/>
          <w:u w:val="single"/>
        </w:rPr>
      </w:pPr>
      <w:r w:rsidRPr="0091386B">
        <w:rPr>
          <w:rFonts w:ascii="Times New Roman" w:hAnsi="Times New Roman"/>
          <w:b/>
          <w:bCs/>
          <w:szCs w:val="26"/>
          <w:u w:val="single"/>
        </w:rPr>
        <w:t>DISCUSSION</w:t>
      </w:r>
    </w:p>
    <w:p w:rsidRPr="0091386B" w:rsidR="00100097" w:rsidP="00100097" w:rsidRDefault="00100097" w14:paraId="7285C074" w14:textId="77777777">
      <w:pPr>
        <w:rPr>
          <w:rFonts w:ascii="Times New Roman" w:hAnsi="Times New Roman"/>
          <w:szCs w:val="26"/>
        </w:rPr>
      </w:pPr>
    </w:p>
    <w:p w:rsidRPr="0091386B" w:rsidR="00100097" w:rsidP="00100097" w:rsidRDefault="00100097" w14:paraId="10350CFE" w14:textId="77777777">
      <w:pPr>
        <w:rPr>
          <w:rFonts w:ascii="Times New Roman" w:hAnsi="Times New Roman"/>
          <w:szCs w:val="26"/>
        </w:rPr>
      </w:pPr>
      <w:r w:rsidRPr="0091386B">
        <w:rPr>
          <w:rFonts w:ascii="Times New Roman" w:hAnsi="Times New Roman"/>
          <w:szCs w:val="26"/>
        </w:rPr>
        <w:t>General Order (GO) 112-F is the “State of California Rules Governing Design, Construction, Testing, Operation, and Maintenance of Gas Gathering, Transmission, and Distribution Piping Systems.”</w:t>
      </w:r>
      <w:r w:rsidRPr="0091386B">
        <w:rPr>
          <w:rFonts w:ascii="Times New Roman" w:hAnsi="Times New Roman"/>
          <w:b/>
          <w:bCs/>
          <w:szCs w:val="26"/>
          <w:u w:val="single"/>
          <w:vertAlign w:val="superscript"/>
        </w:rPr>
        <w:footnoteReference w:id="2"/>
      </w:r>
      <w:r w:rsidRPr="0091386B">
        <w:rPr>
          <w:rFonts w:ascii="Times New Roman" w:hAnsi="Times New Roman"/>
          <w:szCs w:val="26"/>
        </w:rPr>
        <w:t xml:space="preserve">  The rules build upon the Federal Pipeline Safety Regulations, specifically, 49 CFR Parts 191, 192, 193, and 199.</w:t>
      </w:r>
      <w:r w:rsidRPr="0091386B">
        <w:rPr>
          <w:rFonts w:ascii="Times New Roman" w:hAnsi="Times New Roman"/>
          <w:b/>
          <w:bCs/>
          <w:szCs w:val="26"/>
          <w:u w:val="single"/>
          <w:vertAlign w:val="superscript"/>
        </w:rPr>
        <w:footnoteReference w:id="3"/>
      </w:r>
      <w:r w:rsidRPr="0091386B">
        <w:rPr>
          <w:rFonts w:ascii="Times New Roman" w:hAnsi="Times New Roman"/>
          <w:szCs w:val="26"/>
        </w:rPr>
        <w:t xml:space="preserve">  Section 101.3 of GO 112-F allows for a utility, in special circumstances, to submit an application to waive compliance with specific rules in accordance with Section 3(e) of the Natural Gas Pipeline Safety Act of 1968.  </w:t>
      </w:r>
    </w:p>
    <w:p w:rsidRPr="0091386B" w:rsidR="00100097" w:rsidP="00100097" w:rsidRDefault="00100097" w14:paraId="5E4020A6" w14:textId="77777777">
      <w:pPr>
        <w:rPr>
          <w:rFonts w:ascii="Times New Roman" w:hAnsi="Times New Roman"/>
          <w:szCs w:val="26"/>
        </w:rPr>
      </w:pPr>
    </w:p>
    <w:p w:rsidRPr="0091386B" w:rsidR="00100097" w:rsidP="00100097" w:rsidRDefault="00100097" w14:paraId="5D3158DE" w14:textId="77777777">
      <w:pPr>
        <w:rPr>
          <w:rFonts w:ascii="Times New Roman" w:hAnsi="Times New Roman"/>
          <w:szCs w:val="26"/>
        </w:rPr>
      </w:pPr>
      <w:r w:rsidRPr="0091386B">
        <w:rPr>
          <w:rFonts w:ascii="Times New Roman" w:hAnsi="Times New Roman"/>
          <w:szCs w:val="26"/>
        </w:rPr>
        <w:t>This Resolution ratifies the actions taken by the Executive Director in her letter dated January 11, 2021.  The waiver originally requested in SoCalGas’ August 14, 2020, as modified by its December 7, 2020 letter, is approved in part, subject to the following conditions:</w:t>
      </w:r>
    </w:p>
    <w:p w:rsidRPr="0091386B" w:rsidR="00100097" w:rsidP="00100097" w:rsidRDefault="00100097" w14:paraId="492B3150" w14:textId="77777777">
      <w:pPr>
        <w:rPr>
          <w:rFonts w:ascii="Times New Roman" w:hAnsi="Times New Roman"/>
          <w:szCs w:val="26"/>
        </w:rPr>
      </w:pPr>
    </w:p>
    <w:p w:rsidRPr="0091386B" w:rsidR="00100097" w:rsidP="00100097" w:rsidRDefault="00100097" w14:paraId="190F9CC9" w14:textId="77777777">
      <w:pPr>
        <w:numPr>
          <w:ilvl w:val="0"/>
          <w:numId w:val="3"/>
        </w:numPr>
        <w:ind w:left="1080" w:right="1440" w:hanging="360"/>
        <w:rPr>
          <w:rFonts w:ascii="Times New Roman" w:hAnsi="Times New Roman"/>
          <w:szCs w:val="26"/>
        </w:rPr>
      </w:pPr>
      <w:r w:rsidRPr="0091386B">
        <w:rPr>
          <w:rFonts w:ascii="Times New Roman" w:hAnsi="Times New Roman"/>
          <w:szCs w:val="26"/>
        </w:rPr>
        <w:t>The waiver only applies to facilities and activity as to which COVID-19 makes compliance impossible or as to which the risk to human health and safety due to COVID-19 outweighs the safety risk due to the compliance delay.</w:t>
      </w:r>
    </w:p>
    <w:p w:rsidRPr="0091386B" w:rsidR="00100097" w:rsidP="00100097" w:rsidRDefault="00100097" w14:paraId="06FE92E1" w14:textId="77777777">
      <w:pPr>
        <w:ind w:left="1080" w:right="1440" w:hanging="360"/>
        <w:rPr>
          <w:rFonts w:ascii="Times New Roman" w:hAnsi="Times New Roman"/>
          <w:szCs w:val="26"/>
        </w:rPr>
      </w:pPr>
    </w:p>
    <w:p w:rsidRPr="0091386B" w:rsidR="00100097" w:rsidP="00100097" w:rsidRDefault="00100097" w14:paraId="6F557CA1" w14:textId="77777777">
      <w:pPr>
        <w:numPr>
          <w:ilvl w:val="0"/>
          <w:numId w:val="3"/>
        </w:numPr>
        <w:ind w:left="1080" w:right="1440" w:hanging="360"/>
        <w:rPr>
          <w:rFonts w:ascii="Times New Roman" w:hAnsi="Times New Roman"/>
          <w:szCs w:val="26"/>
        </w:rPr>
      </w:pPr>
      <w:r w:rsidRPr="0091386B">
        <w:rPr>
          <w:rFonts w:ascii="Times New Roman" w:hAnsi="Times New Roman"/>
          <w:szCs w:val="26"/>
        </w:rPr>
        <w:t>The waiver granted herein expires on the earlier of the following: (a) six months from the date of this letter, or (b) the COVID-19 pandemic no longer restricts SoCalGas’ compliance activity.  SoCalGas will be required to submit a new waiver request upon expiration of the waiver.</w:t>
      </w:r>
    </w:p>
    <w:p w:rsidRPr="0091386B" w:rsidR="00100097" w:rsidP="00100097" w:rsidRDefault="00100097" w14:paraId="3D9B23D9" w14:textId="77777777">
      <w:pPr>
        <w:ind w:left="1080" w:right="1440" w:hanging="360"/>
        <w:rPr>
          <w:rFonts w:ascii="Times New Roman" w:hAnsi="Times New Roman"/>
          <w:szCs w:val="26"/>
        </w:rPr>
      </w:pPr>
    </w:p>
    <w:p w:rsidRPr="0091386B" w:rsidR="00100097" w:rsidP="00100097" w:rsidRDefault="00100097" w14:paraId="03BB2350" w14:textId="77777777">
      <w:pPr>
        <w:numPr>
          <w:ilvl w:val="0"/>
          <w:numId w:val="3"/>
        </w:numPr>
        <w:ind w:left="1080" w:right="1440" w:hanging="360"/>
        <w:rPr>
          <w:rFonts w:ascii="Times New Roman" w:hAnsi="Times New Roman"/>
          <w:szCs w:val="26"/>
        </w:rPr>
      </w:pPr>
      <w:r w:rsidRPr="0091386B">
        <w:rPr>
          <w:rFonts w:ascii="Times New Roman" w:hAnsi="Times New Roman"/>
          <w:szCs w:val="26"/>
        </w:rPr>
        <w:lastRenderedPageBreak/>
        <w:t>No inspection or other required action shall be delayed more than three months from its current due date, with the due date falling on the last day of the third month.  That is, if an action is due by August 31, 2020, it shall be completed no later than November 30, 2020.  Similarly, if an action is required in September 2020, it shall be completed no later than December 31, 2020.  No compliance activity shall be delayed once the approval in item 2 expires.</w:t>
      </w:r>
    </w:p>
    <w:p w:rsidRPr="0091386B" w:rsidR="00100097" w:rsidP="00100097" w:rsidRDefault="00100097" w14:paraId="3D46619F" w14:textId="77777777">
      <w:pPr>
        <w:ind w:left="1080" w:right="1440" w:hanging="360"/>
        <w:rPr>
          <w:rFonts w:ascii="Times New Roman" w:hAnsi="Times New Roman"/>
          <w:szCs w:val="26"/>
        </w:rPr>
      </w:pPr>
    </w:p>
    <w:p w:rsidRPr="0091386B" w:rsidR="00100097" w:rsidP="00100097" w:rsidRDefault="00100097" w14:paraId="501BD505" w14:textId="77777777">
      <w:pPr>
        <w:numPr>
          <w:ilvl w:val="0"/>
          <w:numId w:val="3"/>
        </w:numPr>
        <w:ind w:left="1080" w:right="1440" w:hanging="360"/>
        <w:rPr>
          <w:rFonts w:ascii="Times New Roman" w:hAnsi="Times New Roman"/>
          <w:szCs w:val="26"/>
        </w:rPr>
      </w:pPr>
      <w:r w:rsidRPr="0091386B">
        <w:rPr>
          <w:rFonts w:ascii="Times New Roman" w:hAnsi="Times New Roman"/>
          <w:szCs w:val="26"/>
        </w:rPr>
        <w:t>On a monthly basis, starting on the 30th day following issuance of this letter, SoCalGas shall report each activity affected by a delay in detail.  For each activity delayed, the report shall specify (a) the location and identifying features of the facilities at issue, (b) the inspections and other activity required, (c) the date the action is due without benefit of this letter, (d) the date the action will be completed, not to exceed three months from the due date (with the three months expiring on the last day of the third month); (e) the reason for the delay, (f) the linkage of that reason to the COVID-19 disaster; (g) any safety impact of missing the deadline, (h) how resources were re- allocated, and (i) how SoCalGas intends to catch up with the missed deadline.  If no activity is delayed, SoCalGas shall so state in its report.</w:t>
      </w:r>
    </w:p>
    <w:p w:rsidRPr="0091386B" w:rsidR="00100097" w:rsidP="00100097" w:rsidRDefault="00100097" w14:paraId="56C80CDD" w14:textId="77777777">
      <w:pPr>
        <w:ind w:left="1080" w:right="1440" w:hanging="360"/>
        <w:rPr>
          <w:rFonts w:ascii="Times New Roman" w:hAnsi="Times New Roman"/>
          <w:szCs w:val="26"/>
        </w:rPr>
      </w:pPr>
    </w:p>
    <w:p w:rsidRPr="0091386B" w:rsidR="00100097" w:rsidP="00100097" w:rsidRDefault="00100097" w14:paraId="53A25147" w14:textId="77777777">
      <w:pPr>
        <w:numPr>
          <w:ilvl w:val="0"/>
          <w:numId w:val="3"/>
        </w:numPr>
        <w:ind w:left="1080" w:right="1440" w:hanging="360"/>
        <w:rPr>
          <w:rFonts w:ascii="Times New Roman" w:hAnsi="Times New Roman"/>
          <w:szCs w:val="26"/>
        </w:rPr>
      </w:pPr>
      <w:r w:rsidRPr="0091386B">
        <w:rPr>
          <w:rFonts w:ascii="Times New Roman" w:hAnsi="Times New Roman"/>
          <w:szCs w:val="26"/>
        </w:rPr>
        <w:t>The extension granted in this letter does not apply to any device/equipment with a history of significant (more than minor) adjustments, including facilities that SoCalGas places on “special schedules” for follow-up.</w:t>
      </w:r>
    </w:p>
    <w:p w:rsidRPr="0091386B" w:rsidR="00100097" w:rsidP="00100097" w:rsidRDefault="00100097" w14:paraId="1514E637" w14:textId="77777777">
      <w:pPr>
        <w:ind w:left="1350"/>
        <w:rPr>
          <w:rFonts w:ascii="Times New Roman" w:hAnsi="Times New Roman"/>
          <w:szCs w:val="26"/>
        </w:rPr>
      </w:pPr>
    </w:p>
    <w:p w:rsidRPr="0091386B" w:rsidR="00100097" w:rsidP="00100097" w:rsidRDefault="00100097" w14:paraId="5DD08227" w14:textId="77777777">
      <w:pPr>
        <w:rPr>
          <w:rFonts w:ascii="Times New Roman" w:hAnsi="Times New Roman"/>
          <w:szCs w:val="26"/>
        </w:rPr>
      </w:pPr>
      <w:r w:rsidRPr="0091386B">
        <w:rPr>
          <w:rFonts w:ascii="Times New Roman" w:hAnsi="Times New Roman"/>
          <w:szCs w:val="26"/>
        </w:rPr>
        <w:t>SED and the Commission retain discretion to rescind the right to delay inspection or other required activity.  Further, SED or the Commission may cancel or modify the permission given in this Resolution at any time.</w:t>
      </w:r>
    </w:p>
    <w:p w:rsidRPr="0091386B" w:rsidR="00100097" w:rsidP="00100097" w:rsidRDefault="00100097" w14:paraId="231DF886" w14:textId="77777777">
      <w:pPr>
        <w:rPr>
          <w:rFonts w:ascii="Times New Roman" w:hAnsi="Times New Roman"/>
          <w:szCs w:val="26"/>
        </w:rPr>
      </w:pPr>
    </w:p>
    <w:p w:rsidRPr="0091386B" w:rsidR="00100097" w:rsidP="00100097" w:rsidRDefault="00100097" w14:paraId="4FD3E4CD" w14:textId="77777777">
      <w:pPr>
        <w:rPr>
          <w:rFonts w:ascii="Times New Roman" w:hAnsi="Times New Roman"/>
          <w:b/>
          <w:bCs/>
          <w:szCs w:val="26"/>
          <w:u w:val="single"/>
        </w:rPr>
      </w:pPr>
      <w:r w:rsidRPr="0091386B">
        <w:rPr>
          <w:rFonts w:ascii="Times New Roman" w:hAnsi="Times New Roman"/>
          <w:b/>
          <w:bCs/>
          <w:szCs w:val="26"/>
          <w:u w:val="single"/>
        </w:rPr>
        <w:t>COMMENTS</w:t>
      </w:r>
    </w:p>
    <w:p w:rsidRPr="0091386B" w:rsidR="00100097" w:rsidP="00100097" w:rsidRDefault="00100097" w14:paraId="0EFD6830" w14:textId="77777777">
      <w:pPr>
        <w:rPr>
          <w:rFonts w:ascii="Times New Roman" w:hAnsi="Times New Roman"/>
          <w:szCs w:val="26"/>
        </w:rPr>
      </w:pPr>
    </w:p>
    <w:p w:rsidR="00100097" w:rsidP="00100097" w:rsidRDefault="00100097" w14:paraId="2A92B981" w14:textId="758BC74A">
      <w:pPr>
        <w:rPr>
          <w:rFonts w:ascii="Times New Roman" w:hAnsi="Times New Roman"/>
          <w:szCs w:val="26"/>
        </w:rPr>
      </w:pPr>
      <w:r w:rsidRPr="0091386B">
        <w:rPr>
          <w:rFonts w:ascii="Times New Roman" w:hAnsi="Times New Roman"/>
          <w:szCs w:val="26"/>
        </w:rPr>
        <w:t xml:space="preserve">Public Utilities Code section 311(g)(1) provides that this Resolution must be served on all parties and subject to at least 30 days public review and comment prior to a vote of the Commission.  </w:t>
      </w:r>
      <w:r w:rsidR="00C654D7">
        <w:rPr>
          <w:rFonts w:ascii="Times New Roman" w:hAnsi="Times New Roman"/>
          <w:szCs w:val="26"/>
        </w:rPr>
        <w:t>No comments were received.</w:t>
      </w:r>
    </w:p>
    <w:p w:rsidRPr="0091386B" w:rsidR="00C654D7" w:rsidP="00100097" w:rsidRDefault="00C654D7" w14:paraId="0E696B28" w14:textId="77777777">
      <w:pPr>
        <w:rPr>
          <w:rFonts w:ascii="Times New Roman" w:hAnsi="Times New Roman"/>
          <w:szCs w:val="26"/>
        </w:rPr>
      </w:pPr>
    </w:p>
    <w:p w:rsidR="00100097" w:rsidP="00100097" w:rsidRDefault="00100097" w14:paraId="59E348F4" w14:textId="77777777">
      <w:pPr>
        <w:spacing w:after="200" w:line="276" w:lineRule="auto"/>
        <w:rPr>
          <w:rFonts w:ascii="Times New Roman" w:hAnsi="Times New Roman"/>
          <w:szCs w:val="26"/>
        </w:rPr>
      </w:pPr>
      <w:r>
        <w:rPr>
          <w:rFonts w:ascii="Times New Roman" w:hAnsi="Times New Roman"/>
          <w:szCs w:val="26"/>
        </w:rPr>
        <w:br w:type="page"/>
      </w:r>
    </w:p>
    <w:p w:rsidRPr="0091386B" w:rsidR="00100097" w:rsidP="00100097" w:rsidRDefault="00100097" w14:paraId="7F72903A" w14:textId="77777777">
      <w:pPr>
        <w:rPr>
          <w:rFonts w:ascii="Times New Roman" w:hAnsi="Times New Roman"/>
          <w:b/>
          <w:bCs/>
          <w:szCs w:val="26"/>
          <w:u w:val="single"/>
        </w:rPr>
      </w:pPr>
      <w:r w:rsidRPr="0091386B">
        <w:rPr>
          <w:rFonts w:ascii="Times New Roman" w:hAnsi="Times New Roman"/>
          <w:b/>
          <w:bCs/>
          <w:szCs w:val="26"/>
          <w:u w:val="single"/>
        </w:rPr>
        <w:lastRenderedPageBreak/>
        <w:t>FINDINGS</w:t>
      </w:r>
    </w:p>
    <w:p w:rsidRPr="0091386B" w:rsidR="00100097" w:rsidP="00100097" w:rsidRDefault="00100097" w14:paraId="69140E3C" w14:textId="77777777">
      <w:pPr>
        <w:rPr>
          <w:rFonts w:ascii="Times New Roman" w:hAnsi="Times New Roman"/>
          <w:b/>
          <w:bCs/>
          <w:szCs w:val="26"/>
          <w:u w:val="single"/>
        </w:rPr>
      </w:pPr>
    </w:p>
    <w:p w:rsidRPr="0091386B" w:rsidR="00100097" w:rsidP="009F65A1" w:rsidRDefault="00100097" w14:paraId="4172F5BA" w14:textId="77777777">
      <w:pPr>
        <w:pStyle w:val="ListParagraph"/>
        <w:numPr>
          <w:ilvl w:val="0"/>
          <w:numId w:val="2"/>
        </w:numPr>
        <w:spacing w:after="120"/>
        <w:ind w:left="360"/>
        <w:contextualSpacing w:val="0"/>
        <w:rPr>
          <w:rFonts w:ascii="Times New Roman" w:hAnsi="Times New Roman"/>
          <w:szCs w:val="26"/>
          <w:lang w:val="nl-NL"/>
        </w:rPr>
      </w:pPr>
      <w:r w:rsidRPr="0091386B">
        <w:rPr>
          <w:rFonts w:ascii="Times New Roman" w:hAnsi="Times New Roman"/>
          <w:szCs w:val="26"/>
          <w:lang w:val="nl-NL"/>
        </w:rPr>
        <w:t>The COVID-19 pandemic has affected many business activities in California.</w:t>
      </w:r>
    </w:p>
    <w:p w:rsidRPr="0091386B" w:rsidR="00100097" w:rsidP="009F65A1" w:rsidRDefault="00100097" w14:paraId="7249C9EB" w14:textId="77777777">
      <w:pPr>
        <w:pStyle w:val="ListParagraph"/>
        <w:numPr>
          <w:ilvl w:val="0"/>
          <w:numId w:val="2"/>
        </w:numPr>
        <w:spacing w:after="120"/>
        <w:ind w:left="360"/>
        <w:contextualSpacing w:val="0"/>
        <w:rPr>
          <w:rFonts w:ascii="Times New Roman" w:hAnsi="Times New Roman"/>
          <w:szCs w:val="26"/>
          <w:lang w:val="nl-NL"/>
        </w:rPr>
      </w:pPr>
      <w:r w:rsidRPr="0091386B">
        <w:rPr>
          <w:rFonts w:ascii="Times New Roman" w:hAnsi="Times New Roman"/>
          <w:szCs w:val="26"/>
          <w:lang w:val="nl-NL"/>
        </w:rPr>
        <w:t>The COVID-19 pandemic may make impossible SoCalGas’ ability to perform certain inspection and maintenance activities on its gas pipelines, or create risks to human health and safety due to COVID-19 that outweigh the safety risk due to the compliance delay.</w:t>
      </w:r>
    </w:p>
    <w:p w:rsidRPr="0091386B" w:rsidR="00100097" w:rsidP="009F65A1" w:rsidRDefault="00C410D2" w14:paraId="13D4250D" w14:textId="76E4D2D6">
      <w:pPr>
        <w:pStyle w:val="ListParagraph"/>
        <w:numPr>
          <w:ilvl w:val="0"/>
          <w:numId w:val="2"/>
        </w:numPr>
        <w:spacing w:after="120"/>
        <w:ind w:left="360"/>
        <w:contextualSpacing w:val="0"/>
        <w:rPr>
          <w:rFonts w:ascii="Times New Roman" w:hAnsi="Times New Roman"/>
          <w:szCs w:val="26"/>
          <w:lang w:val="nl-NL"/>
        </w:rPr>
      </w:pPr>
      <w:r>
        <w:rPr>
          <w:rFonts w:ascii="Times New Roman" w:hAnsi="Times New Roman"/>
          <w:szCs w:val="26"/>
          <w:lang w:val="nl-NL"/>
        </w:rPr>
        <w:t xml:space="preserve">The Executive Director’s </w:t>
      </w:r>
      <w:r w:rsidRPr="0091386B" w:rsidR="00100097">
        <w:rPr>
          <w:rFonts w:ascii="Times New Roman" w:hAnsi="Times New Roman"/>
          <w:szCs w:val="26"/>
          <w:lang w:val="nl-NL"/>
        </w:rPr>
        <w:t xml:space="preserve">Waiver of certain PHMSA requirements, as conditioned here, </w:t>
      </w:r>
      <w:r>
        <w:rPr>
          <w:rFonts w:ascii="Times New Roman" w:hAnsi="Times New Roman"/>
          <w:szCs w:val="26"/>
          <w:lang w:val="nl-NL"/>
        </w:rPr>
        <w:t xml:space="preserve">was </w:t>
      </w:r>
      <w:r w:rsidRPr="0091386B" w:rsidR="00100097">
        <w:rPr>
          <w:rFonts w:ascii="Times New Roman" w:hAnsi="Times New Roman"/>
          <w:szCs w:val="26"/>
          <w:lang w:val="nl-NL"/>
        </w:rPr>
        <w:t xml:space="preserve">appropriate pursuant to Commission Policy CL-1 of the </w:t>
      </w:r>
      <w:r w:rsidRPr="0091386B" w:rsidR="00100097">
        <w:rPr>
          <w:rFonts w:ascii="Times New Roman" w:hAnsi="Times New Roman"/>
          <w:szCs w:val="26"/>
        </w:rPr>
        <w:t>Commission Policies and Priorities for the Executive Director</w:t>
      </w:r>
      <w:r w:rsidRPr="0091386B" w:rsidR="00100097">
        <w:rPr>
          <w:rFonts w:ascii="Times New Roman" w:hAnsi="Times New Roman"/>
          <w:color w:val="333333"/>
          <w:szCs w:val="26"/>
          <w:shd w:val="clear" w:color="auto" w:fill="FFFFFF"/>
        </w:rPr>
        <w:t xml:space="preserve">, </w:t>
      </w:r>
      <w:r w:rsidRPr="0091386B" w:rsidR="00100097">
        <w:rPr>
          <w:rFonts w:ascii="Times New Roman" w:hAnsi="Times New Roman"/>
          <w:szCs w:val="26"/>
          <w:lang w:val="nl-NL"/>
        </w:rPr>
        <w:t>which provides:</w:t>
      </w:r>
    </w:p>
    <w:p w:rsidRPr="00BF6537" w:rsidR="00100097" w:rsidP="009F65A1" w:rsidRDefault="00100097" w14:paraId="3C7A4CB2" w14:textId="207B2A64">
      <w:pPr>
        <w:spacing w:after="120"/>
        <w:ind w:left="360"/>
        <w:rPr>
          <w:rFonts w:ascii="Times New Roman" w:hAnsi="Times New Roman"/>
          <w:szCs w:val="26"/>
          <w:lang w:val="nl-NL"/>
        </w:rPr>
      </w:pPr>
      <w:r w:rsidRPr="0091386B">
        <w:rPr>
          <w:rFonts w:ascii="Times New Roman" w:hAnsi="Times New Roman"/>
          <w:szCs w:val="26"/>
        </w:rPr>
        <w:t>It is the Commission’s policy that</w:t>
      </w:r>
      <w:r w:rsidR="00742D3E">
        <w:rPr>
          <w:rFonts w:ascii="Times New Roman" w:hAnsi="Times New Roman"/>
          <w:szCs w:val="26"/>
        </w:rPr>
        <w:t xml:space="preserve"> . . . </w:t>
      </w:r>
      <w:r w:rsidR="00742D3E">
        <w:rPr>
          <w:rFonts w:ascii="Times New Roman" w:hAnsi="Times New Roman"/>
          <w:szCs w:val="26"/>
          <w:lang w:val="nl-NL"/>
        </w:rPr>
        <w:t>[t]</w:t>
      </w:r>
      <w:r w:rsidRPr="00BF6537">
        <w:rPr>
          <w:rFonts w:ascii="Times New Roman" w:hAnsi="Times New Roman"/>
          <w:szCs w:val="26"/>
          <w:lang w:val="nl-NL"/>
        </w:rPr>
        <w:t>he Executive Director shall have the authority to act expeditiously and in coordination with other agencies of the State of California in emergencies endangering the public health, safety, and the environmen</w:t>
      </w:r>
      <w:r w:rsidR="00742D3E">
        <w:rPr>
          <w:rFonts w:ascii="Times New Roman" w:hAnsi="Times New Roman"/>
          <w:szCs w:val="26"/>
          <w:lang w:val="nl-NL"/>
        </w:rPr>
        <w:t xml:space="preserve">t. . . . </w:t>
      </w:r>
    </w:p>
    <w:p w:rsidRPr="0091386B" w:rsidR="00100097" w:rsidP="009F65A1" w:rsidRDefault="00C410D2" w14:paraId="3ADD0E0C" w14:textId="6E2BE735">
      <w:pPr>
        <w:spacing w:after="120"/>
        <w:ind w:left="360"/>
        <w:rPr>
          <w:rFonts w:ascii="Times New Roman" w:hAnsi="Times New Roman"/>
          <w:szCs w:val="26"/>
        </w:rPr>
      </w:pPr>
      <w:r>
        <w:rPr>
          <w:rFonts w:ascii="Times New Roman" w:hAnsi="Times New Roman"/>
          <w:szCs w:val="26"/>
        </w:rPr>
        <w:t xml:space="preserve">California Public Utilities Commission, </w:t>
      </w:r>
      <w:r w:rsidRPr="009F65A1" w:rsidR="00100097">
        <w:rPr>
          <w:rFonts w:ascii="Times New Roman" w:hAnsi="Times New Roman"/>
          <w:i/>
          <w:iCs/>
          <w:szCs w:val="26"/>
        </w:rPr>
        <w:t>Strategic Directives, Governance Process Policies, and Commission-Staff Linkage Policies</w:t>
      </w:r>
      <w:r w:rsidRPr="00BF6537" w:rsidR="00100097">
        <w:rPr>
          <w:rFonts w:ascii="Times New Roman" w:hAnsi="Times New Roman"/>
          <w:szCs w:val="26"/>
        </w:rPr>
        <w:t>, page 33.</w:t>
      </w:r>
      <w:r w:rsidRPr="009F65A1">
        <w:rPr>
          <w:rStyle w:val="FootnoteReference"/>
          <w:rFonts w:ascii="Times New Roman" w:hAnsi="Times New Roman"/>
          <w:b/>
          <w:bCs/>
          <w:szCs w:val="26"/>
          <w:u w:val="single"/>
        </w:rPr>
        <w:footnoteReference w:id="4"/>
      </w:r>
      <w:r w:rsidRPr="0091386B" w:rsidR="00100097">
        <w:rPr>
          <w:rFonts w:ascii="Times New Roman" w:hAnsi="Times New Roman"/>
          <w:szCs w:val="26"/>
        </w:rPr>
        <w:t xml:space="preserve"> </w:t>
      </w:r>
    </w:p>
    <w:p w:rsidRPr="0091386B" w:rsidR="00100097" w:rsidP="00100097" w:rsidRDefault="00100097" w14:paraId="4D70C3D7" w14:textId="77777777">
      <w:pPr>
        <w:rPr>
          <w:rFonts w:ascii="Times New Roman" w:hAnsi="Times New Roman"/>
          <w:szCs w:val="26"/>
        </w:rPr>
      </w:pPr>
    </w:p>
    <w:p w:rsidRPr="0091386B" w:rsidR="00100097" w:rsidP="00100097" w:rsidRDefault="00100097" w14:paraId="7A15F501" w14:textId="77777777">
      <w:pPr>
        <w:keepNext/>
        <w:keepLines/>
        <w:rPr>
          <w:rFonts w:ascii="Times New Roman" w:hAnsi="Times New Roman"/>
          <w:b/>
          <w:bCs/>
          <w:szCs w:val="26"/>
        </w:rPr>
      </w:pPr>
      <w:r w:rsidRPr="0091386B">
        <w:rPr>
          <w:rFonts w:ascii="Times New Roman" w:hAnsi="Times New Roman"/>
          <w:b/>
          <w:bCs/>
          <w:szCs w:val="26"/>
        </w:rPr>
        <w:t xml:space="preserve">THEREFORE, IT IS ORDERED that: </w:t>
      </w:r>
    </w:p>
    <w:p w:rsidRPr="0091386B" w:rsidR="00100097" w:rsidP="00100097" w:rsidRDefault="00100097" w14:paraId="376528C4" w14:textId="77777777">
      <w:pPr>
        <w:rPr>
          <w:rFonts w:ascii="Times New Roman" w:hAnsi="Times New Roman"/>
          <w:szCs w:val="26"/>
        </w:rPr>
      </w:pPr>
    </w:p>
    <w:p w:rsidR="00100097" w:rsidP="00100097" w:rsidRDefault="00100097" w14:paraId="3ED9B55B" w14:textId="77777777">
      <w:pPr>
        <w:pStyle w:val="ListParagraph"/>
        <w:numPr>
          <w:ilvl w:val="0"/>
          <w:numId w:val="1"/>
        </w:numPr>
        <w:ind w:left="360"/>
        <w:contextualSpacing w:val="0"/>
        <w:rPr>
          <w:rFonts w:ascii="Times New Roman" w:hAnsi="Times New Roman"/>
          <w:szCs w:val="26"/>
        </w:rPr>
      </w:pPr>
      <w:r w:rsidRPr="0091386B">
        <w:rPr>
          <w:rFonts w:ascii="Times New Roman" w:hAnsi="Times New Roman"/>
          <w:szCs w:val="26"/>
        </w:rPr>
        <w:t xml:space="preserve">The Commission ratifies the actions taken by the Executive Director through her letter dated January 11, 2021, attached as Appendix A, granting SoCalGas a three-month waiver, with conditions, of compliance with the specific sections of 49 C.F.R. Parts 190 through 199 identified in the table included therein entitled “ATTACHMENT 1 (Revised),” for certain SoCalGas gas pipeline facilities in its service territory due to the COVID-19 pandemic. </w:t>
      </w:r>
    </w:p>
    <w:p w:rsidRPr="0091386B" w:rsidR="00100097" w:rsidP="00100097" w:rsidRDefault="00100097" w14:paraId="410F28D8" w14:textId="77777777">
      <w:pPr>
        <w:pStyle w:val="ListParagraph"/>
        <w:ind w:left="360"/>
        <w:contextualSpacing w:val="0"/>
        <w:rPr>
          <w:rFonts w:ascii="Times New Roman" w:hAnsi="Times New Roman"/>
          <w:szCs w:val="26"/>
        </w:rPr>
      </w:pPr>
    </w:p>
    <w:p w:rsidRPr="0091386B" w:rsidR="00100097" w:rsidP="00100097" w:rsidRDefault="00100097" w14:paraId="7D9EB690" w14:textId="77777777">
      <w:pPr>
        <w:pStyle w:val="ListParagraph"/>
        <w:numPr>
          <w:ilvl w:val="0"/>
          <w:numId w:val="1"/>
        </w:numPr>
        <w:ind w:left="360"/>
        <w:contextualSpacing w:val="0"/>
        <w:rPr>
          <w:rFonts w:ascii="Times New Roman" w:hAnsi="Times New Roman"/>
          <w:szCs w:val="26"/>
        </w:rPr>
      </w:pPr>
      <w:r w:rsidRPr="0091386B">
        <w:rPr>
          <w:rFonts w:ascii="Times New Roman" w:hAnsi="Times New Roman"/>
          <w:szCs w:val="26"/>
        </w:rPr>
        <w:t>The waiver granted herein does not extend to activities or facilities not set forth in the Executive Director’s letter dated January 11, 2021.</w:t>
      </w:r>
    </w:p>
    <w:p w:rsidRPr="0091386B" w:rsidR="00100097" w:rsidP="00100097" w:rsidRDefault="00100097" w14:paraId="4CCEB92F" w14:textId="77777777">
      <w:pPr>
        <w:pStyle w:val="ListParagraph"/>
        <w:ind w:left="360"/>
        <w:contextualSpacing w:val="0"/>
        <w:rPr>
          <w:rFonts w:ascii="Times New Roman" w:hAnsi="Times New Roman"/>
          <w:szCs w:val="26"/>
        </w:rPr>
      </w:pPr>
    </w:p>
    <w:p w:rsidRPr="0091386B" w:rsidR="00100097" w:rsidP="00100097" w:rsidRDefault="00100097" w14:paraId="31A3181E" w14:textId="77777777">
      <w:pPr>
        <w:pStyle w:val="ListParagraph"/>
        <w:numPr>
          <w:ilvl w:val="0"/>
          <w:numId w:val="1"/>
        </w:numPr>
        <w:ind w:left="360"/>
        <w:contextualSpacing w:val="0"/>
        <w:rPr>
          <w:rFonts w:ascii="Times New Roman" w:hAnsi="Times New Roman"/>
          <w:szCs w:val="26"/>
        </w:rPr>
      </w:pPr>
      <w:r w:rsidRPr="0091386B">
        <w:rPr>
          <w:rFonts w:ascii="Times New Roman" w:hAnsi="Times New Roman"/>
          <w:szCs w:val="26"/>
        </w:rPr>
        <w:t xml:space="preserve">This waiver is conditioned on the following requirements:  </w:t>
      </w:r>
    </w:p>
    <w:p w:rsidRPr="0091386B" w:rsidR="00100097" w:rsidP="00100097" w:rsidRDefault="00100097" w14:paraId="58E0FAC8" w14:textId="77777777">
      <w:pPr>
        <w:pStyle w:val="ListParagraph"/>
        <w:ind w:left="360"/>
        <w:contextualSpacing w:val="0"/>
        <w:rPr>
          <w:rFonts w:ascii="Times New Roman" w:hAnsi="Times New Roman"/>
          <w:szCs w:val="26"/>
        </w:rPr>
      </w:pPr>
    </w:p>
    <w:p w:rsidRPr="0091386B" w:rsidR="00100097" w:rsidP="00100097" w:rsidRDefault="00100097" w14:paraId="4A01BA39" w14:textId="77777777">
      <w:pPr>
        <w:pStyle w:val="ListParagraph"/>
        <w:numPr>
          <w:ilvl w:val="1"/>
          <w:numId w:val="1"/>
        </w:numPr>
        <w:ind w:left="1080" w:right="1440"/>
        <w:contextualSpacing w:val="0"/>
        <w:rPr>
          <w:rFonts w:ascii="Times New Roman" w:hAnsi="Times New Roman"/>
          <w:szCs w:val="26"/>
        </w:rPr>
      </w:pPr>
      <w:r w:rsidRPr="0091386B">
        <w:rPr>
          <w:rFonts w:ascii="Times New Roman" w:hAnsi="Times New Roman"/>
          <w:szCs w:val="26"/>
        </w:rPr>
        <w:t>The waiver granted herein only applies to facilities and activity as to which COVID-19 makes compliance impossible or as to which the risk to human health and safety due to COVID-19 outweighs the safety risk due to the compliance delay.</w:t>
      </w:r>
    </w:p>
    <w:p w:rsidRPr="0091386B" w:rsidR="00100097" w:rsidP="00100097" w:rsidRDefault="00100097" w14:paraId="3F52084E" w14:textId="77777777">
      <w:pPr>
        <w:pStyle w:val="ListParagraph"/>
        <w:ind w:left="1080" w:right="1440" w:hanging="360"/>
        <w:contextualSpacing w:val="0"/>
        <w:rPr>
          <w:rFonts w:ascii="Times New Roman" w:hAnsi="Times New Roman"/>
          <w:szCs w:val="26"/>
        </w:rPr>
      </w:pPr>
    </w:p>
    <w:p w:rsidRPr="0091386B" w:rsidR="00100097" w:rsidP="00100097" w:rsidRDefault="00100097" w14:paraId="49156BE1" w14:textId="77777777">
      <w:pPr>
        <w:pStyle w:val="ListParagraph"/>
        <w:numPr>
          <w:ilvl w:val="1"/>
          <w:numId w:val="1"/>
        </w:numPr>
        <w:ind w:left="1080" w:right="1440"/>
        <w:contextualSpacing w:val="0"/>
        <w:rPr>
          <w:rFonts w:ascii="Times New Roman" w:hAnsi="Times New Roman"/>
          <w:szCs w:val="26"/>
        </w:rPr>
      </w:pPr>
      <w:r w:rsidRPr="0091386B">
        <w:rPr>
          <w:rFonts w:ascii="Times New Roman" w:hAnsi="Times New Roman"/>
          <w:szCs w:val="26"/>
        </w:rPr>
        <w:lastRenderedPageBreak/>
        <w:t>The waiver granted herein expires on the earlier of the following dates: (a) six months from October 8, 2020, or (b) the date the COVID-19 pandemic no longer meets the requirements Ordering Paragraph 3(a).  SoCalGas will be required to submit a new waiver request upon expiration of the waiver if it requests additional time for compliance.</w:t>
      </w:r>
    </w:p>
    <w:p w:rsidRPr="0091386B" w:rsidR="00100097" w:rsidP="00100097" w:rsidRDefault="00100097" w14:paraId="55D884E2" w14:textId="77777777">
      <w:pPr>
        <w:pStyle w:val="ListParagraph"/>
        <w:ind w:left="1080" w:right="1440" w:hanging="360"/>
        <w:contextualSpacing w:val="0"/>
        <w:rPr>
          <w:rFonts w:ascii="Times New Roman" w:hAnsi="Times New Roman"/>
          <w:szCs w:val="26"/>
        </w:rPr>
      </w:pPr>
    </w:p>
    <w:p w:rsidRPr="0091386B" w:rsidR="00100097" w:rsidP="00100097" w:rsidRDefault="00100097" w14:paraId="6E6EAC63" w14:textId="77777777">
      <w:pPr>
        <w:pStyle w:val="ListParagraph"/>
        <w:numPr>
          <w:ilvl w:val="1"/>
          <w:numId w:val="1"/>
        </w:numPr>
        <w:ind w:left="1080" w:right="1440"/>
        <w:contextualSpacing w:val="0"/>
        <w:rPr>
          <w:rFonts w:ascii="Times New Roman" w:hAnsi="Times New Roman"/>
          <w:szCs w:val="26"/>
        </w:rPr>
      </w:pPr>
      <w:r w:rsidRPr="0091386B">
        <w:rPr>
          <w:rFonts w:ascii="Times New Roman" w:hAnsi="Times New Roman"/>
          <w:szCs w:val="26"/>
        </w:rPr>
        <w:t>No inspection or other required action shall be delayed more than three months from its current due date, with the due date falling on the last day of the third month.  That is, if an action is due by August 31, 2020, it shall be completed no later than November 30, 2020.  Similarly, if an action is required in September 2020, it shall be completed no later than December 31, 2020.  No compliance activity shall be delayed once the approval in Ordering Paragraph 3(b) expires.</w:t>
      </w:r>
    </w:p>
    <w:p w:rsidRPr="0091386B" w:rsidR="00100097" w:rsidP="00100097" w:rsidRDefault="00100097" w14:paraId="26D84D73" w14:textId="77777777">
      <w:pPr>
        <w:pStyle w:val="ListParagraph"/>
        <w:rPr>
          <w:rFonts w:ascii="Times New Roman" w:hAnsi="Times New Roman"/>
          <w:szCs w:val="26"/>
        </w:rPr>
      </w:pPr>
    </w:p>
    <w:p w:rsidRPr="0091386B" w:rsidR="00100097" w:rsidP="00100097" w:rsidRDefault="00100097" w14:paraId="531FF571" w14:textId="77777777">
      <w:pPr>
        <w:pStyle w:val="ListParagraph"/>
        <w:numPr>
          <w:ilvl w:val="1"/>
          <w:numId w:val="1"/>
        </w:numPr>
        <w:ind w:left="1080" w:right="1440"/>
        <w:contextualSpacing w:val="0"/>
        <w:rPr>
          <w:rFonts w:ascii="Times New Roman" w:hAnsi="Times New Roman"/>
          <w:szCs w:val="26"/>
        </w:rPr>
      </w:pPr>
      <w:r w:rsidRPr="0091386B">
        <w:rPr>
          <w:rFonts w:ascii="Times New Roman" w:hAnsi="Times New Roman"/>
          <w:szCs w:val="26"/>
        </w:rPr>
        <w:t>On a monthly basis, starting on the 30th day following October 8, 2020, SoCalGas shall report each activity affected by a delay in detail.  For each activity delayed, the report shall specify (a) the location and identifying features of the facilities at issue, (b) the inspections and other activity required, (c) the date the action is due without benefit of this letter, (d) the date the action will be completed, not to exceed three months from the due date (with the three months expiring on the last day of the third month); (e) the reason for the delay, (f) the linkage of that reason to the COVID-19 disaster, (g) any safety impact of missing the deadline, (h) how resources were re-allocated, and (i) how SoCalGas intends to catch up with the missed deadline.  If no activity is delayed, SoCalGas shall so state in its report.</w:t>
      </w:r>
    </w:p>
    <w:p w:rsidRPr="0091386B" w:rsidR="00100097" w:rsidP="00100097" w:rsidRDefault="00100097" w14:paraId="0C17C087" w14:textId="77777777">
      <w:pPr>
        <w:pStyle w:val="ListParagraph"/>
        <w:ind w:left="1080" w:right="1440" w:hanging="360"/>
        <w:contextualSpacing w:val="0"/>
        <w:rPr>
          <w:rFonts w:ascii="Times New Roman" w:hAnsi="Times New Roman"/>
          <w:szCs w:val="26"/>
        </w:rPr>
      </w:pPr>
    </w:p>
    <w:p w:rsidRPr="0091386B" w:rsidR="00100097" w:rsidP="00100097" w:rsidRDefault="00100097" w14:paraId="0641B1AB" w14:textId="77777777">
      <w:pPr>
        <w:pStyle w:val="ListParagraph"/>
        <w:numPr>
          <w:ilvl w:val="1"/>
          <w:numId w:val="1"/>
        </w:numPr>
        <w:ind w:left="1080" w:right="1440"/>
        <w:contextualSpacing w:val="0"/>
        <w:rPr>
          <w:rFonts w:ascii="Times New Roman" w:hAnsi="Times New Roman"/>
          <w:szCs w:val="26"/>
        </w:rPr>
      </w:pPr>
      <w:r w:rsidRPr="0091386B">
        <w:rPr>
          <w:rFonts w:ascii="Times New Roman" w:hAnsi="Times New Roman"/>
          <w:szCs w:val="26"/>
        </w:rPr>
        <w:t>The extension granted in this Resolution does not apply to facilities, devices or equipment with a history of significant (more than minor) adjustments, including facilities that SoCalGas places on “special schedules” for follow up.</w:t>
      </w:r>
    </w:p>
    <w:p w:rsidRPr="0091386B" w:rsidR="00100097" w:rsidP="00100097" w:rsidRDefault="00100097" w14:paraId="2149B08F" w14:textId="77777777">
      <w:pPr>
        <w:pStyle w:val="ListParagraph"/>
        <w:spacing w:after="120"/>
        <w:ind w:left="1440"/>
        <w:rPr>
          <w:rFonts w:ascii="Times New Roman" w:hAnsi="Times New Roman"/>
          <w:szCs w:val="26"/>
        </w:rPr>
      </w:pPr>
    </w:p>
    <w:p w:rsidRPr="0091386B" w:rsidR="00100097" w:rsidP="00100097" w:rsidRDefault="00100097" w14:paraId="230723B6" w14:textId="77777777">
      <w:pPr>
        <w:pStyle w:val="ListParagraph"/>
        <w:numPr>
          <w:ilvl w:val="0"/>
          <w:numId w:val="1"/>
        </w:numPr>
        <w:ind w:left="360"/>
        <w:contextualSpacing w:val="0"/>
        <w:rPr>
          <w:rFonts w:ascii="Times New Roman" w:hAnsi="Times New Roman"/>
          <w:szCs w:val="26"/>
        </w:rPr>
      </w:pPr>
      <w:r w:rsidRPr="0091386B">
        <w:rPr>
          <w:rFonts w:ascii="Times New Roman" w:hAnsi="Times New Roman"/>
          <w:szCs w:val="26"/>
        </w:rPr>
        <w:t>This waiver does not extend to any state gas pipeline facilities requirements of the California Department of Conservation, Geologic Energy Management Division (CalGEM), or its predecessor the Division of Oil, Gas, and Geothermal Resources (DOGGR).</w:t>
      </w:r>
    </w:p>
    <w:p w:rsidRPr="0091386B" w:rsidR="00100097" w:rsidP="00100097" w:rsidRDefault="00100097" w14:paraId="63F1B4B6" w14:textId="77777777">
      <w:pPr>
        <w:pStyle w:val="ListParagraph"/>
        <w:ind w:left="360"/>
        <w:contextualSpacing w:val="0"/>
        <w:rPr>
          <w:rFonts w:ascii="Times New Roman" w:hAnsi="Times New Roman"/>
          <w:szCs w:val="26"/>
        </w:rPr>
      </w:pPr>
    </w:p>
    <w:p w:rsidRPr="0091386B" w:rsidR="00100097" w:rsidP="00100097" w:rsidRDefault="00100097" w14:paraId="4AAEA1C7" w14:textId="77777777">
      <w:pPr>
        <w:pStyle w:val="ListParagraph"/>
        <w:numPr>
          <w:ilvl w:val="0"/>
          <w:numId w:val="1"/>
        </w:numPr>
        <w:ind w:left="360"/>
        <w:contextualSpacing w:val="0"/>
        <w:rPr>
          <w:rFonts w:ascii="Times New Roman" w:hAnsi="Times New Roman"/>
          <w:szCs w:val="26"/>
        </w:rPr>
      </w:pPr>
      <w:r w:rsidRPr="0091386B">
        <w:rPr>
          <w:rFonts w:ascii="Times New Roman" w:hAnsi="Times New Roman"/>
          <w:szCs w:val="26"/>
        </w:rPr>
        <w:t>The Commission or its Safety and Enforcement Division may rescind the right to delay inspection or other required activity, or cancel or modify the permission given in this Resolution at any time.</w:t>
      </w:r>
    </w:p>
    <w:p w:rsidRPr="0091386B" w:rsidR="00100097" w:rsidP="00100097" w:rsidRDefault="00100097" w14:paraId="28812C35" w14:textId="77777777">
      <w:pPr>
        <w:pStyle w:val="ListParagraph"/>
        <w:ind w:left="360"/>
        <w:contextualSpacing w:val="0"/>
        <w:rPr>
          <w:rFonts w:ascii="Times New Roman" w:hAnsi="Times New Roman"/>
          <w:szCs w:val="26"/>
        </w:rPr>
      </w:pPr>
    </w:p>
    <w:p w:rsidRPr="0091386B" w:rsidR="00100097" w:rsidP="00100097" w:rsidRDefault="00100097" w14:paraId="7E89A9B8" w14:textId="77777777">
      <w:pPr>
        <w:pStyle w:val="ListParagraph"/>
        <w:numPr>
          <w:ilvl w:val="0"/>
          <w:numId w:val="1"/>
        </w:numPr>
        <w:ind w:left="360"/>
        <w:contextualSpacing w:val="0"/>
        <w:rPr>
          <w:rFonts w:ascii="Times New Roman" w:hAnsi="Times New Roman"/>
          <w:szCs w:val="26"/>
        </w:rPr>
      </w:pPr>
      <w:r w:rsidRPr="0091386B">
        <w:rPr>
          <w:rFonts w:ascii="Times New Roman" w:hAnsi="Times New Roman"/>
          <w:szCs w:val="26"/>
        </w:rPr>
        <w:t xml:space="preserve">The Department of Transportation’s Pipeline and Hazardous Materials Safety Administration (PHMSA) was given the required 60 days’ notice of this waiver in the Executive Director’s January 11, 2021 letter.  </w:t>
      </w:r>
    </w:p>
    <w:p w:rsidR="009F65A1" w:rsidP="00100097" w:rsidRDefault="009F65A1" w14:paraId="15E2412E" w14:textId="77777777">
      <w:pPr>
        <w:rPr>
          <w:rFonts w:ascii="Times New Roman" w:hAnsi="Times New Roman" w:eastAsia="Calibri"/>
          <w:szCs w:val="26"/>
        </w:rPr>
      </w:pPr>
    </w:p>
    <w:p w:rsidRPr="0091386B" w:rsidR="00100097" w:rsidP="00100097" w:rsidRDefault="00100097" w14:paraId="0240E817" w14:textId="215D5DC0">
      <w:pPr>
        <w:rPr>
          <w:rFonts w:ascii="Times New Roman" w:hAnsi="Times New Roman" w:eastAsia="Calibri"/>
          <w:szCs w:val="26"/>
        </w:rPr>
      </w:pPr>
      <w:r w:rsidRPr="0091386B">
        <w:rPr>
          <w:rFonts w:ascii="Times New Roman" w:hAnsi="Times New Roman" w:eastAsia="Calibri"/>
          <w:szCs w:val="26"/>
        </w:rPr>
        <w:t>This Resolution is effective today.</w:t>
      </w:r>
    </w:p>
    <w:p w:rsidRPr="0091386B" w:rsidR="00100097" w:rsidP="00100097" w:rsidRDefault="00100097" w14:paraId="0F1471BB" w14:textId="77777777">
      <w:pPr>
        <w:tabs>
          <w:tab w:val="left" w:pos="720"/>
          <w:tab w:val="left" w:pos="1296"/>
          <w:tab w:val="left" w:pos="2016"/>
          <w:tab w:val="left" w:pos="2736"/>
          <w:tab w:val="left" w:pos="3456"/>
          <w:tab w:val="left" w:pos="4176"/>
          <w:tab w:val="left" w:pos="5760"/>
        </w:tabs>
        <w:jc w:val="both"/>
        <w:rPr>
          <w:rFonts w:ascii="Times New Roman" w:hAnsi="Times New Roman"/>
          <w:szCs w:val="26"/>
        </w:rPr>
      </w:pPr>
    </w:p>
    <w:p w:rsidRPr="0091386B" w:rsidR="00100097" w:rsidP="00100097" w:rsidRDefault="00100097" w14:paraId="1E5BCF55" w14:textId="340C8CBA">
      <w:pPr>
        <w:rPr>
          <w:rFonts w:ascii="Times New Roman" w:hAnsi="Times New Roman"/>
          <w:snapToGrid w:val="0"/>
          <w:szCs w:val="26"/>
        </w:rPr>
      </w:pPr>
      <w:r w:rsidRPr="0091386B">
        <w:rPr>
          <w:rFonts w:ascii="Times New Roman" w:hAnsi="Times New Roman"/>
          <w:snapToGrid w:val="0"/>
          <w:szCs w:val="26"/>
        </w:rPr>
        <w:t xml:space="preserve">I certify that the foregoing Resolution was duly introduced, passed and adopted at a conference of the Public Utilities Commission of the State of California held on </w:t>
      </w:r>
      <w:r w:rsidR="00BF6537">
        <w:rPr>
          <w:rFonts w:ascii="Times New Roman" w:hAnsi="Times New Roman"/>
          <w:snapToGrid w:val="0"/>
          <w:szCs w:val="26"/>
        </w:rPr>
        <w:br/>
      </w:r>
      <w:r w:rsidR="00742D3E">
        <w:rPr>
          <w:rFonts w:ascii="Times New Roman" w:hAnsi="Times New Roman"/>
          <w:snapToGrid w:val="0"/>
          <w:szCs w:val="26"/>
        </w:rPr>
        <w:t>March 4</w:t>
      </w:r>
      <w:r w:rsidRPr="0091386B">
        <w:rPr>
          <w:rFonts w:ascii="Times New Roman" w:hAnsi="Times New Roman"/>
          <w:snapToGrid w:val="0"/>
          <w:szCs w:val="26"/>
        </w:rPr>
        <w:t>, 2021, the following Commissioners voting favorably thereon:</w:t>
      </w:r>
    </w:p>
    <w:p w:rsidRPr="0091386B" w:rsidR="00100097" w:rsidP="00100097" w:rsidRDefault="00100097" w14:paraId="432DA36E" w14:textId="77777777">
      <w:pPr>
        <w:tabs>
          <w:tab w:val="left" w:pos="720"/>
          <w:tab w:val="left" w:pos="1152"/>
          <w:tab w:val="left" w:pos="1728"/>
          <w:tab w:val="left" w:pos="3168"/>
          <w:tab w:val="left" w:pos="5040"/>
        </w:tabs>
        <w:ind w:right="144"/>
        <w:jc w:val="both"/>
        <w:rPr>
          <w:rFonts w:ascii="Times New Roman" w:hAnsi="Times New Roman"/>
          <w:szCs w:val="26"/>
        </w:rPr>
      </w:pPr>
    </w:p>
    <w:p w:rsidRPr="0091386B" w:rsidR="00100097" w:rsidP="00100097" w:rsidRDefault="00100097" w14:paraId="48E38B9A" w14:textId="77777777">
      <w:pPr>
        <w:tabs>
          <w:tab w:val="left" w:pos="720"/>
          <w:tab w:val="left" w:pos="1152"/>
          <w:tab w:val="left" w:pos="1728"/>
          <w:tab w:val="left" w:pos="3168"/>
          <w:tab w:val="left" w:pos="5040"/>
        </w:tabs>
        <w:ind w:right="144"/>
        <w:jc w:val="both"/>
        <w:rPr>
          <w:rFonts w:ascii="Times New Roman" w:hAnsi="Times New Roman"/>
          <w:szCs w:val="26"/>
          <w:u w:val="single"/>
        </w:rPr>
      </w:pPr>
    </w:p>
    <w:p w:rsidRPr="0091386B" w:rsidR="00100097" w:rsidP="00100097" w:rsidRDefault="00100097" w14:paraId="5C6F6836" w14:textId="77777777">
      <w:pPr>
        <w:ind w:left="5040"/>
        <w:rPr>
          <w:rFonts w:ascii="Times New Roman" w:hAnsi="Times New Roman"/>
          <w:szCs w:val="26"/>
        </w:rPr>
      </w:pPr>
    </w:p>
    <w:p w:rsidR="00100097" w:rsidP="00100097" w:rsidRDefault="00100097" w14:paraId="38FDD495" w14:textId="77777777">
      <w:pPr>
        <w:ind w:left="5040"/>
        <w:rPr>
          <w:rFonts w:ascii="Times New Roman" w:hAnsi="Times New Roman"/>
          <w:szCs w:val="26"/>
        </w:rPr>
      </w:pPr>
    </w:p>
    <w:p w:rsidR="00100097" w:rsidP="00100097" w:rsidRDefault="00100097" w14:paraId="7CD1205B" w14:textId="77777777">
      <w:pPr>
        <w:ind w:left="5040"/>
        <w:rPr>
          <w:rFonts w:ascii="Times New Roman" w:hAnsi="Times New Roman"/>
          <w:szCs w:val="26"/>
          <w:u w:val="single"/>
        </w:rPr>
      </w:pPr>
      <w:r>
        <w:rPr>
          <w:rFonts w:ascii="Times New Roman" w:hAnsi="Times New Roman"/>
          <w:szCs w:val="26"/>
          <w:u w:val="single"/>
        </w:rPr>
        <w:tab/>
      </w:r>
      <w:r>
        <w:rPr>
          <w:rFonts w:ascii="Times New Roman" w:hAnsi="Times New Roman"/>
          <w:szCs w:val="26"/>
          <w:u w:val="single"/>
        </w:rPr>
        <w:tab/>
      </w:r>
      <w:r>
        <w:rPr>
          <w:rFonts w:ascii="Times New Roman" w:hAnsi="Times New Roman"/>
          <w:szCs w:val="26"/>
          <w:u w:val="single"/>
        </w:rPr>
        <w:tab/>
      </w:r>
      <w:r>
        <w:rPr>
          <w:rFonts w:ascii="Times New Roman" w:hAnsi="Times New Roman"/>
          <w:szCs w:val="26"/>
          <w:u w:val="single"/>
        </w:rPr>
        <w:tab/>
      </w:r>
    </w:p>
    <w:p w:rsidRPr="0091386B" w:rsidR="00100097" w:rsidP="00100097" w:rsidRDefault="00100097" w14:paraId="7DD34727" w14:textId="77777777">
      <w:pPr>
        <w:ind w:left="5040"/>
        <w:rPr>
          <w:rFonts w:ascii="Times New Roman" w:hAnsi="Times New Roman"/>
          <w:szCs w:val="26"/>
        </w:rPr>
      </w:pPr>
      <w:r>
        <w:rPr>
          <w:rFonts w:ascii="Times New Roman" w:hAnsi="Times New Roman"/>
          <w:szCs w:val="26"/>
        </w:rPr>
        <w:t xml:space="preserve">    </w:t>
      </w:r>
      <w:r w:rsidRPr="0091386B">
        <w:rPr>
          <w:rFonts w:ascii="Times New Roman" w:hAnsi="Times New Roman"/>
          <w:szCs w:val="26"/>
        </w:rPr>
        <w:t>RACHEL PETERSON</w:t>
      </w:r>
    </w:p>
    <w:p w:rsidR="00100097" w:rsidP="00100097" w:rsidRDefault="00742D3E" w14:paraId="2D5DAC5D" w14:textId="68D7DE42">
      <w:pPr>
        <w:ind w:left="5040"/>
        <w:rPr>
          <w:rFonts w:ascii="Times New Roman" w:hAnsi="Times New Roman"/>
          <w:szCs w:val="26"/>
        </w:rPr>
      </w:pPr>
      <w:r>
        <w:rPr>
          <w:rFonts w:ascii="Times New Roman" w:hAnsi="Times New Roman"/>
          <w:szCs w:val="26"/>
        </w:rPr>
        <w:t xml:space="preserve">    </w:t>
      </w:r>
      <w:r w:rsidRPr="0091386B" w:rsidR="00100097">
        <w:rPr>
          <w:rFonts w:ascii="Times New Roman" w:hAnsi="Times New Roman"/>
          <w:szCs w:val="26"/>
        </w:rPr>
        <w:t>Executive Director</w:t>
      </w:r>
    </w:p>
    <w:p w:rsidR="00244478" w:rsidRDefault="00244478" w14:paraId="6970DF0E" w14:textId="77777777"/>
    <w:sectPr w:rsidR="00244478" w:rsidSect="0010009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
      <w:r>
        <w:t xml:space="preserve"/>
      </w:r>
    </w:p>
    <w:p>
      <w:r>
        <w:t xml:space="preserve">Attachment 1: </w:t>
      </w:r>
    </w:p>
    <w:p>
      <w:hyperlink w:history="true" r:id="Rb5632dea130a44cf">
        <w:r w:rsidRPr="00CB1292">
          <w:rPr>
            <w:rStyle w:val="Hyperlink"/>
            <w:color w:val="2E74B5" w:themeColor="accent1" w:themeShade="BF"/>
            <w:u w:val="single"/>
          </w:rPr>
          <w:t>Appendix A - Executive Director Letter to SoCalGas re PHMSA Waiver January 11 2021.pdf</w:t>
        </w:r>
      </w:hyperlink>
    </w:p>
    <w:p>
      <w:r>
        <w:t xml:space="preserve"/>
      </w:r>
    </w:p>
    <w:p>
      <w:r>
        <w:t xml:space="preserve">Attachment 2: </w:t>
      </w:r>
    </w:p>
    <w:p>
      <w:hyperlink w:history="true" r:id="Rbe122a7496a244d4">
        <w:r w:rsidRPr="00CB1292">
          <w:rPr>
            <w:rStyle w:val="Hyperlink"/>
            <w:color w:val="2E74B5" w:themeColor="accent1" w:themeShade="BF"/>
            <w:u w:val="single"/>
          </w:rPr>
          <w:t>Appendix B - December 7 2020 SoCalGas Request for Stay of Enforcement re COVID-19 PHMSA Follow Up.pdf</w:t>
        </w:r>
      </w:hyperlink>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A4D36" w14:textId="77777777" w:rsidR="008F7F85" w:rsidRDefault="008F7F85" w:rsidP="00100097">
      <w:r>
        <w:separator/>
      </w:r>
    </w:p>
  </w:endnote>
  <w:endnote w:type="continuationSeparator" w:id="0">
    <w:p w14:paraId="1FFB13C5" w14:textId="77777777" w:rsidR="008F7F85" w:rsidRDefault="008F7F85" w:rsidP="00100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w:altName w:val="Segoe UI Historic"/>
    <w:charset w:val="4D"/>
    <w:family w:val="auto"/>
    <w:pitch w:val="variable"/>
    <w:sig w:usb0="A00002FF" w:usb1="7800205A" w:usb2="14600000" w:usb3="00000000" w:csb0="00000193"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FC80C" w14:textId="77777777" w:rsidR="00C654D7" w:rsidRDefault="00C65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4275775"/>
      <w:docPartObj>
        <w:docPartGallery w:val="Page Numbers (Bottom of Page)"/>
        <w:docPartUnique/>
      </w:docPartObj>
    </w:sdtPr>
    <w:sdtEndPr>
      <w:rPr>
        <w:rFonts w:ascii="Times New Roman" w:hAnsi="Times New Roman"/>
        <w:noProof/>
        <w:sz w:val="24"/>
        <w:szCs w:val="24"/>
      </w:rPr>
    </w:sdtEndPr>
    <w:sdtContent>
      <w:p w14:paraId="38FC0DE0" w14:textId="416F279C" w:rsidR="00100097" w:rsidRPr="0002126A" w:rsidRDefault="00C654D7" w:rsidP="00C92E2A">
        <w:pPr>
          <w:pStyle w:val="Footer"/>
          <w:rPr>
            <w:rFonts w:ascii="Times New Roman" w:hAnsi="Times New Roman"/>
            <w:sz w:val="24"/>
            <w:szCs w:val="24"/>
          </w:rPr>
        </w:pPr>
        <w:r w:rsidRPr="00C654D7">
          <w:rPr>
            <w:rFonts w:ascii="Times New Roman" w:hAnsi="Times New Roman"/>
            <w:sz w:val="18"/>
            <w:szCs w:val="18"/>
          </w:rPr>
          <w:t>368265780</w:t>
        </w:r>
        <w:r w:rsidR="00C92E2A">
          <w:rPr>
            <w:rFonts w:ascii="Times New Roman" w:hAnsi="Times New Roman"/>
            <w:sz w:val="18"/>
            <w:szCs w:val="18"/>
          </w:rPr>
          <w:tab/>
        </w:r>
        <w:r w:rsidR="00100097" w:rsidRPr="0002126A">
          <w:rPr>
            <w:rFonts w:ascii="Times New Roman" w:hAnsi="Times New Roman"/>
            <w:sz w:val="24"/>
            <w:szCs w:val="24"/>
          </w:rPr>
          <w:fldChar w:fldCharType="begin"/>
        </w:r>
        <w:r w:rsidR="00100097" w:rsidRPr="0002126A">
          <w:rPr>
            <w:rFonts w:ascii="Times New Roman" w:hAnsi="Times New Roman"/>
            <w:sz w:val="24"/>
            <w:szCs w:val="24"/>
          </w:rPr>
          <w:instrText xml:space="preserve"> PAGE   \* MERGEFORMAT </w:instrText>
        </w:r>
        <w:r w:rsidR="00100097" w:rsidRPr="0002126A">
          <w:rPr>
            <w:rFonts w:ascii="Times New Roman" w:hAnsi="Times New Roman"/>
            <w:sz w:val="24"/>
            <w:szCs w:val="24"/>
          </w:rPr>
          <w:fldChar w:fldCharType="separate"/>
        </w:r>
        <w:r w:rsidR="00100097" w:rsidRPr="0002126A">
          <w:rPr>
            <w:rFonts w:ascii="Times New Roman" w:hAnsi="Times New Roman"/>
            <w:noProof/>
            <w:sz w:val="24"/>
            <w:szCs w:val="24"/>
          </w:rPr>
          <w:t>2</w:t>
        </w:r>
        <w:r w:rsidR="00100097" w:rsidRPr="0002126A">
          <w:rPr>
            <w:rFonts w:ascii="Times New Roman" w:hAnsi="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E0266" w14:textId="0F91B682" w:rsidR="00C92E2A" w:rsidRPr="00C654D7" w:rsidRDefault="00C654D7" w:rsidP="00C3697A">
    <w:pPr>
      <w:pStyle w:val="Footer"/>
      <w:rPr>
        <w:rFonts w:ascii="Times New Roman" w:hAnsi="Times New Roman"/>
        <w:sz w:val="18"/>
        <w:szCs w:val="18"/>
      </w:rPr>
    </w:pPr>
    <w:r w:rsidRPr="00C654D7">
      <w:rPr>
        <w:rFonts w:ascii="Times New Roman" w:hAnsi="Times New Roman"/>
        <w:sz w:val="18"/>
        <w:szCs w:val="18"/>
      </w:rPr>
      <w:t>368265780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43AF2" w14:textId="77777777" w:rsidR="008F7F85" w:rsidRDefault="008F7F85" w:rsidP="00100097">
      <w:r>
        <w:separator/>
      </w:r>
    </w:p>
  </w:footnote>
  <w:footnote w:type="continuationSeparator" w:id="0">
    <w:p w14:paraId="671A96D8" w14:textId="77777777" w:rsidR="008F7F85" w:rsidRDefault="008F7F85" w:rsidP="00100097">
      <w:r>
        <w:continuationSeparator/>
      </w:r>
    </w:p>
  </w:footnote>
  <w:footnote w:id="1">
    <w:p w14:paraId="7DAA35BC" w14:textId="77777777" w:rsidR="00100097" w:rsidRPr="0091386B" w:rsidRDefault="00100097" w:rsidP="00100097">
      <w:pPr>
        <w:pStyle w:val="FootnoteText"/>
        <w:rPr>
          <w:rFonts w:ascii="Times New Roman" w:hAnsi="Times New Roman"/>
          <w:szCs w:val="24"/>
        </w:rPr>
      </w:pPr>
      <w:r w:rsidRPr="0091386B">
        <w:rPr>
          <w:rStyle w:val="FootnoteReference"/>
          <w:rFonts w:ascii="Times New Roman" w:hAnsi="Times New Roman"/>
          <w:b/>
          <w:bCs/>
          <w:szCs w:val="24"/>
          <w:u w:val="single"/>
        </w:rPr>
        <w:footnoteRef/>
      </w:r>
      <w:r w:rsidRPr="0091386B">
        <w:rPr>
          <w:rFonts w:ascii="Times New Roman" w:hAnsi="Times New Roman"/>
          <w:szCs w:val="24"/>
        </w:rPr>
        <w:t xml:space="preserve"> The Executive Director’s January 11, 2021 letter is attached as Appendix A to this Resolution, which attaches the Executive Director’s October 1, 2020 letter and SoCalGas’ August 14, 2020 request for waiver.  The Executive Director’s January 11, 2021 letter specifically grants SoCalGas’s modified request for waiver in its letter dated December 7, 2020, which is attached as Appendix B to this Resolution.</w:t>
      </w:r>
    </w:p>
  </w:footnote>
  <w:footnote w:id="2">
    <w:p w14:paraId="05DC7838" w14:textId="77777777" w:rsidR="00100097" w:rsidRPr="0091386B" w:rsidRDefault="00100097" w:rsidP="00100097">
      <w:pPr>
        <w:pStyle w:val="FootnoteText"/>
        <w:spacing w:after="120" w:line="240" w:lineRule="exact"/>
        <w:ind w:left="360" w:hanging="360"/>
        <w:rPr>
          <w:rFonts w:ascii="Times New Roman" w:hAnsi="Times New Roman"/>
          <w:szCs w:val="24"/>
        </w:rPr>
      </w:pPr>
      <w:r w:rsidRPr="0091386B">
        <w:rPr>
          <w:rStyle w:val="FootnoteReference"/>
          <w:rFonts w:ascii="Times New Roman" w:hAnsi="Times New Roman"/>
          <w:b/>
          <w:bCs/>
          <w:szCs w:val="24"/>
          <w:u w:val="single"/>
        </w:rPr>
        <w:footnoteRef/>
      </w:r>
      <w:r w:rsidRPr="0091386B">
        <w:rPr>
          <w:rFonts w:ascii="Times New Roman" w:hAnsi="Times New Roman"/>
          <w:szCs w:val="24"/>
        </w:rPr>
        <w:t xml:space="preserve"> GO 112-F, Section 101.1.</w:t>
      </w:r>
    </w:p>
  </w:footnote>
  <w:footnote w:id="3">
    <w:p w14:paraId="75FCA6D3" w14:textId="77777777" w:rsidR="00100097" w:rsidRPr="0091386B" w:rsidRDefault="00100097" w:rsidP="00100097">
      <w:pPr>
        <w:pStyle w:val="FootnoteText"/>
        <w:spacing w:after="120" w:line="240" w:lineRule="exact"/>
        <w:ind w:left="360" w:hanging="360"/>
        <w:rPr>
          <w:rFonts w:ascii="Times New Roman" w:hAnsi="Times New Roman"/>
          <w:szCs w:val="24"/>
        </w:rPr>
      </w:pPr>
      <w:r w:rsidRPr="0091386B">
        <w:rPr>
          <w:rStyle w:val="FootnoteReference"/>
          <w:rFonts w:ascii="Times New Roman" w:hAnsi="Times New Roman"/>
          <w:b/>
          <w:bCs/>
          <w:szCs w:val="24"/>
          <w:u w:val="single"/>
        </w:rPr>
        <w:footnoteRef/>
      </w:r>
      <w:r w:rsidRPr="0091386B">
        <w:rPr>
          <w:rFonts w:ascii="Times New Roman" w:hAnsi="Times New Roman"/>
          <w:szCs w:val="24"/>
        </w:rPr>
        <w:t xml:space="preserve"> GO 112-F, Section 101.2.</w:t>
      </w:r>
    </w:p>
  </w:footnote>
  <w:footnote w:id="4">
    <w:p w14:paraId="324AABF5" w14:textId="42B1A8B4" w:rsidR="00C410D2" w:rsidRPr="009F65A1" w:rsidRDefault="00C410D2">
      <w:pPr>
        <w:pStyle w:val="FootnoteText"/>
        <w:rPr>
          <w:rFonts w:ascii="Times New Roman" w:hAnsi="Times New Roman"/>
        </w:rPr>
      </w:pPr>
      <w:r w:rsidRPr="009F65A1">
        <w:rPr>
          <w:rStyle w:val="FootnoteReference"/>
          <w:rFonts w:ascii="Times New Roman" w:hAnsi="Times New Roman"/>
          <w:b/>
          <w:bCs/>
          <w:u w:val="single"/>
        </w:rPr>
        <w:footnoteRef/>
      </w:r>
      <w:r w:rsidRPr="009F65A1">
        <w:rPr>
          <w:rFonts w:ascii="Times New Roman" w:hAnsi="Times New Roman"/>
        </w:rPr>
        <w:t xml:space="preserve"> </w:t>
      </w:r>
      <w:r>
        <w:rPr>
          <w:rFonts w:ascii="Times New Roman" w:hAnsi="Times New Roman"/>
        </w:rPr>
        <w:t xml:space="preserve">The </w:t>
      </w:r>
      <w:r w:rsidRPr="009F65A1">
        <w:rPr>
          <w:rFonts w:ascii="Times New Roman" w:hAnsi="Times New Roman"/>
        </w:rPr>
        <w:t xml:space="preserve">California Public Utilities Commission, </w:t>
      </w:r>
      <w:r w:rsidRPr="009F65A1">
        <w:rPr>
          <w:rFonts w:ascii="Times New Roman" w:hAnsi="Times New Roman"/>
          <w:i/>
          <w:iCs/>
        </w:rPr>
        <w:t xml:space="preserve">Strategic Directives, Governance Process Policies, and Commission-Staff Linkage </w:t>
      </w:r>
      <w:r>
        <w:rPr>
          <w:rFonts w:ascii="Times New Roman" w:hAnsi="Times New Roman"/>
          <w:i/>
          <w:iCs/>
        </w:rPr>
        <w:t>P</w:t>
      </w:r>
      <w:r w:rsidRPr="009F65A1">
        <w:rPr>
          <w:rFonts w:ascii="Times New Roman" w:hAnsi="Times New Roman"/>
          <w:i/>
          <w:iCs/>
        </w:rPr>
        <w:t>olicies</w:t>
      </w:r>
      <w:r w:rsidRPr="009F65A1">
        <w:rPr>
          <w:rFonts w:ascii="Times New Roman" w:hAnsi="Times New Roman"/>
        </w:rPr>
        <w:t xml:space="preserve"> is available at </w:t>
      </w:r>
      <w:hyperlink r:id="rId1" w:history="1">
        <w:r w:rsidRPr="009F65A1">
          <w:rPr>
            <w:rStyle w:val="Hyperlink"/>
            <w:rFonts w:ascii="Times New Roman" w:hAnsi="Times New Roman"/>
          </w:rPr>
          <w:t>https://www.cpuc.ca.gov/uploadedFiles/CPUC_Public_Website/Content/About_Us/Mission_and_Values/Strategic_Directives_and_Governance_Policies_Revised_February%2020%202019.pdf</w:t>
        </w:r>
      </w:hyperlink>
      <w:r w:rsidRPr="009F65A1">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EDAEB" w14:textId="77777777" w:rsidR="00C654D7" w:rsidRDefault="00C654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BDC74" w14:textId="77777777" w:rsidR="00100097" w:rsidRDefault="00100097" w:rsidP="00100097">
    <w:pPr>
      <w:pStyle w:val="Header"/>
    </w:pPr>
    <w:r w:rsidRPr="008E1AD7">
      <w:rPr>
        <w:rFonts w:ascii="Times New Roman" w:hAnsi="Times New Roman"/>
      </w:rPr>
      <w:t xml:space="preserve">Resolution </w:t>
    </w:r>
    <w:r>
      <w:rPr>
        <w:rFonts w:ascii="Times New Roman" w:hAnsi="Times New Roman"/>
      </w:rPr>
      <w:t>M-4850</w:t>
    </w:r>
    <w:r w:rsidRPr="008E1AD7">
      <w:rPr>
        <w:rFonts w:ascii="Times New Roman" w:hAnsi="Times New Roman"/>
      </w:rPr>
      <w:t xml:space="preserve">                                    </w:t>
    </w:r>
    <w:r w:rsidRPr="008E1AD7">
      <w:rPr>
        <w:rFonts w:ascii="Times New Roman" w:hAnsi="Times New Roman"/>
        <w:b/>
        <w:bCs/>
      </w:rPr>
      <w:t>DRAFT</w:t>
    </w:r>
    <w:r w:rsidRPr="008E1AD7">
      <w:rPr>
        <w:rFonts w:ascii="Times New Roman" w:hAnsi="Times New Roman"/>
      </w:rPr>
      <w:t xml:space="preserve">             </w:t>
    </w:r>
    <w:r>
      <w:rPr>
        <w:rFonts w:ascii="Times New Roman" w:hAnsi="Times New Roman"/>
      </w:rPr>
      <w:tab/>
      <w:t>March 4,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A78D2" w14:textId="15B87A75" w:rsidR="00100097" w:rsidRDefault="00100097" w:rsidP="00100097">
    <w:pPr>
      <w:pStyle w:val="Header"/>
    </w:pPr>
    <w:r>
      <w:rPr>
        <w:rFonts w:ascii="Times New Roman" w:hAnsi="Times New Roman"/>
        <w:b/>
        <w:bCs/>
      </w:rPr>
      <w:tab/>
    </w:r>
    <w:r w:rsidRPr="008E1AD7">
      <w:rPr>
        <w:rFonts w:ascii="Times New Roman" w:hAnsi="Times New Roman"/>
        <w:b/>
        <w:bCs/>
      </w:rPr>
      <w:t>DRAFT</w:t>
    </w:r>
    <w:r w:rsidRPr="008E1AD7">
      <w:rPr>
        <w:rFonts w:ascii="Times New Roman" w:hAnsi="Times New Roman"/>
      </w:rPr>
      <w:t xml:space="preserve">             </w:t>
    </w:r>
    <w:r>
      <w:rPr>
        <w:rFonts w:ascii="Times New Roman" w:hAnsi="Times New Roman"/>
      </w:rPr>
      <w:tab/>
    </w:r>
    <w:r w:rsidRPr="00C92E2A">
      <w:rPr>
        <w:rFonts w:ascii="Times New Roman" w:hAnsi="Times New Roman"/>
        <w:b/>
        <w:bCs/>
      </w:rPr>
      <w:t xml:space="preserve">Item </w:t>
    </w:r>
    <w:r w:rsidR="00C3697A">
      <w:rPr>
        <w:rFonts w:ascii="Times New Roman" w:hAnsi="Times New Roman"/>
        <w:b/>
        <w:bCs/>
      </w:rPr>
      <w:t>6</w:t>
    </w:r>
    <w:r w:rsidRPr="00C92E2A">
      <w:rPr>
        <w:rFonts w:ascii="Times New Roman" w:hAnsi="Times New Roman"/>
        <w:b/>
        <w:bCs/>
      </w:rPr>
      <w:t xml:space="preserve"> [Agenda ID </w:t>
    </w:r>
    <w:r w:rsidR="00C92E2A">
      <w:rPr>
        <w:rFonts w:ascii="Times New Roman" w:hAnsi="Times New Roman"/>
        <w:b/>
        <w:bCs/>
      </w:rPr>
      <w:t>#</w:t>
    </w:r>
    <w:r w:rsidR="00C92E2A" w:rsidRPr="00C92E2A">
      <w:rPr>
        <w:rFonts w:ascii="Times New Roman" w:hAnsi="Times New Roman"/>
        <w:b/>
        <w:bCs/>
      </w:rPr>
      <w:t>19149</w:t>
    </w:r>
    <w:r w:rsidRPr="00C92E2A">
      <w:rPr>
        <w:rFonts w:ascii="Times New Roman" w:hAnsi="Times New Roman"/>
        <w:b/>
        <w:bCs/>
      </w:rPr>
      <w:t>]</w:t>
    </w:r>
  </w:p>
  <w:p w14:paraId="7F968F82" w14:textId="66F67D66" w:rsidR="00100097" w:rsidRPr="00C3697A" w:rsidRDefault="00C3697A" w:rsidP="00C3697A">
    <w:pPr>
      <w:pStyle w:val="Header"/>
      <w:jc w:val="right"/>
      <w:rPr>
        <w:rFonts w:ascii="Times New Roman" w:hAnsi="Times New Roman"/>
        <w:b/>
        <w:bCs/>
      </w:rPr>
    </w:pPr>
    <w:r w:rsidRPr="00C3697A">
      <w:rPr>
        <w:rFonts w:ascii="Times New Roman" w:hAnsi="Times New Roman"/>
        <w:b/>
        <w:bCs/>
      </w:rPr>
      <w:t>Rev.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10AF5"/>
    <w:multiLevelType w:val="hybridMultilevel"/>
    <w:tmpl w:val="B0923C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B15C8E"/>
    <w:multiLevelType w:val="hybridMultilevel"/>
    <w:tmpl w:val="BB0AE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4A115D"/>
    <w:multiLevelType w:val="hybridMultilevel"/>
    <w:tmpl w:val="832EF962"/>
    <w:lvl w:ilvl="0" w:tplc="DC8A1AF4">
      <w:start w:val="1"/>
      <w:numFmt w:val="decimal"/>
      <w:lvlText w:val="%1."/>
      <w:lvlJc w:val="left"/>
      <w:pPr>
        <w:ind w:left="1350" w:hanging="450"/>
      </w:pPr>
      <w:rPr>
        <w:rFonts w:ascii="Times New Roman" w:eastAsia="Times New Roman" w:hAnsi="Times New Roman" w:cs="Times New Roman" w:hint="default"/>
        <w:w w:val="100"/>
        <w:sz w:val="24"/>
        <w:szCs w:val="24"/>
      </w:rPr>
    </w:lvl>
    <w:lvl w:ilvl="1" w:tplc="7B2E3900">
      <w:numFmt w:val="bullet"/>
      <w:lvlText w:val="•"/>
      <w:lvlJc w:val="left"/>
      <w:pPr>
        <w:ind w:left="2192" w:hanging="450"/>
      </w:pPr>
      <w:rPr>
        <w:rFonts w:hint="default"/>
      </w:rPr>
    </w:lvl>
    <w:lvl w:ilvl="2" w:tplc="1144A80E">
      <w:numFmt w:val="bullet"/>
      <w:lvlText w:val="•"/>
      <w:lvlJc w:val="left"/>
      <w:pPr>
        <w:ind w:left="3024" w:hanging="450"/>
      </w:pPr>
      <w:rPr>
        <w:rFonts w:hint="default"/>
      </w:rPr>
    </w:lvl>
    <w:lvl w:ilvl="3" w:tplc="8A98832A">
      <w:numFmt w:val="bullet"/>
      <w:lvlText w:val="•"/>
      <w:lvlJc w:val="left"/>
      <w:pPr>
        <w:ind w:left="3856" w:hanging="450"/>
      </w:pPr>
      <w:rPr>
        <w:rFonts w:hint="default"/>
      </w:rPr>
    </w:lvl>
    <w:lvl w:ilvl="4" w:tplc="6A42E310">
      <w:numFmt w:val="bullet"/>
      <w:lvlText w:val="•"/>
      <w:lvlJc w:val="left"/>
      <w:pPr>
        <w:ind w:left="4688" w:hanging="450"/>
      </w:pPr>
      <w:rPr>
        <w:rFonts w:hint="default"/>
      </w:rPr>
    </w:lvl>
    <w:lvl w:ilvl="5" w:tplc="5880985C">
      <w:numFmt w:val="bullet"/>
      <w:lvlText w:val="•"/>
      <w:lvlJc w:val="left"/>
      <w:pPr>
        <w:ind w:left="5520" w:hanging="450"/>
      </w:pPr>
      <w:rPr>
        <w:rFonts w:hint="default"/>
      </w:rPr>
    </w:lvl>
    <w:lvl w:ilvl="6" w:tplc="8A42A4AC">
      <w:numFmt w:val="bullet"/>
      <w:lvlText w:val="•"/>
      <w:lvlJc w:val="left"/>
      <w:pPr>
        <w:ind w:left="6352" w:hanging="450"/>
      </w:pPr>
      <w:rPr>
        <w:rFonts w:hint="default"/>
      </w:rPr>
    </w:lvl>
    <w:lvl w:ilvl="7" w:tplc="F7BA2A38">
      <w:numFmt w:val="bullet"/>
      <w:lvlText w:val="•"/>
      <w:lvlJc w:val="left"/>
      <w:pPr>
        <w:ind w:left="7184" w:hanging="450"/>
      </w:pPr>
      <w:rPr>
        <w:rFonts w:hint="default"/>
      </w:rPr>
    </w:lvl>
    <w:lvl w:ilvl="8" w:tplc="336296D2">
      <w:numFmt w:val="bullet"/>
      <w:lvlText w:val="•"/>
      <w:lvlJc w:val="left"/>
      <w:pPr>
        <w:ind w:left="8016" w:hanging="450"/>
      </w:pPr>
      <w:rPr>
        <w:rFonts w:hint="default"/>
      </w:rPr>
    </w:lvl>
  </w:abstractNum>
  <w:abstractNum w:abstractNumId="3" w15:restartNumberingAfterBreak="0">
    <w:nsid w:val="513E0BBF"/>
    <w:multiLevelType w:val="hybridMultilevel"/>
    <w:tmpl w:val="9134187C"/>
    <w:lvl w:ilvl="0" w:tplc="8EEA37B6">
      <w:numFmt w:val="bullet"/>
      <w:lvlText w:val=""/>
      <w:lvlJc w:val="left"/>
      <w:pPr>
        <w:ind w:left="1350" w:hanging="450"/>
      </w:pPr>
      <w:rPr>
        <w:rFonts w:ascii="Symbol" w:eastAsia="Symbol" w:hAnsi="Symbol" w:cs="Symbol" w:hint="default"/>
        <w:w w:val="100"/>
        <w:sz w:val="20"/>
        <w:szCs w:val="20"/>
      </w:rPr>
    </w:lvl>
    <w:lvl w:ilvl="1" w:tplc="88887118">
      <w:numFmt w:val="bullet"/>
      <w:lvlText w:val="•"/>
      <w:lvlJc w:val="left"/>
      <w:pPr>
        <w:ind w:left="2192" w:hanging="450"/>
      </w:pPr>
      <w:rPr>
        <w:rFonts w:hint="default"/>
      </w:rPr>
    </w:lvl>
    <w:lvl w:ilvl="2" w:tplc="28B06BBA">
      <w:numFmt w:val="bullet"/>
      <w:lvlText w:val="•"/>
      <w:lvlJc w:val="left"/>
      <w:pPr>
        <w:ind w:left="3024" w:hanging="450"/>
      </w:pPr>
      <w:rPr>
        <w:rFonts w:hint="default"/>
      </w:rPr>
    </w:lvl>
    <w:lvl w:ilvl="3" w:tplc="5830BBBA">
      <w:numFmt w:val="bullet"/>
      <w:lvlText w:val="•"/>
      <w:lvlJc w:val="left"/>
      <w:pPr>
        <w:ind w:left="3856" w:hanging="450"/>
      </w:pPr>
      <w:rPr>
        <w:rFonts w:hint="default"/>
      </w:rPr>
    </w:lvl>
    <w:lvl w:ilvl="4" w:tplc="560A39C0">
      <w:numFmt w:val="bullet"/>
      <w:lvlText w:val="•"/>
      <w:lvlJc w:val="left"/>
      <w:pPr>
        <w:ind w:left="4688" w:hanging="450"/>
      </w:pPr>
      <w:rPr>
        <w:rFonts w:hint="default"/>
      </w:rPr>
    </w:lvl>
    <w:lvl w:ilvl="5" w:tplc="EDF4524C">
      <w:numFmt w:val="bullet"/>
      <w:lvlText w:val="•"/>
      <w:lvlJc w:val="left"/>
      <w:pPr>
        <w:ind w:left="5520" w:hanging="450"/>
      </w:pPr>
      <w:rPr>
        <w:rFonts w:hint="default"/>
      </w:rPr>
    </w:lvl>
    <w:lvl w:ilvl="6" w:tplc="9F46E048">
      <w:numFmt w:val="bullet"/>
      <w:lvlText w:val="•"/>
      <w:lvlJc w:val="left"/>
      <w:pPr>
        <w:ind w:left="6352" w:hanging="450"/>
      </w:pPr>
      <w:rPr>
        <w:rFonts w:hint="default"/>
      </w:rPr>
    </w:lvl>
    <w:lvl w:ilvl="7" w:tplc="E62A8E28">
      <w:numFmt w:val="bullet"/>
      <w:lvlText w:val="•"/>
      <w:lvlJc w:val="left"/>
      <w:pPr>
        <w:ind w:left="7184" w:hanging="450"/>
      </w:pPr>
      <w:rPr>
        <w:rFonts w:hint="default"/>
      </w:rPr>
    </w:lvl>
    <w:lvl w:ilvl="8" w:tplc="39F27848">
      <w:numFmt w:val="bullet"/>
      <w:lvlText w:val="•"/>
      <w:lvlJc w:val="left"/>
      <w:pPr>
        <w:ind w:left="8016" w:hanging="45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097"/>
    <w:rsid w:val="0002126A"/>
    <w:rsid w:val="00100097"/>
    <w:rsid w:val="00244478"/>
    <w:rsid w:val="00574AA5"/>
    <w:rsid w:val="00742D3E"/>
    <w:rsid w:val="008F7F85"/>
    <w:rsid w:val="009F65A1"/>
    <w:rsid w:val="00BF6537"/>
    <w:rsid w:val="00C1412F"/>
    <w:rsid w:val="00C3697A"/>
    <w:rsid w:val="00C410D2"/>
    <w:rsid w:val="00C654D7"/>
    <w:rsid w:val="00C92E2A"/>
    <w:rsid w:val="00E45B60"/>
    <w:rsid w:val="00FD7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B7D39"/>
  <w15:chartTrackingRefBased/>
  <w15:docId w15:val="{F9565877-5730-4573-AF10-24AC6CE410F8}"/>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097"/>
    <w:pPr>
      <w:spacing w:after="0" w:line="240" w:lineRule="auto"/>
    </w:pPr>
    <w:rPr>
      <w:rFonts w:ascii="Palatino" w:eastAsia="Times New Roman" w:hAnsi="Palatino"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Footnote Text Char Char Char,Char Char,Footnote Text Char2 Char,Footnote Text Char2 Char Char Char Char,Footnote Text Char1 Char1 Char1 Char Char Char,fn,fn C"/>
    <w:basedOn w:val="Normal"/>
    <w:link w:val="FootnoteTextChar"/>
    <w:uiPriority w:val="99"/>
    <w:qFormat/>
    <w:rsid w:val="00100097"/>
    <w:pPr>
      <w:spacing w:after="240"/>
    </w:pPr>
    <w:rPr>
      <w:sz w:val="24"/>
    </w:rPr>
  </w:style>
  <w:style w:type="character" w:customStyle="1" w:styleId="FootnoteTextChar">
    <w:name w:val="Footnote Text Char"/>
    <w:aliases w:val="Footnote Text Char1 Char1,Footnote Text Char Char Char1,Footnote Text Char1 Char Char,Footnote Text Char Char Char Char,Char Char Char,Footnote Text Char2 Char Char,Footnote Text Char2 Char Char Char Char Char,fn Char,fn C Char"/>
    <w:basedOn w:val="DefaultParagraphFont"/>
    <w:link w:val="FootnoteText"/>
    <w:uiPriority w:val="99"/>
    <w:rsid w:val="00100097"/>
    <w:rPr>
      <w:rFonts w:ascii="Palatino" w:eastAsia="Times New Roman" w:hAnsi="Palatino" w:cs="Times New Roman"/>
      <w:sz w:val="24"/>
      <w:szCs w:val="20"/>
    </w:rPr>
  </w:style>
  <w:style w:type="paragraph" w:customStyle="1" w:styleId="mainex">
    <w:name w:val="mainex"/>
    <w:basedOn w:val="Normal"/>
    <w:rsid w:val="00100097"/>
    <w:pPr>
      <w:keepNext/>
      <w:jc w:val="center"/>
    </w:pPr>
    <w:rPr>
      <w:rFonts w:ascii="Helvetica" w:hAnsi="Helvetica"/>
      <w:b/>
      <w:spacing w:val="120"/>
    </w:rPr>
  </w:style>
  <w:style w:type="character" w:styleId="FootnoteReference">
    <w:name w:val="footnote reference"/>
    <w:aliases w:val="o,fr,Style 3,o1,o2,o3,o4,o5,o6,o11,o21,o7,Footnote Reference1,Style 17,Style 13,Appel note de bas de p,Style 12,(NECG) Footnote Reference,Style 124"/>
    <w:qFormat/>
    <w:rsid w:val="00100097"/>
    <w:rPr>
      <w:vertAlign w:val="superscript"/>
    </w:rPr>
  </w:style>
  <w:style w:type="paragraph" w:customStyle="1" w:styleId="Res-Caption">
    <w:name w:val="Res-Caption"/>
    <w:basedOn w:val="Normal"/>
    <w:rsid w:val="00100097"/>
    <w:pPr>
      <w:ind w:left="720" w:right="720"/>
    </w:pPr>
  </w:style>
  <w:style w:type="paragraph" w:styleId="ListParagraph">
    <w:name w:val="List Paragraph"/>
    <w:basedOn w:val="Normal"/>
    <w:uiPriority w:val="34"/>
    <w:qFormat/>
    <w:rsid w:val="00100097"/>
    <w:pPr>
      <w:ind w:left="720"/>
      <w:contextualSpacing/>
    </w:pPr>
  </w:style>
  <w:style w:type="paragraph" w:styleId="BodyText">
    <w:name w:val="Body Text"/>
    <w:basedOn w:val="Normal"/>
    <w:link w:val="BodyTextChar"/>
    <w:uiPriority w:val="1"/>
    <w:qFormat/>
    <w:rsid w:val="00100097"/>
    <w:pPr>
      <w:widowControl w:val="0"/>
      <w:autoSpaceDE w:val="0"/>
      <w:autoSpaceDN w:val="0"/>
    </w:pPr>
    <w:rPr>
      <w:rFonts w:ascii="Times New Roman" w:hAnsi="Times New Roman"/>
      <w:sz w:val="24"/>
      <w:szCs w:val="24"/>
    </w:rPr>
  </w:style>
  <w:style w:type="character" w:customStyle="1" w:styleId="BodyTextChar">
    <w:name w:val="Body Text Char"/>
    <w:basedOn w:val="DefaultParagraphFont"/>
    <w:link w:val="BodyText"/>
    <w:uiPriority w:val="1"/>
    <w:rsid w:val="0010009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00097"/>
    <w:pPr>
      <w:tabs>
        <w:tab w:val="center" w:pos="4680"/>
        <w:tab w:val="right" w:pos="9360"/>
      </w:tabs>
    </w:pPr>
  </w:style>
  <w:style w:type="character" w:customStyle="1" w:styleId="HeaderChar">
    <w:name w:val="Header Char"/>
    <w:basedOn w:val="DefaultParagraphFont"/>
    <w:link w:val="Header"/>
    <w:uiPriority w:val="99"/>
    <w:rsid w:val="00100097"/>
    <w:rPr>
      <w:rFonts w:ascii="Palatino" w:eastAsia="Times New Roman" w:hAnsi="Palatino" w:cs="Times New Roman"/>
      <w:sz w:val="26"/>
      <w:szCs w:val="20"/>
    </w:rPr>
  </w:style>
  <w:style w:type="paragraph" w:styleId="Footer">
    <w:name w:val="footer"/>
    <w:basedOn w:val="Normal"/>
    <w:link w:val="FooterChar"/>
    <w:uiPriority w:val="99"/>
    <w:unhideWhenUsed/>
    <w:rsid w:val="00100097"/>
    <w:pPr>
      <w:tabs>
        <w:tab w:val="center" w:pos="4680"/>
        <w:tab w:val="right" w:pos="9360"/>
      </w:tabs>
    </w:pPr>
  </w:style>
  <w:style w:type="character" w:customStyle="1" w:styleId="FooterChar">
    <w:name w:val="Footer Char"/>
    <w:basedOn w:val="DefaultParagraphFont"/>
    <w:link w:val="Footer"/>
    <w:uiPriority w:val="99"/>
    <w:rsid w:val="00100097"/>
    <w:rPr>
      <w:rFonts w:ascii="Palatino" w:eastAsia="Times New Roman" w:hAnsi="Palatino" w:cs="Times New Roman"/>
      <w:sz w:val="26"/>
      <w:szCs w:val="20"/>
    </w:rPr>
  </w:style>
  <w:style w:type="character" w:styleId="Hyperlink">
    <w:name w:val="Hyperlink"/>
    <w:basedOn w:val="DefaultParagraphFont"/>
    <w:uiPriority w:val="99"/>
    <w:unhideWhenUsed/>
    <w:rsid w:val="00C410D2"/>
    <w:rPr>
      <w:color w:val="0563C1" w:themeColor="hyperlink"/>
      <w:u w:val="single"/>
    </w:rPr>
  </w:style>
  <w:style w:type="character" w:styleId="UnresolvedMention">
    <w:name w:val="Unresolved Mention"/>
    <w:basedOn w:val="DefaultParagraphFont"/>
    <w:uiPriority w:val="99"/>
    <w:semiHidden/>
    <w:unhideWhenUsed/>
    <w:rsid w:val="00C410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hyperlink" Target="http://docs.cpuc.ca.gov/PublishedDocs/Published/G000/M368/K236/368236024.pdf" TargetMode="External" Id="Rb5632dea130a44cf" /><Relationship Type="http://schemas.openxmlformats.org/officeDocument/2006/relationships/hyperlink" Target="http://docs.cpuc.ca.gov/PublishedDocs/Published/G000/M368/K239/368239758.pdf" TargetMode="External" Id="Rbe122a7496a244d4" /></Relationships>
</file>

<file path=word/_rels/footnotes.xml.rels><?xml version="1.0" encoding="UTF-8" standalone="yes"?>
<Relationships xmlns="http://schemas.openxmlformats.org/package/2006/relationships"><Relationship Id="rId1" Type="http://schemas.openxmlformats.org/officeDocument/2006/relationships/hyperlink" Target="https://www.cpuc.ca.gov/uploadedFiles/CPUC_Public_Website/Content/About_Us/Mission_and_Values/Strategic_Directives_and_Governance_Policies_Revised_February%2020%20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6BFF5-8151-4D2E-AF43-7795E8F202AD}">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7</ap:Pages>
  <ap:Words>1896</ap:Words>
  <ap:Characters>10809</ap:Characters>
  <ap:Application>Microsoft Office Word</ap:Application>
  <ap:DocSecurity>0</ap:DocSecurity>
  <ap:Lines>90</ap:Lines>
  <ap:Paragraphs>25</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12680</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2021-02-26T15:02:47Z</dcterms:created>
  <dcterms:modified xsi:type="dcterms:W3CDTF">2021-02-26T15:02:47Z</dcterms:modified>
</cp:coreProperties>
</file>