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9FF" w:rsidP="001A49FF" w:rsidRDefault="001A49FF" w14:paraId="358B43DB" w14:textId="77777777">
      <w:pPr>
        <w:pStyle w:val="titlebar"/>
        <w:rPr>
          <w:rFonts w:ascii="Palatino Linotype" w:hAnsi="Palatino Linotype"/>
          <w:sz w:val="24"/>
        </w:rPr>
      </w:pPr>
      <w:r w:rsidRPr="007076F1">
        <w:rPr>
          <w:rFonts w:ascii="Palatino Linotype" w:hAnsi="Palatino Linotype"/>
          <w:sz w:val="24"/>
        </w:rPr>
        <w:t>PUBLIC UTILITIES COMMISSION OF THE STATE OF CALIFORNIA</w:t>
      </w:r>
    </w:p>
    <w:p w:rsidRPr="007076F1" w:rsidR="001A49FF" w:rsidP="001A49FF" w:rsidRDefault="001A49FF" w14:paraId="3AB6F669" w14:textId="77777777">
      <w:pPr>
        <w:pStyle w:val="titlebar"/>
        <w:rPr>
          <w:rFonts w:ascii="Palatino Linotype" w:hAnsi="Palatino Linotype"/>
          <w:sz w:val="24"/>
        </w:rPr>
      </w:pPr>
    </w:p>
    <w:p w:rsidRPr="00C223D6" w:rsidR="001A49FF" w:rsidP="001A49FF" w:rsidRDefault="001A49FF" w14:paraId="1817E96C" w14:textId="3E379D03">
      <w:pPr>
        <w:suppressAutoHyphens/>
        <w:rPr>
          <w:b/>
          <w:sz w:val="24"/>
        </w:rPr>
      </w:pPr>
      <w:r>
        <w:tab/>
      </w:r>
      <w:r>
        <w:tab/>
      </w:r>
      <w:r>
        <w:tab/>
      </w:r>
      <w:r>
        <w:tab/>
      </w:r>
      <w:r>
        <w:tab/>
      </w:r>
      <w:r>
        <w:tab/>
      </w:r>
      <w:r>
        <w:tab/>
      </w:r>
      <w:r>
        <w:tab/>
      </w:r>
      <w:r>
        <w:tab/>
      </w:r>
      <w:r w:rsidRPr="00C223D6">
        <w:rPr>
          <w:b/>
          <w:sz w:val="24"/>
        </w:rPr>
        <w:t>AGENDA ID:</w:t>
      </w:r>
      <w:r>
        <w:rPr>
          <w:b/>
          <w:sz w:val="24"/>
        </w:rPr>
        <w:t xml:space="preserve"> </w:t>
      </w:r>
      <w:r w:rsidRPr="00A73A87" w:rsidR="00A73A87">
        <w:rPr>
          <w:b/>
          <w:sz w:val="24"/>
        </w:rPr>
        <w:t>19263</w:t>
      </w:r>
    </w:p>
    <w:p w:rsidRPr="007076F1" w:rsidR="001A49FF" w:rsidP="001A49FF" w:rsidRDefault="001A49FF" w14:paraId="68628E74" w14:textId="77777777">
      <w:pPr>
        <w:rPr>
          <w:b/>
          <w:sz w:val="24"/>
          <w:highlight w:val="yellow"/>
        </w:rPr>
      </w:pPr>
      <w:r w:rsidRPr="007076F1">
        <w:rPr>
          <w:b/>
          <w:sz w:val="24"/>
        </w:rPr>
        <w:t>ENERGY DIVISION</w:t>
      </w:r>
      <w:r w:rsidRPr="007076F1">
        <w:rPr>
          <w:b/>
          <w:sz w:val="24"/>
        </w:rPr>
        <w:tab/>
      </w:r>
      <w:r w:rsidRPr="007076F1">
        <w:rPr>
          <w:b/>
          <w:sz w:val="24"/>
        </w:rPr>
        <w:tab/>
      </w:r>
      <w:r w:rsidRPr="007076F1">
        <w:rPr>
          <w:b/>
          <w:sz w:val="24"/>
        </w:rPr>
        <w:tab/>
      </w:r>
      <w:r w:rsidRPr="007076F1">
        <w:rPr>
          <w:b/>
          <w:sz w:val="24"/>
        </w:rPr>
        <w:tab/>
      </w:r>
      <w:r w:rsidRPr="007076F1">
        <w:rPr>
          <w:b/>
          <w:sz w:val="24"/>
        </w:rPr>
        <w:tab/>
      </w:r>
      <w:r w:rsidRPr="007076F1">
        <w:rPr>
          <w:b/>
          <w:sz w:val="24"/>
        </w:rPr>
        <w:tab/>
        <w:t>RESOLUTION E-</w:t>
      </w:r>
      <w:r>
        <w:rPr>
          <w:b/>
          <w:sz w:val="24"/>
        </w:rPr>
        <w:t>5135</w:t>
      </w:r>
    </w:p>
    <w:p w:rsidRPr="007076F1" w:rsidR="001A49FF" w:rsidP="001A49FF" w:rsidRDefault="001A49FF" w14:paraId="27FFD727" w14:textId="77777777">
      <w:pPr>
        <w:tabs>
          <w:tab w:val="right" w:pos="8910"/>
        </w:tabs>
        <w:ind w:left="1440" w:firstLine="720"/>
        <w:rPr>
          <w:b/>
          <w:sz w:val="24"/>
        </w:rPr>
      </w:pPr>
      <w:r>
        <w:rPr>
          <w:b/>
          <w:sz w:val="24"/>
        </w:rPr>
        <w:t xml:space="preserve">                                                                        April 15, 2021</w:t>
      </w:r>
    </w:p>
    <w:p w:rsidR="001A49FF" w:rsidP="001A49FF" w:rsidRDefault="001A49FF" w14:paraId="1CEDB2EF" w14:textId="77777777">
      <w:pPr>
        <w:pStyle w:val="mainex"/>
        <w:jc w:val="left"/>
        <w:rPr>
          <w:rFonts w:ascii="Palatino Linotype" w:hAnsi="Palatino Linotype"/>
          <w:u w:val="single"/>
        </w:rPr>
      </w:pPr>
      <w:bookmarkStart w:name="_Ref404993683" w:id="0"/>
    </w:p>
    <w:p w:rsidRPr="007076F1" w:rsidR="001A49FF" w:rsidP="001A49FF" w:rsidRDefault="001A49FF" w14:paraId="65F64467" w14:textId="77777777">
      <w:pPr>
        <w:pStyle w:val="mainex"/>
        <w:jc w:val="left"/>
        <w:rPr>
          <w:rFonts w:ascii="Palatino Linotype" w:hAnsi="Palatino Linotype"/>
          <w:u w:val="single"/>
        </w:rPr>
      </w:pPr>
    </w:p>
    <w:p w:rsidR="001A49FF" w:rsidP="001A49FF" w:rsidRDefault="001A49FF" w14:paraId="33AB0B7F" w14:textId="77777777">
      <w:pPr>
        <w:pStyle w:val="mainex"/>
        <w:rPr>
          <w:u w:val="single"/>
        </w:rPr>
      </w:pPr>
      <w:r>
        <w:rPr>
          <w:u w:val="single"/>
        </w:rPr>
        <w:t>REDACTED</w:t>
      </w:r>
    </w:p>
    <w:p w:rsidRPr="00584D43" w:rsidR="001A49FF" w:rsidP="001A49FF" w:rsidRDefault="001A49FF" w14:paraId="43E4C614" w14:textId="77777777">
      <w:pPr>
        <w:pStyle w:val="mainex"/>
        <w:rPr>
          <w:u w:val="single"/>
        </w:rPr>
      </w:pPr>
      <w:r>
        <w:rPr>
          <w:u w:val="single"/>
        </w:rPr>
        <w:t>RESOLUTION</w:t>
      </w:r>
    </w:p>
    <w:p w:rsidRPr="00584D43" w:rsidR="001A49FF" w:rsidP="001A49FF" w:rsidRDefault="001A49FF" w14:paraId="3A8FB6EC" w14:textId="77777777">
      <w:pPr>
        <w:rPr>
          <w:sz w:val="22"/>
          <w:szCs w:val="16"/>
        </w:rPr>
      </w:pPr>
    </w:p>
    <w:p w:rsidRPr="007076F1" w:rsidR="001A49FF" w:rsidP="001A49FF" w:rsidRDefault="001A49FF" w14:paraId="3669446A" w14:textId="77777777">
      <w:pPr>
        <w:pStyle w:val="Res-Caption"/>
      </w:pPr>
      <w:r w:rsidRPr="007076F1">
        <w:t>Resolution E-</w:t>
      </w:r>
      <w:r>
        <w:t>5135</w:t>
      </w:r>
      <w:r w:rsidRPr="007076F1">
        <w:t xml:space="preserve">. </w:t>
      </w:r>
      <w:r>
        <w:t>Approves with Modification Pacific Gas and</w:t>
      </w:r>
      <w:r w:rsidRPr="007076F1">
        <w:t xml:space="preserve"> Electric Company</w:t>
      </w:r>
      <w:r>
        <w:t>’s</w:t>
      </w:r>
      <w:r w:rsidRPr="007076F1">
        <w:t xml:space="preserve"> </w:t>
      </w:r>
      <w:r>
        <w:t xml:space="preserve">Bioenergy Renewable Auction Mechanism (BioRAM) contract with Woodland Biomass Power, LLC. </w:t>
      </w:r>
    </w:p>
    <w:p w:rsidRPr="007076F1" w:rsidR="001A49FF" w:rsidP="001A49FF" w:rsidRDefault="001A49FF" w14:paraId="7F7277B0" w14:textId="77777777">
      <w:pPr>
        <w:pStyle w:val="Res-Caption"/>
      </w:pPr>
    </w:p>
    <w:p w:rsidRPr="007076F1" w:rsidR="001A49FF" w:rsidP="001A49FF" w:rsidRDefault="001A49FF" w14:paraId="65668B54" w14:textId="77777777">
      <w:pPr>
        <w:pStyle w:val="Res-Caption"/>
      </w:pPr>
      <w:r w:rsidRPr="007076F1">
        <w:t xml:space="preserve">PROPOSED OUTCOME: </w:t>
      </w:r>
    </w:p>
    <w:p w:rsidRPr="007076F1" w:rsidR="001A49FF" w:rsidP="001A49FF" w:rsidRDefault="001A49FF" w14:paraId="29FC010A" w14:textId="77777777">
      <w:pPr>
        <w:pStyle w:val="Res-Caption"/>
        <w:numPr>
          <w:ilvl w:val="0"/>
          <w:numId w:val="3"/>
        </w:numPr>
      </w:pPr>
      <w:r w:rsidRPr="007076F1">
        <w:t>This Resolution approves</w:t>
      </w:r>
      <w:r>
        <w:t xml:space="preserve"> with modification</w:t>
      </w:r>
      <w:r w:rsidRPr="007076F1">
        <w:t xml:space="preserve"> </w:t>
      </w:r>
      <w:r>
        <w:t xml:space="preserve">a BioRAM contract </w:t>
      </w:r>
      <w:r w:rsidRPr="007076F1">
        <w:t xml:space="preserve">between </w:t>
      </w:r>
      <w:r>
        <w:t>Pacific</w:t>
      </w:r>
      <w:r w:rsidRPr="007076F1">
        <w:t xml:space="preserve"> Gas </w:t>
      </w:r>
      <w:r>
        <w:t>and</w:t>
      </w:r>
      <w:r w:rsidRPr="007076F1">
        <w:t xml:space="preserve"> Electric Company </w:t>
      </w:r>
      <w:r>
        <w:t>and Woodland Biomass Power, LLC</w:t>
      </w:r>
      <w:r w:rsidRPr="007076F1">
        <w:t xml:space="preserve">. The </w:t>
      </w:r>
      <w:r>
        <w:t xml:space="preserve">contract </w:t>
      </w:r>
      <w:r w:rsidRPr="007076F1">
        <w:t xml:space="preserve">resulted from </w:t>
      </w:r>
      <w:r>
        <w:t xml:space="preserve">bilateral negotiations, </w:t>
      </w:r>
      <w:r w:rsidRPr="007076F1">
        <w:t xml:space="preserve">authorized by </w:t>
      </w:r>
      <w:r>
        <w:t>Resolution E-4977, and is</w:t>
      </w:r>
      <w:r w:rsidRPr="007076F1">
        <w:t xml:space="preserve"> for </w:t>
      </w:r>
      <w:r>
        <w:t>the procurement of renewable energy and associated</w:t>
      </w:r>
      <w:r w:rsidRPr="007076F1">
        <w:t xml:space="preserve"> </w:t>
      </w:r>
      <w:r>
        <w:t>RECs from the Woodland biomass generation facility</w:t>
      </w:r>
      <w:r w:rsidRPr="007076F1">
        <w:t xml:space="preserve">. The </w:t>
      </w:r>
      <w:r>
        <w:t>contract</w:t>
      </w:r>
      <w:r w:rsidRPr="007076F1">
        <w:t xml:space="preserve"> </w:t>
      </w:r>
      <w:r>
        <w:t>is</w:t>
      </w:r>
      <w:r w:rsidRPr="007076F1">
        <w:t xml:space="preserve"> approved with modification.  </w:t>
      </w:r>
    </w:p>
    <w:p w:rsidRPr="007076F1" w:rsidR="001A49FF" w:rsidP="001A49FF" w:rsidRDefault="001A49FF" w14:paraId="43C0A936" w14:textId="77777777">
      <w:pPr>
        <w:pStyle w:val="Res-Caption"/>
        <w:ind w:left="1440"/>
      </w:pPr>
    </w:p>
    <w:p w:rsidRPr="007076F1" w:rsidR="001A49FF" w:rsidP="001A49FF" w:rsidRDefault="001A49FF" w14:paraId="51284885" w14:textId="77777777">
      <w:pPr>
        <w:pStyle w:val="Res-Caption"/>
      </w:pPr>
      <w:r w:rsidRPr="007076F1">
        <w:t>SAFETY CONSIDERATIONS:</w:t>
      </w:r>
    </w:p>
    <w:p w:rsidRPr="007076F1" w:rsidR="001A49FF" w:rsidP="001A49FF" w:rsidRDefault="001A49FF" w14:paraId="1172F03C" w14:textId="77777777">
      <w:pPr>
        <w:pStyle w:val="Res-Caption"/>
        <w:numPr>
          <w:ilvl w:val="0"/>
          <w:numId w:val="2"/>
        </w:numPr>
      </w:pPr>
      <w:r w:rsidRPr="004601F0">
        <w:t xml:space="preserve">The </w:t>
      </w:r>
      <w:r>
        <w:t>contract</w:t>
      </w:r>
      <w:r w:rsidRPr="004601F0">
        <w:t xml:space="preserve"> requires the sellers of the generation to comply with all applicable safety requirements relating to the project, including environmental laws</w:t>
      </w:r>
      <w:r>
        <w:t>.</w:t>
      </w:r>
    </w:p>
    <w:p w:rsidRPr="007076F1" w:rsidR="001A49FF" w:rsidP="001A49FF" w:rsidRDefault="001A49FF" w14:paraId="0176E014" w14:textId="77777777">
      <w:pPr>
        <w:pStyle w:val="Res-Caption"/>
        <w:ind w:left="0"/>
      </w:pPr>
    </w:p>
    <w:p w:rsidRPr="007076F1" w:rsidR="001A49FF" w:rsidP="001A49FF" w:rsidRDefault="001A49FF" w14:paraId="487F0E2C" w14:textId="77777777">
      <w:pPr>
        <w:pStyle w:val="Res-Caption"/>
      </w:pPr>
      <w:r w:rsidRPr="007076F1">
        <w:t xml:space="preserve">ESTIMATED COST:  </w:t>
      </w:r>
    </w:p>
    <w:p w:rsidRPr="00F37619" w:rsidR="001A49FF" w:rsidP="001A49FF" w:rsidRDefault="001A49FF" w14:paraId="4D4F7C96" w14:textId="77777777">
      <w:pPr>
        <w:pStyle w:val="Res-Caption"/>
        <w:numPr>
          <w:ilvl w:val="0"/>
          <w:numId w:val="2"/>
        </w:numPr>
      </w:pPr>
      <w:r>
        <w:rPr>
          <w:szCs w:val="26"/>
        </w:rPr>
        <w:t>Costs not to exceed $20,000,000 annually and $100,000,000 over the term of the contract.</w:t>
      </w:r>
    </w:p>
    <w:p w:rsidRPr="007076F1" w:rsidR="001A49FF" w:rsidP="001A49FF" w:rsidRDefault="001A49FF" w14:paraId="7D6B5A2F" w14:textId="77777777">
      <w:pPr>
        <w:pStyle w:val="Res-Caption"/>
        <w:ind w:left="1440"/>
      </w:pPr>
    </w:p>
    <w:p w:rsidRPr="007076F1" w:rsidR="001A49FF" w:rsidP="001A49FF" w:rsidRDefault="001A49FF" w14:paraId="1A6FB928" w14:textId="77777777">
      <w:pPr>
        <w:pStyle w:val="Res-Caption"/>
      </w:pPr>
      <w:r w:rsidRPr="007076F1">
        <w:t xml:space="preserve">By Advice Letter </w:t>
      </w:r>
      <w:r>
        <w:t>5983</w:t>
      </w:r>
      <w:r w:rsidRPr="007076F1">
        <w:t xml:space="preserve">-E, filed on </w:t>
      </w:r>
      <w:r>
        <w:t>October 27, 2020.</w:t>
      </w:r>
    </w:p>
    <w:p w:rsidR="001A49FF" w:rsidP="001A49FF" w:rsidRDefault="001A49FF" w14:paraId="4B1F0594" w14:textId="77777777">
      <w:pPr>
        <w:jc w:val="center"/>
      </w:pPr>
      <w:r w:rsidRPr="007076F1">
        <w:t>__________________________________________________________</w:t>
      </w:r>
    </w:p>
    <w:p w:rsidR="001A49FF" w:rsidP="001A49FF" w:rsidRDefault="001A49FF" w14:paraId="0025D4A3" w14:textId="77777777">
      <w:pPr>
        <w:jc w:val="center"/>
      </w:pPr>
    </w:p>
    <w:p w:rsidRPr="007076F1" w:rsidR="001A49FF" w:rsidP="001A49FF" w:rsidRDefault="001A49FF" w14:paraId="465B2AD6" w14:textId="77777777">
      <w:pPr>
        <w:pStyle w:val="Heading1"/>
        <w:rPr>
          <w:rFonts w:ascii="Palatino Linotype" w:hAnsi="Palatino Linotype"/>
        </w:rPr>
      </w:pPr>
      <w:r w:rsidRPr="007076F1">
        <w:rPr>
          <w:rFonts w:ascii="Palatino Linotype" w:hAnsi="Palatino Linotype"/>
        </w:rPr>
        <w:lastRenderedPageBreak/>
        <w:t>Summary</w:t>
      </w:r>
      <w:bookmarkEnd w:id="0"/>
    </w:p>
    <w:p w:rsidRPr="007076F1" w:rsidR="001A49FF" w:rsidP="001A49FF" w:rsidRDefault="001A49FF" w14:paraId="3287215F" w14:textId="77777777">
      <w:pPr>
        <w:rPr>
          <w:b/>
        </w:rPr>
      </w:pPr>
      <w:r>
        <w:rPr>
          <w:b/>
        </w:rPr>
        <w:t>Pacific</w:t>
      </w:r>
      <w:r w:rsidRPr="007076F1">
        <w:rPr>
          <w:b/>
        </w:rPr>
        <w:t xml:space="preserve"> Gas </w:t>
      </w:r>
      <w:r>
        <w:rPr>
          <w:b/>
        </w:rPr>
        <w:t xml:space="preserve">and </w:t>
      </w:r>
      <w:r w:rsidRPr="007076F1">
        <w:rPr>
          <w:b/>
        </w:rPr>
        <w:t xml:space="preserve">Electric Company’s </w:t>
      </w:r>
      <w:r>
        <w:rPr>
          <w:b/>
        </w:rPr>
        <w:t>(PG&amp;E) Bioenergy Renewable Auction Mechanism (BioRAM) contract</w:t>
      </w:r>
      <w:r w:rsidRPr="007076F1">
        <w:rPr>
          <w:b/>
        </w:rPr>
        <w:t xml:space="preserve"> with </w:t>
      </w:r>
      <w:r>
        <w:rPr>
          <w:b/>
        </w:rPr>
        <w:t xml:space="preserve">Woodland Biomass Power, LLC (Woodland) </w:t>
      </w:r>
      <w:r w:rsidRPr="007076F1">
        <w:rPr>
          <w:b/>
        </w:rPr>
        <w:t>complies with the Renewables Portfolio Standard (RPS) procurement guidelines</w:t>
      </w:r>
      <w:r>
        <w:rPr>
          <w:b/>
        </w:rPr>
        <w:t>. The contract</w:t>
      </w:r>
      <w:r w:rsidRPr="007076F1">
        <w:rPr>
          <w:b/>
        </w:rPr>
        <w:t xml:space="preserve"> is approved with</w:t>
      </w:r>
      <w:r>
        <w:rPr>
          <w:b/>
        </w:rPr>
        <w:t xml:space="preserve"> </w:t>
      </w:r>
      <w:r w:rsidRPr="007076F1">
        <w:rPr>
          <w:b/>
        </w:rPr>
        <w:t>modification.</w:t>
      </w:r>
    </w:p>
    <w:p w:rsidRPr="007076F1" w:rsidR="001A49FF" w:rsidP="001A49FF" w:rsidRDefault="001A49FF" w14:paraId="05180245" w14:textId="77777777">
      <w:pPr>
        <w:rPr>
          <w:b/>
        </w:rPr>
      </w:pPr>
    </w:p>
    <w:p w:rsidR="001A49FF" w:rsidP="001A49FF" w:rsidRDefault="001A49FF" w14:paraId="051BD2DB" w14:textId="77777777">
      <w:r w:rsidRPr="004F7886">
        <w:t xml:space="preserve">Pacific Gas and Electric Company (PG&amp;E) </w:t>
      </w:r>
      <w:r w:rsidRPr="007076F1">
        <w:t xml:space="preserve">filed Advice Letter (AL) </w:t>
      </w:r>
      <w:r>
        <w:t>5983</w:t>
      </w:r>
      <w:r w:rsidRPr="007076F1">
        <w:t xml:space="preserve">-E on </w:t>
      </w:r>
      <w:r>
        <w:t>October 27, 2020</w:t>
      </w:r>
      <w:r w:rsidRPr="007076F1">
        <w:t>, requesting California Public Utilities Commission (</w:t>
      </w:r>
      <w:r>
        <w:t>CPUC</w:t>
      </w:r>
      <w:r w:rsidRPr="007076F1">
        <w:t>) review and approval of</w:t>
      </w:r>
      <w:r>
        <w:t xml:space="preserve"> a Bioenergy Renewable Auction Mechanism (BioRAM)</w:t>
      </w:r>
      <w:r w:rsidRPr="003B30E6">
        <w:rPr>
          <w:rStyle w:val="FootnoteReference"/>
        </w:rPr>
        <w:t xml:space="preserve"> </w:t>
      </w:r>
      <w:r>
        <w:rPr>
          <w:rStyle w:val="FootnoteReference"/>
        </w:rPr>
        <w:footnoteReference w:id="1"/>
      </w:r>
      <w:r>
        <w:t xml:space="preserve"> </w:t>
      </w:r>
      <w:r w:rsidRPr="007076F1">
        <w:t xml:space="preserve"> </w:t>
      </w:r>
      <w:r>
        <w:t xml:space="preserve">contract </w:t>
      </w:r>
      <w:r w:rsidRPr="007076F1">
        <w:t xml:space="preserve">with </w:t>
      </w:r>
      <w:r>
        <w:t>Woodland Biomass Power, LLC (Woodland). The contract is</w:t>
      </w:r>
      <w:r w:rsidRPr="007076F1">
        <w:t xml:space="preserve"> </w:t>
      </w:r>
      <w:r>
        <w:t xml:space="preserve">a </w:t>
      </w:r>
      <w:r w:rsidRPr="007076F1">
        <w:t>short-term contract fo</w:t>
      </w:r>
      <w:r>
        <w:t>r</w:t>
      </w:r>
      <w:r w:rsidRPr="007076F1">
        <w:t xml:space="preserve"> renewable energy and associated</w:t>
      </w:r>
      <w:r>
        <w:t xml:space="preserve"> renewable energy credits</w:t>
      </w:r>
      <w:r w:rsidRPr="007076F1">
        <w:t xml:space="preserve"> </w:t>
      </w:r>
      <w:r>
        <w:t>(</w:t>
      </w:r>
      <w:r w:rsidRPr="007076F1">
        <w:t>REC</w:t>
      </w:r>
      <w:r>
        <w:t>s)</w:t>
      </w:r>
      <w:r w:rsidRPr="007076F1">
        <w:t xml:space="preserve"> originating from</w:t>
      </w:r>
      <w:r>
        <w:t xml:space="preserve"> the</w:t>
      </w:r>
      <w:r w:rsidRPr="007076F1">
        <w:t xml:space="preserve"> </w:t>
      </w:r>
      <w:r>
        <w:t xml:space="preserve">Woodland biomass facility. </w:t>
      </w:r>
    </w:p>
    <w:p w:rsidRPr="007076F1" w:rsidR="001A49FF" w:rsidP="001A49FF" w:rsidRDefault="001A49FF" w14:paraId="1774E178" w14:textId="77777777">
      <w:pPr>
        <w:pStyle w:val="NoSpacing"/>
        <w:rPr>
          <w:rFonts w:ascii="Palatino Linotype" w:hAnsi="Palatino Linotype"/>
        </w:rPr>
      </w:pPr>
    </w:p>
    <w:p w:rsidR="00AE03A9" w:rsidP="001A49FF" w:rsidRDefault="001A49FF" w14:paraId="391CA6CD" w14:textId="77777777">
      <w:r w:rsidRPr="007076F1">
        <w:t xml:space="preserve">This </w:t>
      </w:r>
      <w:r>
        <w:t>R</w:t>
      </w:r>
      <w:r w:rsidRPr="007076F1">
        <w:t xml:space="preserve">esolution approves the </w:t>
      </w:r>
      <w:r>
        <w:t>contract</w:t>
      </w:r>
      <w:r w:rsidRPr="007076F1">
        <w:t xml:space="preserve"> between </w:t>
      </w:r>
      <w:r>
        <w:t>P</w:t>
      </w:r>
      <w:r w:rsidRPr="007076F1">
        <w:t xml:space="preserve">G&amp;E and </w:t>
      </w:r>
      <w:r>
        <w:t xml:space="preserve">Woodland </w:t>
      </w:r>
      <w:r w:rsidRPr="007076F1">
        <w:t xml:space="preserve">with modification. </w:t>
      </w:r>
      <w:r>
        <w:t>P</w:t>
      </w:r>
      <w:r w:rsidRPr="007076F1">
        <w:t xml:space="preserve">G&amp;E’s execution of the </w:t>
      </w:r>
      <w:r>
        <w:t>contract</w:t>
      </w:r>
      <w:r w:rsidRPr="007076F1">
        <w:t xml:space="preserve"> is consistent with</w:t>
      </w:r>
      <w:r>
        <w:t xml:space="preserve"> Resolution </w:t>
      </w:r>
    </w:p>
    <w:p w:rsidR="00AE03A9" w:rsidP="001A49FF" w:rsidRDefault="001A49FF" w14:paraId="45DF5A30" w14:textId="77777777">
      <w:r>
        <w:t>E-4977</w:t>
      </w:r>
      <w:r>
        <w:rPr>
          <w:rStyle w:val="FootnoteReference"/>
        </w:rPr>
        <w:footnoteReference w:id="2"/>
      </w:r>
      <w:r>
        <w:t xml:space="preserve"> and</w:t>
      </w:r>
      <w:r w:rsidRPr="007076F1">
        <w:t xml:space="preserve"> </w:t>
      </w:r>
      <w:r>
        <w:t>P</w:t>
      </w:r>
      <w:r w:rsidRPr="007076F1">
        <w:t>G&amp;E’s 201</w:t>
      </w:r>
      <w:r>
        <w:t>9</w:t>
      </w:r>
      <w:r w:rsidRPr="007076F1">
        <w:t xml:space="preserve"> RPS Procurement Plan, approved in Decision </w:t>
      </w:r>
    </w:p>
    <w:p w:rsidR="001A49FF" w:rsidP="001A49FF" w:rsidRDefault="001A49FF" w14:paraId="79FA7E20" w14:textId="1B37C723">
      <w:r>
        <w:t>D.</w:t>
      </w:r>
      <w:r w:rsidRPr="007076F1">
        <w:t>1</w:t>
      </w:r>
      <w:r>
        <w:t>9</w:t>
      </w:r>
      <w:r w:rsidRPr="007076F1">
        <w:t>-</w:t>
      </w:r>
      <w:r>
        <w:t>1</w:t>
      </w:r>
      <w:r w:rsidRPr="007076F1">
        <w:t>2-0</w:t>
      </w:r>
      <w:r>
        <w:t>42.</w:t>
      </w:r>
      <w:r w:rsidRPr="007076F1">
        <w:t xml:space="preserve"> </w:t>
      </w:r>
      <w:r>
        <w:t>P</w:t>
      </w:r>
      <w:r w:rsidRPr="007076F1">
        <w:t xml:space="preserve">G&amp;E’s execution of the </w:t>
      </w:r>
      <w:r>
        <w:t>contract</w:t>
      </w:r>
      <w:r w:rsidRPr="007076F1">
        <w:t xml:space="preserve"> </w:t>
      </w:r>
      <w:r>
        <w:t xml:space="preserve">is also </w:t>
      </w:r>
      <w:r w:rsidRPr="007076F1">
        <w:t>consistent</w:t>
      </w:r>
      <w:r>
        <w:t xml:space="preserve"> with the </w:t>
      </w:r>
      <w:proofErr w:type="spellStart"/>
      <w:r>
        <w:t>BioRAM</w:t>
      </w:r>
      <w:proofErr w:type="spellEnd"/>
      <w:r>
        <w:t xml:space="preserve"> non-</w:t>
      </w:r>
      <w:proofErr w:type="spellStart"/>
      <w:r>
        <w:t>bypassable</w:t>
      </w:r>
      <w:proofErr w:type="spellEnd"/>
      <w:r>
        <w:t xml:space="preserve"> charge (NBC), approved in </w:t>
      </w:r>
      <w:r w:rsidRPr="005C2EFC">
        <w:t>D.18-12-003</w:t>
      </w:r>
      <w:r>
        <w:t>.</w:t>
      </w:r>
    </w:p>
    <w:p w:rsidR="001A49FF" w:rsidP="001A49FF" w:rsidRDefault="001A49FF" w14:paraId="19C5810C" w14:textId="77777777"/>
    <w:p w:rsidR="001A49FF" w:rsidP="001A49FF" w:rsidRDefault="001A49FF" w14:paraId="48F460BB" w14:textId="77777777">
      <w:pPr>
        <w:rPr>
          <w:highlight w:val="yellow"/>
        </w:rPr>
      </w:pPr>
      <w:r>
        <w:t>The contract between PG&amp;E and Woodland is</w:t>
      </w:r>
      <w:r w:rsidRPr="007076F1">
        <w:t xml:space="preserve"> </w:t>
      </w:r>
      <w:r>
        <w:t>subject to a contract price per se reasonableness benchmark set out in Resolution E-4977.</w:t>
      </w:r>
      <w:r w:rsidRPr="007076F1">
        <w:t xml:space="preserve"> </w:t>
      </w:r>
      <w:r w:rsidRPr="003D65D6">
        <w:t xml:space="preserve">The contract exceeds the price benchmark and to ensure cost reasonableness the contract is subject to a </w:t>
      </w:r>
      <w:r>
        <w:t>total cost recovery cap based on the per se reasonableness benchmark. Contract costs borne by</w:t>
      </w:r>
      <w:r w:rsidRPr="002A44FF">
        <w:t xml:space="preserve"> </w:t>
      </w:r>
      <w:r>
        <w:t>P</w:t>
      </w:r>
      <w:r w:rsidRPr="002A44FF">
        <w:t xml:space="preserve">G&amp;E pursuant to the </w:t>
      </w:r>
      <w:r>
        <w:t>BioRAM contract with Woodland</w:t>
      </w:r>
      <w:r w:rsidRPr="002A44FF">
        <w:t xml:space="preserve"> </w:t>
      </w:r>
      <w:r>
        <w:t xml:space="preserve">up to the </w:t>
      </w:r>
      <w:r>
        <w:lastRenderedPageBreak/>
        <w:t xml:space="preserve">cost cap </w:t>
      </w:r>
      <w:r w:rsidRPr="002A44FF">
        <w:t xml:space="preserve">shall be </w:t>
      </w:r>
      <w:r>
        <w:t>recovered</w:t>
      </w:r>
      <w:r w:rsidRPr="002A44FF">
        <w:t xml:space="preserve"> </w:t>
      </w:r>
      <w:r>
        <w:t>through</w:t>
      </w:r>
      <w:r w:rsidRPr="002A44FF">
        <w:t xml:space="preserve"> </w:t>
      </w:r>
      <w:r>
        <w:t>P</w:t>
      </w:r>
      <w:r w:rsidRPr="002A44FF">
        <w:t>G&amp;E’s Tree Mortality Non</w:t>
      </w:r>
      <w:r>
        <w:t>-</w:t>
      </w:r>
      <w:proofErr w:type="spellStart"/>
      <w:r>
        <w:t>B</w:t>
      </w:r>
      <w:r w:rsidRPr="002A44FF">
        <w:t>ypassable</w:t>
      </w:r>
      <w:proofErr w:type="spellEnd"/>
      <w:r w:rsidRPr="002A44FF">
        <w:t xml:space="preserve"> Charge Balancing Account (TMNBCBA). </w:t>
      </w:r>
    </w:p>
    <w:p w:rsidRPr="00F8094D" w:rsidR="001A49FF" w:rsidP="001A49FF" w:rsidRDefault="001A49FF" w14:paraId="622FC8B0" w14:textId="77777777">
      <w:pPr>
        <w:rPr>
          <w:highlight w:val="yellow"/>
        </w:rPr>
      </w:pPr>
    </w:p>
    <w:p w:rsidRPr="00A12DFB" w:rsidR="001A49FF" w:rsidP="001A49FF" w:rsidRDefault="001A49FF" w14:paraId="5E32F136" w14:textId="77777777">
      <w:r w:rsidRPr="00E814B6">
        <w:t xml:space="preserve">Table 1 below provides a summary of the </w:t>
      </w:r>
      <w:r>
        <w:t>contract</w:t>
      </w:r>
      <w:r w:rsidRPr="00E814B6">
        <w:t xml:space="preserve"> between </w:t>
      </w:r>
      <w:r>
        <w:t>P</w:t>
      </w:r>
      <w:r w:rsidRPr="00E814B6">
        <w:t xml:space="preserve">G&amp;E and </w:t>
      </w:r>
      <w:r>
        <w:t xml:space="preserve">Woodland. </w:t>
      </w:r>
    </w:p>
    <w:p w:rsidRPr="007076F1" w:rsidR="001A49FF" w:rsidP="001A49FF" w:rsidRDefault="001A49FF" w14:paraId="635C8652" w14:textId="77777777">
      <w:pPr>
        <w:rPr>
          <w:b/>
          <w:sz w:val="12"/>
          <w:szCs w:val="12"/>
        </w:rPr>
      </w:pPr>
    </w:p>
    <w:tbl>
      <w:tblPr>
        <w:tblStyle w:val="TableGrid"/>
        <w:tblW w:w="9659" w:type="dxa"/>
        <w:jc w:val="center"/>
        <w:tblLook w:val="04A0" w:firstRow="1" w:lastRow="0" w:firstColumn="1" w:lastColumn="0" w:noHBand="0" w:noVBand="1"/>
      </w:tblPr>
      <w:tblGrid>
        <w:gridCol w:w="1684"/>
        <w:gridCol w:w="1510"/>
        <w:gridCol w:w="1401"/>
        <w:gridCol w:w="1276"/>
        <w:gridCol w:w="1358"/>
        <w:gridCol w:w="1328"/>
        <w:gridCol w:w="1102"/>
      </w:tblGrid>
      <w:tr w:rsidRPr="007076F1" w:rsidR="001A49FF" w:rsidTr="00DC0948" w14:paraId="7FFCA641" w14:textId="77777777">
        <w:trPr>
          <w:trHeight w:val="393"/>
          <w:jc w:val="center"/>
        </w:trPr>
        <w:tc>
          <w:tcPr>
            <w:tcW w:w="9659" w:type="dxa"/>
            <w:gridSpan w:val="7"/>
            <w:shd w:val="clear" w:color="auto" w:fill="auto"/>
            <w:vAlign w:val="center"/>
          </w:tcPr>
          <w:p w:rsidRPr="00717BE1" w:rsidR="001A49FF" w:rsidP="00DC0948" w:rsidRDefault="001A49FF" w14:paraId="6F99F298" w14:textId="77777777">
            <w:pPr>
              <w:jc w:val="center"/>
              <w:rPr>
                <w:b/>
              </w:rPr>
            </w:pPr>
            <w:r w:rsidRPr="007076F1">
              <w:rPr>
                <w:b/>
              </w:rPr>
              <w:t xml:space="preserve">Table 1: Summary of </w:t>
            </w:r>
            <w:r>
              <w:rPr>
                <w:b/>
              </w:rPr>
              <w:t>the</w:t>
            </w:r>
            <w:r w:rsidRPr="007076F1">
              <w:rPr>
                <w:b/>
              </w:rPr>
              <w:t xml:space="preserve"> </w:t>
            </w:r>
            <w:r>
              <w:rPr>
                <w:b/>
              </w:rPr>
              <w:t xml:space="preserve">BioRAM Contract </w:t>
            </w:r>
          </w:p>
        </w:tc>
      </w:tr>
      <w:tr w:rsidRPr="007076F1" w:rsidR="001A49FF" w:rsidTr="00DC0948" w14:paraId="4AA423AC" w14:textId="77777777">
        <w:trPr>
          <w:trHeight w:val="393"/>
          <w:jc w:val="center"/>
        </w:trPr>
        <w:tc>
          <w:tcPr>
            <w:tcW w:w="1684" w:type="dxa"/>
            <w:shd w:val="clear" w:color="auto" w:fill="D9D9D9" w:themeFill="background1" w:themeFillShade="D9"/>
            <w:vAlign w:val="center"/>
          </w:tcPr>
          <w:p w:rsidRPr="00D323A2" w:rsidR="001A49FF" w:rsidP="00DC0948" w:rsidRDefault="001A49FF" w14:paraId="1A830154" w14:textId="77777777">
            <w:pPr>
              <w:spacing w:after="120"/>
              <w:jc w:val="center"/>
              <w:rPr>
                <w:b/>
                <w:sz w:val="24"/>
                <w:szCs w:val="24"/>
              </w:rPr>
            </w:pPr>
            <w:r w:rsidRPr="00D323A2">
              <w:rPr>
                <w:b/>
                <w:sz w:val="24"/>
                <w:szCs w:val="24"/>
              </w:rPr>
              <w:t>Counterparty</w:t>
            </w:r>
          </w:p>
        </w:tc>
        <w:tc>
          <w:tcPr>
            <w:tcW w:w="1510" w:type="dxa"/>
            <w:shd w:val="clear" w:color="auto" w:fill="D9D9D9" w:themeFill="background1" w:themeFillShade="D9"/>
            <w:vAlign w:val="center"/>
          </w:tcPr>
          <w:p w:rsidRPr="00D323A2" w:rsidR="001A49FF" w:rsidP="00DC0948" w:rsidRDefault="001A49FF" w14:paraId="2ED6B4C8" w14:textId="77777777">
            <w:pPr>
              <w:spacing w:after="120"/>
              <w:jc w:val="center"/>
              <w:rPr>
                <w:b/>
                <w:sz w:val="24"/>
                <w:szCs w:val="24"/>
              </w:rPr>
            </w:pPr>
            <w:r w:rsidRPr="00D323A2">
              <w:rPr>
                <w:b/>
                <w:sz w:val="24"/>
                <w:szCs w:val="24"/>
              </w:rPr>
              <w:t>Technology</w:t>
            </w:r>
          </w:p>
        </w:tc>
        <w:tc>
          <w:tcPr>
            <w:tcW w:w="1352" w:type="dxa"/>
            <w:shd w:val="clear" w:color="auto" w:fill="D9D9D9" w:themeFill="background1" w:themeFillShade="D9"/>
            <w:vAlign w:val="center"/>
          </w:tcPr>
          <w:p w:rsidRPr="00D323A2" w:rsidR="001A49FF" w:rsidP="00DC0948" w:rsidRDefault="001A49FF" w14:paraId="7DE21825" w14:textId="77777777">
            <w:pPr>
              <w:spacing w:after="120"/>
              <w:jc w:val="center"/>
              <w:rPr>
                <w:b/>
                <w:sz w:val="24"/>
                <w:szCs w:val="24"/>
              </w:rPr>
            </w:pPr>
            <w:r w:rsidRPr="00D323A2">
              <w:rPr>
                <w:b/>
                <w:sz w:val="24"/>
                <w:szCs w:val="24"/>
              </w:rPr>
              <w:t>Facility Location</w:t>
            </w:r>
          </w:p>
        </w:tc>
        <w:tc>
          <w:tcPr>
            <w:tcW w:w="1286" w:type="dxa"/>
            <w:shd w:val="clear" w:color="auto" w:fill="D9D9D9" w:themeFill="background1" w:themeFillShade="D9"/>
            <w:vAlign w:val="center"/>
          </w:tcPr>
          <w:p w:rsidRPr="00D323A2" w:rsidR="001A49FF" w:rsidP="00DC0948" w:rsidRDefault="001A49FF" w14:paraId="65C54C2F" w14:textId="77777777">
            <w:pPr>
              <w:spacing w:after="120"/>
              <w:jc w:val="center"/>
              <w:rPr>
                <w:b/>
                <w:sz w:val="24"/>
                <w:szCs w:val="24"/>
              </w:rPr>
            </w:pPr>
            <w:r w:rsidRPr="00D323A2">
              <w:rPr>
                <w:b/>
                <w:sz w:val="24"/>
                <w:szCs w:val="24"/>
              </w:rPr>
              <w:t>Capacity (MW)</w:t>
            </w:r>
          </w:p>
        </w:tc>
        <w:tc>
          <w:tcPr>
            <w:tcW w:w="1359" w:type="dxa"/>
            <w:shd w:val="clear" w:color="auto" w:fill="D9D9D9" w:themeFill="background1" w:themeFillShade="D9"/>
            <w:vAlign w:val="center"/>
          </w:tcPr>
          <w:p w:rsidRPr="00D323A2" w:rsidR="001A49FF" w:rsidP="00DC0948" w:rsidRDefault="001A49FF" w14:paraId="5D0893F2" w14:textId="77777777">
            <w:pPr>
              <w:spacing w:after="120"/>
              <w:jc w:val="center"/>
              <w:rPr>
                <w:b/>
                <w:sz w:val="24"/>
                <w:szCs w:val="24"/>
              </w:rPr>
            </w:pPr>
            <w:r w:rsidRPr="00D323A2">
              <w:rPr>
                <w:b/>
                <w:sz w:val="24"/>
                <w:szCs w:val="24"/>
              </w:rPr>
              <w:t>Est. Annual Deliveries (GWh)</w:t>
            </w:r>
          </w:p>
        </w:tc>
        <w:tc>
          <w:tcPr>
            <w:tcW w:w="1336" w:type="dxa"/>
            <w:shd w:val="clear" w:color="auto" w:fill="D9D9D9" w:themeFill="background1" w:themeFillShade="D9"/>
            <w:vAlign w:val="center"/>
          </w:tcPr>
          <w:p w:rsidRPr="00D323A2" w:rsidR="001A49FF" w:rsidP="00DC0948" w:rsidRDefault="001A49FF" w14:paraId="2D2081D5" w14:textId="77777777">
            <w:pPr>
              <w:spacing w:after="120"/>
              <w:jc w:val="center"/>
              <w:rPr>
                <w:b/>
                <w:sz w:val="24"/>
                <w:szCs w:val="24"/>
              </w:rPr>
            </w:pPr>
            <w:r w:rsidRPr="00D323A2">
              <w:rPr>
                <w:b/>
                <w:sz w:val="24"/>
                <w:szCs w:val="24"/>
              </w:rPr>
              <w:t>Expected Initial Delivery Date</w:t>
            </w:r>
          </w:p>
        </w:tc>
        <w:tc>
          <w:tcPr>
            <w:tcW w:w="1132" w:type="dxa"/>
            <w:shd w:val="clear" w:color="auto" w:fill="D9D9D9" w:themeFill="background1" w:themeFillShade="D9"/>
            <w:vAlign w:val="center"/>
          </w:tcPr>
          <w:p w:rsidRPr="00D323A2" w:rsidR="001A49FF" w:rsidP="00DC0948" w:rsidRDefault="001A49FF" w14:paraId="532196D4" w14:textId="77777777">
            <w:pPr>
              <w:spacing w:after="120"/>
              <w:jc w:val="center"/>
              <w:rPr>
                <w:b/>
                <w:sz w:val="24"/>
                <w:szCs w:val="24"/>
              </w:rPr>
            </w:pPr>
            <w:r w:rsidRPr="00D323A2">
              <w:rPr>
                <w:b/>
                <w:sz w:val="24"/>
                <w:szCs w:val="24"/>
              </w:rPr>
              <w:t>Term</w:t>
            </w:r>
          </w:p>
        </w:tc>
      </w:tr>
      <w:tr w:rsidRPr="007076F1" w:rsidR="001A49FF" w:rsidTr="00DC0948" w14:paraId="0DC261C3" w14:textId="77777777">
        <w:trPr>
          <w:trHeight w:val="393"/>
          <w:jc w:val="center"/>
        </w:trPr>
        <w:tc>
          <w:tcPr>
            <w:tcW w:w="1684" w:type="dxa"/>
            <w:vAlign w:val="center"/>
          </w:tcPr>
          <w:p w:rsidRPr="00D323A2" w:rsidR="001A49FF" w:rsidP="00DC0948" w:rsidRDefault="001A49FF" w14:paraId="15F96377" w14:textId="77777777">
            <w:pPr>
              <w:spacing w:after="120"/>
              <w:jc w:val="center"/>
              <w:rPr>
                <w:sz w:val="24"/>
                <w:szCs w:val="24"/>
              </w:rPr>
            </w:pPr>
            <w:r>
              <w:rPr>
                <w:sz w:val="24"/>
                <w:szCs w:val="24"/>
              </w:rPr>
              <w:t>Woodland</w:t>
            </w:r>
            <w:r w:rsidRPr="00D323A2">
              <w:rPr>
                <w:sz w:val="24"/>
                <w:szCs w:val="24"/>
              </w:rPr>
              <w:t xml:space="preserve"> </w:t>
            </w:r>
          </w:p>
        </w:tc>
        <w:tc>
          <w:tcPr>
            <w:tcW w:w="1510" w:type="dxa"/>
            <w:vAlign w:val="center"/>
          </w:tcPr>
          <w:p w:rsidRPr="00D323A2" w:rsidR="001A49FF" w:rsidP="00DC0948" w:rsidRDefault="001A49FF" w14:paraId="1B6987E0" w14:textId="77777777">
            <w:pPr>
              <w:spacing w:after="120"/>
              <w:jc w:val="center"/>
              <w:rPr>
                <w:sz w:val="24"/>
                <w:szCs w:val="24"/>
              </w:rPr>
            </w:pPr>
            <w:r w:rsidRPr="00D323A2">
              <w:rPr>
                <w:sz w:val="24"/>
                <w:szCs w:val="24"/>
              </w:rPr>
              <w:t>Biomass</w:t>
            </w:r>
          </w:p>
        </w:tc>
        <w:tc>
          <w:tcPr>
            <w:tcW w:w="1352" w:type="dxa"/>
            <w:vAlign w:val="center"/>
          </w:tcPr>
          <w:p w:rsidRPr="00D323A2" w:rsidR="001A49FF" w:rsidP="00DC0948" w:rsidRDefault="001A49FF" w14:paraId="3A8E6654" w14:textId="77777777">
            <w:pPr>
              <w:spacing w:after="120"/>
              <w:jc w:val="center"/>
              <w:rPr>
                <w:sz w:val="24"/>
                <w:szCs w:val="24"/>
                <w:highlight w:val="yellow"/>
              </w:rPr>
            </w:pPr>
            <w:r>
              <w:rPr>
                <w:sz w:val="24"/>
                <w:szCs w:val="24"/>
              </w:rPr>
              <w:t>Woodland</w:t>
            </w:r>
            <w:r w:rsidRPr="00D323A2">
              <w:rPr>
                <w:sz w:val="24"/>
                <w:szCs w:val="24"/>
              </w:rPr>
              <w:t>, CA</w:t>
            </w:r>
          </w:p>
        </w:tc>
        <w:tc>
          <w:tcPr>
            <w:tcW w:w="1286" w:type="dxa"/>
            <w:vAlign w:val="center"/>
          </w:tcPr>
          <w:p w:rsidRPr="00D323A2" w:rsidR="001A49FF" w:rsidP="00DC0948" w:rsidRDefault="001A49FF" w14:paraId="03F88913" w14:textId="77777777">
            <w:pPr>
              <w:spacing w:after="120"/>
              <w:jc w:val="center"/>
              <w:rPr>
                <w:sz w:val="24"/>
                <w:szCs w:val="24"/>
                <w:highlight w:val="yellow"/>
              </w:rPr>
            </w:pPr>
            <w:r w:rsidRPr="00C901C9">
              <w:rPr>
                <w:sz w:val="24"/>
                <w:szCs w:val="24"/>
              </w:rPr>
              <w:t>25</w:t>
            </w:r>
          </w:p>
        </w:tc>
        <w:tc>
          <w:tcPr>
            <w:tcW w:w="1359" w:type="dxa"/>
            <w:vAlign w:val="center"/>
          </w:tcPr>
          <w:p w:rsidRPr="00D323A2" w:rsidR="001A49FF" w:rsidP="00DC0948" w:rsidRDefault="001A49FF" w14:paraId="70AF483C" w14:textId="77777777">
            <w:pPr>
              <w:spacing w:after="120"/>
              <w:jc w:val="center"/>
              <w:rPr>
                <w:sz w:val="24"/>
                <w:szCs w:val="24"/>
              </w:rPr>
            </w:pPr>
            <w:r>
              <w:rPr>
                <w:sz w:val="24"/>
                <w:szCs w:val="24"/>
              </w:rPr>
              <w:t>168</w:t>
            </w:r>
          </w:p>
        </w:tc>
        <w:tc>
          <w:tcPr>
            <w:tcW w:w="1336" w:type="dxa"/>
            <w:vAlign w:val="center"/>
          </w:tcPr>
          <w:p w:rsidRPr="00D323A2" w:rsidR="001A49FF" w:rsidP="00DC0948" w:rsidRDefault="001A49FF" w14:paraId="0F7317B1" w14:textId="77777777">
            <w:pPr>
              <w:spacing w:after="120"/>
              <w:jc w:val="center"/>
              <w:rPr>
                <w:sz w:val="24"/>
                <w:szCs w:val="24"/>
              </w:rPr>
            </w:pPr>
            <w:r>
              <w:rPr>
                <w:sz w:val="24"/>
                <w:szCs w:val="24"/>
              </w:rPr>
              <w:t>Post-CPUC Approval</w:t>
            </w:r>
          </w:p>
        </w:tc>
        <w:tc>
          <w:tcPr>
            <w:tcW w:w="1132" w:type="dxa"/>
            <w:vAlign w:val="center"/>
          </w:tcPr>
          <w:p w:rsidRPr="00D323A2" w:rsidR="001A49FF" w:rsidP="00DC0948" w:rsidRDefault="001A49FF" w14:paraId="4D60985F" w14:textId="77777777">
            <w:pPr>
              <w:spacing w:after="120"/>
              <w:jc w:val="center"/>
              <w:rPr>
                <w:sz w:val="24"/>
                <w:szCs w:val="24"/>
              </w:rPr>
            </w:pPr>
            <w:r w:rsidRPr="00D323A2">
              <w:rPr>
                <w:sz w:val="24"/>
                <w:szCs w:val="24"/>
              </w:rPr>
              <w:t>5 years</w:t>
            </w:r>
          </w:p>
        </w:tc>
      </w:tr>
    </w:tbl>
    <w:p w:rsidR="001A49FF" w:rsidP="001A49FF" w:rsidRDefault="001A49FF" w14:paraId="752D22DE" w14:textId="77777777"/>
    <w:p w:rsidRPr="001A6F0C" w:rsidR="001A49FF" w:rsidP="001A49FF" w:rsidRDefault="001A49FF" w14:paraId="5F9FA538" w14:textId="77777777">
      <w:pPr>
        <w:pStyle w:val="Heading1"/>
      </w:pPr>
      <w:r w:rsidRPr="001A6F0C">
        <w:t>BACKGROUND</w:t>
      </w:r>
    </w:p>
    <w:p w:rsidRPr="00FA4D23" w:rsidR="001A49FF" w:rsidP="001A49FF" w:rsidRDefault="001A49FF" w14:paraId="0A9237E1" w14:textId="77777777">
      <w:pPr>
        <w:keepNext/>
        <w:spacing w:after="120"/>
        <w:rPr>
          <w:b/>
        </w:rPr>
      </w:pPr>
      <w:r w:rsidRPr="007076F1">
        <w:rPr>
          <w:b/>
        </w:rPr>
        <w:t>Overview of the Renewables Portfolio Standard (RPS) Program</w:t>
      </w:r>
    </w:p>
    <w:p w:rsidRPr="007076F1" w:rsidR="001A49FF" w:rsidP="001A49FF" w:rsidRDefault="001A49FF" w14:paraId="267660BF" w14:textId="77777777">
      <w:r w:rsidRPr="007076F1">
        <w:t>The California RPS program was established by Senate Bill (SB) 1078, and has been subsequently modified by SB 107, SB 1036, SB 2 (1X), SB 350 and SB 100.</w:t>
      </w:r>
      <w:r w:rsidRPr="007076F1">
        <w:rPr>
          <w:rStyle w:val="FootnoteReference"/>
        </w:rPr>
        <w:footnoteReference w:id="3"/>
      </w:r>
      <w:r w:rsidRPr="007076F1">
        <w:t xml:space="preserve"> The RPS program is codified in Public Utilities Code Sections 399.11-399.33.</w:t>
      </w:r>
      <w:r w:rsidRPr="007076F1">
        <w:rPr>
          <w:rStyle w:val="FootnoteReference"/>
        </w:rPr>
        <w:footnoteReference w:id="4"/>
      </w:r>
      <w:r w:rsidRPr="007076F1">
        <w:t xml:space="preserve">   </w:t>
      </w:r>
    </w:p>
    <w:p w:rsidRPr="007076F1" w:rsidR="001A49FF" w:rsidP="001A49FF" w:rsidRDefault="001A49FF" w14:paraId="266A4718" w14:textId="77777777">
      <w:r>
        <w:t>The</w:t>
      </w:r>
      <w:r w:rsidRPr="007076F1">
        <w:t xml:space="preserve"> RPS program administered by the C</w:t>
      </w:r>
      <w:r>
        <w:t>PUC</w:t>
      </w:r>
      <w:r w:rsidRPr="007076F1">
        <w:t xml:space="preserve"> requires each retail seller to procure eligible renewable energy resources </w:t>
      </w:r>
      <w:r>
        <w:t>equal to 60</w:t>
      </w:r>
      <w:r w:rsidRPr="007076F1">
        <w:t xml:space="preserve"> percent of retail sales by December 31, </w:t>
      </w:r>
      <w:r w:rsidRPr="007076F1">
        <w:rPr>
          <w:rFonts w:cstheme="minorHAnsi"/>
        </w:rPr>
        <w:t>2030</w:t>
      </w:r>
      <w:r w:rsidRPr="007076F1">
        <w:rPr>
          <w:rStyle w:val="FootnoteReference"/>
        </w:rPr>
        <w:footnoteReference w:id="5"/>
      </w:r>
      <w:r>
        <w:rPr>
          <w:rFonts w:cstheme="minorHAnsi"/>
        </w:rPr>
        <w:t>,</w:t>
      </w:r>
      <w:r w:rsidRPr="007076F1">
        <w:rPr>
          <w:rFonts w:cstheme="minorHAnsi"/>
        </w:rPr>
        <w:t xml:space="preserve"> </w:t>
      </w:r>
      <w:r>
        <w:rPr>
          <w:rFonts w:cstheme="minorHAnsi"/>
        </w:rPr>
        <w:t>with a goal for 100 percent of the State’s electricity supply to come from renewable and carbon-free resources by 2045</w:t>
      </w:r>
      <w:r w:rsidRPr="007076F1">
        <w:rPr>
          <w:rFonts w:cstheme="minorHAnsi"/>
        </w:rPr>
        <w:t>.</w:t>
      </w:r>
      <w:r w:rsidRPr="007076F1">
        <w:rPr>
          <w:rStyle w:val="FootnoteReference"/>
          <w:rFonts w:cstheme="minorHAnsi"/>
        </w:rPr>
        <w:footnoteReference w:id="6"/>
      </w:r>
    </w:p>
    <w:p w:rsidRPr="007076F1" w:rsidR="001A49FF" w:rsidP="001A49FF" w:rsidRDefault="001A49FF" w14:paraId="5636370A" w14:textId="77777777"/>
    <w:p w:rsidRPr="007076F1" w:rsidR="001A49FF" w:rsidP="001A49FF" w:rsidRDefault="001A49FF" w14:paraId="78EA53DF" w14:textId="77777777">
      <w:r w:rsidRPr="007076F1">
        <w:t>Additional background information about the C</w:t>
      </w:r>
      <w:r>
        <w:t>PUC</w:t>
      </w:r>
      <w:r w:rsidRPr="007076F1">
        <w:t xml:space="preserve">’s RPS </w:t>
      </w:r>
      <w:r>
        <w:t>p</w:t>
      </w:r>
      <w:r w:rsidRPr="007076F1">
        <w:t>rogram, including links to relevant laws and C</w:t>
      </w:r>
      <w:r>
        <w:t>PUC</w:t>
      </w:r>
      <w:r w:rsidRPr="007076F1">
        <w:t xml:space="preserve"> decisions, is available at </w:t>
      </w:r>
    </w:p>
    <w:p w:rsidR="001A49FF" w:rsidP="001A49FF" w:rsidRDefault="00284A93" w14:paraId="50A078AA" w14:textId="77777777">
      <w:hyperlink w:history="1" r:id="rId7">
        <w:r w:rsidR="001A49FF">
          <w:rPr>
            <w:rStyle w:val="Hyperlink"/>
          </w:rPr>
          <w:t>https://www.cpuc.ca.gov/RPS/</w:t>
        </w:r>
      </w:hyperlink>
      <w:r w:rsidRPr="007076F1" w:rsidR="001A49FF">
        <w:t xml:space="preserve"> and </w:t>
      </w:r>
      <w:hyperlink w:history="1" r:id="rId8">
        <w:r w:rsidR="001A49FF">
          <w:rPr>
            <w:rStyle w:val="Hyperlink"/>
          </w:rPr>
          <w:t>https://www.cpuc.ca.gov/RPS_Decisions_Proceedings/</w:t>
        </w:r>
      </w:hyperlink>
      <w:r w:rsidRPr="007076F1" w:rsidR="001A49FF">
        <w:t>.</w:t>
      </w:r>
    </w:p>
    <w:p w:rsidR="001A49FF" w:rsidP="001A49FF" w:rsidRDefault="001A49FF" w14:paraId="3741E5E7" w14:textId="77777777"/>
    <w:p w:rsidR="001A49FF" w:rsidP="001A49FF" w:rsidRDefault="001A49FF" w14:paraId="761DA814" w14:textId="77777777">
      <w:pPr>
        <w:rPr>
          <w:b/>
        </w:rPr>
      </w:pPr>
      <w:r w:rsidRPr="007076F1">
        <w:rPr>
          <w:b/>
        </w:rPr>
        <w:t xml:space="preserve">Overview of </w:t>
      </w:r>
      <w:r>
        <w:rPr>
          <w:b/>
        </w:rPr>
        <w:t>Biomass Procurement, the Tree Mortality Non-</w:t>
      </w:r>
      <w:proofErr w:type="spellStart"/>
      <w:r>
        <w:rPr>
          <w:b/>
        </w:rPr>
        <w:t>Bypassable</w:t>
      </w:r>
      <w:proofErr w:type="spellEnd"/>
      <w:r>
        <w:rPr>
          <w:b/>
        </w:rPr>
        <w:t xml:space="preserve"> Charge and SB 901</w:t>
      </w:r>
    </w:p>
    <w:p w:rsidR="001A49FF" w:rsidP="001A49FF" w:rsidRDefault="001A49FF" w14:paraId="6AC60D4F" w14:textId="77777777">
      <w:pPr>
        <w:rPr>
          <w:bCs/>
        </w:rPr>
      </w:pPr>
    </w:p>
    <w:p w:rsidRPr="00B23C9C" w:rsidR="001A49FF" w:rsidP="001A49FF" w:rsidRDefault="001A49FF" w14:paraId="4AF98E41" w14:textId="77777777">
      <w:pPr>
        <w:rPr>
          <w:bCs/>
        </w:rPr>
      </w:pPr>
      <w:r w:rsidRPr="00B23C9C">
        <w:rPr>
          <w:bCs/>
        </w:rPr>
        <w:t>On October 30, 2015</w:t>
      </w:r>
      <w:r>
        <w:rPr>
          <w:bCs/>
        </w:rPr>
        <w:t>,</w:t>
      </w:r>
      <w:r w:rsidRPr="00B23C9C">
        <w:rPr>
          <w:bCs/>
        </w:rPr>
        <w:t xml:space="preserve"> Governor Brown issued a Proclamation of a State of</w:t>
      </w:r>
      <w:r>
        <w:rPr>
          <w:bCs/>
        </w:rPr>
        <w:t xml:space="preserve"> </w:t>
      </w:r>
      <w:r w:rsidRPr="00B23C9C">
        <w:rPr>
          <w:bCs/>
        </w:rPr>
        <w:t xml:space="preserve">Emergency to address </w:t>
      </w:r>
      <w:r>
        <w:rPr>
          <w:bCs/>
        </w:rPr>
        <w:t>the</w:t>
      </w:r>
      <w:r w:rsidRPr="00B23C9C">
        <w:rPr>
          <w:bCs/>
        </w:rPr>
        <w:t xml:space="preserve"> tree mortality crisis in California. The</w:t>
      </w:r>
      <w:r>
        <w:rPr>
          <w:bCs/>
        </w:rPr>
        <w:t xml:space="preserve"> </w:t>
      </w:r>
      <w:r w:rsidRPr="00B23C9C">
        <w:rPr>
          <w:bCs/>
        </w:rPr>
        <w:t>Proclamation classified the dead and dying trees located in designated high-hazard zones</w:t>
      </w:r>
      <w:r>
        <w:rPr>
          <w:bCs/>
        </w:rPr>
        <w:t xml:space="preserve"> </w:t>
      </w:r>
      <w:r w:rsidRPr="00B23C9C">
        <w:rPr>
          <w:bCs/>
        </w:rPr>
        <w:t xml:space="preserve">(HHZ) as being a high priority for removal. In response to the Proclamation, the </w:t>
      </w:r>
      <w:r>
        <w:rPr>
          <w:bCs/>
        </w:rPr>
        <w:t>CPUC</w:t>
      </w:r>
      <w:r w:rsidRPr="00B23C9C">
        <w:rPr>
          <w:bCs/>
        </w:rPr>
        <w:t xml:space="preserve"> issued Resolution E-4770, requiring that</w:t>
      </w:r>
      <w:r>
        <w:rPr>
          <w:bCs/>
        </w:rPr>
        <w:t xml:space="preserve"> the three large investor-owned</w:t>
      </w:r>
      <w:r w:rsidRPr="00B23C9C">
        <w:rPr>
          <w:bCs/>
        </w:rPr>
        <w:t xml:space="preserve"> utilities </w:t>
      </w:r>
      <w:proofErr w:type="gramStart"/>
      <w:r w:rsidRPr="00B23C9C">
        <w:rPr>
          <w:bCs/>
        </w:rPr>
        <w:t>enter into</w:t>
      </w:r>
      <w:proofErr w:type="gramEnd"/>
      <w:r w:rsidRPr="00B23C9C">
        <w:rPr>
          <w:bCs/>
        </w:rPr>
        <w:t xml:space="preserve"> contracts to purchase their share of at least 50 megawatts (MW) of generating capacity collectively from biomass generation facilities that use minimum prescribed levels of HHZ material as feedstock.</w:t>
      </w:r>
    </w:p>
    <w:p w:rsidRPr="00B23C9C" w:rsidR="001A49FF" w:rsidP="001A49FF" w:rsidRDefault="001A49FF" w14:paraId="62D32582" w14:textId="77777777">
      <w:pPr>
        <w:rPr>
          <w:bCs/>
        </w:rPr>
      </w:pPr>
    </w:p>
    <w:p w:rsidR="001A49FF" w:rsidP="001A49FF" w:rsidRDefault="001A49FF" w14:paraId="5952DA85" w14:textId="77777777">
      <w:pPr>
        <w:rPr>
          <w:bCs/>
        </w:rPr>
      </w:pPr>
      <w:r w:rsidRPr="00B23C9C">
        <w:rPr>
          <w:bCs/>
        </w:rPr>
        <w:t>In 2016</w:t>
      </w:r>
      <w:r>
        <w:rPr>
          <w:bCs/>
        </w:rPr>
        <w:t>,</w:t>
      </w:r>
      <w:r w:rsidRPr="00B23C9C">
        <w:rPr>
          <w:bCs/>
        </w:rPr>
        <w:t xml:space="preserve"> S</w:t>
      </w:r>
      <w:r>
        <w:rPr>
          <w:bCs/>
        </w:rPr>
        <w:t>B</w:t>
      </w:r>
      <w:r w:rsidRPr="00B23C9C">
        <w:rPr>
          <w:bCs/>
        </w:rPr>
        <w:t xml:space="preserve"> 859 (stats. 2016, </w:t>
      </w:r>
      <w:proofErr w:type="spellStart"/>
      <w:r w:rsidRPr="00B23C9C">
        <w:rPr>
          <w:bCs/>
        </w:rPr>
        <w:t>ch.</w:t>
      </w:r>
      <w:proofErr w:type="spellEnd"/>
      <w:r w:rsidRPr="00B23C9C">
        <w:rPr>
          <w:bCs/>
        </w:rPr>
        <w:t xml:space="preserve"> 368) was enacted. SB 859 included a new requirement for electrical corporations to procure their respective shares of 125 MW from existing biomass facilities using prescribed amounts of dead and dying trees located in HHZs as feedstock. In addition, SB 859 added Pub. Util. Code § 399.20.3(f) to require that the procurement costs to satisfy this</w:t>
      </w:r>
      <w:r>
        <w:rPr>
          <w:bCs/>
        </w:rPr>
        <w:t xml:space="preserve"> </w:t>
      </w:r>
      <w:r w:rsidRPr="00B23C9C">
        <w:rPr>
          <w:bCs/>
        </w:rPr>
        <w:t>requirement be recovered from all customers on a non-</w:t>
      </w:r>
      <w:proofErr w:type="spellStart"/>
      <w:r w:rsidRPr="00B23C9C">
        <w:rPr>
          <w:bCs/>
        </w:rPr>
        <w:t>bypassable</w:t>
      </w:r>
      <w:proofErr w:type="spellEnd"/>
      <w:r w:rsidRPr="00B23C9C">
        <w:rPr>
          <w:bCs/>
        </w:rPr>
        <w:t xml:space="preserve"> basis. </w:t>
      </w:r>
    </w:p>
    <w:p w:rsidR="001A49FF" w:rsidP="001A49FF" w:rsidRDefault="001A49FF" w14:paraId="5A96088A" w14:textId="77777777">
      <w:pPr>
        <w:rPr>
          <w:bCs/>
        </w:rPr>
      </w:pPr>
    </w:p>
    <w:p w:rsidR="001A49FF" w:rsidP="001A49FF" w:rsidRDefault="001A49FF" w14:paraId="48D2895F" w14:textId="77777777">
      <w:pPr>
        <w:rPr>
          <w:bCs/>
        </w:rPr>
      </w:pPr>
      <w:r>
        <w:rPr>
          <w:bCs/>
        </w:rPr>
        <w:t>In Decision D.18-12-003, the CPUC established a non-</w:t>
      </w:r>
      <w:proofErr w:type="spellStart"/>
      <w:r>
        <w:rPr>
          <w:bCs/>
        </w:rPr>
        <w:t>bypassable</w:t>
      </w:r>
      <w:proofErr w:type="spellEnd"/>
      <w:r>
        <w:rPr>
          <w:bCs/>
        </w:rPr>
        <w:t xml:space="preserve"> charge for costs associated with tree mortality biomass energy procurement. The Tree Mortality Non-</w:t>
      </w:r>
      <w:proofErr w:type="spellStart"/>
      <w:r>
        <w:rPr>
          <w:bCs/>
        </w:rPr>
        <w:t>Bypassable</w:t>
      </w:r>
      <w:proofErr w:type="spellEnd"/>
      <w:r>
        <w:rPr>
          <w:bCs/>
        </w:rPr>
        <w:t xml:space="preserve"> Charge (TMNBC) applies to all procurement conducted pursuant to Resolution E-4770</w:t>
      </w:r>
      <w:r>
        <w:rPr>
          <w:rStyle w:val="FootnoteReference"/>
          <w:bCs/>
        </w:rPr>
        <w:footnoteReference w:id="7"/>
      </w:r>
      <w:r>
        <w:rPr>
          <w:bCs/>
        </w:rPr>
        <w:t xml:space="preserve"> and Resolution E-4805.</w:t>
      </w:r>
      <w:r>
        <w:rPr>
          <w:rStyle w:val="FootnoteReference"/>
          <w:bCs/>
        </w:rPr>
        <w:footnoteReference w:id="8"/>
      </w:r>
      <w:r>
        <w:rPr>
          <w:bCs/>
        </w:rPr>
        <w:t xml:space="preserve"> The decision ordered all IOUs to make the renewable energy and associated RECs from their tree-mortality related procurement available for sale. The revenues collected from </w:t>
      </w:r>
      <w:r>
        <w:rPr>
          <w:bCs/>
        </w:rPr>
        <w:lastRenderedPageBreak/>
        <w:t>REC sales associated with bioenergy procurement are to be deducted from the IOUs’ TMNBC.</w:t>
      </w:r>
      <w:r>
        <w:rPr>
          <w:rStyle w:val="FootnoteReference"/>
          <w:bCs/>
        </w:rPr>
        <w:footnoteReference w:id="9"/>
      </w:r>
    </w:p>
    <w:p w:rsidR="001A49FF" w:rsidP="001A49FF" w:rsidRDefault="001A49FF" w14:paraId="4FECE949" w14:textId="77777777">
      <w:pPr>
        <w:rPr>
          <w:bCs/>
        </w:rPr>
      </w:pPr>
    </w:p>
    <w:p w:rsidR="001A49FF" w:rsidP="001A49FF" w:rsidRDefault="001A49FF" w14:paraId="4EBE8550" w14:textId="77777777">
      <w:pPr>
        <w:spacing w:after="240"/>
        <w:rPr>
          <w:bCs/>
        </w:rPr>
      </w:pPr>
      <w:r>
        <w:rPr>
          <w:bCs/>
        </w:rPr>
        <w:t xml:space="preserve">In 2018, </w:t>
      </w:r>
      <w:r w:rsidRPr="00B42C63">
        <w:rPr>
          <w:bCs/>
        </w:rPr>
        <w:t>S</w:t>
      </w:r>
      <w:r>
        <w:rPr>
          <w:bCs/>
        </w:rPr>
        <w:t>B</w:t>
      </w:r>
      <w:r w:rsidRPr="00B42C63">
        <w:rPr>
          <w:bCs/>
        </w:rPr>
        <w:t xml:space="preserve"> 901 (</w:t>
      </w:r>
      <w:r>
        <w:rPr>
          <w:bCs/>
        </w:rPr>
        <w:t xml:space="preserve">stats. 2018, </w:t>
      </w:r>
      <w:proofErr w:type="spellStart"/>
      <w:r>
        <w:rPr>
          <w:bCs/>
        </w:rPr>
        <w:t>ch.</w:t>
      </w:r>
      <w:proofErr w:type="spellEnd"/>
      <w:r>
        <w:rPr>
          <w:bCs/>
        </w:rPr>
        <w:t xml:space="preserve"> 626</w:t>
      </w:r>
      <w:r w:rsidRPr="00B42C63">
        <w:rPr>
          <w:bCs/>
        </w:rPr>
        <w:t xml:space="preserve">) further amended the BioRAM program to add program flexibility and extend certain </w:t>
      </w:r>
      <w:r>
        <w:rPr>
          <w:bCs/>
        </w:rPr>
        <w:t xml:space="preserve">biomass </w:t>
      </w:r>
      <w:r w:rsidRPr="00B42C63">
        <w:rPr>
          <w:bCs/>
        </w:rPr>
        <w:t>contracts by five years. In January 2019, the CPUC issued Resolution E-4977</w:t>
      </w:r>
      <w:r>
        <w:rPr>
          <w:rStyle w:val="FootnoteReference"/>
          <w:bCs/>
        </w:rPr>
        <w:footnoteReference w:id="10"/>
      </w:r>
      <w:r w:rsidRPr="00B42C63">
        <w:rPr>
          <w:bCs/>
        </w:rPr>
        <w:t xml:space="preserve"> implementing SB 901 by ordering the IOUs to amend their </w:t>
      </w:r>
      <w:r>
        <w:rPr>
          <w:bCs/>
        </w:rPr>
        <w:t xml:space="preserve">existing </w:t>
      </w:r>
      <w:r w:rsidRPr="00B42C63">
        <w:rPr>
          <w:bCs/>
        </w:rPr>
        <w:t xml:space="preserve">BioRAM contracts to expand the eligible fuel stock that can be classified as HHZ fuel, offer </w:t>
      </w:r>
      <w:r>
        <w:rPr>
          <w:bCs/>
        </w:rPr>
        <w:t>facilities</w:t>
      </w:r>
      <w:r w:rsidRPr="00B42C63">
        <w:rPr>
          <w:bCs/>
        </w:rPr>
        <w:t xml:space="preserve"> a monthly opt-out and reporting option for annual fuel use requirements, and remove missed fuel requirements as an event of default. </w:t>
      </w:r>
    </w:p>
    <w:p w:rsidRPr="005000A2" w:rsidR="001A49FF" w:rsidP="001A49FF" w:rsidRDefault="001A49FF" w14:paraId="7E0D2833" w14:textId="77777777">
      <w:pPr>
        <w:spacing w:after="240"/>
        <w:rPr>
          <w:bCs/>
        </w:rPr>
      </w:pPr>
      <w:r w:rsidRPr="00B42C63">
        <w:rPr>
          <w:bCs/>
        </w:rPr>
        <w:t>Resolution</w:t>
      </w:r>
      <w:r>
        <w:rPr>
          <w:bCs/>
        </w:rPr>
        <w:t xml:space="preserve"> E-4977</w:t>
      </w:r>
      <w:r w:rsidRPr="00B42C63">
        <w:rPr>
          <w:bCs/>
        </w:rPr>
        <w:t xml:space="preserve"> ordered the IOUs to seek to extend eligible BioRAM and other biomass contracts by five years</w:t>
      </w:r>
      <w:r>
        <w:rPr>
          <w:bCs/>
        </w:rPr>
        <w:t xml:space="preserve"> and to execute new BioRAM contracts with eligible biomass facilities</w:t>
      </w:r>
      <w:r w:rsidRPr="00B42C63">
        <w:rPr>
          <w:bCs/>
        </w:rPr>
        <w:t>.</w:t>
      </w:r>
      <w:r>
        <w:rPr>
          <w:bCs/>
        </w:rPr>
        <w:t xml:space="preserve"> The Resolution also set a per se reasonableness price benchmark for all new or extended BioRAM contracts executed pursuant to SB 901.</w:t>
      </w:r>
      <w:r>
        <w:rPr>
          <w:rStyle w:val="FootnoteReference"/>
          <w:bCs/>
        </w:rPr>
        <w:footnoteReference w:id="11"/>
      </w:r>
      <w:r>
        <w:rPr>
          <w:bCs/>
        </w:rPr>
        <w:t xml:space="preserve"> </w:t>
      </w:r>
      <w:r w:rsidRPr="00C06B49">
        <w:rPr>
          <w:bCs/>
        </w:rPr>
        <w:t xml:space="preserve">Resolution E-4977 provides a method for an IOU to request a proposed BioRAM contract </w:t>
      </w:r>
      <w:r>
        <w:rPr>
          <w:bCs/>
        </w:rPr>
        <w:t>with</w:t>
      </w:r>
      <w:r w:rsidRPr="00C06B49">
        <w:rPr>
          <w:bCs/>
        </w:rPr>
        <w:t xml:space="preserve"> an above benchmark price.</w:t>
      </w:r>
    </w:p>
    <w:p w:rsidRPr="007076F1" w:rsidR="001A49FF" w:rsidP="001A49FF" w:rsidRDefault="001A49FF" w14:paraId="59CC1A12" w14:textId="77777777">
      <w:pPr>
        <w:pStyle w:val="Heading1"/>
        <w:rPr>
          <w:rFonts w:ascii="Palatino Linotype" w:hAnsi="Palatino Linotype"/>
        </w:rPr>
      </w:pPr>
      <w:r w:rsidRPr="007076F1">
        <w:rPr>
          <w:rFonts w:ascii="Palatino Linotype" w:hAnsi="Palatino Linotype"/>
        </w:rPr>
        <w:t>Notice</w:t>
      </w:r>
    </w:p>
    <w:p w:rsidRPr="007076F1" w:rsidR="001A49FF" w:rsidP="001A49FF" w:rsidRDefault="001A49FF" w14:paraId="061113F6" w14:textId="77777777">
      <w:pPr>
        <w:spacing w:after="240"/>
      </w:pPr>
      <w:r w:rsidRPr="00F268C5">
        <w:t xml:space="preserve">Notice of </w:t>
      </w:r>
      <w:r>
        <w:t>Advice Letter (</w:t>
      </w:r>
      <w:r w:rsidRPr="00F268C5">
        <w:t>AL</w:t>
      </w:r>
      <w:r>
        <w:t>)</w:t>
      </w:r>
      <w:r w:rsidRPr="00F268C5">
        <w:t xml:space="preserve"> </w:t>
      </w:r>
      <w:r>
        <w:t xml:space="preserve">5983-E </w:t>
      </w:r>
      <w:r w:rsidRPr="00F268C5">
        <w:t>w</w:t>
      </w:r>
      <w:r>
        <w:t>as</w:t>
      </w:r>
      <w:r w:rsidRPr="00F268C5">
        <w:t xml:space="preserve"> </w:t>
      </w:r>
      <w:r>
        <w:t xml:space="preserve">published </w:t>
      </w:r>
      <w:r w:rsidRPr="00F268C5">
        <w:t>in the C</w:t>
      </w:r>
      <w:r>
        <w:t>PUC’</w:t>
      </w:r>
      <w:r w:rsidRPr="00F268C5">
        <w:t>s Daily Calendar</w:t>
      </w:r>
      <w:r>
        <w:t xml:space="preserve"> on October 30, 2020</w:t>
      </w:r>
      <w:r w:rsidRPr="00F268C5">
        <w:t xml:space="preserve">.  </w:t>
      </w:r>
      <w:r>
        <w:t>PG&amp;E</w:t>
      </w:r>
      <w:r w:rsidRPr="007076F1">
        <w:t xml:space="preserve"> states that </w:t>
      </w:r>
      <w:r>
        <w:t>copies</w:t>
      </w:r>
      <w:r w:rsidRPr="007076F1">
        <w:t xml:space="preserve"> of A</w:t>
      </w:r>
      <w:r>
        <w:t>L 5983</w:t>
      </w:r>
      <w:r w:rsidRPr="007076F1">
        <w:t>-E</w:t>
      </w:r>
      <w:r>
        <w:t xml:space="preserve"> </w:t>
      </w:r>
      <w:r w:rsidRPr="007076F1">
        <w:t>w</w:t>
      </w:r>
      <w:r>
        <w:t>ere</w:t>
      </w:r>
      <w:r w:rsidRPr="007076F1">
        <w:t xml:space="preserve"> mailed and distributed to the R.18-07-003</w:t>
      </w:r>
      <w:r>
        <w:t xml:space="preserve"> </w:t>
      </w:r>
      <w:r w:rsidRPr="007076F1">
        <w:t xml:space="preserve">service list in accordance with Section </w:t>
      </w:r>
      <w:r>
        <w:t>IV</w:t>
      </w:r>
      <w:r w:rsidRPr="007076F1">
        <w:t xml:space="preserve"> of General Order 96-B. </w:t>
      </w:r>
    </w:p>
    <w:p w:rsidRPr="007076F1" w:rsidR="001A49FF" w:rsidP="001A49FF" w:rsidRDefault="001A49FF" w14:paraId="58377BAA" w14:textId="77777777">
      <w:pPr>
        <w:pStyle w:val="Heading1"/>
        <w:rPr>
          <w:rFonts w:ascii="Palatino Linotype" w:hAnsi="Palatino Linotype"/>
        </w:rPr>
      </w:pPr>
      <w:r w:rsidRPr="007C160B">
        <w:rPr>
          <w:rFonts w:ascii="Palatino Linotype" w:hAnsi="Palatino Linotype"/>
        </w:rPr>
        <w:t>Protests</w:t>
      </w:r>
    </w:p>
    <w:p w:rsidR="00AE03A9" w:rsidP="001A49FF" w:rsidRDefault="001A49FF" w14:paraId="5349D908" w14:textId="77777777">
      <w:pPr>
        <w:rPr>
          <w:szCs w:val="26"/>
        </w:rPr>
      </w:pPr>
      <w:r>
        <w:rPr>
          <w:szCs w:val="26"/>
        </w:rPr>
        <w:t>P</w:t>
      </w:r>
      <w:r w:rsidRPr="008F2CCA">
        <w:rPr>
          <w:szCs w:val="26"/>
        </w:rPr>
        <w:t xml:space="preserve">G&amp;E Advice Letter </w:t>
      </w:r>
      <w:r>
        <w:rPr>
          <w:szCs w:val="26"/>
        </w:rPr>
        <w:t>5983</w:t>
      </w:r>
      <w:r w:rsidRPr="008F2CCA">
        <w:rPr>
          <w:szCs w:val="26"/>
        </w:rPr>
        <w:t xml:space="preserve">-E was timely protested by the Public Advocates Office (Cal Advocates) on </w:t>
      </w:r>
      <w:r>
        <w:rPr>
          <w:szCs w:val="26"/>
        </w:rPr>
        <w:t>November 16, 2020</w:t>
      </w:r>
      <w:r w:rsidRPr="008F2CCA">
        <w:rPr>
          <w:szCs w:val="26"/>
        </w:rPr>
        <w:t xml:space="preserve">. </w:t>
      </w:r>
      <w:r>
        <w:rPr>
          <w:szCs w:val="26"/>
        </w:rPr>
        <w:t>P</w:t>
      </w:r>
      <w:r w:rsidRPr="008F2CCA">
        <w:rPr>
          <w:szCs w:val="26"/>
        </w:rPr>
        <w:t>G&amp;E</w:t>
      </w:r>
      <w:r>
        <w:rPr>
          <w:szCs w:val="26"/>
        </w:rPr>
        <w:t xml:space="preserve"> </w:t>
      </w:r>
      <w:r w:rsidRPr="008F2CCA">
        <w:rPr>
          <w:szCs w:val="26"/>
        </w:rPr>
        <w:t>filed</w:t>
      </w:r>
      <w:r>
        <w:rPr>
          <w:szCs w:val="26"/>
        </w:rPr>
        <w:t xml:space="preserve"> a reply to the protest</w:t>
      </w:r>
      <w:r w:rsidRPr="008F2CCA">
        <w:rPr>
          <w:szCs w:val="26"/>
        </w:rPr>
        <w:t xml:space="preserve"> on </w:t>
      </w:r>
      <w:r>
        <w:rPr>
          <w:szCs w:val="26"/>
        </w:rPr>
        <w:t>November 23, 2020</w:t>
      </w:r>
      <w:r w:rsidRPr="008F2CCA">
        <w:rPr>
          <w:szCs w:val="26"/>
        </w:rPr>
        <w:t xml:space="preserve">. Cal Advocates requested </w:t>
      </w:r>
      <w:r>
        <w:rPr>
          <w:szCs w:val="26"/>
        </w:rPr>
        <w:t xml:space="preserve">that </w:t>
      </w:r>
      <w:r w:rsidRPr="008F2CCA">
        <w:rPr>
          <w:szCs w:val="26"/>
        </w:rPr>
        <w:t xml:space="preserve">the CPUC reject AL </w:t>
      </w:r>
      <w:r>
        <w:rPr>
          <w:szCs w:val="26"/>
        </w:rPr>
        <w:t xml:space="preserve">5983-E, </w:t>
      </w:r>
      <w:r>
        <w:rPr>
          <w:szCs w:val="26"/>
        </w:rPr>
        <w:lastRenderedPageBreak/>
        <w:t xml:space="preserve">asserting that </w:t>
      </w:r>
      <w:r w:rsidRPr="00BC6627">
        <w:rPr>
          <w:szCs w:val="26"/>
        </w:rPr>
        <w:t>PG&amp;E</w:t>
      </w:r>
      <w:r>
        <w:rPr>
          <w:szCs w:val="26"/>
        </w:rPr>
        <w:t xml:space="preserve"> </w:t>
      </w:r>
      <w:r w:rsidRPr="00BC6627">
        <w:rPr>
          <w:szCs w:val="26"/>
        </w:rPr>
        <w:t xml:space="preserve">failed to demonstrate why </w:t>
      </w:r>
      <w:r>
        <w:rPr>
          <w:szCs w:val="26"/>
        </w:rPr>
        <w:t xml:space="preserve">the </w:t>
      </w:r>
      <w:r w:rsidRPr="00BC6627">
        <w:rPr>
          <w:szCs w:val="26"/>
        </w:rPr>
        <w:t>contract price is reasonable</w:t>
      </w:r>
      <w:r>
        <w:rPr>
          <w:szCs w:val="26"/>
        </w:rPr>
        <w:t xml:space="preserve"> and</w:t>
      </w:r>
      <w:r w:rsidRPr="00BC6627">
        <w:rPr>
          <w:szCs w:val="26"/>
        </w:rPr>
        <w:t xml:space="preserve"> </w:t>
      </w:r>
      <w:r>
        <w:rPr>
          <w:szCs w:val="26"/>
        </w:rPr>
        <w:t xml:space="preserve">therefore </w:t>
      </w:r>
      <w:r w:rsidRPr="00BC6627">
        <w:rPr>
          <w:szCs w:val="26"/>
        </w:rPr>
        <w:t>PG&amp;E is not in compliance with</w:t>
      </w:r>
      <w:r>
        <w:rPr>
          <w:szCs w:val="26"/>
        </w:rPr>
        <w:t xml:space="preserve"> the requirements of</w:t>
      </w:r>
      <w:r w:rsidRPr="00BC6627">
        <w:rPr>
          <w:szCs w:val="26"/>
        </w:rPr>
        <w:t xml:space="preserve"> Resolution </w:t>
      </w:r>
    </w:p>
    <w:p w:rsidR="001A49FF" w:rsidP="001A49FF" w:rsidRDefault="001A49FF" w14:paraId="6390048B" w14:textId="2493C06D">
      <w:pPr>
        <w:rPr>
          <w:szCs w:val="26"/>
        </w:rPr>
      </w:pPr>
      <w:r w:rsidRPr="00BC6627">
        <w:rPr>
          <w:szCs w:val="26"/>
        </w:rPr>
        <w:t>E-4977</w:t>
      </w:r>
      <w:r>
        <w:rPr>
          <w:szCs w:val="26"/>
        </w:rPr>
        <w:t xml:space="preserve">. In their reply, PG&amp;E argues that the reasonableness of the contract price has been demonstrated in AL 5983-E and the contract should be approved. </w:t>
      </w:r>
    </w:p>
    <w:p w:rsidR="001A49FF" w:rsidP="001A49FF" w:rsidRDefault="001A49FF" w14:paraId="270B35E5" w14:textId="77777777">
      <w:pPr>
        <w:rPr>
          <w:szCs w:val="26"/>
        </w:rPr>
      </w:pPr>
    </w:p>
    <w:p w:rsidRPr="008F2CCA" w:rsidR="001A49FF" w:rsidP="001A49FF" w:rsidRDefault="001A49FF" w14:paraId="741F4D28" w14:textId="77777777">
      <w:pPr>
        <w:rPr>
          <w:szCs w:val="26"/>
        </w:rPr>
      </w:pPr>
      <w:r>
        <w:rPr>
          <w:szCs w:val="26"/>
        </w:rPr>
        <w:t xml:space="preserve">We discuss Cal Advocates’ protest and PG&amp;E’s reply in the “Discussion” section of this Resolution. </w:t>
      </w:r>
    </w:p>
    <w:p w:rsidRPr="008F2CCA" w:rsidR="001A49FF" w:rsidP="001A49FF" w:rsidRDefault="001A49FF" w14:paraId="6FDFF5DC" w14:textId="77777777">
      <w:pPr>
        <w:rPr>
          <w:szCs w:val="26"/>
        </w:rPr>
      </w:pPr>
    </w:p>
    <w:p w:rsidRPr="007076F1" w:rsidR="001A49FF" w:rsidP="001A49FF" w:rsidRDefault="001A49FF" w14:paraId="7DE7DC59" w14:textId="77777777">
      <w:pPr>
        <w:pStyle w:val="Heading1"/>
        <w:rPr>
          <w:rFonts w:ascii="Palatino Linotype" w:hAnsi="Palatino Linotype"/>
        </w:rPr>
      </w:pPr>
      <w:r w:rsidRPr="00395900">
        <w:rPr>
          <w:rFonts w:ascii="Palatino Linotype" w:hAnsi="Palatino Linotype"/>
        </w:rPr>
        <w:t>Discussion</w:t>
      </w:r>
    </w:p>
    <w:p w:rsidRPr="007076F1" w:rsidR="001A49FF" w:rsidP="001A49FF" w:rsidRDefault="001A49FF" w14:paraId="42FD4408" w14:textId="77777777">
      <w:pPr>
        <w:spacing w:after="120"/>
        <w:rPr>
          <w:b/>
        </w:rPr>
      </w:pPr>
      <w:r>
        <w:rPr>
          <w:b/>
        </w:rPr>
        <w:t xml:space="preserve">Pacific Gas and Electric Company (PG&amp;E) </w:t>
      </w:r>
      <w:r w:rsidRPr="007076F1">
        <w:rPr>
          <w:b/>
        </w:rPr>
        <w:t>requests approval of</w:t>
      </w:r>
      <w:r>
        <w:rPr>
          <w:b/>
        </w:rPr>
        <w:t xml:space="preserve"> a Bioenergy Renewable Auction Mechanism (BioRAM) contract with Woodland Biomass Power, LLC (Woodland). </w:t>
      </w:r>
    </w:p>
    <w:p w:rsidRPr="007076F1" w:rsidR="001A49FF" w:rsidP="001A49FF" w:rsidRDefault="001A49FF" w14:paraId="0927D0EF" w14:textId="77777777">
      <w:pPr>
        <w:rPr>
          <w:szCs w:val="26"/>
        </w:rPr>
      </w:pPr>
      <w:r w:rsidRPr="007076F1">
        <w:rPr>
          <w:szCs w:val="26"/>
        </w:rPr>
        <w:t xml:space="preserve">On </w:t>
      </w:r>
      <w:r>
        <w:rPr>
          <w:szCs w:val="26"/>
        </w:rPr>
        <w:t>October 27</w:t>
      </w:r>
      <w:r w:rsidRPr="007076F1">
        <w:rPr>
          <w:szCs w:val="26"/>
        </w:rPr>
        <w:t>,</w:t>
      </w:r>
      <w:r>
        <w:rPr>
          <w:szCs w:val="26"/>
        </w:rPr>
        <w:t xml:space="preserve"> 2020,</w:t>
      </w:r>
      <w:r w:rsidRPr="007076F1">
        <w:rPr>
          <w:szCs w:val="26"/>
        </w:rPr>
        <w:t xml:space="preserve"> </w:t>
      </w:r>
      <w:r>
        <w:rPr>
          <w:szCs w:val="26"/>
        </w:rPr>
        <w:t>P</w:t>
      </w:r>
      <w:r w:rsidRPr="007076F1">
        <w:rPr>
          <w:szCs w:val="26"/>
        </w:rPr>
        <w:t xml:space="preserve">G&amp;E filed AL </w:t>
      </w:r>
      <w:r>
        <w:rPr>
          <w:szCs w:val="26"/>
        </w:rPr>
        <w:t>5983-E</w:t>
      </w:r>
      <w:r w:rsidRPr="007076F1">
        <w:rPr>
          <w:szCs w:val="26"/>
        </w:rPr>
        <w:t xml:space="preserve"> requesting approval of </w:t>
      </w:r>
      <w:r>
        <w:rPr>
          <w:szCs w:val="26"/>
        </w:rPr>
        <w:t>a new</w:t>
      </w:r>
      <w:r w:rsidRPr="007076F1">
        <w:rPr>
          <w:szCs w:val="26"/>
        </w:rPr>
        <w:t xml:space="preserve"> </w:t>
      </w:r>
      <w:r>
        <w:rPr>
          <w:szCs w:val="26"/>
        </w:rPr>
        <w:t xml:space="preserve">BioRAM contract </w:t>
      </w:r>
      <w:r w:rsidRPr="007076F1">
        <w:rPr>
          <w:szCs w:val="26"/>
        </w:rPr>
        <w:t xml:space="preserve">with </w:t>
      </w:r>
      <w:r>
        <w:rPr>
          <w:szCs w:val="26"/>
        </w:rPr>
        <w:t xml:space="preserve">Woodland. </w:t>
      </w:r>
      <w:r w:rsidRPr="0010631C">
        <w:rPr>
          <w:szCs w:val="26"/>
        </w:rPr>
        <w:t xml:space="preserve">In AL </w:t>
      </w:r>
      <w:r>
        <w:rPr>
          <w:szCs w:val="26"/>
        </w:rPr>
        <w:t>5983-E</w:t>
      </w:r>
      <w:r w:rsidRPr="0010631C">
        <w:rPr>
          <w:szCs w:val="26"/>
        </w:rPr>
        <w:t>, PG&amp;E asserts that the contract satisfies the requirements of Resolution E-4977, which orders the Investor-Owned Utilities to seek to extend existing BioRAM contracts</w:t>
      </w:r>
      <w:r w:rsidRPr="0010631C">
        <w:rPr>
          <w:rStyle w:val="FootnoteReference"/>
          <w:szCs w:val="26"/>
        </w:rPr>
        <w:footnoteReference w:id="12"/>
      </w:r>
      <w:r w:rsidRPr="0010631C">
        <w:rPr>
          <w:szCs w:val="26"/>
        </w:rPr>
        <w:t xml:space="preserve"> or offer new BioRAM contracts to eligible facilities. PG&amp;E proposes to recover the costs of the new </w:t>
      </w:r>
      <w:r>
        <w:rPr>
          <w:szCs w:val="26"/>
        </w:rPr>
        <w:t>Woodland</w:t>
      </w:r>
      <w:r w:rsidRPr="0010631C">
        <w:rPr>
          <w:szCs w:val="26"/>
        </w:rPr>
        <w:t xml:space="preserve"> contract through PG&amp;E’s Tree Mortality Non-</w:t>
      </w:r>
      <w:proofErr w:type="spellStart"/>
      <w:r w:rsidRPr="0010631C">
        <w:rPr>
          <w:szCs w:val="26"/>
        </w:rPr>
        <w:t>Bypassable</w:t>
      </w:r>
      <w:proofErr w:type="spellEnd"/>
      <w:r w:rsidRPr="0010631C">
        <w:rPr>
          <w:szCs w:val="26"/>
        </w:rPr>
        <w:t xml:space="preserve"> Charge Balancing Account (TMNBCBA).</w:t>
      </w:r>
      <w:r>
        <w:rPr>
          <w:szCs w:val="26"/>
        </w:rPr>
        <w:t xml:space="preserve"> </w:t>
      </w:r>
    </w:p>
    <w:p w:rsidRPr="007076F1" w:rsidR="001A49FF" w:rsidP="001A49FF" w:rsidRDefault="001A49FF" w14:paraId="57871520" w14:textId="77777777">
      <w:pPr>
        <w:rPr>
          <w:szCs w:val="26"/>
        </w:rPr>
      </w:pPr>
    </w:p>
    <w:p w:rsidR="001A49FF" w:rsidP="001A49FF" w:rsidRDefault="001A49FF" w14:paraId="74423E38" w14:textId="77777777">
      <w:r w:rsidRPr="00336F6D" w:rsidDel="009A54AA">
        <w:t xml:space="preserve">Pursuant to the </w:t>
      </w:r>
      <w:r w:rsidRPr="00336F6D">
        <w:t>contract</w:t>
      </w:r>
      <w:r w:rsidRPr="00336F6D" w:rsidDel="009A54AA">
        <w:t xml:space="preserve">, </w:t>
      </w:r>
      <w:r w:rsidRPr="00336F6D">
        <w:t>PG&amp;E</w:t>
      </w:r>
      <w:r w:rsidRPr="00336F6D" w:rsidDel="009A54AA">
        <w:t xml:space="preserve"> will </w:t>
      </w:r>
      <w:r w:rsidRPr="00336F6D">
        <w:t>annually procure</w:t>
      </w:r>
      <w:r>
        <w:t xml:space="preserve"> an estimated</w:t>
      </w:r>
      <w:r w:rsidRPr="00336F6D">
        <w:t xml:space="preserve"> </w:t>
      </w:r>
      <w:r>
        <w:t>16</w:t>
      </w:r>
      <w:r w:rsidRPr="00336F6D">
        <w:t>8,000</w:t>
      </w:r>
      <w:r w:rsidRPr="00336F6D" w:rsidDel="009A54AA">
        <w:t xml:space="preserve"> </w:t>
      </w:r>
      <w:r w:rsidRPr="00336F6D" w:rsidDel="009A54AA">
        <w:rPr>
          <w:szCs w:val="26"/>
        </w:rPr>
        <w:t>megawatt-hours (MWh)</w:t>
      </w:r>
      <w:r w:rsidRPr="00336F6D" w:rsidDel="009A54AA">
        <w:t xml:space="preserve"> of RPS-eligible energy and associated</w:t>
      </w:r>
      <w:r w:rsidRPr="00336F6D">
        <w:t xml:space="preserve"> renewable energy credits</w:t>
      </w:r>
      <w:r w:rsidRPr="00336F6D" w:rsidDel="009A54AA">
        <w:t xml:space="preserve"> </w:t>
      </w:r>
      <w:r w:rsidRPr="00336F6D">
        <w:t>(</w:t>
      </w:r>
      <w:r w:rsidRPr="00336F6D" w:rsidDel="009A54AA">
        <w:t>RECs</w:t>
      </w:r>
      <w:r w:rsidRPr="00336F6D">
        <w:t>)</w:t>
      </w:r>
      <w:r w:rsidRPr="00336F6D" w:rsidDel="009A54AA">
        <w:t xml:space="preserve"> </w:t>
      </w:r>
      <w:r w:rsidRPr="00336F6D">
        <w:t xml:space="preserve">from </w:t>
      </w:r>
      <w:r>
        <w:t>Woodland</w:t>
      </w:r>
      <w:r w:rsidRPr="00336F6D" w:rsidDel="009A54AA">
        <w:t xml:space="preserve">.  </w:t>
      </w:r>
      <w:r w:rsidRPr="00336F6D">
        <w:t xml:space="preserve">The </w:t>
      </w:r>
      <w:r>
        <w:t>Woodland</w:t>
      </w:r>
      <w:r w:rsidRPr="00336F6D">
        <w:t xml:space="preserve"> biomass facility </w:t>
      </w:r>
      <w:r>
        <w:t>previously had a non-BioRAM RPS contract with PG&amp;E that expired in February 2020</w:t>
      </w:r>
      <w:r w:rsidRPr="00336F6D">
        <w:t xml:space="preserve">.  The </w:t>
      </w:r>
      <w:r>
        <w:t>Woodland contract is for</w:t>
      </w:r>
      <w:r w:rsidRPr="00336F6D">
        <w:t xml:space="preserve"> </w:t>
      </w:r>
      <w:r>
        <w:t>25</w:t>
      </w:r>
      <w:r w:rsidRPr="00336F6D">
        <w:t xml:space="preserve"> </w:t>
      </w:r>
      <w:r>
        <w:t xml:space="preserve">MW of RPS capacity, and the facility </w:t>
      </w:r>
      <w:proofErr w:type="gramStart"/>
      <w:r>
        <w:t xml:space="preserve">is </w:t>
      </w:r>
      <w:r w:rsidRPr="00336F6D">
        <w:t>located in</w:t>
      </w:r>
      <w:proofErr w:type="gramEnd"/>
      <w:r w:rsidRPr="00336F6D">
        <w:t xml:space="preserve"> California</w:t>
      </w:r>
      <w:r>
        <w:t xml:space="preserve"> </w:t>
      </w:r>
      <w:r w:rsidRPr="00336F6D">
        <w:t xml:space="preserve">and interconnected into the California Independent System Operator (CAISO) balancing authority. </w:t>
      </w:r>
    </w:p>
    <w:p w:rsidR="001A49FF" w:rsidP="001A49FF" w:rsidRDefault="001A49FF" w14:paraId="2C59E321" w14:textId="77777777">
      <w:r>
        <w:t xml:space="preserve"> </w:t>
      </w:r>
    </w:p>
    <w:p w:rsidRPr="00733D23" w:rsidR="001A49FF" w:rsidP="001A49FF" w:rsidRDefault="001A49FF" w14:paraId="0F6B3B56" w14:textId="77777777">
      <w:pPr>
        <w:rPr>
          <w:b/>
          <w:bCs/>
        </w:rPr>
      </w:pPr>
      <w:r>
        <w:rPr>
          <w:b/>
          <w:bCs/>
        </w:rPr>
        <w:t>P</w:t>
      </w:r>
      <w:r w:rsidRPr="00733D23">
        <w:rPr>
          <w:b/>
          <w:bCs/>
        </w:rPr>
        <w:t xml:space="preserve">G&amp;E requests that the </w:t>
      </w:r>
      <w:r>
        <w:rPr>
          <w:b/>
          <w:bCs/>
        </w:rPr>
        <w:t>CPUC</w:t>
      </w:r>
      <w:r w:rsidRPr="00733D23">
        <w:rPr>
          <w:b/>
          <w:bCs/>
        </w:rPr>
        <w:t xml:space="preserve"> issue a </w:t>
      </w:r>
      <w:r>
        <w:rPr>
          <w:b/>
          <w:bCs/>
        </w:rPr>
        <w:t>R</w:t>
      </w:r>
      <w:r w:rsidRPr="00733D23">
        <w:rPr>
          <w:b/>
          <w:bCs/>
        </w:rPr>
        <w:t>esolution that:</w:t>
      </w:r>
    </w:p>
    <w:p w:rsidR="001A49FF" w:rsidP="001A49FF" w:rsidRDefault="001A49FF" w14:paraId="1FD01D9F" w14:textId="77777777"/>
    <w:p w:rsidRPr="00F857FB" w:rsidR="001A49FF" w:rsidP="001A49FF" w:rsidRDefault="001A49FF" w14:paraId="0E0D2C44" w14:textId="77777777">
      <w:pPr>
        <w:pStyle w:val="ListParagraph"/>
        <w:numPr>
          <w:ilvl w:val="0"/>
          <w:numId w:val="4"/>
        </w:numPr>
        <w:rPr>
          <w:szCs w:val="26"/>
        </w:rPr>
      </w:pPr>
      <w:r w:rsidRPr="00F857FB">
        <w:rPr>
          <w:szCs w:val="26"/>
        </w:rPr>
        <w:lastRenderedPageBreak/>
        <w:t xml:space="preserve">Approves the BioRAM contract, dated </w:t>
      </w:r>
      <w:r>
        <w:rPr>
          <w:szCs w:val="26"/>
        </w:rPr>
        <w:t>October 21,</w:t>
      </w:r>
      <w:r w:rsidRPr="00F857FB">
        <w:rPr>
          <w:szCs w:val="26"/>
        </w:rPr>
        <w:t xml:space="preserve"> 2020, between PG&amp;E and </w:t>
      </w:r>
      <w:proofErr w:type="gramStart"/>
      <w:r>
        <w:rPr>
          <w:szCs w:val="26"/>
        </w:rPr>
        <w:t>Woodland</w:t>
      </w:r>
      <w:r w:rsidRPr="00F857FB">
        <w:rPr>
          <w:szCs w:val="26"/>
        </w:rPr>
        <w:t>;</w:t>
      </w:r>
      <w:proofErr w:type="gramEnd"/>
    </w:p>
    <w:p w:rsidRPr="00F857FB" w:rsidR="001A49FF" w:rsidP="001A49FF" w:rsidRDefault="001A49FF" w14:paraId="2A67D577" w14:textId="77777777">
      <w:pPr>
        <w:pStyle w:val="ListParagraph"/>
        <w:numPr>
          <w:ilvl w:val="0"/>
          <w:numId w:val="4"/>
        </w:numPr>
        <w:rPr>
          <w:szCs w:val="26"/>
        </w:rPr>
      </w:pPr>
      <w:r w:rsidRPr="00F857FB">
        <w:rPr>
          <w:szCs w:val="26"/>
        </w:rPr>
        <w:t xml:space="preserve">Finds that procurement from this contract </w:t>
      </w:r>
      <w:r>
        <w:rPr>
          <w:szCs w:val="26"/>
        </w:rPr>
        <w:t>will be</w:t>
      </w:r>
      <w:r w:rsidRPr="00F857FB">
        <w:rPr>
          <w:szCs w:val="26"/>
        </w:rPr>
        <w:t xml:space="preserve"> categorized as the portfolio content category specified in Public Utilities Code Section 399.16 (b)(1)(A</w:t>
      </w:r>
      <w:proofErr w:type="gramStart"/>
      <w:r w:rsidRPr="00F857FB">
        <w:rPr>
          <w:szCs w:val="26"/>
        </w:rPr>
        <w:t>);</w:t>
      </w:r>
      <w:proofErr w:type="gramEnd"/>
    </w:p>
    <w:p w:rsidRPr="00F857FB" w:rsidR="001A49FF" w:rsidP="001A49FF" w:rsidRDefault="001A49FF" w14:paraId="6C7508E0" w14:textId="77777777">
      <w:pPr>
        <w:pStyle w:val="ListParagraph"/>
        <w:numPr>
          <w:ilvl w:val="0"/>
          <w:numId w:val="4"/>
        </w:numPr>
        <w:rPr>
          <w:szCs w:val="26"/>
        </w:rPr>
      </w:pPr>
      <w:r w:rsidRPr="00F857FB">
        <w:rPr>
          <w:szCs w:val="26"/>
        </w:rPr>
        <w:t xml:space="preserve">Finds that </w:t>
      </w:r>
      <w:r>
        <w:rPr>
          <w:szCs w:val="26"/>
        </w:rPr>
        <w:t xml:space="preserve">the BioRAM contract meets the Emissions Performance </w:t>
      </w:r>
      <w:proofErr w:type="gramStart"/>
      <w:r>
        <w:rPr>
          <w:szCs w:val="26"/>
        </w:rPr>
        <w:t>Standard;</w:t>
      </w:r>
      <w:proofErr w:type="gramEnd"/>
    </w:p>
    <w:p w:rsidRPr="00F857FB" w:rsidR="001A49FF" w:rsidP="001A49FF" w:rsidRDefault="001A49FF" w14:paraId="60E260A0" w14:textId="77777777">
      <w:pPr>
        <w:pStyle w:val="ListParagraph"/>
        <w:numPr>
          <w:ilvl w:val="0"/>
          <w:numId w:val="4"/>
        </w:numPr>
        <w:rPr>
          <w:szCs w:val="26"/>
        </w:rPr>
      </w:pPr>
      <w:r w:rsidRPr="00F857FB">
        <w:rPr>
          <w:szCs w:val="26"/>
        </w:rPr>
        <w:t xml:space="preserve">Finds that all procurement and administrative costs associated with the BioRAM contract be recovered in </w:t>
      </w:r>
      <w:proofErr w:type="gramStart"/>
      <w:r w:rsidRPr="00F857FB">
        <w:rPr>
          <w:szCs w:val="26"/>
        </w:rPr>
        <w:t>rates;</w:t>
      </w:r>
      <w:proofErr w:type="gramEnd"/>
      <w:r w:rsidRPr="00F857FB">
        <w:rPr>
          <w:szCs w:val="26"/>
        </w:rPr>
        <w:t xml:space="preserve"> </w:t>
      </w:r>
    </w:p>
    <w:p w:rsidRPr="00F857FB" w:rsidR="001A49FF" w:rsidP="001A49FF" w:rsidRDefault="001A49FF" w14:paraId="67A1BFA7" w14:textId="77777777">
      <w:pPr>
        <w:pStyle w:val="ListParagraph"/>
        <w:numPr>
          <w:ilvl w:val="0"/>
          <w:numId w:val="4"/>
        </w:numPr>
        <w:rPr>
          <w:szCs w:val="26"/>
        </w:rPr>
      </w:pPr>
      <w:r w:rsidRPr="00F857FB">
        <w:rPr>
          <w:szCs w:val="26"/>
        </w:rPr>
        <w:t xml:space="preserve">Finds that the BioRAM contract complies with Resolution E-4977; and </w:t>
      </w:r>
    </w:p>
    <w:p w:rsidRPr="00F91A82" w:rsidR="001A49FF" w:rsidP="001A49FF" w:rsidRDefault="001A49FF" w14:paraId="4342483A" w14:textId="77777777">
      <w:pPr>
        <w:pStyle w:val="ListParagraph"/>
        <w:numPr>
          <w:ilvl w:val="0"/>
          <w:numId w:val="4"/>
        </w:numPr>
        <w:rPr>
          <w:szCs w:val="26"/>
        </w:rPr>
      </w:pPr>
      <w:r w:rsidRPr="00F857FB">
        <w:rPr>
          <w:szCs w:val="26"/>
        </w:rPr>
        <w:t xml:space="preserve">Authorizes all </w:t>
      </w:r>
      <w:r>
        <w:rPr>
          <w:szCs w:val="26"/>
        </w:rPr>
        <w:t>cost</w:t>
      </w:r>
      <w:r w:rsidRPr="00F857FB">
        <w:rPr>
          <w:szCs w:val="26"/>
        </w:rPr>
        <w:t>s under the BioRAM contract to be recovered through PG&amp;E’s Tree Mortality Non-</w:t>
      </w:r>
      <w:proofErr w:type="spellStart"/>
      <w:r w:rsidRPr="00F857FB">
        <w:rPr>
          <w:szCs w:val="26"/>
        </w:rPr>
        <w:t>Bypassable</w:t>
      </w:r>
      <w:proofErr w:type="spellEnd"/>
      <w:r w:rsidRPr="00F857FB">
        <w:rPr>
          <w:szCs w:val="26"/>
        </w:rPr>
        <w:t xml:space="preserve"> Charge Balancing Account.</w:t>
      </w:r>
    </w:p>
    <w:p w:rsidRPr="003B79CE" w:rsidR="001A49FF" w:rsidP="001A49FF" w:rsidRDefault="001A49FF" w14:paraId="60D9BBC0" w14:textId="77777777">
      <w:pPr>
        <w:rPr>
          <w:b/>
          <w:bCs/>
          <w:szCs w:val="26"/>
        </w:rPr>
      </w:pPr>
    </w:p>
    <w:p w:rsidRPr="007076F1" w:rsidR="001A49FF" w:rsidP="001A49FF" w:rsidRDefault="001A49FF" w14:paraId="1C04970F" w14:textId="77777777">
      <w:pPr>
        <w:spacing w:after="120"/>
        <w:rPr>
          <w:b/>
          <w:bCs/>
          <w:szCs w:val="26"/>
        </w:rPr>
      </w:pPr>
      <w:r w:rsidRPr="007076F1">
        <w:rPr>
          <w:b/>
          <w:bCs/>
          <w:szCs w:val="26"/>
        </w:rPr>
        <w:t xml:space="preserve">Energy Division evaluated the </w:t>
      </w:r>
      <w:r>
        <w:rPr>
          <w:b/>
        </w:rPr>
        <w:t>contract</w:t>
      </w:r>
      <w:r w:rsidRPr="007076F1">
        <w:rPr>
          <w:b/>
        </w:rPr>
        <w:t xml:space="preserve"> with </w:t>
      </w:r>
      <w:r>
        <w:rPr>
          <w:b/>
        </w:rPr>
        <w:t>Woodland</w:t>
      </w:r>
      <w:r w:rsidRPr="007076F1">
        <w:rPr>
          <w:b/>
        </w:rPr>
        <w:t xml:space="preserve"> </w:t>
      </w:r>
      <w:r w:rsidRPr="007076F1">
        <w:rPr>
          <w:b/>
          <w:bCs/>
          <w:szCs w:val="26"/>
        </w:rPr>
        <w:t>based on the following criteria:</w:t>
      </w:r>
    </w:p>
    <w:p w:rsidRPr="00E21CEB" w:rsidR="001A49FF" w:rsidP="001A49FF" w:rsidRDefault="001A49FF" w14:paraId="7723D9E9" w14:textId="77777777">
      <w:pPr>
        <w:pStyle w:val="ListParagraph"/>
        <w:numPr>
          <w:ilvl w:val="0"/>
          <w:numId w:val="5"/>
        </w:numPr>
      </w:pPr>
      <w:bookmarkStart w:name="_Hlk5701985" w:id="1"/>
      <w:r w:rsidRPr="007076F1">
        <w:rPr>
          <w:szCs w:val="26"/>
        </w:rPr>
        <w:t xml:space="preserve">Consistency with </w:t>
      </w:r>
      <w:r>
        <w:rPr>
          <w:szCs w:val="26"/>
        </w:rPr>
        <w:t>P</w:t>
      </w:r>
      <w:r w:rsidRPr="007076F1">
        <w:rPr>
          <w:szCs w:val="26"/>
        </w:rPr>
        <w:t>G&amp;E’s 201</w:t>
      </w:r>
      <w:r>
        <w:rPr>
          <w:szCs w:val="26"/>
        </w:rPr>
        <w:t>9</w:t>
      </w:r>
      <w:r w:rsidRPr="007076F1">
        <w:rPr>
          <w:szCs w:val="26"/>
        </w:rPr>
        <w:t xml:space="preserve"> RPS Procurement Plan and RPS Portfolio </w:t>
      </w:r>
      <w:proofErr w:type="gramStart"/>
      <w:r w:rsidRPr="007076F1">
        <w:rPr>
          <w:szCs w:val="26"/>
        </w:rPr>
        <w:t>Need;</w:t>
      </w:r>
      <w:proofErr w:type="gramEnd"/>
    </w:p>
    <w:p w:rsidRPr="001C0757" w:rsidR="001A49FF" w:rsidP="001A49FF" w:rsidRDefault="001A49FF" w14:paraId="356BBA14" w14:textId="77777777">
      <w:pPr>
        <w:pStyle w:val="ListParagraph"/>
        <w:numPr>
          <w:ilvl w:val="0"/>
          <w:numId w:val="5"/>
        </w:numPr>
      </w:pPr>
      <w:r>
        <w:rPr>
          <w:szCs w:val="26"/>
        </w:rPr>
        <w:t xml:space="preserve">Consistency with Bilateral Contracting </w:t>
      </w:r>
      <w:proofErr w:type="gramStart"/>
      <w:r>
        <w:rPr>
          <w:szCs w:val="26"/>
        </w:rPr>
        <w:t>Rules;</w:t>
      </w:r>
      <w:proofErr w:type="gramEnd"/>
    </w:p>
    <w:p w:rsidRPr="00584D43" w:rsidR="001A49FF" w:rsidP="001A49FF" w:rsidRDefault="001A49FF" w14:paraId="00CE639E" w14:textId="77777777">
      <w:pPr>
        <w:pStyle w:val="ListParagraph"/>
        <w:numPr>
          <w:ilvl w:val="0"/>
          <w:numId w:val="5"/>
        </w:numPr>
      </w:pPr>
      <w:bookmarkStart w:name="_Hlk61529031" w:id="2"/>
      <w:r>
        <w:rPr>
          <w:szCs w:val="26"/>
        </w:rPr>
        <w:t xml:space="preserve">Consistency with E-4977 / SB 901 and </w:t>
      </w:r>
      <w:bookmarkEnd w:id="2"/>
      <w:r>
        <w:rPr>
          <w:szCs w:val="26"/>
        </w:rPr>
        <w:t xml:space="preserve">Consideration of Cal Advocates’ </w:t>
      </w:r>
      <w:proofErr w:type="gramStart"/>
      <w:r>
        <w:rPr>
          <w:szCs w:val="26"/>
        </w:rPr>
        <w:t>Protest;</w:t>
      </w:r>
      <w:proofErr w:type="gramEnd"/>
    </w:p>
    <w:p w:rsidRPr="007076F1" w:rsidR="001A49FF" w:rsidP="001A49FF" w:rsidRDefault="001A49FF" w14:paraId="08D0496B" w14:textId="77777777">
      <w:pPr>
        <w:pStyle w:val="ListParagraph"/>
        <w:numPr>
          <w:ilvl w:val="0"/>
          <w:numId w:val="5"/>
        </w:numPr>
      </w:pPr>
      <w:r w:rsidRPr="007076F1">
        <w:rPr>
          <w:szCs w:val="26"/>
        </w:rPr>
        <w:t xml:space="preserve">Cost Reasonableness and </w:t>
      </w:r>
      <w:proofErr w:type="gramStart"/>
      <w:r w:rsidRPr="007076F1">
        <w:rPr>
          <w:szCs w:val="26"/>
        </w:rPr>
        <w:t>Valuation;</w:t>
      </w:r>
      <w:proofErr w:type="gramEnd"/>
    </w:p>
    <w:p w:rsidRPr="006B6313" w:rsidR="001A49FF" w:rsidP="001A49FF" w:rsidRDefault="001A49FF" w14:paraId="399D3702" w14:textId="77777777">
      <w:pPr>
        <w:pStyle w:val="ListParagraph"/>
        <w:numPr>
          <w:ilvl w:val="0"/>
          <w:numId w:val="5"/>
        </w:numPr>
      </w:pPr>
      <w:r>
        <w:t>Consistency with the Tree Mortality Non-</w:t>
      </w:r>
      <w:proofErr w:type="spellStart"/>
      <w:r>
        <w:t>Bypassable</w:t>
      </w:r>
      <w:proofErr w:type="spellEnd"/>
      <w:r>
        <w:t xml:space="preserve"> </w:t>
      </w:r>
      <w:proofErr w:type="gramStart"/>
      <w:r>
        <w:t>Charge;</w:t>
      </w:r>
      <w:proofErr w:type="gramEnd"/>
    </w:p>
    <w:p w:rsidRPr="00F715B9" w:rsidR="001A49FF" w:rsidP="001A49FF" w:rsidRDefault="001A49FF" w14:paraId="5F54225A" w14:textId="77777777">
      <w:pPr>
        <w:pStyle w:val="ListParagraph"/>
        <w:numPr>
          <w:ilvl w:val="0"/>
          <w:numId w:val="5"/>
        </w:numPr>
      </w:pPr>
      <w:r w:rsidRPr="007076F1">
        <w:rPr>
          <w:szCs w:val="26"/>
        </w:rPr>
        <w:t xml:space="preserve">Project Viability Assessment and Development </w:t>
      </w:r>
      <w:proofErr w:type="gramStart"/>
      <w:r w:rsidRPr="007076F1">
        <w:rPr>
          <w:szCs w:val="26"/>
        </w:rPr>
        <w:t>Status;</w:t>
      </w:r>
      <w:proofErr w:type="gramEnd"/>
    </w:p>
    <w:p w:rsidRPr="007076F1" w:rsidR="001A49FF" w:rsidP="001A49FF" w:rsidRDefault="001A49FF" w14:paraId="39B6B7F4" w14:textId="77777777">
      <w:pPr>
        <w:pStyle w:val="ListParagraph"/>
        <w:numPr>
          <w:ilvl w:val="0"/>
          <w:numId w:val="5"/>
        </w:numPr>
      </w:pPr>
      <w:r w:rsidRPr="007076F1">
        <w:rPr>
          <w:szCs w:val="26"/>
        </w:rPr>
        <w:t xml:space="preserve">Independent Evaluator </w:t>
      </w:r>
      <w:proofErr w:type="gramStart"/>
      <w:r w:rsidRPr="007076F1">
        <w:rPr>
          <w:szCs w:val="26"/>
        </w:rPr>
        <w:t>Review;</w:t>
      </w:r>
      <w:proofErr w:type="gramEnd"/>
    </w:p>
    <w:p w:rsidRPr="006F1BE4" w:rsidR="001A49FF" w:rsidP="001A49FF" w:rsidRDefault="001A49FF" w14:paraId="31BBDCA4" w14:textId="77777777">
      <w:pPr>
        <w:pStyle w:val="ListParagraph"/>
        <w:numPr>
          <w:ilvl w:val="0"/>
          <w:numId w:val="5"/>
        </w:numPr>
      </w:pPr>
      <w:r>
        <w:rPr>
          <w:szCs w:val="26"/>
        </w:rPr>
        <w:t xml:space="preserve">Cost Allocation Methodology (CAM) </w:t>
      </w:r>
      <w:r w:rsidRPr="007076F1">
        <w:rPr>
          <w:szCs w:val="26"/>
        </w:rPr>
        <w:t xml:space="preserve">Procurement Review Group </w:t>
      </w:r>
      <w:proofErr w:type="gramStart"/>
      <w:r w:rsidRPr="007076F1">
        <w:rPr>
          <w:szCs w:val="26"/>
        </w:rPr>
        <w:t>Participation;</w:t>
      </w:r>
      <w:proofErr w:type="gramEnd"/>
      <w:r w:rsidRPr="007076F1">
        <w:rPr>
          <w:szCs w:val="26"/>
        </w:rPr>
        <w:t xml:space="preserve"> </w:t>
      </w:r>
    </w:p>
    <w:p w:rsidRPr="006F1BE4" w:rsidR="001A49FF" w:rsidP="001A49FF" w:rsidRDefault="001A49FF" w14:paraId="0F0C409F" w14:textId="77777777">
      <w:pPr>
        <w:pStyle w:val="ListParagraph"/>
        <w:numPr>
          <w:ilvl w:val="0"/>
          <w:numId w:val="5"/>
        </w:numPr>
      </w:pPr>
      <w:r w:rsidRPr="00826A8E">
        <w:t xml:space="preserve">RPS Eligibility and CPUC </w:t>
      </w:r>
      <w:proofErr w:type="gramStart"/>
      <w:r w:rsidRPr="00826A8E">
        <w:t>Approval</w:t>
      </w:r>
      <w:r>
        <w:t>;</w:t>
      </w:r>
      <w:proofErr w:type="gramEnd"/>
    </w:p>
    <w:p w:rsidRPr="006F1BE4" w:rsidR="001A49FF" w:rsidP="001A49FF" w:rsidRDefault="001A49FF" w14:paraId="6417BA59" w14:textId="77777777">
      <w:pPr>
        <w:pStyle w:val="ListParagraph"/>
        <w:numPr>
          <w:ilvl w:val="0"/>
          <w:numId w:val="5"/>
        </w:numPr>
      </w:pPr>
      <w:r>
        <w:rPr>
          <w:szCs w:val="26"/>
        </w:rPr>
        <w:t xml:space="preserve">RPS Standard Terms and </w:t>
      </w:r>
      <w:proofErr w:type="gramStart"/>
      <w:r>
        <w:rPr>
          <w:szCs w:val="26"/>
        </w:rPr>
        <w:t>Conditions;</w:t>
      </w:r>
      <w:proofErr w:type="gramEnd"/>
    </w:p>
    <w:p w:rsidRPr="00390488" w:rsidR="001A49FF" w:rsidP="001A49FF" w:rsidRDefault="001A49FF" w14:paraId="7D54D713" w14:textId="77777777">
      <w:pPr>
        <w:pStyle w:val="ListParagraph"/>
        <w:numPr>
          <w:ilvl w:val="0"/>
          <w:numId w:val="5"/>
        </w:numPr>
      </w:pPr>
      <w:r>
        <w:rPr>
          <w:szCs w:val="26"/>
        </w:rPr>
        <w:t xml:space="preserve">Emissions Performance </w:t>
      </w:r>
      <w:proofErr w:type="gramStart"/>
      <w:r>
        <w:rPr>
          <w:szCs w:val="26"/>
        </w:rPr>
        <w:t>Standards;</w:t>
      </w:r>
      <w:proofErr w:type="gramEnd"/>
    </w:p>
    <w:p w:rsidRPr="00AB5AC8" w:rsidR="001A49FF" w:rsidP="001A49FF" w:rsidRDefault="001A49FF" w14:paraId="3ACBDF93" w14:textId="77777777">
      <w:pPr>
        <w:pStyle w:val="ListParagraph"/>
        <w:numPr>
          <w:ilvl w:val="0"/>
          <w:numId w:val="5"/>
        </w:numPr>
      </w:pPr>
      <w:r w:rsidRPr="007076F1">
        <w:rPr>
          <w:szCs w:val="26"/>
        </w:rPr>
        <w:t>Safety Considerations</w:t>
      </w:r>
      <w:r>
        <w:rPr>
          <w:szCs w:val="26"/>
        </w:rPr>
        <w:t>; and</w:t>
      </w:r>
    </w:p>
    <w:p w:rsidRPr="007076F1" w:rsidR="001A49FF" w:rsidP="001A49FF" w:rsidRDefault="001A49FF" w14:paraId="3A4CE4FE" w14:textId="77777777">
      <w:pPr>
        <w:pStyle w:val="ListParagraph"/>
        <w:numPr>
          <w:ilvl w:val="0"/>
          <w:numId w:val="5"/>
        </w:numPr>
      </w:pPr>
      <w:r>
        <w:rPr>
          <w:szCs w:val="26"/>
        </w:rPr>
        <w:t xml:space="preserve">Confidential Information. </w:t>
      </w:r>
    </w:p>
    <w:bookmarkEnd w:id="1"/>
    <w:p w:rsidRPr="007076F1" w:rsidR="001A49FF" w:rsidP="001A49FF" w:rsidRDefault="001A49FF" w14:paraId="32F9AEE7" w14:textId="77777777"/>
    <w:p w:rsidRPr="007076F1" w:rsidR="001A49FF" w:rsidP="001A49FF" w:rsidRDefault="001A49FF" w14:paraId="2FB7AA76" w14:textId="77777777">
      <w:pPr>
        <w:spacing w:after="120"/>
        <w:rPr>
          <w:b/>
          <w:szCs w:val="26"/>
        </w:rPr>
      </w:pPr>
      <w:r w:rsidRPr="007076F1">
        <w:rPr>
          <w:b/>
          <w:szCs w:val="26"/>
        </w:rPr>
        <w:t xml:space="preserve">Consistency with </w:t>
      </w:r>
      <w:r>
        <w:rPr>
          <w:b/>
          <w:szCs w:val="26"/>
        </w:rPr>
        <w:t>PG&amp;E</w:t>
      </w:r>
      <w:r w:rsidRPr="007076F1">
        <w:rPr>
          <w:b/>
          <w:szCs w:val="26"/>
        </w:rPr>
        <w:t>’s 201</w:t>
      </w:r>
      <w:r>
        <w:rPr>
          <w:b/>
          <w:szCs w:val="26"/>
        </w:rPr>
        <w:t>9</w:t>
      </w:r>
      <w:r w:rsidRPr="007076F1">
        <w:rPr>
          <w:b/>
          <w:szCs w:val="26"/>
        </w:rPr>
        <w:t xml:space="preserve"> RPS Procurement Plan and RPS Portfolio Need</w:t>
      </w:r>
    </w:p>
    <w:p w:rsidR="001A49FF" w:rsidP="001A49FF" w:rsidRDefault="001A49FF" w14:paraId="341342D7" w14:textId="77777777">
      <w:pPr>
        <w:rPr>
          <w:szCs w:val="26"/>
        </w:rPr>
      </w:pPr>
      <w:r w:rsidRPr="007076F1">
        <w:rPr>
          <w:szCs w:val="26"/>
        </w:rPr>
        <w:t xml:space="preserve">Pursuant to statute, </w:t>
      </w:r>
      <w:r>
        <w:rPr>
          <w:szCs w:val="26"/>
        </w:rPr>
        <w:t>PG&amp;E</w:t>
      </w:r>
      <w:r w:rsidRPr="007076F1">
        <w:rPr>
          <w:szCs w:val="26"/>
        </w:rPr>
        <w:t xml:space="preserve">’s </w:t>
      </w:r>
      <w:r>
        <w:rPr>
          <w:szCs w:val="26"/>
        </w:rPr>
        <w:t xml:space="preserve">2019 </w:t>
      </w:r>
      <w:r w:rsidRPr="007076F1">
        <w:rPr>
          <w:szCs w:val="26"/>
        </w:rPr>
        <w:t>RPS Procurement Plan (</w:t>
      </w:r>
      <w:r>
        <w:rPr>
          <w:szCs w:val="26"/>
        </w:rPr>
        <w:t xml:space="preserve">RPS </w:t>
      </w:r>
      <w:r w:rsidRPr="007076F1">
        <w:rPr>
          <w:szCs w:val="26"/>
        </w:rPr>
        <w:t xml:space="preserve">Plan) includes an assessment of RPS supply and demand to determine the optimal mix of </w:t>
      </w:r>
      <w:r w:rsidRPr="007076F1">
        <w:rPr>
          <w:szCs w:val="26"/>
        </w:rPr>
        <w:lastRenderedPageBreak/>
        <w:t xml:space="preserve">renewable generation resources; description of existing RPS portfolio; </w:t>
      </w:r>
      <w:r w:rsidRPr="007076F1">
        <w:t>description of potential RPS compliance delays;</w:t>
      </w:r>
      <w:r w:rsidRPr="007076F1">
        <w:rPr>
          <w:szCs w:val="26"/>
        </w:rPr>
        <w:t xml:space="preserve"> status update of projects within its RPS portfolio; an assessment of the project failure and delay risk within its RPS portfolio; and bid solicitation protocol setting forth the need for renewable generation of various operational characteristics.</w:t>
      </w:r>
      <w:r w:rsidRPr="007076F1">
        <w:rPr>
          <w:rStyle w:val="FootnoteReference"/>
          <w:szCs w:val="26"/>
        </w:rPr>
        <w:footnoteReference w:id="13"/>
      </w:r>
      <w:r w:rsidRPr="007076F1">
        <w:rPr>
          <w:szCs w:val="26"/>
        </w:rPr>
        <w:t xml:space="preserve"> </w:t>
      </w:r>
      <w:r>
        <w:rPr>
          <w:szCs w:val="26"/>
        </w:rPr>
        <w:t>The</w:t>
      </w:r>
      <w:r w:rsidRPr="007076F1">
        <w:rPr>
          <w:szCs w:val="26"/>
        </w:rPr>
        <w:t xml:space="preserve"> RPS statute also requires that the C</w:t>
      </w:r>
      <w:r>
        <w:rPr>
          <w:szCs w:val="26"/>
        </w:rPr>
        <w:t>PUC</w:t>
      </w:r>
      <w:r w:rsidRPr="007076F1">
        <w:rPr>
          <w:szCs w:val="26"/>
        </w:rPr>
        <w:t xml:space="preserve"> review the results of a renewable energy resource solicitation submitted for approval by a utility.</w:t>
      </w:r>
      <w:r w:rsidRPr="007076F1">
        <w:rPr>
          <w:rStyle w:val="FootnoteReference"/>
          <w:szCs w:val="26"/>
        </w:rPr>
        <w:footnoteReference w:id="14"/>
      </w:r>
      <w:r w:rsidRPr="007076F1">
        <w:rPr>
          <w:szCs w:val="26"/>
        </w:rPr>
        <w:t xml:space="preserve"> The C</w:t>
      </w:r>
      <w:r>
        <w:rPr>
          <w:szCs w:val="26"/>
        </w:rPr>
        <w:t>PUC</w:t>
      </w:r>
      <w:r w:rsidRPr="007076F1">
        <w:rPr>
          <w:szCs w:val="26"/>
        </w:rPr>
        <w:t xml:space="preserve"> reviews the results to verify that the utility conducted its solicitation according to its C</w:t>
      </w:r>
      <w:r>
        <w:rPr>
          <w:szCs w:val="26"/>
        </w:rPr>
        <w:t>PUC</w:t>
      </w:r>
      <w:r w:rsidRPr="007076F1">
        <w:rPr>
          <w:szCs w:val="26"/>
        </w:rPr>
        <w:t xml:space="preserve">-approved </w:t>
      </w:r>
      <w:r>
        <w:rPr>
          <w:szCs w:val="26"/>
        </w:rPr>
        <w:t>RPS Plan</w:t>
      </w:r>
      <w:r w:rsidRPr="007076F1">
        <w:rPr>
          <w:szCs w:val="26"/>
        </w:rPr>
        <w:t>.</w:t>
      </w:r>
      <w:r w:rsidRPr="007076F1">
        <w:rPr>
          <w:rStyle w:val="FootnoteReference"/>
          <w:szCs w:val="26"/>
        </w:rPr>
        <w:footnoteReference w:id="15"/>
      </w:r>
      <w:r w:rsidRPr="007076F1">
        <w:rPr>
          <w:szCs w:val="26"/>
        </w:rPr>
        <w:t xml:space="preserve">  </w:t>
      </w:r>
    </w:p>
    <w:p w:rsidRPr="007076F1" w:rsidR="001A49FF" w:rsidP="001A49FF" w:rsidRDefault="001A49FF" w14:paraId="61F80101" w14:textId="77777777">
      <w:pPr>
        <w:rPr>
          <w:szCs w:val="26"/>
        </w:rPr>
      </w:pPr>
    </w:p>
    <w:p w:rsidRPr="00C36FEA" w:rsidR="001A49FF" w:rsidP="001A49FF" w:rsidRDefault="001A49FF" w14:paraId="024B6779" w14:textId="77777777">
      <w:pPr>
        <w:rPr>
          <w:szCs w:val="26"/>
        </w:rPr>
      </w:pPr>
      <w:r w:rsidRPr="00C36FEA">
        <w:rPr>
          <w:szCs w:val="26"/>
        </w:rPr>
        <w:t>In PG&amp;E’s 2019 RPS Plan, PG&amp;E explained that it is well positioned to meet or exceed the RPS requirements without a need to procure additional resources through 2029. From 2021 to 2029, PG&amp;E anticipates that it will meet its RPS requirements through procurement that has already been contracted. Based on that assessment,</w:t>
      </w:r>
      <w:r w:rsidRPr="00C36FEA">
        <w:rPr>
          <w:rStyle w:val="FootnoteReference"/>
          <w:szCs w:val="26"/>
        </w:rPr>
        <w:footnoteReference w:id="16"/>
      </w:r>
      <w:r w:rsidRPr="00C36FEA">
        <w:rPr>
          <w:szCs w:val="26"/>
        </w:rPr>
        <w:t xml:space="preserve"> PG&amp;E stated </w:t>
      </w:r>
      <w:r w:rsidRPr="00C36FEA">
        <w:t xml:space="preserve">that it would not hold a 2019 RPS solicitation </w:t>
      </w:r>
      <w:r>
        <w:t>to procure</w:t>
      </w:r>
      <w:r w:rsidRPr="00C36FEA">
        <w:t xml:space="preserve"> new renewable resource</w:t>
      </w:r>
      <w:r>
        <w:t>s</w:t>
      </w:r>
      <w:r w:rsidRPr="00C36FEA">
        <w:t xml:space="preserve">. </w:t>
      </w:r>
    </w:p>
    <w:p w:rsidRPr="00CB7FEF" w:rsidR="001A49FF" w:rsidP="001A49FF" w:rsidRDefault="001A49FF" w14:paraId="21CD33D9" w14:textId="77777777">
      <w:pPr>
        <w:rPr>
          <w:szCs w:val="26"/>
          <w:highlight w:val="yellow"/>
        </w:rPr>
      </w:pPr>
    </w:p>
    <w:p w:rsidR="00AE03A9" w:rsidP="001A49FF" w:rsidRDefault="001A49FF" w14:paraId="58F98E80" w14:textId="77777777">
      <w:pPr>
        <w:rPr>
          <w:szCs w:val="26"/>
        </w:rPr>
      </w:pPr>
      <w:r w:rsidRPr="00AE2506">
        <w:rPr>
          <w:szCs w:val="26"/>
        </w:rPr>
        <w:t>PG&amp;E’s 2019 RPS Plan stated that to optimize its RPS portfolio it would pursue issuing competitive solicitations for the sale of RPS-eligible energy and RECs, including sales from its BioRAM contract</w:t>
      </w:r>
      <w:r>
        <w:rPr>
          <w:szCs w:val="26"/>
        </w:rPr>
        <w:t>s</w:t>
      </w:r>
      <w:r w:rsidRPr="00AE2506">
        <w:rPr>
          <w:szCs w:val="26"/>
        </w:rPr>
        <w:t xml:space="preserve">, and engage in bilateral negotiations if the offers were competitive and </w:t>
      </w:r>
      <w:r w:rsidRPr="00F21B4A">
        <w:rPr>
          <w:szCs w:val="26"/>
        </w:rPr>
        <w:t xml:space="preserve">provide benefits to PG&amp;E customers. In </w:t>
      </w:r>
    </w:p>
    <w:p w:rsidRPr="00F21B4A" w:rsidR="001A49FF" w:rsidP="001A49FF" w:rsidRDefault="001A49FF" w14:paraId="584AC9B9" w14:textId="5317F407">
      <w:pPr>
        <w:rPr>
          <w:szCs w:val="26"/>
        </w:rPr>
      </w:pPr>
      <w:r w:rsidRPr="00F21B4A">
        <w:rPr>
          <w:szCs w:val="26"/>
        </w:rPr>
        <w:t>D.19-12-042, the CPUC authorized PG&amp;E to hold sales solicitations and procure mandated amounts of renewable energy, including f</w:t>
      </w:r>
      <w:r>
        <w:rPr>
          <w:szCs w:val="26"/>
        </w:rPr>
        <w:t>or</w:t>
      </w:r>
      <w:r w:rsidRPr="00F21B4A">
        <w:rPr>
          <w:szCs w:val="26"/>
        </w:rPr>
        <w:t xml:space="preserve"> the BioRAM program.</w:t>
      </w:r>
      <w:r w:rsidRPr="00F21B4A">
        <w:rPr>
          <w:rStyle w:val="FootnoteReference"/>
          <w:szCs w:val="26"/>
        </w:rPr>
        <w:footnoteReference w:id="17"/>
      </w:r>
      <w:r w:rsidRPr="00F21B4A">
        <w:rPr>
          <w:szCs w:val="26"/>
        </w:rPr>
        <w:t xml:space="preserve"> </w:t>
      </w:r>
    </w:p>
    <w:p w:rsidRPr="00CB7FEF" w:rsidR="001A49FF" w:rsidP="001A49FF" w:rsidRDefault="001A49FF" w14:paraId="4829B066" w14:textId="77777777">
      <w:pPr>
        <w:rPr>
          <w:highlight w:val="yellow"/>
        </w:rPr>
      </w:pPr>
    </w:p>
    <w:p w:rsidR="001A49FF" w:rsidP="001A49FF" w:rsidRDefault="001A49FF" w14:paraId="02610C01" w14:textId="77777777">
      <w:pPr>
        <w:rPr>
          <w:u w:val="single"/>
        </w:rPr>
      </w:pPr>
      <w:r w:rsidRPr="007248F6">
        <w:rPr>
          <w:u w:val="single"/>
        </w:rPr>
        <w:t xml:space="preserve">The </w:t>
      </w:r>
      <w:r>
        <w:rPr>
          <w:u w:val="single"/>
        </w:rPr>
        <w:t>Woodland</w:t>
      </w:r>
      <w:r w:rsidRPr="007248F6">
        <w:rPr>
          <w:u w:val="single"/>
        </w:rPr>
        <w:t xml:space="preserve"> contract is consistent with PG&amp;E’s 2019 RPS Procurement Plan, as approved by D.19-12-042.</w:t>
      </w:r>
    </w:p>
    <w:p w:rsidR="001A49FF" w:rsidP="001A49FF" w:rsidRDefault="001A49FF" w14:paraId="601638C2" w14:textId="77777777">
      <w:pPr>
        <w:rPr>
          <w:b/>
        </w:rPr>
      </w:pPr>
    </w:p>
    <w:p w:rsidRPr="00F268C5" w:rsidR="001A49FF" w:rsidP="001A49FF" w:rsidRDefault="001A49FF" w14:paraId="4F8C65BC" w14:textId="77777777">
      <w:pPr>
        <w:spacing w:after="120" w:line="276" w:lineRule="auto"/>
        <w:rPr>
          <w:b/>
        </w:rPr>
      </w:pPr>
      <w:bookmarkStart w:name="_Hlk20997711" w:id="3"/>
      <w:r w:rsidRPr="00F268C5">
        <w:rPr>
          <w:b/>
        </w:rPr>
        <w:t>Consistency with</w:t>
      </w:r>
      <w:r>
        <w:rPr>
          <w:b/>
        </w:rPr>
        <w:t xml:space="preserve"> Bilateral </w:t>
      </w:r>
      <w:r w:rsidRPr="00F268C5">
        <w:rPr>
          <w:b/>
        </w:rPr>
        <w:t>Contracting Rules</w:t>
      </w:r>
    </w:p>
    <w:bookmarkEnd w:id="3"/>
    <w:p w:rsidR="00AE03A9" w:rsidP="001A49FF" w:rsidRDefault="001A49FF" w14:paraId="472B4DCE" w14:textId="77777777">
      <w:pPr>
        <w:rPr>
          <w:rFonts w:cs="Arial"/>
          <w:szCs w:val="26"/>
        </w:rPr>
      </w:pPr>
      <w:r w:rsidRPr="00F268C5">
        <w:rPr>
          <w:rFonts w:cs="Arial"/>
          <w:szCs w:val="26"/>
        </w:rPr>
        <w:t>T</w:t>
      </w:r>
      <w:r w:rsidRPr="00F268C5">
        <w:t xml:space="preserve">he </w:t>
      </w:r>
      <w:r>
        <w:t>contract with Woodland is</w:t>
      </w:r>
      <w:r w:rsidRPr="00F268C5">
        <w:t xml:space="preserve"> the result of </w:t>
      </w:r>
      <w:r>
        <w:t>bilateral negotiations</w:t>
      </w:r>
      <w:r w:rsidRPr="00F268C5">
        <w:t xml:space="preserve">. </w:t>
      </w:r>
      <w:r w:rsidRPr="00F268C5">
        <w:rPr>
          <w:rFonts w:cs="Arial"/>
          <w:szCs w:val="26"/>
        </w:rPr>
        <w:t>The C</w:t>
      </w:r>
      <w:r>
        <w:rPr>
          <w:rFonts w:cs="Arial"/>
          <w:szCs w:val="26"/>
        </w:rPr>
        <w:t>PUC</w:t>
      </w:r>
      <w:r w:rsidRPr="00F268C5">
        <w:rPr>
          <w:rFonts w:cs="Arial"/>
          <w:szCs w:val="26"/>
        </w:rPr>
        <w:t xml:space="preserve"> has guidelines pursuant to which utilities may </w:t>
      </w:r>
      <w:proofErr w:type="gramStart"/>
      <w:r w:rsidRPr="00F268C5">
        <w:rPr>
          <w:rFonts w:cs="Arial"/>
          <w:szCs w:val="26"/>
        </w:rPr>
        <w:t>enter into</w:t>
      </w:r>
      <w:proofErr w:type="gramEnd"/>
      <w:r w:rsidRPr="00F268C5">
        <w:rPr>
          <w:rFonts w:cs="Arial"/>
          <w:szCs w:val="26"/>
        </w:rPr>
        <w:t xml:space="preserve"> RPS contracts. </w:t>
      </w:r>
    </w:p>
    <w:p w:rsidRPr="003A372F" w:rsidR="001A49FF" w:rsidP="001A49FF" w:rsidRDefault="001A49FF" w14:paraId="5827C66C" w14:textId="78DCBC28">
      <w:r w:rsidRPr="00F268C5">
        <w:rPr>
          <w:rFonts w:cs="Arial"/>
          <w:szCs w:val="26"/>
        </w:rPr>
        <w:lastRenderedPageBreak/>
        <w:t>In D.03-06-071, the C</w:t>
      </w:r>
      <w:r>
        <w:rPr>
          <w:rFonts w:cs="Arial"/>
          <w:szCs w:val="26"/>
        </w:rPr>
        <w:t>PUC</w:t>
      </w:r>
      <w:r w:rsidRPr="00F268C5">
        <w:rPr>
          <w:rFonts w:cs="Arial"/>
          <w:szCs w:val="26"/>
        </w:rPr>
        <w:t xml:space="preserve"> authorized entry into bilateral RPS contracts</w:t>
      </w:r>
      <w:r>
        <w:rPr>
          <w:rFonts w:cs="Arial"/>
          <w:szCs w:val="26"/>
        </w:rPr>
        <w:t xml:space="preserve"> and contracts </w:t>
      </w:r>
      <w:proofErr w:type="gramStart"/>
      <w:r>
        <w:rPr>
          <w:rFonts w:cs="Arial"/>
          <w:szCs w:val="26"/>
        </w:rPr>
        <w:t>as a result of</w:t>
      </w:r>
      <w:proofErr w:type="gramEnd"/>
      <w:r>
        <w:rPr>
          <w:rFonts w:cs="Arial"/>
          <w:szCs w:val="26"/>
        </w:rPr>
        <w:t xml:space="preserve"> authorized solicitations</w:t>
      </w:r>
      <w:r w:rsidRPr="00F268C5">
        <w:rPr>
          <w:rFonts w:cs="Arial"/>
          <w:szCs w:val="26"/>
        </w:rPr>
        <w:t>. In D.06-10-019</w:t>
      </w:r>
      <w:r>
        <w:rPr>
          <w:rFonts w:cs="Arial"/>
          <w:szCs w:val="26"/>
        </w:rPr>
        <w:t xml:space="preserve"> and D.09-06-050</w:t>
      </w:r>
      <w:r w:rsidRPr="00F268C5">
        <w:rPr>
          <w:rFonts w:cs="Arial"/>
          <w:szCs w:val="26"/>
        </w:rPr>
        <w:t>, the C</w:t>
      </w:r>
      <w:r>
        <w:rPr>
          <w:rFonts w:cs="Arial"/>
          <w:szCs w:val="26"/>
        </w:rPr>
        <w:t>PUC</w:t>
      </w:r>
      <w:r w:rsidRPr="00F268C5">
        <w:rPr>
          <w:rFonts w:cs="Arial"/>
          <w:szCs w:val="26"/>
        </w:rPr>
        <w:t xml:space="preserve"> further established rules pursuant to which the IOUs could </w:t>
      </w:r>
      <w:proofErr w:type="gramStart"/>
      <w:r w:rsidRPr="00F268C5">
        <w:rPr>
          <w:rFonts w:cs="Arial"/>
          <w:szCs w:val="26"/>
        </w:rPr>
        <w:t>enter into</w:t>
      </w:r>
      <w:proofErr w:type="gramEnd"/>
      <w:r w:rsidRPr="00F268C5">
        <w:rPr>
          <w:rFonts w:cs="Arial"/>
          <w:szCs w:val="26"/>
        </w:rPr>
        <w:t xml:space="preserve"> RPS contracts. </w:t>
      </w:r>
    </w:p>
    <w:p w:rsidRPr="00DA20B8" w:rsidR="001A49FF" w:rsidP="001A49FF" w:rsidRDefault="001A49FF" w14:paraId="08F3F102" w14:textId="77777777">
      <w:pPr>
        <w:rPr>
          <w:rFonts w:cs="Arial"/>
          <w:szCs w:val="26"/>
        </w:rPr>
      </w:pPr>
    </w:p>
    <w:p w:rsidR="001A49FF" w:rsidP="001A49FF" w:rsidRDefault="001A49FF" w14:paraId="1171900E" w14:textId="77777777">
      <w:pPr>
        <w:rPr>
          <w:rFonts w:cs="Arial"/>
          <w:szCs w:val="26"/>
          <w:u w:val="single"/>
        </w:rPr>
      </w:pPr>
      <w:r w:rsidRPr="00B55E0D">
        <w:rPr>
          <w:rFonts w:cs="Arial"/>
          <w:szCs w:val="26"/>
          <w:u w:val="single"/>
        </w:rPr>
        <w:t>The</w:t>
      </w:r>
      <w:r>
        <w:rPr>
          <w:rFonts w:cs="Arial"/>
          <w:szCs w:val="26"/>
          <w:u w:val="single"/>
        </w:rPr>
        <w:t xml:space="preserve"> Woodland</w:t>
      </w:r>
      <w:r w:rsidRPr="00B55E0D">
        <w:rPr>
          <w:rFonts w:cs="Arial"/>
          <w:szCs w:val="26"/>
          <w:u w:val="single"/>
        </w:rPr>
        <w:t xml:space="preserve"> contract is the result of a bilateral negotiation and is consistent with the contracting guidelines established in D.06-10-019, D.09-06-050, </w:t>
      </w:r>
      <w:r>
        <w:rPr>
          <w:rFonts w:cs="Arial"/>
          <w:szCs w:val="26"/>
          <w:u w:val="single"/>
        </w:rPr>
        <w:t xml:space="preserve">and </w:t>
      </w:r>
      <w:r w:rsidRPr="00B55E0D">
        <w:rPr>
          <w:rFonts w:cs="Arial"/>
          <w:szCs w:val="26"/>
          <w:u w:val="single"/>
        </w:rPr>
        <w:t>D.</w:t>
      </w:r>
      <w:r>
        <w:rPr>
          <w:rFonts w:cs="Arial"/>
          <w:szCs w:val="26"/>
          <w:u w:val="single"/>
        </w:rPr>
        <w:t>19-12-042</w:t>
      </w:r>
      <w:r w:rsidRPr="00B55E0D">
        <w:rPr>
          <w:rFonts w:cs="Arial"/>
          <w:szCs w:val="26"/>
          <w:u w:val="single"/>
        </w:rPr>
        <w:t>.</w:t>
      </w:r>
      <w:r>
        <w:rPr>
          <w:rFonts w:cs="Arial"/>
          <w:szCs w:val="26"/>
          <w:u w:val="single"/>
        </w:rPr>
        <w:t xml:space="preserve"> </w:t>
      </w:r>
    </w:p>
    <w:p w:rsidR="001A49FF" w:rsidP="001A49FF" w:rsidRDefault="001A49FF" w14:paraId="4CB010A6" w14:textId="77777777">
      <w:pPr>
        <w:rPr>
          <w:rFonts w:cs="Arial"/>
          <w:szCs w:val="26"/>
          <w:u w:val="single"/>
        </w:rPr>
      </w:pPr>
    </w:p>
    <w:p w:rsidRPr="001C0757" w:rsidR="001A49FF" w:rsidP="001A49FF" w:rsidRDefault="001A49FF" w14:paraId="197B868D" w14:textId="77777777">
      <w:pPr>
        <w:spacing w:after="120"/>
        <w:rPr>
          <w:b/>
        </w:rPr>
      </w:pPr>
      <w:r w:rsidRPr="00D23032">
        <w:rPr>
          <w:b/>
        </w:rPr>
        <w:t xml:space="preserve">Consistency with E-4977 / SB 901 and </w:t>
      </w:r>
      <w:r>
        <w:rPr>
          <w:b/>
        </w:rPr>
        <w:t>Consideration of Cal Advocates’ Protest</w:t>
      </w:r>
    </w:p>
    <w:p w:rsidR="001A49FF" w:rsidP="001A49FF" w:rsidRDefault="001A49FF" w14:paraId="32E58552" w14:textId="77777777">
      <w:r>
        <w:rPr>
          <w:rFonts w:cs="Arial"/>
          <w:szCs w:val="26"/>
        </w:rPr>
        <w:t>Resolution E-4977</w:t>
      </w:r>
      <w:r>
        <w:rPr>
          <w:rStyle w:val="FootnoteReference"/>
          <w:bCs/>
        </w:rPr>
        <w:footnoteReference w:id="18"/>
      </w:r>
      <w:r w:rsidRPr="00B42C63">
        <w:rPr>
          <w:bCs/>
        </w:rPr>
        <w:t xml:space="preserve"> implement</w:t>
      </w:r>
      <w:r>
        <w:rPr>
          <w:bCs/>
        </w:rPr>
        <w:t>ed</w:t>
      </w:r>
      <w:r w:rsidRPr="00B42C63">
        <w:rPr>
          <w:bCs/>
        </w:rPr>
        <w:t xml:space="preserve"> </w:t>
      </w:r>
      <w:r>
        <w:rPr>
          <w:bCs/>
        </w:rPr>
        <w:t xml:space="preserve">several provisions of </w:t>
      </w:r>
      <w:r w:rsidRPr="00B42C63">
        <w:rPr>
          <w:bCs/>
        </w:rPr>
        <w:t>SB 901</w:t>
      </w:r>
      <w:r>
        <w:rPr>
          <w:bCs/>
        </w:rPr>
        <w:t xml:space="preserve">, such as </w:t>
      </w:r>
      <w:r>
        <w:t xml:space="preserve">Pub. Util. Code § 8388, </w:t>
      </w:r>
      <w:r w:rsidRPr="00B42C63">
        <w:rPr>
          <w:bCs/>
        </w:rPr>
        <w:t>by ordering the IOUs to</w:t>
      </w:r>
      <w:r>
        <w:rPr>
          <w:bCs/>
        </w:rPr>
        <w:t xml:space="preserve"> offer contract negotiations </w:t>
      </w:r>
      <w:r>
        <w:rPr>
          <w:rFonts w:cs="Arial"/>
          <w:szCs w:val="26"/>
        </w:rPr>
        <w:t xml:space="preserve">to execute new contracts and extend existing BioRAM contracts by five years </w:t>
      </w:r>
      <w:r>
        <w:rPr>
          <w:bCs/>
        </w:rPr>
        <w:t>with</w:t>
      </w:r>
      <w:r>
        <w:rPr>
          <w:rFonts w:cs="Arial"/>
          <w:szCs w:val="26"/>
        </w:rPr>
        <w:t xml:space="preserve"> facilities that were part of the IOUs’ biomass portfolios. All bioenergy facilities with new or amended BioRAM contracts executed pursuant to Resolution E-4977 had to agree to the feedstock requirements of BioRAM 2 regarding High Hazard Zone (HHZ) fuel procurement.</w:t>
      </w:r>
      <w:r>
        <w:rPr>
          <w:rStyle w:val="FootnoteReference"/>
          <w:rFonts w:cs="Arial"/>
          <w:szCs w:val="26"/>
        </w:rPr>
        <w:footnoteReference w:id="19"/>
      </w:r>
      <w:r>
        <w:rPr>
          <w:rFonts w:cs="Arial"/>
          <w:szCs w:val="26"/>
        </w:rPr>
        <w:t xml:space="preserve"> </w:t>
      </w:r>
      <w:r>
        <w:t>Resolution E-4977 further established a per se reasonableness price benchmark for new or amended BioRAM contracts “in order to prevent protracted contract negotiations where sellers or buyers may have an incentive to hold out for a higher or lower price.”</w:t>
      </w:r>
      <w:r>
        <w:rPr>
          <w:rStyle w:val="FootnoteReference"/>
        </w:rPr>
        <w:footnoteReference w:id="20"/>
      </w:r>
      <w:r>
        <w:t xml:space="preserve"> </w:t>
      </w:r>
    </w:p>
    <w:p w:rsidR="001A49FF" w:rsidP="001A49FF" w:rsidRDefault="001A49FF" w14:paraId="2A387A2D" w14:textId="77777777">
      <w:pPr>
        <w:rPr>
          <w:rFonts w:cs="Arial"/>
          <w:szCs w:val="26"/>
        </w:rPr>
      </w:pPr>
    </w:p>
    <w:p w:rsidR="001A49FF" w:rsidP="001A49FF" w:rsidRDefault="001A49FF" w14:paraId="53B3CC97" w14:textId="77777777">
      <w:pPr>
        <w:rPr>
          <w:rFonts w:cs="Calibri"/>
          <w:szCs w:val="26"/>
        </w:rPr>
      </w:pPr>
      <w:r>
        <w:rPr>
          <w:rFonts w:cs="Calibri"/>
          <w:szCs w:val="26"/>
        </w:rPr>
        <w:t xml:space="preserve">Woodland had a long-term RPS PPA with PG&amp;E that expired in February 2020 and was part of PG&amp;E’s eligible biomass portfolio at the time of issuance of Resolution E-4977. </w:t>
      </w:r>
      <w:r w:rsidRPr="00FA1E0B">
        <w:rPr>
          <w:rFonts w:cs="Calibri"/>
          <w:szCs w:val="26"/>
          <w:u w:val="single"/>
        </w:rPr>
        <w:t>Because Woodland had an existing RPS contract, the facility was eligible for negotiations with PG&amp;E for a new BioRAM contract</w:t>
      </w:r>
      <w:r>
        <w:rPr>
          <w:rFonts w:cs="Calibri"/>
          <w:szCs w:val="26"/>
        </w:rPr>
        <w:t xml:space="preserve">. </w:t>
      </w:r>
      <w:r w:rsidRPr="00E85BE9">
        <w:rPr>
          <w:rFonts w:cs="Calibri"/>
          <w:szCs w:val="26"/>
        </w:rPr>
        <w:t xml:space="preserve"> </w:t>
      </w:r>
    </w:p>
    <w:p w:rsidR="001A49FF" w:rsidP="001A49FF" w:rsidRDefault="001A49FF" w14:paraId="33BC9832" w14:textId="77777777"/>
    <w:p w:rsidR="001A49FF" w:rsidP="001A49FF" w:rsidRDefault="001A49FF" w14:paraId="652779BF" w14:textId="77777777">
      <w:r w:rsidRPr="0025279D">
        <w:t xml:space="preserve">The per se reasonableness benchmark in Resolution E-4977 is set at $119/MWh for contracts executed with facilities pursuant to Pub. Util. Code § 8388 that are </w:t>
      </w:r>
      <w:r w:rsidRPr="0025279D">
        <w:lastRenderedPageBreak/>
        <w:t>not currently part of the BioRAM program.</w:t>
      </w:r>
      <w:r>
        <w:rPr>
          <w:rStyle w:val="FootnoteReference"/>
        </w:rPr>
        <w:footnoteReference w:id="21"/>
      </w:r>
      <w:r>
        <w:t xml:space="preserve"> Ordering Paragraph 4 of Resolution E-4977 directs the IOUs to submit a Tier 3 Advice Letter for any BioRAM contract executed at a higher price than the per se reasonableness benchmark.</w:t>
      </w:r>
      <w:r>
        <w:rPr>
          <w:rStyle w:val="FootnoteReference"/>
        </w:rPr>
        <w:footnoteReference w:id="22"/>
      </w:r>
      <w:r>
        <w:t xml:space="preserve"> The Woodland proposed contract price is higher than the benchmark and was submitted as a Tier 3 Advice Letter. </w:t>
      </w:r>
      <w:r w:rsidRPr="00605803">
        <w:t xml:space="preserve"> </w:t>
      </w:r>
    </w:p>
    <w:p w:rsidR="001A49FF" w:rsidP="001A49FF" w:rsidRDefault="001A49FF" w14:paraId="36768E72" w14:textId="77777777"/>
    <w:p w:rsidR="001A49FF" w:rsidP="001A49FF" w:rsidRDefault="001A49FF" w14:paraId="7D438121" w14:textId="77777777">
      <w:r w:rsidRPr="00605803">
        <w:t>Cal Advocates</w:t>
      </w:r>
      <w:r>
        <w:t xml:space="preserve">’ </w:t>
      </w:r>
      <w:r w:rsidRPr="00605803">
        <w:t>protest</w:t>
      </w:r>
      <w:r>
        <w:t xml:space="preserve"> to</w:t>
      </w:r>
      <w:r w:rsidRPr="00605803">
        <w:t xml:space="preserve"> AL </w:t>
      </w:r>
      <w:r>
        <w:t>5983-E</w:t>
      </w:r>
      <w:r w:rsidRPr="00605803">
        <w:t xml:space="preserve"> </w:t>
      </w:r>
      <w:r>
        <w:t>asserts that PG&amp;E</w:t>
      </w:r>
      <w:r w:rsidRPr="005344F7">
        <w:t xml:space="preserve"> </w:t>
      </w:r>
      <w:r>
        <w:t>has not provided any explanation or evidence as to why the Woodland contract price is reasonable or necessary and that such a demonstration is required for compliance with Resolution E-4977</w:t>
      </w:r>
      <w:r w:rsidRPr="005344F7">
        <w:t>.</w:t>
      </w:r>
      <w:r>
        <w:rPr>
          <w:rStyle w:val="FootnoteReference"/>
        </w:rPr>
        <w:footnoteReference w:id="23"/>
      </w:r>
      <w:r>
        <w:t xml:space="preserve"> Cal Advocates further argues that the PG&amp;E’s explanation for the higher price is based on forecasts and assumptions that are not guaranteed by contractual obligations. Lastly, Cal Advocates states that PG&amp;E did not meet the procedural requirements of Resolution E-4977 by failing to file the Woodland Advice Letter within 60 days of the Resolution’s issuance.</w:t>
      </w:r>
      <w:r>
        <w:rPr>
          <w:rStyle w:val="FootnoteReference"/>
        </w:rPr>
        <w:footnoteReference w:id="24"/>
      </w:r>
      <w:r>
        <w:t xml:space="preserve"> </w:t>
      </w:r>
      <w:r w:rsidRPr="005344F7">
        <w:t>Cal Advocates</w:t>
      </w:r>
      <w:r>
        <w:t xml:space="preserve"> argues </w:t>
      </w:r>
      <w:r w:rsidRPr="005344F7">
        <w:t xml:space="preserve">that </w:t>
      </w:r>
      <w:r>
        <w:t xml:space="preserve">therefore, </w:t>
      </w:r>
      <w:r w:rsidRPr="005344F7">
        <w:t xml:space="preserve">PG&amp;E’s Advice Letter </w:t>
      </w:r>
      <w:r>
        <w:t>is not compliant with Resolution E-4977.</w:t>
      </w:r>
      <w:r>
        <w:rPr>
          <w:rStyle w:val="FootnoteReference"/>
        </w:rPr>
        <w:footnoteReference w:id="25"/>
      </w:r>
    </w:p>
    <w:p w:rsidR="001A49FF" w:rsidP="001A49FF" w:rsidRDefault="001A49FF" w14:paraId="21BDC766" w14:textId="77777777">
      <w:pPr>
        <w:autoSpaceDE w:val="0"/>
        <w:autoSpaceDN w:val="0"/>
        <w:adjustRightInd w:val="0"/>
      </w:pPr>
    </w:p>
    <w:p w:rsidR="001A49FF" w:rsidP="001A49FF" w:rsidRDefault="001A49FF" w14:paraId="08976A00" w14:textId="77777777">
      <w:pPr>
        <w:autoSpaceDE w:val="0"/>
        <w:autoSpaceDN w:val="0"/>
        <w:adjustRightInd w:val="0"/>
      </w:pPr>
      <w:r w:rsidRPr="006F4DB2">
        <w:t xml:space="preserve">In its response to Cal Advocates, PG&amp;E disagrees with Cal Advocates’ claim that the contract is not compliant with Resolution E-4977 because </w:t>
      </w:r>
      <w:r>
        <w:t xml:space="preserve">the </w:t>
      </w:r>
      <w:r w:rsidRPr="006F4DB2">
        <w:t>Resolution states that a BioRAM contract may be executed above the per se reasonableness benchmark if submitted to the Commission as a Tier 3 Advice Letter</w:t>
      </w:r>
      <w:r>
        <w:t>.</w:t>
      </w:r>
      <w:r>
        <w:rPr>
          <w:rStyle w:val="FootnoteReference"/>
        </w:rPr>
        <w:footnoteReference w:id="26"/>
      </w:r>
      <w:r>
        <w:t xml:space="preserve"> </w:t>
      </w:r>
      <w:r w:rsidRPr="006F4DB2">
        <w:t xml:space="preserve">In explanation of why a price above the benchmark is reasonable, PG&amp;E asserts that its discussion in AL 5983-E of the open book review that PG&amp;E conducted of Woodland’s financial performance </w:t>
      </w:r>
      <w:r>
        <w:t xml:space="preserve">and operations </w:t>
      </w:r>
      <w:r w:rsidRPr="006F4DB2">
        <w:t xml:space="preserve">shows that PG&amp;E made efforts to determine the reasonabless of the proposed contract price above the benchmark. Thus, PG&amp;E </w:t>
      </w:r>
      <w:r>
        <w:t>argues</w:t>
      </w:r>
      <w:r w:rsidRPr="006F4DB2">
        <w:t xml:space="preserve"> that it has provided an explanation for the higher</w:t>
      </w:r>
      <w:r>
        <w:t xml:space="preserve"> contract</w:t>
      </w:r>
      <w:r w:rsidRPr="006F4DB2">
        <w:t xml:space="preserve"> price in AL 5983-E. </w:t>
      </w:r>
    </w:p>
    <w:p w:rsidR="001A49FF" w:rsidP="001A49FF" w:rsidRDefault="001A49FF" w14:paraId="33CA4297" w14:textId="77777777">
      <w:pPr>
        <w:autoSpaceDE w:val="0"/>
        <w:autoSpaceDN w:val="0"/>
        <w:adjustRightInd w:val="0"/>
      </w:pPr>
    </w:p>
    <w:p w:rsidR="001A49FF" w:rsidP="001A49FF" w:rsidRDefault="001A49FF" w14:paraId="7169645C" w14:textId="77777777">
      <w:pPr>
        <w:autoSpaceDE w:val="0"/>
        <w:autoSpaceDN w:val="0"/>
        <w:adjustRightInd w:val="0"/>
      </w:pPr>
      <w:r>
        <w:lastRenderedPageBreak/>
        <w:t xml:space="preserve">PG&amp;E also disagrees with Cal Advocates’ assertion that </w:t>
      </w:r>
      <w:r w:rsidRPr="00B23007">
        <w:t>PG&amp;E did not comply with the timelines set out in E-4977</w:t>
      </w:r>
      <w:r>
        <w:t>. PG&amp;E states that AL 5603-E</w:t>
      </w:r>
      <w:r>
        <w:rPr>
          <w:rStyle w:val="FootnoteReference"/>
        </w:rPr>
        <w:footnoteReference w:id="27"/>
      </w:r>
      <w:r>
        <w:t xml:space="preserve"> informed the Commission that Woodland declined to </w:t>
      </w:r>
      <w:proofErr w:type="gramStart"/>
      <w:r>
        <w:t>enter into</w:t>
      </w:r>
      <w:proofErr w:type="gramEnd"/>
      <w:r>
        <w:t xml:space="preserve"> a new BioRAM contract with PG&amp;E, in compliance with Ordering Paragraphs 2 and 3 of E-4977. PG&amp;E states that Woodland then contacted PG&amp;E to express interest in a new BioRAM contract six months later. PG&amp;E asserts that Cal Advocates’ argument that PG&amp;E did not comply with the deadlines is inaccurate because the Commission has the authority to review contracts submitted by Advice Letter pursuant to GO 96-B, Industry Rule 5.3.</w:t>
      </w:r>
      <w:r>
        <w:rPr>
          <w:rStyle w:val="FootnoteReference"/>
        </w:rPr>
        <w:footnoteReference w:id="28"/>
      </w:r>
      <w:r>
        <w:t xml:space="preserve"> </w:t>
      </w:r>
      <w:r w:rsidRPr="006F4DB2">
        <w:t xml:space="preserve">PG&amp;E urges the Commission to reject Cal Advocates’ protest. </w:t>
      </w:r>
    </w:p>
    <w:p w:rsidR="001A49FF" w:rsidP="001A49FF" w:rsidRDefault="001A49FF" w14:paraId="733BFE87" w14:textId="77777777">
      <w:pPr>
        <w:autoSpaceDE w:val="0"/>
        <w:autoSpaceDN w:val="0"/>
        <w:adjustRightInd w:val="0"/>
      </w:pPr>
    </w:p>
    <w:p w:rsidR="001A49FF" w:rsidP="001A49FF" w:rsidRDefault="001A49FF" w14:paraId="5FA06A77" w14:textId="77777777">
      <w:pPr>
        <w:autoSpaceDE w:val="0"/>
        <w:autoSpaceDN w:val="0"/>
        <w:adjustRightInd w:val="0"/>
      </w:pPr>
      <w:r>
        <w:t>We agree with Cal Advocates’ that the forecasts and assumptions provided by PG&amp;E do not necessarily support the reasonableness of the higher price. PG&amp;E asserts that the contract price was negotiated with the “best information available.”</w:t>
      </w:r>
      <w:r>
        <w:rPr>
          <w:rStyle w:val="FootnoteReference"/>
        </w:rPr>
        <w:footnoteReference w:id="29"/>
      </w:r>
      <w:r>
        <w:t xml:space="preserve"> However, even in the case that the assumptions prove to be accurate over the term of the contract, they are not binding through contractual obligations. Therefore, Woodland could realize operational efficiencies and the contract price would be unjustified because PG&amp;E’s reasonableness explanation is tied to certain assumptions. The Independent Evaluator also notes that the contract price could vary significantly depending on how the project is operated.</w:t>
      </w:r>
      <w:r>
        <w:rPr>
          <w:rStyle w:val="FootnoteReference"/>
        </w:rPr>
        <w:footnoteReference w:id="30"/>
      </w:r>
      <w:r>
        <w:t xml:space="preserve"> </w:t>
      </w:r>
    </w:p>
    <w:p w:rsidR="001A49FF" w:rsidP="001A49FF" w:rsidRDefault="001A49FF" w14:paraId="282146F3" w14:textId="77777777">
      <w:pPr>
        <w:autoSpaceDE w:val="0"/>
        <w:autoSpaceDN w:val="0"/>
        <w:adjustRightInd w:val="0"/>
      </w:pPr>
    </w:p>
    <w:p w:rsidR="001A49FF" w:rsidP="001A49FF" w:rsidRDefault="001A49FF" w14:paraId="1FABAB73" w14:textId="77777777">
      <w:pPr>
        <w:autoSpaceDE w:val="0"/>
        <w:autoSpaceDN w:val="0"/>
        <w:adjustRightInd w:val="0"/>
      </w:pPr>
      <w:r>
        <w:t>We disagree with Cal Advocates’ assertion that PG&amp;E did not meet the requirements of Ordering Paragraph 3 in Resolution E-4977. As PG&amp;E cites in its reply to Cal Advocates, PG&amp;E filed AL 5603-E which attested that PG&amp;E and Woodland did not wish to execute a new BioRAM contract in 2019.</w:t>
      </w:r>
      <w:r>
        <w:rPr>
          <w:rStyle w:val="FootnoteReference"/>
        </w:rPr>
        <w:footnoteReference w:id="31"/>
      </w:r>
      <w:r>
        <w:t xml:space="preserve"> Further, Resolution E-4977 did not establish a timeline for which an eligible facility could change course </w:t>
      </w:r>
      <w:proofErr w:type="gramStart"/>
      <w:r>
        <w:t>at a later date</w:t>
      </w:r>
      <w:proofErr w:type="gramEnd"/>
      <w:r>
        <w:t xml:space="preserve"> and request negotiations for a new BioRAM contract. The timeline was placed on the IOU to offer negotiations to eligible facilities and PG&amp;E was found to </w:t>
      </w:r>
      <w:proofErr w:type="gramStart"/>
      <w:r>
        <w:t>be in compliance with</w:t>
      </w:r>
      <w:proofErr w:type="gramEnd"/>
      <w:r>
        <w:t xml:space="preserve"> that timeline.</w:t>
      </w:r>
      <w:r>
        <w:rPr>
          <w:rStyle w:val="FootnoteReference"/>
        </w:rPr>
        <w:footnoteReference w:id="32"/>
      </w:r>
      <w:r>
        <w:t xml:space="preserve">  </w:t>
      </w:r>
    </w:p>
    <w:p w:rsidRPr="007B55B5" w:rsidR="001A49FF" w:rsidP="001A49FF" w:rsidRDefault="001A49FF" w14:paraId="17DD2615" w14:textId="77777777"/>
    <w:p w:rsidR="001A49FF" w:rsidP="001A49FF" w:rsidRDefault="001A49FF" w14:paraId="1A0ABC2A" w14:textId="77777777">
      <w:pPr>
        <w:autoSpaceDE w:val="0"/>
        <w:autoSpaceDN w:val="0"/>
        <w:adjustRightInd w:val="0"/>
      </w:pPr>
      <w:r w:rsidRPr="00C978D7">
        <w:t xml:space="preserve">In addition, PG&amp;E </w:t>
      </w:r>
      <w:r>
        <w:t xml:space="preserve">refutes Cal Advocates’ claim by citing to </w:t>
      </w:r>
      <w:r w:rsidRPr="00C978D7">
        <w:t xml:space="preserve">GO 96-B Industry Rule 5.1 </w:t>
      </w:r>
      <w:r>
        <w:t>which “provides authority for PG&amp;E to submit the contract via Advice Letter.”</w:t>
      </w:r>
      <w:r>
        <w:rPr>
          <w:rStyle w:val="FootnoteReference"/>
        </w:rPr>
        <w:footnoteReference w:id="33"/>
      </w:r>
      <w:r>
        <w:t xml:space="preserve"> We agree with PG&amp;E that it is procedurally appropriate to seek CPUC approval for this contract through a Tier 3 Advice Letter.  </w:t>
      </w:r>
      <w:r w:rsidRPr="007B55B5">
        <w:t xml:space="preserve">Thus, we </w:t>
      </w:r>
      <w:r>
        <w:t xml:space="preserve">dismiss Cal Advocates’ assertion that AL 5983-E should be rejected on procedural grounds. </w:t>
      </w:r>
    </w:p>
    <w:p w:rsidR="001A49FF" w:rsidP="001A49FF" w:rsidRDefault="001A49FF" w14:paraId="28E14424" w14:textId="77777777">
      <w:pPr>
        <w:autoSpaceDE w:val="0"/>
        <w:autoSpaceDN w:val="0"/>
        <w:adjustRightInd w:val="0"/>
      </w:pPr>
    </w:p>
    <w:p w:rsidRPr="00C82280" w:rsidR="001A49FF" w:rsidP="001A49FF" w:rsidRDefault="001A49FF" w14:paraId="64FFEB59" w14:textId="77777777">
      <w:pPr>
        <w:autoSpaceDE w:val="0"/>
        <w:autoSpaceDN w:val="0"/>
        <w:adjustRightInd w:val="0"/>
      </w:pPr>
      <w:r w:rsidRPr="00C82280">
        <w:rPr>
          <w:u w:val="single"/>
        </w:rPr>
        <w:t>In compliance with Resolution E-4977, AL 5983-E was properly filed as a Tier 3 Advice Letter</w:t>
      </w:r>
      <w:r w:rsidRPr="007B55B5">
        <w:t xml:space="preserve"> </w:t>
      </w:r>
      <w:r>
        <w:t>because the</w:t>
      </w:r>
      <w:r w:rsidRPr="007B55B5">
        <w:t xml:space="preserve"> </w:t>
      </w:r>
      <w:r>
        <w:t xml:space="preserve">proposed Woodland </w:t>
      </w:r>
      <w:r w:rsidRPr="007B55B5">
        <w:t xml:space="preserve">contract </w:t>
      </w:r>
      <w:r>
        <w:t>has</w:t>
      </w:r>
      <w:r w:rsidRPr="007B55B5">
        <w:t xml:space="preserve"> a price higher than the per se reasonableness benchmark</w:t>
      </w:r>
      <w:r>
        <w:t xml:space="preserve"> set out in E-4977</w:t>
      </w:r>
      <w:r w:rsidRPr="007B55B5">
        <w:t>.</w:t>
      </w:r>
      <w:r>
        <w:t xml:space="preserve"> We find</w:t>
      </w:r>
      <w:r w:rsidRPr="007B55B5">
        <w:t xml:space="preserve"> that</w:t>
      </w:r>
      <w:r w:rsidRPr="00AB7686">
        <w:t xml:space="preserve"> </w:t>
      </w:r>
      <w:r>
        <w:t xml:space="preserve">while PG&amp;E provided an explanation and supporting evidence for Woodland’s higher price, </w:t>
      </w:r>
      <w:r w:rsidRPr="00AB7686">
        <w:rPr>
          <w:u w:val="single"/>
        </w:rPr>
        <w:t xml:space="preserve">PG&amp;E has not provided sufficient evidence to demonstrate that the higher contract price is </w:t>
      </w:r>
      <w:r>
        <w:rPr>
          <w:u w:val="single"/>
        </w:rPr>
        <w:t>reasonable</w:t>
      </w:r>
      <w:r w:rsidRPr="002545B6">
        <w:t xml:space="preserve">, as </w:t>
      </w:r>
      <w:r>
        <w:t xml:space="preserve">PG&amp;E’s </w:t>
      </w:r>
      <w:r w:rsidRPr="002545B6">
        <w:t>forecasts are not bound by contractual obligations</w:t>
      </w:r>
      <w:r>
        <w:t>. Because the Woodland contract will contribute to SB 901 requirements, implemented in Resolution E-4977,</w:t>
      </w:r>
      <w:r w:rsidRPr="00432022">
        <w:t xml:space="preserve"> the CPUC will impose a total cost cap for cost recovery</w:t>
      </w:r>
      <w:r>
        <w:t xml:space="preserve"> based on the price reasonableness benchmark discussed in the section below</w:t>
      </w:r>
      <w:r w:rsidRPr="00CB69C6">
        <w:t>.</w:t>
      </w:r>
      <w:r w:rsidRPr="007B55B5">
        <w:t xml:space="preserve"> </w:t>
      </w:r>
      <w:r>
        <w:rPr>
          <w:u w:val="single"/>
        </w:rPr>
        <w:t>W</w:t>
      </w:r>
      <w:r w:rsidRPr="007B55B5">
        <w:rPr>
          <w:u w:val="single"/>
        </w:rPr>
        <w:t>e</w:t>
      </w:r>
      <w:r>
        <w:rPr>
          <w:u w:val="single"/>
        </w:rPr>
        <w:t xml:space="preserve"> deny</w:t>
      </w:r>
      <w:r w:rsidRPr="007B55B5">
        <w:rPr>
          <w:u w:val="single"/>
        </w:rPr>
        <w:t xml:space="preserve"> Cal Advocates</w:t>
      </w:r>
      <w:r>
        <w:rPr>
          <w:u w:val="single"/>
        </w:rPr>
        <w:t>’</w:t>
      </w:r>
      <w:r w:rsidRPr="007B55B5">
        <w:rPr>
          <w:u w:val="single"/>
        </w:rPr>
        <w:t xml:space="preserve"> </w:t>
      </w:r>
      <w:r>
        <w:rPr>
          <w:u w:val="single"/>
        </w:rPr>
        <w:t xml:space="preserve">request to reject AL 5983-E. </w:t>
      </w:r>
    </w:p>
    <w:p w:rsidR="001A49FF" w:rsidP="001A49FF" w:rsidRDefault="001A49FF" w14:paraId="48F4A01B" w14:textId="77777777">
      <w:pPr>
        <w:rPr>
          <w:rFonts w:cs="Arial"/>
          <w:szCs w:val="26"/>
          <w:u w:val="single"/>
        </w:rPr>
      </w:pPr>
    </w:p>
    <w:p w:rsidRPr="007076F1" w:rsidR="001A49FF" w:rsidP="001A49FF" w:rsidRDefault="001A49FF" w14:paraId="6BAEFF6D" w14:textId="77777777">
      <w:pPr>
        <w:spacing w:after="120"/>
        <w:rPr>
          <w:b/>
        </w:rPr>
      </w:pPr>
      <w:r w:rsidRPr="007076F1">
        <w:rPr>
          <w:b/>
        </w:rPr>
        <w:t>Cost Reasonableness and Valuation</w:t>
      </w:r>
    </w:p>
    <w:p w:rsidRPr="00E54C49" w:rsidR="001A49FF" w:rsidP="001A49FF" w:rsidRDefault="001A49FF" w14:paraId="3389EDB6" w14:textId="77777777">
      <w:r w:rsidRPr="00E54C49">
        <w:t xml:space="preserve">In AL </w:t>
      </w:r>
      <w:r>
        <w:t>5983-E</w:t>
      </w:r>
      <w:r w:rsidRPr="00E54C49">
        <w:t>, PG&amp;E assert</w:t>
      </w:r>
      <w:r>
        <w:t>s</w:t>
      </w:r>
      <w:r w:rsidRPr="00E54C49">
        <w:t xml:space="preserve"> that the </w:t>
      </w:r>
      <w:r>
        <w:t xml:space="preserve">Woodland </w:t>
      </w:r>
      <w:r w:rsidRPr="00E54C49">
        <w:t>contract was executed to comply with the provisions of S</w:t>
      </w:r>
      <w:r>
        <w:t>B</w:t>
      </w:r>
      <w:r w:rsidRPr="00E54C49">
        <w:t xml:space="preserve"> 901 as implemented in Resolution E-4977. </w:t>
      </w:r>
    </w:p>
    <w:p w:rsidRPr="00E54C49" w:rsidR="001A49FF" w:rsidP="001A49FF" w:rsidRDefault="001A49FF" w14:paraId="4D71355C" w14:textId="77777777"/>
    <w:p w:rsidR="001A49FF" w:rsidP="001A49FF" w:rsidRDefault="001A49FF" w14:paraId="0B18E6E3" w14:textId="77777777">
      <w:r w:rsidRPr="002C30D8">
        <w:t>In reviewing requests for contract approval, the C</w:t>
      </w:r>
      <w:r>
        <w:t xml:space="preserve">PUC </w:t>
      </w:r>
      <w:r w:rsidRPr="002C30D8">
        <w:t>compares</w:t>
      </w:r>
      <w:r>
        <w:t xml:space="preserve"> proposed</w:t>
      </w:r>
      <w:r w:rsidRPr="002C30D8">
        <w:t xml:space="preserve"> contract prices to the most recent solicitation </w:t>
      </w:r>
      <w:r>
        <w:t xml:space="preserve">data </w:t>
      </w:r>
      <w:r w:rsidRPr="002C30D8">
        <w:t>and recently executed contracts. PG&amp;E has not held a solicitation in the last year and has only executed one other BioRAM contract</w:t>
      </w:r>
      <w:r>
        <w:t xml:space="preserve"> with Wheelabrator Shasta Energy</w:t>
      </w:r>
      <w:r w:rsidRPr="002C30D8">
        <w:t>.</w:t>
      </w:r>
      <w:r>
        <w:rPr>
          <w:rStyle w:val="FootnoteReference"/>
        </w:rPr>
        <w:footnoteReference w:id="34"/>
      </w:r>
      <w:r w:rsidRPr="002C30D8">
        <w:t xml:space="preserve"> </w:t>
      </w:r>
      <w:r>
        <w:t xml:space="preserve">The price and value of the Woodland contract does not compare favorably to the Wheelabrator contract. Because </w:t>
      </w:r>
      <w:r w:rsidRPr="002C30D8">
        <w:t xml:space="preserve">Resolution E-4977 </w:t>
      </w:r>
      <w:r>
        <w:t>implemented</w:t>
      </w:r>
      <w:r w:rsidRPr="002C30D8">
        <w:t xml:space="preserve"> a per se reasonableness benchmark, which is set as “</w:t>
      </w:r>
      <w:r w:rsidRPr="002227FF">
        <w:t xml:space="preserve">$119 per </w:t>
      </w:r>
      <w:r>
        <w:t>megawatt-</w:t>
      </w:r>
      <w:r w:rsidRPr="002227FF">
        <w:t>hour</w:t>
      </w:r>
      <w:r>
        <w:t xml:space="preserve"> (MWh)</w:t>
      </w:r>
      <w:r w:rsidRPr="002227FF">
        <w:t xml:space="preserve"> if the current contract is not a BioRAM</w:t>
      </w:r>
      <w:r w:rsidRPr="002C30D8">
        <w:t xml:space="preserve"> contract,”</w:t>
      </w:r>
      <w:r>
        <w:rPr>
          <w:rStyle w:val="FootnoteReference"/>
        </w:rPr>
        <w:footnoteReference w:id="35"/>
      </w:r>
      <w:r w:rsidRPr="002C30D8">
        <w:t xml:space="preserve"> the C</w:t>
      </w:r>
      <w:r>
        <w:t>PUC</w:t>
      </w:r>
      <w:r w:rsidRPr="002C30D8">
        <w:t xml:space="preserve"> </w:t>
      </w:r>
      <w:r>
        <w:t xml:space="preserve">also </w:t>
      </w:r>
      <w:r w:rsidRPr="002C30D8">
        <w:t xml:space="preserve">compared the proposed </w:t>
      </w:r>
      <w:r>
        <w:t xml:space="preserve">Woodland </w:t>
      </w:r>
      <w:r w:rsidRPr="002C30D8">
        <w:t xml:space="preserve">contract price against </w:t>
      </w:r>
      <w:r>
        <w:t xml:space="preserve">the reasonableness benchmark of $119/MWh. </w:t>
      </w:r>
    </w:p>
    <w:p w:rsidR="001A49FF" w:rsidP="001A49FF" w:rsidRDefault="001A49FF" w14:paraId="555E4B7C" w14:textId="77777777"/>
    <w:p w:rsidR="001A49FF" w:rsidP="001A49FF" w:rsidRDefault="001A49FF" w14:paraId="1D82B6A8" w14:textId="77777777">
      <w:r>
        <w:t>As noted above, t</w:t>
      </w:r>
      <w:r w:rsidRPr="002C30D8">
        <w:t>he proposed contract price is higher than the per se reasonableness benchmark</w:t>
      </w:r>
      <w:r>
        <w:t xml:space="preserve"> of $119/MWh. </w:t>
      </w:r>
      <w:r w:rsidRPr="002C30D8">
        <w:t xml:space="preserve">PG&amp;E negotiated the Woodland contract bilaterally and conducted an open book review of Woodland’s financial </w:t>
      </w:r>
      <w:r>
        <w:t>estimates</w:t>
      </w:r>
      <w:r w:rsidRPr="002C30D8">
        <w:t xml:space="preserve"> and cost projections. </w:t>
      </w:r>
      <w:r w:rsidRPr="009F327B">
        <w:t xml:space="preserve">However, the documentation provided by PG&amp;E does not provide sufficient evidence for why the Woodland contract price is reasonable. </w:t>
      </w:r>
      <w:r>
        <w:t xml:space="preserve">As discussed in the previous section, PG&amp;E’s reasonableness explanation is based on forecasts and assumptions that are not bound through contractual obligations. </w:t>
      </w:r>
      <w:r w:rsidRPr="002C30D8">
        <w:t xml:space="preserve">Based on this information and the confidential analysis provided by PG&amp;E in AL 5983-E, we determine that </w:t>
      </w:r>
      <w:r>
        <w:rPr>
          <w:u w:val="single"/>
        </w:rPr>
        <w:t xml:space="preserve">the contract should be subject to a total cost recovery cap </w:t>
      </w:r>
      <w:r w:rsidRPr="001D1E2C">
        <w:t>based on the assumptions provided by PG&amp;E.</w:t>
      </w:r>
      <w:r>
        <w:rPr>
          <w:u w:val="single"/>
        </w:rPr>
        <w:t xml:space="preserve"> </w:t>
      </w:r>
    </w:p>
    <w:p w:rsidR="001A49FF" w:rsidP="001A49FF" w:rsidRDefault="001A49FF" w14:paraId="3AA60002" w14:textId="77777777"/>
    <w:p w:rsidR="001A49FF" w:rsidP="001A49FF" w:rsidRDefault="001A49FF" w14:paraId="0D5B1051" w14:textId="77777777">
      <w:r>
        <w:t xml:space="preserve">This Resolution approves the Woodland contract and imposes a total cost cap for cost recovery that adheres to the per se reasonableness benchmark of $119/MWh to ensure a reasonable cost and value to ratepayers. </w:t>
      </w:r>
      <w:r w:rsidRPr="00702129">
        <w:rPr>
          <w:u w:val="single"/>
        </w:rPr>
        <w:t>The total cost cap shall be calculated by multiplying the amount of expected megawatt-hours generated per year pursuant to the contract by the benchmark price of $119/MWh</w:t>
      </w:r>
      <w:r w:rsidRPr="003D65D6">
        <w:rPr>
          <w:u w:val="single"/>
        </w:rPr>
        <w:t xml:space="preserve"> </w:t>
      </w:r>
      <w:r>
        <w:rPr>
          <w:u w:val="single"/>
        </w:rPr>
        <w:t>by the number of years of the contract</w:t>
      </w:r>
      <w:r>
        <w:t xml:space="preserve">. Woodland will generate 168,000 MWh/year under the BioRAM contract, making the total annual cost cap an estimated $20 MM, and total contract cost cap an estimated $100 MM.  </w:t>
      </w:r>
    </w:p>
    <w:p w:rsidR="001A49FF" w:rsidP="001A49FF" w:rsidRDefault="001A49FF" w14:paraId="798DA0C1" w14:textId="77777777"/>
    <w:p w:rsidRPr="002C30D8" w:rsidR="001A49FF" w:rsidP="001A49FF" w:rsidRDefault="001A49FF" w14:paraId="495D0832" w14:textId="77777777">
      <w:r w:rsidRPr="002C30D8">
        <w:t xml:space="preserve">Confidential Appendix A includes </w:t>
      </w:r>
      <w:r>
        <w:t>further</w:t>
      </w:r>
      <w:r w:rsidRPr="002C30D8">
        <w:t xml:space="preserve"> discussion of</w:t>
      </w:r>
      <w:r>
        <w:t xml:space="preserve"> total cost recovery cap.</w:t>
      </w:r>
    </w:p>
    <w:p w:rsidR="001A49FF" w:rsidP="001A49FF" w:rsidRDefault="001A49FF" w14:paraId="11103837" w14:textId="77777777">
      <w:pPr>
        <w:rPr>
          <w:b/>
          <w:highlight w:val="yellow"/>
        </w:rPr>
      </w:pPr>
    </w:p>
    <w:p w:rsidR="001A49FF" w:rsidP="001A49FF" w:rsidRDefault="001A49FF" w14:paraId="3649457C" w14:textId="77777777">
      <w:pPr>
        <w:spacing w:after="120"/>
        <w:rPr>
          <w:b/>
        </w:rPr>
      </w:pPr>
      <w:r>
        <w:rPr>
          <w:b/>
        </w:rPr>
        <w:t>Consistency with the Tree Mortality Non-</w:t>
      </w:r>
      <w:proofErr w:type="spellStart"/>
      <w:r>
        <w:rPr>
          <w:b/>
        </w:rPr>
        <w:t>Bypassable</w:t>
      </w:r>
      <w:proofErr w:type="spellEnd"/>
      <w:r>
        <w:rPr>
          <w:b/>
        </w:rPr>
        <w:t xml:space="preserve"> Charge</w:t>
      </w:r>
    </w:p>
    <w:p w:rsidR="00AE03A9" w:rsidP="001A49FF" w:rsidRDefault="001A49FF" w14:paraId="4489FC00" w14:textId="77777777">
      <w:r>
        <w:t>Woodland</w:t>
      </w:r>
      <w:r w:rsidRPr="004634C9">
        <w:t xml:space="preserve"> was contracted by PG&amp;E to meet the tree mortality biomass procurement requirements set forth in CPUC Resolutions E-4770, E-4805, and </w:t>
      </w:r>
    </w:p>
    <w:p w:rsidRPr="004634C9" w:rsidR="001A49FF" w:rsidP="001A49FF" w:rsidRDefault="001A49FF" w14:paraId="33FB8608" w14:textId="6354BAAA">
      <w:r w:rsidRPr="004634C9">
        <w:t xml:space="preserve">E-4977. </w:t>
      </w:r>
      <w:r w:rsidRPr="004634C9">
        <w:rPr>
          <w:szCs w:val="26"/>
        </w:rPr>
        <w:t>Decision D.18-12-003 adopted the tree mortality non-</w:t>
      </w:r>
      <w:proofErr w:type="spellStart"/>
      <w:r w:rsidRPr="004634C9">
        <w:rPr>
          <w:szCs w:val="26"/>
        </w:rPr>
        <w:t>bypassable</w:t>
      </w:r>
      <w:proofErr w:type="spellEnd"/>
      <w:r w:rsidRPr="004634C9">
        <w:rPr>
          <w:szCs w:val="26"/>
        </w:rPr>
        <w:t xml:space="preserve"> charge (TMNBC) and ordered PG&amp;E to sell its tree-mortality related biomass </w:t>
      </w:r>
      <w:r w:rsidRPr="001E3731">
        <w:rPr>
          <w:szCs w:val="26"/>
        </w:rPr>
        <w:t>procurement.</w:t>
      </w:r>
      <w:r w:rsidRPr="001E3731">
        <w:t xml:space="preserve"> </w:t>
      </w:r>
      <w:r w:rsidRPr="001E3731">
        <w:rPr>
          <w:rStyle w:val="FootnoteReference"/>
        </w:rPr>
        <w:footnoteReference w:id="36"/>
      </w:r>
    </w:p>
    <w:p w:rsidRPr="00B22A64" w:rsidR="001A49FF" w:rsidP="001A49FF" w:rsidRDefault="001A49FF" w14:paraId="5351AE88" w14:textId="77777777">
      <w:pPr>
        <w:rPr>
          <w:b/>
          <w:highlight w:val="yellow"/>
        </w:rPr>
      </w:pPr>
    </w:p>
    <w:p w:rsidR="001A49FF" w:rsidP="001A49FF" w:rsidRDefault="001A49FF" w14:paraId="7FA17823" w14:textId="77777777">
      <w:pPr>
        <w:rPr>
          <w:u w:val="single"/>
        </w:rPr>
      </w:pPr>
      <w:r w:rsidRPr="002D754D">
        <w:t>Additionally, pursuant to D.18-12-003, PG&amp;E established a Tree Mortality Non-</w:t>
      </w:r>
      <w:proofErr w:type="spellStart"/>
      <w:r w:rsidRPr="002D754D">
        <w:t>Bypassable</w:t>
      </w:r>
      <w:proofErr w:type="spellEnd"/>
      <w:r w:rsidRPr="002D754D">
        <w:t xml:space="preserve"> Charge Balancing Account (TMNBCBA) to collect from all ratepayers </w:t>
      </w:r>
      <w:r w:rsidRPr="002D754D">
        <w:lastRenderedPageBreak/>
        <w:t>the net costs of tree mortality related biomass procurement.</w:t>
      </w:r>
      <w:r w:rsidRPr="002D754D">
        <w:rPr>
          <w:rStyle w:val="FootnoteReference"/>
        </w:rPr>
        <w:footnoteReference w:id="37"/>
      </w:r>
      <w:r w:rsidRPr="002D754D">
        <w:t xml:space="preserve"> </w:t>
      </w:r>
      <w:r>
        <w:t xml:space="preserve"> </w:t>
      </w:r>
      <w:r w:rsidRPr="00985A10">
        <w:t xml:space="preserve">In AL </w:t>
      </w:r>
      <w:r>
        <w:t>5983-E</w:t>
      </w:r>
      <w:r w:rsidRPr="00985A10">
        <w:t xml:space="preserve">, PG&amp;E proposes to recover the costs of the </w:t>
      </w:r>
      <w:r>
        <w:t>Woodland</w:t>
      </w:r>
      <w:r w:rsidRPr="00985A10">
        <w:t xml:space="preserve"> contract through the TMNBC.</w:t>
      </w:r>
      <w:r>
        <w:rPr>
          <w:rStyle w:val="FootnoteReference"/>
        </w:rPr>
        <w:footnoteReference w:id="38"/>
      </w:r>
      <w:r w:rsidRPr="00985A10">
        <w:t xml:space="preserve"> </w:t>
      </w:r>
      <w:r>
        <w:t xml:space="preserve"> Because the contract was executed pursuant to the BioRAM program,</w:t>
      </w:r>
      <w:r w:rsidRPr="00985A10">
        <w:t xml:space="preserve"> </w:t>
      </w:r>
      <w:r w:rsidRPr="00985A10">
        <w:rPr>
          <w:u w:val="single"/>
        </w:rPr>
        <w:t xml:space="preserve">the </w:t>
      </w:r>
      <w:r>
        <w:rPr>
          <w:u w:val="single"/>
        </w:rPr>
        <w:t>Woodland</w:t>
      </w:r>
      <w:r w:rsidRPr="00985A10">
        <w:rPr>
          <w:u w:val="single"/>
        </w:rPr>
        <w:t xml:space="preserve"> contract is consistent with D.18-12-003</w:t>
      </w:r>
      <w:r>
        <w:rPr>
          <w:u w:val="single"/>
        </w:rPr>
        <w:t xml:space="preserve"> and contract costs </w:t>
      </w:r>
      <w:r w:rsidRPr="00263A81">
        <w:rPr>
          <w:u w:val="single"/>
        </w:rPr>
        <w:t xml:space="preserve">under the </w:t>
      </w:r>
      <w:r>
        <w:rPr>
          <w:u w:val="single"/>
        </w:rPr>
        <w:t>Woodland</w:t>
      </w:r>
      <w:r w:rsidRPr="00263A81">
        <w:rPr>
          <w:u w:val="single"/>
        </w:rPr>
        <w:t xml:space="preserve"> contract </w:t>
      </w:r>
      <w:r>
        <w:rPr>
          <w:u w:val="single"/>
        </w:rPr>
        <w:t>up to the total contract cost cap are authorized to</w:t>
      </w:r>
      <w:r w:rsidRPr="00263A81">
        <w:rPr>
          <w:u w:val="single"/>
        </w:rPr>
        <w:t xml:space="preserve"> be allocated to all ratepayers through PG&amp;E’s Tree Mortality Non-</w:t>
      </w:r>
      <w:proofErr w:type="spellStart"/>
      <w:r w:rsidRPr="00263A81">
        <w:rPr>
          <w:u w:val="single"/>
        </w:rPr>
        <w:t>Bypassable</w:t>
      </w:r>
      <w:proofErr w:type="spellEnd"/>
      <w:r w:rsidRPr="00263A81">
        <w:rPr>
          <w:u w:val="single"/>
        </w:rPr>
        <w:t xml:space="preserve"> Charge Balancing Account (TMNBCBA) over the life of the contract, subject to CPUC review of PG&amp;E’s administration of the contract.</w:t>
      </w:r>
      <w:r>
        <w:rPr>
          <w:u w:val="single"/>
        </w:rPr>
        <w:t xml:space="preserve"> </w:t>
      </w:r>
    </w:p>
    <w:p w:rsidRPr="00DE3F86" w:rsidR="001A49FF" w:rsidP="001A49FF" w:rsidRDefault="001A49FF" w14:paraId="708AC3A8" w14:textId="77777777">
      <w:pPr>
        <w:rPr>
          <w:u w:val="single"/>
        </w:rPr>
      </w:pPr>
    </w:p>
    <w:p w:rsidRPr="007076F1" w:rsidR="001A49FF" w:rsidP="001A49FF" w:rsidRDefault="001A49FF" w14:paraId="1681086F" w14:textId="77777777">
      <w:pPr>
        <w:spacing w:after="120"/>
        <w:rPr>
          <w:b/>
        </w:rPr>
      </w:pPr>
      <w:r w:rsidRPr="00E92685">
        <w:rPr>
          <w:b/>
        </w:rPr>
        <w:t>Project Viability Assessment and Development Status</w:t>
      </w:r>
    </w:p>
    <w:p w:rsidR="001A49FF" w:rsidP="001A49FF" w:rsidRDefault="001A49FF" w14:paraId="6F2D3C4D" w14:textId="77777777">
      <w:r w:rsidRPr="007076F1">
        <w:t>The</w:t>
      </w:r>
      <w:r>
        <w:t xml:space="preserve"> delivered</w:t>
      </w:r>
      <w:r w:rsidRPr="007076F1">
        <w:t xml:space="preserve"> generation </w:t>
      </w:r>
      <w:r>
        <w:t xml:space="preserve">pursuant to this BioRAM contract will originate from the Woodland biomass facility. The Woodland biomass facility is already constructed and has </w:t>
      </w:r>
      <w:r w:rsidRPr="007076F1">
        <w:t>been certified by the California Energy Commission (CEC) as RPS-eligible</w:t>
      </w:r>
      <w:r>
        <w:t>. Though the facility is not currently under contract, it recently had a long-term RPS procurement contract with PG&amp;E that expired in 2020</w:t>
      </w:r>
      <w:r w:rsidRPr="007076F1">
        <w:t>.</w:t>
      </w:r>
      <w:r>
        <w:t xml:space="preserve"> </w:t>
      </w:r>
      <w:r w:rsidRPr="007076F1">
        <w:t xml:space="preserve"> The </w:t>
      </w:r>
      <w:r>
        <w:t>new BioRAM contract</w:t>
      </w:r>
      <w:r w:rsidRPr="007076F1">
        <w:t xml:space="preserve"> with</w:t>
      </w:r>
      <w:r>
        <w:t xml:space="preserve"> Woodland</w:t>
      </w:r>
      <w:r w:rsidRPr="007076F1">
        <w:t xml:space="preserve"> do</w:t>
      </w:r>
      <w:r>
        <w:t>es</w:t>
      </w:r>
      <w:r w:rsidRPr="007076F1">
        <w:t xml:space="preserve"> not change the </w:t>
      </w:r>
      <w:r>
        <w:t xml:space="preserve">RPS-eligibility or </w:t>
      </w:r>
      <w:r w:rsidRPr="007076F1">
        <w:t>development status of th</w:t>
      </w:r>
      <w:r>
        <w:t>is</w:t>
      </w:r>
      <w:r w:rsidRPr="007076F1">
        <w:t xml:space="preserve"> existing </w:t>
      </w:r>
      <w:r>
        <w:t xml:space="preserve">facility. </w:t>
      </w:r>
    </w:p>
    <w:p w:rsidRPr="007076F1" w:rsidR="001A49FF" w:rsidP="001A49FF" w:rsidRDefault="001A49FF" w14:paraId="356F35BB" w14:textId="77777777"/>
    <w:p w:rsidRPr="00B55DB4" w:rsidR="001A49FF" w:rsidP="001A49FF" w:rsidRDefault="001A49FF" w14:paraId="066D262C" w14:textId="77777777">
      <w:r w:rsidRPr="007076F1">
        <w:rPr>
          <w:u w:val="single"/>
        </w:rPr>
        <w:t xml:space="preserve">It is reasonable that </w:t>
      </w:r>
      <w:r>
        <w:rPr>
          <w:u w:val="single"/>
        </w:rPr>
        <w:t>the generating facility</w:t>
      </w:r>
      <w:r w:rsidRPr="007076F1">
        <w:rPr>
          <w:u w:val="single"/>
        </w:rPr>
        <w:t xml:space="preserve"> under this contract will continue to be viable and will continue to operate such that </w:t>
      </w:r>
      <w:r>
        <w:rPr>
          <w:u w:val="single"/>
        </w:rPr>
        <w:t>Woodland</w:t>
      </w:r>
      <w:r w:rsidRPr="007076F1">
        <w:rPr>
          <w:u w:val="single"/>
        </w:rPr>
        <w:t xml:space="preserve"> can meet the terms of the </w:t>
      </w:r>
      <w:r>
        <w:rPr>
          <w:u w:val="single"/>
        </w:rPr>
        <w:t>new BioRAM contract.</w:t>
      </w:r>
    </w:p>
    <w:p w:rsidR="001A49FF" w:rsidP="001A49FF" w:rsidRDefault="001A49FF" w14:paraId="245E144B" w14:textId="77777777">
      <w:pPr>
        <w:pStyle w:val="NoSpacing"/>
        <w:rPr>
          <w:rFonts w:ascii="Palatino Linotype" w:hAnsi="Palatino Linotype"/>
          <w:b/>
        </w:rPr>
      </w:pPr>
    </w:p>
    <w:p w:rsidRPr="007076F1" w:rsidR="001A49FF" w:rsidP="001A49FF" w:rsidRDefault="001A49FF" w14:paraId="483D3E76" w14:textId="77777777">
      <w:pPr>
        <w:pStyle w:val="NoSpacing"/>
        <w:spacing w:after="120"/>
        <w:rPr>
          <w:rFonts w:ascii="Palatino Linotype" w:hAnsi="Palatino Linotype"/>
          <w:b/>
        </w:rPr>
      </w:pPr>
      <w:r w:rsidRPr="005B2AEC">
        <w:rPr>
          <w:rFonts w:ascii="Palatino Linotype" w:hAnsi="Palatino Linotype"/>
          <w:b/>
        </w:rPr>
        <w:t>Independent Evaluator Review</w:t>
      </w:r>
    </w:p>
    <w:p w:rsidRPr="007076F1" w:rsidR="001A49FF" w:rsidP="001A49FF" w:rsidRDefault="001A49FF" w14:paraId="70921E10" w14:textId="77777777">
      <w:pPr>
        <w:pStyle w:val="NoSpacing"/>
        <w:rPr>
          <w:rFonts w:ascii="Palatino Linotype" w:hAnsi="Palatino Linotype"/>
        </w:rPr>
      </w:pPr>
      <w:r>
        <w:rPr>
          <w:rFonts w:ascii="Palatino Linotype" w:hAnsi="Palatino Linotype"/>
        </w:rPr>
        <w:t>PG&amp;E</w:t>
      </w:r>
      <w:r w:rsidRPr="007076F1">
        <w:rPr>
          <w:rFonts w:ascii="Palatino Linotype" w:hAnsi="Palatino Linotype"/>
        </w:rPr>
        <w:t xml:space="preserve"> retained </w:t>
      </w:r>
      <w:r>
        <w:rPr>
          <w:rFonts w:ascii="Palatino Linotype" w:hAnsi="Palatino Linotype"/>
        </w:rPr>
        <w:t>Arroyo Seco Consulting (Arroyo)</w:t>
      </w:r>
      <w:r w:rsidRPr="007076F1">
        <w:rPr>
          <w:rFonts w:ascii="Palatino Linotype" w:hAnsi="Palatino Linotype"/>
        </w:rPr>
        <w:t xml:space="preserve"> as the </w:t>
      </w:r>
      <w:r>
        <w:rPr>
          <w:rFonts w:ascii="Palatino Linotype" w:hAnsi="Palatino Linotype"/>
        </w:rPr>
        <w:t>I</w:t>
      </w:r>
      <w:r w:rsidRPr="007076F1">
        <w:rPr>
          <w:rFonts w:ascii="Palatino Linotype" w:hAnsi="Palatino Linotype"/>
        </w:rPr>
        <w:t xml:space="preserve">ndependent </w:t>
      </w:r>
      <w:r>
        <w:rPr>
          <w:rFonts w:ascii="Palatino Linotype" w:hAnsi="Palatino Linotype"/>
        </w:rPr>
        <w:t>E</w:t>
      </w:r>
      <w:r w:rsidRPr="007076F1">
        <w:rPr>
          <w:rFonts w:ascii="Palatino Linotype" w:hAnsi="Palatino Linotype"/>
        </w:rPr>
        <w:t xml:space="preserve">valuator (IE) to oversee </w:t>
      </w:r>
      <w:r>
        <w:rPr>
          <w:rFonts w:ascii="Palatino Linotype" w:hAnsi="Palatino Linotype"/>
        </w:rPr>
        <w:t>PG&amp;E</w:t>
      </w:r>
      <w:r w:rsidRPr="007076F1">
        <w:rPr>
          <w:rFonts w:ascii="Palatino Linotype" w:hAnsi="Palatino Linotype"/>
        </w:rPr>
        <w:t>’</w:t>
      </w:r>
      <w:r>
        <w:rPr>
          <w:rFonts w:ascii="Palatino Linotype" w:hAnsi="Palatino Linotype"/>
        </w:rPr>
        <w:t>s bilateral negotiations</w:t>
      </w:r>
      <w:r w:rsidRPr="007076F1">
        <w:rPr>
          <w:rFonts w:ascii="Palatino Linotype" w:hAnsi="Palatino Linotype"/>
        </w:rPr>
        <w:t xml:space="preserve"> and to evaluate the overall merits of the executed</w:t>
      </w:r>
      <w:r>
        <w:rPr>
          <w:rFonts w:ascii="Palatino Linotype" w:hAnsi="Palatino Linotype"/>
        </w:rPr>
        <w:t xml:space="preserve"> BioRAM</w:t>
      </w:r>
      <w:r w:rsidRPr="007076F1">
        <w:rPr>
          <w:rFonts w:ascii="Palatino Linotype" w:hAnsi="Palatino Linotype"/>
        </w:rPr>
        <w:t xml:space="preserve"> contract.  AL </w:t>
      </w:r>
      <w:r>
        <w:rPr>
          <w:rFonts w:ascii="Palatino Linotype" w:hAnsi="Palatino Linotype"/>
        </w:rPr>
        <w:t>5983-E</w:t>
      </w:r>
      <w:r w:rsidRPr="007076F1">
        <w:rPr>
          <w:rFonts w:ascii="Palatino Linotype" w:hAnsi="Palatino Linotype"/>
        </w:rPr>
        <w:t xml:space="preserve"> included a public and confidential IE report on </w:t>
      </w:r>
      <w:r>
        <w:rPr>
          <w:rFonts w:ascii="Palatino Linotype" w:hAnsi="Palatino Linotype"/>
        </w:rPr>
        <w:t>the negotiation process and market valuation.</w:t>
      </w:r>
      <w:r w:rsidRPr="007076F1">
        <w:rPr>
          <w:rFonts w:ascii="Palatino Linotype" w:hAnsi="Palatino Linotype"/>
        </w:rPr>
        <w:t xml:space="preserve">  </w:t>
      </w:r>
    </w:p>
    <w:p w:rsidRPr="007076F1" w:rsidR="001A49FF" w:rsidP="001A49FF" w:rsidRDefault="001A49FF" w14:paraId="30984CEA" w14:textId="77777777">
      <w:pPr>
        <w:pStyle w:val="NoSpacing"/>
        <w:rPr>
          <w:rFonts w:ascii="Palatino Linotype" w:hAnsi="Palatino Linotype"/>
        </w:rPr>
      </w:pPr>
    </w:p>
    <w:p w:rsidRPr="007076F1" w:rsidR="001A49FF" w:rsidP="001A49FF" w:rsidRDefault="001A49FF" w14:paraId="5DCB85A6" w14:textId="77777777">
      <w:pPr>
        <w:pStyle w:val="NoSpacing"/>
        <w:rPr>
          <w:rFonts w:ascii="Palatino Linotype" w:hAnsi="Palatino Linotype"/>
        </w:rPr>
      </w:pPr>
      <w:r>
        <w:rPr>
          <w:rFonts w:ascii="Palatino Linotype" w:hAnsi="Palatino Linotype"/>
        </w:rPr>
        <w:t>In the IE report, Arroyo states that PG&amp;E’s negotiations with Woodland were conducted fairly with respect to competitors.</w:t>
      </w:r>
      <w:r>
        <w:rPr>
          <w:rStyle w:val="FootnoteReference"/>
          <w:rFonts w:ascii="Palatino Linotype" w:hAnsi="Palatino Linotype"/>
        </w:rPr>
        <w:footnoteReference w:id="39"/>
      </w:r>
      <w:r>
        <w:rPr>
          <w:rFonts w:ascii="Palatino Linotype" w:hAnsi="Palatino Linotype"/>
        </w:rPr>
        <w:t xml:space="preserve"> Arroyo states that the Woodland contract fulfills the requirements of Resolution E-4977 but the contract price </w:t>
      </w:r>
      <w:r>
        <w:rPr>
          <w:rFonts w:ascii="Palatino Linotype" w:hAnsi="Palatino Linotype"/>
        </w:rPr>
        <w:lastRenderedPageBreak/>
        <w:t>exceeds the price reasonableness benchmark.</w:t>
      </w:r>
      <w:r>
        <w:rPr>
          <w:rStyle w:val="FootnoteReference"/>
          <w:rFonts w:ascii="Palatino Linotype" w:hAnsi="Palatino Linotype"/>
        </w:rPr>
        <w:footnoteReference w:id="40"/>
      </w:r>
      <w:r>
        <w:rPr>
          <w:rFonts w:ascii="Palatino Linotype" w:hAnsi="Palatino Linotype"/>
        </w:rPr>
        <w:t xml:space="preserve"> Arroyo also states that based on the forecasts provided by Woodland, the range of possible cost to ratepayers over the delivery term could vary significantly, ranging from reasonable costs to unreasonably high costs.</w:t>
      </w:r>
      <w:r>
        <w:rPr>
          <w:rStyle w:val="FootnoteReference"/>
          <w:rFonts w:ascii="Palatino Linotype" w:hAnsi="Palatino Linotype"/>
        </w:rPr>
        <w:footnoteReference w:id="41"/>
      </w:r>
      <w:r>
        <w:rPr>
          <w:rFonts w:ascii="Palatino Linotype" w:hAnsi="Palatino Linotype"/>
        </w:rPr>
        <w:t xml:space="preserve"> Arroyo</w:t>
      </w:r>
      <w:r w:rsidRPr="00A71CE6">
        <w:rPr>
          <w:rFonts w:ascii="Palatino Linotype" w:hAnsi="Palatino Linotype"/>
        </w:rPr>
        <w:t xml:space="preserve"> does not provide a recommendation for either CPUC approval or rejection of the </w:t>
      </w:r>
      <w:r>
        <w:rPr>
          <w:rFonts w:ascii="Palatino Linotype" w:hAnsi="Palatino Linotype"/>
        </w:rPr>
        <w:t>Woodland</w:t>
      </w:r>
      <w:r w:rsidRPr="00A71CE6">
        <w:rPr>
          <w:rFonts w:ascii="Palatino Linotype" w:hAnsi="Palatino Linotype"/>
        </w:rPr>
        <w:t xml:space="preserve"> BioRAM contract.</w:t>
      </w:r>
    </w:p>
    <w:p w:rsidRPr="007076F1" w:rsidR="001A49FF" w:rsidP="001A49FF" w:rsidRDefault="001A49FF" w14:paraId="63D30692" w14:textId="77777777">
      <w:pPr>
        <w:pStyle w:val="NoSpacing"/>
        <w:rPr>
          <w:rFonts w:ascii="Palatino Linotype" w:hAnsi="Palatino Linotype"/>
        </w:rPr>
      </w:pPr>
      <w:r w:rsidRPr="007076F1">
        <w:rPr>
          <w:rFonts w:ascii="Palatino Linotype" w:hAnsi="Palatino Linotype"/>
        </w:rPr>
        <w:t xml:space="preserve">  </w:t>
      </w:r>
    </w:p>
    <w:p w:rsidRPr="007076F1" w:rsidR="001A49FF" w:rsidP="001A49FF" w:rsidRDefault="001A49FF" w14:paraId="31B00401" w14:textId="77777777">
      <w:pPr>
        <w:pStyle w:val="NoSpacing"/>
        <w:rPr>
          <w:rFonts w:ascii="Palatino Linotype" w:hAnsi="Palatino Linotype"/>
          <w:u w:val="single"/>
        </w:rPr>
      </w:pPr>
      <w:r w:rsidRPr="007076F1">
        <w:rPr>
          <w:rFonts w:ascii="Palatino Linotype" w:hAnsi="Palatino Linotype"/>
          <w:u w:val="single"/>
        </w:rPr>
        <w:t xml:space="preserve">Consistent with D.06-05-039 and D.09-06-050, an independent evaluator </w:t>
      </w:r>
      <w:r>
        <w:rPr>
          <w:rFonts w:ascii="Palatino Linotype" w:hAnsi="Palatino Linotype"/>
          <w:u w:val="single"/>
        </w:rPr>
        <w:t>oversaw</w:t>
      </w:r>
      <w:r w:rsidRPr="007076F1">
        <w:rPr>
          <w:rFonts w:ascii="Palatino Linotype" w:hAnsi="Palatino Linotype"/>
          <w:u w:val="single"/>
        </w:rPr>
        <w:t xml:space="preserve"> </w:t>
      </w:r>
      <w:r>
        <w:rPr>
          <w:rFonts w:ascii="Palatino Linotype" w:hAnsi="Palatino Linotype"/>
          <w:u w:val="single"/>
        </w:rPr>
        <w:t>PG&amp;E</w:t>
      </w:r>
      <w:r w:rsidRPr="007076F1">
        <w:rPr>
          <w:rFonts w:ascii="Palatino Linotype" w:hAnsi="Palatino Linotype"/>
          <w:u w:val="single"/>
        </w:rPr>
        <w:t xml:space="preserve">’s </w:t>
      </w:r>
      <w:r>
        <w:rPr>
          <w:rFonts w:ascii="Palatino Linotype" w:hAnsi="Palatino Linotype"/>
          <w:u w:val="single"/>
        </w:rPr>
        <w:t>bilateral negotiations with Woodland.</w:t>
      </w:r>
    </w:p>
    <w:p w:rsidRPr="007076F1" w:rsidR="001A49FF" w:rsidP="001A49FF" w:rsidRDefault="001A49FF" w14:paraId="48966298" w14:textId="77777777">
      <w:pPr>
        <w:pStyle w:val="NoSpacing"/>
        <w:rPr>
          <w:rFonts w:ascii="Palatino Linotype" w:hAnsi="Palatino Linotype"/>
        </w:rPr>
      </w:pPr>
    </w:p>
    <w:p w:rsidRPr="007076F1" w:rsidR="001A49FF" w:rsidP="001A49FF" w:rsidRDefault="001A49FF" w14:paraId="4C513EF4" w14:textId="77777777">
      <w:pPr>
        <w:spacing w:after="120"/>
        <w:rPr>
          <w:b/>
        </w:rPr>
      </w:pPr>
      <w:r>
        <w:rPr>
          <w:b/>
        </w:rPr>
        <w:t xml:space="preserve">Cost Allocation Methodology (CAM) </w:t>
      </w:r>
      <w:r w:rsidRPr="0083478D">
        <w:rPr>
          <w:b/>
        </w:rPr>
        <w:t>Procurement Review Group Participation</w:t>
      </w:r>
    </w:p>
    <w:p w:rsidRPr="00332982" w:rsidR="001A49FF" w:rsidP="001A49FF" w:rsidRDefault="001A49FF" w14:paraId="63E8F965" w14:textId="77777777">
      <w:r w:rsidRPr="007076F1">
        <w:t xml:space="preserve">The </w:t>
      </w:r>
      <w:r>
        <w:t xml:space="preserve">Cost Allocation Methodology (CAM) </w:t>
      </w:r>
      <w:r w:rsidRPr="007076F1">
        <w:t>Procurement Review Group (PRG) was initially established in D.02-08-071 as an advisory group to review and assess the details of the IOUs’ overall procurement strategy, solicitations, specific proposed procurement contracts</w:t>
      </w:r>
      <w:r>
        <w:t>,</w:t>
      </w:r>
      <w:r w:rsidRPr="007076F1">
        <w:t xml:space="preserve"> and other procurement processes prior to submitting filings to the C</w:t>
      </w:r>
      <w:r>
        <w:t>PUC</w:t>
      </w:r>
      <w:r w:rsidRPr="007076F1">
        <w:t>.</w:t>
      </w:r>
      <w:r w:rsidRPr="007076F1">
        <w:rPr>
          <w:rStyle w:val="FootnoteReference"/>
        </w:rPr>
        <w:footnoteReference w:id="42"/>
      </w:r>
      <w:r w:rsidRPr="007076F1">
        <w:t xml:space="preserve">  </w:t>
      </w:r>
      <w:r>
        <w:t>In AL 5983-E</w:t>
      </w:r>
      <w:r w:rsidRPr="00087694">
        <w:t>, PG</w:t>
      </w:r>
      <w:r w:rsidRPr="007C3BDD">
        <w:t>&amp;E states that the contract was presented to the PRG via e-mail on</w:t>
      </w:r>
      <w:r>
        <w:t xml:space="preserve"> October 8</w:t>
      </w:r>
      <w:r w:rsidRPr="007C3BDD">
        <w:t xml:space="preserve">, 2020. </w:t>
      </w:r>
      <w:r>
        <w:t>Aside from the e-mail notification,</w:t>
      </w:r>
      <w:r w:rsidRPr="007C3BDD">
        <w:t xml:space="preserve"> PG&amp;E did not present the contract at a meeting with the CAM PRG members.</w:t>
      </w:r>
      <w:r>
        <w:t xml:space="preserve"> </w:t>
      </w:r>
    </w:p>
    <w:p w:rsidRPr="00F37E65" w:rsidR="001A49FF" w:rsidP="001A49FF" w:rsidRDefault="001A49FF" w14:paraId="7BB480F6" w14:textId="77777777">
      <w:pPr>
        <w:rPr>
          <w:szCs w:val="26"/>
          <w:highlight w:val="yellow"/>
        </w:rPr>
      </w:pPr>
    </w:p>
    <w:p w:rsidR="001A49FF" w:rsidP="001A49FF" w:rsidRDefault="001A49FF" w14:paraId="56C46570" w14:textId="77777777">
      <w:pPr>
        <w:rPr>
          <w:szCs w:val="26"/>
          <w:u w:val="single"/>
        </w:rPr>
      </w:pPr>
      <w:r w:rsidRPr="00B1034C">
        <w:rPr>
          <w:szCs w:val="26"/>
          <w:u w:val="single"/>
        </w:rPr>
        <w:t xml:space="preserve">Pursuant to D.02-08-071, PG&amp;E’s Procurement Review Group was notified of PG&amp;E’s planned execution of the </w:t>
      </w:r>
      <w:r>
        <w:rPr>
          <w:szCs w:val="26"/>
          <w:u w:val="single"/>
        </w:rPr>
        <w:t>Woodland</w:t>
      </w:r>
      <w:r w:rsidRPr="00B1034C">
        <w:rPr>
          <w:szCs w:val="26"/>
          <w:u w:val="single"/>
        </w:rPr>
        <w:t xml:space="preserve"> contract.</w:t>
      </w:r>
      <w:r>
        <w:rPr>
          <w:szCs w:val="26"/>
          <w:u w:val="single"/>
        </w:rPr>
        <w:t xml:space="preserve"> </w:t>
      </w:r>
    </w:p>
    <w:p w:rsidR="001A49FF" w:rsidP="001A49FF" w:rsidRDefault="001A49FF" w14:paraId="47744E22" w14:textId="77777777">
      <w:pPr>
        <w:rPr>
          <w:szCs w:val="26"/>
          <w:u w:val="single"/>
        </w:rPr>
      </w:pPr>
    </w:p>
    <w:p w:rsidRPr="00FF0395" w:rsidR="001A49FF" w:rsidP="001A49FF" w:rsidRDefault="001A49FF" w14:paraId="53E63D06" w14:textId="77777777">
      <w:pPr>
        <w:spacing w:after="120"/>
        <w:rPr>
          <w:b/>
        </w:rPr>
      </w:pPr>
      <w:r w:rsidRPr="00FF0395">
        <w:rPr>
          <w:b/>
        </w:rPr>
        <w:t xml:space="preserve">RPS Eligibility and CPUC Approval </w:t>
      </w:r>
    </w:p>
    <w:p w:rsidRPr="00FF0395" w:rsidR="001A49FF" w:rsidP="001A49FF" w:rsidRDefault="001A49FF" w14:paraId="42C004BE" w14:textId="77777777">
      <w:r w:rsidRPr="00FF0395">
        <w:t xml:space="preserve">Pursuant to Section 399.13, the CEC certifies eligible renewable energy resources.  Generation from a resource that is not CEC-certified cannot be used to meet RPS requirements.  To ensure that only CEC-certified energy is procured under a Commission-approved RPS contract, the Commission has required standard and non-modifiable “eligibility” language in all RPS contracts.  That language requires a seller to warrant that the project qualifies and is certified by the CEC </w:t>
      </w:r>
      <w:r w:rsidRPr="00FF0395">
        <w:lastRenderedPageBreak/>
        <w:t>as an “eligible renewable energy resource,” that the project’s output delivered to the buyer qualifies under the requirements of the RPS, and that the seller uses commercially reasonable efforts to maintain eligibility should there be a change in law affecting eligibility.</w:t>
      </w:r>
      <w:r w:rsidRPr="00FF0395">
        <w:rPr>
          <w:rStyle w:val="FootnoteReference"/>
          <w:szCs w:val="26"/>
        </w:rPr>
        <w:footnoteReference w:id="43"/>
      </w:r>
      <w:r w:rsidRPr="00FF0395">
        <w:t xml:space="preserve"> </w:t>
      </w:r>
    </w:p>
    <w:p w:rsidRPr="00FF0395" w:rsidR="001A49FF" w:rsidP="001A49FF" w:rsidRDefault="001A49FF" w14:paraId="5B82C6A3" w14:textId="77777777">
      <w:pPr>
        <w:rPr>
          <w:szCs w:val="26"/>
        </w:rPr>
      </w:pPr>
    </w:p>
    <w:p w:rsidRPr="00FF0395" w:rsidR="001A49FF" w:rsidP="001A49FF" w:rsidRDefault="001A49FF" w14:paraId="430B3E58" w14:textId="77777777">
      <w:pPr>
        <w:rPr>
          <w:szCs w:val="26"/>
        </w:rPr>
      </w:pPr>
      <w:r w:rsidRPr="00FF0395">
        <w:rPr>
          <w:szCs w:val="26"/>
        </w:rPr>
        <w:t>The Commission requires a standard and non-modifiable clause in all RPS contracts that requires “CPUC Approval” of a PPA to include an explicit finding that “</w:t>
      </w:r>
      <w:r w:rsidRPr="00FF0395">
        <w:rPr>
          <w:szCs w:val="26"/>
          <w:u w:val="single"/>
        </w:rPr>
        <w:t>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w:t>
      </w:r>
      <w:r w:rsidRPr="00FF0395">
        <w:rPr>
          <w:i/>
          <w:iCs/>
          <w:szCs w:val="26"/>
          <w:u w:val="single"/>
        </w:rPr>
        <w:t>Public Utilities Code Section</w:t>
      </w:r>
      <w:r>
        <w:rPr>
          <w:i/>
          <w:iCs/>
          <w:szCs w:val="26"/>
          <w:u w:val="single"/>
        </w:rPr>
        <w:t>s</w:t>
      </w:r>
      <w:r w:rsidRPr="00FF0395">
        <w:rPr>
          <w:i/>
          <w:iCs/>
          <w:szCs w:val="26"/>
          <w:u w:val="single"/>
        </w:rPr>
        <w:t xml:space="preserve"> 399.11</w:t>
      </w:r>
      <w:r w:rsidRPr="00FF0395">
        <w:rPr>
          <w:szCs w:val="26"/>
          <w:u w:val="single"/>
        </w:rPr>
        <w:t xml:space="preserve"> </w:t>
      </w:r>
      <w:r w:rsidRPr="00FF0395">
        <w:rPr>
          <w:i/>
          <w:iCs/>
          <w:szCs w:val="26"/>
          <w:u w:val="single"/>
        </w:rPr>
        <w:t>et seq.</w:t>
      </w:r>
      <w:r w:rsidRPr="00FF0395">
        <w:rPr>
          <w:szCs w:val="26"/>
          <w:u w:val="single"/>
        </w:rPr>
        <w:t>), D.11-12-020 and D.11-12-052, or other applicable law.</w:t>
      </w:r>
      <w:r w:rsidRPr="00FF0395">
        <w:rPr>
          <w:szCs w:val="26"/>
        </w:rPr>
        <w:t>”</w:t>
      </w:r>
      <w:r w:rsidRPr="00FF0395">
        <w:rPr>
          <w:rStyle w:val="FootnoteReference"/>
          <w:szCs w:val="26"/>
        </w:rPr>
        <w:footnoteReference w:id="44"/>
      </w:r>
      <w:r w:rsidRPr="00534DB9">
        <w:rPr>
          <w:szCs w:val="26"/>
        </w:rPr>
        <w:tab/>
      </w:r>
    </w:p>
    <w:p w:rsidRPr="00FF0395" w:rsidR="001A49FF" w:rsidP="001A49FF" w:rsidRDefault="001A49FF" w14:paraId="21639BB9" w14:textId="77777777">
      <w:pPr>
        <w:rPr>
          <w:szCs w:val="26"/>
        </w:rPr>
      </w:pPr>
    </w:p>
    <w:p w:rsidRPr="00FF0395" w:rsidR="001A49FF" w:rsidP="001A49FF" w:rsidRDefault="001A49FF" w14:paraId="0559D550" w14:textId="77777777">
      <w:r w:rsidRPr="00FF0395">
        <w:rPr>
          <w:szCs w:val="26"/>
        </w:rPr>
        <w:t xml:space="preserve">Notwithstanding this language, given that the Commission has no jurisdiction to determine whether a project is an </w:t>
      </w:r>
      <w:r w:rsidRPr="00FF0395">
        <w:t>“eligible renewable energy resource” for RPS purposes</w:t>
      </w:r>
      <w:r w:rsidRPr="00FF0395">
        <w:rPr>
          <w:szCs w:val="26"/>
        </w:rPr>
        <w:t xml:space="preserve">, this finding and the effectiveness of the </w:t>
      </w:r>
      <w:r w:rsidRPr="00FF0395">
        <w:t xml:space="preserve">non-modifiable “eligibility” language </w:t>
      </w:r>
      <w:r w:rsidRPr="00FF0395">
        <w:rPr>
          <w:szCs w:val="26"/>
        </w:rPr>
        <w:t xml:space="preserve">is contingent on the CEC’s certification of the </w:t>
      </w:r>
      <w:r>
        <w:rPr>
          <w:szCs w:val="26"/>
        </w:rPr>
        <w:t>Woodland</w:t>
      </w:r>
      <w:r w:rsidRPr="00FF0395">
        <w:rPr>
          <w:szCs w:val="26"/>
        </w:rPr>
        <w:t xml:space="preserve"> </w:t>
      </w:r>
      <w:r>
        <w:rPr>
          <w:szCs w:val="26"/>
        </w:rPr>
        <w:t>facility</w:t>
      </w:r>
      <w:r w:rsidRPr="00FF0395">
        <w:rPr>
          <w:szCs w:val="26"/>
        </w:rPr>
        <w:t xml:space="preserve"> as </w:t>
      </w:r>
      <w:r>
        <w:rPr>
          <w:szCs w:val="26"/>
        </w:rPr>
        <w:t xml:space="preserve">an </w:t>
      </w:r>
      <w:r w:rsidRPr="00FF0395">
        <w:t xml:space="preserve">“eligible renewable energy resource.”  The contract language that the </w:t>
      </w:r>
      <w:r>
        <w:t xml:space="preserve">Woodland </w:t>
      </w:r>
      <w:r w:rsidRPr="00FF0395">
        <w:t xml:space="preserve">project </w:t>
      </w:r>
      <w:r>
        <w:rPr>
          <w:szCs w:val="26"/>
        </w:rPr>
        <w:t>is</w:t>
      </w:r>
      <w:r w:rsidRPr="00FF0395">
        <w:rPr>
          <w:szCs w:val="26"/>
        </w:rPr>
        <w:t xml:space="preserve"> procurement from an “eligible renewable energy resource</w:t>
      </w:r>
      <w:r w:rsidRPr="00FF0395">
        <w:t>” must be a true statement at the time of the first delivery of energy, not at the signing of the PPA or at the issuance of this Resolution.</w:t>
      </w:r>
    </w:p>
    <w:p w:rsidRPr="00FF0395" w:rsidR="001A49FF" w:rsidP="001A49FF" w:rsidRDefault="001A49FF" w14:paraId="62590E04" w14:textId="77777777"/>
    <w:p w:rsidR="001A49FF" w:rsidP="001A49FF" w:rsidRDefault="001A49FF" w14:paraId="0D7B92E3" w14:textId="77777777">
      <w:r w:rsidRPr="00FF0395">
        <w:t xml:space="preserve">While we include the required finding here, </w:t>
      </w:r>
      <w:r w:rsidRPr="00FF0395">
        <w:rPr>
          <w:u w:val="single"/>
        </w:rPr>
        <w:t>this finding has never been intended, and shall not be read now, to allow the generation from a non-RPS-eligible resource to count towards an RPS compliance obligation absent CEC certification.  Nor shall such finding absolve the seller of its obligation to obtain CEC certification, or the utility of its obligation to pursue remedies for breach of contract</w:t>
      </w:r>
      <w:r w:rsidRPr="00FF0395">
        <w:t>.  Such contract enforcement activities shall be reviewed pursuant to the Commission’s authority to review the utilities’ administration of such contracts.</w:t>
      </w:r>
    </w:p>
    <w:p w:rsidR="001A49FF" w:rsidP="001A49FF" w:rsidRDefault="001A49FF" w14:paraId="58BEC35D" w14:textId="77777777"/>
    <w:p w:rsidRPr="00FF0395" w:rsidR="001A49FF" w:rsidP="001A49FF" w:rsidRDefault="001A49FF" w14:paraId="2959A9C4" w14:textId="77777777">
      <w:pPr>
        <w:keepNext/>
        <w:spacing w:after="120"/>
        <w:rPr>
          <w:b/>
          <w:bCs/>
        </w:rPr>
      </w:pPr>
      <w:r w:rsidRPr="00FF0395">
        <w:rPr>
          <w:b/>
          <w:bCs/>
        </w:rPr>
        <w:lastRenderedPageBreak/>
        <w:t>Consistency with RPS Standard Terms and Conditions (STCs)</w:t>
      </w:r>
    </w:p>
    <w:p w:rsidRPr="00FF0395" w:rsidR="001A49FF" w:rsidP="001A49FF" w:rsidRDefault="001A49FF" w14:paraId="6FD29C04" w14:textId="77777777">
      <w:r w:rsidRPr="00FF0395">
        <w:t xml:space="preserve">The Commission adopted a set of standard terms and conditions (STCs) required in RPS contracts, five of which are considered “non-modifiable.”  The STCs were compiled in D.08-04-009 and subsequently amended in D.08-08-028.  More recently, the Commission further refined some of the STCs in D.10-03-021, as modified by D.11-01-025, and D.13-11-024. </w:t>
      </w:r>
    </w:p>
    <w:p w:rsidRPr="00FF0395" w:rsidR="001A49FF" w:rsidP="001A49FF" w:rsidRDefault="001A49FF" w14:paraId="7DB84128" w14:textId="77777777"/>
    <w:p w:rsidR="00AE03A9" w:rsidP="001A49FF" w:rsidRDefault="001A49FF" w14:paraId="0B007451" w14:textId="77777777">
      <w:pPr>
        <w:rPr>
          <w:u w:val="single"/>
        </w:rPr>
      </w:pPr>
      <w:r w:rsidRPr="00FF0395">
        <w:rPr>
          <w:u w:val="single"/>
        </w:rPr>
        <w:t xml:space="preserve">The </w:t>
      </w:r>
      <w:r>
        <w:rPr>
          <w:u w:val="single"/>
        </w:rPr>
        <w:t>Woodland contract is based on PG&amp;E’s Renewable Auction Mechanism standard contract and</w:t>
      </w:r>
      <w:r w:rsidRPr="00FF0395">
        <w:rPr>
          <w:u w:val="single"/>
        </w:rPr>
        <w:t xml:space="preserve"> include</w:t>
      </w:r>
      <w:r>
        <w:rPr>
          <w:u w:val="single"/>
        </w:rPr>
        <w:t>s</w:t>
      </w:r>
      <w:r w:rsidRPr="00FF0395">
        <w:rPr>
          <w:u w:val="single"/>
        </w:rPr>
        <w:t xml:space="preserve"> the Commission adopted RPS “non-modifiable” standard terms and conditions, as set forth in D.08-04-009, D.08-08-028, </w:t>
      </w:r>
    </w:p>
    <w:p w:rsidRPr="007D2D53" w:rsidR="001A49FF" w:rsidP="001A49FF" w:rsidRDefault="001A49FF" w14:paraId="20A8978A" w14:textId="7C956995">
      <w:pPr>
        <w:rPr>
          <w:u w:val="single"/>
        </w:rPr>
      </w:pPr>
      <w:r w:rsidRPr="00FF0395">
        <w:rPr>
          <w:u w:val="single"/>
        </w:rPr>
        <w:t>D.10-03-021, as modified by D.11-01-025 and D.13-11-024.</w:t>
      </w:r>
    </w:p>
    <w:p w:rsidRPr="009B54A5" w:rsidR="001A49FF" w:rsidP="001A49FF" w:rsidRDefault="001A49FF" w14:paraId="7ECA5448" w14:textId="77777777">
      <w:pPr>
        <w:rPr>
          <w:b/>
          <w:bCs/>
        </w:rPr>
      </w:pPr>
    </w:p>
    <w:p w:rsidRPr="00FF0395" w:rsidR="001A49FF" w:rsidP="001A49FF" w:rsidRDefault="001A49FF" w14:paraId="3310557A" w14:textId="77777777">
      <w:pPr>
        <w:pStyle w:val="BodyText"/>
        <w:widowControl w:val="0"/>
        <w:spacing w:after="120" w:line="23" w:lineRule="atLeast"/>
        <w:rPr>
          <w:bCs/>
        </w:rPr>
      </w:pPr>
      <w:r w:rsidRPr="00FF0395">
        <w:rPr>
          <w:bCs/>
        </w:rPr>
        <w:t>Compliance with the Greenhouse Gas Emissions Performance Standard (EPS)</w:t>
      </w:r>
    </w:p>
    <w:p w:rsidR="001A49FF" w:rsidP="001A49FF" w:rsidRDefault="001A49FF" w14:paraId="14AC04F6" w14:textId="77777777">
      <w:pPr>
        <w:pStyle w:val="BodyText"/>
        <w:widowControl w:val="0"/>
        <w:spacing w:after="120" w:line="23" w:lineRule="atLeast"/>
        <w:rPr>
          <w:b w:val="0"/>
        </w:rPr>
      </w:pPr>
      <w:r w:rsidRPr="00FF0395">
        <w:rPr>
          <w:b w:val="0"/>
        </w:rPr>
        <w:t xml:space="preserve">Sections 8340 and 8341 require that the Commission consider emissions costs associated with new long-term (five years or greater) baseload power contracts </w:t>
      </w:r>
      <w:r w:rsidRPr="00FF0395">
        <w:rPr>
          <w:b w:val="0"/>
          <w:szCs w:val="26"/>
        </w:rPr>
        <w:t>procured on behalf of California ratepayers.</w:t>
      </w:r>
      <w:r w:rsidRPr="00FF0395">
        <w:rPr>
          <w:rStyle w:val="FootnoteReference"/>
          <w:b w:val="0"/>
        </w:rPr>
        <w:t xml:space="preserve"> </w:t>
      </w:r>
      <w:r w:rsidRPr="00FF0395">
        <w:rPr>
          <w:rStyle w:val="FootnoteReference"/>
          <w:b w:val="0"/>
        </w:rPr>
        <w:footnoteReference w:id="45"/>
      </w:r>
      <w:r w:rsidRPr="00FF0395">
        <w:rPr>
          <w:b w:val="0"/>
        </w:rPr>
        <w:t xml:space="preserve"> D.07-01-039 adopted an interim EPS that establishes an emission rate for obligated facilities at levels no greater than the greenhouse gas emissions of a combined-cycle gas turbine power plant. </w:t>
      </w:r>
      <w:r>
        <w:rPr>
          <w:b w:val="0"/>
        </w:rPr>
        <w:t>Renewable g</w:t>
      </w:r>
      <w:r w:rsidRPr="00FF0395">
        <w:rPr>
          <w:b w:val="0"/>
        </w:rPr>
        <w:t xml:space="preserve">enerating facilities using </w:t>
      </w:r>
      <w:r>
        <w:rPr>
          <w:b w:val="0"/>
        </w:rPr>
        <w:t xml:space="preserve">biomass that would otherwise be disposed of utilizing open burning and forest accumulation </w:t>
      </w:r>
      <w:r w:rsidRPr="00FF0395">
        <w:rPr>
          <w:b w:val="0"/>
        </w:rPr>
        <w:t>are deemed compliant with the EPS.</w:t>
      </w:r>
      <w:r w:rsidRPr="00FF0395">
        <w:rPr>
          <w:rStyle w:val="FootnoteReference"/>
          <w:b w:val="0"/>
        </w:rPr>
        <w:footnoteReference w:id="46"/>
      </w:r>
      <w:r w:rsidRPr="00FF0395">
        <w:rPr>
          <w:b w:val="0"/>
        </w:rPr>
        <w:t xml:space="preserve"> </w:t>
      </w:r>
    </w:p>
    <w:p w:rsidRPr="00103A4B" w:rsidR="001A49FF" w:rsidP="001A49FF" w:rsidRDefault="001A49FF" w14:paraId="26470A77" w14:textId="77777777">
      <w:pPr>
        <w:pStyle w:val="BodyText"/>
        <w:widowControl w:val="0"/>
        <w:spacing w:line="23" w:lineRule="atLeast"/>
        <w:rPr>
          <w:b w:val="0"/>
        </w:rPr>
      </w:pPr>
    </w:p>
    <w:p w:rsidRPr="007E1628" w:rsidR="001A49FF" w:rsidP="001A49FF" w:rsidRDefault="001A49FF" w14:paraId="0E693A72" w14:textId="77777777">
      <w:pPr>
        <w:pStyle w:val="BodyText"/>
        <w:spacing w:line="23" w:lineRule="atLeast"/>
        <w:rPr>
          <w:b w:val="0"/>
          <w:u w:val="single"/>
        </w:rPr>
      </w:pPr>
      <w:r w:rsidRPr="00FF0395">
        <w:rPr>
          <w:b w:val="0"/>
          <w:u w:val="single"/>
        </w:rPr>
        <w:t xml:space="preserve">The </w:t>
      </w:r>
      <w:r>
        <w:rPr>
          <w:b w:val="0"/>
          <w:u w:val="single"/>
        </w:rPr>
        <w:t>Woodland contract is</w:t>
      </w:r>
      <w:r w:rsidRPr="00FF0395">
        <w:rPr>
          <w:b w:val="0"/>
          <w:u w:val="single"/>
        </w:rPr>
        <w:t xml:space="preserve"> </w:t>
      </w:r>
      <w:r>
        <w:rPr>
          <w:b w:val="0"/>
          <w:u w:val="single"/>
        </w:rPr>
        <w:t>compliant with</w:t>
      </w:r>
      <w:r w:rsidRPr="00FF0395">
        <w:rPr>
          <w:b w:val="0"/>
          <w:u w:val="single"/>
        </w:rPr>
        <w:t xml:space="preserve"> the EPS</w:t>
      </w:r>
      <w:r>
        <w:rPr>
          <w:b w:val="0"/>
          <w:u w:val="single"/>
        </w:rPr>
        <w:t xml:space="preserve"> because it is a biomass facility covered by Conclusion of Law 35(d) in D.07-01-039.</w:t>
      </w:r>
    </w:p>
    <w:p w:rsidR="001A49FF" w:rsidP="001A49FF" w:rsidRDefault="001A49FF" w14:paraId="75F3D844" w14:textId="77777777">
      <w:pPr>
        <w:rPr>
          <w:szCs w:val="26"/>
          <w:u w:val="single"/>
        </w:rPr>
      </w:pPr>
    </w:p>
    <w:p w:rsidR="001A49FF" w:rsidP="001A49FF" w:rsidRDefault="001A49FF" w14:paraId="26BC9307" w14:textId="77777777">
      <w:pPr>
        <w:pStyle w:val="NoSpacing"/>
        <w:spacing w:after="120"/>
        <w:rPr>
          <w:rFonts w:ascii="Palatino Linotype" w:hAnsi="Palatino Linotype"/>
          <w:b/>
        </w:rPr>
      </w:pPr>
      <w:r>
        <w:rPr>
          <w:rFonts w:ascii="Palatino Linotype" w:hAnsi="Palatino Linotype"/>
          <w:b/>
        </w:rPr>
        <w:t xml:space="preserve">Disadvantaged Communities Considerations </w:t>
      </w:r>
    </w:p>
    <w:p w:rsidR="001A49FF" w:rsidP="001A49FF" w:rsidRDefault="001A49FF" w14:paraId="2B6143CB" w14:textId="77777777">
      <w:pPr>
        <w:rPr>
          <w:szCs w:val="26"/>
        </w:rPr>
      </w:pPr>
      <w:r>
        <w:rPr>
          <w:szCs w:val="26"/>
        </w:rPr>
        <w:t xml:space="preserve">The State has disadvantaged </w:t>
      </w:r>
      <w:proofErr w:type="gramStart"/>
      <w:r>
        <w:rPr>
          <w:szCs w:val="26"/>
        </w:rPr>
        <w:t>communities</w:t>
      </w:r>
      <w:proofErr w:type="gramEnd"/>
      <w:r>
        <w:rPr>
          <w:szCs w:val="26"/>
        </w:rPr>
        <w:t xml:space="preserve"> advancement goals and the CPUC adopted an </w:t>
      </w:r>
      <w:r w:rsidRPr="005B1985">
        <w:rPr>
          <w:szCs w:val="26"/>
        </w:rPr>
        <w:t>Environmental and Social Justice Action Plan</w:t>
      </w:r>
      <w:r>
        <w:rPr>
          <w:szCs w:val="26"/>
        </w:rPr>
        <w:t xml:space="preserve"> </w:t>
      </w:r>
      <w:r w:rsidRPr="005B1985">
        <w:rPr>
          <w:szCs w:val="26"/>
        </w:rPr>
        <w:t xml:space="preserve">to help improve air quality and economic conditions in </w:t>
      </w:r>
      <w:r>
        <w:rPr>
          <w:szCs w:val="26"/>
        </w:rPr>
        <w:t xml:space="preserve">disadvantaged </w:t>
      </w:r>
      <w:r w:rsidRPr="005B1985">
        <w:rPr>
          <w:szCs w:val="26"/>
        </w:rPr>
        <w:t>communities</w:t>
      </w:r>
      <w:r>
        <w:rPr>
          <w:szCs w:val="26"/>
        </w:rPr>
        <w:t>.</w:t>
      </w:r>
      <w:r w:rsidRPr="005B1985">
        <w:rPr>
          <w:szCs w:val="26"/>
        </w:rPr>
        <w:t xml:space="preserve"> </w:t>
      </w:r>
      <w:r>
        <w:t xml:space="preserve">The CalEPA’s </w:t>
      </w:r>
      <w:proofErr w:type="spellStart"/>
      <w:r>
        <w:t>CalEnviroScreen</w:t>
      </w:r>
      <w:proofErr w:type="spellEnd"/>
      <w:r>
        <w:t xml:space="preserve"> tool </w:t>
      </w:r>
      <w:r w:rsidRPr="00B96C79">
        <w:t xml:space="preserve">identifies California communities by census tract that are disproportionately burdened by, and vulnerable to, multiple sources of </w:t>
      </w:r>
      <w:r w:rsidRPr="00B96C79">
        <w:lastRenderedPageBreak/>
        <w:t>pollution.</w:t>
      </w:r>
      <w:r>
        <w:t xml:space="preserve"> </w:t>
      </w:r>
      <w:r>
        <w:rPr>
          <w:szCs w:val="26"/>
        </w:rPr>
        <w:t xml:space="preserve"> Disadvantaged communities are defined as those areas in the 75-100</w:t>
      </w:r>
      <w:r>
        <w:rPr>
          <w:szCs w:val="26"/>
          <w:vertAlign w:val="superscript"/>
        </w:rPr>
        <w:t>th</w:t>
      </w:r>
      <w:r>
        <w:rPr>
          <w:szCs w:val="26"/>
        </w:rPr>
        <w:t xml:space="preserve"> percentile, or the top 25% of the highest scoring census tracts in </w:t>
      </w:r>
      <w:proofErr w:type="spellStart"/>
      <w:r>
        <w:rPr>
          <w:szCs w:val="26"/>
        </w:rPr>
        <w:t>CalEnviroScreen</w:t>
      </w:r>
      <w:proofErr w:type="spellEnd"/>
      <w:r>
        <w:rPr>
          <w:szCs w:val="26"/>
        </w:rPr>
        <w:t xml:space="preserve"> 3.0.  Thus, the CPUC analyzes project locations relative to such communities.</w:t>
      </w:r>
    </w:p>
    <w:p w:rsidRPr="0048115D" w:rsidR="001A49FF" w:rsidP="001A49FF" w:rsidRDefault="001A49FF" w14:paraId="4D728AD4" w14:textId="77777777">
      <w:pPr>
        <w:rPr>
          <w:szCs w:val="26"/>
        </w:rPr>
      </w:pPr>
    </w:p>
    <w:p w:rsidRPr="009F0EFA" w:rsidR="001A49FF" w:rsidP="001A49FF" w:rsidRDefault="001A49FF" w14:paraId="3E44B6D1" w14:textId="77777777">
      <w:r>
        <w:t xml:space="preserve">According to the </w:t>
      </w:r>
      <w:proofErr w:type="spellStart"/>
      <w:r>
        <w:t>CalEnviroScreen</w:t>
      </w:r>
      <w:proofErr w:type="spellEnd"/>
      <w:r>
        <w:t xml:space="preserve">, the Woodland biomass facility is in </w:t>
      </w:r>
      <w:r>
        <w:rPr>
          <w:szCs w:val="26"/>
        </w:rPr>
        <w:t>cens</w:t>
      </w:r>
      <w:r w:rsidRPr="00565A45">
        <w:rPr>
          <w:szCs w:val="26"/>
        </w:rPr>
        <w:t xml:space="preserve">us tract </w:t>
      </w:r>
      <w:r w:rsidRPr="00553FE3">
        <w:rPr>
          <w:szCs w:val="26"/>
        </w:rPr>
        <w:t>6113011206</w:t>
      </w:r>
      <w:r w:rsidRPr="00565A45">
        <w:rPr>
          <w:rStyle w:val="esrinumericvalue"/>
          <w:rFonts w:eastAsiaTheme="minorEastAsia"/>
        </w:rPr>
        <w:t xml:space="preserve">, </w:t>
      </w:r>
      <w:r w:rsidRPr="00565A45">
        <w:rPr>
          <w:szCs w:val="26"/>
        </w:rPr>
        <w:t xml:space="preserve">which received a </w:t>
      </w:r>
      <w:proofErr w:type="spellStart"/>
      <w:r w:rsidRPr="00565A45">
        <w:rPr>
          <w:szCs w:val="26"/>
        </w:rPr>
        <w:t>CalEnviroScreen</w:t>
      </w:r>
      <w:proofErr w:type="spellEnd"/>
      <w:r w:rsidRPr="00565A45">
        <w:rPr>
          <w:szCs w:val="26"/>
        </w:rPr>
        <w:t xml:space="preserve"> Version 3.0</w:t>
      </w:r>
      <w:r w:rsidRPr="00565A45">
        <w:rPr>
          <w:rStyle w:val="FootnoteReference"/>
          <w:rFonts w:eastAsiaTheme="minorEastAsia"/>
          <w:szCs w:val="26"/>
        </w:rPr>
        <w:footnoteReference w:id="47"/>
      </w:r>
      <w:r w:rsidRPr="00565A45">
        <w:rPr>
          <w:szCs w:val="26"/>
        </w:rPr>
        <w:t xml:space="preserve"> score of </w:t>
      </w:r>
      <w:r>
        <w:rPr>
          <w:szCs w:val="26"/>
        </w:rPr>
        <w:t>60-65</w:t>
      </w:r>
      <w:r w:rsidRPr="00565A45">
        <w:rPr>
          <w:szCs w:val="26"/>
        </w:rPr>
        <w:t xml:space="preserve"> percent. </w:t>
      </w:r>
      <w:r w:rsidRPr="00565A45">
        <w:t xml:space="preserve">Thus, based on </w:t>
      </w:r>
      <w:proofErr w:type="spellStart"/>
      <w:r w:rsidRPr="00565A45">
        <w:t>CalEnviroscreen</w:t>
      </w:r>
      <w:proofErr w:type="spellEnd"/>
      <w:r w:rsidRPr="00565A45">
        <w:t xml:space="preserve">, the </w:t>
      </w:r>
      <w:r>
        <w:t>Woodland</w:t>
      </w:r>
      <w:r w:rsidRPr="00565A45">
        <w:t xml:space="preserve"> biomass facility </w:t>
      </w:r>
      <w:r w:rsidRPr="00A92E34">
        <w:t>is not</w:t>
      </w:r>
      <w:r w:rsidRPr="00565A45">
        <w:t xml:space="preserve"> located in a disadvantaged community.</w:t>
      </w:r>
      <w:r>
        <w:rPr>
          <w:rStyle w:val="FootnoteReference"/>
        </w:rPr>
        <w:footnoteReference w:id="48"/>
      </w:r>
      <w:r>
        <w:t xml:space="preserve"> </w:t>
      </w:r>
    </w:p>
    <w:p w:rsidRPr="00716C32" w:rsidR="001A49FF" w:rsidP="001A49FF" w:rsidRDefault="001A49FF" w14:paraId="6D26348F" w14:textId="77777777">
      <w:pPr>
        <w:rPr>
          <w:szCs w:val="26"/>
        </w:rPr>
      </w:pPr>
    </w:p>
    <w:p w:rsidRPr="007076F1" w:rsidR="001A49FF" w:rsidP="001A49FF" w:rsidRDefault="001A49FF" w14:paraId="6DBB3A79" w14:textId="77777777">
      <w:pPr>
        <w:pStyle w:val="NoSpacing"/>
        <w:keepNext/>
        <w:spacing w:after="120"/>
        <w:rPr>
          <w:rFonts w:ascii="Palatino Linotype" w:hAnsi="Palatino Linotype"/>
          <w:b/>
        </w:rPr>
      </w:pPr>
      <w:r w:rsidRPr="007076F1">
        <w:rPr>
          <w:rFonts w:ascii="Palatino Linotype" w:hAnsi="Palatino Linotype"/>
          <w:b/>
        </w:rPr>
        <w:t xml:space="preserve">Safety Considerations </w:t>
      </w:r>
    </w:p>
    <w:p w:rsidRPr="007076F1" w:rsidR="001A49FF" w:rsidP="001A49FF" w:rsidRDefault="001A49FF" w14:paraId="42BF1CC8" w14:textId="77777777">
      <w:pPr>
        <w:pStyle w:val="BodyText"/>
        <w:rPr>
          <w:b w:val="0"/>
        </w:rPr>
      </w:pPr>
      <w:r w:rsidRPr="007076F1">
        <w:rPr>
          <w:b w:val="0"/>
        </w:rPr>
        <w:t xml:space="preserve">Public Utilities Code </w:t>
      </w:r>
      <w:r w:rsidRPr="007076F1">
        <w:t>§</w:t>
      </w:r>
      <w:r>
        <w:t xml:space="preserve"> </w:t>
      </w:r>
      <w:r w:rsidRPr="007076F1">
        <w:rPr>
          <w:b w:val="0"/>
        </w:rPr>
        <w:t xml:space="preserve">451 requires that every public utility maintain adequate, efficient, just, and reasonable service, instrumentalities, </w:t>
      </w:r>
      <w:proofErr w:type="gramStart"/>
      <w:r w:rsidRPr="007076F1">
        <w:rPr>
          <w:b w:val="0"/>
        </w:rPr>
        <w:t>equipment</w:t>
      </w:r>
      <w:proofErr w:type="gramEnd"/>
      <w:r w:rsidRPr="007076F1">
        <w:rPr>
          <w:b w:val="0"/>
        </w:rPr>
        <w:t xml:space="preserve"> and facilities to ensure the safety, health, and comfort of the public. </w:t>
      </w:r>
    </w:p>
    <w:p w:rsidR="001A49FF" w:rsidP="001A49FF" w:rsidRDefault="001A49FF" w14:paraId="38C002FE" w14:textId="77777777">
      <w:pPr>
        <w:pStyle w:val="BodyText"/>
        <w:rPr>
          <w:b w:val="0"/>
        </w:rPr>
      </w:pPr>
    </w:p>
    <w:p w:rsidR="001A49FF" w:rsidP="001A49FF" w:rsidRDefault="001A49FF" w14:paraId="393F980D" w14:textId="77777777">
      <w:pPr>
        <w:pStyle w:val="Default"/>
        <w:rPr>
          <w:sz w:val="26"/>
          <w:szCs w:val="26"/>
        </w:rPr>
      </w:pPr>
      <w:r w:rsidRPr="008C4FFF">
        <w:rPr>
          <w:sz w:val="26"/>
          <w:szCs w:val="26"/>
        </w:rPr>
        <w:t xml:space="preserve">The BioRAM contract with </w:t>
      </w:r>
      <w:r>
        <w:rPr>
          <w:sz w:val="26"/>
          <w:szCs w:val="26"/>
        </w:rPr>
        <w:t>Woodland</w:t>
      </w:r>
      <w:r w:rsidRPr="008C4FFF">
        <w:rPr>
          <w:sz w:val="26"/>
          <w:szCs w:val="26"/>
        </w:rPr>
        <w:t xml:space="preserve"> </w:t>
      </w:r>
      <w:r>
        <w:rPr>
          <w:sz w:val="26"/>
          <w:szCs w:val="26"/>
        </w:rPr>
        <w:t xml:space="preserve">requires the facility to produce energy with removed forest materials. The Renewable Auction Mechanism (RAM) standard contract used contains Commission-approved safety provisions, which require the seller to operate the generating facility in accordance with Prudent Electrical Practices, as defined in the contract, and all applicable requirements of law, including those related to planning, construction, ownership, and/or operation of the projects. These provisions specifically require that all sellers take a list of reasonable steps to ensure that the generation facility is operated, maintained, and decommissioned in a safe manner. </w:t>
      </w:r>
    </w:p>
    <w:p w:rsidRPr="007076F1" w:rsidR="001A49FF" w:rsidP="001A49FF" w:rsidRDefault="001A49FF" w14:paraId="57B8F307" w14:textId="77777777">
      <w:pPr>
        <w:pStyle w:val="BodyText"/>
        <w:rPr>
          <w:b w:val="0"/>
        </w:rPr>
      </w:pPr>
    </w:p>
    <w:p w:rsidRPr="00355DB0" w:rsidR="001A49FF" w:rsidP="001A49FF" w:rsidRDefault="001A49FF" w14:paraId="6D50383F" w14:textId="77777777">
      <w:pPr>
        <w:pStyle w:val="BodyText"/>
        <w:rPr>
          <w:b w:val="0"/>
          <w:u w:val="single"/>
        </w:rPr>
      </w:pPr>
      <w:r w:rsidRPr="00006A96">
        <w:rPr>
          <w:b w:val="0"/>
        </w:rPr>
        <w:t>The power purchase agreement requires the sellers of the generation to comply with all applicable safety requirements relating to the project, including environmental laws.</w:t>
      </w:r>
      <w:r>
        <w:rPr>
          <w:b w:val="0"/>
        </w:rPr>
        <w:t xml:space="preserve"> Based on a public search of the Occupational Safety and Health Administration (OSHA) website, </w:t>
      </w:r>
      <w:r w:rsidRPr="00535DFA">
        <w:rPr>
          <w:b w:val="0"/>
        </w:rPr>
        <w:t xml:space="preserve">the Woodland biomass facility has not </w:t>
      </w:r>
      <w:r w:rsidRPr="00535DFA">
        <w:rPr>
          <w:b w:val="0"/>
        </w:rPr>
        <w:lastRenderedPageBreak/>
        <w:t>had any</w:t>
      </w:r>
      <w:r>
        <w:rPr>
          <w:b w:val="0"/>
        </w:rPr>
        <w:t xml:space="preserve"> OSHA</w:t>
      </w:r>
      <w:r w:rsidRPr="00535DFA">
        <w:rPr>
          <w:b w:val="0"/>
        </w:rPr>
        <w:t xml:space="preserve"> safety violations in the last five years</w:t>
      </w:r>
      <w:r>
        <w:rPr>
          <w:b w:val="0"/>
        </w:rPr>
        <w:t>.</w:t>
      </w:r>
      <w:r>
        <w:rPr>
          <w:rStyle w:val="FootnoteReference"/>
          <w:b w:val="0"/>
        </w:rPr>
        <w:footnoteReference w:id="49"/>
      </w:r>
      <w:r>
        <w:rPr>
          <w:b w:val="0"/>
        </w:rPr>
        <w:t xml:space="preserve"> </w:t>
      </w:r>
      <w:r w:rsidRPr="00D720B9">
        <w:rPr>
          <w:b w:val="0"/>
        </w:rPr>
        <w:t xml:space="preserve">As this </w:t>
      </w:r>
      <w:r>
        <w:rPr>
          <w:b w:val="0"/>
        </w:rPr>
        <w:t xml:space="preserve">contract </w:t>
      </w:r>
      <w:r w:rsidRPr="00D720B9">
        <w:rPr>
          <w:b w:val="0"/>
        </w:rPr>
        <w:t>does not require a change in facility operations</w:t>
      </w:r>
      <w:r>
        <w:rPr>
          <w:b w:val="0"/>
        </w:rPr>
        <w:t xml:space="preserve"> aside from required fuel use provisions</w:t>
      </w:r>
      <w:r w:rsidRPr="00D720B9">
        <w:rPr>
          <w:b w:val="0"/>
        </w:rPr>
        <w:t>, there are no incremental safety implications associated with approval of the contract beyond the status quo.</w:t>
      </w:r>
      <w:r w:rsidRPr="00D720B9">
        <w:rPr>
          <w:b w:val="0"/>
          <w:color w:val="1F497D"/>
        </w:rPr>
        <w:t xml:space="preserve"> </w:t>
      </w:r>
      <w:r w:rsidRPr="00D720B9">
        <w:rPr>
          <w:b w:val="0"/>
        </w:rPr>
        <w:t xml:space="preserve"> Based on the information provided</w:t>
      </w:r>
      <w:r w:rsidRPr="005D5A52">
        <w:rPr>
          <w:b w:val="0"/>
        </w:rPr>
        <w:t xml:space="preserve">, the </w:t>
      </w:r>
      <w:r>
        <w:rPr>
          <w:b w:val="0"/>
        </w:rPr>
        <w:t>Woodland</w:t>
      </w:r>
      <w:r w:rsidRPr="005D5A52">
        <w:rPr>
          <w:b w:val="0"/>
        </w:rPr>
        <w:t xml:space="preserve"> contract does not appear to result in any adverse safety impacts on the facility or operations of PG&amp;E.</w:t>
      </w:r>
      <w:r w:rsidRPr="00BC6812">
        <w:rPr>
          <w:b w:val="0"/>
          <w:u w:val="single"/>
        </w:rPr>
        <w:t xml:space="preserve"> </w:t>
      </w:r>
    </w:p>
    <w:p w:rsidRPr="00B36FD1" w:rsidR="001A49FF" w:rsidP="001A49FF" w:rsidRDefault="001A49FF" w14:paraId="398AA786" w14:textId="77777777"/>
    <w:p w:rsidRPr="007076F1" w:rsidR="001A49FF" w:rsidP="001A49FF" w:rsidRDefault="001A49FF" w14:paraId="1749830B" w14:textId="77777777">
      <w:pPr>
        <w:pStyle w:val="Heading1"/>
        <w:spacing w:before="0" w:after="120"/>
        <w:rPr>
          <w:rFonts w:ascii="Palatino Linotype" w:hAnsi="Palatino Linotype"/>
          <w:caps w:val="0"/>
          <w:u w:val="none"/>
        </w:rPr>
      </w:pPr>
      <w:r w:rsidRPr="007076F1">
        <w:rPr>
          <w:rFonts w:ascii="Palatino Linotype" w:hAnsi="Palatino Linotype"/>
          <w:caps w:val="0"/>
          <w:u w:val="none"/>
        </w:rPr>
        <w:t>Confidential Information</w:t>
      </w:r>
    </w:p>
    <w:p w:rsidRPr="007076F1" w:rsidR="001A49FF" w:rsidP="001A49FF" w:rsidRDefault="001A49FF" w14:paraId="7A34FBC8" w14:textId="77777777">
      <w:r w:rsidRPr="007076F1">
        <w:t>The C</w:t>
      </w:r>
      <w:r>
        <w:t>PUC</w:t>
      </w:r>
      <w:r w:rsidRPr="007076F1">
        <w:t>, through the implementation of Pub</w:t>
      </w:r>
      <w:r>
        <w:t>lic</w:t>
      </w:r>
      <w:r w:rsidRPr="007076F1">
        <w:t xml:space="preserve"> Util</w:t>
      </w:r>
      <w:r>
        <w:t>ities</w:t>
      </w:r>
      <w:r w:rsidRPr="007076F1">
        <w:t xml:space="preserve"> Code § 454.5(g), has determined in D.06-06-066, as modified by D.07-05-032, that certain material submitted to the C</w:t>
      </w:r>
      <w:r>
        <w:t>PUC</w:t>
      </w:r>
      <w:r w:rsidRPr="007076F1">
        <w:t xml:space="preserve"> as confidential should be kept confidential to ensure that market sensitive data does not influence the behavior of bidders in future RPS solicitations.  D.06-06-066 adopted a time limit on the confidentiality of specific terms in RPS contracts.  Such information, such as price, is confidential for three years from the date the contract states that energy deliveries begin or one year after contract termination, except contracts between IOUs and their affiliates, which are public.</w:t>
      </w:r>
    </w:p>
    <w:p w:rsidRPr="007076F1" w:rsidR="001A49FF" w:rsidP="001A49FF" w:rsidRDefault="001A49FF" w14:paraId="5DAC3019" w14:textId="77777777"/>
    <w:p w:rsidR="001A49FF" w:rsidP="001A49FF" w:rsidRDefault="001A49FF" w14:paraId="31BE2672" w14:textId="77777777">
      <w:pPr>
        <w:rPr>
          <w:u w:val="single"/>
        </w:rPr>
      </w:pPr>
      <w:r w:rsidRPr="007076F1">
        <w:rPr>
          <w:u w:val="single"/>
        </w:rPr>
        <w:t xml:space="preserve">The confidential appendices marked "[REDACTED]" in the public copy of this </w:t>
      </w:r>
      <w:r>
        <w:rPr>
          <w:u w:val="single"/>
        </w:rPr>
        <w:t>R</w:t>
      </w:r>
      <w:r w:rsidRPr="007076F1">
        <w:rPr>
          <w:u w:val="single"/>
        </w:rPr>
        <w:t xml:space="preserve">esolution, as well as the confidential portions of the </w:t>
      </w:r>
      <w:r>
        <w:rPr>
          <w:u w:val="single"/>
        </w:rPr>
        <w:t>A</w:t>
      </w:r>
      <w:r w:rsidRPr="007076F1">
        <w:rPr>
          <w:u w:val="single"/>
        </w:rPr>
        <w:t xml:space="preserve">dvice </w:t>
      </w:r>
      <w:r>
        <w:rPr>
          <w:u w:val="single"/>
        </w:rPr>
        <w:t>L</w:t>
      </w:r>
      <w:r w:rsidRPr="007076F1">
        <w:rPr>
          <w:u w:val="single"/>
        </w:rPr>
        <w:t>etter, should remain confidential at this time.</w:t>
      </w:r>
    </w:p>
    <w:p w:rsidRPr="007076F1" w:rsidR="001A49FF" w:rsidP="001A49FF" w:rsidRDefault="001A49FF" w14:paraId="66D5A473" w14:textId="77777777">
      <w:pPr>
        <w:rPr>
          <w:u w:val="single"/>
        </w:rPr>
      </w:pPr>
    </w:p>
    <w:p w:rsidRPr="007076F1" w:rsidR="001A49FF" w:rsidP="001A49FF" w:rsidRDefault="001A49FF" w14:paraId="2D12C318" w14:textId="77777777">
      <w:pPr>
        <w:pStyle w:val="Heading1"/>
        <w:rPr>
          <w:rFonts w:ascii="Palatino Linotype" w:hAnsi="Palatino Linotype"/>
        </w:rPr>
      </w:pPr>
      <w:r w:rsidRPr="007076F1">
        <w:rPr>
          <w:rFonts w:ascii="Palatino Linotype" w:hAnsi="Palatino Linotype"/>
        </w:rPr>
        <w:t>Comments</w:t>
      </w:r>
    </w:p>
    <w:p w:rsidR="001A49FF" w:rsidP="001A49FF" w:rsidRDefault="001A49FF" w14:paraId="43D33819" w14:textId="77777777">
      <w:r w:rsidRPr="00B2405B">
        <w:t xml:space="preserve">Public Utilities Code section 311(g)(1) provides that this </w:t>
      </w:r>
      <w:r>
        <w:t>R</w:t>
      </w:r>
      <w:r w:rsidRPr="00B2405B">
        <w:t>esolution must be served on all parties and subject to at least 30 days public review and comment prior to a vote of the C</w:t>
      </w:r>
      <w:r>
        <w:t>PUC</w:t>
      </w:r>
      <w:r w:rsidRPr="00B2405B">
        <w:t>. Section 311(g)(2) provides that this 30-day period may be reduced or waived upon the stipulation of all parties in the proceeding.</w:t>
      </w:r>
    </w:p>
    <w:p w:rsidR="001A49FF" w:rsidP="001A49FF" w:rsidRDefault="001A49FF" w14:paraId="191C02C2" w14:textId="77777777"/>
    <w:p w:rsidR="001A49FF" w:rsidP="001A49FF" w:rsidRDefault="001A49FF" w14:paraId="62A280A0" w14:textId="77777777">
      <w:r>
        <w:t>The 30-day comment period for the draft of this Resolution was neither waived nor reduced. Accordingly, this draft Resolution was mailed to parties for comments, and will be placed on the CPUC's agenda no earlier than 30 days from March 15, 2021.</w:t>
      </w:r>
    </w:p>
    <w:p w:rsidRPr="00B2405B" w:rsidR="001A49FF" w:rsidP="001A49FF" w:rsidRDefault="001A49FF" w14:paraId="0F2D6427" w14:textId="77777777"/>
    <w:p w:rsidRPr="0016477E" w:rsidR="001A49FF" w:rsidP="001A49FF" w:rsidRDefault="001A49FF" w14:paraId="5B67E077" w14:textId="77777777">
      <w:pPr>
        <w:pStyle w:val="Heading1"/>
        <w:rPr>
          <w:rFonts w:ascii="Palatino Linotype" w:hAnsi="Palatino Linotype"/>
        </w:rPr>
      </w:pPr>
      <w:r w:rsidRPr="00987A78">
        <w:rPr>
          <w:rFonts w:ascii="Palatino Linotype" w:hAnsi="Palatino Linotype"/>
        </w:rPr>
        <w:t>Findings</w:t>
      </w:r>
    </w:p>
    <w:p w:rsidRPr="0016477E" w:rsidR="001A49FF" w:rsidP="001A49FF" w:rsidRDefault="001A49FF" w14:paraId="3B1B2D31" w14:textId="77777777">
      <w:pPr>
        <w:pStyle w:val="ListParagraph"/>
        <w:numPr>
          <w:ilvl w:val="0"/>
          <w:numId w:val="6"/>
        </w:numPr>
      </w:pPr>
      <w:r w:rsidRPr="0016477E">
        <w:t xml:space="preserve">The </w:t>
      </w:r>
      <w:r>
        <w:t>Woodland</w:t>
      </w:r>
      <w:r w:rsidRPr="0016477E">
        <w:t xml:space="preserve"> contract is consistent with PG&amp;E’s 2019 RPS Procurement Plan, as approved by D.19-12-042.</w:t>
      </w:r>
    </w:p>
    <w:p w:rsidR="001A49FF" w:rsidP="001A49FF" w:rsidRDefault="001A49FF" w14:paraId="1CA18339" w14:textId="77777777">
      <w:pPr>
        <w:pStyle w:val="ListParagraph"/>
        <w:numPr>
          <w:ilvl w:val="0"/>
          <w:numId w:val="6"/>
        </w:numPr>
        <w:rPr>
          <w:rFonts w:cs="Arial"/>
          <w:szCs w:val="26"/>
        </w:rPr>
      </w:pPr>
      <w:r w:rsidRPr="0016477E">
        <w:rPr>
          <w:rFonts w:cs="Arial"/>
          <w:szCs w:val="26"/>
        </w:rPr>
        <w:t xml:space="preserve">The </w:t>
      </w:r>
      <w:r>
        <w:rPr>
          <w:rFonts w:cs="Arial"/>
          <w:szCs w:val="26"/>
        </w:rPr>
        <w:t>Woodland</w:t>
      </w:r>
      <w:r w:rsidRPr="0016477E">
        <w:rPr>
          <w:rFonts w:cs="Arial"/>
          <w:szCs w:val="26"/>
        </w:rPr>
        <w:t xml:space="preserve"> contract is the result of a bilateral negotiation</w:t>
      </w:r>
      <w:r>
        <w:rPr>
          <w:rFonts w:cs="Arial"/>
          <w:szCs w:val="26"/>
        </w:rPr>
        <w:t xml:space="preserve"> with PG&amp;E</w:t>
      </w:r>
      <w:r w:rsidRPr="0016477E">
        <w:rPr>
          <w:rFonts w:cs="Arial"/>
          <w:szCs w:val="26"/>
        </w:rPr>
        <w:t xml:space="preserve"> and is consistent with the contracting guidelines established in D.06-10-019, D.09-06-050, D.19-12-042. </w:t>
      </w:r>
    </w:p>
    <w:p w:rsidRPr="00382F27" w:rsidR="001A49FF" w:rsidP="001A49FF" w:rsidRDefault="001A49FF" w14:paraId="7B33F40D" w14:textId="77777777">
      <w:pPr>
        <w:pStyle w:val="ListParagraph"/>
        <w:numPr>
          <w:ilvl w:val="0"/>
          <w:numId w:val="6"/>
        </w:numPr>
        <w:autoSpaceDE w:val="0"/>
        <w:autoSpaceDN w:val="0"/>
        <w:adjustRightInd w:val="0"/>
      </w:pPr>
      <w:r w:rsidRPr="00382F27">
        <w:rPr>
          <w:rFonts w:cs="Calibri"/>
          <w:szCs w:val="26"/>
        </w:rPr>
        <w:t>Because Woodland had an existing RPS contract, the facility was eligible for negotiations with PG&amp;E for a new BioRAM contract.</w:t>
      </w:r>
    </w:p>
    <w:p w:rsidRPr="006748C1" w:rsidR="001A49FF" w:rsidP="001A49FF" w:rsidRDefault="001A49FF" w14:paraId="13268878" w14:textId="77777777">
      <w:pPr>
        <w:pStyle w:val="ListParagraph"/>
        <w:numPr>
          <w:ilvl w:val="0"/>
          <w:numId w:val="6"/>
        </w:numPr>
        <w:autoSpaceDE w:val="0"/>
        <w:autoSpaceDN w:val="0"/>
        <w:adjustRightInd w:val="0"/>
      </w:pPr>
      <w:r>
        <w:rPr>
          <w:rFonts w:cs="Arial"/>
          <w:szCs w:val="26"/>
        </w:rPr>
        <w:t xml:space="preserve">The Woodland contract price is above the </w:t>
      </w:r>
      <w:r w:rsidRPr="006748C1">
        <w:rPr>
          <w:rFonts w:cs="Arial"/>
          <w:szCs w:val="26"/>
        </w:rPr>
        <w:t>per se reasonableness benchmark of $119/MWh set out in Resolution E-4977</w:t>
      </w:r>
      <w:r>
        <w:rPr>
          <w:rFonts w:cs="Arial"/>
          <w:szCs w:val="26"/>
        </w:rPr>
        <w:t>.</w:t>
      </w:r>
    </w:p>
    <w:p w:rsidRPr="00F34B12" w:rsidR="001A49FF" w:rsidP="001A49FF" w:rsidRDefault="001A49FF" w14:paraId="484E0CE1" w14:textId="77777777">
      <w:pPr>
        <w:pStyle w:val="ListParagraph"/>
        <w:numPr>
          <w:ilvl w:val="0"/>
          <w:numId w:val="6"/>
        </w:numPr>
        <w:autoSpaceDE w:val="0"/>
        <w:autoSpaceDN w:val="0"/>
        <w:adjustRightInd w:val="0"/>
      </w:pPr>
      <w:r w:rsidRPr="00F34B12">
        <w:t xml:space="preserve">In compliance with Resolution E-4977, AL 5983-E was properly filed as a Tier 3 Advice Letter. </w:t>
      </w:r>
    </w:p>
    <w:p w:rsidRPr="00F34B12" w:rsidR="001A49FF" w:rsidP="001A49FF" w:rsidRDefault="001A49FF" w14:paraId="7550F0CC" w14:textId="77777777">
      <w:pPr>
        <w:pStyle w:val="ListParagraph"/>
        <w:numPr>
          <w:ilvl w:val="0"/>
          <w:numId w:val="6"/>
        </w:numPr>
        <w:autoSpaceDE w:val="0"/>
        <w:autoSpaceDN w:val="0"/>
        <w:adjustRightInd w:val="0"/>
        <w:rPr>
          <w:rFonts w:cs="Arial"/>
          <w:szCs w:val="26"/>
        </w:rPr>
      </w:pPr>
      <w:r w:rsidRPr="00F34B12">
        <w:t xml:space="preserve">PG&amp;E has </w:t>
      </w:r>
      <w:r>
        <w:t xml:space="preserve">provided a price justification that does </w:t>
      </w:r>
      <w:r w:rsidRPr="00F34B12">
        <w:t xml:space="preserve">not </w:t>
      </w:r>
      <w:r>
        <w:t xml:space="preserve">contain </w:t>
      </w:r>
      <w:r w:rsidRPr="00F34B12">
        <w:t xml:space="preserve">sufficient evidence to demonstrate that </w:t>
      </w:r>
      <w:r>
        <w:t>the higher</w:t>
      </w:r>
      <w:r w:rsidRPr="00F34B12">
        <w:t xml:space="preserve"> contract price is reasonable</w:t>
      </w:r>
      <w:r>
        <w:t>.</w:t>
      </w:r>
    </w:p>
    <w:p w:rsidR="001A49FF" w:rsidP="001A49FF" w:rsidRDefault="001A49FF" w14:paraId="3D32B2E1" w14:textId="77777777">
      <w:pPr>
        <w:pStyle w:val="ListParagraph"/>
        <w:numPr>
          <w:ilvl w:val="0"/>
          <w:numId w:val="6"/>
        </w:numPr>
        <w:rPr>
          <w:rFonts w:cs="Arial"/>
          <w:szCs w:val="26"/>
        </w:rPr>
      </w:pPr>
      <w:r w:rsidRPr="00A158EE">
        <w:rPr>
          <w:rFonts w:cs="Arial"/>
          <w:szCs w:val="26"/>
        </w:rPr>
        <w:t xml:space="preserve">Cal Advocates’ request to reject AL 5983-E </w:t>
      </w:r>
      <w:r>
        <w:rPr>
          <w:rFonts w:cs="Arial"/>
          <w:szCs w:val="26"/>
        </w:rPr>
        <w:t>is denied because PG&amp;E followed the process requirements of Resolution E-4977</w:t>
      </w:r>
      <w:r w:rsidRPr="00A158EE">
        <w:rPr>
          <w:rFonts w:cs="Arial"/>
          <w:szCs w:val="26"/>
        </w:rPr>
        <w:t xml:space="preserve">. </w:t>
      </w:r>
    </w:p>
    <w:p w:rsidRPr="00AC3623" w:rsidR="001A49FF" w:rsidP="001A49FF" w:rsidRDefault="001A49FF" w14:paraId="5D052373" w14:textId="77777777">
      <w:pPr>
        <w:pStyle w:val="ListParagraph"/>
        <w:numPr>
          <w:ilvl w:val="0"/>
          <w:numId w:val="6"/>
        </w:numPr>
        <w:rPr>
          <w:rFonts w:cs="Arial"/>
          <w:szCs w:val="26"/>
        </w:rPr>
      </w:pPr>
      <w:r w:rsidRPr="00626DA7">
        <w:t xml:space="preserve">The </w:t>
      </w:r>
      <w:r>
        <w:t xml:space="preserve">Woodland </w:t>
      </w:r>
      <w:r w:rsidRPr="00626DA7">
        <w:t xml:space="preserve">contract </w:t>
      </w:r>
      <w:r>
        <w:t xml:space="preserve">should be </w:t>
      </w:r>
      <w:r w:rsidRPr="00626DA7">
        <w:t>subject to a total cost recovery cap</w:t>
      </w:r>
      <w:r w:rsidRPr="006748C1">
        <w:rPr>
          <w:rFonts w:cs="Arial"/>
          <w:szCs w:val="26"/>
        </w:rPr>
        <w:t xml:space="preserve"> that adheres to the per se reasonableness benchmark of $119/MWh set out in Resolution E-4977</w:t>
      </w:r>
      <w:r>
        <w:rPr>
          <w:rFonts w:cs="Arial"/>
          <w:szCs w:val="26"/>
        </w:rPr>
        <w:t xml:space="preserve"> to ensure cost reasonableness for ratepayers</w:t>
      </w:r>
      <w:r w:rsidRPr="006748C1">
        <w:rPr>
          <w:rFonts w:cs="Arial"/>
          <w:szCs w:val="26"/>
        </w:rPr>
        <w:t>.</w:t>
      </w:r>
    </w:p>
    <w:p w:rsidRPr="00E6418C" w:rsidR="001A49FF" w:rsidP="001A49FF" w:rsidRDefault="001A49FF" w14:paraId="292DD815" w14:textId="77777777">
      <w:pPr>
        <w:pStyle w:val="ListParagraph"/>
        <w:numPr>
          <w:ilvl w:val="0"/>
          <w:numId w:val="6"/>
        </w:numPr>
        <w:rPr>
          <w:rFonts w:cs="Arial"/>
          <w:szCs w:val="26"/>
        </w:rPr>
      </w:pPr>
      <w:r w:rsidRPr="00E6418C">
        <w:t>The total cost cap shall be calculated by multiplying the amount of expected megawatt-hours generated per year pursuant to the contract by the benchmark price of $119/MWh</w:t>
      </w:r>
      <w:r>
        <w:t xml:space="preserve"> by the number of years of the contract</w:t>
      </w:r>
      <w:r w:rsidRPr="00E6418C">
        <w:t>.</w:t>
      </w:r>
    </w:p>
    <w:p w:rsidRPr="0016477E" w:rsidR="001A49FF" w:rsidP="001A49FF" w:rsidRDefault="001A49FF" w14:paraId="5EC76748" w14:textId="77777777">
      <w:pPr>
        <w:pStyle w:val="ListParagraph"/>
        <w:numPr>
          <w:ilvl w:val="0"/>
          <w:numId w:val="6"/>
        </w:numPr>
      </w:pPr>
      <w:r w:rsidRPr="0016477E">
        <w:t xml:space="preserve">The </w:t>
      </w:r>
      <w:r>
        <w:t>Woodland</w:t>
      </w:r>
      <w:r w:rsidRPr="0016477E">
        <w:t xml:space="preserve"> contract is consistent with D.18-12-003.</w:t>
      </w:r>
    </w:p>
    <w:p w:rsidRPr="0016477E" w:rsidR="001A49FF" w:rsidP="001A49FF" w:rsidRDefault="001A49FF" w14:paraId="22D22434" w14:textId="77777777">
      <w:pPr>
        <w:pStyle w:val="ListParagraph"/>
        <w:numPr>
          <w:ilvl w:val="0"/>
          <w:numId w:val="6"/>
        </w:numPr>
      </w:pPr>
      <w:r w:rsidRPr="0016477E">
        <w:t xml:space="preserve">Contract costs under the </w:t>
      </w:r>
      <w:r>
        <w:t>Woodland</w:t>
      </w:r>
      <w:r w:rsidRPr="0016477E">
        <w:t xml:space="preserve"> contract </w:t>
      </w:r>
      <w:r>
        <w:t xml:space="preserve">up to the total cost cap </w:t>
      </w:r>
      <w:r w:rsidRPr="0016477E">
        <w:t xml:space="preserve">shall be allocated to all ratepayers </w:t>
      </w:r>
      <w:r>
        <w:t xml:space="preserve">and recovered </w:t>
      </w:r>
      <w:r w:rsidRPr="0016477E">
        <w:t>through PG&amp;E’s Tree Mortality Non-</w:t>
      </w:r>
      <w:proofErr w:type="spellStart"/>
      <w:r w:rsidRPr="0016477E">
        <w:t>Bypassable</w:t>
      </w:r>
      <w:proofErr w:type="spellEnd"/>
      <w:r w:rsidRPr="0016477E">
        <w:t xml:space="preserve"> Charge Balancing Account (TMNBCBA) over the life of the contract, subject to CPUC review of PG&amp;E’s administration of the contract. </w:t>
      </w:r>
    </w:p>
    <w:p w:rsidRPr="0016477E" w:rsidR="001A49FF" w:rsidP="001A49FF" w:rsidRDefault="001A49FF" w14:paraId="72C399B5" w14:textId="77777777">
      <w:pPr>
        <w:pStyle w:val="ListParagraph"/>
        <w:numPr>
          <w:ilvl w:val="0"/>
          <w:numId w:val="6"/>
        </w:numPr>
      </w:pPr>
      <w:r w:rsidRPr="0016477E">
        <w:t xml:space="preserve">It is reasonable that the generating facility under this contract will continue to be viable and will continue to operate such that </w:t>
      </w:r>
      <w:r>
        <w:t>Woodland</w:t>
      </w:r>
      <w:r w:rsidRPr="0016477E">
        <w:t xml:space="preserve"> can meet the terms of the new BioRAM contract.</w:t>
      </w:r>
    </w:p>
    <w:p w:rsidRPr="0016477E" w:rsidR="001A49FF" w:rsidP="001A49FF" w:rsidRDefault="001A49FF" w14:paraId="54ECA525" w14:textId="77777777">
      <w:pPr>
        <w:pStyle w:val="NoSpacing"/>
        <w:numPr>
          <w:ilvl w:val="0"/>
          <w:numId w:val="6"/>
        </w:numPr>
        <w:rPr>
          <w:rFonts w:ascii="Palatino Linotype" w:hAnsi="Palatino Linotype"/>
        </w:rPr>
      </w:pPr>
      <w:r w:rsidRPr="0016477E">
        <w:rPr>
          <w:rFonts w:ascii="Palatino Linotype" w:hAnsi="Palatino Linotype"/>
        </w:rPr>
        <w:t xml:space="preserve">Consistent with D.06-05-039 and D.09-06-050, an </w:t>
      </w:r>
      <w:r>
        <w:rPr>
          <w:rFonts w:ascii="Palatino Linotype" w:hAnsi="Palatino Linotype"/>
        </w:rPr>
        <w:t>I</w:t>
      </w:r>
      <w:r w:rsidRPr="0016477E">
        <w:rPr>
          <w:rFonts w:ascii="Palatino Linotype" w:hAnsi="Palatino Linotype"/>
        </w:rPr>
        <w:t xml:space="preserve">ndependent </w:t>
      </w:r>
      <w:r>
        <w:rPr>
          <w:rFonts w:ascii="Palatino Linotype" w:hAnsi="Palatino Linotype"/>
        </w:rPr>
        <w:t>E</w:t>
      </w:r>
      <w:r w:rsidRPr="0016477E">
        <w:rPr>
          <w:rFonts w:ascii="Palatino Linotype" w:hAnsi="Palatino Linotype"/>
        </w:rPr>
        <w:t xml:space="preserve">valuator oversaw PG&amp;E’s bilateral negotiations with </w:t>
      </w:r>
      <w:r>
        <w:rPr>
          <w:rFonts w:ascii="Palatino Linotype" w:hAnsi="Palatino Linotype"/>
        </w:rPr>
        <w:t>Woodland</w:t>
      </w:r>
      <w:r w:rsidRPr="0016477E">
        <w:rPr>
          <w:rFonts w:ascii="Palatino Linotype" w:hAnsi="Palatino Linotype"/>
        </w:rPr>
        <w:t>.</w:t>
      </w:r>
    </w:p>
    <w:p w:rsidR="001A49FF" w:rsidP="001A49FF" w:rsidRDefault="001A49FF" w14:paraId="158867F7" w14:textId="77777777">
      <w:pPr>
        <w:pStyle w:val="ListParagraph"/>
        <w:numPr>
          <w:ilvl w:val="0"/>
          <w:numId w:val="6"/>
        </w:numPr>
        <w:rPr>
          <w:szCs w:val="26"/>
        </w:rPr>
      </w:pPr>
      <w:r w:rsidRPr="0016477E">
        <w:rPr>
          <w:szCs w:val="26"/>
        </w:rPr>
        <w:lastRenderedPageBreak/>
        <w:t xml:space="preserve">Pursuant to D.02-08-071, PG&amp;E’s </w:t>
      </w:r>
      <w:r>
        <w:rPr>
          <w:szCs w:val="26"/>
        </w:rPr>
        <w:t xml:space="preserve">Cost Allocation Mechanism </w:t>
      </w:r>
      <w:r w:rsidRPr="0016477E">
        <w:rPr>
          <w:szCs w:val="26"/>
        </w:rPr>
        <w:t xml:space="preserve">Procurement Review Group was notified of PG&amp;E’s planned execution of the </w:t>
      </w:r>
      <w:r>
        <w:rPr>
          <w:szCs w:val="26"/>
        </w:rPr>
        <w:t>Woodland</w:t>
      </w:r>
      <w:r w:rsidRPr="0016477E">
        <w:rPr>
          <w:szCs w:val="26"/>
        </w:rPr>
        <w:t xml:space="preserve"> contract. </w:t>
      </w:r>
    </w:p>
    <w:p w:rsidRPr="00EC0785" w:rsidR="001A49FF" w:rsidP="001A49FF" w:rsidRDefault="001A49FF" w14:paraId="2D093B4F" w14:textId="77777777">
      <w:pPr>
        <w:pStyle w:val="ListParagraph"/>
        <w:numPr>
          <w:ilvl w:val="0"/>
          <w:numId w:val="6"/>
        </w:numPr>
        <w:rPr>
          <w:szCs w:val="26"/>
        </w:rPr>
      </w:pPr>
      <w:r w:rsidRPr="008B7BFB">
        <w:rPr>
          <w:szCs w:val="26"/>
        </w:rPr>
        <w:t>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w:t>
      </w:r>
      <w:r w:rsidRPr="008B7BFB">
        <w:rPr>
          <w:i/>
          <w:iCs/>
          <w:szCs w:val="26"/>
        </w:rPr>
        <w:t>Public Utilities Code Sections 399.11</w:t>
      </w:r>
      <w:r w:rsidRPr="008B7BFB">
        <w:rPr>
          <w:szCs w:val="26"/>
        </w:rPr>
        <w:t xml:space="preserve"> </w:t>
      </w:r>
      <w:r w:rsidRPr="008B7BFB">
        <w:rPr>
          <w:i/>
          <w:iCs/>
          <w:szCs w:val="26"/>
        </w:rPr>
        <w:t>et seq.</w:t>
      </w:r>
      <w:r w:rsidRPr="008B7BFB">
        <w:rPr>
          <w:szCs w:val="26"/>
        </w:rPr>
        <w:t>), D.11-12-020 and D.11-12-052, or other applicable law.</w:t>
      </w:r>
      <w:r>
        <w:rPr>
          <w:szCs w:val="26"/>
        </w:rPr>
        <w:t xml:space="preserve"> </w:t>
      </w:r>
      <w:r w:rsidRPr="008B7BFB">
        <w:t>This finding has never been intended, and shall not be read now, to allow the generation from a non-RPS-eligible resource to count towards an RPS compliance obligation absent CEC certification.  Nor shall such finding absolve the seller of its obligation to obtain CEC certification, or the utility of its obligation to pursue remedies for breach of contract.</w:t>
      </w:r>
    </w:p>
    <w:p w:rsidRPr="008B7BFB" w:rsidR="001A49FF" w:rsidP="001A49FF" w:rsidRDefault="001A49FF" w14:paraId="5635119A" w14:textId="77777777">
      <w:pPr>
        <w:pStyle w:val="ListParagraph"/>
        <w:numPr>
          <w:ilvl w:val="0"/>
          <w:numId w:val="6"/>
        </w:numPr>
      </w:pPr>
      <w:r w:rsidRPr="008B7BFB">
        <w:t xml:space="preserve">The </w:t>
      </w:r>
      <w:r>
        <w:t>Woodland</w:t>
      </w:r>
      <w:r w:rsidRPr="008B7BFB">
        <w:t xml:space="preserve"> contract is based on PG&amp;E’s Renewable Auction Mechanism standard contract and includes the Commission adopted RPS “non-modifiable” standard terms and conditions, as set forth in D.08-04-009, D.08-08-028, D.10-03-021, as modified by D.11-01-025 and D.13-11-024.</w:t>
      </w:r>
    </w:p>
    <w:p w:rsidR="001A49FF" w:rsidP="001A49FF" w:rsidRDefault="001A49FF" w14:paraId="4CF11ADC" w14:textId="77777777">
      <w:pPr>
        <w:pStyle w:val="ListParagraph"/>
        <w:numPr>
          <w:ilvl w:val="0"/>
          <w:numId w:val="6"/>
        </w:numPr>
      </w:pPr>
      <w:r w:rsidRPr="007C6C95">
        <w:t xml:space="preserve">The </w:t>
      </w:r>
      <w:r>
        <w:t>Woodland</w:t>
      </w:r>
      <w:r w:rsidRPr="007C6C95">
        <w:t xml:space="preserve"> contract is compliant with the EPS because it is a biomass facility covered by Conclusion of Law 35(d) in D.07-01-039.</w:t>
      </w:r>
    </w:p>
    <w:p w:rsidRPr="0016477E" w:rsidR="001A49FF" w:rsidP="001A49FF" w:rsidRDefault="001A49FF" w14:paraId="58A04290" w14:textId="77777777">
      <w:pPr>
        <w:pStyle w:val="ListParagraph"/>
        <w:numPr>
          <w:ilvl w:val="0"/>
          <w:numId w:val="6"/>
        </w:numPr>
      </w:pPr>
      <w:r w:rsidRPr="0016477E">
        <w:rPr>
          <w:rFonts w:cs="Courier New"/>
        </w:rPr>
        <w:t xml:space="preserve">The confidential appendices marked "[REDACTED]" in the public copy of this </w:t>
      </w:r>
      <w:r>
        <w:rPr>
          <w:rFonts w:cs="Courier New"/>
        </w:rPr>
        <w:t>R</w:t>
      </w:r>
      <w:r w:rsidRPr="0016477E">
        <w:rPr>
          <w:rFonts w:cs="Courier New"/>
        </w:rPr>
        <w:t>esolution, as well as the confidential portions of the Advice Letter, should remain confidential at this time.</w:t>
      </w:r>
    </w:p>
    <w:p w:rsidRPr="0016477E" w:rsidR="001A49FF" w:rsidP="001A49FF" w:rsidRDefault="001A49FF" w14:paraId="17266395" w14:textId="77777777">
      <w:pPr>
        <w:pStyle w:val="ListParagraph"/>
        <w:numPr>
          <w:ilvl w:val="0"/>
          <w:numId w:val="6"/>
        </w:numPr>
        <w:rPr>
          <w:rFonts w:cs="Courier New"/>
        </w:rPr>
      </w:pPr>
      <w:r w:rsidRPr="0016477E">
        <w:rPr>
          <w:rFonts w:cs="Courier New"/>
        </w:rPr>
        <w:t xml:space="preserve">AL </w:t>
      </w:r>
      <w:r>
        <w:rPr>
          <w:rFonts w:cs="Courier New"/>
        </w:rPr>
        <w:t>5983-E</w:t>
      </w:r>
      <w:r w:rsidRPr="0016477E">
        <w:rPr>
          <w:rFonts w:cs="Courier New"/>
        </w:rPr>
        <w:t xml:space="preserve"> should be approved</w:t>
      </w:r>
      <w:r>
        <w:rPr>
          <w:rFonts w:cs="Courier New"/>
        </w:rPr>
        <w:t xml:space="preserve"> with modification</w:t>
      </w:r>
      <w:r w:rsidRPr="0016477E">
        <w:rPr>
          <w:rFonts w:cs="Courier New"/>
        </w:rPr>
        <w:t xml:space="preserve"> effective today.</w:t>
      </w:r>
    </w:p>
    <w:p w:rsidRPr="007076F1" w:rsidR="001A49FF" w:rsidP="001A49FF" w:rsidRDefault="001A49FF" w14:paraId="36C719BB" w14:textId="77777777">
      <w:pPr>
        <w:spacing w:line="276" w:lineRule="auto"/>
        <w:rPr>
          <w:b/>
          <w:highlight w:val="yellow"/>
        </w:rPr>
      </w:pPr>
    </w:p>
    <w:p w:rsidRPr="007076F1" w:rsidR="001A49FF" w:rsidP="001A49FF" w:rsidRDefault="001A49FF" w14:paraId="0F32E32B" w14:textId="77777777">
      <w:pPr>
        <w:pStyle w:val="Heading1"/>
        <w:rPr>
          <w:rFonts w:ascii="Palatino Linotype" w:hAnsi="Palatino Linotype"/>
        </w:rPr>
      </w:pPr>
      <w:proofErr w:type="gramStart"/>
      <w:r w:rsidRPr="007076F1">
        <w:rPr>
          <w:rFonts w:ascii="Palatino Linotype" w:hAnsi="Palatino Linotype"/>
        </w:rPr>
        <w:t>Therefore</w:t>
      </w:r>
      <w:proofErr w:type="gramEnd"/>
      <w:r w:rsidRPr="007076F1">
        <w:rPr>
          <w:rFonts w:ascii="Palatino Linotype" w:hAnsi="Palatino Linotype"/>
        </w:rPr>
        <w:t xml:space="preserve"> it is ordered that:</w:t>
      </w:r>
    </w:p>
    <w:p w:rsidR="001A49FF" w:rsidP="001A49FF" w:rsidRDefault="001A49FF" w14:paraId="2E419FFF" w14:textId="77777777">
      <w:pPr>
        <w:numPr>
          <w:ilvl w:val="0"/>
          <w:numId w:val="1"/>
        </w:numPr>
        <w:rPr>
          <w:snapToGrid w:val="0"/>
        </w:rPr>
      </w:pPr>
      <w:r>
        <w:rPr>
          <w:snapToGrid w:val="0"/>
        </w:rPr>
        <w:t xml:space="preserve">Pacific </w:t>
      </w:r>
      <w:r w:rsidRPr="007076F1">
        <w:rPr>
          <w:snapToGrid w:val="0"/>
        </w:rPr>
        <w:t xml:space="preserve">Gas </w:t>
      </w:r>
      <w:r>
        <w:rPr>
          <w:snapToGrid w:val="0"/>
        </w:rPr>
        <w:t>and</w:t>
      </w:r>
      <w:r w:rsidRPr="007076F1">
        <w:rPr>
          <w:snapToGrid w:val="0"/>
        </w:rPr>
        <w:t xml:space="preserve"> Electric Company’s Advice Letter</w:t>
      </w:r>
      <w:r>
        <w:rPr>
          <w:snapToGrid w:val="0"/>
        </w:rPr>
        <w:t xml:space="preserve"> 5983-E,</w:t>
      </w:r>
      <w:r w:rsidRPr="007076F1">
        <w:rPr>
          <w:snapToGrid w:val="0"/>
        </w:rPr>
        <w:t xml:space="preserve"> requesting </w:t>
      </w:r>
      <w:r>
        <w:rPr>
          <w:snapToGrid w:val="0"/>
        </w:rPr>
        <w:t>CPUC</w:t>
      </w:r>
      <w:r w:rsidRPr="007076F1">
        <w:rPr>
          <w:snapToGrid w:val="0"/>
        </w:rPr>
        <w:t xml:space="preserve"> review and approval of </w:t>
      </w:r>
      <w:r>
        <w:rPr>
          <w:snapToGrid w:val="0"/>
        </w:rPr>
        <w:t>a</w:t>
      </w:r>
      <w:r w:rsidRPr="007076F1">
        <w:rPr>
          <w:snapToGrid w:val="0"/>
        </w:rPr>
        <w:t xml:space="preserve"> </w:t>
      </w:r>
      <w:r>
        <w:rPr>
          <w:snapToGrid w:val="0"/>
        </w:rPr>
        <w:t>Bioenergy Renewable Auction Mechanism (BioRAM) contract</w:t>
      </w:r>
      <w:r w:rsidRPr="007076F1">
        <w:rPr>
          <w:snapToGrid w:val="0"/>
        </w:rPr>
        <w:t xml:space="preserve"> with </w:t>
      </w:r>
      <w:r>
        <w:rPr>
          <w:snapToGrid w:val="0"/>
        </w:rPr>
        <w:t>Woodland Biomass Power, LLC.</w:t>
      </w:r>
      <w:r w:rsidRPr="007076F1">
        <w:rPr>
          <w:snapToGrid w:val="0"/>
        </w:rPr>
        <w:t xml:space="preserve">, </w:t>
      </w:r>
      <w:r>
        <w:rPr>
          <w:snapToGrid w:val="0"/>
        </w:rPr>
        <w:t>is</w:t>
      </w:r>
      <w:r w:rsidRPr="007076F1">
        <w:rPr>
          <w:snapToGrid w:val="0"/>
        </w:rPr>
        <w:t xml:space="preserve"> approved with modification. </w:t>
      </w:r>
    </w:p>
    <w:p w:rsidRPr="00C13A4E" w:rsidR="001A49FF" w:rsidP="001A49FF" w:rsidRDefault="001A49FF" w14:paraId="26A3B608" w14:textId="77777777">
      <w:pPr>
        <w:pStyle w:val="ListParagraph"/>
        <w:numPr>
          <w:ilvl w:val="0"/>
          <w:numId w:val="14"/>
        </w:numPr>
        <w:rPr>
          <w:rFonts w:cs="Arial"/>
          <w:szCs w:val="26"/>
        </w:rPr>
      </w:pPr>
      <w:r w:rsidRPr="000C6133">
        <w:rPr>
          <w:snapToGrid w:val="0"/>
        </w:rPr>
        <w:t>Pacific Gas and Electric Company’s BioRAM contract with Woodland Biomass Power, LLC is subject to a total cost recovery cap</w:t>
      </w:r>
      <w:r>
        <w:rPr>
          <w:snapToGrid w:val="0"/>
        </w:rPr>
        <w:t xml:space="preserve">, which </w:t>
      </w:r>
      <w:r w:rsidRPr="00E6418C">
        <w:t>shall be calculated by multiplying the amount of megawatt-hours generated per year pursuant to the contract by the benchmark price of $119/MWh</w:t>
      </w:r>
      <w:r>
        <w:t xml:space="preserve"> by the number of years of the contract</w:t>
      </w:r>
      <w:r w:rsidRPr="00E6418C">
        <w:t>.</w:t>
      </w:r>
    </w:p>
    <w:p w:rsidRPr="007076F1" w:rsidR="001A49FF" w:rsidP="001A49FF" w:rsidRDefault="001A49FF" w14:paraId="718B13D1" w14:textId="77777777">
      <w:pPr>
        <w:tabs>
          <w:tab w:val="left" w:pos="720"/>
          <w:tab w:val="left" w:pos="1296"/>
          <w:tab w:val="left" w:pos="2016"/>
          <w:tab w:val="left" w:pos="2736"/>
          <w:tab w:val="left" w:pos="3456"/>
          <w:tab w:val="left" w:pos="4176"/>
          <w:tab w:val="left" w:pos="5760"/>
        </w:tabs>
      </w:pPr>
    </w:p>
    <w:p w:rsidRPr="007076F1" w:rsidR="001A49FF" w:rsidP="001A49FF" w:rsidRDefault="001A49FF" w14:paraId="7F841AA1" w14:textId="77777777">
      <w:pPr>
        <w:tabs>
          <w:tab w:val="left" w:pos="720"/>
          <w:tab w:val="left" w:pos="1296"/>
          <w:tab w:val="left" w:pos="2016"/>
          <w:tab w:val="left" w:pos="2736"/>
          <w:tab w:val="left" w:pos="3456"/>
          <w:tab w:val="left" w:pos="4176"/>
          <w:tab w:val="left" w:pos="5760"/>
        </w:tabs>
      </w:pPr>
      <w:r w:rsidRPr="007076F1">
        <w:t>This Resolution is effective today.</w:t>
      </w:r>
    </w:p>
    <w:p w:rsidRPr="007076F1" w:rsidR="001A49FF" w:rsidP="001A49FF" w:rsidRDefault="001A49FF" w14:paraId="09FE8D4D" w14:textId="77777777">
      <w:pPr>
        <w:tabs>
          <w:tab w:val="left" w:pos="720"/>
          <w:tab w:val="left" w:pos="1296"/>
          <w:tab w:val="left" w:pos="2016"/>
          <w:tab w:val="left" w:pos="2736"/>
          <w:tab w:val="left" w:pos="3456"/>
          <w:tab w:val="left" w:pos="4176"/>
          <w:tab w:val="left" w:pos="5760"/>
        </w:tabs>
        <w:rPr>
          <w:highlight w:val="yellow"/>
        </w:rPr>
      </w:pPr>
    </w:p>
    <w:p w:rsidRPr="007076F1" w:rsidR="001A49FF" w:rsidP="001A49FF" w:rsidRDefault="001A49FF" w14:paraId="057F6B5D" w14:textId="77777777">
      <w:pPr>
        <w:rPr>
          <w:snapToGrid w:val="0"/>
        </w:rPr>
      </w:pPr>
      <w:r w:rsidRPr="007076F1">
        <w:rPr>
          <w:snapToGrid w:val="0"/>
        </w:rPr>
        <w:t xml:space="preserve">I certify that the foregoing </w:t>
      </w:r>
      <w:r>
        <w:rPr>
          <w:snapToGrid w:val="0"/>
        </w:rPr>
        <w:t>R</w:t>
      </w:r>
      <w:r w:rsidRPr="007076F1">
        <w:rPr>
          <w:snapToGrid w:val="0"/>
        </w:rPr>
        <w:t xml:space="preserve">esolution was duly introduced, </w:t>
      </w:r>
      <w:proofErr w:type="gramStart"/>
      <w:r w:rsidRPr="007076F1">
        <w:rPr>
          <w:snapToGrid w:val="0"/>
        </w:rPr>
        <w:t>passed</w:t>
      </w:r>
      <w:proofErr w:type="gramEnd"/>
      <w:r w:rsidRPr="007076F1">
        <w:rPr>
          <w:snapToGrid w:val="0"/>
        </w:rPr>
        <w:t xml:space="preserve"> and adopted at a conference of the Public Utilities Commission of the State of California held on </w:t>
      </w:r>
      <w:r>
        <w:rPr>
          <w:snapToGrid w:val="0"/>
        </w:rPr>
        <w:t>April 15, 2021</w:t>
      </w:r>
      <w:r w:rsidRPr="007076F1">
        <w:rPr>
          <w:snapToGrid w:val="0"/>
        </w:rPr>
        <w:t>; the following Commissioners voting favorably thereon:</w:t>
      </w:r>
    </w:p>
    <w:p w:rsidRPr="007076F1" w:rsidR="001A49FF" w:rsidP="001A49FF" w:rsidRDefault="001A49FF" w14:paraId="04467E98" w14:textId="77777777">
      <w:pPr>
        <w:tabs>
          <w:tab w:val="left" w:pos="720"/>
          <w:tab w:val="left" w:pos="1152"/>
          <w:tab w:val="left" w:pos="1728"/>
          <w:tab w:val="left" w:pos="3168"/>
          <w:tab w:val="left" w:pos="5040"/>
        </w:tabs>
        <w:ind w:right="144"/>
      </w:pPr>
    </w:p>
    <w:p w:rsidRPr="007076F1" w:rsidR="001A49FF" w:rsidP="001A49FF" w:rsidRDefault="001A49FF" w14:paraId="1F733C5A" w14:textId="77777777">
      <w:pPr>
        <w:tabs>
          <w:tab w:val="left" w:pos="720"/>
          <w:tab w:val="left" w:pos="1152"/>
          <w:tab w:val="left" w:pos="1728"/>
          <w:tab w:val="left" w:pos="3168"/>
          <w:tab w:val="left" w:pos="5040"/>
        </w:tabs>
        <w:ind w:right="144"/>
      </w:pPr>
    </w:p>
    <w:p w:rsidRPr="007076F1" w:rsidR="001A49FF" w:rsidP="001A49FF" w:rsidRDefault="001A49FF" w14:paraId="22DF05D7" w14:textId="77777777">
      <w:pPr>
        <w:tabs>
          <w:tab w:val="left" w:pos="720"/>
          <w:tab w:val="left" w:pos="1152"/>
          <w:tab w:val="left" w:pos="1728"/>
          <w:tab w:val="left" w:pos="3168"/>
          <w:tab w:val="left" w:pos="5040"/>
        </w:tabs>
        <w:ind w:right="144"/>
      </w:pPr>
    </w:p>
    <w:p w:rsidRPr="007076F1" w:rsidR="001A49FF" w:rsidP="001A49FF" w:rsidRDefault="001A49FF" w14:paraId="60EFC4F9" w14:textId="77777777">
      <w:pPr>
        <w:tabs>
          <w:tab w:val="left" w:pos="720"/>
          <w:tab w:val="left" w:pos="1152"/>
          <w:tab w:val="left" w:pos="1728"/>
          <w:tab w:val="left" w:pos="3168"/>
          <w:tab w:val="left" w:pos="5040"/>
        </w:tabs>
        <w:ind w:right="144"/>
      </w:pPr>
      <w:r w:rsidRPr="007076F1">
        <w:tab/>
      </w:r>
      <w:r w:rsidRPr="007076F1">
        <w:tab/>
      </w:r>
      <w:r w:rsidRPr="007076F1">
        <w:tab/>
      </w:r>
      <w:r w:rsidRPr="007076F1">
        <w:tab/>
      </w:r>
      <w:r w:rsidRPr="007076F1">
        <w:tab/>
      </w:r>
      <w:r w:rsidRPr="007076F1">
        <w:tab/>
        <w:t>_____________________</w:t>
      </w:r>
    </w:p>
    <w:p w:rsidRPr="007076F1" w:rsidR="001A49FF" w:rsidP="001A49FF" w:rsidRDefault="001A49FF" w14:paraId="69646350" w14:textId="77777777">
      <w:r w:rsidRPr="007076F1">
        <w:tab/>
      </w:r>
      <w:r w:rsidRPr="007076F1">
        <w:tab/>
      </w:r>
      <w:r w:rsidRPr="007076F1">
        <w:tab/>
      </w:r>
      <w:r w:rsidRPr="007076F1">
        <w:tab/>
      </w:r>
      <w:r w:rsidRPr="007076F1">
        <w:tab/>
      </w:r>
      <w:r w:rsidRPr="007076F1">
        <w:tab/>
      </w:r>
      <w:r w:rsidRPr="007076F1">
        <w:tab/>
      </w:r>
      <w:r w:rsidRPr="007076F1">
        <w:tab/>
      </w:r>
      <w:r>
        <w:t>RACHEL PETERSON</w:t>
      </w:r>
    </w:p>
    <w:p w:rsidRPr="007076F1" w:rsidR="001A49FF" w:rsidP="001A49FF" w:rsidRDefault="001A49FF" w14:paraId="4B42F29E" w14:textId="77777777">
      <w:r w:rsidRPr="007076F1">
        <w:tab/>
      </w:r>
      <w:r w:rsidRPr="007076F1">
        <w:tab/>
      </w:r>
      <w:r w:rsidRPr="007076F1">
        <w:tab/>
      </w:r>
      <w:r w:rsidRPr="007076F1">
        <w:tab/>
      </w:r>
      <w:r w:rsidRPr="007076F1">
        <w:tab/>
      </w:r>
      <w:r w:rsidRPr="007076F1">
        <w:tab/>
      </w:r>
      <w:r w:rsidRPr="007076F1">
        <w:tab/>
      </w:r>
      <w:r w:rsidRPr="007076F1">
        <w:tab/>
        <w:t>Executive Director</w:t>
      </w:r>
    </w:p>
    <w:p w:rsidR="00AE03A9" w:rsidP="00AE03A9" w:rsidRDefault="00AE03A9" w14:paraId="2D260A47" w14:textId="77777777">
      <w:pPr>
        <w:tabs>
          <w:tab w:val="center" w:pos="4680"/>
        </w:tabs>
        <w:spacing w:after="160" w:line="259" w:lineRule="auto"/>
        <w:jc w:val="center"/>
        <w:rPr>
          <w:b/>
          <w:sz w:val="48"/>
          <w:szCs w:val="48"/>
          <w:u w:val="single"/>
        </w:rPr>
      </w:pPr>
    </w:p>
    <w:p w:rsidR="001A49FF" w:rsidP="00AE03A9" w:rsidRDefault="001A49FF" w14:paraId="62626938" w14:textId="02E8843F">
      <w:pPr>
        <w:tabs>
          <w:tab w:val="center" w:pos="4680"/>
        </w:tabs>
        <w:spacing w:after="160" w:line="259" w:lineRule="auto"/>
        <w:rPr>
          <w:b/>
          <w:sz w:val="48"/>
          <w:szCs w:val="48"/>
          <w:u w:val="single"/>
        </w:rPr>
      </w:pPr>
      <w:r w:rsidRPr="00AE03A9">
        <w:rPr>
          <w:sz w:val="48"/>
          <w:szCs w:val="48"/>
        </w:rPr>
        <w:br w:type="page"/>
      </w:r>
      <w:r w:rsidR="00AE03A9">
        <w:rPr>
          <w:b/>
          <w:sz w:val="48"/>
          <w:szCs w:val="48"/>
          <w:u w:val="single"/>
        </w:rPr>
        <w:lastRenderedPageBreak/>
        <w:tab/>
      </w:r>
    </w:p>
    <w:p w:rsidR="001A49FF" w:rsidP="001A49FF" w:rsidRDefault="001A49FF" w14:paraId="746B70AB" w14:textId="77777777">
      <w:pPr>
        <w:rPr>
          <w:b/>
          <w:sz w:val="48"/>
          <w:szCs w:val="48"/>
          <w:u w:val="single"/>
        </w:rPr>
      </w:pPr>
    </w:p>
    <w:p w:rsidR="001A49FF" w:rsidP="001A49FF" w:rsidRDefault="001A49FF" w14:paraId="58CE3C77" w14:textId="77777777">
      <w:pPr>
        <w:rPr>
          <w:b/>
          <w:sz w:val="48"/>
          <w:szCs w:val="48"/>
          <w:u w:val="single"/>
        </w:rPr>
      </w:pPr>
    </w:p>
    <w:p w:rsidR="001A49FF" w:rsidP="001A49FF" w:rsidRDefault="001A49FF" w14:paraId="7AF2943E" w14:textId="77777777">
      <w:pPr>
        <w:rPr>
          <w:b/>
          <w:sz w:val="48"/>
          <w:szCs w:val="48"/>
          <w:u w:val="single"/>
        </w:rPr>
      </w:pPr>
    </w:p>
    <w:p w:rsidR="001A49FF" w:rsidP="001A49FF" w:rsidRDefault="001A49FF" w14:paraId="472E07C2" w14:textId="77777777">
      <w:pPr>
        <w:rPr>
          <w:b/>
          <w:sz w:val="48"/>
          <w:szCs w:val="48"/>
          <w:u w:val="single"/>
        </w:rPr>
      </w:pPr>
    </w:p>
    <w:p w:rsidR="001A49FF" w:rsidP="001A49FF" w:rsidRDefault="001A49FF" w14:paraId="4BEC736B" w14:textId="77777777">
      <w:pPr>
        <w:rPr>
          <w:b/>
          <w:sz w:val="48"/>
          <w:szCs w:val="48"/>
          <w:u w:val="single"/>
        </w:rPr>
      </w:pPr>
    </w:p>
    <w:p w:rsidRPr="003C4672" w:rsidR="001A49FF" w:rsidP="001A49FF" w:rsidRDefault="001A49FF" w14:paraId="4914B6D3" w14:textId="77777777">
      <w:pPr>
        <w:jc w:val="center"/>
        <w:rPr>
          <w:b/>
          <w:sz w:val="48"/>
          <w:szCs w:val="48"/>
          <w:u w:val="single"/>
        </w:rPr>
      </w:pPr>
      <w:r w:rsidRPr="00E2371A">
        <w:rPr>
          <w:b/>
          <w:sz w:val="48"/>
          <w:szCs w:val="48"/>
          <w:u w:val="single"/>
        </w:rPr>
        <w:t>Confidential Appendix A</w:t>
      </w:r>
    </w:p>
    <w:p w:rsidRPr="003C4672" w:rsidR="001A49FF" w:rsidP="001A49FF" w:rsidRDefault="001A49FF" w14:paraId="3AB68628" w14:textId="77777777">
      <w:pPr>
        <w:jc w:val="center"/>
        <w:rPr>
          <w:b/>
          <w:sz w:val="40"/>
          <w:szCs w:val="40"/>
          <w:u w:val="single"/>
        </w:rPr>
      </w:pPr>
    </w:p>
    <w:p w:rsidR="001A49FF" w:rsidP="001A49FF" w:rsidRDefault="001A49FF" w14:paraId="07458DA4" w14:textId="77777777">
      <w:pPr>
        <w:jc w:val="center"/>
        <w:rPr>
          <w:sz w:val="36"/>
          <w:szCs w:val="36"/>
        </w:rPr>
      </w:pPr>
      <w:r w:rsidRPr="003C4672">
        <w:rPr>
          <w:sz w:val="36"/>
          <w:szCs w:val="36"/>
        </w:rPr>
        <w:t xml:space="preserve">Evaluation Summary of the BioRAM Agreement with </w:t>
      </w:r>
      <w:r>
        <w:rPr>
          <w:sz w:val="36"/>
          <w:szCs w:val="36"/>
        </w:rPr>
        <w:t>Woodland</w:t>
      </w:r>
      <w:r w:rsidRPr="003C4672">
        <w:rPr>
          <w:sz w:val="36"/>
          <w:szCs w:val="36"/>
        </w:rPr>
        <w:t xml:space="preserve"> </w:t>
      </w:r>
      <w:r>
        <w:rPr>
          <w:sz w:val="36"/>
          <w:szCs w:val="36"/>
        </w:rPr>
        <w:t xml:space="preserve">Biomass Power, LLC.  </w:t>
      </w:r>
    </w:p>
    <w:p w:rsidR="001A49FF" w:rsidP="001A49FF" w:rsidRDefault="001A49FF" w14:paraId="12578FA4" w14:textId="77777777">
      <w:pPr>
        <w:spacing w:after="160" w:line="259" w:lineRule="auto"/>
        <w:rPr>
          <w:sz w:val="36"/>
          <w:szCs w:val="36"/>
        </w:rPr>
      </w:pPr>
    </w:p>
    <w:p w:rsidR="001A49FF" w:rsidP="001A49FF" w:rsidRDefault="001A49FF" w14:paraId="442E4FDC" w14:textId="77777777">
      <w:pPr>
        <w:spacing w:after="160" w:line="259" w:lineRule="auto"/>
        <w:jc w:val="center"/>
        <w:rPr>
          <w:sz w:val="36"/>
          <w:szCs w:val="36"/>
        </w:rPr>
      </w:pPr>
      <w:r>
        <w:rPr>
          <w:sz w:val="36"/>
          <w:szCs w:val="36"/>
        </w:rPr>
        <w:t>[REDACTED]</w:t>
      </w:r>
    </w:p>
    <w:p w:rsidR="001A49FF" w:rsidP="001A49FF" w:rsidRDefault="001A49FF" w14:paraId="3FBA7720" w14:textId="77777777">
      <w:pPr>
        <w:spacing w:after="160" w:line="259" w:lineRule="auto"/>
        <w:rPr>
          <w:sz w:val="36"/>
          <w:szCs w:val="36"/>
        </w:rPr>
      </w:pPr>
    </w:p>
    <w:p w:rsidR="001A49FF" w:rsidP="001A49FF" w:rsidRDefault="001A49FF" w14:paraId="6F78D60C" w14:textId="77777777">
      <w:pPr>
        <w:spacing w:after="160" w:line="259" w:lineRule="auto"/>
        <w:rPr>
          <w:sz w:val="36"/>
          <w:szCs w:val="36"/>
        </w:rPr>
      </w:pPr>
    </w:p>
    <w:p w:rsidR="001A49FF" w:rsidP="001A49FF" w:rsidRDefault="001A49FF" w14:paraId="09B878E2" w14:textId="77777777">
      <w:pPr>
        <w:spacing w:after="160" w:line="259" w:lineRule="auto"/>
        <w:rPr>
          <w:sz w:val="36"/>
          <w:szCs w:val="36"/>
        </w:rPr>
      </w:pPr>
    </w:p>
    <w:p w:rsidR="001A49FF" w:rsidP="001A49FF" w:rsidRDefault="001A49FF" w14:paraId="05022696" w14:textId="77777777">
      <w:pPr>
        <w:spacing w:after="160" w:line="259" w:lineRule="auto"/>
        <w:rPr>
          <w:sz w:val="36"/>
          <w:szCs w:val="36"/>
        </w:rPr>
      </w:pPr>
    </w:p>
    <w:p w:rsidR="001A49FF" w:rsidP="001A49FF" w:rsidRDefault="001A49FF" w14:paraId="3E8EE99C" w14:textId="77777777">
      <w:pPr>
        <w:spacing w:after="160" w:line="259" w:lineRule="auto"/>
        <w:rPr>
          <w:sz w:val="36"/>
          <w:szCs w:val="36"/>
        </w:rPr>
      </w:pPr>
    </w:p>
    <w:p w:rsidR="001A49FF" w:rsidP="001A49FF" w:rsidRDefault="001A49FF" w14:paraId="0BA4EA74" w14:textId="77777777">
      <w:pPr>
        <w:spacing w:after="160" w:line="259" w:lineRule="auto"/>
        <w:rPr>
          <w:sz w:val="36"/>
          <w:szCs w:val="36"/>
        </w:rPr>
      </w:pPr>
    </w:p>
    <w:p w:rsidR="001A49FF" w:rsidP="001A49FF" w:rsidRDefault="001A49FF" w14:paraId="50C32361" w14:textId="77777777">
      <w:pPr>
        <w:spacing w:after="160" w:line="259" w:lineRule="auto"/>
        <w:rPr>
          <w:sz w:val="36"/>
          <w:szCs w:val="36"/>
        </w:rPr>
      </w:pPr>
    </w:p>
    <w:p w:rsidR="001A49FF" w:rsidP="001A49FF" w:rsidRDefault="001A49FF" w14:paraId="693125C4" w14:textId="77777777">
      <w:pPr>
        <w:spacing w:after="160" w:line="259" w:lineRule="auto"/>
        <w:rPr>
          <w:sz w:val="36"/>
          <w:szCs w:val="36"/>
        </w:rPr>
      </w:pPr>
    </w:p>
    <w:p w:rsidR="0091488F" w:rsidRDefault="0091488F" w14:paraId="6E27B258" w14:textId="77777777"/>
    <w:sectPr w:rsidR="0091488F" w:rsidSect="00876575">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0D74C" w14:textId="77777777" w:rsidR="00284A93" w:rsidRDefault="00284A93" w:rsidP="001A49FF">
      <w:r>
        <w:separator/>
      </w:r>
    </w:p>
  </w:endnote>
  <w:endnote w:type="continuationSeparator" w:id="0">
    <w:p w14:paraId="6B202279" w14:textId="77777777" w:rsidR="00284A93" w:rsidRDefault="00284A93" w:rsidP="001A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CF1C" w14:textId="77777777" w:rsidR="00F37619" w:rsidRPr="00507FD3" w:rsidRDefault="001A49FF">
    <w:pPr>
      <w:pStyle w:val="Footer"/>
    </w:pPr>
    <w:r w:rsidRPr="00507FD3">
      <w:rPr>
        <w:rStyle w:val="PageNumber"/>
      </w:rPr>
      <w:fldChar w:fldCharType="begin"/>
    </w:r>
    <w:r w:rsidRPr="00507FD3">
      <w:rPr>
        <w:rStyle w:val="PageNumber"/>
      </w:rPr>
      <w:instrText xml:space="preserve"> PAGE </w:instrText>
    </w:r>
    <w:r w:rsidRPr="00507FD3">
      <w:rPr>
        <w:rStyle w:val="PageNumber"/>
      </w:rPr>
      <w:fldChar w:fldCharType="separate"/>
    </w:r>
    <w:r w:rsidRPr="00507FD3">
      <w:rPr>
        <w:rStyle w:val="PageNumber"/>
        <w:noProof/>
      </w:rPr>
      <w:t>2</w:t>
    </w:r>
    <w:r w:rsidRPr="00507FD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992A" w14:textId="7368348E" w:rsidR="00F37619" w:rsidRDefault="00080AE9" w:rsidP="00080AE9">
    <w:pPr>
      <w:pStyle w:val="Footer"/>
      <w:tabs>
        <w:tab w:val="clear" w:pos="4320"/>
        <w:tab w:val="center" w:pos="4680"/>
      </w:tabs>
      <w:jc w:val="left"/>
    </w:pPr>
    <w:r w:rsidRPr="00080AE9">
      <w:rPr>
        <w:rStyle w:val="PageNumber"/>
      </w:rPr>
      <w:t>369025258</w:t>
    </w:r>
    <w:r>
      <w:rPr>
        <w:rStyle w:val="PageNumber"/>
      </w:rPr>
      <w:t xml:space="preserve">                                                          </w:t>
    </w:r>
    <w:r w:rsidR="001A49FF">
      <w:rPr>
        <w:rStyle w:val="PageNumber"/>
      </w:rPr>
      <w:fldChar w:fldCharType="begin"/>
    </w:r>
    <w:r w:rsidR="001A49FF">
      <w:rPr>
        <w:rStyle w:val="PageNumber"/>
      </w:rPr>
      <w:instrText xml:space="preserve"> PAGE </w:instrText>
    </w:r>
    <w:r w:rsidR="001A49FF">
      <w:rPr>
        <w:rStyle w:val="PageNumber"/>
      </w:rPr>
      <w:fldChar w:fldCharType="separate"/>
    </w:r>
    <w:r w:rsidR="001A49FF">
      <w:rPr>
        <w:rStyle w:val="PageNumber"/>
        <w:noProof/>
      </w:rPr>
      <w:t>1</w:t>
    </w:r>
    <w:r w:rsidR="001A49F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2E745" w14:textId="77777777" w:rsidR="00284A93" w:rsidRDefault="00284A93" w:rsidP="001A49FF">
      <w:r>
        <w:separator/>
      </w:r>
    </w:p>
  </w:footnote>
  <w:footnote w:type="continuationSeparator" w:id="0">
    <w:p w14:paraId="4A3B1942" w14:textId="77777777" w:rsidR="00284A93" w:rsidRDefault="00284A93" w:rsidP="001A49FF">
      <w:r>
        <w:continuationSeparator/>
      </w:r>
    </w:p>
  </w:footnote>
  <w:footnote w:id="1">
    <w:p w14:paraId="28522213"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In Resolution E-4770, the CPUC ordered the three large IOUs to procure biomass from high-hazard zones (HHZ) to address Governor Jerry Brown’s 2015 Emergency Proclamation on Tree Mortality through Renewable Auction Mechanism (RAM) standard contracts. These contracts are referred to as BioRAM contracts.</w:t>
      </w:r>
    </w:p>
  </w:footnote>
  <w:footnote w:id="2">
    <w:p w14:paraId="71F1FC08"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In Resolution E-4977, the CPUC implemented Senate Bill 901, ordering the three large IOUs to offer contract negotiations to all qualified biomass facilities in their portfolios for a term of up to five years if the facilities agree to the feedstock requirement of BioRAM 2 (see Resolution E-4805 for more on BioRAM 2). The Resolution also ordered the IOUs to amend their existing BioRAM contracts to expand the eligible feedstock that can be classified as HHZ fuel, offer sellers a monthly opt-out and reporting option for annual fuel use requirements, and remove missed fuel requirements as an event of default. See Resolution E-4977: </w:t>
      </w:r>
      <w:hyperlink r:id="rId1" w:history="1">
        <w:r w:rsidRPr="001F1952">
          <w:rPr>
            <w:rStyle w:val="Hyperlink"/>
            <w:sz w:val="22"/>
            <w:szCs w:val="22"/>
          </w:rPr>
          <w:t>https://docs.cpuc.ca.gov/PublishedDocs/Published/G000/M264/K677/264677864.PDF</w:t>
        </w:r>
      </w:hyperlink>
      <w:r w:rsidRPr="001F1952">
        <w:rPr>
          <w:sz w:val="22"/>
          <w:szCs w:val="22"/>
        </w:rPr>
        <w:t xml:space="preserve"> </w:t>
      </w:r>
    </w:p>
  </w:footnote>
  <w:footnote w:id="3">
    <w:p w14:paraId="6B5EA388" w14:textId="77777777" w:rsidR="001A49FF" w:rsidRPr="001F1952" w:rsidRDefault="001A49FF" w:rsidP="001A49FF">
      <w:pPr>
        <w:pStyle w:val="NoSpacing"/>
        <w:rPr>
          <w:rFonts w:ascii="Palatino Linotype" w:hAnsi="Palatino Linotype"/>
          <w:sz w:val="22"/>
          <w:szCs w:val="22"/>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SB 1078 (Sher, Chapter 516, Statutes of 2002); SB 107 (Simitian, Chapter 464, Statutes of 2006); SB 1036 (Perata, Chapter 685, Statutes of 2007); SB 2 (1X) (Simitian, Chapter 1, Statutes of 2011, First Extraordinary Session); SB 350 (de León, Chapter 547, Statutes of 2015; SB 100 (de León, Chapter 312, Statutes of 2018).</w:t>
      </w:r>
    </w:p>
  </w:footnote>
  <w:footnote w:id="4">
    <w:p w14:paraId="28B49683" w14:textId="77777777" w:rsidR="001A49FF" w:rsidRPr="001F1952" w:rsidRDefault="001A49FF" w:rsidP="001A49FF">
      <w:pPr>
        <w:pStyle w:val="NoSpacing"/>
        <w:rPr>
          <w:rFonts w:ascii="Palatino Linotype" w:hAnsi="Palatino Linotype"/>
          <w:sz w:val="22"/>
          <w:szCs w:val="22"/>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All further statutory references are to the Public Utilities Code unless otherwise specified.</w:t>
      </w:r>
    </w:p>
  </w:footnote>
  <w:footnote w:id="5">
    <w:p w14:paraId="32FEEE0A" w14:textId="77777777" w:rsidR="001A49FF" w:rsidRPr="001F1952" w:rsidRDefault="001A49FF" w:rsidP="001A49FF">
      <w:pPr>
        <w:pStyle w:val="NoSpacing"/>
        <w:rPr>
          <w:rFonts w:ascii="Palatino Linotype" w:hAnsi="Palatino Linotype"/>
          <w:sz w:val="22"/>
          <w:szCs w:val="22"/>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D.19-06-023 established a methodology to calculate procurement requirement quantities for the compliance periods covered in SB 100.  </w:t>
      </w:r>
    </w:p>
  </w:footnote>
  <w:footnote w:id="6">
    <w:p w14:paraId="78FED64A"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SB 100 (De León, Chapter 312, Statutes of 2018) effective on January 1, 2019.</w:t>
      </w:r>
    </w:p>
  </w:footnote>
  <w:footnote w:id="7">
    <w:p w14:paraId="636FBADC" w14:textId="77777777" w:rsidR="001A49FF" w:rsidRPr="001F1952" w:rsidRDefault="001A49FF" w:rsidP="001A49FF">
      <w:pPr>
        <w:pStyle w:val="FootnoteText"/>
        <w:rPr>
          <w:i/>
          <w:iCs/>
          <w:sz w:val="22"/>
          <w:szCs w:val="22"/>
        </w:rPr>
      </w:pPr>
      <w:r w:rsidRPr="001F1952">
        <w:rPr>
          <w:rStyle w:val="FootnoteReference"/>
          <w:sz w:val="22"/>
          <w:szCs w:val="22"/>
        </w:rPr>
        <w:footnoteRef/>
      </w:r>
      <w:r w:rsidRPr="001F1952">
        <w:rPr>
          <w:sz w:val="22"/>
          <w:szCs w:val="22"/>
        </w:rPr>
        <w:t xml:space="preserve"> Resolution E-4770, CPUC Motion Authorizing Procurement from Forest Fuelstock Bioenergy Facilities supplied from High Hazard Zones for wildfires and falling trees pursuant to the Governor’s Emergency Proclamation, March 18, 2016.</w:t>
      </w:r>
      <w:r>
        <w:rPr>
          <w:sz w:val="22"/>
          <w:szCs w:val="22"/>
        </w:rPr>
        <w:t xml:space="preserve"> </w:t>
      </w:r>
      <w:hyperlink r:id="rId2" w:history="1">
        <w:r w:rsidRPr="005211EE">
          <w:rPr>
            <w:rStyle w:val="Hyperlink"/>
            <w:sz w:val="22"/>
            <w:szCs w:val="22"/>
          </w:rPr>
          <w:t>https://docs.cpuc.ca.gov/PublishedDocs/Published/G000/M159/K652/159652363.PDF</w:t>
        </w:r>
      </w:hyperlink>
      <w:r>
        <w:rPr>
          <w:sz w:val="22"/>
          <w:szCs w:val="22"/>
        </w:rPr>
        <w:t xml:space="preserve"> </w:t>
      </w:r>
      <w:r w:rsidRPr="001F1952">
        <w:rPr>
          <w:i/>
          <w:iCs/>
          <w:sz w:val="22"/>
          <w:szCs w:val="22"/>
        </w:rPr>
        <w:t xml:space="preserve"> </w:t>
      </w:r>
    </w:p>
  </w:footnote>
  <w:footnote w:id="8">
    <w:p w14:paraId="50606C01" w14:textId="77777777" w:rsidR="001A49FF" w:rsidRPr="001F1952" w:rsidRDefault="001A49FF" w:rsidP="001A49FF">
      <w:pPr>
        <w:pStyle w:val="FootnoteText"/>
        <w:rPr>
          <w:i/>
          <w:iCs/>
          <w:sz w:val="22"/>
          <w:szCs w:val="22"/>
        </w:rPr>
      </w:pPr>
      <w:r w:rsidRPr="001F1952">
        <w:rPr>
          <w:rStyle w:val="FootnoteReference"/>
          <w:sz w:val="22"/>
          <w:szCs w:val="22"/>
        </w:rPr>
        <w:footnoteRef/>
      </w:r>
      <w:r w:rsidRPr="001F1952">
        <w:rPr>
          <w:sz w:val="22"/>
          <w:szCs w:val="22"/>
        </w:rPr>
        <w:t xml:space="preserve"> Resolution E-4805, CPUC Motion Authorizing Procurement from Bioenergy Facilities supplied from Forest Fuel High Hazard Zones pursuant to Senate Bill 859, the Governor’s Tree Mortality Emergency Proclamation, and the CPUC’s other legal authority, October 21, 2016.</w:t>
      </w:r>
      <w:r>
        <w:rPr>
          <w:sz w:val="22"/>
          <w:szCs w:val="22"/>
        </w:rPr>
        <w:t xml:space="preserve"> </w:t>
      </w:r>
      <w:hyperlink r:id="rId3" w:history="1">
        <w:r w:rsidRPr="005211EE">
          <w:rPr>
            <w:rStyle w:val="Hyperlink"/>
            <w:sz w:val="22"/>
            <w:szCs w:val="22"/>
          </w:rPr>
          <w:t>https://docs.cpuc.ca.gov/PublishedDocs/Published/G000/M168/K823/168823153.PDF</w:t>
        </w:r>
      </w:hyperlink>
      <w:r>
        <w:rPr>
          <w:sz w:val="22"/>
          <w:szCs w:val="22"/>
        </w:rPr>
        <w:t xml:space="preserve"> </w:t>
      </w:r>
      <w:r w:rsidRPr="001F1952">
        <w:rPr>
          <w:i/>
          <w:iCs/>
          <w:sz w:val="22"/>
          <w:szCs w:val="22"/>
        </w:rPr>
        <w:t xml:space="preserve"> </w:t>
      </w:r>
    </w:p>
  </w:footnote>
  <w:footnote w:id="9">
    <w:p w14:paraId="1E1C334A"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w:t>
      </w:r>
      <w:r w:rsidRPr="0011165D">
        <w:rPr>
          <w:i/>
          <w:iCs/>
          <w:sz w:val="22"/>
          <w:szCs w:val="22"/>
        </w:rPr>
        <w:t>See</w:t>
      </w:r>
      <w:r w:rsidRPr="001F1952">
        <w:rPr>
          <w:sz w:val="22"/>
          <w:szCs w:val="22"/>
        </w:rPr>
        <w:t xml:space="preserve"> Decision D.18-12-003 at Ordering Paragraph 3. </w:t>
      </w:r>
    </w:p>
  </w:footnote>
  <w:footnote w:id="10">
    <w:p w14:paraId="3AE857F4"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Resolution E-4977, Commission Motion Amending the Bioenergy Renewable Auction Mechanism (BioRAM) Program and Authorizing the Extension of Certain Contracts pursuant to Senate Bill 901, January 31, 2019. </w:t>
      </w:r>
      <w:hyperlink r:id="rId4" w:history="1">
        <w:r w:rsidRPr="005211EE">
          <w:rPr>
            <w:rStyle w:val="Hyperlink"/>
            <w:sz w:val="22"/>
            <w:szCs w:val="22"/>
          </w:rPr>
          <w:t>https://docs.cpuc.ca.gov/PublishedDocs/Published/G000/M264/K677/264677864.PDF</w:t>
        </w:r>
      </w:hyperlink>
    </w:p>
  </w:footnote>
  <w:footnote w:id="11">
    <w:p w14:paraId="7E82FCB6"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Resolution E-4977 at Ordering Paragraph 4. </w:t>
      </w:r>
    </w:p>
  </w:footnote>
  <w:footnote w:id="12">
    <w:p w14:paraId="0225C07E"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BioRAM contracts were executed by the IOUs and various biomass facilities pursuant to Resolution E-4770 and E-4805. </w:t>
      </w:r>
    </w:p>
  </w:footnote>
  <w:footnote w:id="13">
    <w:p w14:paraId="7D564450" w14:textId="77777777" w:rsidR="001A49FF" w:rsidRPr="001F1952" w:rsidRDefault="001A49FF" w:rsidP="001A49FF">
      <w:pPr>
        <w:pStyle w:val="NoSpacing"/>
        <w:rPr>
          <w:rFonts w:ascii="Palatino Linotype" w:hAnsi="Palatino Linotype"/>
          <w:sz w:val="22"/>
          <w:szCs w:val="22"/>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w:t>
      </w:r>
      <w:r w:rsidRPr="001F1952">
        <w:rPr>
          <w:rFonts w:ascii="Palatino Linotype" w:hAnsi="Palatino Linotype"/>
          <w:sz w:val="22"/>
          <w:szCs w:val="22"/>
          <w:lang w:val="fr-FR"/>
        </w:rPr>
        <w:t>Pub. Util. Code § 399.13(a)(6).</w:t>
      </w:r>
    </w:p>
  </w:footnote>
  <w:footnote w:id="14">
    <w:p w14:paraId="7187A726" w14:textId="77777777" w:rsidR="001A49FF" w:rsidRPr="001F1952" w:rsidRDefault="001A49FF" w:rsidP="001A49FF">
      <w:pPr>
        <w:pStyle w:val="NoSpacing"/>
        <w:rPr>
          <w:rFonts w:ascii="Palatino Linotype" w:hAnsi="Palatino Linotype"/>
          <w:sz w:val="22"/>
          <w:szCs w:val="22"/>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Pub. Util. Code § 399.13(d).</w:t>
      </w:r>
    </w:p>
  </w:footnote>
  <w:footnote w:id="15">
    <w:p w14:paraId="7C2457E9" w14:textId="77777777" w:rsidR="001A49FF" w:rsidRPr="001F1952" w:rsidRDefault="001A49FF" w:rsidP="001A49FF">
      <w:pPr>
        <w:pStyle w:val="NoSpacing"/>
        <w:rPr>
          <w:rFonts w:ascii="Palatino Linotype" w:hAnsi="Palatino Linotype"/>
          <w:sz w:val="22"/>
          <w:szCs w:val="22"/>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PG&amp;E’s 2019 RPS Procurement Plan was approved by D.19-12-042.  </w:t>
      </w:r>
    </w:p>
  </w:footnote>
  <w:footnote w:id="16">
    <w:p w14:paraId="194D7045" w14:textId="77777777" w:rsidR="001A49FF" w:rsidRPr="001F1952" w:rsidRDefault="001A49FF" w:rsidP="001A49FF">
      <w:pPr>
        <w:pStyle w:val="NoSpacing"/>
        <w:rPr>
          <w:rFonts w:ascii="Palatino Linotype" w:hAnsi="Palatino Linotype"/>
          <w:sz w:val="22"/>
          <w:szCs w:val="22"/>
          <w:highlight w:val="yellow"/>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w:t>
      </w:r>
      <w:r w:rsidRPr="0011165D">
        <w:rPr>
          <w:rFonts w:ascii="Palatino Linotype" w:hAnsi="Palatino Linotype"/>
          <w:i/>
          <w:iCs/>
          <w:sz w:val="22"/>
          <w:szCs w:val="22"/>
        </w:rPr>
        <w:t xml:space="preserve">See </w:t>
      </w:r>
      <w:r w:rsidRPr="001F1952">
        <w:rPr>
          <w:rFonts w:ascii="Palatino Linotype" w:hAnsi="Palatino Linotype"/>
          <w:sz w:val="22"/>
          <w:szCs w:val="22"/>
        </w:rPr>
        <w:t xml:space="preserve">D.19-12-042 at Section 8.2 for a summary of PG&amp;E’s assessment of RPS portfolio supplies and demand.  </w:t>
      </w:r>
    </w:p>
  </w:footnote>
  <w:footnote w:id="17">
    <w:p w14:paraId="4AD8CCD3"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D.19-12-042 at Ordering Paragraph 18. </w:t>
      </w:r>
    </w:p>
  </w:footnote>
  <w:footnote w:id="18">
    <w:p w14:paraId="7A36989C"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Resolution E-4977, Commission Motion Amending the Bioenergy Renewable Auction Mechanism (BioRAM) Program and Authorizing the Extension of Certain Contracts pursuant to Senate Bill 901, January 31, 2019. </w:t>
      </w:r>
      <w:hyperlink r:id="rId5" w:history="1">
        <w:r w:rsidRPr="005211EE">
          <w:rPr>
            <w:rStyle w:val="Hyperlink"/>
            <w:sz w:val="22"/>
            <w:szCs w:val="22"/>
          </w:rPr>
          <w:t>https://docs.cpuc.ca.gov/PublishedDocs/Published/G000/M264/K677/264677864.PDF</w:t>
        </w:r>
      </w:hyperlink>
      <w:r>
        <w:rPr>
          <w:sz w:val="22"/>
          <w:szCs w:val="22"/>
        </w:rPr>
        <w:t xml:space="preserve"> </w:t>
      </w:r>
    </w:p>
  </w:footnote>
  <w:footnote w:id="19">
    <w:p w14:paraId="1B899056" w14:textId="77777777" w:rsidR="001A49FF" w:rsidRPr="008C34AE" w:rsidRDefault="001A49FF" w:rsidP="001A49FF">
      <w:pPr>
        <w:pStyle w:val="FootnoteText"/>
        <w:rPr>
          <w:sz w:val="22"/>
          <w:szCs w:val="22"/>
        </w:rPr>
      </w:pPr>
      <w:r>
        <w:rPr>
          <w:rStyle w:val="FootnoteReference"/>
        </w:rPr>
        <w:footnoteRef/>
      </w:r>
      <w:r>
        <w:t xml:space="preserve"> </w:t>
      </w:r>
      <w:r w:rsidRPr="008C34AE">
        <w:rPr>
          <w:sz w:val="22"/>
          <w:szCs w:val="22"/>
        </w:rPr>
        <w:t xml:space="preserve">Resolution E-4977 at Finding 5 and 6. </w:t>
      </w:r>
    </w:p>
  </w:footnote>
  <w:footnote w:id="20">
    <w:p w14:paraId="0772E9DE"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Resolution E-4977 at 12-13 and Finding 10.</w:t>
      </w:r>
    </w:p>
  </w:footnote>
  <w:footnote w:id="21">
    <w:p w14:paraId="5E82AD15"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w:t>
      </w:r>
      <w:r w:rsidRPr="0011165D">
        <w:rPr>
          <w:i/>
          <w:iCs/>
          <w:sz w:val="22"/>
          <w:szCs w:val="22"/>
        </w:rPr>
        <w:t>See</w:t>
      </w:r>
      <w:r w:rsidRPr="001F1952">
        <w:rPr>
          <w:sz w:val="22"/>
          <w:szCs w:val="22"/>
        </w:rPr>
        <w:t xml:space="preserve"> Ordering Paragraph 4 of Resolution E-4977 for the per se reasonableness benchmark. </w:t>
      </w:r>
    </w:p>
  </w:footnote>
  <w:footnote w:id="22">
    <w:p w14:paraId="5636EAC0"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w:t>
      </w:r>
      <w:r w:rsidRPr="0011165D">
        <w:rPr>
          <w:i/>
          <w:iCs/>
          <w:sz w:val="22"/>
          <w:szCs w:val="22"/>
        </w:rPr>
        <w:t xml:space="preserve">See </w:t>
      </w:r>
      <w:r w:rsidRPr="001F1952">
        <w:rPr>
          <w:sz w:val="22"/>
          <w:szCs w:val="22"/>
        </w:rPr>
        <w:t>Resolution E-4977 at Finding 16</w:t>
      </w:r>
      <w:r>
        <w:rPr>
          <w:sz w:val="22"/>
          <w:szCs w:val="22"/>
        </w:rPr>
        <w:t xml:space="preserve"> and Ordering Paragraph 4. </w:t>
      </w:r>
    </w:p>
  </w:footnote>
  <w:footnote w:id="23">
    <w:p w14:paraId="13D8A5B7"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Cal Advocates Protest, pp. 2-4.</w:t>
      </w:r>
    </w:p>
  </w:footnote>
  <w:footnote w:id="24">
    <w:p w14:paraId="795A0869"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Ordering Paragraph 2 of Resolution E-4977. </w:t>
      </w:r>
    </w:p>
  </w:footnote>
  <w:footnote w:id="25">
    <w:p w14:paraId="0E01A76C"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Cal Advocates Protest, pp. 5-6.</w:t>
      </w:r>
    </w:p>
  </w:footnote>
  <w:footnote w:id="26">
    <w:p w14:paraId="708096B3"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PG&amp;E Protest Reply, pp. 4-6.</w:t>
      </w:r>
    </w:p>
  </w:footnote>
  <w:footnote w:id="27">
    <w:p w14:paraId="10224146"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AL 5603-E was submitted to the CPUC in July 2019. </w:t>
      </w:r>
    </w:p>
  </w:footnote>
  <w:footnote w:id="28">
    <w:p w14:paraId="0D2ED1CE"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PG&amp;E Protest Reply, pp. 5. </w:t>
      </w:r>
    </w:p>
  </w:footnote>
  <w:footnote w:id="29">
    <w:p w14:paraId="5833883A"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PG&amp;E Protest Reply, pp. 3. </w:t>
      </w:r>
    </w:p>
  </w:footnote>
  <w:footnote w:id="30">
    <w:p w14:paraId="4BFE0258"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w:t>
      </w:r>
      <w:r w:rsidRPr="0011165D">
        <w:rPr>
          <w:i/>
          <w:iCs/>
          <w:sz w:val="22"/>
          <w:szCs w:val="22"/>
        </w:rPr>
        <w:t>See</w:t>
      </w:r>
      <w:r w:rsidRPr="001F1952">
        <w:rPr>
          <w:sz w:val="22"/>
          <w:szCs w:val="22"/>
        </w:rPr>
        <w:t xml:space="preserve"> Appendix D to AL 5983-E (Independent Evaluator Report), pp. 3. </w:t>
      </w:r>
    </w:p>
  </w:footnote>
  <w:footnote w:id="31">
    <w:p w14:paraId="6AACCBAC"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PG&amp;E AL 5603-E, pp. 5. </w:t>
      </w:r>
    </w:p>
  </w:footnote>
  <w:footnote w:id="32">
    <w:p w14:paraId="020E804C"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Energy Division Disposition Letter for PG&amp;E AL 5603-E dated August 26, 2019. </w:t>
      </w:r>
    </w:p>
  </w:footnote>
  <w:footnote w:id="33">
    <w:p w14:paraId="015C8BED"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PG&amp;E Protest Reply, pp. 5.</w:t>
      </w:r>
    </w:p>
  </w:footnote>
  <w:footnote w:id="34">
    <w:p w14:paraId="5670ABEF"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w:t>
      </w:r>
      <w:r w:rsidRPr="0011165D">
        <w:rPr>
          <w:i/>
          <w:iCs/>
          <w:sz w:val="22"/>
          <w:szCs w:val="22"/>
        </w:rPr>
        <w:t>See</w:t>
      </w:r>
      <w:r w:rsidRPr="001F1952">
        <w:rPr>
          <w:sz w:val="22"/>
          <w:szCs w:val="22"/>
        </w:rPr>
        <w:t xml:space="preserve"> Resolution E-5123 for more detail on the recently approved Wheelabrator Shasta Contract. </w:t>
      </w:r>
    </w:p>
  </w:footnote>
  <w:footnote w:id="35">
    <w:p w14:paraId="3B80E070"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w:t>
      </w:r>
      <w:r w:rsidRPr="0011165D">
        <w:rPr>
          <w:i/>
          <w:iCs/>
          <w:sz w:val="22"/>
          <w:szCs w:val="22"/>
        </w:rPr>
        <w:t>See</w:t>
      </w:r>
      <w:r w:rsidRPr="001F1952">
        <w:rPr>
          <w:sz w:val="22"/>
          <w:szCs w:val="22"/>
        </w:rPr>
        <w:t xml:space="preserve"> Ordering Paragraph 4 of Resolution E-4977.</w:t>
      </w:r>
    </w:p>
  </w:footnote>
  <w:footnote w:id="36">
    <w:p w14:paraId="5A2EEFA5"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The non-bypassable charge (NBC) calculation set out by D.18-12-003 Ordering Paragraph 1 is: NBC = (Fixed Costs + Variable Costs) – ((Energy Revenue) + Ancillary Service Revenue) + (Resource Adequacy Sales Revenue) + REC Sales Revenue)). </w:t>
      </w:r>
    </w:p>
  </w:footnote>
  <w:footnote w:id="37">
    <w:p w14:paraId="55AC674E"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PG&amp;E AL 5478-E filed February 19, 2019 and disposed of via a standard disposition letter.</w:t>
      </w:r>
    </w:p>
  </w:footnote>
  <w:footnote w:id="38">
    <w:p w14:paraId="5203F76C"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PG&amp;E AL 5983-E, pp. 5. </w:t>
      </w:r>
    </w:p>
  </w:footnote>
  <w:footnote w:id="39">
    <w:p w14:paraId="7D37CD23"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w:t>
      </w:r>
      <w:r w:rsidRPr="00FD1C04">
        <w:rPr>
          <w:i/>
          <w:iCs/>
          <w:sz w:val="22"/>
          <w:szCs w:val="22"/>
        </w:rPr>
        <w:t>See</w:t>
      </w:r>
      <w:r w:rsidRPr="001F1952">
        <w:rPr>
          <w:sz w:val="22"/>
          <w:szCs w:val="22"/>
        </w:rPr>
        <w:t xml:space="preserve"> Appendix D to AL 5983-E (Independent Evaluator Report), pp. 17. </w:t>
      </w:r>
    </w:p>
  </w:footnote>
  <w:footnote w:id="40">
    <w:p w14:paraId="60C5AEED"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w:t>
      </w:r>
      <w:bookmarkStart w:id="4" w:name="_Hlk64904421"/>
      <w:r w:rsidRPr="00FD1C04">
        <w:rPr>
          <w:i/>
          <w:iCs/>
          <w:sz w:val="22"/>
          <w:szCs w:val="22"/>
        </w:rPr>
        <w:t>See</w:t>
      </w:r>
      <w:r w:rsidRPr="001F1952">
        <w:rPr>
          <w:sz w:val="22"/>
          <w:szCs w:val="22"/>
        </w:rPr>
        <w:t xml:space="preserve"> Appendix D to AL 5983-E (Independent Evaluator Report), pp. 28. </w:t>
      </w:r>
      <w:bookmarkEnd w:id="4"/>
    </w:p>
  </w:footnote>
  <w:footnote w:id="41">
    <w:p w14:paraId="1AD493A4"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w:t>
      </w:r>
      <w:r w:rsidRPr="00FD1C04">
        <w:rPr>
          <w:i/>
          <w:iCs/>
          <w:sz w:val="22"/>
          <w:szCs w:val="22"/>
        </w:rPr>
        <w:t>See</w:t>
      </w:r>
      <w:r w:rsidRPr="001F1952">
        <w:rPr>
          <w:sz w:val="22"/>
          <w:szCs w:val="22"/>
        </w:rPr>
        <w:t xml:space="preserve"> Appendix D to AL 5983-E (Independent Evaluator Report), pp. 27-28. </w:t>
      </w:r>
    </w:p>
  </w:footnote>
  <w:footnote w:id="42">
    <w:p w14:paraId="6830B060" w14:textId="77777777" w:rsidR="001A49FF" w:rsidRPr="001F1952" w:rsidRDefault="001A49FF" w:rsidP="001A49FF">
      <w:pPr>
        <w:pStyle w:val="NoSpacing"/>
        <w:rPr>
          <w:rFonts w:ascii="Palatino Linotype" w:hAnsi="Palatino Linotype"/>
          <w:sz w:val="22"/>
          <w:szCs w:val="22"/>
          <w:lang w:bidi="x-none"/>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PG&amp;E’s PRG includes representatives from the CPUC’s Energy Division and Public Advocates Office, The Utility Reform Network, Coalition of California Utility Employees, Sierra Club, California Department of Water Resources, and Union of Concerned Scientists.</w:t>
      </w:r>
    </w:p>
  </w:footnote>
  <w:footnote w:id="43">
    <w:p w14:paraId="2EEB3CC0" w14:textId="77777777" w:rsidR="001A49FF" w:rsidRPr="001F1952" w:rsidRDefault="001A49FF" w:rsidP="001A49FF">
      <w:pPr>
        <w:pStyle w:val="FootnoteText"/>
        <w:ind w:left="360" w:hanging="360"/>
        <w:rPr>
          <w:sz w:val="22"/>
          <w:szCs w:val="22"/>
        </w:rPr>
      </w:pPr>
      <w:r w:rsidRPr="001F1952">
        <w:rPr>
          <w:rStyle w:val="FootnoteReference"/>
          <w:sz w:val="22"/>
          <w:szCs w:val="22"/>
        </w:rPr>
        <w:footnoteRef/>
      </w:r>
      <w:r w:rsidRPr="001F1952">
        <w:rPr>
          <w:sz w:val="22"/>
          <w:szCs w:val="22"/>
        </w:rPr>
        <w:t xml:space="preserve">  </w:t>
      </w:r>
      <w:r w:rsidRPr="001F1952">
        <w:rPr>
          <w:i/>
          <w:sz w:val="22"/>
          <w:szCs w:val="22"/>
        </w:rPr>
        <w:t xml:space="preserve">See, e.g. </w:t>
      </w:r>
      <w:r w:rsidRPr="001F1952">
        <w:rPr>
          <w:sz w:val="22"/>
          <w:szCs w:val="22"/>
        </w:rPr>
        <w:t>D. 08-04-009 at Appendix A, STC 6, Eligibility.</w:t>
      </w:r>
    </w:p>
  </w:footnote>
  <w:footnote w:id="44">
    <w:p w14:paraId="11865E7B" w14:textId="77777777" w:rsidR="001A49FF" w:rsidRPr="001F1952" w:rsidRDefault="001A49FF" w:rsidP="001A49FF">
      <w:pPr>
        <w:pStyle w:val="FootnoteText"/>
        <w:ind w:left="360" w:hanging="360"/>
        <w:rPr>
          <w:sz w:val="22"/>
          <w:szCs w:val="22"/>
        </w:rPr>
      </w:pPr>
      <w:r w:rsidRPr="001F1952">
        <w:rPr>
          <w:rStyle w:val="FootnoteReference"/>
          <w:sz w:val="22"/>
          <w:szCs w:val="22"/>
        </w:rPr>
        <w:footnoteRef/>
      </w:r>
      <w:r w:rsidRPr="001F1952">
        <w:rPr>
          <w:sz w:val="22"/>
          <w:szCs w:val="22"/>
        </w:rPr>
        <w:t xml:space="preserve">  </w:t>
      </w:r>
      <w:r w:rsidRPr="001F1952">
        <w:rPr>
          <w:i/>
          <w:sz w:val="22"/>
          <w:szCs w:val="22"/>
        </w:rPr>
        <w:t xml:space="preserve">See, e.g. </w:t>
      </w:r>
      <w:r w:rsidRPr="001F1952">
        <w:rPr>
          <w:sz w:val="22"/>
          <w:szCs w:val="22"/>
        </w:rPr>
        <w:t>D. 08-04-009 at Appendix A, STC 1, CPUC Approval.</w:t>
      </w:r>
    </w:p>
  </w:footnote>
  <w:footnote w:id="45">
    <w:p w14:paraId="6AE34828" w14:textId="77777777" w:rsidR="001A49FF" w:rsidRPr="001F1952" w:rsidRDefault="001A49FF" w:rsidP="001A49FF">
      <w:pPr>
        <w:pStyle w:val="FootnoteText"/>
        <w:rPr>
          <w:rFonts w:cs="BookAntiqua"/>
          <w:sz w:val="22"/>
          <w:szCs w:val="22"/>
        </w:rPr>
      </w:pPr>
      <w:r w:rsidRPr="001F1952">
        <w:rPr>
          <w:rStyle w:val="FootnoteReference"/>
          <w:sz w:val="22"/>
          <w:szCs w:val="22"/>
        </w:rPr>
        <w:footnoteRef/>
      </w:r>
      <w:r w:rsidRPr="001F1952">
        <w:rPr>
          <w:sz w:val="22"/>
          <w:szCs w:val="22"/>
        </w:rPr>
        <w:t xml:space="preserve">  “Baseload generation” is electricity generation at a power plant “designed and intended to provide electricity at an annualized plant capacity factor of at least 60%.” Section </w:t>
      </w:r>
      <w:r w:rsidRPr="001F1952">
        <w:rPr>
          <w:rFonts w:cs="BookAntiqua"/>
          <w:sz w:val="22"/>
          <w:szCs w:val="22"/>
        </w:rPr>
        <w:t>8340 (a).</w:t>
      </w:r>
    </w:p>
  </w:footnote>
  <w:footnote w:id="46">
    <w:p w14:paraId="2C541E91" w14:textId="77777777" w:rsidR="001A49FF" w:rsidRPr="001F1952" w:rsidRDefault="001A49FF" w:rsidP="001A49FF">
      <w:pPr>
        <w:autoSpaceDE w:val="0"/>
        <w:autoSpaceDN w:val="0"/>
        <w:adjustRightInd w:val="0"/>
        <w:rPr>
          <w:sz w:val="22"/>
          <w:szCs w:val="22"/>
        </w:rPr>
      </w:pPr>
      <w:r w:rsidRPr="001F1952">
        <w:rPr>
          <w:rStyle w:val="FootnoteReference"/>
          <w:sz w:val="22"/>
          <w:szCs w:val="22"/>
        </w:rPr>
        <w:footnoteRef/>
      </w:r>
      <w:r w:rsidRPr="001F1952">
        <w:rPr>
          <w:rStyle w:val="FootnoteReference"/>
          <w:sz w:val="22"/>
          <w:szCs w:val="22"/>
        </w:rPr>
        <w:t xml:space="preserve"> </w:t>
      </w:r>
      <w:r w:rsidRPr="001F1952">
        <w:rPr>
          <w:sz w:val="22"/>
          <w:szCs w:val="22"/>
        </w:rPr>
        <w:t xml:space="preserve"> D.07-01-039, Conclusion of Law 35d. </w:t>
      </w:r>
    </w:p>
  </w:footnote>
  <w:footnote w:id="47">
    <w:p w14:paraId="32257A37" w14:textId="77777777" w:rsidR="001A49FF" w:rsidRPr="001F1952" w:rsidRDefault="001A49FF" w:rsidP="001A49FF">
      <w:pPr>
        <w:pStyle w:val="FootnoteText"/>
        <w:rPr>
          <w:sz w:val="22"/>
          <w:szCs w:val="22"/>
        </w:rPr>
      </w:pPr>
      <w:r w:rsidRPr="001F1952">
        <w:rPr>
          <w:rStyle w:val="FootnoteReference"/>
          <w:rFonts w:eastAsiaTheme="minorEastAsia"/>
          <w:sz w:val="22"/>
          <w:szCs w:val="22"/>
        </w:rPr>
        <w:footnoteRef/>
      </w:r>
      <w:r w:rsidRPr="001F1952">
        <w:rPr>
          <w:sz w:val="22"/>
          <w:szCs w:val="22"/>
        </w:rPr>
        <w:t xml:space="preserve"> The California Environmental Protection Agency’s Office of Environmental Health Hazard Assessment (OEHHA) created CalEnviroScreen through a public process in order to help the state identify disadvantaged communities, and the tool “uses environmental, health, and socioeconomic information to produce scores for every census tract in the state.” </w:t>
      </w:r>
      <w:hyperlink r:id="rId6" w:history="1">
        <w:r w:rsidRPr="001F1952">
          <w:rPr>
            <w:rStyle w:val="Hyperlink"/>
            <w:rFonts w:eastAsiaTheme="majorEastAsia"/>
            <w:sz w:val="22"/>
            <w:szCs w:val="22"/>
          </w:rPr>
          <w:t>https://oehha.ca.gov/calenviroscreen/</w:t>
        </w:r>
      </w:hyperlink>
    </w:p>
  </w:footnote>
  <w:footnote w:id="48">
    <w:p w14:paraId="62CE6C24" w14:textId="77777777" w:rsidR="001A49FF" w:rsidRDefault="001A49FF" w:rsidP="001A49FF">
      <w:pPr>
        <w:pStyle w:val="FootnoteText"/>
      </w:pPr>
      <w:r>
        <w:rPr>
          <w:rStyle w:val="FootnoteReference"/>
        </w:rPr>
        <w:footnoteRef/>
      </w:r>
      <w:r>
        <w:t xml:space="preserve"> </w:t>
      </w:r>
      <w:r w:rsidRPr="00C201B3">
        <w:rPr>
          <w:sz w:val="22"/>
          <w:szCs w:val="22"/>
        </w:rPr>
        <w:t xml:space="preserve">CalEPA’s OEHHA has released a draft CalEnviroScreen Version 4.0 with updated data for public comment. </w:t>
      </w:r>
      <w:hyperlink r:id="rId7" w:history="1">
        <w:r w:rsidRPr="00C201B3">
          <w:rPr>
            <w:rStyle w:val="Hyperlink"/>
            <w:sz w:val="22"/>
            <w:szCs w:val="22"/>
          </w:rPr>
          <w:t>https://oehha.ca.gov/calenviroscreen/report/draft-calenviroscreen-40</w:t>
        </w:r>
      </w:hyperlink>
      <w:r w:rsidRPr="00C201B3">
        <w:rPr>
          <w:sz w:val="22"/>
          <w:szCs w:val="22"/>
        </w:rPr>
        <w:t xml:space="preserve"> </w:t>
      </w:r>
    </w:p>
  </w:footnote>
  <w:footnote w:id="49">
    <w:p w14:paraId="24178AF4" w14:textId="77777777" w:rsidR="001A49FF" w:rsidRPr="001F1952" w:rsidRDefault="001A49FF" w:rsidP="001A49FF">
      <w:pPr>
        <w:pStyle w:val="FootnoteText"/>
        <w:rPr>
          <w:sz w:val="22"/>
          <w:szCs w:val="22"/>
        </w:rPr>
      </w:pPr>
      <w:r w:rsidRPr="001F1952">
        <w:rPr>
          <w:rStyle w:val="FootnoteReference"/>
          <w:sz w:val="22"/>
          <w:szCs w:val="22"/>
        </w:rPr>
        <w:footnoteRef/>
      </w:r>
      <w:r w:rsidRPr="001F1952">
        <w:rPr>
          <w:sz w:val="22"/>
          <w:szCs w:val="22"/>
        </w:rPr>
        <w:t xml:space="preserve"> </w:t>
      </w:r>
      <w:r w:rsidRPr="00FD1C04">
        <w:rPr>
          <w:i/>
          <w:iCs/>
          <w:sz w:val="22"/>
          <w:szCs w:val="22"/>
        </w:rPr>
        <w:t>See</w:t>
      </w:r>
      <w:r w:rsidRPr="001F1952">
        <w:rPr>
          <w:sz w:val="22"/>
          <w:szCs w:val="22"/>
        </w:rPr>
        <w:t xml:space="preserve"> OSHA Safety Inspection Data here: </w:t>
      </w:r>
      <w:hyperlink r:id="rId8" w:history="1">
        <w:r w:rsidRPr="001F1952">
          <w:rPr>
            <w:rStyle w:val="Hyperlink"/>
            <w:sz w:val="22"/>
            <w:szCs w:val="22"/>
          </w:rPr>
          <w:t>https://www.osha.gov/pls/imis/establishment.html</w:t>
        </w:r>
      </w:hyperlink>
      <w:r w:rsidRPr="001F1952">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D021" w14:textId="77777777" w:rsidR="00F37619" w:rsidRPr="00507FD3" w:rsidRDefault="001A49FF">
    <w:pPr>
      <w:pStyle w:val="Header"/>
      <w:tabs>
        <w:tab w:val="clear" w:pos="4320"/>
        <w:tab w:val="clear" w:pos="8640"/>
        <w:tab w:val="center" w:pos="4680"/>
        <w:tab w:val="right" w:pos="9180"/>
      </w:tabs>
    </w:pPr>
    <w:r w:rsidRPr="00507FD3">
      <w:t>Resolution E-</w:t>
    </w:r>
    <w:r>
      <w:t>5135</w:t>
    </w:r>
    <w:r w:rsidRPr="00507FD3">
      <w:tab/>
      <w:t>DRAFT</w:t>
    </w:r>
    <w:r w:rsidRPr="00507FD3">
      <w:tab/>
    </w:r>
    <w:r>
      <w:t>April 15, 2021</w:t>
    </w:r>
  </w:p>
  <w:p w14:paraId="5AE32F9E" w14:textId="77777777" w:rsidR="00F37619" w:rsidRPr="00507FD3" w:rsidRDefault="001A49FF">
    <w:pPr>
      <w:pStyle w:val="Header"/>
      <w:tabs>
        <w:tab w:val="clear" w:pos="4320"/>
        <w:tab w:val="clear" w:pos="8640"/>
        <w:tab w:val="center" w:pos="4680"/>
        <w:tab w:val="right" w:pos="9180"/>
      </w:tabs>
    </w:pPr>
    <w:r>
      <w:t>P</w:t>
    </w:r>
    <w:r w:rsidRPr="00507FD3">
      <w:t xml:space="preserve">G&amp;E AL </w:t>
    </w:r>
    <w:r>
      <w:t>5983</w:t>
    </w:r>
    <w:r w:rsidRPr="00507FD3">
      <w:t>-E</w:t>
    </w:r>
    <w:r>
      <w:t>/</w:t>
    </w:r>
    <w:r w:rsidRPr="00507FD3">
      <w:t>ASI</w:t>
    </w:r>
  </w:p>
  <w:p w14:paraId="58A6B1FD" w14:textId="77777777" w:rsidR="00F37619" w:rsidRPr="00507FD3" w:rsidRDefault="00284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7578" w14:textId="77777777" w:rsidR="00F37619" w:rsidRPr="00507FD3" w:rsidRDefault="001A49FF" w:rsidP="00876575">
    <w:pPr>
      <w:pStyle w:val="Header"/>
      <w:jc w:val="center"/>
      <w:rPr>
        <w:sz w:val="28"/>
      </w:rPr>
    </w:pPr>
    <w:r w:rsidRPr="00507FD3">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7FF"/>
    <w:multiLevelType w:val="hybridMultilevel"/>
    <w:tmpl w:val="1E08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641"/>
    <w:multiLevelType w:val="hybridMultilevel"/>
    <w:tmpl w:val="47FE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92D33"/>
    <w:multiLevelType w:val="hybridMultilevel"/>
    <w:tmpl w:val="55704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B7819"/>
    <w:multiLevelType w:val="singleLevel"/>
    <w:tmpl w:val="0409000F"/>
    <w:lvl w:ilvl="0">
      <w:start w:val="1"/>
      <w:numFmt w:val="decimal"/>
      <w:lvlText w:val="%1."/>
      <w:lvlJc w:val="left"/>
      <w:pPr>
        <w:ind w:left="720" w:hanging="360"/>
      </w:pPr>
    </w:lvl>
  </w:abstractNum>
  <w:abstractNum w:abstractNumId="4" w15:restartNumberingAfterBreak="0">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9933615"/>
    <w:multiLevelType w:val="hybridMultilevel"/>
    <w:tmpl w:val="EC786834"/>
    <w:lvl w:ilvl="0" w:tplc="71C86C2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7447D"/>
    <w:multiLevelType w:val="hybridMultilevel"/>
    <w:tmpl w:val="46FE1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861578"/>
    <w:multiLevelType w:val="hybridMultilevel"/>
    <w:tmpl w:val="9982A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522042"/>
    <w:multiLevelType w:val="hybridMultilevel"/>
    <w:tmpl w:val="B75A8710"/>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A6A57"/>
    <w:multiLevelType w:val="hybridMultilevel"/>
    <w:tmpl w:val="A452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711"/>
    <w:multiLevelType w:val="hybridMultilevel"/>
    <w:tmpl w:val="B3F41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1E2284"/>
    <w:multiLevelType w:val="hybridMultilevel"/>
    <w:tmpl w:val="D5303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EF3825"/>
    <w:multiLevelType w:val="hybridMultilevel"/>
    <w:tmpl w:val="40AEB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34534"/>
    <w:multiLevelType w:val="hybridMultilevel"/>
    <w:tmpl w:val="4026695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2"/>
  </w:num>
  <w:num w:numId="6">
    <w:abstractNumId w:val="7"/>
  </w:num>
  <w:num w:numId="7">
    <w:abstractNumId w:val="5"/>
  </w:num>
  <w:num w:numId="8">
    <w:abstractNumId w:val="9"/>
  </w:num>
  <w:num w:numId="9">
    <w:abstractNumId w:val="11"/>
  </w:num>
  <w:num w:numId="10">
    <w:abstractNumId w:val="13"/>
  </w:num>
  <w:num w:numId="11">
    <w:abstractNumId w:val="12"/>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FF"/>
    <w:rsid w:val="00080AE9"/>
    <w:rsid w:val="001A49FF"/>
    <w:rsid w:val="00284A93"/>
    <w:rsid w:val="00720D32"/>
    <w:rsid w:val="0091488F"/>
    <w:rsid w:val="00A73A87"/>
    <w:rsid w:val="00AE03A9"/>
    <w:rsid w:val="00E7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A0E7"/>
  <w15:chartTrackingRefBased/>
  <w15:docId w15:val="{5710FCCE-ED3B-4D91-BC98-2FF9BCD5FA7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9FF"/>
    <w:pPr>
      <w:spacing w:after="0" w:line="240" w:lineRule="auto"/>
    </w:pPr>
    <w:rPr>
      <w:rFonts w:ascii="Palatino Linotype" w:eastAsia="Times New Roman" w:hAnsi="Palatino Linotype" w:cs="Times New Roman"/>
      <w:sz w:val="26"/>
      <w:szCs w:val="20"/>
    </w:rPr>
  </w:style>
  <w:style w:type="paragraph" w:styleId="Heading1">
    <w:name w:val="heading 1"/>
    <w:basedOn w:val="Normal"/>
    <w:next w:val="Normal"/>
    <w:link w:val="Heading1Char"/>
    <w:qFormat/>
    <w:rsid w:val="001A49FF"/>
    <w:pPr>
      <w:keepNext/>
      <w:spacing w:before="120" w:after="240"/>
      <w:outlineLvl w:val="0"/>
    </w:pPr>
    <w:rPr>
      <w:rFonts w:ascii="Helvetica" w:hAnsi="Helvetica"/>
      <w:b/>
      <w:caps/>
      <w:kern w:val="28"/>
      <w:u w:val="single"/>
    </w:rPr>
  </w:style>
  <w:style w:type="paragraph" w:styleId="Heading2">
    <w:name w:val="heading 2"/>
    <w:basedOn w:val="Normal"/>
    <w:next w:val="Normal"/>
    <w:link w:val="Heading2Char"/>
    <w:qFormat/>
    <w:rsid w:val="001A49FF"/>
    <w:pPr>
      <w:keepNext/>
      <w:tabs>
        <w:tab w:val="num" w:pos="1215"/>
      </w:tabs>
      <w:spacing w:before="120" w:after="120"/>
      <w:ind w:left="1215" w:hanging="495"/>
      <w:outlineLvl w:val="1"/>
    </w:pPr>
    <w:rPr>
      <w:rFonts w:ascii="Helvetica" w:eastAsia="SimSun"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9FF"/>
    <w:rPr>
      <w:rFonts w:ascii="Helvetica" w:eastAsia="Times New Roman" w:hAnsi="Helvetica" w:cs="Times New Roman"/>
      <w:b/>
      <w:caps/>
      <w:kern w:val="28"/>
      <w:sz w:val="26"/>
      <w:szCs w:val="20"/>
      <w:u w:val="single"/>
    </w:rPr>
  </w:style>
  <w:style w:type="character" w:customStyle="1" w:styleId="Heading2Char">
    <w:name w:val="Heading 2 Char"/>
    <w:basedOn w:val="DefaultParagraphFont"/>
    <w:link w:val="Heading2"/>
    <w:rsid w:val="001A49FF"/>
    <w:rPr>
      <w:rFonts w:ascii="Helvetica" w:eastAsia="SimSun" w:hAnsi="Helvetica" w:cs="Times New Roman"/>
      <w:b/>
      <w:i/>
      <w:sz w:val="26"/>
      <w:szCs w:val="20"/>
    </w:rPr>
  </w:style>
  <w:style w:type="paragraph" w:customStyle="1" w:styleId="mainex">
    <w:name w:val="mainex"/>
    <w:basedOn w:val="Normal"/>
    <w:rsid w:val="001A49FF"/>
    <w:pPr>
      <w:keepNext/>
      <w:jc w:val="center"/>
    </w:pPr>
    <w:rPr>
      <w:rFonts w:ascii="Helvetica" w:hAnsi="Helvetica"/>
      <w:b/>
      <w:spacing w:val="120"/>
    </w:rPr>
  </w:style>
  <w:style w:type="paragraph" w:styleId="Header">
    <w:name w:val="header"/>
    <w:basedOn w:val="Normal"/>
    <w:link w:val="HeaderChar"/>
    <w:rsid w:val="001A49FF"/>
    <w:pPr>
      <w:widowControl w:val="0"/>
      <w:tabs>
        <w:tab w:val="center" w:pos="4320"/>
        <w:tab w:val="right" w:pos="8640"/>
      </w:tabs>
    </w:pPr>
  </w:style>
  <w:style w:type="character" w:customStyle="1" w:styleId="HeaderChar">
    <w:name w:val="Header Char"/>
    <w:basedOn w:val="DefaultParagraphFont"/>
    <w:link w:val="Header"/>
    <w:rsid w:val="001A49FF"/>
    <w:rPr>
      <w:rFonts w:ascii="Palatino Linotype" w:eastAsia="Times New Roman" w:hAnsi="Palatino Linotype" w:cs="Times New Roman"/>
      <w:sz w:val="26"/>
      <w:szCs w:val="20"/>
    </w:rPr>
  </w:style>
  <w:style w:type="paragraph" w:styleId="Footer">
    <w:name w:val="footer"/>
    <w:basedOn w:val="Normal"/>
    <w:link w:val="FooterChar"/>
    <w:rsid w:val="001A49FF"/>
    <w:pPr>
      <w:tabs>
        <w:tab w:val="center" w:pos="4320"/>
        <w:tab w:val="right" w:pos="8640"/>
      </w:tabs>
      <w:jc w:val="center"/>
    </w:pPr>
  </w:style>
  <w:style w:type="character" w:customStyle="1" w:styleId="FooterChar">
    <w:name w:val="Footer Char"/>
    <w:basedOn w:val="DefaultParagraphFont"/>
    <w:link w:val="Footer"/>
    <w:rsid w:val="001A49FF"/>
    <w:rPr>
      <w:rFonts w:ascii="Palatino Linotype" w:eastAsia="Times New Roman" w:hAnsi="Palatino Linotype" w:cs="Times New Roman"/>
      <w:sz w:val="26"/>
      <w:szCs w:val="20"/>
    </w:rPr>
  </w:style>
  <w:style w:type="paragraph" w:customStyle="1" w:styleId="titlebar">
    <w:name w:val="title bar"/>
    <w:basedOn w:val="Normal"/>
    <w:rsid w:val="001A49FF"/>
    <w:pPr>
      <w:keepNext/>
      <w:suppressAutoHyphens/>
      <w:jc w:val="center"/>
    </w:pPr>
    <w:rPr>
      <w:rFonts w:ascii="Helvetica" w:hAnsi="Helvetica"/>
      <w:b/>
    </w:rPr>
  </w:style>
  <w:style w:type="character" w:styleId="PageNumber">
    <w:name w:val="page number"/>
    <w:basedOn w:val="DefaultParagraphFont"/>
    <w:rsid w:val="001A49FF"/>
  </w:style>
  <w:style w:type="character" w:styleId="FootnoteReference">
    <w:name w:val="footnote reference"/>
    <w:aliases w:val="o,fr,Style 3,o1,o2,o3,o4,o5,o6,o11,o21,o7,Footnote Reference1,o + Times New Roman"/>
    <w:uiPriority w:val="99"/>
    <w:qFormat/>
    <w:rsid w:val="001A49FF"/>
    <w:rPr>
      <w:vertAlign w:val="superscript"/>
    </w:rPr>
  </w:style>
  <w:style w:type="paragraph" w:customStyle="1" w:styleId="Res-Caption">
    <w:name w:val="Res-Caption"/>
    <w:basedOn w:val="Normal"/>
    <w:rsid w:val="001A49FF"/>
    <w:pPr>
      <w:ind w:left="720" w:right="720"/>
    </w:pPr>
  </w:style>
  <w:style w:type="character" w:styleId="Hyperlink">
    <w:name w:val="Hyperlink"/>
    <w:basedOn w:val="DefaultParagraphFont"/>
    <w:uiPriority w:val="99"/>
    <w:unhideWhenUsed/>
    <w:rsid w:val="001A49FF"/>
    <w:rPr>
      <w:color w:val="0563C1" w:themeColor="hyperlink"/>
      <w:u w:val="single"/>
    </w:rPr>
  </w:style>
  <w:style w:type="paragraph" w:styleId="ListParagraph">
    <w:name w:val="List Paragraph"/>
    <w:basedOn w:val="Normal"/>
    <w:uiPriority w:val="34"/>
    <w:qFormat/>
    <w:rsid w:val="001A49FF"/>
    <w:pPr>
      <w:ind w:left="720"/>
      <w:contextualSpacing/>
    </w:pPr>
  </w:style>
  <w:style w:type="paragraph" w:styleId="NoSpacing">
    <w:name w:val="No Spacing"/>
    <w:uiPriority w:val="1"/>
    <w:qFormat/>
    <w:rsid w:val="001A49FF"/>
    <w:pPr>
      <w:spacing w:after="0" w:line="240" w:lineRule="auto"/>
    </w:pPr>
    <w:rPr>
      <w:rFonts w:ascii="Palatino" w:eastAsia="Times New Roman" w:hAnsi="Palatino" w:cs="Times New Roman"/>
      <w:sz w:val="26"/>
      <w:szCs w:val="20"/>
    </w:rPr>
  </w:style>
  <w:style w:type="paragraph" w:styleId="BodyText">
    <w:name w:val="Body Text"/>
    <w:basedOn w:val="Normal"/>
    <w:link w:val="BodyTextChar"/>
    <w:rsid w:val="001A49FF"/>
    <w:rPr>
      <w:b/>
    </w:rPr>
  </w:style>
  <w:style w:type="character" w:customStyle="1" w:styleId="BodyTextChar">
    <w:name w:val="Body Text Char"/>
    <w:basedOn w:val="DefaultParagraphFont"/>
    <w:link w:val="BodyText"/>
    <w:rsid w:val="001A49FF"/>
    <w:rPr>
      <w:rFonts w:ascii="Palatino Linotype" w:eastAsia="Times New Roman" w:hAnsi="Palatino Linotype" w:cs="Times New Roman"/>
      <w:b/>
      <w:sz w:val="26"/>
      <w:szCs w:val="20"/>
    </w:rPr>
  </w:style>
  <w:style w:type="table" w:styleId="TableGrid">
    <w:name w:val="Table Grid"/>
    <w:basedOn w:val="TableNormal"/>
    <w:uiPriority w:val="59"/>
    <w:rsid w:val="001A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TBG Style Char Char"/>
    <w:basedOn w:val="Normal"/>
    <w:link w:val="FootnoteTextChar"/>
    <w:uiPriority w:val="99"/>
    <w:unhideWhenUsed/>
    <w:qFormat/>
    <w:rsid w:val="001A49FF"/>
    <w:pPr>
      <w:keepLines/>
    </w:pPr>
    <w:rPr>
      <w:sz w:val="20"/>
    </w:rPr>
  </w:style>
  <w:style w:type="character" w:customStyle="1" w:styleId="FootnoteTextChar">
    <w:name w:val="Footnote Text Char"/>
    <w:aliases w:val="Footnote Text Char1 Char1,Footnote Text Char Char Char1,Footnote Text Char1 Char Char,Footnote Text Char Char Char Char,Char Char Char,Footnote Text Char2 Char Char,Footnote Text Char2 Char Char Char Char Char,TBG Style Char Char Char"/>
    <w:basedOn w:val="DefaultParagraphFont"/>
    <w:link w:val="FootnoteText"/>
    <w:uiPriority w:val="99"/>
    <w:rsid w:val="001A49FF"/>
    <w:rPr>
      <w:rFonts w:ascii="Palatino Linotype" w:eastAsia="Times New Roman" w:hAnsi="Palatino Linotype" w:cs="Times New Roman"/>
      <w:sz w:val="20"/>
      <w:szCs w:val="20"/>
    </w:rPr>
  </w:style>
  <w:style w:type="paragraph" w:styleId="Caption">
    <w:name w:val="caption"/>
    <w:basedOn w:val="Normal"/>
    <w:next w:val="Normal"/>
    <w:qFormat/>
    <w:rsid w:val="001A49FF"/>
    <w:rPr>
      <w:b/>
      <w:bCs/>
      <w:sz w:val="20"/>
    </w:rPr>
  </w:style>
  <w:style w:type="paragraph" w:styleId="BalloonText">
    <w:name w:val="Balloon Text"/>
    <w:basedOn w:val="Normal"/>
    <w:link w:val="BalloonTextChar"/>
    <w:uiPriority w:val="99"/>
    <w:semiHidden/>
    <w:unhideWhenUsed/>
    <w:rsid w:val="001A4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F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A49FF"/>
    <w:rPr>
      <w:color w:val="605E5C"/>
      <w:shd w:val="clear" w:color="auto" w:fill="E1DFDD"/>
    </w:rPr>
  </w:style>
  <w:style w:type="character" w:customStyle="1" w:styleId="esrinumericvalue">
    <w:name w:val="esrinumericvalue"/>
    <w:basedOn w:val="DefaultParagraphFont"/>
    <w:rsid w:val="001A49FF"/>
  </w:style>
  <w:style w:type="character" w:customStyle="1" w:styleId="CommentTextChar">
    <w:name w:val="Comment Text Char"/>
    <w:basedOn w:val="DefaultParagraphFont"/>
    <w:link w:val="CommentText"/>
    <w:uiPriority w:val="99"/>
    <w:rsid w:val="001A49FF"/>
    <w:rPr>
      <w:rFonts w:ascii="Palatino Linotype" w:eastAsia="Times New Roman" w:hAnsi="Palatino Linotype" w:cs="Times New Roman"/>
      <w:sz w:val="20"/>
      <w:szCs w:val="20"/>
    </w:rPr>
  </w:style>
  <w:style w:type="paragraph" w:styleId="CommentText">
    <w:name w:val="annotation text"/>
    <w:basedOn w:val="Normal"/>
    <w:link w:val="CommentTextChar"/>
    <w:uiPriority w:val="99"/>
    <w:unhideWhenUsed/>
    <w:rsid w:val="001A49FF"/>
    <w:rPr>
      <w:sz w:val="20"/>
    </w:rPr>
  </w:style>
  <w:style w:type="character" w:customStyle="1" w:styleId="CommentTextChar1">
    <w:name w:val="Comment Text Char1"/>
    <w:basedOn w:val="DefaultParagraphFont"/>
    <w:uiPriority w:val="99"/>
    <w:semiHidden/>
    <w:rsid w:val="001A49FF"/>
    <w:rPr>
      <w:rFonts w:ascii="Palatino Linotype" w:eastAsia="Times New Roman" w:hAnsi="Palatino Linotype" w:cs="Times New Roman"/>
      <w:sz w:val="20"/>
      <w:szCs w:val="20"/>
    </w:rPr>
  </w:style>
  <w:style w:type="character" w:customStyle="1" w:styleId="CommentSubjectChar">
    <w:name w:val="Comment Subject Char"/>
    <w:basedOn w:val="CommentTextChar"/>
    <w:link w:val="CommentSubject"/>
    <w:uiPriority w:val="99"/>
    <w:semiHidden/>
    <w:rsid w:val="001A49FF"/>
    <w:rPr>
      <w:rFonts w:ascii="Palatino Linotype" w:eastAsia="Times New Roman" w:hAnsi="Palatino Linotype" w:cs="Times New Roman"/>
      <w:b/>
      <w:bCs/>
      <w:sz w:val="20"/>
      <w:szCs w:val="20"/>
    </w:rPr>
  </w:style>
  <w:style w:type="paragraph" w:styleId="CommentSubject">
    <w:name w:val="annotation subject"/>
    <w:basedOn w:val="CommentText"/>
    <w:next w:val="CommentText"/>
    <w:link w:val="CommentSubjectChar"/>
    <w:uiPriority w:val="99"/>
    <w:semiHidden/>
    <w:unhideWhenUsed/>
    <w:rsid w:val="001A49FF"/>
    <w:rPr>
      <w:b/>
      <w:bCs/>
    </w:rPr>
  </w:style>
  <w:style w:type="character" w:customStyle="1" w:styleId="CommentSubjectChar1">
    <w:name w:val="Comment Subject Char1"/>
    <w:basedOn w:val="CommentTextChar1"/>
    <w:uiPriority w:val="99"/>
    <w:semiHidden/>
    <w:rsid w:val="001A49FF"/>
    <w:rPr>
      <w:rFonts w:ascii="Palatino Linotype" w:eastAsia="Times New Roman" w:hAnsi="Palatino Linotype" w:cs="Times New Roman"/>
      <w:b/>
      <w:bCs/>
      <w:sz w:val="20"/>
      <w:szCs w:val="20"/>
    </w:rPr>
  </w:style>
  <w:style w:type="paragraph" w:customStyle="1" w:styleId="Default">
    <w:name w:val="Default"/>
    <w:rsid w:val="001A49FF"/>
    <w:pPr>
      <w:autoSpaceDE w:val="0"/>
      <w:autoSpaceDN w:val="0"/>
      <w:adjustRightInd w:val="0"/>
      <w:spacing w:after="0" w:line="240" w:lineRule="auto"/>
    </w:pPr>
    <w:rPr>
      <w:rFonts w:ascii="Palatino Linotype" w:hAnsi="Palatino Linotype" w:cs="Palatino Linotype"/>
      <w:color w:val="000000"/>
      <w:sz w:val="24"/>
      <w:szCs w:val="24"/>
    </w:rPr>
  </w:style>
  <w:style w:type="character" w:styleId="FollowedHyperlink">
    <w:name w:val="FollowedHyperlink"/>
    <w:basedOn w:val="DefaultParagraphFont"/>
    <w:uiPriority w:val="99"/>
    <w:semiHidden/>
    <w:unhideWhenUsed/>
    <w:rsid w:val="001A49FF"/>
    <w:rPr>
      <w:color w:val="954F72" w:themeColor="followedHyperlink"/>
      <w:u w:val="single"/>
    </w:rPr>
  </w:style>
  <w:style w:type="table" w:styleId="ListTable2-Accent6">
    <w:name w:val="List Table 2 Accent 6"/>
    <w:basedOn w:val="TableNormal"/>
    <w:uiPriority w:val="47"/>
    <w:rsid w:val="001A49F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1">
    <w:name w:val="Plain Table 1"/>
    <w:basedOn w:val="TableNormal"/>
    <w:uiPriority w:val="41"/>
    <w:rsid w:val="001A49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1A49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A49FF"/>
    <w:rPr>
      <w:sz w:val="16"/>
      <w:szCs w:val="16"/>
    </w:rPr>
  </w:style>
  <w:style w:type="paragraph" w:styleId="Revision">
    <w:name w:val="Revision"/>
    <w:hidden/>
    <w:uiPriority w:val="99"/>
    <w:semiHidden/>
    <w:rsid w:val="001A49FF"/>
    <w:pPr>
      <w:spacing w:after="0" w:line="240" w:lineRule="auto"/>
    </w:pPr>
    <w:rPr>
      <w:rFonts w:ascii="Palatino Linotype" w:eastAsia="Times New Roman" w:hAnsi="Palatino Linotyp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c.ca.gov/RPS_Decisions_Proceed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uc.ca.gov/RP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sha.gov/pls/imis/establishment.html" TargetMode="External"/><Relationship Id="rId3" Type="http://schemas.openxmlformats.org/officeDocument/2006/relationships/hyperlink" Target="https://docs.cpuc.ca.gov/PublishedDocs/Published/G000/M168/K823/168823153.PDF" TargetMode="External"/><Relationship Id="rId7" Type="http://schemas.openxmlformats.org/officeDocument/2006/relationships/hyperlink" Target="https://oehha.ca.gov/calenviroscreen/report/draft-calenviroscreen-40" TargetMode="External"/><Relationship Id="rId2" Type="http://schemas.openxmlformats.org/officeDocument/2006/relationships/hyperlink" Target="https://docs.cpuc.ca.gov/PublishedDocs/Published/G000/M159/K652/159652363.PDF" TargetMode="External"/><Relationship Id="rId1" Type="http://schemas.openxmlformats.org/officeDocument/2006/relationships/hyperlink" Target="https://docs.cpuc.ca.gov/PublishedDocs/Published/G000/M264/K677/264677864.PDF" TargetMode="External"/><Relationship Id="rId6" Type="http://schemas.openxmlformats.org/officeDocument/2006/relationships/hyperlink" Target="https://oehha.ca.gov/calenviroscreen/" TargetMode="External"/><Relationship Id="rId5" Type="http://schemas.openxmlformats.org/officeDocument/2006/relationships/hyperlink" Target="https://docs.cpuc.ca.gov/PublishedDocs/Published/G000/M264/K677/264677864.PDF" TargetMode="External"/><Relationship Id="rId4" Type="http://schemas.openxmlformats.org/officeDocument/2006/relationships/hyperlink" Target="https://docs.cpuc.ca.gov/PublishedDocs/Published/G000/M264/K677/2646778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5567</ap:Words>
  <ap:Characters>31733</ap:Characters>
  <ap:Application>Microsoft Office Word</ap:Application>
  <ap:DocSecurity>0</ap:DocSecurity>
  <ap:Lines>264</ap:Lines>
  <ap:Paragraphs>74</ap:Paragraphs>
  <ap:ScaleCrop>false</ap:ScaleCrop>
  <ap:Company/>
  <ap:LinksUpToDate>false</ap:LinksUpToDate>
  <ap:CharactersWithSpaces>37226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2021-03-02T10:45:18Z</dcterms:created>
  <dcterms:modified xsi:type="dcterms:W3CDTF">2021-03-02T10:45:18Z</dcterms:modified>
</cp:coreProperties>
</file>