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33E0" w:rsidP="00903F24" w:rsidRDefault="005554F3" w14:paraId="0179FC2C" w14:textId="5236BA77">
      <w:pPr>
        <w:tabs>
          <w:tab w:val="center" w:pos="4320"/>
          <w:tab w:val="right" w:pos="9360"/>
        </w:tabs>
        <w:rPr>
          <w:b/>
          <w:bCs/>
        </w:rPr>
      </w:pPr>
      <w:bookmarkStart w:name="_Hlk61633963" w:id="0"/>
      <w:r>
        <w:t>COM/GSH/jnf</w:t>
      </w:r>
      <w:r w:rsidR="00C0080E">
        <w:tab/>
      </w:r>
      <w:r w:rsidR="00903F24">
        <w:tab/>
      </w:r>
      <w:r w:rsidR="00903F24">
        <w:rPr>
          <w:b/>
          <w:bCs/>
        </w:rPr>
        <w:t>Date of Issuance 3/8/2021</w:t>
      </w:r>
    </w:p>
    <w:p w:rsidR="005554F3" w:rsidP="005554F3" w:rsidRDefault="005554F3" w14:paraId="1252C14B" w14:textId="77777777">
      <w:pPr>
        <w:spacing w:line="360" w:lineRule="auto"/>
        <w:jc w:val="right"/>
      </w:pPr>
    </w:p>
    <w:p w:rsidR="00903F24" w:rsidP="005554F3" w:rsidRDefault="00903F24" w14:paraId="542B7029" w14:textId="77777777">
      <w:pPr>
        <w:ind w:left="1080" w:hanging="1080"/>
      </w:pPr>
    </w:p>
    <w:p w:rsidR="00C0080E" w:rsidP="005554F3" w:rsidRDefault="00C0080E" w14:paraId="619A21FF" w14:textId="4DBDC2DD">
      <w:pPr>
        <w:ind w:left="1080" w:hanging="1080"/>
      </w:pPr>
      <w:r>
        <w:t xml:space="preserve">Decision </w:t>
      </w:r>
      <w:r w:rsidR="00903F24">
        <w:t>21-03-</w:t>
      </w:r>
      <w:proofErr w:type="gramStart"/>
      <w:r w:rsidR="00903F24">
        <w:t>005  March</w:t>
      </w:r>
      <w:proofErr w:type="gramEnd"/>
      <w:r w:rsidR="00903F24">
        <w:t xml:space="preserve"> 4, 2021</w:t>
      </w:r>
    </w:p>
    <w:p w:rsidR="006312FE" w:rsidP="00E25554" w:rsidRDefault="006312FE" w14:paraId="30223705" w14:textId="77777777"/>
    <w:p w:rsidRPr="00BC79F1" w:rsidR="00E25554" w:rsidP="00BC79F1" w:rsidRDefault="00E25554" w14:paraId="1F58315F" w14:textId="77777777">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rsidR="00E25554" w:rsidP="00E25554" w:rsidRDefault="00E25554" w14:paraId="156ABF63" w14:textId="77777777">
      <w:pPr>
        <w:suppressAutoHyphens/>
        <w:jc w:val="center"/>
        <w:rPr>
          <w:rFonts w:ascii="Arial" w:hAnsi="Arial" w:cs="Arial"/>
        </w:rPr>
      </w:pPr>
    </w:p>
    <w:tbl>
      <w:tblPr>
        <w:tblW w:w="9245"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662"/>
        <w:gridCol w:w="4583"/>
      </w:tblGrid>
      <w:tr w:rsidRPr="00C4517C" w:rsidR="005554F3" w:rsidTr="009679C2" w14:paraId="333E39FA" w14:textId="77777777">
        <w:trPr>
          <w:trHeight w:val="728"/>
        </w:trPr>
        <w:tc>
          <w:tcPr>
            <w:tcW w:w="4662" w:type="dxa"/>
            <w:tcBorders>
              <w:top w:val="nil"/>
              <w:left w:val="nil"/>
              <w:bottom w:val="single" w:color="000000" w:sz="6" w:space="0"/>
              <w:right w:val="single" w:color="000000" w:sz="6" w:space="0"/>
            </w:tcBorders>
            <w:shd w:val="clear" w:color="auto" w:fill="auto"/>
            <w:tcMar>
              <w:top w:w="80" w:type="dxa"/>
              <w:left w:w="80" w:type="dxa"/>
              <w:bottom w:w="80" w:type="dxa"/>
              <w:right w:w="80" w:type="dxa"/>
            </w:tcMar>
          </w:tcPr>
          <w:p w:rsidRPr="00C4517C" w:rsidR="005554F3" w:rsidP="009679C2" w:rsidRDefault="005554F3" w14:paraId="6ED20793" w14:textId="77777777">
            <w:pPr>
              <w:pStyle w:val="Body"/>
              <w:tabs>
                <w:tab w:val="left" w:pos="1440"/>
                <w:tab w:val="left" w:pos="3600"/>
              </w:tabs>
              <w:rPr>
                <w:rStyle w:val="displayonly"/>
                <w:rFonts w:ascii="Book Antiqua" w:hAnsi="Book Antiqua"/>
              </w:rPr>
            </w:pPr>
            <w:r w:rsidRPr="00C4517C">
              <w:rPr>
                <w:rStyle w:val="displayonly"/>
                <w:rFonts w:ascii="Book Antiqua" w:hAnsi="Book Antiqua"/>
              </w:rPr>
              <w:t>Order Instituting Rulemaking to Implement Senate Bill 1376 Requiring Transportation Network Companies to Provide Access for Persons with Disabilities, Including Wheelchair Users who need a Wheelchair Accessible Vehicle.</w:t>
            </w:r>
          </w:p>
          <w:p w:rsidRPr="00C4517C" w:rsidR="005554F3" w:rsidP="009679C2" w:rsidRDefault="005554F3" w14:paraId="0A797F20" w14:textId="77777777">
            <w:pPr>
              <w:pStyle w:val="Body"/>
              <w:tabs>
                <w:tab w:val="left" w:pos="1440"/>
                <w:tab w:val="left" w:pos="3600"/>
              </w:tabs>
              <w:rPr>
                <w:rFonts w:ascii="Book Antiqua" w:hAnsi="Book Antiqua"/>
                <w:sz w:val="12"/>
                <w:szCs w:val="12"/>
              </w:rPr>
            </w:pPr>
          </w:p>
        </w:tc>
        <w:tc>
          <w:tcPr>
            <w:tcW w:w="4583" w:type="dxa"/>
            <w:tcBorders>
              <w:top w:val="nil"/>
              <w:left w:val="single" w:color="000000" w:sz="6" w:space="0"/>
              <w:bottom w:val="nil"/>
              <w:right w:val="nil"/>
            </w:tcBorders>
            <w:shd w:val="clear" w:color="auto" w:fill="auto"/>
            <w:tcMar>
              <w:top w:w="80" w:type="dxa"/>
              <w:left w:w="80" w:type="dxa"/>
              <w:bottom w:w="80" w:type="dxa"/>
              <w:right w:w="80" w:type="dxa"/>
            </w:tcMar>
          </w:tcPr>
          <w:p w:rsidRPr="00C4517C" w:rsidR="005554F3" w:rsidP="009679C2" w:rsidRDefault="005554F3" w14:paraId="720EB7AD" w14:textId="77777777">
            <w:pPr>
              <w:pStyle w:val="Body"/>
              <w:jc w:val="center"/>
              <w:rPr>
                <w:rFonts w:ascii="Book Antiqua" w:hAnsi="Book Antiqua"/>
              </w:rPr>
            </w:pPr>
          </w:p>
          <w:p w:rsidRPr="00C4517C" w:rsidR="005554F3" w:rsidP="009679C2" w:rsidRDefault="005554F3" w14:paraId="39A96BDF" w14:textId="77777777">
            <w:pPr>
              <w:pStyle w:val="Body"/>
              <w:jc w:val="center"/>
              <w:rPr>
                <w:rFonts w:ascii="Book Antiqua" w:hAnsi="Book Antiqua"/>
              </w:rPr>
            </w:pPr>
          </w:p>
          <w:p w:rsidRPr="00C4517C" w:rsidR="005554F3" w:rsidP="009679C2" w:rsidRDefault="005554F3" w14:paraId="339C25F3" w14:textId="77777777">
            <w:pPr>
              <w:pStyle w:val="Body"/>
              <w:jc w:val="center"/>
              <w:rPr>
                <w:rFonts w:ascii="Book Antiqua" w:hAnsi="Book Antiqua"/>
              </w:rPr>
            </w:pPr>
          </w:p>
          <w:p w:rsidRPr="00C4517C" w:rsidR="005554F3" w:rsidP="009679C2" w:rsidRDefault="005554F3" w14:paraId="0868B040" w14:textId="77777777">
            <w:pPr>
              <w:pStyle w:val="Body"/>
              <w:jc w:val="center"/>
              <w:rPr>
                <w:rFonts w:ascii="Book Antiqua" w:hAnsi="Book Antiqua"/>
              </w:rPr>
            </w:pPr>
            <w:r w:rsidRPr="00C4517C">
              <w:rPr>
                <w:rFonts w:ascii="Book Antiqua" w:hAnsi="Book Antiqua"/>
              </w:rPr>
              <w:t>Rulemaking 19-02-012</w:t>
            </w:r>
          </w:p>
        </w:tc>
      </w:tr>
    </w:tbl>
    <w:p w:rsidR="006312FE" w:rsidP="006312FE" w:rsidRDefault="006312FE" w14:paraId="58631D28" w14:textId="77777777">
      <w:pPr>
        <w:rPr>
          <w:rFonts w:ascii="Arial" w:hAnsi="Arial" w:cs="Arial"/>
          <w:sz w:val="24"/>
          <w:szCs w:val="24"/>
        </w:rPr>
      </w:pPr>
    </w:p>
    <w:p w:rsidR="006312FE" w:rsidP="006312FE" w:rsidRDefault="006312FE" w14:paraId="6D626BB5" w14:textId="77777777">
      <w:pPr>
        <w:rPr>
          <w:rFonts w:ascii="Arial" w:hAnsi="Arial" w:cs="Arial"/>
          <w:sz w:val="24"/>
          <w:szCs w:val="24"/>
        </w:rPr>
      </w:pPr>
    </w:p>
    <w:p w:rsidR="00E368A2" w:rsidP="00FD2F13" w:rsidRDefault="0027207F" w14:paraId="1801AEF7" w14:textId="051F099D">
      <w:pPr>
        <w:pStyle w:val="Dummy"/>
        <w:jc w:val="center"/>
        <w:rPr>
          <w:rFonts w:ascii="Helvetica" w:hAnsi="Helvetica" w:cs="Helvetica"/>
        </w:rPr>
      </w:pPr>
      <w:bookmarkStart w:name="_Toc65585448" w:id="1"/>
      <w:r w:rsidRPr="00FD2F13">
        <w:t>DECISION</w:t>
      </w:r>
      <w:r w:rsidRPr="003C6093">
        <w:rPr>
          <w:rFonts w:ascii="Helvetica" w:hAnsi="Helvetica" w:cs="Helvetica"/>
        </w:rPr>
        <w:t xml:space="preserve"> ON TRACK </w:t>
      </w:r>
      <w:r w:rsidR="00690854">
        <w:rPr>
          <w:rFonts w:ascii="Helvetica" w:hAnsi="Helvetica" w:cs="Helvetica"/>
        </w:rPr>
        <w:t>3</w:t>
      </w:r>
      <w:r w:rsidRPr="003C6093">
        <w:rPr>
          <w:rFonts w:ascii="Helvetica" w:hAnsi="Helvetica" w:cs="Helvetica"/>
        </w:rPr>
        <w:t xml:space="preserve"> ISSUES</w:t>
      </w:r>
      <w:bookmarkEnd w:id="1"/>
    </w:p>
    <w:p w:rsidR="00D53C48" w:rsidP="00D53C48" w:rsidRDefault="00D53C48" w14:paraId="12C07ED7" w14:textId="7DCEB76C">
      <w:pPr>
        <w:pStyle w:val="ALJBodyText"/>
      </w:pPr>
    </w:p>
    <w:p w:rsidR="00D53C48" w:rsidP="00D53C48" w:rsidRDefault="00D53C48" w14:paraId="019C20E0" w14:textId="77777777">
      <w:pPr>
        <w:pStyle w:val="ALJBodyText"/>
        <w:sectPr w:rsidR="00D53C48" w:rsidSect="00562D75">
          <w:footerReference w:type="default" r:id="rId8"/>
          <w:pgSz w:w="12240" w:h="15840"/>
          <w:pgMar w:top="1728" w:right="1440" w:bottom="1440" w:left="1440" w:header="720" w:footer="720" w:gutter="0"/>
          <w:pgNumType w:start="2"/>
          <w:cols w:space="720"/>
          <w:docGrid w:linePitch="360"/>
        </w:sectPr>
      </w:pPr>
    </w:p>
    <w:p w:rsidRPr="00D53C48" w:rsidR="00D53C48" w:rsidP="00D53C48" w:rsidRDefault="00D53C48" w14:paraId="2012AC54" w14:textId="77777777">
      <w:pPr>
        <w:jc w:val="center"/>
        <w:rPr>
          <w:rFonts w:eastAsiaTheme="majorEastAsia" w:cstheme="majorBidi"/>
          <w:b/>
          <w:caps/>
          <w:szCs w:val="56"/>
        </w:rPr>
      </w:pPr>
      <w:bookmarkStart w:name="_Toc8123714" w:id="2"/>
      <w:r w:rsidRPr="00D53C48">
        <w:rPr>
          <w:rFonts w:eastAsiaTheme="majorEastAsia" w:cstheme="majorBidi"/>
          <w:b/>
          <w:caps/>
          <w:szCs w:val="56"/>
        </w:rPr>
        <w:lastRenderedPageBreak/>
        <w:t>TABLE OF CONTENTS</w:t>
      </w:r>
    </w:p>
    <w:p w:rsidRPr="00D53C48" w:rsidR="00D53C48" w:rsidP="00D53C48" w:rsidRDefault="00D53C48" w14:paraId="0769CC70" w14:textId="77777777">
      <w:pPr>
        <w:tabs>
          <w:tab w:val="right" w:pos="9360"/>
        </w:tabs>
        <w:spacing w:line="360" w:lineRule="auto"/>
        <w:rPr>
          <w:rFonts w:cstheme="minorBidi"/>
          <w:szCs w:val="22"/>
        </w:rPr>
      </w:pPr>
      <w:r w:rsidRPr="00D53C48">
        <w:rPr>
          <w:rFonts w:cstheme="minorBidi"/>
          <w:b/>
          <w:szCs w:val="22"/>
        </w:rPr>
        <w:t>Title</w:t>
      </w:r>
      <w:r w:rsidRPr="00D53C48">
        <w:rPr>
          <w:rFonts w:cstheme="minorBidi"/>
          <w:szCs w:val="22"/>
        </w:rPr>
        <w:tab/>
      </w:r>
      <w:r w:rsidRPr="00D53C48">
        <w:rPr>
          <w:rFonts w:cstheme="minorBidi"/>
          <w:b/>
          <w:szCs w:val="22"/>
        </w:rPr>
        <w:t>Page</w:t>
      </w:r>
    </w:p>
    <w:sdt>
      <w:sdtPr>
        <w:rPr>
          <w:rFonts w:cs="Times New Roman" w:eastAsiaTheme="minorEastAsia"/>
          <w:noProof w:val="0"/>
          <w:szCs w:val="22"/>
        </w:rPr>
        <w:id w:val="-1224440197"/>
        <w:docPartObj>
          <w:docPartGallery w:val="Table of Contents"/>
          <w:docPartUnique/>
        </w:docPartObj>
      </w:sdtPr>
      <w:sdtEndPr>
        <w:rPr>
          <w:szCs w:val="26"/>
        </w:rPr>
      </w:sdtEndPr>
      <w:sdtContent>
        <w:p w:rsidRPr="002E6ACA" w:rsidR="002E6ACA" w:rsidRDefault="00D53C48" w14:paraId="1410988F" w14:textId="6147763E">
          <w:pPr>
            <w:pStyle w:val="TOC1"/>
            <w:rPr>
              <w:rFonts w:eastAsiaTheme="minorEastAsia" w:cstheme="minorBidi"/>
            </w:rPr>
          </w:pPr>
          <w:r w:rsidRPr="00D53C48">
            <w:rPr>
              <w:rFonts w:eastAsiaTheme="minorEastAsia"/>
            </w:rPr>
            <w:fldChar w:fldCharType="begin"/>
          </w:r>
          <w:r w:rsidRPr="00D53C48">
            <w:rPr>
              <w:rFonts w:eastAsiaTheme="minorEastAsia"/>
            </w:rPr>
            <w:instrText xml:space="preserve"> TOC \o "1-6" \h \z \u </w:instrText>
          </w:r>
          <w:r w:rsidRPr="00D53C48">
            <w:rPr>
              <w:rFonts w:eastAsiaTheme="minorEastAsia"/>
            </w:rPr>
            <w:fldChar w:fldCharType="separate"/>
          </w:r>
          <w:hyperlink w:history="1" w:anchor="_Toc65585448">
            <w:r w:rsidRPr="002E6ACA" w:rsidR="002E6ACA">
              <w:rPr>
                <w:rStyle w:val="Hyperlink"/>
              </w:rPr>
              <w:t>DECISION ON TRACK 3 ISSUES</w:t>
            </w:r>
            <w:r w:rsidRPr="002E6ACA" w:rsidR="002E6ACA">
              <w:rPr>
                <w:webHidden/>
              </w:rPr>
              <w:tab/>
            </w:r>
            <w:r w:rsidRPr="002E6ACA" w:rsidR="002E6ACA">
              <w:rPr>
                <w:webHidden/>
              </w:rPr>
              <w:fldChar w:fldCharType="begin"/>
            </w:r>
            <w:r w:rsidRPr="002E6ACA" w:rsidR="002E6ACA">
              <w:rPr>
                <w:webHidden/>
              </w:rPr>
              <w:instrText xml:space="preserve"> PAGEREF _Toc65585448 \h </w:instrText>
            </w:r>
            <w:r w:rsidRPr="002E6ACA" w:rsidR="002E6ACA">
              <w:rPr>
                <w:webHidden/>
              </w:rPr>
            </w:r>
            <w:r w:rsidRPr="002E6ACA" w:rsidR="002E6ACA">
              <w:rPr>
                <w:webHidden/>
              </w:rPr>
              <w:fldChar w:fldCharType="separate"/>
            </w:r>
            <w:r w:rsidR="006B7668">
              <w:rPr>
                <w:webHidden/>
              </w:rPr>
              <w:t>2</w:t>
            </w:r>
            <w:r w:rsidRPr="002E6ACA" w:rsidR="002E6ACA">
              <w:rPr>
                <w:webHidden/>
              </w:rPr>
              <w:fldChar w:fldCharType="end"/>
            </w:r>
          </w:hyperlink>
        </w:p>
        <w:p w:rsidRPr="002E6ACA" w:rsidR="002E6ACA" w:rsidRDefault="001C6354" w14:paraId="718E71EC" w14:textId="1F37D879">
          <w:pPr>
            <w:pStyle w:val="TOC1"/>
            <w:rPr>
              <w:rFonts w:eastAsiaTheme="minorEastAsia" w:cstheme="minorBidi"/>
            </w:rPr>
          </w:pPr>
          <w:hyperlink w:history="1" w:anchor="_Toc65585450">
            <w:r w:rsidRPr="002E6ACA" w:rsidR="002E6ACA">
              <w:rPr>
                <w:rStyle w:val="Hyperlink"/>
              </w:rPr>
              <w:t>Summary</w:t>
            </w:r>
            <w:r w:rsidRPr="002E6ACA" w:rsidR="002E6ACA">
              <w:rPr>
                <w:webHidden/>
              </w:rPr>
              <w:tab/>
            </w:r>
            <w:r w:rsidRPr="002E6ACA" w:rsidR="002E6ACA">
              <w:rPr>
                <w:webHidden/>
              </w:rPr>
              <w:fldChar w:fldCharType="begin"/>
            </w:r>
            <w:r w:rsidRPr="002E6ACA" w:rsidR="002E6ACA">
              <w:rPr>
                <w:webHidden/>
              </w:rPr>
              <w:instrText xml:space="preserve"> PAGEREF _Toc65585450 \h </w:instrText>
            </w:r>
            <w:r w:rsidRPr="002E6ACA" w:rsidR="002E6ACA">
              <w:rPr>
                <w:webHidden/>
              </w:rPr>
            </w:r>
            <w:r w:rsidRPr="002E6ACA" w:rsidR="002E6ACA">
              <w:rPr>
                <w:webHidden/>
              </w:rPr>
              <w:fldChar w:fldCharType="separate"/>
            </w:r>
            <w:r w:rsidR="006B7668">
              <w:rPr>
                <w:webHidden/>
              </w:rPr>
              <w:t>2</w:t>
            </w:r>
            <w:r w:rsidRPr="002E6ACA" w:rsidR="002E6ACA">
              <w:rPr>
                <w:webHidden/>
              </w:rPr>
              <w:fldChar w:fldCharType="end"/>
            </w:r>
          </w:hyperlink>
        </w:p>
        <w:p w:rsidRPr="002E6ACA" w:rsidR="002E6ACA" w:rsidRDefault="001C6354" w14:paraId="00B553B7" w14:textId="71308B1C">
          <w:pPr>
            <w:pStyle w:val="TOC1"/>
            <w:rPr>
              <w:rFonts w:eastAsiaTheme="minorEastAsia" w:cstheme="minorBidi"/>
            </w:rPr>
          </w:pPr>
          <w:hyperlink w:history="1" w:anchor="_Toc65585451">
            <w:r w:rsidRPr="002E6ACA" w:rsidR="002E6ACA">
              <w:rPr>
                <w:rStyle w:val="Hyperlink"/>
              </w:rPr>
              <w:t>1.</w:t>
            </w:r>
            <w:r w:rsidRPr="002E6ACA" w:rsidR="002E6ACA">
              <w:rPr>
                <w:rFonts w:eastAsiaTheme="minorEastAsia" w:cstheme="minorBidi"/>
              </w:rPr>
              <w:tab/>
            </w:r>
            <w:r w:rsidRPr="002E6ACA" w:rsidR="002E6ACA">
              <w:rPr>
                <w:rStyle w:val="Hyperlink"/>
              </w:rPr>
              <w:t>Background</w:t>
            </w:r>
            <w:r w:rsidRPr="002E6ACA" w:rsidR="002E6ACA">
              <w:rPr>
                <w:webHidden/>
              </w:rPr>
              <w:tab/>
            </w:r>
            <w:r w:rsidRPr="002E6ACA" w:rsidR="002E6ACA">
              <w:rPr>
                <w:webHidden/>
              </w:rPr>
              <w:fldChar w:fldCharType="begin"/>
            </w:r>
            <w:r w:rsidRPr="002E6ACA" w:rsidR="002E6ACA">
              <w:rPr>
                <w:webHidden/>
              </w:rPr>
              <w:instrText xml:space="preserve"> PAGEREF _Toc65585451 \h </w:instrText>
            </w:r>
            <w:r w:rsidRPr="002E6ACA" w:rsidR="002E6ACA">
              <w:rPr>
                <w:webHidden/>
              </w:rPr>
            </w:r>
            <w:r w:rsidRPr="002E6ACA" w:rsidR="002E6ACA">
              <w:rPr>
                <w:webHidden/>
              </w:rPr>
              <w:fldChar w:fldCharType="separate"/>
            </w:r>
            <w:r w:rsidR="006B7668">
              <w:rPr>
                <w:webHidden/>
              </w:rPr>
              <w:t>2</w:t>
            </w:r>
            <w:r w:rsidRPr="002E6ACA" w:rsidR="002E6ACA">
              <w:rPr>
                <w:webHidden/>
              </w:rPr>
              <w:fldChar w:fldCharType="end"/>
            </w:r>
          </w:hyperlink>
        </w:p>
        <w:p w:rsidRPr="002E6ACA" w:rsidR="002E6ACA" w:rsidRDefault="001C6354" w14:paraId="47593306" w14:textId="679C8BF7">
          <w:pPr>
            <w:pStyle w:val="TOC1"/>
            <w:rPr>
              <w:rFonts w:eastAsiaTheme="minorEastAsia" w:cstheme="minorBidi"/>
            </w:rPr>
          </w:pPr>
          <w:hyperlink w:history="1" w:anchor="_Toc65585452">
            <w:r w:rsidRPr="002E6ACA" w:rsidR="002E6ACA">
              <w:rPr>
                <w:rStyle w:val="Hyperlink"/>
              </w:rPr>
              <w:t>2.</w:t>
            </w:r>
            <w:r w:rsidRPr="002E6ACA" w:rsidR="002E6ACA">
              <w:rPr>
                <w:rFonts w:eastAsiaTheme="minorEastAsia" w:cstheme="minorBidi"/>
              </w:rPr>
              <w:tab/>
            </w:r>
            <w:r w:rsidRPr="002E6ACA" w:rsidR="002E6ACA">
              <w:rPr>
                <w:rStyle w:val="Hyperlink"/>
              </w:rPr>
              <w:t>Issues Before the Commission</w:t>
            </w:r>
            <w:r w:rsidRPr="002E6ACA" w:rsidR="002E6ACA">
              <w:rPr>
                <w:webHidden/>
              </w:rPr>
              <w:tab/>
            </w:r>
            <w:r w:rsidRPr="002E6ACA" w:rsidR="002E6ACA">
              <w:rPr>
                <w:webHidden/>
              </w:rPr>
              <w:fldChar w:fldCharType="begin"/>
            </w:r>
            <w:r w:rsidRPr="002E6ACA" w:rsidR="002E6ACA">
              <w:rPr>
                <w:webHidden/>
              </w:rPr>
              <w:instrText xml:space="preserve"> PAGEREF _Toc65585452 \h </w:instrText>
            </w:r>
            <w:r w:rsidRPr="002E6ACA" w:rsidR="002E6ACA">
              <w:rPr>
                <w:webHidden/>
              </w:rPr>
            </w:r>
            <w:r w:rsidRPr="002E6ACA" w:rsidR="002E6ACA">
              <w:rPr>
                <w:webHidden/>
              </w:rPr>
              <w:fldChar w:fldCharType="separate"/>
            </w:r>
            <w:r w:rsidR="006B7668">
              <w:rPr>
                <w:webHidden/>
              </w:rPr>
              <w:t>4</w:t>
            </w:r>
            <w:r w:rsidRPr="002E6ACA" w:rsidR="002E6ACA">
              <w:rPr>
                <w:webHidden/>
              </w:rPr>
              <w:fldChar w:fldCharType="end"/>
            </w:r>
          </w:hyperlink>
        </w:p>
        <w:p w:rsidRPr="002E6ACA" w:rsidR="002E6ACA" w:rsidRDefault="001C6354" w14:paraId="44075914" w14:textId="08FCEC05">
          <w:pPr>
            <w:pStyle w:val="TOC1"/>
            <w:rPr>
              <w:rFonts w:eastAsiaTheme="minorEastAsia" w:cstheme="minorBidi"/>
            </w:rPr>
          </w:pPr>
          <w:hyperlink w:history="1" w:anchor="_Toc65585453">
            <w:r w:rsidRPr="002E6ACA" w:rsidR="002E6ACA">
              <w:rPr>
                <w:rStyle w:val="Hyperlink"/>
              </w:rPr>
              <w:t>3.</w:t>
            </w:r>
            <w:r w:rsidRPr="002E6ACA" w:rsidR="002E6ACA">
              <w:rPr>
                <w:rFonts w:eastAsiaTheme="minorEastAsia" w:cstheme="minorBidi"/>
              </w:rPr>
              <w:tab/>
            </w:r>
            <w:r w:rsidRPr="002E6ACA" w:rsidR="002E6ACA">
              <w:rPr>
                <w:rStyle w:val="Hyperlink"/>
              </w:rPr>
              <w:t>TNC Offset Requirements</w:t>
            </w:r>
            <w:r w:rsidRPr="002E6ACA" w:rsidR="002E6ACA">
              <w:rPr>
                <w:webHidden/>
              </w:rPr>
              <w:tab/>
            </w:r>
            <w:r w:rsidRPr="002E6ACA" w:rsidR="002E6ACA">
              <w:rPr>
                <w:webHidden/>
              </w:rPr>
              <w:fldChar w:fldCharType="begin"/>
            </w:r>
            <w:r w:rsidRPr="002E6ACA" w:rsidR="002E6ACA">
              <w:rPr>
                <w:webHidden/>
              </w:rPr>
              <w:instrText xml:space="preserve"> PAGEREF _Toc65585453 \h </w:instrText>
            </w:r>
            <w:r w:rsidRPr="002E6ACA" w:rsidR="002E6ACA">
              <w:rPr>
                <w:webHidden/>
              </w:rPr>
            </w:r>
            <w:r w:rsidRPr="002E6ACA" w:rsidR="002E6ACA">
              <w:rPr>
                <w:webHidden/>
              </w:rPr>
              <w:fldChar w:fldCharType="separate"/>
            </w:r>
            <w:r w:rsidR="006B7668">
              <w:rPr>
                <w:webHidden/>
              </w:rPr>
              <w:t>6</w:t>
            </w:r>
            <w:r w:rsidRPr="002E6ACA" w:rsidR="002E6ACA">
              <w:rPr>
                <w:webHidden/>
              </w:rPr>
              <w:fldChar w:fldCharType="end"/>
            </w:r>
          </w:hyperlink>
        </w:p>
        <w:p w:rsidRPr="002E6ACA" w:rsidR="002E6ACA" w:rsidRDefault="001C6354" w14:paraId="68F128C8" w14:textId="4A31A9AD">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54">
            <w:r w:rsidRPr="002E6ACA" w:rsidR="002E6ACA">
              <w:rPr>
                <w:rStyle w:val="Hyperlink"/>
                <w:rFonts w:ascii="Book Antiqua" w:hAnsi="Book Antiqua"/>
                <w:b w:val="0"/>
                <w:bCs w:val="0"/>
                <w:noProof/>
                <w:sz w:val="26"/>
                <w:szCs w:val="26"/>
              </w:rPr>
              <w:t>3.1.</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Improved Level of Service Requirements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_Toc65585454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6</w:t>
            </w:r>
            <w:r w:rsidRPr="002E6ACA" w:rsidR="002E6ACA">
              <w:rPr>
                <w:rFonts w:ascii="Book Antiqua" w:hAnsi="Book Antiqua"/>
                <w:b w:val="0"/>
                <w:bCs w:val="0"/>
                <w:noProof/>
                <w:webHidden/>
                <w:sz w:val="26"/>
                <w:szCs w:val="26"/>
              </w:rPr>
              <w:fldChar w:fldCharType="end"/>
            </w:r>
          </w:hyperlink>
        </w:p>
        <w:p w:rsidRPr="002E6ACA" w:rsidR="002E6ACA" w:rsidRDefault="001C6354" w14:paraId="06B67CAB" w14:textId="3DE1F3E6">
          <w:pPr>
            <w:pStyle w:val="TOC3"/>
            <w:tabs>
              <w:tab w:val="left" w:pos="1300"/>
              <w:tab w:val="right" w:leader="dot" w:pos="9350"/>
            </w:tabs>
            <w:rPr>
              <w:rFonts w:ascii="Book Antiqua" w:hAnsi="Book Antiqua" w:eastAsiaTheme="minorEastAsia" w:cstheme="minorBidi"/>
              <w:noProof/>
              <w:sz w:val="26"/>
              <w:szCs w:val="26"/>
            </w:rPr>
          </w:pPr>
          <w:hyperlink w:history="1" w:anchor="_Toc65585455">
            <w:r w:rsidRPr="002E6ACA" w:rsidR="002E6ACA">
              <w:rPr>
                <w:rStyle w:val="Hyperlink"/>
                <w:rFonts w:ascii="Book Antiqua" w:hAnsi="Book Antiqua"/>
                <w:noProof/>
                <w:sz w:val="26"/>
                <w:szCs w:val="26"/>
              </w:rPr>
              <w:t>3.1.1.</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Proposals on WAV Completion Rates</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_Toc65585455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7</w:t>
            </w:r>
            <w:r w:rsidRPr="002E6ACA" w:rsidR="002E6ACA">
              <w:rPr>
                <w:rFonts w:ascii="Book Antiqua" w:hAnsi="Book Antiqua"/>
                <w:noProof/>
                <w:webHidden/>
                <w:sz w:val="26"/>
                <w:szCs w:val="26"/>
              </w:rPr>
              <w:fldChar w:fldCharType="end"/>
            </w:r>
          </w:hyperlink>
        </w:p>
        <w:p w:rsidRPr="002E6ACA" w:rsidR="002E6ACA" w:rsidRDefault="001C6354" w14:paraId="21D950D7" w14:textId="35F0230D">
          <w:pPr>
            <w:pStyle w:val="TOC3"/>
            <w:tabs>
              <w:tab w:val="left" w:pos="1560"/>
              <w:tab w:val="right" w:leader="dot" w:pos="9350"/>
            </w:tabs>
            <w:rPr>
              <w:rFonts w:ascii="Book Antiqua" w:hAnsi="Book Antiqua" w:eastAsiaTheme="minorEastAsia" w:cstheme="minorBidi"/>
              <w:noProof/>
              <w:sz w:val="26"/>
              <w:szCs w:val="26"/>
            </w:rPr>
          </w:pPr>
          <w:hyperlink w:history="1" w:anchor="_Toc65585456">
            <w:r w:rsidRPr="002E6ACA" w:rsidR="002E6ACA">
              <w:rPr>
                <w:rStyle w:val="Hyperlink"/>
                <w:rFonts w:ascii="Book Antiqua" w:hAnsi="Book Antiqua"/>
                <w:noProof/>
                <w:sz w:val="26"/>
                <w:szCs w:val="26"/>
              </w:rPr>
              <w:t>3.1.1.1.</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Comments</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_Toc65585456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8</w:t>
            </w:r>
            <w:r w:rsidRPr="002E6ACA" w:rsidR="002E6ACA">
              <w:rPr>
                <w:rFonts w:ascii="Book Antiqua" w:hAnsi="Book Antiqua"/>
                <w:noProof/>
                <w:webHidden/>
                <w:sz w:val="26"/>
                <w:szCs w:val="26"/>
              </w:rPr>
              <w:fldChar w:fldCharType="end"/>
            </w:r>
          </w:hyperlink>
        </w:p>
        <w:p w:rsidRPr="002E6ACA" w:rsidR="002E6ACA" w:rsidRDefault="001C6354" w14:paraId="28FEFBBC" w14:textId="63A2AC2C">
          <w:pPr>
            <w:pStyle w:val="TOC3"/>
            <w:tabs>
              <w:tab w:val="left" w:pos="1300"/>
              <w:tab w:val="right" w:leader="dot" w:pos="9350"/>
            </w:tabs>
            <w:rPr>
              <w:rFonts w:ascii="Book Antiqua" w:hAnsi="Book Antiqua" w:eastAsiaTheme="minorEastAsia" w:cstheme="minorBidi"/>
              <w:noProof/>
              <w:sz w:val="26"/>
              <w:szCs w:val="26"/>
            </w:rPr>
          </w:pPr>
          <w:hyperlink w:history="1" w:anchor="_Toc65585457">
            <w:r w:rsidRPr="002E6ACA" w:rsidR="002E6ACA">
              <w:rPr>
                <w:rStyle w:val="Hyperlink"/>
                <w:rFonts w:ascii="Book Antiqua" w:hAnsi="Book Antiqua"/>
                <w:noProof/>
                <w:sz w:val="26"/>
                <w:szCs w:val="26"/>
              </w:rPr>
              <w:t>3.1.2.</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Proposals on Multi-Factor Metrics</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_Toc65585457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10</w:t>
            </w:r>
            <w:r w:rsidRPr="002E6ACA" w:rsidR="002E6ACA">
              <w:rPr>
                <w:rFonts w:ascii="Book Antiqua" w:hAnsi="Book Antiqua"/>
                <w:noProof/>
                <w:webHidden/>
                <w:sz w:val="26"/>
                <w:szCs w:val="26"/>
              </w:rPr>
              <w:fldChar w:fldCharType="end"/>
            </w:r>
          </w:hyperlink>
        </w:p>
        <w:p w:rsidRPr="002E6ACA" w:rsidR="002E6ACA" w:rsidRDefault="001C6354" w14:paraId="590C148A" w14:textId="7BDA07C5">
          <w:pPr>
            <w:pStyle w:val="TOC3"/>
            <w:tabs>
              <w:tab w:val="left" w:pos="1300"/>
              <w:tab w:val="right" w:leader="dot" w:pos="9350"/>
            </w:tabs>
            <w:rPr>
              <w:rFonts w:ascii="Book Antiqua" w:hAnsi="Book Antiqua" w:eastAsiaTheme="minorEastAsia" w:cstheme="minorBidi"/>
              <w:noProof/>
              <w:sz w:val="26"/>
              <w:szCs w:val="26"/>
            </w:rPr>
          </w:pPr>
          <w:hyperlink w:history="1" w:anchor="_Toc65585458">
            <w:r w:rsidRPr="002E6ACA" w:rsidR="002E6ACA">
              <w:rPr>
                <w:rStyle w:val="Hyperlink"/>
                <w:rFonts w:ascii="Book Antiqua" w:hAnsi="Book Antiqua"/>
                <w:noProof/>
                <w:sz w:val="26"/>
                <w:szCs w:val="26"/>
              </w:rPr>
              <w:t>3.1.3.</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Discussion</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_Toc65585458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11</w:t>
            </w:r>
            <w:r w:rsidRPr="002E6ACA" w:rsidR="002E6ACA">
              <w:rPr>
                <w:rFonts w:ascii="Book Antiqua" w:hAnsi="Book Antiqua"/>
                <w:noProof/>
                <w:webHidden/>
                <w:sz w:val="26"/>
                <w:szCs w:val="26"/>
              </w:rPr>
              <w:fldChar w:fldCharType="end"/>
            </w:r>
          </w:hyperlink>
        </w:p>
        <w:p w:rsidRPr="002E6ACA" w:rsidR="002E6ACA" w:rsidRDefault="001C6354" w14:paraId="3F7CE9A5" w14:textId="36003AF9">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59">
            <w:r w:rsidRPr="002E6ACA" w:rsidR="002E6ACA">
              <w:rPr>
                <w:rStyle w:val="Hyperlink"/>
                <w:rFonts w:ascii="Book Antiqua" w:hAnsi="Book Antiqua"/>
                <w:b w:val="0"/>
                <w:bCs w:val="0"/>
                <w:noProof/>
                <w:sz w:val="26"/>
                <w:szCs w:val="26"/>
              </w:rPr>
              <w:t>3.2.</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Incremental Costs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_Toc65585459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14</w:t>
            </w:r>
            <w:r w:rsidRPr="002E6ACA" w:rsidR="002E6ACA">
              <w:rPr>
                <w:rFonts w:ascii="Book Antiqua" w:hAnsi="Book Antiqua"/>
                <w:b w:val="0"/>
                <w:bCs w:val="0"/>
                <w:noProof/>
                <w:webHidden/>
                <w:sz w:val="26"/>
                <w:szCs w:val="26"/>
              </w:rPr>
              <w:fldChar w:fldCharType="end"/>
            </w:r>
          </w:hyperlink>
        </w:p>
        <w:p w:rsidRPr="002E6ACA" w:rsidR="002E6ACA" w:rsidRDefault="001C6354" w14:paraId="361C2DEB" w14:textId="42AD2264">
          <w:pPr>
            <w:pStyle w:val="TOC3"/>
            <w:tabs>
              <w:tab w:val="left" w:pos="1300"/>
              <w:tab w:val="right" w:leader="dot" w:pos="9350"/>
            </w:tabs>
            <w:rPr>
              <w:rFonts w:ascii="Book Antiqua" w:hAnsi="Book Antiqua" w:eastAsiaTheme="minorEastAsia" w:cstheme="minorBidi"/>
              <w:noProof/>
              <w:sz w:val="26"/>
              <w:szCs w:val="26"/>
            </w:rPr>
          </w:pPr>
          <w:hyperlink w:history="1" w:anchor="_Toc65585460">
            <w:r w:rsidRPr="002E6ACA" w:rsidR="002E6ACA">
              <w:rPr>
                <w:rStyle w:val="Hyperlink"/>
                <w:rFonts w:ascii="Book Antiqua" w:hAnsi="Book Antiqua"/>
                <w:noProof/>
                <w:sz w:val="26"/>
                <w:szCs w:val="26"/>
              </w:rPr>
              <w:t>3.2.1.</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Discussion</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_Toc65585460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16</w:t>
            </w:r>
            <w:r w:rsidRPr="002E6ACA" w:rsidR="002E6ACA">
              <w:rPr>
                <w:rFonts w:ascii="Book Antiqua" w:hAnsi="Book Antiqua"/>
                <w:noProof/>
                <w:webHidden/>
                <w:sz w:val="26"/>
                <w:szCs w:val="26"/>
              </w:rPr>
              <w:fldChar w:fldCharType="end"/>
            </w:r>
          </w:hyperlink>
        </w:p>
        <w:p w:rsidRPr="002E6ACA" w:rsidR="002E6ACA" w:rsidRDefault="001C6354" w14:paraId="721A5514" w14:textId="1D0C952E">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1">
            <w:r w:rsidRPr="002E6ACA" w:rsidR="002E6ACA">
              <w:rPr>
                <w:rStyle w:val="Hyperlink"/>
                <w:rFonts w:ascii="Book Antiqua" w:hAnsi="Book Antiqua"/>
                <w:b w:val="0"/>
                <w:bCs w:val="0"/>
                <w:noProof/>
                <w:sz w:val="26"/>
                <w:szCs w:val="26"/>
              </w:rPr>
              <w:t>3.3.</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Advice Letter Rule Modification</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_Toc65585461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17</w:t>
            </w:r>
            <w:r w:rsidRPr="002E6ACA" w:rsidR="002E6ACA">
              <w:rPr>
                <w:rFonts w:ascii="Book Antiqua" w:hAnsi="Book Antiqua"/>
                <w:b w:val="0"/>
                <w:bCs w:val="0"/>
                <w:noProof/>
                <w:webHidden/>
                <w:sz w:val="26"/>
                <w:szCs w:val="26"/>
              </w:rPr>
              <w:fldChar w:fldCharType="end"/>
            </w:r>
          </w:hyperlink>
        </w:p>
        <w:p w:rsidRPr="002E6ACA" w:rsidR="002E6ACA" w:rsidRDefault="001C6354" w14:paraId="773ECFC2" w14:textId="1E67AF51">
          <w:pPr>
            <w:pStyle w:val="TOC1"/>
            <w:rPr>
              <w:rFonts w:eastAsiaTheme="minorEastAsia" w:cstheme="minorBidi"/>
            </w:rPr>
          </w:pPr>
          <w:hyperlink w:history="1" w:anchor="_Toc65585462">
            <w:r w:rsidRPr="002E6ACA" w:rsidR="002E6ACA">
              <w:rPr>
                <w:rStyle w:val="Hyperlink"/>
              </w:rPr>
              <w:t>4.</w:t>
            </w:r>
            <w:r w:rsidRPr="002E6ACA" w:rsidR="002E6ACA">
              <w:rPr>
                <w:rFonts w:eastAsiaTheme="minorEastAsia" w:cstheme="minorBidi"/>
              </w:rPr>
              <w:tab/>
            </w:r>
            <w:r w:rsidRPr="002E6ACA" w:rsidR="002E6ACA">
              <w:rPr>
                <w:rStyle w:val="Hyperlink"/>
              </w:rPr>
              <w:t>Access Fund Disbursements</w:t>
            </w:r>
            <w:r w:rsidRPr="002E6ACA" w:rsidR="002E6ACA">
              <w:rPr>
                <w:webHidden/>
              </w:rPr>
              <w:tab/>
            </w:r>
            <w:r w:rsidRPr="002E6ACA" w:rsidR="002E6ACA">
              <w:rPr>
                <w:webHidden/>
              </w:rPr>
              <w:fldChar w:fldCharType="begin"/>
            </w:r>
            <w:r w:rsidRPr="002E6ACA" w:rsidR="002E6ACA">
              <w:rPr>
                <w:webHidden/>
              </w:rPr>
              <w:instrText xml:space="preserve"> PAGEREF _Toc65585462 \h </w:instrText>
            </w:r>
            <w:r w:rsidRPr="002E6ACA" w:rsidR="002E6ACA">
              <w:rPr>
                <w:webHidden/>
              </w:rPr>
            </w:r>
            <w:r w:rsidRPr="002E6ACA" w:rsidR="002E6ACA">
              <w:rPr>
                <w:webHidden/>
              </w:rPr>
              <w:fldChar w:fldCharType="separate"/>
            </w:r>
            <w:r w:rsidR="006B7668">
              <w:rPr>
                <w:webHidden/>
              </w:rPr>
              <w:t>19</w:t>
            </w:r>
            <w:r w:rsidRPr="002E6ACA" w:rsidR="002E6ACA">
              <w:rPr>
                <w:webHidden/>
              </w:rPr>
              <w:fldChar w:fldCharType="end"/>
            </w:r>
          </w:hyperlink>
        </w:p>
        <w:p w:rsidRPr="002E6ACA" w:rsidR="002E6ACA" w:rsidRDefault="001C6354" w14:paraId="3FB52A1B" w14:textId="2382A754">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3">
            <w:r w:rsidRPr="002E6ACA" w:rsidR="002E6ACA">
              <w:rPr>
                <w:rStyle w:val="Hyperlink"/>
                <w:rFonts w:ascii="Book Antiqua" w:hAnsi="Book Antiqua"/>
                <w:b w:val="0"/>
                <w:bCs w:val="0"/>
                <w:noProof/>
                <w:sz w:val="26"/>
                <w:szCs w:val="26"/>
              </w:rPr>
              <w:t>4.1.</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On-Demand Transportation</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_Toc65585463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19</w:t>
            </w:r>
            <w:r w:rsidRPr="002E6ACA" w:rsidR="002E6ACA">
              <w:rPr>
                <w:rFonts w:ascii="Book Antiqua" w:hAnsi="Book Antiqua"/>
                <w:b w:val="0"/>
                <w:bCs w:val="0"/>
                <w:noProof/>
                <w:webHidden/>
                <w:sz w:val="26"/>
                <w:szCs w:val="26"/>
              </w:rPr>
              <w:fldChar w:fldCharType="end"/>
            </w:r>
          </w:hyperlink>
        </w:p>
        <w:p w:rsidRPr="002E6ACA" w:rsidR="002E6ACA" w:rsidRDefault="001C6354" w14:paraId="241D258D" w14:textId="26576C15">
          <w:pPr>
            <w:pStyle w:val="TOC3"/>
            <w:tabs>
              <w:tab w:val="left" w:pos="1300"/>
              <w:tab w:val="right" w:leader="dot" w:pos="9350"/>
            </w:tabs>
            <w:rPr>
              <w:rFonts w:ascii="Book Antiqua" w:hAnsi="Book Antiqua" w:eastAsiaTheme="minorEastAsia" w:cstheme="minorBidi"/>
              <w:noProof/>
              <w:sz w:val="26"/>
              <w:szCs w:val="26"/>
            </w:rPr>
          </w:pPr>
          <w:hyperlink w:history="1" w:anchor="_Toc65585464">
            <w:r w:rsidRPr="002E6ACA" w:rsidR="002E6ACA">
              <w:rPr>
                <w:rStyle w:val="Hyperlink"/>
                <w:rFonts w:ascii="Book Antiqua" w:hAnsi="Book Antiqua"/>
                <w:noProof/>
                <w:sz w:val="26"/>
                <w:szCs w:val="26"/>
              </w:rPr>
              <w:t>4.1.1.</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Discussion</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_Toc65585464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21</w:t>
            </w:r>
            <w:r w:rsidRPr="002E6ACA" w:rsidR="002E6ACA">
              <w:rPr>
                <w:rFonts w:ascii="Book Antiqua" w:hAnsi="Book Antiqua"/>
                <w:noProof/>
                <w:webHidden/>
                <w:sz w:val="26"/>
                <w:szCs w:val="26"/>
              </w:rPr>
              <w:fldChar w:fldCharType="end"/>
            </w:r>
          </w:hyperlink>
        </w:p>
        <w:p w:rsidRPr="002E6ACA" w:rsidR="002E6ACA" w:rsidRDefault="001C6354" w14:paraId="0D36609A" w14:textId="064E1D1E">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5">
            <w:r w:rsidRPr="002E6ACA" w:rsidR="002E6ACA">
              <w:rPr>
                <w:rStyle w:val="Hyperlink"/>
                <w:rFonts w:ascii="Book Antiqua" w:hAnsi="Book Antiqua"/>
                <w:b w:val="0"/>
                <w:bCs w:val="0"/>
                <w:noProof/>
                <w:sz w:val="26"/>
                <w:szCs w:val="26"/>
              </w:rPr>
              <w:t>4.2.</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Disbursement to Non-Regulated Entities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_Toc65585465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22</w:t>
            </w:r>
            <w:r w:rsidRPr="002E6ACA" w:rsidR="002E6ACA">
              <w:rPr>
                <w:rFonts w:ascii="Book Antiqua" w:hAnsi="Book Antiqua"/>
                <w:b w:val="0"/>
                <w:bCs w:val="0"/>
                <w:noProof/>
                <w:webHidden/>
                <w:sz w:val="26"/>
                <w:szCs w:val="26"/>
              </w:rPr>
              <w:fldChar w:fldCharType="end"/>
            </w:r>
          </w:hyperlink>
        </w:p>
        <w:p w:rsidRPr="002E6ACA" w:rsidR="002E6ACA" w:rsidRDefault="001C6354" w14:paraId="7A24A745" w14:textId="4116A86F">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6">
            <w:r w:rsidRPr="002E6ACA" w:rsidR="002E6ACA">
              <w:rPr>
                <w:rStyle w:val="Hyperlink"/>
                <w:rFonts w:ascii="Book Antiqua" w:hAnsi="Book Antiqua"/>
                <w:b w:val="0"/>
                <w:bCs w:val="0"/>
                <w:noProof/>
                <w:sz w:val="26"/>
                <w:szCs w:val="26"/>
              </w:rPr>
              <w:t>4.3.</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Use of Access Provider Funds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_Toc65585466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25</w:t>
            </w:r>
            <w:r w:rsidRPr="002E6ACA" w:rsidR="002E6ACA">
              <w:rPr>
                <w:rFonts w:ascii="Book Antiqua" w:hAnsi="Book Antiqua"/>
                <w:b w:val="0"/>
                <w:bCs w:val="0"/>
                <w:noProof/>
                <w:webHidden/>
                <w:sz w:val="26"/>
                <w:szCs w:val="26"/>
              </w:rPr>
              <w:fldChar w:fldCharType="end"/>
            </w:r>
          </w:hyperlink>
        </w:p>
        <w:p w:rsidRPr="002E6ACA" w:rsidR="002E6ACA" w:rsidRDefault="001C6354" w14:paraId="6B31EC2A" w14:textId="03D4BBFC">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7">
            <w:r w:rsidRPr="002E6ACA" w:rsidR="002E6ACA">
              <w:rPr>
                <w:rStyle w:val="Hyperlink"/>
                <w:rFonts w:ascii="Book Antiqua" w:hAnsi="Book Antiqua"/>
                <w:b w:val="0"/>
                <w:bCs w:val="0"/>
                <w:noProof/>
                <w:sz w:val="26"/>
                <w:szCs w:val="26"/>
              </w:rPr>
              <w:t>4.4.</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Approval Process for Access Provider Application</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_Toc65585467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26</w:t>
            </w:r>
            <w:r w:rsidRPr="002E6ACA" w:rsidR="002E6ACA">
              <w:rPr>
                <w:rFonts w:ascii="Book Antiqua" w:hAnsi="Book Antiqua"/>
                <w:b w:val="0"/>
                <w:bCs w:val="0"/>
                <w:noProof/>
                <w:webHidden/>
                <w:sz w:val="26"/>
                <w:szCs w:val="26"/>
              </w:rPr>
              <w:fldChar w:fldCharType="end"/>
            </w:r>
          </w:hyperlink>
        </w:p>
        <w:p w:rsidRPr="002E6ACA" w:rsidR="002E6ACA" w:rsidRDefault="001C6354" w14:paraId="753DE8E3" w14:textId="0CC16146">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8">
            <w:r w:rsidRPr="002E6ACA" w:rsidR="002E6ACA">
              <w:rPr>
                <w:rStyle w:val="Hyperlink"/>
                <w:rFonts w:ascii="Book Antiqua" w:hAnsi="Book Antiqua"/>
                <w:b w:val="0"/>
                <w:bCs w:val="0"/>
                <w:noProof/>
                <w:sz w:val="26"/>
                <w:szCs w:val="26"/>
              </w:rPr>
              <w:t>4.5.</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TNC Eligibility as Access Provider</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_Toc65585468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28</w:t>
            </w:r>
            <w:r w:rsidRPr="002E6ACA" w:rsidR="002E6ACA">
              <w:rPr>
                <w:rFonts w:ascii="Book Antiqua" w:hAnsi="Book Antiqua"/>
                <w:b w:val="0"/>
                <w:bCs w:val="0"/>
                <w:noProof/>
                <w:webHidden/>
                <w:sz w:val="26"/>
                <w:szCs w:val="26"/>
              </w:rPr>
              <w:fldChar w:fldCharType="end"/>
            </w:r>
          </w:hyperlink>
        </w:p>
        <w:p w:rsidRPr="002E6ACA" w:rsidR="002E6ACA" w:rsidRDefault="001C6354" w14:paraId="631C4061" w14:textId="09CF7EBC">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69">
            <w:r w:rsidRPr="002E6ACA" w:rsidR="002E6ACA">
              <w:rPr>
                <w:rStyle w:val="Hyperlink"/>
                <w:rFonts w:ascii="Book Antiqua" w:hAnsi="Book Antiqua"/>
                <w:b w:val="0"/>
                <w:bCs w:val="0"/>
                <w:noProof/>
                <w:sz w:val="26"/>
                <w:szCs w:val="26"/>
              </w:rPr>
              <w:t>4.6.</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Additional Requirements for Access Providers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_Toc65585469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31</w:t>
            </w:r>
            <w:r w:rsidRPr="002E6ACA" w:rsidR="002E6ACA">
              <w:rPr>
                <w:rFonts w:ascii="Book Antiqua" w:hAnsi="Book Antiqua"/>
                <w:b w:val="0"/>
                <w:bCs w:val="0"/>
                <w:noProof/>
                <w:webHidden/>
                <w:sz w:val="26"/>
                <w:szCs w:val="26"/>
              </w:rPr>
              <w:fldChar w:fldCharType="end"/>
            </w:r>
          </w:hyperlink>
        </w:p>
        <w:p w:rsidRPr="002E6ACA" w:rsidR="002E6ACA" w:rsidRDefault="001C6354" w14:paraId="4DDEA314" w14:textId="70976864">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70">
            <w:r w:rsidRPr="002E6ACA" w:rsidR="002E6ACA">
              <w:rPr>
                <w:rStyle w:val="Hyperlink"/>
                <w:rFonts w:ascii="Book Antiqua" w:hAnsi="Book Antiqua"/>
                <w:b w:val="0"/>
                <w:bCs w:val="0"/>
                <w:noProof/>
                <w:sz w:val="26"/>
                <w:szCs w:val="26"/>
              </w:rPr>
              <w:t>4.7.</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Compensation of Access Fund Administrators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_Toc65585470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32</w:t>
            </w:r>
            <w:r w:rsidRPr="002E6ACA" w:rsidR="002E6ACA">
              <w:rPr>
                <w:rFonts w:ascii="Book Antiqua" w:hAnsi="Book Antiqua"/>
                <w:b w:val="0"/>
                <w:bCs w:val="0"/>
                <w:noProof/>
                <w:webHidden/>
                <w:sz w:val="26"/>
                <w:szCs w:val="26"/>
              </w:rPr>
              <w:fldChar w:fldCharType="end"/>
            </w:r>
          </w:hyperlink>
        </w:p>
        <w:p w:rsidRPr="002E6ACA" w:rsidR="002E6ACA" w:rsidRDefault="001C6354" w14:paraId="712307EF" w14:textId="616AF204">
          <w:pPr>
            <w:pStyle w:val="TOC1"/>
            <w:rPr>
              <w:rFonts w:eastAsiaTheme="minorEastAsia" w:cstheme="minorBidi"/>
            </w:rPr>
          </w:pPr>
          <w:hyperlink w:history="1" w:anchor="_Toc65585471">
            <w:r w:rsidRPr="002E6ACA" w:rsidR="002E6ACA">
              <w:rPr>
                <w:rStyle w:val="Hyperlink"/>
              </w:rPr>
              <w:t>5.</w:t>
            </w:r>
            <w:r w:rsidRPr="002E6ACA" w:rsidR="002E6ACA">
              <w:rPr>
                <w:rFonts w:eastAsiaTheme="minorEastAsia" w:cstheme="minorBidi"/>
              </w:rPr>
              <w:tab/>
            </w:r>
            <w:r w:rsidRPr="002E6ACA" w:rsidR="002E6ACA">
              <w:rPr>
                <w:rStyle w:val="Hyperlink"/>
              </w:rPr>
              <w:t>Reporting Requirements</w:t>
            </w:r>
            <w:r w:rsidRPr="002E6ACA" w:rsidR="002E6ACA">
              <w:rPr>
                <w:webHidden/>
              </w:rPr>
              <w:tab/>
            </w:r>
            <w:r w:rsidRPr="002E6ACA" w:rsidR="002E6ACA">
              <w:rPr>
                <w:webHidden/>
              </w:rPr>
              <w:fldChar w:fldCharType="begin"/>
            </w:r>
            <w:r w:rsidRPr="002E6ACA" w:rsidR="002E6ACA">
              <w:rPr>
                <w:webHidden/>
              </w:rPr>
              <w:instrText xml:space="preserve"> PAGEREF _Toc65585471 \h </w:instrText>
            </w:r>
            <w:r w:rsidRPr="002E6ACA" w:rsidR="002E6ACA">
              <w:rPr>
                <w:webHidden/>
              </w:rPr>
            </w:r>
            <w:r w:rsidRPr="002E6ACA" w:rsidR="002E6ACA">
              <w:rPr>
                <w:webHidden/>
              </w:rPr>
              <w:fldChar w:fldCharType="separate"/>
            </w:r>
            <w:r w:rsidR="006B7668">
              <w:rPr>
                <w:webHidden/>
              </w:rPr>
              <w:t>33</w:t>
            </w:r>
            <w:r w:rsidRPr="002E6ACA" w:rsidR="002E6ACA">
              <w:rPr>
                <w:webHidden/>
              </w:rPr>
              <w:fldChar w:fldCharType="end"/>
            </w:r>
          </w:hyperlink>
        </w:p>
        <w:p w:rsidRPr="002E6ACA" w:rsidR="002E6ACA" w:rsidRDefault="001C6354" w14:paraId="67F45B93" w14:textId="6ECE4AFC">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72">
            <w:r w:rsidRPr="002E6ACA" w:rsidR="002E6ACA">
              <w:rPr>
                <w:rStyle w:val="Hyperlink"/>
                <w:rFonts w:ascii="Book Antiqua" w:hAnsi="Book Antiqua"/>
                <w:b w:val="0"/>
                <w:bCs w:val="0"/>
                <w:noProof/>
                <w:sz w:val="26"/>
                <w:szCs w:val="26"/>
              </w:rPr>
              <w:t>5.1.</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Yearly Benchmarks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_Toc65585472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33</w:t>
            </w:r>
            <w:r w:rsidRPr="002E6ACA" w:rsidR="002E6ACA">
              <w:rPr>
                <w:rFonts w:ascii="Book Antiqua" w:hAnsi="Book Antiqua"/>
                <w:b w:val="0"/>
                <w:bCs w:val="0"/>
                <w:noProof/>
                <w:webHidden/>
                <w:sz w:val="26"/>
                <w:szCs w:val="26"/>
              </w:rPr>
              <w:fldChar w:fldCharType="end"/>
            </w:r>
          </w:hyperlink>
        </w:p>
        <w:p w:rsidRPr="002E6ACA" w:rsidR="002E6ACA" w:rsidRDefault="001C6354" w14:paraId="246A0B11" w14:textId="03D0FA6C">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73">
            <w:r w:rsidRPr="002E6ACA" w:rsidR="002E6ACA">
              <w:rPr>
                <w:rStyle w:val="Hyperlink"/>
                <w:rFonts w:ascii="Book Antiqua" w:hAnsi="Book Antiqua"/>
                <w:b w:val="0"/>
                <w:bCs w:val="0"/>
                <w:noProof/>
                <w:sz w:val="26"/>
                <w:szCs w:val="26"/>
              </w:rPr>
              <w:t>5.2.</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Legislative Report</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_Toc65585473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36</w:t>
            </w:r>
            <w:r w:rsidRPr="002E6ACA" w:rsidR="002E6ACA">
              <w:rPr>
                <w:rFonts w:ascii="Book Antiqua" w:hAnsi="Book Antiqua"/>
                <w:b w:val="0"/>
                <w:bCs w:val="0"/>
                <w:noProof/>
                <w:webHidden/>
                <w:sz w:val="26"/>
                <w:szCs w:val="26"/>
              </w:rPr>
              <w:fldChar w:fldCharType="end"/>
            </w:r>
          </w:hyperlink>
        </w:p>
        <w:p w:rsidRPr="002E6ACA" w:rsidR="002E6ACA" w:rsidRDefault="001C6354" w14:paraId="13375DE6" w14:textId="09C1D3D9">
          <w:pPr>
            <w:pStyle w:val="TOC1"/>
            <w:rPr>
              <w:rFonts w:eastAsiaTheme="minorEastAsia" w:cstheme="minorBidi"/>
            </w:rPr>
          </w:pPr>
          <w:hyperlink w:history="1" w:anchor="_Toc65585474">
            <w:r w:rsidRPr="002E6ACA" w:rsidR="002E6ACA">
              <w:rPr>
                <w:rStyle w:val="Hyperlink"/>
              </w:rPr>
              <w:t>6.</w:t>
            </w:r>
            <w:r w:rsidRPr="002E6ACA" w:rsidR="002E6ACA">
              <w:rPr>
                <w:rFonts w:eastAsiaTheme="minorEastAsia" w:cstheme="minorBidi"/>
              </w:rPr>
              <w:tab/>
            </w:r>
            <w:r w:rsidRPr="002E6ACA" w:rsidR="002E6ACA">
              <w:rPr>
                <w:rStyle w:val="Hyperlink"/>
              </w:rPr>
              <w:t>Additional Accessibility Issues</w:t>
            </w:r>
            <w:r w:rsidRPr="002E6ACA" w:rsidR="002E6ACA">
              <w:rPr>
                <w:webHidden/>
              </w:rPr>
              <w:tab/>
            </w:r>
            <w:r w:rsidRPr="002E6ACA" w:rsidR="002E6ACA">
              <w:rPr>
                <w:webHidden/>
              </w:rPr>
              <w:fldChar w:fldCharType="begin"/>
            </w:r>
            <w:r w:rsidRPr="002E6ACA" w:rsidR="002E6ACA">
              <w:rPr>
                <w:webHidden/>
              </w:rPr>
              <w:instrText xml:space="preserve"> PAGEREF _Toc65585474 \h </w:instrText>
            </w:r>
            <w:r w:rsidRPr="002E6ACA" w:rsidR="002E6ACA">
              <w:rPr>
                <w:webHidden/>
              </w:rPr>
            </w:r>
            <w:r w:rsidRPr="002E6ACA" w:rsidR="002E6ACA">
              <w:rPr>
                <w:webHidden/>
              </w:rPr>
              <w:fldChar w:fldCharType="separate"/>
            </w:r>
            <w:r w:rsidR="006B7668">
              <w:rPr>
                <w:webHidden/>
              </w:rPr>
              <w:t>39</w:t>
            </w:r>
            <w:r w:rsidRPr="002E6ACA" w:rsidR="002E6ACA">
              <w:rPr>
                <w:webHidden/>
              </w:rPr>
              <w:fldChar w:fldCharType="end"/>
            </w:r>
          </w:hyperlink>
        </w:p>
        <w:p w:rsidRPr="002E6ACA" w:rsidR="002E6ACA" w:rsidRDefault="001C6354" w14:paraId="4E1A0869" w14:textId="5F9DC46F">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75">
            <w:r w:rsidRPr="002E6ACA" w:rsidR="002E6ACA">
              <w:rPr>
                <w:rStyle w:val="Hyperlink"/>
                <w:rFonts w:ascii="Book Antiqua" w:hAnsi="Book Antiqua"/>
                <w:b w:val="0"/>
                <w:bCs w:val="0"/>
                <w:noProof/>
                <w:sz w:val="26"/>
                <w:szCs w:val="26"/>
              </w:rPr>
              <w:t>6.1.</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Symbol of Accessibility Use</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_Toc65585475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39</w:t>
            </w:r>
            <w:r w:rsidRPr="002E6ACA" w:rsidR="002E6ACA">
              <w:rPr>
                <w:rFonts w:ascii="Book Antiqua" w:hAnsi="Book Antiqua"/>
                <w:b w:val="0"/>
                <w:bCs w:val="0"/>
                <w:noProof/>
                <w:webHidden/>
                <w:sz w:val="26"/>
                <w:szCs w:val="26"/>
              </w:rPr>
              <w:fldChar w:fldCharType="end"/>
            </w:r>
          </w:hyperlink>
        </w:p>
        <w:p w:rsidRPr="002E6ACA" w:rsidR="002E6ACA" w:rsidRDefault="001C6354" w14:paraId="57C18566" w14:textId="1E314805">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76">
            <w:r w:rsidRPr="002E6ACA" w:rsidR="002E6ACA">
              <w:rPr>
                <w:rStyle w:val="Hyperlink"/>
                <w:rFonts w:ascii="Book Antiqua" w:hAnsi="Book Antiqua"/>
                <w:b w:val="0"/>
                <w:bCs w:val="0"/>
                <w:noProof/>
                <w:sz w:val="26"/>
                <w:szCs w:val="26"/>
              </w:rPr>
              <w:t>6.2.</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WAV Inspection and Driver Training for TNC Permit</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_Toc65585476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40</w:t>
            </w:r>
            <w:r w:rsidRPr="002E6ACA" w:rsidR="002E6ACA">
              <w:rPr>
                <w:rFonts w:ascii="Book Antiqua" w:hAnsi="Book Antiqua"/>
                <w:b w:val="0"/>
                <w:bCs w:val="0"/>
                <w:noProof/>
                <w:webHidden/>
                <w:sz w:val="26"/>
                <w:szCs w:val="26"/>
              </w:rPr>
              <w:fldChar w:fldCharType="end"/>
            </w:r>
          </w:hyperlink>
        </w:p>
        <w:p w:rsidRPr="002E6ACA" w:rsidR="002E6ACA" w:rsidRDefault="001C6354" w14:paraId="3627916B" w14:textId="3C5C6420">
          <w:pPr>
            <w:pStyle w:val="TOC3"/>
            <w:tabs>
              <w:tab w:val="left" w:pos="1300"/>
              <w:tab w:val="right" w:leader="dot" w:pos="9350"/>
            </w:tabs>
            <w:rPr>
              <w:rFonts w:ascii="Book Antiqua" w:hAnsi="Book Antiqua" w:eastAsiaTheme="minorEastAsia" w:cstheme="minorBidi"/>
              <w:noProof/>
              <w:sz w:val="26"/>
              <w:szCs w:val="26"/>
            </w:rPr>
          </w:pPr>
          <w:hyperlink w:history="1" w:anchor="_Toc65585477">
            <w:r w:rsidRPr="002E6ACA" w:rsidR="002E6ACA">
              <w:rPr>
                <w:rStyle w:val="Hyperlink"/>
                <w:rFonts w:ascii="Book Antiqua" w:hAnsi="Book Antiqua"/>
                <w:noProof/>
                <w:sz w:val="26"/>
                <w:szCs w:val="26"/>
              </w:rPr>
              <w:t>6.2.1.</w:t>
            </w:r>
            <w:r w:rsidRPr="002E6ACA" w:rsidR="002E6ACA">
              <w:rPr>
                <w:rFonts w:ascii="Book Antiqua" w:hAnsi="Book Antiqua" w:eastAsiaTheme="minorEastAsia" w:cstheme="minorBidi"/>
                <w:noProof/>
                <w:sz w:val="26"/>
                <w:szCs w:val="26"/>
              </w:rPr>
              <w:tab/>
            </w:r>
            <w:r w:rsidRPr="002E6ACA" w:rsidR="002E6ACA">
              <w:rPr>
                <w:rStyle w:val="Hyperlink"/>
                <w:rFonts w:ascii="Book Antiqua" w:hAnsi="Book Antiqua"/>
                <w:noProof/>
                <w:sz w:val="26"/>
                <w:szCs w:val="26"/>
              </w:rPr>
              <w:t>Discussion</w:t>
            </w:r>
            <w:r w:rsidRPr="002E6ACA" w:rsidR="002E6ACA">
              <w:rPr>
                <w:rFonts w:ascii="Book Antiqua" w:hAnsi="Book Antiqua"/>
                <w:noProof/>
                <w:webHidden/>
                <w:sz w:val="26"/>
                <w:szCs w:val="26"/>
              </w:rPr>
              <w:tab/>
            </w:r>
            <w:r w:rsidRPr="002E6ACA" w:rsidR="002E6ACA">
              <w:rPr>
                <w:rFonts w:ascii="Book Antiqua" w:hAnsi="Book Antiqua"/>
                <w:noProof/>
                <w:webHidden/>
                <w:sz w:val="26"/>
                <w:szCs w:val="26"/>
              </w:rPr>
              <w:fldChar w:fldCharType="begin"/>
            </w:r>
            <w:r w:rsidRPr="002E6ACA" w:rsidR="002E6ACA">
              <w:rPr>
                <w:rFonts w:ascii="Book Antiqua" w:hAnsi="Book Antiqua"/>
                <w:noProof/>
                <w:webHidden/>
                <w:sz w:val="26"/>
                <w:szCs w:val="26"/>
              </w:rPr>
              <w:instrText xml:space="preserve"> PAGEREF _Toc65585477 \h </w:instrText>
            </w:r>
            <w:r w:rsidRPr="002E6ACA" w:rsidR="002E6ACA">
              <w:rPr>
                <w:rFonts w:ascii="Book Antiqua" w:hAnsi="Book Antiqua"/>
                <w:noProof/>
                <w:webHidden/>
                <w:sz w:val="26"/>
                <w:szCs w:val="26"/>
              </w:rPr>
            </w:r>
            <w:r w:rsidRPr="002E6ACA" w:rsidR="002E6ACA">
              <w:rPr>
                <w:rFonts w:ascii="Book Antiqua" w:hAnsi="Book Antiqua"/>
                <w:noProof/>
                <w:webHidden/>
                <w:sz w:val="26"/>
                <w:szCs w:val="26"/>
              </w:rPr>
              <w:fldChar w:fldCharType="separate"/>
            </w:r>
            <w:r w:rsidR="006B7668">
              <w:rPr>
                <w:rFonts w:ascii="Book Antiqua" w:hAnsi="Book Antiqua"/>
                <w:noProof/>
                <w:webHidden/>
                <w:sz w:val="26"/>
                <w:szCs w:val="26"/>
              </w:rPr>
              <w:t>43</w:t>
            </w:r>
            <w:r w:rsidRPr="002E6ACA" w:rsidR="002E6ACA">
              <w:rPr>
                <w:rFonts w:ascii="Book Antiqua" w:hAnsi="Book Antiqua"/>
                <w:noProof/>
                <w:webHidden/>
                <w:sz w:val="26"/>
                <w:szCs w:val="26"/>
              </w:rPr>
              <w:fldChar w:fldCharType="end"/>
            </w:r>
          </w:hyperlink>
        </w:p>
        <w:p w:rsidRPr="002E6ACA" w:rsidR="002E6ACA" w:rsidRDefault="001C6354" w14:paraId="270276E9" w14:textId="4638D255">
          <w:pPr>
            <w:pStyle w:val="TOC2"/>
            <w:tabs>
              <w:tab w:val="left" w:pos="1040"/>
              <w:tab w:val="right" w:leader="dot" w:pos="9350"/>
            </w:tabs>
            <w:rPr>
              <w:rFonts w:ascii="Book Antiqua" w:hAnsi="Book Antiqua" w:eastAsiaTheme="minorEastAsia" w:cstheme="minorBidi"/>
              <w:b w:val="0"/>
              <w:bCs w:val="0"/>
              <w:noProof/>
              <w:sz w:val="26"/>
              <w:szCs w:val="26"/>
            </w:rPr>
          </w:pPr>
          <w:hyperlink w:history="1" w:anchor="_Toc65585478">
            <w:r w:rsidRPr="002E6ACA" w:rsidR="002E6ACA">
              <w:rPr>
                <w:rStyle w:val="Hyperlink"/>
                <w:rFonts w:ascii="Book Antiqua" w:hAnsi="Book Antiqua"/>
                <w:b w:val="0"/>
                <w:bCs w:val="0"/>
                <w:noProof/>
                <w:sz w:val="26"/>
                <w:szCs w:val="26"/>
              </w:rPr>
              <w:t>6.3.</w:t>
            </w:r>
            <w:r w:rsidRPr="002E6ACA" w:rsidR="002E6ACA">
              <w:rPr>
                <w:rFonts w:ascii="Book Antiqua" w:hAnsi="Book Antiqua" w:eastAsiaTheme="minorEastAsia" w:cstheme="minorBidi"/>
                <w:b w:val="0"/>
                <w:bCs w:val="0"/>
                <w:noProof/>
                <w:sz w:val="26"/>
                <w:szCs w:val="26"/>
              </w:rPr>
              <w:tab/>
            </w:r>
            <w:r w:rsidRPr="002E6ACA" w:rsidR="002E6ACA">
              <w:rPr>
                <w:rStyle w:val="Hyperlink"/>
                <w:rFonts w:ascii="Book Antiqua" w:hAnsi="Book Antiqua"/>
                <w:b w:val="0"/>
                <w:bCs w:val="0"/>
                <w:noProof/>
                <w:sz w:val="26"/>
                <w:szCs w:val="26"/>
              </w:rPr>
              <w:t>Additional Accessibility Needs</w:t>
            </w:r>
            <w:r w:rsidRPr="002E6ACA" w:rsidR="002E6ACA">
              <w:rPr>
                <w:rFonts w:ascii="Book Antiqua" w:hAnsi="Book Antiqua"/>
                <w:b w:val="0"/>
                <w:bCs w:val="0"/>
                <w:noProof/>
                <w:webHidden/>
                <w:sz w:val="26"/>
                <w:szCs w:val="26"/>
              </w:rPr>
              <w:tab/>
            </w:r>
            <w:r w:rsidRPr="002E6ACA" w:rsidR="002E6ACA">
              <w:rPr>
                <w:rFonts w:ascii="Book Antiqua" w:hAnsi="Book Antiqua"/>
                <w:b w:val="0"/>
                <w:bCs w:val="0"/>
                <w:noProof/>
                <w:webHidden/>
                <w:sz w:val="26"/>
                <w:szCs w:val="26"/>
              </w:rPr>
              <w:fldChar w:fldCharType="begin"/>
            </w:r>
            <w:r w:rsidRPr="002E6ACA" w:rsidR="002E6ACA">
              <w:rPr>
                <w:rFonts w:ascii="Book Antiqua" w:hAnsi="Book Antiqua"/>
                <w:b w:val="0"/>
                <w:bCs w:val="0"/>
                <w:noProof/>
                <w:webHidden/>
                <w:sz w:val="26"/>
                <w:szCs w:val="26"/>
              </w:rPr>
              <w:instrText xml:space="preserve"> PAGEREF _Toc65585478 \h </w:instrText>
            </w:r>
            <w:r w:rsidRPr="002E6ACA" w:rsidR="002E6ACA">
              <w:rPr>
                <w:rFonts w:ascii="Book Antiqua" w:hAnsi="Book Antiqua"/>
                <w:b w:val="0"/>
                <w:bCs w:val="0"/>
                <w:noProof/>
                <w:webHidden/>
                <w:sz w:val="26"/>
                <w:szCs w:val="26"/>
              </w:rPr>
            </w:r>
            <w:r w:rsidRPr="002E6ACA" w:rsidR="002E6ACA">
              <w:rPr>
                <w:rFonts w:ascii="Book Antiqua" w:hAnsi="Book Antiqua"/>
                <w:b w:val="0"/>
                <w:bCs w:val="0"/>
                <w:noProof/>
                <w:webHidden/>
                <w:sz w:val="26"/>
                <w:szCs w:val="26"/>
              </w:rPr>
              <w:fldChar w:fldCharType="separate"/>
            </w:r>
            <w:r w:rsidR="006B7668">
              <w:rPr>
                <w:rFonts w:ascii="Book Antiqua" w:hAnsi="Book Antiqua"/>
                <w:b w:val="0"/>
                <w:bCs w:val="0"/>
                <w:noProof/>
                <w:webHidden/>
                <w:sz w:val="26"/>
                <w:szCs w:val="26"/>
              </w:rPr>
              <w:t>44</w:t>
            </w:r>
            <w:r w:rsidRPr="002E6ACA" w:rsidR="002E6ACA">
              <w:rPr>
                <w:rFonts w:ascii="Book Antiqua" w:hAnsi="Book Antiqua"/>
                <w:b w:val="0"/>
                <w:bCs w:val="0"/>
                <w:noProof/>
                <w:webHidden/>
                <w:sz w:val="26"/>
                <w:szCs w:val="26"/>
              </w:rPr>
              <w:fldChar w:fldCharType="end"/>
            </w:r>
          </w:hyperlink>
        </w:p>
        <w:p w:rsidRPr="002E6ACA" w:rsidR="002E6ACA" w:rsidRDefault="001C6354" w14:paraId="24989599" w14:textId="039841EF">
          <w:pPr>
            <w:pStyle w:val="TOC1"/>
            <w:rPr>
              <w:rFonts w:eastAsiaTheme="minorEastAsia" w:cstheme="minorBidi"/>
            </w:rPr>
          </w:pPr>
          <w:hyperlink w:history="1" w:anchor="_Toc65585479">
            <w:r w:rsidRPr="002E6ACA" w:rsidR="002E6ACA">
              <w:rPr>
                <w:rStyle w:val="Hyperlink"/>
              </w:rPr>
              <w:t>7.</w:t>
            </w:r>
            <w:r w:rsidRPr="002E6ACA" w:rsidR="002E6ACA">
              <w:rPr>
                <w:rFonts w:eastAsiaTheme="minorEastAsia" w:cstheme="minorBidi"/>
              </w:rPr>
              <w:tab/>
            </w:r>
            <w:r w:rsidRPr="002E6ACA" w:rsidR="002E6ACA">
              <w:rPr>
                <w:rStyle w:val="Hyperlink"/>
              </w:rPr>
              <w:t>Comments on Proposed Decision</w:t>
            </w:r>
            <w:r w:rsidRPr="002E6ACA" w:rsidR="002E6ACA">
              <w:rPr>
                <w:webHidden/>
              </w:rPr>
              <w:tab/>
            </w:r>
            <w:r w:rsidRPr="002E6ACA" w:rsidR="002E6ACA">
              <w:rPr>
                <w:webHidden/>
              </w:rPr>
              <w:fldChar w:fldCharType="begin"/>
            </w:r>
            <w:r w:rsidRPr="002E6ACA" w:rsidR="002E6ACA">
              <w:rPr>
                <w:webHidden/>
              </w:rPr>
              <w:instrText xml:space="preserve"> PAGEREF _Toc65585479 \h </w:instrText>
            </w:r>
            <w:r w:rsidRPr="002E6ACA" w:rsidR="002E6ACA">
              <w:rPr>
                <w:webHidden/>
              </w:rPr>
            </w:r>
            <w:r w:rsidRPr="002E6ACA" w:rsidR="002E6ACA">
              <w:rPr>
                <w:webHidden/>
              </w:rPr>
              <w:fldChar w:fldCharType="separate"/>
            </w:r>
            <w:r w:rsidR="006B7668">
              <w:rPr>
                <w:webHidden/>
              </w:rPr>
              <w:t>46</w:t>
            </w:r>
            <w:r w:rsidRPr="002E6ACA" w:rsidR="002E6ACA">
              <w:rPr>
                <w:webHidden/>
              </w:rPr>
              <w:fldChar w:fldCharType="end"/>
            </w:r>
          </w:hyperlink>
        </w:p>
        <w:p w:rsidRPr="002E6ACA" w:rsidR="002E6ACA" w:rsidRDefault="001C6354" w14:paraId="0CAFD6F7" w14:textId="67ECA33F">
          <w:pPr>
            <w:pStyle w:val="TOC1"/>
            <w:rPr>
              <w:rFonts w:eastAsiaTheme="minorEastAsia" w:cstheme="minorBidi"/>
            </w:rPr>
          </w:pPr>
          <w:hyperlink w:history="1" w:anchor="_Toc65585480">
            <w:r w:rsidRPr="002E6ACA" w:rsidR="002E6ACA">
              <w:rPr>
                <w:rStyle w:val="Hyperlink"/>
              </w:rPr>
              <w:t>8.</w:t>
            </w:r>
            <w:r w:rsidRPr="002E6ACA" w:rsidR="002E6ACA">
              <w:rPr>
                <w:rFonts w:eastAsiaTheme="minorEastAsia" w:cstheme="minorBidi"/>
              </w:rPr>
              <w:tab/>
            </w:r>
            <w:r w:rsidRPr="002E6ACA" w:rsidR="002E6ACA">
              <w:rPr>
                <w:rStyle w:val="Hyperlink"/>
              </w:rPr>
              <w:t>Assignment of Proceeding</w:t>
            </w:r>
            <w:r w:rsidRPr="002E6ACA" w:rsidR="002E6ACA">
              <w:rPr>
                <w:webHidden/>
              </w:rPr>
              <w:tab/>
            </w:r>
            <w:r w:rsidRPr="002E6ACA" w:rsidR="002E6ACA">
              <w:rPr>
                <w:webHidden/>
              </w:rPr>
              <w:fldChar w:fldCharType="begin"/>
            </w:r>
            <w:r w:rsidRPr="002E6ACA" w:rsidR="002E6ACA">
              <w:rPr>
                <w:webHidden/>
              </w:rPr>
              <w:instrText xml:space="preserve"> PAGEREF _Toc65585480 \h </w:instrText>
            </w:r>
            <w:r w:rsidRPr="002E6ACA" w:rsidR="002E6ACA">
              <w:rPr>
                <w:webHidden/>
              </w:rPr>
            </w:r>
            <w:r w:rsidRPr="002E6ACA" w:rsidR="002E6ACA">
              <w:rPr>
                <w:webHidden/>
              </w:rPr>
              <w:fldChar w:fldCharType="separate"/>
            </w:r>
            <w:r w:rsidR="006B7668">
              <w:rPr>
                <w:webHidden/>
              </w:rPr>
              <w:t>55</w:t>
            </w:r>
            <w:r w:rsidRPr="002E6ACA" w:rsidR="002E6ACA">
              <w:rPr>
                <w:webHidden/>
              </w:rPr>
              <w:fldChar w:fldCharType="end"/>
            </w:r>
          </w:hyperlink>
        </w:p>
        <w:p w:rsidRPr="002E6ACA" w:rsidR="002E6ACA" w:rsidRDefault="001C6354" w14:paraId="50D6870A" w14:textId="2FF5707B">
          <w:pPr>
            <w:pStyle w:val="TOC1"/>
            <w:rPr>
              <w:rFonts w:eastAsiaTheme="minorEastAsia" w:cstheme="minorBidi"/>
            </w:rPr>
          </w:pPr>
          <w:hyperlink w:history="1" w:anchor="_Toc65585481">
            <w:r w:rsidRPr="002E6ACA" w:rsidR="002E6ACA">
              <w:rPr>
                <w:rStyle w:val="Hyperlink"/>
              </w:rPr>
              <w:t>Findings of Fact</w:t>
            </w:r>
            <w:r w:rsidRPr="002E6ACA" w:rsidR="002E6ACA">
              <w:rPr>
                <w:webHidden/>
              </w:rPr>
              <w:tab/>
            </w:r>
            <w:r w:rsidRPr="002E6ACA" w:rsidR="002E6ACA">
              <w:rPr>
                <w:webHidden/>
              </w:rPr>
              <w:fldChar w:fldCharType="begin"/>
            </w:r>
            <w:r w:rsidRPr="002E6ACA" w:rsidR="002E6ACA">
              <w:rPr>
                <w:webHidden/>
              </w:rPr>
              <w:instrText xml:space="preserve"> PAGEREF _Toc65585481 \h </w:instrText>
            </w:r>
            <w:r w:rsidRPr="002E6ACA" w:rsidR="002E6ACA">
              <w:rPr>
                <w:webHidden/>
              </w:rPr>
            </w:r>
            <w:r w:rsidRPr="002E6ACA" w:rsidR="002E6ACA">
              <w:rPr>
                <w:webHidden/>
              </w:rPr>
              <w:fldChar w:fldCharType="separate"/>
            </w:r>
            <w:r w:rsidR="006B7668">
              <w:rPr>
                <w:webHidden/>
              </w:rPr>
              <w:t>55</w:t>
            </w:r>
            <w:r w:rsidRPr="002E6ACA" w:rsidR="002E6ACA">
              <w:rPr>
                <w:webHidden/>
              </w:rPr>
              <w:fldChar w:fldCharType="end"/>
            </w:r>
          </w:hyperlink>
        </w:p>
        <w:p w:rsidRPr="002E6ACA" w:rsidR="002E6ACA" w:rsidRDefault="001C6354" w14:paraId="51076525" w14:textId="0525C345">
          <w:pPr>
            <w:pStyle w:val="TOC1"/>
            <w:rPr>
              <w:rFonts w:eastAsiaTheme="minorEastAsia" w:cstheme="minorBidi"/>
            </w:rPr>
          </w:pPr>
          <w:hyperlink w:history="1" w:anchor="_Toc65585482">
            <w:r w:rsidRPr="002E6ACA" w:rsidR="002E6ACA">
              <w:rPr>
                <w:rStyle w:val="Hyperlink"/>
              </w:rPr>
              <w:t>Conclusions of Law</w:t>
            </w:r>
            <w:r w:rsidRPr="002E6ACA" w:rsidR="002E6ACA">
              <w:rPr>
                <w:webHidden/>
              </w:rPr>
              <w:tab/>
            </w:r>
            <w:r w:rsidRPr="002E6ACA" w:rsidR="002E6ACA">
              <w:rPr>
                <w:webHidden/>
              </w:rPr>
              <w:fldChar w:fldCharType="begin"/>
            </w:r>
            <w:r w:rsidRPr="002E6ACA" w:rsidR="002E6ACA">
              <w:rPr>
                <w:webHidden/>
              </w:rPr>
              <w:instrText xml:space="preserve"> PAGEREF _Toc65585482 \h </w:instrText>
            </w:r>
            <w:r w:rsidRPr="002E6ACA" w:rsidR="002E6ACA">
              <w:rPr>
                <w:webHidden/>
              </w:rPr>
            </w:r>
            <w:r w:rsidRPr="002E6ACA" w:rsidR="002E6ACA">
              <w:rPr>
                <w:webHidden/>
              </w:rPr>
              <w:fldChar w:fldCharType="separate"/>
            </w:r>
            <w:r w:rsidR="006B7668">
              <w:rPr>
                <w:webHidden/>
              </w:rPr>
              <w:t>57</w:t>
            </w:r>
            <w:r w:rsidRPr="002E6ACA" w:rsidR="002E6ACA">
              <w:rPr>
                <w:webHidden/>
              </w:rPr>
              <w:fldChar w:fldCharType="end"/>
            </w:r>
          </w:hyperlink>
        </w:p>
        <w:p w:rsidRPr="002E6ACA" w:rsidR="002E6ACA" w:rsidRDefault="001C6354" w14:paraId="23C02678" w14:textId="4700DE83">
          <w:pPr>
            <w:pStyle w:val="TOC1"/>
            <w:rPr>
              <w:rFonts w:eastAsiaTheme="minorEastAsia" w:cstheme="minorBidi"/>
            </w:rPr>
          </w:pPr>
          <w:hyperlink w:history="1" w:anchor="_Toc65585483">
            <w:r w:rsidRPr="002E6ACA" w:rsidR="002E6ACA">
              <w:rPr>
                <w:rStyle w:val="Hyperlink"/>
              </w:rPr>
              <w:t>ORDER</w:t>
            </w:r>
            <w:r w:rsidRPr="002E6ACA" w:rsidR="002E6ACA">
              <w:rPr>
                <w:webHidden/>
              </w:rPr>
              <w:tab/>
            </w:r>
            <w:r w:rsidRPr="002E6ACA" w:rsidR="002E6ACA">
              <w:rPr>
                <w:webHidden/>
              </w:rPr>
              <w:fldChar w:fldCharType="begin"/>
            </w:r>
            <w:r w:rsidRPr="002E6ACA" w:rsidR="002E6ACA">
              <w:rPr>
                <w:webHidden/>
              </w:rPr>
              <w:instrText xml:space="preserve"> PAGEREF _Toc65585483 \h </w:instrText>
            </w:r>
            <w:r w:rsidRPr="002E6ACA" w:rsidR="002E6ACA">
              <w:rPr>
                <w:webHidden/>
              </w:rPr>
            </w:r>
            <w:r w:rsidRPr="002E6ACA" w:rsidR="002E6ACA">
              <w:rPr>
                <w:webHidden/>
              </w:rPr>
              <w:fldChar w:fldCharType="separate"/>
            </w:r>
            <w:r w:rsidR="006B7668">
              <w:rPr>
                <w:webHidden/>
              </w:rPr>
              <w:t>59</w:t>
            </w:r>
            <w:r w:rsidRPr="002E6ACA" w:rsidR="002E6ACA">
              <w:rPr>
                <w:webHidden/>
              </w:rPr>
              <w:fldChar w:fldCharType="end"/>
            </w:r>
          </w:hyperlink>
        </w:p>
        <w:p w:rsidRPr="001D4FC4" w:rsidR="00D53C48" w:rsidP="001D4FC4" w:rsidRDefault="00D53C48" w14:paraId="6DC16932" w14:textId="517E5B78">
          <w:pPr>
            <w:tabs>
              <w:tab w:val="right" w:leader="dot" w:pos="9350"/>
            </w:tabs>
            <w:ind w:left="432" w:hanging="432"/>
            <w:rPr>
              <w:rFonts w:eastAsiaTheme="minorEastAsia"/>
              <w:szCs w:val="26"/>
            </w:rPr>
          </w:pPr>
          <w:r w:rsidRPr="00D53C48">
            <w:rPr>
              <w:rFonts w:eastAsiaTheme="minorEastAsia"/>
              <w:szCs w:val="26"/>
            </w:rPr>
            <w:fldChar w:fldCharType="end"/>
          </w:r>
        </w:p>
      </w:sdtContent>
    </w:sdt>
    <w:p w:rsidRPr="00D53C48" w:rsidR="00D53C48" w:rsidP="00D53C48" w:rsidRDefault="00D53C48" w14:paraId="2FED8C37" w14:textId="0BFC094B">
      <w:pPr>
        <w:rPr>
          <w:rFonts w:cs="Arial"/>
          <w:i/>
          <w:szCs w:val="26"/>
        </w:rPr>
        <w:sectPr w:rsidRPr="00D53C48" w:rsidR="00D53C48" w:rsidSect="009679C2">
          <w:headerReference w:type="default" r:id="rId9"/>
          <w:footerReference w:type="default" r:id="rId10"/>
          <w:pgSz w:w="12240" w:h="15840"/>
          <w:pgMar w:top="1728" w:right="1440" w:bottom="1440" w:left="1440" w:header="720" w:footer="720" w:gutter="0"/>
          <w:pgNumType w:fmt="lowerRoman" w:start="1"/>
          <w:cols w:space="720"/>
          <w:docGrid w:linePitch="360"/>
        </w:sectPr>
      </w:pPr>
    </w:p>
    <w:p w:rsidRPr="003C6093" w:rsidR="00F875E3" w:rsidP="00FD2F13" w:rsidRDefault="00F875E3" w14:paraId="26F40561" w14:textId="0F47630A">
      <w:pPr>
        <w:pStyle w:val="Dummy"/>
        <w:jc w:val="center"/>
        <w:rPr>
          <w:rFonts w:ascii="Helvetica" w:hAnsi="Helvetica" w:cs="Helvetica"/>
        </w:rPr>
      </w:pPr>
      <w:bookmarkStart w:name="_Toc62047557" w:id="3"/>
      <w:bookmarkStart w:name="_Toc65584633" w:id="4"/>
      <w:bookmarkStart w:name="_Toc65585449" w:id="5"/>
      <w:r w:rsidRPr="003C6093">
        <w:rPr>
          <w:rFonts w:ascii="Helvetica" w:hAnsi="Helvetica" w:cs="Helvetica"/>
        </w:rPr>
        <w:lastRenderedPageBreak/>
        <w:t xml:space="preserve">DECISION ON </w:t>
      </w:r>
      <w:r w:rsidRPr="00FD2F13">
        <w:t>TRACK</w:t>
      </w:r>
      <w:r w:rsidRPr="003C6093">
        <w:rPr>
          <w:rFonts w:ascii="Helvetica" w:hAnsi="Helvetica" w:cs="Helvetica"/>
        </w:rPr>
        <w:t xml:space="preserve"> </w:t>
      </w:r>
      <w:r w:rsidR="003D011A">
        <w:rPr>
          <w:rFonts w:ascii="Helvetica" w:hAnsi="Helvetica" w:cs="Helvetica"/>
        </w:rPr>
        <w:t>3</w:t>
      </w:r>
      <w:r w:rsidRPr="003C6093">
        <w:rPr>
          <w:rFonts w:ascii="Helvetica" w:hAnsi="Helvetica" w:cs="Helvetica"/>
        </w:rPr>
        <w:t xml:space="preserve"> ISSUES</w:t>
      </w:r>
      <w:bookmarkEnd w:id="3"/>
      <w:bookmarkEnd w:id="4"/>
      <w:bookmarkEnd w:id="5"/>
    </w:p>
    <w:p w:rsidRPr="003C6093" w:rsidR="0027207F" w:rsidP="0027207F" w:rsidRDefault="0027207F" w14:paraId="50D98958" w14:textId="4B7EDEAE">
      <w:pPr>
        <w:pStyle w:val="Dummy"/>
        <w:rPr>
          <w:rFonts w:ascii="Helvetica" w:hAnsi="Helvetica" w:cs="Helvetica"/>
        </w:rPr>
      </w:pPr>
      <w:bookmarkStart w:name="_Toc29213631" w:id="6"/>
      <w:bookmarkStart w:name="_Toc65585450" w:id="7"/>
      <w:r w:rsidRPr="003C6093">
        <w:rPr>
          <w:rFonts w:ascii="Helvetica" w:hAnsi="Helvetica" w:cs="Helvetica"/>
        </w:rPr>
        <w:t>Summary</w:t>
      </w:r>
      <w:bookmarkEnd w:id="2"/>
      <w:bookmarkEnd w:id="6"/>
      <w:bookmarkEnd w:id="7"/>
    </w:p>
    <w:p w:rsidR="0027207F" w:rsidP="000F70BF" w:rsidRDefault="0027207F" w14:paraId="4F36A574" w14:textId="2C609343">
      <w:pPr>
        <w:pStyle w:val="Standard0"/>
      </w:pPr>
      <w:r>
        <w:t xml:space="preserve">This decision adopts rules and requirements for implementation of </w:t>
      </w:r>
      <w:r w:rsidRPr="005173E7">
        <w:t>Senate</w:t>
      </w:r>
      <w:r w:rsidRPr="005173E7" w:rsidR="001D4AA9">
        <w:t> </w:t>
      </w:r>
      <w:r w:rsidRPr="005173E7">
        <w:t>Bill</w:t>
      </w:r>
      <w:r w:rsidRPr="005173E7" w:rsidR="00805070">
        <w:t> </w:t>
      </w:r>
      <w:r w:rsidRPr="005173E7">
        <w:t>1376</w:t>
      </w:r>
      <w:r>
        <w:t>, the “TNC Access for All Act.”  The Commis</w:t>
      </w:r>
      <w:r w:rsidR="00CC590A">
        <w:t xml:space="preserve">sion </w:t>
      </w:r>
      <w:r w:rsidR="0009404D">
        <w:t xml:space="preserve">addresses issues scoped </w:t>
      </w:r>
      <w:r w:rsidR="007B7E3D">
        <w:t>for</w:t>
      </w:r>
      <w:r w:rsidR="00CC590A">
        <w:t xml:space="preserve"> Track </w:t>
      </w:r>
      <w:r w:rsidR="00690854">
        <w:t>3</w:t>
      </w:r>
      <w:r w:rsidR="00CC590A">
        <w:t xml:space="preserve"> of this proceeding</w:t>
      </w:r>
      <w:r w:rsidR="002D670F">
        <w:t xml:space="preserve">, </w:t>
      </w:r>
      <w:r w:rsidR="006B0DF9">
        <w:t>including</w:t>
      </w:r>
      <w:r w:rsidR="002D670F">
        <w:t xml:space="preserve"> additional </w:t>
      </w:r>
      <w:r w:rsidR="00476F2D">
        <w:t>offset</w:t>
      </w:r>
      <w:r w:rsidR="002D670F">
        <w:t xml:space="preserve"> requirements for Transportation Network Companies and </w:t>
      </w:r>
      <w:r w:rsidR="00476F2D">
        <w:t xml:space="preserve">additional requirements for </w:t>
      </w:r>
      <w:r w:rsidR="008E296B">
        <w:t>A</w:t>
      </w:r>
      <w:r w:rsidR="002D670F">
        <w:t xml:space="preserve">ccess </w:t>
      </w:r>
      <w:r w:rsidR="008E296B">
        <w:t>P</w:t>
      </w:r>
      <w:r w:rsidR="002D670F">
        <w:t>roviders seeking funding</w:t>
      </w:r>
      <w:r w:rsidR="0009404D">
        <w:t>.</w:t>
      </w:r>
      <w:r w:rsidR="00CC590A">
        <w:t xml:space="preserve"> </w:t>
      </w:r>
    </w:p>
    <w:p w:rsidRPr="0027207F" w:rsidR="0027207F" w:rsidP="000F70BF" w:rsidRDefault="0027207F" w14:paraId="1E57C057" w14:textId="746631D8">
      <w:pPr>
        <w:pStyle w:val="Standard0"/>
      </w:pPr>
      <w:r>
        <w:t>This proceeding remains open.</w:t>
      </w:r>
    </w:p>
    <w:p w:rsidRPr="003C6093" w:rsidR="0027207F" w:rsidP="00224875" w:rsidRDefault="0027207F" w14:paraId="1FA32D72" w14:textId="77777777">
      <w:pPr>
        <w:pStyle w:val="Heading1"/>
        <w:keepLines/>
        <w:numPr>
          <w:ilvl w:val="0"/>
          <w:numId w:val="1"/>
        </w:numPr>
        <w:spacing w:before="0"/>
        <w:ind w:right="2160"/>
        <w:rPr>
          <w:rFonts w:cs="Helvetica"/>
        </w:rPr>
      </w:pPr>
      <w:bookmarkStart w:name="_Toc8123715" w:id="8"/>
      <w:bookmarkStart w:name="_Toc29213632" w:id="9"/>
      <w:bookmarkStart w:name="_Toc65585451" w:id="10"/>
      <w:r w:rsidRPr="003C6093">
        <w:rPr>
          <w:rFonts w:cs="Helvetica"/>
        </w:rPr>
        <w:t>Background</w:t>
      </w:r>
      <w:bookmarkEnd w:id="8"/>
      <w:bookmarkEnd w:id="9"/>
      <w:bookmarkEnd w:id="10"/>
    </w:p>
    <w:p w:rsidR="009030B5" w:rsidP="000F70BF" w:rsidRDefault="0027207F" w14:paraId="448E0C99" w14:textId="7C7A2EE5">
      <w:pPr>
        <w:pStyle w:val="Standard0"/>
      </w:pPr>
      <w:r>
        <w:t>The State Legislature enacted Senate Bill (SB)</w:t>
      </w:r>
      <w:r w:rsidR="00805070">
        <w:t> </w:t>
      </w:r>
      <w:r>
        <w:t>1376,</w:t>
      </w:r>
      <w:r w:rsidR="009030B5">
        <w:rPr>
          <w:rStyle w:val="FootnoteReference"/>
          <w:szCs w:val="26"/>
        </w:rPr>
        <w:footnoteReference w:id="1"/>
      </w:r>
      <w:r>
        <w:rPr>
          <w:sz w:val="17"/>
          <w:szCs w:val="17"/>
        </w:rPr>
        <w:t xml:space="preserve"> </w:t>
      </w:r>
      <w:r w:rsidR="00631C9F">
        <w:t>the “TNC Access for All Act</w:t>
      </w:r>
      <w:r w:rsidR="00F370EC">
        <w:t>,</w:t>
      </w:r>
      <w:r>
        <w:t>” which requires Transportation Network Companies (TNCs) to provide services accessible to persons with disabilities through online-enabled applications or platforms, with a primary focus on wheelchair users who require a wheelchair accessible vehicle.  Public Utilities (Pub. Util.) Code § 5431.5(b)</w:t>
      </w:r>
      <w:r w:rsidR="009030B5">
        <w:rPr>
          <w:rStyle w:val="FootnoteReference"/>
          <w:szCs w:val="26"/>
        </w:rPr>
        <w:footnoteReference w:id="2"/>
      </w:r>
      <w:r w:rsidR="009030B5">
        <w:rPr>
          <w:sz w:val="17"/>
          <w:szCs w:val="17"/>
        </w:rPr>
        <w:t xml:space="preserve"> </w:t>
      </w:r>
      <w:r>
        <w:t xml:space="preserve">defines a wheelchair accessible vehicle (WAV) as “a vehicle equipped with a ramp or lift capable of transporting nonfolding motorized wheelchairs, mobility scooters, or other mobility devices.” </w:t>
      </w:r>
      <w:r w:rsidR="00805070">
        <w:t xml:space="preserve"> </w:t>
      </w:r>
      <w:r w:rsidR="009030B5">
        <w:t>Additional information on the background of SB 1376 can be found in the Order Instituting Rulemaking (OIR)</w:t>
      </w:r>
      <w:r w:rsidR="0009404D">
        <w:t xml:space="preserve"> for this proceeding</w:t>
      </w:r>
      <w:r w:rsidR="00F370EC">
        <w:t xml:space="preserve">, </w:t>
      </w:r>
      <w:r w:rsidR="0009404D">
        <w:t>Decision (D.)</w:t>
      </w:r>
      <w:r w:rsidR="00805070">
        <w:t> </w:t>
      </w:r>
      <w:r w:rsidR="0009404D">
        <w:t>19-06-033</w:t>
      </w:r>
      <w:r w:rsidR="00F370EC">
        <w:t>, and D.20-03-007</w:t>
      </w:r>
      <w:r w:rsidR="009030B5">
        <w:t>.</w:t>
      </w:r>
    </w:p>
    <w:p w:rsidR="00E1204C" w:rsidP="000F70BF" w:rsidRDefault="009030B5" w14:paraId="3C460CD4" w14:textId="1420A27C">
      <w:pPr>
        <w:pStyle w:val="Standard0"/>
      </w:pPr>
      <w:r w:rsidRPr="000F70BF">
        <w:t>On March 4, 2019, the Commission opened an OIR to implement SB 1376.  On May 7, 2019, a Scoping Memo and Ruling (Scoping Memo) was issued by the assigned Commissioner that identified the issues to be addressed in this</w:t>
      </w:r>
      <w:r>
        <w:t xml:space="preserve"> </w:t>
      </w:r>
      <w:r>
        <w:lastRenderedPageBreak/>
        <w:t>proceeding and established three tracks for the issues in this proceeding (Tracks</w:t>
      </w:r>
      <w:r w:rsidR="00805070">
        <w:t> </w:t>
      </w:r>
      <w:r>
        <w:t>1, 2, and 3).</w:t>
      </w:r>
    </w:p>
    <w:p w:rsidRPr="000F70BF" w:rsidR="00690854" w:rsidP="000F70BF" w:rsidRDefault="0009404D" w14:paraId="0D5FF794" w14:textId="2551E679">
      <w:pPr>
        <w:pStyle w:val="Standard0"/>
      </w:pPr>
      <w:r w:rsidRPr="000F70BF">
        <w:t>On June 27, 2019, t</w:t>
      </w:r>
      <w:r w:rsidRPr="000F70BF" w:rsidR="009030B5">
        <w:t xml:space="preserve">he </w:t>
      </w:r>
      <w:r w:rsidRPr="000F70BF">
        <w:t>Commission adopted D.19-06-033 addressing Track 1 issues</w:t>
      </w:r>
      <w:r w:rsidRPr="000F70BF" w:rsidR="009030B5">
        <w:t xml:space="preserve">. </w:t>
      </w:r>
      <w:r w:rsidRPr="000F70BF" w:rsidR="00805070">
        <w:t xml:space="preserve"> </w:t>
      </w:r>
      <w:r w:rsidRPr="000F70BF" w:rsidR="00F370EC">
        <w:t>D.19-06-033</w:t>
      </w:r>
      <w:r w:rsidRPr="000F70BF" w:rsidR="009030B5">
        <w:t xml:space="preserve"> </w:t>
      </w:r>
      <w:r w:rsidRPr="000F70BF" w:rsidR="00E1204C">
        <w:t>adopted requirements for the establishment of the TNC Access for All Fund</w:t>
      </w:r>
      <w:r w:rsidRPr="000F70BF" w:rsidR="00196299">
        <w:t xml:space="preserve"> (Access Fund)</w:t>
      </w:r>
      <w:r w:rsidRPr="000F70BF" w:rsidR="00E1204C">
        <w:t>, including the requirement that TNCs charge a $0.10 per-trip fee for each TNC trip completed</w:t>
      </w:r>
      <w:r w:rsidRPr="000F70BF" w:rsidR="00387E2B">
        <w:t xml:space="preserve"> and </w:t>
      </w:r>
      <w:r w:rsidRPr="000F70BF" w:rsidR="00F370EC">
        <w:t xml:space="preserve">the designation of </w:t>
      </w:r>
      <w:r w:rsidRPr="000F70BF" w:rsidR="00E1204C">
        <w:t xml:space="preserve">geographic areas for the Access Fund as each county in California. </w:t>
      </w:r>
      <w:r w:rsidRPr="000F70BF" w:rsidR="00F40B10">
        <w:t xml:space="preserve"> </w:t>
      </w:r>
      <w:r w:rsidRPr="000F70BF" w:rsidR="00E1204C">
        <w:t xml:space="preserve">On </w:t>
      </w:r>
      <w:r w:rsidRPr="000F70BF" w:rsidR="00690854">
        <w:t>March</w:t>
      </w:r>
      <w:r w:rsidRPr="000F70BF" w:rsidR="00805070">
        <w:t> </w:t>
      </w:r>
      <w:r w:rsidRPr="000F70BF" w:rsidR="00690854">
        <w:t>19,</w:t>
      </w:r>
      <w:r w:rsidRPr="000F70BF" w:rsidR="00805070">
        <w:t> </w:t>
      </w:r>
      <w:r w:rsidRPr="000F70BF" w:rsidR="00690854">
        <w:t>2020</w:t>
      </w:r>
      <w:r w:rsidRPr="000F70BF" w:rsidR="00E1204C">
        <w:t>,</w:t>
      </w:r>
      <w:r w:rsidRPr="000F70BF" w:rsidR="00690854">
        <w:t xml:space="preserve"> the Commission adopted D.20-03-007</w:t>
      </w:r>
      <w:r w:rsidRPr="000F70BF" w:rsidR="00F370EC">
        <w:t>, which addressed</w:t>
      </w:r>
      <w:r w:rsidRPr="000F70BF" w:rsidR="00690854">
        <w:t xml:space="preserve"> Track 2 issues.</w:t>
      </w:r>
      <w:r w:rsidRPr="000F70BF" w:rsidR="00E1204C">
        <w:t xml:space="preserve"> </w:t>
      </w:r>
      <w:r w:rsidRPr="000F70BF" w:rsidR="00690854">
        <w:t xml:space="preserve"> </w:t>
      </w:r>
      <w:r w:rsidRPr="000F70BF" w:rsidR="00F370EC">
        <w:t>D.20-03-007</w:t>
      </w:r>
      <w:r w:rsidRPr="000F70BF" w:rsidR="00690854">
        <w:t xml:space="preserve"> </w:t>
      </w:r>
      <w:r w:rsidRPr="000F70BF" w:rsidR="00476F2D">
        <w:t>generally</w:t>
      </w:r>
      <w:r w:rsidRPr="000F70BF" w:rsidR="00F370EC">
        <w:t xml:space="preserve"> </w:t>
      </w:r>
      <w:r w:rsidRPr="000F70BF" w:rsidR="00690854">
        <w:t xml:space="preserve">adopted requirements for offset eligibility and exemption eligibility, </w:t>
      </w:r>
      <w:r w:rsidRPr="000F70BF" w:rsidR="00F370EC">
        <w:t>as well as</w:t>
      </w:r>
      <w:r w:rsidRPr="000F70BF" w:rsidR="00F40B10">
        <w:t xml:space="preserve"> </w:t>
      </w:r>
      <w:r w:rsidRPr="000F70BF" w:rsidR="00690854">
        <w:t xml:space="preserve">requirements for </w:t>
      </w:r>
      <w:r w:rsidRPr="000F70BF" w:rsidR="00F40B10">
        <w:t>Access Fund disbursement.</w:t>
      </w:r>
    </w:p>
    <w:p w:rsidRPr="00F370EC" w:rsidR="00E1204C" w:rsidP="000F70BF" w:rsidRDefault="00F40B10" w14:paraId="1795B687" w14:textId="4AC4D7C8">
      <w:pPr>
        <w:pStyle w:val="Standard0"/>
      </w:pPr>
      <w:r w:rsidRPr="000F70BF">
        <w:t xml:space="preserve">On April 21, 2020, the assigned Commissioner issued an Amended Scoping Memo and Ruling (Amended Scoping Memo) that set forth the Track 3 schedule and scope. </w:t>
      </w:r>
      <w:r w:rsidRPr="000F70BF" w:rsidR="00805070">
        <w:t xml:space="preserve"> </w:t>
      </w:r>
      <w:r w:rsidRPr="000F70BF" w:rsidR="002321DB">
        <w:t xml:space="preserve">Track </w:t>
      </w:r>
      <w:r w:rsidRPr="000F70BF">
        <w:t>3</w:t>
      </w:r>
      <w:r w:rsidRPr="000F70BF" w:rsidR="002321DB">
        <w:t xml:space="preserve"> </w:t>
      </w:r>
      <w:r w:rsidRPr="000F70BF" w:rsidR="00E1204C">
        <w:t xml:space="preserve">proposals were submitted </w:t>
      </w:r>
      <w:r w:rsidRPr="000F70BF" w:rsidR="00267BFD">
        <w:t xml:space="preserve">on June 30, 2020 </w:t>
      </w:r>
      <w:r w:rsidRPr="000F70BF" w:rsidR="00E1204C">
        <w:t>by</w:t>
      </w:r>
      <w:r w:rsidRPr="000F70BF" w:rsidR="00267BFD">
        <w:t xml:space="preserve">: </w:t>
      </w:r>
      <w:r w:rsidRPr="000F70BF" w:rsidR="00F370EC">
        <w:t xml:space="preserve">the </w:t>
      </w:r>
      <w:r w:rsidRPr="000F70BF" w:rsidR="00E1204C">
        <w:t xml:space="preserve">Consumer Protection and Enforcement Division (CPED); </w:t>
      </w:r>
      <w:r w:rsidRPr="000F70BF" w:rsidR="0009404D">
        <w:t xml:space="preserve">the </w:t>
      </w:r>
      <w:r w:rsidRPr="000F70BF" w:rsidR="00E1204C">
        <w:t xml:space="preserve">Disability Rights Education </w:t>
      </w:r>
      <w:r w:rsidRPr="000F70BF" w:rsidR="00D548BB">
        <w:t>&amp;</w:t>
      </w:r>
      <w:r w:rsidRPr="000F70BF" w:rsidR="00E1204C">
        <w:t xml:space="preserve"> Defense</w:t>
      </w:r>
      <w:r w:rsidRPr="000F70BF" w:rsidR="00D548BB">
        <w:t xml:space="preserve"> Fund</w:t>
      </w:r>
      <w:r w:rsidRPr="000F70BF" w:rsidR="00E1204C">
        <w:t>, Disability Rights California, and Center for Accessible Technology (collectively, Disability Advocates); Lyft, Inc. (Lyft); Marin Transit; the San Francisco Municipal Transportation Agency, San</w:t>
      </w:r>
      <w:r w:rsidR="00D24289">
        <w:t> </w:t>
      </w:r>
      <w:r w:rsidRPr="000F70BF" w:rsidR="00E1204C">
        <w:t>Francisco County Transportation Authority, and San Francisco Mayor’s Office on Disability (collectively, San Francisco); San Francisco Taxi Workers Alliance (SFTWA); Uber Technologies, Inc. (Uber)</w:t>
      </w:r>
      <w:r w:rsidRPr="000F70BF" w:rsidR="003916D9">
        <w:t>; and Via Transportation, Inc. (Via)</w:t>
      </w:r>
      <w:r w:rsidRPr="000F70BF" w:rsidR="00E1204C">
        <w:t xml:space="preserve">. </w:t>
      </w:r>
    </w:p>
    <w:p w:rsidRPr="000F70BF" w:rsidR="00E1204C" w:rsidP="000F70BF" w:rsidRDefault="00E1204C" w14:paraId="53DA6FC4" w14:textId="7C96E028">
      <w:pPr>
        <w:pStyle w:val="Standard0"/>
      </w:pPr>
      <w:r w:rsidRPr="000F70BF">
        <w:t xml:space="preserve">A workshop on Track </w:t>
      </w:r>
      <w:r w:rsidRPr="000F70BF" w:rsidR="00267BFD">
        <w:t>3</w:t>
      </w:r>
      <w:r w:rsidRPr="000F70BF">
        <w:t xml:space="preserve"> proposals was held on</w:t>
      </w:r>
      <w:r w:rsidRPr="000F70BF" w:rsidR="00F370EC">
        <w:t xml:space="preserve"> July 24, 2020</w:t>
      </w:r>
      <w:r w:rsidRPr="000F70BF">
        <w:t xml:space="preserve">. </w:t>
      </w:r>
      <w:r w:rsidRPr="000F70BF" w:rsidR="00476F2D">
        <w:t xml:space="preserve"> </w:t>
      </w:r>
      <w:r w:rsidRPr="000F70BF" w:rsidR="00BA149E">
        <w:t xml:space="preserve">Comments on the workshop and proposals </w:t>
      </w:r>
      <w:r w:rsidRPr="000F70BF" w:rsidR="00D548BB">
        <w:t>were</w:t>
      </w:r>
      <w:r w:rsidRPr="000F70BF" w:rsidR="00BA149E">
        <w:t xml:space="preserve"> filed on </w:t>
      </w:r>
      <w:r w:rsidRPr="000F70BF" w:rsidR="0054027A">
        <w:t>August 14, 2020</w:t>
      </w:r>
      <w:r w:rsidR="00310D4F">
        <w:t xml:space="preserve"> by</w:t>
      </w:r>
      <w:r w:rsidRPr="000F70BF" w:rsidR="00F370EC">
        <w:t>:</w:t>
      </w:r>
      <w:r w:rsidRPr="000F70BF" w:rsidR="00476F2D">
        <w:t xml:space="preserve"> </w:t>
      </w:r>
      <w:r w:rsidRPr="000F70BF" w:rsidR="00805070">
        <w:t xml:space="preserve"> </w:t>
      </w:r>
      <w:r w:rsidRPr="000F70BF" w:rsidR="0054027A">
        <w:t>Disability Advocates</w:t>
      </w:r>
      <w:r w:rsidRPr="000F70BF" w:rsidR="00BA149E">
        <w:t>,</w:t>
      </w:r>
      <w:r w:rsidRPr="000F70BF" w:rsidR="0054027A">
        <w:t xml:space="preserve"> Los Angeles County Metropolitan Transportation Authority </w:t>
      </w:r>
      <w:r w:rsidRPr="005173E7" w:rsidR="0054027A">
        <w:t>(</w:t>
      </w:r>
      <w:r w:rsidRPr="005173E7" w:rsidR="003916D9">
        <w:t>LA</w:t>
      </w:r>
      <w:r w:rsidRPr="005173E7" w:rsidR="001D4AA9">
        <w:t> </w:t>
      </w:r>
      <w:r w:rsidRPr="005173E7" w:rsidR="003916D9">
        <w:t>Metro</w:t>
      </w:r>
      <w:r w:rsidRPr="000F70BF" w:rsidR="0054027A">
        <w:t>), Lyft,</w:t>
      </w:r>
      <w:r w:rsidRPr="000F70BF" w:rsidR="00BA149E">
        <w:t xml:space="preserve"> </w:t>
      </w:r>
      <w:r w:rsidRPr="000F70BF" w:rsidR="0054027A">
        <w:t>San Francisco</w:t>
      </w:r>
      <w:r w:rsidRPr="000F70BF" w:rsidR="00BA149E">
        <w:t xml:space="preserve">, SFTWA, Uber, </w:t>
      </w:r>
      <w:r w:rsidRPr="000F70BF" w:rsidR="0054027A">
        <w:t xml:space="preserve">and </w:t>
      </w:r>
      <w:r w:rsidRPr="000F70BF" w:rsidR="00BA149E">
        <w:t xml:space="preserve">Via. </w:t>
      </w:r>
      <w:r w:rsidRPr="000F70BF" w:rsidR="00071087">
        <w:t xml:space="preserve"> </w:t>
      </w:r>
      <w:r w:rsidRPr="000F70BF" w:rsidR="00BA149E">
        <w:t xml:space="preserve">Reply comments were </w:t>
      </w:r>
      <w:r w:rsidRPr="000F70BF" w:rsidR="00BA149E">
        <w:lastRenderedPageBreak/>
        <w:t>filed</w:t>
      </w:r>
      <w:r w:rsidR="00BA149E">
        <w:rPr>
          <w:szCs w:val="26"/>
        </w:rPr>
        <w:t xml:space="preserve"> </w:t>
      </w:r>
      <w:r w:rsidRPr="000F70BF" w:rsidR="00BA149E">
        <w:t xml:space="preserve">on </w:t>
      </w:r>
      <w:r w:rsidRPr="000F70BF" w:rsidR="0054027A">
        <w:t>August 28, 2020</w:t>
      </w:r>
      <w:r w:rsidRPr="000F70BF" w:rsidR="00BA149E">
        <w:t xml:space="preserve"> by </w:t>
      </w:r>
      <w:r w:rsidRPr="000F70BF" w:rsidR="0054027A">
        <w:t>Disability Advocates</w:t>
      </w:r>
      <w:r w:rsidRPr="000F70BF" w:rsidR="003F4167">
        <w:t xml:space="preserve">, Lyft, </w:t>
      </w:r>
      <w:r w:rsidRPr="000F70BF" w:rsidR="0054027A">
        <w:t>San Francisco</w:t>
      </w:r>
      <w:r w:rsidRPr="000F70BF" w:rsidR="003F4167">
        <w:t>, SFTWA, Uber</w:t>
      </w:r>
      <w:r w:rsidRPr="000F70BF" w:rsidR="009747FF">
        <w:t>, and Via</w:t>
      </w:r>
      <w:r w:rsidRPr="000F70BF" w:rsidR="003F4167">
        <w:t xml:space="preserve">. </w:t>
      </w:r>
    </w:p>
    <w:p w:rsidRPr="003C6093" w:rsidR="00E1204C" w:rsidP="00224875" w:rsidRDefault="00E1204C" w14:paraId="56BD99F8" w14:textId="6957A867">
      <w:pPr>
        <w:pStyle w:val="Heading1"/>
        <w:keepLines/>
        <w:numPr>
          <w:ilvl w:val="0"/>
          <w:numId w:val="1"/>
        </w:numPr>
        <w:spacing w:before="0"/>
        <w:ind w:right="2160"/>
        <w:rPr>
          <w:rFonts w:cs="Helvetica"/>
        </w:rPr>
      </w:pPr>
      <w:bookmarkStart w:name="_Toc29213633" w:id="11"/>
      <w:bookmarkStart w:name="_Toc65585452" w:id="12"/>
      <w:bookmarkStart w:name="_Toc8123721" w:id="13"/>
      <w:r w:rsidRPr="003C6093">
        <w:rPr>
          <w:rFonts w:cs="Helvetica"/>
        </w:rPr>
        <w:t>Issues Before the Commission</w:t>
      </w:r>
      <w:bookmarkEnd w:id="11"/>
      <w:bookmarkEnd w:id="12"/>
    </w:p>
    <w:p w:rsidR="00425311" w:rsidP="00466992" w:rsidRDefault="00BA149E" w14:paraId="7F0A505A" w14:textId="5907D2DA">
      <w:pPr>
        <w:pStyle w:val="Standard0"/>
      </w:pPr>
      <w:bookmarkStart w:name="_Toc29041825" w:id="14"/>
      <w:bookmarkStart w:name="_Toc29213634" w:id="15"/>
      <w:r>
        <w:t xml:space="preserve">The </w:t>
      </w:r>
      <w:r w:rsidR="00425311">
        <w:t xml:space="preserve">Amended Scoping Memo identified the following issues </w:t>
      </w:r>
      <w:r w:rsidR="00070CF1">
        <w:t>for</w:t>
      </w:r>
      <w:r w:rsidR="00425311">
        <w:t xml:space="preserve"> Track</w:t>
      </w:r>
      <w:r w:rsidR="00125B2A">
        <w:t xml:space="preserve"> </w:t>
      </w:r>
      <w:r w:rsidR="00425311">
        <w:t>3</w:t>
      </w:r>
      <w:r w:rsidR="00AB68D7">
        <w:t>, summarized below</w:t>
      </w:r>
      <w:r w:rsidR="00425311">
        <w:t>:</w:t>
      </w:r>
      <w:bookmarkEnd w:id="14"/>
      <w:bookmarkEnd w:id="15"/>
    </w:p>
    <w:p w:rsidRPr="004E519B" w:rsidR="00425311" w:rsidP="004E519B" w:rsidRDefault="00425311" w14:paraId="34785020" w14:textId="7D99177B">
      <w:pPr>
        <w:pStyle w:val="Standard0"/>
        <w:numPr>
          <w:ilvl w:val="0"/>
          <w:numId w:val="12"/>
        </w:numPr>
        <w:spacing w:after="120" w:line="240" w:lineRule="auto"/>
        <w:ind w:left="1080" w:right="1440"/>
      </w:pPr>
      <w:r w:rsidRPr="004E519B">
        <w:rPr>
          <w:rFonts w:cs="BookAntiqua"/>
        </w:rPr>
        <w:t>TNC Offset Requirements</w:t>
      </w:r>
      <w:r w:rsidRPr="004E519B" w:rsidR="008E6B9F">
        <w:rPr>
          <w:rFonts w:cs="BookAntiqua"/>
        </w:rPr>
        <w:t>.</w:t>
      </w:r>
    </w:p>
    <w:p w:rsidRPr="005C1AC1" w:rsidR="00425311" w:rsidP="005C1AC1" w:rsidRDefault="00AB68D7" w14:paraId="4E98FB23" w14:textId="10596E00">
      <w:pPr>
        <w:pStyle w:val="ListParagraph"/>
        <w:numPr>
          <w:ilvl w:val="1"/>
          <w:numId w:val="12"/>
        </w:numPr>
        <w:spacing w:after="120"/>
        <w:ind w:right="1440"/>
        <w:rPr>
          <w:bCs/>
        </w:rPr>
      </w:pPr>
      <w:r w:rsidRPr="005C1AC1">
        <w:rPr>
          <w:rFonts w:cs="BookAntiqua"/>
          <w:bCs/>
        </w:rPr>
        <w:t>P</w:t>
      </w:r>
      <w:r w:rsidRPr="005C1AC1" w:rsidR="00425311">
        <w:rPr>
          <w:rFonts w:cs="BookAntiqua"/>
          <w:bCs/>
        </w:rPr>
        <w:t xml:space="preserve">ursuant to § 5440.5(a)(1)(B)(II), should qualifying expenses be limited to the “incremental costs” of providing WAV service? </w:t>
      </w:r>
      <w:r w:rsidR="00805070">
        <w:rPr>
          <w:rFonts w:cs="BookAntiqua"/>
          <w:bCs/>
        </w:rPr>
        <w:t xml:space="preserve"> </w:t>
      </w:r>
      <w:r w:rsidRPr="005C1AC1" w:rsidR="00425311">
        <w:rPr>
          <w:rFonts w:cs="BookAntiqua"/>
          <w:bCs/>
        </w:rPr>
        <w:t xml:space="preserve">What method should </w:t>
      </w:r>
      <w:r w:rsidRPr="005C1AC1">
        <w:rPr>
          <w:rFonts w:cs="BookAntiqua"/>
          <w:bCs/>
        </w:rPr>
        <w:t>be</w:t>
      </w:r>
      <w:r w:rsidRPr="005C1AC1" w:rsidR="00425311">
        <w:rPr>
          <w:rFonts w:cs="BookAntiqua"/>
          <w:bCs/>
        </w:rPr>
        <w:t xml:space="preserve"> use</w:t>
      </w:r>
      <w:r w:rsidRPr="005C1AC1">
        <w:rPr>
          <w:rFonts w:cs="BookAntiqua"/>
          <w:bCs/>
        </w:rPr>
        <w:t>d</w:t>
      </w:r>
      <w:r w:rsidRPr="005C1AC1" w:rsidR="00425311">
        <w:rPr>
          <w:rFonts w:cs="BookAntiqua"/>
          <w:bCs/>
        </w:rPr>
        <w:t xml:space="preserve"> to calculate “incremental costs”?</w:t>
      </w:r>
    </w:p>
    <w:p w:rsidRPr="005C1AC1" w:rsidR="00425311" w:rsidP="005C1AC1" w:rsidRDefault="00AB68D7" w14:paraId="4759F0EF" w14:textId="34A19398">
      <w:pPr>
        <w:pStyle w:val="ListParagraph"/>
        <w:numPr>
          <w:ilvl w:val="1"/>
          <w:numId w:val="12"/>
        </w:numPr>
        <w:spacing w:after="120"/>
        <w:ind w:right="1440"/>
        <w:rPr>
          <w:rFonts w:cs="BookAntiqua"/>
          <w:bCs/>
        </w:rPr>
      </w:pPr>
      <w:r w:rsidRPr="005C1AC1">
        <w:rPr>
          <w:rFonts w:cs="BookAntiqua"/>
          <w:bCs/>
        </w:rPr>
        <w:t xml:space="preserve">What </w:t>
      </w:r>
      <w:r w:rsidRPr="005C1AC1" w:rsidR="00425311">
        <w:rPr>
          <w:rFonts w:cs="BookAntiqua"/>
          <w:bCs/>
        </w:rPr>
        <w:t xml:space="preserve">other measures, if any, should be </w:t>
      </w:r>
      <w:r w:rsidRPr="005C1AC1">
        <w:rPr>
          <w:rFonts w:cs="BookAntiqua"/>
          <w:bCs/>
        </w:rPr>
        <w:t>adopted</w:t>
      </w:r>
      <w:r w:rsidRPr="005C1AC1" w:rsidR="00425311">
        <w:rPr>
          <w:rFonts w:cs="BookAntiqua"/>
          <w:bCs/>
        </w:rPr>
        <w:t xml:space="preserve"> </w:t>
      </w:r>
      <w:r w:rsidRPr="005C1AC1">
        <w:rPr>
          <w:rFonts w:cs="BookAntiqua"/>
          <w:bCs/>
        </w:rPr>
        <w:t>to</w:t>
      </w:r>
      <w:r w:rsidRPr="005C1AC1" w:rsidR="00425311">
        <w:rPr>
          <w:rFonts w:cs="BookAntiqua"/>
          <w:bCs/>
        </w:rPr>
        <w:t xml:space="preserve"> demonstrat</w:t>
      </w:r>
      <w:r w:rsidRPr="005C1AC1">
        <w:rPr>
          <w:rFonts w:cs="BookAntiqua"/>
          <w:bCs/>
        </w:rPr>
        <w:t>e</w:t>
      </w:r>
      <w:r w:rsidRPr="005C1AC1" w:rsidR="00425311">
        <w:rPr>
          <w:rFonts w:cs="BookAntiqua"/>
          <w:bCs/>
        </w:rPr>
        <w:t xml:space="preserve"> “improved level of service” </w:t>
      </w:r>
      <w:r w:rsidRPr="005C1AC1">
        <w:rPr>
          <w:rFonts w:cs="BookAntiqua"/>
          <w:bCs/>
        </w:rPr>
        <w:t>(</w:t>
      </w:r>
      <w:r w:rsidRPr="005C1AC1">
        <w:rPr>
          <w:rFonts w:cs="BookAntiqua"/>
          <w:bCs/>
          <w:i/>
          <w:iCs/>
        </w:rPr>
        <w:t>e.g</w:t>
      </w:r>
      <w:r w:rsidRPr="005C1AC1">
        <w:rPr>
          <w:rFonts w:cs="BookAntiqua"/>
          <w:bCs/>
        </w:rPr>
        <w:t xml:space="preserve">., </w:t>
      </w:r>
      <w:r w:rsidRPr="005C1AC1" w:rsidR="00425311">
        <w:rPr>
          <w:rFonts w:cs="BookAntiqua"/>
          <w:bCs/>
        </w:rPr>
        <w:t>an increase in the number of WAV trips offered or an expansion of the “zone of service</w:t>
      </w:r>
      <w:r w:rsidRPr="005C1AC1">
        <w:rPr>
          <w:rFonts w:cs="BookAntiqua"/>
          <w:bCs/>
        </w:rPr>
        <w:t>”)?</w:t>
      </w:r>
    </w:p>
    <w:p w:rsidR="00425311" w:rsidP="004E519B" w:rsidRDefault="00425311" w14:paraId="591A30DA" w14:textId="77777777">
      <w:pPr>
        <w:pStyle w:val="Standard0"/>
        <w:numPr>
          <w:ilvl w:val="0"/>
          <w:numId w:val="12"/>
        </w:numPr>
        <w:spacing w:after="120" w:line="240" w:lineRule="auto"/>
        <w:ind w:left="1080" w:right="1440"/>
        <w:rPr>
          <w:rFonts w:cs="BookAntiqua"/>
          <w:szCs w:val="26"/>
        </w:rPr>
      </w:pPr>
      <w:r w:rsidRPr="00425311">
        <w:rPr>
          <w:rFonts w:cs="BookAntiqua"/>
          <w:szCs w:val="26"/>
        </w:rPr>
        <w:t>Access Fund Disbursements.</w:t>
      </w:r>
    </w:p>
    <w:p w:rsidR="00425311" w:rsidP="005C1AC1" w:rsidRDefault="00425311" w14:paraId="5EB31952" w14:textId="1577280E">
      <w:pPr>
        <w:pStyle w:val="ListParagraph"/>
        <w:numPr>
          <w:ilvl w:val="1"/>
          <w:numId w:val="12"/>
        </w:numPr>
        <w:spacing w:after="120"/>
        <w:ind w:right="1440"/>
        <w:rPr>
          <w:rFonts w:cs="BookAntiqua"/>
          <w:szCs w:val="26"/>
        </w:rPr>
      </w:pPr>
      <w:r w:rsidRPr="00425311">
        <w:rPr>
          <w:rFonts w:cs="BookAntiqua"/>
          <w:szCs w:val="26"/>
        </w:rPr>
        <w:t>Should a minimum or maximum amount of funding be</w:t>
      </w:r>
      <w:r>
        <w:rPr>
          <w:rFonts w:cs="BookAntiqua"/>
          <w:szCs w:val="26"/>
        </w:rPr>
        <w:t xml:space="preserve"> </w:t>
      </w:r>
      <w:r w:rsidRPr="00425311">
        <w:rPr>
          <w:rFonts w:cs="BookAntiqua"/>
          <w:szCs w:val="26"/>
        </w:rPr>
        <w:t xml:space="preserve">disbursed to an </w:t>
      </w:r>
      <w:r w:rsidR="001B00FA">
        <w:rPr>
          <w:rFonts w:cs="BookAntiqua"/>
          <w:szCs w:val="26"/>
        </w:rPr>
        <w:t>A</w:t>
      </w:r>
      <w:r w:rsidRPr="00425311">
        <w:rPr>
          <w:rFonts w:cs="BookAntiqua"/>
          <w:szCs w:val="26"/>
        </w:rPr>
        <w:t xml:space="preserve">ccess </w:t>
      </w:r>
      <w:r w:rsidR="001B00FA">
        <w:rPr>
          <w:rFonts w:cs="BookAntiqua"/>
          <w:szCs w:val="26"/>
        </w:rPr>
        <w:t>P</w:t>
      </w:r>
      <w:r w:rsidRPr="00425311">
        <w:rPr>
          <w:rFonts w:cs="BookAntiqua"/>
          <w:szCs w:val="26"/>
        </w:rPr>
        <w:t>rovider in response to an</w:t>
      </w:r>
      <w:r>
        <w:rPr>
          <w:rFonts w:cs="BookAntiqua"/>
          <w:szCs w:val="26"/>
        </w:rPr>
        <w:t xml:space="preserve"> </w:t>
      </w:r>
      <w:r w:rsidRPr="00425311">
        <w:rPr>
          <w:rFonts w:cs="BookAntiqua"/>
          <w:szCs w:val="26"/>
        </w:rPr>
        <w:t>application?</w:t>
      </w:r>
    </w:p>
    <w:p w:rsidR="00425311" w:rsidP="005C1AC1" w:rsidRDefault="00425311" w14:paraId="1B6A8606" w14:textId="4CA48CB3">
      <w:pPr>
        <w:pStyle w:val="ListParagraph"/>
        <w:numPr>
          <w:ilvl w:val="1"/>
          <w:numId w:val="12"/>
        </w:numPr>
        <w:spacing w:after="120"/>
        <w:ind w:right="1440"/>
        <w:rPr>
          <w:rFonts w:cs="BookAntiqua"/>
          <w:szCs w:val="26"/>
        </w:rPr>
      </w:pPr>
      <w:r w:rsidRPr="00425311">
        <w:rPr>
          <w:rFonts w:cs="BookAntiqua"/>
          <w:szCs w:val="26"/>
        </w:rPr>
        <w:t>Should the Commission prescribe what purposes</w:t>
      </w:r>
      <w:r>
        <w:rPr>
          <w:rFonts w:cs="BookAntiqua"/>
          <w:szCs w:val="26"/>
        </w:rPr>
        <w:t xml:space="preserve"> </w:t>
      </w:r>
      <w:r w:rsidRPr="00425311">
        <w:rPr>
          <w:rFonts w:cs="BookAntiqua"/>
          <w:szCs w:val="26"/>
        </w:rPr>
        <w:t xml:space="preserve">moneys disbursed to </w:t>
      </w:r>
      <w:r w:rsidR="001B00FA">
        <w:rPr>
          <w:rFonts w:cs="BookAntiqua"/>
          <w:szCs w:val="26"/>
        </w:rPr>
        <w:t>A</w:t>
      </w:r>
      <w:r w:rsidRPr="00425311">
        <w:rPr>
          <w:rFonts w:cs="BookAntiqua"/>
          <w:szCs w:val="26"/>
        </w:rPr>
        <w:t xml:space="preserve">ccess </w:t>
      </w:r>
      <w:r w:rsidR="001B00FA">
        <w:rPr>
          <w:rFonts w:cs="BookAntiqua"/>
          <w:szCs w:val="26"/>
        </w:rPr>
        <w:t>P</w:t>
      </w:r>
      <w:r w:rsidRPr="00425311">
        <w:rPr>
          <w:rFonts w:cs="BookAntiqua"/>
          <w:szCs w:val="26"/>
        </w:rPr>
        <w:t>roviders can be used for?</w:t>
      </w:r>
    </w:p>
    <w:p w:rsidR="00425311" w:rsidP="005C1AC1" w:rsidRDefault="00425311" w14:paraId="1801452E" w14:textId="77777777">
      <w:pPr>
        <w:pStyle w:val="ListParagraph"/>
        <w:numPr>
          <w:ilvl w:val="1"/>
          <w:numId w:val="12"/>
        </w:numPr>
        <w:spacing w:after="120"/>
        <w:ind w:right="1440"/>
        <w:rPr>
          <w:rFonts w:cs="BookAntiqua"/>
          <w:szCs w:val="26"/>
        </w:rPr>
      </w:pPr>
      <w:r w:rsidRPr="00425311">
        <w:rPr>
          <w:rFonts w:cs="BookAntiqua"/>
          <w:szCs w:val="26"/>
        </w:rPr>
        <w:t>Should the Commission directly grant funding to</w:t>
      </w:r>
      <w:r>
        <w:rPr>
          <w:rFonts w:cs="BookAntiqua"/>
          <w:szCs w:val="26"/>
        </w:rPr>
        <w:t xml:space="preserve"> </w:t>
      </w:r>
      <w:r w:rsidRPr="00425311">
        <w:rPr>
          <w:rFonts w:cs="BookAntiqua"/>
          <w:szCs w:val="26"/>
        </w:rPr>
        <w:t>transportation carriers that it does not regulate (</w:t>
      </w:r>
      <w:r w:rsidRPr="00425311">
        <w:rPr>
          <w:rFonts w:cs="BookAntiqua-Italic"/>
          <w:i/>
          <w:iCs/>
          <w:szCs w:val="26"/>
        </w:rPr>
        <w:t>e.g.</w:t>
      </w:r>
      <w:r w:rsidRPr="00425311">
        <w:rPr>
          <w:rFonts w:cs="BookAntiqua"/>
          <w:szCs w:val="26"/>
        </w:rPr>
        <w:t>,</w:t>
      </w:r>
      <w:r>
        <w:rPr>
          <w:rFonts w:cs="BookAntiqua"/>
          <w:szCs w:val="26"/>
        </w:rPr>
        <w:t xml:space="preserve"> </w:t>
      </w:r>
      <w:r w:rsidRPr="00425311">
        <w:rPr>
          <w:rFonts w:cs="BookAntiqua"/>
          <w:szCs w:val="26"/>
        </w:rPr>
        <w:t>taxicab companies or entities that exclusively provide</w:t>
      </w:r>
      <w:r>
        <w:rPr>
          <w:rFonts w:cs="BookAntiqua"/>
          <w:szCs w:val="26"/>
        </w:rPr>
        <w:t xml:space="preserve"> </w:t>
      </w:r>
      <w:r w:rsidRPr="00425311">
        <w:rPr>
          <w:rFonts w:cs="BookAntiqua"/>
          <w:szCs w:val="26"/>
        </w:rPr>
        <w:t>non-emergency medical transportation)?</w:t>
      </w:r>
    </w:p>
    <w:p w:rsidR="00425311" w:rsidP="005C1AC1" w:rsidRDefault="00425311" w14:paraId="22F0B3C7" w14:textId="7A14CE27">
      <w:pPr>
        <w:pStyle w:val="ListParagraph"/>
        <w:numPr>
          <w:ilvl w:val="1"/>
          <w:numId w:val="12"/>
        </w:numPr>
        <w:spacing w:after="120"/>
        <w:ind w:right="1440"/>
        <w:rPr>
          <w:rFonts w:cs="BookAntiqua"/>
          <w:szCs w:val="26"/>
        </w:rPr>
      </w:pPr>
      <w:r w:rsidRPr="005C1AC1">
        <w:rPr>
          <w:rFonts w:cs="BookAntiqua"/>
          <w:bCs/>
        </w:rPr>
        <w:t>Should</w:t>
      </w:r>
      <w:r w:rsidRPr="00425311">
        <w:rPr>
          <w:rFonts w:cs="BookAntiqua"/>
          <w:szCs w:val="26"/>
        </w:rPr>
        <w:t xml:space="preserve"> </w:t>
      </w:r>
      <w:r w:rsidR="001B00FA">
        <w:rPr>
          <w:rFonts w:cs="BookAntiqua"/>
          <w:szCs w:val="26"/>
        </w:rPr>
        <w:t>A</w:t>
      </w:r>
      <w:r w:rsidRPr="00425311">
        <w:rPr>
          <w:rFonts w:cs="BookAntiqua"/>
          <w:szCs w:val="26"/>
        </w:rPr>
        <w:t xml:space="preserve">ccess </w:t>
      </w:r>
      <w:r w:rsidR="001B00FA">
        <w:rPr>
          <w:rFonts w:cs="BookAntiqua"/>
          <w:szCs w:val="26"/>
        </w:rPr>
        <w:t>P</w:t>
      </w:r>
      <w:r w:rsidRPr="00425311">
        <w:rPr>
          <w:rFonts w:cs="BookAntiqua"/>
          <w:szCs w:val="26"/>
        </w:rPr>
        <w:t>roviders that receive funding be required to be available for chartering</w:t>
      </w:r>
      <w:r>
        <w:rPr>
          <w:rFonts w:cs="BookAntiqua"/>
          <w:szCs w:val="26"/>
        </w:rPr>
        <w:t xml:space="preserve"> </w:t>
      </w:r>
      <w:r w:rsidRPr="00425311">
        <w:rPr>
          <w:rFonts w:cs="BookAntiqua"/>
          <w:szCs w:val="26"/>
        </w:rPr>
        <w:t>through TNC apps?</w:t>
      </w:r>
    </w:p>
    <w:p w:rsidR="00425311" w:rsidP="005C1AC1" w:rsidRDefault="00425311" w14:paraId="179CE970" w14:textId="22E8816F">
      <w:pPr>
        <w:pStyle w:val="ListParagraph"/>
        <w:numPr>
          <w:ilvl w:val="1"/>
          <w:numId w:val="12"/>
        </w:numPr>
        <w:spacing w:after="120"/>
        <w:ind w:right="1440"/>
        <w:rPr>
          <w:rFonts w:cs="BookAntiqua"/>
          <w:szCs w:val="26"/>
        </w:rPr>
      </w:pPr>
      <w:r w:rsidRPr="00425311">
        <w:rPr>
          <w:rFonts w:cs="BookAntiqua"/>
          <w:szCs w:val="26"/>
        </w:rPr>
        <w:t xml:space="preserve">How should applications from </w:t>
      </w:r>
      <w:r w:rsidR="001B00FA">
        <w:rPr>
          <w:rFonts w:cs="BookAntiqua"/>
          <w:szCs w:val="26"/>
        </w:rPr>
        <w:t>A</w:t>
      </w:r>
      <w:r w:rsidRPr="00425311">
        <w:rPr>
          <w:rFonts w:cs="BookAntiqua"/>
          <w:szCs w:val="26"/>
        </w:rPr>
        <w:t xml:space="preserve">ccess </w:t>
      </w:r>
      <w:r w:rsidR="001B00FA">
        <w:rPr>
          <w:rFonts w:cs="BookAntiqua"/>
          <w:szCs w:val="26"/>
        </w:rPr>
        <w:t>P</w:t>
      </w:r>
      <w:r w:rsidRPr="00425311">
        <w:rPr>
          <w:rFonts w:cs="BookAntiqua"/>
          <w:szCs w:val="26"/>
        </w:rPr>
        <w:t>roviders be</w:t>
      </w:r>
      <w:r>
        <w:rPr>
          <w:rFonts w:cs="BookAntiqua"/>
          <w:szCs w:val="26"/>
        </w:rPr>
        <w:t xml:space="preserve"> </w:t>
      </w:r>
      <w:r w:rsidRPr="00425311">
        <w:rPr>
          <w:rFonts w:cs="BookAntiqua"/>
          <w:szCs w:val="26"/>
        </w:rPr>
        <w:t xml:space="preserve">granted or </w:t>
      </w:r>
      <w:r w:rsidRPr="005C1AC1">
        <w:rPr>
          <w:rFonts w:cs="BookAntiqua"/>
          <w:bCs/>
        </w:rPr>
        <w:t>denied</w:t>
      </w:r>
      <w:r w:rsidRPr="00425311">
        <w:rPr>
          <w:rFonts w:cs="BookAntiqua"/>
          <w:szCs w:val="26"/>
        </w:rPr>
        <w:t xml:space="preserve"> (</w:t>
      </w:r>
      <w:r w:rsidRPr="00425311">
        <w:rPr>
          <w:rFonts w:cs="BookAntiqua-Italic"/>
          <w:i/>
          <w:iCs/>
          <w:szCs w:val="26"/>
        </w:rPr>
        <w:t>e.g</w:t>
      </w:r>
      <w:r w:rsidRPr="00425311">
        <w:rPr>
          <w:rFonts w:cs="BookAntiqua"/>
          <w:szCs w:val="26"/>
        </w:rPr>
        <w:t>.</w:t>
      </w:r>
      <w:r w:rsidRPr="00425311">
        <w:rPr>
          <w:rFonts w:cs="BookAntiqua-Italic"/>
          <w:i/>
          <w:iCs/>
          <w:szCs w:val="26"/>
        </w:rPr>
        <w:t xml:space="preserve">, </w:t>
      </w:r>
      <w:r w:rsidRPr="00425311">
        <w:rPr>
          <w:rFonts w:cs="BookAntiqua"/>
          <w:szCs w:val="26"/>
        </w:rPr>
        <w:t>via Commission resolution or by</w:t>
      </w:r>
      <w:r>
        <w:rPr>
          <w:rFonts w:cs="BookAntiqua"/>
          <w:szCs w:val="26"/>
        </w:rPr>
        <w:t xml:space="preserve"> </w:t>
      </w:r>
      <w:r w:rsidRPr="00425311">
        <w:rPr>
          <w:rFonts w:cs="BookAntiqua"/>
          <w:szCs w:val="26"/>
        </w:rPr>
        <w:t>staff action)?</w:t>
      </w:r>
    </w:p>
    <w:p w:rsidR="00005805" w:rsidP="005C1AC1" w:rsidRDefault="00425311" w14:paraId="10A875C7" w14:textId="18F331CB">
      <w:pPr>
        <w:pStyle w:val="ListParagraph"/>
        <w:numPr>
          <w:ilvl w:val="1"/>
          <w:numId w:val="12"/>
        </w:numPr>
        <w:spacing w:after="120"/>
        <w:ind w:right="1440"/>
        <w:rPr>
          <w:rFonts w:cs="BookAntiqua"/>
          <w:szCs w:val="26"/>
        </w:rPr>
      </w:pPr>
      <w:r w:rsidRPr="00425311">
        <w:rPr>
          <w:rFonts w:cs="BookAntiqua"/>
          <w:szCs w:val="26"/>
        </w:rPr>
        <w:lastRenderedPageBreak/>
        <w:t>How should “on demand transportation” be defined</w:t>
      </w:r>
      <w:r w:rsidR="00805070">
        <w:rPr>
          <w:rFonts w:cs="BookAntiqua"/>
          <w:szCs w:val="26"/>
        </w:rPr>
        <w:br/>
      </w:r>
      <w:r w:rsidRPr="00425311">
        <w:rPr>
          <w:rFonts w:cs="BookAntiqua"/>
          <w:szCs w:val="26"/>
        </w:rPr>
        <w:t>for</w:t>
      </w:r>
      <w:r>
        <w:rPr>
          <w:rFonts w:cs="BookAntiqua"/>
          <w:szCs w:val="26"/>
        </w:rPr>
        <w:t xml:space="preserve"> </w:t>
      </w:r>
      <w:r w:rsidRPr="00425311">
        <w:rPr>
          <w:rFonts w:cs="BookAntiqua"/>
          <w:szCs w:val="26"/>
        </w:rPr>
        <w:t>purposes of selecting on-demand transportation</w:t>
      </w:r>
      <w:r>
        <w:rPr>
          <w:rFonts w:cs="BookAntiqua"/>
          <w:szCs w:val="26"/>
        </w:rPr>
        <w:t xml:space="preserve"> </w:t>
      </w:r>
      <w:r w:rsidRPr="00425311">
        <w:rPr>
          <w:rFonts w:cs="BookAntiqua"/>
          <w:szCs w:val="26"/>
        </w:rPr>
        <w:t xml:space="preserve">programs or partnerships? </w:t>
      </w:r>
    </w:p>
    <w:p w:rsidR="00005805" w:rsidP="005C1AC1" w:rsidRDefault="00AB68D7" w14:paraId="2449DAF7" w14:textId="213B319E">
      <w:pPr>
        <w:pStyle w:val="ListParagraph"/>
        <w:numPr>
          <w:ilvl w:val="1"/>
          <w:numId w:val="12"/>
        </w:numPr>
        <w:spacing w:after="120"/>
        <w:ind w:right="1440"/>
        <w:rPr>
          <w:rFonts w:cs="BookAntiqua"/>
          <w:szCs w:val="26"/>
        </w:rPr>
      </w:pPr>
      <w:r>
        <w:rPr>
          <w:rFonts w:cs="BookAntiqua"/>
          <w:szCs w:val="26"/>
        </w:rPr>
        <w:t>Should</w:t>
      </w:r>
      <w:r w:rsidRPr="00005805" w:rsidR="00425311">
        <w:rPr>
          <w:rFonts w:cs="BookAntiqua"/>
          <w:szCs w:val="26"/>
        </w:rPr>
        <w:t xml:space="preserve"> TNCs also be</w:t>
      </w:r>
      <w:r w:rsidR="00005805">
        <w:rPr>
          <w:rFonts w:cs="BookAntiqua"/>
          <w:szCs w:val="26"/>
        </w:rPr>
        <w:t xml:space="preserve"> </w:t>
      </w:r>
      <w:r w:rsidRPr="00005805" w:rsidR="00425311">
        <w:rPr>
          <w:rFonts w:cs="BookAntiqua"/>
          <w:szCs w:val="26"/>
        </w:rPr>
        <w:t>allowed to apply as “</w:t>
      </w:r>
      <w:r w:rsidR="001B00FA">
        <w:rPr>
          <w:rFonts w:cs="BookAntiqua"/>
          <w:szCs w:val="26"/>
        </w:rPr>
        <w:t>A</w:t>
      </w:r>
      <w:r w:rsidRPr="00005805" w:rsidR="00425311">
        <w:rPr>
          <w:rFonts w:cs="BookAntiqua"/>
          <w:szCs w:val="26"/>
        </w:rPr>
        <w:t xml:space="preserve">ccess </w:t>
      </w:r>
      <w:r w:rsidR="001B00FA">
        <w:rPr>
          <w:rFonts w:cs="BookAntiqua"/>
          <w:szCs w:val="26"/>
        </w:rPr>
        <w:t>P</w:t>
      </w:r>
      <w:r w:rsidRPr="00005805" w:rsidR="00425311">
        <w:rPr>
          <w:rFonts w:cs="BookAntiqua"/>
          <w:szCs w:val="26"/>
        </w:rPr>
        <w:t>roviders” to request</w:t>
      </w:r>
      <w:r w:rsidR="00005805">
        <w:rPr>
          <w:rFonts w:cs="BookAntiqua"/>
          <w:szCs w:val="26"/>
        </w:rPr>
        <w:t xml:space="preserve"> </w:t>
      </w:r>
      <w:r w:rsidRPr="00005805" w:rsidR="00425311">
        <w:rPr>
          <w:rFonts w:cs="BookAntiqua"/>
          <w:szCs w:val="26"/>
        </w:rPr>
        <w:t xml:space="preserve">additional moneys? </w:t>
      </w:r>
    </w:p>
    <w:p w:rsidR="00005805" w:rsidP="005C1AC1" w:rsidRDefault="00425311" w14:paraId="0B7F919B" w14:textId="6CBAABF1">
      <w:pPr>
        <w:pStyle w:val="ListParagraph"/>
        <w:numPr>
          <w:ilvl w:val="1"/>
          <w:numId w:val="12"/>
        </w:numPr>
        <w:spacing w:after="120"/>
        <w:ind w:right="1440"/>
        <w:rPr>
          <w:rFonts w:cs="BookAntiqua"/>
          <w:szCs w:val="26"/>
        </w:rPr>
      </w:pPr>
      <w:r w:rsidRPr="00005805">
        <w:rPr>
          <w:rFonts w:cs="BookAntiqua"/>
          <w:szCs w:val="26"/>
        </w:rPr>
        <w:t>Should separate qualifying</w:t>
      </w:r>
      <w:r w:rsidR="00005805">
        <w:rPr>
          <w:rFonts w:cs="BookAntiqua"/>
          <w:szCs w:val="26"/>
        </w:rPr>
        <w:t xml:space="preserve"> </w:t>
      </w:r>
      <w:r w:rsidRPr="00005805">
        <w:rPr>
          <w:rFonts w:cs="BookAntiqua"/>
          <w:szCs w:val="26"/>
        </w:rPr>
        <w:t>standards for TNCs</w:t>
      </w:r>
      <w:r w:rsidR="00AB68D7">
        <w:rPr>
          <w:rFonts w:cs="BookAntiqua"/>
          <w:szCs w:val="26"/>
        </w:rPr>
        <w:t xml:space="preserve"> be adopted</w:t>
      </w:r>
      <w:r w:rsidRPr="00005805">
        <w:rPr>
          <w:rFonts w:cs="BookAntiqua"/>
          <w:szCs w:val="26"/>
        </w:rPr>
        <w:t xml:space="preserve"> </w:t>
      </w:r>
      <w:r w:rsidR="00AB68D7">
        <w:rPr>
          <w:rFonts w:cs="BookAntiqua"/>
          <w:szCs w:val="26"/>
        </w:rPr>
        <w:t>based on</w:t>
      </w:r>
      <w:r w:rsidRPr="00005805">
        <w:rPr>
          <w:rFonts w:cs="BookAntiqua"/>
          <w:szCs w:val="26"/>
        </w:rPr>
        <w:t xml:space="preserve"> criteria</w:t>
      </w:r>
      <w:r w:rsidR="00005805">
        <w:rPr>
          <w:rFonts w:cs="BookAntiqua"/>
          <w:szCs w:val="26"/>
        </w:rPr>
        <w:t xml:space="preserve"> </w:t>
      </w:r>
      <w:r w:rsidRPr="00005805">
        <w:rPr>
          <w:rFonts w:cs="BookAntiqua"/>
          <w:szCs w:val="26"/>
        </w:rPr>
        <w:t>such as the number of trips provided in geographic area</w:t>
      </w:r>
      <w:r w:rsidR="00005805">
        <w:rPr>
          <w:rFonts w:cs="BookAntiqua"/>
          <w:szCs w:val="26"/>
        </w:rPr>
        <w:t xml:space="preserve"> </w:t>
      </w:r>
      <w:r w:rsidRPr="00005805">
        <w:rPr>
          <w:rFonts w:cs="BookAntiqua"/>
          <w:szCs w:val="26"/>
        </w:rPr>
        <w:t>(</w:t>
      </w:r>
      <w:r w:rsidRPr="00005805">
        <w:rPr>
          <w:rFonts w:cs="BookAntiqua-Italic"/>
          <w:i/>
          <w:iCs/>
          <w:szCs w:val="26"/>
        </w:rPr>
        <w:t>e.g.</w:t>
      </w:r>
      <w:r w:rsidRPr="00005805">
        <w:rPr>
          <w:rFonts w:cs="BookAntiqua"/>
          <w:szCs w:val="26"/>
        </w:rPr>
        <w:t>, a million or more rides per quarter)?</w:t>
      </w:r>
    </w:p>
    <w:p w:rsidR="00005805" w:rsidP="005C1AC1" w:rsidRDefault="00AB68D7" w14:paraId="3C2C4F2F" w14:textId="390F07BE">
      <w:pPr>
        <w:pStyle w:val="ListParagraph"/>
        <w:numPr>
          <w:ilvl w:val="1"/>
          <w:numId w:val="12"/>
        </w:numPr>
        <w:spacing w:after="120"/>
        <w:ind w:right="1440"/>
        <w:rPr>
          <w:rFonts w:cs="BookAntiqua"/>
          <w:szCs w:val="26"/>
        </w:rPr>
      </w:pPr>
      <w:r w:rsidRPr="005C1AC1">
        <w:rPr>
          <w:rFonts w:cs="BookAntiqua"/>
          <w:bCs/>
        </w:rPr>
        <w:t>Should</w:t>
      </w:r>
      <w:r w:rsidRPr="00005805" w:rsidR="00425311">
        <w:rPr>
          <w:rFonts w:cs="BookAntiqua"/>
          <w:szCs w:val="26"/>
        </w:rPr>
        <w:t xml:space="preserve"> additional application requirements </w:t>
      </w:r>
      <w:r>
        <w:rPr>
          <w:rFonts w:cs="BookAntiqua"/>
          <w:szCs w:val="26"/>
        </w:rPr>
        <w:t>be</w:t>
      </w:r>
      <w:r w:rsidRPr="00005805" w:rsidR="00425311">
        <w:rPr>
          <w:rFonts w:cs="BookAntiqua"/>
          <w:szCs w:val="26"/>
        </w:rPr>
        <w:t xml:space="preserve"> adopt</w:t>
      </w:r>
      <w:r>
        <w:rPr>
          <w:rFonts w:cs="BookAntiqua"/>
          <w:szCs w:val="26"/>
        </w:rPr>
        <w:t>ed</w:t>
      </w:r>
      <w:r w:rsidRPr="00005805" w:rsidR="00425311">
        <w:rPr>
          <w:rFonts w:cs="BookAntiqua"/>
          <w:szCs w:val="26"/>
        </w:rPr>
        <w:t xml:space="preserve"> for </w:t>
      </w:r>
      <w:r w:rsidR="001B00FA">
        <w:rPr>
          <w:rFonts w:cs="BookAntiqua"/>
          <w:szCs w:val="26"/>
        </w:rPr>
        <w:t>A</w:t>
      </w:r>
      <w:r w:rsidRPr="00005805" w:rsidR="00425311">
        <w:rPr>
          <w:rFonts w:cs="BookAntiqua"/>
          <w:szCs w:val="26"/>
        </w:rPr>
        <w:t xml:space="preserve">ccess </w:t>
      </w:r>
      <w:r w:rsidR="001B00FA">
        <w:rPr>
          <w:rFonts w:cs="BookAntiqua"/>
          <w:szCs w:val="26"/>
        </w:rPr>
        <w:t>P</w:t>
      </w:r>
      <w:r w:rsidRPr="00005805" w:rsidR="00425311">
        <w:rPr>
          <w:rFonts w:cs="BookAntiqua"/>
          <w:szCs w:val="26"/>
        </w:rPr>
        <w:t xml:space="preserve">roviders? </w:t>
      </w:r>
    </w:p>
    <w:p w:rsidR="00005805" w:rsidP="005C1AC1" w:rsidRDefault="00425311" w14:paraId="725DA1FE" w14:textId="77777777">
      <w:pPr>
        <w:pStyle w:val="ListParagraph"/>
        <w:numPr>
          <w:ilvl w:val="1"/>
          <w:numId w:val="12"/>
        </w:numPr>
        <w:spacing w:after="120"/>
        <w:ind w:right="1440"/>
        <w:rPr>
          <w:rFonts w:cs="BookAntiqua"/>
          <w:szCs w:val="26"/>
        </w:rPr>
      </w:pPr>
      <w:r w:rsidRPr="00005805">
        <w:rPr>
          <w:rFonts w:cs="BookAntiqua"/>
          <w:szCs w:val="26"/>
        </w:rPr>
        <w:t>What is an appropriate method or formula for</w:t>
      </w:r>
      <w:r w:rsidR="00005805">
        <w:rPr>
          <w:rFonts w:cs="BookAntiqua"/>
          <w:szCs w:val="26"/>
        </w:rPr>
        <w:t xml:space="preserve"> </w:t>
      </w:r>
      <w:r w:rsidRPr="00005805">
        <w:rPr>
          <w:rFonts w:cs="BookAntiqua"/>
          <w:szCs w:val="26"/>
        </w:rPr>
        <w:t>compensating Access Fund Administrators (AFAs)?</w:t>
      </w:r>
    </w:p>
    <w:p w:rsidRPr="00005805" w:rsidR="00425311" w:rsidP="005C1AC1" w:rsidRDefault="00425311" w14:paraId="578C86A0" w14:textId="3A0C30AE">
      <w:pPr>
        <w:pStyle w:val="ListParagraph"/>
        <w:numPr>
          <w:ilvl w:val="1"/>
          <w:numId w:val="12"/>
        </w:numPr>
        <w:spacing w:after="120"/>
        <w:ind w:right="1440"/>
        <w:rPr>
          <w:rFonts w:cs="BookAntiqua"/>
          <w:szCs w:val="26"/>
        </w:rPr>
      </w:pPr>
      <w:r w:rsidRPr="00005805">
        <w:rPr>
          <w:rFonts w:cs="BookAntiqua"/>
          <w:szCs w:val="26"/>
        </w:rPr>
        <w:t xml:space="preserve">For </w:t>
      </w:r>
      <w:r w:rsidRPr="005C1AC1">
        <w:rPr>
          <w:rFonts w:cs="BookAntiqua"/>
          <w:bCs/>
        </w:rPr>
        <w:t>administration</w:t>
      </w:r>
      <w:r w:rsidRPr="00005805">
        <w:rPr>
          <w:rFonts w:cs="BookAntiqua"/>
          <w:szCs w:val="26"/>
        </w:rPr>
        <w:t xml:space="preserve"> of the Access Fund by </w:t>
      </w:r>
      <w:r w:rsidR="00AB68D7">
        <w:rPr>
          <w:rFonts w:cs="BookAntiqua"/>
          <w:szCs w:val="26"/>
        </w:rPr>
        <w:t>a</w:t>
      </w:r>
      <w:r w:rsidRPr="00005805">
        <w:rPr>
          <w:rFonts w:cs="BookAntiqua"/>
          <w:szCs w:val="26"/>
        </w:rPr>
        <w:t xml:space="preserve"> statewide</w:t>
      </w:r>
      <w:r w:rsidR="00005805">
        <w:rPr>
          <w:rFonts w:cs="BookAntiqua"/>
          <w:szCs w:val="26"/>
        </w:rPr>
        <w:t xml:space="preserve"> </w:t>
      </w:r>
      <w:r w:rsidRPr="00005805">
        <w:rPr>
          <w:rFonts w:cs="BookAntiqua"/>
          <w:szCs w:val="26"/>
        </w:rPr>
        <w:t>AFA, what qualifying expenses should be established</w:t>
      </w:r>
      <w:r w:rsidR="00005805">
        <w:rPr>
          <w:rFonts w:cs="BookAntiqua"/>
          <w:szCs w:val="26"/>
        </w:rPr>
        <w:t xml:space="preserve"> </w:t>
      </w:r>
      <w:r w:rsidRPr="00005805">
        <w:rPr>
          <w:rFonts w:cs="BookAntiqua"/>
          <w:szCs w:val="26"/>
        </w:rPr>
        <w:t xml:space="preserve">for </w:t>
      </w:r>
      <w:r w:rsidR="001B00FA">
        <w:rPr>
          <w:rFonts w:cs="BookAntiqua"/>
          <w:szCs w:val="26"/>
        </w:rPr>
        <w:t>A</w:t>
      </w:r>
      <w:r w:rsidRPr="00005805">
        <w:rPr>
          <w:rFonts w:cs="BookAntiqua"/>
          <w:szCs w:val="26"/>
        </w:rPr>
        <w:t xml:space="preserve">ccess </w:t>
      </w:r>
      <w:r w:rsidR="001B00FA">
        <w:rPr>
          <w:rFonts w:cs="BookAntiqua"/>
          <w:szCs w:val="26"/>
        </w:rPr>
        <w:t>P</w:t>
      </w:r>
      <w:r w:rsidRPr="00005805">
        <w:rPr>
          <w:rFonts w:cs="BookAntiqua"/>
          <w:szCs w:val="26"/>
        </w:rPr>
        <w:t xml:space="preserve">roviders, if any, not served by a local AFA? </w:t>
      </w:r>
      <w:r w:rsidR="00AB68D7">
        <w:rPr>
          <w:rFonts w:cs="BookAntiqua"/>
          <w:szCs w:val="26"/>
        </w:rPr>
        <w:t xml:space="preserve"> S</w:t>
      </w:r>
      <w:r w:rsidRPr="00005805">
        <w:rPr>
          <w:rFonts w:cs="BookAntiqua"/>
          <w:szCs w:val="26"/>
        </w:rPr>
        <w:t>hould geographic area</w:t>
      </w:r>
      <w:r w:rsidR="00070CF1">
        <w:rPr>
          <w:rFonts w:cs="BookAntiqua"/>
          <w:szCs w:val="26"/>
        </w:rPr>
        <w:t xml:space="preserve"> differences</w:t>
      </w:r>
      <w:r w:rsidRPr="00005805">
        <w:rPr>
          <w:rFonts w:cs="BookAntiqua"/>
          <w:szCs w:val="26"/>
        </w:rPr>
        <w:t xml:space="preserve"> be considered in the absence of a</w:t>
      </w:r>
      <w:r w:rsidR="00005805">
        <w:rPr>
          <w:rFonts w:cs="BookAntiqua"/>
          <w:szCs w:val="26"/>
        </w:rPr>
        <w:t xml:space="preserve"> </w:t>
      </w:r>
      <w:r w:rsidRPr="00005805">
        <w:rPr>
          <w:rFonts w:cs="BookAntiqua"/>
          <w:szCs w:val="26"/>
        </w:rPr>
        <w:t>local AFA?</w:t>
      </w:r>
    </w:p>
    <w:p w:rsidRPr="00005805" w:rsidR="00425311" w:rsidP="004E519B" w:rsidRDefault="00425311" w14:paraId="457DA7A3" w14:textId="44365885">
      <w:pPr>
        <w:pStyle w:val="Standard0"/>
        <w:numPr>
          <w:ilvl w:val="0"/>
          <w:numId w:val="12"/>
        </w:numPr>
        <w:spacing w:after="120" w:line="240" w:lineRule="auto"/>
        <w:ind w:left="1080" w:right="1440"/>
        <w:rPr>
          <w:rFonts w:cs="BookAntiqua"/>
          <w:szCs w:val="26"/>
        </w:rPr>
      </w:pPr>
      <w:r w:rsidRPr="00005805">
        <w:rPr>
          <w:rFonts w:cs="BookAntiqua"/>
          <w:szCs w:val="26"/>
        </w:rPr>
        <w:t>Reporting Requirements.</w:t>
      </w:r>
    </w:p>
    <w:p w:rsidR="00005805" w:rsidP="005C1AC1" w:rsidRDefault="00425311" w14:paraId="6A2245FE" w14:textId="230945E5">
      <w:pPr>
        <w:pStyle w:val="ListParagraph"/>
        <w:numPr>
          <w:ilvl w:val="1"/>
          <w:numId w:val="12"/>
        </w:numPr>
        <w:spacing w:after="120"/>
        <w:ind w:right="1440"/>
        <w:rPr>
          <w:rFonts w:cs="BookAntiqua"/>
          <w:szCs w:val="26"/>
        </w:rPr>
      </w:pPr>
      <w:r w:rsidRPr="005C1AC1">
        <w:rPr>
          <w:rFonts w:cs="BookAntiqua"/>
          <w:bCs/>
        </w:rPr>
        <w:t>Pursuant</w:t>
      </w:r>
      <w:r w:rsidRPr="00425311">
        <w:rPr>
          <w:rFonts w:cs="BookAntiqua"/>
          <w:szCs w:val="26"/>
        </w:rPr>
        <w:t xml:space="preserve"> to </w:t>
      </w:r>
      <w:r w:rsidRPr="00425311">
        <w:rPr>
          <w:rFonts w:cs="Calibri"/>
          <w:szCs w:val="26"/>
        </w:rPr>
        <w:t xml:space="preserve">§ </w:t>
      </w:r>
      <w:r w:rsidRPr="00425311">
        <w:rPr>
          <w:rFonts w:cs="BookAntiqua"/>
          <w:szCs w:val="26"/>
        </w:rPr>
        <w:t>5440.5(a)(1)(J), how</w:t>
      </w:r>
      <w:r w:rsidR="00005805">
        <w:rPr>
          <w:rFonts w:cs="BookAntiqua"/>
          <w:szCs w:val="26"/>
        </w:rPr>
        <w:t xml:space="preserve"> </w:t>
      </w:r>
      <w:r w:rsidRPr="00005805">
        <w:rPr>
          <w:rFonts w:cs="BookAntiqua"/>
          <w:szCs w:val="26"/>
        </w:rPr>
        <w:t>should yearly benchmarks be established for TNCs and</w:t>
      </w:r>
      <w:r w:rsidR="00005805">
        <w:rPr>
          <w:rFonts w:cs="BookAntiqua"/>
          <w:szCs w:val="26"/>
        </w:rPr>
        <w:t xml:space="preserve"> </w:t>
      </w:r>
      <w:r w:rsidR="001B00FA">
        <w:rPr>
          <w:rFonts w:cs="BookAntiqua"/>
          <w:szCs w:val="26"/>
        </w:rPr>
        <w:t>A</w:t>
      </w:r>
      <w:r w:rsidRPr="00005805">
        <w:rPr>
          <w:rFonts w:cs="BookAntiqua"/>
          <w:szCs w:val="26"/>
        </w:rPr>
        <w:t xml:space="preserve">ccess </w:t>
      </w:r>
      <w:r w:rsidR="001B00FA">
        <w:rPr>
          <w:rFonts w:cs="BookAntiqua"/>
          <w:szCs w:val="26"/>
        </w:rPr>
        <w:t>P</w:t>
      </w:r>
      <w:r w:rsidRPr="00005805">
        <w:rPr>
          <w:rFonts w:cs="BookAntiqua"/>
          <w:szCs w:val="26"/>
        </w:rPr>
        <w:t>roviders to ensure WAV users receive</w:t>
      </w:r>
      <w:r w:rsidR="00005805">
        <w:rPr>
          <w:rFonts w:cs="BookAntiqua"/>
          <w:szCs w:val="26"/>
        </w:rPr>
        <w:t xml:space="preserve"> </w:t>
      </w:r>
      <w:r w:rsidRPr="00005805">
        <w:rPr>
          <w:rFonts w:cs="BookAntiqua"/>
          <w:szCs w:val="26"/>
        </w:rPr>
        <w:t>continuously improved, reliable, and available service?</w:t>
      </w:r>
      <w:r w:rsidR="00005805">
        <w:rPr>
          <w:rFonts w:cs="BookAntiqua"/>
          <w:szCs w:val="26"/>
        </w:rPr>
        <w:t xml:space="preserve">  </w:t>
      </w:r>
    </w:p>
    <w:p w:rsidR="00005805" w:rsidP="005C1AC1" w:rsidRDefault="00425311" w14:paraId="24F928A1" w14:textId="3D4BC518">
      <w:pPr>
        <w:pStyle w:val="ListParagraph"/>
        <w:numPr>
          <w:ilvl w:val="1"/>
          <w:numId w:val="12"/>
        </w:numPr>
        <w:spacing w:after="120"/>
        <w:ind w:right="1440"/>
        <w:rPr>
          <w:rFonts w:cs="BookAntiqua"/>
          <w:szCs w:val="26"/>
        </w:rPr>
      </w:pPr>
      <w:r w:rsidRPr="005C1AC1">
        <w:rPr>
          <w:rFonts w:cs="BookAntiqua"/>
          <w:bCs/>
        </w:rPr>
        <w:t>Pursuant</w:t>
      </w:r>
      <w:r w:rsidRPr="00005805">
        <w:rPr>
          <w:rFonts w:cs="BookAntiqua"/>
          <w:szCs w:val="26"/>
        </w:rPr>
        <w:t xml:space="preserve"> to </w:t>
      </w:r>
      <w:r w:rsidRPr="00005805">
        <w:rPr>
          <w:rFonts w:cs="Calibri"/>
          <w:szCs w:val="26"/>
        </w:rPr>
        <w:t xml:space="preserve">§ </w:t>
      </w:r>
      <w:r w:rsidRPr="00005805">
        <w:rPr>
          <w:rFonts w:cs="BookAntiqua"/>
          <w:szCs w:val="26"/>
        </w:rPr>
        <w:t>5440.5(a)(2)(A), what</w:t>
      </w:r>
      <w:r w:rsidR="00005805">
        <w:rPr>
          <w:rFonts w:cs="BookAntiqua"/>
          <w:szCs w:val="26"/>
        </w:rPr>
        <w:t xml:space="preserve"> </w:t>
      </w:r>
      <w:r w:rsidRPr="00005805">
        <w:rPr>
          <w:rFonts w:cs="BookAntiqua"/>
          <w:szCs w:val="26"/>
        </w:rPr>
        <w:t>information should be included in the report to the</w:t>
      </w:r>
      <w:r w:rsidR="00005805">
        <w:rPr>
          <w:rFonts w:cs="BookAntiqua"/>
          <w:szCs w:val="26"/>
        </w:rPr>
        <w:t xml:space="preserve"> </w:t>
      </w:r>
      <w:r w:rsidRPr="00005805">
        <w:rPr>
          <w:rFonts w:cs="BookAntiqua"/>
          <w:szCs w:val="26"/>
        </w:rPr>
        <w:t>Legislature on compliance with and effectiveness of on-demand programs</w:t>
      </w:r>
      <w:r w:rsidR="00005805">
        <w:rPr>
          <w:rFonts w:cs="BookAntiqua"/>
          <w:szCs w:val="26"/>
        </w:rPr>
        <w:t xml:space="preserve"> </w:t>
      </w:r>
      <w:r w:rsidRPr="00005805">
        <w:rPr>
          <w:rFonts w:cs="BookAntiqua"/>
          <w:szCs w:val="26"/>
        </w:rPr>
        <w:t>and partnerships funded by the program?</w:t>
      </w:r>
    </w:p>
    <w:p w:rsidRPr="00005805" w:rsidR="00425311" w:rsidP="005C1AC1" w:rsidRDefault="00425311" w14:paraId="23BD4B1F" w14:textId="4F666C1E">
      <w:pPr>
        <w:pStyle w:val="ListParagraph"/>
        <w:numPr>
          <w:ilvl w:val="1"/>
          <w:numId w:val="12"/>
        </w:numPr>
        <w:spacing w:after="120"/>
        <w:ind w:right="1440"/>
        <w:rPr>
          <w:rFonts w:cs="BookAntiqua"/>
          <w:szCs w:val="26"/>
        </w:rPr>
      </w:pPr>
      <w:r w:rsidRPr="00005805">
        <w:rPr>
          <w:rFonts w:cs="BookAntiqua"/>
          <w:szCs w:val="26"/>
        </w:rPr>
        <w:t>What additional reporting requirements, if any, should</w:t>
      </w:r>
      <w:r w:rsidR="00005805">
        <w:rPr>
          <w:rFonts w:cs="BookAntiqua"/>
          <w:szCs w:val="26"/>
        </w:rPr>
        <w:t xml:space="preserve"> </w:t>
      </w:r>
      <w:r w:rsidRPr="00005805">
        <w:rPr>
          <w:rFonts w:cs="BookAntiqua"/>
          <w:szCs w:val="26"/>
        </w:rPr>
        <w:t xml:space="preserve">the Commission adopt for </w:t>
      </w:r>
      <w:r w:rsidR="001B00FA">
        <w:rPr>
          <w:rFonts w:cs="BookAntiqua"/>
          <w:szCs w:val="26"/>
        </w:rPr>
        <w:t>A</w:t>
      </w:r>
      <w:r w:rsidRPr="00005805">
        <w:rPr>
          <w:rFonts w:cs="BookAntiqua"/>
          <w:szCs w:val="26"/>
        </w:rPr>
        <w:t xml:space="preserve">ccess </w:t>
      </w:r>
      <w:r w:rsidR="001B00FA">
        <w:rPr>
          <w:rFonts w:cs="BookAntiqua"/>
          <w:szCs w:val="26"/>
        </w:rPr>
        <w:t>P</w:t>
      </w:r>
      <w:r w:rsidRPr="00005805">
        <w:rPr>
          <w:rFonts w:cs="BookAntiqua"/>
          <w:szCs w:val="26"/>
        </w:rPr>
        <w:t>roviders and TNCs?</w:t>
      </w:r>
    </w:p>
    <w:p w:rsidRPr="00AB68D7" w:rsidR="00425311" w:rsidP="004E519B" w:rsidRDefault="00425311" w14:paraId="20A92CBD" w14:textId="4D06A7D1">
      <w:pPr>
        <w:pStyle w:val="Standard0"/>
        <w:numPr>
          <w:ilvl w:val="0"/>
          <w:numId w:val="12"/>
        </w:numPr>
        <w:spacing w:after="120" w:line="240" w:lineRule="auto"/>
        <w:ind w:left="1080" w:right="1440"/>
        <w:rPr>
          <w:rFonts w:cs="BookAntiqua"/>
          <w:szCs w:val="26"/>
        </w:rPr>
      </w:pPr>
      <w:r w:rsidRPr="00425311">
        <w:rPr>
          <w:rFonts w:cs="BookAntiqua"/>
          <w:szCs w:val="26"/>
        </w:rPr>
        <w:t>Advice Letter</w:t>
      </w:r>
      <w:r w:rsidRPr="00AB68D7">
        <w:rPr>
          <w:rFonts w:cs="BookAntiqua"/>
          <w:szCs w:val="26"/>
        </w:rPr>
        <w:t xml:space="preserve">. </w:t>
      </w:r>
      <w:r w:rsidR="00AB68D7">
        <w:rPr>
          <w:rFonts w:cs="BookAntiqua"/>
          <w:szCs w:val="26"/>
        </w:rPr>
        <w:t xml:space="preserve"> S</w:t>
      </w:r>
      <w:r w:rsidRPr="00AB68D7">
        <w:rPr>
          <w:rFonts w:cs="BookAntiqua"/>
          <w:szCs w:val="26"/>
        </w:rPr>
        <w:t xml:space="preserve">hould </w:t>
      </w:r>
      <w:r w:rsidRPr="00AB68D7" w:rsidR="00070CF1">
        <w:rPr>
          <w:rFonts w:cs="BookAntiqua"/>
          <w:szCs w:val="26"/>
        </w:rPr>
        <w:t xml:space="preserve">General Order 96-B, Rule 7.5.2 </w:t>
      </w:r>
      <w:r w:rsidR="00AB68D7">
        <w:rPr>
          <w:rFonts w:cs="BookAntiqua"/>
          <w:szCs w:val="26"/>
        </w:rPr>
        <w:t xml:space="preserve">be modified for purposes of </w:t>
      </w:r>
      <w:r w:rsidR="000C78B9">
        <w:rPr>
          <w:rFonts w:cs="BookAntiqua"/>
          <w:szCs w:val="26"/>
        </w:rPr>
        <w:t xml:space="preserve">an </w:t>
      </w:r>
      <w:r w:rsidR="00AB68D7">
        <w:rPr>
          <w:rFonts w:cs="BookAntiqua"/>
          <w:szCs w:val="26"/>
        </w:rPr>
        <w:t xml:space="preserve">Offset or Exemption Request? </w:t>
      </w:r>
    </w:p>
    <w:p w:rsidRPr="00070CF1" w:rsidR="00425311" w:rsidP="004E519B" w:rsidRDefault="00425311" w14:paraId="243FC909" w14:textId="6E4B1169">
      <w:pPr>
        <w:pStyle w:val="Standard0"/>
        <w:numPr>
          <w:ilvl w:val="0"/>
          <w:numId w:val="12"/>
        </w:numPr>
        <w:spacing w:after="120" w:line="240" w:lineRule="auto"/>
        <w:ind w:left="1080" w:right="1440"/>
        <w:rPr>
          <w:rFonts w:cs="BookAntiqua"/>
          <w:szCs w:val="26"/>
        </w:rPr>
      </w:pPr>
      <w:r w:rsidRPr="00425311">
        <w:rPr>
          <w:rFonts w:cs="BookAntiqua"/>
          <w:szCs w:val="26"/>
        </w:rPr>
        <w:t xml:space="preserve">Intervenor Compensation. </w:t>
      </w:r>
      <w:r w:rsidRPr="00070CF1">
        <w:rPr>
          <w:rFonts w:cs="BookAntiqua"/>
          <w:szCs w:val="26"/>
        </w:rPr>
        <w:t>Does the phrase “existing</w:t>
      </w:r>
      <w:r w:rsidR="00805070">
        <w:rPr>
          <w:rFonts w:cs="BookAntiqua"/>
          <w:szCs w:val="26"/>
        </w:rPr>
        <w:br/>
      </w:r>
      <w:r w:rsidRPr="00070CF1">
        <w:rPr>
          <w:rFonts w:cs="BookAntiqua"/>
          <w:szCs w:val="26"/>
        </w:rPr>
        <w:t>funds collected from TNCs</w:t>
      </w:r>
      <w:r w:rsidRPr="00070CF1" w:rsidR="00005805">
        <w:rPr>
          <w:rFonts w:cs="BookAntiqua"/>
          <w:szCs w:val="26"/>
        </w:rPr>
        <w:t xml:space="preserve"> </w:t>
      </w:r>
      <w:r w:rsidRPr="00070CF1">
        <w:rPr>
          <w:rFonts w:cs="BookAntiqua"/>
          <w:szCs w:val="26"/>
        </w:rPr>
        <w:t>pursuant to [Pub. Util. Code] Section</w:t>
      </w:r>
      <w:r w:rsidR="00805070">
        <w:rPr>
          <w:rFonts w:cs="BookAntiqua"/>
          <w:szCs w:val="26"/>
        </w:rPr>
        <w:t> </w:t>
      </w:r>
      <w:r w:rsidRPr="00070CF1">
        <w:rPr>
          <w:rFonts w:cs="BookAntiqua"/>
          <w:szCs w:val="26"/>
        </w:rPr>
        <w:t>421” require</w:t>
      </w:r>
      <w:r w:rsidRPr="00070CF1" w:rsidR="00005805">
        <w:rPr>
          <w:rFonts w:cs="BookAntiqua"/>
          <w:szCs w:val="26"/>
        </w:rPr>
        <w:t xml:space="preserve"> </w:t>
      </w:r>
      <w:r w:rsidRPr="00070CF1">
        <w:rPr>
          <w:rFonts w:cs="BookAntiqua"/>
          <w:szCs w:val="26"/>
        </w:rPr>
        <w:t>clarification?</w:t>
      </w:r>
      <w:r w:rsidR="00070CF1">
        <w:rPr>
          <w:rFonts w:cs="BookAntiqua"/>
          <w:szCs w:val="26"/>
        </w:rPr>
        <w:t xml:space="preserve">  Does</w:t>
      </w:r>
      <w:r w:rsidRPr="00070CF1" w:rsidR="00005805">
        <w:rPr>
          <w:rFonts w:cs="BookAntiqua"/>
          <w:szCs w:val="26"/>
        </w:rPr>
        <w:t xml:space="preserve"> </w:t>
      </w:r>
      <w:r w:rsidRPr="00070CF1">
        <w:rPr>
          <w:rFonts w:cs="BookAntiqua"/>
          <w:szCs w:val="26"/>
        </w:rPr>
        <w:t xml:space="preserve">“advocates for </w:t>
      </w:r>
      <w:r w:rsidRPr="00070CF1">
        <w:rPr>
          <w:rFonts w:cs="BookAntiqua"/>
          <w:szCs w:val="26"/>
        </w:rPr>
        <w:lastRenderedPageBreak/>
        <w:t>accessible transportation” or</w:t>
      </w:r>
      <w:r w:rsidRPr="00070CF1" w:rsidR="00005805">
        <w:rPr>
          <w:rFonts w:cs="BookAntiqua"/>
          <w:szCs w:val="26"/>
        </w:rPr>
        <w:t xml:space="preserve"> </w:t>
      </w:r>
      <w:r w:rsidRPr="00070CF1">
        <w:rPr>
          <w:rFonts w:cs="BookAntiqua"/>
          <w:szCs w:val="26"/>
        </w:rPr>
        <w:t>“representatives of a group whose membership uses</w:t>
      </w:r>
      <w:r w:rsidRPr="00070CF1" w:rsidR="00005805">
        <w:rPr>
          <w:rFonts w:cs="BookAntiqua"/>
          <w:szCs w:val="26"/>
        </w:rPr>
        <w:t xml:space="preserve"> </w:t>
      </w:r>
      <w:r w:rsidRPr="00070CF1">
        <w:rPr>
          <w:rFonts w:cs="BookAntiqua"/>
          <w:szCs w:val="26"/>
        </w:rPr>
        <w:t>accessible transportation”</w:t>
      </w:r>
      <w:r w:rsidR="00070CF1">
        <w:rPr>
          <w:rFonts w:cs="BookAntiqua"/>
          <w:szCs w:val="26"/>
        </w:rPr>
        <w:t xml:space="preserve"> require clarification</w:t>
      </w:r>
      <w:r w:rsidRPr="00070CF1">
        <w:rPr>
          <w:rFonts w:cs="BookAntiqua"/>
          <w:szCs w:val="26"/>
        </w:rPr>
        <w:t>?</w:t>
      </w:r>
    </w:p>
    <w:p w:rsidRPr="00425311" w:rsidR="00425311" w:rsidP="004E519B" w:rsidRDefault="00425311" w14:paraId="2194F807" w14:textId="4D49639E">
      <w:pPr>
        <w:pStyle w:val="Standard0"/>
        <w:numPr>
          <w:ilvl w:val="0"/>
          <w:numId w:val="12"/>
        </w:numPr>
        <w:spacing w:after="120" w:line="240" w:lineRule="auto"/>
        <w:ind w:left="1080" w:right="1440"/>
        <w:rPr>
          <w:rFonts w:cs="BookAntiqua"/>
          <w:szCs w:val="26"/>
        </w:rPr>
      </w:pPr>
      <w:r w:rsidRPr="00425311">
        <w:rPr>
          <w:rFonts w:cs="BookAntiqua"/>
          <w:szCs w:val="26"/>
        </w:rPr>
        <w:t>Additional TNC Accessibility Issues.</w:t>
      </w:r>
    </w:p>
    <w:p w:rsidR="00460CDD" w:rsidP="005C1AC1" w:rsidRDefault="00425311" w14:paraId="188974D4" w14:textId="034763F6">
      <w:pPr>
        <w:pStyle w:val="ListParagraph"/>
        <w:numPr>
          <w:ilvl w:val="1"/>
          <w:numId w:val="12"/>
        </w:numPr>
        <w:spacing w:after="120"/>
        <w:ind w:right="1440"/>
        <w:rPr>
          <w:rFonts w:cs="BookAntiqua"/>
          <w:szCs w:val="26"/>
        </w:rPr>
      </w:pPr>
      <w:r w:rsidRPr="00425311">
        <w:rPr>
          <w:rFonts w:cs="BookAntiqua"/>
          <w:szCs w:val="26"/>
        </w:rPr>
        <w:t>What additional issues, if any, should be addressed</w:t>
      </w:r>
      <w:r w:rsidR="00005805">
        <w:rPr>
          <w:rFonts w:cs="BookAntiqua"/>
          <w:szCs w:val="26"/>
        </w:rPr>
        <w:t xml:space="preserve"> </w:t>
      </w:r>
      <w:r w:rsidRPr="00005805">
        <w:rPr>
          <w:rFonts w:cs="BookAntiqua"/>
          <w:szCs w:val="26"/>
        </w:rPr>
        <w:t>related to the needs of persons with</w:t>
      </w:r>
      <w:r w:rsidR="00005805">
        <w:rPr>
          <w:rFonts w:cs="BookAntiqua"/>
          <w:szCs w:val="26"/>
        </w:rPr>
        <w:t xml:space="preserve"> </w:t>
      </w:r>
      <w:r w:rsidRPr="00005805">
        <w:rPr>
          <w:rFonts w:cs="BookAntiqua"/>
          <w:szCs w:val="26"/>
        </w:rPr>
        <w:t>disabilities who do not require WAVs, including but not</w:t>
      </w:r>
      <w:r w:rsidR="00005805">
        <w:rPr>
          <w:rFonts w:cs="BookAntiqua"/>
          <w:szCs w:val="26"/>
        </w:rPr>
        <w:t xml:space="preserve"> </w:t>
      </w:r>
      <w:r w:rsidRPr="00005805">
        <w:rPr>
          <w:rFonts w:cs="BookAntiqua"/>
          <w:szCs w:val="26"/>
        </w:rPr>
        <w:t>limited to, persons with hearing and visio</w:t>
      </w:r>
      <w:r w:rsidR="00005805">
        <w:rPr>
          <w:rFonts w:cs="BookAntiqua"/>
          <w:szCs w:val="26"/>
        </w:rPr>
        <w:t xml:space="preserve">n </w:t>
      </w:r>
      <w:r w:rsidRPr="00005805">
        <w:rPr>
          <w:rFonts w:cs="BookAntiqua"/>
          <w:szCs w:val="26"/>
        </w:rPr>
        <w:t>impairments, persons who require the assistance of</w:t>
      </w:r>
      <w:r w:rsidR="00005805">
        <w:rPr>
          <w:rFonts w:cs="BookAntiqua"/>
          <w:szCs w:val="26"/>
        </w:rPr>
        <w:t xml:space="preserve"> </w:t>
      </w:r>
      <w:r w:rsidRPr="00005805">
        <w:rPr>
          <w:rFonts w:cs="BookAntiqua"/>
          <w:szCs w:val="26"/>
        </w:rPr>
        <w:t>service animals, and/or ambulatory persons with</w:t>
      </w:r>
      <w:r w:rsidR="00005805">
        <w:rPr>
          <w:rFonts w:cs="BookAntiqua"/>
          <w:szCs w:val="26"/>
        </w:rPr>
        <w:t xml:space="preserve"> </w:t>
      </w:r>
      <w:r w:rsidRPr="00005805">
        <w:rPr>
          <w:rFonts w:cs="BookAntiqua"/>
          <w:szCs w:val="26"/>
        </w:rPr>
        <w:t>disabilities?</w:t>
      </w:r>
    </w:p>
    <w:p w:rsidR="00460CDD" w:rsidP="005C1AC1" w:rsidRDefault="00425311" w14:paraId="7A54F09E" w14:textId="64D27496">
      <w:pPr>
        <w:pStyle w:val="ListParagraph"/>
        <w:numPr>
          <w:ilvl w:val="1"/>
          <w:numId w:val="12"/>
        </w:numPr>
        <w:spacing w:after="120"/>
        <w:ind w:right="1440"/>
        <w:rPr>
          <w:rFonts w:cs="BookAntiqua"/>
          <w:szCs w:val="26"/>
        </w:rPr>
      </w:pPr>
      <w:r w:rsidRPr="00460CDD">
        <w:rPr>
          <w:rFonts w:cs="BookAntiqua"/>
          <w:szCs w:val="26"/>
        </w:rPr>
        <w:t>Should changes to TNCs’ applications or</w:t>
      </w:r>
      <w:r w:rsidR="00460CDD">
        <w:rPr>
          <w:rFonts w:cs="BookAntiqua"/>
          <w:szCs w:val="26"/>
        </w:rPr>
        <w:t xml:space="preserve"> </w:t>
      </w:r>
      <w:r w:rsidRPr="00460CDD">
        <w:rPr>
          <w:rFonts w:cs="BookAntiqua"/>
          <w:szCs w:val="26"/>
        </w:rPr>
        <w:t>platforms be required to improve services for persons</w:t>
      </w:r>
      <w:r w:rsidR="00460CDD">
        <w:rPr>
          <w:rFonts w:cs="BookAntiqua"/>
          <w:szCs w:val="26"/>
        </w:rPr>
        <w:t xml:space="preserve"> </w:t>
      </w:r>
      <w:r w:rsidRPr="00460CDD">
        <w:rPr>
          <w:rFonts w:cs="BookAntiqua"/>
          <w:szCs w:val="26"/>
        </w:rPr>
        <w:t>with disabilities?</w:t>
      </w:r>
    </w:p>
    <w:p w:rsidR="00460CDD" w:rsidP="005C1AC1" w:rsidRDefault="00425311" w14:paraId="42CD75B6" w14:textId="15E9EC5E">
      <w:pPr>
        <w:pStyle w:val="ListParagraph"/>
        <w:numPr>
          <w:ilvl w:val="1"/>
          <w:numId w:val="12"/>
        </w:numPr>
        <w:spacing w:after="120"/>
        <w:ind w:right="1440"/>
        <w:rPr>
          <w:rFonts w:cs="BookAntiqua"/>
          <w:szCs w:val="26"/>
        </w:rPr>
      </w:pPr>
      <w:r w:rsidRPr="00460CDD">
        <w:rPr>
          <w:rFonts w:cs="BookAntiqua"/>
          <w:szCs w:val="26"/>
        </w:rPr>
        <w:t>Should TNCs accept transportation</w:t>
      </w:r>
      <w:r w:rsidR="00460CDD">
        <w:rPr>
          <w:rFonts w:cs="BookAntiqua"/>
          <w:szCs w:val="26"/>
        </w:rPr>
        <w:t xml:space="preserve"> </w:t>
      </w:r>
      <w:r w:rsidRPr="00460CDD">
        <w:rPr>
          <w:rFonts w:cs="BookAntiqua"/>
          <w:szCs w:val="26"/>
        </w:rPr>
        <w:t xml:space="preserve">subsidies </w:t>
      </w:r>
      <w:r w:rsidR="00070CF1">
        <w:rPr>
          <w:rFonts w:cs="BookAntiqua"/>
          <w:szCs w:val="26"/>
        </w:rPr>
        <w:t>as</w:t>
      </w:r>
      <w:r w:rsidRPr="00460CDD">
        <w:rPr>
          <w:rFonts w:cs="BookAntiqua"/>
          <w:szCs w:val="26"/>
        </w:rPr>
        <w:t xml:space="preserve"> substitutes for legal tender (</w:t>
      </w:r>
      <w:r w:rsidRPr="00460CDD">
        <w:rPr>
          <w:rFonts w:cs="BookAntiqua-Italic"/>
          <w:i/>
          <w:iCs/>
          <w:szCs w:val="26"/>
        </w:rPr>
        <w:t>i.e.</w:t>
      </w:r>
      <w:r w:rsidRPr="00460CDD">
        <w:rPr>
          <w:rFonts w:cs="BookAntiqua"/>
          <w:szCs w:val="26"/>
        </w:rPr>
        <w:t>,</w:t>
      </w:r>
      <w:r w:rsidR="00460CDD">
        <w:rPr>
          <w:rFonts w:cs="BookAntiqua"/>
          <w:szCs w:val="26"/>
        </w:rPr>
        <w:t xml:space="preserve"> </w:t>
      </w:r>
      <w:r w:rsidRPr="00460CDD">
        <w:rPr>
          <w:rFonts w:cs="BookAntiqua"/>
          <w:szCs w:val="26"/>
        </w:rPr>
        <w:t>voucher or scrip)</w:t>
      </w:r>
      <w:r w:rsidR="007733F5">
        <w:rPr>
          <w:rFonts w:cs="BookAntiqua"/>
          <w:szCs w:val="26"/>
        </w:rPr>
        <w:t xml:space="preserve"> </w:t>
      </w:r>
      <w:r w:rsidRPr="00460CDD">
        <w:rPr>
          <w:rFonts w:cs="BookAntiqua"/>
          <w:szCs w:val="26"/>
        </w:rPr>
        <w:t>for persons with</w:t>
      </w:r>
      <w:r w:rsidR="00460CDD">
        <w:rPr>
          <w:rFonts w:cs="BookAntiqua"/>
          <w:szCs w:val="26"/>
        </w:rPr>
        <w:t xml:space="preserve"> </w:t>
      </w:r>
      <w:r w:rsidRPr="00460CDD">
        <w:rPr>
          <w:rFonts w:cs="BookAntiqua"/>
          <w:szCs w:val="26"/>
        </w:rPr>
        <w:t>disabilities?</w:t>
      </w:r>
    </w:p>
    <w:p w:rsidR="00460CDD" w:rsidP="005C1AC1" w:rsidRDefault="00425311" w14:paraId="7B0BC371" w14:textId="0AE3DCE6">
      <w:pPr>
        <w:pStyle w:val="ListParagraph"/>
        <w:numPr>
          <w:ilvl w:val="1"/>
          <w:numId w:val="12"/>
        </w:numPr>
        <w:spacing w:after="120"/>
        <w:ind w:right="1440"/>
        <w:rPr>
          <w:rFonts w:cs="BookAntiqua"/>
          <w:szCs w:val="26"/>
        </w:rPr>
      </w:pPr>
      <w:r w:rsidRPr="00460CDD">
        <w:rPr>
          <w:rFonts w:cs="BookAntiqua"/>
          <w:szCs w:val="26"/>
        </w:rPr>
        <w:t xml:space="preserve">Should a “Symbol of Access” be used by TNCs or </w:t>
      </w:r>
      <w:r w:rsidR="001B00FA">
        <w:rPr>
          <w:rFonts w:cs="BookAntiqua"/>
          <w:szCs w:val="26"/>
        </w:rPr>
        <w:t>A</w:t>
      </w:r>
      <w:r w:rsidRPr="00460CDD">
        <w:rPr>
          <w:rFonts w:cs="BookAntiqua"/>
          <w:szCs w:val="26"/>
        </w:rPr>
        <w:t>ccess</w:t>
      </w:r>
      <w:r w:rsidR="00460CDD">
        <w:rPr>
          <w:rFonts w:cs="BookAntiqua"/>
          <w:szCs w:val="26"/>
        </w:rPr>
        <w:t xml:space="preserve"> </w:t>
      </w:r>
      <w:r w:rsidR="001B00FA">
        <w:rPr>
          <w:rFonts w:cs="BookAntiqua"/>
          <w:szCs w:val="26"/>
        </w:rPr>
        <w:t>P</w:t>
      </w:r>
      <w:r w:rsidRPr="00460CDD">
        <w:rPr>
          <w:rFonts w:cs="BookAntiqua"/>
          <w:szCs w:val="26"/>
        </w:rPr>
        <w:t>roviders?</w:t>
      </w:r>
    </w:p>
    <w:p w:rsidRPr="00460CDD" w:rsidR="00425311" w:rsidP="005C1AC1" w:rsidRDefault="00425311" w14:paraId="10605289" w14:textId="56BD379B">
      <w:pPr>
        <w:pStyle w:val="ListParagraph"/>
        <w:numPr>
          <w:ilvl w:val="1"/>
          <w:numId w:val="12"/>
        </w:numPr>
        <w:spacing w:after="120"/>
        <w:ind w:right="1440"/>
        <w:rPr>
          <w:rFonts w:cs="BookAntiqua"/>
          <w:szCs w:val="26"/>
        </w:rPr>
      </w:pPr>
      <w:r w:rsidRPr="00460CDD">
        <w:rPr>
          <w:rFonts w:cs="BookAntiqua"/>
          <w:szCs w:val="26"/>
        </w:rPr>
        <w:t>Should WAV inspection and</w:t>
      </w:r>
      <w:r w:rsidR="00460CDD">
        <w:rPr>
          <w:rFonts w:cs="BookAntiqua"/>
          <w:szCs w:val="26"/>
        </w:rPr>
        <w:t xml:space="preserve"> </w:t>
      </w:r>
      <w:r w:rsidRPr="00460CDD">
        <w:rPr>
          <w:rFonts w:cs="BookAntiqua"/>
          <w:szCs w:val="26"/>
        </w:rPr>
        <w:t xml:space="preserve">driving training requirements </w:t>
      </w:r>
      <w:r w:rsidR="007733F5">
        <w:rPr>
          <w:rFonts w:cs="BookAntiqua"/>
          <w:szCs w:val="26"/>
        </w:rPr>
        <w:t xml:space="preserve">be added </w:t>
      </w:r>
      <w:r w:rsidRPr="00460CDD">
        <w:rPr>
          <w:rFonts w:cs="BookAntiqua"/>
          <w:szCs w:val="26"/>
        </w:rPr>
        <w:t>to the TNC permit</w:t>
      </w:r>
      <w:r w:rsidR="007733F5">
        <w:rPr>
          <w:rFonts w:cs="BookAntiqua"/>
          <w:szCs w:val="26"/>
        </w:rPr>
        <w:t xml:space="preserve"> requirements</w:t>
      </w:r>
      <w:r w:rsidRPr="00460CDD">
        <w:rPr>
          <w:rFonts w:cs="BookAntiqua"/>
          <w:szCs w:val="26"/>
        </w:rPr>
        <w:t xml:space="preserve">? </w:t>
      </w:r>
    </w:p>
    <w:p w:rsidRPr="000F70BF" w:rsidR="00BA149E" w:rsidP="000F70BF" w:rsidRDefault="00BA149E" w14:paraId="14B134A0" w14:textId="2EC9ABEE">
      <w:pPr>
        <w:pStyle w:val="Standard0"/>
      </w:pPr>
      <w:r w:rsidRPr="000F70BF">
        <w:t xml:space="preserve">All </w:t>
      </w:r>
      <w:r w:rsidRPr="000F70BF" w:rsidR="00D548BB">
        <w:t xml:space="preserve">Track </w:t>
      </w:r>
      <w:r w:rsidRPr="000F70BF" w:rsidR="00425311">
        <w:t>3</w:t>
      </w:r>
      <w:r w:rsidRPr="000F70BF" w:rsidR="00D548BB">
        <w:t xml:space="preserve"> </w:t>
      </w:r>
      <w:r w:rsidRPr="000F70BF">
        <w:t xml:space="preserve">proposals and comments </w:t>
      </w:r>
      <w:r w:rsidRPr="000F70BF" w:rsidR="00125B2A">
        <w:t>were</w:t>
      </w:r>
      <w:r w:rsidRPr="000F70BF" w:rsidR="00D548BB">
        <w:t xml:space="preserve"> considered</w:t>
      </w:r>
      <w:r w:rsidRPr="000F70BF">
        <w:t xml:space="preserve"> b</w:t>
      </w:r>
      <w:r w:rsidRPr="000F70BF" w:rsidR="00D548BB">
        <w:t xml:space="preserve">ut given the number of </w:t>
      </w:r>
      <w:r w:rsidRPr="000F70BF" w:rsidR="00125B2A">
        <w:t>issues</w:t>
      </w:r>
      <w:r w:rsidRPr="000F70BF" w:rsidR="00D548BB">
        <w:t>,</w:t>
      </w:r>
      <w:r w:rsidRPr="000F70BF">
        <w:t xml:space="preserve"> </w:t>
      </w:r>
      <w:r w:rsidRPr="000F70BF" w:rsidR="00D548BB">
        <w:t>some</w:t>
      </w:r>
      <w:r w:rsidRPr="000F70BF">
        <w:t xml:space="preserve"> proposals</w:t>
      </w:r>
      <w:r w:rsidRPr="000F70BF" w:rsidR="00125B2A">
        <w:t xml:space="preserve"> or comments</w:t>
      </w:r>
      <w:r w:rsidRPr="000F70BF">
        <w:t xml:space="preserve"> may receive little or no discussion in this decision.</w:t>
      </w:r>
      <w:r w:rsidRPr="000F70BF" w:rsidR="00125B2A">
        <w:t xml:space="preserve">  Issues within the scope of </w:t>
      </w:r>
      <w:r w:rsidRPr="000F70BF" w:rsidR="00070CF1">
        <w:t>Track 3</w:t>
      </w:r>
      <w:r w:rsidRPr="000F70BF" w:rsidR="00125B2A">
        <w:t xml:space="preserve"> that are not addressed here, or partially addressed, may be addressed in a later track.  Following the issuance of this decision, an amended Scoping Memo </w:t>
      </w:r>
      <w:r w:rsidRPr="000F70BF" w:rsidR="00070CF1">
        <w:t>for Track</w:t>
      </w:r>
      <w:r w:rsidRPr="000F70BF" w:rsidR="009679C2">
        <w:t> </w:t>
      </w:r>
      <w:r w:rsidRPr="000F70BF" w:rsidR="00070CF1">
        <w:t xml:space="preserve">4 </w:t>
      </w:r>
      <w:r w:rsidRPr="000F70BF" w:rsidR="00125B2A">
        <w:t>will be issued.</w:t>
      </w:r>
    </w:p>
    <w:p w:rsidR="00AE7618" w:rsidP="00224875" w:rsidRDefault="00125B2A" w14:paraId="6D6325EC" w14:textId="25FDEAB8">
      <w:pPr>
        <w:pStyle w:val="Heading1"/>
        <w:keepLines/>
        <w:numPr>
          <w:ilvl w:val="0"/>
          <w:numId w:val="1"/>
        </w:numPr>
        <w:spacing w:before="0"/>
        <w:ind w:right="2160"/>
        <w:rPr>
          <w:rFonts w:cs="Helvetica"/>
        </w:rPr>
      </w:pPr>
      <w:bookmarkStart w:name="_Toc65585453" w:id="16"/>
      <w:r>
        <w:rPr>
          <w:rFonts w:cs="Helvetica"/>
        </w:rPr>
        <w:t>TNC Offset Requirements</w:t>
      </w:r>
      <w:bookmarkEnd w:id="16"/>
    </w:p>
    <w:p w:rsidRPr="00E430E9" w:rsidR="00B316A0" w:rsidP="00224875" w:rsidRDefault="00B316A0" w14:paraId="5542AC2E" w14:textId="46CBEF52">
      <w:pPr>
        <w:pStyle w:val="Heading2"/>
        <w:keepLines/>
        <w:numPr>
          <w:ilvl w:val="1"/>
          <w:numId w:val="1"/>
        </w:numPr>
        <w:tabs>
          <w:tab w:val="num" w:pos="1080"/>
        </w:tabs>
        <w:spacing w:before="0"/>
        <w:ind w:left="1080" w:right="2160" w:hanging="720"/>
      </w:pPr>
      <w:bookmarkStart w:name="_Toc65585454" w:id="17"/>
      <w:r>
        <w:t>Improved Level of Service</w:t>
      </w:r>
      <w:r w:rsidR="00952FCA">
        <w:t xml:space="preserve"> Requirements</w:t>
      </w:r>
      <w:bookmarkEnd w:id="17"/>
    </w:p>
    <w:p w:rsidRPr="000F70BF" w:rsidR="000B6637" w:rsidP="000F70BF" w:rsidRDefault="00952FCA" w14:paraId="315E2630" w14:textId="735830FF">
      <w:pPr>
        <w:pStyle w:val="Standard0"/>
      </w:pPr>
      <w:r w:rsidRPr="000F70BF">
        <w:t xml:space="preserve">Pub. Util. Code § 5440.5(a)(1)(B)(ii) provides that the Commission shall require a TNC, at a minimum, to demonstrate in a geographic area “improved </w:t>
      </w:r>
      <w:r w:rsidRPr="000F70BF">
        <w:lastRenderedPageBreak/>
        <w:t>level of service, including reasonable response times, due to those investments for WAV service compared to the previous quarter….”  In D.20-03-007,</w:t>
      </w:r>
      <w:r w:rsidRPr="000F70BF" w:rsidR="009B3BAE">
        <w:t xml:space="preserve"> </w:t>
      </w:r>
      <w:r w:rsidRPr="000F70BF" w:rsidR="00680634">
        <w:t xml:space="preserve">an </w:t>
      </w:r>
      <w:r w:rsidRPr="000F70BF">
        <w:t xml:space="preserve">interim WAV </w:t>
      </w:r>
      <w:r w:rsidRPr="000F70BF" w:rsidR="009B3BAE">
        <w:t>Offset</w:t>
      </w:r>
      <w:r w:rsidRPr="000F70BF">
        <w:t xml:space="preserve"> Time </w:t>
      </w:r>
      <w:r w:rsidRPr="000F70BF" w:rsidR="009B3BAE">
        <w:t xml:space="preserve">Standard </w:t>
      </w:r>
      <w:r w:rsidRPr="000F70BF" w:rsidR="00680634">
        <w:t>was adopted for TNCs seeking an offset</w:t>
      </w:r>
      <w:r w:rsidRPr="002327E2" w:rsidR="009B3BAE">
        <w:rPr>
          <w:rFonts w:cs="BookAntiqua"/>
        </w:rPr>
        <w:t>.</w:t>
      </w:r>
      <w:r w:rsidRPr="002327E2" w:rsidR="009B3BAE">
        <w:rPr>
          <w:rStyle w:val="FootnoteReference"/>
          <w:rFonts w:cs="BookAntiqua"/>
        </w:rPr>
        <w:footnoteReference w:id="3"/>
      </w:r>
      <w:r w:rsidRPr="002327E2" w:rsidR="009B3BAE">
        <w:rPr>
          <w:rFonts w:cs="BookAntiqua"/>
        </w:rPr>
        <w:t xml:space="preserve">  </w:t>
      </w:r>
      <w:r w:rsidRPr="000F70BF" w:rsidR="005D1B51">
        <w:t>The</w:t>
      </w:r>
      <w:r w:rsidRPr="000F70BF">
        <w:t xml:space="preserve"> Commission</w:t>
      </w:r>
      <w:r w:rsidRPr="000F70BF" w:rsidR="00B316A0">
        <w:t xml:space="preserve"> consider</w:t>
      </w:r>
      <w:r w:rsidRPr="000F70BF">
        <w:t>s</w:t>
      </w:r>
      <w:r w:rsidRPr="000F70BF" w:rsidR="00B316A0">
        <w:t xml:space="preserve"> whether any </w:t>
      </w:r>
      <w:r w:rsidRPr="000F70BF" w:rsidR="00AD2513">
        <w:t>other</w:t>
      </w:r>
      <w:r w:rsidRPr="000F70BF" w:rsidR="00B316A0">
        <w:t xml:space="preserve"> </w:t>
      </w:r>
      <w:r w:rsidRPr="000F70BF" w:rsidR="005D1B51">
        <w:t>requirements</w:t>
      </w:r>
      <w:r w:rsidRPr="000F70BF" w:rsidR="00B316A0">
        <w:t xml:space="preserve"> should be adopted</w:t>
      </w:r>
      <w:r w:rsidRPr="000F70BF" w:rsidR="001F396E">
        <w:t xml:space="preserve"> </w:t>
      </w:r>
      <w:r w:rsidRPr="000F70BF" w:rsidR="00B316A0">
        <w:t>to demonstrate “improved level of service.</w:t>
      </w:r>
      <w:r w:rsidRPr="000F70BF" w:rsidR="005D1B51">
        <w:t>”</w:t>
      </w:r>
      <w:r w:rsidRPr="000F70BF" w:rsidR="00AD2513">
        <w:t xml:space="preserve">  </w:t>
      </w:r>
    </w:p>
    <w:p w:rsidR="00004145" w:rsidP="00224875" w:rsidRDefault="000B6637" w14:paraId="729197EA" w14:textId="1F010D55">
      <w:pPr>
        <w:pStyle w:val="Heading3"/>
        <w:keepLines/>
        <w:numPr>
          <w:ilvl w:val="2"/>
          <w:numId w:val="1"/>
        </w:numPr>
        <w:tabs>
          <w:tab w:val="clear" w:pos="1620"/>
          <w:tab w:val="num" w:pos="1656"/>
        </w:tabs>
        <w:spacing w:before="0"/>
        <w:ind w:left="1656" w:right="2160" w:hanging="936"/>
      </w:pPr>
      <w:bookmarkStart w:name="_Toc65585455" w:id="18"/>
      <w:r>
        <w:t>Proposals</w:t>
      </w:r>
      <w:r w:rsidR="00BA01FE">
        <w:t xml:space="preserve"> on WAV Completion Rates</w:t>
      </w:r>
      <w:bookmarkEnd w:id="18"/>
    </w:p>
    <w:p w:rsidRPr="000F70BF" w:rsidR="00B316A0" w:rsidP="000F70BF" w:rsidRDefault="00004145" w14:paraId="619719B3" w14:textId="34AF3692">
      <w:pPr>
        <w:pStyle w:val="Standard0"/>
      </w:pPr>
      <w:r w:rsidRPr="000F70BF">
        <w:t xml:space="preserve">CPED and </w:t>
      </w:r>
      <w:r w:rsidRPr="000F70BF" w:rsidR="00A46E88">
        <w:t>some</w:t>
      </w:r>
      <w:r w:rsidRPr="000F70BF">
        <w:t xml:space="preserve"> parties recommend </w:t>
      </w:r>
      <w:r w:rsidRPr="000F70BF" w:rsidR="001F396E">
        <w:t>requiring an</w:t>
      </w:r>
      <w:r w:rsidRPr="000F70BF">
        <w:t xml:space="preserve"> increase in the number or percentage of WAV trip completions to show improved level of service.</w:t>
      </w:r>
      <w:r w:rsidRPr="000F70BF" w:rsidR="00BA01FE">
        <w:t xml:space="preserve">  </w:t>
      </w:r>
      <w:r w:rsidRPr="000F70BF" w:rsidR="00A46E88">
        <w:t xml:space="preserve">As part of CPED’s proposal, CPED </w:t>
      </w:r>
      <w:r w:rsidRPr="000F70BF">
        <w:t>analyzed</w:t>
      </w:r>
      <w:r w:rsidRPr="000F70BF" w:rsidR="00B316A0">
        <w:t xml:space="preserve"> retroactive </w:t>
      </w:r>
      <w:r w:rsidRPr="000F70BF" w:rsidR="00F20125">
        <w:t>Offset Requests</w:t>
      </w:r>
      <w:r w:rsidRPr="000F70BF" w:rsidR="00B316A0">
        <w:t xml:space="preserve"> submitted by TNCs </w:t>
      </w:r>
      <w:r w:rsidRPr="000F70BF" w:rsidR="00A46E88">
        <w:t xml:space="preserve">for three previous quarters </w:t>
      </w:r>
      <w:r w:rsidRPr="000F70BF">
        <w:t xml:space="preserve">and observed </w:t>
      </w:r>
      <w:r w:rsidRPr="000F70BF" w:rsidR="00B316A0">
        <w:t xml:space="preserve">that </w:t>
      </w:r>
      <w:r w:rsidRPr="000F70BF">
        <w:t>TNCs reported a low percentage of WAV trip acceptance</w:t>
      </w:r>
      <w:r w:rsidRPr="000F70BF" w:rsidR="00A46E88">
        <w:t>s</w:t>
      </w:r>
      <w:r w:rsidRPr="000F70BF">
        <w:t xml:space="preserve">, despite </w:t>
      </w:r>
      <w:r w:rsidRPr="000F70BF" w:rsidR="00A46E88">
        <w:t>the TNCs meeting</w:t>
      </w:r>
      <w:r w:rsidRPr="000F70BF">
        <w:t xml:space="preserve"> the</w:t>
      </w:r>
      <w:r w:rsidRPr="000F70BF" w:rsidR="00A46E88">
        <w:t xml:space="preserve"> requisite</w:t>
      </w:r>
      <w:r w:rsidRPr="000F70BF">
        <w:t xml:space="preserve"> </w:t>
      </w:r>
      <w:r w:rsidRPr="000F70BF" w:rsidR="001F396E">
        <w:t>Offset Time Standard</w:t>
      </w:r>
      <w:r w:rsidR="00F20125">
        <w:t>.</w:t>
      </w:r>
      <w:r w:rsidR="001F396E">
        <w:rPr>
          <w:rStyle w:val="FootnoteReference"/>
        </w:rPr>
        <w:footnoteReference w:id="4"/>
      </w:r>
      <w:r w:rsidR="00B316A0">
        <w:t xml:space="preserve"> </w:t>
      </w:r>
      <w:r w:rsidR="00F20125">
        <w:t xml:space="preserve"> </w:t>
      </w:r>
      <w:r w:rsidRPr="000F70BF" w:rsidR="001F396E">
        <w:t xml:space="preserve">CPED </w:t>
      </w:r>
      <w:r w:rsidRPr="000F70BF" w:rsidR="00680634">
        <w:t>states</w:t>
      </w:r>
      <w:r w:rsidRPr="000F70BF" w:rsidR="001F396E">
        <w:t xml:space="preserve"> that under the current requirements, a </w:t>
      </w:r>
      <w:r w:rsidRPr="000F70BF" w:rsidR="00B316A0">
        <w:t xml:space="preserve">TNC </w:t>
      </w:r>
      <w:r w:rsidRPr="000F70BF" w:rsidR="00A46E88">
        <w:t>can</w:t>
      </w:r>
      <w:r w:rsidRPr="000F70BF" w:rsidR="00B316A0">
        <w:t xml:space="preserve"> receive</w:t>
      </w:r>
      <w:r w:rsidRPr="000F70BF" w:rsidR="00F20125">
        <w:t xml:space="preserve"> </w:t>
      </w:r>
      <w:r w:rsidRPr="000F70BF" w:rsidR="00B316A0">
        <w:t>100 WAV requests in a geographic area</w:t>
      </w:r>
      <w:r w:rsidRPr="000F70BF" w:rsidR="001F396E">
        <w:t xml:space="preserve"> and</w:t>
      </w:r>
      <w:r w:rsidRPr="000F70BF" w:rsidR="00F20125">
        <w:t xml:space="preserve"> </w:t>
      </w:r>
      <w:r w:rsidRPr="000F70BF" w:rsidR="001F396E">
        <w:t>decline</w:t>
      </w:r>
      <w:r w:rsidRPr="000F70BF" w:rsidR="00B316A0">
        <w:t xml:space="preserve"> 99 of </w:t>
      </w:r>
      <w:r w:rsidRPr="000F70BF" w:rsidR="001F396E">
        <w:t>those</w:t>
      </w:r>
      <w:r w:rsidRPr="000F70BF" w:rsidR="00B316A0">
        <w:t xml:space="preserve"> requests</w:t>
      </w:r>
      <w:r w:rsidRPr="000F70BF" w:rsidR="001F396E">
        <w:t xml:space="preserve">; however, </w:t>
      </w:r>
      <w:r w:rsidRPr="000F70BF" w:rsidR="00A46E88">
        <w:t xml:space="preserve">if </w:t>
      </w:r>
      <w:r w:rsidRPr="000F70BF" w:rsidR="001F396E">
        <w:t>the one</w:t>
      </w:r>
      <w:r w:rsidRPr="000F70BF" w:rsidR="00B316A0">
        <w:t xml:space="preserve"> completed request</w:t>
      </w:r>
      <w:r w:rsidRPr="000F70BF" w:rsidR="00981A54">
        <w:t xml:space="preserve"> </w:t>
      </w:r>
      <w:r w:rsidRPr="000F70BF" w:rsidR="001F396E">
        <w:t>is within the Offset Time Standard, the TNC satisfies the requirement.</w:t>
      </w:r>
      <w:r w:rsidRPr="000F70BF" w:rsidR="00B316A0">
        <w:t xml:space="preserve"> </w:t>
      </w:r>
      <w:r w:rsidRPr="000F70BF" w:rsidR="001F396E">
        <w:t xml:space="preserve"> </w:t>
      </w:r>
      <w:r w:rsidRPr="000F70BF" w:rsidR="00B316A0">
        <w:t xml:space="preserve">CPED </w:t>
      </w:r>
      <w:r w:rsidRPr="000F70BF" w:rsidR="001F396E">
        <w:t>expresses</w:t>
      </w:r>
      <w:r w:rsidRPr="000F70BF" w:rsidR="008629AE">
        <w:t xml:space="preserve"> concern that</w:t>
      </w:r>
      <w:r w:rsidRPr="000F70BF" w:rsidR="00B316A0">
        <w:t xml:space="preserve"> TNCs may be incentivized to </w:t>
      </w:r>
      <w:r w:rsidRPr="000F70BF" w:rsidR="001F396E">
        <w:t>decline</w:t>
      </w:r>
      <w:r w:rsidRPr="000F70BF" w:rsidR="00B316A0">
        <w:t xml:space="preserve"> a large</w:t>
      </w:r>
      <w:r w:rsidRPr="000F70BF" w:rsidR="001F396E">
        <w:t>r</w:t>
      </w:r>
      <w:r w:rsidRPr="000F70BF" w:rsidR="00B316A0">
        <w:t xml:space="preserve"> </w:t>
      </w:r>
      <w:r w:rsidRPr="000F70BF" w:rsidR="001F396E">
        <w:t>portion</w:t>
      </w:r>
      <w:r w:rsidRPr="000F70BF" w:rsidR="00B316A0">
        <w:t xml:space="preserve"> of WAV requests if </w:t>
      </w:r>
      <w:r w:rsidRPr="000F70BF" w:rsidR="001F396E">
        <w:t>doing so result</w:t>
      </w:r>
      <w:r w:rsidRPr="000F70BF" w:rsidR="00A46E88">
        <w:t>s</w:t>
      </w:r>
      <w:r w:rsidRPr="000F70BF" w:rsidR="001F396E">
        <w:t xml:space="preserve"> in shorter</w:t>
      </w:r>
      <w:r w:rsidRPr="000F70BF" w:rsidR="00B316A0">
        <w:t xml:space="preserve"> response times.</w:t>
      </w:r>
    </w:p>
    <w:p w:rsidR="001F396E" w:rsidP="00020ECD" w:rsidRDefault="0075370A" w14:paraId="0CB7DCEE" w14:textId="657A4606">
      <w:pPr>
        <w:pStyle w:val="Standard0"/>
      </w:pPr>
      <w:r w:rsidRPr="000F70BF">
        <w:t xml:space="preserve">CPED </w:t>
      </w:r>
      <w:r w:rsidRPr="000F70BF" w:rsidR="00A46E88">
        <w:t xml:space="preserve">proposes that </w:t>
      </w:r>
      <w:r w:rsidRPr="000F70BF" w:rsidR="001F396E">
        <w:t>in addition to satisfying the</w:t>
      </w:r>
      <w:r w:rsidRPr="000F70BF" w:rsidR="00B316A0">
        <w:t xml:space="preserve"> </w:t>
      </w:r>
      <w:r w:rsidRPr="000F70BF" w:rsidR="003D011A">
        <w:t xml:space="preserve">Offset Time Standard, </w:t>
      </w:r>
      <w:r w:rsidRPr="000F70BF" w:rsidR="001F396E">
        <w:t>a</w:t>
      </w:r>
      <w:r w:rsidRPr="000F70BF" w:rsidR="003D011A">
        <w:t xml:space="preserve"> TNC </w:t>
      </w:r>
      <w:r w:rsidRPr="000F70BF" w:rsidR="001F396E">
        <w:t>must</w:t>
      </w:r>
      <w:r w:rsidRPr="000F70BF" w:rsidR="003D011A">
        <w:t xml:space="preserve"> increase the total number or percentage of WAV trips accepted and completed </w:t>
      </w:r>
      <w:r w:rsidRPr="000F70BF" w:rsidR="001F396E">
        <w:t>over</w:t>
      </w:r>
      <w:r w:rsidRPr="000F70BF" w:rsidR="003D011A">
        <w:t xml:space="preserve"> the previous quarter.</w:t>
      </w:r>
      <w:r w:rsidRPr="000F70BF" w:rsidR="00B06B1C">
        <w:t xml:space="preserve"> </w:t>
      </w:r>
      <w:r w:rsidRPr="000F70BF" w:rsidR="003D011A">
        <w:t xml:space="preserve"> </w:t>
      </w:r>
      <w:r w:rsidRPr="000F70BF" w:rsidR="001F396E">
        <w:t xml:space="preserve">CPED proposes that </w:t>
      </w:r>
      <w:r w:rsidRPr="000F70BF" w:rsidR="00FD4738">
        <w:t>a minimum</w:t>
      </w:r>
      <w:r w:rsidRPr="000F70BF" w:rsidR="001F396E">
        <w:t xml:space="preserve"> 50</w:t>
      </w:r>
      <w:r w:rsidRPr="000F70BF" w:rsidR="00A576DB">
        <w:t>%</w:t>
      </w:r>
      <w:r w:rsidRPr="000F70BF" w:rsidR="001F396E">
        <w:t xml:space="preserve"> of WAV requests </w:t>
      </w:r>
      <w:r w:rsidRPr="000F70BF" w:rsidR="000B1730">
        <w:t xml:space="preserve">must be completed for </w:t>
      </w:r>
      <w:r w:rsidRPr="000F70BF" w:rsidR="001F396E">
        <w:t xml:space="preserve">a geographic area.  CPED </w:t>
      </w:r>
      <w:r w:rsidRPr="000F70BF" w:rsidR="00A46E88">
        <w:t xml:space="preserve">also </w:t>
      </w:r>
      <w:r w:rsidRPr="000F70BF" w:rsidR="001F396E">
        <w:t>recommends assigning equal weight (50</w:t>
      </w:r>
      <w:r w:rsidRPr="000F70BF" w:rsidR="00A576DB">
        <w:t>%</w:t>
      </w:r>
      <w:r w:rsidRPr="000F70BF" w:rsidR="002040EF">
        <w:t xml:space="preserve"> each</w:t>
      </w:r>
      <w:r w:rsidRPr="000F70BF" w:rsidR="001F396E">
        <w:t xml:space="preserve">) to the Offset Time </w:t>
      </w:r>
      <w:r w:rsidRPr="000F70BF" w:rsidR="00FD4738">
        <w:t>S</w:t>
      </w:r>
      <w:r w:rsidRPr="000F70BF" w:rsidR="001F396E">
        <w:t>tandard and</w:t>
      </w:r>
      <w:r w:rsidR="001F396E">
        <w:t xml:space="preserve"> </w:t>
      </w:r>
      <w:r w:rsidRPr="000F70BF" w:rsidR="001F396E">
        <w:lastRenderedPageBreak/>
        <w:t xml:space="preserve">the </w:t>
      </w:r>
      <w:r w:rsidRPr="000F70BF" w:rsidR="000B1730">
        <w:t>new</w:t>
      </w:r>
      <w:r w:rsidRPr="000F70BF" w:rsidR="001F396E">
        <w:t xml:space="preserve"> </w:t>
      </w:r>
      <w:r w:rsidRPr="000F70BF" w:rsidR="000B1730">
        <w:t xml:space="preserve">completion </w:t>
      </w:r>
      <w:r w:rsidRPr="000F70BF" w:rsidR="001F396E">
        <w:t>standard, such that if a TNC fails to satisfy one of those standards, 50</w:t>
      </w:r>
      <w:r w:rsidRPr="000F70BF" w:rsidR="00A576DB">
        <w:t xml:space="preserve">% </w:t>
      </w:r>
      <w:r w:rsidRPr="000F70BF" w:rsidR="001F396E">
        <w:t xml:space="preserve">of the </w:t>
      </w:r>
      <w:r w:rsidRPr="000F70BF" w:rsidR="00A46E88">
        <w:t xml:space="preserve">TNC’s </w:t>
      </w:r>
      <w:r w:rsidRPr="000F70BF" w:rsidR="001F396E">
        <w:t xml:space="preserve">total </w:t>
      </w:r>
      <w:r w:rsidRPr="000F70BF" w:rsidR="00A46E88">
        <w:t>offset</w:t>
      </w:r>
      <w:r w:rsidRPr="000F70BF" w:rsidR="001F396E">
        <w:t xml:space="preserve"> reimbursement may be deducted.</w:t>
      </w:r>
      <w:r w:rsidR="001F396E">
        <w:rPr>
          <w:rStyle w:val="FootnoteReference"/>
        </w:rPr>
        <w:footnoteReference w:id="5"/>
      </w:r>
    </w:p>
    <w:p w:rsidR="006247EB" w:rsidP="00020ECD" w:rsidRDefault="006247EB" w14:paraId="3521F7EB" w14:textId="623C9AB4">
      <w:pPr>
        <w:pStyle w:val="Standard0"/>
      </w:pPr>
      <w:r w:rsidRPr="000F70BF">
        <w:t xml:space="preserve">Uber, San Francisco, and SFTWA also </w:t>
      </w:r>
      <w:r w:rsidRPr="000F70BF" w:rsidR="000B1730">
        <w:t>recommend</w:t>
      </w:r>
      <w:r w:rsidRPr="000F70BF">
        <w:t xml:space="preserve"> that a TNC increase the number or percentage of WAV trips completed or accepted</w:t>
      </w:r>
      <w:r>
        <w:t>.</w:t>
      </w:r>
      <w:r>
        <w:rPr>
          <w:rStyle w:val="FootnoteReference"/>
        </w:rPr>
        <w:footnoteReference w:id="6"/>
      </w:r>
      <w:r>
        <w:t xml:space="preserve">  </w:t>
      </w:r>
      <w:r w:rsidRPr="000F70BF">
        <w:t xml:space="preserve">Disability Advocates recommend minimum benchmarks by which </w:t>
      </w:r>
      <w:r w:rsidRPr="000F70BF" w:rsidR="000B1730">
        <w:t>a TNC’s</w:t>
      </w:r>
      <w:r w:rsidRPr="000F70BF">
        <w:t xml:space="preserve"> percentage of completed WAV trips must increase</w:t>
      </w:r>
      <w:r w:rsidRPr="000F70BF" w:rsidR="000B1730">
        <w:t xml:space="preserve">, beginning with </w:t>
      </w:r>
      <w:r w:rsidRPr="000F70BF">
        <w:t xml:space="preserve">60% </w:t>
      </w:r>
      <w:r w:rsidRPr="000F70BF" w:rsidR="000B1730">
        <w:t>in the first year and increasing 10% each year until 2023</w:t>
      </w:r>
      <w:r>
        <w:t>.</w:t>
      </w:r>
      <w:r>
        <w:rPr>
          <w:rStyle w:val="FootnoteReference"/>
        </w:rPr>
        <w:footnoteReference w:id="7"/>
      </w:r>
      <w:r>
        <w:t xml:space="preserve">  </w:t>
      </w:r>
    </w:p>
    <w:p w:rsidR="0075370A" w:rsidP="00020ECD" w:rsidRDefault="002B546F" w14:paraId="5FC91A2C" w14:textId="05CA190B">
      <w:pPr>
        <w:pStyle w:val="Standard0"/>
      </w:pPr>
      <w:r>
        <w:t xml:space="preserve">CPED </w:t>
      </w:r>
      <w:r w:rsidR="006247EB">
        <w:t xml:space="preserve">also </w:t>
      </w:r>
      <w:r>
        <w:t xml:space="preserve">proposes modifying the </w:t>
      </w:r>
      <w:r w:rsidR="0075370A">
        <w:t>current</w:t>
      </w:r>
      <w:r>
        <w:t xml:space="preserve"> Offset Time Standard </w:t>
      </w:r>
      <w:r w:rsidR="00223FAD">
        <w:t>requirement</w:t>
      </w:r>
      <w:r w:rsidR="0075370A">
        <w:t xml:space="preserve">, which provides that a TNC must exceed </w:t>
      </w:r>
      <w:r w:rsidRPr="00FD4738" w:rsidR="0075370A">
        <w:t xml:space="preserve">the </w:t>
      </w:r>
      <w:r w:rsidRPr="000B1730" w:rsidR="0075370A">
        <w:t>percentage</w:t>
      </w:r>
      <w:r w:rsidR="0075370A">
        <w:t xml:space="preserve"> of completed rides within the Offset Time Standard as compared to the previous quarter</w:t>
      </w:r>
      <w:r w:rsidR="00223FAD">
        <w:t xml:space="preserve">.  </w:t>
      </w:r>
      <w:r w:rsidR="0075370A">
        <w:t xml:space="preserve">CPED proposes allowing a TNC to also improve the </w:t>
      </w:r>
      <w:r w:rsidRPr="00FD4738" w:rsidR="0075370A">
        <w:rPr>
          <w:u w:val="single"/>
        </w:rPr>
        <w:t>number</w:t>
      </w:r>
      <w:r w:rsidR="0075370A">
        <w:t xml:space="preserve"> of trips completed, as well as the percentage, within the response time benchmarks to provide TNCs an additional avenue to satisfy the Offset Time Standard.</w:t>
      </w:r>
      <w:r w:rsidR="0075370A">
        <w:rPr>
          <w:rStyle w:val="FootnoteReference"/>
        </w:rPr>
        <w:footnoteReference w:id="8"/>
      </w:r>
      <w:r w:rsidR="0075370A">
        <w:t xml:space="preserve">  </w:t>
      </w:r>
    </w:p>
    <w:p w:rsidR="00BA01FE" w:rsidP="00224875" w:rsidRDefault="00BA01FE" w14:paraId="32C64BCC" w14:textId="520DDC77">
      <w:pPr>
        <w:pStyle w:val="Heading3"/>
        <w:keepLines/>
        <w:numPr>
          <w:ilvl w:val="3"/>
          <w:numId w:val="1"/>
        </w:numPr>
        <w:tabs>
          <w:tab w:val="clear" w:pos="1620"/>
        </w:tabs>
        <w:spacing w:before="0"/>
        <w:ind w:left="1800" w:right="2160" w:hanging="1080"/>
      </w:pPr>
      <w:bookmarkStart w:name="_Toc65585456" w:id="19"/>
      <w:r>
        <w:t>Comments</w:t>
      </w:r>
      <w:bookmarkEnd w:id="19"/>
    </w:p>
    <w:p w:rsidR="002A454D" w:rsidP="00020ECD" w:rsidRDefault="00BA01FE" w14:paraId="6795308B" w14:textId="40849CE3">
      <w:pPr>
        <w:pStyle w:val="Standard0"/>
      </w:pPr>
      <w:r>
        <w:t xml:space="preserve">Most parties agree that “improved level of service” should </w:t>
      </w:r>
      <w:r w:rsidR="000B1730">
        <w:t>require</w:t>
      </w:r>
      <w:r w:rsidR="00080C02">
        <w:t xml:space="preserve"> </w:t>
      </w:r>
      <w:r w:rsidR="000B1730">
        <w:t>an</w:t>
      </w:r>
      <w:r>
        <w:t xml:space="preserve"> increase</w:t>
      </w:r>
      <w:r w:rsidR="000B1730">
        <w:t xml:space="preserve"> of</w:t>
      </w:r>
      <w:r>
        <w:t xml:space="preserve"> the number or percentage of completed WAV </w:t>
      </w:r>
      <w:r w:rsidR="00080C02">
        <w:t>trips</w:t>
      </w:r>
      <w:r>
        <w:t xml:space="preserve"> each quarter, although parties </w:t>
      </w:r>
      <w:r w:rsidR="009D6F5F">
        <w:t>diverge</w:t>
      </w:r>
      <w:r>
        <w:t xml:space="preserve"> on how </w:t>
      </w:r>
      <w:r w:rsidR="00080C02">
        <w:t>to measure the</w:t>
      </w:r>
      <w:r>
        <w:t xml:space="preserve"> increase.  Lyft </w:t>
      </w:r>
      <w:r w:rsidR="00080C02">
        <w:t>proposes</w:t>
      </w:r>
      <w:r>
        <w:t xml:space="preserve"> measuring </w:t>
      </w:r>
      <w:r w:rsidR="00B45D7A">
        <w:t>the increase</w:t>
      </w:r>
      <w:r>
        <w:t xml:space="preserve"> against static benchmarks</w:t>
      </w:r>
      <w:r w:rsidR="00080C02">
        <w:t xml:space="preserve">, where a TNC </w:t>
      </w:r>
      <w:r w:rsidR="00B45D7A">
        <w:t xml:space="preserve">must </w:t>
      </w:r>
      <w:r w:rsidR="00080C02">
        <w:t xml:space="preserve">increase its completion percentage in the next quarter </w:t>
      </w:r>
      <w:r w:rsidR="00B45D7A">
        <w:t>against</w:t>
      </w:r>
      <w:r w:rsidR="00080C02">
        <w:t xml:space="preserve"> a set </w:t>
      </w:r>
      <w:r w:rsidR="00B45D7A">
        <w:t xml:space="preserve">incremental </w:t>
      </w:r>
      <w:r w:rsidR="00080C02">
        <w:t xml:space="preserve">number but not </w:t>
      </w:r>
      <w:r w:rsidR="00B45D7A">
        <w:t>against</w:t>
      </w:r>
      <w:r w:rsidR="00080C02">
        <w:t xml:space="preserve"> the TNC’s </w:t>
      </w:r>
      <w:r w:rsidR="00B45D7A">
        <w:t xml:space="preserve">actual </w:t>
      </w:r>
      <w:r w:rsidR="00080C02">
        <w:t>prior quarter performance</w:t>
      </w:r>
      <w:r>
        <w:t>.</w:t>
      </w:r>
      <w:r w:rsidR="009D6F5F">
        <w:rPr>
          <w:rStyle w:val="FootnoteReference"/>
        </w:rPr>
        <w:footnoteReference w:id="9"/>
      </w:r>
      <w:r>
        <w:t xml:space="preserve">  Uber </w:t>
      </w:r>
      <w:r w:rsidR="009D6F5F">
        <w:t>contends</w:t>
      </w:r>
      <w:r>
        <w:t xml:space="preserve"> that the </w:t>
      </w:r>
      <w:r w:rsidR="00080C02">
        <w:t>measure</w:t>
      </w:r>
      <w:r>
        <w:t xml:space="preserve"> should </w:t>
      </w:r>
      <w:r w:rsidR="00BB298E">
        <w:t xml:space="preserve">be </w:t>
      </w:r>
      <w:r>
        <w:t xml:space="preserve">the </w:t>
      </w:r>
      <w:r w:rsidR="00080C02">
        <w:t xml:space="preserve">total </w:t>
      </w:r>
      <w:r>
        <w:t>number of completed WAV trips</w:t>
      </w:r>
      <w:r w:rsidR="00650810">
        <w:t xml:space="preserve"> </w:t>
      </w:r>
      <w:r w:rsidR="00080C02">
        <w:t>in order</w:t>
      </w:r>
      <w:r w:rsidR="00650810">
        <w:t xml:space="preserve"> </w:t>
      </w:r>
      <w:r w:rsidR="00080C02">
        <w:t>to</w:t>
      </w:r>
      <w:r w:rsidR="00650810">
        <w:t xml:space="preserve"> </w:t>
      </w:r>
      <w:r w:rsidR="00650810">
        <w:lastRenderedPageBreak/>
        <w:t>incentivize broader availability.</w:t>
      </w:r>
      <w:r w:rsidR="00080C02">
        <w:rPr>
          <w:rStyle w:val="FootnoteReference"/>
        </w:rPr>
        <w:footnoteReference w:id="10"/>
      </w:r>
      <w:r>
        <w:t xml:space="preserve"> </w:t>
      </w:r>
      <w:r w:rsidR="00650810">
        <w:t xml:space="preserve"> </w:t>
      </w:r>
      <w:r w:rsidRPr="001E3C1D" w:rsidR="00650810">
        <w:t xml:space="preserve">Uber </w:t>
      </w:r>
      <w:r w:rsidRPr="001E3C1D" w:rsidR="0029399B">
        <w:t>adds</w:t>
      </w:r>
      <w:r w:rsidRPr="001E3C1D" w:rsidR="00650810">
        <w:t xml:space="preserve"> that a TNC should </w:t>
      </w:r>
      <w:r w:rsidR="00080C02">
        <w:t>be credited for</w:t>
      </w:r>
      <w:r w:rsidRPr="001E3C1D" w:rsidR="00650810">
        <w:t xml:space="preserve"> maintaining the same percentage of </w:t>
      </w:r>
      <w:r w:rsidR="00080C02">
        <w:t xml:space="preserve">completed </w:t>
      </w:r>
      <w:r w:rsidRPr="001E3C1D" w:rsidR="00650810">
        <w:t xml:space="preserve">trips </w:t>
      </w:r>
      <w:r w:rsidR="00650810">
        <w:t>to account for response time adjustments</w:t>
      </w:r>
      <w:r>
        <w:t xml:space="preserve">.  </w:t>
      </w:r>
    </w:p>
    <w:p w:rsidR="00BA01FE" w:rsidP="00020ECD" w:rsidRDefault="00BA01FE" w14:paraId="300C5D62" w14:textId="089DE0EF">
      <w:pPr>
        <w:pStyle w:val="Standard0"/>
      </w:pPr>
      <w:r>
        <w:t>Uber</w:t>
      </w:r>
      <w:r w:rsidR="009D6F5F">
        <w:t xml:space="preserve"> and </w:t>
      </w:r>
      <w:r>
        <w:t>Lyft</w:t>
      </w:r>
      <w:r w:rsidR="009D6F5F">
        <w:t xml:space="preserve"> </w:t>
      </w:r>
      <w:r>
        <w:t xml:space="preserve">seek clarification </w:t>
      </w:r>
      <w:r w:rsidR="00AC1D39">
        <w:t>on the meaning</w:t>
      </w:r>
      <w:r>
        <w:t xml:space="preserve"> of “request” since </w:t>
      </w:r>
      <w:r w:rsidR="001856FA">
        <w:t xml:space="preserve">a </w:t>
      </w:r>
      <w:r>
        <w:t xml:space="preserve">TNC </w:t>
      </w:r>
      <w:r w:rsidR="00AC1D39">
        <w:t>can</w:t>
      </w:r>
      <w:r>
        <w:t xml:space="preserve"> receive </w:t>
      </w:r>
      <w:r w:rsidR="00D6162D">
        <w:t xml:space="preserve">trip </w:t>
      </w:r>
      <w:r>
        <w:t xml:space="preserve">requests outside of </w:t>
      </w:r>
      <w:r w:rsidR="001856FA">
        <w:t xml:space="preserve">its </w:t>
      </w:r>
      <w:r>
        <w:t>WAV operating hours when service</w:t>
      </w:r>
      <w:r w:rsidR="00AC1D39">
        <w:t>s</w:t>
      </w:r>
      <w:r>
        <w:t xml:space="preserve"> </w:t>
      </w:r>
      <w:r w:rsidR="00AC1D39">
        <w:t>are</w:t>
      </w:r>
      <w:r>
        <w:t xml:space="preserve"> not offered</w:t>
      </w:r>
      <w:r w:rsidR="004A3A47">
        <w:t>.</w:t>
      </w:r>
      <w:r w:rsidR="004A3A47">
        <w:rPr>
          <w:rStyle w:val="FootnoteReference"/>
        </w:rPr>
        <w:footnoteReference w:id="11"/>
      </w:r>
      <w:r>
        <w:t xml:space="preserve"> </w:t>
      </w:r>
      <w:r w:rsidR="004A3A47">
        <w:t xml:space="preserve"> Uber comments that </w:t>
      </w:r>
      <w:r w:rsidR="00551F48">
        <w:t xml:space="preserve">because </w:t>
      </w:r>
      <w:r w:rsidR="004A3A47">
        <w:t xml:space="preserve">it offers the WAV option on its </w:t>
      </w:r>
      <w:r w:rsidR="00551F48">
        <w:t>app</w:t>
      </w:r>
      <w:r w:rsidR="004A3A47">
        <w:t xml:space="preserve"> 24-hours-a-day and across all California service areas, </w:t>
      </w:r>
      <w:r w:rsidR="00551F48">
        <w:t>that</w:t>
      </w:r>
      <w:r w:rsidR="00B7009C">
        <w:t xml:space="preserve"> </w:t>
      </w:r>
      <w:r w:rsidR="004A3A47">
        <w:t xml:space="preserve">is likely to </w:t>
      </w:r>
      <w:r>
        <w:t>lead to higher rates of non-completion.</w:t>
      </w:r>
      <w:r>
        <w:rPr>
          <w:rStyle w:val="FootnoteReference"/>
        </w:rPr>
        <w:footnoteReference w:id="12"/>
      </w:r>
      <w:r>
        <w:t xml:space="preserve">  </w:t>
      </w:r>
      <w:r w:rsidR="00AC1D39">
        <w:t>Disability Advocates</w:t>
      </w:r>
      <w:r>
        <w:t xml:space="preserve"> state that </w:t>
      </w:r>
      <w:r w:rsidR="00AC1D39">
        <w:t xml:space="preserve">a </w:t>
      </w:r>
      <w:r>
        <w:t xml:space="preserve">TNC should report </w:t>
      </w:r>
      <w:r w:rsidR="00AC1D39">
        <w:t>its operating</w:t>
      </w:r>
      <w:r w:rsidR="001856FA">
        <w:t xml:space="preserve"> </w:t>
      </w:r>
      <w:r>
        <w:t>hours</w:t>
      </w:r>
      <w:r w:rsidR="00AC1D39">
        <w:t>,</w:t>
      </w:r>
      <w:r>
        <w:t xml:space="preserve"> as </w:t>
      </w:r>
      <w:r w:rsidR="00D6162D">
        <w:t>this</w:t>
      </w:r>
      <w:r w:rsidR="00AC1D39">
        <w:t xml:space="preserve"> would</w:t>
      </w:r>
      <w:r>
        <w:t xml:space="preserve"> </w:t>
      </w:r>
      <w:r w:rsidR="00AC1D39">
        <w:t>be</w:t>
      </w:r>
      <w:r>
        <w:t xml:space="preserve"> an important metric for </w:t>
      </w:r>
      <w:r w:rsidR="00D6162D">
        <w:t xml:space="preserve">the </w:t>
      </w:r>
      <w:r>
        <w:t>“presence and availability”</w:t>
      </w:r>
      <w:r w:rsidR="00D6162D">
        <w:t xml:space="preserve"> factor</w:t>
      </w:r>
      <w:r>
        <w:t>.</w:t>
      </w:r>
      <w:r>
        <w:rPr>
          <w:rStyle w:val="FootnoteReference"/>
        </w:rPr>
        <w:footnoteReference w:id="13"/>
      </w:r>
    </w:p>
    <w:p w:rsidR="00BA01FE" w:rsidP="00020ECD" w:rsidRDefault="00BA01FE" w14:paraId="65674314" w14:textId="272DE0D0">
      <w:pPr>
        <w:pStyle w:val="Standard0"/>
      </w:pPr>
      <w:r>
        <w:t>Regarding CPED’s 50</w:t>
      </w:r>
      <w:r w:rsidR="00E63EB7">
        <w:t xml:space="preserve">% </w:t>
      </w:r>
      <w:r>
        <w:t xml:space="preserve">minimum completion, Lyft supports </w:t>
      </w:r>
      <w:r w:rsidR="00E63EB7">
        <w:t>this</w:t>
      </w:r>
      <w:r>
        <w:t xml:space="preserve"> </w:t>
      </w:r>
      <w:r w:rsidR="002A454D">
        <w:t xml:space="preserve">as it </w:t>
      </w:r>
      <w:r w:rsidR="00E63EB7">
        <w:t xml:space="preserve">would </w:t>
      </w:r>
      <w:r w:rsidR="002A454D">
        <w:t>allow for seasonal and other fluctuations</w:t>
      </w:r>
      <w:r>
        <w:t>.</w:t>
      </w:r>
      <w:r w:rsidR="002A454D">
        <w:rPr>
          <w:rStyle w:val="FootnoteReference"/>
        </w:rPr>
        <w:footnoteReference w:id="14"/>
      </w:r>
      <w:r>
        <w:t xml:space="preserve">  </w:t>
      </w:r>
      <w:r w:rsidR="00E63EB7">
        <w:t>Disability Advocates</w:t>
      </w:r>
      <w:r>
        <w:t xml:space="preserve">, </w:t>
      </w:r>
      <w:r w:rsidR="00E63EB7">
        <w:t>San</w:t>
      </w:r>
      <w:r w:rsidR="009679C2">
        <w:t> </w:t>
      </w:r>
      <w:r w:rsidR="00E63EB7">
        <w:t>Francisco</w:t>
      </w:r>
      <w:r>
        <w:t>, and SFTWA object to 50</w:t>
      </w:r>
      <w:r w:rsidR="00E63EB7">
        <w:t xml:space="preserve">% </w:t>
      </w:r>
      <w:r>
        <w:t xml:space="preserve">as inadequate and </w:t>
      </w:r>
      <w:r w:rsidR="00E63EB7">
        <w:t>seek a</w:t>
      </w:r>
      <w:r>
        <w:t xml:space="preserve"> </w:t>
      </w:r>
      <w:r w:rsidR="00E63EB7">
        <w:t>higher</w:t>
      </w:r>
      <w:r>
        <w:t xml:space="preserve"> percentage.</w:t>
      </w:r>
      <w:r>
        <w:rPr>
          <w:rStyle w:val="FootnoteReference"/>
        </w:rPr>
        <w:footnoteReference w:id="15"/>
      </w:r>
      <w:r>
        <w:t xml:space="preserve">  </w:t>
      </w:r>
      <w:r w:rsidR="005D6983">
        <w:t xml:space="preserve">San Francisco </w:t>
      </w:r>
      <w:r>
        <w:t xml:space="preserve">supports </w:t>
      </w:r>
      <w:r w:rsidR="005D6983">
        <w:t>Disability Advocates’</w:t>
      </w:r>
      <w:r>
        <w:t xml:space="preserve"> proposal for a higher, increasing </w:t>
      </w:r>
      <w:r w:rsidR="002B7715">
        <w:t>minimum</w:t>
      </w:r>
      <w:r>
        <w:t xml:space="preserve"> </w:t>
      </w:r>
      <w:r w:rsidR="00F4435D">
        <w:t xml:space="preserve">because it sets </w:t>
      </w:r>
      <w:r w:rsidR="002B7715">
        <w:t xml:space="preserve">a </w:t>
      </w:r>
      <w:r w:rsidR="00F4435D">
        <w:t xml:space="preserve">clear threshold that </w:t>
      </w:r>
      <w:r w:rsidR="005D6983">
        <w:t>incentivize</w:t>
      </w:r>
      <w:r w:rsidR="002B7715">
        <w:t>s</w:t>
      </w:r>
      <w:r w:rsidR="00F4435D">
        <w:t xml:space="preserve"> improvement</w:t>
      </w:r>
      <w:r>
        <w:t>.</w:t>
      </w:r>
    </w:p>
    <w:p w:rsidR="00BA01FE" w:rsidP="00020ECD" w:rsidRDefault="00BA01FE" w14:paraId="6D31D36A" w14:textId="25134AD0">
      <w:pPr>
        <w:pStyle w:val="Standard0"/>
      </w:pPr>
      <w:r>
        <w:t xml:space="preserve">Nearly all parties object to CPED’s proposal to give equal weight to </w:t>
      </w:r>
      <w:r w:rsidR="001856FA">
        <w:t xml:space="preserve">the </w:t>
      </w:r>
      <w:r w:rsidR="00A178CD">
        <w:t xml:space="preserve">Offset Time Standard and </w:t>
      </w:r>
      <w:r w:rsidR="00414574">
        <w:t>trip completion requirement</w:t>
      </w:r>
      <w:r>
        <w:t xml:space="preserve">, </w:t>
      </w:r>
      <w:r w:rsidR="001856FA">
        <w:t>albeit</w:t>
      </w:r>
      <w:r>
        <w:t xml:space="preserve"> for different reasons.  Uber disagrees with </w:t>
      </w:r>
      <w:r w:rsidR="00A178CD">
        <w:t>assigning</w:t>
      </w:r>
      <w:r>
        <w:t xml:space="preserve"> equal weight</w:t>
      </w:r>
      <w:r w:rsidR="005D6983">
        <w:t xml:space="preserve">, stating that </w:t>
      </w:r>
      <w:r w:rsidR="001856FA">
        <w:t xml:space="preserve">the </w:t>
      </w:r>
      <w:r>
        <w:t xml:space="preserve">primary </w:t>
      </w:r>
      <w:r>
        <w:lastRenderedPageBreak/>
        <w:t xml:space="preserve">metric should be completed trips because </w:t>
      </w:r>
      <w:r w:rsidR="00414574">
        <w:t>it</w:t>
      </w:r>
      <w:r>
        <w:t xml:space="preserve"> relate</w:t>
      </w:r>
      <w:r w:rsidR="00414574">
        <w:t>s</w:t>
      </w:r>
      <w:r>
        <w:t xml:space="preserve"> to response times</w:t>
      </w:r>
      <w:r w:rsidR="001856FA">
        <w:t>.</w:t>
      </w:r>
      <w:r w:rsidR="001856FA">
        <w:rPr>
          <w:rStyle w:val="FootnoteReference"/>
        </w:rPr>
        <w:footnoteReference w:id="16"/>
      </w:r>
      <w:r w:rsidR="001856FA">
        <w:t xml:space="preserve">  Uber</w:t>
      </w:r>
      <w:r>
        <w:t xml:space="preserve"> objects to disallowing half of the </w:t>
      </w:r>
      <w:r w:rsidR="00414574">
        <w:t>amount</w:t>
      </w:r>
      <w:r>
        <w:t xml:space="preserve"> requested as too harsh.  Lyft </w:t>
      </w:r>
      <w:r w:rsidR="00414574">
        <w:t>objects to CPED</w:t>
      </w:r>
      <w:r w:rsidR="00BB298E">
        <w:t>’s proposal</w:t>
      </w:r>
      <w:r>
        <w:t xml:space="preserve"> </w:t>
      </w:r>
      <w:r w:rsidR="001856FA">
        <w:t xml:space="preserve">because </w:t>
      </w:r>
      <w:r w:rsidR="005D6983">
        <w:t>if a TNC cannot recoup its total investments, that</w:t>
      </w:r>
      <w:r>
        <w:t xml:space="preserve"> </w:t>
      </w:r>
      <w:r w:rsidR="005D6983">
        <w:t>may render</w:t>
      </w:r>
      <w:r>
        <w:t xml:space="preserve"> a TNC’s WAV program unsustainable.</w:t>
      </w:r>
      <w:r>
        <w:rPr>
          <w:rStyle w:val="FootnoteReference"/>
        </w:rPr>
        <w:footnoteReference w:id="17"/>
      </w:r>
      <w:r>
        <w:t xml:space="preserve"> </w:t>
      </w:r>
      <w:r w:rsidR="0029399B">
        <w:t xml:space="preserve"> </w:t>
      </w:r>
      <w:r>
        <w:t xml:space="preserve">On the other end, </w:t>
      </w:r>
      <w:r w:rsidR="005D6983">
        <w:t>San Francisco</w:t>
      </w:r>
      <w:r>
        <w:t xml:space="preserve">, </w:t>
      </w:r>
      <w:r w:rsidR="005D6983">
        <w:t>Disability Advocates,</w:t>
      </w:r>
      <w:r>
        <w:t xml:space="preserve"> and SFTWA disagree with rewarding TNCs with 50</w:t>
      </w:r>
      <w:r w:rsidR="005D6983">
        <w:t xml:space="preserve">% </w:t>
      </w:r>
      <w:r>
        <w:t xml:space="preserve">of their requested amount for failing to achieve </w:t>
      </w:r>
      <w:r w:rsidR="005A364A">
        <w:t>one standard</w:t>
      </w:r>
      <w:r>
        <w:t>.</w:t>
      </w:r>
      <w:r>
        <w:rPr>
          <w:rStyle w:val="FootnoteReference"/>
        </w:rPr>
        <w:footnoteReference w:id="18"/>
      </w:r>
      <w:r w:rsidR="009C1D2B">
        <w:t xml:space="preserve">  </w:t>
      </w:r>
      <w:r w:rsidR="005D6983">
        <w:t>San Francisco</w:t>
      </w:r>
      <w:r w:rsidR="009C1D2B">
        <w:t xml:space="preserve"> is concerned that this approach will allow a TNC to alternate between reliable, long wait times</w:t>
      </w:r>
      <w:r w:rsidR="005A364A">
        <w:t xml:space="preserve"> </w:t>
      </w:r>
      <w:r w:rsidR="009C1D2B">
        <w:t>and unreliable, shorter wait times.</w:t>
      </w:r>
      <w:r w:rsidR="005A364A">
        <w:t xml:space="preserve"> </w:t>
      </w:r>
    </w:p>
    <w:p w:rsidR="00BA01FE" w:rsidP="00224875" w:rsidRDefault="00BA01FE" w14:paraId="0E7DB60A" w14:textId="2FD25698">
      <w:pPr>
        <w:pStyle w:val="Heading3"/>
        <w:keepLines/>
        <w:numPr>
          <w:ilvl w:val="2"/>
          <w:numId w:val="1"/>
        </w:numPr>
        <w:tabs>
          <w:tab w:val="clear" w:pos="1620"/>
          <w:tab w:val="num" w:pos="1656"/>
        </w:tabs>
        <w:spacing w:before="0"/>
        <w:ind w:left="1656" w:right="2160" w:hanging="936"/>
      </w:pPr>
      <w:bookmarkStart w:name="_Toc65585457" w:id="20"/>
      <w:r>
        <w:t>Proposals on Multi-Factor Metrics</w:t>
      </w:r>
      <w:bookmarkEnd w:id="20"/>
    </w:p>
    <w:p w:rsidRPr="001E3C1D" w:rsidR="000B6637" w:rsidP="00020ECD" w:rsidRDefault="00597938" w14:paraId="33BA7AA1" w14:textId="69A2B1AF">
      <w:pPr>
        <w:pStyle w:val="Standard0"/>
      </w:pPr>
      <w:r>
        <w:t xml:space="preserve">Some parties, including Uber, Lyft, and Via, recommend considering </w:t>
      </w:r>
      <w:r w:rsidR="003C2D56">
        <w:t>multiple</w:t>
      </w:r>
      <w:r>
        <w:t xml:space="preserve"> factors to </w:t>
      </w:r>
      <w:r w:rsidR="004C6F2F">
        <w:t>demonstrate</w:t>
      </w:r>
      <w:r>
        <w:t xml:space="preserve"> improved level of service.</w:t>
      </w:r>
      <w:r w:rsidRPr="00597938">
        <w:t xml:space="preserve"> </w:t>
      </w:r>
      <w:r w:rsidR="00EB24EF">
        <w:t xml:space="preserve"> </w:t>
      </w:r>
      <w:r>
        <w:t xml:space="preserve">Uber </w:t>
      </w:r>
      <w:r w:rsidR="003C2D56">
        <w:t>proposes</w:t>
      </w:r>
      <w:r>
        <w:t xml:space="preserve"> factors such as reduced complaint rates, increased number of WAV</w:t>
      </w:r>
      <w:r w:rsidR="003C2D56">
        <w:t xml:space="preserve"> </w:t>
      </w:r>
      <w:r>
        <w:t>availab</w:t>
      </w:r>
      <w:r w:rsidR="003C2D56">
        <w:t>ility</w:t>
      </w:r>
      <w:r w:rsidR="004C6F2F">
        <w:t xml:space="preserve"> hours</w:t>
      </w:r>
      <w:r>
        <w:t xml:space="preserve">, </w:t>
      </w:r>
      <w:r w:rsidR="004C6F2F">
        <w:t>or proportionate</w:t>
      </w:r>
      <w:r>
        <w:t xml:space="preserve"> response times during </w:t>
      </w:r>
      <w:r w:rsidR="004C6F2F">
        <w:t xml:space="preserve">periods of </w:t>
      </w:r>
      <w:r>
        <w:t xml:space="preserve">increased WAV availability </w:t>
      </w:r>
      <w:r w:rsidR="004C6F2F">
        <w:t>or</w:t>
      </w:r>
      <w:r>
        <w:t xml:space="preserve"> expansion of service area.</w:t>
      </w:r>
      <w:r>
        <w:rPr>
          <w:rStyle w:val="FootnoteReference"/>
        </w:rPr>
        <w:footnoteReference w:id="19"/>
      </w:r>
      <w:r>
        <w:t xml:space="preserve">  </w:t>
      </w:r>
      <w:r w:rsidR="000B6637">
        <w:t xml:space="preserve">Lyft proposes a multi-metric approach where a TNC </w:t>
      </w:r>
      <w:r w:rsidR="004C6F2F">
        <w:t>must</w:t>
      </w:r>
      <w:r w:rsidR="000B6637">
        <w:t xml:space="preserve"> demonstrate improvement in </w:t>
      </w:r>
      <w:r w:rsidR="004C6F2F">
        <w:t xml:space="preserve">just </w:t>
      </w:r>
      <w:r w:rsidR="000B6637">
        <w:t xml:space="preserve">one </w:t>
      </w:r>
      <w:r w:rsidR="002A454D">
        <w:t>of the</w:t>
      </w:r>
      <w:r w:rsidR="000B6637">
        <w:t xml:space="preserve"> </w:t>
      </w:r>
      <w:r w:rsidR="004C6F2F">
        <w:t xml:space="preserve">collected </w:t>
      </w:r>
      <w:r w:rsidR="000B6637">
        <w:t>metric</w:t>
      </w:r>
      <w:r w:rsidR="002A454D">
        <w:t xml:space="preserve">s </w:t>
      </w:r>
      <w:r w:rsidR="000B6637">
        <w:t>each quarter</w:t>
      </w:r>
      <w:r w:rsidR="002A454D">
        <w:t xml:space="preserve"> </w:t>
      </w:r>
      <w:r w:rsidRPr="005173E7" w:rsidR="002A454D">
        <w:t>(</w:t>
      </w:r>
      <w:r w:rsidRPr="005173E7" w:rsidR="002A454D">
        <w:rPr>
          <w:i/>
          <w:iCs/>
        </w:rPr>
        <w:t>i.e</w:t>
      </w:r>
      <w:r w:rsidRPr="005173E7" w:rsidR="002A454D">
        <w:t>. number</w:t>
      </w:r>
      <w:r w:rsidR="002A454D">
        <w:t xml:space="preserve"> of WAVs in operation, </w:t>
      </w:r>
      <w:r w:rsidR="004C6F2F">
        <w:t xml:space="preserve">completed </w:t>
      </w:r>
      <w:r w:rsidR="002A454D">
        <w:t>WAV trips)</w:t>
      </w:r>
      <w:r w:rsidR="000B6637">
        <w:t>.</w:t>
      </w:r>
      <w:r w:rsidR="000B6637">
        <w:rPr>
          <w:rStyle w:val="FootnoteReference"/>
        </w:rPr>
        <w:footnoteReference w:id="20"/>
      </w:r>
      <w:r w:rsidR="000B6637">
        <w:t xml:space="preserve">  </w:t>
      </w:r>
      <w:r>
        <w:t xml:space="preserve">Via supports various metrics </w:t>
      </w:r>
      <w:r w:rsidR="00414574">
        <w:t>for</w:t>
      </w:r>
      <w:r>
        <w:t xml:space="preserve"> improved level of service, including increasing WAV </w:t>
      </w:r>
      <w:r w:rsidR="00650810">
        <w:t>requests</w:t>
      </w:r>
      <w:r>
        <w:t xml:space="preserve">, expanding service to new areas, </w:t>
      </w:r>
      <w:r w:rsidR="00BB298E">
        <w:t xml:space="preserve">or </w:t>
      </w:r>
      <w:r>
        <w:t xml:space="preserve">increasing </w:t>
      </w:r>
      <w:r w:rsidRPr="001E3C1D">
        <w:t>WAV trainings.</w:t>
      </w:r>
      <w:r w:rsidRPr="001E3C1D">
        <w:rPr>
          <w:rStyle w:val="FootnoteReference"/>
        </w:rPr>
        <w:footnoteReference w:id="21"/>
      </w:r>
      <w:r w:rsidRPr="001E3C1D" w:rsidR="00D10670">
        <w:t xml:space="preserve"> </w:t>
      </w:r>
      <w:r w:rsidR="001E3C1D">
        <w:t xml:space="preserve"> </w:t>
      </w:r>
      <w:r w:rsidR="008319A7">
        <w:t>San</w:t>
      </w:r>
      <w:r w:rsidR="007C71F8">
        <w:t> </w:t>
      </w:r>
      <w:r w:rsidR="008319A7">
        <w:t>Francisco</w:t>
      </w:r>
      <w:r w:rsidR="001E3C1D">
        <w:t xml:space="preserve">, </w:t>
      </w:r>
      <w:r w:rsidR="008319A7">
        <w:t>Disability Advocates,</w:t>
      </w:r>
      <w:r w:rsidR="001E3C1D">
        <w:t xml:space="preserve"> and SFTWA object to Lyft’s approach </w:t>
      </w:r>
      <w:r w:rsidR="008319A7">
        <w:t xml:space="preserve">as </w:t>
      </w:r>
      <w:r w:rsidR="008319A7">
        <w:lastRenderedPageBreak/>
        <w:t xml:space="preserve">inadequate </w:t>
      </w:r>
      <w:r w:rsidR="001E3C1D">
        <w:t xml:space="preserve">in that a TNC </w:t>
      </w:r>
      <w:r w:rsidR="00414574">
        <w:t>can</w:t>
      </w:r>
      <w:r w:rsidR="008319A7">
        <w:t xml:space="preserve"> cherry-pick among metrics or a TNC c</w:t>
      </w:r>
      <w:r w:rsidR="00414574">
        <w:t>an</w:t>
      </w:r>
      <w:r w:rsidR="008319A7">
        <w:t xml:space="preserve"> make minimal improvement </w:t>
      </w:r>
      <w:r w:rsidR="00414574">
        <w:t>in</w:t>
      </w:r>
      <w:r w:rsidR="008319A7">
        <w:t xml:space="preserve"> only one </w:t>
      </w:r>
      <w:r w:rsidR="00B9558A">
        <w:t>metric</w:t>
      </w:r>
      <w:r w:rsidR="001E3C1D">
        <w:t>.</w:t>
      </w:r>
      <w:r w:rsidR="001E3C1D">
        <w:rPr>
          <w:rStyle w:val="FootnoteReference"/>
        </w:rPr>
        <w:footnoteReference w:id="22"/>
      </w:r>
      <w:r w:rsidR="001E3C1D">
        <w:t xml:space="preserve">  </w:t>
      </w:r>
    </w:p>
    <w:p w:rsidR="00647285" w:rsidP="00020ECD" w:rsidRDefault="008319A7" w14:paraId="687EAB79" w14:textId="629E19A7">
      <w:pPr>
        <w:pStyle w:val="Standard0"/>
      </w:pPr>
      <w:r>
        <w:t>Disability Advocates</w:t>
      </w:r>
      <w:r w:rsidRPr="001E3C1D" w:rsidR="00AF5132">
        <w:t xml:space="preserve"> </w:t>
      </w:r>
      <w:r w:rsidR="00B9558A">
        <w:t>recommend</w:t>
      </w:r>
      <w:r w:rsidRPr="001E3C1D" w:rsidR="00AF5132">
        <w:t xml:space="preserve"> </w:t>
      </w:r>
      <w:r>
        <w:t>more granularity for</w:t>
      </w:r>
      <w:r w:rsidRPr="001E3C1D" w:rsidR="00AF5132">
        <w:t xml:space="preserve"> the “presence and availability” </w:t>
      </w:r>
      <w:r w:rsidRPr="001E3C1D" w:rsidR="00497B9F">
        <w:t>requirement</w:t>
      </w:r>
      <w:r w:rsidRPr="001E3C1D" w:rsidR="00AF5132">
        <w:t xml:space="preserve"> adopted in D.20-03-007, </w:t>
      </w:r>
      <w:r w:rsidR="00B9558A">
        <w:t>such as</w:t>
      </w:r>
      <w:r w:rsidRPr="001E3C1D" w:rsidR="00AF5132">
        <w:t xml:space="preserve"> reporting </w:t>
      </w:r>
      <w:r>
        <w:t>the number of</w:t>
      </w:r>
      <w:r w:rsidRPr="001E3C1D" w:rsidR="00AF5132">
        <w:t xml:space="preserve"> WAV drivers </w:t>
      </w:r>
      <w:r>
        <w:t xml:space="preserve">and requested WAV trips by </w:t>
      </w:r>
      <w:r w:rsidRPr="001E3C1D" w:rsidR="00AF5132">
        <w:t xml:space="preserve">a </w:t>
      </w:r>
      <w:r w:rsidRPr="001E3C1D" w:rsidR="00497B9F">
        <w:t>given</w:t>
      </w:r>
      <w:r w:rsidRPr="001E3C1D" w:rsidR="00AF5132">
        <w:t xml:space="preserve"> day and time.</w:t>
      </w:r>
      <w:r w:rsidRPr="001E3C1D" w:rsidR="00AF5132">
        <w:rPr>
          <w:rStyle w:val="FootnoteReference"/>
        </w:rPr>
        <w:footnoteReference w:id="23"/>
      </w:r>
      <w:r w:rsidRPr="001E3C1D" w:rsidR="00AF5132">
        <w:t xml:space="preserve">  </w:t>
      </w:r>
      <w:r>
        <w:t>Disability Advocates</w:t>
      </w:r>
      <w:r w:rsidRPr="001E3C1D">
        <w:t xml:space="preserve"> </w:t>
      </w:r>
      <w:r w:rsidR="00B9558A">
        <w:t xml:space="preserve">also </w:t>
      </w:r>
      <w:r w:rsidRPr="001E3C1D" w:rsidR="00367F83">
        <w:t>recommend</w:t>
      </w:r>
      <w:r w:rsidRPr="001E3C1D" w:rsidR="00A22B43">
        <w:t xml:space="preserve"> modifying </w:t>
      </w:r>
      <w:r>
        <w:t>the</w:t>
      </w:r>
      <w:r w:rsidRPr="001E3C1D" w:rsidR="00A22B43">
        <w:t xml:space="preserve"> “publicize and promote available WAV services” </w:t>
      </w:r>
      <w:r>
        <w:t xml:space="preserve">requirement </w:t>
      </w:r>
      <w:r w:rsidRPr="001E3C1D" w:rsidR="00A22B43">
        <w:t>by denying</w:t>
      </w:r>
      <w:r w:rsidRPr="001E3C1D" w:rsidR="00367F83">
        <w:t xml:space="preserve"> offsets </w:t>
      </w:r>
      <w:r w:rsidRPr="001E3C1D" w:rsidR="00497B9F">
        <w:t>for TNCs that</w:t>
      </w:r>
      <w:r w:rsidRPr="001E3C1D" w:rsidR="00367F83">
        <w:t xml:space="preserve"> do not demonstrate </w:t>
      </w:r>
      <w:r>
        <w:t>th</w:t>
      </w:r>
      <w:r w:rsidR="00EA328C">
        <w:t>at</w:t>
      </w:r>
      <w:r w:rsidRPr="001E3C1D" w:rsidR="00A22B43">
        <w:t xml:space="preserve"> </w:t>
      </w:r>
      <w:r w:rsidRPr="001E3C1D" w:rsidR="00367F83">
        <w:t xml:space="preserve">outreach efforts resulted in improved WAV accessibility. </w:t>
      </w:r>
      <w:r w:rsidRPr="001E3C1D" w:rsidR="00A22B43">
        <w:t xml:space="preserve"> </w:t>
      </w:r>
      <w:r>
        <w:t>Disability Advocates</w:t>
      </w:r>
      <w:r w:rsidRPr="001E3C1D" w:rsidR="00647285">
        <w:t xml:space="preserve"> </w:t>
      </w:r>
      <w:r w:rsidR="001E3C1D">
        <w:t xml:space="preserve">also </w:t>
      </w:r>
      <w:r w:rsidRPr="001E3C1D" w:rsidR="00647285">
        <w:t xml:space="preserve">recommend that </w:t>
      </w:r>
      <w:r w:rsidRPr="001E3C1D" w:rsidR="002805C3">
        <w:t xml:space="preserve">for each </w:t>
      </w:r>
      <w:r w:rsidRPr="001E3C1D" w:rsidR="00497B9F">
        <w:t>o</w:t>
      </w:r>
      <w:r w:rsidRPr="001E3C1D" w:rsidR="002805C3">
        <w:t xml:space="preserve">ffset </w:t>
      </w:r>
      <w:r w:rsidR="001E3C1D">
        <w:t>requirement</w:t>
      </w:r>
      <w:r w:rsidRPr="001E3C1D" w:rsidR="002805C3">
        <w:t>,</w:t>
      </w:r>
      <w:r w:rsidRPr="001E3C1D" w:rsidR="00647285">
        <w:t xml:space="preserve"> </w:t>
      </w:r>
      <w:r>
        <w:t>a</w:t>
      </w:r>
      <w:r w:rsidRPr="001E3C1D" w:rsidR="002805C3">
        <w:t xml:space="preserve"> TNC </w:t>
      </w:r>
      <w:r w:rsidRPr="001E3C1D" w:rsidR="00A22B43">
        <w:t>must</w:t>
      </w:r>
      <w:r w:rsidRPr="001E3C1D" w:rsidR="002805C3">
        <w:t xml:space="preserve"> increase </w:t>
      </w:r>
      <w:r w:rsidR="001E3C1D">
        <w:t xml:space="preserve">the </w:t>
      </w:r>
      <w:r w:rsidRPr="001E3C1D" w:rsidR="00647285">
        <w:t>benchmark</w:t>
      </w:r>
      <w:r w:rsidRPr="001E3C1D" w:rsidR="00497B9F">
        <w:t xml:space="preserve"> on an annual basis</w:t>
      </w:r>
      <w:r w:rsidRPr="001E3C1D" w:rsidR="00647285">
        <w:t>.</w:t>
      </w:r>
      <w:r w:rsidRPr="001E3C1D" w:rsidR="00647285">
        <w:rPr>
          <w:rStyle w:val="FootnoteReference"/>
        </w:rPr>
        <w:footnoteReference w:id="24"/>
      </w:r>
      <w:r w:rsidRPr="001E3C1D" w:rsidR="00647285">
        <w:t xml:space="preserve">  </w:t>
      </w:r>
    </w:p>
    <w:p w:rsidR="00E84866" w:rsidP="00224875" w:rsidRDefault="00E84866" w14:paraId="5C5237C7" w14:textId="2F6F1CC2">
      <w:pPr>
        <w:pStyle w:val="Heading3"/>
        <w:keepLines/>
        <w:numPr>
          <w:ilvl w:val="2"/>
          <w:numId w:val="1"/>
        </w:numPr>
        <w:tabs>
          <w:tab w:val="clear" w:pos="1620"/>
          <w:tab w:val="num" w:pos="1656"/>
        </w:tabs>
        <w:spacing w:before="0"/>
        <w:ind w:left="1656" w:right="2160" w:hanging="936"/>
      </w:pPr>
      <w:bookmarkStart w:name="_Toc65585458" w:id="21"/>
      <w:r>
        <w:t>Discussion</w:t>
      </w:r>
      <w:bookmarkEnd w:id="21"/>
    </w:p>
    <w:p w:rsidR="00EA48F2" w:rsidP="00020ECD" w:rsidRDefault="00416379" w14:paraId="59EEDA89" w14:textId="523D7F22">
      <w:pPr>
        <w:pStyle w:val="Standard0"/>
      </w:pPr>
      <w:r>
        <w:t>The Commission</w:t>
      </w:r>
      <w:r w:rsidR="001E3C1D">
        <w:t xml:space="preserve"> find</w:t>
      </w:r>
      <w:r>
        <w:t>s</w:t>
      </w:r>
      <w:r w:rsidR="00E84866">
        <w:t xml:space="preserve"> consensus among parties that </w:t>
      </w:r>
      <w:r w:rsidR="00D37A47">
        <w:t xml:space="preserve">to </w:t>
      </w:r>
      <w:r w:rsidR="00EE4A08">
        <w:t>demonstrat</w:t>
      </w:r>
      <w:r w:rsidR="00D37A47">
        <w:t>e</w:t>
      </w:r>
      <w:r w:rsidR="00EE4A08">
        <w:t xml:space="preserve"> </w:t>
      </w:r>
      <w:r w:rsidR="00E84866">
        <w:t>“improved level of service</w:t>
      </w:r>
      <w:r>
        <w:t>,</w:t>
      </w:r>
      <w:r w:rsidR="00E84866">
        <w:t>”</w:t>
      </w:r>
      <w:r w:rsidR="00D37A47">
        <w:t xml:space="preserve"> a TNC</w:t>
      </w:r>
      <w:r w:rsidR="00E84866">
        <w:t xml:space="preserve"> should increase the number or percentage of completed WAV </w:t>
      </w:r>
      <w:r>
        <w:t>trips each</w:t>
      </w:r>
      <w:r w:rsidR="00E84866">
        <w:t xml:space="preserve"> quarter.  Based on CPED’s analysis of </w:t>
      </w:r>
      <w:r w:rsidR="00D37A47">
        <w:t>submitted</w:t>
      </w:r>
      <w:r w:rsidR="00E84866">
        <w:t xml:space="preserve"> Offset Requests, </w:t>
      </w:r>
      <w:r>
        <w:t xml:space="preserve">it is important </w:t>
      </w:r>
      <w:r w:rsidR="00A178CD">
        <w:t xml:space="preserve">to incentivize TNCs to </w:t>
      </w:r>
      <w:r w:rsidR="00EE4A08">
        <w:t xml:space="preserve">increase the number or percentage of completed WAV </w:t>
      </w:r>
      <w:r>
        <w:t xml:space="preserve">trips so that </w:t>
      </w:r>
      <w:r w:rsidR="00255D8C">
        <w:t>TNCs do not complete a</w:t>
      </w:r>
      <w:r w:rsidR="00EE4A08">
        <w:t xml:space="preserve"> </w:t>
      </w:r>
      <w:r w:rsidR="00287AEC">
        <w:t>minimal</w:t>
      </w:r>
      <w:r w:rsidR="00A04688">
        <w:t xml:space="preserve"> </w:t>
      </w:r>
      <w:r w:rsidR="00287AEC">
        <w:t>number</w:t>
      </w:r>
      <w:r w:rsidR="00A04688">
        <w:t xml:space="preserve"> of WAV requests</w:t>
      </w:r>
      <w:r w:rsidR="006247EB">
        <w:t xml:space="preserve"> </w:t>
      </w:r>
      <w:r w:rsidR="00287AEC">
        <w:t xml:space="preserve">in order </w:t>
      </w:r>
      <w:r w:rsidR="00A178CD">
        <w:t xml:space="preserve">to </w:t>
      </w:r>
      <w:r w:rsidR="006247EB">
        <w:t>maximize</w:t>
      </w:r>
      <w:r w:rsidR="00A178CD">
        <w:t xml:space="preserve"> </w:t>
      </w:r>
      <w:r w:rsidR="00D37A47">
        <w:t>response time</w:t>
      </w:r>
      <w:r>
        <w:t xml:space="preserve"> benchmarks</w:t>
      </w:r>
      <w:r w:rsidR="00A04688">
        <w:t xml:space="preserve">.  </w:t>
      </w:r>
    </w:p>
    <w:p w:rsidR="00411E49" w:rsidP="00020ECD" w:rsidRDefault="006247EB" w14:paraId="71283E65" w14:textId="658E0454">
      <w:pPr>
        <w:pStyle w:val="Standard0"/>
      </w:pPr>
      <w:r>
        <w:t xml:space="preserve">We </w:t>
      </w:r>
      <w:r w:rsidR="004805BC">
        <w:t>acknowledge</w:t>
      </w:r>
      <w:r w:rsidR="00E23C3B">
        <w:t xml:space="preserve"> </w:t>
      </w:r>
      <w:r w:rsidR="004805BC">
        <w:t>parties’</w:t>
      </w:r>
      <w:r w:rsidR="00E23C3B">
        <w:t xml:space="preserve"> interest in</w:t>
      </w:r>
      <w:r>
        <w:t xml:space="preserve"> setting a minimum </w:t>
      </w:r>
      <w:r w:rsidR="004805BC">
        <w:t>completion percentage</w:t>
      </w:r>
      <w:r>
        <w:t xml:space="preserve"> (such as 50%) or gradually increasing benchmarks</w:t>
      </w:r>
      <w:r w:rsidR="00E23C3B">
        <w:t xml:space="preserve">, as </w:t>
      </w:r>
      <w:r w:rsidR="004805BC">
        <w:t>a means to</w:t>
      </w:r>
      <w:r>
        <w:t xml:space="preserve"> incentivize TNCs to accept and complete a higher </w:t>
      </w:r>
      <w:r w:rsidR="004805BC">
        <w:t>number</w:t>
      </w:r>
      <w:r>
        <w:t xml:space="preserve"> of trip requests.  It is</w:t>
      </w:r>
      <w:r w:rsidR="004805BC">
        <w:t xml:space="preserve"> necessary, however,</w:t>
      </w:r>
      <w:r>
        <w:t xml:space="preserve"> to balance the need to incentivize WAV service </w:t>
      </w:r>
      <w:r w:rsidR="004805BC">
        <w:t>development and expansion</w:t>
      </w:r>
      <w:r>
        <w:t xml:space="preserve">, particularly in counties with limited or no existing </w:t>
      </w:r>
      <w:r>
        <w:lastRenderedPageBreak/>
        <w:t>WAV service, with</w:t>
      </w:r>
      <w:r w:rsidR="00365BB5">
        <w:t>out</w:t>
      </w:r>
      <w:r>
        <w:t xml:space="preserve"> </w:t>
      </w:r>
      <w:r w:rsidR="00411E49">
        <w:t xml:space="preserve">setting an unrealistic </w:t>
      </w:r>
      <w:r w:rsidR="00365BB5">
        <w:t>requirement</w:t>
      </w:r>
      <w:r>
        <w:t xml:space="preserve"> that discourages WAV development.  </w:t>
      </w:r>
      <w:r w:rsidR="00365BB5">
        <w:t>At this time, there is</w:t>
      </w:r>
      <w:r w:rsidR="00411E49">
        <w:t xml:space="preserve"> </w:t>
      </w:r>
      <w:r w:rsidR="00365BB5">
        <w:t>in</w:t>
      </w:r>
      <w:r w:rsidR="00411E49">
        <w:t xml:space="preserve">sufficient record </w:t>
      </w:r>
      <w:r w:rsidR="0093477E">
        <w:t>for</w:t>
      </w:r>
      <w:r w:rsidR="00365BB5">
        <w:t xml:space="preserve"> the Commission to </w:t>
      </w:r>
      <w:r w:rsidR="00411E49">
        <w:t xml:space="preserve">determine the appropriate minimum </w:t>
      </w:r>
      <w:r w:rsidR="00365BB5">
        <w:t>percentage</w:t>
      </w:r>
      <w:r w:rsidR="00411E49">
        <w:t xml:space="preserve"> or </w:t>
      </w:r>
      <w:r w:rsidR="00365BB5">
        <w:t>appropriate increasing</w:t>
      </w:r>
      <w:r w:rsidR="00411E49">
        <w:t xml:space="preserve"> benchmarks.  </w:t>
      </w:r>
      <w:r w:rsidR="00365BB5">
        <w:t>The</w:t>
      </w:r>
      <w:r w:rsidR="00411E49">
        <w:t xml:space="preserve"> Commission </w:t>
      </w:r>
      <w:r w:rsidR="00365BB5">
        <w:t xml:space="preserve">believes that before adopting a </w:t>
      </w:r>
      <w:r w:rsidR="00EA328C">
        <w:t xml:space="preserve">minimum </w:t>
      </w:r>
      <w:r w:rsidR="00365BB5">
        <w:t xml:space="preserve">standard, it is prudent </w:t>
      </w:r>
      <w:r>
        <w:t xml:space="preserve">to </w:t>
      </w:r>
      <w:r w:rsidR="00365BB5">
        <w:t xml:space="preserve">first </w:t>
      </w:r>
      <w:r>
        <w:t>evaluate actual WAV trip comp</w:t>
      </w:r>
      <w:r w:rsidR="00411E49">
        <w:t>l</w:t>
      </w:r>
      <w:r>
        <w:t xml:space="preserve">etion rates by geographic area </w:t>
      </w:r>
      <w:r w:rsidR="00EA328C">
        <w:t xml:space="preserve">and </w:t>
      </w:r>
      <w:r w:rsidR="00BB298E">
        <w:t>over a longer time</w:t>
      </w:r>
      <w:r w:rsidR="0093477E">
        <w:t xml:space="preserve"> period</w:t>
      </w:r>
      <w:r w:rsidR="00BB298E">
        <w:t xml:space="preserve"> tha</w:t>
      </w:r>
      <w:r w:rsidR="00D06FD5">
        <w:t>n</w:t>
      </w:r>
      <w:r w:rsidR="00BB298E">
        <w:t xml:space="preserve"> currently available data </w:t>
      </w:r>
      <w:r w:rsidR="007E1F01">
        <w:t xml:space="preserve">allow </w:t>
      </w:r>
      <w:r>
        <w:t xml:space="preserve">to better understand </w:t>
      </w:r>
      <w:r w:rsidR="00365BB5">
        <w:t>an</w:t>
      </w:r>
      <w:r>
        <w:t xml:space="preserve"> appropriate </w:t>
      </w:r>
      <w:r w:rsidR="00365BB5">
        <w:t>minimum requirement</w:t>
      </w:r>
      <w:r>
        <w:t xml:space="preserve">.  </w:t>
      </w:r>
    </w:p>
    <w:p w:rsidR="001560B8" w:rsidP="00020ECD" w:rsidRDefault="007865F5" w14:paraId="3AC74C98" w14:textId="683560C4">
      <w:pPr>
        <w:pStyle w:val="Standard0"/>
      </w:pPr>
      <w:r>
        <w:t>Without adopting a minimum benchmark at this time, the</w:t>
      </w:r>
      <w:r w:rsidR="00411E49">
        <w:t xml:space="preserve"> Commission </w:t>
      </w:r>
      <w:r>
        <w:t>finds</w:t>
      </w:r>
      <w:r w:rsidR="00411E49">
        <w:t xml:space="preserve"> </w:t>
      </w:r>
      <w:r>
        <w:t xml:space="preserve">it reasonable that </w:t>
      </w:r>
      <w:r w:rsidR="0033108D">
        <w:t xml:space="preserve">to demonstrate “improved level of service” for an Offset Request, a TNC must demonstrate either: </w:t>
      </w:r>
      <w:r w:rsidR="007C71F8">
        <w:t xml:space="preserve"> </w:t>
      </w:r>
      <w:r w:rsidR="0033108D">
        <w:t xml:space="preserve">(a) an increase in the total number of completed WAV </w:t>
      </w:r>
      <w:r w:rsidR="00C931B8">
        <w:t>trips</w:t>
      </w:r>
      <w:r w:rsidR="0033108D">
        <w:t xml:space="preserve"> compared to the previous quarter in that geographic area, or (b)</w:t>
      </w:r>
      <w:r w:rsidR="007C71F8">
        <w:t> </w:t>
      </w:r>
      <w:r w:rsidR="0033108D">
        <w:t xml:space="preserve">an increase in the percentage of completed WAV trips compared to the previous quarter in that geographic area.  </w:t>
      </w:r>
      <w:r w:rsidR="008F00AE">
        <w:t xml:space="preserve">This requirement </w:t>
      </w:r>
      <w:r w:rsidR="00365BB5">
        <w:t>will be</w:t>
      </w:r>
      <w:r w:rsidR="008F00AE">
        <w:t xml:space="preserve"> referred to as the Trip</w:t>
      </w:r>
      <w:r w:rsidRPr="00B965D4" w:rsidR="008F00AE">
        <w:t xml:space="preserve"> Completion </w:t>
      </w:r>
      <w:r w:rsidR="008F00AE">
        <w:t>Standard</w:t>
      </w:r>
      <w:r w:rsidR="00416379">
        <w:t xml:space="preserve"> and </w:t>
      </w:r>
      <w:r w:rsidR="00411E49">
        <w:t xml:space="preserve">shall be effective for Offset Requests </w:t>
      </w:r>
      <w:r w:rsidR="00195B29">
        <w:t xml:space="preserve">and Exemption Requests </w:t>
      </w:r>
      <w:r w:rsidR="00411E49">
        <w:t xml:space="preserve">submitted </w:t>
      </w:r>
      <w:r w:rsidR="00227651">
        <w:t xml:space="preserve">starting with </w:t>
      </w:r>
      <w:r w:rsidR="005872EC">
        <w:t xml:space="preserve">the </w:t>
      </w:r>
      <w:r w:rsidR="00BB298E">
        <w:t xml:space="preserve">second </w:t>
      </w:r>
      <w:r w:rsidR="005872EC">
        <w:t xml:space="preserve">quarter </w:t>
      </w:r>
      <w:r w:rsidR="00BB298E">
        <w:t>of 202</w:t>
      </w:r>
      <w:r w:rsidR="00EA328C">
        <w:t>1</w:t>
      </w:r>
      <w:r w:rsidR="005872EC">
        <w:t>.</w:t>
      </w:r>
      <w:r>
        <w:t xml:space="preserve">  </w:t>
      </w:r>
      <w:r w:rsidR="0093477E">
        <w:t xml:space="preserve">The Trip Completion Standard requirement is in addition to the Offset Time Standard </w:t>
      </w:r>
      <w:r w:rsidR="006B0DF9">
        <w:t xml:space="preserve">required to demonstrate improved level of service, as </w:t>
      </w:r>
      <w:r w:rsidR="0093477E">
        <w:t>adopted in D.20</w:t>
      </w:r>
      <w:r w:rsidR="00A63693">
        <w:noBreakHyphen/>
      </w:r>
      <w:r w:rsidR="0093477E">
        <w:t>03</w:t>
      </w:r>
      <w:r w:rsidR="00A63693">
        <w:noBreakHyphen/>
      </w:r>
      <w:r w:rsidR="0093477E">
        <w:t xml:space="preserve">007.  </w:t>
      </w:r>
    </w:p>
    <w:p w:rsidR="00BB298E" w:rsidP="00020ECD" w:rsidRDefault="00227651" w14:paraId="5159D2BA" w14:textId="1113319F">
      <w:pPr>
        <w:pStyle w:val="Standard0"/>
      </w:pPr>
      <w:r>
        <w:t>T</w:t>
      </w:r>
      <w:r w:rsidR="00562E69">
        <w:t>he percentage of completed WAV trip</w:t>
      </w:r>
      <w:r w:rsidR="00BB298E">
        <w:t xml:space="preserve"> request</w:t>
      </w:r>
      <w:r w:rsidR="00562E69">
        <w:t xml:space="preserve">s shall be calculated as the total number of completed WAV trips divided by the total number of WAV requests </w:t>
      </w:r>
      <w:r w:rsidR="007E1F01">
        <w:t>for a given geographic area and quarter</w:t>
      </w:r>
      <w:r w:rsidR="00BB298E">
        <w:t>, as follows:</w:t>
      </w:r>
      <w:r w:rsidR="00562E69">
        <w:t xml:space="preserve">  </w:t>
      </w:r>
    </w:p>
    <w:p w:rsidRPr="00BB298E" w:rsidR="00BB298E" w:rsidP="00BB298E" w:rsidRDefault="00BB298E" w14:paraId="6AA5E794" w14:textId="061674AA">
      <w:pPr>
        <w:pStyle w:val="ALJBodyText"/>
        <w:spacing w:line="240" w:lineRule="auto"/>
        <w:ind w:left="720" w:firstLine="0"/>
      </w:pPr>
      <w:bookmarkStart w:name="_Hlk62462193" w:id="22"/>
      <w:r w:rsidRPr="00BB298E">
        <w:t xml:space="preserve">% Completed WAV Trip Requests = Total Completed Trips / Total Trip Requests </w:t>
      </w:r>
      <w:bookmarkEnd w:id="22"/>
    </w:p>
    <w:p w:rsidR="00562E69" w:rsidP="00651B38" w:rsidRDefault="00562E69" w14:paraId="1AE0ECA8" w14:textId="76638C33">
      <w:pPr>
        <w:pStyle w:val="Standard0"/>
        <w:spacing w:before="240"/>
      </w:pPr>
      <w:r>
        <w:t xml:space="preserve">We agree with Disability Advocates that for purposes of public transparency </w:t>
      </w:r>
      <w:r w:rsidR="00BB298E">
        <w:t xml:space="preserve">regarding the availability of WAV service </w:t>
      </w:r>
      <w:r>
        <w:t xml:space="preserve">and to ensure consistency, the transportation carrier shall submit its WAV operating hours for </w:t>
      </w:r>
      <w:r>
        <w:lastRenderedPageBreak/>
        <w:t>that geographic area</w:t>
      </w:r>
      <w:r w:rsidR="00BB298E">
        <w:t xml:space="preserve"> </w:t>
      </w:r>
      <w:r w:rsidR="0093477E">
        <w:t>with its submission of the percentage of completed WAV trip requests</w:t>
      </w:r>
      <w:r>
        <w:t>.</w:t>
      </w:r>
      <w:r w:rsidR="0093477E">
        <w:t xml:space="preserve">  Accordingly, we adopt this requirement. </w:t>
      </w:r>
    </w:p>
    <w:p w:rsidR="00411E49" w:rsidP="00020ECD" w:rsidRDefault="00D06FD5" w14:paraId="15353DAC" w14:textId="0841ADFE">
      <w:pPr>
        <w:pStyle w:val="Standard0"/>
      </w:pPr>
      <w:r>
        <w:t>In order t</w:t>
      </w:r>
      <w:r w:rsidR="00411E49">
        <w:t xml:space="preserve">o evaluate </w:t>
      </w:r>
      <w:r>
        <w:t xml:space="preserve">what </w:t>
      </w:r>
      <w:r w:rsidR="00411E49">
        <w:t>minimum benchmark</w:t>
      </w:r>
      <w:r w:rsidR="0093477E">
        <w:t>(</w:t>
      </w:r>
      <w:r w:rsidR="00411E49">
        <w:t>s</w:t>
      </w:r>
      <w:r w:rsidR="0093477E">
        <w:t>)</w:t>
      </w:r>
      <w:r>
        <w:t xml:space="preserve"> may be appropriate</w:t>
      </w:r>
      <w:r w:rsidR="00411E49">
        <w:t>, CPED Staff is directed to analyze the Trip Completion Standard</w:t>
      </w:r>
      <w:r w:rsidR="00365BB5">
        <w:t xml:space="preserve"> by geographic area</w:t>
      </w:r>
      <w:r w:rsidR="00411E49">
        <w:t xml:space="preserve"> based on data submitted by TNCs in Offset Requests</w:t>
      </w:r>
      <w:r w:rsidR="007865F5">
        <w:t>.  CPED Staff is directed to submit a report to the Commission on the Trip Completion Standard</w:t>
      </w:r>
      <w:r w:rsidR="00562E69">
        <w:t xml:space="preserve"> </w:t>
      </w:r>
      <w:r w:rsidR="007865F5">
        <w:t>and any other relevant information</w:t>
      </w:r>
      <w:r w:rsidR="00411E49">
        <w:t xml:space="preserve"> in </w:t>
      </w:r>
      <w:r w:rsidRPr="00651B38" w:rsidR="00411E49">
        <w:t>December 2021</w:t>
      </w:r>
      <w:r w:rsidRPr="00206BC7" w:rsidR="007865F5">
        <w:t>.</w:t>
      </w:r>
    </w:p>
    <w:p w:rsidR="007865F5" w:rsidP="00020ECD" w:rsidRDefault="007865F5" w14:paraId="402E8C4E" w14:textId="53400126">
      <w:pPr>
        <w:pStyle w:val="Standard0"/>
      </w:pPr>
      <w:r>
        <w:t xml:space="preserve">In D.20-03-007, the Commission established that information required in an Offset Request would form the basis for information required in an Exemption Request, a Quarterly Report, and the </w:t>
      </w:r>
      <w:r w:rsidR="001B00FA">
        <w:t>A</w:t>
      </w:r>
      <w:r>
        <w:t xml:space="preserve">ccess </w:t>
      </w:r>
      <w:r w:rsidR="001B00FA">
        <w:t>P</w:t>
      </w:r>
      <w:r>
        <w:t>rovider application.</w:t>
      </w:r>
      <w:r>
        <w:rPr>
          <w:rStyle w:val="FootnoteReference"/>
        </w:rPr>
        <w:footnoteReference w:id="25"/>
      </w:r>
      <w:r>
        <w:t xml:space="preserve">  As such, </w:t>
      </w:r>
      <w:r w:rsidR="00562E69">
        <w:t>we find it</w:t>
      </w:r>
      <w:r>
        <w:t xml:space="preserve"> consistent with D.20-03-007 that the Trip Completion Standard </w:t>
      </w:r>
      <w:r w:rsidR="00562E69">
        <w:t>should</w:t>
      </w:r>
      <w:r>
        <w:t xml:space="preserve"> be added to the requirements for an Exemption Request, a Quarterly Report, and the </w:t>
      </w:r>
      <w:r w:rsidR="001B00FA">
        <w:t>A</w:t>
      </w:r>
      <w:r>
        <w:t xml:space="preserve">ccess </w:t>
      </w:r>
      <w:r w:rsidR="001B00FA">
        <w:t>P</w:t>
      </w:r>
      <w:r>
        <w:t xml:space="preserve">rovider application.  For an Exemption Request, a TNC shall demonstrate that it achieved the Trip Completion Standard for </w:t>
      </w:r>
      <w:r w:rsidR="0093477E">
        <w:t xml:space="preserve">the </w:t>
      </w:r>
      <w:r>
        <w:t>four consecutive qualifying quarters</w:t>
      </w:r>
      <w:r w:rsidR="0093477E">
        <w:t xml:space="preserve"> for which it seeks an exemption</w:t>
      </w:r>
      <w:r>
        <w:t xml:space="preserve">.  For the </w:t>
      </w:r>
      <w:r w:rsidR="001B00FA">
        <w:t>A</w:t>
      </w:r>
      <w:r>
        <w:t xml:space="preserve">ccess </w:t>
      </w:r>
      <w:r w:rsidR="001B00FA">
        <w:t>P</w:t>
      </w:r>
      <w:r>
        <w:t>rovider application, as discussed with the Offset Time Standard adopted in D.20-03-007,</w:t>
      </w:r>
      <w:r>
        <w:rPr>
          <w:rStyle w:val="FootnoteReference"/>
        </w:rPr>
        <w:footnoteReference w:id="26"/>
      </w:r>
      <w:r>
        <w:t xml:space="preserve"> an applicant should provide </w:t>
      </w:r>
      <w:r w:rsidR="00B23B91">
        <w:t xml:space="preserve">data required </w:t>
      </w:r>
      <w:r w:rsidR="00562E69">
        <w:t>for</w:t>
      </w:r>
      <w:r w:rsidR="00B23B91">
        <w:t xml:space="preserve"> </w:t>
      </w:r>
      <w:r>
        <w:t>the Trip Completion Standard, to the extent available</w:t>
      </w:r>
      <w:r w:rsidR="00B23B91">
        <w:t>; however,</w:t>
      </w:r>
      <w:r>
        <w:t xml:space="preserve"> the applicant </w:t>
      </w:r>
      <w:r w:rsidR="00562E69">
        <w:t>will</w:t>
      </w:r>
      <w:r w:rsidR="00B23B91">
        <w:t xml:space="preserve"> not </w:t>
      </w:r>
      <w:r w:rsidR="00562E69">
        <w:t xml:space="preserve">be </w:t>
      </w:r>
      <w:r w:rsidR="00B23B91">
        <w:t xml:space="preserve">deemed ineligible to be an </w:t>
      </w:r>
      <w:r w:rsidR="001B00FA">
        <w:t>A</w:t>
      </w:r>
      <w:r w:rsidR="00B23B91">
        <w:t xml:space="preserve">ccess </w:t>
      </w:r>
      <w:r w:rsidR="001B00FA">
        <w:t>P</w:t>
      </w:r>
      <w:r w:rsidR="00B23B91">
        <w:t>rovider for failing to meet the Trip Completion Standard.</w:t>
      </w:r>
      <w:r>
        <w:t xml:space="preserve"> </w:t>
      </w:r>
    </w:p>
    <w:p w:rsidR="00562F57" w:rsidP="00020ECD" w:rsidRDefault="00562F57" w14:paraId="2684C1E0" w14:textId="10CC393C">
      <w:pPr>
        <w:pStyle w:val="Standard0"/>
      </w:pPr>
      <w:r>
        <w:t>CPED’s propos</w:t>
      </w:r>
      <w:r w:rsidR="006C4554">
        <w:t xml:space="preserve">al to give </w:t>
      </w:r>
      <w:r>
        <w:t xml:space="preserve">equal weight </w:t>
      </w:r>
      <w:r w:rsidR="006C4554">
        <w:t>to</w:t>
      </w:r>
      <w:r>
        <w:t xml:space="preserve"> the </w:t>
      </w:r>
      <w:r w:rsidR="00206BC7">
        <w:t xml:space="preserve">Offset </w:t>
      </w:r>
      <w:r w:rsidR="00B9597B">
        <w:t>T</w:t>
      </w:r>
      <w:r w:rsidR="006C4554">
        <w:t>ime</w:t>
      </w:r>
      <w:r w:rsidR="0032199E">
        <w:t xml:space="preserve"> Standard</w:t>
      </w:r>
      <w:r w:rsidR="006C4554">
        <w:t xml:space="preserve"> </w:t>
      </w:r>
      <w:r>
        <w:t xml:space="preserve">and </w:t>
      </w:r>
      <w:r w:rsidR="00C931B8">
        <w:t>Trip Completion</w:t>
      </w:r>
      <w:r w:rsidR="006C4554">
        <w:t xml:space="preserve"> </w:t>
      </w:r>
      <w:r w:rsidR="0032199E">
        <w:t xml:space="preserve">Standard </w:t>
      </w:r>
      <w:r w:rsidR="00C931B8">
        <w:t>lacked support</w:t>
      </w:r>
      <w:r w:rsidR="00B9597B">
        <w:t xml:space="preserve"> </w:t>
      </w:r>
      <w:r w:rsidR="00C931B8">
        <w:t xml:space="preserve">from parties and </w:t>
      </w:r>
      <w:r w:rsidR="0032199E">
        <w:t xml:space="preserve">thus, </w:t>
      </w:r>
      <w:r>
        <w:t xml:space="preserve">we decline to adopt </w:t>
      </w:r>
      <w:r w:rsidR="00C931B8">
        <w:t>it</w:t>
      </w:r>
      <w:r>
        <w:t>.</w:t>
      </w:r>
      <w:r w:rsidR="00C931B8">
        <w:t xml:space="preserve">  As such, </w:t>
      </w:r>
      <w:r w:rsidR="0032199E">
        <w:t xml:space="preserve">to demonstrate improved level of service for an </w:t>
      </w:r>
      <w:r w:rsidR="00C931B8">
        <w:t xml:space="preserve">Offset Request </w:t>
      </w:r>
      <w:r w:rsidR="00C931B8">
        <w:lastRenderedPageBreak/>
        <w:t>or an Exemption Reques</w:t>
      </w:r>
      <w:r w:rsidR="0032199E">
        <w:t>t, a TNC</w:t>
      </w:r>
      <w:r w:rsidR="00C931B8">
        <w:t xml:space="preserve"> must</w:t>
      </w:r>
      <w:r>
        <w:t xml:space="preserve"> </w:t>
      </w:r>
      <w:r w:rsidR="0032199E">
        <w:t>satisfy</w:t>
      </w:r>
      <w:r w:rsidR="00E51ACD">
        <w:t xml:space="preserve"> both</w:t>
      </w:r>
      <w:r w:rsidR="00D06FD5">
        <w:t>:</w:t>
      </w:r>
      <w:r w:rsidR="0032199E">
        <w:t xml:space="preserve"> </w:t>
      </w:r>
      <w:r w:rsidR="00D06FD5">
        <w:t xml:space="preserve">(1) </w:t>
      </w:r>
      <w:r w:rsidR="00C931B8">
        <w:t xml:space="preserve">the </w:t>
      </w:r>
      <w:r w:rsidR="00E51ACD">
        <w:t>Offset Time Standard or Exemption Time Standard</w:t>
      </w:r>
      <w:r w:rsidR="00562E69">
        <w:t xml:space="preserve"> (</w:t>
      </w:r>
      <w:r w:rsidR="00E51ACD">
        <w:t>depending on the request</w:t>
      </w:r>
      <w:r w:rsidR="00562E69">
        <w:t>),</w:t>
      </w:r>
      <w:r w:rsidR="00E51ACD">
        <w:t xml:space="preserve"> and </w:t>
      </w:r>
      <w:r w:rsidR="00D06FD5">
        <w:t xml:space="preserve">(2) </w:t>
      </w:r>
      <w:r w:rsidR="00E51ACD">
        <w:t xml:space="preserve">the Trip Completion </w:t>
      </w:r>
      <w:r w:rsidR="0032199E">
        <w:t>Standard</w:t>
      </w:r>
      <w:r w:rsidR="00E51ACD">
        <w:t>.</w:t>
      </w:r>
    </w:p>
    <w:p w:rsidR="0032199E" w:rsidP="000F70BF" w:rsidRDefault="00E600E6" w14:paraId="3D27A131" w14:textId="5D4F3E4A">
      <w:pPr>
        <w:pStyle w:val="Standard0"/>
      </w:pPr>
      <w:r>
        <w:t xml:space="preserve">Lastly, </w:t>
      </w:r>
      <w:r w:rsidR="0032199E">
        <w:t>we</w:t>
      </w:r>
      <w:r w:rsidR="007B678E">
        <w:t xml:space="preserve"> </w:t>
      </w:r>
      <w:r w:rsidR="00C739BE">
        <w:t>decline to adopt</w:t>
      </w:r>
      <w:r>
        <w:t xml:space="preserve"> </w:t>
      </w:r>
      <w:r w:rsidR="007B678E">
        <w:t xml:space="preserve">additional </w:t>
      </w:r>
      <w:r>
        <w:t>metrics</w:t>
      </w:r>
      <w:r w:rsidR="007B678E">
        <w:t xml:space="preserve"> to demonstrate improved level of service</w:t>
      </w:r>
      <w:r w:rsidR="00C739BE">
        <w:t xml:space="preserve"> at this time</w:t>
      </w:r>
      <w:r w:rsidR="0032199E">
        <w:t xml:space="preserve">.  </w:t>
      </w:r>
      <w:r w:rsidR="00C739BE">
        <w:t xml:space="preserve">Some parties’ proposals were </w:t>
      </w:r>
      <w:r w:rsidR="00562E69">
        <w:t>raised</w:t>
      </w:r>
      <w:r w:rsidR="00C739BE">
        <w:t xml:space="preserve"> and rejected in </w:t>
      </w:r>
      <w:r w:rsidR="00562E69">
        <w:t>Track 2</w:t>
      </w:r>
      <w:r w:rsidR="00C739BE">
        <w:t>, and other proposals lack</w:t>
      </w:r>
      <w:r w:rsidR="00562E69">
        <w:t xml:space="preserve"> sufficient</w:t>
      </w:r>
      <w:r w:rsidR="00C739BE">
        <w:t xml:space="preserve"> specificity </w:t>
      </w:r>
      <w:r w:rsidR="00562E69">
        <w:t>for consideration.</w:t>
      </w:r>
      <w:r w:rsidR="00C739BE">
        <w:t xml:space="preserve">  The</w:t>
      </w:r>
      <w:r>
        <w:t xml:space="preserve"> Commission</w:t>
      </w:r>
      <w:r w:rsidR="00562E69">
        <w:t>, however,</w:t>
      </w:r>
      <w:r w:rsidR="00C739BE">
        <w:t xml:space="preserve"> </w:t>
      </w:r>
      <w:r w:rsidR="00562E69">
        <w:t>sees</w:t>
      </w:r>
      <w:r>
        <w:t xml:space="preserve"> merit in </w:t>
      </w:r>
      <w:r w:rsidR="00A047F0">
        <w:t xml:space="preserve">considering increased WAV availability or service </w:t>
      </w:r>
      <w:r w:rsidR="00C739BE">
        <w:t xml:space="preserve">area </w:t>
      </w:r>
      <w:r w:rsidR="00A047F0">
        <w:t>expansion as a</w:t>
      </w:r>
      <w:r w:rsidR="00C739BE">
        <w:t xml:space="preserve"> potential</w:t>
      </w:r>
      <w:r w:rsidR="00A047F0">
        <w:t xml:space="preserve"> </w:t>
      </w:r>
      <w:r w:rsidR="00C739BE">
        <w:t>metric</w:t>
      </w:r>
      <w:r w:rsidR="00A047F0">
        <w:t xml:space="preserve"> to demonstrate improved level of service</w:t>
      </w:r>
      <w:r w:rsidR="00C739BE">
        <w:t xml:space="preserve">, if such a proposal can be developed with specificity. </w:t>
      </w:r>
      <w:r w:rsidR="00562E69">
        <w:t xml:space="preserve"> </w:t>
      </w:r>
      <w:r w:rsidR="00C739BE">
        <w:t>Parties are encouraged to put forth such a proposal</w:t>
      </w:r>
      <w:r w:rsidR="002B546F">
        <w:t xml:space="preserve"> in Track 4 for consideration.</w:t>
      </w:r>
      <w:r w:rsidR="00A047F0">
        <w:t xml:space="preserve"> </w:t>
      </w:r>
    </w:p>
    <w:p w:rsidRPr="00E430E9" w:rsidR="00E430E9" w:rsidP="00224875" w:rsidRDefault="00E430E9" w14:paraId="065D893B" w14:textId="2B944DFF">
      <w:pPr>
        <w:pStyle w:val="Heading2"/>
        <w:keepLines/>
        <w:numPr>
          <w:ilvl w:val="1"/>
          <w:numId w:val="1"/>
        </w:numPr>
        <w:tabs>
          <w:tab w:val="num" w:pos="1080"/>
        </w:tabs>
        <w:spacing w:before="0"/>
        <w:ind w:left="1080" w:right="2160" w:hanging="720"/>
      </w:pPr>
      <w:bookmarkStart w:name="_Toc65585459" w:id="23"/>
      <w:r>
        <w:t>Incremental Costs</w:t>
      </w:r>
      <w:bookmarkEnd w:id="23"/>
    </w:p>
    <w:p w:rsidR="00A60FF4" w:rsidP="00020ECD" w:rsidRDefault="00125B2A" w14:paraId="1E97B534" w14:textId="3D89098E">
      <w:pPr>
        <w:pStyle w:val="Standard0"/>
      </w:pPr>
      <w:r>
        <w:t xml:space="preserve">In </w:t>
      </w:r>
      <w:r w:rsidR="00A178CD">
        <w:t xml:space="preserve">Track 2, </w:t>
      </w:r>
      <w:r w:rsidR="00263724">
        <w:t xml:space="preserve">some </w:t>
      </w:r>
      <w:r w:rsidR="00A178CD">
        <w:t xml:space="preserve">parties </w:t>
      </w:r>
      <w:r w:rsidR="00263724">
        <w:t>proposed</w:t>
      </w:r>
      <w:r w:rsidR="00A178CD">
        <w:t xml:space="preserve"> that allowable WAV offset expenses should only include costs that</w:t>
      </w:r>
      <w:r w:rsidR="00263724">
        <w:t xml:space="preserve"> </w:t>
      </w:r>
      <w:r w:rsidR="00A178CD">
        <w:t xml:space="preserve">directly apply to providing WAV services, and </w:t>
      </w:r>
      <w:r w:rsidR="00562E69">
        <w:t xml:space="preserve">that </w:t>
      </w:r>
      <w:r w:rsidR="00A178CD">
        <w:t xml:space="preserve">are an </w:t>
      </w:r>
      <w:r w:rsidR="00206BC7">
        <w:t>“</w:t>
      </w:r>
      <w:r w:rsidR="00A178CD">
        <w:t>incremental cost</w:t>
      </w:r>
      <w:r w:rsidR="00206BC7">
        <w:t>”</w:t>
      </w:r>
      <w:r w:rsidR="00A178CD">
        <w:t xml:space="preserve"> to the TNC above the cost of providing a non-WAV trip.  In </w:t>
      </w:r>
      <w:r>
        <w:t xml:space="preserve">D.20-03-007, </w:t>
      </w:r>
      <w:r w:rsidR="00263724">
        <w:t>the Commission stated that</w:t>
      </w:r>
      <w:r w:rsidR="00A60FF4">
        <w:t>:</w:t>
      </w:r>
    </w:p>
    <w:p w:rsidR="006C1AE3" w:rsidP="007C71F8" w:rsidRDefault="00A60FF4" w14:paraId="02B431D5" w14:textId="00169B42">
      <w:pPr>
        <w:ind w:left="720" w:right="1440"/>
      </w:pPr>
      <w:r>
        <w:t>W</w:t>
      </w:r>
      <w:r w:rsidR="00DC4D8D">
        <w:t>e u</w:t>
      </w:r>
      <w:r w:rsidR="00032013">
        <w:t xml:space="preserve">nderstand parties’ rationale </w:t>
      </w:r>
      <w:r>
        <w:t>in</w:t>
      </w:r>
      <w:r w:rsidR="008E4773">
        <w:t xml:space="preserve"> </w:t>
      </w:r>
      <w:r w:rsidR="00DC4D8D">
        <w:t>reimburs</w:t>
      </w:r>
      <w:r>
        <w:t>ing</w:t>
      </w:r>
      <w:r w:rsidR="008E4773">
        <w:t xml:space="preserve"> only incremental costs </w:t>
      </w:r>
      <w:r w:rsidR="00DC4D8D">
        <w:t>that</w:t>
      </w:r>
      <w:r w:rsidR="008E4773">
        <w:t xml:space="preserve"> exceed the cost</w:t>
      </w:r>
      <w:r w:rsidR="00DC4D8D">
        <w:t xml:space="preserve"> of providing a standard trip</w:t>
      </w:r>
      <w:r w:rsidR="000072D1">
        <w:t>, given that</w:t>
      </w:r>
      <w:r w:rsidR="007E76BC">
        <w:t xml:space="preserve"> </w:t>
      </w:r>
      <w:r w:rsidR="000072D1">
        <w:t>certain costs</w:t>
      </w:r>
      <w:r w:rsidR="007E76BC">
        <w:t xml:space="preserve"> </w:t>
      </w:r>
      <w:r w:rsidR="000072D1">
        <w:t>are</w:t>
      </w:r>
      <w:r w:rsidR="007E76BC">
        <w:t xml:space="preserve"> incurred regardless of whether </w:t>
      </w:r>
      <w:r w:rsidR="000072D1">
        <w:t>a</w:t>
      </w:r>
      <w:r w:rsidR="007E76BC">
        <w:t xml:space="preserve"> ride is a WAV </w:t>
      </w:r>
      <w:r>
        <w:t>ride</w:t>
      </w:r>
      <w:r w:rsidR="00DC4D8D">
        <w:t xml:space="preserve">. </w:t>
      </w:r>
      <w:r w:rsidR="00263724">
        <w:t xml:space="preserve"> </w:t>
      </w:r>
      <w:r w:rsidR="008E4773">
        <w:t xml:space="preserve">However, </w:t>
      </w:r>
      <w:r w:rsidR="000072D1">
        <w:t xml:space="preserve">we agree that </w:t>
      </w:r>
      <w:r w:rsidR="00B4297C">
        <w:t xml:space="preserve">parties in support of </w:t>
      </w:r>
      <w:r>
        <w:t>the incremental approach</w:t>
      </w:r>
      <w:r w:rsidR="005B521C">
        <w:t xml:space="preserve"> have not </w:t>
      </w:r>
      <w:r w:rsidR="000072D1">
        <w:t>brought forth</w:t>
      </w:r>
      <w:r w:rsidR="005B521C">
        <w:t xml:space="preserve"> a</w:t>
      </w:r>
      <w:r w:rsidR="008E4773">
        <w:t xml:space="preserve"> </w:t>
      </w:r>
      <w:r>
        <w:t>formula</w:t>
      </w:r>
      <w:r w:rsidR="008E4773">
        <w:t xml:space="preserve"> for calculating incremental cost</w:t>
      </w:r>
      <w:r w:rsidR="005B521C">
        <w:t>s</w:t>
      </w:r>
      <w:r w:rsidR="008E4773">
        <w:t xml:space="preserve"> and </w:t>
      </w:r>
      <w:r w:rsidR="000072D1">
        <w:t>thus</w:t>
      </w:r>
      <w:r w:rsidR="005B521C">
        <w:t xml:space="preserve">, </w:t>
      </w:r>
      <w:r w:rsidR="00593068">
        <w:t xml:space="preserve">there is no implementable </w:t>
      </w:r>
      <w:r w:rsidR="000072D1">
        <w:t>solution</w:t>
      </w:r>
      <w:r w:rsidR="00593068">
        <w:t xml:space="preserve"> to adopt</w:t>
      </w:r>
      <w:r w:rsidR="00552A8E">
        <w:t xml:space="preserve"> at this time</w:t>
      </w:r>
      <w:r w:rsidR="008E4773">
        <w:t>.</w:t>
      </w:r>
      <w:r w:rsidR="00263724">
        <w:rPr>
          <w:rStyle w:val="FootnoteReference"/>
        </w:rPr>
        <w:footnoteReference w:id="27"/>
      </w:r>
    </w:p>
    <w:p w:rsidR="008E4773" w:rsidP="002327E2" w:rsidRDefault="00D37A47" w14:paraId="259B76CC" w14:textId="4BB0F71C">
      <w:pPr>
        <w:spacing w:before="240" w:line="360" w:lineRule="auto"/>
        <w:ind w:firstLine="720"/>
      </w:pPr>
      <w:r>
        <w:t>We</w:t>
      </w:r>
      <w:r w:rsidR="00A60FF4">
        <w:t xml:space="preserve"> </w:t>
      </w:r>
      <w:r w:rsidR="00154616">
        <w:t>encouraged</w:t>
      </w:r>
      <w:r w:rsidR="00A60FF4">
        <w:t xml:space="preserve"> propos</w:t>
      </w:r>
      <w:r w:rsidR="00562E69">
        <w:t>als for</w:t>
      </w:r>
      <w:r w:rsidR="00A60FF4">
        <w:t xml:space="preserve"> “</w:t>
      </w:r>
      <w:r w:rsidR="006C1AE3">
        <w:t xml:space="preserve">a </w:t>
      </w:r>
      <w:r w:rsidR="00A60FF4">
        <w:t xml:space="preserve">viable </w:t>
      </w:r>
      <w:r w:rsidR="000072D1">
        <w:t>method</w:t>
      </w:r>
      <w:r w:rsidR="008E4773">
        <w:t xml:space="preserve"> for calculating incremental costs</w:t>
      </w:r>
      <w:r w:rsidR="00154616">
        <w:t>”</w:t>
      </w:r>
      <w:r w:rsidR="00A60FF4">
        <w:t xml:space="preserve"> in Track 3</w:t>
      </w:r>
      <w:r w:rsidR="006C1AE3">
        <w:t>.</w:t>
      </w:r>
    </w:p>
    <w:p w:rsidR="007F6305" w:rsidP="00263724" w:rsidRDefault="00F0011C" w14:paraId="6B866B1C" w14:textId="190FD11F">
      <w:pPr>
        <w:spacing w:line="360" w:lineRule="auto"/>
        <w:ind w:firstLine="720"/>
        <w:rPr>
          <w:szCs w:val="26"/>
        </w:rPr>
      </w:pPr>
      <w:r>
        <w:t xml:space="preserve">In Track 3 proposals, </w:t>
      </w:r>
      <w:r w:rsidRPr="00790806" w:rsidR="006C1AE3">
        <w:rPr>
          <w:rFonts w:cs="Calibri"/>
          <w:szCs w:val="26"/>
        </w:rPr>
        <w:t>Lyft</w:t>
      </w:r>
      <w:r w:rsidR="006C1AE3">
        <w:rPr>
          <w:rFonts w:cs="Calibri"/>
          <w:szCs w:val="26"/>
        </w:rPr>
        <w:t xml:space="preserve">, Via, </w:t>
      </w:r>
      <w:r w:rsidRPr="00790806" w:rsidR="006C1AE3">
        <w:rPr>
          <w:rFonts w:cs="Calibri"/>
          <w:szCs w:val="26"/>
        </w:rPr>
        <w:t xml:space="preserve">and Uber </w:t>
      </w:r>
      <w:r>
        <w:rPr>
          <w:rFonts w:cs="Calibri"/>
          <w:szCs w:val="26"/>
        </w:rPr>
        <w:t>object to</w:t>
      </w:r>
      <w:r w:rsidRPr="00790806" w:rsidR="006C1AE3">
        <w:rPr>
          <w:rFonts w:cs="Calibri"/>
          <w:szCs w:val="26"/>
        </w:rPr>
        <w:t xml:space="preserve"> an incremental cost requirement.</w:t>
      </w:r>
      <w:r w:rsidRPr="00790806" w:rsidR="006C1AE3">
        <w:rPr>
          <w:szCs w:val="26"/>
        </w:rPr>
        <w:t xml:space="preserve"> </w:t>
      </w:r>
      <w:r w:rsidR="006C1AE3">
        <w:rPr>
          <w:szCs w:val="26"/>
        </w:rPr>
        <w:t xml:space="preserve"> Lyft </w:t>
      </w:r>
      <w:r w:rsidR="00562E69">
        <w:rPr>
          <w:szCs w:val="26"/>
        </w:rPr>
        <w:t>maintains</w:t>
      </w:r>
      <w:r w:rsidR="006C1AE3">
        <w:rPr>
          <w:szCs w:val="26"/>
        </w:rPr>
        <w:t xml:space="preserve"> that SB 1376 </w:t>
      </w:r>
      <w:r w:rsidR="00263724">
        <w:rPr>
          <w:szCs w:val="26"/>
        </w:rPr>
        <w:t>provides</w:t>
      </w:r>
      <w:r w:rsidR="00D37A47">
        <w:rPr>
          <w:szCs w:val="26"/>
        </w:rPr>
        <w:t xml:space="preserve"> no</w:t>
      </w:r>
      <w:r w:rsidR="006C1AE3">
        <w:rPr>
          <w:szCs w:val="26"/>
        </w:rPr>
        <w:t xml:space="preserve"> intent to have TNCs </w:t>
      </w:r>
      <w:r w:rsidR="006C1AE3">
        <w:rPr>
          <w:szCs w:val="26"/>
        </w:rPr>
        <w:lastRenderedPageBreak/>
        <w:t>deduct from the amounts spent prior to reimbursement</w:t>
      </w:r>
      <w:r w:rsidRPr="00263724" w:rsidR="00263724">
        <w:rPr>
          <w:szCs w:val="26"/>
        </w:rPr>
        <w:t xml:space="preserve"> </w:t>
      </w:r>
      <w:r w:rsidR="00263724">
        <w:rPr>
          <w:szCs w:val="26"/>
        </w:rPr>
        <w:t>and it is unclear how a TNC can calculate incremental cost because WAV service is fundamentally different from standard TNC service</w:t>
      </w:r>
      <w:r w:rsidR="006C1AE3">
        <w:rPr>
          <w:szCs w:val="26"/>
        </w:rPr>
        <w:t>.</w:t>
      </w:r>
      <w:r w:rsidR="006C1AE3">
        <w:rPr>
          <w:rStyle w:val="FootnoteReference"/>
          <w:szCs w:val="26"/>
        </w:rPr>
        <w:footnoteReference w:id="28"/>
      </w:r>
      <w:r w:rsidR="006C1AE3">
        <w:rPr>
          <w:szCs w:val="26"/>
        </w:rPr>
        <w:t xml:space="preserve">  Lyft </w:t>
      </w:r>
      <w:r w:rsidR="00263724">
        <w:rPr>
          <w:szCs w:val="26"/>
        </w:rPr>
        <w:t>states that</w:t>
      </w:r>
      <w:r w:rsidR="00562E69">
        <w:rPr>
          <w:szCs w:val="26"/>
        </w:rPr>
        <w:t>, for example,</w:t>
      </w:r>
      <w:r w:rsidR="00263724">
        <w:rPr>
          <w:szCs w:val="26"/>
        </w:rPr>
        <w:t xml:space="preserve"> it</w:t>
      </w:r>
      <w:r w:rsidR="006C1AE3">
        <w:rPr>
          <w:szCs w:val="26"/>
        </w:rPr>
        <w:t xml:space="preserve"> </w:t>
      </w:r>
      <w:r w:rsidR="00154616">
        <w:rPr>
          <w:szCs w:val="26"/>
        </w:rPr>
        <w:t>incurs</w:t>
      </w:r>
      <w:r w:rsidR="006C1AE3">
        <w:rPr>
          <w:szCs w:val="26"/>
        </w:rPr>
        <w:t xml:space="preserve"> costs to third-party WAV partners and regulatory expenses that </w:t>
      </w:r>
      <w:r w:rsidR="00263724">
        <w:rPr>
          <w:szCs w:val="26"/>
        </w:rPr>
        <w:t>it</w:t>
      </w:r>
      <w:r w:rsidR="006C1AE3">
        <w:rPr>
          <w:szCs w:val="26"/>
        </w:rPr>
        <w:t xml:space="preserve"> does not incur for non-WAV rides.</w:t>
      </w:r>
      <w:r w:rsidR="00154616">
        <w:rPr>
          <w:szCs w:val="26"/>
        </w:rPr>
        <w:t xml:space="preserve"> </w:t>
      </w:r>
      <w:r w:rsidR="006C1AE3">
        <w:rPr>
          <w:szCs w:val="26"/>
        </w:rPr>
        <w:t xml:space="preserve"> </w:t>
      </w:r>
      <w:r w:rsidR="0094501B">
        <w:rPr>
          <w:szCs w:val="26"/>
        </w:rPr>
        <w:t xml:space="preserve">Via </w:t>
      </w:r>
      <w:r w:rsidR="00D37A47">
        <w:rPr>
          <w:szCs w:val="26"/>
        </w:rPr>
        <w:t xml:space="preserve">similarly </w:t>
      </w:r>
      <w:r w:rsidR="00263724">
        <w:rPr>
          <w:szCs w:val="26"/>
        </w:rPr>
        <w:t>states</w:t>
      </w:r>
      <w:r w:rsidR="0094501B">
        <w:rPr>
          <w:szCs w:val="26"/>
        </w:rPr>
        <w:t xml:space="preserve"> that it</w:t>
      </w:r>
      <w:r w:rsidR="00263724">
        <w:rPr>
          <w:szCs w:val="26"/>
        </w:rPr>
        <w:t>s WAV expenses are difficult to distinguish from non-WAV expenses, such as costs to</w:t>
      </w:r>
      <w:r w:rsidR="0094501B">
        <w:rPr>
          <w:szCs w:val="26"/>
        </w:rPr>
        <w:t xml:space="preserve"> ensure vehicle safety and driver training.</w:t>
      </w:r>
      <w:r w:rsidR="0094501B">
        <w:rPr>
          <w:rStyle w:val="FootnoteReference"/>
          <w:szCs w:val="26"/>
        </w:rPr>
        <w:footnoteReference w:id="29"/>
      </w:r>
      <w:r w:rsidR="0094501B">
        <w:rPr>
          <w:szCs w:val="26"/>
        </w:rPr>
        <w:t xml:space="preserve">  </w:t>
      </w:r>
      <w:bookmarkStart w:name="_Hlk59447952" w:id="24"/>
      <w:r w:rsidR="0094501B">
        <w:rPr>
          <w:szCs w:val="26"/>
        </w:rPr>
        <w:t xml:space="preserve">Via </w:t>
      </w:r>
      <w:r w:rsidR="00EE1CFD">
        <w:rPr>
          <w:szCs w:val="26"/>
        </w:rPr>
        <w:t>adds</w:t>
      </w:r>
      <w:r w:rsidR="0094501B">
        <w:rPr>
          <w:szCs w:val="26"/>
        </w:rPr>
        <w:t xml:space="preserve"> that incremental costs </w:t>
      </w:r>
      <w:r w:rsidR="00562E69">
        <w:rPr>
          <w:szCs w:val="26"/>
        </w:rPr>
        <w:t>will</w:t>
      </w:r>
      <w:r w:rsidR="00EE1CFD">
        <w:rPr>
          <w:szCs w:val="26"/>
        </w:rPr>
        <w:t xml:space="preserve"> </w:t>
      </w:r>
      <w:r w:rsidR="0094501B">
        <w:rPr>
          <w:szCs w:val="26"/>
        </w:rPr>
        <w:t xml:space="preserve">depend on how </w:t>
      </w:r>
      <w:r w:rsidR="00A65514">
        <w:rPr>
          <w:szCs w:val="26"/>
        </w:rPr>
        <w:t>a</w:t>
      </w:r>
      <w:r w:rsidR="00D37A47">
        <w:rPr>
          <w:szCs w:val="26"/>
        </w:rPr>
        <w:t xml:space="preserve"> </w:t>
      </w:r>
      <w:r w:rsidR="0094501B">
        <w:rPr>
          <w:szCs w:val="26"/>
        </w:rPr>
        <w:t xml:space="preserve">TNC defines expenses and </w:t>
      </w:r>
      <w:r w:rsidR="00EE1CFD">
        <w:rPr>
          <w:szCs w:val="26"/>
        </w:rPr>
        <w:t>such a requirement</w:t>
      </w:r>
      <w:r w:rsidR="00A65514">
        <w:rPr>
          <w:szCs w:val="26"/>
        </w:rPr>
        <w:t xml:space="preserve"> </w:t>
      </w:r>
      <w:r w:rsidR="0094501B">
        <w:rPr>
          <w:szCs w:val="26"/>
        </w:rPr>
        <w:t>will lead to inconsisten</w:t>
      </w:r>
      <w:r w:rsidR="00A65514">
        <w:rPr>
          <w:szCs w:val="26"/>
        </w:rPr>
        <w:t>t interpretations</w:t>
      </w:r>
      <w:r w:rsidR="0094501B">
        <w:rPr>
          <w:szCs w:val="26"/>
        </w:rPr>
        <w:t xml:space="preserve"> among TNCs.  </w:t>
      </w:r>
      <w:bookmarkEnd w:id="24"/>
      <w:r w:rsidR="006C1AE3">
        <w:rPr>
          <w:szCs w:val="26"/>
        </w:rPr>
        <w:t xml:space="preserve">Uber </w:t>
      </w:r>
      <w:r w:rsidR="00EE1CFD">
        <w:rPr>
          <w:szCs w:val="26"/>
        </w:rPr>
        <w:t>argues</w:t>
      </w:r>
      <w:r w:rsidR="006C1AE3">
        <w:rPr>
          <w:szCs w:val="26"/>
        </w:rPr>
        <w:t xml:space="preserve"> that </w:t>
      </w:r>
      <w:r w:rsidR="00154616">
        <w:rPr>
          <w:szCs w:val="26"/>
        </w:rPr>
        <w:t xml:space="preserve">its WAV </w:t>
      </w:r>
      <w:r w:rsidR="00A65514">
        <w:rPr>
          <w:szCs w:val="26"/>
        </w:rPr>
        <w:t xml:space="preserve">expense </w:t>
      </w:r>
      <w:r w:rsidR="006C1AE3">
        <w:rPr>
          <w:szCs w:val="26"/>
        </w:rPr>
        <w:t>accounting already represent</w:t>
      </w:r>
      <w:r w:rsidR="00E2512F">
        <w:rPr>
          <w:szCs w:val="26"/>
        </w:rPr>
        <w:t>s</w:t>
      </w:r>
      <w:r w:rsidR="006C1AE3">
        <w:rPr>
          <w:szCs w:val="26"/>
        </w:rPr>
        <w:t xml:space="preserve"> incremental costs associated with WAV service and further calculation is unnecessary.</w:t>
      </w:r>
      <w:r w:rsidR="006C1AE3">
        <w:rPr>
          <w:rStyle w:val="FootnoteReference"/>
          <w:szCs w:val="26"/>
        </w:rPr>
        <w:footnoteReference w:id="30"/>
      </w:r>
      <w:r w:rsidR="006C1AE3">
        <w:rPr>
          <w:szCs w:val="26"/>
        </w:rPr>
        <w:t xml:space="preserve">  </w:t>
      </w:r>
    </w:p>
    <w:p w:rsidRPr="007F6305" w:rsidR="00D84A54" w:rsidP="007F6305" w:rsidRDefault="00A643D6" w14:paraId="4BF096C9" w14:textId="28199830">
      <w:pPr>
        <w:spacing w:line="360" w:lineRule="auto"/>
        <w:ind w:firstLine="720"/>
        <w:rPr>
          <w:szCs w:val="26"/>
        </w:rPr>
      </w:pPr>
      <w:r>
        <w:t xml:space="preserve">CPED </w:t>
      </w:r>
      <w:r w:rsidR="00EE1CFD">
        <w:t>proposes</w:t>
      </w:r>
      <w:r>
        <w:t xml:space="preserve"> </w:t>
      </w:r>
      <w:r w:rsidR="00790806">
        <w:t>defining</w:t>
      </w:r>
      <w:r>
        <w:t xml:space="preserve"> incremental costs as the “portion of costs directly attributable to providing WAV service”</w:t>
      </w:r>
      <w:r w:rsidR="00A178CD">
        <w:t xml:space="preserve"> and </w:t>
      </w:r>
      <w:r w:rsidR="00562E69">
        <w:t>outlines</w:t>
      </w:r>
      <w:r>
        <w:t xml:space="preserve"> four </w:t>
      </w:r>
      <w:r w:rsidR="00562E69">
        <w:t xml:space="preserve">incremental cost </w:t>
      </w:r>
      <w:r>
        <w:t>categories</w:t>
      </w:r>
      <w:r w:rsidR="00EE1CFD">
        <w:t xml:space="preserve"> (</w:t>
      </w:r>
      <w:r>
        <w:t>vehicle, partnership, marketplace, and operational costs</w:t>
      </w:r>
      <w:r w:rsidR="00EE1CFD">
        <w:t>)</w:t>
      </w:r>
      <w:r>
        <w:t>.</w:t>
      </w:r>
      <w:r>
        <w:rPr>
          <w:rStyle w:val="FootnoteReference"/>
        </w:rPr>
        <w:footnoteReference w:id="31"/>
      </w:r>
      <w:r w:rsidR="00D84A54">
        <w:t xml:space="preserve">  </w:t>
      </w:r>
      <w:r w:rsidR="00AB61F4">
        <w:t xml:space="preserve">For example, </w:t>
      </w:r>
      <w:r w:rsidR="00A65514">
        <w:t xml:space="preserve">incremental </w:t>
      </w:r>
      <w:r w:rsidR="00AB61F4">
        <w:t>“vehicle costs” include cost</w:t>
      </w:r>
      <w:r w:rsidR="00EE1CFD">
        <w:t>s</w:t>
      </w:r>
      <w:r w:rsidR="00AB61F4">
        <w:t xml:space="preserve"> to modify, obtain</w:t>
      </w:r>
      <w:r w:rsidR="00A65514">
        <w:t>,</w:t>
      </w:r>
      <w:r w:rsidR="00AB61F4">
        <w:t xml:space="preserve"> or operate WAVs, rental and fuel costs, repairs, etc.</w:t>
      </w:r>
      <w:r w:rsidR="00A65514">
        <w:t xml:space="preserve">  </w:t>
      </w:r>
      <w:r w:rsidR="00EE1CFD">
        <w:rPr>
          <w:szCs w:val="26"/>
        </w:rPr>
        <w:t>Disability Advocates</w:t>
      </w:r>
      <w:r w:rsidR="00A65514">
        <w:rPr>
          <w:szCs w:val="26"/>
        </w:rPr>
        <w:t xml:space="preserve"> </w:t>
      </w:r>
      <w:r w:rsidR="00EE1CFD">
        <w:rPr>
          <w:szCs w:val="26"/>
        </w:rPr>
        <w:t>state</w:t>
      </w:r>
      <w:r w:rsidR="00A65514">
        <w:rPr>
          <w:szCs w:val="26"/>
        </w:rPr>
        <w:t xml:space="preserve"> that </w:t>
      </w:r>
      <w:r w:rsidR="00D53A44">
        <w:rPr>
          <w:szCs w:val="26"/>
        </w:rPr>
        <w:t xml:space="preserve">some of </w:t>
      </w:r>
      <w:r w:rsidR="00EE1CFD">
        <w:rPr>
          <w:szCs w:val="26"/>
        </w:rPr>
        <w:t>the</w:t>
      </w:r>
      <w:r w:rsidR="00A65514">
        <w:rPr>
          <w:szCs w:val="26"/>
        </w:rPr>
        <w:t xml:space="preserve"> </w:t>
      </w:r>
      <w:r w:rsidR="00D53A44">
        <w:rPr>
          <w:szCs w:val="26"/>
        </w:rPr>
        <w:t xml:space="preserve">proposed costs </w:t>
      </w:r>
      <w:r w:rsidR="00A65514">
        <w:rPr>
          <w:szCs w:val="26"/>
        </w:rPr>
        <w:t>may not reflect incremental costs</w:t>
      </w:r>
      <w:r w:rsidR="00D53A44">
        <w:rPr>
          <w:szCs w:val="26"/>
        </w:rPr>
        <w:t xml:space="preserve"> if </w:t>
      </w:r>
      <w:r w:rsidR="00EE1CFD">
        <w:rPr>
          <w:szCs w:val="26"/>
        </w:rPr>
        <w:t>they</w:t>
      </w:r>
      <w:r w:rsidR="00D53A44">
        <w:rPr>
          <w:szCs w:val="26"/>
        </w:rPr>
        <w:t xml:space="preserve"> are not above the cost of </w:t>
      </w:r>
      <w:r w:rsidR="00D37A47">
        <w:rPr>
          <w:szCs w:val="26"/>
        </w:rPr>
        <w:t>providing</w:t>
      </w:r>
      <w:r w:rsidR="00D53A44">
        <w:rPr>
          <w:szCs w:val="26"/>
        </w:rPr>
        <w:t xml:space="preserve"> standard rides.</w:t>
      </w:r>
      <w:r w:rsidR="00EE1CFD">
        <w:rPr>
          <w:rStyle w:val="FootnoteReference"/>
          <w:szCs w:val="26"/>
        </w:rPr>
        <w:footnoteReference w:id="32"/>
      </w:r>
      <w:r w:rsidR="00D53A44">
        <w:rPr>
          <w:szCs w:val="26"/>
        </w:rPr>
        <w:t xml:space="preserve">  </w:t>
      </w:r>
      <w:r w:rsidR="00EE1CFD">
        <w:rPr>
          <w:szCs w:val="26"/>
        </w:rPr>
        <w:t xml:space="preserve">Disability Advocates </w:t>
      </w:r>
      <w:r w:rsidR="00D53A44">
        <w:rPr>
          <w:szCs w:val="26"/>
        </w:rPr>
        <w:t xml:space="preserve">state </w:t>
      </w:r>
      <w:r w:rsidR="00A65514">
        <w:rPr>
          <w:szCs w:val="26"/>
        </w:rPr>
        <w:t>that if a TNC is permitted to offset the entire cost of WAV service</w:t>
      </w:r>
      <w:r w:rsidR="00D53A44">
        <w:rPr>
          <w:szCs w:val="26"/>
        </w:rPr>
        <w:t xml:space="preserve"> (</w:t>
      </w:r>
      <w:r w:rsidR="00A65514">
        <w:rPr>
          <w:szCs w:val="26"/>
        </w:rPr>
        <w:t>not just incremental costs</w:t>
      </w:r>
      <w:r w:rsidR="00D53A44">
        <w:rPr>
          <w:szCs w:val="26"/>
        </w:rPr>
        <w:t>)</w:t>
      </w:r>
      <w:r w:rsidR="00A65514">
        <w:rPr>
          <w:szCs w:val="26"/>
        </w:rPr>
        <w:t>, it should deduct income received</w:t>
      </w:r>
      <w:r w:rsidR="00D37A47">
        <w:rPr>
          <w:szCs w:val="26"/>
        </w:rPr>
        <w:t xml:space="preserve"> </w:t>
      </w:r>
      <w:r w:rsidR="00A65514">
        <w:rPr>
          <w:szCs w:val="26"/>
        </w:rPr>
        <w:t xml:space="preserve">from </w:t>
      </w:r>
      <w:r w:rsidR="00D37A47">
        <w:rPr>
          <w:szCs w:val="26"/>
        </w:rPr>
        <w:t xml:space="preserve">those </w:t>
      </w:r>
      <w:r w:rsidR="00A65514">
        <w:rPr>
          <w:szCs w:val="26"/>
        </w:rPr>
        <w:t xml:space="preserve">rides before seeking an offset.  </w:t>
      </w:r>
    </w:p>
    <w:p w:rsidR="0032495A" w:rsidP="00942265" w:rsidRDefault="00D37A47" w14:paraId="092CC312" w14:textId="5B236C1D">
      <w:pPr>
        <w:spacing w:line="360" w:lineRule="auto"/>
        <w:ind w:firstLine="720"/>
        <w:rPr>
          <w:szCs w:val="26"/>
        </w:rPr>
      </w:pPr>
      <w:r>
        <w:rPr>
          <w:szCs w:val="26"/>
        </w:rPr>
        <w:lastRenderedPageBreak/>
        <w:t>Several</w:t>
      </w:r>
      <w:r w:rsidR="001D2159">
        <w:rPr>
          <w:szCs w:val="26"/>
        </w:rPr>
        <w:t xml:space="preserve"> parties</w:t>
      </w:r>
      <w:r w:rsidR="00EE1CFD">
        <w:rPr>
          <w:szCs w:val="26"/>
        </w:rPr>
        <w:t xml:space="preserve"> </w:t>
      </w:r>
      <w:r w:rsidR="00562E69">
        <w:rPr>
          <w:szCs w:val="26"/>
        </w:rPr>
        <w:t>argue</w:t>
      </w:r>
      <w:r w:rsidR="00D933C1">
        <w:rPr>
          <w:szCs w:val="26"/>
        </w:rPr>
        <w:t xml:space="preserve"> that TNC</w:t>
      </w:r>
      <w:r w:rsidR="00942265">
        <w:rPr>
          <w:szCs w:val="26"/>
        </w:rPr>
        <w:t>s</w:t>
      </w:r>
      <w:r w:rsidR="00D933C1">
        <w:rPr>
          <w:szCs w:val="26"/>
        </w:rPr>
        <w:t xml:space="preserve"> </w:t>
      </w:r>
      <w:r w:rsidR="00A65514">
        <w:rPr>
          <w:szCs w:val="26"/>
        </w:rPr>
        <w:t xml:space="preserve">should </w:t>
      </w:r>
      <w:r w:rsidR="00EE1CFD">
        <w:rPr>
          <w:szCs w:val="26"/>
        </w:rPr>
        <w:t>bear</w:t>
      </w:r>
      <w:r w:rsidR="00D933C1">
        <w:rPr>
          <w:szCs w:val="26"/>
        </w:rPr>
        <w:t xml:space="preserve"> the burden to show that an expense is an incremental cost of WAV service and if </w:t>
      </w:r>
      <w:r w:rsidR="00AB61F4">
        <w:rPr>
          <w:szCs w:val="26"/>
        </w:rPr>
        <w:t>it cannot</w:t>
      </w:r>
      <w:r w:rsidR="00A65514">
        <w:rPr>
          <w:szCs w:val="26"/>
        </w:rPr>
        <w:t xml:space="preserve"> do so</w:t>
      </w:r>
      <w:r w:rsidR="00D933C1">
        <w:rPr>
          <w:szCs w:val="26"/>
        </w:rPr>
        <w:t xml:space="preserve">, </w:t>
      </w:r>
      <w:r w:rsidR="00AB61F4">
        <w:rPr>
          <w:szCs w:val="26"/>
        </w:rPr>
        <w:t xml:space="preserve">the </w:t>
      </w:r>
      <w:r w:rsidR="00562E69">
        <w:rPr>
          <w:szCs w:val="26"/>
        </w:rPr>
        <w:t>expense</w:t>
      </w:r>
      <w:r w:rsidR="00D933C1">
        <w:rPr>
          <w:szCs w:val="26"/>
        </w:rPr>
        <w:t xml:space="preserve"> should be </w:t>
      </w:r>
      <w:r w:rsidR="00A65514">
        <w:rPr>
          <w:szCs w:val="26"/>
        </w:rPr>
        <w:t>rejected</w:t>
      </w:r>
      <w:r w:rsidR="00D933C1">
        <w:rPr>
          <w:szCs w:val="26"/>
        </w:rPr>
        <w:t>.</w:t>
      </w:r>
      <w:r w:rsidR="00D933C1">
        <w:rPr>
          <w:rStyle w:val="FootnoteReference"/>
          <w:szCs w:val="26"/>
        </w:rPr>
        <w:footnoteReference w:id="33"/>
      </w:r>
      <w:r w:rsidR="00390699">
        <w:rPr>
          <w:szCs w:val="26"/>
        </w:rPr>
        <w:t xml:space="preserve">  </w:t>
      </w:r>
      <w:r w:rsidR="00EE1CFD">
        <w:rPr>
          <w:szCs w:val="26"/>
        </w:rPr>
        <w:t>Disability Advocates</w:t>
      </w:r>
      <w:r w:rsidR="00390699">
        <w:rPr>
          <w:szCs w:val="26"/>
        </w:rPr>
        <w:t xml:space="preserve"> </w:t>
      </w:r>
      <w:r w:rsidR="00A65514">
        <w:rPr>
          <w:szCs w:val="26"/>
        </w:rPr>
        <w:t xml:space="preserve">recommend </w:t>
      </w:r>
      <w:r w:rsidR="00390699">
        <w:rPr>
          <w:szCs w:val="26"/>
        </w:rPr>
        <w:t xml:space="preserve">a formula </w:t>
      </w:r>
      <w:r w:rsidR="00A65514">
        <w:rPr>
          <w:szCs w:val="26"/>
        </w:rPr>
        <w:t xml:space="preserve">similar to that </w:t>
      </w:r>
      <w:r w:rsidR="00390699">
        <w:rPr>
          <w:szCs w:val="26"/>
        </w:rPr>
        <w:t>used in ratemaking analyses for other industries</w:t>
      </w:r>
      <w:r w:rsidR="003129A6">
        <w:rPr>
          <w:szCs w:val="26"/>
        </w:rPr>
        <w:t xml:space="preserve">, </w:t>
      </w:r>
      <w:r w:rsidR="00562E69">
        <w:rPr>
          <w:szCs w:val="26"/>
        </w:rPr>
        <w:t>such as</w:t>
      </w:r>
      <w:r w:rsidR="003129A6">
        <w:rPr>
          <w:szCs w:val="26"/>
        </w:rPr>
        <w:t xml:space="preserve"> </w:t>
      </w:r>
      <w:r w:rsidR="00390699">
        <w:rPr>
          <w:szCs w:val="26"/>
        </w:rPr>
        <w:t>consideration of fares paid by WAV passengers and amortization of costs of WAV vehicles over</w:t>
      </w:r>
      <w:r w:rsidR="003129A6">
        <w:rPr>
          <w:szCs w:val="26"/>
        </w:rPr>
        <w:t xml:space="preserve"> time</w:t>
      </w:r>
      <w:r w:rsidR="00390699">
        <w:rPr>
          <w:szCs w:val="26"/>
        </w:rPr>
        <w:t xml:space="preserve">.  </w:t>
      </w:r>
      <w:r w:rsidR="00EE1CFD">
        <w:rPr>
          <w:szCs w:val="26"/>
        </w:rPr>
        <w:t>Disability Advocates</w:t>
      </w:r>
      <w:r w:rsidR="00942265">
        <w:rPr>
          <w:szCs w:val="26"/>
        </w:rPr>
        <w:t xml:space="preserve">, </w:t>
      </w:r>
      <w:r w:rsidR="00EE1CFD">
        <w:rPr>
          <w:szCs w:val="26"/>
        </w:rPr>
        <w:t>San Francisco</w:t>
      </w:r>
      <w:r w:rsidR="00942265">
        <w:rPr>
          <w:szCs w:val="26"/>
        </w:rPr>
        <w:t xml:space="preserve"> and </w:t>
      </w:r>
      <w:r w:rsidR="00EE1CFD">
        <w:rPr>
          <w:szCs w:val="26"/>
        </w:rPr>
        <w:t xml:space="preserve">LA </w:t>
      </w:r>
      <w:r w:rsidR="00942265">
        <w:rPr>
          <w:szCs w:val="26"/>
        </w:rPr>
        <w:t>Metro</w:t>
      </w:r>
      <w:r w:rsidR="00390699">
        <w:rPr>
          <w:szCs w:val="26"/>
        </w:rPr>
        <w:t xml:space="preserve"> recommen</w:t>
      </w:r>
      <w:r w:rsidR="00942265">
        <w:rPr>
          <w:szCs w:val="26"/>
        </w:rPr>
        <w:t>d</w:t>
      </w:r>
      <w:r w:rsidR="00390699">
        <w:rPr>
          <w:szCs w:val="26"/>
        </w:rPr>
        <w:t xml:space="preserve"> </w:t>
      </w:r>
      <w:r w:rsidR="00EE1CFD">
        <w:rPr>
          <w:szCs w:val="26"/>
        </w:rPr>
        <w:t>retaining</w:t>
      </w:r>
      <w:r w:rsidR="00390699">
        <w:rPr>
          <w:szCs w:val="26"/>
        </w:rPr>
        <w:t xml:space="preserve"> a consultant to assist with the analysis</w:t>
      </w:r>
      <w:r w:rsidR="0032495A">
        <w:rPr>
          <w:szCs w:val="26"/>
        </w:rPr>
        <w:t>.</w:t>
      </w:r>
    </w:p>
    <w:p w:rsidR="001D2159" w:rsidP="00224875" w:rsidRDefault="001D2159" w14:paraId="3F6C82C9" w14:textId="28D26740">
      <w:pPr>
        <w:pStyle w:val="Heading3"/>
        <w:keepLines/>
        <w:numPr>
          <w:ilvl w:val="2"/>
          <w:numId w:val="1"/>
        </w:numPr>
        <w:tabs>
          <w:tab w:val="clear" w:pos="1620"/>
          <w:tab w:val="num" w:pos="1656"/>
        </w:tabs>
        <w:spacing w:before="0"/>
        <w:ind w:left="1656" w:right="2160" w:hanging="936"/>
      </w:pPr>
      <w:bookmarkStart w:name="_Toc65585460" w:id="26"/>
      <w:r>
        <w:t>Discussion</w:t>
      </w:r>
      <w:bookmarkEnd w:id="26"/>
    </w:p>
    <w:p w:rsidR="00772120" w:rsidP="00B9185A" w:rsidRDefault="0043703A" w14:paraId="3A3FE003" w14:textId="7FE87510">
      <w:pPr>
        <w:tabs>
          <w:tab w:val="left" w:pos="3825"/>
        </w:tabs>
        <w:spacing w:line="360" w:lineRule="auto"/>
        <w:ind w:firstLine="720"/>
        <w:rPr>
          <w:szCs w:val="26"/>
        </w:rPr>
      </w:pPr>
      <w:r>
        <w:rPr>
          <w:szCs w:val="26"/>
        </w:rPr>
        <w:t xml:space="preserve">Parties’ </w:t>
      </w:r>
      <w:r w:rsidR="00772120">
        <w:rPr>
          <w:szCs w:val="26"/>
        </w:rPr>
        <w:t xml:space="preserve">proposals </w:t>
      </w:r>
      <w:r>
        <w:rPr>
          <w:szCs w:val="26"/>
        </w:rPr>
        <w:t>highlight</w:t>
      </w:r>
      <w:r w:rsidR="00772120">
        <w:rPr>
          <w:szCs w:val="26"/>
        </w:rPr>
        <w:t xml:space="preserve"> the </w:t>
      </w:r>
      <w:r w:rsidR="00C80B2A">
        <w:rPr>
          <w:szCs w:val="26"/>
        </w:rPr>
        <w:t>challenge</w:t>
      </w:r>
      <w:r>
        <w:rPr>
          <w:szCs w:val="26"/>
        </w:rPr>
        <w:t>s</w:t>
      </w:r>
      <w:r w:rsidR="00772120">
        <w:rPr>
          <w:szCs w:val="26"/>
        </w:rPr>
        <w:t xml:space="preserve"> of </w:t>
      </w:r>
      <w:r w:rsidR="00883337">
        <w:rPr>
          <w:szCs w:val="26"/>
        </w:rPr>
        <w:t>appropriately</w:t>
      </w:r>
      <w:r w:rsidR="00772120">
        <w:rPr>
          <w:szCs w:val="26"/>
        </w:rPr>
        <w:t xml:space="preserve"> </w:t>
      </w:r>
      <w:r>
        <w:rPr>
          <w:szCs w:val="26"/>
        </w:rPr>
        <w:t>identifying</w:t>
      </w:r>
      <w:r w:rsidR="00772120">
        <w:rPr>
          <w:szCs w:val="26"/>
        </w:rPr>
        <w:t xml:space="preserve"> incremental </w:t>
      </w:r>
      <w:r w:rsidR="00C80B2A">
        <w:rPr>
          <w:szCs w:val="26"/>
        </w:rPr>
        <w:t xml:space="preserve">WAV </w:t>
      </w:r>
      <w:r w:rsidR="00772120">
        <w:rPr>
          <w:szCs w:val="26"/>
        </w:rPr>
        <w:t>costs.</w:t>
      </w:r>
      <w:r w:rsidR="00AA3E66">
        <w:rPr>
          <w:szCs w:val="26"/>
        </w:rPr>
        <w:t xml:space="preserve"> </w:t>
      </w:r>
      <w:r w:rsidR="00772120">
        <w:rPr>
          <w:szCs w:val="26"/>
        </w:rPr>
        <w:t xml:space="preserve"> </w:t>
      </w:r>
      <w:r>
        <w:rPr>
          <w:szCs w:val="26"/>
        </w:rPr>
        <w:t>A</w:t>
      </w:r>
      <w:r w:rsidR="00772120">
        <w:t xml:space="preserve"> TNC bears the burden to demonstrate that it meets the requirements of an Offset Request</w:t>
      </w:r>
      <w:r w:rsidR="00883337">
        <w:t xml:space="preserve">.  </w:t>
      </w:r>
      <w:r w:rsidR="00C80B2A">
        <w:t>T</w:t>
      </w:r>
      <w:r w:rsidR="00772120">
        <w:t>he Commission</w:t>
      </w:r>
      <w:r w:rsidR="00C80B2A">
        <w:t xml:space="preserve">, however, </w:t>
      </w:r>
      <w:r w:rsidR="00772120">
        <w:t xml:space="preserve">must provide </w:t>
      </w:r>
      <w:r w:rsidR="009B76FF">
        <w:t>clear</w:t>
      </w:r>
      <w:r w:rsidR="00772120">
        <w:t xml:space="preserve"> guidance to TNCs </w:t>
      </w:r>
      <w:r w:rsidR="00C80B2A">
        <w:t xml:space="preserve">and other entities </w:t>
      </w:r>
      <w:r w:rsidR="00883337">
        <w:t>as to</w:t>
      </w:r>
      <w:r w:rsidR="00772120">
        <w:t xml:space="preserve"> how </w:t>
      </w:r>
      <w:r>
        <w:t>the</w:t>
      </w:r>
      <w:r w:rsidR="00772120">
        <w:t xml:space="preserve"> requirements </w:t>
      </w:r>
      <w:r w:rsidR="00C80B2A">
        <w:t>are</w:t>
      </w:r>
      <w:r w:rsidR="00772120">
        <w:t xml:space="preserve"> met.  </w:t>
      </w:r>
      <w:r w:rsidR="009B76FF">
        <w:rPr>
          <w:szCs w:val="26"/>
        </w:rPr>
        <w:t xml:space="preserve">If </w:t>
      </w:r>
      <w:r w:rsidR="00C80B2A">
        <w:rPr>
          <w:szCs w:val="26"/>
        </w:rPr>
        <w:t>the Commission cannot clearly define</w:t>
      </w:r>
      <w:r w:rsidR="00883337">
        <w:rPr>
          <w:szCs w:val="26"/>
        </w:rPr>
        <w:t xml:space="preserve"> </w:t>
      </w:r>
      <w:r>
        <w:rPr>
          <w:szCs w:val="26"/>
        </w:rPr>
        <w:t>an</w:t>
      </w:r>
      <w:r w:rsidR="00883337">
        <w:rPr>
          <w:szCs w:val="26"/>
        </w:rPr>
        <w:t xml:space="preserve"> incremental cost or </w:t>
      </w:r>
      <w:r>
        <w:rPr>
          <w:szCs w:val="26"/>
        </w:rPr>
        <w:t>identify</w:t>
      </w:r>
      <w:r w:rsidR="009B76FF">
        <w:rPr>
          <w:szCs w:val="26"/>
        </w:rPr>
        <w:t xml:space="preserve"> </w:t>
      </w:r>
      <w:r>
        <w:rPr>
          <w:szCs w:val="26"/>
        </w:rPr>
        <w:t>an</w:t>
      </w:r>
      <w:r w:rsidR="009B76FF">
        <w:rPr>
          <w:szCs w:val="26"/>
        </w:rPr>
        <w:t xml:space="preserve"> incremental cost</w:t>
      </w:r>
      <w:r w:rsidR="00C80B2A">
        <w:rPr>
          <w:szCs w:val="26"/>
        </w:rPr>
        <w:t xml:space="preserve"> </w:t>
      </w:r>
      <w:r>
        <w:rPr>
          <w:szCs w:val="26"/>
        </w:rPr>
        <w:t>calculation</w:t>
      </w:r>
      <w:r w:rsidR="009B76FF">
        <w:rPr>
          <w:szCs w:val="26"/>
        </w:rPr>
        <w:t xml:space="preserve">, we agree with Via that </w:t>
      </w:r>
      <w:r>
        <w:rPr>
          <w:szCs w:val="26"/>
        </w:rPr>
        <w:t>this will lead</w:t>
      </w:r>
      <w:r w:rsidR="009B76FF">
        <w:rPr>
          <w:szCs w:val="26"/>
        </w:rPr>
        <w:t xml:space="preserve"> </w:t>
      </w:r>
      <w:r>
        <w:rPr>
          <w:szCs w:val="26"/>
        </w:rPr>
        <w:t>to</w:t>
      </w:r>
      <w:r w:rsidR="009B76FF">
        <w:rPr>
          <w:szCs w:val="26"/>
        </w:rPr>
        <w:t xml:space="preserve"> inconsistent interpretations by TNCs</w:t>
      </w:r>
      <w:r w:rsidR="009F5B52">
        <w:rPr>
          <w:szCs w:val="26"/>
        </w:rPr>
        <w:t>, as well as</w:t>
      </w:r>
      <w:r w:rsidR="00C80B2A">
        <w:rPr>
          <w:szCs w:val="26"/>
        </w:rPr>
        <w:t xml:space="preserve"> </w:t>
      </w:r>
      <w:r w:rsidR="000C6D29">
        <w:rPr>
          <w:szCs w:val="26"/>
        </w:rPr>
        <w:t xml:space="preserve">by </w:t>
      </w:r>
      <w:r w:rsidR="009B76FF">
        <w:rPr>
          <w:szCs w:val="26"/>
        </w:rPr>
        <w:t xml:space="preserve">Commission staff </w:t>
      </w:r>
      <w:r w:rsidR="00883337">
        <w:rPr>
          <w:szCs w:val="26"/>
        </w:rPr>
        <w:t xml:space="preserve">that review and approve </w:t>
      </w:r>
      <w:r w:rsidR="009B76FF">
        <w:rPr>
          <w:szCs w:val="26"/>
        </w:rPr>
        <w:t xml:space="preserve">the Offset Requests. </w:t>
      </w:r>
      <w:r w:rsidR="009F5B52">
        <w:rPr>
          <w:szCs w:val="26"/>
        </w:rPr>
        <w:t xml:space="preserve"> </w:t>
      </w:r>
    </w:p>
    <w:p w:rsidR="00AB61F4" w:rsidP="001D2159" w:rsidRDefault="0043703A" w14:paraId="7AC50236" w14:textId="5E209047">
      <w:pPr>
        <w:tabs>
          <w:tab w:val="left" w:pos="3825"/>
        </w:tabs>
        <w:spacing w:line="360" w:lineRule="auto"/>
        <w:ind w:firstLine="720"/>
      </w:pPr>
      <w:r>
        <w:rPr>
          <w:szCs w:val="26"/>
        </w:rPr>
        <w:t>The Track 3 proposals</w:t>
      </w:r>
      <w:r w:rsidR="00C80B2A">
        <w:rPr>
          <w:szCs w:val="26"/>
        </w:rPr>
        <w:t xml:space="preserve"> raise</w:t>
      </w:r>
      <w:r w:rsidR="00AA3E66">
        <w:rPr>
          <w:szCs w:val="26"/>
        </w:rPr>
        <w:t xml:space="preserve"> the same issue identified in D.20-03-007 –</w:t>
      </w:r>
      <w:r w:rsidR="00C80B2A">
        <w:rPr>
          <w:szCs w:val="26"/>
        </w:rPr>
        <w:t xml:space="preserve"> </w:t>
      </w:r>
      <w:r>
        <w:rPr>
          <w:szCs w:val="26"/>
        </w:rPr>
        <w:t xml:space="preserve">there is </w:t>
      </w:r>
      <w:r w:rsidR="00C80B2A">
        <w:t>no</w:t>
      </w:r>
      <w:r w:rsidR="00AA3E66">
        <w:t xml:space="preserve"> </w:t>
      </w:r>
      <w:r>
        <w:t>proposed implementable</w:t>
      </w:r>
      <w:r w:rsidR="00AA3E66">
        <w:t xml:space="preserve"> method for calculating incremental </w:t>
      </w:r>
      <w:r>
        <w:t xml:space="preserve">WAV </w:t>
      </w:r>
      <w:r w:rsidR="00AA3E66">
        <w:t xml:space="preserve">costs.  </w:t>
      </w:r>
      <w:r w:rsidR="00AB61F4">
        <w:rPr>
          <w:szCs w:val="26"/>
        </w:rPr>
        <w:t xml:space="preserve">CPED’s </w:t>
      </w:r>
      <w:r w:rsidR="00883337">
        <w:rPr>
          <w:szCs w:val="26"/>
        </w:rPr>
        <w:t xml:space="preserve">proposed definition </w:t>
      </w:r>
      <w:r>
        <w:rPr>
          <w:szCs w:val="26"/>
        </w:rPr>
        <w:t>of</w:t>
      </w:r>
      <w:r w:rsidR="001238D0">
        <w:rPr>
          <w:szCs w:val="26"/>
        </w:rPr>
        <w:t xml:space="preserve"> a</w:t>
      </w:r>
      <w:r w:rsidR="00AB61F4">
        <w:rPr>
          <w:szCs w:val="26"/>
        </w:rPr>
        <w:t xml:space="preserve"> </w:t>
      </w:r>
      <w:r w:rsidR="00AB61F4">
        <w:t>“portion of costs directly attributable to providing WAV service”</w:t>
      </w:r>
      <w:r w:rsidR="001238D0">
        <w:t xml:space="preserve"> </w:t>
      </w:r>
      <w:r w:rsidR="00883337">
        <w:t>offer</w:t>
      </w:r>
      <w:r w:rsidR="00C80B2A">
        <w:t>s no</w:t>
      </w:r>
      <w:r w:rsidR="001238D0">
        <w:t xml:space="preserve"> </w:t>
      </w:r>
      <w:r w:rsidR="00D53A44">
        <w:t>greater</w:t>
      </w:r>
      <w:r w:rsidR="001238D0">
        <w:t xml:space="preserve"> </w:t>
      </w:r>
      <w:r w:rsidR="00F95F3E">
        <w:t>insight</w:t>
      </w:r>
      <w:r w:rsidR="001238D0">
        <w:t xml:space="preserve"> as to what </w:t>
      </w:r>
      <w:r w:rsidR="00D53A44">
        <w:t xml:space="preserve">an incremental cost </w:t>
      </w:r>
      <w:r w:rsidR="00C80B2A">
        <w:t xml:space="preserve">is </w:t>
      </w:r>
      <w:r w:rsidR="00D53A44">
        <w:t xml:space="preserve">than the definition </w:t>
      </w:r>
      <w:r w:rsidR="00C80B2A">
        <w:t xml:space="preserve">of WAV expenses </w:t>
      </w:r>
      <w:r w:rsidR="00D53A44">
        <w:t xml:space="preserve">adopted in D.20-03-007. </w:t>
      </w:r>
      <w:r w:rsidR="001238D0">
        <w:t xml:space="preserve"> CPED</w:t>
      </w:r>
      <w:r w:rsidR="00D53A44">
        <w:t xml:space="preserve">’s </w:t>
      </w:r>
      <w:r w:rsidR="00F95F3E">
        <w:t xml:space="preserve">cost </w:t>
      </w:r>
      <w:r w:rsidR="00D53A44">
        <w:t xml:space="preserve">descriptions </w:t>
      </w:r>
      <w:r w:rsidR="009F5B52">
        <w:t xml:space="preserve">offer </w:t>
      </w:r>
      <w:r w:rsidR="00F95F3E">
        <w:t xml:space="preserve">some </w:t>
      </w:r>
      <w:r w:rsidR="009F5B52">
        <w:t xml:space="preserve">clarity for covered </w:t>
      </w:r>
      <w:r>
        <w:t xml:space="preserve">WAV </w:t>
      </w:r>
      <w:r w:rsidR="009F5B52">
        <w:t>expenses</w:t>
      </w:r>
      <w:r w:rsidR="001238D0">
        <w:t xml:space="preserve"> </w:t>
      </w:r>
      <w:r w:rsidR="00C80B2A">
        <w:t>but</w:t>
      </w:r>
      <w:r w:rsidR="009F5B52">
        <w:t xml:space="preserve"> is </w:t>
      </w:r>
      <w:r w:rsidR="001238D0">
        <w:t>limit</w:t>
      </w:r>
      <w:r w:rsidR="00F95F3E">
        <w:t>ed</w:t>
      </w:r>
      <w:r w:rsidR="009F5B52">
        <w:t xml:space="preserve"> in scope and raises more questions</w:t>
      </w:r>
      <w:r w:rsidR="00F95F3E">
        <w:t xml:space="preserve"> as to </w:t>
      </w:r>
      <w:r>
        <w:t>other</w:t>
      </w:r>
      <w:r w:rsidR="00F95F3E">
        <w:t xml:space="preserve"> costs </w:t>
      </w:r>
      <w:r>
        <w:t>that are not listed</w:t>
      </w:r>
      <w:r w:rsidR="009F5B52">
        <w:t xml:space="preserve">.  </w:t>
      </w:r>
    </w:p>
    <w:p w:rsidR="0043703A" w:rsidP="00020ECD" w:rsidRDefault="00C80B2A" w14:paraId="353ED3AC" w14:textId="4E2EFA88">
      <w:pPr>
        <w:tabs>
          <w:tab w:val="left" w:pos="3825"/>
        </w:tabs>
        <w:spacing w:line="360" w:lineRule="auto"/>
        <w:ind w:right="-360" w:firstLine="720"/>
      </w:pPr>
      <w:r>
        <w:lastRenderedPageBreak/>
        <w:t>The Commission concludes that there is</w:t>
      </w:r>
      <w:r w:rsidR="007C384F">
        <w:t xml:space="preserve"> </w:t>
      </w:r>
      <w:r w:rsidR="00932AE6">
        <w:t xml:space="preserve">insufficient record to adopt an incremental cost </w:t>
      </w:r>
      <w:r w:rsidR="007C384F">
        <w:t>requirement</w:t>
      </w:r>
      <w:r w:rsidR="00932AE6">
        <w:t>.</w:t>
      </w:r>
      <w:r w:rsidR="007C384F">
        <w:t xml:space="preserve">  The</w:t>
      </w:r>
      <w:r w:rsidR="008F199D">
        <w:t xml:space="preserve"> definition of a qualifying offset expense adopted in D.20-03-007</w:t>
      </w:r>
      <w:r w:rsidR="007C384F">
        <w:t xml:space="preserve"> remains applicable</w:t>
      </w:r>
      <w:r w:rsidR="0043703A">
        <w:t xml:space="preserve">: </w:t>
      </w:r>
      <w:r w:rsidR="00020ECD">
        <w:t xml:space="preserve"> </w:t>
      </w:r>
      <w:r w:rsidR="0043703A">
        <w:rPr>
          <w:szCs w:val="26"/>
        </w:rPr>
        <w:t xml:space="preserve">(1) a reasonable, legitimate cost that improves a TNC’s WAV service, (2) </w:t>
      </w:r>
      <w:r w:rsidR="00206BC7">
        <w:rPr>
          <w:szCs w:val="26"/>
        </w:rPr>
        <w:t xml:space="preserve">a cost </w:t>
      </w:r>
      <w:r w:rsidR="0043703A">
        <w:rPr>
          <w:szCs w:val="26"/>
        </w:rPr>
        <w:t xml:space="preserve">incurred in the quarter for which a TNC requests an offset, and (3) </w:t>
      </w:r>
      <w:r w:rsidR="00206BC7">
        <w:rPr>
          <w:szCs w:val="26"/>
        </w:rPr>
        <w:t xml:space="preserve">the cost </w:t>
      </w:r>
      <w:r w:rsidR="0043703A">
        <w:rPr>
          <w:szCs w:val="26"/>
        </w:rPr>
        <w:t>is on the list of eligible expenses attached as Appendix A.</w:t>
      </w:r>
      <w:r w:rsidR="0043703A">
        <w:rPr>
          <w:rStyle w:val="FootnoteReference"/>
          <w:szCs w:val="26"/>
        </w:rPr>
        <w:footnoteReference w:id="34"/>
      </w:r>
      <w:r w:rsidR="007C384F">
        <w:t xml:space="preserve">  </w:t>
      </w:r>
      <w:r w:rsidR="000B3A08">
        <w:br/>
      </w:r>
      <w:r w:rsidR="005162FC">
        <w:t xml:space="preserve">In response to some parties’ proposals, we clarify that fares paid by passengers </w:t>
      </w:r>
      <w:r w:rsidR="007B3AC6">
        <w:t>are</w:t>
      </w:r>
      <w:r w:rsidR="005162FC">
        <w:t xml:space="preserve"> not </w:t>
      </w:r>
      <w:r w:rsidR="004B2265">
        <w:t xml:space="preserve">included </w:t>
      </w:r>
      <w:r w:rsidR="005162FC">
        <w:t>on the list of eligible offset expenses, attached as Appendix A to D.20</w:t>
      </w:r>
      <w:r w:rsidR="000B3A08">
        <w:noBreakHyphen/>
      </w:r>
      <w:r w:rsidR="005162FC">
        <w:t>03</w:t>
      </w:r>
      <w:r w:rsidR="000B3A08">
        <w:noBreakHyphen/>
      </w:r>
      <w:r w:rsidR="005162FC">
        <w:t>007.</w:t>
      </w:r>
    </w:p>
    <w:p w:rsidR="00932AE6" w:rsidP="00AB3EC6" w:rsidRDefault="00F16D7B" w14:paraId="49B2265C" w14:textId="33C7D2AC">
      <w:pPr>
        <w:tabs>
          <w:tab w:val="left" w:pos="3825"/>
        </w:tabs>
        <w:spacing w:line="360" w:lineRule="auto"/>
        <w:ind w:firstLine="720"/>
      </w:pPr>
      <w:r>
        <w:t>The Commission</w:t>
      </w:r>
      <w:r w:rsidR="00C80B2A">
        <w:t xml:space="preserve"> </w:t>
      </w:r>
      <w:r w:rsidR="009F5B52">
        <w:t>will</w:t>
      </w:r>
      <w:r w:rsidR="007C384F">
        <w:t xml:space="preserve"> </w:t>
      </w:r>
      <w:r>
        <w:t xml:space="preserve">continue to </w:t>
      </w:r>
      <w:r w:rsidR="00C80B2A">
        <w:t>monitor</w:t>
      </w:r>
      <w:r>
        <w:t xml:space="preserve"> </w:t>
      </w:r>
      <w:r w:rsidR="009F5B52">
        <w:t>TNCs’</w:t>
      </w:r>
      <w:r w:rsidR="007C384F">
        <w:t xml:space="preserve"> WAV expenses submitted </w:t>
      </w:r>
      <w:r w:rsidR="00245D76">
        <w:t>through</w:t>
      </w:r>
      <w:r w:rsidR="007C384F">
        <w:t xml:space="preserve"> </w:t>
      </w:r>
      <w:r>
        <w:t xml:space="preserve">the </w:t>
      </w:r>
      <w:r w:rsidR="007C384F">
        <w:t>Offset Requests</w:t>
      </w:r>
      <w:r w:rsidR="00C80B2A">
        <w:t xml:space="preserve"> and may </w:t>
      </w:r>
      <w:r w:rsidR="0043703A">
        <w:t>modify this definition in the future</w:t>
      </w:r>
      <w:r w:rsidR="00C80B2A">
        <w:t xml:space="preserve">.  To that end, </w:t>
      </w:r>
      <w:r w:rsidR="00885960">
        <w:t xml:space="preserve">CPED </w:t>
      </w:r>
      <w:r w:rsidR="007C384F">
        <w:t xml:space="preserve">Staff </w:t>
      </w:r>
      <w:r w:rsidR="00C80B2A">
        <w:t xml:space="preserve">is </w:t>
      </w:r>
      <w:r w:rsidR="0043703A">
        <w:t xml:space="preserve">directed to </w:t>
      </w:r>
      <w:r w:rsidR="00C80B2A">
        <w:t xml:space="preserve">include in the </w:t>
      </w:r>
      <w:r w:rsidR="007C384F">
        <w:t>December 2021</w:t>
      </w:r>
      <w:r w:rsidR="00C80B2A">
        <w:t xml:space="preserve"> report to the Commission an evaluation of WAV expenses requested in Offset Requests, including the amount of approved WAV offset expenses by category, TNCs’ approved WAV expenses as a percentage of TNCs’ Access Fund fee remittances, and other relevant information</w:t>
      </w:r>
      <w:r w:rsidR="00885960">
        <w:t xml:space="preserve">.  </w:t>
      </w:r>
    </w:p>
    <w:p w:rsidR="00E036DC" w:rsidP="00224875" w:rsidRDefault="00E036DC" w14:paraId="2428FFE7" w14:textId="1C715AAD">
      <w:pPr>
        <w:pStyle w:val="Heading2"/>
        <w:keepLines/>
        <w:numPr>
          <w:ilvl w:val="1"/>
          <w:numId w:val="1"/>
        </w:numPr>
        <w:tabs>
          <w:tab w:val="num" w:pos="1080"/>
        </w:tabs>
        <w:spacing w:before="0"/>
        <w:ind w:left="1080" w:right="2160" w:hanging="720"/>
      </w:pPr>
      <w:bookmarkStart w:name="_Toc65585461" w:id="27"/>
      <w:r>
        <w:t>Advice Letter Rule Modification</w:t>
      </w:r>
      <w:bookmarkEnd w:id="27"/>
    </w:p>
    <w:p w:rsidR="00E036DC" w:rsidP="00D96205" w:rsidRDefault="00E036DC" w14:paraId="53EE027B" w14:textId="18ED92BC">
      <w:pPr>
        <w:autoSpaceDE w:val="0"/>
        <w:autoSpaceDN w:val="0"/>
        <w:adjustRightInd w:val="0"/>
        <w:spacing w:line="360" w:lineRule="auto"/>
        <w:ind w:right="-90" w:firstLine="720"/>
      </w:pPr>
      <w:r>
        <w:t xml:space="preserve">In D.20-03-007, </w:t>
      </w:r>
      <w:r w:rsidR="0043703A">
        <w:t>we</w:t>
      </w:r>
      <w:r>
        <w:t xml:space="preserve"> noted </w:t>
      </w:r>
      <w:r w:rsidR="0043703A">
        <w:t xml:space="preserve">the </w:t>
      </w:r>
      <w:r>
        <w:t>concern regarding Rule 7.5.2 of General Order (GO)</w:t>
      </w:r>
      <w:r w:rsidR="00D96205">
        <w:t> </w:t>
      </w:r>
      <w:r>
        <w:t>96-B, which provides a 120-day suspension of an Advice Letter (AL) if the Industry Division does not reach a disposition on the AL in the initial 30-day review period.</w:t>
      </w:r>
      <w:r>
        <w:rPr>
          <w:rStyle w:val="FootnoteReference"/>
        </w:rPr>
        <w:footnoteReference w:id="35"/>
      </w:r>
      <w:r>
        <w:t xml:space="preserve">  </w:t>
      </w:r>
      <w:r w:rsidR="0043703A">
        <w:t>The</w:t>
      </w:r>
      <w:r>
        <w:t xml:space="preserve"> Commission stated that:</w:t>
      </w:r>
    </w:p>
    <w:p w:rsidR="00E036DC" w:rsidP="00D96205" w:rsidRDefault="00E036DC" w14:paraId="6CE2000C" w14:textId="77777777">
      <w:pPr>
        <w:autoSpaceDE w:val="0"/>
        <w:autoSpaceDN w:val="0"/>
        <w:adjustRightInd w:val="0"/>
        <w:ind w:left="720" w:right="1440"/>
      </w:pPr>
      <w:r>
        <w:t xml:space="preserve">We note that Rule 7.5.2 was intended in part to incentivize the Industry Division to review ALs within a 30-day review period.  Removing the suspension period does not necessarily resolve concerns of increased delay, as it may remove an </w:t>
      </w:r>
      <w:r>
        <w:lastRenderedPageBreak/>
        <w:t>incentive for the Industry Division to quickly dispose of the AL in 30 days.</w:t>
      </w:r>
      <w:r>
        <w:rPr>
          <w:rStyle w:val="FootnoteReference"/>
        </w:rPr>
        <w:footnoteReference w:id="36"/>
      </w:r>
      <w:r>
        <w:t xml:space="preserve"> </w:t>
      </w:r>
    </w:p>
    <w:p w:rsidR="00E036DC" w:rsidP="002327E2" w:rsidRDefault="00E036DC" w14:paraId="780BCFC4" w14:textId="039D8722">
      <w:pPr>
        <w:autoSpaceDE w:val="0"/>
        <w:autoSpaceDN w:val="0"/>
        <w:adjustRightInd w:val="0"/>
        <w:spacing w:before="240" w:line="360" w:lineRule="auto"/>
        <w:ind w:firstLine="720"/>
      </w:pPr>
      <w:r>
        <w:t>The Commission deferred this issue to Track 3.  In Track 3, Disability Advocates, San Francisco, and Marin Transit recommend not modifying Rule</w:t>
      </w:r>
      <w:r w:rsidR="00D96205">
        <w:t> </w:t>
      </w:r>
      <w:r>
        <w:t>7.5.2 because the 120-day period is necessary to afford CPED sufficient time and flexibility to evaluate the Advice Letters.</w:t>
      </w:r>
      <w:r>
        <w:rPr>
          <w:rStyle w:val="FootnoteReference"/>
        </w:rPr>
        <w:footnoteReference w:id="37"/>
      </w:r>
      <w:r>
        <w:t xml:space="preserve">  San Francisco </w:t>
      </w:r>
      <w:r w:rsidR="0043703A">
        <w:t>asserts</w:t>
      </w:r>
      <w:r>
        <w:t xml:space="preserve"> that based on the Offset Requests filed by TNCs in April 2020, and TNCs’ confidentiality claims to the Advice Letters that led to protests, it cannot be assumed that CPED can resolve the Advice Letters within the 120-day period.</w:t>
      </w:r>
    </w:p>
    <w:p w:rsidR="00E036DC" w:rsidP="00E036DC" w:rsidRDefault="00E036DC" w14:paraId="782E8165" w14:textId="71C32D50">
      <w:pPr>
        <w:autoSpaceDE w:val="0"/>
        <w:autoSpaceDN w:val="0"/>
        <w:adjustRightInd w:val="0"/>
        <w:spacing w:line="360" w:lineRule="auto"/>
        <w:ind w:firstLine="720"/>
      </w:pPr>
      <w:r>
        <w:t>Uber recommends modifying the 120</w:t>
      </w:r>
      <w:r w:rsidR="0043703A">
        <w:t xml:space="preserve"> </w:t>
      </w:r>
      <w:r>
        <w:t>day</w:t>
      </w:r>
      <w:r w:rsidR="0043703A">
        <w:t xml:space="preserve">s </w:t>
      </w:r>
      <w:r>
        <w:t>to 60 days so that the submitting entity can recoup funds to invest into the program.</w:t>
      </w:r>
      <w:r>
        <w:rPr>
          <w:rStyle w:val="FootnoteReference"/>
        </w:rPr>
        <w:footnoteReference w:id="38"/>
      </w:r>
      <w:r>
        <w:t xml:space="preserve">  Lyft </w:t>
      </w:r>
      <w:r w:rsidR="0043703A">
        <w:t>claims</w:t>
      </w:r>
      <w:r>
        <w:t xml:space="preserve"> Rule</w:t>
      </w:r>
      <w:r w:rsidR="00D96205">
        <w:t> </w:t>
      </w:r>
      <w:r>
        <w:t xml:space="preserve">7.5.2 should be modified to require CPED to issue a disposition on the merits </w:t>
      </w:r>
      <w:r w:rsidR="0043703A">
        <w:t>i</w:t>
      </w:r>
      <w:r>
        <w:t>n 30 days, with an exception only if there is a dispute on the merits that requires further factual development by CPED.</w:t>
      </w:r>
      <w:r>
        <w:rPr>
          <w:rStyle w:val="FootnoteReference"/>
        </w:rPr>
        <w:footnoteReference w:id="39"/>
      </w:r>
      <w:r>
        <w:t xml:space="preserve">  San Francisco disagrees with Lyft</w:t>
      </w:r>
      <w:r w:rsidR="00FE5635">
        <w:t xml:space="preserve"> and states </w:t>
      </w:r>
      <w:r>
        <w:t>that objections are intertwined with the merits, and TNCs’ redactions make it impossible to assess the merits</w:t>
      </w:r>
      <w:r w:rsidR="00FE5635">
        <w:t xml:space="preserve"> of an AL</w:t>
      </w:r>
      <w:r>
        <w:t>.</w:t>
      </w:r>
      <w:r>
        <w:rPr>
          <w:rStyle w:val="FootnoteReference"/>
        </w:rPr>
        <w:footnoteReference w:id="40"/>
      </w:r>
      <w:r>
        <w:t xml:space="preserve"> </w:t>
      </w:r>
    </w:p>
    <w:p w:rsidRPr="00AB3EC6" w:rsidR="00E036DC" w:rsidP="00E036DC" w:rsidRDefault="00E036DC" w14:paraId="7D78F3AC" w14:textId="3EE705E8">
      <w:pPr>
        <w:autoSpaceDE w:val="0"/>
        <w:autoSpaceDN w:val="0"/>
        <w:adjustRightInd w:val="0"/>
        <w:spacing w:line="360" w:lineRule="auto"/>
        <w:ind w:firstLine="720"/>
      </w:pPr>
      <w:r>
        <w:t xml:space="preserve">The Commission is not persuaded by Uber’s and Lyft’s proposals that an Advice Letter should be resolved expeditiously when TNCs simultaneously redact a significant amount of information that prevents parties from reasonably assessing the merits of an Advice Letter.  We agree with parties that support </w:t>
      </w:r>
      <w:r>
        <w:lastRenderedPageBreak/>
        <w:t xml:space="preserve">leaving Rule 7.5.2 as is to allow the Industry Division sufficient time to evaluate the Advice Letters and decline to modify Rule 7.5.2. </w:t>
      </w:r>
    </w:p>
    <w:p w:rsidR="00374325" w:rsidP="00224875" w:rsidRDefault="00853325" w14:paraId="6D7752D4" w14:textId="7EB0C660">
      <w:pPr>
        <w:pStyle w:val="Heading1"/>
        <w:keepLines/>
        <w:numPr>
          <w:ilvl w:val="0"/>
          <w:numId w:val="1"/>
        </w:numPr>
        <w:spacing w:before="0"/>
        <w:ind w:right="2160"/>
      </w:pPr>
      <w:bookmarkStart w:name="_Toc65585462" w:id="28"/>
      <w:r>
        <w:t>Access Fund Disbursements</w:t>
      </w:r>
      <w:bookmarkEnd w:id="28"/>
    </w:p>
    <w:p w:rsidR="00B316A0" w:rsidP="00224875" w:rsidRDefault="00B316A0" w14:paraId="36A06131" w14:textId="77777777">
      <w:pPr>
        <w:pStyle w:val="Heading2"/>
        <w:keepLines/>
        <w:numPr>
          <w:ilvl w:val="1"/>
          <w:numId w:val="1"/>
        </w:numPr>
        <w:tabs>
          <w:tab w:val="num" w:pos="1080"/>
        </w:tabs>
        <w:spacing w:before="0"/>
        <w:ind w:left="1080" w:right="2160" w:hanging="720"/>
      </w:pPr>
      <w:bookmarkStart w:name="_Toc65585463" w:id="29"/>
      <w:r>
        <w:t>On-Demand Transportation</w:t>
      </w:r>
      <w:bookmarkEnd w:id="29"/>
    </w:p>
    <w:p w:rsidR="00B316A0" w:rsidP="00B316A0" w:rsidRDefault="00CA40A9" w14:paraId="41BD5730" w14:textId="2569E973">
      <w:pPr>
        <w:pStyle w:val="ALJBodyText"/>
      </w:pPr>
      <w:r>
        <w:t xml:space="preserve">Pub. Util. Code </w:t>
      </w:r>
      <w:r w:rsidRPr="00FF556D">
        <w:t>§</w:t>
      </w:r>
      <w:r w:rsidR="00B316A0">
        <w:t xml:space="preserve"> 5431.5(a) </w:t>
      </w:r>
      <w:r w:rsidR="002E2EA0">
        <w:t>provides</w:t>
      </w:r>
      <w:r w:rsidR="00B316A0">
        <w:t xml:space="preserve"> that an “access provider” is “an organization or entity that directly provides, or contracts with a separate organization or entity to provide, on-demand transportation to meet the needs of persons with disabilities.”  </w:t>
      </w:r>
      <w:r w:rsidR="001326A3">
        <w:t>The Access for All Act</w:t>
      </w:r>
      <w:r w:rsidR="009F719F">
        <w:t xml:space="preserve">, however, </w:t>
      </w:r>
      <w:r w:rsidR="00B316A0">
        <w:t>does not define “on</w:t>
      </w:r>
      <w:r w:rsidR="00D96205">
        <w:noBreakHyphen/>
      </w:r>
      <w:r w:rsidR="00B316A0">
        <w:t>demand transportation.</w:t>
      </w:r>
      <w:r w:rsidR="002E2EA0">
        <w:t>”</w:t>
      </w:r>
      <w:r w:rsidR="00B316A0">
        <w:t xml:space="preserve">  </w:t>
      </w:r>
      <w:r w:rsidR="002E2EA0">
        <w:t>In D.20-03-007, t</w:t>
      </w:r>
      <w:r w:rsidR="00B316A0">
        <w:t>he Commission stated</w:t>
      </w:r>
      <w:r w:rsidR="002E2EA0">
        <w:t xml:space="preserve"> that</w:t>
      </w:r>
      <w:r w:rsidR="00B316A0">
        <w:t xml:space="preserve">: </w:t>
      </w:r>
    </w:p>
    <w:p w:rsidR="00B316A0" w:rsidP="00D96205" w:rsidRDefault="00B316A0" w14:paraId="17C6A3BB" w14:textId="13E9F005">
      <w:pPr>
        <w:pStyle w:val="ALJBodyText"/>
        <w:spacing w:line="240" w:lineRule="auto"/>
        <w:ind w:left="720" w:right="1440" w:firstLine="0"/>
      </w:pPr>
      <w:r>
        <w:t>It is possible that a non-Commission-regulated transportation provider, such as a government entity or taxi company, could provide on-demand transportation for WAV services o</w:t>
      </w:r>
      <w:r w:rsidR="00206BC7">
        <w:t>r</w:t>
      </w:r>
      <w:r>
        <w:t xml:space="preserve"> for a local transit agency to license on-demand technology for WAV services.  However, “on-demand transportation” should be appropriately defined in order to reasonably limit the pool of access providers.</w:t>
      </w:r>
      <w:r w:rsidR="00CA40A9">
        <w:rPr>
          <w:rStyle w:val="FootnoteReference"/>
        </w:rPr>
        <w:footnoteReference w:id="41"/>
      </w:r>
    </w:p>
    <w:p w:rsidR="00BA2758" w:rsidP="002327E2" w:rsidRDefault="001326A3" w14:paraId="1D052326" w14:textId="022FCE45">
      <w:pPr>
        <w:pStyle w:val="ALJBodyText"/>
        <w:spacing w:before="240"/>
      </w:pPr>
      <w:r>
        <w:t>The</w:t>
      </w:r>
      <w:r w:rsidR="00F711B1">
        <w:t xml:space="preserve"> Commission </w:t>
      </w:r>
      <w:r w:rsidR="00B316A0">
        <w:t>deferred the issue to</w:t>
      </w:r>
      <w:r w:rsidR="00CA40A9">
        <w:t xml:space="preserve"> Track 3</w:t>
      </w:r>
      <w:r w:rsidR="00B316A0">
        <w:t>.</w:t>
      </w:r>
      <w:r w:rsidR="00AE68F6">
        <w:t xml:space="preserve">  </w:t>
      </w:r>
      <w:r w:rsidR="002E2EA0">
        <w:t xml:space="preserve">In Track 3, </w:t>
      </w:r>
      <w:r w:rsidR="00684D10">
        <w:t xml:space="preserve">some </w:t>
      </w:r>
      <w:r w:rsidR="00654142">
        <w:t xml:space="preserve">parties </w:t>
      </w:r>
      <w:r>
        <w:t>support</w:t>
      </w:r>
      <w:r w:rsidR="00CA40A9">
        <w:t xml:space="preserve"> </w:t>
      </w:r>
      <w:r w:rsidR="00654142">
        <w:t>a</w:t>
      </w:r>
      <w:r w:rsidR="00CA40A9">
        <w:t xml:space="preserve"> broad definition</w:t>
      </w:r>
      <w:r w:rsidR="002E2EA0">
        <w:t xml:space="preserve"> for on</w:t>
      </w:r>
      <w:r w:rsidR="009F719F">
        <w:t>-</w:t>
      </w:r>
      <w:r w:rsidR="002E2EA0">
        <w:t xml:space="preserve">demand transportation to </w:t>
      </w:r>
      <w:r w:rsidR="00142417">
        <w:t>provide</w:t>
      </w:r>
      <w:r w:rsidR="002E2EA0">
        <w:t xml:space="preserve"> sufficient flexibility</w:t>
      </w:r>
      <w:r w:rsidR="00142417">
        <w:t xml:space="preserve"> for </w:t>
      </w:r>
      <w:r w:rsidR="009F719F">
        <w:t xml:space="preserve">potential </w:t>
      </w:r>
      <w:r w:rsidR="001B00FA">
        <w:t>A</w:t>
      </w:r>
      <w:r w:rsidR="00142417">
        <w:t xml:space="preserve">ccess </w:t>
      </w:r>
      <w:r w:rsidR="001B00FA">
        <w:t>P</w:t>
      </w:r>
      <w:r w:rsidR="00142417">
        <w:t>rovider</w:t>
      </w:r>
      <w:r>
        <w:t>s</w:t>
      </w:r>
      <w:r w:rsidR="002E2EA0">
        <w:t>.</w:t>
      </w:r>
      <w:r w:rsidR="00CA40A9">
        <w:t xml:space="preserve">  </w:t>
      </w:r>
      <w:r w:rsidR="002E2EA0">
        <w:t>S</w:t>
      </w:r>
      <w:r w:rsidR="00AE68F6">
        <w:t xml:space="preserve">an </w:t>
      </w:r>
      <w:r w:rsidR="002E2EA0">
        <w:t>F</w:t>
      </w:r>
      <w:r w:rsidR="00AE68F6">
        <w:t>rancisco</w:t>
      </w:r>
      <w:r w:rsidR="002E2EA0">
        <w:t>, D</w:t>
      </w:r>
      <w:r w:rsidR="00AE68F6">
        <w:t xml:space="preserve">isability </w:t>
      </w:r>
      <w:r w:rsidR="002E2EA0">
        <w:t>A</w:t>
      </w:r>
      <w:r w:rsidR="00AE68F6">
        <w:t>dvocates</w:t>
      </w:r>
      <w:r w:rsidR="002E2EA0">
        <w:t xml:space="preserve">, </w:t>
      </w:r>
      <w:r w:rsidRPr="005173E7" w:rsidR="00AE68F6">
        <w:t>LA</w:t>
      </w:r>
      <w:r w:rsidRPr="005173E7" w:rsidR="00FB0BF0">
        <w:t> </w:t>
      </w:r>
      <w:r w:rsidRPr="005173E7" w:rsidR="002E2EA0">
        <w:t>Metro</w:t>
      </w:r>
      <w:r w:rsidR="00201E18">
        <w:t>, and Marin Transit</w:t>
      </w:r>
      <w:r w:rsidR="002E2EA0">
        <w:t xml:space="preserve"> observe that the needs of the disability community will vary by county</w:t>
      </w:r>
      <w:r w:rsidR="00684D10">
        <w:t xml:space="preserve"> </w:t>
      </w:r>
      <w:r w:rsidR="002E2EA0">
        <w:t>and depend on the amount of funding available</w:t>
      </w:r>
      <w:r>
        <w:t xml:space="preserve"> in each area</w:t>
      </w:r>
      <w:r w:rsidR="002E2EA0">
        <w:t xml:space="preserve">.  </w:t>
      </w:r>
      <w:r w:rsidR="00AE68F6">
        <w:t>San</w:t>
      </w:r>
      <w:r w:rsidR="00D96205">
        <w:t> </w:t>
      </w:r>
      <w:r w:rsidR="00AE68F6">
        <w:t>Francisco</w:t>
      </w:r>
      <w:r w:rsidR="00201E18">
        <w:t xml:space="preserve"> and Marin Transit</w:t>
      </w:r>
      <w:r w:rsidR="002E2EA0">
        <w:t xml:space="preserve"> propose that </w:t>
      </w:r>
      <w:r w:rsidR="00853065">
        <w:t>“</w:t>
      </w:r>
      <w:r w:rsidR="00201E18">
        <w:t>on demand</w:t>
      </w:r>
      <w:r w:rsidR="00853065">
        <w:t>”</w:t>
      </w:r>
      <w:r w:rsidR="00201E18">
        <w:t xml:space="preserve"> services </w:t>
      </w:r>
      <w:r w:rsidR="00853065">
        <w:t xml:space="preserve">should </w:t>
      </w:r>
      <w:r w:rsidR="002E2EA0">
        <w:t xml:space="preserve">be </w:t>
      </w:r>
      <w:r w:rsidR="005A0160">
        <w:t xml:space="preserve">defined as </w:t>
      </w:r>
      <w:r w:rsidR="002E2EA0">
        <w:t>“services that do not follow a fixed route and/or schedule.”</w:t>
      </w:r>
      <w:r w:rsidR="002E2EA0">
        <w:rPr>
          <w:rStyle w:val="FootnoteReference"/>
        </w:rPr>
        <w:footnoteReference w:id="42"/>
      </w:r>
      <w:r w:rsidR="002E2EA0">
        <w:t xml:space="preserve">  </w:t>
      </w:r>
      <w:r w:rsidR="00AE68F6">
        <w:t>Disability Advocates</w:t>
      </w:r>
      <w:r w:rsidR="00CA40A9">
        <w:t xml:space="preserve"> recommend </w:t>
      </w:r>
      <w:r w:rsidR="005A0160">
        <w:t xml:space="preserve">that </w:t>
      </w:r>
      <w:r w:rsidR="00CA40A9">
        <w:t xml:space="preserve">the definition should include “entities that </w:t>
      </w:r>
      <w:r w:rsidR="00CA40A9">
        <w:lastRenderedPageBreak/>
        <w:t>can provide immediate responses to customers who need WAV vehicles.”</w:t>
      </w:r>
      <w:r w:rsidR="00CA40A9">
        <w:rPr>
          <w:rStyle w:val="FootnoteReference"/>
        </w:rPr>
        <w:footnoteReference w:id="43"/>
      </w:r>
      <w:r w:rsidR="00CA40A9">
        <w:t xml:space="preserve">  </w:t>
      </w:r>
      <w:r w:rsidR="00AE68F6">
        <w:t>LA</w:t>
      </w:r>
      <w:r w:rsidR="00651B38">
        <w:t> </w:t>
      </w:r>
      <w:r w:rsidR="00305D67">
        <w:t xml:space="preserve">Metro agrees with </w:t>
      </w:r>
      <w:r w:rsidR="00AE68F6">
        <w:t>San Francisco</w:t>
      </w:r>
      <w:r>
        <w:t xml:space="preserve"> </w:t>
      </w:r>
      <w:r w:rsidR="00305D67">
        <w:t xml:space="preserve">but </w:t>
      </w:r>
      <w:r>
        <w:t>suggests that</w:t>
      </w:r>
      <w:r w:rsidR="00142417">
        <w:t xml:space="preserve"> the </w:t>
      </w:r>
      <w:r w:rsidR="00CA6424">
        <w:t>Access Fund Administrator (</w:t>
      </w:r>
      <w:r w:rsidR="00142417">
        <w:t>AFA</w:t>
      </w:r>
      <w:r w:rsidR="00CA6424">
        <w:t>)</w:t>
      </w:r>
      <w:r w:rsidR="00E41603">
        <w:t xml:space="preserve"> </w:t>
      </w:r>
      <w:r>
        <w:t>should</w:t>
      </w:r>
      <w:r w:rsidR="00E41603">
        <w:t xml:space="preserve"> </w:t>
      </w:r>
      <w:r w:rsidR="00142417">
        <w:t>consider</w:t>
      </w:r>
      <w:r w:rsidR="00E41603">
        <w:t xml:space="preserve"> the needs of the local community</w:t>
      </w:r>
      <w:r w:rsidR="00305D67">
        <w:t>.</w:t>
      </w:r>
      <w:r w:rsidR="00305D67">
        <w:rPr>
          <w:rStyle w:val="FootnoteReference"/>
        </w:rPr>
        <w:footnoteReference w:id="44"/>
      </w:r>
      <w:r w:rsidR="00305D67">
        <w:t xml:space="preserve">  </w:t>
      </w:r>
    </w:p>
    <w:p w:rsidR="00CA40A9" w:rsidP="00BA2758" w:rsidRDefault="00BA2758" w14:paraId="4BC19E92" w14:textId="6FC1D729">
      <w:pPr>
        <w:pStyle w:val="ALJBodyText"/>
      </w:pPr>
      <w:r>
        <w:t>CPED</w:t>
      </w:r>
      <w:r w:rsidR="00EE6A8F">
        <w:t>’s</w:t>
      </w:r>
      <w:r>
        <w:t xml:space="preserve"> propose</w:t>
      </w:r>
      <w:r w:rsidR="00EE6A8F">
        <w:t>d</w:t>
      </w:r>
      <w:r>
        <w:t xml:space="preserve"> definition </w:t>
      </w:r>
      <w:r w:rsidR="00EE6A8F">
        <w:t>is</w:t>
      </w:r>
      <w:r>
        <w:t xml:space="preserve"> “WAV transportation that can be requested and fulfilled within 24 hours” to distinguish from service that requires a minimum </w:t>
      </w:r>
      <w:r w:rsidR="00D46B1E">
        <w:t>24-hour</w:t>
      </w:r>
      <w:r>
        <w:t xml:space="preserve"> notice.</w:t>
      </w:r>
      <w:r>
        <w:rPr>
          <w:rStyle w:val="FootnoteReference"/>
        </w:rPr>
        <w:footnoteReference w:id="45"/>
      </w:r>
      <w:r>
        <w:t xml:space="preserve">  Lyft disagrees with this definition, stating that WAV service that takes up to 24 hours cannot be “on-demand” service.</w:t>
      </w:r>
      <w:r>
        <w:rPr>
          <w:rStyle w:val="FootnoteReference"/>
        </w:rPr>
        <w:footnoteReference w:id="46"/>
      </w:r>
      <w:r>
        <w:t xml:space="preserve">  </w:t>
      </w:r>
    </w:p>
    <w:p w:rsidRPr="001A6402" w:rsidR="00244117" w:rsidP="001A6402" w:rsidRDefault="001326A3" w14:paraId="34F42C0E" w14:textId="3333F181">
      <w:pPr>
        <w:pStyle w:val="ALJBodyText"/>
        <w:rPr>
          <w:rFonts w:cs="BookAntiqua"/>
          <w:szCs w:val="26"/>
        </w:rPr>
      </w:pPr>
      <w:r>
        <w:t>On the other hand,</w:t>
      </w:r>
      <w:r w:rsidR="00825207">
        <w:t xml:space="preserve"> Uber </w:t>
      </w:r>
      <w:r>
        <w:t>argues</w:t>
      </w:r>
      <w:r w:rsidR="00825207">
        <w:t xml:space="preserve"> that </w:t>
      </w:r>
      <w:r w:rsidR="00305D67">
        <w:t xml:space="preserve">true on-demand transportation </w:t>
      </w:r>
      <w:r w:rsidR="00825207">
        <w:t>can</w:t>
      </w:r>
      <w:r w:rsidR="00305D67">
        <w:t xml:space="preserve"> only </w:t>
      </w:r>
      <w:r w:rsidR="00825207">
        <w:t xml:space="preserve">be </w:t>
      </w:r>
      <w:r w:rsidR="00305D67">
        <w:t xml:space="preserve">offered by TNCs and that an </w:t>
      </w:r>
      <w:r w:rsidR="001B00FA">
        <w:t>A</w:t>
      </w:r>
      <w:r w:rsidR="00305D67">
        <w:t xml:space="preserve">ccess </w:t>
      </w:r>
      <w:r w:rsidR="001B00FA">
        <w:t>P</w:t>
      </w:r>
      <w:r w:rsidR="00305D67">
        <w:t xml:space="preserve">rovider </w:t>
      </w:r>
      <w:r w:rsidR="00825207">
        <w:t>should</w:t>
      </w:r>
      <w:r w:rsidR="00305D67">
        <w:t xml:space="preserve"> </w:t>
      </w:r>
      <w:r w:rsidR="005A0160">
        <w:t>obtain</w:t>
      </w:r>
      <w:r w:rsidR="00305D67">
        <w:t xml:space="preserve"> a TNC permit.</w:t>
      </w:r>
      <w:r w:rsidR="00305D67">
        <w:rPr>
          <w:rStyle w:val="FootnoteReference"/>
        </w:rPr>
        <w:footnoteReference w:id="47"/>
      </w:r>
      <w:r w:rsidR="00305D67">
        <w:t xml:space="preserve">  </w:t>
      </w:r>
      <w:r w:rsidR="00AE68F6">
        <w:t>San Francisco</w:t>
      </w:r>
      <w:r w:rsidR="00244117">
        <w:t xml:space="preserve"> </w:t>
      </w:r>
      <w:r>
        <w:t>disagrees with</w:t>
      </w:r>
      <w:r w:rsidR="00244117">
        <w:t xml:space="preserve"> Uber</w:t>
      </w:r>
      <w:r>
        <w:t xml:space="preserve"> </w:t>
      </w:r>
      <w:r w:rsidR="00853065">
        <w:t xml:space="preserve">and </w:t>
      </w:r>
      <w:r w:rsidR="00AE68F6">
        <w:t>states that</w:t>
      </w:r>
      <w:r w:rsidR="001A6402">
        <w:t xml:space="preserve"> </w:t>
      </w:r>
      <w:r w:rsidR="00244117">
        <w:t xml:space="preserve">other </w:t>
      </w:r>
      <w:r>
        <w:t xml:space="preserve">shared </w:t>
      </w:r>
      <w:r w:rsidR="00244117">
        <w:t xml:space="preserve">transportation modes, </w:t>
      </w:r>
      <w:r>
        <w:t>such as</w:t>
      </w:r>
      <w:r w:rsidR="00244117">
        <w:t xml:space="preserve"> </w:t>
      </w:r>
      <w:r>
        <w:t>paratransit</w:t>
      </w:r>
      <w:r w:rsidR="00D90007">
        <w:t xml:space="preserve"> and</w:t>
      </w:r>
      <w:r w:rsidR="00244117">
        <w:t xml:space="preserve"> taxis, are referred to as providing “on</w:t>
      </w:r>
      <w:r w:rsidR="005A0160">
        <w:t>-</w:t>
      </w:r>
      <w:r w:rsidR="00244117">
        <w:t>demand” service.</w:t>
      </w:r>
      <w:r w:rsidR="00244117">
        <w:rPr>
          <w:rStyle w:val="FootnoteReference"/>
        </w:rPr>
        <w:footnoteReference w:id="48"/>
      </w:r>
      <w:r w:rsidR="00244117">
        <w:t xml:space="preserve">  SFTWA </w:t>
      </w:r>
      <w:r w:rsidR="005A0160">
        <w:t>objects to</w:t>
      </w:r>
      <w:r w:rsidR="00244117">
        <w:t xml:space="preserve"> Uber’s definition</w:t>
      </w:r>
      <w:r w:rsidR="005A0160">
        <w:t xml:space="preserve"> and notes</w:t>
      </w:r>
      <w:r w:rsidR="00244117">
        <w:t xml:space="preserve"> that taxicab</w:t>
      </w:r>
      <w:r w:rsidR="00297D3C">
        <w:t>s</w:t>
      </w:r>
      <w:r w:rsidR="00244117">
        <w:t xml:space="preserve"> </w:t>
      </w:r>
      <w:r w:rsidR="007A53F8">
        <w:t>offer</w:t>
      </w:r>
      <w:r w:rsidR="00244117">
        <w:t xml:space="preserve"> app service</w:t>
      </w:r>
      <w:r w:rsidR="00AE68F6">
        <w:t>s</w:t>
      </w:r>
      <w:r w:rsidR="00244117">
        <w:t xml:space="preserve"> similar to TNCs.</w:t>
      </w:r>
      <w:r w:rsidR="00853065">
        <w:rPr>
          <w:rStyle w:val="FootnoteReference"/>
        </w:rPr>
        <w:footnoteReference w:id="49"/>
      </w:r>
      <w:r w:rsidRPr="00AE68F6" w:rsidR="00AE68F6">
        <w:t xml:space="preserve"> </w:t>
      </w:r>
      <w:r w:rsidR="007A53F8">
        <w:t xml:space="preserve"> </w:t>
      </w:r>
      <w:r w:rsidR="00AE68F6">
        <w:t xml:space="preserve">Lyft </w:t>
      </w:r>
      <w:r w:rsidR="00BA2758">
        <w:t>claims</w:t>
      </w:r>
      <w:r w:rsidR="00AE68F6">
        <w:t xml:space="preserve"> that on-demand transportation is “commonly understood to refer to transportation that an individual can summon as and when needed and which will be promptly dispatched in response to a specific request, and routed to the requestor’s location.”</w:t>
      </w:r>
      <w:r w:rsidR="00AE68F6">
        <w:rPr>
          <w:rStyle w:val="FootnoteReference"/>
        </w:rPr>
        <w:footnoteReference w:id="50"/>
      </w:r>
      <w:r w:rsidR="00AE68F6">
        <w:t xml:space="preserve">  </w:t>
      </w:r>
    </w:p>
    <w:p w:rsidR="005A0160" w:rsidP="00224875" w:rsidRDefault="005A0160" w14:paraId="27DE4654" w14:textId="56BFBE55">
      <w:pPr>
        <w:pStyle w:val="Heading3"/>
        <w:keepLines/>
        <w:numPr>
          <w:ilvl w:val="2"/>
          <w:numId w:val="1"/>
        </w:numPr>
        <w:tabs>
          <w:tab w:val="clear" w:pos="1620"/>
          <w:tab w:val="num" w:pos="1656"/>
        </w:tabs>
        <w:spacing w:before="0"/>
        <w:ind w:left="1656" w:right="2160" w:hanging="936"/>
      </w:pPr>
      <w:bookmarkStart w:name="_Toc65585464" w:id="30"/>
      <w:r>
        <w:lastRenderedPageBreak/>
        <w:t>Discussion</w:t>
      </w:r>
      <w:bookmarkEnd w:id="30"/>
    </w:p>
    <w:p w:rsidR="006F63DC" w:rsidP="006F63DC" w:rsidRDefault="006F63DC" w14:paraId="1CF5CF2E" w14:textId="77777777">
      <w:pPr>
        <w:pStyle w:val="ALJBodyText"/>
      </w:pPr>
      <w:r>
        <w:t>The</w:t>
      </w:r>
      <w:r w:rsidR="005A0160">
        <w:t xml:space="preserve"> Commission </w:t>
      </w:r>
      <w:r>
        <w:t xml:space="preserve">first </w:t>
      </w:r>
      <w:r w:rsidR="00A16841">
        <w:t>observes</w:t>
      </w:r>
      <w:r w:rsidR="00297D3C">
        <w:t xml:space="preserve"> that no </w:t>
      </w:r>
      <w:r w:rsidR="00A16841">
        <w:t>party</w:t>
      </w:r>
      <w:r w:rsidR="00297D3C">
        <w:t xml:space="preserve"> </w:t>
      </w:r>
      <w:r w:rsidR="00853065">
        <w:t xml:space="preserve">offered a citation </w:t>
      </w:r>
      <w:r>
        <w:t xml:space="preserve">or source for </w:t>
      </w:r>
      <w:r w:rsidR="00297D3C">
        <w:t>a generally accepted definition for “on</w:t>
      </w:r>
      <w:r w:rsidR="005A0160">
        <w:t>-</w:t>
      </w:r>
      <w:r w:rsidR="00297D3C">
        <w:t xml:space="preserve">demand transportation,” </w:t>
      </w:r>
      <w:r w:rsidR="00A16841">
        <w:t>suggesting</w:t>
      </w:r>
      <w:r w:rsidR="00297D3C">
        <w:t xml:space="preserve"> that there is no commonly </w:t>
      </w:r>
      <w:r w:rsidR="00A16841">
        <w:t>accepted</w:t>
      </w:r>
      <w:r w:rsidR="00297D3C">
        <w:t xml:space="preserve"> definition.  </w:t>
      </w:r>
    </w:p>
    <w:p w:rsidR="00E12EF4" w:rsidP="006F63DC" w:rsidRDefault="006F63DC" w14:paraId="386EA403" w14:textId="175945F7">
      <w:pPr>
        <w:pStyle w:val="ALJBodyText"/>
      </w:pPr>
      <w:r>
        <w:t xml:space="preserve">The intent of </w:t>
      </w:r>
      <w:r w:rsidR="00ED4496">
        <w:t>SB 1376</w:t>
      </w:r>
      <w:r w:rsidR="00A16841">
        <w:t xml:space="preserve"> </w:t>
      </w:r>
      <w:r w:rsidR="00ED4496">
        <w:t xml:space="preserve">is to encourage the adoption of WAV </w:t>
      </w:r>
      <w:r w:rsidR="002B680C">
        <w:t>services throughout the State</w:t>
      </w:r>
      <w:r w:rsidR="005A0160">
        <w:t>.</w:t>
      </w:r>
      <w:r w:rsidR="005A0160">
        <w:rPr>
          <w:rStyle w:val="FootnoteReference"/>
        </w:rPr>
        <w:footnoteReference w:id="51"/>
      </w:r>
      <w:r w:rsidR="00ED4496">
        <w:t xml:space="preserve"> </w:t>
      </w:r>
      <w:r w:rsidR="009731F7">
        <w:t xml:space="preserve"> </w:t>
      </w:r>
      <w:r w:rsidR="002B680C">
        <w:t xml:space="preserve">We </w:t>
      </w:r>
      <w:r>
        <w:t>agree</w:t>
      </w:r>
      <w:r w:rsidR="009731F7">
        <w:t xml:space="preserve"> </w:t>
      </w:r>
      <w:r w:rsidR="00297D3C">
        <w:t xml:space="preserve">that </w:t>
      </w:r>
      <w:r w:rsidR="002B680C">
        <w:t>WAV transportation options</w:t>
      </w:r>
      <w:r w:rsidR="00E12EF4">
        <w:t xml:space="preserve"> may look different in </w:t>
      </w:r>
      <w:r w:rsidR="002B680C">
        <w:t>certain</w:t>
      </w:r>
      <w:r w:rsidR="00E12EF4">
        <w:t xml:space="preserve"> counties</w:t>
      </w:r>
      <w:r w:rsidR="002B680C">
        <w:t>, particularly</w:t>
      </w:r>
      <w:r w:rsidR="00E12EF4">
        <w:t xml:space="preserve"> </w:t>
      </w:r>
      <w:r w:rsidR="002B680C">
        <w:t>those areas that have no or</w:t>
      </w:r>
      <w:r w:rsidR="00ED4496">
        <w:t xml:space="preserve"> limited </w:t>
      </w:r>
      <w:r>
        <w:t xml:space="preserve">existing </w:t>
      </w:r>
      <w:r w:rsidR="00ED4496">
        <w:t>WAV service</w:t>
      </w:r>
      <w:r w:rsidR="009731F7">
        <w:t xml:space="preserve">.  </w:t>
      </w:r>
      <w:r>
        <w:t xml:space="preserve">Further, as this is the implementation of California’s first statewide </w:t>
      </w:r>
      <w:r w:rsidR="002B680C">
        <w:t xml:space="preserve">WAV </w:t>
      </w:r>
      <w:r w:rsidR="00A72CB9">
        <w:t>A</w:t>
      </w:r>
      <w:r w:rsidR="002B680C">
        <w:t xml:space="preserve">ccess </w:t>
      </w:r>
      <w:r w:rsidR="00A72CB9">
        <w:t>P</w:t>
      </w:r>
      <w:r w:rsidR="002B680C">
        <w:t xml:space="preserve">rovider program, </w:t>
      </w:r>
      <w:r>
        <w:t>the Commission</w:t>
      </w:r>
      <w:r w:rsidR="00665ADC">
        <w:t xml:space="preserve"> </w:t>
      </w:r>
      <w:r>
        <w:t>finds it reasonable</w:t>
      </w:r>
      <w:r w:rsidR="00665ADC">
        <w:t xml:space="preserve"> and</w:t>
      </w:r>
      <w:r w:rsidR="00CB5996">
        <w:t xml:space="preserve"> </w:t>
      </w:r>
      <w:r w:rsidR="00665ADC">
        <w:t>prudent</w:t>
      </w:r>
      <w:r w:rsidR="00CB5996">
        <w:t xml:space="preserve"> to adopt a broad, flexible definition of “on-demand transportation.”  </w:t>
      </w:r>
    </w:p>
    <w:p w:rsidR="00E12EF4" w:rsidP="00D96205" w:rsidRDefault="00E12EF4" w14:paraId="43EF08BC" w14:textId="412992B4">
      <w:pPr>
        <w:pStyle w:val="ALJBodyText"/>
        <w:ind w:right="-270"/>
      </w:pPr>
      <w:r>
        <w:t xml:space="preserve">We reject Uber’s proposal that on-demand </w:t>
      </w:r>
      <w:r w:rsidR="009731F7">
        <w:t xml:space="preserve">transportation can </w:t>
      </w:r>
      <w:r>
        <w:t>only refer to TNCs</w:t>
      </w:r>
      <w:r w:rsidR="009731F7">
        <w:t>.  A</w:t>
      </w:r>
      <w:r>
        <w:t xml:space="preserve">s stated in D.20-03-007, “[h]ad the Legislature intended for all access providers to be TNCs, there would no need for separate definitions” of on-demand </w:t>
      </w:r>
      <w:r w:rsidR="00A72CB9">
        <w:t>Access Provider</w:t>
      </w:r>
      <w:r>
        <w:t>s and TNCs.</w:t>
      </w:r>
      <w:r>
        <w:rPr>
          <w:rStyle w:val="FootnoteReference"/>
        </w:rPr>
        <w:footnoteReference w:id="52"/>
      </w:r>
      <w:r>
        <w:t xml:space="preserve">  </w:t>
      </w:r>
      <w:r w:rsidR="00DA485E">
        <w:t>We</w:t>
      </w:r>
      <w:r w:rsidR="00AB4DFA">
        <w:t xml:space="preserve"> also</w:t>
      </w:r>
      <w:r w:rsidR="00DA485E">
        <w:t xml:space="preserve"> </w:t>
      </w:r>
      <w:r w:rsidR="0092423D">
        <w:t>reject</w:t>
      </w:r>
      <w:r w:rsidR="009731F7">
        <w:t xml:space="preserve"> </w:t>
      </w:r>
      <w:r>
        <w:t xml:space="preserve">Lyft’s definition </w:t>
      </w:r>
      <w:r w:rsidR="009731F7">
        <w:t xml:space="preserve">that </w:t>
      </w:r>
      <w:r w:rsidR="003D60CF">
        <w:t xml:space="preserve">services </w:t>
      </w:r>
      <w:r w:rsidR="009731F7">
        <w:t>can</w:t>
      </w:r>
      <w:r>
        <w:t xml:space="preserve"> be </w:t>
      </w:r>
      <w:r w:rsidR="003D60CF">
        <w:t>“summon[ed] as and when needed” and “</w:t>
      </w:r>
      <w:r>
        <w:t xml:space="preserve">promptly dispatched” </w:t>
      </w:r>
      <w:r w:rsidR="0092423D">
        <w:t>as</w:t>
      </w:r>
      <w:r>
        <w:t xml:space="preserve"> </w:t>
      </w:r>
      <w:r w:rsidR="009731F7">
        <w:t>ambiguous and lack</w:t>
      </w:r>
      <w:r w:rsidR="0092423D">
        <w:t>ing</w:t>
      </w:r>
      <w:r>
        <w:t xml:space="preserve"> sufficient guidance to </w:t>
      </w:r>
      <w:r w:rsidR="00DA485E">
        <w:t xml:space="preserve">potential </w:t>
      </w:r>
      <w:r w:rsidR="00A72CB9">
        <w:t>A</w:t>
      </w:r>
      <w:r>
        <w:t xml:space="preserve">ccess </w:t>
      </w:r>
      <w:r w:rsidR="00A72CB9">
        <w:t>P</w:t>
      </w:r>
      <w:r>
        <w:t xml:space="preserve">roviders. </w:t>
      </w:r>
    </w:p>
    <w:p w:rsidR="0071441F" w:rsidP="00D96205" w:rsidRDefault="00CB5996" w14:paraId="46115844" w14:textId="2A9A8E9E">
      <w:pPr>
        <w:pStyle w:val="Standard0"/>
      </w:pPr>
      <w:r>
        <w:t xml:space="preserve">The Commission </w:t>
      </w:r>
      <w:r w:rsidR="003D60CF">
        <w:t>concludes that</w:t>
      </w:r>
      <w:r>
        <w:t xml:space="preserve"> S</w:t>
      </w:r>
      <w:r w:rsidR="00C87CC4">
        <w:t xml:space="preserve">an </w:t>
      </w:r>
      <w:r>
        <w:t>F</w:t>
      </w:r>
      <w:r w:rsidR="00C87CC4">
        <w:t>rancisco</w:t>
      </w:r>
      <w:r w:rsidR="00E12EF4">
        <w:t xml:space="preserve"> </w:t>
      </w:r>
      <w:r>
        <w:t xml:space="preserve">and Marin Transit’s </w:t>
      </w:r>
      <w:r w:rsidR="00C87CC4">
        <w:t xml:space="preserve">proposed </w:t>
      </w:r>
      <w:r>
        <w:t xml:space="preserve">definition of </w:t>
      </w:r>
      <w:r w:rsidR="00E12EF4">
        <w:t>“on</w:t>
      </w:r>
      <w:r>
        <w:t>-</w:t>
      </w:r>
      <w:r w:rsidR="00E12EF4">
        <w:t xml:space="preserve">demand transportation” </w:t>
      </w:r>
      <w:r w:rsidR="003D60CF">
        <w:t xml:space="preserve">is </w:t>
      </w:r>
      <w:r w:rsidR="00C87CC4">
        <w:t>reasonable and flexible to encourage development of services in counties with little or no existing WAV service.  Accordingly, “on</w:t>
      </w:r>
      <w:r w:rsidR="00CA6424">
        <w:t>-</w:t>
      </w:r>
      <w:r w:rsidR="00C87CC4">
        <w:t xml:space="preserve">demand transportation” shall be defined </w:t>
      </w:r>
      <w:r w:rsidR="00E12EF4">
        <w:t xml:space="preserve">as any transportation service that does not follow a fixed route and/or schedule. </w:t>
      </w:r>
      <w:r w:rsidR="00F356E6">
        <w:t xml:space="preserve"> </w:t>
      </w:r>
      <w:r w:rsidR="00E3136C">
        <w:t>The</w:t>
      </w:r>
      <w:r w:rsidR="00C87CC4">
        <w:t xml:space="preserve"> Commission</w:t>
      </w:r>
      <w:r w:rsidR="00E3136C">
        <w:t>, however,</w:t>
      </w:r>
      <w:r w:rsidR="00C87CC4">
        <w:t xml:space="preserve"> </w:t>
      </w:r>
      <w:r w:rsidR="00F10A70">
        <w:t xml:space="preserve">also </w:t>
      </w:r>
      <w:r w:rsidR="00C87CC4">
        <w:t>seeks to encourage WAV services</w:t>
      </w:r>
      <w:r w:rsidR="00C47899">
        <w:t xml:space="preserve"> with faster response times</w:t>
      </w:r>
      <w:r w:rsidR="00AB4DFA">
        <w:t xml:space="preserve">.  </w:t>
      </w:r>
      <w:r w:rsidR="00F356E6">
        <w:t>As such,</w:t>
      </w:r>
      <w:r w:rsidR="00E12EF4">
        <w:t xml:space="preserve"> </w:t>
      </w:r>
      <w:r w:rsidR="00C350D0">
        <w:t>an</w:t>
      </w:r>
      <w:r w:rsidR="00C87CC4">
        <w:t xml:space="preserve"> AFA </w:t>
      </w:r>
      <w:r w:rsidR="00E12EF4">
        <w:t xml:space="preserve">should prioritize </w:t>
      </w:r>
      <w:r w:rsidR="00626C0B">
        <w:t>the selection of</w:t>
      </w:r>
      <w:r w:rsidR="0071441F">
        <w:t xml:space="preserve"> </w:t>
      </w:r>
      <w:r w:rsidR="00A72CB9">
        <w:t xml:space="preserve">Access </w:t>
      </w:r>
      <w:r w:rsidR="00A72CB9">
        <w:lastRenderedPageBreak/>
        <w:t>Provider</w:t>
      </w:r>
      <w:r w:rsidR="0071441F">
        <w:t xml:space="preserve"> </w:t>
      </w:r>
      <w:r w:rsidR="00E12EF4">
        <w:t xml:space="preserve">applicants </w:t>
      </w:r>
      <w:r w:rsidR="0071441F">
        <w:t xml:space="preserve">that </w:t>
      </w:r>
      <w:r w:rsidR="00C87CC4">
        <w:t xml:space="preserve">can </w:t>
      </w:r>
      <w:r w:rsidR="0071441F">
        <w:t>offer</w:t>
      </w:r>
      <w:r w:rsidR="00E12EF4">
        <w:t xml:space="preserve"> WAV transportation that can be requested and fulfilled within 24 hours</w:t>
      </w:r>
      <w:r w:rsidR="00EB7438">
        <w:t xml:space="preserve">.  </w:t>
      </w:r>
    </w:p>
    <w:p w:rsidR="00B316A0" w:rsidP="0071441F" w:rsidRDefault="00A50396" w14:paraId="31D8D3F7" w14:textId="0E0301E0">
      <w:pPr>
        <w:pStyle w:val="ALJBodyText"/>
      </w:pPr>
      <w:r>
        <w:t xml:space="preserve">The Commission will </w:t>
      </w:r>
      <w:r w:rsidR="004E01F6">
        <w:t>monitor</w:t>
      </w:r>
      <w:r>
        <w:t xml:space="preserve"> the </w:t>
      </w:r>
      <w:r w:rsidR="0071441F">
        <w:t xml:space="preserve">pool of </w:t>
      </w:r>
      <w:r w:rsidR="00A72CB9">
        <w:t>Access Provider</w:t>
      </w:r>
      <w:r>
        <w:t>s that qualify</w:t>
      </w:r>
      <w:r w:rsidR="00F356E6">
        <w:t xml:space="preserve"> and/or are selected</w:t>
      </w:r>
      <w:r>
        <w:t xml:space="preserve"> under </w:t>
      </w:r>
      <w:r w:rsidR="0071441F">
        <w:t>the adopted</w:t>
      </w:r>
      <w:r>
        <w:t xml:space="preserve"> definition</w:t>
      </w:r>
      <w:r w:rsidR="007C1AED">
        <w:t xml:space="preserve"> and may modify the definition in the future</w:t>
      </w:r>
      <w:r>
        <w:t xml:space="preserve">.  CPED Staff </w:t>
      </w:r>
      <w:r w:rsidR="00626C0B">
        <w:t>is directed to</w:t>
      </w:r>
      <w:r>
        <w:t xml:space="preserve"> </w:t>
      </w:r>
      <w:r w:rsidR="007E1F01">
        <w:t xml:space="preserve">submit a report in </w:t>
      </w:r>
      <w:r>
        <w:t>December 202</w:t>
      </w:r>
      <w:r w:rsidR="007E1F01">
        <w:t>2</w:t>
      </w:r>
      <w:r w:rsidR="000D18DE">
        <w:t xml:space="preserve"> </w:t>
      </w:r>
      <w:r>
        <w:t>evaluati</w:t>
      </w:r>
      <w:r w:rsidR="007E1F01">
        <w:t>ng</w:t>
      </w:r>
      <w:r>
        <w:t xml:space="preserve"> the </w:t>
      </w:r>
      <w:r w:rsidR="00A72CB9">
        <w:t>Access Provider</w:t>
      </w:r>
      <w:r>
        <w:t xml:space="preserve"> applicant pool, including the type of </w:t>
      </w:r>
      <w:r w:rsidR="00A72CB9">
        <w:t>Access Provider</w:t>
      </w:r>
      <w:r w:rsidR="00DF2719">
        <w:t>s</w:t>
      </w:r>
      <w:r>
        <w:t xml:space="preserve"> that </w:t>
      </w:r>
      <w:r w:rsidR="00DF2719">
        <w:t>apply for funding</w:t>
      </w:r>
      <w:r>
        <w:t>, how many applicants applied and</w:t>
      </w:r>
      <w:r w:rsidR="00DF2719">
        <w:t>/or</w:t>
      </w:r>
      <w:r>
        <w:t xml:space="preserve"> were </w:t>
      </w:r>
      <w:r w:rsidR="00DF2719">
        <w:t>approved, and other relevant information</w:t>
      </w:r>
      <w:r>
        <w:t>.</w:t>
      </w:r>
      <w:r w:rsidR="000D18DE">
        <w:t xml:space="preserve"> </w:t>
      </w:r>
      <w:r>
        <w:t xml:space="preserve"> </w:t>
      </w:r>
    </w:p>
    <w:p w:rsidRPr="00807979" w:rsidR="00807979" w:rsidP="00807979" w:rsidRDefault="00807979" w14:paraId="544DA6CC" w14:textId="7D95E703">
      <w:pPr>
        <w:pStyle w:val="ALJBodyText"/>
        <w:rPr>
          <w:rFonts w:cs="BookAntiqua"/>
          <w:szCs w:val="26"/>
        </w:rPr>
      </w:pPr>
      <w:r>
        <w:rPr>
          <w:rFonts w:cs="BookAntiqua"/>
          <w:szCs w:val="26"/>
        </w:rPr>
        <w:t xml:space="preserve">We note that throughout this decision, the term AFA is used to generally refer to both the local AFA (LAFA) and </w:t>
      </w:r>
      <w:r w:rsidR="000C6D29">
        <w:rPr>
          <w:rFonts w:cs="BookAntiqua"/>
          <w:szCs w:val="26"/>
        </w:rPr>
        <w:t xml:space="preserve">a </w:t>
      </w:r>
      <w:r>
        <w:rPr>
          <w:rFonts w:cs="BookAntiqua"/>
          <w:szCs w:val="26"/>
        </w:rPr>
        <w:t xml:space="preserve">statewide AFA (SAFA), as applicable.  To the extent that distinctions between </w:t>
      </w:r>
      <w:r w:rsidR="000C6D29">
        <w:rPr>
          <w:rFonts w:cs="BookAntiqua"/>
          <w:szCs w:val="26"/>
        </w:rPr>
        <w:t xml:space="preserve">a </w:t>
      </w:r>
      <w:r>
        <w:rPr>
          <w:rFonts w:cs="BookAntiqua"/>
          <w:szCs w:val="26"/>
        </w:rPr>
        <w:t>LAFA and SAFA are necessary, th</w:t>
      </w:r>
      <w:r w:rsidR="000C6D29">
        <w:rPr>
          <w:rFonts w:cs="BookAntiqua"/>
          <w:szCs w:val="26"/>
        </w:rPr>
        <w:t>e</w:t>
      </w:r>
      <w:r>
        <w:rPr>
          <w:rFonts w:cs="BookAntiqua"/>
          <w:szCs w:val="26"/>
        </w:rPr>
        <w:t xml:space="preserve"> distinction is </w:t>
      </w:r>
      <w:r w:rsidR="000C6D29">
        <w:rPr>
          <w:rFonts w:cs="BookAntiqua"/>
          <w:szCs w:val="26"/>
        </w:rPr>
        <w:t>noted</w:t>
      </w:r>
      <w:r>
        <w:rPr>
          <w:rFonts w:cs="BookAntiqua"/>
          <w:szCs w:val="26"/>
        </w:rPr>
        <w:t>.</w:t>
      </w:r>
    </w:p>
    <w:p w:rsidR="00B316A0" w:rsidP="00224875" w:rsidRDefault="00B316A0" w14:paraId="516AB16E" w14:textId="77777777">
      <w:pPr>
        <w:pStyle w:val="Heading2"/>
        <w:keepLines/>
        <w:numPr>
          <w:ilvl w:val="1"/>
          <w:numId w:val="1"/>
        </w:numPr>
        <w:tabs>
          <w:tab w:val="num" w:pos="1080"/>
        </w:tabs>
        <w:spacing w:before="0"/>
        <w:ind w:left="1080" w:right="2160" w:hanging="720"/>
      </w:pPr>
      <w:bookmarkStart w:name="_Toc65585465" w:id="31"/>
      <w:r>
        <w:t>Disbursement to Non-Regulated Entities</w:t>
      </w:r>
      <w:bookmarkEnd w:id="31"/>
    </w:p>
    <w:p w:rsidR="00B316A0" w:rsidP="00B316A0" w:rsidRDefault="000C7E45" w14:paraId="0525B28A" w14:textId="0DFAF81D">
      <w:pPr>
        <w:pStyle w:val="ALJBodyText"/>
        <w:rPr>
          <w:rFonts w:cs="BookAntiqua"/>
          <w:szCs w:val="26"/>
        </w:rPr>
      </w:pPr>
      <w:r>
        <w:rPr>
          <w:rFonts w:cs="BookAntiqua"/>
          <w:szCs w:val="26"/>
        </w:rPr>
        <w:t>A</w:t>
      </w:r>
      <w:r w:rsidR="003434E0">
        <w:rPr>
          <w:rFonts w:cs="BookAntiqua"/>
          <w:szCs w:val="26"/>
        </w:rPr>
        <w:t xml:space="preserve"> related</w:t>
      </w:r>
      <w:r w:rsidR="00B316A0">
        <w:rPr>
          <w:rFonts w:cs="BookAntiqua"/>
          <w:szCs w:val="26"/>
        </w:rPr>
        <w:t xml:space="preserve"> </w:t>
      </w:r>
      <w:r>
        <w:rPr>
          <w:rFonts w:cs="BookAntiqua"/>
          <w:szCs w:val="26"/>
        </w:rPr>
        <w:t>issue</w:t>
      </w:r>
      <w:r w:rsidR="00B316A0">
        <w:rPr>
          <w:rFonts w:cs="BookAntiqua"/>
          <w:szCs w:val="26"/>
        </w:rPr>
        <w:t xml:space="preserve"> </w:t>
      </w:r>
      <w:r w:rsidR="003434E0">
        <w:rPr>
          <w:rFonts w:cs="BookAntiqua"/>
          <w:szCs w:val="26"/>
        </w:rPr>
        <w:t>to the definition of “on</w:t>
      </w:r>
      <w:r w:rsidR="001B4D6D">
        <w:rPr>
          <w:rFonts w:cs="BookAntiqua"/>
          <w:szCs w:val="26"/>
        </w:rPr>
        <w:t>-</w:t>
      </w:r>
      <w:r w:rsidR="003434E0">
        <w:rPr>
          <w:rFonts w:cs="BookAntiqua"/>
          <w:szCs w:val="26"/>
        </w:rPr>
        <w:t xml:space="preserve">demand transportation” </w:t>
      </w:r>
      <w:r w:rsidR="00B316A0">
        <w:rPr>
          <w:rFonts w:cs="BookAntiqua"/>
          <w:szCs w:val="26"/>
        </w:rPr>
        <w:t xml:space="preserve">is whether </w:t>
      </w:r>
      <w:r w:rsidR="001B4D6D">
        <w:rPr>
          <w:rFonts w:cs="BookAntiqua"/>
          <w:szCs w:val="26"/>
        </w:rPr>
        <w:t>Access Fund moneys should be granted</w:t>
      </w:r>
      <w:r w:rsidRPr="009523B0" w:rsidR="00B316A0">
        <w:rPr>
          <w:rFonts w:cs="BookAntiqua"/>
          <w:szCs w:val="26"/>
        </w:rPr>
        <w:t xml:space="preserve"> to transportation carriers that </w:t>
      </w:r>
      <w:r w:rsidR="001B4D6D">
        <w:rPr>
          <w:rFonts w:cs="BookAntiqua"/>
          <w:szCs w:val="26"/>
        </w:rPr>
        <w:t>the Commission</w:t>
      </w:r>
      <w:r w:rsidRPr="009523B0" w:rsidR="00B316A0">
        <w:rPr>
          <w:rFonts w:cs="BookAntiqua"/>
          <w:szCs w:val="26"/>
        </w:rPr>
        <w:t xml:space="preserve"> does not regulate (</w:t>
      </w:r>
      <w:r w:rsidRPr="009523B0" w:rsidR="00B316A0">
        <w:rPr>
          <w:rFonts w:cs="BookAntiqua-Italic"/>
          <w:i/>
          <w:iCs/>
          <w:szCs w:val="26"/>
        </w:rPr>
        <w:t>e.g.</w:t>
      </w:r>
      <w:r w:rsidRPr="009523B0" w:rsidR="00B316A0">
        <w:rPr>
          <w:rFonts w:cs="BookAntiqua"/>
          <w:szCs w:val="26"/>
        </w:rPr>
        <w:t>, taxicab companies or entities that exclusively provide non-emergency medical transportation)</w:t>
      </w:r>
      <w:r w:rsidR="00B316A0">
        <w:rPr>
          <w:rFonts w:cs="BookAntiqua"/>
          <w:szCs w:val="26"/>
        </w:rPr>
        <w:t>.</w:t>
      </w:r>
    </w:p>
    <w:p w:rsidR="00DC6B28" w:rsidP="00DC6B28" w:rsidRDefault="00DC6B28" w14:paraId="7D7A7179" w14:textId="14447308">
      <w:pPr>
        <w:pStyle w:val="ALJBodyText"/>
        <w:rPr>
          <w:rFonts w:cs="BookAntiqua"/>
          <w:szCs w:val="26"/>
        </w:rPr>
      </w:pPr>
      <w:r>
        <w:rPr>
          <w:rFonts w:cs="BookAntiqua"/>
          <w:szCs w:val="26"/>
        </w:rPr>
        <w:t xml:space="preserve">Uber and Lyft </w:t>
      </w:r>
      <w:r w:rsidR="00152A43">
        <w:rPr>
          <w:rFonts w:cs="BookAntiqua"/>
          <w:szCs w:val="26"/>
        </w:rPr>
        <w:t>assert</w:t>
      </w:r>
      <w:r>
        <w:rPr>
          <w:rFonts w:cs="BookAntiqua"/>
          <w:szCs w:val="26"/>
        </w:rPr>
        <w:t xml:space="preserve"> that funding should not be granted to carriers the Commission does not regulate.  Lyft </w:t>
      </w:r>
      <w:r w:rsidR="00152A43">
        <w:rPr>
          <w:rFonts w:cs="BookAntiqua"/>
          <w:szCs w:val="26"/>
        </w:rPr>
        <w:t>states</w:t>
      </w:r>
      <w:r>
        <w:rPr>
          <w:rFonts w:cs="BookAntiqua"/>
          <w:szCs w:val="26"/>
        </w:rPr>
        <w:t xml:space="preserve"> that the Commission </w:t>
      </w:r>
      <w:r w:rsidR="00F63F35">
        <w:rPr>
          <w:rFonts w:cs="BookAntiqua"/>
          <w:szCs w:val="26"/>
        </w:rPr>
        <w:t>would lack</w:t>
      </w:r>
      <w:r>
        <w:rPr>
          <w:rFonts w:cs="BookAntiqua"/>
          <w:szCs w:val="26"/>
        </w:rPr>
        <w:t xml:space="preserve"> the ability to </w:t>
      </w:r>
      <w:r w:rsidR="00411260">
        <w:rPr>
          <w:rFonts w:cs="BookAntiqua"/>
          <w:szCs w:val="26"/>
        </w:rPr>
        <w:t xml:space="preserve">ensure funds are spent to increase </w:t>
      </w:r>
      <w:r>
        <w:rPr>
          <w:rFonts w:cs="BookAntiqua"/>
          <w:szCs w:val="26"/>
        </w:rPr>
        <w:t xml:space="preserve">access to WAVs </w:t>
      </w:r>
      <w:r w:rsidR="00411260">
        <w:rPr>
          <w:rFonts w:cs="BookAntiqua"/>
          <w:szCs w:val="26"/>
        </w:rPr>
        <w:t>or</w:t>
      </w:r>
      <w:r>
        <w:rPr>
          <w:rFonts w:cs="BookAntiqua"/>
          <w:szCs w:val="26"/>
        </w:rPr>
        <w:t xml:space="preserve"> ensure </w:t>
      </w:r>
      <w:r w:rsidR="00A72CB9">
        <w:rPr>
          <w:rFonts w:cs="BookAntiqua"/>
          <w:szCs w:val="26"/>
        </w:rPr>
        <w:t>Access Provider</w:t>
      </w:r>
      <w:r w:rsidR="00411260">
        <w:rPr>
          <w:rFonts w:cs="BookAntiqua"/>
          <w:szCs w:val="26"/>
        </w:rPr>
        <w:t xml:space="preserve">s comply </w:t>
      </w:r>
      <w:r>
        <w:rPr>
          <w:rFonts w:cs="BookAntiqua"/>
          <w:szCs w:val="26"/>
        </w:rPr>
        <w:t>with training, inspection, data reporting, etc.</w:t>
      </w:r>
      <w:r w:rsidR="001B4D6D">
        <w:rPr>
          <w:rStyle w:val="FootnoteReference"/>
          <w:rFonts w:cs="BookAntiqua"/>
          <w:szCs w:val="26"/>
        </w:rPr>
        <w:footnoteReference w:id="53"/>
      </w:r>
      <w:r>
        <w:rPr>
          <w:rFonts w:cs="BookAntiqua"/>
          <w:szCs w:val="26"/>
        </w:rPr>
        <w:t xml:space="preserve">  Lyft states that an entity that seeks funds should be required to apply for a </w:t>
      </w:r>
      <w:r w:rsidR="007B0710">
        <w:rPr>
          <w:rFonts w:cs="BookAntiqua"/>
          <w:szCs w:val="26"/>
        </w:rPr>
        <w:t>charter-party carrier (</w:t>
      </w:r>
      <w:r>
        <w:rPr>
          <w:rFonts w:cs="BookAntiqua"/>
          <w:szCs w:val="26"/>
        </w:rPr>
        <w:t>TCP</w:t>
      </w:r>
      <w:r w:rsidR="007B0710">
        <w:rPr>
          <w:rFonts w:cs="BookAntiqua"/>
          <w:szCs w:val="26"/>
        </w:rPr>
        <w:t>)</w:t>
      </w:r>
      <w:r>
        <w:rPr>
          <w:rFonts w:cs="BookAntiqua"/>
          <w:szCs w:val="26"/>
        </w:rPr>
        <w:t xml:space="preserve"> license, as TNCs are required to do.  Uber </w:t>
      </w:r>
      <w:r w:rsidR="00600077">
        <w:rPr>
          <w:rFonts w:cs="BookAntiqua"/>
          <w:szCs w:val="26"/>
        </w:rPr>
        <w:t>argues</w:t>
      </w:r>
      <w:r>
        <w:rPr>
          <w:rFonts w:cs="BookAntiqua"/>
          <w:szCs w:val="26"/>
        </w:rPr>
        <w:t xml:space="preserve"> that allowing </w:t>
      </w:r>
      <w:r>
        <w:rPr>
          <w:rFonts w:cs="BookAntiqua"/>
          <w:szCs w:val="26"/>
        </w:rPr>
        <w:lastRenderedPageBreak/>
        <w:t>non</w:t>
      </w:r>
      <w:r w:rsidR="00651B38">
        <w:rPr>
          <w:rFonts w:cs="BookAntiqua"/>
          <w:szCs w:val="26"/>
        </w:rPr>
        <w:noBreakHyphen/>
      </w:r>
      <w:r>
        <w:rPr>
          <w:rFonts w:cs="BookAntiqua"/>
          <w:szCs w:val="26"/>
        </w:rPr>
        <w:t xml:space="preserve">regulated entities to qualify for funds would allow non-regulated carriers to be subsidized at the expense of TNC riders, </w:t>
      </w:r>
      <w:r w:rsidR="00CA6424">
        <w:rPr>
          <w:rFonts w:cs="BookAntiqua"/>
          <w:szCs w:val="26"/>
        </w:rPr>
        <w:t>including TNC WAV riders</w:t>
      </w:r>
      <w:r>
        <w:rPr>
          <w:rFonts w:cs="BookAntiqua"/>
          <w:szCs w:val="26"/>
        </w:rPr>
        <w:t>.</w:t>
      </w:r>
      <w:r>
        <w:rPr>
          <w:rStyle w:val="FootnoteReference"/>
          <w:rFonts w:cs="BookAntiqua"/>
          <w:szCs w:val="26"/>
        </w:rPr>
        <w:footnoteReference w:id="54"/>
      </w:r>
      <w:r>
        <w:rPr>
          <w:rFonts w:cs="BookAntiqua"/>
          <w:szCs w:val="26"/>
        </w:rPr>
        <w:t xml:space="preserve">  </w:t>
      </w:r>
    </w:p>
    <w:p w:rsidR="00165E17" w:rsidP="00165E17" w:rsidRDefault="005239E5" w14:paraId="56F38B40" w14:textId="14C66C9D">
      <w:pPr>
        <w:pStyle w:val="ALJBodyText"/>
        <w:rPr>
          <w:rFonts w:cs="BookAntiqua"/>
          <w:szCs w:val="26"/>
        </w:rPr>
      </w:pPr>
      <w:r>
        <w:rPr>
          <w:rFonts w:cs="BookAntiqua"/>
          <w:szCs w:val="26"/>
        </w:rPr>
        <w:t xml:space="preserve">CPED </w:t>
      </w:r>
      <w:r w:rsidR="00093242">
        <w:rPr>
          <w:rFonts w:cs="BookAntiqua"/>
          <w:szCs w:val="26"/>
        </w:rPr>
        <w:t>observes</w:t>
      </w:r>
      <w:r>
        <w:rPr>
          <w:rFonts w:cs="BookAntiqua"/>
          <w:szCs w:val="26"/>
        </w:rPr>
        <w:t xml:space="preserve"> that</w:t>
      </w:r>
      <w:r w:rsidR="001B4D6D">
        <w:rPr>
          <w:rFonts w:cs="BookAntiqua"/>
          <w:szCs w:val="26"/>
        </w:rPr>
        <w:t xml:space="preserve"> for</w:t>
      </w:r>
      <w:r>
        <w:rPr>
          <w:rFonts w:cs="BookAntiqua"/>
          <w:szCs w:val="26"/>
        </w:rPr>
        <w:t xml:space="preserve"> other WAV subsidy programs funded by TNC trips, such as in Seattle, Portland, and Chicago, the local government process</w:t>
      </w:r>
      <w:r w:rsidR="001B4D6D">
        <w:rPr>
          <w:rFonts w:cs="BookAntiqua"/>
          <w:szCs w:val="26"/>
        </w:rPr>
        <w:t>es</w:t>
      </w:r>
      <w:r>
        <w:rPr>
          <w:rFonts w:cs="BookAntiqua"/>
          <w:szCs w:val="26"/>
        </w:rPr>
        <w:t xml:space="preserve"> </w:t>
      </w:r>
      <w:r w:rsidR="00093242">
        <w:rPr>
          <w:rFonts w:cs="BookAntiqua"/>
          <w:szCs w:val="26"/>
        </w:rPr>
        <w:t>claims</w:t>
      </w:r>
      <w:r>
        <w:rPr>
          <w:rFonts w:cs="BookAntiqua"/>
          <w:szCs w:val="26"/>
        </w:rPr>
        <w:t xml:space="preserve"> from </w:t>
      </w:r>
      <w:r w:rsidR="001B4D6D">
        <w:rPr>
          <w:rFonts w:cs="BookAntiqua"/>
          <w:szCs w:val="26"/>
        </w:rPr>
        <w:t>its</w:t>
      </w:r>
      <w:r>
        <w:rPr>
          <w:rFonts w:cs="BookAntiqua"/>
          <w:szCs w:val="26"/>
        </w:rPr>
        <w:t xml:space="preserve"> regulated carriers, </w:t>
      </w:r>
      <w:r w:rsidR="00165E17">
        <w:rPr>
          <w:rFonts w:cs="BookAntiqua"/>
          <w:szCs w:val="26"/>
        </w:rPr>
        <w:t>including</w:t>
      </w:r>
      <w:r>
        <w:rPr>
          <w:rFonts w:cs="BookAntiqua"/>
          <w:szCs w:val="26"/>
        </w:rPr>
        <w:t xml:space="preserve"> taxicabs and for-hire vehicles.  </w:t>
      </w:r>
      <w:r w:rsidR="00B316A0">
        <w:rPr>
          <w:rFonts w:cs="BookAntiqua"/>
          <w:szCs w:val="26"/>
        </w:rPr>
        <w:t xml:space="preserve">CPED </w:t>
      </w:r>
      <w:r w:rsidR="001B4D6D">
        <w:rPr>
          <w:rFonts w:cs="BookAntiqua"/>
          <w:szCs w:val="26"/>
        </w:rPr>
        <w:t>proposes</w:t>
      </w:r>
      <w:r w:rsidR="00B316A0">
        <w:rPr>
          <w:rFonts w:cs="BookAntiqua"/>
          <w:szCs w:val="26"/>
        </w:rPr>
        <w:t xml:space="preserve"> that </w:t>
      </w:r>
      <w:r w:rsidR="001B4D6D">
        <w:rPr>
          <w:rFonts w:cs="BookAntiqua"/>
          <w:szCs w:val="26"/>
        </w:rPr>
        <w:t xml:space="preserve">for counties </w:t>
      </w:r>
      <w:r w:rsidR="00B316A0">
        <w:rPr>
          <w:rFonts w:cs="BookAntiqua"/>
          <w:szCs w:val="26"/>
        </w:rPr>
        <w:t>administered by the SAFA</w:t>
      </w:r>
      <w:r w:rsidR="001B4D6D">
        <w:rPr>
          <w:rFonts w:cs="BookAntiqua"/>
          <w:szCs w:val="26"/>
        </w:rPr>
        <w:t>, funding should</w:t>
      </w:r>
      <w:r w:rsidR="00B316A0">
        <w:rPr>
          <w:rFonts w:cs="BookAntiqua"/>
          <w:szCs w:val="26"/>
        </w:rPr>
        <w:t xml:space="preserve"> be limited to </w:t>
      </w:r>
      <w:r w:rsidR="001B4D6D">
        <w:rPr>
          <w:rFonts w:cs="BookAntiqua"/>
          <w:szCs w:val="26"/>
        </w:rPr>
        <w:t xml:space="preserve">Commission-jurisdictional </w:t>
      </w:r>
      <w:r w:rsidR="00B316A0">
        <w:rPr>
          <w:rFonts w:cs="BookAntiqua"/>
          <w:szCs w:val="26"/>
        </w:rPr>
        <w:t>carriers</w:t>
      </w:r>
      <w:r w:rsidR="001B4D6D">
        <w:rPr>
          <w:rFonts w:cs="BookAntiqua"/>
          <w:szCs w:val="26"/>
        </w:rPr>
        <w:t xml:space="preserve">.  For </w:t>
      </w:r>
      <w:r w:rsidR="00B316A0">
        <w:rPr>
          <w:rFonts w:cs="BookAntiqua"/>
          <w:szCs w:val="26"/>
        </w:rPr>
        <w:t xml:space="preserve">programs administered by </w:t>
      </w:r>
      <w:r w:rsidR="00C83AD4">
        <w:rPr>
          <w:rFonts w:cs="BookAntiqua"/>
          <w:szCs w:val="26"/>
        </w:rPr>
        <w:t>LAFA</w:t>
      </w:r>
      <w:r w:rsidR="000C6D29">
        <w:rPr>
          <w:rFonts w:cs="BookAntiqua"/>
          <w:szCs w:val="26"/>
        </w:rPr>
        <w:t>s</w:t>
      </w:r>
      <w:r w:rsidR="001B4D6D">
        <w:rPr>
          <w:rFonts w:cs="BookAntiqua"/>
          <w:szCs w:val="26"/>
        </w:rPr>
        <w:t xml:space="preserve">, </w:t>
      </w:r>
      <w:r w:rsidR="00B316A0">
        <w:rPr>
          <w:rFonts w:cs="BookAntiqua"/>
          <w:szCs w:val="26"/>
        </w:rPr>
        <w:t xml:space="preserve">funding </w:t>
      </w:r>
      <w:r w:rsidR="001B4D6D">
        <w:rPr>
          <w:rFonts w:cs="BookAntiqua"/>
          <w:szCs w:val="26"/>
        </w:rPr>
        <w:t>should be distributed to</w:t>
      </w:r>
      <w:r w:rsidR="00B316A0">
        <w:rPr>
          <w:rFonts w:cs="BookAntiqua"/>
          <w:szCs w:val="26"/>
        </w:rPr>
        <w:t xml:space="preserve"> locally</w:t>
      </w:r>
      <w:r w:rsidR="00D96205">
        <w:rPr>
          <w:rFonts w:cs="BookAntiqua"/>
          <w:szCs w:val="26"/>
        </w:rPr>
        <w:noBreakHyphen/>
      </w:r>
      <w:r w:rsidR="00B316A0">
        <w:rPr>
          <w:rFonts w:cs="BookAntiqua"/>
          <w:szCs w:val="26"/>
        </w:rPr>
        <w:t xml:space="preserve">regulated carriers deemed eligible by the </w:t>
      </w:r>
      <w:r w:rsidR="001B4D6D">
        <w:rPr>
          <w:rFonts w:cs="BookAntiqua"/>
          <w:szCs w:val="26"/>
        </w:rPr>
        <w:t>L</w:t>
      </w:r>
      <w:r w:rsidR="00B316A0">
        <w:rPr>
          <w:rFonts w:cs="BookAntiqua"/>
          <w:szCs w:val="26"/>
        </w:rPr>
        <w:t>AFA.</w:t>
      </w:r>
      <w:r w:rsidR="00B316A0">
        <w:rPr>
          <w:rStyle w:val="FootnoteReference"/>
          <w:rFonts w:cs="BookAntiqua"/>
          <w:szCs w:val="26"/>
        </w:rPr>
        <w:footnoteReference w:id="55"/>
      </w:r>
      <w:r>
        <w:rPr>
          <w:rFonts w:cs="BookAntiqua"/>
          <w:szCs w:val="26"/>
        </w:rPr>
        <w:t xml:space="preserve">  </w:t>
      </w:r>
      <w:r w:rsidR="00C83AD4">
        <w:rPr>
          <w:rFonts w:cs="BookAntiqua"/>
          <w:szCs w:val="26"/>
        </w:rPr>
        <w:t xml:space="preserve">San Francisco, Disability Advocates, and </w:t>
      </w:r>
      <w:r w:rsidR="00165E17">
        <w:rPr>
          <w:rFonts w:cs="BookAntiqua"/>
          <w:szCs w:val="26"/>
        </w:rPr>
        <w:t xml:space="preserve">SFTWA object to </w:t>
      </w:r>
      <w:r w:rsidR="00093242">
        <w:rPr>
          <w:rFonts w:cs="BookAntiqua"/>
          <w:szCs w:val="26"/>
        </w:rPr>
        <w:t>this</w:t>
      </w:r>
      <w:r w:rsidR="00165E17">
        <w:rPr>
          <w:rFonts w:cs="BookAntiqua"/>
          <w:szCs w:val="26"/>
        </w:rPr>
        <w:t xml:space="preserve"> proposal and </w:t>
      </w:r>
      <w:r w:rsidR="00C83AD4">
        <w:rPr>
          <w:rFonts w:cs="BookAntiqua"/>
          <w:szCs w:val="26"/>
        </w:rPr>
        <w:t>state</w:t>
      </w:r>
      <w:r w:rsidR="00165E17">
        <w:rPr>
          <w:rFonts w:cs="BookAntiqua"/>
          <w:szCs w:val="26"/>
        </w:rPr>
        <w:t xml:space="preserve"> that it suggests </w:t>
      </w:r>
      <w:r w:rsidR="00A72CB9">
        <w:rPr>
          <w:rFonts w:cs="BookAntiqua"/>
          <w:szCs w:val="26"/>
        </w:rPr>
        <w:t>Access Provider</w:t>
      </w:r>
      <w:r w:rsidR="00165E17">
        <w:rPr>
          <w:rFonts w:cs="BookAntiqua"/>
          <w:szCs w:val="26"/>
        </w:rPr>
        <w:t xml:space="preserve">s </w:t>
      </w:r>
      <w:r w:rsidR="001B4D6D">
        <w:rPr>
          <w:rFonts w:cs="BookAntiqua"/>
          <w:szCs w:val="26"/>
        </w:rPr>
        <w:t>are</w:t>
      </w:r>
      <w:r w:rsidR="00165E17">
        <w:rPr>
          <w:rFonts w:cs="BookAntiqua"/>
          <w:szCs w:val="26"/>
        </w:rPr>
        <w:t xml:space="preserve"> defined by an administrator’s ability to regulate the provider.</w:t>
      </w:r>
      <w:r w:rsidR="00165E17">
        <w:rPr>
          <w:rStyle w:val="FootnoteReference"/>
          <w:rFonts w:cs="BookAntiqua"/>
          <w:szCs w:val="26"/>
        </w:rPr>
        <w:footnoteReference w:id="56"/>
      </w:r>
      <w:r w:rsidR="00165E17">
        <w:rPr>
          <w:rFonts w:cs="BookAntiqua"/>
          <w:szCs w:val="26"/>
        </w:rPr>
        <w:t xml:space="preserve">  </w:t>
      </w:r>
    </w:p>
    <w:p w:rsidR="00DC6B28" w:rsidP="00165E17" w:rsidRDefault="009450C0" w14:paraId="29950AC8" w14:textId="1B416CD9">
      <w:pPr>
        <w:pStyle w:val="ALJBodyText"/>
        <w:rPr>
          <w:rFonts w:cs="BookAntiqua"/>
          <w:szCs w:val="26"/>
        </w:rPr>
      </w:pPr>
      <w:r>
        <w:rPr>
          <w:rFonts w:cs="BookAntiqua"/>
          <w:szCs w:val="26"/>
        </w:rPr>
        <w:t>San Francisco</w:t>
      </w:r>
      <w:r w:rsidR="00DC6B28">
        <w:rPr>
          <w:rFonts w:cs="BookAntiqua"/>
          <w:szCs w:val="26"/>
        </w:rPr>
        <w:t xml:space="preserve">, </w:t>
      </w:r>
      <w:r>
        <w:rPr>
          <w:rFonts w:cs="BookAntiqua"/>
          <w:szCs w:val="26"/>
        </w:rPr>
        <w:t>Disability Advocates</w:t>
      </w:r>
      <w:r w:rsidR="00DC6B28">
        <w:rPr>
          <w:rFonts w:cs="BookAntiqua"/>
          <w:szCs w:val="26"/>
        </w:rPr>
        <w:t xml:space="preserve">, SFTWA, and Marin Transit </w:t>
      </w:r>
      <w:r>
        <w:rPr>
          <w:rFonts w:cs="BookAntiqua"/>
          <w:szCs w:val="26"/>
        </w:rPr>
        <w:t>propose</w:t>
      </w:r>
      <w:r w:rsidR="00DC6B28">
        <w:rPr>
          <w:rFonts w:cs="BookAntiqua"/>
          <w:szCs w:val="26"/>
        </w:rPr>
        <w:t xml:space="preserve"> that non-regulated carriers should be eligible if they can function as </w:t>
      </w:r>
      <w:r w:rsidR="00A72CB9">
        <w:rPr>
          <w:rFonts w:cs="BookAntiqua"/>
          <w:szCs w:val="26"/>
        </w:rPr>
        <w:t>Access Provider</w:t>
      </w:r>
      <w:r w:rsidR="00DC6B28">
        <w:rPr>
          <w:rFonts w:cs="BookAntiqua"/>
          <w:szCs w:val="26"/>
        </w:rPr>
        <w:t xml:space="preserve">s.  </w:t>
      </w:r>
      <w:r>
        <w:rPr>
          <w:rFonts w:cs="BookAntiqua"/>
          <w:szCs w:val="26"/>
        </w:rPr>
        <w:t xml:space="preserve">Disability Advocates </w:t>
      </w:r>
      <w:r w:rsidR="00E02DAE">
        <w:rPr>
          <w:rFonts w:cs="BookAntiqua"/>
          <w:szCs w:val="26"/>
        </w:rPr>
        <w:t>state</w:t>
      </w:r>
      <w:r w:rsidR="00DC6B28">
        <w:rPr>
          <w:rFonts w:cs="BookAntiqua"/>
          <w:szCs w:val="26"/>
        </w:rPr>
        <w:t xml:space="preserve"> that the Commission </w:t>
      </w:r>
      <w:r w:rsidR="00E02DAE">
        <w:rPr>
          <w:rFonts w:cs="BookAntiqua"/>
          <w:szCs w:val="26"/>
        </w:rPr>
        <w:t>can</w:t>
      </w:r>
      <w:r w:rsidR="00DC6B28">
        <w:rPr>
          <w:rFonts w:cs="BookAntiqua"/>
          <w:szCs w:val="26"/>
        </w:rPr>
        <w:t xml:space="preserve"> condition acceptance of funding on </w:t>
      </w:r>
      <w:r w:rsidR="007F47B2">
        <w:rPr>
          <w:rFonts w:cs="BookAntiqua"/>
          <w:szCs w:val="26"/>
        </w:rPr>
        <w:t xml:space="preserve">regulatory </w:t>
      </w:r>
      <w:r w:rsidR="00DC6B28">
        <w:rPr>
          <w:rFonts w:cs="BookAntiqua"/>
          <w:szCs w:val="26"/>
        </w:rPr>
        <w:t>compliance</w:t>
      </w:r>
      <w:r w:rsidR="00165E17">
        <w:rPr>
          <w:rFonts w:cs="BookAntiqua"/>
          <w:szCs w:val="26"/>
        </w:rPr>
        <w:t>,</w:t>
      </w:r>
      <w:r w:rsidR="00DC6B28">
        <w:rPr>
          <w:rFonts w:cs="BookAntiqua"/>
          <w:szCs w:val="26"/>
        </w:rPr>
        <w:t xml:space="preserve"> including </w:t>
      </w:r>
      <w:r w:rsidR="00642D6A">
        <w:rPr>
          <w:rFonts w:cs="BookAntiqua"/>
          <w:szCs w:val="26"/>
        </w:rPr>
        <w:t>accepting</w:t>
      </w:r>
      <w:r w:rsidR="00DC6B28">
        <w:rPr>
          <w:rFonts w:cs="BookAntiqua"/>
          <w:szCs w:val="26"/>
        </w:rPr>
        <w:t xml:space="preserve"> Commission authority.</w:t>
      </w:r>
      <w:r w:rsidR="00DC6B28">
        <w:rPr>
          <w:rStyle w:val="FootnoteReference"/>
          <w:rFonts w:cs="BookAntiqua"/>
          <w:szCs w:val="26"/>
        </w:rPr>
        <w:footnoteReference w:id="57"/>
      </w:r>
      <w:r w:rsidR="00DC6B28">
        <w:rPr>
          <w:rFonts w:cs="BookAntiqua"/>
          <w:szCs w:val="26"/>
        </w:rPr>
        <w:t xml:space="preserve"> </w:t>
      </w:r>
      <w:r w:rsidR="00642D6A">
        <w:rPr>
          <w:rFonts w:cs="BookAntiqua"/>
          <w:szCs w:val="26"/>
        </w:rPr>
        <w:t xml:space="preserve"> </w:t>
      </w:r>
      <w:r>
        <w:rPr>
          <w:rFonts w:cs="BookAntiqua"/>
          <w:szCs w:val="26"/>
        </w:rPr>
        <w:t>San Francisco notes</w:t>
      </w:r>
      <w:r w:rsidR="00DC6B28">
        <w:rPr>
          <w:rFonts w:cs="BookAntiqua"/>
          <w:szCs w:val="26"/>
        </w:rPr>
        <w:t xml:space="preserve"> that the Commission issues fund</w:t>
      </w:r>
      <w:r w:rsidR="00165E17">
        <w:rPr>
          <w:rFonts w:cs="BookAntiqua"/>
          <w:szCs w:val="26"/>
        </w:rPr>
        <w:t>s</w:t>
      </w:r>
      <w:r w:rsidR="00DC6B28">
        <w:rPr>
          <w:rFonts w:cs="BookAntiqua"/>
          <w:szCs w:val="26"/>
        </w:rPr>
        <w:t xml:space="preserve"> </w:t>
      </w:r>
      <w:r w:rsidR="00165E17">
        <w:rPr>
          <w:rFonts w:cs="BookAntiqua"/>
          <w:szCs w:val="26"/>
        </w:rPr>
        <w:t>to</w:t>
      </w:r>
      <w:r w:rsidR="00DC6B28">
        <w:rPr>
          <w:rFonts w:cs="BookAntiqua"/>
          <w:szCs w:val="26"/>
        </w:rPr>
        <w:t xml:space="preserve"> non-regulated entities </w:t>
      </w:r>
      <w:r w:rsidR="006E75A7">
        <w:rPr>
          <w:rFonts w:cs="BookAntiqua"/>
          <w:szCs w:val="26"/>
        </w:rPr>
        <w:t xml:space="preserve">in other programs, such as </w:t>
      </w:r>
      <w:r w:rsidR="00DC6B28">
        <w:rPr>
          <w:rFonts w:cs="BookAntiqua"/>
          <w:szCs w:val="26"/>
        </w:rPr>
        <w:t>th</w:t>
      </w:r>
      <w:r w:rsidR="006E75A7">
        <w:rPr>
          <w:rFonts w:cs="BookAntiqua"/>
          <w:szCs w:val="26"/>
        </w:rPr>
        <w:t>e</w:t>
      </w:r>
      <w:r w:rsidR="00DC6B28">
        <w:rPr>
          <w:rFonts w:cs="BookAntiqua"/>
          <w:szCs w:val="26"/>
        </w:rPr>
        <w:t xml:space="preserve"> Life</w:t>
      </w:r>
      <w:r w:rsidR="00514031">
        <w:rPr>
          <w:rFonts w:cs="BookAntiqua"/>
          <w:szCs w:val="26"/>
        </w:rPr>
        <w:t>L</w:t>
      </w:r>
      <w:r w:rsidR="00DC6B28">
        <w:rPr>
          <w:rFonts w:cs="BookAntiqua"/>
          <w:szCs w:val="26"/>
        </w:rPr>
        <w:t>ine Subsidy program.</w:t>
      </w:r>
      <w:r w:rsidR="00DC6B28">
        <w:rPr>
          <w:rStyle w:val="FootnoteReference"/>
          <w:rFonts w:cs="BookAntiqua"/>
          <w:szCs w:val="26"/>
        </w:rPr>
        <w:footnoteReference w:id="58"/>
      </w:r>
      <w:r w:rsidRPr="000F6F1E" w:rsidR="000F6F1E">
        <w:rPr>
          <w:rFonts w:cs="BookAntiqua"/>
          <w:szCs w:val="26"/>
        </w:rPr>
        <w:t xml:space="preserve"> </w:t>
      </w:r>
      <w:r w:rsidR="000F6F1E">
        <w:rPr>
          <w:rFonts w:cs="BookAntiqua"/>
          <w:szCs w:val="26"/>
        </w:rPr>
        <w:t xml:space="preserve"> SFTWA </w:t>
      </w:r>
      <w:r w:rsidR="006E75A7">
        <w:rPr>
          <w:rFonts w:cs="BookAntiqua"/>
          <w:szCs w:val="26"/>
        </w:rPr>
        <w:t>contends that</w:t>
      </w:r>
      <w:r w:rsidR="000F6F1E">
        <w:rPr>
          <w:rFonts w:cs="BookAntiqua"/>
          <w:szCs w:val="26"/>
        </w:rPr>
        <w:t xml:space="preserve"> compliance</w:t>
      </w:r>
      <w:r w:rsidR="006E75A7">
        <w:rPr>
          <w:rFonts w:cs="BookAntiqua"/>
          <w:szCs w:val="26"/>
        </w:rPr>
        <w:t xml:space="preserve"> can be ensured</w:t>
      </w:r>
      <w:r w:rsidR="000F6F1E">
        <w:rPr>
          <w:rFonts w:cs="BookAntiqua"/>
          <w:szCs w:val="26"/>
        </w:rPr>
        <w:t xml:space="preserve"> through the application and</w:t>
      </w:r>
      <w:r w:rsidR="006E75A7">
        <w:rPr>
          <w:rFonts w:cs="BookAntiqua"/>
          <w:szCs w:val="26"/>
        </w:rPr>
        <w:t xml:space="preserve"> notes</w:t>
      </w:r>
      <w:r w:rsidR="000F6F1E">
        <w:rPr>
          <w:rFonts w:cs="BookAntiqua"/>
          <w:szCs w:val="26"/>
        </w:rPr>
        <w:t xml:space="preserve"> that</w:t>
      </w:r>
      <w:r>
        <w:rPr>
          <w:rFonts w:cs="BookAntiqua"/>
          <w:szCs w:val="26"/>
        </w:rPr>
        <w:t xml:space="preserve"> </w:t>
      </w:r>
      <w:r w:rsidR="000F6F1E">
        <w:rPr>
          <w:rFonts w:cs="BookAntiqua"/>
          <w:szCs w:val="26"/>
        </w:rPr>
        <w:t>taxicab</w:t>
      </w:r>
      <w:r>
        <w:rPr>
          <w:rFonts w:cs="BookAntiqua"/>
          <w:szCs w:val="26"/>
        </w:rPr>
        <w:t xml:space="preserve">s </w:t>
      </w:r>
      <w:r w:rsidR="000F6F1E">
        <w:rPr>
          <w:rFonts w:cs="BookAntiqua"/>
          <w:szCs w:val="26"/>
        </w:rPr>
        <w:t>have more stringent requirements than TNCs, such as fingerprint background checks, drug and alcohol testing, etc.</w:t>
      </w:r>
      <w:r w:rsidR="000F6F1E">
        <w:rPr>
          <w:rStyle w:val="FootnoteReference"/>
          <w:rFonts w:cs="BookAntiqua"/>
          <w:szCs w:val="26"/>
        </w:rPr>
        <w:footnoteReference w:id="59"/>
      </w:r>
    </w:p>
    <w:p w:rsidR="00514031" w:rsidP="007F47B2" w:rsidRDefault="007F47B2" w14:paraId="06AA896C" w14:textId="6462A101">
      <w:pPr>
        <w:pStyle w:val="ALJBodyText"/>
        <w:rPr>
          <w:rFonts w:cs="BookAntiqua"/>
          <w:szCs w:val="26"/>
        </w:rPr>
      </w:pPr>
      <w:r>
        <w:lastRenderedPageBreak/>
        <w:t>It is true</w:t>
      </w:r>
      <w:r w:rsidR="00411DD3">
        <w:rPr>
          <w:rFonts w:cs="BookAntiqua"/>
          <w:szCs w:val="26"/>
        </w:rPr>
        <w:t xml:space="preserve"> </w:t>
      </w:r>
      <w:r w:rsidR="006E75A7">
        <w:rPr>
          <w:rFonts w:cs="BookAntiqua"/>
          <w:szCs w:val="26"/>
        </w:rPr>
        <w:t xml:space="preserve">that there are </w:t>
      </w:r>
      <w:r w:rsidR="00165E17">
        <w:rPr>
          <w:rFonts w:cs="BookAntiqua"/>
          <w:szCs w:val="26"/>
        </w:rPr>
        <w:t>Commission programs</w:t>
      </w:r>
      <w:r w:rsidR="006E75A7">
        <w:rPr>
          <w:rFonts w:cs="BookAntiqua"/>
          <w:szCs w:val="26"/>
        </w:rPr>
        <w:t xml:space="preserve"> in which funds are issued to </w:t>
      </w:r>
      <w:r>
        <w:rPr>
          <w:rFonts w:cs="BookAntiqua"/>
          <w:szCs w:val="26"/>
        </w:rPr>
        <w:t xml:space="preserve">non-Commission regulated </w:t>
      </w:r>
      <w:r w:rsidR="006E75A7">
        <w:rPr>
          <w:rFonts w:cs="BookAntiqua"/>
          <w:szCs w:val="26"/>
        </w:rPr>
        <w:t>entities</w:t>
      </w:r>
      <w:r w:rsidR="00165E17">
        <w:rPr>
          <w:rFonts w:cs="BookAntiqua"/>
          <w:szCs w:val="26"/>
        </w:rPr>
        <w:t>, such as the California Advance</w:t>
      </w:r>
      <w:r w:rsidR="006E75A7">
        <w:rPr>
          <w:rFonts w:cs="BookAntiqua"/>
          <w:szCs w:val="26"/>
        </w:rPr>
        <w:t>d</w:t>
      </w:r>
      <w:r w:rsidR="00165E17">
        <w:rPr>
          <w:rFonts w:cs="BookAntiqua"/>
          <w:szCs w:val="26"/>
        </w:rPr>
        <w:t xml:space="preserve"> Services Fund</w:t>
      </w:r>
      <w:r w:rsidR="00514031">
        <w:rPr>
          <w:rFonts w:cs="BookAntiqua"/>
          <w:szCs w:val="26"/>
        </w:rPr>
        <w:t xml:space="preserve"> and the LifeLine </w:t>
      </w:r>
      <w:r w:rsidR="00E02DAE">
        <w:rPr>
          <w:rFonts w:cs="BookAntiqua"/>
          <w:szCs w:val="26"/>
        </w:rPr>
        <w:t>p</w:t>
      </w:r>
      <w:r w:rsidR="00514031">
        <w:rPr>
          <w:rFonts w:cs="BookAntiqua"/>
          <w:szCs w:val="26"/>
        </w:rPr>
        <w:t>rogram</w:t>
      </w:r>
      <w:r w:rsidR="00165E17">
        <w:rPr>
          <w:rFonts w:cs="BookAntiqua"/>
          <w:szCs w:val="26"/>
        </w:rPr>
        <w:t xml:space="preserve">.  </w:t>
      </w:r>
      <w:r w:rsidR="00514031">
        <w:rPr>
          <w:rFonts w:cs="BookAntiqua"/>
          <w:szCs w:val="26"/>
        </w:rPr>
        <w:t xml:space="preserve">However, issuing funds to </w:t>
      </w:r>
      <w:r w:rsidR="006E75A7">
        <w:rPr>
          <w:rFonts w:cs="BookAntiqua"/>
          <w:szCs w:val="26"/>
        </w:rPr>
        <w:t>wireless or</w:t>
      </w:r>
      <w:r w:rsidR="00514031">
        <w:rPr>
          <w:rFonts w:cs="BookAntiqua"/>
          <w:szCs w:val="26"/>
        </w:rPr>
        <w:t xml:space="preserve"> broadband service</w:t>
      </w:r>
      <w:r>
        <w:rPr>
          <w:rFonts w:cs="BookAntiqua"/>
          <w:szCs w:val="26"/>
        </w:rPr>
        <w:t xml:space="preserve"> users</w:t>
      </w:r>
      <w:r w:rsidR="006E75A7">
        <w:rPr>
          <w:rFonts w:cs="BookAntiqua"/>
          <w:szCs w:val="26"/>
        </w:rPr>
        <w:t xml:space="preserve"> </w:t>
      </w:r>
      <w:r w:rsidR="00514031">
        <w:rPr>
          <w:rFonts w:cs="BookAntiqua"/>
          <w:szCs w:val="26"/>
        </w:rPr>
        <w:t xml:space="preserve">is </w:t>
      </w:r>
      <w:r w:rsidR="006E75A7">
        <w:rPr>
          <w:rFonts w:cs="BookAntiqua"/>
          <w:szCs w:val="26"/>
        </w:rPr>
        <w:t xml:space="preserve">arguably a </w:t>
      </w:r>
      <w:r>
        <w:rPr>
          <w:rFonts w:cs="BookAntiqua"/>
          <w:szCs w:val="26"/>
        </w:rPr>
        <w:t>more straightforward</w:t>
      </w:r>
      <w:r w:rsidR="00514031">
        <w:rPr>
          <w:rFonts w:cs="BookAntiqua"/>
          <w:szCs w:val="26"/>
        </w:rPr>
        <w:t xml:space="preserve"> endeavor than issuing funds to </w:t>
      </w:r>
      <w:r w:rsidR="006E75A7">
        <w:rPr>
          <w:rFonts w:cs="BookAntiqua"/>
          <w:szCs w:val="26"/>
        </w:rPr>
        <w:t xml:space="preserve">transportation carriers </w:t>
      </w:r>
      <w:r>
        <w:rPr>
          <w:rFonts w:cs="BookAntiqua"/>
          <w:szCs w:val="26"/>
        </w:rPr>
        <w:t>providing</w:t>
      </w:r>
      <w:r w:rsidR="006E75A7">
        <w:rPr>
          <w:rFonts w:cs="BookAntiqua"/>
          <w:szCs w:val="26"/>
        </w:rPr>
        <w:t xml:space="preserve"> </w:t>
      </w:r>
      <w:r>
        <w:rPr>
          <w:rFonts w:cs="BookAntiqua"/>
          <w:szCs w:val="26"/>
        </w:rPr>
        <w:t xml:space="preserve">ongoing </w:t>
      </w:r>
      <w:r w:rsidR="00E02DAE">
        <w:rPr>
          <w:rFonts w:cs="BookAntiqua"/>
          <w:szCs w:val="26"/>
        </w:rPr>
        <w:t xml:space="preserve">WAV </w:t>
      </w:r>
      <w:r w:rsidR="00866006">
        <w:rPr>
          <w:rFonts w:cs="BookAntiqua"/>
          <w:szCs w:val="26"/>
        </w:rPr>
        <w:t xml:space="preserve">services </w:t>
      </w:r>
      <w:r w:rsidR="00E02DAE">
        <w:rPr>
          <w:rFonts w:cs="BookAntiqua"/>
          <w:szCs w:val="26"/>
        </w:rPr>
        <w:t>to</w:t>
      </w:r>
      <w:r w:rsidR="00866006">
        <w:rPr>
          <w:rFonts w:cs="BookAntiqua"/>
          <w:szCs w:val="26"/>
        </w:rPr>
        <w:t xml:space="preserve"> </w:t>
      </w:r>
      <w:r w:rsidR="00514031">
        <w:rPr>
          <w:rFonts w:cs="BookAntiqua"/>
          <w:szCs w:val="26"/>
        </w:rPr>
        <w:t>persons with disabilities</w:t>
      </w:r>
      <w:r w:rsidR="00816AEC">
        <w:rPr>
          <w:rFonts w:cs="BookAntiqua"/>
          <w:szCs w:val="26"/>
        </w:rPr>
        <w:t>,</w:t>
      </w:r>
      <w:r w:rsidR="00E02DAE">
        <w:rPr>
          <w:rFonts w:cs="BookAntiqua"/>
          <w:szCs w:val="26"/>
        </w:rPr>
        <w:t xml:space="preserve"> potentially</w:t>
      </w:r>
      <w:r w:rsidR="00816AEC">
        <w:rPr>
          <w:rFonts w:cs="BookAntiqua"/>
          <w:szCs w:val="26"/>
        </w:rPr>
        <w:t xml:space="preserve"> including </w:t>
      </w:r>
      <w:r>
        <w:rPr>
          <w:rFonts w:cs="BookAntiqua"/>
          <w:szCs w:val="26"/>
        </w:rPr>
        <w:t xml:space="preserve">new </w:t>
      </w:r>
      <w:r w:rsidR="00816AEC">
        <w:rPr>
          <w:rFonts w:cs="BookAntiqua"/>
          <w:szCs w:val="26"/>
        </w:rPr>
        <w:t>carriers that may be establishing services for the first time</w:t>
      </w:r>
      <w:r w:rsidR="00514031">
        <w:rPr>
          <w:rFonts w:cs="BookAntiqua"/>
          <w:szCs w:val="26"/>
        </w:rPr>
        <w:t xml:space="preserve">. </w:t>
      </w:r>
      <w:r w:rsidR="00401E43">
        <w:rPr>
          <w:rFonts w:cs="BookAntiqua"/>
          <w:szCs w:val="26"/>
        </w:rPr>
        <w:t xml:space="preserve"> </w:t>
      </w:r>
      <w:r w:rsidR="00866006">
        <w:rPr>
          <w:rFonts w:cs="BookAntiqua"/>
          <w:szCs w:val="26"/>
        </w:rPr>
        <w:t xml:space="preserve">While some carriers </w:t>
      </w:r>
      <w:r>
        <w:rPr>
          <w:rFonts w:cs="BookAntiqua"/>
          <w:szCs w:val="26"/>
        </w:rPr>
        <w:t>are</w:t>
      </w:r>
      <w:r w:rsidR="00866006">
        <w:rPr>
          <w:rFonts w:cs="BookAntiqua"/>
          <w:szCs w:val="26"/>
        </w:rPr>
        <w:t xml:space="preserve"> regulated by a local government or </w:t>
      </w:r>
      <w:r w:rsidR="00CC10E9">
        <w:rPr>
          <w:rFonts w:cs="BookAntiqua"/>
          <w:szCs w:val="26"/>
        </w:rPr>
        <w:t xml:space="preserve">other regulatory </w:t>
      </w:r>
      <w:r w:rsidR="00E314C3">
        <w:rPr>
          <w:rFonts w:cs="BookAntiqua"/>
          <w:szCs w:val="26"/>
        </w:rPr>
        <w:t>body</w:t>
      </w:r>
      <w:r w:rsidR="00866006">
        <w:rPr>
          <w:rFonts w:cs="BookAntiqua"/>
          <w:szCs w:val="26"/>
        </w:rPr>
        <w:t>, other</w:t>
      </w:r>
      <w:r>
        <w:rPr>
          <w:rFonts w:cs="BookAntiqua"/>
          <w:szCs w:val="26"/>
        </w:rPr>
        <w:t xml:space="preserve">s </w:t>
      </w:r>
      <w:r w:rsidR="00866006">
        <w:rPr>
          <w:rFonts w:cs="BookAntiqua"/>
          <w:szCs w:val="26"/>
        </w:rPr>
        <w:t>may not be subject to any</w:t>
      </w:r>
      <w:r w:rsidR="00CC10E9">
        <w:rPr>
          <w:rFonts w:cs="BookAntiqua"/>
          <w:szCs w:val="26"/>
        </w:rPr>
        <w:t xml:space="preserve"> regulatory oversight or</w:t>
      </w:r>
      <w:r w:rsidR="00866006">
        <w:rPr>
          <w:rFonts w:cs="BookAntiqua"/>
          <w:szCs w:val="26"/>
        </w:rPr>
        <w:t xml:space="preserve"> safety protocols. </w:t>
      </w:r>
      <w:r w:rsidR="00CC10E9">
        <w:rPr>
          <w:rFonts w:cs="BookAntiqua"/>
          <w:szCs w:val="26"/>
        </w:rPr>
        <w:t xml:space="preserve"> </w:t>
      </w:r>
      <w:r w:rsidR="00514031">
        <w:rPr>
          <w:rFonts w:cs="BookAntiqua"/>
          <w:szCs w:val="26"/>
        </w:rPr>
        <w:t>The Commission is concerned about ensur</w:t>
      </w:r>
      <w:r>
        <w:rPr>
          <w:rFonts w:cs="BookAntiqua"/>
          <w:szCs w:val="26"/>
        </w:rPr>
        <w:t>ing</w:t>
      </w:r>
      <w:r w:rsidR="00514031">
        <w:rPr>
          <w:rFonts w:cs="BookAntiqua"/>
          <w:szCs w:val="26"/>
        </w:rPr>
        <w:t xml:space="preserve"> compliance with safety protocols</w:t>
      </w:r>
      <w:r w:rsidR="00E02DAE">
        <w:rPr>
          <w:rFonts w:cs="BookAntiqua"/>
          <w:szCs w:val="26"/>
        </w:rPr>
        <w:t xml:space="preserve"> for entities it does not regulate</w:t>
      </w:r>
      <w:r>
        <w:rPr>
          <w:rFonts w:cs="BookAntiqua"/>
          <w:szCs w:val="26"/>
        </w:rPr>
        <w:t xml:space="preserve">, such as </w:t>
      </w:r>
      <w:r w:rsidR="00E314C3">
        <w:rPr>
          <w:rFonts w:cs="BookAntiqua"/>
          <w:szCs w:val="26"/>
        </w:rPr>
        <w:t xml:space="preserve">insurance requirements </w:t>
      </w:r>
      <w:r>
        <w:rPr>
          <w:rFonts w:cs="BookAntiqua"/>
          <w:szCs w:val="26"/>
        </w:rPr>
        <w:t>or</w:t>
      </w:r>
      <w:r w:rsidR="00E314C3">
        <w:rPr>
          <w:rFonts w:cs="BookAntiqua"/>
          <w:szCs w:val="26"/>
        </w:rPr>
        <w:t xml:space="preserve"> background checks</w:t>
      </w:r>
      <w:r w:rsidR="00514031">
        <w:rPr>
          <w:rFonts w:cs="BookAntiqua"/>
          <w:szCs w:val="26"/>
        </w:rPr>
        <w:t xml:space="preserve">.  </w:t>
      </w:r>
      <w:r>
        <w:rPr>
          <w:rFonts w:cs="BookAntiqua"/>
          <w:szCs w:val="26"/>
        </w:rPr>
        <w:t xml:space="preserve">We recognize that requiring an </w:t>
      </w:r>
      <w:r w:rsidR="00A72CB9">
        <w:rPr>
          <w:rFonts w:cs="BookAntiqua"/>
          <w:szCs w:val="26"/>
        </w:rPr>
        <w:t>Access Provider</w:t>
      </w:r>
      <w:r w:rsidR="00514031">
        <w:rPr>
          <w:rFonts w:cs="BookAntiqua"/>
          <w:szCs w:val="26"/>
        </w:rPr>
        <w:t xml:space="preserve"> to obtain a TCP permit </w:t>
      </w:r>
      <w:r>
        <w:rPr>
          <w:rFonts w:cs="BookAntiqua"/>
          <w:szCs w:val="26"/>
        </w:rPr>
        <w:t>is</w:t>
      </w:r>
      <w:r w:rsidR="00CC10E9">
        <w:rPr>
          <w:rFonts w:cs="BookAntiqua"/>
          <w:szCs w:val="26"/>
        </w:rPr>
        <w:t xml:space="preserve"> </w:t>
      </w:r>
      <w:r w:rsidR="00514031">
        <w:rPr>
          <w:rFonts w:cs="BookAntiqua"/>
          <w:szCs w:val="26"/>
        </w:rPr>
        <w:t xml:space="preserve">a </w:t>
      </w:r>
      <w:r w:rsidR="007B0710">
        <w:rPr>
          <w:rFonts w:cs="BookAntiqua"/>
          <w:szCs w:val="26"/>
        </w:rPr>
        <w:t>greater</w:t>
      </w:r>
      <w:r w:rsidR="00CA6424">
        <w:rPr>
          <w:rFonts w:cs="BookAntiqua"/>
          <w:szCs w:val="26"/>
        </w:rPr>
        <w:t xml:space="preserve"> </w:t>
      </w:r>
      <w:r w:rsidR="00514031">
        <w:rPr>
          <w:rFonts w:cs="BookAntiqua"/>
          <w:szCs w:val="26"/>
        </w:rPr>
        <w:t xml:space="preserve">undertaking that </w:t>
      </w:r>
      <w:r w:rsidR="007B0710">
        <w:rPr>
          <w:rFonts w:cs="BookAntiqua"/>
          <w:szCs w:val="26"/>
        </w:rPr>
        <w:t>may</w:t>
      </w:r>
      <w:r w:rsidR="00514031">
        <w:rPr>
          <w:rFonts w:cs="BookAntiqua"/>
          <w:szCs w:val="26"/>
        </w:rPr>
        <w:t xml:space="preserve"> reduce the number of </w:t>
      </w:r>
      <w:r>
        <w:rPr>
          <w:rFonts w:cs="BookAntiqua"/>
          <w:szCs w:val="26"/>
        </w:rPr>
        <w:t xml:space="preserve">potential </w:t>
      </w:r>
      <w:r w:rsidR="00A72CB9">
        <w:rPr>
          <w:rFonts w:cs="BookAntiqua"/>
          <w:szCs w:val="26"/>
        </w:rPr>
        <w:t>Access Provider</w:t>
      </w:r>
      <w:r w:rsidR="00CC10E9">
        <w:rPr>
          <w:rFonts w:cs="BookAntiqua"/>
          <w:szCs w:val="26"/>
        </w:rPr>
        <w:t>s</w:t>
      </w:r>
      <w:r w:rsidR="00514031">
        <w:rPr>
          <w:rFonts w:cs="BookAntiqua"/>
          <w:szCs w:val="26"/>
        </w:rPr>
        <w:t xml:space="preserve">.  </w:t>
      </w:r>
    </w:p>
    <w:p w:rsidR="00411DD3" w:rsidP="00E314C3" w:rsidRDefault="00401E43" w14:paraId="6E8F4343" w14:textId="36C78047">
      <w:pPr>
        <w:pStyle w:val="ALJBodyText"/>
        <w:rPr>
          <w:rFonts w:cs="BookAntiqua"/>
          <w:szCs w:val="26"/>
        </w:rPr>
      </w:pPr>
      <w:r>
        <w:rPr>
          <w:rFonts w:cs="BookAntiqua"/>
          <w:szCs w:val="26"/>
        </w:rPr>
        <w:t xml:space="preserve">The Commission would like to consider the disbursement of </w:t>
      </w:r>
      <w:r w:rsidR="007F47B2">
        <w:rPr>
          <w:rFonts w:cs="BookAntiqua"/>
          <w:szCs w:val="26"/>
        </w:rPr>
        <w:t xml:space="preserve">Access Fund moneys </w:t>
      </w:r>
      <w:r>
        <w:rPr>
          <w:rFonts w:cs="BookAntiqua"/>
          <w:szCs w:val="26"/>
        </w:rPr>
        <w:t xml:space="preserve">to non-regulated entities without </w:t>
      </w:r>
      <w:r w:rsidR="00E314C3">
        <w:rPr>
          <w:rFonts w:cs="BookAntiqua"/>
          <w:szCs w:val="26"/>
        </w:rPr>
        <w:t xml:space="preserve">requiring </w:t>
      </w:r>
      <w:r>
        <w:rPr>
          <w:rFonts w:cs="BookAntiqua"/>
          <w:szCs w:val="26"/>
        </w:rPr>
        <w:t xml:space="preserve">a TCP permit, if </w:t>
      </w:r>
      <w:r w:rsidR="00CC10E9">
        <w:rPr>
          <w:rFonts w:cs="BookAntiqua"/>
          <w:szCs w:val="26"/>
        </w:rPr>
        <w:t>the Commission</w:t>
      </w:r>
      <w:r>
        <w:rPr>
          <w:rFonts w:cs="BookAntiqua"/>
          <w:szCs w:val="26"/>
        </w:rPr>
        <w:t xml:space="preserve"> can ensure </w:t>
      </w:r>
      <w:r w:rsidR="007F47B2">
        <w:rPr>
          <w:rFonts w:cs="BookAntiqua"/>
          <w:szCs w:val="26"/>
        </w:rPr>
        <w:t>compliance with</w:t>
      </w:r>
      <w:r>
        <w:rPr>
          <w:rFonts w:cs="BookAntiqua"/>
          <w:szCs w:val="26"/>
        </w:rPr>
        <w:t xml:space="preserve"> safety protocols </w:t>
      </w:r>
      <w:r w:rsidR="00CC10E9">
        <w:rPr>
          <w:rFonts w:cs="BookAntiqua"/>
          <w:szCs w:val="26"/>
        </w:rPr>
        <w:t>and other requirements</w:t>
      </w:r>
      <w:r>
        <w:rPr>
          <w:rFonts w:cs="BookAntiqua"/>
          <w:szCs w:val="26"/>
        </w:rPr>
        <w:t xml:space="preserve">.  Under the current TCP permit </w:t>
      </w:r>
      <w:r w:rsidR="007F47B2">
        <w:rPr>
          <w:rFonts w:cs="BookAntiqua"/>
          <w:szCs w:val="26"/>
        </w:rPr>
        <w:t>requirements</w:t>
      </w:r>
      <w:r>
        <w:rPr>
          <w:rFonts w:cs="BookAntiqua"/>
          <w:szCs w:val="26"/>
        </w:rPr>
        <w:t xml:space="preserve">, </w:t>
      </w:r>
      <w:r w:rsidR="00E314C3">
        <w:rPr>
          <w:rFonts w:cs="BookAntiqua"/>
          <w:szCs w:val="26"/>
        </w:rPr>
        <w:t xml:space="preserve">permit holders </w:t>
      </w:r>
      <w:r w:rsidR="007F47B2">
        <w:rPr>
          <w:rFonts w:cs="BookAntiqua"/>
          <w:szCs w:val="26"/>
        </w:rPr>
        <w:t>are subject to</w:t>
      </w:r>
      <w:r w:rsidR="00E314C3">
        <w:rPr>
          <w:rFonts w:cs="BookAntiqua"/>
          <w:szCs w:val="26"/>
        </w:rPr>
        <w:t xml:space="preserve"> general liability insurance </w:t>
      </w:r>
      <w:r w:rsidR="002A65CF">
        <w:rPr>
          <w:rFonts w:cs="BookAntiqua"/>
          <w:szCs w:val="26"/>
        </w:rPr>
        <w:t xml:space="preserve">minimums </w:t>
      </w:r>
      <w:r w:rsidR="00E314C3">
        <w:rPr>
          <w:rFonts w:cs="BookAntiqua"/>
          <w:szCs w:val="26"/>
        </w:rPr>
        <w:t xml:space="preserve">depending on the number of passengers, worker’s compensation insurance, </w:t>
      </w:r>
      <w:r w:rsidR="007F47B2">
        <w:rPr>
          <w:rFonts w:cs="BookAntiqua"/>
          <w:szCs w:val="26"/>
        </w:rPr>
        <w:t xml:space="preserve">a </w:t>
      </w:r>
      <w:r w:rsidR="00E314C3">
        <w:rPr>
          <w:rFonts w:cs="BookAntiqua"/>
          <w:szCs w:val="26"/>
        </w:rPr>
        <w:t>19-point vehicle inspection, drug testing, etc.</w:t>
      </w:r>
      <w:r w:rsidR="00E314C3">
        <w:rPr>
          <w:rStyle w:val="FootnoteReference"/>
          <w:rFonts w:cs="BookAntiqua"/>
          <w:szCs w:val="26"/>
        </w:rPr>
        <w:footnoteReference w:id="60"/>
      </w:r>
      <w:r w:rsidR="00E314C3">
        <w:rPr>
          <w:rFonts w:cs="BookAntiqua"/>
          <w:szCs w:val="26"/>
        </w:rPr>
        <w:t xml:space="preserve">  </w:t>
      </w:r>
      <w:r w:rsidR="002A65CF">
        <w:rPr>
          <w:rFonts w:cs="BookAntiqua"/>
          <w:szCs w:val="26"/>
        </w:rPr>
        <w:t xml:space="preserve">For example, the liability insurance minimum coverage amounts are consistently higher for TCPs than </w:t>
      </w:r>
      <w:r w:rsidR="000C6D29">
        <w:rPr>
          <w:rFonts w:cs="BookAntiqua"/>
          <w:szCs w:val="26"/>
        </w:rPr>
        <w:t xml:space="preserve">for </w:t>
      </w:r>
      <w:r w:rsidR="002A65CF">
        <w:rPr>
          <w:rFonts w:cs="BookAntiqua"/>
          <w:szCs w:val="26"/>
        </w:rPr>
        <w:t xml:space="preserve">locally regulated taxicabs.  </w:t>
      </w:r>
      <w:r>
        <w:rPr>
          <w:rFonts w:cs="BookAntiqua"/>
          <w:szCs w:val="26"/>
        </w:rPr>
        <w:t xml:space="preserve">In Track 4, parties </w:t>
      </w:r>
      <w:r w:rsidR="00E314C3">
        <w:rPr>
          <w:rFonts w:cs="BookAntiqua"/>
          <w:szCs w:val="26"/>
        </w:rPr>
        <w:t>are encouraged to offer</w:t>
      </w:r>
      <w:r>
        <w:rPr>
          <w:rFonts w:cs="BookAntiqua"/>
          <w:szCs w:val="26"/>
        </w:rPr>
        <w:t xml:space="preserve"> proposals as to how </w:t>
      </w:r>
      <w:r w:rsidR="00CC10E9">
        <w:rPr>
          <w:rFonts w:cs="BookAntiqua"/>
          <w:szCs w:val="26"/>
        </w:rPr>
        <w:t>the Commission</w:t>
      </w:r>
      <w:r>
        <w:rPr>
          <w:rFonts w:cs="BookAntiqua"/>
          <w:szCs w:val="26"/>
        </w:rPr>
        <w:t xml:space="preserve"> can </w:t>
      </w:r>
      <w:r>
        <w:rPr>
          <w:rFonts w:cs="BookAntiqua"/>
          <w:szCs w:val="26"/>
        </w:rPr>
        <w:lastRenderedPageBreak/>
        <w:t xml:space="preserve">ensure that </w:t>
      </w:r>
      <w:r w:rsidR="00127F14">
        <w:rPr>
          <w:rFonts w:cs="BookAntiqua"/>
          <w:szCs w:val="26"/>
        </w:rPr>
        <w:t>non-</w:t>
      </w:r>
      <w:r w:rsidR="009144E2">
        <w:rPr>
          <w:rFonts w:cs="BookAntiqua"/>
          <w:szCs w:val="26"/>
        </w:rPr>
        <w:t>jurisdictional</w:t>
      </w:r>
      <w:r w:rsidR="00127F14">
        <w:rPr>
          <w:rFonts w:cs="BookAntiqua"/>
          <w:szCs w:val="26"/>
        </w:rPr>
        <w:t xml:space="preserve"> </w:t>
      </w:r>
      <w:r w:rsidR="00CC10E9">
        <w:rPr>
          <w:rFonts w:cs="BookAntiqua"/>
          <w:szCs w:val="26"/>
        </w:rPr>
        <w:t xml:space="preserve">transportation </w:t>
      </w:r>
      <w:r w:rsidR="00127F14">
        <w:rPr>
          <w:rFonts w:cs="BookAntiqua"/>
          <w:szCs w:val="26"/>
        </w:rPr>
        <w:t>carrier</w:t>
      </w:r>
      <w:r>
        <w:rPr>
          <w:rFonts w:cs="BookAntiqua"/>
          <w:szCs w:val="26"/>
        </w:rPr>
        <w:t>s</w:t>
      </w:r>
      <w:r w:rsidR="00127F14">
        <w:rPr>
          <w:rFonts w:cs="BookAntiqua"/>
          <w:szCs w:val="26"/>
        </w:rPr>
        <w:t xml:space="preserve"> </w:t>
      </w:r>
      <w:r w:rsidR="00CC10E9">
        <w:rPr>
          <w:rFonts w:cs="BookAntiqua"/>
          <w:szCs w:val="26"/>
        </w:rPr>
        <w:t xml:space="preserve">can </w:t>
      </w:r>
      <w:r w:rsidR="00127F14">
        <w:rPr>
          <w:rFonts w:cs="BookAntiqua"/>
          <w:szCs w:val="26"/>
        </w:rPr>
        <w:t xml:space="preserve">demonstrate </w:t>
      </w:r>
      <w:r>
        <w:rPr>
          <w:rFonts w:cs="BookAntiqua"/>
          <w:szCs w:val="26"/>
        </w:rPr>
        <w:t xml:space="preserve">compliance with </w:t>
      </w:r>
      <w:r w:rsidR="00E314C3">
        <w:rPr>
          <w:rFonts w:cs="BookAntiqua"/>
          <w:szCs w:val="26"/>
        </w:rPr>
        <w:t xml:space="preserve">safety requirements akin to the requirements </w:t>
      </w:r>
      <w:r w:rsidR="007F47B2">
        <w:rPr>
          <w:rFonts w:cs="BookAntiqua"/>
          <w:szCs w:val="26"/>
        </w:rPr>
        <w:t xml:space="preserve">for a </w:t>
      </w:r>
      <w:r w:rsidR="00E314C3">
        <w:rPr>
          <w:rFonts w:cs="BookAntiqua"/>
          <w:szCs w:val="26"/>
        </w:rPr>
        <w:t>TCP permit</w:t>
      </w:r>
      <w:r w:rsidR="00127F14">
        <w:rPr>
          <w:rFonts w:cs="BookAntiqua"/>
          <w:szCs w:val="26"/>
        </w:rPr>
        <w:t>.</w:t>
      </w:r>
      <w:r w:rsidR="002C2C0B">
        <w:rPr>
          <w:rFonts w:cs="BookAntiqua"/>
          <w:szCs w:val="26"/>
        </w:rPr>
        <w:t xml:space="preserve">  </w:t>
      </w:r>
      <w:r w:rsidR="007F47B2">
        <w:rPr>
          <w:rFonts w:cs="BookAntiqua"/>
          <w:szCs w:val="26"/>
        </w:rPr>
        <w:t>Parties</w:t>
      </w:r>
      <w:r w:rsidR="002C2C0B">
        <w:rPr>
          <w:rFonts w:cs="BookAntiqua"/>
          <w:szCs w:val="26"/>
        </w:rPr>
        <w:t xml:space="preserve"> should consider that an </w:t>
      </w:r>
      <w:r w:rsidR="00A72CB9">
        <w:rPr>
          <w:rFonts w:cs="BookAntiqua"/>
          <w:szCs w:val="26"/>
        </w:rPr>
        <w:t>Access Provider</w:t>
      </w:r>
      <w:r w:rsidR="002C2C0B">
        <w:rPr>
          <w:rFonts w:cs="BookAntiqua"/>
          <w:szCs w:val="26"/>
        </w:rPr>
        <w:t xml:space="preserve"> may be a new provider developing </w:t>
      </w:r>
      <w:r w:rsidR="007F47B2">
        <w:rPr>
          <w:rFonts w:cs="BookAntiqua"/>
          <w:szCs w:val="26"/>
        </w:rPr>
        <w:t>WAV</w:t>
      </w:r>
      <w:r w:rsidR="002C2C0B">
        <w:rPr>
          <w:rFonts w:cs="BookAntiqua"/>
          <w:szCs w:val="26"/>
        </w:rPr>
        <w:t xml:space="preserve"> services </w:t>
      </w:r>
      <w:r w:rsidR="007F47B2">
        <w:rPr>
          <w:rFonts w:cs="BookAntiqua"/>
          <w:szCs w:val="26"/>
        </w:rPr>
        <w:t xml:space="preserve">for the first time </w:t>
      </w:r>
      <w:r w:rsidR="002C2C0B">
        <w:rPr>
          <w:rFonts w:cs="BookAntiqua"/>
          <w:szCs w:val="26"/>
        </w:rPr>
        <w:t>or an established provider</w:t>
      </w:r>
      <w:r w:rsidR="007F47B2">
        <w:rPr>
          <w:rFonts w:cs="BookAntiqua"/>
          <w:szCs w:val="26"/>
        </w:rPr>
        <w:t xml:space="preserve"> </w:t>
      </w:r>
      <w:r w:rsidR="002C2C0B">
        <w:rPr>
          <w:rFonts w:cs="BookAntiqua"/>
          <w:szCs w:val="26"/>
        </w:rPr>
        <w:t>bolstering existing services.</w:t>
      </w:r>
    </w:p>
    <w:p w:rsidR="00510E77" w:rsidP="00E314C3" w:rsidRDefault="00D7283C" w14:paraId="7A7273EA" w14:textId="50086EFC">
      <w:pPr>
        <w:pStyle w:val="ALJBodyText"/>
        <w:rPr>
          <w:rFonts w:cs="BookAntiqua"/>
          <w:szCs w:val="26"/>
        </w:rPr>
      </w:pPr>
      <w:r>
        <w:rPr>
          <w:rFonts w:cs="BookAntiqua"/>
          <w:szCs w:val="26"/>
        </w:rPr>
        <w:t>In</w:t>
      </w:r>
      <w:r w:rsidR="00510E77">
        <w:rPr>
          <w:rFonts w:cs="BookAntiqua"/>
          <w:szCs w:val="26"/>
        </w:rPr>
        <w:t xml:space="preserve"> the interim, an </w:t>
      </w:r>
      <w:r w:rsidR="00A72CB9">
        <w:rPr>
          <w:rFonts w:cs="BookAntiqua"/>
          <w:szCs w:val="26"/>
        </w:rPr>
        <w:t>Access Provider</w:t>
      </w:r>
      <w:r w:rsidR="00510E77">
        <w:rPr>
          <w:rFonts w:cs="BookAntiqua"/>
          <w:szCs w:val="26"/>
        </w:rPr>
        <w:t xml:space="preserve"> </w:t>
      </w:r>
      <w:r>
        <w:rPr>
          <w:rFonts w:cs="BookAntiqua"/>
          <w:szCs w:val="26"/>
        </w:rPr>
        <w:t>shall be</w:t>
      </w:r>
      <w:r w:rsidR="00510E77">
        <w:rPr>
          <w:rFonts w:cs="BookAntiqua"/>
          <w:szCs w:val="26"/>
        </w:rPr>
        <w:t xml:space="preserve"> limited to</w:t>
      </w:r>
      <w:r w:rsidR="008B1D67">
        <w:rPr>
          <w:rFonts w:cs="BookAntiqua"/>
          <w:szCs w:val="26"/>
        </w:rPr>
        <w:t xml:space="preserve"> </w:t>
      </w:r>
      <w:bookmarkStart w:name="_Hlk62499846" w:id="32"/>
      <w:r w:rsidR="005603C8">
        <w:rPr>
          <w:rFonts w:cs="BookAntiqua"/>
          <w:szCs w:val="26"/>
        </w:rPr>
        <w:t xml:space="preserve">a </w:t>
      </w:r>
      <w:r w:rsidR="008B1D67">
        <w:rPr>
          <w:rFonts w:cs="BookAntiqua"/>
          <w:szCs w:val="26"/>
        </w:rPr>
        <w:t>transportation carrier that</w:t>
      </w:r>
      <w:r w:rsidR="002A65CF">
        <w:rPr>
          <w:rFonts w:cs="BookAntiqua"/>
          <w:szCs w:val="26"/>
        </w:rPr>
        <w:t xml:space="preserve"> hold</w:t>
      </w:r>
      <w:r w:rsidR="005603C8">
        <w:rPr>
          <w:rFonts w:cs="BookAntiqua"/>
          <w:szCs w:val="26"/>
        </w:rPr>
        <w:t>s</w:t>
      </w:r>
      <w:r w:rsidR="002A65CF">
        <w:rPr>
          <w:rFonts w:cs="BookAntiqua"/>
          <w:szCs w:val="26"/>
        </w:rPr>
        <w:t xml:space="preserve"> a Commission-issued permit prior to </w:t>
      </w:r>
      <w:r w:rsidR="008B1D67">
        <w:rPr>
          <w:rFonts w:cs="BookAntiqua"/>
          <w:szCs w:val="26"/>
        </w:rPr>
        <w:t>applying to become</w:t>
      </w:r>
      <w:r w:rsidR="002A65CF">
        <w:rPr>
          <w:rFonts w:cs="BookAntiqua"/>
          <w:szCs w:val="26"/>
        </w:rPr>
        <w:t xml:space="preserve"> an Access Provider.</w:t>
      </w:r>
      <w:r>
        <w:rPr>
          <w:rFonts w:cs="BookAntiqua"/>
          <w:szCs w:val="26"/>
        </w:rPr>
        <w:t xml:space="preserve"> </w:t>
      </w:r>
      <w:r w:rsidR="002A65CF">
        <w:rPr>
          <w:rFonts w:cs="BookAntiqua"/>
          <w:szCs w:val="26"/>
        </w:rPr>
        <w:t xml:space="preserve"> </w:t>
      </w:r>
      <w:bookmarkEnd w:id="32"/>
      <w:r w:rsidR="002A65CF">
        <w:rPr>
          <w:rFonts w:cs="BookAntiqua"/>
          <w:szCs w:val="26"/>
        </w:rPr>
        <w:t>A</w:t>
      </w:r>
      <w:r>
        <w:rPr>
          <w:rFonts w:cs="BookAntiqua"/>
          <w:szCs w:val="26"/>
        </w:rPr>
        <w:t>ccordingly, we adopt this requirement</w:t>
      </w:r>
      <w:r w:rsidR="00510E77">
        <w:rPr>
          <w:rFonts w:cs="BookAntiqua"/>
          <w:szCs w:val="26"/>
        </w:rPr>
        <w:t>.</w:t>
      </w:r>
    </w:p>
    <w:p w:rsidRPr="00853325" w:rsidR="00EB479C" w:rsidP="00224875" w:rsidRDefault="00C978D8" w14:paraId="6306B247" w14:textId="3F9F76D5">
      <w:pPr>
        <w:pStyle w:val="Heading2"/>
        <w:keepLines/>
        <w:numPr>
          <w:ilvl w:val="1"/>
          <w:numId w:val="1"/>
        </w:numPr>
        <w:tabs>
          <w:tab w:val="num" w:pos="1080"/>
        </w:tabs>
        <w:spacing w:before="0"/>
        <w:ind w:left="1080" w:right="2160" w:hanging="720"/>
      </w:pPr>
      <w:bookmarkStart w:name="_Toc65585466" w:id="33"/>
      <w:r>
        <w:t>Use of Access Provider Funds</w:t>
      </w:r>
      <w:bookmarkEnd w:id="33"/>
    </w:p>
    <w:p w:rsidR="00EB479C" w:rsidP="009E1872" w:rsidRDefault="006235D2" w14:paraId="42373CEF" w14:textId="6ADA0839">
      <w:pPr>
        <w:pStyle w:val="ALJBodyText"/>
        <w:rPr>
          <w:rFonts w:cs="BookAntiqua"/>
          <w:szCs w:val="26"/>
        </w:rPr>
      </w:pPr>
      <w:r>
        <w:rPr>
          <w:rFonts w:cs="BookAntiqua"/>
          <w:szCs w:val="26"/>
        </w:rPr>
        <w:t xml:space="preserve">Lyft, </w:t>
      </w:r>
      <w:r w:rsidR="000905D5">
        <w:rPr>
          <w:rFonts w:cs="BookAntiqua"/>
          <w:szCs w:val="26"/>
        </w:rPr>
        <w:t>Disability Advocates</w:t>
      </w:r>
      <w:r w:rsidR="00B250E1">
        <w:rPr>
          <w:rFonts w:cs="BookAntiqua"/>
          <w:szCs w:val="26"/>
        </w:rPr>
        <w:t>,</w:t>
      </w:r>
      <w:r w:rsidR="00A51696">
        <w:rPr>
          <w:rFonts w:cs="BookAntiqua"/>
          <w:szCs w:val="26"/>
        </w:rPr>
        <w:t xml:space="preserve"> </w:t>
      </w:r>
      <w:r>
        <w:rPr>
          <w:rFonts w:cs="BookAntiqua"/>
          <w:szCs w:val="26"/>
        </w:rPr>
        <w:t xml:space="preserve">and </w:t>
      </w:r>
      <w:r w:rsidR="000905D5">
        <w:rPr>
          <w:rFonts w:cs="BookAntiqua"/>
          <w:szCs w:val="26"/>
        </w:rPr>
        <w:t>San Francisco</w:t>
      </w:r>
      <w:r w:rsidR="002E6E8C">
        <w:rPr>
          <w:rFonts w:cs="BookAntiqua"/>
          <w:szCs w:val="26"/>
        </w:rPr>
        <w:t xml:space="preserve"> </w:t>
      </w:r>
      <w:r>
        <w:rPr>
          <w:rFonts w:cs="BookAntiqua"/>
          <w:szCs w:val="26"/>
        </w:rPr>
        <w:t xml:space="preserve">recommend that </w:t>
      </w:r>
      <w:r w:rsidR="002E6E8C">
        <w:rPr>
          <w:rFonts w:cs="BookAntiqua"/>
          <w:szCs w:val="26"/>
        </w:rPr>
        <w:t xml:space="preserve">eligible </w:t>
      </w:r>
      <w:r w:rsidR="000A3A9E">
        <w:rPr>
          <w:rFonts w:cs="BookAntiqua"/>
          <w:szCs w:val="26"/>
        </w:rPr>
        <w:t>expenses</w:t>
      </w:r>
      <w:r w:rsidR="002E6E8C">
        <w:rPr>
          <w:rFonts w:cs="BookAntiqua"/>
          <w:szCs w:val="26"/>
        </w:rPr>
        <w:t xml:space="preserve"> for </w:t>
      </w:r>
      <w:r w:rsidR="00A72CB9">
        <w:rPr>
          <w:rFonts w:cs="BookAntiqua"/>
          <w:szCs w:val="26"/>
        </w:rPr>
        <w:t>Access Provider</w:t>
      </w:r>
      <w:r w:rsidR="002E6E8C">
        <w:rPr>
          <w:rFonts w:cs="BookAntiqua"/>
          <w:szCs w:val="26"/>
        </w:rPr>
        <w:t xml:space="preserve">s should be the same as the eligible </w:t>
      </w:r>
      <w:r w:rsidR="000A2056">
        <w:rPr>
          <w:rFonts w:cs="BookAntiqua"/>
          <w:szCs w:val="26"/>
        </w:rPr>
        <w:t>expenses</w:t>
      </w:r>
      <w:r w:rsidR="002E6E8C">
        <w:rPr>
          <w:rFonts w:cs="BookAntiqua"/>
          <w:szCs w:val="26"/>
        </w:rPr>
        <w:t xml:space="preserve"> for TNCs.</w:t>
      </w:r>
      <w:r>
        <w:rPr>
          <w:rStyle w:val="FootnoteReference"/>
          <w:rFonts w:cs="BookAntiqua"/>
          <w:szCs w:val="26"/>
        </w:rPr>
        <w:footnoteReference w:id="61"/>
      </w:r>
      <w:r w:rsidR="00B250E1">
        <w:rPr>
          <w:rFonts w:cs="BookAntiqua"/>
          <w:szCs w:val="26"/>
        </w:rPr>
        <w:t xml:space="preserve">  Marin Transit and </w:t>
      </w:r>
      <w:r w:rsidR="000905D5">
        <w:rPr>
          <w:rFonts w:cs="BookAntiqua"/>
          <w:szCs w:val="26"/>
        </w:rPr>
        <w:t xml:space="preserve">LA </w:t>
      </w:r>
      <w:r w:rsidR="00B250E1">
        <w:rPr>
          <w:rFonts w:cs="BookAntiqua"/>
          <w:szCs w:val="26"/>
        </w:rPr>
        <w:t xml:space="preserve">Metro </w:t>
      </w:r>
      <w:r w:rsidR="000A3A9E">
        <w:rPr>
          <w:rFonts w:cs="BookAntiqua"/>
          <w:szCs w:val="26"/>
        </w:rPr>
        <w:t>recommend</w:t>
      </w:r>
      <w:r w:rsidR="00B250E1">
        <w:rPr>
          <w:rFonts w:cs="BookAntiqua"/>
          <w:szCs w:val="26"/>
        </w:rPr>
        <w:t xml:space="preserve"> that the AFA </w:t>
      </w:r>
      <w:r w:rsidR="00966E15">
        <w:rPr>
          <w:rFonts w:cs="BookAntiqua"/>
          <w:szCs w:val="26"/>
        </w:rPr>
        <w:t>determine</w:t>
      </w:r>
      <w:r w:rsidR="00B250E1">
        <w:rPr>
          <w:rFonts w:cs="BookAntiqua"/>
          <w:szCs w:val="26"/>
        </w:rPr>
        <w:t xml:space="preserve"> </w:t>
      </w:r>
      <w:r w:rsidR="00966E15">
        <w:rPr>
          <w:rFonts w:cs="BookAntiqua"/>
          <w:szCs w:val="26"/>
        </w:rPr>
        <w:t xml:space="preserve">the eligible expenses </w:t>
      </w:r>
      <w:r w:rsidR="000905D5">
        <w:rPr>
          <w:rFonts w:cs="BookAntiqua"/>
          <w:szCs w:val="26"/>
        </w:rPr>
        <w:t>so long as</w:t>
      </w:r>
      <w:r w:rsidR="00B250E1">
        <w:rPr>
          <w:rFonts w:cs="BookAntiqua"/>
          <w:szCs w:val="26"/>
        </w:rPr>
        <w:t xml:space="preserve"> money</w:t>
      </w:r>
      <w:r w:rsidR="00966E15">
        <w:rPr>
          <w:rFonts w:cs="BookAntiqua"/>
          <w:szCs w:val="26"/>
        </w:rPr>
        <w:t>s</w:t>
      </w:r>
      <w:r w:rsidR="00B250E1">
        <w:rPr>
          <w:rFonts w:cs="BookAntiqua"/>
          <w:szCs w:val="26"/>
        </w:rPr>
        <w:t xml:space="preserve"> </w:t>
      </w:r>
      <w:r w:rsidR="000905D5">
        <w:rPr>
          <w:rFonts w:cs="BookAntiqua"/>
          <w:szCs w:val="26"/>
        </w:rPr>
        <w:t>are</w:t>
      </w:r>
      <w:r w:rsidR="00B250E1">
        <w:rPr>
          <w:rFonts w:cs="BookAntiqua"/>
          <w:szCs w:val="26"/>
        </w:rPr>
        <w:t xml:space="preserve"> used for reasonable, legitimate costs for improving the delivery of WAV service.</w:t>
      </w:r>
      <w:r w:rsidR="00B250E1">
        <w:rPr>
          <w:rStyle w:val="FootnoteReference"/>
          <w:rFonts w:cs="BookAntiqua"/>
          <w:szCs w:val="26"/>
        </w:rPr>
        <w:footnoteReference w:id="62"/>
      </w:r>
      <w:r w:rsidR="00B250E1">
        <w:rPr>
          <w:rFonts w:cs="BookAntiqua"/>
          <w:szCs w:val="26"/>
        </w:rPr>
        <w:t xml:space="preserve"> </w:t>
      </w:r>
      <w:r w:rsidR="000A3A9E">
        <w:rPr>
          <w:rFonts w:cs="BookAntiqua"/>
          <w:szCs w:val="26"/>
        </w:rPr>
        <w:t xml:space="preserve"> </w:t>
      </w:r>
      <w:r w:rsidR="00966E15">
        <w:rPr>
          <w:rFonts w:cs="BookAntiqua"/>
          <w:szCs w:val="26"/>
        </w:rPr>
        <w:t xml:space="preserve">The Commission </w:t>
      </w:r>
      <w:r w:rsidR="000905D5">
        <w:rPr>
          <w:rFonts w:cs="BookAntiqua"/>
          <w:szCs w:val="26"/>
        </w:rPr>
        <w:t>finds</w:t>
      </w:r>
      <w:r w:rsidR="00966E15">
        <w:rPr>
          <w:rFonts w:cs="BookAntiqua"/>
          <w:szCs w:val="26"/>
        </w:rPr>
        <w:t xml:space="preserve"> it reasonable and</w:t>
      </w:r>
      <w:r w:rsidR="00244F8C">
        <w:rPr>
          <w:rFonts w:cs="BookAntiqua"/>
          <w:szCs w:val="26"/>
        </w:rPr>
        <w:t xml:space="preserve"> consistent </w:t>
      </w:r>
      <w:r w:rsidR="000905D5">
        <w:rPr>
          <w:rFonts w:cs="BookAntiqua"/>
          <w:szCs w:val="26"/>
        </w:rPr>
        <w:t xml:space="preserve">with D.20-03-007 </w:t>
      </w:r>
      <w:r w:rsidR="00B32FA1">
        <w:rPr>
          <w:rFonts w:cs="BookAntiqua"/>
          <w:szCs w:val="26"/>
        </w:rPr>
        <w:t>that</w:t>
      </w:r>
      <w:r w:rsidR="00A55900">
        <w:rPr>
          <w:rFonts w:cs="BookAntiqua"/>
          <w:szCs w:val="26"/>
        </w:rPr>
        <w:t xml:space="preserve"> </w:t>
      </w:r>
      <w:r w:rsidR="00FD0688">
        <w:rPr>
          <w:rFonts w:cs="BookAntiqua"/>
          <w:szCs w:val="26"/>
        </w:rPr>
        <w:t xml:space="preserve">a qualifying expense for an </w:t>
      </w:r>
      <w:r w:rsidR="00A72CB9">
        <w:rPr>
          <w:rFonts w:cs="BookAntiqua"/>
          <w:szCs w:val="26"/>
        </w:rPr>
        <w:t>Access Provider</w:t>
      </w:r>
      <w:r w:rsidR="00FD0688">
        <w:rPr>
          <w:rFonts w:cs="BookAntiqua"/>
          <w:szCs w:val="26"/>
        </w:rPr>
        <w:t xml:space="preserve"> is the same as a qualifying expense for</w:t>
      </w:r>
      <w:r w:rsidR="00966E15">
        <w:rPr>
          <w:rFonts w:cs="BookAntiqua"/>
          <w:szCs w:val="26"/>
        </w:rPr>
        <w:t xml:space="preserve"> </w:t>
      </w:r>
      <w:r w:rsidR="00FD0688">
        <w:rPr>
          <w:rFonts w:cs="BookAntiqua"/>
          <w:szCs w:val="26"/>
        </w:rPr>
        <w:t xml:space="preserve">a TNC’s </w:t>
      </w:r>
      <w:r w:rsidR="00966E15">
        <w:rPr>
          <w:rFonts w:cs="BookAntiqua"/>
          <w:szCs w:val="26"/>
        </w:rPr>
        <w:t>offset reimbursements</w:t>
      </w:r>
      <w:r w:rsidR="00244F8C">
        <w:rPr>
          <w:rFonts w:cs="BookAntiqua"/>
          <w:szCs w:val="26"/>
        </w:rPr>
        <w:t xml:space="preserve">.  </w:t>
      </w:r>
    </w:p>
    <w:p w:rsidR="00FD0688" w:rsidP="009E1872" w:rsidRDefault="009E1872" w14:paraId="7EE3BF5E" w14:textId="497A68F2">
      <w:pPr>
        <w:spacing w:line="360" w:lineRule="auto"/>
        <w:ind w:firstLine="720"/>
        <w:rPr>
          <w:rFonts w:cs="Calibri"/>
          <w:szCs w:val="26"/>
        </w:rPr>
      </w:pPr>
      <w:r>
        <w:rPr>
          <w:rFonts w:cs="BookAntiqua"/>
          <w:szCs w:val="26"/>
        </w:rPr>
        <w:t xml:space="preserve">A related issue is whether there should be different </w:t>
      </w:r>
      <w:r w:rsidRPr="00C079FA">
        <w:rPr>
          <w:rFonts w:cs="BookAntiqua"/>
          <w:szCs w:val="26"/>
        </w:rPr>
        <w:t xml:space="preserve">qualifying expenses for </w:t>
      </w:r>
      <w:r w:rsidR="00A72CB9">
        <w:rPr>
          <w:rFonts w:cs="BookAntiqua"/>
          <w:szCs w:val="26"/>
        </w:rPr>
        <w:t>Access Provider</w:t>
      </w:r>
      <w:r w:rsidRPr="00C079FA">
        <w:rPr>
          <w:rFonts w:cs="BookAntiqua"/>
          <w:szCs w:val="26"/>
        </w:rPr>
        <w:t>s</w:t>
      </w:r>
      <w:r>
        <w:rPr>
          <w:rFonts w:cs="BookAntiqua"/>
          <w:szCs w:val="26"/>
        </w:rPr>
        <w:t xml:space="preserve"> </w:t>
      </w:r>
      <w:r w:rsidRPr="00C079FA">
        <w:rPr>
          <w:rFonts w:cs="BookAntiqua"/>
          <w:szCs w:val="26"/>
        </w:rPr>
        <w:t>served by</w:t>
      </w:r>
      <w:r>
        <w:rPr>
          <w:rFonts w:cs="BookAntiqua"/>
          <w:szCs w:val="26"/>
        </w:rPr>
        <w:t xml:space="preserve"> the SAFA, rather than a LAFA.</w:t>
      </w:r>
      <w:r w:rsidRPr="00C079FA">
        <w:rPr>
          <w:rFonts w:cs="BookAntiqua"/>
          <w:szCs w:val="26"/>
        </w:rPr>
        <w:t xml:space="preserve"> </w:t>
      </w:r>
      <w:r>
        <w:rPr>
          <w:rFonts w:cs="BookAntiqua"/>
          <w:szCs w:val="26"/>
        </w:rPr>
        <w:t xml:space="preserve"> CPED </w:t>
      </w:r>
      <w:r w:rsidR="00FD0688">
        <w:rPr>
          <w:rFonts w:cs="BookAntiqua"/>
          <w:szCs w:val="26"/>
        </w:rPr>
        <w:t>believes</w:t>
      </w:r>
      <w:r>
        <w:rPr>
          <w:rFonts w:cs="BookAntiqua"/>
          <w:szCs w:val="26"/>
        </w:rPr>
        <w:t xml:space="preserve"> it is premature to determine such expenses because it is unclear whether a SAFA will be necessary.</w:t>
      </w:r>
      <w:r>
        <w:rPr>
          <w:rStyle w:val="FootnoteReference"/>
          <w:rFonts w:cs="BookAntiqua"/>
          <w:szCs w:val="26"/>
        </w:rPr>
        <w:footnoteReference w:id="63"/>
      </w:r>
      <w:r>
        <w:rPr>
          <w:rFonts w:cs="BookAntiqua"/>
          <w:szCs w:val="26"/>
        </w:rPr>
        <w:t xml:space="preserve">  </w:t>
      </w:r>
      <w:r>
        <w:rPr>
          <w:rFonts w:cs="Calibri"/>
          <w:szCs w:val="26"/>
        </w:rPr>
        <w:t xml:space="preserve">Uber argues that because it is unclear how long it will take to </w:t>
      </w:r>
      <w:r>
        <w:rPr>
          <w:rFonts w:cs="Calibri"/>
          <w:szCs w:val="26"/>
        </w:rPr>
        <w:lastRenderedPageBreak/>
        <w:t>establish a SAFA, qualifying expenses should be addressed and Uber proposes that qualifying expenses under a SAFA should be the same as for TNCs.</w:t>
      </w:r>
      <w:r>
        <w:rPr>
          <w:rStyle w:val="FootnoteReference"/>
          <w:rFonts w:cs="Calibri"/>
          <w:szCs w:val="26"/>
        </w:rPr>
        <w:footnoteReference w:id="64"/>
      </w:r>
      <w:r>
        <w:rPr>
          <w:rFonts w:cs="Calibri"/>
          <w:szCs w:val="26"/>
        </w:rPr>
        <w:t xml:space="preserve">  </w:t>
      </w:r>
    </w:p>
    <w:p w:rsidR="009E1872" w:rsidP="009E1872" w:rsidRDefault="009E1872" w14:paraId="13EDBE5E" w14:textId="20365A11">
      <w:pPr>
        <w:spacing w:line="360" w:lineRule="auto"/>
        <w:ind w:firstLine="720"/>
        <w:rPr>
          <w:rFonts w:cs="BookAntiqua"/>
          <w:szCs w:val="26"/>
        </w:rPr>
      </w:pPr>
      <w:r>
        <w:rPr>
          <w:rFonts w:cs="Calibri"/>
          <w:szCs w:val="26"/>
        </w:rPr>
        <w:t xml:space="preserve">We agree with Uber that for </w:t>
      </w:r>
      <w:r w:rsidR="00A72CB9">
        <w:rPr>
          <w:rFonts w:cs="Calibri"/>
          <w:szCs w:val="26"/>
        </w:rPr>
        <w:t>Access Provider</w:t>
      </w:r>
      <w:r>
        <w:rPr>
          <w:rFonts w:cs="Calibri"/>
          <w:szCs w:val="26"/>
        </w:rPr>
        <w:t xml:space="preserve">s served by a SAFA, qualifying expenses should be the same as for </w:t>
      </w:r>
      <w:r w:rsidR="00A72CB9">
        <w:rPr>
          <w:rFonts w:cs="Calibri"/>
          <w:szCs w:val="26"/>
        </w:rPr>
        <w:t>Access Provider</w:t>
      </w:r>
      <w:r>
        <w:rPr>
          <w:rFonts w:cs="Calibri"/>
          <w:szCs w:val="26"/>
        </w:rPr>
        <w:t xml:space="preserve">s served by a LAFA or TNCs seeking an offset.  </w:t>
      </w:r>
      <w:r>
        <w:rPr>
          <w:rFonts w:cs="BookAntiqua"/>
          <w:szCs w:val="26"/>
        </w:rPr>
        <w:t xml:space="preserve">Accordingly, a qualifying expense for an </w:t>
      </w:r>
      <w:r w:rsidR="00A72CB9">
        <w:rPr>
          <w:rFonts w:cs="BookAntiqua"/>
          <w:szCs w:val="26"/>
        </w:rPr>
        <w:t>Access Provider</w:t>
      </w:r>
      <w:r>
        <w:rPr>
          <w:rFonts w:cs="BookAntiqua"/>
          <w:szCs w:val="26"/>
        </w:rPr>
        <w:t xml:space="preserve"> is a reasonable, legitimate cost that improves WAV service, and appears on the list of eligible expenses attached as Appendix A to D.20-03-007.  </w:t>
      </w:r>
    </w:p>
    <w:p w:rsidR="00A21F64" w:rsidP="00A21F64" w:rsidRDefault="00077A57" w14:paraId="6CC5651D" w14:textId="778429FE">
      <w:pPr>
        <w:pStyle w:val="ALJBodyText"/>
        <w:rPr>
          <w:rFonts w:cs="BookAntiqua"/>
          <w:szCs w:val="26"/>
        </w:rPr>
      </w:pPr>
      <w:r>
        <w:rPr>
          <w:rFonts w:cs="BookAntiqua"/>
          <w:szCs w:val="26"/>
        </w:rPr>
        <w:t>Lastly, we consider</w:t>
      </w:r>
      <w:r w:rsidR="00A21F64">
        <w:rPr>
          <w:rFonts w:cs="BookAntiqua"/>
          <w:szCs w:val="26"/>
        </w:rPr>
        <w:t xml:space="preserve"> whether a maximum or minimum amount of funding </w:t>
      </w:r>
      <w:r w:rsidR="000905D5">
        <w:rPr>
          <w:rFonts w:cs="BookAntiqua"/>
          <w:szCs w:val="26"/>
        </w:rPr>
        <w:t xml:space="preserve">should be </w:t>
      </w:r>
      <w:r w:rsidR="00A21F64">
        <w:rPr>
          <w:rFonts w:cs="BookAntiqua"/>
          <w:szCs w:val="26"/>
        </w:rPr>
        <w:t xml:space="preserve">disbursed to an </w:t>
      </w:r>
      <w:r w:rsidR="00A72CB9">
        <w:rPr>
          <w:rFonts w:cs="BookAntiqua"/>
          <w:szCs w:val="26"/>
        </w:rPr>
        <w:t>Access Provider</w:t>
      </w:r>
      <w:r w:rsidR="00A21F64">
        <w:rPr>
          <w:rFonts w:cs="BookAntiqua"/>
          <w:szCs w:val="26"/>
        </w:rPr>
        <w:t xml:space="preserve">.  </w:t>
      </w:r>
      <w:r w:rsidR="000905D5">
        <w:rPr>
          <w:rFonts w:cs="BookAntiqua"/>
          <w:szCs w:val="26"/>
        </w:rPr>
        <w:t>Disability Advocates</w:t>
      </w:r>
      <w:r w:rsidR="00A21F64">
        <w:rPr>
          <w:rFonts w:cs="BookAntiqua"/>
          <w:szCs w:val="26"/>
        </w:rPr>
        <w:t xml:space="preserve">, Uber, and Lyft object to a minimum or maximum </w:t>
      </w:r>
      <w:r w:rsidR="00966E15">
        <w:rPr>
          <w:rFonts w:cs="BookAntiqua"/>
          <w:szCs w:val="26"/>
        </w:rPr>
        <w:t xml:space="preserve">and </w:t>
      </w:r>
      <w:r w:rsidR="000905D5">
        <w:rPr>
          <w:rFonts w:cs="BookAntiqua"/>
          <w:szCs w:val="26"/>
        </w:rPr>
        <w:t>note</w:t>
      </w:r>
      <w:r w:rsidR="00966E15">
        <w:rPr>
          <w:rFonts w:cs="BookAntiqua"/>
          <w:szCs w:val="26"/>
        </w:rPr>
        <w:t xml:space="preserve"> </w:t>
      </w:r>
      <w:r w:rsidR="00A21F64">
        <w:rPr>
          <w:rFonts w:cs="BookAntiqua"/>
          <w:szCs w:val="26"/>
        </w:rPr>
        <w:t>that SB 1376 does not include such limitations.</w:t>
      </w:r>
      <w:r w:rsidR="00A21F64">
        <w:rPr>
          <w:rStyle w:val="FootnoteReference"/>
          <w:rFonts w:cs="BookAntiqua"/>
          <w:szCs w:val="26"/>
        </w:rPr>
        <w:footnoteReference w:id="65"/>
      </w:r>
      <w:r w:rsidR="00A21F64">
        <w:rPr>
          <w:rFonts w:cs="BookAntiqua"/>
          <w:szCs w:val="26"/>
        </w:rPr>
        <w:t xml:space="preserve">  </w:t>
      </w:r>
      <w:r w:rsidR="000905D5">
        <w:rPr>
          <w:rFonts w:cs="BookAntiqua"/>
          <w:szCs w:val="26"/>
        </w:rPr>
        <w:t xml:space="preserve">LA </w:t>
      </w:r>
      <w:r w:rsidR="00A21F64">
        <w:rPr>
          <w:rFonts w:cs="BookAntiqua"/>
          <w:szCs w:val="26"/>
        </w:rPr>
        <w:t xml:space="preserve">Metro, Marin Transit, and </w:t>
      </w:r>
      <w:r w:rsidR="000905D5">
        <w:rPr>
          <w:rFonts w:cs="BookAntiqua"/>
          <w:szCs w:val="26"/>
        </w:rPr>
        <w:t>San Francisco</w:t>
      </w:r>
      <w:r w:rsidR="00A21F64">
        <w:rPr>
          <w:rFonts w:cs="BookAntiqua"/>
          <w:szCs w:val="26"/>
        </w:rPr>
        <w:t xml:space="preserve"> </w:t>
      </w:r>
      <w:r w:rsidR="00966E15">
        <w:rPr>
          <w:rFonts w:cs="BookAntiqua"/>
          <w:szCs w:val="26"/>
        </w:rPr>
        <w:t>assert that</w:t>
      </w:r>
      <w:r w:rsidR="00A21F64">
        <w:rPr>
          <w:rFonts w:cs="BookAntiqua"/>
          <w:szCs w:val="26"/>
        </w:rPr>
        <w:t xml:space="preserve"> </w:t>
      </w:r>
      <w:r w:rsidR="009E1872">
        <w:rPr>
          <w:rFonts w:cs="BookAntiqua"/>
          <w:szCs w:val="26"/>
        </w:rPr>
        <w:t>a</w:t>
      </w:r>
      <w:r w:rsidR="00A21F64">
        <w:rPr>
          <w:rFonts w:cs="BookAntiqua"/>
          <w:szCs w:val="26"/>
        </w:rPr>
        <w:t xml:space="preserve"> minimum or maximum should be set by the AFA and informed by the total funds available in each county.</w:t>
      </w:r>
      <w:r w:rsidR="00A21F64">
        <w:rPr>
          <w:rStyle w:val="FootnoteReference"/>
          <w:rFonts w:cs="BookAntiqua"/>
          <w:szCs w:val="26"/>
        </w:rPr>
        <w:footnoteReference w:id="66"/>
      </w:r>
      <w:r w:rsidR="00A21F64">
        <w:rPr>
          <w:rFonts w:cs="BookAntiqua"/>
          <w:szCs w:val="26"/>
        </w:rPr>
        <w:t xml:space="preserve">  The Commission </w:t>
      </w:r>
      <w:r w:rsidR="00A55900">
        <w:rPr>
          <w:rFonts w:cs="BookAntiqua"/>
          <w:szCs w:val="26"/>
        </w:rPr>
        <w:t xml:space="preserve">agrees </w:t>
      </w:r>
      <w:r w:rsidR="009E1872">
        <w:rPr>
          <w:rFonts w:cs="BookAntiqua"/>
          <w:szCs w:val="26"/>
        </w:rPr>
        <w:t>with parties that state that</w:t>
      </w:r>
      <w:r w:rsidR="00A21F64">
        <w:rPr>
          <w:rFonts w:cs="BookAntiqua"/>
          <w:szCs w:val="26"/>
        </w:rPr>
        <w:t xml:space="preserve"> SB 1376 does not contemplate limitations on the amounts distributed </w:t>
      </w:r>
      <w:r w:rsidR="00A55900">
        <w:rPr>
          <w:rFonts w:cs="BookAntiqua"/>
          <w:szCs w:val="26"/>
        </w:rPr>
        <w:t>to</w:t>
      </w:r>
      <w:r w:rsidR="00A21F64">
        <w:rPr>
          <w:rFonts w:cs="BookAntiqua"/>
          <w:szCs w:val="26"/>
        </w:rPr>
        <w:t xml:space="preserve"> </w:t>
      </w:r>
      <w:r w:rsidR="00A72CB9">
        <w:rPr>
          <w:rFonts w:cs="BookAntiqua"/>
          <w:szCs w:val="26"/>
        </w:rPr>
        <w:t>Access Provider</w:t>
      </w:r>
      <w:r w:rsidR="00A55900">
        <w:rPr>
          <w:rFonts w:cs="BookAntiqua"/>
          <w:szCs w:val="26"/>
        </w:rPr>
        <w:t>s</w:t>
      </w:r>
      <w:r w:rsidR="00A21F64">
        <w:rPr>
          <w:rFonts w:cs="BookAntiqua"/>
          <w:szCs w:val="26"/>
        </w:rPr>
        <w:t xml:space="preserve">, </w:t>
      </w:r>
      <w:r w:rsidR="00A55900">
        <w:rPr>
          <w:rFonts w:cs="BookAntiqua"/>
          <w:szCs w:val="26"/>
        </w:rPr>
        <w:t xml:space="preserve">and </w:t>
      </w:r>
      <w:r w:rsidR="00EA7FB5">
        <w:rPr>
          <w:rFonts w:cs="BookAntiqua"/>
          <w:szCs w:val="26"/>
        </w:rPr>
        <w:t xml:space="preserve">we decline to adopt </w:t>
      </w:r>
      <w:r w:rsidR="009E1872">
        <w:rPr>
          <w:rFonts w:cs="BookAntiqua"/>
          <w:szCs w:val="26"/>
        </w:rPr>
        <w:t>any</w:t>
      </w:r>
      <w:r w:rsidR="00EA7FB5">
        <w:rPr>
          <w:rFonts w:cs="BookAntiqua"/>
          <w:szCs w:val="26"/>
        </w:rPr>
        <w:t xml:space="preserve"> limitations</w:t>
      </w:r>
      <w:r w:rsidR="00A21F64">
        <w:rPr>
          <w:rFonts w:cs="BookAntiqua"/>
          <w:szCs w:val="26"/>
        </w:rPr>
        <w:t>.</w:t>
      </w:r>
    </w:p>
    <w:p w:rsidR="009C3D04" w:rsidP="00224875" w:rsidRDefault="00BA227F" w14:paraId="6F635F72" w14:textId="0CA41611">
      <w:pPr>
        <w:pStyle w:val="Heading2"/>
        <w:keepLines/>
        <w:numPr>
          <w:ilvl w:val="1"/>
          <w:numId w:val="1"/>
        </w:numPr>
        <w:tabs>
          <w:tab w:val="num" w:pos="1080"/>
        </w:tabs>
        <w:spacing w:before="0"/>
        <w:ind w:left="1080" w:right="2160" w:hanging="720"/>
      </w:pPr>
      <w:bookmarkStart w:name="_Toc65585467" w:id="34"/>
      <w:r>
        <w:t>Approval Process for Access Provider Application</w:t>
      </w:r>
      <w:bookmarkEnd w:id="34"/>
    </w:p>
    <w:p w:rsidR="002025FD" w:rsidP="002025FD" w:rsidRDefault="004F03A1" w14:paraId="5D7D1233" w14:textId="244BF4E1">
      <w:pPr>
        <w:pStyle w:val="ALJBodyText"/>
        <w:rPr>
          <w:rFonts w:cs="BookAntiqua"/>
          <w:szCs w:val="26"/>
        </w:rPr>
      </w:pPr>
      <w:r>
        <w:rPr>
          <w:rFonts w:cs="BookAntiqua"/>
          <w:szCs w:val="26"/>
        </w:rPr>
        <w:t>CPED</w:t>
      </w:r>
      <w:r w:rsidR="00C77E83">
        <w:rPr>
          <w:rFonts w:cs="BookAntiqua"/>
          <w:szCs w:val="26"/>
        </w:rPr>
        <w:t xml:space="preserve">, </w:t>
      </w:r>
      <w:r w:rsidR="002025FD">
        <w:rPr>
          <w:rFonts w:cs="BookAntiqua"/>
          <w:szCs w:val="26"/>
        </w:rPr>
        <w:t xml:space="preserve">Lyft, </w:t>
      </w:r>
      <w:r w:rsidR="00522C2D">
        <w:rPr>
          <w:rFonts w:cs="BookAntiqua"/>
          <w:szCs w:val="26"/>
        </w:rPr>
        <w:t xml:space="preserve">and </w:t>
      </w:r>
      <w:r w:rsidR="002025FD">
        <w:rPr>
          <w:rFonts w:cs="BookAntiqua"/>
          <w:szCs w:val="26"/>
        </w:rPr>
        <w:t>Uber</w:t>
      </w:r>
      <w:r w:rsidR="00522C2D">
        <w:rPr>
          <w:rFonts w:cs="BookAntiqua"/>
          <w:szCs w:val="26"/>
        </w:rPr>
        <w:t xml:space="preserve"> </w:t>
      </w:r>
      <w:r w:rsidR="002025FD">
        <w:rPr>
          <w:rFonts w:cs="BookAntiqua"/>
          <w:szCs w:val="26"/>
        </w:rPr>
        <w:t xml:space="preserve">recommend that the approval process </w:t>
      </w:r>
      <w:r w:rsidR="00C77E83">
        <w:rPr>
          <w:rFonts w:cs="BookAntiqua"/>
          <w:szCs w:val="26"/>
        </w:rPr>
        <w:t xml:space="preserve">for </w:t>
      </w:r>
      <w:r w:rsidR="00A72CB9">
        <w:rPr>
          <w:rFonts w:cs="BookAntiqua"/>
          <w:szCs w:val="26"/>
        </w:rPr>
        <w:t>Access Provider</w:t>
      </w:r>
      <w:r w:rsidR="00C77E83">
        <w:rPr>
          <w:rFonts w:cs="BookAntiqua"/>
          <w:szCs w:val="26"/>
        </w:rPr>
        <w:t xml:space="preserve"> applications should </w:t>
      </w:r>
      <w:r w:rsidR="002025FD">
        <w:rPr>
          <w:rFonts w:cs="BookAntiqua"/>
          <w:szCs w:val="26"/>
        </w:rPr>
        <w:t xml:space="preserve">be the same as the Advice Letter process for </w:t>
      </w:r>
      <w:r w:rsidR="003C2C7D">
        <w:rPr>
          <w:rFonts w:cs="BookAntiqua"/>
          <w:szCs w:val="26"/>
        </w:rPr>
        <w:t>Offset Requests</w:t>
      </w:r>
      <w:r w:rsidR="002025FD">
        <w:rPr>
          <w:rFonts w:cs="BookAntiqua"/>
          <w:szCs w:val="26"/>
        </w:rPr>
        <w:t>.</w:t>
      </w:r>
      <w:r w:rsidR="002025FD">
        <w:rPr>
          <w:rStyle w:val="FootnoteReference"/>
          <w:rFonts w:cs="BookAntiqua"/>
          <w:szCs w:val="26"/>
        </w:rPr>
        <w:footnoteReference w:id="67"/>
      </w:r>
      <w:r w:rsidR="002025FD">
        <w:rPr>
          <w:rFonts w:cs="BookAntiqua"/>
          <w:szCs w:val="26"/>
        </w:rPr>
        <w:t xml:space="preserve">  Marin Transit</w:t>
      </w:r>
      <w:r w:rsidR="0042448F">
        <w:rPr>
          <w:rFonts w:cs="BookAntiqua"/>
          <w:szCs w:val="26"/>
        </w:rPr>
        <w:t xml:space="preserve"> and </w:t>
      </w:r>
      <w:r w:rsidR="008247F1">
        <w:rPr>
          <w:rFonts w:cs="BookAntiqua"/>
          <w:szCs w:val="26"/>
        </w:rPr>
        <w:t>San Francisco</w:t>
      </w:r>
      <w:r w:rsidR="002025FD">
        <w:rPr>
          <w:rFonts w:cs="BookAntiqua"/>
          <w:szCs w:val="26"/>
        </w:rPr>
        <w:t xml:space="preserve"> </w:t>
      </w:r>
      <w:r w:rsidR="00C77E83">
        <w:rPr>
          <w:rFonts w:cs="BookAntiqua"/>
          <w:szCs w:val="26"/>
        </w:rPr>
        <w:t>propose</w:t>
      </w:r>
      <w:r w:rsidR="002025FD">
        <w:rPr>
          <w:rFonts w:cs="BookAntiqua"/>
          <w:szCs w:val="26"/>
        </w:rPr>
        <w:t xml:space="preserve"> that the AFA </w:t>
      </w:r>
      <w:r w:rsidR="009F7D11">
        <w:rPr>
          <w:rFonts w:cs="BookAntiqua"/>
          <w:szCs w:val="26"/>
        </w:rPr>
        <w:t xml:space="preserve">should </w:t>
      </w:r>
      <w:r w:rsidR="003C2C7D">
        <w:rPr>
          <w:rFonts w:cs="BookAntiqua"/>
          <w:szCs w:val="26"/>
        </w:rPr>
        <w:t xml:space="preserve">review applications and </w:t>
      </w:r>
      <w:r w:rsidR="00C77E83">
        <w:rPr>
          <w:rFonts w:cs="BookAntiqua"/>
          <w:szCs w:val="26"/>
        </w:rPr>
        <w:t>offer recommendations</w:t>
      </w:r>
      <w:r w:rsidR="002025FD">
        <w:rPr>
          <w:rFonts w:cs="BookAntiqua"/>
          <w:szCs w:val="26"/>
        </w:rPr>
        <w:t xml:space="preserve"> to the Commission</w:t>
      </w:r>
      <w:r w:rsidR="00C77E83">
        <w:rPr>
          <w:rFonts w:cs="BookAntiqua"/>
          <w:szCs w:val="26"/>
        </w:rPr>
        <w:t xml:space="preserve">, </w:t>
      </w:r>
      <w:r w:rsidR="008247F1">
        <w:rPr>
          <w:rFonts w:cs="BookAntiqua"/>
          <w:szCs w:val="26"/>
        </w:rPr>
        <w:t>with</w:t>
      </w:r>
      <w:r w:rsidR="003C2C7D">
        <w:rPr>
          <w:rFonts w:cs="BookAntiqua"/>
          <w:szCs w:val="26"/>
        </w:rPr>
        <w:t xml:space="preserve"> </w:t>
      </w:r>
      <w:r w:rsidR="003C2C7D">
        <w:rPr>
          <w:rFonts w:cs="BookAntiqua"/>
          <w:szCs w:val="26"/>
        </w:rPr>
        <w:lastRenderedPageBreak/>
        <w:t xml:space="preserve">recommendations </w:t>
      </w:r>
      <w:r w:rsidR="00C77E83">
        <w:rPr>
          <w:rFonts w:cs="BookAntiqua"/>
          <w:szCs w:val="26"/>
        </w:rPr>
        <w:t xml:space="preserve">approved by </w:t>
      </w:r>
      <w:r w:rsidR="002025FD">
        <w:rPr>
          <w:rFonts w:cs="BookAntiqua"/>
          <w:szCs w:val="26"/>
        </w:rPr>
        <w:t>Commission resolution</w:t>
      </w:r>
      <w:r w:rsidR="003C2C7D">
        <w:rPr>
          <w:rFonts w:cs="BookAntiqua"/>
          <w:szCs w:val="26"/>
        </w:rPr>
        <w:t>.</w:t>
      </w:r>
      <w:r w:rsidR="002025FD">
        <w:rPr>
          <w:rStyle w:val="FootnoteReference"/>
          <w:rFonts w:cs="BookAntiqua"/>
          <w:szCs w:val="26"/>
        </w:rPr>
        <w:footnoteReference w:id="68"/>
      </w:r>
      <w:r w:rsidR="00C77E83">
        <w:rPr>
          <w:rFonts w:cs="BookAntiqua"/>
          <w:szCs w:val="26"/>
        </w:rPr>
        <w:t xml:space="preserve"> </w:t>
      </w:r>
      <w:r w:rsidR="008247F1">
        <w:rPr>
          <w:rFonts w:cs="BookAntiqua"/>
          <w:szCs w:val="26"/>
        </w:rPr>
        <w:t xml:space="preserve"> Disability Advocates </w:t>
      </w:r>
      <w:r w:rsidR="002025FD">
        <w:rPr>
          <w:rFonts w:cs="BookAntiqua"/>
          <w:szCs w:val="26"/>
        </w:rPr>
        <w:t xml:space="preserve">recommend that the AFA </w:t>
      </w:r>
      <w:r w:rsidR="0042448F">
        <w:rPr>
          <w:rFonts w:cs="BookAntiqua"/>
          <w:szCs w:val="26"/>
        </w:rPr>
        <w:t xml:space="preserve">should </w:t>
      </w:r>
      <w:r w:rsidR="002025FD">
        <w:rPr>
          <w:rFonts w:cs="BookAntiqua"/>
          <w:szCs w:val="26"/>
        </w:rPr>
        <w:t xml:space="preserve">make the </w:t>
      </w:r>
      <w:r w:rsidR="00C77E83">
        <w:rPr>
          <w:rFonts w:cs="BookAntiqua"/>
          <w:szCs w:val="26"/>
        </w:rPr>
        <w:t xml:space="preserve">ultimate </w:t>
      </w:r>
      <w:r w:rsidR="002025FD">
        <w:rPr>
          <w:rFonts w:cs="BookAntiqua"/>
          <w:szCs w:val="26"/>
        </w:rPr>
        <w:t>determination</w:t>
      </w:r>
      <w:r w:rsidR="009F7D11">
        <w:rPr>
          <w:rFonts w:cs="BookAntiqua"/>
          <w:szCs w:val="26"/>
        </w:rPr>
        <w:t xml:space="preserve"> with the Commission setting general parameters</w:t>
      </w:r>
      <w:r w:rsidR="002025FD">
        <w:rPr>
          <w:rFonts w:cs="BookAntiqua"/>
          <w:szCs w:val="26"/>
        </w:rPr>
        <w:t>.</w:t>
      </w:r>
      <w:r w:rsidR="002025FD">
        <w:rPr>
          <w:rStyle w:val="FootnoteReference"/>
          <w:rFonts w:cs="BookAntiqua"/>
          <w:szCs w:val="26"/>
        </w:rPr>
        <w:footnoteReference w:id="69"/>
      </w:r>
      <w:r w:rsidR="002025FD">
        <w:rPr>
          <w:rFonts w:cs="BookAntiqua"/>
          <w:szCs w:val="26"/>
        </w:rPr>
        <w:t xml:space="preserve">  </w:t>
      </w:r>
    </w:p>
    <w:p w:rsidR="00C976AF" w:rsidP="002025FD" w:rsidRDefault="008247F1" w14:paraId="1D270F39" w14:textId="56516EF0">
      <w:pPr>
        <w:pStyle w:val="ALJBodyText"/>
        <w:rPr>
          <w:rFonts w:cs="BookAntiqua"/>
          <w:szCs w:val="26"/>
        </w:rPr>
      </w:pPr>
      <w:r>
        <w:rPr>
          <w:rFonts w:cs="BookAntiqua"/>
          <w:szCs w:val="26"/>
        </w:rPr>
        <w:t xml:space="preserve">With the implementation of </w:t>
      </w:r>
      <w:r w:rsidR="00FD0688">
        <w:rPr>
          <w:rFonts w:cs="BookAntiqua"/>
          <w:szCs w:val="26"/>
        </w:rPr>
        <w:t>the State’s</w:t>
      </w:r>
      <w:r>
        <w:rPr>
          <w:rFonts w:cs="BookAntiqua"/>
          <w:szCs w:val="26"/>
        </w:rPr>
        <w:t xml:space="preserve"> first</w:t>
      </w:r>
      <w:r w:rsidR="009F7D11">
        <w:rPr>
          <w:rFonts w:cs="BookAntiqua"/>
          <w:szCs w:val="26"/>
        </w:rPr>
        <w:t xml:space="preserve"> </w:t>
      </w:r>
      <w:r>
        <w:rPr>
          <w:rFonts w:cs="BookAntiqua"/>
          <w:szCs w:val="26"/>
        </w:rPr>
        <w:t xml:space="preserve">WAV </w:t>
      </w:r>
      <w:r w:rsidR="00A72CB9">
        <w:rPr>
          <w:rFonts w:cs="BookAntiqua"/>
          <w:szCs w:val="26"/>
        </w:rPr>
        <w:t>Access Provider</w:t>
      </w:r>
      <w:r w:rsidR="003C2C7D">
        <w:rPr>
          <w:rFonts w:cs="BookAntiqua"/>
          <w:szCs w:val="26"/>
        </w:rPr>
        <w:t xml:space="preserve"> </w:t>
      </w:r>
      <w:r w:rsidR="00C77E83">
        <w:rPr>
          <w:rFonts w:cs="BookAntiqua"/>
          <w:szCs w:val="26"/>
        </w:rPr>
        <w:t xml:space="preserve">program, </w:t>
      </w:r>
      <w:r w:rsidR="009F7D11">
        <w:rPr>
          <w:rFonts w:cs="BookAntiqua"/>
          <w:szCs w:val="26"/>
        </w:rPr>
        <w:t xml:space="preserve">there are uncertainties as to how many </w:t>
      </w:r>
      <w:r w:rsidR="00A72CB9">
        <w:rPr>
          <w:rFonts w:cs="BookAntiqua"/>
          <w:szCs w:val="26"/>
        </w:rPr>
        <w:t>Access Provider</w:t>
      </w:r>
      <w:r w:rsidR="009F7D11">
        <w:rPr>
          <w:rFonts w:cs="BookAntiqua"/>
          <w:szCs w:val="26"/>
        </w:rPr>
        <w:t xml:space="preserve">s </w:t>
      </w:r>
      <w:r w:rsidR="00FD0688">
        <w:rPr>
          <w:rFonts w:cs="BookAntiqua"/>
          <w:szCs w:val="26"/>
        </w:rPr>
        <w:t>will</w:t>
      </w:r>
      <w:r w:rsidR="009F7D11">
        <w:rPr>
          <w:rFonts w:cs="BookAntiqua"/>
          <w:szCs w:val="26"/>
        </w:rPr>
        <w:t xml:space="preserve"> apply for funding</w:t>
      </w:r>
      <w:r>
        <w:rPr>
          <w:rFonts w:cs="BookAntiqua"/>
          <w:szCs w:val="26"/>
        </w:rPr>
        <w:t xml:space="preserve"> and </w:t>
      </w:r>
      <w:r w:rsidR="009F7D11">
        <w:rPr>
          <w:rFonts w:cs="BookAntiqua"/>
          <w:szCs w:val="26"/>
        </w:rPr>
        <w:t>how much funding will be available in various counties</w:t>
      </w:r>
      <w:r w:rsidR="00C77E83">
        <w:rPr>
          <w:rFonts w:cs="BookAntiqua"/>
          <w:szCs w:val="26"/>
        </w:rPr>
        <w:t xml:space="preserve">.  </w:t>
      </w:r>
      <w:r>
        <w:rPr>
          <w:rFonts w:cs="BookAntiqua"/>
          <w:szCs w:val="26"/>
        </w:rPr>
        <w:t>As directed in D.20-03-007, CPED</w:t>
      </w:r>
      <w:r w:rsidR="009F7D11">
        <w:rPr>
          <w:rFonts w:cs="BookAntiqua"/>
          <w:szCs w:val="26"/>
        </w:rPr>
        <w:t xml:space="preserve"> </w:t>
      </w:r>
      <w:r>
        <w:rPr>
          <w:rFonts w:cs="BookAntiqua"/>
          <w:szCs w:val="26"/>
        </w:rPr>
        <w:t>S</w:t>
      </w:r>
      <w:r w:rsidR="009F7D11">
        <w:rPr>
          <w:rFonts w:cs="BookAntiqua"/>
          <w:szCs w:val="26"/>
        </w:rPr>
        <w:t xml:space="preserve">taff is </w:t>
      </w:r>
      <w:r>
        <w:rPr>
          <w:rFonts w:cs="BookAntiqua"/>
          <w:szCs w:val="26"/>
        </w:rPr>
        <w:t>responsible for reviewing</w:t>
      </w:r>
      <w:r w:rsidR="009F7D11">
        <w:rPr>
          <w:rFonts w:cs="BookAntiqua"/>
          <w:szCs w:val="26"/>
        </w:rPr>
        <w:t xml:space="preserve"> and approving Offset Requests </w:t>
      </w:r>
      <w:r>
        <w:rPr>
          <w:rFonts w:cs="BookAntiqua"/>
          <w:szCs w:val="26"/>
        </w:rPr>
        <w:t xml:space="preserve">from TNCs </w:t>
      </w:r>
      <w:r w:rsidR="009F7D11">
        <w:rPr>
          <w:rFonts w:cs="BookAntiqua"/>
          <w:szCs w:val="26"/>
        </w:rPr>
        <w:t xml:space="preserve">on a quarterly basis.  </w:t>
      </w:r>
      <w:r>
        <w:rPr>
          <w:rFonts w:cs="BookAntiqua"/>
          <w:szCs w:val="26"/>
        </w:rPr>
        <w:t xml:space="preserve">We </w:t>
      </w:r>
      <w:r w:rsidR="00FD0688">
        <w:rPr>
          <w:rFonts w:cs="BookAntiqua"/>
          <w:szCs w:val="26"/>
        </w:rPr>
        <w:t>find</w:t>
      </w:r>
      <w:r w:rsidR="00C976AF">
        <w:rPr>
          <w:rFonts w:cs="BookAntiqua"/>
          <w:szCs w:val="26"/>
        </w:rPr>
        <w:t xml:space="preserve"> </w:t>
      </w:r>
      <w:r w:rsidR="009F7D11">
        <w:rPr>
          <w:rFonts w:cs="BookAntiqua"/>
          <w:szCs w:val="26"/>
        </w:rPr>
        <w:t xml:space="preserve">that </w:t>
      </w:r>
      <w:r>
        <w:rPr>
          <w:rFonts w:cs="BookAntiqua"/>
          <w:szCs w:val="26"/>
        </w:rPr>
        <w:t>additionally reviewing</w:t>
      </w:r>
      <w:r w:rsidR="003C2C7D">
        <w:rPr>
          <w:rFonts w:cs="BookAntiqua"/>
          <w:szCs w:val="26"/>
        </w:rPr>
        <w:t xml:space="preserve"> </w:t>
      </w:r>
      <w:r w:rsidR="00C976AF">
        <w:rPr>
          <w:rFonts w:cs="BookAntiqua"/>
          <w:szCs w:val="26"/>
        </w:rPr>
        <w:t xml:space="preserve">and approving </w:t>
      </w:r>
      <w:r w:rsidR="00A72CB9">
        <w:rPr>
          <w:rFonts w:cs="BookAntiqua"/>
          <w:szCs w:val="26"/>
        </w:rPr>
        <w:t>Access Provider</w:t>
      </w:r>
      <w:r w:rsidR="00C976AF">
        <w:rPr>
          <w:rFonts w:cs="BookAntiqua"/>
          <w:szCs w:val="26"/>
        </w:rPr>
        <w:t xml:space="preserve"> applications for </w:t>
      </w:r>
      <w:r>
        <w:rPr>
          <w:rFonts w:cs="BookAntiqua"/>
          <w:szCs w:val="26"/>
        </w:rPr>
        <w:t>counties</w:t>
      </w:r>
      <w:r w:rsidR="00C976AF">
        <w:rPr>
          <w:rFonts w:cs="BookAntiqua"/>
          <w:szCs w:val="26"/>
        </w:rPr>
        <w:t xml:space="preserve"> </w:t>
      </w:r>
      <w:r w:rsidR="00FD0688">
        <w:rPr>
          <w:rFonts w:cs="BookAntiqua"/>
          <w:szCs w:val="26"/>
        </w:rPr>
        <w:t xml:space="preserve">statewide </w:t>
      </w:r>
      <w:r w:rsidR="006754DD">
        <w:rPr>
          <w:rFonts w:cs="BookAntiqua"/>
          <w:szCs w:val="26"/>
        </w:rPr>
        <w:t xml:space="preserve">will </w:t>
      </w:r>
      <w:r w:rsidR="00C77E83">
        <w:rPr>
          <w:rFonts w:cs="BookAntiqua"/>
          <w:szCs w:val="26"/>
        </w:rPr>
        <w:t xml:space="preserve">be </w:t>
      </w:r>
      <w:r w:rsidR="00C976AF">
        <w:rPr>
          <w:rFonts w:cs="BookAntiqua"/>
          <w:szCs w:val="26"/>
        </w:rPr>
        <w:t xml:space="preserve">unduly </w:t>
      </w:r>
      <w:r w:rsidR="00C77E83">
        <w:rPr>
          <w:rFonts w:cs="BookAntiqua"/>
          <w:szCs w:val="26"/>
        </w:rPr>
        <w:t xml:space="preserve">burdensome </w:t>
      </w:r>
      <w:r w:rsidR="003C2C7D">
        <w:rPr>
          <w:rFonts w:cs="BookAntiqua"/>
          <w:szCs w:val="26"/>
        </w:rPr>
        <w:t xml:space="preserve">on Commission staff and resources, </w:t>
      </w:r>
      <w:r w:rsidR="00C976AF">
        <w:rPr>
          <w:rFonts w:cs="BookAntiqua"/>
          <w:szCs w:val="26"/>
        </w:rPr>
        <w:t xml:space="preserve">potentially </w:t>
      </w:r>
      <w:r w:rsidR="003C2C7D">
        <w:rPr>
          <w:rFonts w:cs="BookAntiqua"/>
          <w:szCs w:val="26"/>
        </w:rPr>
        <w:t>result</w:t>
      </w:r>
      <w:r w:rsidR="00C976AF">
        <w:rPr>
          <w:rFonts w:cs="BookAntiqua"/>
          <w:szCs w:val="26"/>
        </w:rPr>
        <w:t>ing</w:t>
      </w:r>
      <w:r w:rsidR="003C2C7D">
        <w:rPr>
          <w:rFonts w:cs="BookAntiqua"/>
          <w:szCs w:val="26"/>
        </w:rPr>
        <w:t xml:space="preserve"> </w:t>
      </w:r>
      <w:r w:rsidR="00C77E83">
        <w:rPr>
          <w:rFonts w:cs="BookAntiqua"/>
          <w:szCs w:val="26"/>
        </w:rPr>
        <w:t xml:space="preserve">in delayed approval </w:t>
      </w:r>
      <w:r w:rsidR="00C976AF">
        <w:rPr>
          <w:rFonts w:cs="BookAntiqua"/>
          <w:szCs w:val="26"/>
        </w:rPr>
        <w:t>of</w:t>
      </w:r>
      <w:r w:rsidR="00C77E83">
        <w:rPr>
          <w:rFonts w:cs="BookAntiqua"/>
          <w:szCs w:val="26"/>
        </w:rPr>
        <w:t xml:space="preserve"> </w:t>
      </w:r>
      <w:r w:rsidR="00A72CB9">
        <w:rPr>
          <w:rFonts w:cs="BookAntiqua"/>
          <w:szCs w:val="26"/>
        </w:rPr>
        <w:t>Access Provider</w:t>
      </w:r>
      <w:r w:rsidR="00C77E83">
        <w:rPr>
          <w:rFonts w:cs="BookAntiqua"/>
          <w:szCs w:val="26"/>
        </w:rPr>
        <w:t>s</w:t>
      </w:r>
      <w:r>
        <w:rPr>
          <w:rFonts w:cs="BookAntiqua"/>
          <w:szCs w:val="26"/>
        </w:rPr>
        <w:t xml:space="preserve"> and fund disbursement</w:t>
      </w:r>
      <w:r w:rsidR="00391C1F">
        <w:rPr>
          <w:rFonts w:cs="BookAntiqua"/>
          <w:szCs w:val="26"/>
        </w:rPr>
        <w:t xml:space="preserve">.  </w:t>
      </w:r>
    </w:p>
    <w:p w:rsidR="00807979" w:rsidP="000B3A08" w:rsidRDefault="00FD0688" w14:paraId="3E96500D" w14:textId="1C6498B3">
      <w:pPr>
        <w:pStyle w:val="ALJBodyText"/>
        <w:rPr>
          <w:rFonts w:cs="BookAntiqua"/>
          <w:szCs w:val="26"/>
        </w:rPr>
      </w:pPr>
      <w:r>
        <w:rPr>
          <w:rFonts w:cs="BookAntiqua"/>
          <w:szCs w:val="26"/>
        </w:rPr>
        <w:t>The Commission is</w:t>
      </w:r>
      <w:r w:rsidR="003C2C7D">
        <w:rPr>
          <w:rFonts w:cs="BookAntiqua"/>
          <w:szCs w:val="26"/>
        </w:rPr>
        <w:t xml:space="preserve"> persuaded by</w:t>
      </w:r>
      <w:r w:rsidR="00C77E83">
        <w:rPr>
          <w:rFonts w:cs="BookAntiqua"/>
          <w:szCs w:val="26"/>
        </w:rPr>
        <w:t xml:space="preserve"> </w:t>
      </w:r>
      <w:r w:rsidR="008247F1">
        <w:rPr>
          <w:rFonts w:cs="BookAntiqua"/>
          <w:szCs w:val="26"/>
        </w:rPr>
        <w:t>Disability Advocates’</w:t>
      </w:r>
      <w:r w:rsidR="003C2C7D">
        <w:rPr>
          <w:rFonts w:cs="BookAntiqua"/>
          <w:szCs w:val="26"/>
        </w:rPr>
        <w:t xml:space="preserve"> proposal</w:t>
      </w:r>
      <w:r w:rsidR="00391C1F">
        <w:rPr>
          <w:rFonts w:cs="BookAntiqua"/>
          <w:szCs w:val="26"/>
        </w:rPr>
        <w:t xml:space="preserve"> that the </w:t>
      </w:r>
      <w:r w:rsidR="00C77E83">
        <w:rPr>
          <w:rFonts w:cs="BookAntiqua"/>
          <w:szCs w:val="26"/>
        </w:rPr>
        <w:t xml:space="preserve">AFA </w:t>
      </w:r>
      <w:r w:rsidR="008247F1">
        <w:rPr>
          <w:rFonts w:cs="BookAntiqua"/>
          <w:szCs w:val="26"/>
        </w:rPr>
        <w:t>should</w:t>
      </w:r>
      <w:r w:rsidR="00C976AF">
        <w:rPr>
          <w:rFonts w:cs="BookAntiqua"/>
          <w:szCs w:val="26"/>
        </w:rPr>
        <w:t xml:space="preserve"> </w:t>
      </w:r>
      <w:r w:rsidR="00391C1F">
        <w:rPr>
          <w:rFonts w:cs="BookAntiqua"/>
          <w:szCs w:val="26"/>
        </w:rPr>
        <w:t xml:space="preserve">review and approve </w:t>
      </w:r>
      <w:r w:rsidR="008247F1">
        <w:rPr>
          <w:rFonts w:cs="BookAntiqua"/>
          <w:szCs w:val="26"/>
        </w:rPr>
        <w:t xml:space="preserve">the </w:t>
      </w:r>
      <w:r w:rsidR="00A72CB9">
        <w:rPr>
          <w:rFonts w:cs="BookAntiqua"/>
          <w:szCs w:val="26"/>
        </w:rPr>
        <w:t>Access Provider</w:t>
      </w:r>
      <w:r w:rsidR="00391C1F">
        <w:rPr>
          <w:rFonts w:cs="BookAntiqua"/>
          <w:szCs w:val="26"/>
        </w:rPr>
        <w:t xml:space="preserve"> applications</w:t>
      </w:r>
      <w:r>
        <w:rPr>
          <w:rFonts w:cs="BookAntiqua"/>
          <w:szCs w:val="26"/>
        </w:rPr>
        <w:t xml:space="preserve"> in its respective geographic area</w:t>
      </w:r>
      <w:r w:rsidR="00391C1F">
        <w:rPr>
          <w:rFonts w:cs="BookAntiqua"/>
          <w:szCs w:val="26"/>
        </w:rPr>
        <w:t xml:space="preserve">.  </w:t>
      </w:r>
      <w:r w:rsidR="00C976AF">
        <w:rPr>
          <w:rFonts w:cs="BookAntiqua"/>
          <w:szCs w:val="26"/>
        </w:rPr>
        <w:t>This</w:t>
      </w:r>
      <w:r w:rsidR="008247F1">
        <w:rPr>
          <w:rFonts w:cs="BookAntiqua"/>
          <w:szCs w:val="26"/>
        </w:rPr>
        <w:t xml:space="preserve"> proposal</w:t>
      </w:r>
      <w:r w:rsidR="003C2C7D">
        <w:rPr>
          <w:rFonts w:cs="BookAntiqua"/>
          <w:szCs w:val="26"/>
        </w:rPr>
        <w:t xml:space="preserve"> is also</w:t>
      </w:r>
      <w:r w:rsidR="00C77E83">
        <w:rPr>
          <w:rFonts w:cs="BookAntiqua"/>
          <w:szCs w:val="26"/>
        </w:rPr>
        <w:t xml:space="preserve"> consistent with the </w:t>
      </w:r>
      <w:r w:rsidR="006754DD">
        <w:rPr>
          <w:rFonts w:cs="BookAntiqua"/>
          <w:szCs w:val="26"/>
        </w:rPr>
        <w:t>purpose</w:t>
      </w:r>
      <w:r w:rsidR="00C77E83">
        <w:rPr>
          <w:rFonts w:cs="BookAntiqua"/>
          <w:szCs w:val="26"/>
        </w:rPr>
        <w:t xml:space="preserve"> </w:t>
      </w:r>
      <w:r>
        <w:rPr>
          <w:rFonts w:cs="BookAntiqua"/>
          <w:szCs w:val="26"/>
        </w:rPr>
        <w:t>of</w:t>
      </w:r>
      <w:r w:rsidR="006754DD">
        <w:rPr>
          <w:rFonts w:cs="BookAntiqua"/>
          <w:szCs w:val="26"/>
        </w:rPr>
        <w:t xml:space="preserve"> adopting</w:t>
      </w:r>
      <w:r w:rsidR="00C77E83">
        <w:rPr>
          <w:rFonts w:cs="BookAntiqua"/>
          <w:szCs w:val="26"/>
        </w:rPr>
        <w:t xml:space="preserve"> </w:t>
      </w:r>
      <w:r w:rsidR="00C976AF">
        <w:rPr>
          <w:rFonts w:cs="BookAntiqua"/>
          <w:szCs w:val="26"/>
        </w:rPr>
        <w:t xml:space="preserve">the </w:t>
      </w:r>
      <w:r w:rsidR="00C77E83">
        <w:rPr>
          <w:rFonts w:cs="BookAntiqua"/>
          <w:szCs w:val="26"/>
        </w:rPr>
        <w:t>AFA</w:t>
      </w:r>
      <w:r w:rsidR="006754DD">
        <w:rPr>
          <w:rFonts w:cs="BookAntiqua"/>
          <w:szCs w:val="26"/>
        </w:rPr>
        <w:t xml:space="preserve"> process</w:t>
      </w:r>
      <w:r w:rsidR="00C976AF">
        <w:rPr>
          <w:rFonts w:cs="BookAntiqua"/>
          <w:szCs w:val="26"/>
        </w:rPr>
        <w:t>, which is that</w:t>
      </w:r>
      <w:r w:rsidR="006754DD">
        <w:rPr>
          <w:rFonts w:cs="BookAntiqua"/>
          <w:szCs w:val="26"/>
        </w:rPr>
        <w:t xml:space="preserve"> </w:t>
      </w:r>
      <w:r w:rsidR="008247F1">
        <w:rPr>
          <w:rFonts w:cs="BookAntiqua"/>
          <w:szCs w:val="26"/>
        </w:rPr>
        <w:t xml:space="preserve">the Commission lacks </w:t>
      </w:r>
      <w:r w:rsidR="006754DD">
        <w:rPr>
          <w:rFonts w:cs="BookAntiqua"/>
          <w:szCs w:val="26"/>
        </w:rPr>
        <w:t>“sufficient resources to effectively and efficiently administer the disbursement of Access Fund payments for the entire State.”</w:t>
      </w:r>
      <w:r w:rsidR="006754DD">
        <w:rPr>
          <w:rStyle w:val="FootnoteReference"/>
          <w:rFonts w:cs="BookAntiqua"/>
          <w:szCs w:val="26"/>
        </w:rPr>
        <w:footnoteReference w:id="70"/>
      </w:r>
      <w:r w:rsidR="006754DD">
        <w:rPr>
          <w:rFonts w:cs="BookAntiqua"/>
          <w:szCs w:val="26"/>
        </w:rPr>
        <w:t xml:space="preserve"> </w:t>
      </w:r>
      <w:r w:rsidR="00C77E83">
        <w:rPr>
          <w:rFonts w:cs="BookAntiqua"/>
          <w:szCs w:val="26"/>
        </w:rPr>
        <w:t xml:space="preserve"> </w:t>
      </w:r>
      <w:r w:rsidR="006754DD">
        <w:rPr>
          <w:rFonts w:cs="BookAntiqua"/>
          <w:szCs w:val="26"/>
        </w:rPr>
        <w:t xml:space="preserve">Accordingly, each AFA shall review and approve applications for </w:t>
      </w:r>
      <w:r w:rsidR="00A72CB9">
        <w:rPr>
          <w:rFonts w:cs="BookAntiqua"/>
          <w:szCs w:val="26"/>
        </w:rPr>
        <w:t>Access Provider</w:t>
      </w:r>
      <w:r w:rsidR="006754DD">
        <w:rPr>
          <w:rFonts w:cs="BookAntiqua"/>
          <w:szCs w:val="26"/>
        </w:rPr>
        <w:t xml:space="preserve">s in </w:t>
      </w:r>
      <w:r w:rsidR="008247F1">
        <w:rPr>
          <w:rFonts w:cs="BookAntiqua"/>
          <w:szCs w:val="26"/>
        </w:rPr>
        <w:t>its</w:t>
      </w:r>
      <w:r w:rsidR="006754DD">
        <w:rPr>
          <w:rFonts w:cs="BookAntiqua"/>
          <w:szCs w:val="26"/>
        </w:rPr>
        <w:t xml:space="preserve"> geographic area.  </w:t>
      </w:r>
      <w:r w:rsidR="00AC50FC">
        <w:rPr>
          <w:rFonts w:cs="BookAntiqua"/>
          <w:szCs w:val="26"/>
        </w:rPr>
        <w:t>To</w:t>
      </w:r>
      <w:r w:rsidR="006754DD">
        <w:rPr>
          <w:rFonts w:cs="BookAntiqua"/>
          <w:szCs w:val="26"/>
        </w:rPr>
        <w:t xml:space="preserve"> foster </w:t>
      </w:r>
      <w:r w:rsidR="00CA04B2">
        <w:rPr>
          <w:rFonts w:cs="BookAntiqua"/>
          <w:szCs w:val="26"/>
        </w:rPr>
        <w:t xml:space="preserve">public </w:t>
      </w:r>
      <w:r w:rsidR="006754DD">
        <w:rPr>
          <w:rFonts w:cs="BookAntiqua"/>
          <w:szCs w:val="26"/>
        </w:rPr>
        <w:t>transparency</w:t>
      </w:r>
      <w:r w:rsidR="00AC50FC">
        <w:rPr>
          <w:rFonts w:cs="BookAntiqua"/>
          <w:szCs w:val="26"/>
        </w:rPr>
        <w:t xml:space="preserve"> </w:t>
      </w:r>
      <w:r>
        <w:rPr>
          <w:rFonts w:cs="BookAntiqua"/>
          <w:szCs w:val="26"/>
        </w:rPr>
        <w:t>of</w:t>
      </w:r>
      <w:r w:rsidR="00AC50FC">
        <w:rPr>
          <w:rFonts w:cs="BookAntiqua"/>
          <w:szCs w:val="26"/>
        </w:rPr>
        <w:t xml:space="preserve"> the selection </w:t>
      </w:r>
      <w:r w:rsidR="00CA04B2">
        <w:rPr>
          <w:rFonts w:cs="BookAntiqua"/>
          <w:szCs w:val="26"/>
        </w:rPr>
        <w:t>process</w:t>
      </w:r>
      <w:r w:rsidR="006754DD">
        <w:rPr>
          <w:rFonts w:cs="BookAntiqua"/>
          <w:szCs w:val="26"/>
        </w:rPr>
        <w:t>, once the</w:t>
      </w:r>
      <w:r w:rsidR="00391C1F">
        <w:rPr>
          <w:rFonts w:cs="BookAntiqua"/>
          <w:szCs w:val="26"/>
        </w:rPr>
        <w:t xml:space="preserve"> </w:t>
      </w:r>
      <w:r w:rsidR="00CA04B2">
        <w:rPr>
          <w:rFonts w:cs="BookAntiqua"/>
          <w:szCs w:val="26"/>
        </w:rPr>
        <w:t>AFA</w:t>
      </w:r>
      <w:r w:rsidR="00391C1F">
        <w:rPr>
          <w:rFonts w:cs="BookAntiqua"/>
          <w:szCs w:val="26"/>
        </w:rPr>
        <w:t xml:space="preserve"> </w:t>
      </w:r>
      <w:r w:rsidR="006754DD">
        <w:rPr>
          <w:rFonts w:cs="BookAntiqua"/>
          <w:szCs w:val="26"/>
        </w:rPr>
        <w:t xml:space="preserve">approves the </w:t>
      </w:r>
      <w:r w:rsidR="00A72CB9">
        <w:rPr>
          <w:rFonts w:cs="BookAntiqua"/>
          <w:szCs w:val="26"/>
        </w:rPr>
        <w:t>Access Provider</w:t>
      </w:r>
      <w:r w:rsidR="006754DD">
        <w:rPr>
          <w:rFonts w:cs="BookAntiqua"/>
          <w:szCs w:val="26"/>
        </w:rPr>
        <w:t>s</w:t>
      </w:r>
      <w:r w:rsidR="00212D4C">
        <w:rPr>
          <w:rFonts w:cs="BookAntiqua"/>
          <w:szCs w:val="26"/>
        </w:rPr>
        <w:t xml:space="preserve"> in its geographic area</w:t>
      </w:r>
      <w:r w:rsidR="006754DD">
        <w:rPr>
          <w:rFonts w:cs="BookAntiqua"/>
          <w:szCs w:val="26"/>
        </w:rPr>
        <w:t xml:space="preserve">, the </w:t>
      </w:r>
      <w:r w:rsidR="00CA04B2">
        <w:rPr>
          <w:rFonts w:cs="BookAntiqua"/>
          <w:szCs w:val="26"/>
        </w:rPr>
        <w:t>AFA</w:t>
      </w:r>
      <w:r w:rsidR="006754DD">
        <w:rPr>
          <w:rFonts w:cs="BookAntiqua"/>
          <w:szCs w:val="26"/>
        </w:rPr>
        <w:t xml:space="preserve"> </w:t>
      </w:r>
      <w:r w:rsidR="00CA04B2">
        <w:rPr>
          <w:rFonts w:cs="BookAntiqua"/>
          <w:szCs w:val="26"/>
        </w:rPr>
        <w:t>shall</w:t>
      </w:r>
      <w:r w:rsidR="00C77E83">
        <w:rPr>
          <w:rFonts w:cs="BookAntiqua"/>
          <w:szCs w:val="26"/>
        </w:rPr>
        <w:t xml:space="preserve"> notify CPED</w:t>
      </w:r>
      <w:r w:rsidR="00A135EB">
        <w:rPr>
          <w:rFonts w:cs="BookAntiqua"/>
          <w:szCs w:val="26"/>
        </w:rPr>
        <w:t xml:space="preserve"> Staff </w:t>
      </w:r>
      <w:r w:rsidR="006754DD">
        <w:rPr>
          <w:rFonts w:cs="BookAntiqua"/>
          <w:szCs w:val="26"/>
        </w:rPr>
        <w:t>and submit</w:t>
      </w:r>
      <w:r w:rsidR="00C77E83">
        <w:rPr>
          <w:rFonts w:cs="BookAntiqua"/>
          <w:szCs w:val="26"/>
        </w:rPr>
        <w:t xml:space="preserve"> </w:t>
      </w:r>
      <w:r w:rsidR="00A135EB">
        <w:rPr>
          <w:rFonts w:cs="BookAntiqua"/>
          <w:szCs w:val="26"/>
        </w:rPr>
        <w:t>the</w:t>
      </w:r>
      <w:r w:rsidR="00391C1F">
        <w:rPr>
          <w:rFonts w:cs="BookAntiqua"/>
          <w:szCs w:val="26"/>
        </w:rPr>
        <w:t xml:space="preserve"> </w:t>
      </w:r>
      <w:r w:rsidR="006754DD">
        <w:rPr>
          <w:rFonts w:cs="BookAntiqua"/>
          <w:szCs w:val="26"/>
        </w:rPr>
        <w:t xml:space="preserve">list of </w:t>
      </w:r>
      <w:r w:rsidR="00A72CB9">
        <w:rPr>
          <w:rFonts w:cs="BookAntiqua"/>
          <w:szCs w:val="26"/>
        </w:rPr>
        <w:t>Access Provider</w:t>
      </w:r>
      <w:r w:rsidR="00391C1F">
        <w:rPr>
          <w:rFonts w:cs="BookAntiqua"/>
          <w:szCs w:val="26"/>
        </w:rPr>
        <w:t>s</w:t>
      </w:r>
      <w:r w:rsidR="00A135EB">
        <w:rPr>
          <w:rFonts w:cs="BookAntiqua"/>
          <w:szCs w:val="26"/>
        </w:rPr>
        <w:t xml:space="preserve"> </w:t>
      </w:r>
      <w:r w:rsidR="00807979">
        <w:rPr>
          <w:rFonts w:cs="BookAntiqua"/>
          <w:szCs w:val="26"/>
        </w:rPr>
        <w:t xml:space="preserve">who applied </w:t>
      </w:r>
      <w:r w:rsidR="00212D4C">
        <w:rPr>
          <w:rFonts w:cs="BookAntiqua"/>
          <w:szCs w:val="26"/>
        </w:rPr>
        <w:t xml:space="preserve">for </w:t>
      </w:r>
      <w:r w:rsidR="00807979">
        <w:rPr>
          <w:rFonts w:cs="BookAntiqua"/>
          <w:szCs w:val="26"/>
        </w:rPr>
        <w:t xml:space="preserve">and were approved </w:t>
      </w:r>
      <w:r w:rsidR="00A135EB">
        <w:rPr>
          <w:rFonts w:cs="BookAntiqua"/>
          <w:szCs w:val="26"/>
        </w:rPr>
        <w:t xml:space="preserve">by </w:t>
      </w:r>
      <w:r w:rsidR="00212D4C">
        <w:rPr>
          <w:rFonts w:cs="BookAntiqua"/>
          <w:szCs w:val="26"/>
        </w:rPr>
        <w:t xml:space="preserve">the AFA by </w:t>
      </w:r>
      <w:r w:rsidRPr="00651B38" w:rsidR="002A65CF">
        <w:rPr>
          <w:rFonts w:cs="BookAntiqua"/>
          <w:szCs w:val="26"/>
        </w:rPr>
        <w:lastRenderedPageBreak/>
        <w:t>September 30.</w:t>
      </w:r>
      <w:r w:rsidR="00E12827">
        <w:rPr>
          <w:rFonts w:cs="BookAntiqua"/>
          <w:szCs w:val="26"/>
        </w:rPr>
        <w:t xml:space="preserve">  The approved list of </w:t>
      </w:r>
      <w:r w:rsidR="00A72CB9">
        <w:rPr>
          <w:rFonts w:cs="BookAntiqua"/>
          <w:szCs w:val="26"/>
        </w:rPr>
        <w:t>Access Provider</w:t>
      </w:r>
      <w:r w:rsidR="00E12827">
        <w:rPr>
          <w:rFonts w:cs="BookAntiqua"/>
          <w:szCs w:val="26"/>
        </w:rPr>
        <w:t>s</w:t>
      </w:r>
      <w:r w:rsidR="00391C1F">
        <w:rPr>
          <w:rFonts w:cs="BookAntiqua"/>
          <w:szCs w:val="26"/>
        </w:rPr>
        <w:t xml:space="preserve"> </w:t>
      </w:r>
      <w:r>
        <w:rPr>
          <w:rFonts w:cs="BookAntiqua"/>
          <w:szCs w:val="26"/>
        </w:rPr>
        <w:t>shall</w:t>
      </w:r>
      <w:r w:rsidR="00391C1F">
        <w:rPr>
          <w:rFonts w:cs="BookAntiqua"/>
          <w:szCs w:val="26"/>
        </w:rPr>
        <w:t xml:space="preserve"> </w:t>
      </w:r>
      <w:r w:rsidR="00C77E83">
        <w:rPr>
          <w:rFonts w:cs="BookAntiqua"/>
          <w:szCs w:val="26"/>
        </w:rPr>
        <w:t xml:space="preserve">be </w:t>
      </w:r>
      <w:r w:rsidR="00807979">
        <w:rPr>
          <w:rFonts w:cs="BookAntiqua"/>
          <w:szCs w:val="26"/>
        </w:rPr>
        <w:t xml:space="preserve">linked to and/or </w:t>
      </w:r>
      <w:r w:rsidR="00C77E83">
        <w:rPr>
          <w:rFonts w:cs="BookAntiqua"/>
          <w:szCs w:val="26"/>
        </w:rPr>
        <w:t xml:space="preserve">posted </w:t>
      </w:r>
      <w:r w:rsidR="00A135EB">
        <w:rPr>
          <w:rFonts w:cs="BookAntiqua"/>
          <w:szCs w:val="26"/>
        </w:rPr>
        <w:t xml:space="preserve">on </w:t>
      </w:r>
      <w:r w:rsidR="00C77E83">
        <w:rPr>
          <w:rFonts w:cs="BookAntiqua"/>
          <w:szCs w:val="26"/>
        </w:rPr>
        <w:t xml:space="preserve">the </w:t>
      </w:r>
      <w:r w:rsidR="00391C1F">
        <w:rPr>
          <w:rFonts w:cs="BookAntiqua"/>
          <w:szCs w:val="26"/>
        </w:rPr>
        <w:t>Commission</w:t>
      </w:r>
      <w:r w:rsidR="00C77E83">
        <w:rPr>
          <w:rFonts w:cs="BookAntiqua"/>
          <w:szCs w:val="26"/>
        </w:rPr>
        <w:t>’s</w:t>
      </w:r>
      <w:r w:rsidR="00391C1F">
        <w:rPr>
          <w:rFonts w:cs="BookAntiqua"/>
          <w:szCs w:val="26"/>
        </w:rPr>
        <w:t xml:space="preserve"> website.</w:t>
      </w:r>
    </w:p>
    <w:p w:rsidR="00846754" w:rsidP="00224875" w:rsidRDefault="00846754" w14:paraId="5D11C3EB" w14:textId="14560DAC">
      <w:pPr>
        <w:pStyle w:val="Heading2"/>
        <w:keepLines/>
        <w:numPr>
          <w:ilvl w:val="1"/>
          <w:numId w:val="1"/>
        </w:numPr>
        <w:tabs>
          <w:tab w:val="num" w:pos="1080"/>
        </w:tabs>
        <w:spacing w:before="0"/>
        <w:ind w:left="1080" w:right="2160" w:hanging="720"/>
      </w:pPr>
      <w:bookmarkStart w:name="_Toc65585468" w:id="35"/>
      <w:r>
        <w:t>TNC</w:t>
      </w:r>
      <w:r w:rsidR="00B3079C">
        <w:t xml:space="preserve"> Eligibility</w:t>
      </w:r>
      <w:r>
        <w:t xml:space="preserve"> as Access Provider</w:t>
      </w:r>
      <w:bookmarkEnd w:id="35"/>
    </w:p>
    <w:p w:rsidR="00846754" w:rsidP="00846754" w:rsidRDefault="00846754" w14:paraId="1097EBC2" w14:textId="56F4C91D">
      <w:pPr>
        <w:pStyle w:val="ALJBodyText"/>
      </w:pPr>
      <w:r>
        <w:t>In D.</w:t>
      </w:r>
      <w:r w:rsidR="00D016B6">
        <w:t>20-03-007</w:t>
      </w:r>
      <w:r>
        <w:t xml:space="preserve">, the Commission </w:t>
      </w:r>
      <w:r w:rsidR="006754DD">
        <w:t xml:space="preserve">left unresolved whether </w:t>
      </w:r>
      <w:r>
        <w:t xml:space="preserve">TNCs </w:t>
      </w:r>
      <w:r w:rsidR="006754DD">
        <w:t>may</w:t>
      </w:r>
      <w:r>
        <w:t xml:space="preserve"> be considered </w:t>
      </w:r>
      <w:r w:rsidR="006754DD">
        <w:t>an</w:t>
      </w:r>
      <w:r>
        <w:t xml:space="preserve"> </w:t>
      </w:r>
      <w:r w:rsidR="00A72CB9">
        <w:t>Access Provider</w:t>
      </w:r>
      <w:r w:rsidR="006754DD">
        <w:t xml:space="preserve"> in certain geographic areas.</w:t>
      </w:r>
      <w:r>
        <w:t xml:space="preserve"> </w:t>
      </w:r>
      <w:r w:rsidR="006754DD">
        <w:t xml:space="preserve"> </w:t>
      </w:r>
      <w:r>
        <w:t>The Commission stated:</w:t>
      </w:r>
    </w:p>
    <w:p w:rsidR="00846754" w:rsidP="00C36FD6" w:rsidRDefault="009305CC" w14:paraId="4E60D6D6" w14:textId="2BDED5B1">
      <w:pPr>
        <w:pStyle w:val="ALJBodyText"/>
        <w:spacing w:line="240" w:lineRule="auto"/>
        <w:ind w:left="720" w:right="1440" w:firstLine="0"/>
      </w:pPr>
      <w:r>
        <w:t>[W]e</w:t>
      </w:r>
      <w:r w:rsidR="00846754">
        <w:t xml:space="preserve"> find merit in the proposal that a TNC should be an eligible access provider in a geographic area if the TNC qualifies for an exemption in that geographic area and certifies that the TNC’s collected fees during the Exemption Year were exhausted to provide WAV services.</w:t>
      </w:r>
      <w:r w:rsidR="006E0A0E">
        <w:rPr>
          <w:rStyle w:val="FootnoteReference"/>
        </w:rPr>
        <w:t xml:space="preserve"> </w:t>
      </w:r>
      <w:r w:rsidR="006E0A0E">
        <w:t xml:space="preserve"> We are concerned that a TNC may receive additional funding without having met the qualifications for an exemption requirement or the offset requirements, creating a third avenue for TNCs to access funding that may limit opportunities for access providers.</w:t>
      </w:r>
      <w:r w:rsidR="006E0A0E">
        <w:rPr>
          <w:rStyle w:val="FootnoteReference"/>
        </w:rPr>
        <w:footnoteReference w:id="71"/>
      </w:r>
    </w:p>
    <w:p w:rsidR="009305CC" w:rsidP="002327E2" w:rsidRDefault="006754DD" w14:paraId="23E4B3DA" w14:textId="07D44E62">
      <w:pPr>
        <w:pStyle w:val="ALJBodyText"/>
        <w:spacing w:before="240"/>
      </w:pPr>
      <w:r>
        <w:t xml:space="preserve">The Commission </w:t>
      </w:r>
      <w:r w:rsidR="009305CC">
        <w:t>solicited</w:t>
      </w:r>
      <w:r>
        <w:t xml:space="preserve"> proposals </w:t>
      </w:r>
      <w:r w:rsidR="009305CC">
        <w:t xml:space="preserve">on this issue </w:t>
      </w:r>
      <w:r>
        <w:t>in Track 3.</w:t>
      </w:r>
      <w:r w:rsidR="009305CC">
        <w:t xml:space="preserve">  </w:t>
      </w:r>
      <w:r w:rsidR="00D016B6">
        <w:t>CPED</w:t>
      </w:r>
      <w:r w:rsidR="00B97E62">
        <w:t xml:space="preserve">, </w:t>
      </w:r>
      <w:r w:rsidR="009305CC">
        <w:t xml:space="preserve">LA </w:t>
      </w:r>
      <w:r w:rsidR="00B97E62">
        <w:t xml:space="preserve">Metro, </w:t>
      </w:r>
      <w:r w:rsidR="009305CC">
        <w:t>San Francisco</w:t>
      </w:r>
      <w:r w:rsidR="00B97E62">
        <w:t>, and D</w:t>
      </w:r>
      <w:r w:rsidR="009305CC">
        <w:t>isability Advocates</w:t>
      </w:r>
      <w:r w:rsidR="00B97E62">
        <w:t xml:space="preserve"> </w:t>
      </w:r>
      <w:r w:rsidR="00D016B6">
        <w:t xml:space="preserve">recommend the proposal </w:t>
      </w:r>
      <w:r w:rsidR="007208B6">
        <w:t xml:space="preserve">discussed in D.20-03-007 </w:t>
      </w:r>
      <w:r w:rsidR="00D016B6">
        <w:t xml:space="preserve">that a TNC may </w:t>
      </w:r>
      <w:r>
        <w:t>qualify</w:t>
      </w:r>
      <w:r w:rsidR="00D016B6">
        <w:t xml:space="preserve"> </w:t>
      </w:r>
      <w:r>
        <w:t>as</w:t>
      </w:r>
      <w:r w:rsidR="00D016B6">
        <w:t xml:space="preserve"> an </w:t>
      </w:r>
      <w:r w:rsidR="00A72CB9">
        <w:t>Access Provider</w:t>
      </w:r>
      <w:r w:rsidR="00D016B6">
        <w:t xml:space="preserve"> if a TNC: (1)</w:t>
      </w:r>
      <w:r w:rsidR="00C36FD6">
        <w:t> </w:t>
      </w:r>
      <w:r w:rsidR="00D016B6">
        <w:t>qualifies for an exemption in that geographic area</w:t>
      </w:r>
      <w:r w:rsidR="008E5F21">
        <w:t>,</w:t>
      </w:r>
      <w:r w:rsidR="00D016B6">
        <w:t xml:space="preserve"> and (2) certifies that the TNC’s collected fees during the Exemption Year were exhausted to provide WAV services.</w:t>
      </w:r>
      <w:r w:rsidR="007E56C5">
        <w:rPr>
          <w:rStyle w:val="FootnoteReference"/>
        </w:rPr>
        <w:footnoteReference w:id="72"/>
      </w:r>
      <w:r w:rsidR="007208B6">
        <w:t xml:space="preserve"> </w:t>
      </w:r>
      <w:r w:rsidR="00F6097D">
        <w:t xml:space="preserve"> </w:t>
      </w:r>
    </w:p>
    <w:p w:rsidR="00B07172" w:rsidP="009305CC" w:rsidRDefault="007208B6" w14:paraId="6E3E4D1D" w14:textId="61397EB9">
      <w:pPr>
        <w:pStyle w:val="ALJBodyText"/>
      </w:pPr>
      <w:r>
        <w:t xml:space="preserve">Lyft </w:t>
      </w:r>
      <w:r w:rsidR="006754DD">
        <w:t>proposes</w:t>
      </w:r>
      <w:r>
        <w:t xml:space="preserve"> that if a TNC qualifies for an offset or an </w:t>
      </w:r>
      <w:r w:rsidR="00FB0BF0">
        <w:t>exemption and</w:t>
      </w:r>
      <w:r>
        <w:t xml:space="preserve"> incurs more expenses </w:t>
      </w:r>
      <w:r w:rsidR="009305CC">
        <w:t>tha</w:t>
      </w:r>
      <w:r w:rsidR="002A65CF">
        <w:t>n</w:t>
      </w:r>
      <w:r w:rsidR="009305CC">
        <w:t xml:space="preserve"> the fees</w:t>
      </w:r>
      <w:r>
        <w:t xml:space="preserve"> collected </w:t>
      </w:r>
      <w:r w:rsidR="00B97E62">
        <w:t>per</w:t>
      </w:r>
      <w:r>
        <w:t xml:space="preserve"> quarter, the TNC should be </w:t>
      </w:r>
      <w:r w:rsidR="00B97E62">
        <w:t>eligible</w:t>
      </w:r>
      <w:r>
        <w:t xml:space="preserve"> to apply.</w:t>
      </w:r>
      <w:r w:rsidR="00B97E62">
        <w:rPr>
          <w:rStyle w:val="FootnoteReference"/>
        </w:rPr>
        <w:footnoteReference w:id="73"/>
      </w:r>
      <w:r>
        <w:t xml:space="preserve">  Lyft </w:t>
      </w:r>
      <w:r w:rsidR="00B97E62">
        <w:t>adds</w:t>
      </w:r>
      <w:r>
        <w:t xml:space="preserve"> that if a TNC </w:t>
      </w:r>
      <w:r w:rsidR="006754DD">
        <w:t>does</w:t>
      </w:r>
      <w:r>
        <w:t xml:space="preserve"> not </w:t>
      </w:r>
      <w:r w:rsidR="00DB0C0A">
        <w:t>have</w:t>
      </w:r>
      <w:r>
        <w:t xml:space="preserve"> a WAV program in a </w:t>
      </w:r>
      <w:r>
        <w:lastRenderedPageBreak/>
        <w:t xml:space="preserve">geographic area, the TNC should be </w:t>
      </w:r>
      <w:r w:rsidR="009305CC">
        <w:t>able</w:t>
      </w:r>
      <w:r>
        <w:t xml:space="preserve"> to apply </w:t>
      </w:r>
      <w:r w:rsidR="006754DD">
        <w:t>as an</w:t>
      </w:r>
      <w:r>
        <w:t xml:space="preserve"> </w:t>
      </w:r>
      <w:r w:rsidR="00A72CB9">
        <w:t>Access Provider</w:t>
      </w:r>
      <w:r>
        <w:t xml:space="preserve">, as this would encourage </w:t>
      </w:r>
      <w:r w:rsidR="00B97E62">
        <w:t xml:space="preserve">expansion of </w:t>
      </w:r>
      <w:r>
        <w:t>WAV programs in other areas.</w:t>
      </w:r>
      <w:r w:rsidR="00DB0C0A">
        <w:t xml:space="preserve">  </w:t>
      </w:r>
      <w:r w:rsidR="006754DD">
        <w:t>Uber takes a broad</w:t>
      </w:r>
      <w:r w:rsidR="00EB6F84">
        <w:t>er</w:t>
      </w:r>
      <w:r w:rsidR="006754DD">
        <w:t xml:space="preserve"> view that the only limitation on TNCs receiving </w:t>
      </w:r>
      <w:r w:rsidR="00A72CB9">
        <w:t>Access Provider</w:t>
      </w:r>
      <w:r w:rsidR="006754DD">
        <w:t xml:space="preserve"> funding should be </w:t>
      </w:r>
      <w:r w:rsidR="00B97E62">
        <w:t xml:space="preserve">whether their WAV expenses exceeded </w:t>
      </w:r>
      <w:r w:rsidR="00EB6F84">
        <w:t xml:space="preserve">their </w:t>
      </w:r>
      <w:r w:rsidR="00B97E62">
        <w:t>collected quarterly fees</w:t>
      </w:r>
      <w:r w:rsidR="006754DD">
        <w:t>.</w:t>
      </w:r>
      <w:r w:rsidR="006754DD">
        <w:rPr>
          <w:rStyle w:val="FootnoteReference"/>
        </w:rPr>
        <w:footnoteReference w:id="74"/>
      </w:r>
      <w:r w:rsidR="006754DD">
        <w:t xml:space="preserve">  </w:t>
      </w:r>
    </w:p>
    <w:p w:rsidR="00F1286E" w:rsidP="009305CC" w:rsidRDefault="00EB6F84" w14:paraId="592573CC" w14:textId="75BF6A5A">
      <w:pPr>
        <w:pStyle w:val="ALJBodyText"/>
      </w:pPr>
      <w:r>
        <w:t xml:space="preserve">The Commission </w:t>
      </w:r>
      <w:r w:rsidR="009305CC">
        <w:t>reiterates the</w:t>
      </w:r>
      <w:r>
        <w:t xml:space="preserve"> concern </w:t>
      </w:r>
      <w:r w:rsidR="009305CC">
        <w:t xml:space="preserve">stated </w:t>
      </w:r>
      <w:r>
        <w:t xml:space="preserve">in </w:t>
      </w:r>
      <w:r w:rsidR="00B85ED8">
        <w:t xml:space="preserve">D.20-03-007, </w:t>
      </w:r>
      <w:r>
        <w:t xml:space="preserve">which is that a TNC should not be eligible to receive additional funding if it does not meet the </w:t>
      </w:r>
      <w:r w:rsidR="00F6097D">
        <w:t xml:space="preserve">higher </w:t>
      </w:r>
      <w:r>
        <w:t xml:space="preserve">requirements for an exemption or an offset.  Otherwise, a TNC may opt not to </w:t>
      </w:r>
      <w:r w:rsidR="009305CC">
        <w:t>satisfy the requirements of</w:t>
      </w:r>
      <w:r>
        <w:t xml:space="preserve"> an exemption or offset, which are specifically set forth for TNCs, and instead </w:t>
      </w:r>
      <w:r w:rsidR="00F6097D">
        <w:t>compete for</w:t>
      </w:r>
      <w:r>
        <w:t xml:space="preserve"> </w:t>
      </w:r>
      <w:r w:rsidR="009305CC">
        <w:t xml:space="preserve">Access Fund moneys </w:t>
      </w:r>
      <w:r w:rsidR="00F6097D">
        <w:t xml:space="preserve">specifically set aside for </w:t>
      </w:r>
      <w:r w:rsidR="00A72CB9">
        <w:t>Access Provider</w:t>
      </w:r>
      <w:r>
        <w:t>s</w:t>
      </w:r>
      <w:r w:rsidR="00F6097D">
        <w:t>, which may be new or emerging services</w:t>
      </w:r>
      <w:r>
        <w:t>.</w:t>
      </w:r>
      <w:r w:rsidR="00F6097D">
        <w:t xml:space="preserve">  </w:t>
      </w:r>
    </w:p>
    <w:p w:rsidR="0056048C" w:rsidP="009305CC" w:rsidRDefault="00F1286E" w14:paraId="7E018545" w14:textId="3B4CE01D">
      <w:pPr>
        <w:pStyle w:val="ALJBodyText"/>
      </w:pPr>
      <w:r>
        <w:t>The Commission</w:t>
      </w:r>
      <w:r w:rsidR="009305CC">
        <w:t xml:space="preserve"> conclude</w:t>
      </w:r>
      <w:r>
        <w:t>s</w:t>
      </w:r>
      <w:r w:rsidR="009305CC">
        <w:t xml:space="preserve"> that it is </w:t>
      </w:r>
      <w:r w:rsidR="00F6097D">
        <w:t>reasonable that a TNC may</w:t>
      </w:r>
      <w:r w:rsidR="006710EF">
        <w:t xml:space="preserve"> apply as an </w:t>
      </w:r>
      <w:r w:rsidR="00A72CB9">
        <w:t>Access Provider</w:t>
      </w:r>
      <w:r w:rsidR="006710EF">
        <w:t xml:space="preserve"> in a geographic area if the TNC qualifies for an exemption in that geographic area and certifies that the TNC’s collected fees during the Exemption Year were exhausted to provide WAV services.</w:t>
      </w:r>
      <w:r w:rsidR="006710EF">
        <w:rPr>
          <w:rStyle w:val="FootnoteReference"/>
        </w:rPr>
        <w:t xml:space="preserve"> </w:t>
      </w:r>
      <w:r w:rsidR="006710EF">
        <w:t xml:space="preserve"> </w:t>
      </w:r>
      <w:r>
        <w:t>We decline to adopt this requirement for</w:t>
      </w:r>
      <w:r w:rsidR="00F6097D">
        <w:t xml:space="preserve"> </w:t>
      </w:r>
      <w:r>
        <w:t>a</w:t>
      </w:r>
      <w:r w:rsidR="00F6097D">
        <w:t xml:space="preserve"> TNC that merely meet</w:t>
      </w:r>
      <w:r>
        <w:t>s</w:t>
      </w:r>
      <w:r w:rsidR="00F6097D">
        <w:t xml:space="preserve"> an offset requirement because a TNC can meet an offset requirement for one quarter and fail to meet the offset requirements for subsequent quarters.  </w:t>
      </w:r>
      <w:r w:rsidR="00B85ED8">
        <w:t>We agree with</w:t>
      </w:r>
      <w:r w:rsidR="006710EF">
        <w:t xml:space="preserve"> Lyft’s proposal </w:t>
      </w:r>
      <w:r w:rsidR="00B85ED8">
        <w:t>that in those geographic areas where</w:t>
      </w:r>
      <w:r w:rsidR="006710EF">
        <w:t xml:space="preserve"> a TNC does not </w:t>
      </w:r>
      <w:r w:rsidR="00B85ED8">
        <w:t>offer WAV</w:t>
      </w:r>
      <w:r w:rsidR="006710EF">
        <w:t xml:space="preserve"> service, </w:t>
      </w:r>
      <w:r w:rsidR="00D10670">
        <w:t xml:space="preserve">a TNC </w:t>
      </w:r>
      <w:r w:rsidR="00B85ED8">
        <w:t>may</w:t>
      </w:r>
      <w:r w:rsidR="00D10670">
        <w:t xml:space="preserve"> apply as an </w:t>
      </w:r>
      <w:r w:rsidR="00A72CB9">
        <w:t>Access Provider</w:t>
      </w:r>
      <w:r w:rsidR="00D10670">
        <w:t xml:space="preserve">.  </w:t>
      </w:r>
    </w:p>
    <w:p w:rsidR="006710EF" w:rsidP="008E4F18" w:rsidRDefault="0056048C" w14:paraId="2520C96C" w14:textId="35943F38">
      <w:pPr>
        <w:pStyle w:val="ALJBodyText"/>
      </w:pPr>
      <w:r>
        <w:t>Accordingly, a TNC</w:t>
      </w:r>
      <w:r w:rsidRPr="0056048C">
        <w:t xml:space="preserve"> </w:t>
      </w:r>
      <w:r>
        <w:t xml:space="preserve">may apply as an </w:t>
      </w:r>
      <w:r w:rsidR="00A72CB9">
        <w:t>Access Provider</w:t>
      </w:r>
      <w:r>
        <w:t xml:space="preserve"> in a geographic area </w:t>
      </w:r>
      <w:r w:rsidR="002A65CF">
        <w:t xml:space="preserve">where it currently offers WAV service </w:t>
      </w:r>
      <w:r>
        <w:t xml:space="preserve">if: </w:t>
      </w:r>
      <w:r w:rsidR="00C36FD6">
        <w:t xml:space="preserve"> </w:t>
      </w:r>
      <w:r>
        <w:t>(a) the TNC qualifies for an exemption in that geographic area, and (b)</w:t>
      </w:r>
      <w:r w:rsidR="00C36FD6">
        <w:t> </w:t>
      </w:r>
      <w:r>
        <w:t>certifies that the TNC’s collected fees during the Exemption Year were exhausted to provide WAV services.</w:t>
      </w:r>
      <w:r>
        <w:rPr>
          <w:rStyle w:val="FootnoteReference"/>
        </w:rPr>
        <w:t xml:space="preserve"> </w:t>
      </w:r>
      <w:r>
        <w:t xml:space="preserve"> </w:t>
      </w:r>
      <w:r w:rsidR="008E4F18">
        <w:t>A</w:t>
      </w:r>
      <w:r w:rsidR="00D10670">
        <w:t xml:space="preserve"> TNC </w:t>
      </w:r>
      <w:r w:rsidR="00F6097D">
        <w:t>may</w:t>
      </w:r>
      <w:r w:rsidR="00D10670">
        <w:t xml:space="preserve"> </w:t>
      </w:r>
      <w:r w:rsidR="008E4F18">
        <w:t xml:space="preserve">also </w:t>
      </w:r>
      <w:r w:rsidR="00D10670">
        <w:lastRenderedPageBreak/>
        <w:t xml:space="preserve">apply </w:t>
      </w:r>
      <w:r w:rsidR="008E4F18">
        <w:t xml:space="preserve">as an </w:t>
      </w:r>
      <w:r w:rsidR="00A72CB9">
        <w:t>Access Provider</w:t>
      </w:r>
      <w:r w:rsidR="008E4F18">
        <w:t xml:space="preserve"> </w:t>
      </w:r>
      <w:r w:rsidR="00D10670">
        <w:t xml:space="preserve">in </w:t>
      </w:r>
      <w:r w:rsidR="008E4F18">
        <w:t>a</w:t>
      </w:r>
      <w:r w:rsidR="00F6097D">
        <w:t xml:space="preserve"> </w:t>
      </w:r>
      <w:r w:rsidR="0001754B">
        <w:t>geographic area</w:t>
      </w:r>
      <w:r w:rsidR="008E4F18">
        <w:t xml:space="preserve"> </w:t>
      </w:r>
      <w:r w:rsidR="000764B7">
        <w:t>where</w:t>
      </w:r>
      <w:r w:rsidR="008E4F18">
        <w:t xml:space="preserve"> it does not offer any WAV services.</w:t>
      </w:r>
      <w:r w:rsidR="0001754B">
        <w:t xml:space="preserve"> </w:t>
      </w:r>
      <w:r w:rsidR="008E4F18">
        <w:t xml:space="preserve"> </w:t>
      </w:r>
      <w:r w:rsidR="00B85ED8">
        <w:t xml:space="preserve">The AFA </w:t>
      </w:r>
      <w:r w:rsidR="0001754B">
        <w:t xml:space="preserve">that receives a TNC’s application </w:t>
      </w:r>
      <w:r w:rsidR="00B85ED8">
        <w:t>shall consult with CPED</w:t>
      </w:r>
      <w:r w:rsidR="008E4F18">
        <w:t xml:space="preserve"> Staff</w:t>
      </w:r>
      <w:r w:rsidR="00B85ED8">
        <w:t xml:space="preserve"> </w:t>
      </w:r>
      <w:r w:rsidR="008E4F18">
        <w:t xml:space="preserve">to verify </w:t>
      </w:r>
      <w:r w:rsidR="00B85ED8">
        <w:t>whether the TNC has met the</w:t>
      </w:r>
      <w:r w:rsidR="008E4F18">
        <w:t>se</w:t>
      </w:r>
      <w:r w:rsidR="00B85ED8">
        <w:t xml:space="preserve"> </w:t>
      </w:r>
      <w:r w:rsidR="008E4F18">
        <w:t xml:space="preserve">eligibility </w:t>
      </w:r>
      <w:r w:rsidR="00B85ED8">
        <w:t>requirements.</w:t>
      </w:r>
    </w:p>
    <w:p w:rsidR="00572F54" w:rsidP="00572F54" w:rsidRDefault="008E4F18" w14:paraId="6762D76E" w14:textId="77777777">
      <w:pPr>
        <w:pStyle w:val="ALJBodyText"/>
      </w:pPr>
      <w:r>
        <w:t>Lastly, we consider</w:t>
      </w:r>
      <w:r w:rsidR="005C70FF">
        <w:t xml:space="preserve"> whether</w:t>
      </w:r>
      <w:r w:rsidR="00380438">
        <w:t xml:space="preserve"> </w:t>
      </w:r>
      <w:r w:rsidR="005C70FF">
        <w:t xml:space="preserve">to adopt </w:t>
      </w:r>
      <w:r w:rsidR="00380438">
        <w:t xml:space="preserve">separate qualifying standards for </w:t>
      </w:r>
      <w:r w:rsidR="005C70FF">
        <w:t>smaller</w:t>
      </w:r>
      <w:r w:rsidR="00B85ED8">
        <w:t xml:space="preserve"> </w:t>
      </w:r>
      <w:r w:rsidR="00380438">
        <w:t xml:space="preserve">TNCs, such as </w:t>
      </w:r>
      <w:r w:rsidR="005C70FF">
        <w:t xml:space="preserve">based on </w:t>
      </w:r>
      <w:r w:rsidR="00380438">
        <w:t xml:space="preserve">the number of trips provided in a geographic area.  </w:t>
      </w:r>
      <w:r w:rsidR="00572F54">
        <w:t>Nearly all parties</w:t>
      </w:r>
      <w:r w:rsidR="00380438">
        <w:t>, including</w:t>
      </w:r>
      <w:r w:rsidR="001E1BC7">
        <w:t xml:space="preserve"> </w:t>
      </w:r>
      <w:r w:rsidR="00572F54">
        <w:t>Disability Advocates</w:t>
      </w:r>
      <w:r w:rsidR="001E1BC7">
        <w:t>,</w:t>
      </w:r>
      <w:r w:rsidR="0068310C">
        <w:t xml:space="preserve"> SFTWA,</w:t>
      </w:r>
      <w:r w:rsidR="00380438">
        <w:t xml:space="preserve"> S</w:t>
      </w:r>
      <w:r w:rsidR="00572F54">
        <w:t xml:space="preserve">an </w:t>
      </w:r>
      <w:r w:rsidR="00380438">
        <w:t>F</w:t>
      </w:r>
      <w:r w:rsidR="00572F54">
        <w:t>rancisco</w:t>
      </w:r>
      <w:r w:rsidR="00380438">
        <w:t xml:space="preserve">, Uber, Marin Transit, and Lyft, </w:t>
      </w:r>
      <w:r w:rsidR="005C70FF">
        <w:t>object to</w:t>
      </w:r>
      <w:r w:rsidR="00380438">
        <w:t xml:space="preserve"> establishing different qualifying standards for TNCs based on the </w:t>
      </w:r>
      <w:r w:rsidR="006A6BF1">
        <w:t>size of the TNC</w:t>
      </w:r>
      <w:r w:rsidR="00380438">
        <w:t xml:space="preserve"> or other criteria.</w:t>
      </w:r>
      <w:r w:rsidR="006A6BF1">
        <w:t xml:space="preserve">  Via states that </w:t>
      </w:r>
      <w:r>
        <w:t>if</w:t>
      </w:r>
      <w:r w:rsidR="006A6BF1">
        <w:t xml:space="preserve"> separate qualifying standards </w:t>
      </w:r>
      <w:r>
        <w:t xml:space="preserve">are adopted, they </w:t>
      </w:r>
      <w:r w:rsidR="006A6BF1">
        <w:t xml:space="preserve">should </w:t>
      </w:r>
      <w:r w:rsidR="00D10670">
        <w:t>be</w:t>
      </w:r>
      <w:r w:rsidR="006A6BF1">
        <w:t xml:space="preserve"> based</w:t>
      </w:r>
      <w:r w:rsidR="00D10670">
        <w:t xml:space="preserve"> </w:t>
      </w:r>
      <w:r w:rsidR="006A6BF1">
        <w:t>on quali</w:t>
      </w:r>
      <w:r w:rsidR="00D10670">
        <w:t>t</w:t>
      </w:r>
      <w:r w:rsidR="006A6BF1">
        <w:t>y of service and not size of the operation.</w:t>
      </w:r>
      <w:r w:rsidR="00BA0BE6">
        <w:rPr>
          <w:rStyle w:val="FootnoteReference"/>
        </w:rPr>
        <w:footnoteReference w:id="75"/>
      </w:r>
      <w:r w:rsidR="00D10670">
        <w:t xml:space="preserve">  </w:t>
      </w:r>
    </w:p>
    <w:p w:rsidR="005C70FF" w:rsidP="00572F54" w:rsidRDefault="00380438" w14:paraId="6A61E681" w14:textId="41B919B7">
      <w:pPr>
        <w:pStyle w:val="ALJBodyText"/>
      </w:pPr>
      <w:r>
        <w:t>As discussed in D.20-03-007, the Commission does not interpret SB 1376 to requir</w:t>
      </w:r>
      <w:r w:rsidR="00B85ED8">
        <w:t>e</w:t>
      </w:r>
      <w:r>
        <w:t xml:space="preserve"> unique criteria for smaller TNCs</w:t>
      </w:r>
      <w:r w:rsidR="00572F54">
        <w:t>, noting that</w:t>
      </w:r>
      <w:r w:rsidR="005C70FF">
        <w:t xml:space="preserve"> </w:t>
      </w:r>
      <w:r>
        <w:t xml:space="preserve">“in the Commission’s history of rulemaking regulating TNCs, such </w:t>
      </w:r>
      <w:r w:rsidRPr="005173E7">
        <w:t xml:space="preserve">as </w:t>
      </w:r>
      <w:r w:rsidR="0093477E">
        <w:t>R.</w:t>
      </w:r>
      <w:r w:rsidRPr="005173E7">
        <w:t>12</w:t>
      </w:r>
      <w:r>
        <w:t>-12-011, there have been no instances of applying separate regulations for smaller TNCs, and we find insufficient basis for doing so here.”</w:t>
      </w:r>
      <w:r>
        <w:rPr>
          <w:rStyle w:val="FootnoteReference"/>
        </w:rPr>
        <w:footnoteReference w:id="76"/>
      </w:r>
      <w:r>
        <w:t xml:space="preserve"> </w:t>
      </w:r>
      <w:r w:rsidR="00A60EB5">
        <w:t xml:space="preserve"> </w:t>
      </w:r>
      <w:r w:rsidR="00572F54">
        <w:t>A s</w:t>
      </w:r>
      <w:r w:rsidR="00853257">
        <w:t>maller TNC</w:t>
      </w:r>
      <w:r w:rsidR="00572F54">
        <w:t>, however,</w:t>
      </w:r>
      <w:r w:rsidR="00853257">
        <w:t xml:space="preserve"> </w:t>
      </w:r>
      <w:r w:rsidR="00D10670">
        <w:t>may</w:t>
      </w:r>
      <w:r w:rsidR="00853257">
        <w:t xml:space="preserve"> apply for funding</w:t>
      </w:r>
      <w:r w:rsidR="00B85ED8">
        <w:t xml:space="preserve"> as an </w:t>
      </w:r>
      <w:r w:rsidR="00A72CB9">
        <w:t>Access Provider</w:t>
      </w:r>
      <w:r w:rsidR="005C70FF">
        <w:t xml:space="preserve"> in</w:t>
      </w:r>
      <w:r w:rsidR="00D10670">
        <w:t xml:space="preserve"> geographic areas where </w:t>
      </w:r>
      <w:r w:rsidR="00572F54">
        <w:t>it</w:t>
      </w:r>
      <w:r w:rsidR="00D10670">
        <w:t xml:space="preserve"> does not operate WAV services, as </w:t>
      </w:r>
      <w:r w:rsidR="00B85ED8">
        <w:t>adopted</w:t>
      </w:r>
      <w:r w:rsidR="00D10670">
        <w:t xml:space="preserve"> above.  </w:t>
      </w:r>
    </w:p>
    <w:p w:rsidRPr="00A60EB5" w:rsidR="005D0E7F" w:rsidP="005C70FF" w:rsidRDefault="00572F54" w14:paraId="6EA8F317" w14:textId="46990A30">
      <w:pPr>
        <w:pStyle w:val="ALJBodyText"/>
      </w:pPr>
      <w:r>
        <w:t>In</w:t>
      </w:r>
      <w:r w:rsidR="00D10670">
        <w:t xml:space="preserve"> geographic areas where </w:t>
      </w:r>
      <w:r w:rsidR="005C70FF">
        <w:t xml:space="preserve">smaller </w:t>
      </w:r>
      <w:r w:rsidR="00D10670">
        <w:t xml:space="preserve">TNCs operate WAVs but do not qualify for an </w:t>
      </w:r>
      <w:r w:rsidR="002A65CF">
        <w:t>o</w:t>
      </w:r>
      <w:r w:rsidR="00D10670">
        <w:t xml:space="preserve">ffset or </w:t>
      </w:r>
      <w:r w:rsidR="002A65CF">
        <w:t>e</w:t>
      </w:r>
      <w:r w:rsidR="00D10670">
        <w:t xml:space="preserve">xemption, </w:t>
      </w:r>
      <w:r w:rsidR="00B85ED8">
        <w:t xml:space="preserve">the TNC </w:t>
      </w:r>
      <w:r>
        <w:t>is</w:t>
      </w:r>
      <w:r w:rsidR="005C70FF">
        <w:t xml:space="preserve"> </w:t>
      </w:r>
      <w:r>
        <w:t xml:space="preserve">currently </w:t>
      </w:r>
      <w:r w:rsidR="005C70FF">
        <w:t>in</w:t>
      </w:r>
      <w:r w:rsidR="00B85ED8">
        <w:t xml:space="preserve">eligible for </w:t>
      </w:r>
      <w:r>
        <w:t>A</w:t>
      </w:r>
      <w:r w:rsidR="00B85ED8">
        <w:t xml:space="preserve">ccess </w:t>
      </w:r>
      <w:r>
        <w:t xml:space="preserve">Fund moneys as an </w:t>
      </w:r>
      <w:r w:rsidR="00A72CB9">
        <w:t>Access Provider</w:t>
      </w:r>
      <w:r w:rsidR="00B85ED8">
        <w:t xml:space="preserve">.  </w:t>
      </w:r>
      <w:r w:rsidR="005C70FF">
        <w:t>The</w:t>
      </w:r>
      <w:r w:rsidR="00B85ED8">
        <w:t xml:space="preserve"> Commission</w:t>
      </w:r>
      <w:r>
        <w:t xml:space="preserve"> </w:t>
      </w:r>
      <w:r w:rsidR="00B85ED8">
        <w:t xml:space="preserve">would consider whether </w:t>
      </w:r>
      <w:r w:rsidR="00D10670">
        <w:t xml:space="preserve">a smaller TNC </w:t>
      </w:r>
      <w:r w:rsidR="00F1286E">
        <w:t>may</w:t>
      </w:r>
      <w:r w:rsidR="00D10670">
        <w:t xml:space="preserve"> apply as an </w:t>
      </w:r>
      <w:r w:rsidR="00A72CB9">
        <w:t>Access Provider</w:t>
      </w:r>
      <w:r w:rsidR="00B85ED8">
        <w:t xml:space="preserve"> in </w:t>
      </w:r>
      <w:r w:rsidR="00F1286E">
        <w:t xml:space="preserve">a </w:t>
      </w:r>
      <w:r w:rsidR="00B85ED8">
        <w:t xml:space="preserve">geographic area where it operates WAV services </w:t>
      </w:r>
      <w:r w:rsidR="005C70FF">
        <w:t>and</w:t>
      </w:r>
      <w:r w:rsidR="00B85ED8">
        <w:t xml:space="preserve"> does not meet the </w:t>
      </w:r>
      <w:r w:rsidR="00A72CB9">
        <w:t>o</w:t>
      </w:r>
      <w:r w:rsidR="00B85ED8">
        <w:t xml:space="preserve">ffset or </w:t>
      </w:r>
      <w:r w:rsidR="00A72CB9">
        <w:t>e</w:t>
      </w:r>
      <w:r w:rsidR="00B85ED8">
        <w:t>xemption requirements</w:t>
      </w:r>
      <w:r w:rsidR="00E153B3">
        <w:t xml:space="preserve">.  </w:t>
      </w:r>
      <w:r w:rsidR="00B85ED8">
        <w:t>For example,</w:t>
      </w:r>
      <w:r w:rsidR="00E153B3">
        <w:t xml:space="preserve"> </w:t>
      </w:r>
      <w:r w:rsidR="00B85ED8">
        <w:t>a</w:t>
      </w:r>
      <w:r w:rsidR="00E153B3">
        <w:t xml:space="preserve"> smaller TNC’s application </w:t>
      </w:r>
      <w:r w:rsidR="005C70FF">
        <w:t>to a</w:t>
      </w:r>
      <w:r>
        <w:t xml:space="preserve">n </w:t>
      </w:r>
      <w:r w:rsidR="005C70FF">
        <w:t xml:space="preserve">AFA </w:t>
      </w:r>
      <w:r>
        <w:t>may</w:t>
      </w:r>
      <w:r w:rsidR="00E153B3">
        <w:t xml:space="preserve"> include a description </w:t>
      </w:r>
      <w:r w:rsidR="00E153B3">
        <w:lastRenderedPageBreak/>
        <w:t xml:space="preserve">of the efforts </w:t>
      </w:r>
      <w:r w:rsidR="00B85ED8">
        <w:t>undertaken</w:t>
      </w:r>
      <w:r w:rsidR="00E153B3">
        <w:t xml:space="preserve"> to provide WAV services in that geographic area and the necessity for funds to expand or improve those WAV services.  </w:t>
      </w:r>
      <w:r w:rsidR="00F1286E">
        <w:t>P</w:t>
      </w:r>
      <w:r w:rsidR="00E153B3">
        <w:t xml:space="preserve">arties in Track 4 </w:t>
      </w:r>
      <w:r w:rsidR="00F1286E">
        <w:t>should</w:t>
      </w:r>
      <w:r w:rsidR="00E153B3">
        <w:t xml:space="preserve"> </w:t>
      </w:r>
      <w:r w:rsidR="009C2E35">
        <w:t xml:space="preserve">submit proposals on </w:t>
      </w:r>
      <w:r w:rsidR="005C70FF">
        <w:t>whether</w:t>
      </w:r>
      <w:r w:rsidR="00E153B3">
        <w:t xml:space="preserve"> </w:t>
      </w:r>
      <w:r w:rsidR="00B85ED8">
        <w:t xml:space="preserve">an </w:t>
      </w:r>
      <w:r w:rsidR="00A72CB9">
        <w:t>Access Provider</w:t>
      </w:r>
      <w:r w:rsidR="00E153B3">
        <w:t xml:space="preserve"> </w:t>
      </w:r>
      <w:r w:rsidR="005C70FF">
        <w:t xml:space="preserve">exception should be made for smaller TNCs and how </w:t>
      </w:r>
      <w:r w:rsidR="001B00FA">
        <w:t xml:space="preserve">a </w:t>
      </w:r>
      <w:r w:rsidR="00E153B3">
        <w:t>“small</w:t>
      </w:r>
      <w:r w:rsidR="00B85ED8">
        <w:t>er</w:t>
      </w:r>
      <w:r w:rsidR="00E153B3">
        <w:t xml:space="preserve"> TNC” should be defined. </w:t>
      </w:r>
    </w:p>
    <w:p w:rsidRPr="00A21F64" w:rsidR="00A21F64" w:rsidP="00224875" w:rsidRDefault="00DA614F" w14:paraId="0FE53241" w14:textId="07AC7D33">
      <w:pPr>
        <w:pStyle w:val="Heading2"/>
        <w:keepLines/>
        <w:numPr>
          <w:ilvl w:val="1"/>
          <w:numId w:val="1"/>
        </w:numPr>
        <w:tabs>
          <w:tab w:val="num" w:pos="1080"/>
        </w:tabs>
        <w:spacing w:before="0"/>
        <w:ind w:left="1080" w:right="2160" w:hanging="720"/>
      </w:pPr>
      <w:bookmarkStart w:name="_Toc65585469" w:id="36"/>
      <w:r w:rsidRPr="00F27026">
        <w:t>Additional</w:t>
      </w:r>
      <w:r>
        <w:t xml:space="preserve"> Requirements for Access Providers</w:t>
      </w:r>
      <w:bookmarkEnd w:id="36"/>
    </w:p>
    <w:p w:rsidR="00ED0E7F" w:rsidP="009D1F63" w:rsidRDefault="00A21F64" w14:paraId="421DD51C" w14:textId="449F0D5B">
      <w:pPr>
        <w:pStyle w:val="ALJBodyText"/>
        <w:rPr>
          <w:rFonts w:cs="BookAntiqua"/>
          <w:szCs w:val="26"/>
        </w:rPr>
      </w:pPr>
      <w:r>
        <w:rPr>
          <w:rFonts w:cs="BookAntiqua"/>
          <w:szCs w:val="26"/>
        </w:rPr>
        <w:t xml:space="preserve">Nearly all parties and CPED </w:t>
      </w:r>
      <w:r w:rsidR="00F27026">
        <w:rPr>
          <w:rFonts w:cs="BookAntiqua"/>
          <w:szCs w:val="26"/>
        </w:rPr>
        <w:t xml:space="preserve">disagree that </w:t>
      </w:r>
      <w:r w:rsidR="00A72CB9">
        <w:rPr>
          <w:rFonts w:cs="BookAntiqua"/>
          <w:szCs w:val="26"/>
        </w:rPr>
        <w:t>Access Provider</w:t>
      </w:r>
      <w:r>
        <w:rPr>
          <w:rFonts w:cs="BookAntiqua"/>
          <w:szCs w:val="26"/>
        </w:rPr>
        <w:t xml:space="preserve">s that receive </w:t>
      </w:r>
      <w:r w:rsidR="00F27026">
        <w:rPr>
          <w:rFonts w:cs="BookAntiqua"/>
          <w:szCs w:val="26"/>
        </w:rPr>
        <w:t>Access Fund funding</w:t>
      </w:r>
      <w:r>
        <w:rPr>
          <w:rFonts w:cs="BookAntiqua"/>
          <w:szCs w:val="26"/>
        </w:rPr>
        <w:t xml:space="preserve"> </w:t>
      </w:r>
      <w:r w:rsidR="002A65CF">
        <w:rPr>
          <w:rFonts w:cs="BookAntiqua"/>
          <w:szCs w:val="26"/>
        </w:rPr>
        <w:t xml:space="preserve">must </w:t>
      </w:r>
      <w:r>
        <w:rPr>
          <w:rFonts w:cs="BookAntiqua"/>
          <w:szCs w:val="26"/>
        </w:rPr>
        <w:t xml:space="preserve">be available for chartering through TNC applications.  </w:t>
      </w:r>
      <w:r w:rsidR="003A6586">
        <w:rPr>
          <w:rFonts w:cs="BookAntiqua"/>
          <w:szCs w:val="26"/>
        </w:rPr>
        <w:t>P</w:t>
      </w:r>
      <w:r>
        <w:rPr>
          <w:rFonts w:cs="BookAntiqua"/>
          <w:szCs w:val="26"/>
        </w:rPr>
        <w:t xml:space="preserve">arties generally </w:t>
      </w:r>
      <w:r w:rsidR="003A6586">
        <w:rPr>
          <w:rFonts w:cs="BookAntiqua"/>
          <w:szCs w:val="26"/>
        </w:rPr>
        <w:t>state</w:t>
      </w:r>
      <w:r>
        <w:rPr>
          <w:rFonts w:cs="BookAntiqua"/>
          <w:szCs w:val="26"/>
        </w:rPr>
        <w:t xml:space="preserve"> that it would be inconsistent with SB 1376 to require </w:t>
      </w:r>
      <w:r w:rsidR="00A72CB9">
        <w:rPr>
          <w:rFonts w:cs="BookAntiqua"/>
          <w:szCs w:val="26"/>
        </w:rPr>
        <w:t>Access Provider</w:t>
      </w:r>
      <w:r>
        <w:rPr>
          <w:rFonts w:cs="BookAntiqua"/>
          <w:szCs w:val="26"/>
        </w:rPr>
        <w:t>s to provide services through TNC</w:t>
      </w:r>
      <w:r w:rsidR="009D1F63">
        <w:rPr>
          <w:rFonts w:cs="BookAntiqua"/>
          <w:szCs w:val="26"/>
        </w:rPr>
        <w:t xml:space="preserve"> application</w:t>
      </w:r>
      <w:r>
        <w:rPr>
          <w:rFonts w:cs="BookAntiqua"/>
          <w:szCs w:val="26"/>
        </w:rPr>
        <w:t>s.</w:t>
      </w:r>
      <w:r>
        <w:rPr>
          <w:rStyle w:val="FootnoteReference"/>
          <w:rFonts w:cs="BookAntiqua"/>
          <w:szCs w:val="26"/>
        </w:rPr>
        <w:footnoteReference w:id="77"/>
      </w:r>
      <w:r>
        <w:rPr>
          <w:rFonts w:cs="BookAntiqua"/>
          <w:szCs w:val="26"/>
        </w:rPr>
        <w:t xml:space="preserve">  Lyft and Uber </w:t>
      </w:r>
      <w:r w:rsidR="00F27026">
        <w:rPr>
          <w:rFonts w:cs="BookAntiqua"/>
          <w:szCs w:val="26"/>
        </w:rPr>
        <w:t>assert</w:t>
      </w:r>
      <w:r>
        <w:rPr>
          <w:rFonts w:cs="BookAntiqua"/>
          <w:szCs w:val="26"/>
        </w:rPr>
        <w:t xml:space="preserve"> that TNCs should decide which partners offer services on their apps.</w:t>
      </w:r>
      <w:r>
        <w:rPr>
          <w:rStyle w:val="FootnoteReference"/>
          <w:rFonts w:cs="BookAntiqua"/>
          <w:szCs w:val="26"/>
        </w:rPr>
        <w:footnoteReference w:id="78"/>
      </w:r>
      <w:r>
        <w:rPr>
          <w:rFonts w:cs="BookAntiqua"/>
          <w:szCs w:val="26"/>
        </w:rPr>
        <w:t xml:space="preserve">  </w:t>
      </w:r>
      <w:r w:rsidR="00F27026">
        <w:rPr>
          <w:rFonts w:cs="BookAntiqua"/>
          <w:szCs w:val="26"/>
        </w:rPr>
        <w:t>We find insufficient</w:t>
      </w:r>
      <w:r>
        <w:rPr>
          <w:rFonts w:cs="BookAntiqua"/>
          <w:szCs w:val="26"/>
        </w:rPr>
        <w:t xml:space="preserve"> support for a chartering requirement and decline to adopt such a requirement.</w:t>
      </w:r>
      <w:r w:rsidR="00ED0E7F">
        <w:rPr>
          <w:rFonts w:cs="BookAntiqua"/>
          <w:szCs w:val="26"/>
        </w:rPr>
        <w:t xml:space="preserve">  </w:t>
      </w:r>
      <w:r w:rsidR="00A72CB9">
        <w:rPr>
          <w:rFonts w:cs="BookAntiqua"/>
          <w:szCs w:val="26"/>
        </w:rPr>
        <w:t>Access Provider</w:t>
      </w:r>
      <w:r w:rsidR="00ED0E7F">
        <w:rPr>
          <w:rFonts w:cs="BookAntiqua"/>
          <w:szCs w:val="26"/>
        </w:rPr>
        <w:t>s</w:t>
      </w:r>
      <w:r w:rsidR="00F27026">
        <w:rPr>
          <w:rFonts w:cs="BookAntiqua"/>
          <w:szCs w:val="26"/>
        </w:rPr>
        <w:t>, however,</w:t>
      </w:r>
      <w:r w:rsidR="00ED0E7F">
        <w:rPr>
          <w:rFonts w:cs="BookAntiqua"/>
          <w:szCs w:val="26"/>
        </w:rPr>
        <w:t xml:space="preserve"> may be available for chartering through a TNC application if such agreement </w:t>
      </w:r>
      <w:r w:rsidR="00F27026">
        <w:rPr>
          <w:rFonts w:cs="BookAntiqua"/>
          <w:szCs w:val="26"/>
        </w:rPr>
        <w:t>is</w:t>
      </w:r>
      <w:r w:rsidR="00ED0E7F">
        <w:rPr>
          <w:rFonts w:cs="BookAntiqua"/>
          <w:szCs w:val="26"/>
        </w:rPr>
        <w:t xml:space="preserve"> reached</w:t>
      </w:r>
      <w:r w:rsidR="009D1F63">
        <w:rPr>
          <w:rFonts w:cs="BookAntiqua"/>
          <w:szCs w:val="26"/>
        </w:rPr>
        <w:t xml:space="preserve"> between the involved parties</w:t>
      </w:r>
      <w:r w:rsidR="00ED0E7F">
        <w:rPr>
          <w:rFonts w:cs="BookAntiqua"/>
          <w:szCs w:val="26"/>
        </w:rPr>
        <w:t>.</w:t>
      </w:r>
    </w:p>
    <w:p w:rsidR="003702C4" w:rsidP="003A61EE" w:rsidRDefault="00F27026" w14:paraId="46465F65" w14:textId="68C6946C">
      <w:pPr>
        <w:spacing w:line="360" w:lineRule="auto"/>
        <w:ind w:firstLine="720"/>
        <w:rPr>
          <w:rFonts w:cs="BookAntiqua"/>
          <w:szCs w:val="26"/>
        </w:rPr>
      </w:pPr>
      <w:r>
        <w:rPr>
          <w:rFonts w:cs="BookAntiqua"/>
          <w:szCs w:val="26"/>
        </w:rPr>
        <w:t>In addition</w:t>
      </w:r>
      <w:r w:rsidR="009D1F63">
        <w:rPr>
          <w:rFonts w:cs="BookAntiqua"/>
          <w:szCs w:val="26"/>
        </w:rPr>
        <w:t xml:space="preserve">, </w:t>
      </w:r>
      <w:r w:rsidR="00243589">
        <w:rPr>
          <w:rFonts w:cs="BookAntiqua"/>
          <w:szCs w:val="26"/>
        </w:rPr>
        <w:t>Uber, Via, and Lyft</w:t>
      </w:r>
      <w:r w:rsidR="008C5C00">
        <w:rPr>
          <w:rFonts w:cs="BookAntiqua"/>
          <w:szCs w:val="26"/>
        </w:rPr>
        <w:t xml:space="preserve"> </w:t>
      </w:r>
      <w:r w:rsidR="009D1F63">
        <w:rPr>
          <w:rFonts w:cs="BookAntiqua"/>
          <w:szCs w:val="26"/>
        </w:rPr>
        <w:t>state</w:t>
      </w:r>
      <w:r w:rsidR="008C5C00">
        <w:rPr>
          <w:rFonts w:cs="BookAntiqua"/>
          <w:szCs w:val="26"/>
        </w:rPr>
        <w:t xml:space="preserve"> that </w:t>
      </w:r>
      <w:r w:rsidR="00A72CB9">
        <w:rPr>
          <w:rFonts w:cs="BookAntiqua"/>
          <w:szCs w:val="26"/>
        </w:rPr>
        <w:t>Access Provider</w:t>
      </w:r>
      <w:r w:rsidR="009D1F63">
        <w:rPr>
          <w:rFonts w:cs="BookAntiqua"/>
          <w:szCs w:val="26"/>
        </w:rPr>
        <w:t>s</w:t>
      </w:r>
      <w:r w:rsidR="008C5C00">
        <w:rPr>
          <w:rFonts w:cs="BookAntiqua"/>
          <w:szCs w:val="26"/>
        </w:rPr>
        <w:t xml:space="preserve"> should </w:t>
      </w:r>
      <w:r w:rsidR="00946A28">
        <w:rPr>
          <w:rFonts w:cs="BookAntiqua"/>
          <w:szCs w:val="26"/>
        </w:rPr>
        <w:t>not be</w:t>
      </w:r>
      <w:r w:rsidR="008C5C00">
        <w:rPr>
          <w:rFonts w:cs="BookAntiqua"/>
          <w:szCs w:val="26"/>
        </w:rPr>
        <w:t xml:space="preserve"> subject to </w:t>
      </w:r>
      <w:r w:rsidR="00946A28">
        <w:rPr>
          <w:rFonts w:cs="BookAntiqua"/>
          <w:szCs w:val="26"/>
        </w:rPr>
        <w:t xml:space="preserve">additional requirements other than </w:t>
      </w:r>
      <w:r w:rsidR="00A21F64">
        <w:rPr>
          <w:rFonts w:cs="BookAntiqua"/>
          <w:szCs w:val="26"/>
        </w:rPr>
        <w:t>the requirements</w:t>
      </w:r>
      <w:r w:rsidR="00946A28">
        <w:rPr>
          <w:rFonts w:cs="BookAntiqua"/>
          <w:szCs w:val="26"/>
        </w:rPr>
        <w:t xml:space="preserve"> in Ordering</w:t>
      </w:r>
      <w:r w:rsidR="00C36FD6">
        <w:rPr>
          <w:rFonts w:cs="BookAntiqua"/>
          <w:szCs w:val="26"/>
        </w:rPr>
        <w:t> </w:t>
      </w:r>
      <w:r w:rsidR="00946A28">
        <w:rPr>
          <w:rFonts w:cs="BookAntiqua"/>
          <w:szCs w:val="26"/>
        </w:rPr>
        <w:t>Paragraph 33 of D.20-03-007</w:t>
      </w:r>
      <w:r w:rsidR="00243589">
        <w:rPr>
          <w:rFonts w:cs="BookAntiqua"/>
          <w:szCs w:val="26"/>
        </w:rPr>
        <w:t>.</w:t>
      </w:r>
      <w:r w:rsidR="00243589">
        <w:rPr>
          <w:rStyle w:val="FootnoteReference"/>
          <w:rFonts w:cs="BookAntiqua"/>
          <w:szCs w:val="26"/>
        </w:rPr>
        <w:footnoteReference w:id="79"/>
      </w:r>
      <w:r w:rsidR="00243589">
        <w:rPr>
          <w:rFonts w:cs="BookAntiqua"/>
          <w:szCs w:val="26"/>
        </w:rPr>
        <w:t xml:space="preserve">  </w:t>
      </w:r>
      <w:r w:rsidR="00946A28">
        <w:rPr>
          <w:rFonts w:cs="BookAntiqua"/>
          <w:szCs w:val="26"/>
        </w:rPr>
        <w:t xml:space="preserve">While </w:t>
      </w:r>
      <w:r>
        <w:rPr>
          <w:rFonts w:cs="BookAntiqua"/>
          <w:szCs w:val="26"/>
        </w:rPr>
        <w:t>San Francisco</w:t>
      </w:r>
      <w:r w:rsidR="00243589">
        <w:rPr>
          <w:rFonts w:cs="BookAntiqua"/>
          <w:szCs w:val="26"/>
        </w:rPr>
        <w:t xml:space="preserve"> and </w:t>
      </w:r>
      <w:r>
        <w:rPr>
          <w:rFonts w:cs="BookAntiqua"/>
          <w:szCs w:val="26"/>
        </w:rPr>
        <w:t xml:space="preserve">LA </w:t>
      </w:r>
      <w:r w:rsidR="00243589">
        <w:rPr>
          <w:rFonts w:cs="BookAntiqua"/>
          <w:szCs w:val="26"/>
        </w:rPr>
        <w:t xml:space="preserve">Metro </w:t>
      </w:r>
      <w:r w:rsidR="00946A28">
        <w:rPr>
          <w:rFonts w:cs="BookAntiqua"/>
          <w:szCs w:val="26"/>
        </w:rPr>
        <w:t xml:space="preserve">do not </w:t>
      </w:r>
      <w:r>
        <w:rPr>
          <w:rFonts w:cs="BookAntiqua"/>
          <w:szCs w:val="26"/>
        </w:rPr>
        <w:t>recommend</w:t>
      </w:r>
      <w:r w:rsidR="00946A28">
        <w:rPr>
          <w:rFonts w:cs="BookAntiqua"/>
          <w:szCs w:val="26"/>
        </w:rPr>
        <w:t xml:space="preserve"> </w:t>
      </w:r>
      <w:r>
        <w:rPr>
          <w:rFonts w:cs="BookAntiqua"/>
          <w:szCs w:val="26"/>
        </w:rPr>
        <w:t>further</w:t>
      </w:r>
      <w:r w:rsidR="00946A28">
        <w:rPr>
          <w:rFonts w:cs="BookAntiqua"/>
          <w:szCs w:val="26"/>
        </w:rPr>
        <w:t xml:space="preserve"> requirements for</w:t>
      </w:r>
      <w:r w:rsidR="00243589">
        <w:rPr>
          <w:rFonts w:cs="BookAntiqua"/>
          <w:szCs w:val="26"/>
        </w:rPr>
        <w:t xml:space="preserve"> </w:t>
      </w:r>
      <w:r w:rsidR="00A72CB9">
        <w:rPr>
          <w:rFonts w:cs="BookAntiqua"/>
          <w:szCs w:val="26"/>
        </w:rPr>
        <w:t>Access Provider</w:t>
      </w:r>
      <w:r w:rsidR="00243589">
        <w:rPr>
          <w:rFonts w:cs="BookAntiqua"/>
          <w:szCs w:val="26"/>
        </w:rPr>
        <w:t xml:space="preserve">s, </w:t>
      </w:r>
      <w:r w:rsidR="00946A28">
        <w:rPr>
          <w:rFonts w:cs="BookAntiqua"/>
          <w:szCs w:val="26"/>
        </w:rPr>
        <w:t>they state tha</w:t>
      </w:r>
      <w:r w:rsidR="002A65CF">
        <w:rPr>
          <w:rFonts w:cs="BookAntiqua"/>
          <w:szCs w:val="26"/>
        </w:rPr>
        <w:t>t</w:t>
      </w:r>
      <w:r w:rsidR="00946A28">
        <w:rPr>
          <w:rFonts w:cs="BookAntiqua"/>
          <w:szCs w:val="26"/>
        </w:rPr>
        <w:t xml:space="preserve"> </w:t>
      </w:r>
      <w:r>
        <w:rPr>
          <w:rFonts w:cs="BookAntiqua"/>
          <w:szCs w:val="26"/>
        </w:rPr>
        <w:t>the</w:t>
      </w:r>
      <w:r w:rsidR="00243589">
        <w:rPr>
          <w:rFonts w:cs="BookAntiqua"/>
          <w:szCs w:val="26"/>
        </w:rPr>
        <w:t xml:space="preserve"> AFA should be permitted to request </w:t>
      </w:r>
      <w:r>
        <w:rPr>
          <w:rFonts w:cs="BookAntiqua"/>
          <w:szCs w:val="26"/>
        </w:rPr>
        <w:t xml:space="preserve">additional </w:t>
      </w:r>
      <w:r w:rsidR="00243589">
        <w:rPr>
          <w:rFonts w:cs="BookAntiqua"/>
          <w:szCs w:val="26"/>
        </w:rPr>
        <w:t>information from applicants as necessary.</w:t>
      </w:r>
      <w:r w:rsidR="00243589">
        <w:rPr>
          <w:rStyle w:val="FootnoteReference"/>
          <w:rFonts w:cs="BookAntiqua"/>
          <w:szCs w:val="26"/>
        </w:rPr>
        <w:footnoteReference w:id="80"/>
      </w:r>
      <w:r w:rsidR="00243589">
        <w:rPr>
          <w:rFonts w:cs="BookAntiqua"/>
          <w:szCs w:val="26"/>
        </w:rPr>
        <w:t xml:space="preserve">  </w:t>
      </w:r>
      <w:r w:rsidR="003702C4">
        <w:rPr>
          <w:rFonts w:cs="BookAntiqua"/>
          <w:szCs w:val="26"/>
        </w:rPr>
        <w:t xml:space="preserve">Marin Transit </w:t>
      </w:r>
      <w:r>
        <w:rPr>
          <w:rFonts w:cs="BookAntiqua"/>
          <w:szCs w:val="26"/>
        </w:rPr>
        <w:t>states</w:t>
      </w:r>
      <w:r w:rsidR="003702C4">
        <w:rPr>
          <w:rFonts w:cs="BookAntiqua"/>
          <w:szCs w:val="26"/>
        </w:rPr>
        <w:t xml:space="preserve"> that </w:t>
      </w:r>
      <w:r w:rsidR="00243589">
        <w:rPr>
          <w:rFonts w:cs="BookAntiqua"/>
          <w:szCs w:val="26"/>
        </w:rPr>
        <w:t xml:space="preserve">an </w:t>
      </w:r>
      <w:r w:rsidR="00A72CB9">
        <w:rPr>
          <w:rFonts w:cs="BookAntiqua"/>
          <w:szCs w:val="26"/>
        </w:rPr>
        <w:t>Access Provider</w:t>
      </w:r>
      <w:r w:rsidR="003702C4">
        <w:rPr>
          <w:rFonts w:cs="BookAntiqua"/>
          <w:szCs w:val="26"/>
        </w:rPr>
        <w:t xml:space="preserve"> should indicate on </w:t>
      </w:r>
      <w:r>
        <w:rPr>
          <w:rFonts w:cs="BookAntiqua"/>
          <w:szCs w:val="26"/>
        </w:rPr>
        <w:t>its</w:t>
      </w:r>
      <w:r w:rsidR="003702C4">
        <w:rPr>
          <w:rFonts w:cs="BookAntiqua"/>
          <w:szCs w:val="26"/>
        </w:rPr>
        <w:t xml:space="preserve"> </w:t>
      </w:r>
      <w:r w:rsidR="003702C4">
        <w:rPr>
          <w:rFonts w:cs="BookAntiqua"/>
          <w:szCs w:val="26"/>
        </w:rPr>
        <w:lastRenderedPageBreak/>
        <w:t xml:space="preserve">application whether </w:t>
      </w:r>
      <w:r w:rsidR="00243589">
        <w:rPr>
          <w:rFonts w:cs="BookAntiqua"/>
          <w:szCs w:val="26"/>
        </w:rPr>
        <w:t>it is</w:t>
      </w:r>
      <w:r w:rsidR="003702C4">
        <w:rPr>
          <w:rFonts w:cs="BookAntiqua"/>
          <w:szCs w:val="26"/>
        </w:rPr>
        <w:t xml:space="preserve"> a service provider for a TNC and describe how </w:t>
      </w:r>
      <w:r w:rsidR="002A65CF">
        <w:rPr>
          <w:rFonts w:cs="BookAntiqua"/>
          <w:szCs w:val="26"/>
        </w:rPr>
        <w:t xml:space="preserve">it </w:t>
      </w:r>
      <w:r w:rsidR="003702C4">
        <w:rPr>
          <w:rFonts w:cs="BookAntiqua"/>
          <w:szCs w:val="26"/>
        </w:rPr>
        <w:t>relate</w:t>
      </w:r>
      <w:r>
        <w:rPr>
          <w:rFonts w:cs="BookAntiqua"/>
          <w:szCs w:val="26"/>
        </w:rPr>
        <w:t>s</w:t>
      </w:r>
      <w:r w:rsidR="003702C4">
        <w:rPr>
          <w:rFonts w:cs="BookAntiqua"/>
          <w:szCs w:val="26"/>
        </w:rPr>
        <w:t xml:space="preserve"> to the application for funds.</w:t>
      </w:r>
      <w:r w:rsidR="003702C4">
        <w:rPr>
          <w:rStyle w:val="FootnoteReference"/>
          <w:rFonts w:cs="BookAntiqua"/>
          <w:szCs w:val="26"/>
        </w:rPr>
        <w:footnoteReference w:id="81"/>
      </w:r>
    </w:p>
    <w:p w:rsidR="00403392" w:rsidP="005D3CFF" w:rsidRDefault="00B02A0E" w14:paraId="01735753" w14:textId="470CDA22">
      <w:pPr>
        <w:spacing w:line="360" w:lineRule="auto"/>
        <w:ind w:firstLine="720"/>
        <w:rPr>
          <w:rFonts w:cs="BookAntiqua"/>
          <w:szCs w:val="26"/>
        </w:rPr>
      </w:pPr>
      <w:r>
        <w:rPr>
          <w:rFonts w:cs="BookAntiqua"/>
          <w:szCs w:val="26"/>
        </w:rPr>
        <w:t xml:space="preserve">The Commission </w:t>
      </w:r>
      <w:r w:rsidR="003A6586">
        <w:rPr>
          <w:rFonts w:cs="BookAntiqua"/>
          <w:szCs w:val="26"/>
        </w:rPr>
        <w:t xml:space="preserve">agrees </w:t>
      </w:r>
      <w:r>
        <w:rPr>
          <w:rFonts w:cs="BookAntiqua"/>
          <w:szCs w:val="26"/>
        </w:rPr>
        <w:t xml:space="preserve">that </w:t>
      </w:r>
      <w:r w:rsidR="00F27026">
        <w:rPr>
          <w:rFonts w:cs="BookAntiqua"/>
          <w:szCs w:val="26"/>
        </w:rPr>
        <w:t>an</w:t>
      </w:r>
      <w:r>
        <w:rPr>
          <w:rFonts w:cs="BookAntiqua"/>
          <w:szCs w:val="26"/>
        </w:rPr>
        <w:t xml:space="preserve"> AFA should be permitted to request additional information from applicants as necessary, </w:t>
      </w:r>
      <w:r w:rsidR="003A6586">
        <w:rPr>
          <w:rFonts w:cs="BookAntiqua"/>
          <w:szCs w:val="26"/>
        </w:rPr>
        <w:t xml:space="preserve">particularly </w:t>
      </w:r>
      <w:r w:rsidR="00F27026">
        <w:rPr>
          <w:rFonts w:cs="BookAntiqua"/>
          <w:szCs w:val="26"/>
        </w:rPr>
        <w:t>because</w:t>
      </w:r>
      <w:r>
        <w:rPr>
          <w:rFonts w:cs="BookAntiqua"/>
          <w:szCs w:val="26"/>
        </w:rPr>
        <w:t xml:space="preserve"> there may be uniquely local issues </w:t>
      </w:r>
      <w:r w:rsidR="00F27026">
        <w:rPr>
          <w:rFonts w:cs="BookAntiqua"/>
          <w:szCs w:val="26"/>
        </w:rPr>
        <w:t>relevant for</w:t>
      </w:r>
      <w:r>
        <w:rPr>
          <w:rFonts w:cs="BookAntiqua"/>
          <w:szCs w:val="26"/>
        </w:rPr>
        <w:t xml:space="preserve"> certain geographic area</w:t>
      </w:r>
      <w:r w:rsidR="00F27026">
        <w:rPr>
          <w:rFonts w:cs="BookAntiqua"/>
          <w:szCs w:val="26"/>
        </w:rPr>
        <w:t>s</w:t>
      </w:r>
      <w:r>
        <w:rPr>
          <w:rFonts w:cs="BookAntiqua"/>
          <w:szCs w:val="26"/>
        </w:rPr>
        <w:t xml:space="preserve">.  </w:t>
      </w:r>
      <w:r w:rsidR="00F27026">
        <w:rPr>
          <w:rFonts w:cs="BookAntiqua"/>
          <w:szCs w:val="26"/>
        </w:rPr>
        <w:t xml:space="preserve">We </w:t>
      </w:r>
      <w:r w:rsidR="009D1F63">
        <w:rPr>
          <w:rFonts w:cs="BookAntiqua"/>
          <w:szCs w:val="26"/>
        </w:rPr>
        <w:t>agree</w:t>
      </w:r>
      <w:r w:rsidRPr="009D1F63">
        <w:rPr>
          <w:rFonts w:cs="BookAntiqua"/>
          <w:szCs w:val="26"/>
        </w:rPr>
        <w:t xml:space="preserve"> </w:t>
      </w:r>
      <w:r w:rsidR="009D1F63">
        <w:rPr>
          <w:rFonts w:cs="BookAntiqua"/>
          <w:szCs w:val="26"/>
        </w:rPr>
        <w:t>with</w:t>
      </w:r>
      <w:r w:rsidRPr="009D1F63" w:rsidR="003A6586">
        <w:rPr>
          <w:rFonts w:cs="BookAntiqua"/>
          <w:szCs w:val="26"/>
        </w:rPr>
        <w:t xml:space="preserve"> </w:t>
      </w:r>
      <w:r w:rsidRPr="009D1F63">
        <w:rPr>
          <w:rFonts w:cs="BookAntiqua"/>
          <w:szCs w:val="26"/>
        </w:rPr>
        <w:t>Marin Transit</w:t>
      </w:r>
      <w:r w:rsidR="009D1F63">
        <w:rPr>
          <w:rFonts w:cs="BookAntiqua"/>
          <w:szCs w:val="26"/>
        </w:rPr>
        <w:t xml:space="preserve"> </w:t>
      </w:r>
      <w:r w:rsidRPr="009D1F63">
        <w:rPr>
          <w:rFonts w:cs="BookAntiqua"/>
          <w:szCs w:val="26"/>
        </w:rPr>
        <w:t xml:space="preserve">that an </w:t>
      </w:r>
      <w:r w:rsidR="00A72CB9">
        <w:rPr>
          <w:rFonts w:cs="BookAntiqua"/>
          <w:szCs w:val="26"/>
        </w:rPr>
        <w:t>Access Provider</w:t>
      </w:r>
      <w:r w:rsidRPr="009D1F63" w:rsidR="003A6586">
        <w:rPr>
          <w:rFonts w:cs="BookAntiqua"/>
          <w:szCs w:val="26"/>
        </w:rPr>
        <w:t xml:space="preserve"> </w:t>
      </w:r>
      <w:r w:rsidRPr="009D1F63">
        <w:rPr>
          <w:rFonts w:cs="BookAntiqua"/>
          <w:szCs w:val="26"/>
        </w:rPr>
        <w:t xml:space="preserve">applicant should </w:t>
      </w:r>
      <w:r w:rsidR="00F27026">
        <w:rPr>
          <w:rFonts w:cs="BookAntiqua"/>
          <w:szCs w:val="26"/>
        </w:rPr>
        <w:t>disclose</w:t>
      </w:r>
      <w:r w:rsidRPr="009D1F63">
        <w:rPr>
          <w:rFonts w:cs="BookAntiqua"/>
          <w:szCs w:val="26"/>
        </w:rPr>
        <w:t xml:space="preserve"> whether it is a</w:t>
      </w:r>
      <w:r w:rsidR="00F27026">
        <w:rPr>
          <w:rFonts w:cs="BookAntiqua"/>
          <w:szCs w:val="26"/>
        </w:rPr>
        <w:t xml:space="preserve"> current or former</w:t>
      </w:r>
      <w:r w:rsidRPr="009D1F63">
        <w:rPr>
          <w:rFonts w:cs="BookAntiqua"/>
          <w:szCs w:val="26"/>
        </w:rPr>
        <w:t xml:space="preserve"> service provider for a</w:t>
      </w:r>
      <w:r w:rsidRPr="009D1F63" w:rsidR="00B8511A">
        <w:rPr>
          <w:rFonts w:cs="BookAntiqua"/>
          <w:szCs w:val="26"/>
        </w:rPr>
        <w:t xml:space="preserve"> </w:t>
      </w:r>
      <w:r w:rsidRPr="009D1F63">
        <w:rPr>
          <w:rFonts w:cs="BookAntiqua"/>
          <w:szCs w:val="26"/>
        </w:rPr>
        <w:t>TNC</w:t>
      </w:r>
      <w:r>
        <w:rPr>
          <w:rFonts w:cs="BookAntiqua"/>
          <w:szCs w:val="26"/>
        </w:rPr>
        <w:t>.</w:t>
      </w:r>
      <w:r w:rsidR="009D1F63">
        <w:rPr>
          <w:rFonts w:cs="BookAntiqua"/>
          <w:szCs w:val="26"/>
        </w:rPr>
        <w:t xml:space="preserve">  For those </w:t>
      </w:r>
      <w:r w:rsidR="00A72CB9">
        <w:rPr>
          <w:rFonts w:cs="BookAntiqua"/>
          <w:szCs w:val="26"/>
        </w:rPr>
        <w:t>Access Provider</w:t>
      </w:r>
      <w:r w:rsidR="00403392">
        <w:rPr>
          <w:rFonts w:cs="BookAntiqua"/>
          <w:szCs w:val="26"/>
        </w:rPr>
        <w:t>s</w:t>
      </w:r>
      <w:r w:rsidR="009D1F63">
        <w:rPr>
          <w:rFonts w:cs="BookAntiqua"/>
          <w:szCs w:val="26"/>
        </w:rPr>
        <w:t xml:space="preserve"> that provide services to a TNC</w:t>
      </w:r>
      <w:r w:rsidR="002A65CF">
        <w:rPr>
          <w:rFonts w:cs="BookAntiqua"/>
          <w:szCs w:val="26"/>
        </w:rPr>
        <w:t xml:space="preserve"> in a geographic area</w:t>
      </w:r>
      <w:r w:rsidR="009D1F63">
        <w:rPr>
          <w:rFonts w:cs="BookAntiqua"/>
          <w:szCs w:val="26"/>
        </w:rPr>
        <w:t xml:space="preserve">, </w:t>
      </w:r>
      <w:r w:rsidR="00F27026">
        <w:rPr>
          <w:rFonts w:cs="BookAntiqua"/>
          <w:szCs w:val="26"/>
        </w:rPr>
        <w:t xml:space="preserve">it is reasonable that </w:t>
      </w:r>
      <w:r w:rsidR="009D1F63">
        <w:rPr>
          <w:rFonts w:cs="BookAntiqua"/>
          <w:szCs w:val="26"/>
        </w:rPr>
        <w:t xml:space="preserve">the </w:t>
      </w:r>
      <w:r w:rsidR="00A72CB9">
        <w:rPr>
          <w:rFonts w:cs="BookAntiqua"/>
          <w:szCs w:val="26"/>
        </w:rPr>
        <w:t>Access Provider</w:t>
      </w:r>
      <w:r w:rsidR="009D1F63">
        <w:rPr>
          <w:rFonts w:cs="BookAntiqua"/>
          <w:szCs w:val="26"/>
        </w:rPr>
        <w:t xml:space="preserve"> </w:t>
      </w:r>
      <w:r w:rsidR="00403392">
        <w:rPr>
          <w:rFonts w:cs="BookAntiqua"/>
          <w:szCs w:val="26"/>
        </w:rPr>
        <w:t>should not</w:t>
      </w:r>
      <w:r w:rsidR="009D1F63">
        <w:rPr>
          <w:rFonts w:cs="BookAntiqua"/>
          <w:szCs w:val="26"/>
        </w:rPr>
        <w:t xml:space="preserve"> use Access Fund monies for </w:t>
      </w:r>
      <w:r w:rsidR="00403392">
        <w:rPr>
          <w:rFonts w:cs="BookAntiqua"/>
          <w:szCs w:val="26"/>
        </w:rPr>
        <w:t xml:space="preserve">services compensated by a TNC </w:t>
      </w:r>
      <w:r w:rsidR="002A65CF">
        <w:rPr>
          <w:rFonts w:cs="BookAntiqua"/>
          <w:szCs w:val="26"/>
        </w:rPr>
        <w:t xml:space="preserve">in that geographic area </w:t>
      </w:r>
      <w:r w:rsidR="00F27026">
        <w:rPr>
          <w:rFonts w:cs="BookAntiqua"/>
          <w:szCs w:val="26"/>
        </w:rPr>
        <w:t xml:space="preserve">because otherwise, </w:t>
      </w:r>
      <w:r w:rsidR="009D1F63">
        <w:rPr>
          <w:rFonts w:cs="BookAntiqua"/>
          <w:szCs w:val="26"/>
        </w:rPr>
        <w:t xml:space="preserve">the </w:t>
      </w:r>
      <w:r w:rsidR="00A72CB9">
        <w:rPr>
          <w:rFonts w:cs="BookAntiqua"/>
          <w:szCs w:val="26"/>
        </w:rPr>
        <w:t>Access Provider</w:t>
      </w:r>
      <w:r w:rsidR="009D1F63">
        <w:rPr>
          <w:rFonts w:cs="BookAntiqua"/>
          <w:szCs w:val="26"/>
        </w:rPr>
        <w:t xml:space="preserve"> </w:t>
      </w:r>
      <w:r w:rsidR="00F27026">
        <w:rPr>
          <w:rFonts w:cs="BookAntiqua"/>
          <w:szCs w:val="26"/>
        </w:rPr>
        <w:t>will</w:t>
      </w:r>
      <w:r w:rsidR="009D1F63">
        <w:rPr>
          <w:rFonts w:cs="BookAntiqua"/>
          <w:szCs w:val="26"/>
        </w:rPr>
        <w:t xml:space="preserve"> be double-compensated for </w:t>
      </w:r>
      <w:r w:rsidR="00F27026">
        <w:rPr>
          <w:rFonts w:cs="BookAntiqua"/>
          <w:szCs w:val="26"/>
        </w:rPr>
        <w:t>its</w:t>
      </w:r>
      <w:r w:rsidR="009D1F63">
        <w:rPr>
          <w:rFonts w:cs="BookAntiqua"/>
          <w:szCs w:val="26"/>
        </w:rPr>
        <w:t xml:space="preserve"> TNC</w:t>
      </w:r>
      <w:r w:rsidR="00403392">
        <w:rPr>
          <w:rFonts w:cs="BookAntiqua"/>
          <w:szCs w:val="26"/>
        </w:rPr>
        <w:t xml:space="preserve"> </w:t>
      </w:r>
      <w:r w:rsidR="009D1F63">
        <w:rPr>
          <w:rFonts w:cs="BookAntiqua"/>
          <w:szCs w:val="26"/>
        </w:rPr>
        <w:t xml:space="preserve">services.  </w:t>
      </w:r>
    </w:p>
    <w:p w:rsidR="00ED0E7F" w:rsidP="005D3CFF" w:rsidRDefault="00F27026" w14:paraId="6FF0514B" w14:textId="2FC4069F">
      <w:pPr>
        <w:spacing w:line="360" w:lineRule="auto"/>
        <w:ind w:firstLine="720"/>
        <w:rPr>
          <w:rFonts w:cs="BookAntiqua"/>
          <w:szCs w:val="26"/>
        </w:rPr>
      </w:pPr>
      <w:r>
        <w:rPr>
          <w:rFonts w:cs="BookAntiqua"/>
          <w:szCs w:val="26"/>
        </w:rPr>
        <w:t xml:space="preserve">Accordingly, </w:t>
      </w:r>
      <w:r w:rsidR="00B323F0">
        <w:rPr>
          <w:rFonts w:cs="BookAntiqua"/>
          <w:szCs w:val="26"/>
        </w:rPr>
        <w:t xml:space="preserve">an AFA is permitted to request additional information from </w:t>
      </w:r>
      <w:r w:rsidR="00A72CB9">
        <w:rPr>
          <w:rFonts w:cs="BookAntiqua"/>
          <w:szCs w:val="26"/>
        </w:rPr>
        <w:t>Access Provider</w:t>
      </w:r>
      <w:r w:rsidR="00B323F0">
        <w:rPr>
          <w:rFonts w:cs="BookAntiqua"/>
          <w:szCs w:val="26"/>
        </w:rPr>
        <w:t xml:space="preserve"> applicants as necessary to sufficiently review the application.</w:t>
      </w:r>
      <w:r w:rsidRPr="009D1F63" w:rsidR="00B323F0">
        <w:rPr>
          <w:rFonts w:cs="BookAntiqua"/>
          <w:szCs w:val="26"/>
        </w:rPr>
        <w:t xml:space="preserve"> </w:t>
      </w:r>
      <w:r w:rsidR="00B323F0">
        <w:rPr>
          <w:rFonts w:cs="BookAntiqua"/>
          <w:szCs w:val="26"/>
        </w:rPr>
        <w:t xml:space="preserve"> A</w:t>
      </w:r>
      <w:r w:rsidRPr="009D1F63">
        <w:rPr>
          <w:rFonts w:cs="BookAntiqua"/>
          <w:szCs w:val="26"/>
        </w:rPr>
        <w:t xml:space="preserve">n </w:t>
      </w:r>
      <w:r w:rsidR="00A72CB9">
        <w:rPr>
          <w:rFonts w:cs="BookAntiqua"/>
          <w:szCs w:val="26"/>
        </w:rPr>
        <w:t>Access Provider</w:t>
      </w:r>
      <w:r w:rsidRPr="009D1F63">
        <w:rPr>
          <w:rFonts w:cs="BookAntiqua"/>
          <w:szCs w:val="26"/>
        </w:rPr>
        <w:t xml:space="preserve"> applicant </w:t>
      </w:r>
      <w:r>
        <w:rPr>
          <w:rFonts w:cs="BookAntiqua"/>
          <w:szCs w:val="26"/>
        </w:rPr>
        <w:t>shall</w:t>
      </w:r>
      <w:r w:rsidRPr="009D1F63">
        <w:rPr>
          <w:rFonts w:cs="BookAntiqua"/>
          <w:szCs w:val="26"/>
        </w:rPr>
        <w:t xml:space="preserve"> </w:t>
      </w:r>
      <w:r>
        <w:rPr>
          <w:rFonts w:cs="BookAntiqua"/>
          <w:szCs w:val="26"/>
        </w:rPr>
        <w:t>disclose</w:t>
      </w:r>
      <w:r w:rsidRPr="009D1F63">
        <w:rPr>
          <w:rFonts w:cs="BookAntiqua"/>
          <w:szCs w:val="26"/>
        </w:rPr>
        <w:t xml:space="preserve"> whether it is a</w:t>
      </w:r>
      <w:r>
        <w:rPr>
          <w:rFonts w:cs="BookAntiqua"/>
          <w:szCs w:val="26"/>
        </w:rPr>
        <w:t xml:space="preserve"> current or former</w:t>
      </w:r>
      <w:r w:rsidRPr="009D1F63">
        <w:rPr>
          <w:rFonts w:cs="BookAntiqua"/>
          <w:szCs w:val="26"/>
        </w:rPr>
        <w:t xml:space="preserve"> service provider for a TNC</w:t>
      </w:r>
      <w:r>
        <w:rPr>
          <w:rFonts w:cs="BookAntiqua"/>
          <w:szCs w:val="26"/>
        </w:rPr>
        <w:t xml:space="preserve">.  The </w:t>
      </w:r>
      <w:r w:rsidR="00A72CB9">
        <w:rPr>
          <w:rFonts w:cs="BookAntiqua"/>
          <w:szCs w:val="26"/>
        </w:rPr>
        <w:t>Access Provider</w:t>
      </w:r>
      <w:r w:rsidR="009D1F63">
        <w:rPr>
          <w:rFonts w:cs="BookAntiqua"/>
          <w:szCs w:val="26"/>
        </w:rPr>
        <w:t xml:space="preserve"> </w:t>
      </w:r>
      <w:r>
        <w:rPr>
          <w:rFonts w:cs="BookAntiqua"/>
          <w:szCs w:val="26"/>
        </w:rPr>
        <w:t>applicant must</w:t>
      </w:r>
      <w:r w:rsidR="009D1F63">
        <w:rPr>
          <w:rFonts w:cs="BookAntiqua"/>
          <w:szCs w:val="26"/>
        </w:rPr>
        <w:t xml:space="preserve"> </w:t>
      </w:r>
      <w:r w:rsidR="00257093">
        <w:rPr>
          <w:rFonts w:cs="BookAntiqua"/>
          <w:szCs w:val="26"/>
        </w:rPr>
        <w:t xml:space="preserve">demonstrate to the AFA that any Access Fund monies will </w:t>
      </w:r>
      <w:r w:rsidR="00FD1FF5">
        <w:rPr>
          <w:rFonts w:cs="BookAntiqua"/>
          <w:szCs w:val="26"/>
        </w:rPr>
        <w:t xml:space="preserve">not </w:t>
      </w:r>
      <w:r w:rsidR="00257093">
        <w:rPr>
          <w:rFonts w:cs="BookAntiqua"/>
          <w:szCs w:val="26"/>
        </w:rPr>
        <w:t xml:space="preserve">be used for </w:t>
      </w:r>
      <w:r>
        <w:rPr>
          <w:rFonts w:cs="BookAntiqua"/>
          <w:szCs w:val="26"/>
        </w:rPr>
        <w:t xml:space="preserve">services that are </w:t>
      </w:r>
      <w:r w:rsidR="00FD1FF5">
        <w:rPr>
          <w:rFonts w:cs="BookAntiqua"/>
          <w:szCs w:val="26"/>
        </w:rPr>
        <w:t>compensated</w:t>
      </w:r>
      <w:r>
        <w:rPr>
          <w:rFonts w:cs="BookAntiqua"/>
          <w:szCs w:val="26"/>
        </w:rPr>
        <w:t xml:space="preserve"> by a TNC</w:t>
      </w:r>
      <w:r w:rsidR="00257093">
        <w:rPr>
          <w:rFonts w:cs="BookAntiqua"/>
          <w:szCs w:val="26"/>
        </w:rPr>
        <w:t>.</w:t>
      </w:r>
    </w:p>
    <w:p w:rsidR="006D42DA" w:rsidP="00224875" w:rsidRDefault="006F2556" w14:paraId="261FC850" w14:textId="525F529B">
      <w:pPr>
        <w:pStyle w:val="Heading2"/>
        <w:keepLines/>
        <w:numPr>
          <w:ilvl w:val="1"/>
          <w:numId w:val="1"/>
        </w:numPr>
        <w:tabs>
          <w:tab w:val="num" w:pos="1080"/>
        </w:tabs>
        <w:spacing w:before="0"/>
        <w:ind w:left="1080" w:right="2160" w:hanging="720"/>
      </w:pPr>
      <w:bookmarkStart w:name="_Toc65585470" w:id="37"/>
      <w:r>
        <w:t>Compensation of Access Fund Administrators</w:t>
      </w:r>
      <w:bookmarkEnd w:id="37"/>
    </w:p>
    <w:p w:rsidR="0091157E" w:rsidP="00053917" w:rsidRDefault="00B323F0" w14:paraId="7EE5A7B4" w14:textId="37AB12EA">
      <w:pPr>
        <w:spacing w:line="360" w:lineRule="auto"/>
        <w:ind w:firstLine="720"/>
        <w:rPr>
          <w:rFonts w:cs="BookAntiqua"/>
          <w:szCs w:val="26"/>
        </w:rPr>
      </w:pPr>
      <w:r>
        <w:rPr>
          <w:rFonts w:cs="BookAntiqua"/>
          <w:szCs w:val="26"/>
        </w:rPr>
        <w:t>To</w:t>
      </w:r>
      <w:r w:rsidR="002D5F7E">
        <w:rPr>
          <w:rFonts w:cs="BookAntiqua"/>
          <w:szCs w:val="26"/>
        </w:rPr>
        <w:t xml:space="preserve"> compensat</w:t>
      </w:r>
      <w:r>
        <w:rPr>
          <w:rFonts w:cs="BookAntiqua"/>
          <w:szCs w:val="26"/>
        </w:rPr>
        <w:t>e</w:t>
      </w:r>
      <w:r w:rsidR="002D5F7E">
        <w:rPr>
          <w:rFonts w:cs="BookAntiqua"/>
          <w:szCs w:val="26"/>
        </w:rPr>
        <w:t xml:space="preserve"> AFAs,</w:t>
      </w:r>
      <w:r>
        <w:rPr>
          <w:rFonts w:cs="BookAntiqua"/>
          <w:szCs w:val="26"/>
        </w:rPr>
        <w:t xml:space="preserve"> CPED recommends a</w:t>
      </w:r>
      <w:r w:rsidR="002D5F7E">
        <w:rPr>
          <w:rFonts w:cs="BookAntiqua"/>
          <w:szCs w:val="26"/>
        </w:rPr>
        <w:t xml:space="preserve"> </w:t>
      </w:r>
      <w:r w:rsidR="006F2556">
        <w:rPr>
          <w:rFonts w:cs="BookAntiqua"/>
          <w:szCs w:val="26"/>
        </w:rPr>
        <w:t>formula</w:t>
      </w:r>
      <w:r w:rsidR="004D12CA">
        <w:rPr>
          <w:rFonts w:cs="BookAntiqua"/>
          <w:szCs w:val="26"/>
        </w:rPr>
        <w:t xml:space="preserve"> </w:t>
      </w:r>
      <w:r w:rsidR="006F2556">
        <w:rPr>
          <w:rFonts w:cs="BookAntiqua"/>
          <w:szCs w:val="26"/>
        </w:rPr>
        <w:t>consistent with other Commission funding programs, such as the California Advanced Services Fund.</w:t>
      </w:r>
      <w:r>
        <w:rPr>
          <w:rStyle w:val="FootnoteReference"/>
          <w:rFonts w:cs="BookAntiqua"/>
          <w:szCs w:val="26"/>
        </w:rPr>
        <w:footnoteReference w:id="82"/>
      </w:r>
      <w:r w:rsidR="006F2556">
        <w:rPr>
          <w:rFonts w:cs="BookAntiqua"/>
          <w:szCs w:val="26"/>
        </w:rPr>
        <w:t xml:space="preserve">  </w:t>
      </w:r>
      <w:r>
        <w:rPr>
          <w:rFonts w:cs="BookAntiqua"/>
          <w:szCs w:val="26"/>
        </w:rPr>
        <w:t>This formula</w:t>
      </w:r>
      <w:r w:rsidR="006F2556">
        <w:rPr>
          <w:rFonts w:cs="BookAntiqua"/>
          <w:szCs w:val="26"/>
        </w:rPr>
        <w:t xml:space="preserve"> </w:t>
      </w:r>
      <w:r>
        <w:rPr>
          <w:rFonts w:cs="BookAntiqua"/>
          <w:szCs w:val="26"/>
        </w:rPr>
        <w:t>limits</w:t>
      </w:r>
      <w:r w:rsidR="006F2556">
        <w:rPr>
          <w:rFonts w:cs="BookAntiqua"/>
          <w:szCs w:val="26"/>
        </w:rPr>
        <w:t xml:space="preserve"> administrative costs to 15 percent of the total amount awarded by the Commission each year</w:t>
      </w:r>
      <w:r>
        <w:rPr>
          <w:rFonts w:cs="BookAntiqua"/>
          <w:szCs w:val="26"/>
        </w:rPr>
        <w:t xml:space="preserve">.  </w:t>
      </w:r>
      <w:r w:rsidR="006F2556">
        <w:rPr>
          <w:rFonts w:cs="BookAntiqua"/>
          <w:szCs w:val="26"/>
        </w:rPr>
        <w:t>“</w:t>
      </w:r>
      <w:r>
        <w:rPr>
          <w:rFonts w:cs="BookAntiqua"/>
          <w:szCs w:val="26"/>
        </w:rPr>
        <w:t>A</w:t>
      </w:r>
      <w:r w:rsidR="006F2556">
        <w:rPr>
          <w:rFonts w:cs="BookAntiqua"/>
          <w:szCs w:val="26"/>
        </w:rPr>
        <w:t xml:space="preserve">dministrative costs” </w:t>
      </w:r>
      <w:r>
        <w:rPr>
          <w:rFonts w:cs="BookAntiqua"/>
          <w:szCs w:val="26"/>
        </w:rPr>
        <w:t xml:space="preserve">are </w:t>
      </w:r>
      <w:r w:rsidR="006F2556">
        <w:rPr>
          <w:rFonts w:cs="BookAntiqua"/>
          <w:szCs w:val="26"/>
        </w:rPr>
        <w:t xml:space="preserve">defined as the “indirect overhead costs attributable to a project, per generally accepted </w:t>
      </w:r>
      <w:r w:rsidR="006F2556">
        <w:rPr>
          <w:rFonts w:cs="BookAntiqua"/>
          <w:szCs w:val="26"/>
        </w:rPr>
        <w:lastRenderedPageBreak/>
        <w:t>accounting principles (GAAP), and the direct cost of complying with Commission administrative and regulatory requirements related to the grant itself.”</w:t>
      </w:r>
      <w:r w:rsidR="004D12CA">
        <w:rPr>
          <w:rFonts w:cs="BookAntiqua"/>
          <w:szCs w:val="26"/>
        </w:rPr>
        <w:t xml:space="preserve">  </w:t>
      </w:r>
      <w:r>
        <w:rPr>
          <w:rFonts w:cs="BookAntiqua"/>
          <w:szCs w:val="26"/>
        </w:rPr>
        <w:t>Disability Advocates</w:t>
      </w:r>
      <w:r w:rsidR="00CF38F1">
        <w:rPr>
          <w:rFonts w:cs="BookAntiqua"/>
          <w:szCs w:val="26"/>
        </w:rPr>
        <w:t xml:space="preserve"> recommend that AFAs bill the actual cost of administration</w:t>
      </w:r>
      <w:r>
        <w:rPr>
          <w:rFonts w:cs="BookAntiqua"/>
          <w:szCs w:val="26"/>
        </w:rPr>
        <w:t xml:space="preserve"> at</w:t>
      </w:r>
      <w:r w:rsidR="00CF38F1">
        <w:rPr>
          <w:rFonts w:cs="BookAntiqua"/>
          <w:szCs w:val="26"/>
        </w:rPr>
        <w:t xml:space="preserve"> up to </w:t>
      </w:r>
      <w:r w:rsidR="004045F7">
        <w:rPr>
          <w:rFonts w:cs="BookAntiqua"/>
          <w:szCs w:val="26"/>
        </w:rPr>
        <w:t>a 10 percent cap, unless the AFA can demonstrate a reasonable basis for a greater amount.</w:t>
      </w:r>
      <w:r w:rsidR="004045F7">
        <w:rPr>
          <w:rStyle w:val="FootnoteReference"/>
          <w:rFonts w:cs="BookAntiqua"/>
          <w:szCs w:val="26"/>
        </w:rPr>
        <w:footnoteReference w:id="83"/>
      </w:r>
      <w:r w:rsidR="007D11B0">
        <w:rPr>
          <w:rFonts w:cs="BookAntiqua"/>
          <w:szCs w:val="26"/>
        </w:rPr>
        <w:t xml:space="preserve"> </w:t>
      </w:r>
      <w:r w:rsidR="004D12CA">
        <w:rPr>
          <w:rFonts w:cs="BookAntiqua"/>
          <w:szCs w:val="26"/>
        </w:rPr>
        <w:t xml:space="preserve"> </w:t>
      </w:r>
      <w:r w:rsidR="004645D0">
        <w:rPr>
          <w:rFonts w:cs="BookAntiqua"/>
          <w:szCs w:val="26"/>
        </w:rPr>
        <w:t xml:space="preserve">Marin Transit supports compensating a percentage of total funds but does not offer </w:t>
      </w:r>
      <w:r w:rsidR="00157A74">
        <w:rPr>
          <w:rFonts w:cs="BookAntiqua"/>
          <w:szCs w:val="26"/>
        </w:rPr>
        <w:t>a</w:t>
      </w:r>
      <w:r w:rsidR="004645D0">
        <w:rPr>
          <w:rFonts w:cs="BookAntiqua"/>
          <w:szCs w:val="26"/>
        </w:rPr>
        <w:t xml:space="preserve"> percentage.</w:t>
      </w:r>
      <w:r w:rsidR="002D5F7E">
        <w:rPr>
          <w:rStyle w:val="FootnoteReference"/>
          <w:rFonts w:cs="BookAntiqua"/>
          <w:szCs w:val="26"/>
        </w:rPr>
        <w:footnoteReference w:id="84"/>
      </w:r>
      <w:r w:rsidR="004645D0">
        <w:rPr>
          <w:rFonts w:cs="BookAntiqua"/>
          <w:szCs w:val="26"/>
        </w:rPr>
        <w:t xml:space="preserve">  </w:t>
      </w:r>
      <w:r w:rsidR="00057A62">
        <w:rPr>
          <w:rFonts w:cs="BookAntiqua"/>
          <w:szCs w:val="26"/>
        </w:rPr>
        <w:t xml:space="preserve">Lyft </w:t>
      </w:r>
      <w:r w:rsidR="004D12CA">
        <w:rPr>
          <w:rFonts w:cs="BookAntiqua"/>
          <w:szCs w:val="26"/>
        </w:rPr>
        <w:t>propos</w:t>
      </w:r>
      <w:r w:rsidR="004645D0">
        <w:rPr>
          <w:rFonts w:cs="BookAntiqua"/>
          <w:szCs w:val="26"/>
        </w:rPr>
        <w:t>es</w:t>
      </w:r>
      <w:r w:rsidR="00057A62">
        <w:rPr>
          <w:rFonts w:cs="BookAntiqua"/>
          <w:szCs w:val="26"/>
        </w:rPr>
        <w:t xml:space="preserve"> a fixed annual amount </w:t>
      </w:r>
      <w:r w:rsidR="004D12CA">
        <w:rPr>
          <w:rFonts w:cs="BookAntiqua"/>
          <w:szCs w:val="26"/>
        </w:rPr>
        <w:t xml:space="preserve">for compensation </w:t>
      </w:r>
      <w:r w:rsidR="004645D0">
        <w:rPr>
          <w:rFonts w:cs="BookAntiqua"/>
          <w:szCs w:val="26"/>
        </w:rPr>
        <w:t xml:space="preserve">but does not offer a </w:t>
      </w:r>
      <w:r w:rsidR="00157A74">
        <w:rPr>
          <w:rFonts w:cs="BookAntiqua"/>
          <w:szCs w:val="26"/>
        </w:rPr>
        <w:t>fixed</w:t>
      </w:r>
      <w:r w:rsidR="004645D0">
        <w:rPr>
          <w:rFonts w:cs="BookAntiqua"/>
          <w:szCs w:val="26"/>
        </w:rPr>
        <w:t xml:space="preserve"> amount.</w:t>
      </w:r>
      <w:r w:rsidR="004645D0">
        <w:rPr>
          <w:rStyle w:val="FootnoteReference"/>
          <w:rFonts w:cs="BookAntiqua"/>
          <w:szCs w:val="26"/>
        </w:rPr>
        <w:footnoteReference w:id="85"/>
      </w:r>
      <w:r w:rsidR="004645D0">
        <w:rPr>
          <w:rFonts w:cs="BookAntiqua"/>
          <w:szCs w:val="26"/>
        </w:rPr>
        <w:t xml:space="preserve">  </w:t>
      </w:r>
    </w:p>
    <w:p w:rsidR="004645D0" w:rsidP="004645D0" w:rsidRDefault="004645D0" w14:paraId="1492FD18" w14:textId="19033C95">
      <w:pPr>
        <w:spacing w:line="360" w:lineRule="auto"/>
        <w:ind w:firstLine="720"/>
        <w:rPr>
          <w:rFonts w:cs="BookAntiqua"/>
          <w:szCs w:val="26"/>
        </w:rPr>
      </w:pPr>
      <w:r>
        <w:rPr>
          <w:rFonts w:cs="BookAntiqua"/>
          <w:szCs w:val="26"/>
        </w:rPr>
        <w:t xml:space="preserve">The Commission </w:t>
      </w:r>
      <w:r w:rsidR="00B323F0">
        <w:rPr>
          <w:rFonts w:cs="BookAntiqua"/>
          <w:szCs w:val="26"/>
        </w:rPr>
        <w:t>agrees with</w:t>
      </w:r>
      <w:r>
        <w:rPr>
          <w:rFonts w:cs="BookAntiqua"/>
          <w:szCs w:val="26"/>
        </w:rPr>
        <w:t xml:space="preserve"> CPED’s </w:t>
      </w:r>
      <w:r w:rsidR="00B76814">
        <w:rPr>
          <w:rFonts w:cs="BookAntiqua"/>
          <w:szCs w:val="26"/>
        </w:rPr>
        <w:t>proposal</w:t>
      </w:r>
      <w:r>
        <w:rPr>
          <w:rFonts w:cs="BookAntiqua"/>
          <w:szCs w:val="26"/>
        </w:rPr>
        <w:t xml:space="preserve"> </w:t>
      </w:r>
      <w:r w:rsidR="00B323F0">
        <w:rPr>
          <w:rFonts w:cs="BookAntiqua"/>
          <w:szCs w:val="26"/>
        </w:rPr>
        <w:t>as</w:t>
      </w:r>
      <w:r>
        <w:rPr>
          <w:rFonts w:cs="BookAntiqua"/>
          <w:szCs w:val="26"/>
        </w:rPr>
        <w:t xml:space="preserve"> </w:t>
      </w:r>
      <w:r w:rsidR="00B323F0">
        <w:rPr>
          <w:rFonts w:cs="BookAntiqua"/>
          <w:szCs w:val="26"/>
        </w:rPr>
        <w:t xml:space="preserve">reasonable and </w:t>
      </w:r>
      <w:r>
        <w:rPr>
          <w:rFonts w:cs="BookAntiqua"/>
          <w:szCs w:val="26"/>
        </w:rPr>
        <w:t xml:space="preserve">consistent with the </w:t>
      </w:r>
      <w:r w:rsidR="00053917">
        <w:rPr>
          <w:rFonts w:cs="BookAntiqua"/>
          <w:szCs w:val="26"/>
        </w:rPr>
        <w:t xml:space="preserve">compensation structure of </w:t>
      </w:r>
      <w:r>
        <w:rPr>
          <w:rFonts w:cs="BookAntiqua"/>
          <w:szCs w:val="26"/>
        </w:rPr>
        <w:t xml:space="preserve">other Commission programs.  Accordingly, an AFA shall be compensated </w:t>
      </w:r>
      <w:r w:rsidR="002E1E90">
        <w:rPr>
          <w:rFonts w:cs="BookAntiqua"/>
          <w:szCs w:val="26"/>
        </w:rPr>
        <w:t xml:space="preserve">for administrative costs up to </w:t>
      </w:r>
      <w:r>
        <w:rPr>
          <w:rFonts w:cs="BookAntiqua"/>
          <w:szCs w:val="26"/>
        </w:rPr>
        <w:t>15</w:t>
      </w:r>
      <w:r w:rsidR="00C36FD6">
        <w:rPr>
          <w:rFonts w:cs="BookAntiqua"/>
          <w:szCs w:val="26"/>
        </w:rPr>
        <w:t> </w:t>
      </w:r>
      <w:r>
        <w:rPr>
          <w:rFonts w:cs="BookAntiqua"/>
          <w:szCs w:val="26"/>
        </w:rPr>
        <w:t xml:space="preserve">percent of the total amount awarded </w:t>
      </w:r>
      <w:r w:rsidR="00023798">
        <w:rPr>
          <w:rFonts w:cs="BookAntiqua"/>
          <w:szCs w:val="26"/>
        </w:rPr>
        <w:t xml:space="preserve">to a geographic area </w:t>
      </w:r>
      <w:r>
        <w:rPr>
          <w:rFonts w:cs="BookAntiqua"/>
          <w:szCs w:val="26"/>
        </w:rPr>
        <w:t xml:space="preserve">by the Commission </w:t>
      </w:r>
      <w:r w:rsidR="00023798">
        <w:rPr>
          <w:rFonts w:cs="BookAntiqua"/>
          <w:szCs w:val="26"/>
        </w:rPr>
        <w:t>in each funding cycle</w:t>
      </w:r>
      <w:r>
        <w:rPr>
          <w:rFonts w:cs="BookAntiqua"/>
          <w:szCs w:val="26"/>
        </w:rPr>
        <w:t>.  “</w:t>
      </w:r>
      <w:r w:rsidR="00B323F0">
        <w:rPr>
          <w:rFonts w:cs="BookAntiqua"/>
          <w:szCs w:val="26"/>
        </w:rPr>
        <w:t>A</w:t>
      </w:r>
      <w:r>
        <w:rPr>
          <w:rFonts w:cs="BookAntiqua"/>
          <w:szCs w:val="26"/>
        </w:rPr>
        <w:t>dministrative costs”</w:t>
      </w:r>
      <w:r w:rsidR="00B323F0">
        <w:rPr>
          <w:rFonts w:cs="BookAntiqua"/>
          <w:szCs w:val="26"/>
        </w:rPr>
        <w:t xml:space="preserve"> are defined</w:t>
      </w:r>
      <w:r>
        <w:rPr>
          <w:rFonts w:cs="BookAntiqua"/>
          <w:szCs w:val="26"/>
        </w:rPr>
        <w:t xml:space="preserve"> </w:t>
      </w:r>
      <w:r w:rsidR="0042448F">
        <w:rPr>
          <w:rFonts w:cs="BookAntiqua"/>
          <w:szCs w:val="26"/>
        </w:rPr>
        <w:t xml:space="preserve">as </w:t>
      </w:r>
      <w:r w:rsidR="00B332D2">
        <w:rPr>
          <w:rFonts w:cs="BookAntiqua"/>
          <w:szCs w:val="26"/>
        </w:rPr>
        <w:t xml:space="preserve">the </w:t>
      </w:r>
      <w:r>
        <w:rPr>
          <w:rFonts w:cs="BookAntiqua"/>
          <w:szCs w:val="26"/>
        </w:rPr>
        <w:t xml:space="preserve">indirect overhead costs attributable to a project, per GAAP, and the direct cost of complying with Commission administrative and regulatory requirements related to the </w:t>
      </w:r>
      <w:r w:rsidR="00023798">
        <w:rPr>
          <w:rFonts w:cs="BookAntiqua"/>
          <w:szCs w:val="26"/>
        </w:rPr>
        <w:t xml:space="preserve">Access Fund monies </w:t>
      </w:r>
      <w:r>
        <w:rPr>
          <w:rFonts w:cs="BookAntiqua"/>
          <w:szCs w:val="26"/>
        </w:rPr>
        <w:t>itself.</w:t>
      </w:r>
    </w:p>
    <w:p w:rsidR="00023798" w:rsidP="004645D0" w:rsidRDefault="00023798" w14:paraId="560FA8B4" w14:textId="0394A609">
      <w:pPr>
        <w:spacing w:line="360" w:lineRule="auto"/>
        <w:ind w:firstLine="720"/>
        <w:rPr>
          <w:rFonts w:cs="BookAntiqua"/>
          <w:szCs w:val="26"/>
        </w:rPr>
      </w:pPr>
      <w:r>
        <w:rPr>
          <w:rFonts w:cs="BookAntiqua"/>
          <w:szCs w:val="26"/>
        </w:rPr>
        <w:t>We recognize that “administrative costs” as applied to a statewide AFA may differ</w:t>
      </w:r>
      <w:r w:rsidR="000764B7">
        <w:rPr>
          <w:rFonts w:cs="BookAntiqua"/>
          <w:szCs w:val="26"/>
        </w:rPr>
        <w:t xml:space="preserve"> from the costs for</w:t>
      </w:r>
      <w:r>
        <w:rPr>
          <w:rFonts w:cs="BookAntiqua"/>
          <w:szCs w:val="26"/>
        </w:rPr>
        <w:t xml:space="preserve"> a LAFA overseeing a single geographic area.  As such, the Commission may consider whether to modify the definition of “administrative costs” for the SAFA in Track 4.</w:t>
      </w:r>
    </w:p>
    <w:p w:rsidR="00226AEB" w:rsidP="00224875" w:rsidRDefault="00226AEB" w14:paraId="055FC888" w14:textId="1A0A331C">
      <w:pPr>
        <w:pStyle w:val="Heading1"/>
        <w:keepLines/>
        <w:numPr>
          <w:ilvl w:val="0"/>
          <w:numId w:val="1"/>
        </w:numPr>
        <w:spacing w:before="0"/>
        <w:ind w:right="2160"/>
      </w:pPr>
      <w:bookmarkStart w:name="_Toc65585471" w:id="38"/>
      <w:r>
        <w:t>Reporting Requirements</w:t>
      </w:r>
      <w:bookmarkEnd w:id="38"/>
    </w:p>
    <w:p w:rsidRPr="00957902" w:rsidR="00957902" w:rsidP="00224875" w:rsidRDefault="001F4E00" w14:paraId="497A56F3" w14:textId="59250467">
      <w:pPr>
        <w:pStyle w:val="Heading2"/>
        <w:keepLines/>
        <w:numPr>
          <w:ilvl w:val="1"/>
          <w:numId w:val="1"/>
        </w:numPr>
        <w:tabs>
          <w:tab w:val="num" w:pos="1080"/>
        </w:tabs>
        <w:spacing w:before="0"/>
        <w:ind w:left="1080" w:right="2160" w:hanging="720"/>
      </w:pPr>
      <w:bookmarkStart w:name="_Toc65585472" w:id="39"/>
      <w:r>
        <w:t>Yearly Benchmarks</w:t>
      </w:r>
      <w:bookmarkEnd w:id="39"/>
    </w:p>
    <w:p w:rsidR="005771A4" w:rsidP="00957902" w:rsidRDefault="00226AEB" w14:paraId="4F874708" w14:textId="1E8D7238">
      <w:pPr>
        <w:autoSpaceDE w:val="0"/>
        <w:autoSpaceDN w:val="0"/>
        <w:adjustRightInd w:val="0"/>
        <w:spacing w:line="360" w:lineRule="auto"/>
        <w:ind w:firstLine="720"/>
        <w:rPr>
          <w:rFonts w:cs="BookAntiqua"/>
          <w:szCs w:val="26"/>
        </w:rPr>
      </w:pPr>
      <w:r w:rsidRPr="004045F7">
        <w:rPr>
          <w:rFonts w:cs="BookAntiqua"/>
          <w:szCs w:val="26"/>
        </w:rPr>
        <w:t xml:space="preserve">Pub. Util. Code </w:t>
      </w:r>
      <w:r w:rsidRPr="004045F7">
        <w:rPr>
          <w:rFonts w:cs="Calibri"/>
          <w:szCs w:val="26"/>
        </w:rPr>
        <w:t xml:space="preserve">§ </w:t>
      </w:r>
      <w:r w:rsidRPr="004045F7">
        <w:rPr>
          <w:rFonts w:cs="BookAntiqua"/>
          <w:szCs w:val="26"/>
        </w:rPr>
        <w:t>5440.5(a)(1)(J)</w:t>
      </w:r>
      <w:r w:rsidR="001F4E00">
        <w:rPr>
          <w:rFonts w:cs="BookAntiqua"/>
          <w:szCs w:val="26"/>
        </w:rPr>
        <w:t xml:space="preserve"> provides</w:t>
      </w:r>
      <w:r w:rsidR="005771A4">
        <w:rPr>
          <w:rFonts w:cs="BookAntiqua"/>
          <w:szCs w:val="26"/>
        </w:rPr>
        <w:t xml:space="preserve"> that:</w:t>
      </w:r>
    </w:p>
    <w:p w:rsidR="00226AEB" w:rsidP="00C36FD6" w:rsidRDefault="005771A4" w14:paraId="0FB805BC" w14:textId="4497D75E">
      <w:pPr>
        <w:autoSpaceDE w:val="0"/>
        <w:autoSpaceDN w:val="0"/>
        <w:adjustRightInd w:val="0"/>
        <w:ind w:left="720" w:right="1440"/>
        <w:rPr>
          <w:rFonts w:cs="BookAntiqua"/>
          <w:szCs w:val="26"/>
        </w:rPr>
      </w:pPr>
      <w:r>
        <w:rPr>
          <w:rFonts w:cs="BookAntiqua"/>
          <w:szCs w:val="26"/>
        </w:rPr>
        <w:lastRenderedPageBreak/>
        <w:t xml:space="preserve">The commission shall establish </w:t>
      </w:r>
      <w:r w:rsidRPr="004045F7" w:rsidR="00226AEB">
        <w:rPr>
          <w:rFonts w:cs="BookAntiqua"/>
          <w:szCs w:val="26"/>
        </w:rPr>
        <w:t>yearly benchmarks</w:t>
      </w:r>
      <w:r w:rsidR="001F4E00">
        <w:rPr>
          <w:rFonts w:cs="BookAntiqua"/>
          <w:szCs w:val="26"/>
        </w:rPr>
        <w:t xml:space="preserve"> </w:t>
      </w:r>
      <w:r>
        <w:rPr>
          <w:rFonts w:cs="BookAntiqua"/>
          <w:szCs w:val="26"/>
        </w:rPr>
        <w:t>for TNCs and access providers to meet to ensure WAV users receive continuously improved, reliable, and available service.  These benchmarks shall include, but are not limited to, response times, percentage of trips fulfilled versus trips requested, and number of users requesting rides versus community WAV demand for each geographic area.</w:t>
      </w:r>
    </w:p>
    <w:p w:rsidR="00B76814" w:rsidP="00C36FD6" w:rsidRDefault="009A36DD" w14:paraId="3FECF093" w14:textId="729F645F">
      <w:pPr>
        <w:autoSpaceDE w:val="0"/>
        <w:autoSpaceDN w:val="0"/>
        <w:adjustRightInd w:val="0"/>
        <w:spacing w:before="120" w:line="360" w:lineRule="auto"/>
        <w:ind w:firstLine="720"/>
        <w:rPr>
          <w:rFonts w:cs="BookAntiqua"/>
          <w:szCs w:val="26"/>
        </w:rPr>
      </w:pPr>
      <w:r>
        <w:rPr>
          <w:rFonts w:cs="BookAntiqua"/>
          <w:szCs w:val="26"/>
        </w:rPr>
        <w:t xml:space="preserve">We </w:t>
      </w:r>
      <w:r w:rsidR="00706068">
        <w:rPr>
          <w:rFonts w:cs="BookAntiqua"/>
          <w:szCs w:val="26"/>
        </w:rPr>
        <w:t xml:space="preserve">next </w:t>
      </w:r>
      <w:r>
        <w:rPr>
          <w:rFonts w:cs="BookAntiqua"/>
          <w:szCs w:val="26"/>
        </w:rPr>
        <w:t xml:space="preserve">consider what yearly benchmarks should be used to ensure WAV service improvement.  </w:t>
      </w:r>
      <w:r w:rsidR="005771A4">
        <w:rPr>
          <w:rFonts w:cs="BookAntiqua"/>
          <w:szCs w:val="26"/>
        </w:rPr>
        <w:t xml:space="preserve">Lyft </w:t>
      </w:r>
      <w:r w:rsidR="00B46B39">
        <w:rPr>
          <w:rFonts w:cs="BookAntiqua"/>
          <w:szCs w:val="26"/>
        </w:rPr>
        <w:t>states</w:t>
      </w:r>
      <w:r w:rsidR="005771A4">
        <w:rPr>
          <w:rFonts w:cs="BookAntiqua"/>
          <w:szCs w:val="26"/>
        </w:rPr>
        <w:t xml:space="preserve"> </w:t>
      </w:r>
      <w:r w:rsidR="00B46B39">
        <w:rPr>
          <w:rFonts w:cs="BookAntiqua"/>
          <w:szCs w:val="26"/>
        </w:rPr>
        <w:t>that</w:t>
      </w:r>
      <w:r w:rsidR="005771A4">
        <w:rPr>
          <w:rFonts w:cs="BookAntiqua"/>
          <w:szCs w:val="26"/>
        </w:rPr>
        <w:t xml:space="preserve"> </w:t>
      </w:r>
      <w:r w:rsidR="00706068">
        <w:rPr>
          <w:rFonts w:cs="BookAntiqua"/>
          <w:szCs w:val="26"/>
        </w:rPr>
        <w:t>the</w:t>
      </w:r>
      <w:r w:rsidR="005771A4">
        <w:rPr>
          <w:rFonts w:cs="BookAntiqua"/>
          <w:szCs w:val="26"/>
        </w:rPr>
        <w:t xml:space="preserve"> benchmarks </w:t>
      </w:r>
      <w:r w:rsidR="00B46B39">
        <w:rPr>
          <w:rFonts w:cs="BookAntiqua"/>
          <w:szCs w:val="26"/>
        </w:rPr>
        <w:t xml:space="preserve">should </w:t>
      </w:r>
      <w:r w:rsidR="00706068">
        <w:rPr>
          <w:rFonts w:cs="BookAntiqua"/>
          <w:szCs w:val="26"/>
        </w:rPr>
        <w:t>be those adopted</w:t>
      </w:r>
      <w:r w:rsidR="00B46B39">
        <w:rPr>
          <w:rFonts w:cs="BookAntiqua"/>
          <w:szCs w:val="26"/>
        </w:rPr>
        <w:t xml:space="preserve"> for</w:t>
      </w:r>
      <w:r w:rsidR="005771A4">
        <w:rPr>
          <w:rFonts w:cs="BookAntiqua"/>
          <w:szCs w:val="26"/>
        </w:rPr>
        <w:t xml:space="preserve"> the </w:t>
      </w:r>
      <w:r w:rsidR="00B76814">
        <w:rPr>
          <w:rFonts w:cs="BookAntiqua"/>
          <w:szCs w:val="26"/>
        </w:rPr>
        <w:t>Q</w:t>
      </w:r>
      <w:r w:rsidR="005771A4">
        <w:rPr>
          <w:rFonts w:cs="BookAntiqua"/>
          <w:szCs w:val="26"/>
        </w:rPr>
        <w:t xml:space="preserve">uarterly </w:t>
      </w:r>
      <w:r w:rsidR="00B76814">
        <w:rPr>
          <w:rFonts w:cs="BookAntiqua"/>
          <w:szCs w:val="26"/>
        </w:rPr>
        <w:t>R</w:t>
      </w:r>
      <w:r w:rsidR="005771A4">
        <w:rPr>
          <w:rFonts w:cs="BookAntiqua"/>
          <w:szCs w:val="26"/>
        </w:rPr>
        <w:t xml:space="preserve">eports and Offset and Exemption </w:t>
      </w:r>
      <w:r w:rsidR="00B76814">
        <w:rPr>
          <w:rFonts w:cs="BookAntiqua"/>
          <w:szCs w:val="26"/>
        </w:rPr>
        <w:t>R</w:t>
      </w:r>
      <w:r w:rsidR="005771A4">
        <w:rPr>
          <w:rFonts w:cs="BookAntiqua"/>
          <w:szCs w:val="26"/>
        </w:rPr>
        <w:t>equests</w:t>
      </w:r>
      <w:r>
        <w:rPr>
          <w:rFonts w:cs="BookAntiqua"/>
          <w:szCs w:val="26"/>
        </w:rPr>
        <w:t xml:space="preserve"> in D.20-03-007</w:t>
      </w:r>
      <w:r w:rsidR="005771A4">
        <w:rPr>
          <w:rFonts w:cs="BookAntiqua"/>
          <w:szCs w:val="26"/>
        </w:rPr>
        <w:t>.</w:t>
      </w:r>
      <w:r w:rsidR="00B76814">
        <w:rPr>
          <w:rStyle w:val="FootnoteReference"/>
          <w:rFonts w:cs="BookAntiqua"/>
          <w:szCs w:val="26"/>
        </w:rPr>
        <w:footnoteReference w:id="86"/>
      </w:r>
      <w:r w:rsidR="005771A4">
        <w:rPr>
          <w:rFonts w:cs="BookAntiqua"/>
          <w:szCs w:val="26"/>
        </w:rPr>
        <w:t xml:space="preserve">  Lyft recommends that </w:t>
      </w:r>
      <w:r w:rsidR="00B46B39">
        <w:rPr>
          <w:rFonts w:cs="BookAntiqua"/>
          <w:szCs w:val="26"/>
        </w:rPr>
        <w:t>additional</w:t>
      </w:r>
      <w:r w:rsidR="005771A4">
        <w:rPr>
          <w:rFonts w:cs="BookAntiqua"/>
          <w:szCs w:val="26"/>
        </w:rPr>
        <w:t xml:space="preserve"> benchmarks should wait until the Commission has one year’s worth of data from WAV programs.</w:t>
      </w:r>
      <w:r w:rsidRPr="00B76814" w:rsidR="00B76814">
        <w:rPr>
          <w:rFonts w:cs="BookAntiqua"/>
          <w:szCs w:val="26"/>
        </w:rPr>
        <w:t xml:space="preserve"> </w:t>
      </w:r>
      <w:r w:rsidR="00706068">
        <w:rPr>
          <w:rFonts w:cs="BookAntiqua"/>
          <w:szCs w:val="26"/>
        </w:rPr>
        <w:t xml:space="preserve"> </w:t>
      </w:r>
    </w:p>
    <w:p w:rsidR="00713C17" w:rsidP="0051117B" w:rsidRDefault="0051117B" w14:paraId="34C36421" w14:textId="6DE11691">
      <w:pPr>
        <w:autoSpaceDE w:val="0"/>
        <w:autoSpaceDN w:val="0"/>
        <w:adjustRightInd w:val="0"/>
        <w:spacing w:line="360" w:lineRule="auto"/>
        <w:ind w:firstLine="720"/>
        <w:rPr>
          <w:rFonts w:cs="BookAntiqua"/>
          <w:szCs w:val="26"/>
        </w:rPr>
      </w:pPr>
      <w:r>
        <w:rPr>
          <w:rFonts w:cs="BookAntiqua"/>
          <w:szCs w:val="26"/>
        </w:rPr>
        <w:t>Marin Transit recommends metrics for WAV and non-WAV service, including percent of trips fulfilled versus requested, number of requests, location data, response times of fulfilled requests, and number of denied requests.</w:t>
      </w:r>
      <w:r>
        <w:rPr>
          <w:rStyle w:val="FootnoteReference"/>
          <w:rFonts w:cs="BookAntiqua"/>
          <w:szCs w:val="26"/>
        </w:rPr>
        <w:footnoteReference w:id="87"/>
      </w:r>
      <w:r>
        <w:rPr>
          <w:rFonts w:cs="BookAntiqua"/>
          <w:szCs w:val="26"/>
        </w:rPr>
        <w:t xml:space="preserve">  </w:t>
      </w:r>
      <w:r w:rsidR="00706068">
        <w:rPr>
          <w:rFonts w:cs="BookAntiqua"/>
          <w:szCs w:val="26"/>
        </w:rPr>
        <w:t>San</w:t>
      </w:r>
      <w:r w:rsidR="00C36FD6">
        <w:rPr>
          <w:rFonts w:cs="BookAntiqua"/>
          <w:szCs w:val="26"/>
        </w:rPr>
        <w:t> </w:t>
      </w:r>
      <w:r w:rsidR="00706068">
        <w:rPr>
          <w:rFonts w:cs="BookAntiqua"/>
          <w:szCs w:val="26"/>
        </w:rPr>
        <w:t>Francisco</w:t>
      </w:r>
      <w:r w:rsidR="001F4E00">
        <w:rPr>
          <w:rFonts w:cs="BookAntiqua"/>
          <w:szCs w:val="26"/>
        </w:rPr>
        <w:t xml:space="preserve"> recommends </w:t>
      </w:r>
      <w:r w:rsidR="00706068">
        <w:rPr>
          <w:rFonts w:cs="BookAntiqua"/>
          <w:szCs w:val="26"/>
        </w:rPr>
        <w:t>requiring four detailed reports</w:t>
      </w:r>
      <w:r w:rsidR="001F4E00">
        <w:rPr>
          <w:rFonts w:cs="BookAntiqua"/>
          <w:szCs w:val="26"/>
        </w:rPr>
        <w:t xml:space="preserve"> </w:t>
      </w:r>
      <w:r w:rsidR="00AB6C39">
        <w:rPr>
          <w:rFonts w:cs="BookAntiqua"/>
          <w:szCs w:val="26"/>
        </w:rPr>
        <w:t>for</w:t>
      </w:r>
      <w:r w:rsidR="00706068">
        <w:rPr>
          <w:rFonts w:cs="BookAntiqua"/>
          <w:szCs w:val="26"/>
        </w:rPr>
        <w:t xml:space="preserve"> the</w:t>
      </w:r>
      <w:r w:rsidR="00AB6C39">
        <w:rPr>
          <w:rFonts w:cs="BookAntiqua"/>
          <w:szCs w:val="26"/>
        </w:rPr>
        <w:t xml:space="preserve"> yearly benchmarks</w:t>
      </w:r>
      <w:r w:rsidR="00457562">
        <w:rPr>
          <w:rFonts w:cs="BookAntiqua"/>
          <w:szCs w:val="26"/>
        </w:rPr>
        <w:t>.</w:t>
      </w:r>
      <w:r w:rsidR="00E21C3B">
        <w:rPr>
          <w:rStyle w:val="FootnoteReference"/>
          <w:rFonts w:cs="BookAntiqua"/>
          <w:szCs w:val="26"/>
        </w:rPr>
        <w:footnoteReference w:id="88"/>
      </w:r>
      <w:r w:rsidR="00457562">
        <w:rPr>
          <w:rFonts w:cs="BookAntiqua"/>
          <w:szCs w:val="26"/>
        </w:rPr>
        <w:t xml:space="preserve">  </w:t>
      </w:r>
      <w:r w:rsidR="00E21C3B">
        <w:rPr>
          <w:rFonts w:cs="BookAntiqua"/>
          <w:szCs w:val="26"/>
        </w:rPr>
        <w:t>The</w:t>
      </w:r>
      <w:r w:rsidR="00F049D2">
        <w:rPr>
          <w:rFonts w:cs="BookAntiqua"/>
          <w:szCs w:val="26"/>
        </w:rPr>
        <w:t xml:space="preserve"> </w:t>
      </w:r>
      <w:r w:rsidR="00E21C3B">
        <w:rPr>
          <w:rFonts w:cs="BookAntiqua"/>
          <w:szCs w:val="26"/>
        </w:rPr>
        <w:t>“</w:t>
      </w:r>
      <w:r w:rsidR="00F049D2">
        <w:rPr>
          <w:rFonts w:cs="BookAntiqua"/>
          <w:szCs w:val="26"/>
        </w:rPr>
        <w:t>trip report</w:t>
      </w:r>
      <w:r w:rsidR="00E21C3B">
        <w:rPr>
          <w:rFonts w:cs="BookAntiqua"/>
          <w:szCs w:val="26"/>
        </w:rPr>
        <w:t>,”</w:t>
      </w:r>
      <w:r w:rsidR="00457562">
        <w:rPr>
          <w:rFonts w:cs="BookAntiqua"/>
          <w:szCs w:val="26"/>
        </w:rPr>
        <w:t xml:space="preserve"> for </w:t>
      </w:r>
      <w:r w:rsidR="00B76814">
        <w:rPr>
          <w:rFonts w:cs="BookAntiqua"/>
          <w:szCs w:val="26"/>
        </w:rPr>
        <w:t>example</w:t>
      </w:r>
      <w:r w:rsidR="00457562">
        <w:rPr>
          <w:rFonts w:cs="BookAntiqua"/>
          <w:szCs w:val="26"/>
        </w:rPr>
        <w:t>,</w:t>
      </w:r>
      <w:r w:rsidR="00F049D2">
        <w:rPr>
          <w:rFonts w:cs="BookAntiqua"/>
          <w:szCs w:val="26"/>
        </w:rPr>
        <w:t xml:space="preserve"> include</w:t>
      </w:r>
      <w:r w:rsidR="00706068">
        <w:rPr>
          <w:rFonts w:cs="BookAntiqua"/>
          <w:szCs w:val="26"/>
        </w:rPr>
        <w:t>s</w:t>
      </w:r>
      <w:r w:rsidR="00F049D2">
        <w:rPr>
          <w:rFonts w:cs="BookAntiqua"/>
          <w:szCs w:val="26"/>
        </w:rPr>
        <w:t xml:space="preserve"> </w:t>
      </w:r>
      <w:r w:rsidR="009A36DD">
        <w:rPr>
          <w:rFonts w:cs="BookAntiqua"/>
          <w:szCs w:val="26"/>
        </w:rPr>
        <w:t>trip</w:t>
      </w:r>
      <w:r w:rsidR="00B76814">
        <w:rPr>
          <w:rFonts w:cs="BookAntiqua"/>
          <w:szCs w:val="26"/>
        </w:rPr>
        <w:t>-</w:t>
      </w:r>
      <w:r w:rsidR="009A36DD">
        <w:rPr>
          <w:rFonts w:cs="BookAntiqua"/>
          <w:szCs w:val="26"/>
        </w:rPr>
        <w:t xml:space="preserve">level </w:t>
      </w:r>
      <w:r w:rsidR="00706068">
        <w:rPr>
          <w:rFonts w:cs="BookAntiqua"/>
          <w:szCs w:val="26"/>
        </w:rPr>
        <w:t>data</w:t>
      </w:r>
      <w:r w:rsidR="00F049D2">
        <w:rPr>
          <w:rFonts w:cs="BookAntiqua"/>
          <w:szCs w:val="26"/>
        </w:rPr>
        <w:t xml:space="preserve"> about </w:t>
      </w:r>
      <w:r w:rsidR="009A36DD">
        <w:rPr>
          <w:rFonts w:cs="BookAntiqua"/>
          <w:szCs w:val="26"/>
        </w:rPr>
        <w:t>all</w:t>
      </w:r>
      <w:r w:rsidR="00F049D2">
        <w:rPr>
          <w:rFonts w:cs="BookAntiqua"/>
          <w:szCs w:val="26"/>
        </w:rPr>
        <w:t xml:space="preserve"> TNC trips requested and accepted</w:t>
      </w:r>
      <w:r w:rsidR="00457562">
        <w:rPr>
          <w:rFonts w:cs="BookAntiqua"/>
          <w:szCs w:val="26"/>
        </w:rPr>
        <w:t xml:space="preserve"> (WAV and non-WAV trips),</w:t>
      </w:r>
      <w:r w:rsidR="00F049D2">
        <w:rPr>
          <w:rFonts w:cs="BookAntiqua"/>
          <w:szCs w:val="26"/>
        </w:rPr>
        <w:t xml:space="preserve"> </w:t>
      </w:r>
      <w:r w:rsidR="00457562">
        <w:rPr>
          <w:rFonts w:cs="BookAntiqua"/>
          <w:szCs w:val="26"/>
        </w:rPr>
        <w:t xml:space="preserve">including time stamp for three periods of </w:t>
      </w:r>
      <w:r w:rsidR="00706068">
        <w:rPr>
          <w:rFonts w:cs="BookAntiqua"/>
          <w:szCs w:val="26"/>
        </w:rPr>
        <w:t>a</w:t>
      </w:r>
      <w:r w:rsidR="00457562">
        <w:rPr>
          <w:rFonts w:cs="BookAntiqua"/>
          <w:szCs w:val="26"/>
        </w:rPr>
        <w:t xml:space="preserve"> ride, VIN number, fare paid, and census tract location</w:t>
      </w:r>
      <w:r w:rsidR="00F049D2">
        <w:rPr>
          <w:rFonts w:cs="BookAntiqua"/>
          <w:szCs w:val="26"/>
        </w:rPr>
        <w:t xml:space="preserve">.  </w:t>
      </w:r>
      <w:r w:rsidR="00706068">
        <w:rPr>
          <w:rFonts w:cs="BookAntiqua"/>
          <w:szCs w:val="26"/>
        </w:rPr>
        <w:t>The</w:t>
      </w:r>
      <w:r w:rsidR="00F049D2">
        <w:rPr>
          <w:rFonts w:cs="BookAntiqua"/>
          <w:szCs w:val="26"/>
        </w:rPr>
        <w:t xml:space="preserve"> </w:t>
      </w:r>
      <w:r w:rsidR="00E21C3B">
        <w:rPr>
          <w:rFonts w:cs="BookAntiqua"/>
          <w:szCs w:val="26"/>
        </w:rPr>
        <w:t>“</w:t>
      </w:r>
      <w:r w:rsidR="00F049D2">
        <w:rPr>
          <w:rFonts w:cs="BookAntiqua"/>
          <w:szCs w:val="26"/>
        </w:rPr>
        <w:t>vehicle report</w:t>
      </w:r>
      <w:r w:rsidR="00E21C3B">
        <w:rPr>
          <w:rFonts w:cs="BookAntiqua"/>
          <w:szCs w:val="26"/>
        </w:rPr>
        <w:t>”</w:t>
      </w:r>
      <w:r w:rsidR="00F049D2">
        <w:rPr>
          <w:rFonts w:cs="BookAntiqua"/>
          <w:szCs w:val="26"/>
        </w:rPr>
        <w:t xml:space="preserve"> </w:t>
      </w:r>
      <w:r w:rsidR="00344D62">
        <w:rPr>
          <w:rFonts w:cs="BookAntiqua"/>
          <w:szCs w:val="26"/>
        </w:rPr>
        <w:t>include</w:t>
      </w:r>
      <w:r w:rsidR="00706068">
        <w:rPr>
          <w:rFonts w:cs="BookAntiqua"/>
          <w:szCs w:val="26"/>
        </w:rPr>
        <w:t>s</w:t>
      </w:r>
      <w:r w:rsidR="00344D62">
        <w:rPr>
          <w:rFonts w:cs="BookAntiqua"/>
          <w:szCs w:val="26"/>
        </w:rPr>
        <w:t xml:space="preserve"> </w:t>
      </w:r>
      <w:r w:rsidR="00457562">
        <w:rPr>
          <w:rFonts w:cs="BookAntiqua"/>
          <w:szCs w:val="26"/>
        </w:rPr>
        <w:t>VIN number, time stamp for vehicle availability and service, and census tract location</w:t>
      </w:r>
      <w:r w:rsidR="00D56C83">
        <w:rPr>
          <w:rFonts w:cs="BookAntiqua"/>
          <w:szCs w:val="26"/>
        </w:rPr>
        <w:t>.</w:t>
      </w:r>
      <w:r w:rsidR="00AB6C39">
        <w:rPr>
          <w:rFonts w:cs="BookAntiqua"/>
          <w:szCs w:val="26"/>
        </w:rPr>
        <w:t xml:space="preserve">  </w:t>
      </w:r>
      <w:r w:rsidR="00713C17">
        <w:rPr>
          <w:rFonts w:cs="BookAntiqua"/>
          <w:szCs w:val="26"/>
        </w:rPr>
        <w:t xml:space="preserve">Uber </w:t>
      </w:r>
      <w:r w:rsidR="009A36DD">
        <w:rPr>
          <w:rFonts w:cs="BookAntiqua"/>
          <w:szCs w:val="26"/>
        </w:rPr>
        <w:t>objects to</w:t>
      </w:r>
      <w:r w:rsidR="00713C17">
        <w:rPr>
          <w:rFonts w:cs="BookAntiqua"/>
          <w:szCs w:val="26"/>
        </w:rPr>
        <w:t xml:space="preserve"> </w:t>
      </w:r>
      <w:r w:rsidR="00706068">
        <w:rPr>
          <w:rFonts w:cs="BookAntiqua"/>
          <w:szCs w:val="26"/>
        </w:rPr>
        <w:t>San Francisco’s</w:t>
      </w:r>
      <w:r w:rsidR="00713C17">
        <w:rPr>
          <w:rFonts w:cs="BookAntiqua"/>
          <w:szCs w:val="26"/>
        </w:rPr>
        <w:t xml:space="preserve"> proposal</w:t>
      </w:r>
      <w:r w:rsidR="00E21C3B">
        <w:rPr>
          <w:rFonts w:cs="BookAntiqua"/>
          <w:szCs w:val="26"/>
        </w:rPr>
        <w:t xml:space="preserve"> </w:t>
      </w:r>
      <w:r w:rsidR="00706068">
        <w:rPr>
          <w:rFonts w:cs="BookAntiqua"/>
          <w:szCs w:val="26"/>
        </w:rPr>
        <w:t>because</w:t>
      </w:r>
      <w:r w:rsidR="00900109">
        <w:rPr>
          <w:rFonts w:cs="BookAntiqua"/>
          <w:szCs w:val="26"/>
        </w:rPr>
        <w:t xml:space="preserve"> the new reports are </w:t>
      </w:r>
      <w:r w:rsidR="00AB6C39">
        <w:rPr>
          <w:rFonts w:cs="BookAntiqua"/>
          <w:szCs w:val="26"/>
        </w:rPr>
        <w:t>un</w:t>
      </w:r>
      <w:r w:rsidR="00900109">
        <w:rPr>
          <w:rFonts w:cs="BookAntiqua"/>
          <w:szCs w:val="26"/>
        </w:rPr>
        <w:t>necessary to implement SB 1736</w:t>
      </w:r>
      <w:r w:rsidR="00284CC4">
        <w:rPr>
          <w:rFonts w:cs="BookAntiqua"/>
          <w:szCs w:val="26"/>
        </w:rPr>
        <w:t xml:space="preserve"> and </w:t>
      </w:r>
      <w:r w:rsidR="00AB6C39">
        <w:rPr>
          <w:rFonts w:cs="BookAntiqua"/>
          <w:szCs w:val="26"/>
        </w:rPr>
        <w:t>contain</w:t>
      </w:r>
      <w:r w:rsidR="00900109">
        <w:rPr>
          <w:rFonts w:cs="BookAntiqua"/>
          <w:szCs w:val="26"/>
        </w:rPr>
        <w:t xml:space="preserve"> </w:t>
      </w:r>
      <w:r w:rsidR="00AB6C39">
        <w:rPr>
          <w:rFonts w:cs="BookAntiqua"/>
          <w:szCs w:val="26"/>
        </w:rPr>
        <w:t xml:space="preserve">individual </w:t>
      </w:r>
      <w:r w:rsidR="00900109">
        <w:rPr>
          <w:rFonts w:cs="BookAntiqua"/>
          <w:szCs w:val="26"/>
        </w:rPr>
        <w:t xml:space="preserve">trip data </w:t>
      </w:r>
      <w:r w:rsidR="00E21C3B">
        <w:rPr>
          <w:rFonts w:cs="BookAntiqua"/>
          <w:szCs w:val="26"/>
        </w:rPr>
        <w:t xml:space="preserve">that </w:t>
      </w:r>
      <w:r w:rsidR="00900109">
        <w:rPr>
          <w:rFonts w:cs="BookAntiqua"/>
          <w:szCs w:val="26"/>
        </w:rPr>
        <w:t>is confidential</w:t>
      </w:r>
      <w:r w:rsidR="00230D3D">
        <w:rPr>
          <w:rFonts w:cs="BookAntiqua"/>
          <w:szCs w:val="26"/>
        </w:rPr>
        <w:t xml:space="preserve">, including personally identifying </w:t>
      </w:r>
      <w:r w:rsidR="00230D3D">
        <w:rPr>
          <w:rFonts w:cs="BookAntiqua"/>
          <w:szCs w:val="26"/>
        </w:rPr>
        <w:lastRenderedPageBreak/>
        <w:t>information</w:t>
      </w:r>
      <w:r w:rsidR="00284CC4">
        <w:rPr>
          <w:rFonts w:cs="BookAntiqua"/>
          <w:szCs w:val="26"/>
        </w:rPr>
        <w:t>.</w:t>
      </w:r>
      <w:r w:rsidR="00284CC4">
        <w:rPr>
          <w:rStyle w:val="FootnoteReference"/>
          <w:rFonts w:cs="BookAntiqua"/>
          <w:szCs w:val="26"/>
        </w:rPr>
        <w:footnoteReference w:id="89"/>
      </w:r>
      <w:r w:rsidR="00284CC4">
        <w:rPr>
          <w:rFonts w:cs="BookAntiqua"/>
          <w:szCs w:val="26"/>
        </w:rPr>
        <w:t xml:space="preserve">  Lyft objects </w:t>
      </w:r>
      <w:r w:rsidR="00706068">
        <w:rPr>
          <w:rFonts w:cs="BookAntiqua"/>
          <w:szCs w:val="26"/>
        </w:rPr>
        <w:t>because</w:t>
      </w:r>
      <w:r w:rsidR="00284CC4">
        <w:rPr>
          <w:rFonts w:cs="BookAntiqua"/>
          <w:szCs w:val="26"/>
        </w:rPr>
        <w:t xml:space="preserve"> </w:t>
      </w:r>
      <w:r w:rsidR="00706068">
        <w:rPr>
          <w:rFonts w:cs="BookAntiqua"/>
          <w:szCs w:val="26"/>
        </w:rPr>
        <w:t>the reports</w:t>
      </w:r>
      <w:r w:rsidR="00284CC4">
        <w:rPr>
          <w:rFonts w:cs="BookAntiqua"/>
          <w:szCs w:val="26"/>
        </w:rPr>
        <w:t xml:space="preserve"> </w:t>
      </w:r>
      <w:r w:rsidR="00706068">
        <w:rPr>
          <w:rFonts w:cs="BookAntiqua"/>
          <w:szCs w:val="26"/>
        </w:rPr>
        <w:t>include</w:t>
      </w:r>
      <w:r w:rsidR="00E21C3B">
        <w:rPr>
          <w:rFonts w:cs="BookAntiqua"/>
          <w:szCs w:val="26"/>
        </w:rPr>
        <w:t xml:space="preserve"> non-WAV data </w:t>
      </w:r>
      <w:r w:rsidR="00706068">
        <w:rPr>
          <w:rFonts w:cs="BookAntiqua"/>
          <w:szCs w:val="26"/>
        </w:rPr>
        <w:t>and</w:t>
      </w:r>
      <w:r w:rsidR="00E21C3B">
        <w:rPr>
          <w:rFonts w:cs="BookAntiqua"/>
          <w:szCs w:val="26"/>
        </w:rPr>
        <w:t xml:space="preserve"> the stated purpose of the yearly benchmarks is to measure WAV improvement.</w:t>
      </w:r>
      <w:r w:rsidR="00E21C3B">
        <w:rPr>
          <w:rStyle w:val="FootnoteReference"/>
          <w:rFonts w:cs="BookAntiqua"/>
          <w:szCs w:val="26"/>
        </w:rPr>
        <w:footnoteReference w:id="90"/>
      </w:r>
      <w:r w:rsidR="00284CC4">
        <w:rPr>
          <w:rFonts w:cs="BookAntiqua"/>
          <w:szCs w:val="26"/>
        </w:rPr>
        <w:t xml:space="preserve"> </w:t>
      </w:r>
    </w:p>
    <w:p w:rsidR="00060982" w:rsidP="006451C7" w:rsidRDefault="00957902" w14:paraId="413A29EE" w14:textId="27F0CF01">
      <w:pPr>
        <w:autoSpaceDE w:val="0"/>
        <w:autoSpaceDN w:val="0"/>
        <w:adjustRightInd w:val="0"/>
        <w:spacing w:line="360" w:lineRule="auto"/>
        <w:ind w:firstLine="720"/>
        <w:rPr>
          <w:rFonts w:cs="BookAntiqua"/>
          <w:szCs w:val="26"/>
        </w:rPr>
      </w:pPr>
      <w:r>
        <w:rPr>
          <w:rFonts w:cs="BookAntiqua"/>
          <w:szCs w:val="26"/>
        </w:rPr>
        <w:t xml:space="preserve">The Commission views the yearly benchmarks as a means to monitor and evaluate the progress of the WAV program and individual carrier’s performance, and not to penalize any individual carrier for failing to meet </w:t>
      </w:r>
      <w:r w:rsidR="0051117B">
        <w:rPr>
          <w:rFonts w:cs="BookAntiqua"/>
          <w:szCs w:val="26"/>
        </w:rPr>
        <w:t xml:space="preserve">the </w:t>
      </w:r>
      <w:r w:rsidR="00B42D22">
        <w:rPr>
          <w:rFonts w:cs="BookAntiqua"/>
          <w:szCs w:val="26"/>
        </w:rPr>
        <w:t xml:space="preserve">yearly </w:t>
      </w:r>
      <w:r>
        <w:rPr>
          <w:rFonts w:cs="BookAntiqua"/>
          <w:szCs w:val="26"/>
        </w:rPr>
        <w:t>benchmarks.</w:t>
      </w:r>
      <w:r w:rsidR="009A36DD">
        <w:rPr>
          <w:rFonts w:cs="BookAntiqua"/>
          <w:szCs w:val="26"/>
        </w:rPr>
        <w:t xml:space="preserve">  </w:t>
      </w:r>
      <w:r w:rsidR="006451C7">
        <w:rPr>
          <w:rFonts w:cs="BookAntiqua"/>
          <w:szCs w:val="26"/>
        </w:rPr>
        <w:t>Regarding proposals for</w:t>
      </w:r>
      <w:r w:rsidR="00060982">
        <w:rPr>
          <w:rFonts w:cs="BookAntiqua"/>
          <w:szCs w:val="26"/>
        </w:rPr>
        <w:t xml:space="preserve"> detailed </w:t>
      </w:r>
      <w:r w:rsidR="006451C7">
        <w:rPr>
          <w:rFonts w:cs="BookAntiqua"/>
          <w:szCs w:val="26"/>
        </w:rPr>
        <w:t xml:space="preserve">TNC </w:t>
      </w:r>
      <w:r w:rsidR="00060982">
        <w:rPr>
          <w:rFonts w:cs="BookAntiqua"/>
          <w:szCs w:val="26"/>
        </w:rPr>
        <w:t>trip-level data, including non-WAV data, the Commission previously considered and declined to require comprehensive trip-level data and non-WAV data in D.20-03-007.</w:t>
      </w:r>
      <w:r w:rsidR="00060982">
        <w:rPr>
          <w:rStyle w:val="FootnoteReference"/>
          <w:rFonts w:cs="BookAntiqua"/>
          <w:szCs w:val="26"/>
        </w:rPr>
        <w:footnoteReference w:id="91"/>
      </w:r>
      <w:r w:rsidR="00060982">
        <w:rPr>
          <w:rFonts w:cs="BookAntiqua"/>
          <w:szCs w:val="26"/>
        </w:rPr>
        <w:t xml:space="preserve">  </w:t>
      </w:r>
      <w:r w:rsidR="006451C7">
        <w:rPr>
          <w:rFonts w:cs="BookAntiqua"/>
          <w:szCs w:val="26"/>
        </w:rPr>
        <w:t>We find the</w:t>
      </w:r>
      <w:r w:rsidR="00060982">
        <w:rPr>
          <w:rFonts w:cs="BookAntiqua"/>
          <w:szCs w:val="26"/>
        </w:rPr>
        <w:t xml:space="preserve"> proposals for trip-level data, including time stamps, vehicle location, VIN numbers, fare, etc., </w:t>
      </w:r>
      <w:r w:rsidR="006451C7">
        <w:rPr>
          <w:rFonts w:cs="BookAntiqua"/>
          <w:szCs w:val="26"/>
        </w:rPr>
        <w:t>to be</w:t>
      </w:r>
      <w:r w:rsidR="00060982">
        <w:rPr>
          <w:rFonts w:cs="BookAntiqua"/>
          <w:szCs w:val="26"/>
        </w:rPr>
        <w:t xml:space="preserve"> </w:t>
      </w:r>
      <w:r w:rsidR="006451C7">
        <w:rPr>
          <w:rFonts w:cs="BookAntiqua"/>
          <w:szCs w:val="26"/>
        </w:rPr>
        <w:t>overly</w:t>
      </w:r>
      <w:r w:rsidR="00060982">
        <w:rPr>
          <w:rFonts w:cs="BookAntiqua"/>
          <w:szCs w:val="26"/>
        </w:rPr>
        <w:t xml:space="preserve"> broad and burdensome for purposes of evaluating </w:t>
      </w:r>
      <w:r w:rsidR="006451C7">
        <w:rPr>
          <w:rFonts w:cs="BookAntiqua"/>
          <w:szCs w:val="26"/>
        </w:rPr>
        <w:t xml:space="preserve">WAV service improvement and reliability.  </w:t>
      </w:r>
      <w:r w:rsidR="00060982">
        <w:rPr>
          <w:rFonts w:cs="BookAntiqua"/>
          <w:szCs w:val="26"/>
        </w:rPr>
        <w:t xml:space="preserve">As </w:t>
      </w:r>
      <w:r w:rsidR="006451C7">
        <w:rPr>
          <w:rFonts w:cs="BookAntiqua"/>
          <w:szCs w:val="26"/>
        </w:rPr>
        <w:t>noted</w:t>
      </w:r>
      <w:r w:rsidR="00060982">
        <w:rPr>
          <w:rFonts w:cs="BookAntiqua"/>
          <w:szCs w:val="26"/>
        </w:rPr>
        <w:t xml:space="preserve"> in D.20-03-007, </w:t>
      </w:r>
      <w:r w:rsidR="00060982">
        <w:rPr>
          <w:szCs w:val="26"/>
        </w:rPr>
        <w:t xml:space="preserve">the issue of reporting TNC trip-level data is also being considered in another Commission proceeding, </w:t>
      </w:r>
      <w:r w:rsidRPr="00E75957" w:rsidR="00FB0BF0">
        <w:rPr>
          <w:szCs w:val="26"/>
        </w:rPr>
        <w:t>R.</w:t>
      </w:r>
      <w:r w:rsidRPr="00E75957" w:rsidR="00060982">
        <w:rPr>
          <w:szCs w:val="26"/>
        </w:rPr>
        <w:t>12</w:t>
      </w:r>
      <w:r w:rsidR="00FA0F04">
        <w:rPr>
          <w:szCs w:val="26"/>
        </w:rPr>
        <w:noBreakHyphen/>
      </w:r>
      <w:r w:rsidRPr="00E75957" w:rsidR="00060982">
        <w:rPr>
          <w:szCs w:val="26"/>
        </w:rPr>
        <w:t>12</w:t>
      </w:r>
      <w:r w:rsidR="00FA0F04">
        <w:rPr>
          <w:szCs w:val="26"/>
        </w:rPr>
        <w:noBreakHyphen/>
      </w:r>
      <w:r w:rsidRPr="00E75957" w:rsidR="00060982">
        <w:rPr>
          <w:szCs w:val="26"/>
        </w:rPr>
        <w:t>011</w:t>
      </w:r>
      <w:r w:rsidRPr="00E75957" w:rsidR="006451C7">
        <w:rPr>
          <w:szCs w:val="26"/>
        </w:rPr>
        <w:t>.</w:t>
      </w:r>
    </w:p>
    <w:p w:rsidR="006451C7" w:rsidP="006451C7" w:rsidRDefault="000C7B4F" w14:paraId="34EF161E" w14:textId="3778ECEA">
      <w:pPr>
        <w:autoSpaceDE w:val="0"/>
        <w:autoSpaceDN w:val="0"/>
        <w:adjustRightInd w:val="0"/>
        <w:spacing w:line="360" w:lineRule="auto"/>
        <w:ind w:firstLine="720"/>
        <w:rPr>
          <w:rFonts w:cs="BookAntiqua"/>
          <w:szCs w:val="26"/>
        </w:rPr>
      </w:pPr>
      <w:r>
        <w:rPr>
          <w:rFonts w:cs="BookAntiqua"/>
          <w:szCs w:val="26"/>
        </w:rPr>
        <w:t xml:space="preserve">In D.20-03-007, </w:t>
      </w:r>
      <w:r w:rsidR="0051117B">
        <w:rPr>
          <w:rFonts w:cs="BookAntiqua"/>
          <w:szCs w:val="26"/>
        </w:rPr>
        <w:t xml:space="preserve">the Commission adopted various reporting requirements of both TNCs and </w:t>
      </w:r>
      <w:r w:rsidR="00A72CB9">
        <w:rPr>
          <w:rFonts w:cs="BookAntiqua"/>
          <w:szCs w:val="26"/>
        </w:rPr>
        <w:t>Access Provider</w:t>
      </w:r>
      <w:r w:rsidR="0051117B">
        <w:rPr>
          <w:rFonts w:cs="BookAntiqua"/>
          <w:szCs w:val="26"/>
        </w:rPr>
        <w:t xml:space="preserve">s </w:t>
      </w:r>
      <w:r>
        <w:rPr>
          <w:rFonts w:cs="BookAntiqua"/>
          <w:szCs w:val="26"/>
        </w:rPr>
        <w:t xml:space="preserve">for Offset Requests, Exemption Requests, and Quarterly Reports.  We agree with Lyft that that the information provided in these reports and requests </w:t>
      </w:r>
      <w:r w:rsidR="006451C7">
        <w:rPr>
          <w:rFonts w:cs="BookAntiqua"/>
          <w:szCs w:val="26"/>
        </w:rPr>
        <w:t>are appropriate to serve</w:t>
      </w:r>
      <w:r>
        <w:rPr>
          <w:rFonts w:cs="BookAntiqua"/>
          <w:szCs w:val="26"/>
        </w:rPr>
        <w:t xml:space="preserve"> as </w:t>
      </w:r>
      <w:r w:rsidR="0051117B">
        <w:rPr>
          <w:rFonts w:cs="BookAntiqua"/>
          <w:szCs w:val="26"/>
        </w:rPr>
        <w:t>a</w:t>
      </w:r>
      <w:r>
        <w:rPr>
          <w:rFonts w:cs="BookAntiqua"/>
          <w:szCs w:val="26"/>
        </w:rPr>
        <w:t xml:space="preserve"> baseline for the yearly benchmarks</w:t>
      </w:r>
      <w:r w:rsidR="006451C7">
        <w:rPr>
          <w:rFonts w:cs="BookAntiqua"/>
          <w:szCs w:val="26"/>
        </w:rPr>
        <w:t>.  Accordingly, the information provided in Offset Requests, Exemption Requests, and Quarterly Reports shall form the baseline for the yearly benchmarks.</w:t>
      </w:r>
      <w:r w:rsidR="005F445D">
        <w:rPr>
          <w:rFonts w:cs="BookAntiqua"/>
          <w:szCs w:val="26"/>
        </w:rPr>
        <w:t xml:space="preserve">  CPED Staff shall submit a report with the yearly benchmarks</w:t>
      </w:r>
      <w:r>
        <w:rPr>
          <w:rFonts w:cs="BookAntiqua"/>
          <w:szCs w:val="26"/>
        </w:rPr>
        <w:t xml:space="preserve"> </w:t>
      </w:r>
      <w:r w:rsidR="005F445D">
        <w:rPr>
          <w:rFonts w:cs="BookAntiqua"/>
          <w:szCs w:val="26"/>
        </w:rPr>
        <w:t xml:space="preserve">to the Commission with the first report submitted in </w:t>
      </w:r>
      <w:r w:rsidR="00BA07C6">
        <w:rPr>
          <w:rFonts w:cs="BookAntiqua"/>
          <w:szCs w:val="26"/>
        </w:rPr>
        <w:t xml:space="preserve">the first quarter of </w:t>
      </w:r>
      <w:r w:rsidR="005F445D">
        <w:rPr>
          <w:rFonts w:cs="BookAntiqua"/>
          <w:szCs w:val="26"/>
        </w:rPr>
        <w:t>2022</w:t>
      </w:r>
      <w:r w:rsidR="00FB0BF0">
        <w:rPr>
          <w:rFonts w:cs="BookAntiqua"/>
          <w:szCs w:val="26"/>
        </w:rPr>
        <w:t>.</w:t>
      </w:r>
      <w:r w:rsidR="00ED0BBC">
        <w:rPr>
          <w:rFonts w:cs="BookAntiqua"/>
          <w:szCs w:val="26"/>
        </w:rPr>
        <w:t xml:space="preserve">  Th</w:t>
      </w:r>
      <w:r w:rsidR="005603C8">
        <w:rPr>
          <w:rFonts w:cs="BookAntiqua"/>
          <w:szCs w:val="26"/>
        </w:rPr>
        <w:t>is</w:t>
      </w:r>
      <w:r w:rsidR="00ED0BBC">
        <w:rPr>
          <w:rFonts w:cs="BookAntiqua"/>
          <w:szCs w:val="26"/>
        </w:rPr>
        <w:t xml:space="preserve"> report is referred to as the Annual Benchmark Report.</w:t>
      </w:r>
    </w:p>
    <w:p w:rsidR="004316B2" w:rsidP="00A63693" w:rsidRDefault="004316B2" w14:paraId="22674088" w14:textId="7B218AAA">
      <w:pPr>
        <w:autoSpaceDE w:val="0"/>
        <w:autoSpaceDN w:val="0"/>
        <w:adjustRightInd w:val="0"/>
        <w:spacing w:line="360" w:lineRule="auto"/>
        <w:rPr>
          <w:rFonts w:cs="BookAntiqua"/>
          <w:szCs w:val="26"/>
        </w:rPr>
      </w:pPr>
      <w:r>
        <w:rPr>
          <w:rFonts w:cs="BookAntiqua"/>
          <w:szCs w:val="26"/>
        </w:rPr>
        <w:lastRenderedPageBreak/>
        <w:t xml:space="preserve">Further, as provided in </w:t>
      </w:r>
      <w:r w:rsidRPr="009C7AAC">
        <w:rPr>
          <w:rFonts w:cs="BookAntiqua"/>
          <w:szCs w:val="26"/>
        </w:rPr>
        <w:t>§</w:t>
      </w:r>
      <w:r>
        <w:rPr>
          <w:rFonts w:cs="BookAntiqua"/>
          <w:szCs w:val="26"/>
        </w:rPr>
        <w:t xml:space="preserve"> 5440.5(a)(1)(J), the yearly benchmarks shall also include the “number of users requesting rides versus community WAV demand for each geographic area.”  As such, in Track 4, </w:t>
      </w:r>
      <w:r w:rsidR="00D7195E">
        <w:rPr>
          <w:rFonts w:cs="BookAntiqua"/>
          <w:szCs w:val="26"/>
        </w:rPr>
        <w:t>“</w:t>
      </w:r>
      <w:r>
        <w:rPr>
          <w:rFonts w:cs="BookAntiqua"/>
          <w:szCs w:val="26"/>
        </w:rPr>
        <w:t>community WAV demand</w:t>
      </w:r>
      <w:r w:rsidR="00D7195E">
        <w:rPr>
          <w:rFonts w:cs="BookAntiqua"/>
          <w:szCs w:val="26"/>
        </w:rPr>
        <w:t>”</w:t>
      </w:r>
      <w:r>
        <w:rPr>
          <w:rFonts w:cs="BookAntiqua"/>
          <w:szCs w:val="26"/>
        </w:rPr>
        <w:t xml:space="preserve"> will be </w:t>
      </w:r>
      <w:r w:rsidR="00D7195E">
        <w:rPr>
          <w:rFonts w:cs="BookAntiqua"/>
          <w:szCs w:val="26"/>
        </w:rPr>
        <w:t xml:space="preserve">considered </w:t>
      </w:r>
      <w:r>
        <w:rPr>
          <w:rFonts w:cs="BookAntiqua"/>
          <w:szCs w:val="26"/>
        </w:rPr>
        <w:t>in proposals and workshops.</w:t>
      </w:r>
    </w:p>
    <w:p w:rsidR="000C7B4F" w:rsidP="006451C7" w:rsidRDefault="006451C7" w14:paraId="5F429983" w14:textId="58DCE78F">
      <w:pPr>
        <w:autoSpaceDE w:val="0"/>
        <w:autoSpaceDN w:val="0"/>
        <w:adjustRightInd w:val="0"/>
        <w:spacing w:line="360" w:lineRule="auto"/>
        <w:ind w:firstLine="720"/>
        <w:rPr>
          <w:rFonts w:cs="BookAntiqua"/>
          <w:szCs w:val="26"/>
        </w:rPr>
      </w:pPr>
      <w:r>
        <w:rPr>
          <w:rFonts w:cs="BookAntiqua"/>
          <w:szCs w:val="26"/>
        </w:rPr>
        <w:t>We are, however, persuaded by</w:t>
      </w:r>
      <w:r w:rsidR="0070648D">
        <w:rPr>
          <w:rFonts w:cs="BookAntiqua"/>
          <w:szCs w:val="26"/>
        </w:rPr>
        <w:t xml:space="preserve"> parties that </w:t>
      </w:r>
      <w:r>
        <w:rPr>
          <w:rFonts w:cs="BookAntiqua"/>
          <w:szCs w:val="26"/>
        </w:rPr>
        <w:t>state that the</w:t>
      </w:r>
      <w:r w:rsidR="0070648D">
        <w:rPr>
          <w:rFonts w:cs="BookAntiqua"/>
          <w:szCs w:val="26"/>
        </w:rPr>
        <w:t xml:space="preserve"> yearly benchmarks should evaluate </w:t>
      </w:r>
      <w:r w:rsidR="0056101C">
        <w:rPr>
          <w:rFonts w:cs="BookAntiqua"/>
          <w:szCs w:val="26"/>
        </w:rPr>
        <w:t xml:space="preserve">WAV </w:t>
      </w:r>
      <w:r w:rsidR="00B03B4E">
        <w:rPr>
          <w:rFonts w:cs="BookAntiqua"/>
          <w:szCs w:val="26"/>
        </w:rPr>
        <w:t>response time</w:t>
      </w:r>
      <w:r w:rsidR="0070648D">
        <w:rPr>
          <w:rFonts w:cs="BookAntiqua"/>
          <w:szCs w:val="26"/>
        </w:rPr>
        <w:t xml:space="preserve">s </w:t>
      </w:r>
      <w:r w:rsidR="00333A41">
        <w:rPr>
          <w:rFonts w:cs="BookAntiqua"/>
          <w:szCs w:val="26"/>
        </w:rPr>
        <w:t>against</w:t>
      </w:r>
      <w:r w:rsidR="0070648D">
        <w:rPr>
          <w:rFonts w:cs="BookAntiqua"/>
          <w:szCs w:val="26"/>
        </w:rPr>
        <w:t xml:space="preserve"> non-WAV response times</w:t>
      </w:r>
      <w:r w:rsidR="00333A41">
        <w:rPr>
          <w:rFonts w:cs="BookAntiqua"/>
          <w:szCs w:val="26"/>
        </w:rPr>
        <w:t xml:space="preserve"> to assess </w:t>
      </w:r>
      <w:r>
        <w:rPr>
          <w:rFonts w:cs="BookAntiqua"/>
          <w:szCs w:val="26"/>
        </w:rPr>
        <w:t>whether</w:t>
      </w:r>
      <w:r w:rsidR="00333A41">
        <w:rPr>
          <w:rFonts w:cs="BookAntiqua"/>
          <w:szCs w:val="26"/>
        </w:rPr>
        <w:t xml:space="preserve"> WAV users receive continuously improved, reliable, and available service</w:t>
      </w:r>
      <w:r w:rsidR="0070648D">
        <w:rPr>
          <w:rFonts w:cs="BookAntiqua"/>
          <w:szCs w:val="26"/>
        </w:rPr>
        <w:t>.</w:t>
      </w:r>
      <w:r w:rsidR="00333A41">
        <w:rPr>
          <w:rFonts w:cs="BookAntiqua"/>
          <w:szCs w:val="26"/>
        </w:rPr>
        <w:t xml:space="preserve">  To that end, CPED Staff is directed to provide an analysis of WAV response times submitted by </w:t>
      </w:r>
      <w:r w:rsidR="00A72CB9">
        <w:rPr>
          <w:rFonts w:cs="BookAntiqua"/>
          <w:szCs w:val="26"/>
        </w:rPr>
        <w:t>Access Provider</w:t>
      </w:r>
      <w:r w:rsidR="00333A41">
        <w:rPr>
          <w:rFonts w:cs="BookAntiqua"/>
          <w:szCs w:val="26"/>
        </w:rPr>
        <w:t>s and TNCs</w:t>
      </w:r>
      <w:r>
        <w:rPr>
          <w:rFonts w:cs="BookAntiqua"/>
          <w:szCs w:val="26"/>
        </w:rPr>
        <w:t>,</w:t>
      </w:r>
      <w:r w:rsidR="00333A41">
        <w:rPr>
          <w:rFonts w:cs="BookAntiqua"/>
          <w:szCs w:val="26"/>
        </w:rPr>
        <w:t xml:space="preserve"> </w:t>
      </w:r>
      <w:r w:rsidR="00403392">
        <w:rPr>
          <w:rFonts w:cs="BookAntiqua"/>
          <w:szCs w:val="26"/>
        </w:rPr>
        <w:t>with a comparison</w:t>
      </w:r>
      <w:r w:rsidR="00333A41">
        <w:rPr>
          <w:rFonts w:cs="BookAntiqua"/>
          <w:szCs w:val="26"/>
        </w:rPr>
        <w:t xml:space="preserve"> </w:t>
      </w:r>
      <w:r w:rsidR="00403392">
        <w:rPr>
          <w:rFonts w:cs="BookAntiqua"/>
          <w:szCs w:val="26"/>
        </w:rPr>
        <w:t>of</w:t>
      </w:r>
      <w:r w:rsidR="00333A41">
        <w:rPr>
          <w:rFonts w:cs="BookAntiqua"/>
          <w:szCs w:val="26"/>
        </w:rPr>
        <w:t xml:space="preserve"> those response times </w:t>
      </w:r>
      <w:r>
        <w:rPr>
          <w:rFonts w:cs="BookAntiqua"/>
          <w:szCs w:val="26"/>
        </w:rPr>
        <w:t>against</w:t>
      </w:r>
      <w:r w:rsidR="00333A41">
        <w:rPr>
          <w:rFonts w:cs="BookAntiqua"/>
          <w:szCs w:val="26"/>
        </w:rPr>
        <w:t xml:space="preserve"> non-WAV response times, as</w:t>
      </w:r>
      <w:r w:rsidR="0070648D">
        <w:rPr>
          <w:rFonts w:cs="BookAntiqua"/>
          <w:szCs w:val="26"/>
        </w:rPr>
        <w:t xml:space="preserve"> </w:t>
      </w:r>
      <w:r w:rsidR="0056101C">
        <w:rPr>
          <w:rFonts w:cs="BookAntiqua"/>
          <w:szCs w:val="26"/>
        </w:rPr>
        <w:t xml:space="preserve">submitted by TNCs </w:t>
      </w:r>
      <w:r>
        <w:rPr>
          <w:rFonts w:cs="BookAntiqua"/>
          <w:szCs w:val="26"/>
        </w:rPr>
        <w:t>through th</w:t>
      </w:r>
      <w:r w:rsidR="00333A41">
        <w:rPr>
          <w:rFonts w:cs="BookAntiqua"/>
          <w:szCs w:val="26"/>
        </w:rPr>
        <w:t>e Annual TNC Reports</w:t>
      </w:r>
      <w:r w:rsidR="00B03B4E">
        <w:rPr>
          <w:rFonts w:cs="BookAntiqua"/>
          <w:szCs w:val="26"/>
        </w:rPr>
        <w:t xml:space="preserve">.  </w:t>
      </w:r>
      <w:r>
        <w:rPr>
          <w:rFonts w:cs="BookAntiqua"/>
          <w:szCs w:val="26"/>
        </w:rPr>
        <w:t xml:space="preserve">This analysis shall be provided </w:t>
      </w:r>
      <w:r w:rsidR="005F445D">
        <w:rPr>
          <w:rFonts w:cs="BookAntiqua"/>
          <w:szCs w:val="26"/>
        </w:rPr>
        <w:t xml:space="preserve">in </w:t>
      </w:r>
      <w:r w:rsidR="00403392">
        <w:rPr>
          <w:rFonts w:cs="BookAntiqua"/>
          <w:szCs w:val="26"/>
        </w:rPr>
        <w:t>CPED’s</w:t>
      </w:r>
      <w:r>
        <w:rPr>
          <w:rFonts w:cs="BookAntiqua"/>
          <w:szCs w:val="26"/>
        </w:rPr>
        <w:t xml:space="preserve"> </w:t>
      </w:r>
      <w:r w:rsidR="00ED0BBC">
        <w:rPr>
          <w:rFonts w:cs="BookAntiqua"/>
          <w:szCs w:val="26"/>
        </w:rPr>
        <w:t>Annual B</w:t>
      </w:r>
      <w:r w:rsidR="005F445D">
        <w:rPr>
          <w:rFonts w:cs="BookAntiqua"/>
          <w:szCs w:val="26"/>
        </w:rPr>
        <w:t>enchmark</w:t>
      </w:r>
      <w:r>
        <w:rPr>
          <w:rFonts w:cs="BookAntiqua"/>
          <w:szCs w:val="26"/>
        </w:rPr>
        <w:t xml:space="preserve"> </w:t>
      </w:r>
      <w:r w:rsidR="00ED0BBC">
        <w:rPr>
          <w:rFonts w:cs="BookAntiqua"/>
          <w:szCs w:val="26"/>
        </w:rPr>
        <w:t>R</w:t>
      </w:r>
      <w:r w:rsidR="005F445D">
        <w:rPr>
          <w:rFonts w:cs="BookAntiqua"/>
          <w:szCs w:val="26"/>
        </w:rPr>
        <w:t>eport.</w:t>
      </w:r>
    </w:p>
    <w:p w:rsidR="006C63B3" w:rsidP="00957902" w:rsidRDefault="00333A41" w14:paraId="13E83B3F" w14:textId="66CF5428">
      <w:pPr>
        <w:autoSpaceDE w:val="0"/>
        <w:autoSpaceDN w:val="0"/>
        <w:adjustRightInd w:val="0"/>
        <w:spacing w:line="360" w:lineRule="auto"/>
        <w:ind w:firstLine="720"/>
        <w:rPr>
          <w:rFonts w:cs="BookAntiqua"/>
          <w:szCs w:val="26"/>
        </w:rPr>
      </w:pPr>
      <w:r>
        <w:rPr>
          <w:rFonts w:cs="BookAntiqua"/>
          <w:szCs w:val="26"/>
        </w:rPr>
        <w:t>Lastly</w:t>
      </w:r>
      <w:r w:rsidR="00695DDC">
        <w:rPr>
          <w:rFonts w:cs="BookAntiqua"/>
          <w:szCs w:val="26"/>
        </w:rPr>
        <w:t>,</w:t>
      </w:r>
      <w:r w:rsidR="00B03B4E">
        <w:rPr>
          <w:rFonts w:cs="BookAntiqua"/>
          <w:szCs w:val="26"/>
        </w:rPr>
        <w:t xml:space="preserve"> </w:t>
      </w:r>
      <w:r>
        <w:rPr>
          <w:rFonts w:cs="BookAntiqua"/>
          <w:szCs w:val="26"/>
        </w:rPr>
        <w:t>i</w:t>
      </w:r>
      <w:r w:rsidR="004448A5">
        <w:rPr>
          <w:rFonts w:cs="BookAntiqua"/>
          <w:szCs w:val="26"/>
        </w:rPr>
        <w:t xml:space="preserve">n D.20-03-007, the Commission authorized CPED Staff to utilize an independent entity with expertise in accessible transportation to assist with completing the </w:t>
      </w:r>
      <w:r w:rsidR="00AC09C7">
        <w:rPr>
          <w:rFonts w:cs="BookAntiqua"/>
          <w:szCs w:val="26"/>
        </w:rPr>
        <w:t>L</w:t>
      </w:r>
      <w:r w:rsidR="004448A5">
        <w:rPr>
          <w:rFonts w:cs="BookAntiqua"/>
          <w:szCs w:val="26"/>
        </w:rPr>
        <w:t xml:space="preserve">egislative </w:t>
      </w:r>
      <w:r w:rsidR="00AC09C7">
        <w:rPr>
          <w:rFonts w:cs="BookAntiqua"/>
          <w:szCs w:val="26"/>
        </w:rPr>
        <w:t>R</w:t>
      </w:r>
      <w:r w:rsidR="004448A5">
        <w:rPr>
          <w:rFonts w:cs="BookAntiqua"/>
          <w:szCs w:val="26"/>
        </w:rPr>
        <w:t xml:space="preserve">eport due in </w:t>
      </w:r>
      <w:r w:rsidR="00BA07C6">
        <w:rPr>
          <w:rFonts w:cs="BookAntiqua"/>
          <w:szCs w:val="26"/>
        </w:rPr>
        <w:t xml:space="preserve">January </w:t>
      </w:r>
      <w:r w:rsidR="004448A5">
        <w:rPr>
          <w:rFonts w:cs="BookAntiqua"/>
          <w:szCs w:val="26"/>
        </w:rPr>
        <w:t>2024.</w:t>
      </w:r>
      <w:r w:rsidR="005F445D">
        <w:rPr>
          <w:rStyle w:val="FootnoteReference"/>
          <w:rFonts w:cs="BookAntiqua"/>
          <w:szCs w:val="26"/>
        </w:rPr>
        <w:footnoteReference w:id="92"/>
      </w:r>
      <w:r w:rsidR="004448A5">
        <w:rPr>
          <w:rFonts w:cs="BookAntiqua"/>
          <w:szCs w:val="26"/>
        </w:rPr>
        <w:t xml:space="preserve">  </w:t>
      </w:r>
      <w:r w:rsidR="005F445D">
        <w:rPr>
          <w:rFonts w:cs="BookAntiqua"/>
          <w:szCs w:val="26"/>
        </w:rPr>
        <w:t xml:space="preserve">It would </w:t>
      </w:r>
      <w:r w:rsidR="00403392">
        <w:rPr>
          <w:rFonts w:cs="BookAntiqua"/>
          <w:szCs w:val="26"/>
        </w:rPr>
        <w:t xml:space="preserve">also </w:t>
      </w:r>
      <w:r w:rsidR="005F445D">
        <w:rPr>
          <w:rFonts w:cs="BookAntiqua"/>
          <w:szCs w:val="26"/>
        </w:rPr>
        <w:t>be beneficial for CPED Staff to utilize this independent entity to assist</w:t>
      </w:r>
      <w:r>
        <w:rPr>
          <w:rFonts w:cs="BookAntiqua"/>
          <w:szCs w:val="26"/>
        </w:rPr>
        <w:t xml:space="preserve"> in evaluating the yearly benchmarks</w:t>
      </w:r>
      <w:r w:rsidR="005F445D">
        <w:rPr>
          <w:rFonts w:cs="BookAntiqua"/>
          <w:szCs w:val="26"/>
        </w:rPr>
        <w:t xml:space="preserve">.  Accordingly, </w:t>
      </w:r>
      <w:r w:rsidR="004448A5">
        <w:rPr>
          <w:rFonts w:cs="BookAntiqua"/>
          <w:szCs w:val="26"/>
        </w:rPr>
        <w:t xml:space="preserve">CPED Staff </w:t>
      </w:r>
      <w:r w:rsidR="005F445D">
        <w:rPr>
          <w:rFonts w:cs="BookAntiqua"/>
          <w:szCs w:val="26"/>
        </w:rPr>
        <w:t>is authorized to</w:t>
      </w:r>
      <w:r w:rsidR="004448A5">
        <w:rPr>
          <w:rFonts w:cs="BookAntiqua"/>
          <w:szCs w:val="26"/>
        </w:rPr>
        <w:t xml:space="preserve"> </w:t>
      </w:r>
      <w:r w:rsidR="00695DDC">
        <w:rPr>
          <w:rFonts w:cs="BookAntiqua"/>
          <w:szCs w:val="26"/>
        </w:rPr>
        <w:t>use</w:t>
      </w:r>
      <w:r w:rsidR="004448A5">
        <w:rPr>
          <w:rFonts w:cs="BookAntiqua"/>
          <w:szCs w:val="26"/>
        </w:rPr>
        <w:t xml:space="preserve"> the same independent entity to assist with evaluating the yearly benchmarks. </w:t>
      </w:r>
    </w:p>
    <w:p w:rsidRPr="004045F7" w:rsidR="004045F7" w:rsidP="00224875" w:rsidRDefault="00B03B4E" w14:paraId="5D614E72" w14:textId="4DC8AA38">
      <w:pPr>
        <w:pStyle w:val="Heading2"/>
        <w:keepLines/>
        <w:numPr>
          <w:ilvl w:val="1"/>
          <w:numId w:val="1"/>
        </w:numPr>
        <w:tabs>
          <w:tab w:val="num" w:pos="1080"/>
        </w:tabs>
        <w:spacing w:before="0"/>
        <w:ind w:left="1080" w:right="2160" w:hanging="720"/>
      </w:pPr>
      <w:bookmarkStart w:name="_Toc65585473" w:id="40"/>
      <w:r>
        <w:t>Legislative</w:t>
      </w:r>
      <w:r w:rsidR="004045F7">
        <w:t xml:space="preserve"> Report</w:t>
      </w:r>
      <w:bookmarkEnd w:id="40"/>
    </w:p>
    <w:p w:rsidR="008C72FA" w:rsidP="004045F7" w:rsidRDefault="00226AEB" w14:paraId="3F66F6FA" w14:textId="0D07C801">
      <w:pPr>
        <w:autoSpaceDE w:val="0"/>
        <w:autoSpaceDN w:val="0"/>
        <w:adjustRightInd w:val="0"/>
        <w:spacing w:line="360" w:lineRule="auto"/>
        <w:ind w:firstLine="720"/>
        <w:rPr>
          <w:rFonts w:cs="BookAntiqua"/>
          <w:szCs w:val="26"/>
        </w:rPr>
      </w:pPr>
      <w:r w:rsidRPr="004045F7">
        <w:rPr>
          <w:rFonts w:cs="BookAntiqua"/>
          <w:szCs w:val="26"/>
        </w:rPr>
        <w:t xml:space="preserve">Pub. Util. Code </w:t>
      </w:r>
      <w:r w:rsidRPr="004045F7">
        <w:rPr>
          <w:rFonts w:cs="Calibri"/>
          <w:szCs w:val="26"/>
        </w:rPr>
        <w:t xml:space="preserve">§ </w:t>
      </w:r>
      <w:r w:rsidRPr="004045F7">
        <w:rPr>
          <w:rFonts w:cs="BookAntiqua"/>
          <w:szCs w:val="26"/>
        </w:rPr>
        <w:t>5440.5(a)(2)(A)</w:t>
      </w:r>
      <w:r w:rsidR="004045F7">
        <w:rPr>
          <w:rFonts w:cs="BookAntiqua"/>
          <w:szCs w:val="26"/>
        </w:rPr>
        <w:t xml:space="preserve"> </w:t>
      </w:r>
      <w:r w:rsidR="008C72FA">
        <w:rPr>
          <w:rFonts w:cs="BookAntiqua"/>
          <w:szCs w:val="26"/>
        </w:rPr>
        <w:t>provides that</w:t>
      </w:r>
      <w:r w:rsidR="004045F7">
        <w:rPr>
          <w:rFonts w:cs="BookAntiqua"/>
          <w:szCs w:val="26"/>
        </w:rPr>
        <w:t xml:space="preserve"> </w:t>
      </w:r>
      <w:r w:rsidR="008C72FA">
        <w:rPr>
          <w:rFonts w:cs="BookAntiqua"/>
          <w:szCs w:val="26"/>
        </w:rPr>
        <w:t>the Commission shall:</w:t>
      </w:r>
    </w:p>
    <w:p w:rsidR="008C72FA" w:rsidP="005C4794" w:rsidRDefault="008C72FA" w14:paraId="72689C7E" w14:textId="178407B5">
      <w:pPr>
        <w:autoSpaceDE w:val="0"/>
        <w:autoSpaceDN w:val="0"/>
        <w:adjustRightInd w:val="0"/>
        <w:ind w:left="720" w:right="1440"/>
        <w:rPr>
          <w:rFonts w:cs="BookAntiqua"/>
          <w:szCs w:val="26"/>
        </w:rPr>
      </w:pPr>
      <w:r>
        <w:rPr>
          <w:rFonts w:cs="BookAntiqua"/>
          <w:szCs w:val="26"/>
        </w:rPr>
        <w:t>R</w:t>
      </w:r>
      <w:r w:rsidR="004045F7">
        <w:rPr>
          <w:rFonts w:cs="BookAntiqua"/>
          <w:szCs w:val="26"/>
        </w:rPr>
        <w:t xml:space="preserve">eport to the Legislature </w:t>
      </w:r>
      <w:r>
        <w:rPr>
          <w:rFonts w:cs="BookAntiqua"/>
          <w:szCs w:val="26"/>
        </w:rPr>
        <w:t xml:space="preserve">by January 1, 2024, </w:t>
      </w:r>
      <w:r w:rsidR="004045F7">
        <w:rPr>
          <w:rFonts w:cs="BookAntiqua"/>
          <w:szCs w:val="26"/>
        </w:rPr>
        <w:t xml:space="preserve">on compliance with the </w:t>
      </w:r>
      <w:r>
        <w:rPr>
          <w:rFonts w:cs="BookAntiqua"/>
          <w:szCs w:val="26"/>
        </w:rPr>
        <w:t>section and on the effectiveness of the on-demand transportation programs or partnerships funded pursuant to the section.</w:t>
      </w:r>
    </w:p>
    <w:p w:rsidR="008C72FA" w:rsidP="00FA0F04" w:rsidRDefault="008C72FA" w14:paraId="229E570A" w14:textId="4F33F67D">
      <w:pPr>
        <w:autoSpaceDE w:val="0"/>
        <w:autoSpaceDN w:val="0"/>
        <w:adjustRightInd w:val="0"/>
        <w:spacing w:before="240" w:after="240"/>
        <w:ind w:firstLine="720"/>
        <w:rPr>
          <w:rFonts w:cs="BookAntiqua"/>
          <w:szCs w:val="26"/>
        </w:rPr>
      </w:pPr>
      <w:r>
        <w:rPr>
          <w:rFonts w:cs="BookAntiqua"/>
          <w:szCs w:val="26"/>
        </w:rPr>
        <w:lastRenderedPageBreak/>
        <w:t>The report is to include, but not be limited to, all of the following:</w:t>
      </w:r>
    </w:p>
    <w:p w:rsidR="008C72FA" w:rsidP="00E27280" w:rsidRDefault="008C72FA" w14:paraId="07760744" w14:textId="7F3FC19C">
      <w:pPr>
        <w:pStyle w:val="ListParagraph"/>
        <w:numPr>
          <w:ilvl w:val="0"/>
          <w:numId w:val="14"/>
        </w:numPr>
        <w:autoSpaceDE w:val="0"/>
        <w:autoSpaceDN w:val="0"/>
        <w:adjustRightInd w:val="0"/>
        <w:spacing w:after="120"/>
        <w:ind w:left="1627" w:right="1440" w:hanging="547"/>
        <w:rPr>
          <w:rFonts w:cs="BookAntiqua"/>
          <w:szCs w:val="26"/>
        </w:rPr>
      </w:pPr>
      <w:r>
        <w:rPr>
          <w:rFonts w:cs="BookAntiqua"/>
          <w:szCs w:val="26"/>
        </w:rPr>
        <w:t>A study on the demand of WAVs, including demand according to time of day and geographic area.</w:t>
      </w:r>
    </w:p>
    <w:p w:rsidR="008C72FA" w:rsidP="00E27280" w:rsidRDefault="008C72FA" w14:paraId="4BF36D3D" w14:textId="249ADE24">
      <w:pPr>
        <w:pStyle w:val="ListParagraph"/>
        <w:numPr>
          <w:ilvl w:val="0"/>
          <w:numId w:val="14"/>
        </w:numPr>
        <w:autoSpaceDE w:val="0"/>
        <w:autoSpaceDN w:val="0"/>
        <w:adjustRightInd w:val="0"/>
        <w:spacing w:after="120"/>
        <w:ind w:left="1627" w:right="1440" w:hanging="547"/>
        <w:rPr>
          <w:rFonts w:cs="BookAntiqua"/>
          <w:szCs w:val="26"/>
        </w:rPr>
      </w:pPr>
      <w:r>
        <w:rPr>
          <w:rFonts w:cs="BookAntiqua"/>
          <w:szCs w:val="26"/>
        </w:rPr>
        <w:t>An analysis of the reports required to be submitted by access providers receiving funding pursuant to paragraph (1).</w:t>
      </w:r>
    </w:p>
    <w:p w:rsidR="008C72FA" w:rsidP="00E27280" w:rsidRDefault="008C72FA" w14:paraId="12186217" w14:textId="4168B8CB">
      <w:pPr>
        <w:pStyle w:val="ListParagraph"/>
        <w:numPr>
          <w:ilvl w:val="0"/>
          <w:numId w:val="14"/>
        </w:numPr>
        <w:autoSpaceDE w:val="0"/>
        <w:autoSpaceDN w:val="0"/>
        <w:adjustRightInd w:val="0"/>
        <w:spacing w:after="120"/>
        <w:ind w:left="1627" w:right="1440" w:hanging="547"/>
        <w:rPr>
          <w:rFonts w:cs="BookAntiqua"/>
          <w:szCs w:val="26"/>
        </w:rPr>
      </w:pPr>
      <w:r>
        <w:rPr>
          <w:rFonts w:cs="BookAntiqua"/>
          <w:szCs w:val="26"/>
        </w:rPr>
        <w:t>The availability of unallocated funds in the Access Fund, including the need to reassess Access Fund allocations.</w:t>
      </w:r>
    </w:p>
    <w:p w:rsidRPr="008C72FA" w:rsidR="008C72FA" w:rsidP="00E27280" w:rsidRDefault="008C72FA" w14:paraId="698623EA" w14:textId="7DE8D54E">
      <w:pPr>
        <w:pStyle w:val="ListParagraph"/>
        <w:numPr>
          <w:ilvl w:val="0"/>
          <w:numId w:val="14"/>
        </w:numPr>
        <w:autoSpaceDE w:val="0"/>
        <w:autoSpaceDN w:val="0"/>
        <w:adjustRightInd w:val="0"/>
        <w:spacing w:after="120"/>
        <w:ind w:left="1627" w:right="1440" w:hanging="547"/>
        <w:rPr>
          <w:rFonts w:cs="BookAntiqua"/>
          <w:szCs w:val="26"/>
        </w:rPr>
      </w:pPr>
      <w:r>
        <w:rPr>
          <w:rFonts w:cs="BookAntiqua"/>
          <w:szCs w:val="26"/>
        </w:rPr>
        <w:t>An analysis of current program capabilities and deficiencies, and recommendations to overcome any identified deficiencies.</w:t>
      </w:r>
    </w:p>
    <w:p w:rsidR="00D02F2F" w:rsidP="00D02F2F" w:rsidRDefault="00A87BFF" w14:paraId="5D3788DD" w14:textId="77777777">
      <w:pPr>
        <w:autoSpaceDE w:val="0"/>
        <w:autoSpaceDN w:val="0"/>
        <w:adjustRightInd w:val="0"/>
        <w:spacing w:line="360" w:lineRule="auto"/>
        <w:ind w:firstLine="720"/>
        <w:rPr>
          <w:rFonts w:cs="BookAntiqua"/>
          <w:szCs w:val="26"/>
        </w:rPr>
      </w:pPr>
      <w:r>
        <w:rPr>
          <w:rFonts w:cs="BookAntiqua"/>
          <w:szCs w:val="26"/>
        </w:rPr>
        <w:t xml:space="preserve">We </w:t>
      </w:r>
      <w:r w:rsidR="00D02F2F">
        <w:rPr>
          <w:rFonts w:cs="BookAntiqua"/>
          <w:szCs w:val="26"/>
        </w:rPr>
        <w:t xml:space="preserve">next </w:t>
      </w:r>
      <w:r>
        <w:rPr>
          <w:rFonts w:cs="BookAntiqua"/>
          <w:szCs w:val="26"/>
        </w:rPr>
        <w:t xml:space="preserve">consider what </w:t>
      </w:r>
      <w:r w:rsidR="00B03B4E">
        <w:rPr>
          <w:rFonts w:cs="BookAntiqua"/>
          <w:szCs w:val="26"/>
        </w:rPr>
        <w:t>information should</w:t>
      </w:r>
      <w:r>
        <w:rPr>
          <w:rFonts w:cs="BookAntiqua"/>
          <w:szCs w:val="26"/>
        </w:rPr>
        <w:t xml:space="preserve"> be included in the 2024 report.  </w:t>
      </w:r>
    </w:p>
    <w:p w:rsidR="00403392" w:rsidP="00D02F2F" w:rsidRDefault="00A87BFF" w14:paraId="74E3CD28" w14:textId="09CD91D2">
      <w:pPr>
        <w:autoSpaceDE w:val="0"/>
        <w:autoSpaceDN w:val="0"/>
        <w:adjustRightInd w:val="0"/>
        <w:spacing w:line="360" w:lineRule="auto"/>
        <w:ind w:firstLine="720"/>
        <w:rPr>
          <w:rFonts w:cs="BookAntiqua"/>
          <w:szCs w:val="26"/>
        </w:rPr>
      </w:pPr>
      <w:r>
        <w:rPr>
          <w:rFonts w:cs="BookAntiqua"/>
          <w:szCs w:val="26"/>
        </w:rPr>
        <w:t>Uber recommends that</w:t>
      </w:r>
      <w:r w:rsidR="00D02F2F">
        <w:rPr>
          <w:rFonts w:cs="BookAntiqua"/>
          <w:szCs w:val="26"/>
        </w:rPr>
        <w:t>,</w:t>
      </w:r>
      <w:r>
        <w:rPr>
          <w:rFonts w:cs="BookAntiqua"/>
          <w:szCs w:val="26"/>
        </w:rPr>
        <w:t xml:space="preserve"> in addition to the information </w:t>
      </w:r>
      <w:r w:rsidR="00D02F2F">
        <w:rPr>
          <w:rFonts w:cs="BookAntiqua"/>
          <w:szCs w:val="26"/>
        </w:rPr>
        <w:t xml:space="preserve">required by </w:t>
      </w:r>
      <w:r w:rsidRPr="00D02F2F" w:rsidR="00D02F2F">
        <w:rPr>
          <w:rFonts w:cs="BookAntiqua"/>
          <w:szCs w:val="26"/>
        </w:rPr>
        <w:t>§</w:t>
      </w:r>
      <w:r w:rsidR="005C4794">
        <w:rPr>
          <w:rFonts w:cs="BookAntiqua"/>
          <w:szCs w:val="26"/>
        </w:rPr>
        <w:t> </w:t>
      </w:r>
      <w:r w:rsidR="00D02F2F">
        <w:rPr>
          <w:rFonts w:cs="BookAntiqua"/>
          <w:szCs w:val="26"/>
        </w:rPr>
        <w:t>5440.5(a)(2)(A),</w:t>
      </w:r>
      <w:r>
        <w:rPr>
          <w:rFonts w:cs="BookAntiqua"/>
          <w:szCs w:val="26"/>
        </w:rPr>
        <w:t xml:space="preserve"> the report should include: </w:t>
      </w:r>
      <w:r w:rsidR="00542F63">
        <w:rPr>
          <w:rFonts w:cs="BookAntiqua"/>
          <w:szCs w:val="26"/>
        </w:rPr>
        <w:t xml:space="preserve"> </w:t>
      </w:r>
      <w:r>
        <w:rPr>
          <w:rFonts w:cs="BookAntiqua"/>
          <w:szCs w:val="26"/>
        </w:rPr>
        <w:t xml:space="preserve">(1) number of completed WAV trips over the </w:t>
      </w:r>
      <w:r w:rsidR="00403392">
        <w:rPr>
          <w:rFonts w:cs="BookAntiqua"/>
          <w:szCs w:val="26"/>
        </w:rPr>
        <w:t xml:space="preserve">program’s </w:t>
      </w:r>
      <w:r>
        <w:rPr>
          <w:rFonts w:cs="BookAntiqua"/>
          <w:szCs w:val="26"/>
        </w:rPr>
        <w:t>life, (2) number of unique riders that used a WAV ride over the program</w:t>
      </w:r>
      <w:r w:rsidR="00403392">
        <w:rPr>
          <w:rFonts w:cs="BookAntiqua"/>
          <w:szCs w:val="26"/>
        </w:rPr>
        <w:t>’s life</w:t>
      </w:r>
      <w:r>
        <w:rPr>
          <w:rFonts w:cs="BookAntiqua"/>
          <w:szCs w:val="26"/>
        </w:rPr>
        <w:t>, and (3) service territory covered.</w:t>
      </w:r>
      <w:r>
        <w:rPr>
          <w:rStyle w:val="FootnoteReference"/>
          <w:rFonts w:cs="BookAntiqua"/>
          <w:szCs w:val="26"/>
        </w:rPr>
        <w:footnoteReference w:id="93"/>
      </w:r>
      <w:r w:rsidR="00B03B4E">
        <w:rPr>
          <w:rFonts w:cs="BookAntiqua"/>
          <w:szCs w:val="26"/>
        </w:rPr>
        <w:t xml:space="preserve">  </w:t>
      </w:r>
      <w:r w:rsidR="00D02F2F">
        <w:rPr>
          <w:rFonts w:cs="BookAntiqua"/>
          <w:szCs w:val="26"/>
        </w:rPr>
        <w:t>Disability Advocates</w:t>
      </w:r>
      <w:r>
        <w:rPr>
          <w:rFonts w:cs="BookAntiqua"/>
          <w:szCs w:val="26"/>
        </w:rPr>
        <w:t xml:space="preserve"> and </w:t>
      </w:r>
      <w:r w:rsidR="00D02F2F">
        <w:rPr>
          <w:rFonts w:cs="BookAntiqua"/>
          <w:szCs w:val="26"/>
        </w:rPr>
        <w:t>San Francisco</w:t>
      </w:r>
      <w:r>
        <w:rPr>
          <w:rFonts w:cs="BookAntiqua"/>
          <w:szCs w:val="26"/>
        </w:rPr>
        <w:t xml:space="preserve"> propose that the</w:t>
      </w:r>
      <w:r w:rsidR="004045F7">
        <w:rPr>
          <w:rFonts w:cs="BookAntiqua"/>
          <w:szCs w:val="26"/>
        </w:rPr>
        <w:t xml:space="preserve"> </w:t>
      </w:r>
      <w:r>
        <w:rPr>
          <w:rFonts w:cs="BookAntiqua"/>
          <w:szCs w:val="26"/>
        </w:rPr>
        <w:t xml:space="preserve">report include </w:t>
      </w:r>
      <w:r w:rsidR="004045F7">
        <w:rPr>
          <w:rFonts w:cs="BookAntiqua"/>
          <w:szCs w:val="26"/>
        </w:rPr>
        <w:t xml:space="preserve">an analysis of </w:t>
      </w:r>
      <w:r w:rsidR="00403392">
        <w:rPr>
          <w:rFonts w:cs="BookAntiqua"/>
          <w:szCs w:val="26"/>
        </w:rPr>
        <w:t>all</w:t>
      </w:r>
      <w:r>
        <w:rPr>
          <w:rFonts w:cs="BookAntiqua"/>
          <w:szCs w:val="26"/>
        </w:rPr>
        <w:t xml:space="preserve"> collected metrics over time, </w:t>
      </w:r>
      <w:r w:rsidR="00723547">
        <w:rPr>
          <w:rFonts w:cs="BookAntiqua"/>
          <w:szCs w:val="26"/>
        </w:rPr>
        <w:t>and</w:t>
      </w:r>
      <w:r>
        <w:rPr>
          <w:rFonts w:cs="BookAntiqua"/>
          <w:szCs w:val="26"/>
        </w:rPr>
        <w:t xml:space="preserve"> </w:t>
      </w:r>
      <w:r w:rsidR="00D02F2F">
        <w:rPr>
          <w:rFonts w:cs="BookAntiqua"/>
          <w:szCs w:val="26"/>
        </w:rPr>
        <w:t>San Francisco</w:t>
      </w:r>
      <w:r>
        <w:rPr>
          <w:rFonts w:cs="BookAntiqua"/>
          <w:szCs w:val="26"/>
        </w:rPr>
        <w:t xml:space="preserve"> suggest</w:t>
      </w:r>
      <w:r w:rsidR="00723547">
        <w:rPr>
          <w:rFonts w:cs="BookAntiqua"/>
          <w:szCs w:val="26"/>
        </w:rPr>
        <w:t>s</w:t>
      </w:r>
      <w:r w:rsidR="00D02F2F">
        <w:rPr>
          <w:rFonts w:cs="BookAntiqua"/>
          <w:szCs w:val="26"/>
        </w:rPr>
        <w:t xml:space="preserve"> a comparison of</w:t>
      </w:r>
      <w:r>
        <w:rPr>
          <w:rFonts w:cs="BookAntiqua"/>
          <w:szCs w:val="26"/>
        </w:rPr>
        <w:t xml:space="preserve"> </w:t>
      </w:r>
      <w:r w:rsidR="00723547">
        <w:rPr>
          <w:rFonts w:cs="BookAntiqua"/>
          <w:szCs w:val="26"/>
        </w:rPr>
        <w:t xml:space="preserve">WAV versus non-WAV </w:t>
      </w:r>
      <w:r>
        <w:rPr>
          <w:rFonts w:cs="BookAntiqua"/>
          <w:szCs w:val="26"/>
        </w:rPr>
        <w:t>performance</w:t>
      </w:r>
      <w:r w:rsidR="00344D62">
        <w:rPr>
          <w:rFonts w:cs="BookAntiqua"/>
          <w:szCs w:val="26"/>
        </w:rPr>
        <w:t>.</w:t>
      </w:r>
      <w:r w:rsidR="00344D62">
        <w:rPr>
          <w:rStyle w:val="FootnoteReference"/>
          <w:rFonts w:cs="BookAntiqua"/>
          <w:szCs w:val="26"/>
        </w:rPr>
        <w:footnoteReference w:id="94"/>
      </w:r>
      <w:r>
        <w:rPr>
          <w:rFonts w:cs="BookAntiqua"/>
          <w:szCs w:val="26"/>
        </w:rPr>
        <w:t xml:space="preserve">  </w:t>
      </w:r>
      <w:r w:rsidR="00D02F2F">
        <w:rPr>
          <w:rFonts w:cs="BookAntiqua"/>
          <w:szCs w:val="26"/>
        </w:rPr>
        <w:t>Disability Advocates</w:t>
      </w:r>
      <w:r>
        <w:rPr>
          <w:rFonts w:cs="BookAntiqua"/>
          <w:szCs w:val="26"/>
        </w:rPr>
        <w:t xml:space="preserve"> recommend the report include a survey of WAV </w:t>
      </w:r>
      <w:r w:rsidR="00D02F2F">
        <w:rPr>
          <w:rFonts w:cs="BookAntiqua"/>
          <w:szCs w:val="26"/>
        </w:rPr>
        <w:t xml:space="preserve">riders, including </w:t>
      </w:r>
      <w:r>
        <w:rPr>
          <w:rFonts w:cs="BookAntiqua"/>
          <w:szCs w:val="26"/>
        </w:rPr>
        <w:t>ability to obtain rides and factors related to WAV service.  Marin Transit</w:t>
      </w:r>
      <w:r w:rsidR="00786682">
        <w:rPr>
          <w:rFonts w:cs="BookAntiqua"/>
          <w:szCs w:val="26"/>
        </w:rPr>
        <w:t xml:space="preserve"> states </w:t>
      </w:r>
      <w:r w:rsidR="00D02F2F">
        <w:rPr>
          <w:rFonts w:cs="BookAntiqua"/>
          <w:szCs w:val="26"/>
        </w:rPr>
        <w:t xml:space="preserve">that </w:t>
      </w:r>
      <w:r w:rsidR="00786682">
        <w:rPr>
          <w:rFonts w:cs="BookAntiqua"/>
          <w:szCs w:val="26"/>
        </w:rPr>
        <w:t xml:space="preserve">the report should </w:t>
      </w:r>
      <w:r w:rsidR="00D02F2F">
        <w:rPr>
          <w:rFonts w:cs="BookAntiqua"/>
          <w:szCs w:val="26"/>
        </w:rPr>
        <w:t>show</w:t>
      </w:r>
      <w:r w:rsidR="00786682">
        <w:rPr>
          <w:rFonts w:cs="BookAntiqua"/>
          <w:szCs w:val="26"/>
        </w:rPr>
        <w:t xml:space="preserve"> stakeholder</w:t>
      </w:r>
      <w:r w:rsidR="00D02F2F">
        <w:rPr>
          <w:rFonts w:cs="BookAntiqua"/>
          <w:szCs w:val="26"/>
        </w:rPr>
        <w:t xml:space="preserve"> engagement</w:t>
      </w:r>
      <w:r w:rsidR="00786682">
        <w:rPr>
          <w:rFonts w:cs="BookAntiqua"/>
          <w:szCs w:val="26"/>
        </w:rPr>
        <w:t xml:space="preserve"> </w:t>
      </w:r>
      <w:r w:rsidR="00025D84">
        <w:rPr>
          <w:rFonts w:cs="BookAntiqua"/>
          <w:szCs w:val="26"/>
        </w:rPr>
        <w:t>and investments have meaningfully impacted WAV riders</w:t>
      </w:r>
      <w:r w:rsidR="00786682">
        <w:rPr>
          <w:rFonts w:cs="BookAntiqua"/>
          <w:szCs w:val="26"/>
        </w:rPr>
        <w:t>.</w:t>
      </w:r>
      <w:r w:rsidR="00786682">
        <w:rPr>
          <w:rStyle w:val="FootnoteReference"/>
          <w:rFonts w:cs="BookAntiqua"/>
          <w:szCs w:val="26"/>
        </w:rPr>
        <w:footnoteReference w:id="95"/>
      </w:r>
      <w:r w:rsidR="00D02F2F">
        <w:rPr>
          <w:rFonts w:cs="BookAntiqua"/>
          <w:szCs w:val="26"/>
        </w:rPr>
        <w:t xml:space="preserve">  </w:t>
      </w:r>
    </w:p>
    <w:p w:rsidR="00A87BFF" w:rsidP="00D02F2F" w:rsidRDefault="00A87BFF" w14:paraId="1024C031" w14:textId="4260A54D">
      <w:pPr>
        <w:autoSpaceDE w:val="0"/>
        <w:autoSpaceDN w:val="0"/>
        <w:adjustRightInd w:val="0"/>
        <w:spacing w:line="360" w:lineRule="auto"/>
        <w:ind w:firstLine="720"/>
        <w:rPr>
          <w:rFonts w:cs="BookAntiqua"/>
          <w:szCs w:val="26"/>
        </w:rPr>
      </w:pPr>
      <w:r>
        <w:rPr>
          <w:rFonts w:cs="BookAntiqua"/>
          <w:szCs w:val="26"/>
        </w:rPr>
        <w:lastRenderedPageBreak/>
        <w:t xml:space="preserve">Lyft suggests that prior to submitting </w:t>
      </w:r>
      <w:r w:rsidR="007420AA">
        <w:rPr>
          <w:rFonts w:cs="BookAntiqua"/>
          <w:szCs w:val="26"/>
        </w:rPr>
        <w:t>the</w:t>
      </w:r>
      <w:r>
        <w:rPr>
          <w:rFonts w:cs="BookAntiqua"/>
          <w:szCs w:val="26"/>
        </w:rPr>
        <w:t xml:space="preserve"> report to the Legislature, </w:t>
      </w:r>
      <w:r w:rsidR="007420AA">
        <w:rPr>
          <w:rFonts w:cs="BookAntiqua"/>
          <w:szCs w:val="26"/>
        </w:rPr>
        <w:t>parties have an opportunity to</w:t>
      </w:r>
      <w:r>
        <w:rPr>
          <w:rFonts w:cs="BookAntiqua"/>
          <w:szCs w:val="26"/>
        </w:rPr>
        <w:t xml:space="preserve"> comment and propose modifications.</w:t>
      </w:r>
      <w:r>
        <w:rPr>
          <w:rStyle w:val="FootnoteReference"/>
          <w:rFonts w:cs="BookAntiqua"/>
          <w:szCs w:val="26"/>
        </w:rPr>
        <w:footnoteReference w:id="96"/>
      </w:r>
      <w:r>
        <w:rPr>
          <w:rFonts w:cs="BookAntiqua"/>
          <w:szCs w:val="26"/>
        </w:rPr>
        <w:t xml:space="preserve">  </w:t>
      </w:r>
      <w:r w:rsidR="007420AA">
        <w:rPr>
          <w:rFonts w:cs="BookAntiqua"/>
          <w:szCs w:val="26"/>
        </w:rPr>
        <w:t>Disability Advocates</w:t>
      </w:r>
      <w:r>
        <w:rPr>
          <w:rFonts w:cs="BookAntiqua"/>
          <w:szCs w:val="26"/>
        </w:rPr>
        <w:t xml:space="preserve"> </w:t>
      </w:r>
      <w:r w:rsidR="00B03B4E">
        <w:rPr>
          <w:rFonts w:cs="BookAntiqua"/>
          <w:szCs w:val="26"/>
        </w:rPr>
        <w:t>object to Lyft</w:t>
      </w:r>
      <w:r w:rsidR="00023798">
        <w:rPr>
          <w:rFonts w:cs="BookAntiqua"/>
          <w:szCs w:val="26"/>
        </w:rPr>
        <w:t>’s proposal</w:t>
      </w:r>
      <w:r w:rsidR="007420AA">
        <w:rPr>
          <w:rFonts w:cs="BookAntiqua"/>
          <w:szCs w:val="26"/>
        </w:rPr>
        <w:t>, stating</w:t>
      </w:r>
      <w:r w:rsidR="00B03B4E">
        <w:rPr>
          <w:rFonts w:cs="BookAntiqua"/>
          <w:szCs w:val="26"/>
        </w:rPr>
        <w:t xml:space="preserve"> that</w:t>
      </w:r>
      <w:r>
        <w:rPr>
          <w:rFonts w:cs="BookAntiqua"/>
          <w:szCs w:val="26"/>
        </w:rPr>
        <w:t xml:space="preserve"> </w:t>
      </w:r>
      <w:r w:rsidR="007420AA">
        <w:rPr>
          <w:rFonts w:cs="BookAntiqua"/>
          <w:szCs w:val="26"/>
        </w:rPr>
        <w:t>the process</w:t>
      </w:r>
      <w:r>
        <w:rPr>
          <w:rFonts w:cs="BookAntiqua"/>
          <w:szCs w:val="26"/>
        </w:rPr>
        <w:t xml:space="preserve"> risks “unduly politicizing what should be a neutral report from staff regarding their findings.”</w:t>
      </w:r>
      <w:r>
        <w:rPr>
          <w:rStyle w:val="FootnoteReference"/>
          <w:rFonts w:cs="BookAntiqua"/>
          <w:szCs w:val="26"/>
        </w:rPr>
        <w:footnoteReference w:id="97"/>
      </w:r>
    </w:p>
    <w:p w:rsidR="00B83433" w:rsidP="00B83433" w:rsidRDefault="003C6A67" w14:paraId="25F7AD46" w14:textId="300F98A3">
      <w:pPr>
        <w:autoSpaceDE w:val="0"/>
        <w:autoSpaceDN w:val="0"/>
        <w:adjustRightInd w:val="0"/>
        <w:spacing w:line="360" w:lineRule="auto"/>
        <w:ind w:firstLine="720"/>
        <w:rPr>
          <w:rFonts w:cs="BookAntiqua"/>
          <w:szCs w:val="26"/>
        </w:rPr>
      </w:pPr>
      <w:r>
        <w:rPr>
          <w:rFonts w:cs="BookAntiqua"/>
          <w:szCs w:val="26"/>
        </w:rPr>
        <w:t>We</w:t>
      </w:r>
      <w:r w:rsidR="007420AA">
        <w:rPr>
          <w:rFonts w:cs="BookAntiqua"/>
          <w:szCs w:val="26"/>
        </w:rPr>
        <w:t xml:space="preserve"> </w:t>
      </w:r>
      <w:r>
        <w:rPr>
          <w:rFonts w:cs="BookAntiqua"/>
          <w:szCs w:val="26"/>
        </w:rPr>
        <w:t>agree</w:t>
      </w:r>
      <w:r w:rsidR="007420AA">
        <w:rPr>
          <w:rFonts w:cs="BookAntiqua"/>
          <w:szCs w:val="26"/>
        </w:rPr>
        <w:t xml:space="preserve"> </w:t>
      </w:r>
      <w:r w:rsidR="00403392">
        <w:rPr>
          <w:rFonts w:cs="BookAntiqua"/>
          <w:szCs w:val="26"/>
        </w:rPr>
        <w:t xml:space="preserve">that </w:t>
      </w:r>
      <w:r w:rsidR="007420AA">
        <w:rPr>
          <w:rFonts w:cs="BookAntiqua"/>
          <w:szCs w:val="26"/>
        </w:rPr>
        <w:t xml:space="preserve">the 2024 Legislative </w:t>
      </w:r>
      <w:r w:rsidR="00AC09C7">
        <w:rPr>
          <w:rFonts w:cs="BookAntiqua"/>
          <w:szCs w:val="26"/>
        </w:rPr>
        <w:t>R</w:t>
      </w:r>
      <w:r w:rsidR="007420AA">
        <w:rPr>
          <w:rFonts w:cs="BookAntiqua"/>
          <w:szCs w:val="26"/>
        </w:rPr>
        <w:t>eport should include an analysis of the various metrics collected over the life of the program, including metrics from the Quarterly Reports, Offset Requests</w:t>
      </w:r>
      <w:r w:rsidR="00023798">
        <w:rPr>
          <w:rFonts w:cs="BookAntiqua"/>
          <w:szCs w:val="26"/>
        </w:rPr>
        <w:t>,</w:t>
      </w:r>
      <w:r w:rsidR="007420AA">
        <w:rPr>
          <w:rFonts w:cs="BookAntiqua"/>
          <w:szCs w:val="26"/>
        </w:rPr>
        <w:t xml:space="preserve"> and Exemption Requests.</w:t>
      </w:r>
      <w:r w:rsidR="002557BE">
        <w:rPr>
          <w:rFonts w:cs="BookAntiqua"/>
          <w:szCs w:val="26"/>
        </w:rPr>
        <w:t xml:space="preserve"> </w:t>
      </w:r>
      <w:r w:rsidR="007420AA">
        <w:rPr>
          <w:rFonts w:cs="BookAntiqua"/>
          <w:szCs w:val="26"/>
        </w:rPr>
        <w:t xml:space="preserve"> </w:t>
      </w:r>
      <w:r>
        <w:rPr>
          <w:rFonts w:cs="BookAntiqua"/>
          <w:szCs w:val="26"/>
        </w:rPr>
        <w:t xml:space="preserve">This </w:t>
      </w:r>
      <w:r w:rsidR="00B83433">
        <w:rPr>
          <w:rFonts w:cs="BookAntiqua"/>
          <w:szCs w:val="26"/>
        </w:rPr>
        <w:t>information is</w:t>
      </w:r>
      <w:r>
        <w:rPr>
          <w:rFonts w:cs="BookAntiqua"/>
          <w:szCs w:val="26"/>
        </w:rPr>
        <w:t xml:space="preserve"> in addition to the information required in </w:t>
      </w:r>
      <w:r w:rsidRPr="004045F7">
        <w:rPr>
          <w:rFonts w:cs="Calibri"/>
          <w:szCs w:val="26"/>
        </w:rPr>
        <w:t xml:space="preserve">§ </w:t>
      </w:r>
      <w:r w:rsidRPr="004045F7">
        <w:rPr>
          <w:rFonts w:cs="BookAntiqua"/>
          <w:szCs w:val="26"/>
        </w:rPr>
        <w:t>5440.5(a)(2)(A)</w:t>
      </w:r>
      <w:r>
        <w:rPr>
          <w:rFonts w:cs="BookAntiqua"/>
          <w:szCs w:val="26"/>
        </w:rPr>
        <w:t xml:space="preserve"> above.  </w:t>
      </w:r>
      <w:r w:rsidR="007420AA">
        <w:rPr>
          <w:rFonts w:cs="BookAntiqua"/>
          <w:szCs w:val="26"/>
        </w:rPr>
        <w:t>Th</w:t>
      </w:r>
      <w:r>
        <w:rPr>
          <w:rFonts w:cs="BookAntiqua"/>
          <w:szCs w:val="26"/>
        </w:rPr>
        <w:t xml:space="preserve">e </w:t>
      </w:r>
      <w:r w:rsidR="007420AA">
        <w:rPr>
          <w:rFonts w:cs="BookAntiqua"/>
          <w:szCs w:val="26"/>
        </w:rPr>
        <w:t xml:space="preserve">metrics collected from TNCs and </w:t>
      </w:r>
      <w:r w:rsidR="00A72CB9">
        <w:rPr>
          <w:rFonts w:cs="BookAntiqua"/>
          <w:szCs w:val="26"/>
        </w:rPr>
        <w:t>Access Provider</w:t>
      </w:r>
      <w:r w:rsidR="007420AA">
        <w:rPr>
          <w:rFonts w:cs="BookAntiqua"/>
          <w:szCs w:val="26"/>
        </w:rPr>
        <w:t xml:space="preserve">s over a four-year period </w:t>
      </w:r>
      <w:r>
        <w:rPr>
          <w:rFonts w:cs="BookAntiqua"/>
          <w:szCs w:val="26"/>
        </w:rPr>
        <w:t>from</w:t>
      </w:r>
      <w:r w:rsidR="007420AA">
        <w:rPr>
          <w:rFonts w:cs="BookAntiqua"/>
          <w:szCs w:val="26"/>
        </w:rPr>
        <w:t xml:space="preserve"> the inception of the WAV program</w:t>
      </w:r>
      <w:r>
        <w:rPr>
          <w:rFonts w:cs="BookAntiqua"/>
          <w:szCs w:val="26"/>
        </w:rPr>
        <w:t xml:space="preserve">, as well as the </w:t>
      </w:r>
      <w:r w:rsidRPr="004045F7">
        <w:rPr>
          <w:rFonts w:cs="Calibri"/>
          <w:szCs w:val="26"/>
        </w:rPr>
        <w:t xml:space="preserve">§ </w:t>
      </w:r>
      <w:r w:rsidRPr="004045F7">
        <w:rPr>
          <w:rFonts w:cs="BookAntiqua"/>
          <w:szCs w:val="26"/>
        </w:rPr>
        <w:t>5440.5(a)(2)(A)</w:t>
      </w:r>
      <w:r>
        <w:rPr>
          <w:rFonts w:cs="BookAntiqua"/>
          <w:szCs w:val="26"/>
        </w:rPr>
        <w:t xml:space="preserve"> requirements,</w:t>
      </w:r>
      <w:r w:rsidR="007420AA">
        <w:rPr>
          <w:rFonts w:cs="BookAntiqua"/>
          <w:szCs w:val="26"/>
        </w:rPr>
        <w:t xml:space="preserve"> </w:t>
      </w:r>
      <w:r w:rsidR="00B83433">
        <w:rPr>
          <w:rFonts w:cs="BookAntiqua"/>
          <w:szCs w:val="26"/>
        </w:rPr>
        <w:t>will</w:t>
      </w:r>
      <w:r>
        <w:rPr>
          <w:rFonts w:cs="BookAntiqua"/>
          <w:szCs w:val="26"/>
        </w:rPr>
        <w:t xml:space="preserve"> serve as an abundant </w:t>
      </w:r>
      <w:r w:rsidR="00B83433">
        <w:rPr>
          <w:rFonts w:cs="BookAntiqua"/>
          <w:szCs w:val="26"/>
        </w:rPr>
        <w:t>volume</w:t>
      </w:r>
      <w:r>
        <w:rPr>
          <w:rFonts w:cs="BookAntiqua"/>
          <w:szCs w:val="26"/>
        </w:rPr>
        <w:t xml:space="preserve"> of data to demonstrate the effectiveness of the WAV program and partnerships funded through the Access for All Act.  </w:t>
      </w:r>
    </w:p>
    <w:p w:rsidR="00B83433" w:rsidP="00B83433" w:rsidRDefault="003C6A67" w14:paraId="7B3080A4" w14:textId="1AAA888B">
      <w:pPr>
        <w:autoSpaceDE w:val="0"/>
        <w:autoSpaceDN w:val="0"/>
        <w:adjustRightInd w:val="0"/>
        <w:spacing w:line="360" w:lineRule="auto"/>
        <w:ind w:firstLine="720"/>
        <w:rPr>
          <w:rFonts w:cs="BookAntiqua"/>
          <w:szCs w:val="26"/>
        </w:rPr>
      </w:pPr>
      <w:r>
        <w:rPr>
          <w:rFonts w:cs="BookAntiqua"/>
          <w:szCs w:val="26"/>
        </w:rPr>
        <w:t xml:space="preserve">Accordingly, the 2024 Legislative </w:t>
      </w:r>
      <w:r w:rsidR="00AC09C7">
        <w:rPr>
          <w:rFonts w:cs="BookAntiqua"/>
          <w:szCs w:val="26"/>
        </w:rPr>
        <w:t>R</w:t>
      </w:r>
      <w:r>
        <w:rPr>
          <w:rFonts w:cs="BookAntiqua"/>
          <w:szCs w:val="26"/>
        </w:rPr>
        <w:t xml:space="preserve">eport </w:t>
      </w:r>
      <w:r w:rsidR="00B83433">
        <w:rPr>
          <w:rFonts w:cs="BookAntiqua"/>
          <w:szCs w:val="26"/>
        </w:rPr>
        <w:t>shall include the following information:</w:t>
      </w:r>
    </w:p>
    <w:p w:rsidRPr="00E036DC" w:rsidR="00B83433" w:rsidP="00E27280" w:rsidRDefault="00B83433" w14:paraId="7EB9772F" w14:textId="3FFF6F1D">
      <w:pPr>
        <w:pStyle w:val="ListParagraph"/>
        <w:numPr>
          <w:ilvl w:val="0"/>
          <w:numId w:val="17"/>
        </w:numPr>
        <w:autoSpaceDE w:val="0"/>
        <w:autoSpaceDN w:val="0"/>
        <w:adjustRightInd w:val="0"/>
        <w:spacing w:after="120"/>
        <w:ind w:left="1267" w:right="1440" w:hanging="547"/>
        <w:rPr>
          <w:rFonts w:cs="BookAntiqua"/>
          <w:szCs w:val="26"/>
        </w:rPr>
      </w:pPr>
      <w:r w:rsidRPr="00E036DC">
        <w:rPr>
          <w:rFonts w:cs="BookAntiqua"/>
          <w:szCs w:val="26"/>
        </w:rPr>
        <w:t>A study on the demand of WAVs, including demand according to time of day and geographic area.</w:t>
      </w:r>
    </w:p>
    <w:p w:rsidR="00B83433" w:rsidP="00E27280" w:rsidRDefault="00B83433" w14:paraId="2C1E53C4" w14:textId="5C969849">
      <w:pPr>
        <w:pStyle w:val="ListParagraph"/>
        <w:numPr>
          <w:ilvl w:val="0"/>
          <w:numId w:val="17"/>
        </w:numPr>
        <w:autoSpaceDE w:val="0"/>
        <w:autoSpaceDN w:val="0"/>
        <w:adjustRightInd w:val="0"/>
        <w:spacing w:after="120"/>
        <w:ind w:left="1267" w:right="1440" w:hanging="547"/>
        <w:rPr>
          <w:rFonts w:cs="BookAntiqua"/>
          <w:szCs w:val="26"/>
        </w:rPr>
      </w:pPr>
      <w:r>
        <w:rPr>
          <w:rFonts w:cs="BookAntiqua"/>
          <w:szCs w:val="26"/>
        </w:rPr>
        <w:t>An analysis of the Quarterly Reports required to be submitted by access providers receiving Access Fund moneys and TNCs that receive an Offset or Exemption.</w:t>
      </w:r>
    </w:p>
    <w:p w:rsidR="00B83433" w:rsidP="00E27280" w:rsidRDefault="00B83433" w14:paraId="22804C43" w14:textId="3A892ABA">
      <w:pPr>
        <w:pStyle w:val="ListParagraph"/>
        <w:numPr>
          <w:ilvl w:val="0"/>
          <w:numId w:val="17"/>
        </w:numPr>
        <w:autoSpaceDE w:val="0"/>
        <w:autoSpaceDN w:val="0"/>
        <w:adjustRightInd w:val="0"/>
        <w:spacing w:after="120"/>
        <w:ind w:left="1267" w:right="1440" w:hanging="547"/>
        <w:rPr>
          <w:rFonts w:cs="BookAntiqua"/>
          <w:szCs w:val="26"/>
        </w:rPr>
      </w:pPr>
      <w:r>
        <w:rPr>
          <w:rFonts w:cs="BookAntiqua"/>
          <w:szCs w:val="26"/>
        </w:rPr>
        <w:t>The availability of unallocated funds in the Access Fund, including the need to reassess Access Fund allocations</w:t>
      </w:r>
      <w:r w:rsidR="00B42D22">
        <w:rPr>
          <w:rFonts w:cs="BookAntiqua"/>
          <w:szCs w:val="26"/>
        </w:rPr>
        <w:t xml:space="preserve">, as </w:t>
      </w:r>
      <w:r w:rsidR="000764B7">
        <w:rPr>
          <w:rFonts w:cs="BookAntiqua"/>
          <w:szCs w:val="26"/>
        </w:rPr>
        <w:t>submitted</w:t>
      </w:r>
      <w:r w:rsidR="00B42D22">
        <w:rPr>
          <w:rFonts w:cs="BookAntiqua"/>
          <w:szCs w:val="26"/>
        </w:rPr>
        <w:t xml:space="preserve"> by AFAs</w:t>
      </w:r>
      <w:r>
        <w:rPr>
          <w:rFonts w:cs="BookAntiqua"/>
          <w:szCs w:val="26"/>
        </w:rPr>
        <w:t>.</w:t>
      </w:r>
    </w:p>
    <w:p w:rsidR="00B83433" w:rsidP="00E27280" w:rsidRDefault="00B83433" w14:paraId="2EFA79D0" w14:textId="01E3C353">
      <w:pPr>
        <w:pStyle w:val="ListParagraph"/>
        <w:numPr>
          <w:ilvl w:val="0"/>
          <w:numId w:val="17"/>
        </w:numPr>
        <w:autoSpaceDE w:val="0"/>
        <w:autoSpaceDN w:val="0"/>
        <w:adjustRightInd w:val="0"/>
        <w:spacing w:after="120"/>
        <w:ind w:left="1267" w:right="1440" w:hanging="547"/>
        <w:rPr>
          <w:rFonts w:cs="BookAntiqua"/>
          <w:szCs w:val="26"/>
        </w:rPr>
      </w:pPr>
      <w:r>
        <w:rPr>
          <w:rFonts w:cs="BookAntiqua"/>
          <w:szCs w:val="26"/>
        </w:rPr>
        <w:lastRenderedPageBreak/>
        <w:t>An analysis of current program capabilities and deficiencies, and recommendations to overcome any identified deficiencies.</w:t>
      </w:r>
    </w:p>
    <w:p w:rsidRPr="00B83433" w:rsidR="00B83433" w:rsidP="00E27280" w:rsidRDefault="00B83433" w14:paraId="154E7A60" w14:textId="61B26852">
      <w:pPr>
        <w:pStyle w:val="ListParagraph"/>
        <w:numPr>
          <w:ilvl w:val="0"/>
          <w:numId w:val="17"/>
        </w:numPr>
        <w:autoSpaceDE w:val="0"/>
        <w:autoSpaceDN w:val="0"/>
        <w:adjustRightInd w:val="0"/>
        <w:spacing w:after="120"/>
        <w:ind w:left="1267" w:right="1440" w:hanging="547"/>
        <w:rPr>
          <w:rFonts w:cs="BookAntiqua"/>
          <w:szCs w:val="26"/>
        </w:rPr>
      </w:pPr>
      <w:r>
        <w:rPr>
          <w:rFonts w:cs="BookAntiqua"/>
          <w:szCs w:val="26"/>
        </w:rPr>
        <w:t>An analysis of metrics collected through the Offset Requests and Exemption Requests.</w:t>
      </w:r>
    </w:p>
    <w:p w:rsidR="00A87BFF" w:rsidP="004045F7" w:rsidRDefault="00B83433" w14:paraId="4307751D" w14:textId="602A35A1">
      <w:pPr>
        <w:autoSpaceDE w:val="0"/>
        <w:autoSpaceDN w:val="0"/>
        <w:adjustRightInd w:val="0"/>
        <w:spacing w:line="360" w:lineRule="auto"/>
        <w:ind w:firstLine="720"/>
        <w:rPr>
          <w:rFonts w:cs="BookAntiqua"/>
          <w:szCs w:val="26"/>
        </w:rPr>
      </w:pPr>
      <w:r>
        <w:rPr>
          <w:rFonts w:cs="BookAntiqua"/>
          <w:szCs w:val="26"/>
        </w:rPr>
        <w:t>Further</w:t>
      </w:r>
      <w:r w:rsidR="00FB518E">
        <w:rPr>
          <w:rFonts w:cs="BookAntiqua"/>
          <w:szCs w:val="26"/>
        </w:rPr>
        <w:t>, the</w:t>
      </w:r>
      <w:r w:rsidR="00C87D81">
        <w:rPr>
          <w:rFonts w:cs="BookAntiqua"/>
          <w:szCs w:val="26"/>
        </w:rPr>
        <w:t xml:space="preserve"> independent entity </w:t>
      </w:r>
      <w:r w:rsidR="00D377DB">
        <w:rPr>
          <w:rFonts w:cs="BookAntiqua"/>
          <w:szCs w:val="26"/>
        </w:rPr>
        <w:t xml:space="preserve">authorized in D.20-03-007 to assist with the 2024 report </w:t>
      </w:r>
      <w:r w:rsidR="00FB518E">
        <w:rPr>
          <w:rFonts w:cs="BookAntiqua"/>
          <w:szCs w:val="26"/>
        </w:rPr>
        <w:t>may</w:t>
      </w:r>
      <w:r w:rsidR="00C87D81">
        <w:rPr>
          <w:rFonts w:cs="BookAntiqua"/>
          <w:szCs w:val="26"/>
        </w:rPr>
        <w:t xml:space="preserve"> determine </w:t>
      </w:r>
      <w:r>
        <w:rPr>
          <w:rFonts w:cs="BookAntiqua"/>
          <w:szCs w:val="26"/>
        </w:rPr>
        <w:t xml:space="preserve">whether </w:t>
      </w:r>
      <w:r w:rsidR="00C87D81">
        <w:rPr>
          <w:rFonts w:cs="BookAntiqua"/>
          <w:szCs w:val="26"/>
        </w:rPr>
        <w:t xml:space="preserve">additional information </w:t>
      </w:r>
      <w:r>
        <w:rPr>
          <w:rFonts w:cs="BookAntiqua"/>
          <w:szCs w:val="26"/>
        </w:rPr>
        <w:t>is</w:t>
      </w:r>
      <w:r w:rsidR="00FB518E">
        <w:rPr>
          <w:rFonts w:cs="BookAntiqua"/>
          <w:szCs w:val="26"/>
        </w:rPr>
        <w:t xml:space="preserve"> </w:t>
      </w:r>
      <w:r>
        <w:rPr>
          <w:rFonts w:cs="BookAntiqua"/>
          <w:szCs w:val="26"/>
        </w:rPr>
        <w:t xml:space="preserve">necessary </w:t>
      </w:r>
      <w:r w:rsidR="00C87D81">
        <w:rPr>
          <w:rFonts w:cs="BookAntiqua"/>
          <w:szCs w:val="26"/>
        </w:rPr>
        <w:t xml:space="preserve">to </w:t>
      </w:r>
      <w:r>
        <w:rPr>
          <w:rFonts w:cs="BookAntiqua"/>
          <w:szCs w:val="26"/>
        </w:rPr>
        <w:t>perform the analyses required</w:t>
      </w:r>
      <w:r w:rsidR="00C87D81">
        <w:rPr>
          <w:rFonts w:cs="BookAntiqua"/>
          <w:szCs w:val="26"/>
        </w:rPr>
        <w:t xml:space="preserve"> in </w:t>
      </w:r>
      <w:r w:rsidRPr="004045F7" w:rsidR="00C87D81">
        <w:rPr>
          <w:rFonts w:cs="BookAntiqua"/>
          <w:szCs w:val="26"/>
        </w:rPr>
        <w:t xml:space="preserve">Pub. Util. Code </w:t>
      </w:r>
      <w:r w:rsidRPr="004045F7" w:rsidR="00C87D81">
        <w:rPr>
          <w:rFonts w:cs="Calibri"/>
          <w:szCs w:val="26"/>
        </w:rPr>
        <w:t xml:space="preserve">§ </w:t>
      </w:r>
      <w:r w:rsidRPr="004045F7" w:rsidR="00C87D81">
        <w:rPr>
          <w:rFonts w:cs="BookAntiqua"/>
          <w:szCs w:val="26"/>
        </w:rPr>
        <w:t>5440.5(a)(2)(A)</w:t>
      </w:r>
      <w:r w:rsidR="00C87D81">
        <w:rPr>
          <w:rFonts w:cs="BookAntiqua"/>
          <w:szCs w:val="26"/>
        </w:rPr>
        <w:t xml:space="preserve">, </w:t>
      </w:r>
      <w:r>
        <w:rPr>
          <w:rFonts w:cs="BookAntiqua"/>
          <w:szCs w:val="26"/>
        </w:rPr>
        <w:t>including</w:t>
      </w:r>
      <w:r w:rsidR="00C87D81">
        <w:rPr>
          <w:rFonts w:cs="BookAntiqua"/>
          <w:szCs w:val="26"/>
        </w:rPr>
        <w:t xml:space="preserve"> surveys of WAV </w:t>
      </w:r>
      <w:r w:rsidR="00403392">
        <w:rPr>
          <w:rFonts w:cs="BookAntiqua"/>
          <w:szCs w:val="26"/>
        </w:rPr>
        <w:t>riders</w:t>
      </w:r>
      <w:r w:rsidR="00C87D81">
        <w:rPr>
          <w:rFonts w:cs="BookAntiqua"/>
          <w:szCs w:val="26"/>
        </w:rPr>
        <w:t xml:space="preserve"> or other </w:t>
      </w:r>
      <w:r>
        <w:rPr>
          <w:rFonts w:cs="BookAntiqua"/>
          <w:szCs w:val="26"/>
        </w:rPr>
        <w:t xml:space="preserve">relevant </w:t>
      </w:r>
      <w:r w:rsidR="00C87D81">
        <w:rPr>
          <w:rFonts w:cs="BookAntiqua"/>
          <w:szCs w:val="26"/>
        </w:rPr>
        <w:t xml:space="preserve">information. </w:t>
      </w:r>
    </w:p>
    <w:p w:rsidR="00CB178D" w:rsidP="00224875" w:rsidRDefault="000566D6" w14:paraId="3F80D701" w14:textId="662A4273">
      <w:pPr>
        <w:pStyle w:val="Heading1"/>
        <w:keepLines/>
        <w:numPr>
          <w:ilvl w:val="0"/>
          <w:numId w:val="1"/>
        </w:numPr>
        <w:spacing w:before="0"/>
        <w:ind w:right="2160"/>
      </w:pPr>
      <w:bookmarkStart w:name="_Toc65585474" w:id="41"/>
      <w:r>
        <w:t>Additional Accessibility Issues</w:t>
      </w:r>
      <w:bookmarkEnd w:id="41"/>
    </w:p>
    <w:p w:rsidRPr="0059276F" w:rsidR="00BF1E28" w:rsidP="00224875" w:rsidRDefault="0059276F" w14:paraId="67EC4E28" w14:textId="6C8D052A">
      <w:pPr>
        <w:pStyle w:val="Heading2"/>
        <w:keepLines/>
        <w:numPr>
          <w:ilvl w:val="1"/>
          <w:numId w:val="1"/>
        </w:numPr>
        <w:tabs>
          <w:tab w:val="num" w:pos="1080"/>
        </w:tabs>
        <w:spacing w:before="0"/>
        <w:ind w:left="1080" w:right="2160" w:hanging="720"/>
      </w:pPr>
      <w:bookmarkStart w:name="_Toc65585475" w:id="42"/>
      <w:r>
        <w:t>Symbol of Access</w:t>
      </w:r>
      <w:r w:rsidR="002D2ED5">
        <w:t>ibility</w:t>
      </w:r>
      <w:r>
        <w:t xml:space="preserve"> Use</w:t>
      </w:r>
      <w:bookmarkEnd w:id="42"/>
    </w:p>
    <w:p w:rsidR="006D2FCA" w:rsidP="00542F63" w:rsidRDefault="002E4714" w14:paraId="44A15B0D" w14:textId="615F6A4C">
      <w:pPr>
        <w:autoSpaceDE w:val="0"/>
        <w:autoSpaceDN w:val="0"/>
        <w:adjustRightInd w:val="0"/>
        <w:spacing w:line="360" w:lineRule="auto"/>
        <w:ind w:right="-180" w:firstLine="720"/>
        <w:rPr>
          <w:rFonts w:cs="BookAntiqua"/>
          <w:szCs w:val="26"/>
        </w:rPr>
      </w:pPr>
      <w:r>
        <w:rPr>
          <w:rFonts w:cs="BookAntiqua"/>
          <w:szCs w:val="26"/>
        </w:rPr>
        <w:t>The</w:t>
      </w:r>
      <w:r w:rsidR="00BF1E28">
        <w:rPr>
          <w:rFonts w:cs="BookAntiqua"/>
          <w:szCs w:val="26"/>
        </w:rPr>
        <w:t xml:space="preserve"> International Symbol of Access</w:t>
      </w:r>
      <w:r w:rsidR="002D2ED5">
        <w:rPr>
          <w:rFonts w:cs="BookAntiqua"/>
          <w:szCs w:val="26"/>
        </w:rPr>
        <w:t>ibility</w:t>
      </w:r>
      <w:r w:rsidR="00BF1E28">
        <w:rPr>
          <w:rFonts w:cs="BookAntiqua"/>
          <w:szCs w:val="26"/>
        </w:rPr>
        <w:t xml:space="preserve"> (ISA)</w:t>
      </w:r>
      <w:r w:rsidR="002D2ED5">
        <w:rPr>
          <w:rFonts w:cs="BookAntiqua"/>
          <w:szCs w:val="26"/>
        </w:rPr>
        <w:t xml:space="preserve"> </w:t>
      </w:r>
      <w:r w:rsidR="00BF1E28">
        <w:rPr>
          <w:rFonts w:cs="BookAntiqua"/>
          <w:szCs w:val="26"/>
        </w:rPr>
        <w:t xml:space="preserve">is </w:t>
      </w:r>
      <w:r w:rsidR="002D2ED5">
        <w:rPr>
          <w:rFonts w:cs="BookAntiqua"/>
          <w:szCs w:val="26"/>
        </w:rPr>
        <w:t>a widely used symbol identifying accessible spaces.</w:t>
      </w:r>
      <w:r w:rsidR="002D2ED5">
        <w:rPr>
          <w:rStyle w:val="FootnoteReference"/>
          <w:rFonts w:cs="BookAntiqua"/>
          <w:szCs w:val="26"/>
        </w:rPr>
        <w:footnoteReference w:id="98"/>
      </w:r>
      <w:r w:rsidR="00BF1E28">
        <w:rPr>
          <w:rFonts w:cs="BookAntiqua"/>
          <w:szCs w:val="26"/>
        </w:rPr>
        <w:t xml:space="preserve"> </w:t>
      </w:r>
      <w:r w:rsidR="002D2ED5">
        <w:rPr>
          <w:rFonts w:cs="BookAntiqua"/>
          <w:szCs w:val="26"/>
        </w:rPr>
        <w:t xml:space="preserve"> </w:t>
      </w:r>
      <w:r w:rsidR="00BE1813">
        <w:rPr>
          <w:rFonts w:cs="BookAntiqua"/>
          <w:szCs w:val="26"/>
        </w:rPr>
        <w:t>San Francisco</w:t>
      </w:r>
      <w:r w:rsidR="00CD2BA4">
        <w:rPr>
          <w:rFonts w:cs="BookAntiqua"/>
          <w:szCs w:val="26"/>
        </w:rPr>
        <w:t xml:space="preserve">, </w:t>
      </w:r>
      <w:r w:rsidR="00BE1813">
        <w:rPr>
          <w:rFonts w:cs="BookAntiqua"/>
          <w:szCs w:val="26"/>
        </w:rPr>
        <w:t>Disability Advocates</w:t>
      </w:r>
      <w:r w:rsidR="00CD2BA4">
        <w:rPr>
          <w:rFonts w:cs="BookAntiqua"/>
          <w:szCs w:val="26"/>
        </w:rPr>
        <w:t>, Marin Transit,</w:t>
      </w:r>
      <w:r w:rsidR="00CC410C">
        <w:rPr>
          <w:rFonts w:cs="BookAntiqua"/>
          <w:szCs w:val="26"/>
        </w:rPr>
        <w:t xml:space="preserve"> and SFTWA</w:t>
      </w:r>
      <w:r w:rsidR="00BF1E28">
        <w:rPr>
          <w:rFonts w:cs="BookAntiqua"/>
          <w:szCs w:val="26"/>
        </w:rPr>
        <w:t xml:space="preserve"> recommend that the ISA be used by TNCs and </w:t>
      </w:r>
      <w:r w:rsidR="00A72CB9">
        <w:rPr>
          <w:rFonts w:cs="BookAntiqua"/>
          <w:szCs w:val="26"/>
        </w:rPr>
        <w:t>Access Provider</w:t>
      </w:r>
      <w:r w:rsidR="00BF1E28">
        <w:rPr>
          <w:rFonts w:cs="BookAntiqua"/>
          <w:szCs w:val="26"/>
        </w:rPr>
        <w:t>s on their vehicles</w:t>
      </w:r>
      <w:r w:rsidR="00CD2BA4">
        <w:rPr>
          <w:rFonts w:cs="BookAntiqua"/>
          <w:szCs w:val="26"/>
        </w:rPr>
        <w:t xml:space="preserve">.  </w:t>
      </w:r>
      <w:r w:rsidR="00BE1813">
        <w:rPr>
          <w:rFonts w:cs="BookAntiqua"/>
          <w:szCs w:val="26"/>
        </w:rPr>
        <w:t>San Francisco</w:t>
      </w:r>
      <w:r w:rsidR="00CD2BA4">
        <w:rPr>
          <w:rFonts w:cs="BookAntiqua"/>
          <w:szCs w:val="26"/>
        </w:rPr>
        <w:t xml:space="preserve"> points out that the ADA Standards for Transportation Vehicles, implemented by the Department of Transportation</w:t>
      </w:r>
      <w:r w:rsidR="003D2799">
        <w:rPr>
          <w:rFonts w:cs="BookAntiqua"/>
          <w:szCs w:val="26"/>
        </w:rPr>
        <w:t xml:space="preserve"> (DOT)</w:t>
      </w:r>
      <w:r w:rsidR="00BE1813">
        <w:rPr>
          <w:rFonts w:cs="BookAntiqua"/>
          <w:szCs w:val="26"/>
        </w:rPr>
        <w:t>,</w:t>
      </w:r>
      <w:r w:rsidR="00CD2BA4">
        <w:rPr>
          <w:rFonts w:cs="BookAntiqua"/>
          <w:szCs w:val="26"/>
        </w:rPr>
        <w:t xml:space="preserve"> </w:t>
      </w:r>
      <w:r>
        <w:rPr>
          <w:rFonts w:cs="BookAntiqua"/>
          <w:szCs w:val="26"/>
        </w:rPr>
        <w:t>requires</w:t>
      </w:r>
      <w:r w:rsidR="00CD2BA4">
        <w:rPr>
          <w:rFonts w:cs="BookAntiqua"/>
          <w:szCs w:val="26"/>
        </w:rPr>
        <w:t xml:space="preserve"> the ISA to be used to designate accessible vehicles</w:t>
      </w:r>
      <w:r w:rsidR="00BF1E28">
        <w:rPr>
          <w:rFonts w:cs="BookAntiqua"/>
          <w:szCs w:val="26"/>
        </w:rPr>
        <w:t>.</w:t>
      </w:r>
      <w:r w:rsidR="00CD2BA4">
        <w:rPr>
          <w:rStyle w:val="FootnoteReference"/>
          <w:rFonts w:cs="BookAntiqua"/>
          <w:szCs w:val="26"/>
        </w:rPr>
        <w:footnoteReference w:id="99"/>
      </w:r>
      <w:r w:rsidR="00CD4CC1">
        <w:rPr>
          <w:rFonts w:cs="BookAntiqua"/>
          <w:szCs w:val="26"/>
        </w:rPr>
        <w:t xml:space="preserve">  </w:t>
      </w:r>
      <w:r w:rsidR="003E002C">
        <w:rPr>
          <w:rFonts w:cs="BookAntiqua"/>
          <w:szCs w:val="26"/>
        </w:rPr>
        <w:t xml:space="preserve">Uber </w:t>
      </w:r>
      <w:r w:rsidR="00BE1813">
        <w:rPr>
          <w:rFonts w:cs="BookAntiqua"/>
          <w:szCs w:val="26"/>
        </w:rPr>
        <w:t>believes</w:t>
      </w:r>
      <w:r w:rsidR="003E002C">
        <w:rPr>
          <w:rFonts w:cs="BookAntiqua"/>
          <w:szCs w:val="26"/>
        </w:rPr>
        <w:t xml:space="preserve"> that ISA </w:t>
      </w:r>
      <w:r w:rsidR="006503C2">
        <w:rPr>
          <w:rFonts w:cs="BookAntiqua"/>
          <w:szCs w:val="26"/>
        </w:rPr>
        <w:t xml:space="preserve">use </w:t>
      </w:r>
      <w:r w:rsidR="003E002C">
        <w:rPr>
          <w:rFonts w:cs="BookAntiqua"/>
          <w:szCs w:val="26"/>
        </w:rPr>
        <w:t xml:space="preserve">may be unnecessary and redundant </w:t>
      </w:r>
      <w:r w:rsidR="006503C2">
        <w:rPr>
          <w:rFonts w:cs="BookAntiqua"/>
          <w:szCs w:val="26"/>
        </w:rPr>
        <w:t>since</w:t>
      </w:r>
      <w:r w:rsidR="003E002C">
        <w:rPr>
          <w:rFonts w:cs="BookAntiqua"/>
          <w:szCs w:val="26"/>
        </w:rPr>
        <w:t xml:space="preserve"> WAV services are selected through </w:t>
      </w:r>
      <w:r w:rsidR="00BE1813">
        <w:rPr>
          <w:rFonts w:cs="BookAntiqua"/>
          <w:szCs w:val="26"/>
        </w:rPr>
        <w:t xml:space="preserve">an application </w:t>
      </w:r>
      <w:r w:rsidR="006503C2">
        <w:rPr>
          <w:rFonts w:cs="BookAntiqua"/>
          <w:szCs w:val="26"/>
        </w:rPr>
        <w:t xml:space="preserve">and </w:t>
      </w:r>
      <w:r w:rsidR="003E002C">
        <w:rPr>
          <w:rFonts w:cs="BookAntiqua"/>
          <w:szCs w:val="26"/>
        </w:rPr>
        <w:t xml:space="preserve">may lead to confusion </w:t>
      </w:r>
      <w:r w:rsidR="00BE1813">
        <w:rPr>
          <w:rFonts w:cs="BookAntiqua"/>
          <w:szCs w:val="26"/>
        </w:rPr>
        <w:t>with</w:t>
      </w:r>
      <w:r w:rsidR="003E002C">
        <w:rPr>
          <w:rFonts w:cs="BookAntiqua"/>
          <w:szCs w:val="26"/>
        </w:rPr>
        <w:t xml:space="preserve"> Commission-regulated trade dress.</w:t>
      </w:r>
      <w:r w:rsidR="00E46000">
        <w:rPr>
          <w:rStyle w:val="FootnoteReference"/>
          <w:rFonts w:cs="BookAntiqua"/>
          <w:szCs w:val="26"/>
        </w:rPr>
        <w:footnoteReference w:id="100"/>
      </w:r>
      <w:r w:rsidRPr="006D2FCA" w:rsidR="006D2FCA">
        <w:rPr>
          <w:rFonts w:cs="BookAntiqua"/>
          <w:szCs w:val="26"/>
        </w:rPr>
        <w:t xml:space="preserve"> </w:t>
      </w:r>
      <w:r w:rsidR="006D2FCA">
        <w:rPr>
          <w:rFonts w:cs="BookAntiqua"/>
          <w:szCs w:val="26"/>
        </w:rPr>
        <w:t xml:space="preserve"> Lyft states that it uses a universal symbol of access </w:t>
      </w:r>
      <w:r>
        <w:rPr>
          <w:rFonts w:cs="BookAntiqua"/>
          <w:szCs w:val="26"/>
        </w:rPr>
        <w:t>through</w:t>
      </w:r>
      <w:r w:rsidR="006D2FCA">
        <w:rPr>
          <w:rFonts w:cs="BookAntiqua"/>
          <w:szCs w:val="26"/>
        </w:rPr>
        <w:t xml:space="preserve"> its app</w:t>
      </w:r>
      <w:r w:rsidR="00BE1813">
        <w:rPr>
          <w:rFonts w:cs="BookAntiqua"/>
          <w:szCs w:val="26"/>
        </w:rPr>
        <w:t>lication</w:t>
      </w:r>
      <w:r w:rsidR="006D2FCA">
        <w:rPr>
          <w:rFonts w:cs="BookAntiqua"/>
          <w:szCs w:val="26"/>
        </w:rPr>
        <w:t xml:space="preserve"> and </w:t>
      </w:r>
      <w:r w:rsidR="00BE1813">
        <w:rPr>
          <w:rFonts w:cs="BookAntiqua"/>
          <w:szCs w:val="26"/>
        </w:rPr>
        <w:t xml:space="preserve">asserts that </w:t>
      </w:r>
      <w:r w:rsidR="006D2FCA">
        <w:rPr>
          <w:rFonts w:cs="BookAntiqua"/>
          <w:szCs w:val="26"/>
        </w:rPr>
        <w:t xml:space="preserve">TNCs should not be required to use the symbol </w:t>
      </w:r>
      <w:r w:rsidR="00552F0E">
        <w:rPr>
          <w:rFonts w:cs="BookAntiqua"/>
          <w:szCs w:val="26"/>
        </w:rPr>
        <w:t>as a rider can identify a vehicle through make, model, and license plate number</w:t>
      </w:r>
      <w:r w:rsidR="006D2FCA">
        <w:rPr>
          <w:rFonts w:cs="BookAntiqua"/>
          <w:szCs w:val="26"/>
        </w:rPr>
        <w:t>.</w:t>
      </w:r>
      <w:r w:rsidR="006D2FCA">
        <w:rPr>
          <w:rStyle w:val="FootnoteReference"/>
          <w:rFonts w:cs="BookAntiqua"/>
          <w:szCs w:val="26"/>
        </w:rPr>
        <w:footnoteReference w:id="101"/>
      </w:r>
    </w:p>
    <w:p w:rsidRPr="00BF1E28" w:rsidR="0059276F" w:rsidP="00BF1E28" w:rsidRDefault="0059276F" w14:paraId="229EB0B8" w14:textId="20C31D7E">
      <w:pPr>
        <w:autoSpaceDE w:val="0"/>
        <w:autoSpaceDN w:val="0"/>
        <w:adjustRightInd w:val="0"/>
        <w:spacing w:line="360" w:lineRule="auto"/>
        <w:ind w:firstLine="720"/>
        <w:rPr>
          <w:rFonts w:cs="BookAntiqua"/>
          <w:szCs w:val="26"/>
        </w:rPr>
      </w:pPr>
      <w:r>
        <w:rPr>
          <w:rFonts w:cs="BookAntiqua"/>
          <w:szCs w:val="26"/>
        </w:rPr>
        <w:lastRenderedPageBreak/>
        <w:t xml:space="preserve">The Commission </w:t>
      </w:r>
      <w:r w:rsidR="00CD4CC1">
        <w:rPr>
          <w:rFonts w:cs="BookAntiqua"/>
          <w:szCs w:val="26"/>
        </w:rPr>
        <w:t>is persuaded</w:t>
      </w:r>
      <w:r>
        <w:rPr>
          <w:rFonts w:cs="BookAntiqua"/>
          <w:szCs w:val="26"/>
        </w:rPr>
        <w:t xml:space="preserve"> that the use of the ISA on WAVs </w:t>
      </w:r>
      <w:r w:rsidR="00CD4CC1">
        <w:rPr>
          <w:rFonts w:cs="BookAntiqua"/>
          <w:szCs w:val="26"/>
        </w:rPr>
        <w:t xml:space="preserve">provided by TNCs </w:t>
      </w:r>
      <w:r w:rsidR="00BE1813">
        <w:rPr>
          <w:rFonts w:cs="BookAntiqua"/>
          <w:szCs w:val="26"/>
        </w:rPr>
        <w:t>or</w:t>
      </w:r>
      <w:r w:rsidR="00CD4CC1">
        <w:rPr>
          <w:rFonts w:cs="BookAntiqua"/>
          <w:szCs w:val="26"/>
        </w:rPr>
        <w:t xml:space="preserve"> </w:t>
      </w:r>
      <w:r w:rsidR="00A72CB9">
        <w:rPr>
          <w:rFonts w:cs="BookAntiqua"/>
          <w:szCs w:val="26"/>
        </w:rPr>
        <w:t>Access Provider</w:t>
      </w:r>
      <w:r w:rsidR="00CD4CC1">
        <w:rPr>
          <w:rFonts w:cs="BookAntiqua"/>
          <w:szCs w:val="26"/>
        </w:rPr>
        <w:t xml:space="preserve">s will </w:t>
      </w:r>
      <w:r w:rsidR="00BE1813">
        <w:rPr>
          <w:rFonts w:cs="BookAntiqua"/>
          <w:szCs w:val="26"/>
        </w:rPr>
        <w:t>serve as</w:t>
      </w:r>
      <w:r>
        <w:rPr>
          <w:rFonts w:cs="BookAntiqua"/>
          <w:szCs w:val="26"/>
        </w:rPr>
        <w:t xml:space="preserve"> an important visual identifier</w:t>
      </w:r>
      <w:r w:rsidR="00BE1813">
        <w:rPr>
          <w:rFonts w:cs="BookAntiqua"/>
          <w:szCs w:val="26"/>
        </w:rPr>
        <w:t xml:space="preserve"> for WAV passengers</w:t>
      </w:r>
      <w:r>
        <w:rPr>
          <w:rFonts w:cs="BookAntiqua"/>
          <w:szCs w:val="26"/>
        </w:rPr>
        <w:t>.</w:t>
      </w:r>
      <w:r w:rsidR="003D6884">
        <w:rPr>
          <w:rFonts w:cs="BookAntiqua"/>
          <w:szCs w:val="26"/>
        </w:rPr>
        <w:t xml:space="preserve">  While WAVs are not hailed from the street, the use of the ISA </w:t>
      </w:r>
      <w:r w:rsidR="00BE1813">
        <w:rPr>
          <w:rFonts w:cs="BookAntiqua"/>
          <w:szCs w:val="26"/>
        </w:rPr>
        <w:t>can</w:t>
      </w:r>
      <w:r w:rsidR="003D6884">
        <w:rPr>
          <w:rFonts w:cs="BookAntiqua"/>
          <w:szCs w:val="26"/>
        </w:rPr>
        <w:t xml:space="preserve"> assist </w:t>
      </w:r>
      <w:r w:rsidR="00CD4CC1">
        <w:rPr>
          <w:rFonts w:cs="BookAntiqua"/>
          <w:szCs w:val="26"/>
        </w:rPr>
        <w:t xml:space="preserve">in </w:t>
      </w:r>
      <w:r w:rsidR="003D6884">
        <w:rPr>
          <w:rFonts w:cs="BookAntiqua"/>
          <w:szCs w:val="26"/>
        </w:rPr>
        <w:t>identification of a WAV for persons with disabilities and impose</w:t>
      </w:r>
      <w:r w:rsidR="002E4714">
        <w:rPr>
          <w:rFonts w:cs="BookAntiqua"/>
          <w:szCs w:val="26"/>
        </w:rPr>
        <w:t>s</w:t>
      </w:r>
      <w:r w:rsidR="003D6884">
        <w:rPr>
          <w:rFonts w:cs="BookAntiqua"/>
          <w:szCs w:val="26"/>
        </w:rPr>
        <w:t xml:space="preserve"> a minimal burden on </w:t>
      </w:r>
      <w:r w:rsidR="00BE1813">
        <w:rPr>
          <w:rFonts w:cs="BookAntiqua"/>
          <w:szCs w:val="26"/>
        </w:rPr>
        <w:t xml:space="preserve">TNCs and </w:t>
      </w:r>
      <w:r w:rsidR="00A72CB9">
        <w:rPr>
          <w:rFonts w:cs="BookAntiqua"/>
          <w:szCs w:val="26"/>
        </w:rPr>
        <w:t>Access Provider</w:t>
      </w:r>
      <w:r w:rsidR="00BE1813">
        <w:rPr>
          <w:rFonts w:cs="BookAntiqua"/>
          <w:szCs w:val="26"/>
        </w:rPr>
        <w:t>s</w:t>
      </w:r>
      <w:r w:rsidR="003D6884">
        <w:rPr>
          <w:rFonts w:cs="BookAntiqua"/>
          <w:szCs w:val="26"/>
        </w:rPr>
        <w:t xml:space="preserve"> to </w:t>
      </w:r>
      <w:r w:rsidR="00BE1813">
        <w:rPr>
          <w:rFonts w:cs="BookAntiqua"/>
          <w:szCs w:val="26"/>
        </w:rPr>
        <w:t>include</w:t>
      </w:r>
      <w:r w:rsidR="003D6884">
        <w:rPr>
          <w:rFonts w:cs="BookAntiqua"/>
          <w:szCs w:val="26"/>
        </w:rPr>
        <w:t xml:space="preserve">.  Accordingly, </w:t>
      </w:r>
      <w:r w:rsidR="00B44533">
        <w:rPr>
          <w:rFonts w:cs="BookAntiqua"/>
          <w:szCs w:val="26"/>
        </w:rPr>
        <w:t xml:space="preserve">a </w:t>
      </w:r>
      <w:r w:rsidR="00CD4CC1">
        <w:rPr>
          <w:rFonts w:cs="BookAntiqua"/>
          <w:szCs w:val="26"/>
        </w:rPr>
        <w:t xml:space="preserve">TNC or </w:t>
      </w:r>
      <w:r w:rsidR="00A72CB9">
        <w:rPr>
          <w:rFonts w:cs="BookAntiqua"/>
          <w:szCs w:val="26"/>
        </w:rPr>
        <w:t>Access Provider</w:t>
      </w:r>
      <w:r w:rsidR="00CD4CC1">
        <w:rPr>
          <w:rFonts w:cs="BookAntiqua"/>
          <w:szCs w:val="26"/>
        </w:rPr>
        <w:t xml:space="preserve"> </w:t>
      </w:r>
      <w:r w:rsidR="00BA07C6">
        <w:rPr>
          <w:rFonts w:cs="BookAntiqua"/>
          <w:szCs w:val="26"/>
        </w:rPr>
        <w:t>providing service with</w:t>
      </w:r>
      <w:r w:rsidR="000764B7">
        <w:rPr>
          <w:rFonts w:cs="BookAntiqua"/>
          <w:szCs w:val="26"/>
        </w:rPr>
        <w:t xml:space="preserve"> a WAV </w:t>
      </w:r>
      <w:r w:rsidR="00CD4CC1">
        <w:rPr>
          <w:rFonts w:cs="BookAntiqua"/>
          <w:szCs w:val="26"/>
        </w:rPr>
        <w:t>shall</w:t>
      </w:r>
      <w:r w:rsidR="00BE1813">
        <w:rPr>
          <w:rFonts w:cs="BookAntiqua"/>
          <w:szCs w:val="26"/>
        </w:rPr>
        <w:t xml:space="preserve"> place</w:t>
      </w:r>
      <w:r w:rsidR="00CD4CC1">
        <w:rPr>
          <w:rFonts w:cs="BookAntiqua"/>
          <w:szCs w:val="26"/>
        </w:rPr>
        <w:t xml:space="preserve"> the ISA </w:t>
      </w:r>
      <w:r w:rsidR="000764B7">
        <w:rPr>
          <w:rFonts w:cs="BookAntiqua"/>
          <w:szCs w:val="26"/>
        </w:rPr>
        <w:t xml:space="preserve">on </w:t>
      </w:r>
      <w:r w:rsidR="00023798">
        <w:rPr>
          <w:rFonts w:cs="BookAntiqua"/>
          <w:szCs w:val="26"/>
        </w:rPr>
        <w:t xml:space="preserve">the following locations on </w:t>
      </w:r>
      <w:r w:rsidR="000764B7">
        <w:rPr>
          <w:rFonts w:cs="BookAntiqua"/>
          <w:szCs w:val="26"/>
        </w:rPr>
        <w:t>a</w:t>
      </w:r>
      <w:r w:rsidR="00023798">
        <w:rPr>
          <w:rFonts w:cs="BookAntiqua"/>
          <w:szCs w:val="26"/>
        </w:rPr>
        <w:t xml:space="preserve"> vehicle: passenger side door (below door handle) </w:t>
      </w:r>
      <w:r w:rsidR="00BA07C6">
        <w:rPr>
          <w:rFonts w:cs="BookAntiqua"/>
          <w:szCs w:val="26"/>
        </w:rPr>
        <w:t>and</w:t>
      </w:r>
      <w:r w:rsidR="00023798">
        <w:rPr>
          <w:rFonts w:cs="BookAntiqua"/>
          <w:szCs w:val="26"/>
        </w:rPr>
        <w:t xml:space="preserve"> rear of vehicle (right side </w:t>
      </w:r>
      <w:r w:rsidR="00B42D22">
        <w:rPr>
          <w:rFonts w:cs="BookAntiqua"/>
          <w:szCs w:val="26"/>
        </w:rPr>
        <w:t>above</w:t>
      </w:r>
      <w:r w:rsidR="00023798">
        <w:rPr>
          <w:rFonts w:cs="BookAntiqua"/>
          <w:szCs w:val="26"/>
        </w:rPr>
        <w:t xml:space="preserve"> bumper).</w:t>
      </w:r>
      <w:r w:rsidR="003D6884">
        <w:rPr>
          <w:rFonts w:cs="BookAntiqua"/>
          <w:szCs w:val="26"/>
        </w:rPr>
        <w:t xml:space="preserve"> </w:t>
      </w:r>
    </w:p>
    <w:p w:rsidRPr="0086314F" w:rsidR="0086314F" w:rsidP="00224875" w:rsidRDefault="0086314F" w14:paraId="19A5354B" w14:textId="0A2E13C2">
      <w:pPr>
        <w:pStyle w:val="Heading2"/>
        <w:keepLines/>
        <w:numPr>
          <w:ilvl w:val="1"/>
          <w:numId w:val="1"/>
        </w:numPr>
        <w:tabs>
          <w:tab w:val="num" w:pos="1080"/>
        </w:tabs>
        <w:spacing w:before="0"/>
        <w:ind w:left="1080" w:right="2160" w:hanging="720"/>
      </w:pPr>
      <w:bookmarkStart w:name="_Toc65585476" w:id="43"/>
      <w:r>
        <w:t>WAV Inspection and Driver Training for</w:t>
      </w:r>
      <w:r w:rsidR="00542F63">
        <w:br/>
      </w:r>
      <w:r>
        <w:t>TNC Permit</w:t>
      </w:r>
      <w:bookmarkEnd w:id="43"/>
    </w:p>
    <w:p w:rsidR="000566D6" w:rsidP="0086314F" w:rsidRDefault="00612EC2" w14:paraId="6E50C374" w14:textId="784F36D3">
      <w:pPr>
        <w:autoSpaceDE w:val="0"/>
        <w:autoSpaceDN w:val="0"/>
        <w:adjustRightInd w:val="0"/>
        <w:spacing w:line="360" w:lineRule="auto"/>
        <w:ind w:firstLine="720"/>
        <w:rPr>
          <w:rFonts w:cs="BookAntiqua"/>
          <w:szCs w:val="26"/>
        </w:rPr>
      </w:pPr>
      <w:r>
        <w:rPr>
          <w:rFonts w:cs="BookAntiqua"/>
          <w:szCs w:val="26"/>
        </w:rPr>
        <w:t xml:space="preserve">In D.20-03-007, the Commission adopted </w:t>
      </w:r>
      <w:r w:rsidR="00B44533">
        <w:rPr>
          <w:rFonts w:cs="BookAntiqua"/>
          <w:szCs w:val="26"/>
        </w:rPr>
        <w:t xml:space="preserve">a </w:t>
      </w:r>
      <w:r>
        <w:rPr>
          <w:rFonts w:cs="BookAntiqua"/>
          <w:szCs w:val="26"/>
        </w:rPr>
        <w:t xml:space="preserve">WAV training and inspection </w:t>
      </w:r>
      <w:r w:rsidR="00B44533">
        <w:rPr>
          <w:rFonts w:cs="BookAntiqua"/>
          <w:szCs w:val="26"/>
        </w:rPr>
        <w:t>requirements</w:t>
      </w:r>
      <w:r>
        <w:rPr>
          <w:rFonts w:cs="BookAntiqua"/>
          <w:szCs w:val="26"/>
        </w:rPr>
        <w:t xml:space="preserve"> for TNCs that seek an Offset Request </w:t>
      </w:r>
      <w:r w:rsidR="00B44533">
        <w:rPr>
          <w:rFonts w:cs="BookAntiqua"/>
          <w:szCs w:val="26"/>
        </w:rPr>
        <w:t xml:space="preserve">and </w:t>
      </w:r>
      <w:r w:rsidR="00A72CB9">
        <w:rPr>
          <w:rFonts w:cs="BookAntiqua"/>
          <w:szCs w:val="26"/>
        </w:rPr>
        <w:t>Access Provider</w:t>
      </w:r>
      <w:r w:rsidR="00B44533">
        <w:rPr>
          <w:rFonts w:cs="BookAntiqua"/>
          <w:szCs w:val="26"/>
        </w:rPr>
        <w:t>s that seek funding, as follows</w:t>
      </w:r>
      <w:r>
        <w:rPr>
          <w:rFonts w:cs="BookAntiqua"/>
          <w:szCs w:val="26"/>
        </w:rPr>
        <w:t>:</w:t>
      </w:r>
    </w:p>
    <w:p w:rsidR="00612EC2" w:rsidP="00E27280" w:rsidRDefault="00B44533" w14:paraId="7E2E779F" w14:textId="20A318E9">
      <w:pPr>
        <w:pStyle w:val="ListParagraph"/>
        <w:numPr>
          <w:ilvl w:val="0"/>
          <w:numId w:val="15"/>
        </w:numPr>
        <w:autoSpaceDE w:val="0"/>
        <w:autoSpaceDN w:val="0"/>
        <w:adjustRightInd w:val="0"/>
        <w:spacing w:after="120"/>
        <w:ind w:left="1267" w:right="1440" w:hanging="547"/>
        <w:rPr>
          <w:rFonts w:cs="BookAntiqua"/>
          <w:szCs w:val="26"/>
        </w:rPr>
      </w:pPr>
      <w:r>
        <w:rPr>
          <w:rFonts w:cs="BookAntiqua"/>
          <w:szCs w:val="26"/>
        </w:rPr>
        <w:t>Certification</w:t>
      </w:r>
      <w:r w:rsidR="00612EC2">
        <w:rPr>
          <w:rFonts w:cs="BookAntiqua"/>
          <w:szCs w:val="26"/>
        </w:rPr>
        <w:t xml:space="preserve"> that </w:t>
      </w:r>
      <w:r>
        <w:rPr>
          <w:rFonts w:cs="BookAntiqua"/>
          <w:szCs w:val="26"/>
        </w:rPr>
        <w:t>all</w:t>
      </w:r>
      <w:r w:rsidR="00612EC2">
        <w:rPr>
          <w:rFonts w:cs="BookAntiqua"/>
          <w:szCs w:val="26"/>
        </w:rPr>
        <w:t xml:space="preserve"> WAV drivers have completed WAV driver training within the past three years, which should include: sensitivity training, passenger assistance techniques, accessibility equipment use, door-to-door service, and safety procedures;</w:t>
      </w:r>
    </w:p>
    <w:p w:rsidR="00612EC2" w:rsidP="00E27280" w:rsidRDefault="00612EC2" w14:paraId="03D73A66" w14:textId="39F30AB4">
      <w:pPr>
        <w:pStyle w:val="ListParagraph"/>
        <w:numPr>
          <w:ilvl w:val="0"/>
          <w:numId w:val="15"/>
        </w:numPr>
        <w:autoSpaceDE w:val="0"/>
        <w:autoSpaceDN w:val="0"/>
        <w:adjustRightInd w:val="0"/>
        <w:spacing w:after="120"/>
        <w:ind w:left="1267" w:right="1440" w:hanging="547"/>
        <w:rPr>
          <w:rFonts w:cs="BookAntiqua"/>
          <w:szCs w:val="26"/>
        </w:rPr>
      </w:pPr>
      <w:r>
        <w:rPr>
          <w:rFonts w:cs="BookAntiqua"/>
          <w:szCs w:val="26"/>
        </w:rPr>
        <w:t xml:space="preserve">Report </w:t>
      </w:r>
      <w:r w:rsidR="00B44533">
        <w:rPr>
          <w:rFonts w:cs="BookAntiqua"/>
          <w:szCs w:val="26"/>
        </w:rPr>
        <w:t>of</w:t>
      </w:r>
      <w:r>
        <w:rPr>
          <w:rFonts w:cs="BookAntiqua"/>
          <w:szCs w:val="26"/>
        </w:rPr>
        <w:t xml:space="preserve"> WAV driver training programs used in that geographic area, and the number of WAV drivers that completed WAV training in that quarter; and </w:t>
      </w:r>
    </w:p>
    <w:p w:rsidR="00612EC2" w:rsidP="00E27280" w:rsidRDefault="00B44533" w14:paraId="1837D9F6" w14:textId="5768D71A">
      <w:pPr>
        <w:pStyle w:val="ListParagraph"/>
        <w:numPr>
          <w:ilvl w:val="0"/>
          <w:numId w:val="15"/>
        </w:numPr>
        <w:autoSpaceDE w:val="0"/>
        <w:autoSpaceDN w:val="0"/>
        <w:adjustRightInd w:val="0"/>
        <w:spacing w:after="120"/>
        <w:ind w:left="1267" w:right="1440" w:hanging="547"/>
        <w:rPr>
          <w:rFonts w:cs="BookAntiqua"/>
          <w:szCs w:val="26"/>
        </w:rPr>
      </w:pPr>
      <w:r>
        <w:rPr>
          <w:rFonts w:cs="BookAntiqua"/>
          <w:szCs w:val="26"/>
        </w:rPr>
        <w:t>Certification</w:t>
      </w:r>
      <w:r w:rsidR="00612EC2">
        <w:rPr>
          <w:rFonts w:cs="BookAntiqua"/>
          <w:szCs w:val="26"/>
        </w:rPr>
        <w:t xml:space="preserve"> that all WAVs operating have been inspected and approved to conform with the ADA Accessibility Specifications for Transportation Vehicles within the past year.</w:t>
      </w:r>
      <w:r w:rsidR="005B114B">
        <w:rPr>
          <w:rStyle w:val="FootnoteReference"/>
          <w:rFonts w:cs="BookAntiqua"/>
          <w:szCs w:val="26"/>
        </w:rPr>
        <w:footnoteReference w:id="102"/>
      </w:r>
    </w:p>
    <w:p w:rsidR="00970F66" w:rsidP="00970F66" w:rsidRDefault="00814B55" w14:paraId="379159B8" w14:textId="143C1BC0">
      <w:pPr>
        <w:autoSpaceDE w:val="0"/>
        <w:autoSpaceDN w:val="0"/>
        <w:adjustRightInd w:val="0"/>
        <w:spacing w:line="360" w:lineRule="auto"/>
        <w:ind w:firstLine="720"/>
        <w:rPr>
          <w:rFonts w:cs="BookAntiqua"/>
          <w:szCs w:val="26"/>
        </w:rPr>
      </w:pPr>
      <w:r>
        <w:rPr>
          <w:rFonts w:cs="BookAntiqua"/>
          <w:szCs w:val="26"/>
        </w:rPr>
        <w:lastRenderedPageBreak/>
        <w:t>We</w:t>
      </w:r>
      <w:r w:rsidR="00612EC2">
        <w:rPr>
          <w:rFonts w:cs="BookAntiqua"/>
          <w:szCs w:val="26"/>
        </w:rPr>
        <w:t xml:space="preserve"> </w:t>
      </w:r>
      <w:r w:rsidR="005801D8">
        <w:rPr>
          <w:rFonts w:cs="BookAntiqua"/>
          <w:szCs w:val="26"/>
        </w:rPr>
        <w:t xml:space="preserve">next </w:t>
      </w:r>
      <w:r w:rsidR="00612EC2">
        <w:rPr>
          <w:rFonts w:cs="BookAntiqua"/>
          <w:szCs w:val="26"/>
        </w:rPr>
        <w:t>consider</w:t>
      </w:r>
      <w:r>
        <w:rPr>
          <w:rFonts w:cs="BookAntiqua"/>
          <w:szCs w:val="26"/>
        </w:rPr>
        <w:t xml:space="preserve"> </w:t>
      </w:r>
      <w:r w:rsidR="00612EC2">
        <w:rPr>
          <w:rFonts w:cs="BookAntiqua"/>
          <w:szCs w:val="26"/>
        </w:rPr>
        <w:t xml:space="preserve">whether </w:t>
      </w:r>
      <w:r w:rsidRPr="0086314F" w:rsidR="00612EC2">
        <w:rPr>
          <w:rFonts w:cs="BookAntiqua"/>
          <w:szCs w:val="26"/>
        </w:rPr>
        <w:t xml:space="preserve">WAV inspection and </w:t>
      </w:r>
      <w:r w:rsidR="00612EC2">
        <w:rPr>
          <w:rFonts w:cs="BookAntiqua"/>
          <w:szCs w:val="26"/>
        </w:rPr>
        <w:t>driver</w:t>
      </w:r>
      <w:r w:rsidRPr="0086314F" w:rsidR="00612EC2">
        <w:rPr>
          <w:rFonts w:cs="BookAntiqua"/>
          <w:szCs w:val="26"/>
        </w:rPr>
        <w:t xml:space="preserve"> training requirements </w:t>
      </w:r>
      <w:r w:rsidR="00612EC2">
        <w:rPr>
          <w:rFonts w:cs="BookAntiqua"/>
          <w:szCs w:val="26"/>
        </w:rPr>
        <w:t xml:space="preserve">should be added </w:t>
      </w:r>
      <w:r w:rsidRPr="0086314F" w:rsidR="00612EC2">
        <w:rPr>
          <w:rFonts w:cs="BookAntiqua"/>
          <w:szCs w:val="26"/>
        </w:rPr>
        <w:t xml:space="preserve">to the </w:t>
      </w:r>
      <w:r w:rsidR="003D2799">
        <w:rPr>
          <w:rFonts w:cs="BookAntiqua"/>
          <w:szCs w:val="26"/>
        </w:rPr>
        <w:t>TNC</w:t>
      </w:r>
      <w:r>
        <w:rPr>
          <w:rFonts w:cs="BookAntiqua"/>
          <w:szCs w:val="26"/>
        </w:rPr>
        <w:t xml:space="preserve"> permit </w:t>
      </w:r>
      <w:r w:rsidRPr="0086314F" w:rsidR="00612EC2">
        <w:rPr>
          <w:rFonts w:cs="BookAntiqua"/>
          <w:szCs w:val="26"/>
        </w:rPr>
        <w:t>requirements</w:t>
      </w:r>
      <w:r w:rsidR="00B44533">
        <w:rPr>
          <w:rFonts w:cs="BookAntiqua"/>
          <w:szCs w:val="26"/>
        </w:rPr>
        <w:t>, which apply</w:t>
      </w:r>
      <w:r>
        <w:rPr>
          <w:rFonts w:cs="BookAntiqua"/>
          <w:szCs w:val="26"/>
        </w:rPr>
        <w:t xml:space="preserve"> </w:t>
      </w:r>
      <w:r w:rsidR="002E4714">
        <w:rPr>
          <w:rFonts w:cs="BookAntiqua"/>
          <w:szCs w:val="26"/>
        </w:rPr>
        <w:t xml:space="preserve">to all TNCs and not </w:t>
      </w:r>
      <w:r w:rsidR="00B44533">
        <w:rPr>
          <w:rFonts w:cs="BookAntiqua"/>
          <w:szCs w:val="26"/>
        </w:rPr>
        <w:t xml:space="preserve">just TNCs </w:t>
      </w:r>
      <w:r>
        <w:rPr>
          <w:rFonts w:cs="BookAntiqua"/>
          <w:szCs w:val="26"/>
        </w:rPr>
        <w:t>seeking</w:t>
      </w:r>
      <w:r w:rsidR="00B44533">
        <w:rPr>
          <w:rFonts w:cs="BookAntiqua"/>
          <w:szCs w:val="26"/>
        </w:rPr>
        <w:t xml:space="preserve"> an offset.</w:t>
      </w:r>
    </w:p>
    <w:p w:rsidR="002B24CB" w:rsidP="00970F66" w:rsidRDefault="00814B55" w14:paraId="389AF348" w14:textId="5A49A2E0">
      <w:pPr>
        <w:autoSpaceDE w:val="0"/>
        <w:autoSpaceDN w:val="0"/>
        <w:adjustRightInd w:val="0"/>
        <w:spacing w:line="360" w:lineRule="auto"/>
        <w:ind w:firstLine="720"/>
        <w:rPr>
          <w:rFonts w:cs="BookAntiqua"/>
          <w:szCs w:val="26"/>
        </w:rPr>
      </w:pPr>
      <w:r>
        <w:t>M</w:t>
      </w:r>
      <w:r w:rsidR="00970F66">
        <w:t>ultiple parties</w:t>
      </w:r>
      <w:r w:rsidR="003D2799">
        <w:t xml:space="preserve"> </w:t>
      </w:r>
      <w:r w:rsidR="00970F66">
        <w:t>support requiring WAV inspection and driver training to obtain a TNC permit.</w:t>
      </w:r>
      <w:r w:rsidR="00970F66">
        <w:rPr>
          <w:rStyle w:val="FootnoteReference"/>
          <w:rFonts w:cs="BookAntiqua"/>
          <w:szCs w:val="26"/>
        </w:rPr>
        <w:footnoteReference w:id="103"/>
      </w:r>
      <w:r w:rsidR="00970F66">
        <w:t xml:space="preserve">  </w:t>
      </w:r>
      <w:r w:rsidR="002B24CB">
        <w:rPr>
          <w:rFonts w:cs="BookAntiqua"/>
          <w:szCs w:val="26"/>
        </w:rPr>
        <w:t xml:space="preserve">CPED </w:t>
      </w:r>
      <w:r w:rsidR="003D2799">
        <w:rPr>
          <w:rFonts w:cs="BookAntiqua"/>
          <w:szCs w:val="26"/>
        </w:rPr>
        <w:t>recommends the following</w:t>
      </w:r>
      <w:r w:rsidR="005B114B">
        <w:rPr>
          <w:rFonts w:cs="BookAntiqua"/>
          <w:szCs w:val="26"/>
        </w:rPr>
        <w:t xml:space="preserve"> t</w:t>
      </w:r>
      <w:r w:rsidR="00FE4F49">
        <w:rPr>
          <w:rFonts w:cs="BookAntiqua"/>
          <w:szCs w:val="26"/>
        </w:rPr>
        <w:t>o be added to the TNC permit requirements</w:t>
      </w:r>
      <w:r w:rsidR="002B24CB">
        <w:rPr>
          <w:rFonts w:cs="BookAntiqua"/>
          <w:szCs w:val="26"/>
        </w:rPr>
        <w:t>:</w:t>
      </w:r>
      <w:r w:rsidR="00F5187C">
        <w:rPr>
          <w:rStyle w:val="FootnoteReference"/>
          <w:rFonts w:cs="BookAntiqua"/>
          <w:szCs w:val="26"/>
        </w:rPr>
        <w:footnoteReference w:id="104"/>
      </w:r>
    </w:p>
    <w:p w:rsidRPr="00FE4F49" w:rsidR="00FE4F49" w:rsidP="00E27280" w:rsidRDefault="001643A6" w14:paraId="56FA9199" w14:textId="3AA9C844">
      <w:pPr>
        <w:pStyle w:val="ListParagraph"/>
        <w:numPr>
          <w:ilvl w:val="0"/>
          <w:numId w:val="13"/>
        </w:numPr>
        <w:autoSpaceDE w:val="0"/>
        <w:autoSpaceDN w:val="0"/>
        <w:adjustRightInd w:val="0"/>
        <w:spacing w:after="120"/>
        <w:ind w:left="1267" w:right="1440" w:hanging="547"/>
        <w:rPr>
          <w:rFonts w:cs="BookAntiqua"/>
          <w:szCs w:val="26"/>
        </w:rPr>
      </w:pPr>
      <w:r>
        <w:rPr>
          <w:rFonts w:cs="BookAntiqua"/>
          <w:szCs w:val="26"/>
        </w:rPr>
        <w:t>Certify</w:t>
      </w:r>
      <w:r w:rsidR="00223D44">
        <w:rPr>
          <w:rFonts w:cs="BookAntiqua"/>
          <w:szCs w:val="26"/>
        </w:rPr>
        <w:t xml:space="preserve"> that WAV drivers operating on a TNC’s online</w:t>
      </w:r>
      <w:r w:rsidR="00542F63">
        <w:rPr>
          <w:rFonts w:cs="BookAntiqua"/>
          <w:szCs w:val="26"/>
        </w:rPr>
        <w:noBreakHyphen/>
      </w:r>
      <w:r w:rsidR="00223D44">
        <w:rPr>
          <w:rFonts w:cs="BookAntiqua"/>
          <w:szCs w:val="26"/>
        </w:rPr>
        <w:t>enabled application or platform completed</w:t>
      </w:r>
      <w:r w:rsidR="00542F63">
        <w:rPr>
          <w:rFonts w:cs="BookAntiqua"/>
          <w:szCs w:val="26"/>
        </w:rPr>
        <w:br/>
      </w:r>
      <w:r w:rsidR="00223D44">
        <w:rPr>
          <w:rFonts w:cs="BookAntiqua"/>
          <w:szCs w:val="26"/>
        </w:rPr>
        <w:t>WAV driver training within the past 3 years, including sensitivity training, passenger assistance techniques, accessibility equipment use, door-to-door service, and safety procedures;</w:t>
      </w:r>
    </w:p>
    <w:p w:rsidRPr="003A4651" w:rsidR="00223D44" w:rsidP="00E27280" w:rsidRDefault="00223D44" w14:paraId="558067E8" w14:textId="144CF28D">
      <w:pPr>
        <w:pStyle w:val="ListParagraph"/>
        <w:numPr>
          <w:ilvl w:val="0"/>
          <w:numId w:val="13"/>
        </w:numPr>
        <w:autoSpaceDE w:val="0"/>
        <w:autoSpaceDN w:val="0"/>
        <w:adjustRightInd w:val="0"/>
        <w:spacing w:after="120"/>
        <w:ind w:left="1267" w:right="1440" w:hanging="547"/>
        <w:rPr>
          <w:rFonts w:cs="BookAntiqua"/>
          <w:szCs w:val="26"/>
        </w:rPr>
      </w:pPr>
      <w:r w:rsidRPr="00223D44">
        <w:rPr>
          <w:rFonts w:cs="Calibri"/>
          <w:szCs w:val="26"/>
        </w:rPr>
        <w:t xml:space="preserve">WAV </w:t>
      </w:r>
      <w:r w:rsidRPr="005C4794">
        <w:rPr>
          <w:rFonts w:cs="BookAntiqua"/>
          <w:szCs w:val="26"/>
        </w:rPr>
        <w:t>drivers</w:t>
      </w:r>
      <w:r w:rsidRPr="00223D44">
        <w:rPr>
          <w:rFonts w:cs="Calibri"/>
          <w:szCs w:val="26"/>
        </w:rPr>
        <w:t xml:space="preserve"> operating on a TNC’s application or platform receive training on transporting people with disabilities at least every three years;</w:t>
      </w:r>
    </w:p>
    <w:p w:rsidRPr="00223D44" w:rsidR="00223D44" w:rsidP="00E27280" w:rsidRDefault="001643A6" w14:paraId="79B26BAC" w14:textId="73CFEE2B">
      <w:pPr>
        <w:pStyle w:val="ListParagraph"/>
        <w:numPr>
          <w:ilvl w:val="0"/>
          <w:numId w:val="13"/>
        </w:numPr>
        <w:autoSpaceDE w:val="0"/>
        <w:autoSpaceDN w:val="0"/>
        <w:adjustRightInd w:val="0"/>
        <w:spacing w:after="120"/>
        <w:ind w:left="1267" w:right="1440" w:hanging="547"/>
        <w:rPr>
          <w:rFonts w:cs="BookAntiqua"/>
          <w:szCs w:val="26"/>
        </w:rPr>
      </w:pPr>
      <w:bookmarkStart w:name="_Hlk60937810" w:id="44"/>
      <w:r>
        <w:rPr>
          <w:rFonts w:cs="Calibri"/>
          <w:szCs w:val="26"/>
        </w:rPr>
        <w:t>Certify</w:t>
      </w:r>
      <w:r w:rsidRPr="00223D44" w:rsidR="00223D44">
        <w:rPr>
          <w:rFonts w:cs="Calibri"/>
          <w:szCs w:val="26"/>
        </w:rPr>
        <w:t xml:space="preserve"> that all WAVs operating on their platforms have been inspected and approved to conform with the </w:t>
      </w:r>
      <w:r>
        <w:rPr>
          <w:rFonts w:cs="Calibri"/>
          <w:szCs w:val="26"/>
        </w:rPr>
        <w:t>ADA</w:t>
      </w:r>
      <w:r w:rsidRPr="00223D44" w:rsidR="00223D44">
        <w:rPr>
          <w:rFonts w:cs="Calibri"/>
          <w:szCs w:val="26"/>
        </w:rPr>
        <w:t xml:space="preserve"> Accessibility Specifications for Transportation Vehicles within the past year;</w:t>
      </w:r>
    </w:p>
    <w:p w:rsidRPr="00223D44" w:rsidR="00223D44" w:rsidP="00E27280" w:rsidRDefault="00BF7A58" w14:paraId="1236659F" w14:textId="20F843DA">
      <w:pPr>
        <w:pStyle w:val="ListParagraph"/>
        <w:numPr>
          <w:ilvl w:val="0"/>
          <w:numId w:val="13"/>
        </w:numPr>
        <w:autoSpaceDE w:val="0"/>
        <w:autoSpaceDN w:val="0"/>
        <w:adjustRightInd w:val="0"/>
        <w:spacing w:after="120"/>
        <w:ind w:left="1267" w:right="1440" w:hanging="547"/>
        <w:rPr>
          <w:rFonts w:cs="BookAntiqua"/>
          <w:szCs w:val="26"/>
        </w:rPr>
      </w:pPr>
      <w:bookmarkStart w:name="_Hlk60937790" w:id="45"/>
      <w:bookmarkEnd w:id="44"/>
      <w:r>
        <w:rPr>
          <w:rFonts w:cs="Calibri"/>
          <w:szCs w:val="26"/>
        </w:rPr>
        <w:t xml:space="preserve">Add inspection </w:t>
      </w:r>
      <w:r w:rsidRPr="005C4794">
        <w:rPr>
          <w:rFonts w:cs="BookAntiqua"/>
          <w:szCs w:val="26"/>
        </w:rPr>
        <w:t>of</w:t>
      </w:r>
      <w:r>
        <w:rPr>
          <w:rFonts w:cs="Calibri"/>
          <w:szCs w:val="26"/>
        </w:rPr>
        <w:t xml:space="preserve"> a WAV’s adaptive equipment to the</w:t>
      </w:r>
      <w:r w:rsidRPr="00223D44" w:rsidR="00223D44">
        <w:rPr>
          <w:rFonts w:cs="Calibri"/>
          <w:szCs w:val="26"/>
        </w:rPr>
        <w:t xml:space="preserve"> annual “19-point” vehicle safety inspection for a WAV operating on a TNC’s platform</w:t>
      </w:r>
      <w:r>
        <w:rPr>
          <w:rFonts w:cs="Calibri"/>
          <w:szCs w:val="26"/>
        </w:rPr>
        <w:t>; and</w:t>
      </w:r>
    </w:p>
    <w:bookmarkEnd w:id="45"/>
    <w:p w:rsidR="0086314F" w:rsidP="00E27280" w:rsidRDefault="001643A6" w14:paraId="34413C6E" w14:textId="11F72482">
      <w:pPr>
        <w:pStyle w:val="ListParagraph"/>
        <w:numPr>
          <w:ilvl w:val="0"/>
          <w:numId w:val="13"/>
        </w:numPr>
        <w:autoSpaceDE w:val="0"/>
        <w:autoSpaceDN w:val="0"/>
        <w:adjustRightInd w:val="0"/>
        <w:spacing w:after="120"/>
        <w:ind w:left="1267" w:right="1440" w:hanging="547"/>
        <w:rPr>
          <w:rFonts w:cs="BookAntiqua"/>
          <w:szCs w:val="26"/>
        </w:rPr>
      </w:pPr>
      <w:r>
        <w:rPr>
          <w:rFonts w:cs="Calibri"/>
          <w:szCs w:val="26"/>
        </w:rPr>
        <w:t>Retain</w:t>
      </w:r>
      <w:r w:rsidR="006772D7">
        <w:rPr>
          <w:rFonts w:cs="Calibri"/>
          <w:szCs w:val="26"/>
        </w:rPr>
        <w:t xml:space="preserve"> and </w:t>
      </w:r>
      <w:r>
        <w:rPr>
          <w:rFonts w:cs="Calibri"/>
          <w:szCs w:val="26"/>
        </w:rPr>
        <w:t>produce</w:t>
      </w:r>
      <w:r w:rsidR="006772D7">
        <w:rPr>
          <w:rFonts w:cs="Calibri"/>
          <w:szCs w:val="26"/>
        </w:rPr>
        <w:t xml:space="preserve"> </w:t>
      </w:r>
      <w:r w:rsidRPr="00223D44" w:rsidR="00223D44">
        <w:rPr>
          <w:rFonts w:cs="Calibri"/>
          <w:szCs w:val="26"/>
        </w:rPr>
        <w:t>evidence of WAV driver training and vehicle safety inspections to support certifications for any WAV drivers or WAV</w:t>
      </w:r>
      <w:r w:rsidR="00023798">
        <w:rPr>
          <w:rFonts w:cs="Calibri"/>
          <w:szCs w:val="26"/>
        </w:rPr>
        <w:t>s</w:t>
      </w:r>
      <w:r w:rsidRPr="00223D44" w:rsidR="00223D44">
        <w:rPr>
          <w:rFonts w:cs="Calibri"/>
          <w:szCs w:val="26"/>
        </w:rPr>
        <w:t xml:space="preserve"> operating on </w:t>
      </w:r>
      <w:r w:rsidR="00BF7A58">
        <w:rPr>
          <w:rFonts w:cs="Calibri"/>
          <w:szCs w:val="26"/>
        </w:rPr>
        <w:t>a TNC’s</w:t>
      </w:r>
      <w:r w:rsidRPr="00223D44" w:rsidR="00223D44">
        <w:rPr>
          <w:rFonts w:cs="Calibri"/>
          <w:szCs w:val="26"/>
        </w:rPr>
        <w:t xml:space="preserve"> platform</w:t>
      </w:r>
      <w:r w:rsidRPr="00223D44" w:rsidR="00223D44">
        <w:rPr>
          <w:rFonts w:cs="BookAntiqua"/>
          <w:szCs w:val="26"/>
        </w:rPr>
        <w:t>.</w:t>
      </w:r>
    </w:p>
    <w:p w:rsidR="00F408A8" w:rsidP="00970F66" w:rsidRDefault="00387AEB" w14:paraId="336ABEF1" w14:textId="7D6AEFC6">
      <w:pPr>
        <w:autoSpaceDE w:val="0"/>
        <w:autoSpaceDN w:val="0"/>
        <w:adjustRightInd w:val="0"/>
        <w:spacing w:line="360" w:lineRule="auto"/>
        <w:ind w:firstLine="720"/>
        <w:rPr>
          <w:rFonts w:cs="BookAntiqua"/>
          <w:szCs w:val="26"/>
        </w:rPr>
      </w:pPr>
      <w:r>
        <w:rPr>
          <w:rFonts w:cs="BookAntiqua"/>
          <w:szCs w:val="26"/>
        </w:rPr>
        <w:t>Uber supports the categories proposed by CPED except t</w:t>
      </w:r>
      <w:r w:rsidR="005B114B">
        <w:rPr>
          <w:rFonts w:cs="BookAntiqua"/>
          <w:szCs w:val="26"/>
        </w:rPr>
        <w:t>o the extent they</w:t>
      </w:r>
      <w:r>
        <w:rPr>
          <w:rFonts w:cs="BookAntiqua"/>
          <w:szCs w:val="26"/>
        </w:rPr>
        <w:t xml:space="preserve"> conflict with industry-accepted training and safety processes.</w:t>
      </w:r>
      <w:r w:rsidR="00AD595B">
        <w:rPr>
          <w:rFonts w:cs="BookAntiqua"/>
          <w:szCs w:val="26"/>
        </w:rPr>
        <w:t xml:space="preserve">  </w:t>
      </w:r>
      <w:r w:rsidR="00AC12A9">
        <w:rPr>
          <w:rFonts w:cs="BookAntiqua"/>
          <w:szCs w:val="26"/>
        </w:rPr>
        <w:t xml:space="preserve">Uber </w:t>
      </w:r>
      <w:r w:rsidR="003D2799">
        <w:rPr>
          <w:rFonts w:cs="BookAntiqua"/>
          <w:szCs w:val="26"/>
        </w:rPr>
        <w:t>notes</w:t>
      </w:r>
      <w:r w:rsidR="005B114B">
        <w:rPr>
          <w:rFonts w:cs="BookAntiqua"/>
          <w:szCs w:val="26"/>
        </w:rPr>
        <w:t xml:space="preserve"> that</w:t>
      </w:r>
      <w:r w:rsidR="00392849">
        <w:rPr>
          <w:rFonts w:cs="BookAntiqua"/>
          <w:szCs w:val="26"/>
        </w:rPr>
        <w:t xml:space="preserve"> </w:t>
      </w:r>
      <w:r w:rsidR="00AD595B">
        <w:rPr>
          <w:rFonts w:cs="BookAntiqua"/>
          <w:szCs w:val="26"/>
        </w:rPr>
        <w:lastRenderedPageBreak/>
        <w:t xml:space="preserve">the second category </w:t>
      </w:r>
      <w:r w:rsidR="00FE4F49">
        <w:rPr>
          <w:rFonts w:cs="BookAntiqua"/>
          <w:szCs w:val="26"/>
        </w:rPr>
        <w:t>appear</w:t>
      </w:r>
      <w:r w:rsidR="003D2799">
        <w:rPr>
          <w:rFonts w:cs="BookAntiqua"/>
          <w:szCs w:val="26"/>
        </w:rPr>
        <w:t>s</w:t>
      </w:r>
      <w:r w:rsidR="00FE4F49">
        <w:rPr>
          <w:rFonts w:cs="BookAntiqua"/>
          <w:szCs w:val="26"/>
        </w:rPr>
        <w:t xml:space="preserve"> to</w:t>
      </w:r>
      <w:r w:rsidR="00AD595B">
        <w:rPr>
          <w:rFonts w:cs="BookAntiqua"/>
          <w:szCs w:val="26"/>
        </w:rPr>
        <w:t xml:space="preserve"> </w:t>
      </w:r>
      <w:r w:rsidR="00FE4F49">
        <w:rPr>
          <w:rFonts w:cs="BookAntiqua"/>
          <w:szCs w:val="26"/>
        </w:rPr>
        <w:t>be</w:t>
      </w:r>
      <w:r w:rsidR="00AD595B">
        <w:rPr>
          <w:rFonts w:cs="BookAntiqua"/>
          <w:szCs w:val="26"/>
        </w:rPr>
        <w:t xml:space="preserve"> </w:t>
      </w:r>
      <w:r w:rsidR="003D2799">
        <w:rPr>
          <w:rFonts w:cs="BookAntiqua"/>
          <w:szCs w:val="26"/>
        </w:rPr>
        <w:t>duplicative</w:t>
      </w:r>
      <w:r w:rsidR="00AD595B">
        <w:rPr>
          <w:rFonts w:cs="BookAntiqua"/>
          <w:szCs w:val="26"/>
        </w:rPr>
        <w:t xml:space="preserve"> </w:t>
      </w:r>
      <w:r w:rsidR="003D2799">
        <w:rPr>
          <w:rFonts w:cs="BookAntiqua"/>
          <w:szCs w:val="26"/>
        </w:rPr>
        <w:t>of</w:t>
      </w:r>
      <w:r w:rsidR="00AD595B">
        <w:rPr>
          <w:rFonts w:cs="BookAntiqua"/>
          <w:szCs w:val="26"/>
        </w:rPr>
        <w:t xml:space="preserve"> the first.</w:t>
      </w:r>
      <w:r w:rsidR="00612EC2">
        <w:rPr>
          <w:rStyle w:val="FootnoteReference"/>
          <w:rFonts w:cs="BookAntiqua"/>
          <w:szCs w:val="26"/>
        </w:rPr>
        <w:footnoteReference w:id="105"/>
      </w:r>
      <w:r w:rsidR="00392849">
        <w:rPr>
          <w:rFonts w:cs="BookAntiqua"/>
          <w:szCs w:val="26"/>
        </w:rPr>
        <w:t xml:space="preserve">  </w:t>
      </w:r>
      <w:r w:rsidR="005B114B">
        <w:rPr>
          <w:rFonts w:cs="BookAntiqua"/>
          <w:szCs w:val="26"/>
        </w:rPr>
        <w:t xml:space="preserve">SFTWA supports CPED’s proposal </w:t>
      </w:r>
      <w:r w:rsidR="00FE4F49">
        <w:rPr>
          <w:rFonts w:cs="BookAntiqua"/>
          <w:szCs w:val="26"/>
        </w:rPr>
        <w:t>but</w:t>
      </w:r>
      <w:r w:rsidR="005B114B">
        <w:rPr>
          <w:rFonts w:cs="BookAntiqua"/>
          <w:szCs w:val="26"/>
        </w:rPr>
        <w:t xml:space="preserve"> adds that all TNC drivers should </w:t>
      </w:r>
      <w:r w:rsidR="00FE4F49">
        <w:rPr>
          <w:rFonts w:cs="BookAntiqua"/>
          <w:szCs w:val="26"/>
        </w:rPr>
        <w:t>be trained</w:t>
      </w:r>
      <w:r w:rsidR="005B114B">
        <w:rPr>
          <w:rFonts w:cs="BookAntiqua"/>
          <w:szCs w:val="26"/>
        </w:rPr>
        <w:t xml:space="preserve"> on providing service to persons with disabilities, whether </w:t>
      </w:r>
      <w:r w:rsidR="003D2799">
        <w:rPr>
          <w:rFonts w:cs="BookAntiqua"/>
          <w:szCs w:val="26"/>
        </w:rPr>
        <w:t xml:space="preserve">or not </w:t>
      </w:r>
      <w:r w:rsidR="005B114B">
        <w:rPr>
          <w:rFonts w:cs="BookAntiqua"/>
          <w:szCs w:val="26"/>
        </w:rPr>
        <w:t>they drive a WA</w:t>
      </w:r>
      <w:r w:rsidR="003D2799">
        <w:rPr>
          <w:rFonts w:cs="BookAntiqua"/>
          <w:szCs w:val="26"/>
        </w:rPr>
        <w:t>V</w:t>
      </w:r>
      <w:r w:rsidR="005B114B">
        <w:rPr>
          <w:rFonts w:cs="BookAntiqua"/>
          <w:szCs w:val="26"/>
        </w:rPr>
        <w:t>.</w:t>
      </w:r>
      <w:r w:rsidR="005B114B">
        <w:rPr>
          <w:rStyle w:val="FootnoteReference"/>
          <w:rFonts w:cs="BookAntiqua"/>
          <w:szCs w:val="26"/>
        </w:rPr>
        <w:footnoteReference w:id="106"/>
      </w:r>
      <w:r w:rsidR="005B114B">
        <w:rPr>
          <w:rFonts w:cs="BookAntiqua"/>
          <w:szCs w:val="26"/>
        </w:rPr>
        <w:t xml:space="preserve">  </w:t>
      </w:r>
      <w:r w:rsidR="00F408A8">
        <w:rPr>
          <w:rFonts w:cs="BookAntiqua"/>
          <w:szCs w:val="26"/>
        </w:rPr>
        <w:t xml:space="preserve">Lyft agrees that a TNC </w:t>
      </w:r>
      <w:r w:rsidR="005B114B">
        <w:rPr>
          <w:rFonts w:cs="BookAntiqua"/>
          <w:szCs w:val="26"/>
        </w:rPr>
        <w:t>with</w:t>
      </w:r>
      <w:r w:rsidR="00F408A8">
        <w:rPr>
          <w:rFonts w:cs="BookAntiqua"/>
          <w:szCs w:val="26"/>
        </w:rPr>
        <w:t xml:space="preserve"> a WAV program should provide training certification upon applying for a permit </w:t>
      </w:r>
      <w:r w:rsidR="00970F66">
        <w:rPr>
          <w:rFonts w:cs="BookAntiqua"/>
          <w:szCs w:val="26"/>
        </w:rPr>
        <w:t>but</w:t>
      </w:r>
      <w:r w:rsidR="00F408A8">
        <w:rPr>
          <w:rFonts w:cs="BookAntiqua"/>
          <w:szCs w:val="26"/>
        </w:rPr>
        <w:t xml:space="preserve"> </w:t>
      </w:r>
      <w:bookmarkStart w:name="_Hlk60938011" w:id="46"/>
      <w:r w:rsidR="00970F66">
        <w:rPr>
          <w:rFonts w:cs="BookAntiqua"/>
          <w:szCs w:val="26"/>
        </w:rPr>
        <w:t>that a TNC</w:t>
      </w:r>
      <w:r w:rsidR="00F408A8">
        <w:rPr>
          <w:rFonts w:cs="BookAntiqua"/>
          <w:szCs w:val="26"/>
        </w:rPr>
        <w:t xml:space="preserve"> </w:t>
      </w:r>
      <w:r w:rsidR="00FE4F49">
        <w:rPr>
          <w:rFonts w:cs="BookAntiqua"/>
          <w:szCs w:val="26"/>
        </w:rPr>
        <w:t>need</w:t>
      </w:r>
      <w:r w:rsidR="00F408A8">
        <w:rPr>
          <w:rFonts w:cs="BookAntiqua"/>
          <w:szCs w:val="26"/>
        </w:rPr>
        <w:t xml:space="preserve"> not provide certification where </w:t>
      </w:r>
      <w:r w:rsidR="00970F66">
        <w:rPr>
          <w:rFonts w:cs="BookAntiqua"/>
          <w:szCs w:val="26"/>
        </w:rPr>
        <w:t>it</w:t>
      </w:r>
      <w:r w:rsidR="00F408A8">
        <w:rPr>
          <w:rFonts w:cs="BookAntiqua"/>
          <w:szCs w:val="26"/>
        </w:rPr>
        <w:t xml:space="preserve"> does not operate a WAV program</w:t>
      </w:r>
      <w:bookmarkEnd w:id="46"/>
      <w:r w:rsidR="00F408A8">
        <w:rPr>
          <w:rFonts w:cs="BookAntiqua"/>
          <w:szCs w:val="26"/>
        </w:rPr>
        <w:t>.</w:t>
      </w:r>
      <w:r w:rsidR="00F408A8">
        <w:rPr>
          <w:rStyle w:val="FootnoteReference"/>
          <w:rFonts w:cs="BookAntiqua"/>
          <w:szCs w:val="26"/>
        </w:rPr>
        <w:footnoteReference w:id="107"/>
      </w:r>
      <w:r w:rsidR="00F408A8">
        <w:rPr>
          <w:rFonts w:cs="BookAntiqua"/>
          <w:szCs w:val="26"/>
        </w:rPr>
        <w:t xml:space="preserve">  </w:t>
      </w:r>
      <w:r w:rsidR="003D2799">
        <w:rPr>
          <w:rFonts w:cs="BookAntiqua"/>
          <w:szCs w:val="26"/>
        </w:rPr>
        <w:t>Disability Advocates</w:t>
      </w:r>
      <w:r w:rsidR="00F408A8">
        <w:rPr>
          <w:rFonts w:cs="BookAntiqua"/>
          <w:szCs w:val="26"/>
        </w:rPr>
        <w:t xml:space="preserve"> </w:t>
      </w:r>
      <w:r w:rsidR="00FE4F49">
        <w:rPr>
          <w:rFonts w:cs="BookAntiqua"/>
          <w:szCs w:val="26"/>
        </w:rPr>
        <w:t>state that</w:t>
      </w:r>
      <w:r w:rsidR="00F408A8">
        <w:rPr>
          <w:rFonts w:cs="BookAntiqua"/>
          <w:szCs w:val="26"/>
        </w:rPr>
        <w:t xml:space="preserve"> driver training every three years </w:t>
      </w:r>
      <w:r w:rsidR="00FE4F49">
        <w:rPr>
          <w:rFonts w:cs="BookAntiqua"/>
          <w:szCs w:val="26"/>
        </w:rPr>
        <w:t>is</w:t>
      </w:r>
      <w:r w:rsidR="00F408A8">
        <w:rPr>
          <w:rFonts w:cs="BookAntiqua"/>
          <w:szCs w:val="26"/>
        </w:rPr>
        <w:t xml:space="preserve"> inadequate and </w:t>
      </w:r>
      <w:r w:rsidR="00FE4F49">
        <w:rPr>
          <w:rFonts w:cs="BookAntiqua"/>
          <w:szCs w:val="26"/>
        </w:rPr>
        <w:t xml:space="preserve">recommends </w:t>
      </w:r>
      <w:r w:rsidR="00F408A8">
        <w:rPr>
          <w:rFonts w:cs="BookAntiqua"/>
          <w:szCs w:val="26"/>
        </w:rPr>
        <w:t>annual training.</w:t>
      </w:r>
      <w:r w:rsidR="00F408A8">
        <w:rPr>
          <w:rStyle w:val="FootnoteReference"/>
          <w:rFonts w:cs="BookAntiqua"/>
          <w:szCs w:val="26"/>
        </w:rPr>
        <w:footnoteReference w:id="108"/>
      </w:r>
      <w:r w:rsidR="00F408A8">
        <w:rPr>
          <w:rFonts w:cs="BookAntiqua"/>
          <w:szCs w:val="26"/>
        </w:rPr>
        <w:t xml:space="preserve">  </w:t>
      </w:r>
    </w:p>
    <w:p w:rsidR="00970F66" w:rsidP="00970F66" w:rsidRDefault="00392849" w14:paraId="1D6BAEAC" w14:textId="7144D0DC">
      <w:pPr>
        <w:autoSpaceDE w:val="0"/>
        <w:autoSpaceDN w:val="0"/>
        <w:adjustRightInd w:val="0"/>
        <w:spacing w:line="360" w:lineRule="auto"/>
        <w:ind w:firstLine="720"/>
        <w:rPr>
          <w:rFonts w:cs="BookAntiqua"/>
          <w:szCs w:val="26"/>
        </w:rPr>
      </w:pPr>
      <w:r>
        <w:rPr>
          <w:rFonts w:cs="BookAntiqua"/>
          <w:szCs w:val="26"/>
        </w:rPr>
        <w:t xml:space="preserve">For CPED’s third proposal, </w:t>
      </w:r>
      <w:r w:rsidR="004871F2">
        <w:rPr>
          <w:rFonts w:cs="BookAntiqua"/>
          <w:szCs w:val="26"/>
        </w:rPr>
        <w:t xml:space="preserve">Uber </w:t>
      </w:r>
      <w:r w:rsidR="00F408A8">
        <w:rPr>
          <w:rFonts w:cs="BookAntiqua"/>
          <w:szCs w:val="26"/>
        </w:rPr>
        <w:t>suggests</w:t>
      </w:r>
      <w:r w:rsidR="004871F2">
        <w:rPr>
          <w:rFonts w:cs="BookAntiqua"/>
          <w:szCs w:val="26"/>
        </w:rPr>
        <w:t xml:space="preserve"> that because WAV configurations are generally not modified (</w:t>
      </w:r>
      <w:r w:rsidRPr="00F408A8" w:rsidR="004871F2">
        <w:rPr>
          <w:rFonts w:cs="BookAntiqua"/>
          <w:i/>
          <w:iCs/>
          <w:szCs w:val="26"/>
        </w:rPr>
        <w:t>e.g</w:t>
      </w:r>
      <w:r w:rsidR="004871F2">
        <w:rPr>
          <w:rFonts w:cs="BookAntiqua"/>
          <w:szCs w:val="26"/>
        </w:rPr>
        <w:t>., door heigh</w:t>
      </w:r>
      <w:r>
        <w:rPr>
          <w:rFonts w:cs="BookAntiqua"/>
          <w:szCs w:val="26"/>
        </w:rPr>
        <w:t>t</w:t>
      </w:r>
      <w:r w:rsidR="004871F2">
        <w:rPr>
          <w:rFonts w:cs="BookAntiqua"/>
          <w:szCs w:val="26"/>
        </w:rPr>
        <w:t xml:space="preserve"> </w:t>
      </w:r>
      <w:r w:rsidR="00F408A8">
        <w:rPr>
          <w:rFonts w:cs="BookAntiqua"/>
          <w:szCs w:val="26"/>
        </w:rPr>
        <w:t xml:space="preserve">is </w:t>
      </w:r>
      <w:r w:rsidR="004871F2">
        <w:rPr>
          <w:rFonts w:cs="BookAntiqua"/>
          <w:szCs w:val="26"/>
        </w:rPr>
        <w:t xml:space="preserve">required by the ADA), ADA </w:t>
      </w:r>
      <w:r w:rsidR="00FE4F49">
        <w:rPr>
          <w:rFonts w:cs="BookAntiqua"/>
          <w:szCs w:val="26"/>
        </w:rPr>
        <w:t xml:space="preserve">inspection </w:t>
      </w:r>
      <w:r w:rsidR="004871F2">
        <w:rPr>
          <w:rFonts w:cs="BookAntiqua"/>
          <w:szCs w:val="26"/>
        </w:rPr>
        <w:t xml:space="preserve">at the time of outfitting is meaningful but inspections </w:t>
      </w:r>
      <w:r w:rsidR="00970F66">
        <w:rPr>
          <w:rFonts w:cs="BookAntiqua"/>
          <w:szCs w:val="26"/>
        </w:rPr>
        <w:t xml:space="preserve">in subsequent years </w:t>
      </w:r>
      <w:r w:rsidR="00FE4F49">
        <w:rPr>
          <w:rFonts w:cs="BookAntiqua"/>
          <w:szCs w:val="26"/>
        </w:rPr>
        <w:t>are</w:t>
      </w:r>
      <w:r w:rsidR="004871F2">
        <w:rPr>
          <w:rFonts w:cs="BookAntiqua"/>
          <w:szCs w:val="26"/>
        </w:rPr>
        <w:t xml:space="preserve"> not.</w:t>
      </w:r>
      <w:r w:rsidR="00C758F8">
        <w:rPr>
          <w:rStyle w:val="FootnoteReference"/>
          <w:rFonts w:cs="BookAntiqua"/>
          <w:szCs w:val="26"/>
        </w:rPr>
        <w:footnoteReference w:id="109"/>
      </w:r>
      <w:r w:rsidR="00060CBC">
        <w:rPr>
          <w:rFonts w:cs="BookAntiqua"/>
          <w:szCs w:val="26"/>
        </w:rPr>
        <w:t xml:space="preserve">  </w:t>
      </w:r>
      <w:r>
        <w:rPr>
          <w:rFonts w:cs="BookAntiqua"/>
          <w:szCs w:val="26"/>
        </w:rPr>
        <w:t xml:space="preserve">Uber </w:t>
      </w:r>
      <w:r w:rsidR="003D2799">
        <w:rPr>
          <w:rFonts w:cs="BookAntiqua"/>
          <w:szCs w:val="26"/>
        </w:rPr>
        <w:t>notes</w:t>
      </w:r>
      <w:r>
        <w:rPr>
          <w:rFonts w:cs="BookAntiqua"/>
          <w:szCs w:val="26"/>
        </w:rPr>
        <w:t xml:space="preserve"> that </w:t>
      </w:r>
      <w:r w:rsidR="00F408A8">
        <w:rPr>
          <w:rFonts w:cs="BookAntiqua"/>
          <w:szCs w:val="26"/>
        </w:rPr>
        <w:t xml:space="preserve">the Commission requires </w:t>
      </w:r>
      <w:r>
        <w:rPr>
          <w:rFonts w:cs="BookAntiqua"/>
          <w:szCs w:val="26"/>
        </w:rPr>
        <w:t>WAV</w:t>
      </w:r>
      <w:r w:rsidR="003D2799">
        <w:rPr>
          <w:rFonts w:cs="BookAntiqua"/>
          <w:szCs w:val="26"/>
        </w:rPr>
        <w:t>s</w:t>
      </w:r>
      <w:r>
        <w:rPr>
          <w:rFonts w:cs="BookAntiqua"/>
          <w:szCs w:val="26"/>
        </w:rPr>
        <w:t xml:space="preserve"> </w:t>
      </w:r>
      <w:r w:rsidR="00970F66">
        <w:rPr>
          <w:rFonts w:cs="BookAntiqua"/>
          <w:szCs w:val="26"/>
        </w:rPr>
        <w:t>to</w:t>
      </w:r>
      <w:r>
        <w:rPr>
          <w:rFonts w:cs="BookAntiqua"/>
          <w:szCs w:val="26"/>
        </w:rPr>
        <w:t xml:space="preserve"> be inspected annuall</w:t>
      </w:r>
      <w:r w:rsidR="00F408A8">
        <w:rPr>
          <w:rFonts w:cs="BookAntiqua"/>
          <w:szCs w:val="26"/>
        </w:rPr>
        <w:t xml:space="preserve">y, including </w:t>
      </w:r>
      <w:r>
        <w:rPr>
          <w:rFonts w:cs="BookAntiqua"/>
          <w:szCs w:val="26"/>
        </w:rPr>
        <w:t xml:space="preserve">inspection of safety belts.  </w:t>
      </w:r>
      <w:r w:rsidR="00F408A8">
        <w:rPr>
          <w:rFonts w:cs="BookAntiqua"/>
          <w:szCs w:val="26"/>
        </w:rPr>
        <w:t>SFTWA disagrees with Uber</w:t>
      </w:r>
      <w:r w:rsidR="003D2799">
        <w:rPr>
          <w:rFonts w:cs="BookAntiqua"/>
          <w:szCs w:val="26"/>
        </w:rPr>
        <w:t>,</w:t>
      </w:r>
      <w:r w:rsidR="00F408A8">
        <w:rPr>
          <w:rFonts w:cs="BookAntiqua"/>
          <w:szCs w:val="26"/>
        </w:rPr>
        <w:t xml:space="preserve"> stat</w:t>
      </w:r>
      <w:r w:rsidR="00970F66">
        <w:rPr>
          <w:rFonts w:cs="BookAntiqua"/>
          <w:szCs w:val="26"/>
        </w:rPr>
        <w:t>ing</w:t>
      </w:r>
      <w:r w:rsidR="00F408A8">
        <w:rPr>
          <w:rFonts w:cs="BookAntiqua"/>
          <w:szCs w:val="26"/>
        </w:rPr>
        <w:t xml:space="preserve"> that while </w:t>
      </w:r>
      <w:r w:rsidR="00970F66">
        <w:rPr>
          <w:rFonts w:cs="BookAntiqua"/>
          <w:szCs w:val="26"/>
        </w:rPr>
        <w:t>configurations</w:t>
      </w:r>
      <w:r w:rsidR="00F408A8">
        <w:rPr>
          <w:rFonts w:cs="BookAntiqua"/>
          <w:szCs w:val="26"/>
        </w:rPr>
        <w:t xml:space="preserve"> may not be modified, they </w:t>
      </w:r>
      <w:r w:rsidR="003D2799">
        <w:rPr>
          <w:rFonts w:cs="BookAntiqua"/>
          <w:szCs w:val="26"/>
        </w:rPr>
        <w:t>can</w:t>
      </w:r>
      <w:r w:rsidR="00F408A8">
        <w:rPr>
          <w:rFonts w:cs="BookAntiqua"/>
          <w:szCs w:val="26"/>
        </w:rPr>
        <w:t xml:space="preserve"> wear out and become compromised.</w:t>
      </w:r>
      <w:r w:rsidR="00F408A8">
        <w:rPr>
          <w:rStyle w:val="FootnoteReference"/>
          <w:rFonts w:cs="BookAntiqua"/>
          <w:szCs w:val="26"/>
        </w:rPr>
        <w:footnoteReference w:id="110"/>
      </w:r>
      <w:r w:rsidR="00F408A8">
        <w:rPr>
          <w:rFonts w:cs="BookAntiqua"/>
          <w:szCs w:val="26"/>
        </w:rPr>
        <w:t xml:space="preserve">  </w:t>
      </w:r>
      <w:bookmarkStart w:name="_Hlk60937900" w:id="47"/>
      <w:r w:rsidR="003D2799">
        <w:rPr>
          <w:rFonts w:cs="BookAntiqua"/>
          <w:szCs w:val="26"/>
        </w:rPr>
        <w:t>San Francisco</w:t>
      </w:r>
      <w:r w:rsidR="00970F66">
        <w:rPr>
          <w:rFonts w:cs="BookAntiqua"/>
          <w:szCs w:val="26"/>
        </w:rPr>
        <w:t xml:space="preserve"> recommends that inspections specifically include inspection of lifts, ramps, and securement devices, including checks for proper seats and shoulder belts.</w:t>
      </w:r>
      <w:r w:rsidR="00970F66">
        <w:rPr>
          <w:rStyle w:val="FootnoteReference"/>
          <w:rFonts w:cs="BookAntiqua"/>
          <w:szCs w:val="26"/>
        </w:rPr>
        <w:footnoteReference w:id="111"/>
      </w:r>
      <w:r w:rsidR="00970F66">
        <w:rPr>
          <w:rFonts w:cs="BookAntiqua"/>
          <w:szCs w:val="26"/>
        </w:rPr>
        <w:t xml:space="preserve">  </w:t>
      </w:r>
      <w:bookmarkEnd w:id="47"/>
    </w:p>
    <w:p w:rsidR="00C1175C" w:rsidP="00B359FD" w:rsidRDefault="00612EC2" w14:paraId="1A15FD86" w14:textId="68B4B7F6">
      <w:pPr>
        <w:autoSpaceDE w:val="0"/>
        <w:autoSpaceDN w:val="0"/>
        <w:adjustRightInd w:val="0"/>
        <w:spacing w:line="360" w:lineRule="auto"/>
        <w:ind w:firstLine="720"/>
        <w:rPr>
          <w:rFonts w:cs="BookAntiqua"/>
          <w:szCs w:val="26"/>
        </w:rPr>
      </w:pPr>
      <w:r>
        <w:rPr>
          <w:rFonts w:cs="BookAntiqua"/>
          <w:szCs w:val="26"/>
        </w:rPr>
        <w:lastRenderedPageBreak/>
        <w:t>Uber</w:t>
      </w:r>
      <w:r w:rsidR="00AF6FAA">
        <w:rPr>
          <w:rFonts w:cs="BookAntiqua"/>
          <w:szCs w:val="26"/>
        </w:rPr>
        <w:t xml:space="preserve"> </w:t>
      </w:r>
      <w:r w:rsidR="00B23677">
        <w:rPr>
          <w:rFonts w:cs="BookAntiqua"/>
          <w:szCs w:val="26"/>
        </w:rPr>
        <w:t xml:space="preserve">recommends that TNCs </w:t>
      </w:r>
      <w:r w:rsidR="003D2799">
        <w:rPr>
          <w:rFonts w:cs="BookAntiqua"/>
          <w:szCs w:val="26"/>
        </w:rPr>
        <w:t>be required to</w:t>
      </w:r>
      <w:r w:rsidR="00B23677">
        <w:rPr>
          <w:rFonts w:cs="BookAntiqua"/>
          <w:szCs w:val="26"/>
        </w:rPr>
        <w:t xml:space="preserve"> retain </w:t>
      </w:r>
      <w:r w:rsidR="00FE4F49">
        <w:rPr>
          <w:rFonts w:cs="BookAntiqua"/>
          <w:szCs w:val="26"/>
        </w:rPr>
        <w:t xml:space="preserve">records </w:t>
      </w:r>
      <w:r w:rsidR="003D2799">
        <w:rPr>
          <w:rFonts w:cs="BookAntiqua"/>
          <w:szCs w:val="26"/>
        </w:rPr>
        <w:t>for</w:t>
      </w:r>
      <w:r w:rsidR="00B23677">
        <w:rPr>
          <w:rFonts w:cs="BookAntiqua"/>
          <w:szCs w:val="26"/>
        </w:rPr>
        <w:t xml:space="preserve"> one year.</w:t>
      </w:r>
      <w:r w:rsidR="001371BC">
        <w:rPr>
          <w:rStyle w:val="FootnoteReference"/>
          <w:rFonts w:cs="BookAntiqua"/>
          <w:szCs w:val="26"/>
        </w:rPr>
        <w:footnoteReference w:id="112"/>
      </w:r>
      <w:r w:rsidR="00E13F49">
        <w:rPr>
          <w:rFonts w:cs="BookAntiqua"/>
          <w:szCs w:val="26"/>
        </w:rPr>
        <w:t xml:space="preserve">  </w:t>
      </w:r>
      <w:r w:rsidR="003D2799">
        <w:rPr>
          <w:rFonts w:cs="BookAntiqua"/>
          <w:szCs w:val="26"/>
        </w:rPr>
        <w:t>Disability Advocates</w:t>
      </w:r>
      <w:r w:rsidR="00E13F49">
        <w:rPr>
          <w:rFonts w:cs="BookAntiqua"/>
          <w:szCs w:val="26"/>
        </w:rPr>
        <w:t xml:space="preserve"> </w:t>
      </w:r>
      <w:r w:rsidR="00287089">
        <w:rPr>
          <w:rFonts w:cs="BookAntiqua"/>
          <w:szCs w:val="26"/>
        </w:rPr>
        <w:t>note</w:t>
      </w:r>
      <w:r w:rsidR="00E13F49">
        <w:rPr>
          <w:rFonts w:cs="BookAntiqua"/>
          <w:szCs w:val="26"/>
        </w:rPr>
        <w:t xml:space="preserve"> that </w:t>
      </w:r>
      <w:r w:rsidR="00FE4F49">
        <w:rPr>
          <w:rFonts w:cs="BookAntiqua"/>
          <w:szCs w:val="26"/>
        </w:rPr>
        <w:t xml:space="preserve">DOT </w:t>
      </w:r>
      <w:r w:rsidR="00E13F49">
        <w:rPr>
          <w:rFonts w:cs="BookAntiqua"/>
          <w:szCs w:val="26"/>
        </w:rPr>
        <w:t xml:space="preserve">regulations require maintenance of records for </w:t>
      </w:r>
      <w:r w:rsidR="00FE4F49">
        <w:rPr>
          <w:rFonts w:cs="BookAntiqua"/>
          <w:szCs w:val="26"/>
        </w:rPr>
        <w:t>three</w:t>
      </w:r>
      <w:r w:rsidR="00E13F49">
        <w:rPr>
          <w:rFonts w:cs="BookAntiqua"/>
          <w:szCs w:val="26"/>
        </w:rPr>
        <w:t xml:space="preserve"> years</w:t>
      </w:r>
      <w:r w:rsidR="00287089">
        <w:rPr>
          <w:rFonts w:cs="BookAntiqua"/>
          <w:szCs w:val="26"/>
        </w:rPr>
        <w:t xml:space="preserve"> and</w:t>
      </w:r>
      <w:r w:rsidR="0066009B">
        <w:rPr>
          <w:rFonts w:cs="BookAntiqua"/>
          <w:szCs w:val="26"/>
        </w:rPr>
        <w:t xml:space="preserve"> SFTWA </w:t>
      </w:r>
      <w:r w:rsidR="00287089">
        <w:rPr>
          <w:rFonts w:cs="BookAntiqua"/>
          <w:szCs w:val="26"/>
        </w:rPr>
        <w:t>states that</w:t>
      </w:r>
      <w:r w:rsidR="0066009B">
        <w:rPr>
          <w:rFonts w:cs="BookAntiqua"/>
          <w:szCs w:val="26"/>
        </w:rPr>
        <w:t xml:space="preserve"> records should be </w:t>
      </w:r>
      <w:r w:rsidR="00287089">
        <w:rPr>
          <w:rFonts w:cs="BookAntiqua"/>
          <w:szCs w:val="26"/>
        </w:rPr>
        <w:t>kept</w:t>
      </w:r>
      <w:r w:rsidR="0066009B">
        <w:rPr>
          <w:rFonts w:cs="BookAntiqua"/>
          <w:szCs w:val="26"/>
        </w:rPr>
        <w:t xml:space="preserve"> for 10 years.</w:t>
      </w:r>
      <w:r w:rsidR="0066009B">
        <w:rPr>
          <w:rStyle w:val="FootnoteReference"/>
          <w:rFonts w:cs="BookAntiqua"/>
          <w:szCs w:val="26"/>
        </w:rPr>
        <w:footnoteReference w:id="113"/>
      </w:r>
    </w:p>
    <w:p w:rsidR="006F6F20" w:rsidP="00466992" w:rsidRDefault="008450C7" w14:paraId="2951A295" w14:textId="13CE0462">
      <w:pPr>
        <w:pStyle w:val="Heading3"/>
        <w:keepLines/>
        <w:numPr>
          <w:ilvl w:val="2"/>
          <w:numId w:val="1"/>
        </w:numPr>
        <w:tabs>
          <w:tab w:val="clear" w:pos="1620"/>
          <w:tab w:val="num" w:pos="1656"/>
        </w:tabs>
        <w:spacing w:before="0"/>
        <w:ind w:left="1656" w:right="2160" w:hanging="936"/>
      </w:pPr>
      <w:bookmarkStart w:name="_Toc65585477" w:id="48"/>
      <w:r>
        <w:t>Discussion</w:t>
      </w:r>
      <w:bookmarkEnd w:id="48"/>
    </w:p>
    <w:p w:rsidR="008450C7" w:rsidP="008450C7" w:rsidRDefault="003D2799" w14:paraId="1F256343" w14:textId="51403969">
      <w:pPr>
        <w:pStyle w:val="ALJBodyText"/>
      </w:pPr>
      <w:r>
        <w:t>We</w:t>
      </w:r>
      <w:r w:rsidR="008450C7">
        <w:t xml:space="preserve"> find consensus among parties in support of CPED’s broader proposal, with modifications.  </w:t>
      </w:r>
      <w:r w:rsidR="00FE4F49">
        <w:t>With respect to</w:t>
      </w:r>
      <w:r w:rsidR="008450C7">
        <w:t xml:space="preserve"> CPED’s first and second </w:t>
      </w:r>
      <w:r w:rsidR="00970F66">
        <w:t>requirements</w:t>
      </w:r>
      <w:r w:rsidR="008450C7">
        <w:t xml:space="preserve">, we </w:t>
      </w:r>
      <w:r>
        <w:t>concur</w:t>
      </w:r>
      <w:r w:rsidR="008450C7">
        <w:t xml:space="preserve"> with Uber that these can be combined into one requirement by adding “transporting peoples with disabilities.”  This requirement is also consistent with the requirement adopted </w:t>
      </w:r>
      <w:r w:rsidR="00FE4F49">
        <w:t xml:space="preserve">in D.20-03-007 </w:t>
      </w:r>
      <w:r w:rsidR="008450C7">
        <w:t xml:space="preserve">for </w:t>
      </w:r>
      <w:r w:rsidR="00FE4F49">
        <w:t xml:space="preserve">TNCs requesting offsets and </w:t>
      </w:r>
      <w:r w:rsidR="00A72CB9">
        <w:t>Access Provider</w:t>
      </w:r>
      <w:r w:rsidR="00FE4F49">
        <w:t xml:space="preserve">s seeking funding.  </w:t>
      </w:r>
      <w:r w:rsidR="008450C7">
        <w:t>Accordingly, the following</w:t>
      </w:r>
      <w:r w:rsidR="00970F66">
        <w:t xml:space="preserve"> </w:t>
      </w:r>
      <w:r>
        <w:t>shall be added to the TNC permit requirements</w:t>
      </w:r>
      <w:r w:rsidR="008450C7">
        <w:t xml:space="preserve">: </w:t>
      </w:r>
    </w:p>
    <w:p w:rsidR="00FE4F49" w:rsidP="00542F63" w:rsidRDefault="00FE4F49" w14:paraId="531A9F19" w14:textId="27E7551A">
      <w:pPr>
        <w:autoSpaceDE w:val="0"/>
        <w:autoSpaceDN w:val="0"/>
        <w:adjustRightInd w:val="0"/>
        <w:spacing w:after="120"/>
        <w:ind w:left="720" w:right="1440"/>
        <w:rPr>
          <w:rFonts w:cs="BookAntiqua"/>
          <w:szCs w:val="26"/>
        </w:rPr>
      </w:pPr>
      <w:r>
        <w:rPr>
          <w:rFonts w:cs="BookAntiqua"/>
          <w:szCs w:val="26"/>
        </w:rPr>
        <w:t>Certification</w:t>
      </w:r>
      <w:r w:rsidRPr="008450C7" w:rsidR="008450C7">
        <w:rPr>
          <w:rFonts w:cs="BookAntiqua"/>
          <w:szCs w:val="26"/>
        </w:rPr>
        <w:t xml:space="preserve"> that </w:t>
      </w:r>
      <w:r>
        <w:rPr>
          <w:rFonts w:cs="BookAntiqua"/>
          <w:szCs w:val="26"/>
        </w:rPr>
        <w:t xml:space="preserve">all </w:t>
      </w:r>
      <w:r w:rsidRPr="008450C7" w:rsidR="008450C7">
        <w:rPr>
          <w:rFonts w:cs="BookAntiqua"/>
          <w:szCs w:val="26"/>
        </w:rPr>
        <w:t xml:space="preserve">WAV drivers operating on a TNC’s application or platform </w:t>
      </w:r>
      <w:r>
        <w:rPr>
          <w:rFonts w:cs="BookAntiqua"/>
          <w:szCs w:val="26"/>
        </w:rPr>
        <w:t xml:space="preserve">have </w:t>
      </w:r>
      <w:r w:rsidRPr="008450C7" w:rsidR="008450C7">
        <w:rPr>
          <w:rFonts w:cs="BookAntiqua"/>
          <w:szCs w:val="26"/>
        </w:rPr>
        <w:t xml:space="preserve">completed driver training </w:t>
      </w:r>
      <w:r w:rsidR="008450C7">
        <w:rPr>
          <w:rFonts w:cs="BookAntiqua"/>
          <w:szCs w:val="26"/>
        </w:rPr>
        <w:t xml:space="preserve">on transporting peoples with disabilities </w:t>
      </w:r>
      <w:r w:rsidRPr="008450C7" w:rsidR="008450C7">
        <w:rPr>
          <w:rFonts w:cs="BookAntiqua"/>
          <w:szCs w:val="26"/>
        </w:rPr>
        <w:t xml:space="preserve">within the past </w:t>
      </w:r>
      <w:r>
        <w:rPr>
          <w:rFonts w:cs="BookAntiqua"/>
          <w:szCs w:val="26"/>
        </w:rPr>
        <w:t>three</w:t>
      </w:r>
      <w:r w:rsidRPr="008450C7" w:rsidR="008450C7">
        <w:rPr>
          <w:rFonts w:cs="BookAntiqua"/>
          <w:szCs w:val="26"/>
        </w:rPr>
        <w:t xml:space="preserve"> years, including sensitivity training, passenger assistance techniques, accessibility equipment use, door-to-door service, and safety procedures</w:t>
      </w:r>
      <w:r w:rsidR="008450C7">
        <w:rPr>
          <w:rFonts w:cs="BookAntiqua"/>
          <w:szCs w:val="26"/>
        </w:rPr>
        <w:t>.</w:t>
      </w:r>
    </w:p>
    <w:p w:rsidR="008450C7" w:rsidP="00542F63" w:rsidRDefault="00970F66" w14:paraId="4479ABA8" w14:textId="71F04FF8">
      <w:pPr>
        <w:pStyle w:val="Standard0"/>
        <w:spacing w:before="240"/>
      </w:pPr>
      <w:r>
        <w:t>R</w:t>
      </w:r>
      <w:r w:rsidR="008450C7">
        <w:t>egarding CPED’s third requirement, we agree with SFTWA</w:t>
      </w:r>
      <w:r>
        <w:t xml:space="preserve"> </w:t>
      </w:r>
      <w:r w:rsidR="008450C7">
        <w:t>that even if</w:t>
      </w:r>
      <w:r w:rsidR="00210705">
        <w:t xml:space="preserve"> WAV equipment passed initial inspection based on ADA </w:t>
      </w:r>
      <w:r w:rsidR="00612C24">
        <w:t>s</w:t>
      </w:r>
      <w:r w:rsidR="00210705">
        <w:t xml:space="preserve">pecifications, it is </w:t>
      </w:r>
      <w:r w:rsidR="003D2799">
        <w:t>important</w:t>
      </w:r>
      <w:r w:rsidR="00210705">
        <w:t xml:space="preserve"> to continuously inspect the equipment for wear </w:t>
      </w:r>
      <w:r w:rsidR="007F54A1">
        <w:t>and</w:t>
      </w:r>
      <w:r w:rsidR="00210705">
        <w:t xml:space="preserve"> defects.  CPED’s third requirement </w:t>
      </w:r>
      <w:r>
        <w:t>is</w:t>
      </w:r>
      <w:r w:rsidR="00210705">
        <w:t xml:space="preserve"> </w:t>
      </w:r>
      <w:r w:rsidR="003D2799">
        <w:t xml:space="preserve">thus </w:t>
      </w:r>
      <w:r w:rsidR="00210705">
        <w:t xml:space="preserve">reasonable </w:t>
      </w:r>
      <w:r w:rsidR="00B26ECA">
        <w:t xml:space="preserve">and consistent with the </w:t>
      </w:r>
      <w:r w:rsidR="0024726F">
        <w:t xml:space="preserve">inspection </w:t>
      </w:r>
      <w:r w:rsidR="00B26ECA">
        <w:t>requirement adopted in D.20-03-007</w:t>
      </w:r>
      <w:r w:rsidR="0024726F">
        <w:t xml:space="preserve"> for TNCs seeking an offset and </w:t>
      </w:r>
      <w:r w:rsidR="00A72CB9">
        <w:t>Access Provider</w:t>
      </w:r>
      <w:r w:rsidR="0024726F">
        <w:t>s seeking funding</w:t>
      </w:r>
      <w:r w:rsidR="00B26ECA">
        <w:t xml:space="preserve">.  Accordingly, the following </w:t>
      </w:r>
      <w:r w:rsidR="003D2799">
        <w:t>shall be added to the TNC permit requirements</w:t>
      </w:r>
      <w:r w:rsidR="00210705">
        <w:t>:</w:t>
      </w:r>
    </w:p>
    <w:p w:rsidRPr="00210705" w:rsidR="008450C7" w:rsidP="005C4794" w:rsidRDefault="0024726F" w14:paraId="22CA2939" w14:textId="77943C4F">
      <w:pPr>
        <w:autoSpaceDE w:val="0"/>
        <w:autoSpaceDN w:val="0"/>
        <w:adjustRightInd w:val="0"/>
        <w:spacing w:after="240"/>
        <w:ind w:left="720" w:right="1440"/>
        <w:rPr>
          <w:rFonts w:cs="BookAntiqua"/>
          <w:szCs w:val="26"/>
        </w:rPr>
      </w:pPr>
      <w:r>
        <w:rPr>
          <w:rFonts w:cs="Calibri"/>
          <w:szCs w:val="26"/>
        </w:rPr>
        <w:lastRenderedPageBreak/>
        <w:t>Certification</w:t>
      </w:r>
      <w:r w:rsidRPr="00210705" w:rsidR="008450C7">
        <w:rPr>
          <w:rFonts w:cs="Calibri"/>
          <w:szCs w:val="26"/>
        </w:rPr>
        <w:t xml:space="preserve"> that all WAVs operating on </w:t>
      </w:r>
      <w:r>
        <w:rPr>
          <w:rFonts w:cs="Calibri"/>
          <w:szCs w:val="26"/>
        </w:rPr>
        <w:t>a TNC’s</w:t>
      </w:r>
      <w:r w:rsidRPr="00210705" w:rsidR="008450C7">
        <w:rPr>
          <w:rFonts w:cs="Calibri"/>
          <w:szCs w:val="26"/>
        </w:rPr>
        <w:t xml:space="preserve"> </w:t>
      </w:r>
      <w:r>
        <w:rPr>
          <w:rFonts w:cs="Calibri"/>
          <w:szCs w:val="26"/>
        </w:rPr>
        <w:t xml:space="preserve">application or </w:t>
      </w:r>
      <w:r w:rsidRPr="00210705" w:rsidR="008450C7">
        <w:rPr>
          <w:rFonts w:cs="Calibri"/>
          <w:szCs w:val="26"/>
        </w:rPr>
        <w:t>platform have been inspected and approved to conform with the ADA Accessibility Specifications for Transportation Vehicles within the past year</w:t>
      </w:r>
      <w:r w:rsidR="00210705">
        <w:rPr>
          <w:rFonts w:cs="Calibri"/>
          <w:szCs w:val="26"/>
        </w:rPr>
        <w:t>.</w:t>
      </w:r>
    </w:p>
    <w:p w:rsidR="00DA37FA" w:rsidP="00FA0F04" w:rsidRDefault="00970F66" w14:paraId="55354F8F" w14:textId="50358CFA">
      <w:pPr>
        <w:pStyle w:val="Standard0"/>
        <w:spacing w:before="240"/>
      </w:pPr>
      <w:r>
        <w:t>The Commission</w:t>
      </w:r>
      <w:r w:rsidR="00DA37FA">
        <w:t xml:space="preserve"> </w:t>
      </w:r>
      <w:r>
        <w:t>agrees that</w:t>
      </w:r>
      <w:r w:rsidR="00DA37FA">
        <w:t xml:space="preserve"> CPED’s fourth requirement </w:t>
      </w:r>
      <w:r>
        <w:t>is an</w:t>
      </w:r>
      <w:r w:rsidR="00DA37FA">
        <w:t xml:space="preserve"> important </w:t>
      </w:r>
      <w:r>
        <w:t>addition to the 19-point vehicle safety inspection</w:t>
      </w:r>
      <w:r w:rsidR="00DA37FA">
        <w:t xml:space="preserve">.  Accordingly, </w:t>
      </w:r>
      <w:r w:rsidRPr="00DA37FA" w:rsidR="00DA37FA">
        <w:t xml:space="preserve">inspection of a WAV’s adaptive equipment </w:t>
      </w:r>
      <w:r w:rsidR="002D4604">
        <w:t xml:space="preserve">by a facility qualified to inspect such equipment </w:t>
      </w:r>
      <w:r>
        <w:t>shall be added to</w:t>
      </w:r>
      <w:r w:rsidRPr="00DA37FA" w:rsidR="00DA37FA">
        <w:t xml:space="preserve"> the annual “19-point” vehicle safety inspection </w:t>
      </w:r>
      <w:r w:rsidR="003D2799">
        <w:t>for a TNC permit</w:t>
      </w:r>
      <w:r w:rsidR="00DA37FA">
        <w:t>.</w:t>
      </w:r>
    </w:p>
    <w:p w:rsidR="00B26ECA" w:rsidP="005C4794" w:rsidRDefault="00B26ECA" w14:paraId="26FCF887" w14:textId="5EADF90D">
      <w:pPr>
        <w:pStyle w:val="Standard0"/>
      </w:pPr>
      <w:r>
        <w:t xml:space="preserve">CPED’s </w:t>
      </w:r>
      <w:r w:rsidR="00396CBB">
        <w:t xml:space="preserve">fifth requirement </w:t>
      </w:r>
      <w:r>
        <w:t>that documentation of WAV driver training and inspections should be maintained by TNCs</w:t>
      </w:r>
      <w:r w:rsidR="00396CBB">
        <w:t xml:space="preserve"> </w:t>
      </w:r>
      <w:r w:rsidR="0024726F">
        <w:t>is</w:t>
      </w:r>
      <w:r w:rsidR="00396CBB">
        <w:t xml:space="preserve"> reasonable</w:t>
      </w:r>
      <w:r>
        <w:t xml:space="preserve">.  </w:t>
      </w:r>
      <w:r w:rsidR="00CD73A9">
        <w:t xml:space="preserve">We </w:t>
      </w:r>
      <w:r>
        <w:t xml:space="preserve">agree with </w:t>
      </w:r>
      <w:r w:rsidR="003D2799">
        <w:t>Disability Advocates’</w:t>
      </w:r>
      <w:r>
        <w:t xml:space="preserve"> </w:t>
      </w:r>
      <w:r w:rsidR="00396CBB">
        <w:t>proposal</w:t>
      </w:r>
      <w:r>
        <w:t xml:space="preserve"> for a </w:t>
      </w:r>
      <w:r w:rsidR="0024726F">
        <w:t>three</w:t>
      </w:r>
      <w:r>
        <w:t xml:space="preserve">-year retention period consistent with </w:t>
      </w:r>
      <w:r w:rsidR="0024726F">
        <w:t>DOT</w:t>
      </w:r>
      <w:r>
        <w:t xml:space="preserve"> requirements.  Accordingly, the following </w:t>
      </w:r>
      <w:r w:rsidR="003D2799">
        <w:t xml:space="preserve">shall be added to the </w:t>
      </w:r>
      <w:r w:rsidR="00396CBB">
        <w:t>TNC permit</w:t>
      </w:r>
      <w:r w:rsidR="003D2799">
        <w:t xml:space="preserve"> requirements</w:t>
      </w:r>
      <w:r>
        <w:t>:</w:t>
      </w:r>
    </w:p>
    <w:p w:rsidR="008450C7" w:rsidP="00FB0BF0" w:rsidRDefault="0024726F" w14:paraId="77701B09" w14:textId="4E4CA4AE">
      <w:pPr>
        <w:autoSpaceDE w:val="0"/>
        <w:autoSpaceDN w:val="0"/>
        <w:adjustRightInd w:val="0"/>
        <w:spacing w:after="120"/>
        <w:ind w:left="720" w:right="1440"/>
        <w:rPr>
          <w:rFonts w:cs="BookAntiqua"/>
          <w:szCs w:val="26"/>
        </w:rPr>
      </w:pPr>
      <w:r>
        <w:rPr>
          <w:rFonts w:cs="Calibri"/>
          <w:szCs w:val="26"/>
        </w:rPr>
        <w:t>Retention</w:t>
      </w:r>
      <w:r w:rsidRPr="00B26ECA" w:rsidR="00B26ECA">
        <w:rPr>
          <w:rFonts w:cs="Calibri"/>
          <w:szCs w:val="26"/>
        </w:rPr>
        <w:t xml:space="preserve"> of WAV driver training and vehicle safety inspections to support certifications for any WAV drivers or WAV operating on a TNC’s platform</w:t>
      </w:r>
      <w:r w:rsidR="00B26ECA">
        <w:rPr>
          <w:rFonts w:cs="Calibri"/>
          <w:szCs w:val="26"/>
        </w:rPr>
        <w:t xml:space="preserve"> for a period of </w:t>
      </w:r>
      <w:r>
        <w:rPr>
          <w:rFonts w:cs="Calibri"/>
          <w:szCs w:val="26"/>
        </w:rPr>
        <w:t>three</w:t>
      </w:r>
      <w:r w:rsidR="00B26ECA">
        <w:rPr>
          <w:rFonts w:cs="Calibri"/>
          <w:szCs w:val="26"/>
        </w:rPr>
        <w:t xml:space="preserve"> years</w:t>
      </w:r>
      <w:r w:rsidRPr="00B26ECA" w:rsidR="00B26ECA">
        <w:rPr>
          <w:rFonts w:cs="BookAntiqua"/>
          <w:szCs w:val="26"/>
        </w:rPr>
        <w:t>.</w:t>
      </w:r>
    </w:p>
    <w:p w:rsidR="00396CBB" w:rsidP="00FA0F04" w:rsidRDefault="0024726F" w14:paraId="4037F140" w14:textId="32FE2247">
      <w:pPr>
        <w:pStyle w:val="Standard0"/>
        <w:spacing w:before="240"/>
      </w:pPr>
      <w:r>
        <w:t xml:space="preserve">Lastly, </w:t>
      </w:r>
      <w:r w:rsidR="003D2799">
        <w:t xml:space="preserve">the </w:t>
      </w:r>
      <w:r w:rsidR="00531BB2">
        <w:t>adopted</w:t>
      </w:r>
      <w:r w:rsidR="003D2799">
        <w:t xml:space="preserve"> additions to the TNC permit requirements shall only apply to </w:t>
      </w:r>
      <w:r w:rsidR="00531BB2">
        <w:t xml:space="preserve">the extent a </w:t>
      </w:r>
      <w:r w:rsidR="003D2799">
        <w:t>TN</w:t>
      </w:r>
      <w:r w:rsidR="00531BB2">
        <w:t>C is operating WAVs</w:t>
      </w:r>
      <w:r w:rsidR="00BA07C6">
        <w:t>, using a contractor to operate WAVs,</w:t>
      </w:r>
      <w:r w:rsidR="00531BB2">
        <w:t xml:space="preserve"> or using WAV drivers</w:t>
      </w:r>
      <w:r w:rsidR="00396CBB">
        <w:t xml:space="preserve">.  </w:t>
      </w:r>
    </w:p>
    <w:p w:rsidR="00396CBB" w:rsidP="00466992" w:rsidRDefault="00396CBB" w14:paraId="13B4A430" w14:textId="11459726">
      <w:pPr>
        <w:pStyle w:val="Heading2"/>
        <w:keepLines/>
        <w:numPr>
          <w:ilvl w:val="1"/>
          <w:numId w:val="1"/>
        </w:numPr>
        <w:tabs>
          <w:tab w:val="num" w:pos="1080"/>
        </w:tabs>
        <w:spacing w:before="0"/>
        <w:ind w:left="1080" w:right="2160" w:hanging="720"/>
      </w:pPr>
      <w:bookmarkStart w:name="_Toc65585478" w:id="49"/>
      <w:r>
        <w:t>Additional Accessibility Needs</w:t>
      </w:r>
      <w:bookmarkEnd w:id="49"/>
    </w:p>
    <w:p w:rsidR="00A21F64" w:rsidP="00A21F64" w:rsidRDefault="00997F0B" w14:paraId="119B557A" w14:textId="09CC432D">
      <w:pPr>
        <w:pStyle w:val="ALJBodyText"/>
        <w:rPr>
          <w:rFonts w:cs="BookAntiqua"/>
          <w:szCs w:val="26"/>
        </w:rPr>
      </w:pPr>
      <w:r>
        <w:t>We next</w:t>
      </w:r>
      <w:r w:rsidR="00A21F64">
        <w:t xml:space="preserve"> consider what additional issues</w:t>
      </w:r>
      <w:r w:rsidR="00B94B5D">
        <w:t xml:space="preserve"> </w:t>
      </w:r>
      <w:r w:rsidR="00A21F64">
        <w:t xml:space="preserve">should </w:t>
      </w:r>
      <w:r w:rsidRPr="00A8127D" w:rsidR="00A21F64">
        <w:rPr>
          <w:rFonts w:cs="BookAntiqua"/>
          <w:szCs w:val="26"/>
        </w:rPr>
        <w:t>be addressed related to the accessibility needs of persons with disabilities who do not require WAVs, including persons with hearing and vision impairments, persons who require the assistance of service animals, and/or ambulatory persons with disabilities</w:t>
      </w:r>
      <w:r w:rsidR="00A21F64">
        <w:rPr>
          <w:rFonts w:cs="BookAntiqua"/>
          <w:szCs w:val="26"/>
        </w:rPr>
        <w:t>.</w:t>
      </w:r>
    </w:p>
    <w:p w:rsidR="00A21F64" w:rsidP="008D76D4" w:rsidRDefault="00B94B5D" w14:paraId="1B9367F1" w14:textId="4AC5988B">
      <w:pPr>
        <w:autoSpaceDE w:val="0"/>
        <w:autoSpaceDN w:val="0"/>
        <w:adjustRightInd w:val="0"/>
        <w:spacing w:line="360" w:lineRule="auto"/>
        <w:ind w:firstLine="720"/>
        <w:rPr>
          <w:rFonts w:cs="BookAntiqua"/>
          <w:szCs w:val="26"/>
        </w:rPr>
      </w:pPr>
      <w:r>
        <w:rPr>
          <w:rFonts w:cs="BookAntiqua"/>
          <w:szCs w:val="26"/>
        </w:rPr>
        <w:lastRenderedPageBreak/>
        <w:t>Disability Advocates</w:t>
      </w:r>
      <w:r w:rsidR="00A21F64">
        <w:rPr>
          <w:rFonts w:cs="BookAntiqua"/>
          <w:szCs w:val="26"/>
        </w:rPr>
        <w:t xml:space="preserve"> raise </w:t>
      </w:r>
      <w:r w:rsidR="001C1AB7">
        <w:rPr>
          <w:rFonts w:cs="BookAntiqua"/>
          <w:szCs w:val="26"/>
        </w:rPr>
        <w:t>various</w:t>
      </w:r>
      <w:r w:rsidR="00A21F64">
        <w:rPr>
          <w:rFonts w:cs="BookAntiqua"/>
          <w:szCs w:val="26"/>
        </w:rPr>
        <w:t xml:space="preserve"> topics that should be addressed</w:t>
      </w:r>
      <w:r w:rsidR="001C1AB7">
        <w:rPr>
          <w:rFonts w:cs="BookAntiqua"/>
          <w:szCs w:val="26"/>
        </w:rPr>
        <w:t xml:space="preserve"> in this proceeding, such as</w:t>
      </w:r>
      <w:r>
        <w:rPr>
          <w:rFonts w:cs="BookAntiqua"/>
          <w:szCs w:val="26"/>
        </w:rPr>
        <w:t>:</w:t>
      </w:r>
      <w:r w:rsidR="001C1AB7">
        <w:rPr>
          <w:rFonts w:cs="BookAntiqua"/>
          <w:szCs w:val="26"/>
        </w:rPr>
        <w:t xml:space="preserve"> </w:t>
      </w:r>
      <w:r w:rsidR="00A21F64">
        <w:rPr>
          <w:rFonts w:cs="BookAntiqua"/>
          <w:szCs w:val="26"/>
        </w:rPr>
        <w:t>accessibility of website/smartphone applications</w:t>
      </w:r>
      <w:r>
        <w:rPr>
          <w:rFonts w:cs="BookAntiqua"/>
          <w:szCs w:val="26"/>
        </w:rPr>
        <w:t xml:space="preserve"> (</w:t>
      </w:r>
      <w:r w:rsidRPr="00542F63">
        <w:rPr>
          <w:rFonts w:cs="BookAntiqua"/>
          <w:i/>
          <w:iCs/>
          <w:szCs w:val="26"/>
        </w:rPr>
        <w:t>i.e.</w:t>
      </w:r>
      <w:r>
        <w:rPr>
          <w:rFonts w:cs="BookAntiqua"/>
          <w:szCs w:val="26"/>
        </w:rPr>
        <w:t xml:space="preserve"> large text, screenreader, voice to text services)</w:t>
      </w:r>
      <w:r w:rsidR="00612C24">
        <w:rPr>
          <w:rFonts w:cs="BookAntiqua"/>
          <w:szCs w:val="26"/>
        </w:rPr>
        <w:t>;</w:t>
      </w:r>
      <w:r w:rsidR="00A21F64">
        <w:rPr>
          <w:rFonts w:cs="BookAntiqua"/>
          <w:szCs w:val="26"/>
        </w:rPr>
        <w:t xml:space="preserve"> accessibility of vehicles for customers with mobility disabilit</w:t>
      </w:r>
      <w:r w:rsidR="00612C24">
        <w:rPr>
          <w:rFonts w:cs="BookAntiqua"/>
          <w:szCs w:val="26"/>
        </w:rPr>
        <w:t>ies</w:t>
      </w:r>
      <w:r w:rsidR="00A21F64">
        <w:rPr>
          <w:rFonts w:cs="BookAntiqua"/>
          <w:szCs w:val="26"/>
        </w:rPr>
        <w:t xml:space="preserve"> that do not require WAVs, including manual wheelchair users</w:t>
      </w:r>
      <w:r w:rsidR="00612C24">
        <w:rPr>
          <w:rFonts w:cs="BookAntiqua"/>
          <w:szCs w:val="26"/>
        </w:rPr>
        <w:t>;</w:t>
      </w:r>
      <w:r w:rsidR="00A21F64">
        <w:rPr>
          <w:rFonts w:cs="BookAntiqua"/>
          <w:szCs w:val="26"/>
        </w:rPr>
        <w:t xml:space="preserve"> and acknowledgement of the obligation to allow service animals to accompany disabled customers.</w:t>
      </w:r>
      <w:r w:rsidR="00A21F64">
        <w:rPr>
          <w:rStyle w:val="FootnoteReference"/>
          <w:rFonts w:cs="BookAntiqua"/>
          <w:szCs w:val="26"/>
        </w:rPr>
        <w:footnoteReference w:id="114"/>
      </w:r>
      <w:r w:rsidR="00A21F64">
        <w:rPr>
          <w:rFonts w:cs="BookAntiqua"/>
          <w:szCs w:val="26"/>
        </w:rPr>
        <w:t xml:space="preserve">  Marin Transit </w:t>
      </w:r>
      <w:r>
        <w:rPr>
          <w:rFonts w:cs="BookAntiqua"/>
          <w:szCs w:val="26"/>
        </w:rPr>
        <w:t>proposes</w:t>
      </w:r>
      <w:r w:rsidR="00A21F64">
        <w:rPr>
          <w:rFonts w:cs="BookAntiqua"/>
          <w:szCs w:val="26"/>
        </w:rPr>
        <w:t xml:space="preserve"> that those traveling with a personal care attendan</w:t>
      </w:r>
      <w:r w:rsidR="001C1AB7">
        <w:rPr>
          <w:rFonts w:cs="BookAntiqua"/>
          <w:szCs w:val="26"/>
        </w:rPr>
        <w:t>t</w:t>
      </w:r>
      <w:r w:rsidR="00A21F64">
        <w:rPr>
          <w:rFonts w:cs="BookAntiqua"/>
          <w:szCs w:val="26"/>
        </w:rPr>
        <w:t xml:space="preserve"> should not be required to pay </w:t>
      </w:r>
      <w:r w:rsidR="00612C24">
        <w:rPr>
          <w:rFonts w:cs="BookAntiqua"/>
          <w:szCs w:val="26"/>
        </w:rPr>
        <w:t xml:space="preserve">an </w:t>
      </w:r>
      <w:r w:rsidR="00A21F64">
        <w:rPr>
          <w:rFonts w:cs="BookAntiqua"/>
          <w:szCs w:val="26"/>
        </w:rPr>
        <w:t xml:space="preserve">additional fare for the </w:t>
      </w:r>
      <w:r>
        <w:rPr>
          <w:rFonts w:cs="BookAntiqua"/>
          <w:szCs w:val="26"/>
        </w:rPr>
        <w:t>attendant</w:t>
      </w:r>
      <w:r w:rsidR="00A21F64">
        <w:rPr>
          <w:rFonts w:cs="BookAntiqua"/>
          <w:szCs w:val="26"/>
        </w:rPr>
        <w:t>.</w:t>
      </w:r>
      <w:r w:rsidR="00A21F64">
        <w:rPr>
          <w:rStyle w:val="FootnoteReference"/>
          <w:rFonts w:cs="BookAntiqua"/>
          <w:szCs w:val="26"/>
        </w:rPr>
        <w:footnoteReference w:id="115"/>
      </w:r>
      <w:r w:rsidR="008D76D4">
        <w:rPr>
          <w:rFonts w:cs="BookAntiqua"/>
          <w:szCs w:val="26"/>
        </w:rPr>
        <w:t xml:space="preserve">  </w:t>
      </w:r>
      <w:r w:rsidR="00A21F64">
        <w:rPr>
          <w:rFonts w:cs="BookAntiqua"/>
          <w:szCs w:val="26"/>
        </w:rPr>
        <w:t xml:space="preserve">Uber and Lyft </w:t>
      </w:r>
      <w:r>
        <w:rPr>
          <w:rFonts w:cs="BookAntiqua"/>
          <w:szCs w:val="26"/>
        </w:rPr>
        <w:t>state</w:t>
      </w:r>
      <w:r w:rsidR="001C1AB7">
        <w:rPr>
          <w:rFonts w:cs="BookAntiqua"/>
          <w:szCs w:val="26"/>
        </w:rPr>
        <w:t xml:space="preserve"> that</w:t>
      </w:r>
      <w:r w:rsidR="00A21F64">
        <w:rPr>
          <w:rFonts w:cs="BookAntiqua"/>
          <w:szCs w:val="26"/>
        </w:rPr>
        <w:t xml:space="preserve"> this proceeding should be focused on WAV-related issues and implementation of SB 1376.</w:t>
      </w:r>
      <w:r w:rsidR="00A21F64">
        <w:rPr>
          <w:rStyle w:val="FootnoteReference"/>
          <w:rFonts w:cs="BookAntiqua"/>
          <w:szCs w:val="26"/>
        </w:rPr>
        <w:footnoteReference w:id="116"/>
      </w:r>
      <w:r w:rsidR="00A21F64">
        <w:rPr>
          <w:rFonts w:cs="BookAntiqua"/>
          <w:szCs w:val="26"/>
        </w:rPr>
        <w:t xml:space="preserve">  Lyft </w:t>
      </w:r>
      <w:r>
        <w:rPr>
          <w:rFonts w:cs="BookAntiqua"/>
          <w:szCs w:val="26"/>
        </w:rPr>
        <w:t>advocates for</w:t>
      </w:r>
      <w:r w:rsidR="00A21F64">
        <w:rPr>
          <w:rFonts w:cs="BookAntiqua"/>
          <w:szCs w:val="26"/>
        </w:rPr>
        <w:t xml:space="preserve"> a new rulemaking to address further accessibility issues.  Uber and Lyft oppose requiring TNCs to make changes to their online apps</w:t>
      </w:r>
      <w:r>
        <w:rPr>
          <w:rFonts w:cs="BookAntiqua"/>
          <w:szCs w:val="26"/>
        </w:rPr>
        <w:t xml:space="preserve">, which should be </w:t>
      </w:r>
      <w:r w:rsidR="000C1B9E">
        <w:rPr>
          <w:rFonts w:cs="BookAntiqua"/>
          <w:szCs w:val="26"/>
        </w:rPr>
        <w:t>determined by</w:t>
      </w:r>
      <w:r>
        <w:rPr>
          <w:rFonts w:cs="BookAntiqua"/>
          <w:szCs w:val="26"/>
        </w:rPr>
        <w:t xml:space="preserve"> </w:t>
      </w:r>
      <w:r w:rsidR="00A21F64">
        <w:rPr>
          <w:rFonts w:cs="BookAntiqua"/>
          <w:szCs w:val="26"/>
        </w:rPr>
        <w:t>individual companies.</w:t>
      </w:r>
    </w:p>
    <w:p w:rsidR="008D76D4" w:rsidP="00FD2F13" w:rsidRDefault="00A21F64" w14:paraId="3BF86D1A" w14:textId="2BD63585">
      <w:pPr>
        <w:pStyle w:val="Standard0"/>
      </w:pPr>
      <w:r>
        <w:t xml:space="preserve">The Commission believes that </w:t>
      </w:r>
      <w:r w:rsidR="00066027">
        <w:t>considering</w:t>
      </w:r>
      <w:r>
        <w:t xml:space="preserve"> </w:t>
      </w:r>
      <w:r w:rsidR="008D76D4">
        <w:t xml:space="preserve">the </w:t>
      </w:r>
      <w:r w:rsidR="00B94B5D">
        <w:t xml:space="preserve">accessibility </w:t>
      </w:r>
      <w:r>
        <w:t xml:space="preserve">needs of persons with disabilities </w:t>
      </w:r>
      <w:r w:rsidR="00066027">
        <w:t xml:space="preserve">that do not require a WAV </w:t>
      </w:r>
      <w:r>
        <w:t xml:space="preserve">is </w:t>
      </w:r>
      <w:r w:rsidR="00066027">
        <w:t>an</w:t>
      </w:r>
      <w:r>
        <w:t xml:space="preserve"> important step to</w:t>
      </w:r>
      <w:r w:rsidR="00B94B5D">
        <w:t>wards</w:t>
      </w:r>
      <w:r>
        <w:t xml:space="preserve"> ensuring that TNCs are accessible and safe for persons with disabilities.  </w:t>
      </w:r>
      <w:r w:rsidR="008D76D4">
        <w:t xml:space="preserve">The intent of </w:t>
      </w:r>
      <w:r w:rsidR="00B94B5D">
        <w:t>SB 1376</w:t>
      </w:r>
      <w:r w:rsidR="008D76D4">
        <w:t xml:space="preserve"> </w:t>
      </w:r>
      <w:r w:rsidR="00B94B5D">
        <w:t xml:space="preserve">is not limited to a program solely for </w:t>
      </w:r>
      <w:r w:rsidR="008D76D4">
        <w:t>passengers</w:t>
      </w:r>
      <w:r w:rsidR="00B94B5D">
        <w:t xml:space="preserve"> that require a </w:t>
      </w:r>
      <w:r w:rsidR="000C1B9E">
        <w:t>WAV but</w:t>
      </w:r>
      <w:r w:rsidR="00B94B5D">
        <w:t xml:space="preserve"> </w:t>
      </w:r>
      <w:r w:rsidR="000C1B9E">
        <w:t>the intent is</w:t>
      </w:r>
      <w:r w:rsidR="008D76D4">
        <w:t xml:space="preserve"> to “ensure that transportation network company services do not discriminate against persons with </w:t>
      </w:r>
      <w:r w:rsidR="00B94B5D">
        <w:t xml:space="preserve">disabilities, including </w:t>
      </w:r>
      <w:r w:rsidR="008D76D4">
        <w:t>those</w:t>
      </w:r>
      <w:r w:rsidR="00B94B5D">
        <w:t xml:space="preserve"> who </w:t>
      </w:r>
      <w:r w:rsidR="008D76D4">
        <w:t>use nonfolding mobility devices.”</w:t>
      </w:r>
      <w:r w:rsidR="00B94B5D">
        <w:rPr>
          <w:rStyle w:val="FootnoteReference"/>
          <w:rFonts w:cs="BookAntiqua"/>
          <w:szCs w:val="26"/>
        </w:rPr>
        <w:footnoteReference w:id="117"/>
      </w:r>
      <w:r w:rsidR="00B94B5D">
        <w:t xml:space="preserve">  </w:t>
      </w:r>
    </w:p>
    <w:p w:rsidRPr="00B359FD" w:rsidR="00A21F64" w:rsidP="00FD2F13" w:rsidRDefault="000C1B9E" w14:paraId="57421D52" w14:textId="1979D99A">
      <w:pPr>
        <w:pStyle w:val="Standard0"/>
      </w:pPr>
      <w:r>
        <w:t>The</w:t>
      </w:r>
      <w:r w:rsidR="00066027">
        <w:t xml:space="preserve"> </w:t>
      </w:r>
      <w:r w:rsidR="00A21F64">
        <w:t xml:space="preserve">proposals </w:t>
      </w:r>
      <w:r w:rsidR="008D76D4">
        <w:t>submitted thus far</w:t>
      </w:r>
      <w:r>
        <w:t>, however,</w:t>
      </w:r>
      <w:r w:rsidR="008D76D4">
        <w:t xml:space="preserve"> </w:t>
      </w:r>
      <w:r w:rsidR="00066027">
        <w:t>lack</w:t>
      </w:r>
      <w:r w:rsidR="00A21F64">
        <w:t xml:space="preserve"> sufficient </w:t>
      </w:r>
      <w:r w:rsidR="00066027">
        <w:t xml:space="preserve">detail as to what </w:t>
      </w:r>
      <w:r w:rsidR="008D76D4">
        <w:t>should be considered or required</w:t>
      </w:r>
      <w:r>
        <w:t xml:space="preserve"> by the Commission</w:t>
      </w:r>
      <w:r w:rsidR="00A21F64">
        <w:t xml:space="preserve">.  </w:t>
      </w:r>
      <w:r w:rsidR="008D76D4">
        <w:t>In Track 4, p</w:t>
      </w:r>
      <w:r w:rsidR="00A21F64">
        <w:t xml:space="preserve">arties are </w:t>
      </w:r>
      <w:r w:rsidR="00A21F64">
        <w:lastRenderedPageBreak/>
        <w:t xml:space="preserve">encouraged to submit proposals </w:t>
      </w:r>
      <w:r w:rsidR="008D76D4">
        <w:t xml:space="preserve">on </w:t>
      </w:r>
      <w:r w:rsidR="00BA07C6">
        <w:t xml:space="preserve">which and how </w:t>
      </w:r>
      <w:r w:rsidR="008D76D4">
        <w:t>additional accessibility issues</w:t>
      </w:r>
      <w:r w:rsidR="00612C24">
        <w:t xml:space="preserve"> </w:t>
      </w:r>
      <w:r w:rsidR="00BA07C6">
        <w:t xml:space="preserve">should be considered </w:t>
      </w:r>
      <w:r w:rsidR="00612C24">
        <w:t>with specificity</w:t>
      </w:r>
      <w:r w:rsidR="008D76D4">
        <w:t>,</w:t>
      </w:r>
      <w:r w:rsidR="00A21F64">
        <w:t xml:space="preserve"> and TNCs </w:t>
      </w:r>
      <w:r w:rsidR="00066027">
        <w:t>should</w:t>
      </w:r>
      <w:r w:rsidR="00A21F64">
        <w:t xml:space="preserve"> provide comments on the submitted proposals.  </w:t>
      </w:r>
      <w:r w:rsidR="008D76D4">
        <w:t>Once proposals are submitted, the Commission may determine whether such issues are appropriately considered within this proceeding or in a separate rulemaking.</w:t>
      </w:r>
    </w:p>
    <w:p w:rsidR="0027207F" w:rsidP="00224875" w:rsidRDefault="0027207F" w14:paraId="2579172F" w14:textId="1D1A425F">
      <w:pPr>
        <w:pStyle w:val="Heading1"/>
        <w:keepLines/>
        <w:numPr>
          <w:ilvl w:val="0"/>
          <w:numId w:val="1"/>
        </w:numPr>
        <w:spacing w:before="0"/>
        <w:ind w:right="2160"/>
      </w:pPr>
      <w:bookmarkStart w:name="_Toc8123723" w:id="50"/>
      <w:bookmarkStart w:name="_Toc29213670" w:id="51"/>
      <w:bookmarkStart w:name="_Toc65585479" w:id="52"/>
      <w:bookmarkEnd w:id="13"/>
      <w:r>
        <w:t>Comments on Proposed Decision</w:t>
      </w:r>
      <w:bookmarkEnd w:id="50"/>
      <w:bookmarkEnd w:id="51"/>
      <w:bookmarkEnd w:id="52"/>
    </w:p>
    <w:p w:rsidR="00545532" w:rsidP="00FD2F13" w:rsidRDefault="00542F63" w14:paraId="1370F468" w14:textId="2FCBE5D9">
      <w:pPr>
        <w:pStyle w:val="Standard0"/>
      </w:pPr>
      <w:r>
        <w:t>The proposed decision of Commission</w:t>
      </w:r>
      <w:r w:rsidR="001C111B">
        <w:t xml:space="preserve">er Genevieve Shiroma in this matter was mailed to the parties in accordance with Section 311 of the Public Utilities Code and comments were allowed under Rule 14.3 of the Commission’s Rules of Practice and Procedure.  Comments were filed on </w:t>
      </w:r>
      <w:r w:rsidR="003D692C">
        <w:t>February 18, 2021</w:t>
      </w:r>
      <w:r w:rsidR="00FA0F04">
        <w:t>,</w:t>
      </w:r>
      <w:r w:rsidR="003D692C">
        <w:t xml:space="preserve"> by Disability Advocates, LA Metro, Lyft, San Francisco, Via, and Uber.</w:t>
      </w:r>
      <w:r w:rsidR="001C111B">
        <w:t xml:space="preserve"> </w:t>
      </w:r>
      <w:r w:rsidR="003D692C">
        <w:t xml:space="preserve"> R</w:t>
      </w:r>
      <w:r w:rsidR="001C111B">
        <w:t xml:space="preserve">eply comments were filed on </w:t>
      </w:r>
      <w:r w:rsidR="003D692C">
        <w:t>February 23, 2021</w:t>
      </w:r>
      <w:r w:rsidR="00FA0F04">
        <w:t>,</w:t>
      </w:r>
      <w:r w:rsidR="001C111B">
        <w:t xml:space="preserve"> by </w:t>
      </w:r>
      <w:r w:rsidR="00CE1716">
        <w:t>Disability Advocates, Lyft, San</w:t>
      </w:r>
      <w:r w:rsidR="00FA0F04">
        <w:t> </w:t>
      </w:r>
      <w:r w:rsidR="00CE1716">
        <w:t>Francisco, SFTWA and Uber.</w:t>
      </w:r>
      <w:r w:rsidRPr="00C878D5" w:rsidR="00CE1716">
        <w:t xml:space="preserve"> </w:t>
      </w:r>
    </w:p>
    <w:p w:rsidR="003D692C" w:rsidP="003D692C" w:rsidRDefault="003D692C" w14:paraId="08752308" w14:textId="09A8E66D">
      <w:pPr>
        <w:pStyle w:val="ALJBodyText"/>
        <w:rPr>
          <w:szCs w:val="26"/>
        </w:rPr>
      </w:pPr>
      <w:r>
        <w:rPr>
          <w:szCs w:val="26"/>
        </w:rPr>
        <w:t xml:space="preserve">All comments have been thoroughly considered.  Significant aspects of the proposed decision that have been revised in </w:t>
      </w:r>
      <w:r w:rsidR="00280655">
        <w:rPr>
          <w:szCs w:val="26"/>
        </w:rPr>
        <w:t>response to</w:t>
      </w:r>
      <w:r>
        <w:rPr>
          <w:szCs w:val="26"/>
        </w:rPr>
        <w:t xml:space="preserve"> comments are mentioned in this section.  </w:t>
      </w:r>
      <w:r w:rsidR="00D7195E">
        <w:rPr>
          <w:szCs w:val="26"/>
        </w:rPr>
        <w:t xml:space="preserve">However, additional changes have been made to the proposed decision in response to comments that may not be discussed here.  </w:t>
      </w:r>
      <w:r>
        <w:rPr>
          <w:szCs w:val="26"/>
        </w:rPr>
        <w:t xml:space="preserve">We do not summarize every comment but rather, focus on major arguments made in which the Commission did or did not make revisions.  </w:t>
      </w:r>
    </w:p>
    <w:p w:rsidR="00C142BE" w:rsidP="00C142BE" w:rsidRDefault="003D692C" w14:paraId="3A2F373E" w14:textId="1C1A6092">
      <w:pPr>
        <w:pStyle w:val="ALJBodyText"/>
        <w:rPr>
          <w:szCs w:val="26"/>
        </w:rPr>
      </w:pPr>
      <w:r>
        <w:rPr>
          <w:szCs w:val="26"/>
        </w:rPr>
        <w:t>As a</w:t>
      </w:r>
      <w:r w:rsidR="005B6EDF">
        <w:rPr>
          <w:szCs w:val="26"/>
        </w:rPr>
        <w:t xml:space="preserve">n initial </w:t>
      </w:r>
      <w:r>
        <w:rPr>
          <w:szCs w:val="26"/>
        </w:rPr>
        <w:t>matter, some parties’ comments attempt to relitigate</w:t>
      </w:r>
      <w:r w:rsidR="005B6EDF">
        <w:rPr>
          <w:szCs w:val="26"/>
        </w:rPr>
        <w:t xml:space="preserve"> or elaborate upon</w:t>
      </w:r>
      <w:r>
        <w:rPr>
          <w:szCs w:val="26"/>
        </w:rPr>
        <w:t xml:space="preserve"> arguments raised </w:t>
      </w:r>
      <w:r w:rsidR="005B6EDF">
        <w:rPr>
          <w:szCs w:val="26"/>
        </w:rPr>
        <w:t>during</w:t>
      </w:r>
      <w:r>
        <w:rPr>
          <w:szCs w:val="26"/>
        </w:rPr>
        <w:t xml:space="preserve"> Track 3</w:t>
      </w:r>
      <w:r w:rsidR="005B6EDF">
        <w:rPr>
          <w:szCs w:val="26"/>
        </w:rPr>
        <w:t>,</w:t>
      </w:r>
      <w:r>
        <w:rPr>
          <w:szCs w:val="26"/>
        </w:rPr>
        <w:t xml:space="preserve"> </w:t>
      </w:r>
      <w:r w:rsidR="005B6EDF">
        <w:rPr>
          <w:szCs w:val="26"/>
        </w:rPr>
        <w:t>or</w:t>
      </w:r>
      <w:r>
        <w:rPr>
          <w:szCs w:val="26"/>
        </w:rPr>
        <w:t xml:space="preserve"> relitigate arguments that were considered </w:t>
      </w:r>
      <w:r w:rsidR="005B6EDF">
        <w:rPr>
          <w:szCs w:val="26"/>
        </w:rPr>
        <w:t xml:space="preserve">and resolved </w:t>
      </w:r>
      <w:r>
        <w:rPr>
          <w:szCs w:val="26"/>
        </w:rPr>
        <w:t xml:space="preserve">in D.20-03-007.  We </w:t>
      </w:r>
      <w:r w:rsidR="005B6EDF">
        <w:rPr>
          <w:szCs w:val="26"/>
        </w:rPr>
        <w:t>note that under Rule 14.3</w:t>
      </w:r>
      <w:r w:rsidR="000D2EFD">
        <w:rPr>
          <w:szCs w:val="26"/>
        </w:rPr>
        <w:t>(c)</w:t>
      </w:r>
      <w:r w:rsidR="005B6EDF">
        <w:rPr>
          <w:szCs w:val="26"/>
        </w:rPr>
        <w:t>, comments on a proposed decision must focus on factual, legal, or technical errors in the proposed decision</w:t>
      </w:r>
      <w:r w:rsidR="006D3171">
        <w:rPr>
          <w:szCs w:val="26"/>
        </w:rPr>
        <w:t xml:space="preserve">. </w:t>
      </w:r>
      <w:r w:rsidR="000D2EFD">
        <w:rPr>
          <w:szCs w:val="26"/>
        </w:rPr>
        <w:t xml:space="preserve"> Comments focusing on legal error must make specific reference to the applicable law.</w:t>
      </w:r>
      <w:r w:rsidR="006D3171">
        <w:rPr>
          <w:szCs w:val="26"/>
        </w:rPr>
        <w:t xml:space="preserve"> </w:t>
      </w:r>
      <w:r w:rsidR="005B6EDF">
        <w:rPr>
          <w:szCs w:val="26"/>
        </w:rPr>
        <w:t xml:space="preserve"> </w:t>
      </w:r>
      <w:r w:rsidR="000D2EFD">
        <w:rPr>
          <w:szCs w:val="26"/>
        </w:rPr>
        <w:t>Comments that fail to meet the requirements of Rule</w:t>
      </w:r>
      <w:r w:rsidR="00FA0F04">
        <w:rPr>
          <w:szCs w:val="26"/>
        </w:rPr>
        <w:t> </w:t>
      </w:r>
      <w:r w:rsidR="000D2EFD">
        <w:rPr>
          <w:szCs w:val="26"/>
        </w:rPr>
        <w:t xml:space="preserve">14.3(c) </w:t>
      </w:r>
      <w:r w:rsidR="005B6EDF">
        <w:rPr>
          <w:szCs w:val="26"/>
        </w:rPr>
        <w:t xml:space="preserve">will be </w:t>
      </w:r>
      <w:r w:rsidR="000D2EFD">
        <w:rPr>
          <w:szCs w:val="26"/>
        </w:rPr>
        <w:t>accorded</w:t>
      </w:r>
      <w:r w:rsidR="005B6EDF">
        <w:rPr>
          <w:szCs w:val="26"/>
        </w:rPr>
        <w:t xml:space="preserve"> no weight. </w:t>
      </w:r>
      <w:bookmarkStart w:name="_Hlk64705327" w:id="53"/>
    </w:p>
    <w:p w:rsidR="00B85ED9" w:rsidP="00C142BE" w:rsidRDefault="00C938BA" w14:paraId="62D56F06" w14:textId="7179CF49">
      <w:pPr>
        <w:pStyle w:val="ALJBodyText"/>
        <w:rPr>
          <w:szCs w:val="26"/>
        </w:rPr>
      </w:pPr>
      <w:r>
        <w:rPr>
          <w:szCs w:val="26"/>
        </w:rPr>
        <w:lastRenderedPageBreak/>
        <w:t xml:space="preserve">San Francisco </w:t>
      </w:r>
      <w:r w:rsidR="003833F1">
        <w:rPr>
          <w:szCs w:val="26"/>
        </w:rPr>
        <w:t xml:space="preserve">and Disability Advocates </w:t>
      </w:r>
      <w:r>
        <w:rPr>
          <w:szCs w:val="26"/>
        </w:rPr>
        <w:t xml:space="preserve">comment that any benchmarks </w:t>
      </w:r>
      <w:r w:rsidR="00CA0B5E">
        <w:rPr>
          <w:szCs w:val="26"/>
        </w:rPr>
        <w:t xml:space="preserve">for the WAV program must be established with comparison to </w:t>
      </w:r>
      <w:r>
        <w:rPr>
          <w:szCs w:val="26"/>
        </w:rPr>
        <w:t>non-WAV service.</w:t>
      </w:r>
      <w:r>
        <w:rPr>
          <w:rStyle w:val="FootnoteReference"/>
          <w:szCs w:val="26"/>
        </w:rPr>
        <w:footnoteReference w:id="118"/>
      </w:r>
      <w:r>
        <w:rPr>
          <w:szCs w:val="26"/>
        </w:rPr>
        <w:t xml:space="preserve">  </w:t>
      </w:r>
      <w:r w:rsidR="003833F1">
        <w:rPr>
          <w:szCs w:val="26"/>
        </w:rPr>
        <w:t xml:space="preserve">Disability Advocates </w:t>
      </w:r>
      <w:r w:rsidR="00CA0B5E">
        <w:rPr>
          <w:szCs w:val="26"/>
        </w:rPr>
        <w:t xml:space="preserve">state that the benchmarks may initially </w:t>
      </w:r>
      <w:r w:rsidR="004F06E2">
        <w:rPr>
          <w:szCs w:val="26"/>
        </w:rPr>
        <w:t xml:space="preserve">be </w:t>
      </w:r>
      <w:r w:rsidR="00CA0B5E">
        <w:rPr>
          <w:szCs w:val="26"/>
        </w:rPr>
        <w:t xml:space="preserve">set “at less than full comparability in acknowledgment of the sheer lack of WAV service” but </w:t>
      </w:r>
      <w:r w:rsidR="005D64CB">
        <w:rPr>
          <w:szCs w:val="26"/>
        </w:rPr>
        <w:t xml:space="preserve">that </w:t>
      </w:r>
      <w:r w:rsidR="00B85ED9">
        <w:rPr>
          <w:szCs w:val="26"/>
        </w:rPr>
        <w:t>the</w:t>
      </w:r>
      <w:r w:rsidR="004F06E2">
        <w:rPr>
          <w:szCs w:val="26"/>
        </w:rPr>
        <w:t xml:space="preserve"> benchmarks</w:t>
      </w:r>
      <w:r w:rsidR="00B85ED9">
        <w:rPr>
          <w:szCs w:val="26"/>
        </w:rPr>
        <w:t xml:space="preserve"> need to increase toward providing equal level of service.</w:t>
      </w:r>
      <w:r w:rsidR="00B85ED9">
        <w:rPr>
          <w:rStyle w:val="FootnoteReference"/>
          <w:szCs w:val="26"/>
        </w:rPr>
        <w:footnoteReference w:id="119"/>
      </w:r>
      <w:r w:rsidR="003833F1">
        <w:rPr>
          <w:szCs w:val="26"/>
        </w:rPr>
        <w:t xml:space="preserve"> </w:t>
      </w:r>
      <w:r w:rsidR="00B85ED9">
        <w:rPr>
          <w:szCs w:val="26"/>
        </w:rPr>
        <w:t xml:space="preserve"> </w:t>
      </w:r>
      <w:r w:rsidR="003841B1">
        <w:rPr>
          <w:szCs w:val="26"/>
        </w:rPr>
        <w:t>These arguments were raised in Track 2 and considered by the Commission in D.20-03-007</w:t>
      </w:r>
      <w:r w:rsidR="00B85ED9">
        <w:rPr>
          <w:szCs w:val="26"/>
        </w:rPr>
        <w:t xml:space="preserve">.  For example, in adopting the </w:t>
      </w:r>
      <w:r w:rsidR="004F06E2">
        <w:rPr>
          <w:szCs w:val="26"/>
        </w:rPr>
        <w:t xml:space="preserve">WAV response time standards and </w:t>
      </w:r>
      <w:r w:rsidR="00B85ED9">
        <w:rPr>
          <w:szCs w:val="26"/>
        </w:rPr>
        <w:t>Offset Time Standard</w:t>
      </w:r>
      <w:r w:rsidR="004F06E2">
        <w:rPr>
          <w:szCs w:val="26"/>
        </w:rPr>
        <w:t xml:space="preserve"> in D.20-03-007, we stated:</w:t>
      </w:r>
      <w:r w:rsidR="00B85ED9">
        <w:rPr>
          <w:szCs w:val="26"/>
        </w:rPr>
        <w:t xml:space="preserve">  </w:t>
      </w:r>
    </w:p>
    <w:p w:rsidR="00C938BA" w:rsidP="00FA0F04" w:rsidRDefault="003841B1" w14:paraId="5478462A" w14:textId="3021FED1">
      <w:pPr>
        <w:pStyle w:val="ALJBodyText"/>
        <w:spacing w:before="120" w:line="240" w:lineRule="auto"/>
        <w:ind w:left="720" w:firstLine="0"/>
        <w:rPr>
          <w:szCs w:val="26"/>
        </w:rPr>
      </w:pPr>
      <w:r>
        <w:t>…[W]</w:t>
      </w:r>
      <w:r w:rsidR="00C938BA">
        <w:t xml:space="preserve">e acknowledge TNC parties’ concerns that WAV response times should be flexible during the inception of the Access Fund program and that there is no existing WAV trip response time data.  </w:t>
      </w:r>
      <w:r w:rsidR="00C938BA">
        <w:rPr>
          <w:szCs w:val="26"/>
        </w:rPr>
        <w:t>Implementing SB 1376 requires the Commission to balance several challenges, including: (1)</w:t>
      </w:r>
      <w:r w:rsidR="00FA0F04">
        <w:rPr>
          <w:szCs w:val="26"/>
        </w:rPr>
        <w:t> </w:t>
      </w:r>
      <w:r w:rsidR="00C938BA">
        <w:rPr>
          <w:szCs w:val="26"/>
        </w:rPr>
        <w:t>adopting WAV response times for a new on-demand WAV program that has never been implemented for an entire state and on such a large scale, (2) adopting appropriate WAV response times when there is very little existing WAV response time data, and (3) encouraging WAV investment and innovation by TNCs, as was intended by the statute.</w:t>
      </w:r>
      <w:r w:rsidR="00787F46">
        <w:rPr>
          <w:rStyle w:val="FootnoteReference"/>
          <w:szCs w:val="26"/>
        </w:rPr>
        <w:footnoteReference w:id="120"/>
      </w:r>
      <w:r w:rsidR="00C938BA">
        <w:rPr>
          <w:szCs w:val="26"/>
        </w:rPr>
        <w:t xml:space="preserve">  </w:t>
      </w:r>
    </w:p>
    <w:p w:rsidR="004F06E2" w:rsidP="00FA0F04" w:rsidRDefault="004F06E2" w14:paraId="18F23456" w14:textId="3290102E">
      <w:pPr>
        <w:pStyle w:val="ALJBodyText"/>
        <w:spacing w:before="240"/>
        <w:rPr>
          <w:szCs w:val="26"/>
        </w:rPr>
      </w:pPr>
      <w:r>
        <w:rPr>
          <w:szCs w:val="26"/>
        </w:rPr>
        <w:t>Thus, the Commission stated that “it would be prudent to evaluate actual WAV response time data to better understand what is appropriate before adopting Offset Time Standards on a longer-term basis” and directed CPED to prepare a report of WAV response time data.</w:t>
      </w:r>
      <w:r>
        <w:rPr>
          <w:rStyle w:val="FootnoteReference"/>
          <w:szCs w:val="26"/>
        </w:rPr>
        <w:footnoteReference w:id="121"/>
      </w:r>
      <w:r>
        <w:rPr>
          <w:szCs w:val="26"/>
        </w:rPr>
        <w:t xml:space="preserve">  The Commission declines to revisit </w:t>
      </w:r>
      <w:r w:rsidR="00F4754C">
        <w:rPr>
          <w:szCs w:val="26"/>
        </w:rPr>
        <w:t>parties’</w:t>
      </w:r>
      <w:r>
        <w:rPr>
          <w:szCs w:val="26"/>
        </w:rPr>
        <w:t xml:space="preserve"> arguments here.</w:t>
      </w:r>
    </w:p>
    <w:bookmarkEnd w:id="53"/>
    <w:p w:rsidR="00B20918" w:rsidP="00535EBA" w:rsidRDefault="00181696" w14:paraId="2F689D11" w14:textId="21392019">
      <w:pPr>
        <w:pStyle w:val="ALJBodyText"/>
        <w:rPr>
          <w:szCs w:val="26"/>
        </w:rPr>
      </w:pPr>
      <w:r>
        <w:rPr>
          <w:szCs w:val="26"/>
        </w:rPr>
        <w:lastRenderedPageBreak/>
        <w:t xml:space="preserve">Lyft and Uber </w:t>
      </w:r>
      <w:r w:rsidR="004163F5">
        <w:rPr>
          <w:szCs w:val="26"/>
        </w:rPr>
        <w:t>relitigate arguments</w:t>
      </w:r>
      <w:r>
        <w:rPr>
          <w:szCs w:val="26"/>
        </w:rPr>
        <w:t xml:space="preserve"> raised in Track 2 regarding </w:t>
      </w:r>
      <w:r w:rsidR="006A1F92">
        <w:rPr>
          <w:szCs w:val="26"/>
        </w:rPr>
        <w:t xml:space="preserve">the </w:t>
      </w:r>
      <w:r w:rsidR="00512490">
        <w:rPr>
          <w:szCs w:val="26"/>
        </w:rPr>
        <w:t>improved level of service requirements</w:t>
      </w:r>
      <w:r>
        <w:rPr>
          <w:szCs w:val="26"/>
        </w:rPr>
        <w:t xml:space="preserve"> adopted in D.20-03-007.</w:t>
      </w:r>
      <w:r>
        <w:rPr>
          <w:rStyle w:val="FootnoteReference"/>
          <w:szCs w:val="26"/>
        </w:rPr>
        <w:footnoteReference w:id="122"/>
      </w:r>
      <w:r>
        <w:rPr>
          <w:szCs w:val="26"/>
        </w:rPr>
        <w:t xml:space="preserve">  Lyft</w:t>
      </w:r>
      <w:r w:rsidR="00942CE5">
        <w:rPr>
          <w:szCs w:val="26"/>
        </w:rPr>
        <w:t xml:space="preserve"> and Uber</w:t>
      </w:r>
      <w:r>
        <w:rPr>
          <w:szCs w:val="26"/>
        </w:rPr>
        <w:t xml:space="preserve"> </w:t>
      </w:r>
      <w:r w:rsidR="00535EBA">
        <w:rPr>
          <w:szCs w:val="26"/>
        </w:rPr>
        <w:t>argue</w:t>
      </w:r>
      <w:r>
        <w:rPr>
          <w:szCs w:val="26"/>
        </w:rPr>
        <w:t xml:space="preserve"> that under the Offset Time Standard, if a TNC achieve</w:t>
      </w:r>
      <w:r w:rsidR="006A1F92">
        <w:rPr>
          <w:szCs w:val="26"/>
        </w:rPr>
        <w:t>s</w:t>
      </w:r>
      <w:r>
        <w:rPr>
          <w:szCs w:val="26"/>
        </w:rPr>
        <w:t xml:space="preserve"> 100% </w:t>
      </w:r>
      <w:r w:rsidR="006A1F92">
        <w:rPr>
          <w:szCs w:val="26"/>
        </w:rPr>
        <w:t xml:space="preserve">ride </w:t>
      </w:r>
      <w:r>
        <w:rPr>
          <w:szCs w:val="26"/>
        </w:rPr>
        <w:t xml:space="preserve">completion, it would be </w:t>
      </w:r>
      <w:r w:rsidR="006A1F92">
        <w:rPr>
          <w:szCs w:val="26"/>
        </w:rPr>
        <w:t>un</w:t>
      </w:r>
      <w:r>
        <w:rPr>
          <w:szCs w:val="26"/>
        </w:rPr>
        <w:t xml:space="preserve">able to qualify for an Offset Request in a </w:t>
      </w:r>
      <w:r w:rsidR="005603C8">
        <w:rPr>
          <w:szCs w:val="26"/>
        </w:rPr>
        <w:t>later</w:t>
      </w:r>
      <w:r>
        <w:rPr>
          <w:szCs w:val="26"/>
        </w:rPr>
        <w:t xml:space="preserve"> quarter.  </w:t>
      </w:r>
      <w:r w:rsidR="006A1F92">
        <w:rPr>
          <w:szCs w:val="26"/>
        </w:rPr>
        <w:t xml:space="preserve">Uber states that in some counties, it is approaching or has reached 100% of WAV trips </w:t>
      </w:r>
      <w:r w:rsidR="00D7195E">
        <w:rPr>
          <w:szCs w:val="26"/>
        </w:rPr>
        <w:t>that meet</w:t>
      </w:r>
      <w:r w:rsidR="006A1F92">
        <w:rPr>
          <w:szCs w:val="26"/>
        </w:rPr>
        <w:t xml:space="preserve"> the Level 1 or Level 2 benchmark.</w:t>
      </w:r>
      <w:r w:rsidR="006A1F92">
        <w:rPr>
          <w:rStyle w:val="FootnoteReference"/>
          <w:szCs w:val="26"/>
        </w:rPr>
        <w:footnoteReference w:id="123"/>
      </w:r>
      <w:r w:rsidR="006A1F92">
        <w:rPr>
          <w:szCs w:val="26"/>
        </w:rPr>
        <w:t xml:space="preserve">  </w:t>
      </w:r>
      <w:r w:rsidR="00535EBA">
        <w:rPr>
          <w:szCs w:val="26"/>
        </w:rPr>
        <w:t>We</w:t>
      </w:r>
      <w:r>
        <w:rPr>
          <w:szCs w:val="26"/>
        </w:rPr>
        <w:t xml:space="preserve"> decline to revisit the requirements adopted in D.20-03-007.</w:t>
      </w:r>
      <w:r w:rsidR="00942CE5">
        <w:rPr>
          <w:szCs w:val="26"/>
        </w:rPr>
        <w:t xml:space="preserve"> </w:t>
      </w:r>
      <w:r w:rsidR="00535EBA">
        <w:rPr>
          <w:szCs w:val="26"/>
        </w:rPr>
        <w:t xml:space="preserve"> However, if a TNC approaches</w:t>
      </w:r>
      <w:r w:rsidR="006A1F92">
        <w:rPr>
          <w:szCs w:val="26"/>
        </w:rPr>
        <w:t xml:space="preserve"> or has reached</w:t>
      </w:r>
      <w:r w:rsidR="00535EBA">
        <w:rPr>
          <w:szCs w:val="26"/>
        </w:rPr>
        <w:t xml:space="preserve"> 100% trip completion</w:t>
      </w:r>
      <w:r w:rsidR="006A1F92">
        <w:rPr>
          <w:szCs w:val="26"/>
        </w:rPr>
        <w:t xml:space="preserve"> in a county</w:t>
      </w:r>
      <w:r w:rsidR="00535EBA">
        <w:rPr>
          <w:szCs w:val="26"/>
        </w:rPr>
        <w:t xml:space="preserve">, this issue should be addressed.  We encourage parties to raise proposals on this issue in Track 4. </w:t>
      </w:r>
      <w:r w:rsidR="00B20918">
        <w:rPr>
          <w:szCs w:val="26"/>
        </w:rPr>
        <w:t xml:space="preserve"> </w:t>
      </w:r>
    </w:p>
    <w:p w:rsidR="00D77F4F" w:rsidP="003D692C" w:rsidRDefault="00D77F4F" w14:paraId="0D9F5685" w14:textId="2EA72A93">
      <w:pPr>
        <w:pStyle w:val="ALJBodyText"/>
        <w:rPr>
          <w:szCs w:val="26"/>
        </w:rPr>
      </w:pPr>
      <w:r>
        <w:rPr>
          <w:szCs w:val="26"/>
        </w:rPr>
        <w:t xml:space="preserve">Lyft comments that the Trip Completion Standard should be deferred to Track 4, stating that </w:t>
      </w:r>
      <w:r w:rsidR="007F60CF">
        <w:rPr>
          <w:szCs w:val="26"/>
        </w:rPr>
        <w:t>there are unintended consequences in</w:t>
      </w:r>
      <w:r>
        <w:rPr>
          <w:szCs w:val="26"/>
        </w:rPr>
        <w:t xml:space="preserve"> adopting only part of CPED’s proposal.</w:t>
      </w:r>
      <w:r>
        <w:rPr>
          <w:rStyle w:val="FootnoteReference"/>
          <w:szCs w:val="26"/>
        </w:rPr>
        <w:footnoteReference w:id="124"/>
      </w:r>
      <w:r>
        <w:rPr>
          <w:szCs w:val="26"/>
        </w:rPr>
        <w:t xml:space="preserve">  Lyft </w:t>
      </w:r>
      <w:r w:rsidR="00535EBA">
        <w:rPr>
          <w:szCs w:val="26"/>
        </w:rPr>
        <w:t xml:space="preserve">and Uber </w:t>
      </w:r>
      <w:r w:rsidR="006A1F92">
        <w:rPr>
          <w:szCs w:val="26"/>
        </w:rPr>
        <w:t>comment</w:t>
      </w:r>
      <w:r>
        <w:rPr>
          <w:szCs w:val="26"/>
        </w:rPr>
        <w:t xml:space="preserve"> that the decision did not intend to </w:t>
      </w:r>
      <w:r w:rsidR="00535EBA">
        <w:rPr>
          <w:szCs w:val="26"/>
        </w:rPr>
        <w:t>require TNCs to satisfy both</w:t>
      </w:r>
      <w:r>
        <w:rPr>
          <w:szCs w:val="26"/>
        </w:rPr>
        <w:t xml:space="preserve"> the Offset Time Standard and the Trip Completion Standard.</w:t>
      </w:r>
      <w:r w:rsidR="00383A4F">
        <w:rPr>
          <w:szCs w:val="26"/>
        </w:rPr>
        <w:t xml:space="preserve">  </w:t>
      </w:r>
      <w:r w:rsidR="006A1F92">
        <w:rPr>
          <w:szCs w:val="26"/>
        </w:rPr>
        <w:t xml:space="preserve">The Commission clarifies that it </w:t>
      </w:r>
      <w:r w:rsidR="00352B9F">
        <w:rPr>
          <w:szCs w:val="26"/>
        </w:rPr>
        <w:t>did intend</w:t>
      </w:r>
      <w:r w:rsidR="006A1F92">
        <w:rPr>
          <w:szCs w:val="26"/>
        </w:rPr>
        <w:t xml:space="preserve"> to adopt both requirements for TNCs to satisfy </w:t>
      </w:r>
      <w:r w:rsidR="00352B9F">
        <w:rPr>
          <w:szCs w:val="26"/>
        </w:rPr>
        <w:t>for</w:t>
      </w:r>
      <w:r w:rsidR="006A1F92">
        <w:rPr>
          <w:szCs w:val="26"/>
        </w:rPr>
        <w:t xml:space="preserve"> the improved level of service metrics, not an option between the Offset Time Standard or the Trip Completion Standard.  We further </w:t>
      </w:r>
      <w:r w:rsidR="002800A7">
        <w:rPr>
          <w:szCs w:val="26"/>
        </w:rPr>
        <w:t>clarif</w:t>
      </w:r>
      <w:r w:rsidR="006A1F92">
        <w:rPr>
          <w:szCs w:val="26"/>
        </w:rPr>
        <w:t>y</w:t>
      </w:r>
      <w:r w:rsidR="002800A7">
        <w:rPr>
          <w:szCs w:val="26"/>
        </w:rPr>
        <w:t xml:space="preserve"> that the Offset Time Standard</w:t>
      </w:r>
      <w:r w:rsidR="00883FF4">
        <w:rPr>
          <w:szCs w:val="26"/>
        </w:rPr>
        <w:t>,</w:t>
      </w:r>
      <w:r w:rsidR="002800A7">
        <w:rPr>
          <w:szCs w:val="26"/>
        </w:rPr>
        <w:t xml:space="preserve"> </w:t>
      </w:r>
      <w:r w:rsidR="00883FF4">
        <w:rPr>
          <w:szCs w:val="26"/>
        </w:rPr>
        <w:t xml:space="preserve">adopted in Ordering Paragraphs </w:t>
      </w:r>
      <w:r w:rsidR="00CF7F86">
        <w:rPr>
          <w:szCs w:val="26"/>
        </w:rPr>
        <w:t xml:space="preserve">2, </w:t>
      </w:r>
      <w:r w:rsidR="00883FF4">
        <w:rPr>
          <w:szCs w:val="26"/>
        </w:rPr>
        <w:t>3</w:t>
      </w:r>
      <w:r w:rsidR="00CF7F86">
        <w:rPr>
          <w:szCs w:val="26"/>
        </w:rPr>
        <w:t>,</w:t>
      </w:r>
      <w:r w:rsidR="00883FF4">
        <w:rPr>
          <w:szCs w:val="26"/>
        </w:rPr>
        <w:t xml:space="preserve"> and 4 of D.20-03-007, </w:t>
      </w:r>
      <w:r w:rsidR="002800A7">
        <w:rPr>
          <w:szCs w:val="26"/>
        </w:rPr>
        <w:t xml:space="preserve">and </w:t>
      </w:r>
      <w:r w:rsidR="006A1F92">
        <w:rPr>
          <w:szCs w:val="26"/>
        </w:rPr>
        <w:t xml:space="preserve">the </w:t>
      </w:r>
      <w:r w:rsidR="002800A7">
        <w:rPr>
          <w:szCs w:val="26"/>
        </w:rPr>
        <w:t>Exemption Time Standard</w:t>
      </w:r>
      <w:r w:rsidR="00883FF4">
        <w:rPr>
          <w:szCs w:val="26"/>
        </w:rPr>
        <w:t>,</w:t>
      </w:r>
      <w:r w:rsidR="002800A7">
        <w:rPr>
          <w:szCs w:val="26"/>
        </w:rPr>
        <w:t xml:space="preserve"> adopted in Ordering Paragraph</w:t>
      </w:r>
      <w:r w:rsidR="00883FF4">
        <w:rPr>
          <w:szCs w:val="26"/>
        </w:rPr>
        <w:t xml:space="preserve">s 5 and </w:t>
      </w:r>
      <w:r w:rsidR="002800A7">
        <w:rPr>
          <w:szCs w:val="26"/>
        </w:rPr>
        <w:t>24 of D.20-03-007</w:t>
      </w:r>
      <w:r w:rsidR="00883FF4">
        <w:rPr>
          <w:szCs w:val="26"/>
        </w:rPr>
        <w:t xml:space="preserve">, </w:t>
      </w:r>
      <w:r w:rsidR="002800A7">
        <w:rPr>
          <w:szCs w:val="26"/>
        </w:rPr>
        <w:t>remain applicable.</w:t>
      </w:r>
      <w:r w:rsidR="00883FF4">
        <w:rPr>
          <w:szCs w:val="26"/>
        </w:rPr>
        <w:t xml:space="preserve">  The decision is modified with this clarification.</w:t>
      </w:r>
      <w:r w:rsidR="002800A7">
        <w:rPr>
          <w:szCs w:val="26"/>
        </w:rPr>
        <w:t xml:space="preserve"> </w:t>
      </w:r>
      <w:r w:rsidR="00535EBA">
        <w:rPr>
          <w:szCs w:val="26"/>
        </w:rPr>
        <w:t xml:space="preserve"> </w:t>
      </w:r>
    </w:p>
    <w:p w:rsidR="00630F59" w:rsidP="00630F59" w:rsidRDefault="00D77F4F" w14:paraId="376AE479" w14:textId="4BC15B7D">
      <w:pPr>
        <w:pStyle w:val="ALJBodyText"/>
        <w:rPr>
          <w:szCs w:val="26"/>
        </w:rPr>
      </w:pPr>
      <w:r>
        <w:rPr>
          <w:szCs w:val="26"/>
        </w:rPr>
        <w:t xml:space="preserve">Lyft </w:t>
      </w:r>
      <w:r w:rsidR="000852A0">
        <w:rPr>
          <w:szCs w:val="26"/>
        </w:rPr>
        <w:t xml:space="preserve">and Uber </w:t>
      </w:r>
      <w:r>
        <w:rPr>
          <w:szCs w:val="26"/>
        </w:rPr>
        <w:t xml:space="preserve">request that </w:t>
      </w:r>
      <w:r w:rsidR="005760AA">
        <w:rPr>
          <w:szCs w:val="26"/>
        </w:rPr>
        <w:t>for the Trip Completion Standard,</w:t>
      </w:r>
      <w:r>
        <w:rPr>
          <w:szCs w:val="26"/>
        </w:rPr>
        <w:t xml:space="preserve"> </w:t>
      </w:r>
      <w:r w:rsidR="005760AA">
        <w:rPr>
          <w:szCs w:val="26"/>
        </w:rPr>
        <w:t xml:space="preserve">accepted WAV trips should be the applicable metric, rather than </w:t>
      </w:r>
      <w:r>
        <w:rPr>
          <w:szCs w:val="26"/>
        </w:rPr>
        <w:t>completed WAV trips</w:t>
      </w:r>
      <w:r w:rsidR="005760AA">
        <w:rPr>
          <w:szCs w:val="26"/>
        </w:rPr>
        <w:t xml:space="preserve">, </w:t>
      </w:r>
      <w:r w:rsidR="005760AA">
        <w:rPr>
          <w:szCs w:val="26"/>
        </w:rPr>
        <w:lastRenderedPageBreak/>
        <w:t>because</w:t>
      </w:r>
      <w:r>
        <w:rPr>
          <w:szCs w:val="26"/>
        </w:rPr>
        <w:t xml:space="preserve"> </w:t>
      </w:r>
      <w:r w:rsidR="00650FF9">
        <w:rPr>
          <w:szCs w:val="26"/>
        </w:rPr>
        <w:t>complet</w:t>
      </w:r>
      <w:r w:rsidR="005760AA">
        <w:rPr>
          <w:szCs w:val="26"/>
        </w:rPr>
        <w:t>ed trips</w:t>
      </w:r>
      <w:r w:rsidR="00650FF9">
        <w:rPr>
          <w:szCs w:val="26"/>
        </w:rPr>
        <w:t xml:space="preserve"> </w:t>
      </w:r>
      <w:r w:rsidR="0025026E">
        <w:rPr>
          <w:szCs w:val="26"/>
        </w:rPr>
        <w:t>introduce factors that</w:t>
      </w:r>
      <w:r w:rsidR="00C05AA3">
        <w:rPr>
          <w:szCs w:val="26"/>
        </w:rPr>
        <w:t xml:space="preserve"> are outside of </w:t>
      </w:r>
      <w:r w:rsidR="0025026E">
        <w:rPr>
          <w:szCs w:val="26"/>
        </w:rPr>
        <w:t>a TNC’s</w:t>
      </w:r>
      <w:r w:rsidR="00C05AA3">
        <w:rPr>
          <w:szCs w:val="26"/>
        </w:rPr>
        <w:t xml:space="preserve"> control</w:t>
      </w:r>
      <w:r w:rsidR="0025026E">
        <w:rPr>
          <w:szCs w:val="26"/>
        </w:rPr>
        <w:t>, such as passenger cancellations or no-shows</w:t>
      </w:r>
      <w:r>
        <w:rPr>
          <w:szCs w:val="26"/>
        </w:rPr>
        <w:t>.</w:t>
      </w:r>
      <w:r>
        <w:rPr>
          <w:rStyle w:val="FootnoteReference"/>
          <w:szCs w:val="26"/>
        </w:rPr>
        <w:footnoteReference w:id="125"/>
      </w:r>
      <w:r w:rsidR="00F310CF">
        <w:rPr>
          <w:szCs w:val="26"/>
        </w:rPr>
        <w:t xml:space="preserve">  </w:t>
      </w:r>
      <w:r w:rsidR="00701BA1">
        <w:rPr>
          <w:szCs w:val="26"/>
        </w:rPr>
        <w:t>While we decline</w:t>
      </w:r>
      <w:r w:rsidR="00F310CF">
        <w:rPr>
          <w:szCs w:val="26"/>
        </w:rPr>
        <w:t xml:space="preserve"> to modify </w:t>
      </w:r>
      <w:r w:rsidR="00701BA1">
        <w:rPr>
          <w:szCs w:val="26"/>
        </w:rPr>
        <w:t xml:space="preserve">this requirement, </w:t>
      </w:r>
      <w:r w:rsidR="00F310CF">
        <w:rPr>
          <w:szCs w:val="26"/>
        </w:rPr>
        <w:t xml:space="preserve">TNCs </w:t>
      </w:r>
      <w:r w:rsidR="00701BA1">
        <w:rPr>
          <w:szCs w:val="26"/>
        </w:rPr>
        <w:t>may</w:t>
      </w:r>
      <w:r w:rsidR="00F310CF">
        <w:rPr>
          <w:szCs w:val="26"/>
        </w:rPr>
        <w:t xml:space="preserve"> submit data in Track 4 </w:t>
      </w:r>
      <w:r w:rsidR="00701BA1">
        <w:rPr>
          <w:szCs w:val="26"/>
        </w:rPr>
        <w:t>to</w:t>
      </w:r>
      <w:r w:rsidR="00F310CF">
        <w:rPr>
          <w:szCs w:val="26"/>
        </w:rPr>
        <w:t xml:space="preserve"> support their concern </w:t>
      </w:r>
      <w:r w:rsidR="00701BA1">
        <w:rPr>
          <w:szCs w:val="26"/>
        </w:rPr>
        <w:t xml:space="preserve">that </w:t>
      </w:r>
      <w:r w:rsidR="00C05AA3">
        <w:rPr>
          <w:szCs w:val="26"/>
        </w:rPr>
        <w:t xml:space="preserve">the difference between </w:t>
      </w:r>
      <w:r w:rsidR="00352B9F">
        <w:rPr>
          <w:szCs w:val="26"/>
        </w:rPr>
        <w:t xml:space="preserve">an </w:t>
      </w:r>
      <w:r w:rsidR="00C05AA3">
        <w:rPr>
          <w:szCs w:val="26"/>
        </w:rPr>
        <w:t xml:space="preserve">accepted </w:t>
      </w:r>
      <w:r w:rsidR="00352B9F">
        <w:rPr>
          <w:szCs w:val="26"/>
        </w:rPr>
        <w:t xml:space="preserve">trip </w:t>
      </w:r>
      <w:r w:rsidR="00C05AA3">
        <w:rPr>
          <w:szCs w:val="26"/>
        </w:rPr>
        <w:t>and completed trip</w:t>
      </w:r>
      <w:r w:rsidR="00352B9F">
        <w:rPr>
          <w:szCs w:val="26"/>
        </w:rPr>
        <w:t xml:space="preserve"> metric</w:t>
      </w:r>
      <w:r w:rsidR="00701BA1">
        <w:rPr>
          <w:szCs w:val="26"/>
        </w:rPr>
        <w:t xml:space="preserve"> warrants </w:t>
      </w:r>
      <w:r w:rsidR="0025026E">
        <w:rPr>
          <w:szCs w:val="26"/>
        </w:rPr>
        <w:t>further consideration</w:t>
      </w:r>
      <w:r w:rsidR="005760AA">
        <w:rPr>
          <w:szCs w:val="26"/>
        </w:rPr>
        <w:t>.</w:t>
      </w:r>
      <w:r w:rsidR="000852A0">
        <w:rPr>
          <w:szCs w:val="26"/>
        </w:rPr>
        <w:t xml:space="preserve"> </w:t>
      </w:r>
    </w:p>
    <w:p w:rsidR="006A3C4D" w:rsidP="0078142C" w:rsidRDefault="007961BB" w14:paraId="0008B60B" w14:textId="3334A044">
      <w:pPr>
        <w:pStyle w:val="ALJBodyText"/>
        <w:rPr>
          <w:szCs w:val="26"/>
        </w:rPr>
      </w:pPr>
      <w:r>
        <w:rPr>
          <w:szCs w:val="26"/>
        </w:rPr>
        <w:t>San</w:t>
      </w:r>
      <w:r w:rsidR="00C2265C">
        <w:rPr>
          <w:szCs w:val="26"/>
        </w:rPr>
        <w:t xml:space="preserve"> Francisco objects to </w:t>
      </w:r>
      <w:r w:rsidR="00A340BC">
        <w:rPr>
          <w:szCs w:val="26"/>
        </w:rPr>
        <w:t>the Trip Completion Standard allowing</w:t>
      </w:r>
      <w:r w:rsidR="005760AA">
        <w:rPr>
          <w:szCs w:val="26"/>
        </w:rPr>
        <w:t xml:space="preserve"> an increase in</w:t>
      </w:r>
      <w:r w:rsidR="00A340BC">
        <w:rPr>
          <w:szCs w:val="26"/>
        </w:rPr>
        <w:t xml:space="preserve"> </w:t>
      </w:r>
      <w:r w:rsidR="005760AA">
        <w:rPr>
          <w:szCs w:val="26"/>
        </w:rPr>
        <w:t xml:space="preserve">the </w:t>
      </w:r>
      <w:r w:rsidRPr="00352B9F" w:rsidR="005760AA">
        <w:rPr>
          <w:szCs w:val="26"/>
        </w:rPr>
        <w:t>number</w:t>
      </w:r>
      <w:r w:rsidR="005760AA">
        <w:rPr>
          <w:szCs w:val="26"/>
        </w:rPr>
        <w:t xml:space="preserve"> of completed WAV trips, in addition to an increase in the </w:t>
      </w:r>
      <w:r w:rsidRPr="00701BA1" w:rsidR="005760AA">
        <w:rPr>
          <w:szCs w:val="26"/>
        </w:rPr>
        <w:t>percentage</w:t>
      </w:r>
      <w:r w:rsidR="005760AA">
        <w:rPr>
          <w:szCs w:val="26"/>
        </w:rPr>
        <w:t xml:space="preserve"> of completed WAV trips.  Citing</w:t>
      </w:r>
      <w:r w:rsidR="00C2265C">
        <w:rPr>
          <w:szCs w:val="26"/>
        </w:rPr>
        <w:t xml:space="preserve"> </w:t>
      </w:r>
      <w:r w:rsidR="005760AA">
        <w:rPr>
          <w:szCs w:val="26"/>
        </w:rPr>
        <w:t xml:space="preserve">Pub. Util. Code </w:t>
      </w:r>
      <w:r w:rsidRPr="00C2265C" w:rsidR="005760AA">
        <w:rPr>
          <w:szCs w:val="26"/>
        </w:rPr>
        <w:t>§</w:t>
      </w:r>
      <w:r w:rsidR="005760AA">
        <w:rPr>
          <w:szCs w:val="26"/>
        </w:rPr>
        <w:t xml:space="preserve"> 5440.5(a)(1)(J), San</w:t>
      </w:r>
      <w:r w:rsidR="00610B2D">
        <w:rPr>
          <w:szCs w:val="26"/>
        </w:rPr>
        <w:t> </w:t>
      </w:r>
      <w:r w:rsidR="005760AA">
        <w:rPr>
          <w:szCs w:val="26"/>
        </w:rPr>
        <w:t xml:space="preserve">Francisco states that the Act </w:t>
      </w:r>
      <w:r w:rsidR="00C2265C">
        <w:rPr>
          <w:szCs w:val="26"/>
        </w:rPr>
        <w:t>directs the use of percentages</w:t>
      </w:r>
      <w:r w:rsidR="00701BA1">
        <w:rPr>
          <w:szCs w:val="26"/>
        </w:rPr>
        <w:t xml:space="preserve"> of completed rides</w:t>
      </w:r>
      <w:r w:rsidR="00C2265C">
        <w:rPr>
          <w:szCs w:val="26"/>
        </w:rPr>
        <w:t xml:space="preserve"> but </w:t>
      </w:r>
      <w:r w:rsidR="00A340BC">
        <w:rPr>
          <w:szCs w:val="26"/>
        </w:rPr>
        <w:t>does not</w:t>
      </w:r>
      <w:r w:rsidR="00C2265C">
        <w:rPr>
          <w:szCs w:val="26"/>
        </w:rPr>
        <w:t xml:space="preserve"> </w:t>
      </w:r>
      <w:r w:rsidR="00A340BC">
        <w:rPr>
          <w:szCs w:val="26"/>
        </w:rPr>
        <w:t xml:space="preserve">allow </w:t>
      </w:r>
      <w:r w:rsidR="00C2265C">
        <w:rPr>
          <w:szCs w:val="26"/>
        </w:rPr>
        <w:t>absolute numbers.</w:t>
      </w:r>
      <w:r w:rsidR="00C2265C">
        <w:rPr>
          <w:rStyle w:val="FootnoteReference"/>
          <w:szCs w:val="26"/>
        </w:rPr>
        <w:footnoteReference w:id="126"/>
      </w:r>
      <w:r w:rsidR="00C2265C">
        <w:rPr>
          <w:szCs w:val="26"/>
        </w:rPr>
        <w:t xml:space="preserve">  </w:t>
      </w:r>
      <w:r w:rsidR="0078142C">
        <w:rPr>
          <w:szCs w:val="26"/>
        </w:rPr>
        <w:t>However, the Trip Completion Standard was not adopted for the yearly benchmarks, but as an additional metric for a TNC</w:t>
      </w:r>
      <w:r w:rsidR="00701BA1">
        <w:rPr>
          <w:szCs w:val="26"/>
        </w:rPr>
        <w:t xml:space="preserve"> to demonstrate</w:t>
      </w:r>
      <w:r w:rsidR="0078142C">
        <w:rPr>
          <w:szCs w:val="26"/>
        </w:rPr>
        <w:t xml:space="preserve"> “improved level of service” under </w:t>
      </w:r>
      <w:r w:rsidRPr="0078142C" w:rsidR="0078142C">
        <w:rPr>
          <w:szCs w:val="26"/>
        </w:rPr>
        <w:t>§</w:t>
      </w:r>
      <w:r w:rsidR="0078142C">
        <w:rPr>
          <w:szCs w:val="26"/>
        </w:rPr>
        <w:t xml:space="preserve"> 5440.5(a)(1)(B)(ii). </w:t>
      </w:r>
      <w:r w:rsidR="00C2265C">
        <w:rPr>
          <w:szCs w:val="26"/>
        </w:rPr>
        <w:t xml:space="preserve"> </w:t>
      </w:r>
      <w:r w:rsidR="00701BA1">
        <w:rPr>
          <w:szCs w:val="26"/>
        </w:rPr>
        <w:t>The latter</w:t>
      </w:r>
      <w:r w:rsidR="0078142C">
        <w:rPr>
          <w:szCs w:val="26"/>
        </w:rPr>
        <w:t xml:space="preserve"> provision </w:t>
      </w:r>
      <w:r w:rsidR="00701BA1">
        <w:rPr>
          <w:szCs w:val="26"/>
        </w:rPr>
        <w:t>is silent as to the use of</w:t>
      </w:r>
      <w:r w:rsidR="0078142C">
        <w:rPr>
          <w:szCs w:val="26"/>
        </w:rPr>
        <w:t xml:space="preserve"> numbers or percentages </w:t>
      </w:r>
      <w:r w:rsidR="00701BA1">
        <w:rPr>
          <w:szCs w:val="26"/>
        </w:rPr>
        <w:t>to demonstrate</w:t>
      </w:r>
      <w:r w:rsidR="0078142C">
        <w:rPr>
          <w:szCs w:val="26"/>
        </w:rPr>
        <w:t xml:space="preserve"> completed trips.  However, we </w:t>
      </w:r>
      <w:r w:rsidR="00352B9F">
        <w:rPr>
          <w:szCs w:val="26"/>
        </w:rPr>
        <w:t>recognize</w:t>
      </w:r>
      <w:r w:rsidR="0078142C">
        <w:rPr>
          <w:szCs w:val="26"/>
        </w:rPr>
        <w:t xml:space="preserve"> San Francisco’s comment</w:t>
      </w:r>
      <w:r w:rsidR="00352B9F">
        <w:rPr>
          <w:szCs w:val="26"/>
        </w:rPr>
        <w:t>s</w:t>
      </w:r>
      <w:r w:rsidR="0078142C">
        <w:rPr>
          <w:szCs w:val="26"/>
        </w:rPr>
        <w:t xml:space="preserve"> </w:t>
      </w:r>
      <w:r w:rsidR="00701BA1">
        <w:rPr>
          <w:szCs w:val="26"/>
        </w:rPr>
        <w:t xml:space="preserve">as </w:t>
      </w:r>
      <w:r w:rsidR="00D7195E">
        <w:rPr>
          <w:szCs w:val="26"/>
        </w:rPr>
        <w:t xml:space="preserve">applied </w:t>
      </w:r>
      <w:r w:rsidR="00701BA1">
        <w:rPr>
          <w:szCs w:val="26"/>
        </w:rPr>
        <w:t xml:space="preserve">to the yearly benchmarks </w:t>
      </w:r>
      <w:r w:rsidR="0078142C">
        <w:rPr>
          <w:szCs w:val="26"/>
        </w:rPr>
        <w:t xml:space="preserve">and may </w:t>
      </w:r>
      <w:r w:rsidR="00352B9F">
        <w:rPr>
          <w:szCs w:val="26"/>
        </w:rPr>
        <w:t>consider</w:t>
      </w:r>
      <w:r w:rsidR="0078142C">
        <w:rPr>
          <w:szCs w:val="26"/>
        </w:rPr>
        <w:t xml:space="preserve"> modifications to the yearly benchmarks</w:t>
      </w:r>
      <w:r w:rsidR="00701BA1">
        <w:rPr>
          <w:szCs w:val="26"/>
        </w:rPr>
        <w:t xml:space="preserve"> in Track 4</w:t>
      </w:r>
      <w:r w:rsidR="0078142C">
        <w:rPr>
          <w:szCs w:val="26"/>
        </w:rPr>
        <w:t>.</w:t>
      </w:r>
    </w:p>
    <w:p w:rsidR="00630F59" w:rsidP="00F310CF" w:rsidRDefault="006D3171" w14:paraId="4278FED2" w14:textId="6C81A9CF">
      <w:pPr>
        <w:pStyle w:val="ALJBodyText"/>
      </w:pPr>
      <w:r>
        <w:rPr>
          <w:szCs w:val="26"/>
        </w:rPr>
        <w:t>LA Metro</w:t>
      </w:r>
      <w:r w:rsidR="00787F46">
        <w:rPr>
          <w:szCs w:val="26"/>
        </w:rPr>
        <w:t>, San Francisco</w:t>
      </w:r>
      <w:r w:rsidR="007961BB">
        <w:rPr>
          <w:szCs w:val="26"/>
        </w:rPr>
        <w:t>, and Disability Advocates</w:t>
      </w:r>
      <w:r>
        <w:rPr>
          <w:szCs w:val="26"/>
        </w:rPr>
        <w:t xml:space="preserve"> </w:t>
      </w:r>
      <w:r w:rsidR="00787F46">
        <w:rPr>
          <w:szCs w:val="26"/>
        </w:rPr>
        <w:t>object to defer</w:t>
      </w:r>
      <w:r w:rsidR="005760AA">
        <w:rPr>
          <w:szCs w:val="26"/>
        </w:rPr>
        <w:t>ring</w:t>
      </w:r>
      <w:r w:rsidR="00787F46">
        <w:rPr>
          <w:szCs w:val="26"/>
        </w:rPr>
        <w:t xml:space="preserve"> </w:t>
      </w:r>
      <w:r w:rsidR="005760AA">
        <w:rPr>
          <w:szCs w:val="26"/>
        </w:rPr>
        <w:t>the</w:t>
      </w:r>
      <w:r>
        <w:rPr>
          <w:szCs w:val="26"/>
        </w:rPr>
        <w:t xml:space="preserve"> minimum benchmarks for the Trip Completion Standard</w:t>
      </w:r>
      <w:r w:rsidR="005760AA">
        <w:rPr>
          <w:szCs w:val="26"/>
        </w:rPr>
        <w:t xml:space="preserve"> to Track 4</w:t>
      </w:r>
      <w:r>
        <w:rPr>
          <w:szCs w:val="26"/>
        </w:rPr>
        <w:t>.</w:t>
      </w:r>
      <w:r>
        <w:rPr>
          <w:rStyle w:val="FootnoteReference"/>
          <w:szCs w:val="26"/>
        </w:rPr>
        <w:footnoteReference w:id="127"/>
      </w:r>
      <w:r>
        <w:rPr>
          <w:szCs w:val="26"/>
        </w:rPr>
        <w:t xml:space="preserve">  As discussed</w:t>
      </w:r>
      <w:r w:rsidR="00F310CF">
        <w:rPr>
          <w:szCs w:val="26"/>
        </w:rPr>
        <w:t xml:space="preserve"> in the decision</w:t>
      </w:r>
      <w:r>
        <w:rPr>
          <w:szCs w:val="26"/>
        </w:rPr>
        <w:t xml:space="preserve">, the Commission </w:t>
      </w:r>
      <w:r w:rsidR="00F310CF">
        <w:rPr>
          <w:szCs w:val="26"/>
        </w:rPr>
        <w:t>seeks</w:t>
      </w:r>
      <w:r>
        <w:rPr>
          <w:szCs w:val="26"/>
        </w:rPr>
        <w:t xml:space="preserve"> further record development on the appropriate </w:t>
      </w:r>
      <w:r>
        <w:t>minimum percentage and/or increasing benchmarks</w:t>
      </w:r>
      <w:r w:rsidR="002B3226">
        <w:t xml:space="preserve"> in Track 4</w:t>
      </w:r>
      <w:r>
        <w:t xml:space="preserve">, </w:t>
      </w:r>
      <w:r>
        <w:lastRenderedPageBreak/>
        <w:t xml:space="preserve">including evaluating actual WAV trip completion rates by geographic area and over a longer time period.  </w:t>
      </w:r>
    </w:p>
    <w:p w:rsidR="00C155EE" w:rsidP="00D303E2" w:rsidRDefault="006D3171" w14:paraId="2A6C794C" w14:textId="59D8AAA9">
      <w:pPr>
        <w:pStyle w:val="ALJBodyText"/>
      </w:pPr>
      <w:r>
        <w:t xml:space="preserve">Several parties </w:t>
      </w:r>
      <w:r w:rsidR="00D92F95">
        <w:t>object to</w:t>
      </w:r>
      <w:r>
        <w:t xml:space="preserve"> </w:t>
      </w:r>
      <w:r w:rsidR="00F310CF">
        <w:t>allowing a TNC to limit the calculation</w:t>
      </w:r>
      <w:r w:rsidR="005402DB">
        <w:t xml:space="preserve"> of its completed trip requests</w:t>
      </w:r>
      <w:r w:rsidR="00F310CF">
        <w:t xml:space="preserve"> to its</w:t>
      </w:r>
      <w:r>
        <w:t xml:space="preserve"> WAV operating hours, including LA Metro</w:t>
      </w:r>
      <w:r w:rsidR="000E5B17">
        <w:t>, San</w:t>
      </w:r>
      <w:r w:rsidR="00610B2D">
        <w:t> </w:t>
      </w:r>
      <w:r w:rsidR="000E5B17">
        <w:t>Francisco</w:t>
      </w:r>
      <w:r w:rsidR="007961BB">
        <w:t>, Disability Advocates</w:t>
      </w:r>
      <w:r w:rsidR="00C155EE">
        <w:t>, and Uber</w:t>
      </w:r>
      <w:r>
        <w:t>.</w:t>
      </w:r>
      <w:r w:rsidR="000E5B17">
        <w:t xml:space="preserve">  San Francisco states that </w:t>
      </w:r>
      <w:r w:rsidR="003278E4">
        <w:t xml:space="preserve">the issue of how to calculate </w:t>
      </w:r>
      <w:r w:rsidR="00C05AA3">
        <w:t>operating hours</w:t>
      </w:r>
      <w:r w:rsidR="000E5B17">
        <w:t xml:space="preserve"> was not scoped </w:t>
      </w:r>
      <w:r w:rsidR="00D92F95">
        <w:t>in Track 3</w:t>
      </w:r>
      <w:r w:rsidR="000E5B17">
        <w:t xml:space="preserve"> and there was </w:t>
      </w:r>
      <w:r w:rsidR="00352B9F">
        <w:t>in</w:t>
      </w:r>
      <w:r w:rsidR="000E5B17">
        <w:t>adequate opportunity for comment.</w:t>
      </w:r>
      <w:r w:rsidR="000E5B17">
        <w:rPr>
          <w:rStyle w:val="FootnoteReference"/>
        </w:rPr>
        <w:footnoteReference w:id="128"/>
      </w:r>
      <w:r w:rsidR="003278E4">
        <w:t xml:space="preserve">  </w:t>
      </w:r>
      <w:r w:rsidR="00D303E2">
        <w:t>Uber states that the proposed decision misstates its comment</w:t>
      </w:r>
      <w:r w:rsidR="00634A03">
        <w:t>s</w:t>
      </w:r>
      <w:r w:rsidR="00D303E2">
        <w:t xml:space="preserve">, which was that because Uber offers service </w:t>
      </w:r>
      <w:r w:rsidR="00C05AA3">
        <w:t>24</w:t>
      </w:r>
      <w:r w:rsidR="00610B2D">
        <w:t> </w:t>
      </w:r>
      <w:r w:rsidR="00C05AA3">
        <w:t xml:space="preserve">hours a day </w:t>
      </w:r>
      <w:r w:rsidR="00D303E2">
        <w:t xml:space="preserve">and across all service areas, its non-completion rates may be higher.  </w:t>
      </w:r>
      <w:r w:rsidR="00634A03">
        <w:t>Uber</w:t>
      </w:r>
      <w:r w:rsidR="005402DB">
        <w:t>, however,</w:t>
      </w:r>
      <w:r w:rsidR="00634A03">
        <w:t xml:space="preserve"> </w:t>
      </w:r>
      <w:r w:rsidR="00D303E2">
        <w:t xml:space="preserve">does not support limiting </w:t>
      </w:r>
      <w:r w:rsidR="00701BA1">
        <w:t xml:space="preserve">the </w:t>
      </w:r>
      <w:r w:rsidR="00D303E2">
        <w:t xml:space="preserve">calculation of </w:t>
      </w:r>
      <w:r w:rsidR="00C155EE">
        <w:t>the Trip Completion Standard</w:t>
      </w:r>
      <w:r w:rsidR="00D303E2">
        <w:t xml:space="preserve"> as that could</w:t>
      </w:r>
      <w:r w:rsidR="00C155EE">
        <w:t xml:space="preserve"> incentivize a TNC to restrict </w:t>
      </w:r>
      <w:r w:rsidR="00701BA1">
        <w:t xml:space="preserve">operating </w:t>
      </w:r>
      <w:r w:rsidR="00C155EE">
        <w:t>hours and service areas to increase the completion rate.</w:t>
      </w:r>
      <w:r w:rsidR="00C155EE">
        <w:rPr>
          <w:rStyle w:val="FootnoteReference"/>
        </w:rPr>
        <w:footnoteReference w:id="129"/>
      </w:r>
      <w:r w:rsidR="00C155EE">
        <w:t xml:space="preserve">  </w:t>
      </w:r>
      <w:r w:rsidR="00634A03">
        <w:t xml:space="preserve">Lyft </w:t>
      </w:r>
      <w:r w:rsidR="009942C5">
        <w:t>disagrees with Uber’s comments that TNC WAV programs should be required to operate 24/7.</w:t>
      </w:r>
      <w:r w:rsidR="009942C5">
        <w:rPr>
          <w:rStyle w:val="FootnoteReference"/>
        </w:rPr>
        <w:footnoteReference w:id="130"/>
      </w:r>
    </w:p>
    <w:p w:rsidR="00C155EE" w:rsidP="00C155EE" w:rsidRDefault="00CE2295" w14:paraId="41157FF3" w14:textId="325EEC00">
      <w:pPr>
        <w:pStyle w:val="ALJBodyText"/>
      </w:pPr>
      <w:r>
        <w:t>We</w:t>
      </w:r>
      <w:r w:rsidR="003278E4">
        <w:t xml:space="preserve"> </w:t>
      </w:r>
      <w:r w:rsidR="00D303E2">
        <w:t xml:space="preserve">first </w:t>
      </w:r>
      <w:r w:rsidR="003278E4">
        <w:t>disagree that th</w:t>
      </w:r>
      <w:r w:rsidR="006547E9">
        <w:t>e</w:t>
      </w:r>
      <w:r w:rsidR="003278E4">
        <w:t xml:space="preserve"> issue </w:t>
      </w:r>
      <w:r w:rsidR="00775A6E">
        <w:t>was</w:t>
      </w:r>
      <w:r w:rsidR="003278E4">
        <w:t xml:space="preserve"> not scoped in </w:t>
      </w:r>
      <w:r w:rsidR="00775A6E">
        <w:t>Track 3</w:t>
      </w:r>
      <w:r w:rsidR="003278E4">
        <w:t xml:space="preserve">.  Calculating the number of completed trips was raised in Track 3 proposals and comments as a potential </w:t>
      </w:r>
      <w:r w:rsidR="00D303E2">
        <w:t xml:space="preserve">metric for </w:t>
      </w:r>
      <w:r w:rsidR="003278E4">
        <w:t>improved level of service</w:t>
      </w:r>
      <w:r w:rsidR="00775A6E">
        <w:t>, which is a scoped issue,</w:t>
      </w:r>
      <w:r w:rsidR="003278E4">
        <w:t xml:space="preserve"> and parties had opportunities to comment.  That said, the Commission </w:t>
      </w:r>
      <w:r w:rsidR="006547E9">
        <w:t>misread</w:t>
      </w:r>
      <w:r w:rsidR="00C155EE">
        <w:t xml:space="preserve"> Uber’s</w:t>
      </w:r>
      <w:r w:rsidR="00775A6E">
        <w:t xml:space="preserve"> comment</w:t>
      </w:r>
      <w:r w:rsidR="00C155EE">
        <w:t>s</w:t>
      </w:r>
      <w:r w:rsidR="00775A6E">
        <w:t xml:space="preserve"> </w:t>
      </w:r>
      <w:r w:rsidR="00EA56A4">
        <w:t xml:space="preserve">as supporting </w:t>
      </w:r>
      <w:r w:rsidR="00701BA1">
        <w:t>an</w:t>
      </w:r>
      <w:r w:rsidR="00C155EE">
        <w:t xml:space="preserve"> </w:t>
      </w:r>
      <w:r w:rsidR="00701BA1">
        <w:t xml:space="preserve">hourly </w:t>
      </w:r>
      <w:r w:rsidR="00C155EE">
        <w:t>limit</w:t>
      </w:r>
      <w:r w:rsidR="00701BA1">
        <w:t>ation on calculating</w:t>
      </w:r>
      <w:r w:rsidR="00C155EE">
        <w:t xml:space="preserve"> </w:t>
      </w:r>
      <w:r w:rsidR="00701BA1">
        <w:t>completed trips</w:t>
      </w:r>
      <w:r w:rsidR="00775A6E">
        <w:t>.</w:t>
      </w:r>
      <w:r w:rsidR="00EA56A4">
        <w:t xml:space="preserve">  </w:t>
      </w:r>
      <w:r w:rsidR="00D303E2">
        <w:t>We agree</w:t>
      </w:r>
      <w:r w:rsidR="00EA56A4">
        <w:t xml:space="preserve"> </w:t>
      </w:r>
      <w:r w:rsidR="009942C5">
        <w:t xml:space="preserve">with parties </w:t>
      </w:r>
      <w:r w:rsidR="00EA56A4">
        <w:t xml:space="preserve">that allowing a TNC to limit its WAV operating hours for the Trip Completion Standard could create perverse incentives to </w:t>
      </w:r>
      <w:r w:rsidR="00D303E2">
        <w:t xml:space="preserve">limit WAV service to hours and areas to </w:t>
      </w:r>
      <w:r w:rsidR="00EA56A4">
        <w:t xml:space="preserve">manipulate </w:t>
      </w:r>
      <w:r w:rsidR="00D303E2">
        <w:t>a TNC’s</w:t>
      </w:r>
      <w:r w:rsidR="00EA56A4">
        <w:t xml:space="preserve"> </w:t>
      </w:r>
      <w:r w:rsidR="00D303E2">
        <w:t>completion rate</w:t>
      </w:r>
      <w:r w:rsidR="00EA56A4">
        <w:t xml:space="preserve">.  </w:t>
      </w:r>
      <w:r w:rsidR="00D303E2">
        <w:t>The Commission thus</w:t>
      </w:r>
      <w:r w:rsidR="005402DB">
        <w:t xml:space="preserve"> agrees to</w:t>
      </w:r>
      <w:r w:rsidR="00EA56A4">
        <w:t xml:space="preserve"> remove the limitation on </w:t>
      </w:r>
      <w:r w:rsidR="006547E9">
        <w:t xml:space="preserve">WAV </w:t>
      </w:r>
      <w:r w:rsidR="00EA56A4">
        <w:t>operating hours</w:t>
      </w:r>
      <w:r w:rsidR="00D303E2">
        <w:t xml:space="preserve"> for </w:t>
      </w:r>
      <w:r w:rsidR="00D303E2">
        <w:lastRenderedPageBreak/>
        <w:t xml:space="preserve">the </w:t>
      </w:r>
      <w:r w:rsidR="00701BA1">
        <w:t xml:space="preserve">purposes of the </w:t>
      </w:r>
      <w:r w:rsidR="00D303E2">
        <w:t>Trip Completion Standard calculation</w:t>
      </w:r>
      <w:r w:rsidR="00407B82">
        <w:t xml:space="preserve"> and the decision has been modified</w:t>
      </w:r>
      <w:r w:rsidR="006547E9">
        <w:t xml:space="preserve"> as such</w:t>
      </w:r>
      <w:r w:rsidR="00EA56A4">
        <w:t>.</w:t>
      </w:r>
      <w:r w:rsidR="00D303E2">
        <w:t xml:space="preserve">  However, </w:t>
      </w:r>
      <w:r w:rsidR="005402DB">
        <w:t>we</w:t>
      </w:r>
      <w:r w:rsidR="003D36A3">
        <w:t xml:space="preserve"> decline to dictate </w:t>
      </w:r>
      <w:r w:rsidR="00701BA1">
        <w:t>the number of</w:t>
      </w:r>
      <w:r w:rsidR="003D36A3">
        <w:t xml:space="preserve"> hours of WAV service</w:t>
      </w:r>
      <w:r w:rsidR="005402DB">
        <w:t xml:space="preserve"> </w:t>
      </w:r>
      <w:r w:rsidR="00701BA1">
        <w:t>or</w:t>
      </w:r>
      <w:r w:rsidR="005402DB">
        <w:t xml:space="preserve"> </w:t>
      </w:r>
      <w:r w:rsidR="00701BA1">
        <w:t>the</w:t>
      </w:r>
      <w:r w:rsidR="005402DB">
        <w:t xml:space="preserve"> </w:t>
      </w:r>
      <w:r w:rsidR="00352B9F">
        <w:t>areas that</w:t>
      </w:r>
      <w:r w:rsidR="00701BA1">
        <w:t xml:space="preserve"> </w:t>
      </w:r>
      <w:r w:rsidR="005402DB">
        <w:t>WAV service</w:t>
      </w:r>
      <w:r w:rsidR="003D36A3">
        <w:t xml:space="preserve"> must be offered</w:t>
      </w:r>
      <w:r w:rsidR="00701BA1">
        <w:t xml:space="preserve"> by a TNC seeking an offset or exemption</w:t>
      </w:r>
      <w:r w:rsidR="003D36A3">
        <w:t>.  A</w:t>
      </w:r>
      <w:r>
        <w:t xml:space="preserve"> </w:t>
      </w:r>
      <w:r w:rsidR="00D303E2">
        <w:t xml:space="preserve">TNC must still submit </w:t>
      </w:r>
      <w:r>
        <w:t>its</w:t>
      </w:r>
      <w:r w:rsidR="00D303E2">
        <w:t xml:space="preserve"> WAV operating hours</w:t>
      </w:r>
      <w:r>
        <w:t xml:space="preserve"> with its Trip Completion Standard data</w:t>
      </w:r>
      <w:r w:rsidR="00D303E2">
        <w:t>.</w:t>
      </w:r>
      <w:r w:rsidR="005402DB">
        <w:t xml:space="preserve">  </w:t>
      </w:r>
    </w:p>
    <w:p w:rsidR="00775A6E" w:rsidP="00E03B5D" w:rsidRDefault="00775A6E" w14:paraId="69D3A78D" w14:textId="6A4F8414">
      <w:pPr>
        <w:pStyle w:val="ALJBodyText"/>
      </w:pPr>
      <w:r>
        <w:t>San Francisco</w:t>
      </w:r>
      <w:r w:rsidR="00350228">
        <w:t xml:space="preserve">, </w:t>
      </w:r>
      <w:r w:rsidR="00692AAA">
        <w:t>Disability Advocates</w:t>
      </w:r>
      <w:r w:rsidR="00350228">
        <w:t>, and SFTWA</w:t>
      </w:r>
      <w:r>
        <w:t xml:space="preserve"> object to deferring</w:t>
      </w:r>
      <w:r w:rsidR="00DC2138">
        <w:t xml:space="preserve"> to Track 4</w:t>
      </w:r>
      <w:r>
        <w:t xml:space="preserve"> the issue of whether non-regulated entities can be </w:t>
      </w:r>
      <w:r w:rsidR="00352B9F">
        <w:t>A</w:t>
      </w:r>
      <w:r>
        <w:t xml:space="preserve">ccess </w:t>
      </w:r>
      <w:r w:rsidR="00352B9F">
        <w:t>P</w:t>
      </w:r>
      <w:r>
        <w:t>roviders</w:t>
      </w:r>
      <w:r w:rsidR="00692AAA">
        <w:t>.</w:t>
      </w:r>
      <w:r w:rsidR="00692AAA">
        <w:rPr>
          <w:rStyle w:val="FootnoteReference"/>
        </w:rPr>
        <w:footnoteReference w:id="131"/>
      </w:r>
      <w:r w:rsidR="00692AAA">
        <w:t xml:space="preserve">  San Francisco </w:t>
      </w:r>
      <w:r w:rsidR="0096315F">
        <w:t xml:space="preserve">comments </w:t>
      </w:r>
      <w:r w:rsidR="000A47B5">
        <w:t>include reasons</w:t>
      </w:r>
      <w:r>
        <w:t xml:space="preserve"> why </w:t>
      </w:r>
      <w:r w:rsidR="000A47B5">
        <w:t>non-</w:t>
      </w:r>
      <w:r>
        <w:t xml:space="preserve">regulated entities should be included, </w:t>
      </w:r>
      <w:r w:rsidR="000A47B5">
        <w:t>such as</w:t>
      </w:r>
      <w:r>
        <w:t xml:space="preserve"> </w:t>
      </w:r>
      <w:r w:rsidR="0096315F">
        <w:t xml:space="preserve">information on </w:t>
      </w:r>
      <w:r>
        <w:t xml:space="preserve">insurance requirements </w:t>
      </w:r>
      <w:r w:rsidR="000A47B5">
        <w:t>for</w:t>
      </w:r>
      <w:r>
        <w:t xml:space="preserve"> paratransit rides and background check requirements of taxicabs.</w:t>
      </w:r>
      <w:r w:rsidR="00E03B5D">
        <w:t xml:space="preserve">  </w:t>
      </w:r>
      <w:r w:rsidR="008F24AA">
        <w:t xml:space="preserve">Disability Advocates </w:t>
      </w:r>
      <w:r w:rsidR="000A47B5">
        <w:t>and SFTWA state</w:t>
      </w:r>
      <w:r w:rsidR="008F24AA">
        <w:t xml:space="preserve"> that </w:t>
      </w:r>
      <w:r w:rsidR="000A47B5">
        <w:t xml:space="preserve">the Act includes no such limitation to only carriers that obtain Commission permits.  </w:t>
      </w:r>
      <w:r w:rsidR="00E03B5D">
        <w:rPr>
          <w:rFonts w:cs="BookAntiqua"/>
          <w:szCs w:val="26"/>
        </w:rPr>
        <w:t>As discussed</w:t>
      </w:r>
      <w:r w:rsidR="00DC2138">
        <w:rPr>
          <w:rFonts w:cs="BookAntiqua"/>
          <w:szCs w:val="26"/>
        </w:rPr>
        <w:t xml:space="preserve"> in the decision</w:t>
      </w:r>
      <w:r w:rsidR="00E03B5D">
        <w:rPr>
          <w:rFonts w:cs="BookAntiqua"/>
          <w:szCs w:val="26"/>
        </w:rPr>
        <w:t xml:space="preserve">, </w:t>
      </w:r>
      <w:r w:rsidR="00CE2295">
        <w:rPr>
          <w:rFonts w:cs="BookAntiqua"/>
          <w:szCs w:val="26"/>
        </w:rPr>
        <w:t xml:space="preserve">the Commission </w:t>
      </w:r>
      <w:r w:rsidR="000A47B5">
        <w:rPr>
          <w:rFonts w:cs="BookAntiqua"/>
          <w:szCs w:val="26"/>
        </w:rPr>
        <w:t xml:space="preserve">would like to consider </w:t>
      </w:r>
      <w:r w:rsidR="00E03B5D">
        <w:rPr>
          <w:rFonts w:cs="BookAntiqua"/>
          <w:szCs w:val="26"/>
        </w:rPr>
        <w:t>disbursement of Access Fund moneys to non-regulated entities without requiring a TCP permit, if compliance with safety protocols and other requirements</w:t>
      </w:r>
      <w:r w:rsidR="000A47B5">
        <w:rPr>
          <w:rFonts w:cs="BookAntiqua"/>
          <w:szCs w:val="26"/>
        </w:rPr>
        <w:t xml:space="preserve"> can be ensured.</w:t>
      </w:r>
      <w:r w:rsidR="00E03B5D">
        <w:rPr>
          <w:rFonts w:cs="BookAntiqua"/>
          <w:szCs w:val="26"/>
        </w:rPr>
        <w:t xml:space="preserve">  San Francisco’s</w:t>
      </w:r>
      <w:r w:rsidR="00350228">
        <w:rPr>
          <w:rFonts w:cs="BookAntiqua"/>
          <w:szCs w:val="26"/>
        </w:rPr>
        <w:t xml:space="preserve"> and SFTWA’s</w:t>
      </w:r>
      <w:r w:rsidR="00E03B5D">
        <w:rPr>
          <w:rFonts w:cs="BookAntiqua"/>
          <w:szCs w:val="26"/>
        </w:rPr>
        <w:t xml:space="preserve"> comments</w:t>
      </w:r>
      <w:r w:rsidR="006547E9">
        <w:rPr>
          <w:rFonts w:cs="BookAntiqua"/>
          <w:szCs w:val="26"/>
        </w:rPr>
        <w:t xml:space="preserve"> on the proposed decision</w:t>
      </w:r>
      <w:r w:rsidR="00E03B5D">
        <w:rPr>
          <w:rFonts w:cs="BookAntiqua"/>
          <w:szCs w:val="26"/>
        </w:rPr>
        <w:t xml:space="preserve"> </w:t>
      </w:r>
      <w:r w:rsidR="000D7151">
        <w:rPr>
          <w:rFonts w:cs="BookAntiqua"/>
          <w:szCs w:val="26"/>
        </w:rPr>
        <w:t>include</w:t>
      </w:r>
      <w:r w:rsidR="00E03B5D">
        <w:t xml:space="preserve"> the type of information the Commission would like to consider in Track 4.</w:t>
      </w:r>
      <w:r w:rsidR="000A47B5">
        <w:t xml:space="preserve">  We note, however, that </w:t>
      </w:r>
      <w:r w:rsidR="00352B9F">
        <w:t xml:space="preserve">including both </w:t>
      </w:r>
      <w:r w:rsidR="000A47B5">
        <w:t xml:space="preserve">“transportation carriers that are regulated by the Commission” and “transportation carriers that hold a Commission-issued permit” </w:t>
      </w:r>
      <w:r w:rsidR="00352B9F">
        <w:t>is</w:t>
      </w:r>
      <w:r w:rsidR="006547E9">
        <w:t xml:space="preserve"> unnecessarily</w:t>
      </w:r>
      <w:r w:rsidR="000A47B5">
        <w:t xml:space="preserve"> redundant and the decision </w:t>
      </w:r>
      <w:r w:rsidR="006547E9">
        <w:t xml:space="preserve">has been modified </w:t>
      </w:r>
      <w:r w:rsidR="000A47B5">
        <w:t xml:space="preserve">to include </w:t>
      </w:r>
      <w:r w:rsidR="00E87EF6">
        <w:t xml:space="preserve">only </w:t>
      </w:r>
      <w:r w:rsidR="000A47B5">
        <w:t>the latter category.</w:t>
      </w:r>
    </w:p>
    <w:p w:rsidR="006A3C4D" w:rsidP="00F52DCA" w:rsidRDefault="00C447FA" w14:paraId="2EC78F03" w14:textId="5D9C6DE9">
      <w:pPr>
        <w:pStyle w:val="ALJBodyText"/>
      </w:pPr>
      <w:r>
        <w:t xml:space="preserve">San Francisco objects to allowing TNCs to apply as </w:t>
      </w:r>
      <w:r w:rsidR="00E87EF6">
        <w:t>A</w:t>
      </w:r>
      <w:r>
        <w:t xml:space="preserve">ccess </w:t>
      </w:r>
      <w:r w:rsidR="00E87EF6">
        <w:t>P</w:t>
      </w:r>
      <w:r>
        <w:t xml:space="preserve">roviders in counties where they do not provide WAV service, stating that it </w:t>
      </w:r>
      <w:r w:rsidR="00C05AA3">
        <w:t xml:space="preserve">is </w:t>
      </w:r>
      <w:r>
        <w:t xml:space="preserve">inconsistent with the Act and bad policy to reward </w:t>
      </w:r>
      <w:r w:rsidR="0096315F">
        <w:t xml:space="preserve">a </w:t>
      </w:r>
      <w:r>
        <w:t xml:space="preserve">TNC with funding when it did not </w:t>
      </w:r>
      <w:r>
        <w:lastRenderedPageBreak/>
        <w:t>attempt to provide WAV service.</w:t>
      </w:r>
      <w:r w:rsidR="00965173">
        <w:rPr>
          <w:rStyle w:val="FootnoteReference"/>
        </w:rPr>
        <w:footnoteReference w:id="132"/>
      </w:r>
      <w:r w:rsidR="00180138">
        <w:t xml:space="preserve">  We </w:t>
      </w:r>
      <w:r w:rsidR="0096315F">
        <w:t>disagree</w:t>
      </w:r>
      <w:r w:rsidR="00180138">
        <w:t xml:space="preserve"> that a TNC is </w:t>
      </w:r>
      <w:r w:rsidR="0096315F">
        <w:t>re</w:t>
      </w:r>
      <w:r w:rsidR="00180138">
        <w:t xml:space="preserve">warded with Access Fund funding in this manner.  A TNC that does not offer WAV service in a </w:t>
      </w:r>
      <w:r w:rsidR="005B4BFB">
        <w:t>county</w:t>
      </w:r>
      <w:r w:rsidR="00180138">
        <w:t xml:space="preserve"> but </w:t>
      </w:r>
      <w:r w:rsidR="00C05AA3">
        <w:t>attempts</w:t>
      </w:r>
      <w:r w:rsidR="00180138">
        <w:t xml:space="preserve"> to do </w:t>
      </w:r>
      <w:r w:rsidR="0096315F">
        <w:t xml:space="preserve">so </w:t>
      </w:r>
      <w:r w:rsidR="00032195">
        <w:t xml:space="preserve">as an Access Provider </w:t>
      </w:r>
      <w:r w:rsidR="0096315F">
        <w:t>would have to</w:t>
      </w:r>
      <w:r w:rsidR="00180138">
        <w:t xml:space="preserve"> wait until the </w:t>
      </w:r>
      <w:r w:rsidR="00C05AA3">
        <w:t>AFA’s next</w:t>
      </w:r>
      <w:r w:rsidR="00180138">
        <w:t xml:space="preserve"> Access Provider application process, compete with other Access Provider applicants for funding, and may or may not be selected for funding.  </w:t>
      </w:r>
      <w:r w:rsidR="00F52DCA">
        <w:t>Rather</w:t>
      </w:r>
      <w:r w:rsidR="00180138">
        <w:t xml:space="preserve">, </w:t>
      </w:r>
      <w:r w:rsidR="0096315F">
        <w:t>a</w:t>
      </w:r>
      <w:r w:rsidR="00180138">
        <w:t xml:space="preserve"> TNC that does not offer WAV service but offers </w:t>
      </w:r>
      <w:r w:rsidR="00C05AA3">
        <w:t>non-WAV T</w:t>
      </w:r>
      <w:r w:rsidR="00180138">
        <w:t xml:space="preserve">NC service in a geographic area can </w:t>
      </w:r>
      <w:r w:rsidR="00C05AA3">
        <w:t xml:space="preserve">much </w:t>
      </w:r>
      <w:r w:rsidR="00180138">
        <w:t xml:space="preserve">more readily apply for an offset </w:t>
      </w:r>
      <w:r w:rsidR="00F52DCA">
        <w:t xml:space="preserve">in that area </w:t>
      </w:r>
      <w:r w:rsidR="00180138">
        <w:t xml:space="preserve">based on the </w:t>
      </w:r>
      <w:r w:rsidR="0096315F">
        <w:t xml:space="preserve">per-trip </w:t>
      </w:r>
      <w:r w:rsidR="00180138">
        <w:t xml:space="preserve">Access Fund fees that </w:t>
      </w:r>
      <w:r w:rsidR="00C05AA3">
        <w:t>it</w:t>
      </w:r>
      <w:r w:rsidR="00180138">
        <w:t xml:space="preserve"> otherwise must remit to the Commission.</w:t>
      </w:r>
      <w:r w:rsidR="0069381D">
        <w:t xml:space="preserve">  </w:t>
      </w:r>
      <w:r w:rsidR="0096315F">
        <w:t xml:space="preserve">While we decline to modify this requirement, </w:t>
      </w:r>
      <w:r w:rsidR="00E87EF6">
        <w:t>we note</w:t>
      </w:r>
      <w:r w:rsidR="006547E9">
        <w:t xml:space="preserve"> a</w:t>
      </w:r>
      <w:r w:rsidR="0096315F">
        <w:t xml:space="preserve"> concern </w:t>
      </w:r>
      <w:r w:rsidR="00F52DCA">
        <w:t xml:space="preserve">that a TNC that otherwise may have provided WAV service in an area </w:t>
      </w:r>
      <w:r w:rsidR="0096315F">
        <w:t xml:space="preserve">could stop </w:t>
      </w:r>
      <w:r w:rsidR="00F52DCA">
        <w:t>provid</w:t>
      </w:r>
      <w:r w:rsidR="0096315F">
        <w:t>ing</w:t>
      </w:r>
      <w:r w:rsidR="00F52DCA">
        <w:t xml:space="preserve"> WAV service in order to apply as an Access Provider.  </w:t>
      </w:r>
      <w:r w:rsidR="0096315F">
        <w:t xml:space="preserve">This </w:t>
      </w:r>
      <w:r w:rsidR="00E87EF6">
        <w:t>concern</w:t>
      </w:r>
      <w:r w:rsidR="0096315F">
        <w:t xml:space="preserve"> may be </w:t>
      </w:r>
      <w:r w:rsidR="006547E9">
        <w:t>considered</w:t>
      </w:r>
      <w:r w:rsidR="0096315F">
        <w:t xml:space="preserve"> </w:t>
      </w:r>
      <w:r w:rsidR="00F52DCA">
        <w:t>in Track 4 and th</w:t>
      </w:r>
      <w:r w:rsidR="006547E9">
        <w:t>is</w:t>
      </w:r>
      <w:r w:rsidR="00F52DCA">
        <w:t xml:space="preserve"> requirement</w:t>
      </w:r>
      <w:r w:rsidR="0096315F">
        <w:t xml:space="preserve"> may be modified</w:t>
      </w:r>
      <w:r w:rsidR="00F52DCA">
        <w:t xml:space="preserve"> as needed. </w:t>
      </w:r>
      <w:r w:rsidR="00C142BE">
        <w:t xml:space="preserve"> </w:t>
      </w:r>
    </w:p>
    <w:p w:rsidR="006342C5" w:rsidP="006342C5" w:rsidRDefault="00F628FC" w14:paraId="6241EE28" w14:textId="33F3A352">
      <w:pPr>
        <w:pStyle w:val="ALJBodyText"/>
        <w:rPr>
          <w:rFonts w:cs="BookAntiqua"/>
          <w:szCs w:val="26"/>
        </w:rPr>
      </w:pPr>
      <w:r>
        <w:t xml:space="preserve">San Francisco </w:t>
      </w:r>
      <w:r w:rsidR="00E50835">
        <w:t xml:space="preserve">and Disability Advocates </w:t>
      </w:r>
      <w:r w:rsidR="002B3C7C">
        <w:t>appear</w:t>
      </w:r>
      <w:r w:rsidR="00E50835">
        <w:t xml:space="preserve"> to state that the adopted yearly benchmarks are not appropriate.  Both </w:t>
      </w:r>
      <w:r w:rsidR="006547E9">
        <w:t xml:space="preserve">parties </w:t>
      </w:r>
      <w:r w:rsidR="00E50835">
        <w:t xml:space="preserve">generally argue that </w:t>
      </w:r>
      <w:r w:rsidRPr="00FF556D" w:rsidR="004947AA">
        <w:t>§</w:t>
      </w:r>
      <w:r w:rsidR="00610B2D">
        <w:t> </w:t>
      </w:r>
      <w:r w:rsidR="004947AA">
        <w:t xml:space="preserve">5440.5(a)(1)(J) </w:t>
      </w:r>
      <w:r w:rsidR="00E50835">
        <w:t xml:space="preserve">requires that the yearly benchmarks be set </w:t>
      </w:r>
      <w:r w:rsidR="004947AA">
        <w:t xml:space="preserve">for TNCs and </w:t>
      </w:r>
      <w:r w:rsidR="00E50835">
        <w:t>A</w:t>
      </w:r>
      <w:r w:rsidR="004947AA">
        <w:t xml:space="preserve">ccess </w:t>
      </w:r>
      <w:r w:rsidR="00E50835">
        <w:t>P</w:t>
      </w:r>
      <w:r w:rsidR="004947AA">
        <w:t>roviders “</w:t>
      </w:r>
      <w:r w:rsidRPr="00E50835" w:rsidR="004947AA">
        <w:rPr>
          <w:i/>
          <w:iCs/>
        </w:rPr>
        <w:t>to meet</w:t>
      </w:r>
      <w:r w:rsidR="004947AA">
        <w:t xml:space="preserve"> </w:t>
      </w:r>
      <w:r w:rsidRPr="00E50835" w:rsidR="004947AA">
        <w:rPr>
          <w:i/>
          <w:iCs/>
        </w:rPr>
        <w:t>to ensure</w:t>
      </w:r>
      <w:r w:rsidR="004947AA">
        <w:t xml:space="preserve"> WAV users receive continuously improved, reliable and available service…”</w:t>
      </w:r>
      <w:r w:rsidR="004947AA">
        <w:rPr>
          <w:rStyle w:val="FootnoteReference"/>
        </w:rPr>
        <w:footnoteReference w:id="133"/>
      </w:r>
      <w:r w:rsidR="004947AA">
        <w:t xml:space="preserve"> </w:t>
      </w:r>
      <w:r w:rsidR="00610B2D">
        <w:t xml:space="preserve"> </w:t>
      </w:r>
      <w:r w:rsidR="004947AA">
        <w:t xml:space="preserve">(emphasis added). </w:t>
      </w:r>
      <w:r w:rsidR="00E50835">
        <w:t xml:space="preserve"> We</w:t>
      </w:r>
      <w:r w:rsidR="004947AA">
        <w:t xml:space="preserve"> </w:t>
      </w:r>
      <w:r w:rsidR="00E50835">
        <w:t>find</w:t>
      </w:r>
      <w:r w:rsidR="004947AA">
        <w:t xml:space="preserve"> that </w:t>
      </w:r>
      <w:r w:rsidR="002B3C7C">
        <w:t xml:space="preserve">by </w:t>
      </w:r>
      <w:r w:rsidR="00E50835">
        <w:t>requiring</w:t>
      </w:r>
      <w:r w:rsidR="004947AA">
        <w:t xml:space="preserve"> </w:t>
      </w:r>
      <w:r w:rsidR="00E50835">
        <w:t>TNCs and Access Providers</w:t>
      </w:r>
      <w:r w:rsidR="004947AA">
        <w:t xml:space="preserve"> </w:t>
      </w:r>
      <w:r w:rsidR="00E50835">
        <w:t>to submit the data underlying</w:t>
      </w:r>
      <w:r w:rsidR="004D73D6">
        <w:t xml:space="preserve"> </w:t>
      </w:r>
      <w:r w:rsidR="004947AA">
        <w:t xml:space="preserve">the </w:t>
      </w:r>
      <w:r w:rsidR="004947AA">
        <w:rPr>
          <w:rFonts w:cs="BookAntiqua"/>
          <w:szCs w:val="26"/>
        </w:rPr>
        <w:t>Offset Requests, Exemption Requests, and Quarterly Reports</w:t>
      </w:r>
      <w:r w:rsidR="00E50835">
        <w:rPr>
          <w:rFonts w:cs="BookAntiqua"/>
          <w:szCs w:val="26"/>
        </w:rPr>
        <w:t xml:space="preserve">, </w:t>
      </w:r>
      <w:r w:rsidR="00520523">
        <w:rPr>
          <w:rFonts w:cs="BookAntiqua"/>
          <w:szCs w:val="26"/>
        </w:rPr>
        <w:t>we are</w:t>
      </w:r>
      <w:r w:rsidR="002B3C7C">
        <w:rPr>
          <w:rFonts w:cs="BookAntiqua"/>
          <w:szCs w:val="26"/>
        </w:rPr>
        <w:t xml:space="preserve"> impos</w:t>
      </w:r>
      <w:r w:rsidR="00520523">
        <w:rPr>
          <w:rFonts w:cs="BookAntiqua"/>
          <w:szCs w:val="26"/>
        </w:rPr>
        <w:t>ing</w:t>
      </w:r>
      <w:r w:rsidR="002B3C7C">
        <w:rPr>
          <w:rFonts w:cs="BookAntiqua"/>
          <w:szCs w:val="26"/>
        </w:rPr>
        <w:t xml:space="preserve"> a</w:t>
      </w:r>
      <w:r w:rsidR="00E50835">
        <w:rPr>
          <w:rFonts w:cs="BookAntiqua"/>
          <w:szCs w:val="26"/>
        </w:rPr>
        <w:t xml:space="preserve"> standard “to meet to ensure” </w:t>
      </w:r>
      <w:r w:rsidR="006342C5">
        <w:rPr>
          <w:rFonts w:cs="BookAntiqua"/>
          <w:szCs w:val="26"/>
        </w:rPr>
        <w:t>continuously improved, reliable and available service</w:t>
      </w:r>
      <w:r w:rsidR="004947AA">
        <w:rPr>
          <w:rFonts w:cs="BookAntiqua"/>
          <w:szCs w:val="26"/>
        </w:rPr>
        <w:t xml:space="preserve">, consistent with </w:t>
      </w:r>
      <w:r w:rsidRPr="004947AA" w:rsidR="004947AA">
        <w:rPr>
          <w:rFonts w:cs="BookAntiqua"/>
          <w:szCs w:val="26"/>
        </w:rPr>
        <w:t>§</w:t>
      </w:r>
      <w:r w:rsidR="004947AA">
        <w:rPr>
          <w:rFonts w:cs="BookAntiqua"/>
          <w:szCs w:val="26"/>
        </w:rPr>
        <w:t xml:space="preserve"> 5440.5(a)(1)(J).</w:t>
      </w:r>
      <w:r w:rsidR="006342C5">
        <w:rPr>
          <w:rFonts w:cs="BookAntiqua"/>
          <w:szCs w:val="26"/>
        </w:rPr>
        <w:t xml:space="preserve">  </w:t>
      </w:r>
      <w:r w:rsidR="00E50835">
        <w:rPr>
          <w:rFonts w:cs="BookAntiqua"/>
          <w:szCs w:val="26"/>
        </w:rPr>
        <w:t>We direct</w:t>
      </w:r>
      <w:r w:rsidR="00776D94">
        <w:rPr>
          <w:rFonts w:cs="BookAntiqua"/>
          <w:szCs w:val="26"/>
        </w:rPr>
        <w:t>ed</w:t>
      </w:r>
      <w:r w:rsidR="00E50835">
        <w:rPr>
          <w:rFonts w:cs="BookAntiqua"/>
          <w:szCs w:val="26"/>
        </w:rPr>
        <w:t xml:space="preserve"> </w:t>
      </w:r>
      <w:r w:rsidR="006342C5">
        <w:rPr>
          <w:rFonts w:cs="BookAntiqua"/>
          <w:szCs w:val="26"/>
        </w:rPr>
        <w:t>CPED to submit a yearly benchmark</w:t>
      </w:r>
      <w:r w:rsidR="00E50835">
        <w:rPr>
          <w:rFonts w:cs="BookAntiqua"/>
          <w:szCs w:val="26"/>
        </w:rPr>
        <w:t xml:space="preserve"> report</w:t>
      </w:r>
      <w:r w:rsidR="006342C5">
        <w:rPr>
          <w:rFonts w:cs="BookAntiqua"/>
          <w:szCs w:val="26"/>
        </w:rPr>
        <w:t xml:space="preserve">, </w:t>
      </w:r>
      <w:r w:rsidR="00E50835">
        <w:rPr>
          <w:rFonts w:cs="BookAntiqua"/>
          <w:szCs w:val="26"/>
        </w:rPr>
        <w:lastRenderedPageBreak/>
        <w:t xml:space="preserve">which </w:t>
      </w:r>
      <w:r w:rsidR="006342C5">
        <w:rPr>
          <w:rFonts w:cs="BookAntiqua"/>
          <w:szCs w:val="26"/>
        </w:rPr>
        <w:t>the Commission will evaluate to determine whether any adjustments to the program are warranted.</w:t>
      </w:r>
      <w:r w:rsidR="002B3C7C">
        <w:rPr>
          <w:rFonts w:cs="BookAntiqua"/>
          <w:szCs w:val="26"/>
        </w:rPr>
        <w:t xml:space="preserve">  We decline to modify the decision.</w:t>
      </w:r>
    </w:p>
    <w:p w:rsidR="001100E2" w:rsidP="004947AA" w:rsidRDefault="001100E2" w14:paraId="406EAD25" w14:textId="75A49DF3">
      <w:pPr>
        <w:pStyle w:val="ALJBodyText"/>
        <w:rPr>
          <w:rFonts w:cs="BookAntiqua"/>
          <w:szCs w:val="26"/>
        </w:rPr>
      </w:pPr>
      <w:r>
        <w:rPr>
          <w:rFonts w:cs="BookAntiqua"/>
          <w:szCs w:val="26"/>
        </w:rPr>
        <w:t xml:space="preserve">San Francisco </w:t>
      </w:r>
      <w:r w:rsidR="00E50835">
        <w:rPr>
          <w:rFonts w:cs="BookAntiqua"/>
          <w:szCs w:val="26"/>
        </w:rPr>
        <w:t>further</w:t>
      </w:r>
      <w:r>
        <w:rPr>
          <w:rFonts w:cs="BookAntiqua"/>
          <w:szCs w:val="26"/>
        </w:rPr>
        <w:t xml:space="preserve"> states that the yearly benchmark</w:t>
      </w:r>
      <w:r w:rsidR="00E50835">
        <w:rPr>
          <w:rFonts w:cs="BookAntiqua"/>
          <w:szCs w:val="26"/>
        </w:rPr>
        <w:t xml:space="preserve">s </w:t>
      </w:r>
      <w:r>
        <w:rPr>
          <w:rFonts w:cs="BookAntiqua"/>
          <w:szCs w:val="26"/>
        </w:rPr>
        <w:t>must be required of all TNCs</w:t>
      </w:r>
      <w:r w:rsidR="00B757E8">
        <w:rPr>
          <w:rFonts w:cs="BookAntiqua"/>
          <w:szCs w:val="26"/>
        </w:rPr>
        <w:t xml:space="preserve">, </w:t>
      </w:r>
      <w:r>
        <w:rPr>
          <w:rFonts w:cs="BookAntiqua"/>
          <w:szCs w:val="26"/>
        </w:rPr>
        <w:t>for all counties</w:t>
      </w:r>
      <w:r w:rsidR="00B757E8">
        <w:rPr>
          <w:rFonts w:cs="BookAntiqua"/>
          <w:szCs w:val="26"/>
        </w:rPr>
        <w:t>, and for each quarter</w:t>
      </w:r>
      <w:r>
        <w:rPr>
          <w:rFonts w:cs="BookAntiqua"/>
          <w:szCs w:val="26"/>
        </w:rPr>
        <w:t>.</w:t>
      </w:r>
      <w:r>
        <w:rPr>
          <w:rStyle w:val="FootnoteReference"/>
          <w:rFonts w:cs="BookAntiqua"/>
          <w:szCs w:val="26"/>
        </w:rPr>
        <w:footnoteReference w:id="134"/>
      </w:r>
      <w:r>
        <w:rPr>
          <w:rFonts w:cs="BookAntiqua"/>
          <w:szCs w:val="26"/>
        </w:rPr>
        <w:t xml:space="preserve">  </w:t>
      </w:r>
      <w:r w:rsidR="00E50835">
        <w:rPr>
          <w:rFonts w:cs="BookAntiqua"/>
          <w:szCs w:val="26"/>
        </w:rPr>
        <w:t>We note that under San</w:t>
      </w:r>
      <w:r w:rsidR="00610B2D">
        <w:rPr>
          <w:rFonts w:cs="BookAntiqua"/>
          <w:szCs w:val="26"/>
        </w:rPr>
        <w:t> </w:t>
      </w:r>
      <w:r w:rsidR="00E50835">
        <w:rPr>
          <w:rFonts w:cs="BookAntiqua"/>
          <w:szCs w:val="26"/>
        </w:rPr>
        <w:t xml:space="preserve">Francisco’s interpretation of </w:t>
      </w:r>
      <w:r w:rsidRPr="001100E2" w:rsidR="00E50835">
        <w:rPr>
          <w:rFonts w:cs="BookAntiqua"/>
          <w:szCs w:val="26"/>
        </w:rPr>
        <w:t>§</w:t>
      </w:r>
      <w:r w:rsidR="00E50835">
        <w:rPr>
          <w:rFonts w:cs="BookAntiqua"/>
          <w:szCs w:val="26"/>
        </w:rPr>
        <w:t xml:space="preserve"> 5440.5(a)(1)(J), all Access Providers </w:t>
      </w:r>
      <w:r w:rsidR="00520523">
        <w:rPr>
          <w:rFonts w:cs="BookAntiqua"/>
          <w:szCs w:val="26"/>
        </w:rPr>
        <w:t>would</w:t>
      </w:r>
      <w:r w:rsidR="00E50835">
        <w:rPr>
          <w:rFonts w:cs="BookAntiqua"/>
          <w:szCs w:val="26"/>
        </w:rPr>
        <w:t xml:space="preserve"> also be required to submit the yearly benchmark data for each county and quarter, regardless of operation</w:t>
      </w:r>
      <w:r w:rsidR="002B3C7C">
        <w:rPr>
          <w:rFonts w:cs="BookAntiqua"/>
          <w:szCs w:val="26"/>
        </w:rPr>
        <w:t xml:space="preserve">, </w:t>
      </w:r>
      <w:r w:rsidR="00520523">
        <w:rPr>
          <w:rFonts w:cs="BookAntiqua"/>
          <w:szCs w:val="26"/>
        </w:rPr>
        <w:t>although</w:t>
      </w:r>
      <w:r w:rsidR="002B3C7C">
        <w:rPr>
          <w:rFonts w:cs="BookAntiqua"/>
          <w:szCs w:val="26"/>
        </w:rPr>
        <w:t xml:space="preserve"> San Francisco does not recommend this</w:t>
      </w:r>
      <w:r w:rsidR="00E50835">
        <w:rPr>
          <w:rFonts w:cs="BookAntiqua"/>
          <w:szCs w:val="26"/>
        </w:rPr>
        <w:t xml:space="preserve">.  We do not interpret </w:t>
      </w:r>
      <w:r w:rsidRPr="001100E2" w:rsidR="00E50835">
        <w:rPr>
          <w:rFonts w:cs="BookAntiqua"/>
          <w:szCs w:val="26"/>
        </w:rPr>
        <w:t>§</w:t>
      </w:r>
      <w:r w:rsidR="00E50835">
        <w:rPr>
          <w:rFonts w:cs="BookAntiqua"/>
          <w:szCs w:val="26"/>
        </w:rPr>
        <w:t xml:space="preserve"> 5440.5(a)(1)(J) as requiring all TNCs and all Access Providers to report yearly benchmarks for all counties and all quarters, regardless of whether they have WAV operations.  Such a requirement would be unduly burdensome on TNCs and Access Providers that do not offer WAV services or do not elect to participate in the Access for All program.  </w:t>
      </w:r>
    </w:p>
    <w:p w:rsidR="009C7AAC" w:rsidP="004947AA" w:rsidRDefault="009C7AAC" w14:paraId="1978547A" w14:textId="10C845EF">
      <w:pPr>
        <w:pStyle w:val="ALJBodyText"/>
        <w:rPr>
          <w:rFonts w:cs="BookAntiqua"/>
          <w:szCs w:val="26"/>
        </w:rPr>
      </w:pPr>
      <w:r>
        <w:rPr>
          <w:rFonts w:cs="BookAntiqua"/>
          <w:szCs w:val="26"/>
        </w:rPr>
        <w:t xml:space="preserve">San Francisco </w:t>
      </w:r>
      <w:r w:rsidR="00F30BC9">
        <w:rPr>
          <w:rFonts w:cs="BookAntiqua"/>
          <w:szCs w:val="26"/>
        </w:rPr>
        <w:t xml:space="preserve">comments </w:t>
      </w:r>
      <w:r>
        <w:rPr>
          <w:rFonts w:cs="BookAntiqua"/>
          <w:szCs w:val="26"/>
        </w:rPr>
        <w:t xml:space="preserve">that </w:t>
      </w:r>
      <w:r w:rsidRPr="001100E2">
        <w:rPr>
          <w:rFonts w:cs="BookAntiqua"/>
          <w:szCs w:val="26"/>
        </w:rPr>
        <w:t>§</w:t>
      </w:r>
      <w:r>
        <w:rPr>
          <w:rFonts w:cs="BookAntiqua"/>
          <w:szCs w:val="26"/>
        </w:rPr>
        <w:t xml:space="preserve"> 5440.5(a)(1)(J) requires the yearly benchmarks to include</w:t>
      </w:r>
      <w:r w:rsidR="006B1CD4">
        <w:rPr>
          <w:rFonts w:cs="BookAntiqua"/>
          <w:szCs w:val="26"/>
        </w:rPr>
        <w:t xml:space="preserve"> the</w:t>
      </w:r>
      <w:r>
        <w:rPr>
          <w:rFonts w:cs="BookAntiqua"/>
          <w:szCs w:val="26"/>
        </w:rPr>
        <w:t xml:space="preserve"> “number of users requesting rides versus community WAV demand for each geographic area” and that community WAV demand should be explored in workshops per </w:t>
      </w:r>
      <w:r w:rsidRPr="009C7AAC">
        <w:rPr>
          <w:rFonts w:cs="BookAntiqua"/>
          <w:szCs w:val="26"/>
        </w:rPr>
        <w:t>§</w:t>
      </w:r>
      <w:r>
        <w:rPr>
          <w:rFonts w:cs="BookAntiqua"/>
          <w:szCs w:val="26"/>
        </w:rPr>
        <w:t xml:space="preserve"> 5440.5(a)(1)(A).</w:t>
      </w:r>
      <w:r w:rsidR="00A138AB">
        <w:rPr>
          <w:rStyle w:val="FootnoteReference"/>
          <w:rFonts w:cs="BookAntiqua"/>
          <w:szCs w:val="26"/>
        </w:rPr>
        <w:footnoteReference w:id="135"/>
      </w:r>
      <w:r>
        <w:rPr>
          <w:rFonts w:cs="BookAntiqua"/>
          <w:szCs w:val="26"/>
        </w:rPr>
        <w:t xml:space="preserve">  </w:t>
      </w:r>
      <w:r w:rsidR="006B1CD4">
        <w:rPr>
          <w:rFonts w:cs="BookAntiqua"/>
          <w:szCs w:val="26"/>
        </w:rPr>
        <w:t>We</w:t>
      </w:r>
      <w:r>
        <w:rPr>
          <w:rFonts w:cs="BookAntiqua"/>
          <w:szCs w:val="26"/>
        </w:rPr>
        <w:t xml:space="preserve"> agree that “community WAV demand” </w:t>
      </w:r>
      <w:r w:rsidR="00F30BC9">
        <w:rPr>
          <w:rFonts w:cs="BookAntiqua"/>
          <w:szCs w:val="26"/>
        </w:rPr>
        <w:t xml:space="preserve">should be </w:t>
      </w:r>
      <w:r w:rsidR="00776D94">
        <w:rPr>
          <w:rFonts w:cs="BookAntiqua"/>
          <w:szCs w:val="26"/>
        </w:rPr>
        <w:t>considered</w:t>
      </w:r>
      <w:r>
        <w:rPr>
          <w:rFonts w:cs="BookAntiqua"/>
          <w:szCs w:val="26"/>
        </w:rPr>
        <w:t xml:space="preserve"> in workshops for the yearly benchmarks.  </w:t>
      </w:r>
      <w:r w:rsidR="006547E9">
        <w:rPr>
          <w:rFonts w:cs="BookAntiqua"/>
          <w:szCs w:val="26"/>
        </w:rPr>
        <w:t>The</w:t>
      </w:r>
      <w:r>
        <w:rPr>
          <w:rFonts w:cs="BookAntiqua"/>
          <w:szCs w:val="26"/>
        </w:rPr>
        <w:t xml:space="preserve"> decision </w:t>
      </w:r>
      <w:r w:rsidR="006547E9">
        <w:rPr>
          <w:rFonts w:cs="BookAntiqua"/>
          <w:szCs w:val="26"/>
        </w:rPr>
        <w:t xml:space="preserve">has been modified </w:t>
      </w:r>
      <w:r>
        <w:rPr>
          <w:rFonts w:cs="BookAntiqua"/>
          <w:szCs w:val="26"/>
        </w:rPr>
        <w:t xml:space="preserve">to </w:t>
      </w:r>
      <w:r w:rsidR="000F3C15">
        <w:rPr>
          <w:rFonts w:cs="BookAntiqua"/>
          <w:szCs w:val="26"/>
        </w:rPr>
        <w:t>reflect this.</w:t>
      </w:r>
      <w:r>
        <w:rPr>
          <w:rFonts w:cs="BookAntiqua"/>
          <w:szCs w:val="26"/>
        </w:rPr>
        <w:t xml:space="preserve"> </w:t>
      </w:r>
    </w:p>
    <w:p w:rsidR="00630F59" w:rsidP="00A63693" w:rsidRDefault="00A138AB" w14:paraId="39EA0AAB" w14:textId="0CFD00D4">
      <w:pPr>
        <w:pStyle w:val="ALJBodyText"/>
        <w:rPr>
          <w:rFonts w:cs="BookAntiqua"/>
          <w:szCs w:val="26"/>
        </w:rPr>
      </w:pPr>
      <w:r>
        <w:rPr>
          <w:rFonts w:cs="BookAntiqua"/>
          <w:szCs w:val="26"/>
        </w:rPr>
        <w:t xml:space="preserve">San Francisco objects to the metrics </w:t>
      </w:r>
      <w:r w:rsidR="00E3235F">
        <w:rPr>
          <w:rFonts w:cs="BookAntiqua"/>
          <w:szCs w:val="26"/>
        </w:rPr>
        <w:t>for</w:t>
      </w:r>
      <w:r>
        <w:rPr>
          <w:rFonts w:cs="BookAntiqua"/>
          <w:szCs w:val="26"/>
        </w:rPr>
        <w:t xml:space="preserve"> the 2024 Legislative Report as insufficient </w:t>
      </w:r>
      <w:r w:rsidR="00E3235F">
        <w:rPr>
          <w:rFonts w:cs="BookAntiqua"/>
          <w:szCs w:val="26"/>
        </w:rPr>
        <w:t>because</w:t>
      </w:r>
      <w:r>
        <w:rPr>
          <w:rFonts w:cs="BookAntiqua"/>
          <w:szCs w:val="26"/>
        </w:rPr>
        <w:t xml:space="preserve"> some TNCs, like Lyft, only provide data for two counties.</w:t>
      </w:r>
      <w:r w:rsidR="009A17F6">
        <w:rPr>
          <w:rStyle w:val="FootnoteReference"/>
          <w:rFonts w:cs="BookAntiqua"/>
          <w:szCs w:val="26"/>
        </w:rPr>
        <w:footnoteReference w:id="136"/>
      </w:r>
      <w:r>
        <w:rPr>
          <w:rFonts w:cs="BookAntiqua"/>
          <w:szCs w:val="26"/>
        </w:rPr>
        <w:t xml:space="preserve">  </w:t>
      </w:r>
      <w:r w:rsidR="00F838E9">
        <w:rPr>
          <w:rFonts w:cs="BookAntiqua"/>
          <w:szCs w:val="26"/>
        </w:rPr>
        <w:t>As discussed in the decision, the</w:t>
      </w:r>
      <w:r>
        <w:rPr>
          <w:rFonts w:cs="BookAntiqua"/>
          <w:szCs w:val="26"/>
        </w:rPr>
        <w:t xml:space="preserve"> </w:t>
      </w:r>
      <w:r w:rsidR="00E3235F">
        <w:rPr>
          <w:rFonts w:cs="BookAntiqua"/>
          <w:szCs w:val="26"/>
        </w:rPr>
        <w:t>data</w:t>
      </w:r>
      <w:r>
        <w:rPr>
          <w:rFonts w:cs="BookAntiqua"/>
          <w:szCs w:val="26"/>
        </w:rPr>
        <w:t xml:space="preserve"> </w:t>
      </w:r>
      <w:r w:rsidR="00E3235F">
        <w:rPr>
          <w:rFonts w:cs="BookAntiqua"/>
          <w:szCs w:val="26"/>
        </w:rPr>
        <w:t>currently collected</w:t>
      </w:r>
      <w:r>
        <w:rPr>
          <w:rFonts w:cs="BookAntiqua"/>
          <w:szCs w:val="26"/>
        </w:rPr>
        <w:t xml:space="preserve"> from TNCs and Access Providers is not the </w:t>
      </w:r>
      <w:r w:rsidR="00776D94">
        <w:rPr>
          <w:rFonts w:cs="BookAntiqua"/>
          <w:szCs w:val="26"/>
        </w:rPr>
        <w:t xml:space="preserve">entire </w:t>
      </w:r>
      <w:r>
        <w:rPr>
          <w:rFonts w:cs="BookAntiqua"/>
          <w:szCs w:val="26"/>
        </w:rPr>
        <w:t xml:space="preserve">universe of information that will be relied upon for the </w:t>
      </w:r>
      <w:r>
        <w:rPr>
          <w:rFonts w:cs="BookAntiqua"/>
          <w:szCs w:val="26"/>
        </w:rPr>
        <w:lastRenderedPageBreak/>
        <w:t xml:space="preserve">Legislative Report.  </w:t>
      </w:r>
      <w:r w:rsidR="0025263A">
        <w:rPr>
          <w:rFonts w:cs="BookAntiqua"/>
          <w:szCs w:val="26"/>
        </w:rPr>
        <w:t>A</w:t>
      </w:r>
      <w:r w:rsidR="00F838E9">
        <w:rPr>
          <w:rFonts w:cs="BookAntiqua"/>
          <w:szCs w:val="26"/>
        </w:rPr>
        <w:t>n</w:t>
      </w:r>
      <w:r>
        <w:rPr>
          <w:rFonts w:cs="BookAntiqua"/>
          <w:szCs w:val="26"/>
        </w:rPr>
        <w:t xml:space="preserve"> independent entity </w:t>
      </w:r>
      <w:r w:rsidR="005B4BFB">
        <w:rPr>
          <w:rFonts w:cs="BookAntiqua"/>
          <w:szCs w:val="26"/>
        </w:rPr>
        <w:t>will</w:t>
      </w:r>
      <w:r>
        <w:rPr>
          <w:rFonts w:cs="BookAntiqua"/>
          <w:szCs w:val="26"/>
        </w:rPr>
        <w:t xml:space="preserve"> assist in determining whether additional information is necessary </w:t>
      </w:r>
      <w:r w:rsidR="005B4BFB">
        <w:rPr>
          <w:rFonts w:cs="BookAntiqua"/>
          <w:szCs w:val="26"/>
        </w:rPr>
        <w:t>for</w:t>
      </w:r>
      <w:r>
        <w:rPr>
          <w:rFonts w:cs="BookAntiqua"/>
          <w:szCs w:val="26"/>
        </w:rPr>
        <w:t xml:space="preserve"> the analyses required in </w:t>
      </w:r>
      <w:r w:rsidRPr="004045F7">
        <w:rPr>
          <w:rFonts w:cs="Calibri"/>
          <w:szCs w:val="26"/>
        </w:rPr>
        <w:t xml:space="preserve">§ </w:t>
      </w:r>
      <w:r w:rsidRPr="004045F7">
        <w:rPr>
          <w:rFonts w:cs="BookAntiqua"/>
          <w:szCs w:val="26"/>
        </w:rPr>
        <w:t>5440.5(a)(2)(A)</w:t>
      </w:r>
      <w:r>
        <w:rPr>
          <w:rFonts w:cs="BookAntiqua"/>
          <w:szCs w:val="26"/>
        </w:rPr>
        <w:t>.</w:t>
      </w:r>
    </w:p>
    <w:p w:rsidR="008E53E9" w:rsidRDefault="006D3171" w14:paraId="6060F40D" w14:textId="77777777">
      <w:pPr>
        <w:pStyle w:val="ALJBodyText"/>
        <w:rPr>
          <w:szCs w:val="26"/>
        </w:rPr>
      </w:pPr>
      <w:r>
        <w:rPr>
          <w:szCs w:val="26"/>
        </w:rPr>
        <w:t>LA Metro</w:t>
      </w:r>
      <w:r w:rsidR="0027324F">
        <w:rPr>
          <w:szCs w:val="26"/>
        </w:rPr>
        <w:t xml:space="preserve">, Disability Advocates, and </w:t>
      </w:r>
      <w:r w:rsidR="00775A6E">
        <w:rPr>
          <w:szCs w:val="26"/>
        </w:rPr>
        <w:t xml:space="preserve">San Francisco </w:t>
      </w:r>
      <w:r w:rsidR="004B61D7">
        <w:rPr>
          <w:szCs w:val="26"/>
        </w:rPr>
        <w:t>seek clarification</w:t>
      </w:r>
      <w:r>
        <w:rPr>
          <w:szCs w:val="26"/>
        </w:rPr>
        <w:t xml:space="preserve"> that TNCs must first subtract fares collected from WAV customers from their Offset Requests.</w:t>
      </w:r>
      <w:r>
        <w:rPr>
          <w:rStyle w:val="FootnoteReference"/>
          <w:szCs w:val="26"/>
        </w:rPr>
        <w:footnoteReference w:id="137"/>
      </w:r>
      <w:r w:rsidR="00775A6E">
        <w:rPr>
          <w:szCs w:val="26"/>
        </w:rPr>
        <w:t xml:space="preserve">  </w:t>
      </w:r>
      <w:r w:rsidR="00E90FB4">
        <w:rPr>
          <w:szCs w:val="26"/>
        </w:rPr>
        <w:t>Disability Advocates</w:t>
      </w:r>
      <w:r w:rsidR="00775A6E">
        <w:rPr>
          <w:szCs w:val="26"/>
        </w:rPr>
        <w:t xml:space="preserve"> </w:t>
      </w:r>
      <w:r w:rsidR="00E90FB4">
        <w:rPr>
          <w:szCs w:val="26"/>
        </w:rPr>
        <w:t>state</w:t>
      </w:r>
      <w:r w:rsidR="00775A6E">
        <w:rPr>
          <w:szCs w:val="26"/>
        </w:rPr>
        <w:t xml:space="preserve"> that the WAV fare reimburses a </w:t>
      </w:r>
      <w:r w:rsidR="004B61D7">
        <w:rPr>
          <w:szCs w:val="26"/>
        </w:rPr>
        <w:t xml:space="preserve">TNC a </w:t>
      </w:r>
      <w:r w:rsidR="00775A6E">
        <w:rPr>
          <w:szCs w:val="26"/>
        </w:rPr>
        <w:t xml:space="preserve">portion of the trip’s cost, and that fare should be subtracted from the total </w:t>
      </w:r>
      <w:r w:rsidR="004B61D7">
        <w:rPr>
          <w:szCs w:val="26"/>
        </w:rPr>
        <w:t xml:space="preserve">offset </w:t>
      </w:r>
      <w:r w:rsidR="00775A6E">
        <w:rPr>
          <w:szCs w:val="26"/>
        </w:rPr>
        <w:t>costs</w:t>
      </w:r>
      <w:r w:rsidR="00E90FB4">
        <w:rPr>
          <w:szCs w:val="26"/>
        </w:rPr>
        <w:t>; otherwise, a TNC is being compensated twice for the fare and the offset</w:t>
      </w:r>
      <w:r w:rsidR="004B61D7">
        <w:rPr>
          <w:szCs w:val="26"/>
        </w:rPr>
        <w:t xml:space="preserve"> costs</w:t>
      </w:r>
      <w:r w:rsidR="00775A6E">
        <w:rPr>
          <w:szCs w:val="26"/>
        </w:rPr>
        <w:t>.</w:t>
      </w:r>
      <w:r w:rsidR="00B40039">
        <w:rPr>
          <w:szCs w:val="26"/>
        </w:rPr>
        <w:t xml:space="preserve">  Uber disagrees and states that its fares go towards covering general business expenses, not additional WAV-specific costs.</w:t>
      </w:r>
      <w:r w:rsidR="00B40039">
        <w:rPr>
          <w:rStyle w:val="FootnoteReference"/>
          <w:szCs w:val="26"/>
        </w:rPr>
        <w:footnoteReference w:id="138"/>
      </w:r>
      <w:r w:rsidR="00B40039">
        <w:rPr>
          <w:szCs w:val="26"/>
        </w:rPr>
        <w:t xml:space="preserve">  Uber adds that if </w:t>
      </w:r>
      <w:r w:rsidR="00F838E9">
        <w:rPr>
          <w:szCs w:val="26"/>
        </w:rPr>
        <w:t>it</w:t>
      </w:r>
      <w:r w:rsidR="00B40039">
        <w:rPr>
          <w:szCs w:val="26"/>
        </w:rPr>
        <w:t xml:space="preserve"> is required to deduct the fare</w:t>
      </w:r>
      <w:r w:rsidR="00F838E9">
        <w:rPr>
          <w:szCs w:val="26"/>
        </w:rPr>
        <w:t>s</w:t>
      </w:r>
      <w:r w:rsidR="00B40039">
        <w:rPr>
          <w:szCs w:val="26"/>
        </w:rPr>
        <w:t xml:space="preserve"> from requested offsets, the offset reimbursements would be insufficient. </w:t>
      </w:r>
      <w:r w:rsidR="006F3096">
        <w:rPr>
          <w:szCs w:val="26"/>
        </w:rPr>
        <w:t xml:space="preserve"> </w:t>
      </w:r>
    </w:p>
    <w:p w:rsidR="009C1E9E" w:rsidP="00A63693" w:rsidRDefault="008E53E9" w14:paraId="6D4660BB" w14:textId="5F2302DE">
      <w:pPr>
        <w:pStyle w:val="ALJBodyText"/>
        <w:rPr>
          <w:szCs w:val="26"/>
        </w:rPr>
      </w:pPr>
      <w:r>
        <w:rPr>
          <w:szCs w:val="26"/>
        </w:rPr>
        <w:t xml:space="preserve">As stated in the decision, passenger </w:t>
      </w:r>
      <w:r>
        <w:t>fares are not included on the list of eligible offset expenses adopted in D.20</w:t>
      </w:r>
      <w:r>
        <w:noBreakHyphen/>
        <w:t>03</w:t>
      </w:r>
      <w:r>
        <w:noBreakHyphen/>
        <w:t xml:space="preserve">007.  </w:t>
      </w:r>
      <w:r w:rsidR="00F83582">
        <w:t>If</w:t>
      </w:r>
      <w:r>
        <w:t xml:space="preserve"> TNCs are using the “other” category </w:t>
      </w:r>
      <w:r w:rsidR="00F83582">
        <w:t>for</w:t>
      </w:r>
      <w:r>
        <w:t xml:space="preserve"> submitting offset expenses, D.20-03-007 </w:t>
      </w:r>
      <w:r w:rsidR="00F83582">
        <w:t xml:space="preserve">also </w:t>
      </w:r>
      <w:r>
        <w:t xml:space="preserve">requires that </w:t>
      </w:r>
      <w:r w:rsidR="00A334AD">
        <w:t>the TNC</w:t>
      </w:r>
      <w:r>
        <w:t xml:space="preserve"> describe (1) how such expense is a reasonable, legitimate cost that improve WAV service, and (2) represents a reasonable proportion of the total eligible expenses.</w:t>
      </w:r>
      <w:r w:rsidR="00A334AD">
        <w:rPr>
          <w:rStyle w:val="FootnoteReference"/>
        </w:rPr>
        <w:footnoteReference w:id="139"/>
      </w:r>
      <w:r>
        <w:t xml:space="preserve">  </w:t>
      </w:r>
      <w:r w:rsidR="00F83582">
        <w:t>First, it</w:t>
      </w:r>
      <w:r>
        <w:t xml:space="preserve"> appears from Uber’s comments that it </w:t>
      </w:r>
      <w:r w:rsidR="00F83582">
        <w:t>has</w:t>
      </w:r>
      <w:r>
        <w:t xml:space="preserve"> be</w:t>
      </w:r>
      <w:r w:rsidR="00F83582">
        <w:t>en</w:t>
      </w:r>
      <w:r>
        <w:t xml:space="preserve"> seeking offset reimbursement for </w:t>
      </w:r>
      <w:r w:rsidR="00034568">
        <w:t xml:space="preserve">passenger </w:t>
      </w:r>
      <w:r>
        <w:t xml:space="preserve">fares.  </w:t>
      </w:r>
      <w:r w:rsidR="00F83582">
        <w:t xml:space="preserve">Second, </w:t>
      </w:r>
      <w:r>
        <w:t xml:space="preserve">Uber’s </w:t>
      </w:r>
      <w:r w:rsidR="00034568">
        <w:t>comment</w:t>
      </w:r>
      <w:r w:rsidR="00776D94">
        <w:t>s</w:t>
      </w:r>
      <w:r>
        <w:t xml:space="preserve"> that its fares cover “general business expenses,” not “additional WAV-specific costs</w:t>
      </w:r>
      <w:r w:rsidR="00F83582">
        <w:t>,</w:t>
      </w:r>
      <w:r>
        <w:t xml:space="preserve">” is </w:t>
      </w:r>
      <w:r w:rsidR="00F83582">
        <w:t xml:space="preserve">more confounding since the first requirement of an offset expense is that </w:t>
      </w:r>
      <w:r w:rsidR="00034568">
        <w:t xml:space="preserve">the cost is </w:t>
      </w:r>
      <w:r w:rsidR="00F83582">
        <w:t>“</w:t>
      </w:r>
      <w:r w:rsidR="00F83582">
        <w:rPr>
          <w:szCs w:val="26"/>
        </w:rPr>
        <w:t>a reasonable, legitimate cost that improves a TNC’s WAV service.”</w:t>
      </w:r>
      <w:r>
        <w:t xml:space="preserve">  </w:t>
      </w:r>
      <w:r w:rsidR="00F83582">
        <w:rPr>
          <w:szCs w:val="26"/>
        </w:rPr>
        <w:t>Parties’</w:t>
      </w:r>
      <w:r w:rsidR="004B61D7">
        <w:rPr>
          <w:szCs w:val="26"/>
        </w:rPr>
        <w:t xml:space="preserve"> </w:t>
      </w:r>
      <w:r w:rsidR="004B61D7">
        <w:rPr>
          <w:szCs w:val="26"/>
        </w:rPr>
        <w:lastRenderedPageBreak/>
        <w:t>comments indicate</w:t>
      </w:r>
      <w:r w:rsidR="00F83582">
        <w:rPr>
          <w:szCs w:val="26"/>
        </w:rPr>
        <w:t xml:space="preserve"> that additional information is required to ensure that</w:t>
      </w:r>
      <w:r w:rsidR="00B40039">
        <w:rPr>
          <w:szCs w:val="26"/>
        </w:rPr>
        <w:t xml:space="preserve"> </w:t>
      </w:r>
      <w:r w:rsidR="00F83582">
        <w:rPr>
          <w:szCs w:val="26"/>
        </w:rPr>
        <w:t>requested offset expenses are</w:t>
      </w:r>
      <w:r w:rsidR="00034568">
        <w:rPr>
          <w:szCs w:val="26"/>
        </w:rPr>
        <w:t xml:space="preserve"> and have been</w:t>
      </w:r>
      <w:r w:rsidR="00F83582">
        <w:rPr>
          <w:szCs w:val="26"/>
        </w:rPr>
        <w:t xml:space="preserve"> appropriate.  While we decline to modify the decision at this time, Commission Staff may submit a data request to TNCs </w:t>
      </w:r>
      <w:r w:rsidR="00034568">
        <w:rPr>
          <w:szCs w:val="26"/>
        </w:rPr>
        <w:t>to obtain information as to whether fares</w:t>
      </w:r>
      <w:r w:rsidR="00F83582">
        <w:rPr>
          <w:szCs w:val="26"/>
        </w:rPr>
        <w:t xml:space="preserve"> </w:t>
      </w:r>
      <w:r w:rsidR="00034568">
        <w:rPr>
          <w:szCs w:val="26"/>
        </w:rPr>
        <w:t>have been included</w:t>
      </w:r>
      <w:r w:rsidR="00F83582">
        <w:rPr>
          <w:szCs w:val="26"/>
        </w:rPr>
        <w:t xml:space="preserve"> in </w:t>
      </w:r>
      <w:r w:rsidR="00034568">
        <w:rPr>
          <w:szCs w:val="26"/>
        </w:rPr>
        <w:t xml:space="preserve">their </w:t>
      </w:r>
      <w:r w:rsidR="00F83582">
        <w:rPr>
          <w:szCs w:val="26"/>
        </w:rPr>
        <w:t>Offset Requests</w:t>
      </w:r>
      <w:r w:rsidR="00776D94">
        <w:rPr>
          <w:szCs w:val="26"/>
        </w:rPr>
        <w:t xml:space="preserve"> and other relevant information.</w:t>
      </w:r>
      <w:r w:rsidR="00034568">
        <w:rPr>
          <w:szCs w:val="26"/>
        </w:rPr>
        <w:t xml:space="preserve">  F</w:t>
      </w:r>
      <w:r w:rsidR="00F83582">
        <w:rPr>
          <w:szCs w:val="26"/>
        </w:rPr>
        <w:t>urther</w:t>
      </w:r>
      <w:r w:rsidR="00B40039">
        <w:rPr>
          <w:szCs w:val="26"/>
        </w:rPr>
        <w:t xml:space="preserve"> </w:t>
      </w:r>
      <w:r w:rsidR="00F83582">
        <w:rPr>
          <w:szCs w:val="26"/>
        </w:rPr>
        <w:t>record may be developed in Track 4</w:t>
      </w:r>
      <w:r w:rsidR="00520523">
        <w:rPr>
          <w:szCs w:val="26"/>
        </w:rPr>
        <w:t xml:space="preserve"> </w:t>
      </w:r>
      <w:r w:rsidR="00B40039">
        <w:rPr>
          <w:szCs w:val="26"/>
        </w:rPr>
        <w:t xml:space="preserve">to ensure that TNCs are not being double-compensated through passenger fares and offset reimbursements.  </w:t>
      </w:r>
    </w:p>
    <w:p w:rsidRPr="00545532" w:rsidR="002E6ACA" w:rsidP="002E6ACA" w:rsidRDefault="00F838E9" w14:paraId="6D72D47A" w14:textId="399D240F">
      <w:pPr>
        <w:pStyle w:val="standard"/>
      </w:pPr>
      <w:r w:rsidRPr="00003FA8">
        <w:t>On</w:t>
      </w:r>
      <w:r w:rsidR="00AF7416">
        <w:t xml:space="preserve"> the definition of “on-demand transportation</w:t>
      </w:r>
      <w:r w:rsidR="00A67DF8">
        <w:t>,</w:t>
      </w:r>
      <w:r w:rsidR="00AF7416">
        <w:t>”</w:t>
      </w:r>
      <w:r w:rsidR="00A67DF8">
        <w:t xml:space="preserve"> Uber relitigate</w:t>
      </w:r>
      <w:r w:rsidR="00520523">
        <w:t>s</w:t>
      </w:r>
      <w:r w:rsidR="00A67DF8">
        <w:t xml:space="preserve"> arguments that were raised and resolved in D.20-03-007.</w:t>
      </w:r>
      <w:r w:rsidR="00E24CAF">
        <w:t xml:space="preserve">  Lyft objects to the definition and comments that the definition must incorporate some temporal aspect.  We disagree that a temporal definition must be adopted and decline to modify the definition. </w:t>
      </w:r>
      <w:r w:rsidR="00A67DF8">
        <w:t xml:space="preserve"> </w:t>
      </w:r>
      <w:r w:rsidR="00AF7416">
        <w:t xml:space="preserve"> </w:t>
      </w:r>
    </w:p>
    <w:p w:rsidR="0027207F" w:rsidP="002E6ACA" w:rsidRDefault="0027207F" w14:paraId="5F5B70AC" w14:textId="77777777">
      <w:pPr>
        <w:pStyle w:val="Heading1"/>
        <w:keepLines/>
        <w:numPr>
          <w:ilvl w:val="0"/>
          <w:numId w:val="1"/>
        </w:numPr>
        <w:spacing w:before="0"/>
        <w:ind w:right="2160"/>
      </w:pPr>
      <w:bookmarkStart w:name="_Toc8123724" w:id="54"/>
      <w:bookmarkStart w:name="_Toc29213671" w:id="55"/>
      <w:bookmarkStart w:name="_Toc65585480" w:id="56"/>
      <w:r>
        <w:t>Assignment of Proceeding</w:t>
      </w:r>
      <w:bookmarkEnd w:id="54"/>
      <w:bookmarkEnd w:id="55"/>
      <w:bookmarkEnd w:id="56"/>
    </w:p>
    <w:p w:rsidR="0027207F" w:rsidP="00FD2F13" w:rsidRDefault="00975FC8" w14:paraId="51FE54E5" w14:textId="0F762BC5">
      <w:pPr>
        <w:pStyle w:val="Standard0"/>
      </w:pPr>
      <w:r>
        <w:t>Genevieve Shiroma</w:t>
      </w:r>
      <w:r w:rsidR="0027207F">
        <w:t xml:space="preserve"> is the assigned Commissioner and </w:t>
      </w:r>
      <w:r>
        <w:t>Debbie Chiv</w:t>
      </w:r>
      <w:r w:rsidR="002D124A">
        <w:t xml:space="preserve"> and Robert Mason are</w:t>
      </w:r>
      <w:r w:rsidR="0027207F">
        <w:t xml:space="preserve"> the assigned Administrative Law Judge</w:t>
      </w:r>
      <w:r w:rsidR="002D124A">
        <w:t>s</w:t>
      </w:r>
      <w:r w:rsidR="0027207F">
        <w:t xml:space="preserve"> in this proceeding.</w:t>
      </w:r>
    </w:p>
    <w:p w:rsidR="0027207F" w:rsidP="0027207F" w:rsidRDefault="0027207F" w14:paraId="250BA9F0" w14:textId="77777777">
      <w:pPr>
        <w:pStyle w:val="Dummy"/>
      </w:pPr>
      <w:bookmarkStart w:name="_Toc8123725" w:id="57"/>
      <w:bookmarkStart w:name="_Toc29213672" w:id="58"/>
      <w:bookmarkStart w:name="_Toc65585481" w:id="59"/>
      <w:r>
        <w:t>Findings of Fact</w:t>
      </w:r>
      <w:bookmarkEnd w:id="57"/>
      <w:bookmarkEnd w:id="58"/>
      <w:bookmarkEnd w:id="59"/>
    </w:p>
    <w:p w:rsidR="00956113" w:rsidP="0027207F" w:rsidRDefault="00956113" w14:paraId="262302B0" w14:textId="4FCEC6BE">
      <w:pPr>
        <w:pStyle w:val="FoF"/>
      </w:pPr>
      <w:r>
        <w:t xml:space="preserve">There is a consensus among parties that to demonstrate “improved level of service,” a TNC should increase the number or percentage of completed WAV trips each quarter.  </w:t>
      </w:r>
    </w:p>
    <w:p w:rsidR="002C1F4B" w:rsidP="0027207F" w:rsidRDefault="00956113" w14:paraId="1EFCCC9E" w14:textId="51054642">
      <w:pPr>
        <w:pStyle w:val="FoF"/>
      </w:pPr>
      <w:r>
        <w:t xml:space="preserve">To </w:t>
      </w:r>
      <w:r w:rsidR="002C1F4B">
        <w:t xml:space="preserve">demonstrate “improved level of service” for an Offset Request or Exemption Request, it is </w:t>
      </w:r>
      <w:r>
        <w:t>reasonable</w:t>
      </w:r>
      <w:r w:rsidR="002C1F4B">
        <w:t xml:space="preserve"> to require a </w:t>
      </w:r>
      <w:r>
        <w:t xml:space="preserve">TNC </w:t>
      </w:r>
      <w:r w:rsidR="002C1F4B">
        <w:t xml:space="preserve">to show either: </w:t>
      </w:r>
      <w:r w:rsidR="001C111B">
        <w:t xml:space="preserve"> </w:t>
      </w:r>
      <w:r w:rsidR="002C1F4B">
        <w:t xml:space="preserve">(a) an increase in the total number of completed WAV trips compared to the previous quarter, or (b) an increase in the percentage of completed WAV trips compared to the previous quarter.  </w:t>
      </w:r>
    </w:p>
    <w:p w:rsidR="001B00FA" w:rsidP="0027207F" w:rsidRDefault="001B00FA" w14:paraId="15D324B3" w14:textId="6436538F">
      <w:pPr>
        <w:pStyle w:val="FoF"/>
      </w:pPr>
      <w:r>
        <w:lastRenderedPageBreak/>
        <w:t>It is reasonable for a transportation carrier to submit its WAV operating hours for a specific geographic area.</w:t>
      </w:r>
    </w:p>
    <w:p w:rsidR="007242E6" w:rsidP="0027207F" w:rsidRDefault="007242E6" w14:paraId="3CE20758" w14:textId="27292CDB">
      <w:pPr>
        <w:pStyle w:val="FoF"/>
      </w:pPr>
      <w:r>
        <w:t xml:space="preserve">Because the requirements for a Quarterly Report and </w:t>
      </w:r>
      <w:r w:rsidR="00A72CB9">
        <w:t>Access Provider</w:t>
      </w:r>
      <w:r>
        <w:t xml:space="preserve"> application mirror the requirements of an Offset Request, it is consistent and appropriate to add the Trip Completion Standard to the Quarterly Report and </w:t>
      </w:r>
      <w:r w:rsidR="00A72CB9">
        <w:t>Access Provider</w:t>
      </w:r>
      <w:r>
        <w:t xml:space="preserve"> application.</w:t>
      </w:r>
    </w:p>
    <w:p w:rsidR="0027207F" w:rsidP="0027207F" w:rsidRDefault="00401E16" w14:paraId="737898F7" w14:textId="6D74CD34">
      <w:pPr>
        <w:pStyle w:val="FoF"/>
      </w:pPr>
      <w:r>
        <w:t xml:space="preserve">To </w:t>
      </w:r>
      <w:r w:rsidR="00EC4B0A">
        <w:t>encourage</w:t>
      </w:r>
      <w:r>
        <w:t xml:space="preserve"> development of WAV services </w:t>
      </w:r>
      <w:r w:rsidR="008D03BD">
        <w:t>statewide</w:t>
      </w:r>
      <w:r>
        <w:t>,</w:t>
      </w:r>
      <w:r w:rsidR="00EC4B0A">
        <w:t xml:space="preserve"> it is prudent and appropriate to adopt a broad,</w:t>
      </w:r>
      <w:r>
        <w:t xml:space="preserve"> </w:t>
      </w:r>
      <w:r w:rsidR="00EC4B0A">
        <w:t xml:space="preserve">flexible definition of </w:t>
      </w:r>
      <w:r>
        <w:t>“on-demand transportation</w:t>
      </w:r>
      <w:r w:rsidR="00EC4B0A">
        <w:t>.</w:t>
      </w:r>
      <w:r>
        <w:t>”</w:t>
      </w:r>
    </w:p>
    <w:p w:rsidR="00DA347A" w:rsidP="0027207F" w:rsidRDefault="001018E0" w14:paraId="78F9EE37" w14:textId="3780ACC9">
      <w:pPr>
        <w:pStyle w:val="FoF"/>
      </w:pPr>
      <w:r>
        <w:t xml:space="preserve">It is consistent with D.20-03-007 </w:t>
      </w:r>
      <w:r w:rsidR="00DA347A">
        <w:t>that the definition of a qualifying expense for</w:t>
      </w:r>
      <w:r>
        <w:t xml:space="preserve"> </w:t>
      </w:r>
      <w:r w:rsidR="00DA347A">
        <w:t>an</w:t>
      </w:r>
      <w:r>
        <w:t xml:space="preserve"> </w:t>
      </w:r>
      <w:r w:rsidR="00A72CB9">
        <w:t>Access Provider</w:t>
      </w:r>
      <w:r>
        <w:t xml:space="preserve"> </w:t>
      </w:r>
      <w:r w:rsidR="000C1B9E">
        <w:t>be</w:t>
      </w:r>
      <w:r w:rsidR="00DA347A">
        <w:t xml:space="preserve"> the same definition </w:t>
      </w:r>
      <w:r w:rsidR="004D79D7">
        <w:t xml:space="preserve">as </w:t>
      </w:r>
      <w:r w:rsidR="00DA347A">
        <w:t>adopted for</w:t>
      </w:r>
      <w:r>
        <w:t xml:space="preserve"> TNCs </w:t>
      </w:r>
      <w:r w:rsidR="00DA347A">
        <w:t>for</w:t>
      </w:r>
      <w:r>
        <w:t xml:space="preserve"> offset reimbursements.</w:t>
      </w:r>
      <w:bookmarkStart w:name="_Toc8123726" w:id="60"/>
      <w:bookmarkStart w:name="_Toc29213673" w:id="61"/>
    </w:p>
    <w:p w:rsidR="00DB4F18" w:rsidP="00DA347A" w:rsidRDefault="00DB4F18" w14:paraId="09AE1D3F" w14:textId="5E715EFA">
      <w:pPr>
        <w:pStyle w:val="FoF"/>
      </w:pPr>
      <w:r>
        <w:t xml:space="preserve">It is consistent with D.20-03-007 </w:t>
      </w:r>
      <w:r w:rsidR="00B51929">
        <w:t xml:space="preserve">and appropriate </w:t>
      </w:r>
      <w:r w:rsidR="00815748">
        <w:t>for</w:t>
      </w:r>
      <w:r>
        <w:t xml:space="preserve"> the AFA </w:t>
      </w:r>
      <w:r w:rsidR="00815748">
        <w:t>to</w:t>
      </w:r>
      <w:r>
        <w:t xml:space="preserve"> review and approve the </w:t>
      </w:r>
      <w:r w:rsidR="00A72CB9">
        <w:t>Access Provider</w:t>
      </w:r>
      <w:r>
        <w:t xml:space="preserve"> applications in </w:t>
      </w:r>
      <w:r w:rsidR="00AE3F71">
        <w:t>its</w:t>
      </w:r>
      <w:r>
        <w:t xml:space="preserve"> respective geographic area.  </w:t>
      </w:r>
    </w:p>
    <w:p w:rsidR="00D76789" w:rsidP="00B51929" w:rsidRDefault="00D76789" w14:paraId="1B7C6A58" w14:textId="7402F188">
      <w:pPr>
        <w:pStyle w:val="FoF"/>
      </w:pPr>
      <w:r>
        <w:t xml:space="preserve">It is reasonable that a TNC may apply as an </w:t>
      </w:r>
      <w:r w:rsidR="00A72CB9">
        <w:t>Access Provider</w:t>
      </w:r>
      <w:r>
        <w:t xml:space="preserve"> in a geographic area if the TNC qualifies for an exemption in that geographic area and certifies that the TNC’s collected fees during the Exemption Year were exhausted to provide WAV services.</w:t>
      </w:r>
      <w:r>
        <w:rPr>
          <w:rStyle w:val="FootnoteReference"/>
        </w:rPr>
        <w:t xml:space="preserve"> </w:t>
      </w:r>
      <w:r>
        <w:t xml:space="preserve"> It is reasonable that a TNC may apply as an </w:t>
      </w:r>
      <w:r w:rsidR="00A72CB9">
        <w:t>Access Provider</w:t>
      </w:r>
      <w:r>
        <w:t xml:space="preserve"> in a geographic area </w:t>
      </w:r>
      <w:r w:rsidR="00B51929">
        <w:t>where</w:t>
      </w:r>
      <w:r>
        <w:t xml:space="preserve"> it does not offer any WAV services.  </w:t>
      </w:r>
    </w:p>
    <w:p w:rsidR="00255CE4" w:rsidP="008A0411" w:rsidRDefault="00B06534" w14:paraId="7048C423" w14:textId="7B03928F">
      <w:pPr>
        <w:pStyle w:val="FoF"/>
      </w:pPr>
      <w:r>
        <w:t>T</w:t>
      </w:r>
      <w:r w:rsidR="00255CE4">
        <w:t>o sufficiently review</w:t>
      </w:r>
      <w:r w:rsidR="003D4C89">
        <w:t xml:space="preserve"> and approve</w:t>
      </w:r>
      <w:r w:rsidR="00255CE4">
        <w:t xml:space="preserve"> </w:t>
      </w:r>
      <w:r w:rsidR="00A72CB9">
        <w:t>Access Provider</w:t>
      </w:r>
      <w:r w:rsidR="00255CE4">
        <w:t xml:space="preserve"> applications, it</w:t>
      </w:r>
      <w:r w:rsidR="002B3CE7">
        <w:t xml:space="preserve"> is </w:t>
      </w:r>
      <w:r w:rsidR="00255CE4">
        <w:t>reasonable</w:t>
      </w:r>
      <w:r w:rsidR="002B3CE7">
        <w:t xml:space="preserve"> for a</w:t>
      </w:r>
      <w:r w:rsidR="00255CE4">
        <w:t xml:space="preserve">n </w:t>
      </w:r>
      <w:r w:rsidR="002B3CE7">
        <w:t xml:space="preserve">AFA to request additional information from </w:t>
      </w:r>
      <w:r w:rsidR="00A72CB9">
        <w:t>Access Provider</w:t>
      </w:r>
      <w:r w:rsidR="002B3CE7">
        <w:t xml:space="preserve"> applicants as necessary.  </w:t>
      </w:r>
    </w:p>
    <w:p w:rsidR="002B3CE7" w:rsidP="00255CE4" w:rsidRDefault="002B3CE7" w14:paraId="779CFA31" w14:textId="65119999">
      <w:pPr>
        <w:pStyle w:val="FoF"/>
      </w:pPr>
      <w:r>
        <w:t xml:space="preserve">It is </w:t>
      </w:r>
      <w:r w:rsidR="00255CE4">
        <w:t>reasonable for</w:t>
      </w:r>
      <w:r>
        <w:t xml:space="preserve"> an </w:t>
      </w:r>
      <w:r w:rsidR="00A72CB9">
        <w:t>Access Provider</w:t>
      </w:r>
      <w:r w:rsidR="00255CE4">
        <w:t xml:space="preserve"> applicant</w:t>
      </w:r>
      <w:r>
        <w:t xml:space="preserve"> that provides services to a TNC to disclose </w:t>
      </w:r>
      <w:r w:rsidR="00612C24">
        <w:t xml:space="preserve">the existence of this </w:t>
      </w:r>
      <w:r w:rsidR="00255CE4">
        <w:t>agreement</w:t>
      </w:r>
      <w:r>
        <w:t xml:space="preserve">.  </w:t>
      </w:r>
      <w:r w:rsidR="008A0411">
        <w:t>It is also reasonable that</w:t>
      </w:r>
      <w:r w:rsidRPr="002B3CE7" w:rsidR="008A0411">
        <w:t xml:space="preserve"> </w:t>
      </w:r>
      <w:r w:rsidR="008A0411">
        <w:t xml:space="preserve">Access Fund moneys </w:t>
      </w:r>
      <w:r w:rsidRPr="002B3CE7" w:rsidR="008A0411">
        <w:t xml:space="preserve">granted </w:t>
      </w:r>
      <w:r w:rsidR="008A0411">
        <w:t xml:space="preserve">to </w:t>
      </w:r>
      <w:r w:rsidR="00255CE4">
        <w:t>the</w:t>
      </w:r>
      <w:r w:rsidR="008A0411">
        <w:t xml:space="preserve"> </w:t>
      </w:r>
      <w:r w:rsidR="00A72CB9">
        <w:t>Access Provider</w:t>
      </w:r>
      <w:r w:rsidR="008A0411">
        <w:t xml:space="preserve"> should</w:t>
      </w:r>
      <w:r w:rsidRPr="002B3CE7" w:rsidR="008A0411">
        <w:t xml:space="preserve"> not </w:t>
      </w:r>
      <w:r w:rsidR="003D4C89">
        <w:t>be used for</w:t>
      </w:r>
      <w:r w:rsidR="008A0411">
        <w:t xml:space="preserve"> </w:t>
      </w:r>
      <w:r w:rsidR="00255CE4">
        <w:t>services that are compensated by a TNC</w:t>
      </w:r>
      <w:r w:rsidRPr="002B3CE7" w:rsidR="008A0411">
        <w:t xml:space="preserve">. </w:t>
      </w:r>
    </w:p>
    <w:p w:rsidR="002E1E90" w:rsidP="008A0411" w:rsidRDefault="002E1E90" w14:paraId="7E2593A5" w14:textId="50B2D019">
      <w:pPr>
        <w:pStyle w:val="FoF"/>
      </w:pPr>
      <w:r>
        <w:lastRenderedPageBreak/>
        <w:t xml:space="preserve">CPED’s proposed compensation structure for AFAs is </w:t>
      </w:r>
      <w:r w:rsidR="00BB013B">
        <w:t xml:space="preserve">appropriate and </w:t>
      </w:r>
      <w:r>
        <w:t>consistent with the compensation structure of other Commission programs.</w:t>
      </w:r>
    </w:p>
    <w:p w:rsidRPr="001E2A62" w:rsidR="00B736DD" w:rsidP="00B736DD" w:rsidRDefault="00B736DD" w14:paraId="7D27D246" w14:textId="23ADBF6E">
      <w:pPr>
        <w:pStyle w:val="FoF"/>
      </w:pPr>
      <w:r>
        <w:t xml:space="preserve">It is </w:t>
      </w:r>
      <w:r w:rsidR="00D01D54">
        <w:t>appropriate</w:t>
      </w:r>
      <w:r>
        <w:t xml:space="preserve"> that the information submitted in the Quarterly Reports, Offset Requests and Exemption Requests </w:t>
      </w:r>
      <w:r w:rsidR="00D01D54">
        <w:t>serve as</w:t>
      </w:r>
      <w:r>
        <w:t xml:space="preserve"> </w:t>
      </w:r>
      <w:r w:rsidR="00D01D54">
        <w:t xml:space="preserve">the </w:t>
      </w:r>
      <w:r>
        <w:t>baseline for the program’s yearly benchmarks.</w:t>
      </w:r>
    </w:p>
    <w:p w:rsidRPr="00F7599B" w:rsidR="00B736DD" w:rsidP="008A0411" w:rsidRDefault="00AC1041" w14:paraId="324ADDB2" w14:textId="78DEB4BE">
      <w:pPr>
        <w:pStyle w:val="FoF"/>
      </w:pPr>
      <w:r>
        <w:rPr>
          <w:rFonts w:cs="BookAntiqua"/>
          <w:szCs w:val="26"/>
        </w:rPr>
        <w:t xml:space="preserve">It is reasonable that the 2024 Legislative </w:t>
      </w:r>
      <w:r w:rsidR="00192B79">
        <w:rPr>
          <w:rFonts w:cs="BookAntiqua"/>
          <w:szCs w:val="26"/>
        </w:rPr>
        <w:t>R</w:t>
      </w:r>
      <w:r>
        <w:rPr>
          <w:rFonts w:cs="BookAntiqua"/>
          <w:szCs w:val="26"/>
        </w:rPr>
        <w:t xml:space="preserve">eport include an analysis of the collected metrics </w:t>
      </w:r>
      <w:r w:rsidR="00192B79">
        <w:rPr>
          <w:rFonts w:cs="BookAntiqua"/>
          <w:szCs w:val="26"/>
        </w:rPr>
        <w:t>from</w:t>
      </w:r>
      <w:r>
        <w:rPr>
          <w:rFonts w:cs="BookAntiqua"/>
          <w:szCs w:val="26"/>
        </w:rPr>
        <w:t xml:space="preserve"> the Quarterly Reports, Offset Requests, and Exemption Requests, in addition to the reporting requirements in </w:t>
      </w:r>
      <w:r w:rsidRPr="004045F7">
        <w:rPr>
          <w:rFonts w:cs="Calibri"/>
          <w:szCs w:val="26"/>
        </w:rPr>
        <w:t xml:space="preserve">§ </w:t>
      </w:r>
      <w:r w:rsidRPr="004045F7">
        <w:rPr>
          <w:rFonts w:cs="BookAntiqua"/>
          <w:szCs w:val="26"/>
        </w:rPr>
        <w:t>5440.5(a)(2)(A)</w:t>
      </w:r>
      <w:r>
        <w:rPr>
          <w:rFonts w:cs="BookAntiqua"/>
          <w:szCs w:val="26"/>
        </w:rPr>
        <w:t xml:space="preserve">.  </w:t>
      </w:r>
    </w:p>
    <w:p w:rsidR="00F7599B" w:rsidP="00F7599B" w:rsidRDefault="00F7599B" w14:paraId="3F9FAA9F" w14:textId="6F3E69AE">
      <w:pPr>
        <w:pStyle w:val="FoF"/>
      </w:pPr>
      <w:r>
        <w:t xml:space="preserve">The use of the ISA on WAVs provided by TNCs and </w:t>
      </w:r>
      <w:r w:rsidR="00A72CB9">
        <w:t>Access Provider</w:t>
      </w:r>
      <w:r>
        <w:t xml:space="preserve">s </w:t>
      </w:r>
      <w:r w:rsidR="00C64794">
        <w:t>will serve</w:t>
      </w:r>
      <w:r>
        <w:t xml:space="preserve"> as an important visual identifier</w:t>
      </w:r>
      <w:r w:rsidR="00C64794">
        <w:t xml:space="preserve"> for WAV passengers</w:t>
      </w:r>
      <w:r>
        <w:t>.</w:t>
      </w:r>
    </w:p>
    <w:p w:rsidR="000C4F1B" w:rsidP="00F7599B" w:rsidRDefault="000C4F1B" w14:paraId="20B38511" w14:textId="074A1066">
      <w:pPr>
        <w:pStyle w:val="FoF"/>
      </w:pPr>
      <w:r>
        <w:t>There is a</w:t>
      </w:r>
      <w:r w:rsidR="00A25244">
        <w:t xml:space="preserve"> </w:t>
      </w:r>
      <w:r>
        <w:t>consensus</w:t>
      </w:r>
      <w:r w:rsidR="00A25244">
        <w:t xml:space="preserve"> among parties</w:t>
      </w:r>
      <w:r>
        <w:t xml:space="preserve"> in support of CPED’s broader proposal for WAV driver training and inspection requirements </w:t>
      </w:r>
      <w:r w:rsidR="00612C24">
        <w:t xml:space="preserve">be </w:t>
      </w:r>
      <w:r>
        <w:t xml:space="preserve">added to the TNC permit requirements, with modifications.  </w:t>
      </w:r>
    </w:p>
    <w:p w:rsidR="0027207F" w:rsidP="0027207F" w:rsidRDefault="0027207F" w14:paraId="74913723" w14:textId="381E2EE6">
      <w:pPr>
        <w:pStyle w:val="Dummy"/>
      </w:pPr>
      <w:bookmarkStart w:name="_Toc65585482" w:id="62"/>
      <w:r>
        <w:t>Conclusions of Law</w:t>
      </w:r>
      <w:bookmarkEnd w:id="60"/>
      <w:bookmarkEnd w:id="61"/>
      <w:bookmarkEnd w:id="62"/>
    </w:p>
    <w:p w:rsidR="002C1F4B" w:rsidP="002C1F4B" w:rsidRDefault="002C1F4B" w14:paraId="10D44173" w14:textId="64745F67">
      <w:pPr>
        <w:pStyle w:val="CoL"/>
      </w:pPr>
      <w:r>
        <w:t xml:space="preserve">To demonstrate “improved level of service” for an Offset Request or Exemption Request, a TNC should demonstrate either: </w:t>
      </w:r>
      <w:r w:rsidR="001C111B">
        <w:t xml:space="preserve"> </w:t>
      </w:r>
      <w:r>
        <w:t>(a) an increase in the total number of completed WAV trips compared to the previous quarter, or (b)</w:t>
      </w:r>
      <w:r w:rsidR="001C111B">
        <w:t> </w:t>
      </w:r>
      <w:r>
        <w:t>an increase in the percentage of completed WAV trips compared to the previous quarter.</w:t>
      </w:r>
      <w:r w:rsidR="00612C24">
        <w:t xml:space="preserve">  This </w:t>
      </w:r>
      <w:r w:rsidR="00EA328C">
        <w:t xml:space="preserve">requirement </w:t>
      </w:r>
      <w:r w:rsidR="00612C24">
        <w:t>should be in addition to the Offset Time Standard requirement.</w:t>
      </w:r>
      <w:r>
        <w:t xml:space="preserve">  </w:t>
      </w:r>
    </w:p>
    <w:p w:rsidR="007242E6" w:rsidP="00956113" w:rsidRDefault="0045263C" w14:paraId="1E1922C0" w14:textId="564B45A6">
      <w:pPr>
        <w:pStyle w:val="CoL"/>
      </w:pPr>
      <w:r>
        <w:t xml:space="preserve">Data required for the </w:t>
      </w:r>
      <w:r w:rsidR="007242E6">
        <w:t xml:space="preserve">Trip Completion Standard should be added to the </w:t>
      </w:r>
      <w:r>
        <w:t xml:space="preserve">information required </w:t>
      </w:r>
      <w:r w:rsidR="007242E6">
        <w:t xml:space="preserve">for the </w:t>
      </w:r>
      <w:r w:rsidR="00A72CB9">
        <w:t>Access Provider</w:t>
      </w:r>
      <w:r w:rsidR="007242E6">
        <w:t xml:space="preserve"> application and Quarterly Report.</w:t>
      </w:r>
    </w:p>
    <w:p w:rsidR="0027207F" w:rsidP="0027207F" w:rsidRDefault="00401E16" w14:paraId="01FD2564" w14:textId="65A1841C">
      <w:pPr>
        <w:pStyle w:val="CoL"/>
      </w:pPr>
      <w:r>
        <w:t>“On-demand transportation” should be defined as any transportation service that does not follow a fixed route and/or schedule.</w:t>
      </w:r>
    </w:p>
    <w:p w:rsidR="008D03BD" w:rsidP="008D03BD" w:rsidRDefault="008D03BD" w14:paraId="005603E9" w14:textId="500EB0DC">
      <w:pPr>
        <w:pStyle w:val="CoL"/>
      </w:pPr>
      <w:r>
        <w:lastRenderedPageBreak/>
        <w:t xml:space="preserve">To encourage development of WAV services with faster response times, </w:t>
      </w:r>
      <w:r w:rsidR="003D4C89">
        <w:t xml:space="preserve">an AFA should prioritize the selection of </w:t>
      </w:r>
      <w:r w:rsidR="00A72CB9">
        <w:t>Access Provider</w:t>
      </w:r>
      <w:r>
        <w:t xml:space="preserve"> applicants that offer services that can be requested and fulfilled within 24 hours.</w:t>
      </w:r>
    </w:p>
    <w:p w:rsidR="00FB061E" w:rsidP="00FB061E" w:rsidRDefault="00FB061E" w14:paraId="738C863A" w14:textId="5EA3BDDD">
      <w:pPr>
        <w:pStyle w:val="CoL"/>
      </w:pPr>
      <w:r>
        <w:t xml:space="preserve">The definition of a qualifying expense adopted </w:t>
      </w:r>
      <w:r w:rsidR="004D79D7">
        <w:t xml:space="preserve">for TNCs </w:t>
      </w:r>
      <w:r>
        <w:t xml:space="preserve">in D.20-03-007 should apply to </w:t>
      </w:r>
      <w:r w:rsidR="00A72CB9">
        <w:t>Access Provider</w:t>
      </w:r>
      <w:r>
        <w:t xml:space="preserve">s using Access Fund moneys.  </w:t>
      </w:r>
    </w:p>
    <w:p w:rsidR="00815748" w:rsidP="00FB061E" w:rsidRDefault="00815748" w14:paraId="256FE116" w14:textId="4AB7AE3C">
      <w:pPr>
        <w:pStyle w:val="CoL"/>
      </w:pPr>
      <w:r>
        <w:t xml:space="preserve">The AFA should review and approve the </w:t>
      </w:r>
      <w:r w:rsidR="00A72CB9">
        <w:t>Access Provider</w:t>
      </w:r>
      <w:r>
        <w:t xml:space="preserve"> applications in </w:t>
      </w:r>
      <w:r w:rsidR="00122B28">
        <w:t>its</w:t>
      </w:r>
      <w:r>
        <w:t xml:space="preserve"> respective geographic area and submit the approved list to CPED.</w:t>
      </w:r>
    </w:p>
    <w:p w:rsidR="00D76789" w:rsidP="008F0915" w:rsidRDefault="00D76789" w14:paraId="5BCF1147" w14:textId="4AF911DD">
      <w:pPr>
        <w:pStyle w:val="CoL"/>
      </w:pPr>
      <w:r>
        <w:t xml:space="preserve">A TNC should be permitted to apply as an </w:t>
      </w:r>
      <w:r w:rsidR="00A72CB9">
        <w:t>Access Provider</w:t>
      </w:r>
      <w:r>
        <w:t xml:space="preserve"> in a geographic area if the TNC qualifies for an exemption in that geographic area and certifies that the TNC’s collected fees during the Exemption Year were exhausted to provide WAV services.</w:t>
      </w:r>
      <w:r>
        <w:rPr>
          <w:rStyle w:val="FootnoteReference"/>
        </w:rPr>
        <w:t xml:space="preserve"> </w:t>
      </w:r>
      <w:r>
        <w:t xml:space="preserve"> A TNC should be permitted to apply as an </w:t>
      </w:r>
      <w:r w:rsidR="00A72CB9">
        <w:t>Access Provider</w:t>
      </w:r>
      <w:r>
        <w:t xml:space="preserve"> in a geographic area in which it does not offer any WAV services.  </w:t>
      </w:r>
    </w:p>
    <w:p w:rsidR="008A0411" w:rsidP="008A0411" w:rsidRDefault="008A0411" w14:paraId="2348EB52" w14:textId="502F34B5">
      <w:pPr>
        <w:pStyle w:val="CoL"/>
      </w:pPr>
      <w:r>
        <w:t xml:space="preserve">An </w:t>
      </w:r>
      <w:r w:rsidR="00A72CB9">
        <w:t>Access Provider</w:t>
      </w:r>
      <w:r>
        <w:t xml:space="preserve"> applicant should disclose to the AFA if it </w:t>
      </w:r>
      <w:r w:rsidR="001D6960">
        <w:t xml:space="preserve">is a current or former service provider to </w:t>
      </w:r>
      <w:r w:rsidRPr="002B3CE7">
        <w:t xml:space="preserve">a </w:t>
      </w:r>
      <w:r>
        <w:t xml:space="preserve">TNC.  </w:t>
      </w:r>
      <w:r w:rsidR="001D6960">
        <w:t xml:space="preserve">The applicant should demonstrate to the AFA that any disbursed funds will not be used for services that are compensated by a TNC. </w:t>
      </w:r>
    </w:p>
    <w:p w:rsidRPr="001E2A62" w:rsidR="002E1E90" w:rsidP="00EA48F2" w:rsidRDefault="00BB013B" w14:paraId="0E7D7AAD" w14:textId="3E05F366">
      <w:pPr>
        <w:pStyle w:val="CoL"/>
      </w:pPr>
      <w:r>
        <w:t xml:space="preserve">An </w:t>
      </w:r>
      <w:r w:rsidR="002E1E90">
        <w:t xml:space="preserve">AFA should be compensated for administrative costs up to 15 percent of the total amount awarded </w:t>
      </w:r>
      <w:r w:rsidR="00B42D22">
        <w:t xml:space="preserve">in a geographic area </w:t>
      </w:r>
      <w:r w:rsidR="002E1E90">
        <w:t xml:space="preserve">by the Commission </w:t>
      </w:r>
      <w:r w:rsidR="00B42D22">
        <w:t xml:space="preserve">in </w:t>
      </w:r>
      <w:r w:rsidR="002E1E90">
        <w:t xml:space="preserve">each </w:t>
      </w:r>
      <w:r w:rsidR="00B42D22">
        <w:t>funding cycle</w:t>
      </w:r>
      <w:r w:rsidR="002E1E90">
        <w:t xml:space="preserve">.  </w:t>
      </w:r>
    </w:p>
    <w:p w:rsidRPr="001E2A62" w:rsidR="00B736DD" w:rsidP="00B736DD" w:rsidRDefault="00B736DD" w14:paraId="20A106E2" w14:textId="7E3411BB">
      <w:pPr>
        <w:pStyle w:val="CoL"/>
      </w:pPr>
      <w:r>
        <w:t xml:space="preserve">Information submitted in the Quarterly Reports, Offset Requests and Exemption Requests should </w:t>
      </w:r>
      <w:r w:rsidR="00314334">
        <w:t>serve as the</w:t>
      </w:r>
      <w:r>
        <w:t xml:space="preserve"> baseline for the program’s yearly benchmarks.</w:t>
      </w:r>
    </w:p>
    <w:p w:rsidR="002E1E90" w:rsidP="00AC1041" w:rsidRDefault="00AC1041" w14:paraId="41770812" w14:textId="11DDBD02">
      <w:pPr>
        <w:pStyle w:val="CoL"/>
      </w:pPr>
      <w:r>
        <w:lastRenderedPageBreak/>
        <w:t xml:space="preserve">The 2024 Legislative </w:t>
      </w:r>
      <w:r w:rsidR="00192B79">
        <w:t>R</w:t>
      </w:r>
      <w:r>
        <w:t xml:space="preserve">eport should include an analysis of the collected metrics </w:t>
      </w:r>
      <w:r w:rsidR="00192B79">
        <w:t>from</w:t>
      </w:r>
      <w:r>
        <w:t xml:space="preserve"> the Quarterly Reports, Offset Requests, and Exemption Requests, in addition to the reporting requirements in </w:t>
      </w:r>
      <w:r w:rsidRPr="004045F7">
        <w:rPr>
          <w:rFonts w:cs="Calibri"/>
        </w:rPr>
        <w:t xml:space="preserve">§ </w:t>
      </w:r>
      <w:r w:rsidRPr="004045F7">
        <w:t>5440.5(a)(2)(A)</w:t>
      </w:r>
      <w:r>
        <w:t xml:space="preserve">.  </w:t>
      </w:r>
    </w:p>
    <w:p w:rsidR="00F7599B" w:rsidP="00F7599B" w:rsidRDefault="001C4AEA" w14:paraId="1CE4480D" w14:textId="25707A93">
      <w:pPr>
        <w:pStyle w:val="CoL"/>
      </w:pPr>
      <w:r>
        <w:t>A</w:t>
      </w:r>
      <w:r w:rsidR="00F7599B">
        <w:t xml:space="preserve"> TNC or </w:t>
      </w:r>
      <w:r w:rsidR="00A72CB9">
        <w:t>Access Provider</w:t>
      </w:r>
      <w:r w:rsidR="00C64794">
        <w:t xml:space="preserve"> offering WAV services</w:t>
      </w:r>
      <w:r w:rsidR="00F7599B">
        <w:t xml:space="preserve"> should </w:t>
      </w:r>
      <w:r w:rsidR="00C64794">
        <w:t>place</w:t>
      </w:r>
      <w:r w:rsidR="00F7599B">
        <w:t xml:space="preserve"> the International Symbol of Accessibility </w:t>
      </w:r>
      <w:r w:rsidR="00B42D22">
        <w:t>on</w:t>
      </w:r>
      <w:r w:rsidR="00612C24">
        <w:t xml:space="preserve"> the passenger side door handle </w:t>
      </w:r>
      <w:r w:rsidR="002E45EC">
        <w:t>and</w:t>
      </w:r>
      <w:r w:rsidR="00612C24">
        <w:t xml:space="preserve"> above the right-side rear bumper</w:t>
      </w:r>
      <w:r w:rsidR="00F7599B">
        <w:t>.</w:t>
      </w:r>
    </w:p>
    <w:p w:rsidRPr="001E2A62" w:rsidR="000C4F1B" w:rsidP="00F7599B" w:rsidRDefault="000C4F1B" w14:paraId="1EAAC19E" w14:textId="53739B38">
      <w:pPr>
        <w:pStyle w:val="CoL"/>
      </w:pPr>
      <w:r>
        <w:t>CPED’s proposal to add WAV driver training and inspection requirements to the TNC permit requirements should be adopted, with modifications.</w:t>
      </w:r>
    </w:p>
    <w:p w:rsidR="0027207F" w:rsidP="0027207F" w:rsidRDefault="0027207F" w14:paraId="5CA89E86" w14:textId="77777777">
      <w:pPr>
        <w:pStyle w:val="Mainex"/>
      </w:pPr>
      <w:bookmarkStart w:name="_Toc29213674" w:id="63"/>
      <w:bookmarkStart w:name="_Toc65585483" w:id="64"/>
      <w:r>
        <w:t>ORDER</w:t>
      </w:r>
      <w:bookmarkEnd w:id="63"/>
      <w:bookmarkEnd w:id="64"/>
    </w:p>
    <w:p w:rsidR="0027207F" w:rsidP="001C111B" w:rsidRDefault="0027207F" w14:paraId="25B76705" w14:textId="3220CB41">
      <w:pPr>
        <w:keepNext/>
        <w:spacing w:line="360" w:lineRule="auto"/>
        <w:ind w:firstLine="720"/>
      </w:pPr>
      <w:r w:rsidRPr="00BB0243">
        <w:rPr>
          <w:b/>
        </w:rPr>
        <w:t>IT IS ORDERED</w:t>
      </w:r>
      <w:r>
        <w:t xml:space="preserve"> that:</w:t>
      </w:r>
    </w:p>
    <w:p w:rsidR="00195B29" w:rsidP="001C111B" w:rsidRDefault="00195B29" w14:paraId="4D9A1424" w14:textId="77777777">
      <w:pPr>
        <w:pStyle w:val="OP"/>
        <w:numPr>
          <w:ilvl w:val="0"/>
          <w:numId w:val="11"/>
        </w:numPr>
      </w:pPr>
      <w:r>
        <w:t>T</w:t>
      </w:r>
      <w:r w:rsidR="00EA48F2">
        <w:t xml:space="preserve">o </w:t>
      </w:r>
      <w:r>
        <w:t>show</w:t>
      </w:r>
      <w:r w:rsidR="00EA48F2">
        <w:t xml:space="preserve"> “improved level of service”</w:t>
      </w:r>
      <w:r w:rsidR="002C1F4B">
        <w:t xml:space="preserve"> for an Offset Request or an Exemption Request,</w:t>
      </w:r>
      <w:r w:rsidR="00EA48F2">
        <w:t xml:space="preserve"> a Transportation Network Company (TNC) must </w:t>
      </w:r>
      <w:r>
        <w:t xml:space="preserve">demonstrate </w:t>
      </w:r>
      <w:r w:rsidR="00EA48F2">
        <w:t xml:space="preserve">either: </w:t>
      </w:r>
    </w:p>
    <w:p w:rsidR="00195B29" w:rsidP="006A019B" w:rsidRDefault="00EA48F2" w14:paraId="7968C709" w14:textId="52C33E8F">
      <w:pPr>
        <w:pStyle w:val="ListParagraph"/>
        <w:numPr>
          <w:ilvl w:val="1"/>
          <w:numId w:val="11"/>
        </w:numPr>
        <w:spacing w:after="120"/>
        <w:ind w:left="1267" w:right="1440" w:hanging="277"/>
      </w:pPr>
      <w:r>
        <w:t xml:space="preserve">an increase in the total number of completed wheelchair accessible vehicle (WAV) trips compared to the previous quarter in that geographic area, or </w:t>
      </w:r>
    </w:p>
    <w:p w:rsidR="00195B29" w:rsidP="006A019B" w:rsidRDefault="00EA48F2" w14:paraId="68E3C1CA" w14:textId="6DA77D22">
      <w:pPr>
        <w:pStyle w:val="ListParagraph"/>
        <w:numPr>
          <w:ilvl w:val="1"/>
          <w:numId w:val="11"/>
        </w:numPr>
        <w:spacing w:after="120"/>
        <w:ind w:left="1268" w:right="1440" w:hanging="274"/>
      </w:pPr>
      <w:r>
        <w:t xml:space="preserve">an increase in the percentage of completed WAV trips compared to the previous quarter in that geographic area.  </w:t>
      </w:r>
    </w:p>
    <w:p w:rsidR="00EA48F2" w:rsidP="005B0F00" w:rsidRDefault="002C1F4B" w14:paraId="009855C0" w14:textId="5EE690FB">
      <w:pPr>
        <w:pStyle w:val="Standard0"/>
      </w:pPr>
      <w:r>
        <w:t>This requirement is referred to as the Trip Completion Standard</w:t>
      </w:r>
      <w:r w:rsidR="00195B29">
        <w:t xml:space="preserve">.  </w:t>
      </w:r>
      <w:r w:rsidR="00956113">
        <w:t xml:space="preserve">For exemption eligibility, a TNC shall demonstrate that it achieved the Trip Completion Standard for </w:t>
      </w:r>
      <w:r w:rsidR="006F5CDD">
        <w:t xml:space="preserve">the </w:t>
      </w:r>
      <w:r w:rsidR="00956113">
        <w:t>four consecutive qualifying quarters</w:t>
      </w:r>
      <w:r w:rsidR="006F5CDD">
        <w:t xml:space="preserve"> for which it seeks an exemption</w:t>
      </w:r>
      <w:r w:rsidR="00956113">
        <w:t xml:space="preserve">.  The requirement shall be effective for Offset Requests and Exemption Requests submitted </w:t>
      </w:r>
      <w:r w:rsidR="0090121D">
        <w:t xml:space="preserve">starting with </w:t>
      </w:r>
      <w:r w:rsidR="00956113">
        <w:t xml:space="preserve">the </w:t>
      </w:r>
      <w:r w:rsidR="00EA328C">
        <w:t xml:space="preserve">second </w:t>
      </w:r>
      <w:r w:rsidR="00956113">
        <w:t xml:space="preserve">quarter </w:t>
      </w:r>
      <w:r w:rsidR="00EA328C">
        <w:t>of 2021</w:t>
      </w:r>
      <w:r w:rsidR="003466D3">
        <w:t xml:space="preserve"> and thereafter</w:t>
      </w:r>
      <w:r w:rsidR="00956113">
        <w:t xml:space="preserve">.  </w:t>
      </w:r>
    </w:p>
    <w:p w:rsidR="005B4BFB" w:rsidP="00651B38" w:rsidRDefault="00612C24" w14:paraId="67F89D90" w14:textId="77777777">
      <w:pPr>
        <w:pStyle w:val="Standard0"/>
        <w:numPr>
          <w:ilvl w:val="0"/>
          <w:numId w:val="11"/>
        </w:numPr>
      </w:pPr>
      <w:r>
        <w:t xml:space="preserve">To demonstrate improved level of service for an Offset Request or an Exemption Request, a </w:t>
      </w:r>
      <w:r w:rsidR="0093477E">
        <w:t>T</w:t>
      </w:r>
      <w:r>
        <w:t xml:space="preserve">ransportation </w:t>
      </w:r>
      <w:r w:rsidR="0093477E">
        <w:t>N</w:t>
      </w:r>
      <w:r>
        <w:t xml:space="preserve">etwork </w:t>
      </w:r>
      <w:r w:rsidR="0093477E">
        <w:t>C</w:t>
      </w:r>
      <w:r>
        <w:t>ompany must satisfy both</w:t>
      </w:r>
      <w:r w:rsidR="00EA328C">
        <w:t xml:space="preserve">: </w:t>
      </w:r>
    </w:p>
    <w:p w:rsidR="005B4BFB" w:rsidP="00610B2D" w:rsidRDefault="00EA328C" w14:paraId="7F4A4F55" w14:textId="52902DFB">
      <w:pPr>
        <w:pStyle w:val="ListParagraph"/>
        <w:numPr>
          <w:ilvl w:val="1"/>
          <w:numId w:val="11"/>
        </w:numPr>
        <w:spacing w:after="120"/>
        <w:ind w:left="1267" w:right="720" w:hanging="277"/>
      </w:pPr>
      <w:r>
        <w:lastRenderedPageBreak/>
        <w:t xml:space="preserve">the </w:t>
      </w:r>
      <w:r w:rsidR="00612C24">
        <w:t>Offset Time Standard</w:t>
      </w:r>
      <w:r w:rsidR="00883FF4">
        <w:t>, as adopted in Ordering Paragraphs</w:t>
      </w:r>
      <w:r w:rsidR="00CF7F86">
        <w:t xml:space="preserve"> 2,</w:t>
      </w:r>
      <w:r w:rsidR="00883FF4">
        <w:t xml:space="preserve"> 3</w:t>
      </w:r>
      <w:r w:rsidR="00CF7F86">
        <w:t>,</w:t>
      </w:r>
      <w:r w:rsidR="00883FF4">
        <w:t xml:space="preserve"> and 4 of Decision (D.) 20-03-007, </w:t>
      </w:r>
      <w:r w:rsidR="00612C24">
        <w:t xml:space="preserve">or </w:t>
      </w:r>
      <w:r w:rsidR="005B4BFB">
        <w:t xml:space="preserve">the </w:t>
      </w:r>
      <w:r w:rsidR="00612C24">
        <w:t>Exemption Time Standard</w:t>
      </w:r>
      <w:r w:rsidR="00883FF4">
        <w:t>, as adopted in Ordering Paragraphs 5 and 24 of D.20</w:t>
      </w:r>
      <w:r w:rsidR="00610B2D">
        <w:noBreakHyphen/>
      </w:r>
      <w:r w:rsidR="00883FF4">
        <w:t>03-007</w:t>
      </w:r>
      <w:r w:rsidR="00612C24">
        <w:t xml:space="preserve"> (depending on the type of request)</w:t>
      </w:r>
      <w:r>
        <w:t xml:space="preserve">, </w:t>
      </w:r>
      <w:r w:rsidR="00612C24">
        <w:t xml:space="preserve">and </w:t>
      </w:r>
    </w:p>
    <w:p w:rsidR="00612C24" w:rsidP="00610B2D" w:rsidRDefault="00612C24" w14:paraId="32829E01" w14:textId="5232C72F">
      <w:pPr>
        <w:pStyle w:val="ListParagraph"/>
        <w:numPr>
          <w:ilvl w:val="1"/>
          <w:numId w:val="11"/>
        </w:numPr>
        <w:spacing w:after="120"/>
        <w:ind w:left="1267" w:right="1440" w:hanging="277"/>
      </w:pPr>
      <w:r>
        <w:t>the Trip Completion Standard adopted in</w:t>
      </w:r>
      <w:r w:rsidR="00610B2D">
        <w:br/>
      </w:r>
      <w:r>
        <w:t>Ordering Paragraph 1.</w:t>
      </w:r>
    </w:p>
    <w:p w:rsidR="00612C24" w:rsidRDefault="001560B8" w14:paraId="19EFDA13" w14:textId="0ACC35A9">
      <w:pPr>
        <w:pStyle w:val="Standard0"/>
        <w:numPr>
          <w:ilvl w:val="0"/>
          <w:numId w:val="11"/>
        </w:numPr>
      </w:pPr>
      <w:r>
        <w:t>The percentage of completed wheelchair accessible vehicle (WAV) trip</w:t>
      </w:r>
      <w:r w:rsidR="00EA328C">
        <w:t xml:space="preserve"> request</w:t>
      </w:r>
      <w:r>
        <w:t xml:space="preserve">s in a geographic area shall be calculated as the total number of completed WAV trips divided by the total number of WAV requests </w:t>
      </w:r>
      <w:r w:rsidR="00BA07C6">
        <w:t>for a given geographic area and quarter</w:t>
      </w:r>
      <w:r w:rsidR="00612C24">
        <w:t>, as follows:</w:t>
      </w:r>
      <w:r>
        <w:t xml:space="preserve">  </w:t>
      </w:r>
    </w:p>
    <w:p w:rsidR="00612C24" w:rsidP="00612C24" w:rsidRDefault="00612C24" w14:paraId="57D5A980" w14:textId="5733422D">
      <w:pPr>
        <w:pStyle w:val="ALJBodyText"/>
        <w:spacing w:line="240" w:lineRule="auto"/>
        <w:ind w:left="720" w:firstLine="0"/>
      </w:pPr>
      <w:r w:rsidRPr="001D6B5C">
        <w:t xml:space="preserve">% Completed WAV Trip Requests = Total Completed Trips / Total Trip Requests </w:t>
      </w:r>
    </w:p>
    <w:p w:rsidR="0093477E" w:rsidP="008035C8" w:rsidRDefault="00956113" w14:paraId="4498F655" w14:textId="66A12E45">
      <w:pPr>
        <w:pStyle w:val="Standard0"/>
        <w:spacing w:before="240"/>
      </w:pPr>
      <w:r>
        <w:t xml:space="preserve">The transportation carrier shall also report its WAV operating hours for </w:t>
      </w:r>
      <w:r w:rsidR="0062392D">
        <w:t xml:space="preserve">each </w:t>
      </w:r>
      <w:r>
        <w:t>geographic area</w:t>
      </w:r>
      <w:r w:rsidR="0093477E">
        <w:t xml:space="preserve"> with </w:t>
      </w:r>
      <w:r w:rsidR="0062392D">
        <w:t xml:space="preserve">the </w:t>
      </w:r>
      <w:r w:rsidR="0093477E">
        <w:t>submission of the percentage of completed WAV trip requests</w:t>
      </w:r>
      <w:r>
        <w:t>.</w:t>
      </w:r>
    </w:p>
    <w:p w:rsidR="00956113" w:rsidP="00651B38" w:rsidRDefault="0045263C" w14:paraId="6C4751C8" w14:textId="699F58AE">
      <w:pPr>
        <w:pStyle w:val="Standard0"/>
        <w:numPr>
          <w:ilvl w:val="0"/>
          <w:numId w:val="11"/>
        </w:numPr>
      </w:pPr>
      <w:r>
        <w:t>Data required for t</w:t>
      </w:r>
      <w:r w:rsidR="00956113">
        <w:t xml:space="preserve">he Trip Completion Standard shall be added to the </w:t>
      </w:r>
      <w:r>
        <w:t xml:space="preserve">information required </w:t>
      </w:r>
      <w:r w:rsidR="00956113">
        <w:t xml:space="preserve">for the Quarterly Report and the </w:t>
      </w:r>
      <w:r w:rsidR="00A72CB9">
        <w:t>Access Provider</w:t>
      </w:r>
      <w:r w:rsidR="00956113">
        <w:t xml:space="preserve"> application.  An </w:t>
      </w:r>
      <w:r w:rsidR="00A72CB9">
        <w:t>Access Provider</w:t>
      </w:r>
      <w:r w:rsidR="00956113">
        <w:t xml:space="preserve"> applicant shall provide data required of the Trip Completion Standard, to the extent available, but shall not be deemed ineligible to qualify as an </w:t>
      </w:r>
      <w:r w:rsidR="00A72CB9">
        <w:t>Access Provider</w:t>
      </w:r>
      <w:r w:rsidR="00956113">
        <w:t xml:space="preserve"> for failing to meet the Trip Completion Standard. </w:t>
      </w:r>
    </w:p>
    <w:p w:rsidR="001560B8" w:rsidP="00651B38" w:rsidRDefault="00545532" w14:paraId="47AF18ED" w14:textId="2800A2F8">
      <w:pPr>
        <w:pStyle w:val="Standard0"/>
        <w:numPr>
          <w:ilvl w:val="0"/>
          <w:numId w:val="11"/>
        </w:numPr>
      </w:pPr>
      <w:r>
        <w:t xml:space="preserve">The Consumer Protection and Enforcement Division is directed to </w:t>
      </w:r>
      <w:r w:rsidR="001560B8">
        <w:t>submit</w:t>
      </w:r>
      <w:r>
        <w:t xml:space="preserve"> a report </w:t>
      </w:r>
      <w:r w:rsidR="001560B8">
        <w:t xml:space="preserve">to the Commission in December 2021 analyzing </w:t>
      </w:r>
      <w:r w:rsidR="006B3D49">
        <w:t xml:space="preserve">and evaluating </w:t>
      </w:r>
      <w:r w:rsidR="001560B8">
        <w:t xml:space="preserve">various metrics, including: </w:t>
      </w:r>
    </w:p>
    <w:p w:rsidR="001560B8" w:rsidP="005B0F00" w:rsidRDefault="00EC4B0A" w14:paraId="7316D871" w14:textId="55745F4D">
      <w:pPr>
        <w:pStyle w:val="ListParagraph"/>
        <w:numPr>
          <w:ilvl w:val="1"/>
          <w:numId w:val="11"/>
        </w:numPr>
        <w:spacing w:after="120"/>
        <w:ind w:left="1267" w:right="1440" w:hanging="277"/>
      </w:pPr>
      <w:r>
        <w:t>t</w:t>
      </w:r>
      <w:r w:rsidR="001560B8">
        <w:t>he Trip Completion Standard;</w:t>
      </w:r>
      <w:r w:rsidR="00BA07C6">
        <w:t xml:space="preserve"> and</w:t>
      </w:r>
    </w:p>
    <w:p w:rsidR="00EC4B0A" w:rsidP="005B0F00" w:rsidRDefault="00B42D22" w14:paraId="241AB0F8" w14:textId="552C12AF">
      <w:pPr>
        <w:pStyle w:val="ListParagraph"/>
        <w:numPr>
          <w:ilvl w:val="1"/>
          <w:numId w:val="11"/>
        </w:numPr>
        <w:spacing w:after="120"/>
        <w:ind w:left="1267" w:right="1440" w:hanging="277"/>
      </w:pPr>
      <w:r>
        <w:t>W</w:t>
      </w:r>
      <w:r w:rsidR="00545532">
        <w:t xml:space="preserve">heelchair accessible vehicle expenses requested </w:t>
      </w:r>
      <w:r w:rsidR="00EC4B0A">
        <w:t xml:space="preserve">and/or approved </w:t>
      </w:r>
      <w:r w:rsidR="00545532">
        <w:t>through Offset Requests</w:t>
      </w:r>
      <w:r w:rsidR="00BA07C6">
        <w:t>.</w:t>
      </w:r>
    </w:p>
    <w:p w:rsidR="00545532" w:rsidRDefault="00545532" w14:paraId="6F6F7347" w14:textId="27ACFF72">
      <w:pPr>
        <w:pStyle w:val="Standard0"/>
        <w:numPr>
          <w:ilvl w:val="0"/>
          <w:numId w:val="11"/>
        </w:numPr>
      </w:pPr>
      <w:r>
        <w:lastRenderedPageBreak/>
        <w:t xml:space="preserve">“On-demand transportation” </w:t>
      </w:r>
      <w:r w:rsidR="00EC4B0A">
        <w:t>shall be</w:t>
      </w:r>
      <w:r>
        <w:t xml:space="preserve"> defined </w:t>
      </w:r>
      <w:r w:rsidR="0062392D">
        <w:t xml:space="preserve">for the purposes of the Access for All Act </w:t>
      </w:r>
      <w:r>
        <w:t xml:space="preserve">as any transportation service that does not follow a fixed route and/or schedule.  </w:t>
      </w:r>
      <w:r w:rsidR="00EC4B0A">
        <w:t>Access Fund</w:t>
      </w:r>
      <w:r>
        <w:t xml:space="preserve"> Administrators </w:t>
      </w:r>
      <w:r w:rsidR="00EC4B0A">
        <w:t>should</w:t>
      </w:r>
      <w:r>
        <w:t xml:space="preserve"> prioritize the selection of </w:t>
      </w:r>
      <w:r w:rsidR="00A72CB9">
        <w:t>Access Provider</w:t>
      </w:r>
      <w:r>
        <w:t xml:space="preserve"> applicants that offer wheelchair accessible vehicle transportation that can be requested and fulfilled within 24</w:t>
      </w:r>
      <w:r w:rsidR="008035C8">
        <w:t> </w:t>
      </w:r>
      <w:r>
        <w:t>hours.</w:t>
      </w:r>
    </w:p>
    <w:p w:rsidR="00BA07C6" w:rsidP="00651B38" w:rsidRDefault="00BA07C6" w14:paraId="74E82EFB" w14:textId="374A645B">
      <w:pPr>
        <w:pStyle w:val="Standard0"/>
        <w:numPr>
          <w:ilvl w:val="0"/>
          <w:numId w:val="11"/>
        </w:numPr>
      </w:pPr>
      <w:r>
        <w:t xml:space="preserve">The Consumer Protection and Enforcement Division is directed to submit a report </w:t>
      </w:r>
      <w:r w:rsidR="0062392D">
        <w:t xml:space="preserve">to the Commission </w:t>
      </w:r>
      <w:r>
        <w:t>in December 2022 that includes an evaluation of the Access Provider applicant pool, including the type of Access Providers that apply for funding, how many applicants applied and/or were approved, and other relevant information.</w:t>
      </w:r>
    </w:p>
    <w:p w:rsidR="00B7564E" w:rsidP="00651B38" w:rsidRDefault="00034568" w14:paraId="6CF33C3E" w14:textId="743D3C11">
      <w:pPr>
        <w:pStyle w:val="Standard0"/>
        <w:numPr>
          <w:ilvl w:val="0"/>
          <w:numId w:val="11"/>
        </w:numPr>
      </w:pPr>
      <w:r>
        <w:t>On an interim basis, a</w:t>
      </w:r>
      <w:r w:rsidR="003C13D2">
        <w:t xml:space="preserve"> qualifying</w:t>
      </w:r>
      <w:r w:rsidR="00510E77">
        <w:t xml:space="preserve"> </w:t>
      </w:r>
      <w:r w:rsidR="00A72CB9">
        <w:t>Access Provider</w:t>
      </w:r>
      <w:r w:rsidR="00510E77">
        <w:t xml:space="preserve"> </w:t>
      </w:r>
      <w:r w:rsidR="003C13D2">
        <w:t>shall be</w:t>
      </w:r>
      <w:r w:rsidR="00510E77">
        <w:t xml:space="preserve"> limited to </w:t>
      </w:r>
      <w:r w:rsidR="00ED0BBC">
        <w:t xml:space="preserve">a </w:t>
      </w:r>
      <w:r w:rsidR="00D9383D">
        <w:rPr>
          <w:rFonts w:cs="BookAntiqua"/>
          <w:szCs w:val="26"/>
        </w:rPr>
        <w:t>transportation carrier that</w:t>
      </w:r>
      <w:r w:rsidR="00B7564E">
        <w:rPr>
          <w:rFonts w:cs="BookAntiqua"/>
          <w:szCs w:val="26"/>
        </w:rPr>
        <w:t xml:space="preserve"> hold</w:t>
      </w:r>
      <w:r w:rsidR="00ED0BBC">
        <w:rPr>
          <w:rFonts w:cs="BookAntiqua"/>
          <w:szCs w:val="26"/>
        </w:rPr>
        <w:t>s</w:t>
      </w:r>
      <w:r w:rsidR="00B7564E">
        <w:rPr>
          <w:rFonts w:cs="BookAntiqua"/>
          <w:szCs w:val="26"/>
        </w:rPr>
        <w:t xml:space="preserve"> a Commission-issued permit prior to </w:t>
      </w:r>
      <w:r w:rsidR="00D9383D">
        <w:rPr>
          <w:rFonts w:cs="BookAntiqua"/>
          <w:szCs w:val="26"/>
        </w:rPr>
        <w:t>applying to be</w:t>
      </w:r>
      <w:r w:rsidR="00B7564E">
        <w:rPr>
          <w:rFonts w:cs="BookAntiqua"/>
          <w:szCs w:val="26"/>
        </w:rPr>
        <w:t xml:space="preserve"> an Access Provider</w:t>
      </w:r>
      <w:r w:rsidR="00510E77">
        <w:t>.</w:t>
      </w:r>
    </w:p>
    <w:p w:rsidR="00DA347A" w:rsidP="00651B38" w:rsidRDefault="001018E0" w14:paraId="1D6EF291" w14:textId="3BD691FA">
      <w:pPr>
        <w:pStyle w:val="Standard0"/>
        <w:numPr>
          <w:ilvl w:val="0"/>
          <w:numId w:val="11"/>
        </w:numPr>
      </w:pPr>
      <w:r>
        <w:t xml:space="preserve">A qualifying expense for an </w:t>
      </w:r>
      <w:r w:rsidR="00A72CB9">
        <w:t>Access Provider</w:t>
      </w:r>
      <w:r>
        <w:t xml:space="preserve"> is</w:t>
      </w:r>
      <w:r w:rsidR="00CC79BA">
        <w:t xml:space="preserve"> defined as</w:t>
      </w:r>
      <w:r>
        <w:t xml:space="preserve">: </w:t>
      </w:r>
      <w:r w:rsidR="00EA7061">
        <w:t xml:space="preserve"> </w:t>
      </w:r>
      <w:r>
        <w:t xml:space="preserve">(1) a reasonable, legitimate cost that improves wheelchair accessible vehicle service, and (2) </w:t>
      </w:r>
      <w:r w:rsidR="001B00FA">
        <w:t xml:space="preserve">the cost is </w:t>
      </w:r>
      <w:r>
        <w:t>on the list of eligible expenses attached as Appendix A to Decision 20-03-007.</w:t>
      </w:r>
      <w:r w:rsidR="00DA347A">
        <w:t xml:space="preserve">  </w:t>
      </w:r>
    </w:p>
    <w:p w:rsidR="00104161" w:rsidP="00651B38" w:rsidRDefault="00104161" w14:paraId="2EEFA100" w14:textId="4247528A">
      <w:pPr>
        <w:pStyle w:val="Standard0"/>
        <w:numPr>
          <w:ilvl w:val="0"/>
          <w:numId w:val="11"/>
        </w:numPr>
      </w:pPr>
      <w:r>
        <w:t xml:space="preserve">The Access Fund Administrator (AFA) shall review and approve </w:t>
      </w:r>
      <w:r w:rsidR="00A72CB9">
        <w:t>Access Provider</w:t>
      </w:r>
      <w:r>
        <w:t xml:space="preserve"> applications in </w:t>
      </w:r>
      <w:r w:rsidR="005D206B">
        <w:t>its</w:t>
      </w:r>
      <w:r>
        <w:t xml:space="preserve"> respective geographic area.  </w:t>
      </w:r>
      <w:r w:rsidR="005D206B">
        <w:t>T</w:t>
      </w:r>
      <w:r>
        <w:t>he AFA</w:t>
      </w:r>
      <w:r w:rsidR="005D206B">
        <w:t xml:space="preserve"> shall</w:t>
      </w:r>
      <w:r>
        <w:t xml:space="preserve"> notify the Consumer Protection and Enforcement </w:t>
      </w:r>
      <w:r w:rsidR="005D206B">
        <w:t xml:space="preserve">Division once it approves </w:t>
      </w:r>
      <w:r w:rsidR="00A72CB9">
        <w:t>Access Provider</w:t>
      </w:r>
      <w:r w:rsidR="005D206B">
        <w:t>s</w:t>
      </w:r>
      <w:r>
        <w:t xml:space="preserve"> and </w:t>
      </w:r>
      <w:r w:rsidR="005D206B">
        <w:t xml:space="preserve">shall </w:t>
      </w:r>
      <w:r>
        <w:t xml:space="preserve">submit </w:t>
      </w:r>
      <w:r w:rsidR="004C001D">
        <w:t xml:space="preserve">a </w:t>
      </w:r>
      <w:r>
        <w:t xml:space="preserve">list of </w:t>
      </w:r>
      <w:r w:rsidR="00A72CB9">
        <w:t>Access Provider</w:t>
      </w:r>
      <w:r>
        <w:t xml:space="preserve">s </w:t>
      </w:r>
      <w:r w:rsidR="004C001D">
        <w:t xml:space="preserve">who applied </w:t>
      </w:r>
      <w:r w:rsidR="00D523F4">
        <w:t xml:space="preserve">for </w:t>
      </w:r>
      <w:r w:rsidR="004C001D">
        <w:t>and who were approved</w:t>
      </w:r>
      <w:r w:rsidR="00DB2BEE">
        <w:t xml:space="preserve"> by the AFA</w:t>
      </w:r>
      <w:r w:rsidR="001D6B5C">
        <w:t xml:space="preserve"> by September 30</w:t>
      </w:r>
      <w:r w:rsidRPr="00651B38">
        <w:t>.</w:t>
      </w:r>
      <w:r>
        <w:t xml:space="preserve">  The list of approved </w:t>
      </w:r>
      <w:r w:rsidR="00A72CB9">
        <w:t>Access Provider</w:t>
      </w:r>
      <w:r>
        <w:t xml:space="preserve">s shall be </w:t>
      </w:r>
      <w:r w:rsidR="00687D71">
        <w:t xml:space="preserve">linked to and/or </w:t>
      </w:r>
      <w:r>
        <w:t xml:space="preserve">posted on the Commission’s website.  </w:t>
      </w:r>
    </w:p>
    <w:p w:rsidR="000E4724" w:rsidP="00651B38" w:rsidRDefault="002D30B5" w14:paraId="4CAE7D11" w14:textId="2CEA5226">
      <w:pPr>
        <w:pStyle w:val="Standard0"/>
        <w:numPr>
          <w:ilvl w:val="0"/>
          <w:numId w:val="11"/>
        </w:numPr>
      </w:pPr>
      <w:r>
        <w:lastRenderedPageBreak/>
        <w:t xml:space="preserve">A </w:t>
      </w:r>
      <w:r w:rsidR="001D6B5C">
        <w:t>T</w:t>
      </w:r>
      <w:r>
        <w:t xml:space="preserve">ransportation </w:t>
      </w:r>
      <w:r w:rsidR="001D6B5C">
        <w:t>N</w:t>
      </w:r>
      <w:r>
        <w:t xml:space="preserve">etwork </w:t>
      </w:r>
      <w:r w:rsidR="001D6B5C">
        <w:t>C</w:t>
      </w:r>
      <w:r>
        <w:t>ompany (TNC)</w:t>
      </w:r>
      <w:r w:rsidRPr="0056048C">
        <w:t xml:space="preserve"> </w:t>
      </w:r>
      <w:r>
        <w:t xml:space="preserve">may </w:t>
      </w:r>
      <w:r w:rsidR="000E4724">
        <w:t>be eligible</w:t>
      </w:r>
      <w:r>
        <w:t xml:space="preserve"> as an </w:t>
      </w:r>
      <w:r w:rsidR="00A72CB9">
        <w:t>Access Provider</w:t>
      </w:r>
      <w:r>
        <w:t xml:space="preserve"> in a geographic area </w:t>
      </w:r>
      <w:r w:rsidR="00406C1B">
        <w:t xml:space="preserve">where it currently offers wheelchair accessible vehicle (WAV) service </w:t>
      </w:r>
      <w:r>
        <w:t xml:space="preserve">if: </w:t>
      </w:r>
    </w:p>
    <w:p w:rsidR="004D6052" w:rsidP="005B0F00" w:rsidRDefault="002D30B5" w14:paraId="069EDC76" w14:textId="25BB75FE">
      <w:pPr>
        <w:pStyle w:val="ListParagraph"/>
        <w:numPr>
          <w:ilvl w:val="1"/>
          <w:numId w:val="11"/>
        </w:numPr>
        <w:spacing w:after="120"/>
        <w:ind w:left="1267" w:right="1440" w:hanging="277"/>
      </w:pPr>
      <w:r>
        <w:t xml:space="preserve">the TNC qualifies for an exemption in that geographic area, and </w:t>
      </w:r>
    </w:p>
    <w:p w:rsidR="004D6052" w:rsidP="004D6052" w:rsidRDefault="003D1CB7" w14:paraId="158BC684" w14:textId="1D5CE952">
      <w:pPr>
        <w:pStyle w:val="ListParagraph"/>
        <w:numPr>
          <w:ilvl w:val="1"/>
          <w:numId w:val="11"/>
        </w:numPr>
        <w:spacing w:after="120"/>
        <w:ind w:left="1267" w:right="1440" w:hanging="277"/>
      </w:pPr>
      <w:r>
        <w:t xml:space="preserve">the TNC </w:t>
      </w:r>
      <w:r w:rsidR="002D30B5">
        <w:t>certifies that the TNC’s collected fees during the Exemption Year were exhausted to provide WAV services.</w:t>
      </w:r>
      <w:r w:rsidR="002D30B5">
        <w:rPr>
          <w:rStyle w:val="FootnoteReference"/>
        </w:rPr>
        <w:t xml:space="preserve"> </w:t>
      </w:r>
      <w:r w:rsidR="002D30B5">
        <w:t xml:space="preserve"> </w:t>
      </w:r>
    </w:p>
    <w:p w:rsidR="002D30B5" w:rsidP="00651B38" w:rsidRDefault="002D30B5" w14:paraId="5D336969" w14:textId="58B47DC6">
      <w:pPr>
        <w:pStyle w:val="Standard0"/>
        <w:numPr>
          <w:ilvl w:val="0"/>
          <w:numId w:val="11"/>
        </w:numPr>
      </w:pPr>
      <w:r>
        <w:t xml:space="preserve">A </w:t>
      </w:r>
      <w:r w:rsidR="0093477E">
        <w:t xml:space="preserve">Transportation Network Company </w:t>
      </w:r>
      <w:r>
        <w:t xml:space="preserve">may apply as an </w:t>
      </w:r>
      <w:r w:rsidR="00A72CB9">
        <w:t>Access Provider</w:t>
      </w:r>
      <w:r>
        <w:t xml:space="preserve"> in a geographic area </w:t>
      </w:r>
      <w:r w:rsidR="0093477E">
        <w:t>where</w:t>
      </w:r>
      <w:r w:rsidR="00BD0401">
        <w:t xml:space="preserve"> </w:t>
      </w:r>
      <w:r>
        <w:t xml:space="preserve">it does not offer any </w:t>
      </w:r>
      <w:r w:rsidR="0093477E">
        <w:t xml:space="preserve">wheelchair accessible vehicle </w:t>
      </w:r>
      <w:r>
        <w:t xml:space="preserve">services.  </w:t>
      </w:r>
    </w:p>
    <w:p w:rsidR="002B3CE7" w:rsidP="00651B38" w:rsidRDefault="002D30B5" w14:paraId="286E8CBE" w14:textId="51C6ADE9">
      <w:pPr>
        <w:pStyle w:val="Standard0"/>
        <w:numPr>
          <w:ilvl w:val="0"/>
          <w:numId w:val="11"/>
        </w:numPr>
      </w:pPr>
      <w:r>
        <w:t xml:space="preserve">The Access Fund Administrator that receives a </w:t>
      </w:r>
      <w:r w:rsidR="0093477E">
        <w:t>T</w:t>
      </w:r>
      <w:r w:rsidR="00344298">
        <w:t xml:space="preserve">ransportation </w:t>
      </w:r>
      <w:r w:rsidR="0093477E">
        <w:t>N</w:t>
      </w:r>
      <w:r w:rsidR="00344298">
        <w:t xml:space="preserve">etwork </w:t>
      </w:r>
      <w:r w:rsidR="0093477E">
        <w:t>C</w:t>
      </w:r>
      <w:r w:rsidR="00344298">
        <w:t xml:space="preserve">ompany’s (TNC) </w:t>
      </w:r>
      <w:r w:rsidR="00A72CB9">
        <w:t>Access Provider</w:t>
      </w:r>
      <w:r w:rsidR="00344298">
        <w:t xml:space="preserve"> </w:t>
      </w:r>
      <w:r>
        <w:t xml:space="preserve">application shall consult with </w:t>
      </w:r>
      <w:r w:rsidR="00344298">
        <w:t xml:space="preserve">the </w:t>
      </w:r>
      <w:r w:rsidR="00F339C1">
        <w:t xml:space="preserve">Consumer Protection and Enforcement Division </w:t>
      </w:r>
      <w:r>
        <w:t xml:space="preserve">to verify whether the TNC has met </w:t>
      </w:r>
      <w:r w:rsidR="00F339C1">
        <w:t>the</w:t>
      </w:r>
      <w:r>
        <w:t xml:space="preserve"> eligibility requirements.</w:t>
      </w:r>
    </w:p>
    <w:p w:rsidR="008F0915" w:rsidP="00651B38" w:rsidRDefault="002B3CE7" w14:paraId="4E672462" w14:textId="4E0A91CB">
      <w:pPr>
        <w:pStyle w:val="Standard0"/>
        <w:numPr>
          <w:ilvl w:val="0"/>
          <w:numId w:val="11"/>
        </w:numPr>
      </w:pPr>
      <w:r>
        <w:t xml:space="preserve">An Access Fund Administrator </w:t>
      </w:r>
      <w:r w:rsidR="008F0915">
        <w:t>is permitted to</w:t>
      </w:r>
      <w:r>
        <w:t xml:space="preserve"> request additional information from </w:t>
      </w:r>
      <w:r w:rsidR="00A72CB9">
        <w:t>Access Provider</w:t>
      </w:r>
      <w:r>
        <w:t xml:space="preserve"> applicants as necessary</w:t>
      </w:r>
      <w:r w:rsidR="008F0915">
        <w:t xml:space="preserve"> to sufficiently review an application</w:t>
      </w:r>
      <w:r>
        <w:t xml:space="preserve">.  </w:t>
      </w:r>
    </w:p>
    <w:p w:rsidRPr="00FE4DA8" w:rsidR="002D30B5" w:rsidP="00651B38" w:rsidRDefault="002B3CE7" w14:paraId="1276AD69" w14:textId="0B981143">
      <w:pPr>
        <w:pStyle w:val="Standard0"/>
        <w:numPr>
          <w:ilvl w:val="0"/>
          <w:numId w:val="11"/>
        </w:numPr>
      </w:pPr>
      <w:r w:rsidRPr="002B3CE7">
        <w:rPr>
          <w:rFonts w:cs="BookAntiqua"/>
          <w:szCs w:val="26"/>
        </w:rPr>
        <w:t>An</w:t>
      </w:r>
      <w:r w:rsidR="008F0915">
        <w:rPr>
          <w:rFonts w:cs="BookAntiqua"/>
          <w:szCs w:val="26"/>
        </w:rPr>
        <w:t xml:space="preserve"> </w:t>
      </w:r>
      <w:r w:rsidR="00A72CB9">
        <w:rPr>
          <w:rFonts w:cs="BookAntiqua"/>
          <w:szCs w:val="26"/>
        </w:rPr>
        <w:t>Access Provider</w:t>
      </w:r>
      <w:r w:rsidRPr="002B3CE7">
        <w:rPr>
          <w:rFonts w:cs="BookAntiqua"/>
          <w:szCs w:val="26"/>
        </w:rPr>
        <w:t xml:space="preserve"> </w:t>
      </w:r>
      <w:r w:rsidR="002C653C">
        <w:rPr>
          <w:rFonts w:cs="BookAntiqua"/>
          <w:szCs w:val="26"/>
        </w:rPr>
        <w:t>applicant</w:t>
      </w:r>
      <w:r w:rsidRPr="002B3CE7">
        <w:rPr>
          <w:rFonts w:cs="BookAntiqua"/>
          <w:szCs w:val="26"/>
        </w:rPr>
        <w:t xml:space="preserve"> </w:t>
      </w:r>
      <w:r w:rsidR="008F0915">
        <w:rPr>
          <w:rFonts w:cs="BookAntiqua"/>
          <w:szCs w:val="26"/>
        </w:rPr>
        <w:t>shall disclose whether it</w:t>
      </w:r>
      <w:r w:rsidRPr="002B3CE7">
        <w:rPr>
          <w:rFonts w:cs="BookAntiqua"/>
          <w:szCs w:val="26"/>
        </w:rPr>
        <w:t xml:space="preserve"> </w:t>
      </w:r>
      <w:r w:rsidR="008F0915">
        <w:rPr>
          <w:rFonts w:cs="BookAntiqua"/>
          <w:szCs w:val="26"/>
        </w:rPr>
        <w:t xml:space="preserve">is a current or former service provider for a </w:t>
      </w:r>
      <w:r w:rsidR="0093477E">
        <w:rPr>
          <w:rFonts w:cs="BookAntiqua"/>
          <w:szCs w:val="26"/>
        </w:rPr>
        <w:t>T</w:t>
      </w:r>
      <w:r w:rsidR="008F0915">
        <w:rPr>
          <w:rFonts w:cs="BookAntiqua"/>
          <w:szCs w:val="26"/>
        </w:rPr>
        <w:t xml:space="preserve">ransportation </w:t>
      </w:r>
      <w:r w:rsidR="0093477E">
        <w:rPr>
          <w:rFonts w:cs="BookAntiqua"/>
          <w:szCs w:val="26"/>
        </w:rPr>
        <w:t>N</w:t>
      </w:r>
      <w:r w:rsidR="008F0915">
        <w:rPr>
          <w:rFonts w:cs="BookAntiqua"/>
          <w:szCs w:val="26"/>
        </w:rPr>
        <w:t xml:space="preserve">etwork </w:t>
      </w:r>
      <w:r w:rsidR="0093477E">
        <w:rPr>
          <w:rFonts w:cs="BookAntiqua"/>
          <w:szCs w:val="26"/>
        </w:rPr>
        <w:t>C</w:t>
      </w:r>
      <w:r w:rsidR="008F0915">
        <w:rPr>
          <w:rFonts w:cs="BookAntiqua"/>
          <w:szCs w:val="26"/>
        </w:rPr>
        <w:t>ompany (TNC)</w:t>
      </w:r>
      <w:r w:rsidRPr="002B3CE7">
        <w:rPr>
          <w:rFonts w:cs="BookAntiqua"/>
          <w:szCs w:val="26"/>
        </w:rPr>
        <w:t xml:space="preserve">.  </w:t>
      </w:r>
      <w:r w:rsidR="008F0915">
        <w:rPr>
          <w:rFonts w:cs="BookAntiqua"/>
          <w:szCs w:val="26"/>
        </w:rPr>
        <w:t xml:space="preserve">The </w:t>
      </w:r>
      <w:r w:rsidR="00A72CB9">
        <w:rPr>
          <w:rFonts w:cs="BookAntiqua"/>
          <w:szCs w:val="26"/>
        </w:rPr>
        <w:t>Access Provider</w:t>
      </w:r>
      <w:r w:rsidR="008F0915">
        <w:rPr>
          <w:rFonts w:cs="BookAntiqua"/>
          <w:szCs w:val="26"/>
        </w:rPr>
        <w:t xml:space="preserve"> applicant must demonstrate to the Access Fund Administrator that any Access Fund moneys</w:t>
      </w:r>
      <w:r w:rsidR="00E72D10">
        <w:rPr>
          <w:rFonts w:cs="BookAntiqua"/>
          <w:szCs w:val="26"/>
        </w:rPr>
        <w:t xml:space="preserve"> received</w:t>
      </w:r>
      <w:r w:rsidR="008F0915">
        <w:rPr>
          <w:rFonts w:cs="BookAntiqua"/>
          <w:szCs w:val="26"/>
        </w:rPr>
        <w:t xml:space="preserve"> will not be used for services that were compensated by a TNC.</w:t>
      </w:r>
      <w:r w:rsidRPr="002B3CE7">
        <w:rPr>
          <w:rFonts w:cs="BookAntiqua"/>
          <w:szCs w:val="26"/>
        </w:rPr>
        <w:t xml:space="preserve"> </w:t>
      </w:r>
    </w:p>
    <w:p w:rsidR="00FE4DA8" w:rsidP="00651B38" w:rsidRDefault="00FE4DA8" w14:paraId="399D1AF7" w14:textId="3A32400F">
      <w:pPr>
        <w:pStyle w:val="Standard0"/>
        <w:numPr>
          <w:ilvl w:val="0"/>
          <w:numId w:val="11"/>
        </w:numPr>
      </w:pPr>
      <w:r>
        <w:t xml:space="preserve">An Access Fund Administrator shall be compensated for administrative costs up to 15 percent of the total amount awarded </w:t>
      </w:r>
      <w:r w:rsidR="00B42D22">
        <w:t xml:space="preserve">in the respective geographic area </w:t>
      </w:r>
      <w:r>
        <w:t xml:space="preserve">by the Commission </w:t>
      </w:r>
      <w:r w:rsidR="00B42D22">
        <w:t>in each funding cycle</w:t>
      </w:r>
      <w:r>
        <w:t xml:space="preserve">.  “Administrative costs” are defined as the indirect overhead costs attributable to a project, per </w:t>
      </w:r>
      <w:r>
        <w:rPr>
          <w:rFonts w:cs="BookAntiqua"/>
          <w:szCs w:val="26"/>
        </w:rPr>
        <w:t xml:space="preserve">generally </w:t>
      </w:r>
      <w:r>
        <w:rPr>
          <w:rFonts w:cs="BookAntiqua"/>
          <w:szCs w:val="26"/>
        </w:rPr>
        <w:lastRenderedPageBreak/>
        <w:t>accepted accounting principles</w:t>
      </w:r>
      <w:r>
        <w:t xml:space="preserve">, and the direct cost of complying with Commission administrative and regulatory requirements related to the </w:t>
      </w:r>
      <w:r w:rsidR="004C001D">
        <w:t xml:space="preserve">Access Fund monies </w:t>
      </w:r>
      <w:r>
        <w:t>itself.</w:t>
      </w:r>
    </w:p>
    <w:p w:rsidRPr="008E36B8" w:rsidR="00411A1B" w:rsidP="00651B38" w:rsidRDefault="00411A1B" w14:paraId="7F5FF14F" w14:textId="6C365EE6">
      <w:pPr>
        <w:pStyle w:val="Standard0"/>
        <w:numPr>
          <w:ilvl w:val="0"/>
          <w:numId w:val="11"/>
        </w:numPr>
      </w:pPr>
      <w:r w:rsidRPr="005B0F00">
        <w:t>Information</w:t>
      </w:r>
      <w:r>
        <w:rPr>
          <w:rFonts w:cs="BookAntiqua"/>
          <w:szCs w:val="26"/>
        </w:rPr>
        <w:t xml:space="preserve"> </w:t>
      </w:r>
      <w:r w:rsidR="00CA7F71">
        <w:rPr>
          <w:rFonts w:cs="BookAntiqua"/>
          <w:szCs w:val="26"/>
        </w:rPr>
        <w:t>provided</w:t>
      </w:r>
      <w:r>
        <w:rPr>
          <w:rFonts w:cs="BookAntiqua"/>
          <w:szCs w:val="26"/>
        </w:rPr>
        <w:t xml:space="preserve"> in the Quarterly Reports, Offset Requests</w:t>
      </w:r>
      <w:r w:rsidR="00CA7F71">
        <w:rPr>
          <w:rFonts w:cs="BookAntiqua"/>
          <w:szCs w:val="26"/>
        </w:rPr>
        <w:t>,</w:t>
      </w:r>
      <w:r>
        <w:rPr>
          <w:rFonts w:cs="BookAntiqua"/>
          <w:szCs w:val="26"/>
        </w:rPr>
        <w:t xml:space="preserve"> and Exemption Requests</w:t>
      </w:r>
      <w:r w:rsidR="00CA7F71">
        <w:rPr>
          <w:rFonts w:cs="BookAntiqua"/>
          <w:szCs w:val="26"/>
        </w:rPr>
        <w:t xml:space="preserve"> </w:t>
      </w:r>
      <w:r>
        <w:rPr>
          <w:rFonts w:cs="BookAntiqua"/>
          <w:szCs w:val="26"/>
        </w:rPr>
        <w:t>shall form the baseline for the yearly benchmarks.</w:t>
      </w:r>
      <w:r w:rsidR="00CA7F71">
        <w:rPr>
          <w:rFonts w:cs="BookAntiqua"/>
          <w:szCs w:val="26"/>
        </w:rPr>
        <w:t xml:space="preserve">  The Consumer Protection and Enforcement Division is directed to submit a</w:t>
      </w:r>
      <w:r w:rsidR="0062392D">
        <w:rPr>
          <w:rFonts w:cs="BookAntiqua"/>
          <w:szCs w:val="26"/>
        </w:rPr>
        <w:t>n Annual Benchmark</w:t>
      </w:r>
      <w:r w:rsidR="00CA7F71">
        <w:rPr>
          <w:rFonts w:cs="BookAntiqua"/>
          <w:szCs w:val="26"/>
        </w:rPr>
        <w:t xml:space="preserve"> </w:t>
      </w:r>
      <w:r w:rsidR="0062392D">
        <w:rPr>
          <w:rFonts w:cs="BookAntiqua"/>
          <w:szCs w:val="26"/>
        </w:rPr>
        <w:t>R</w:t>
      </w:r>
      <w:r w:rsidR="00CA7F71">
        <w:rPr>
          <w:rFonts w:cs="BookAntiqua"/>
          <w:szCs w:val="26"/>
        </w:rPr>
        <w:t xml:space="preserve">eport on the yearly benchmarks to the Commission with the first report submitted in </w:t>
      </w:r>
      <w:r w:rsidR="00132F85">
        <w:rPr>
          <w:rFonts w:cs="BookAntiqua"/>
          <w:szCs w:val="26"/>
        </w:rPr>
        <w:t>the</w:t>
      </w:r>
      <w:r w:rsidR="003D1CB7">
        <w:rPr>
          <w:rFonts w:cs="BookAntiqua"/>
          <w:szCs w:val="26"/>
        </w:rPr>
        <w:t xml:space="preserve"> first</w:t>
      </w:r>
      <w:r w:rsidR="00132F85">
        <w:rPr>
          <w:rFonts w:cs="BookAntiqua"/>
          <w:szCs w:val="26"/>
        </w:rPr>
        <w:t xml:space="preserve"> </w:t>
      </w:r>
      <w:r w:rsidR="003D1CB7">
        <w:rPr>
          <w:rFonts w:cs="BookAntiqua"/>
          <w:szCs w:val="26"/>
        </w:rPr>
        <w:t>q</w:t>
      </w:r>
      <w:r w:rsidR="00132F85">
        <w:rPr>
          <w:rFonts w:cs="BookAntiqua"/>
          <w:szCs w:val="26"/>
        </w:rPr>
        <w:t>uarter of</w:t>
      </w:r>
      <w:r w:rsidR="00CA7F71">
        <w:rPr>
          <w:rFonts w:cs="BookAntiqua"/>
          <w:szCs w:val="26"/>
        </w:rPr>
        <w:t xml:space="preserve"> 2022.</w:t>
      </w:r>
    </w:p>
    <w:p w:rsidRPr="00495410" w:rsidR="008E36B8" w:rsidP="00651B38" w:rsidRDefault="008E36B8" w14:paraId="50657E23" w14:textId="3E81E2C4">
      <w:pPr>
        <w:pStyle w:val="Standard0"/>
        <w:numPr>
          <w:ilvl w:val="0"/>
          <w:numId w:val="11"/>
        </w:numPr>
      </w:pPr>
      <w:r>
        <w:rPr>
          <w:rFonts w:cs="BookAntiqua"/>
          <w:szCs w:val="26"/>
        </w:rPr>
        <w:t>The Consumer Protection and Enforcement Division is directed to provide an analysis of wheelchair accessible vehicle (WAV) response times</w:t>
      </w:r>
      <w:r w:rsidR="00840910">
        <w:rPr>
          <w:rFonts w:cs="BookAntiqua"/>
          <w:szCs w:val="26"/>
        </w:rPr>
        <w:t xml:space="preserve"> submitted by</w:t>
      </w:r>
      <w:r>
        <w:rPr>
          <w:rFonts w:cs="BookAntiqua"/>
          <w:szCs w:val="26"/>
        </w:rPr>
        <w:t xml:space="preserve"> </w:t>
      </w:r>
      <w:r w:rsidR="00A72CB9">
        <w:rPr>
          <w:rFonts w:cs="BookAntiqua"/>
          <w:szCs w:val="26"/>
        </w:rPr>
        <w:t>Access Provider</w:t>
      </w:r>
      <w:r>
        <w:rPr>
          <w:rFonts w:cs="BookAntiqua"/>
          <w:szCs w:val="26"/>
        </w:rPr>
        <w:t xml:space="preserve">s and Transportation Network Companies (TNC), and compare those response times to non-WAV response times, as submitted by TNCs in the Annual TNC Reports.  </w:t>
      </w:r>
      <w:r w:rsidR="00840910">
        <w:rPr>
          <w:rFonts w:cs="BookAntiqua"/>
          <w:szCs w:val="26"/>
        </w:rPr>
        <w:t>The</w:t>
      </w:r>
      <w:r>
        <w:rPr>
          <w:rFonts w:cs="BookAntiqua"/>
          <w:szCs w:val="26"/>
        </w:rPr>
        <w:t xml:space="preserve"> analysis shall be provided in </w:t>
      </w:r>
      <w:r w:rsidR="00840910">
        <w:rPr>
          <w:rFonts w:cs="BookAntiqua"/>
          <w:szCs w:val="26"/>
        </w:rPr>
        <w:t xml:space="preserve">the </w:t>
      </w:r>
      <w:r w:rsidR="0062392D">
        <w:rPr>
          <w:rFonts w:cs="BookAntiqua"/>
          <w:szCs w:val="26"/>
        </w:rPr>
        <w:t>Annual Benchmark R</w:t>
      </w:r>
      <w:r w:rsidR="00840910">
        <w:rPr>
          <w:rFonts w:cs="BookAntiqua"/>
          <w:szCs w:val="26"/>
        </w:rPr>
        <w:t>eport.</w:t>
      </w:r>
    </w:p>
    <w:p w:rsidRPr="00AC1041" w:rsidR="00495410" w:rsidP="00651B38" w:rsidRDefault="00495410" w14:paraId="2B0304AA" w14:textId="4796AC49">
      <w:pPr>
        <w:pStyle w:val="Standard0"/>
        <w:numPr>
          <w:ilvl w:val="0"/>
          <w:numId w:val="11"/>
        </w:numPr>
      </w:pPr>
      <w:r>
        <w:rPr>
          <w:rFonts w:cs="BookAntiqua"/>
          <w:szCs w:val="26"/>
        </w:rPr>
        <w:t xml:space="preserve">The Consumer Protection and Enforcement Division is authorized to </w:t>
      </w:r>
      <w:r w:rsidR="00E5727C">
        <w:rPr>
          <w:rFonts w:cs="BookAntiqua"/>
          <w:szCs w:val="26"/>
        </w:rPr>
        <w:t>utilize</w:t>
      </w:r>
      <w:r>
        <w:rPr>
          <w:rFonts w:cs="BookAntiqua"/>
          <w:szCs w:val="26"/>
        </w:rPr>
        <w:t xml:space="preserve"> the independent entity</w:t>
      </w:r>
      <w:r w:rsidR="00E5727C">
        <w:rPr>
          <w:rFonts w:cs="BookAntiqua"/>
          <w:szCs w:val="26"/>
        </w:rPr>
        <w:t xml:space="preserve"> with expertise in accessible transportation</w:t>
      </w:r>
      <w:r>
        <w:rPr>
          <w:rFonts w:cs="BookAntiqua"/>
          <w:szCs w:val="26"/>
        </w:rPr>
        <w:t xml:space="preserve">, </w:t>
      </w:r>
      <w:r w:rsidR="00E5727C">
        <w:rPr>
          <w:rFonts w:cs="BookAntiqua"/>
          <w:szCs w:val="26"/>
        </w:rPr>
        <w:t>as authorized in</w:t>
      </w:r>
      <w:r>
        <w:rPr>
          <w:rFonts w:cs="BookAntiqua"/>
          <w:szCs w:val="26"/>
        </w:rPr>
        <w:t xml:space="preserve"> Decision 20-03-007, to assist </w:t>
      </w:r>
      <w:r w:rsidR="00E5727C">
        <w:rPr>
          <w:rFonts w:cs="BookAntiqua"/>
          <w:szCs w:val="26"/>
        </w:rPr>
        <w:t>wi</w:t>
      </w:r>
      <w:r>
        <w:rPr>
          <w:rFonts w:cs="BookAntiqua"/>
          <w:szCs w:val="26"/>
        </w:rPr>
        <w:t>th evaluating the yearly benchmarks</w:t>
      </w:r>
      <w:r w:rsidR="00AC1041">
        <w:rPr>
          <w:rFonts w:cs="BookAntiqua"/>
          <w:szCs w:val="26"/>
        </w:rPr>
        <w:t xml:space="preserve">.  </w:t>
      </w:r>
    </w:p>
    <w:p w:rsidRPr="00AC1041" w:rsidR="00AC1041" w:rsidP="00651B38" w:rsidRDefault="00AC1041" w14:paraId="5BD57B96" w14:textId="013707B3">
      <w:pPr>
        <w:pStyle w:val="Standard0"/>
        <w:keepNext/>
        <w:keepLines/>
        <w:numPr>
          <w:ilvl w:val="0"/>
          <w:numId w:val="11"/>
        </w:numPr>
      </w:pPr>
      <w:r>
        <w:rPr>
          <w:rFonts w:cs="BookAntiqua"/>
          <w:szCs w:val="26"/>
        </w:rPr>
        <w:t xml:space="preserve">The 2024 Legislative </w:t>
      </w:r>
      <w:r w:rsidR="0054308B">
        <w:rPr>
          <w:rFonts w:cs="BookAntiqua"/>
          <w:szCs w:val="26"/>
        </w:rPr>
        <w:t>R</w:t>
      </w:r>
      <w:r>
        <w:rPr>
          <w:rFonts w:cs="BookAntiqua"/>
          <w:szCs w:val="26"/>
        </w:rPr>
        <w:t xml:space="preserve">eport, shall include, but not be limited to, the following information: </w:t>
      </w:r>
    </w:p>
    <w:p w:rsidR="00AC1041" w:rsidP="00FB0BF0" w:rsidRDefault="00AC1041" w14:paraId="38221BC7" w14:textId="3F643B65">
      <w:pPr>
        <w:pStyle w:val="ListParagraph"/>
        <w:keepNext/>
        <w:keepLines/>
        <w:numPr>
          <w:ilvl w:val="1"/>
          <w:numId w:val="11"/>
        </w:numPr>
        <w:spacing w:after="120"/>
        <w:ind w:left="1267" w:right="1440" w:hanging="277"/>
      </w:pPr>
      <w:r>
        <w:t>A study on the demand of wheelchair accessible vehicles (WAV), including demand according to time of day and geographic area.</w:t>
      </w:r>
    </w:p>
    <w:p w:rsidR="00AC1041" w:rsidP="005B0F00" w:rsidRDefault="00AC1041" w14:paraId="2FCF209D" w14:textId="39F9128D">
      <w:pPr>
        <w:pStyle w:val="ListParagraph"/>
        <w:numPr>
          <w:ilvl w:val="1"/>
          <w:numId w:val="11"/>
        </w:numPr>
        <w:spacing w:after="120"/>
        <w:ind w:left="1267" w:right="1440" w:hanging="277"/>
      </w:pPr>
      <w:r>
        <w:t xml:space="preserve">An analysis of the </w:t>
      </w:r>
      <w:r w:rsidR="0054308B">
        <w:t>Quarterly R</w:t>
      </w:r>
      <w:r>
        <w:t xml:space="preserve">eports required to be submitted by </w:t>
      </w:r>
      <w:r w:rsidR="00A72CB9">
        <w:t>Access Provider</w:t>
      </w:r>
      <w:r>
        <w:t>s receiving Access Fund moneys</w:t>
      </w:r>
      <w:r w:rsidR="0054308B">
        <w:t xml:space="preserve"> and Transportation Network Companies that receive an Offset or Exemption</w:t>
      </w:r>
      <w:r>
        <w:t>.</w:t>
      </w:r>
    </w:p>
    <w:p w:rsidR="00AC1041" w:rsidP="005B0F00" w:rsidRDefault="00AC1041" w14:paraId="528A426E" w14:textId="6F70689E">
      <w:pPr>
        <w:pStyle w:val="ListParagraph"/>
        <w:numPr>
          <w:ilvl w:val="1"/>
          <w:numId w:val="11"/>
        </w:numPr>
        <w:spacing w:after="120"/>
        <w:ind w:left="1267" w:right="1440" w:hanging="277"/>
      </w:pPr>
      <w:r>
        <w:lastRenderedPageBreak/>
        <w:t>The availability of unallocated funds in the Access Fund, including the need to reassess Access Fund allocations</w:t>
      </w:r>
      <w:r w:rsidR="003D1CB7">
        <w:t>, as submitted by Access Fund Administrators</w:t>
      </w:r>
      <w:r>
        <w:t>.</w:t>
      </w:r>
    </w:p>
    <w:p w:rsidRPr="008C72FA" w:rsidR="00AC1041" w:rsidP="005B0F00" w:rsidRDefault="00AC1041" w14:paraId="60BB682F" w14:textId="3E0FBB94">
      <w:pPr>
        <w:pStyle w:val="ListParagraph"/>
        <w:numPr>
          <w:ilvl w:val="1"/>
          <w:numId w:val="11"/>
        </w:numPr>
        <w:spacing w:after="120"/>
        <w:ind w:left="1267" w:right="1440" w:hanging="277"/>
      </w:pPr>
      <w:r>
        <w:t>An analysis of current program capabilities and deficiencies, and recommendations to overcome any identified deficiencies.</w:t>
      </w:r>
    </w:p>
    <w:p w:rsidRPr="00AC1041" w:rsidR="00F7599B" w:rsidP="005B0F00" w:rsidRDefault="00AC1041" w14:paraId="2977C036" w14:textId="3B774EC4">
      <w:pPr>
        <w:pStyle w:val="ListParagraph"/>
        <w:numPr>
          <w:ilvl w:val="1"/>
          <w:numId w:val="11"/>
        </w:numPr>
        <w:spacing w:after="120"/>
        <w:ind w:left="1267" w:right="1440" w:hanging="277"/>
      </w:pPr>
      <w:r>
        <w:t xml:space="preserve">An analysis of the metrics and data </w:t>
      </w:r>
      <w:r w:rsidR="007E31DA">
        <w:t>collected through</w:t>
      </w:r>
      <w:r>
        <w:t xml:space="preserve"> the Offset Requests and Exemption Requests.</w:t>
      </w:r>
    </w:p>
    <w:p w:rsidRPr="003C5FF0" w:rsidR="003C5FF0" w:rsidP="00651B38" w:rsidRDefault="003C5FF0" w14:paraId="4A94D6C2" w14:textId="3F44873D">
      <w:pPr>
        <w:pStyle w:val="Standard0"/>
        <w:numPr>
          <w:ilvl w:val="0"/>
          <w:numId w:val="11"/>
        </w:numPr>
      </w:pPr>
      <w:r>
        <w:rPr>
          <w:rFonts w:cs="BookAntiqua"/>
          <w:szCs w:val="26"/>
        </w:rPr>
        <w:t>The independent entity, authorized in D</w:t>
      </w:r>
      <w:r w:rsidR="00463495">
        <w:rPr>
          <w:rFonts w:cs="BookAntiqua"/>
          <w:szCs w:val="26"/>
        </w:rPr>
        <w:t xml:space="preserve">ecision </w:t>
      </w:r>
      <w:r>
        <w:rPr>
          <w:rFonts w:cs="BookAntiqua"/>
          <w:szCs w:val="26"/>
        </w:rPr>
        <w:t xml:space="preserve">20-03-007 to assist with the 2024 </w:t>
      </w:r>
      <w:r w:rsidR="006D1E11">
        <w:rPr>
          <w:rFonts w:cs="BookAntiqua"/>
          <w:szCs w:val="26"/>
        </w:rPr>
        <w:t>Legislative R</w:t>
      </w:r>
      <w:r>
        <w:rPr>
          <w:rFonts w:cs="BookAntiqua"/>
          <w:szCs w:val="26"/>
        </w:rPr>
        <w:t xml:space="preserve">eport, may determine whether additional information is necessary to perform the analyses required in </w:t>
      </w:r>
      <w:r w:rsidRPr="004045F7">
        <w:rPr>
          <w:rFonts w:cs="BookAntiqua"/>
          <w:szCs w:val="26"/>
        </w:rPr>
        <w:t>Pub</w:t>
      </w:r>
      <w:r>
        <w:rPr>
          <w:rFonts w:cs="BookAntiqua"/>
          <w:szCs w:val="26"/>
        </w:rPr>
        <w:t>lic</w:t>
      </w:r>
      <w:r w:rsidRPr="004045F7">
        <w:rPr>
          <w:rFonts w:cs="BookAntiqua"/>
          <w:szCs w:val="26"/>
        </w:rPr>
        <w:t xml:space="preserve"> Util</w:t>
      </w:r>
      <w:r>
        <w:rPr>
          <w:rFonts w:cs="BookAntiqua"/>
          <w:szCs w:val="26"/>
        </w:rPr>
        <w:t>ities</w:t>
      </w:r>
      <w:r w:rsidRPr="004045F7">
        <w:rPr>
          <w:rFonts w:cs="BookAntiqua"/>
          <w:szCs w:val="26"/>
        </w:rPr>
        <w:t xml:space="preserve"> Code </w:t>
      </w:r>
      <w:r w:rsidRPr="004045F7">
        <w:rPr>
          <w:rFonts w:cs="Calibri"/>
          <w:szCs w:val="26"/>
        </w:rPr>
        <w:t>§</w:t>
      </w:r>
      <w:r w:rsidR="005B0F00">
        <w:rPr>
          <w:rFonts w:cs="Calibri"/>
          <w:szCs w:val="26"/>
        </w:rPr>
        <w:t> </w:t>
      </w:r>
      <w:r w:rsidRPr="004045F7">
        <w:rPr>
          <w:rFonts w:cs="BookAntiqua"/>
          <w:szCs w:val="26"/>
        </w:rPr>
        <w:t>5440.5(a)(2)(A)</w:t>
      </w:r>
      <w:r>
        <w:rPr>
          <w:rFonts w:cs="BookAntiqua"/>
          <w:szCs w:val="26"/>
        </w:rPr>
        <w:t>.</w:t>
      </w:r>
    </w:p>
    <w:p w:rsidRPr="000C0D6B" w:rsidR="00F7599B" w:rsidP="0029293B" w:rsidRDefault="00F7599B" w14:paraId="4009C9DF" w14:textId="4A9CAE74">
      <w:pPr>
        <w:pStyle w:val="Standard0"/>
        <w:numPr>
          <w:ilvl w:val="0"/>
          <w:numId w:val="11"/>
        </w:numPr>
        <w:ind w:right="-90"/>
      </w:pPr>
      <w:r>
        <w:rPr>
          <w:rFonts w:cs="BookAntiqua"/>
          <w:szCs w:val="26"/>
        </w:rPr>
        <w:t>A Transportation Network Compan</w:t>
      </w:r>
      <w:r w:rsidR="00C05EE1">
        <w:rPr>
          <w:rFonts w:cs="BookAntiqua"/>
          <w:szCs w:val="26"/>
        </w:rPr>
        <w:t>y</w:t>
      </w:r>
      <w:r>
        <w:rPr>
          <w:rFonts w:cs="BookAntiqua"/>
          <w:szCs w:val="26"/>
        </w:rPr>
        <w:t xml:space="preserve"> or an </w:t>
      </w:r>
      <w:r w:rsidR="00A72CB9">
        <w:rPr>
          <w:rFonts w:cs="BookAntiqua"/>
          <w:szCs w:val="26"/>
        </w:rPr>
        <w:t>Access Provider</w:t>
      </w:r>
      <w:r>
        <w:rPr>
          <w:rFonts w:cs="BookAntiqua"/>
          <w:szCs w:val="26"/>
        </w:rPr>
        <w:t xml:space="preserve"> </w:t>
      </w:r>
      <w:r w:rsidR="00C05EE1">
        <w:rPr>
          <w:rFonts w:cs="BookAntiqua"/>
          <w:szCs w:val="26"/>
        </w:rPr>
        <w:t xml:space="preserve">offering wheelchair accessible vehicle </w:t>
      </w:r>
      <w:r w:rsidR="0062392D">
        <w:rPr>
          <w:rFonts w:cs="BookAntiqua"/>
          <w:szCs w:val="26"/>
        </w:rPr>
        <w:t xml:space="preserve">(WAV) </w:t>
      </w:r>
      <w:r w:rsidR="00C05EE1">
        <w:rPr>
          <w:rFonts w:cs="BookAntiqua"/>
          <w:szCs w:val="26"/>
        </w:rPr>
        <w:t xml:space="preserve">services shall </w:t>
      </w:r>
      <w:r w:rsidR="007852C8">
        <w:rPr>
          <w:rFonts w:cs="BookAntiqua"/>
          <w:szCs w:val="26"/>
        </w:rPr>
        <w:t xml:space="preserve">place the </w:t>
      </w:r>
      <w:r>
        <w:rPr>
          <w:rFonts w:cs="BookAntiqua"/>
          <w:szCs w:val="26"/>
        </w:rPr>
        <w:t>International Symbol of Accessibility on vehicle</w:t>
      </w:r>
      <w:r w:rsidR="0062392D">
        <w:rPr>
          <w:rFonts w:cs="BookAntiqua"/>
          <w:szCs w:val="26"/>
        </w:rPr>
        <w:t>s providing WAV service</w:t>
      </w:r>
      <w:r w:rsidR="004C001D">
        <w:rPr>
          <w:rFonts w:cs="BookAntiqua"/>
          <w:szCs w:val="26"/>
        </w:rPr>
        <w:t xml:space="preserve"> in the following locations:</w:t>
      </w:r>
      <w:r w:rsidR="0029293B">
        <w:rPr>
          <w:rFonts w:cs="BookAntiqua"/>
          <w:szCs w:val="26"/>
        </w:rPr>
        <w:t xml:space="preserve">  </w:t>
      </w:r>
      <w:r w:rsidR="004C001D">
        <w:rPr>
          <w:rFonts w:cs="BookAntiqua"/>
          <w:szCs w:val="26"/>
        </w:rPr>
        <w:t xml:space="preserve">passenger side door (below door handle) </w:t>
      </w:r>
      <w:r w:rsidR="00B67B57">
        <w:rPr>
          <w:rFonts w:cs="BookAntiqua"/>
          <w:szCs w:val="26"/>
        </w:rPr>
        <w:t>and</w:t>
      </w:r>
      <w:r w:rsidR="004C001D">
        <w:rPr>
          <w:rFonts w:cs="BookAntiqua"/>
          <w:szCs w:val="26"/>
        </w:rPr>
        <w:t xml:space="preserve"> rear of vehicle (right side above bumper)</w:t>
      </w:r>
      <w:r>
        <w:rPr>
          <w:rFonts w:cs="BookAntiqua"/>
          <w:szCs w:val="26"/>
        </w:rPr>
        <w:t>.</w:t>
      </w:r>
    </w:p>
    <w:p w:rsidR="000C0D6B" w:rsidP="00651B38" w:rsidRDefault="000C0D6B" w14:paraId="6A0DF7E6" w14:textId="51A47634">
      <w:pPr>
        <w:pStyle w:val="Standard0"/>
        <w:numPr>
          <w:ilvl w:val="0"/>
          <w:numId w:val="11"/>
        </w:numPr>
      </w:pPr>
      <w:r>
        <w:t xml:space="preserve">The following are added to the requirements to </w:t>
      </w:r>
      <w:r w:rsidR="002D4604">
        <w:t xml:space="preserve">hold </w:t>
      </w:r>
      <w:r>
        <w:t>a Transportation Network Company (TNC) permit:</w:t>
      </w:r>
    </w:p>
    <w:p w:rsidR="000C0D6B" w:rsidP="005B0F00" w:rsidRDefault="000C0D6B" w14:paraId="7B0410B3" w14:textId="3D757AB1">
      <w:pPr>
        <w:pStyle w:val="ListParagraph"/>
        <w:numPr>
          <w:ilvl w:val="1"/>
          <w:numId w:val="11"/>
        </w:numPr>
        <w:spacing w:after="120"/>
        <w:ind w:left="1267" w:right="1440" w:hanging="277"/>
      </w:pPr>
      <w:r>
        <w:t>Certification</w:t>
      </w:r>
      <w:r w:rsidRPr="008450C7">
        <w:t xml:space="preserve"> that </w:t>
      </w:r>
      <w:r>
        <w:t xml:space="preserve">all </w:t>
      </w:r>
      <w:r>
        <w:rPr>
          <w:rFonts w:cs="BookAntiqua"/>
          <w:szCs w:val="26"/>
        </w:rPr>
        <w:t>wheelchair accessible vehicle (</w:t>
      </w:r>
      <w:r w:rsidRPr="008450C7">
        <w:t>WAV</w:t>
      </w:r>
      <w:r>
        <w:t>)</w:t>
      </w:r>
      <w:r w:rsidRPr="008450C7">
        <w:t xml:space="preserve"> drivers operating on a TNC’s application or platform </w:t>
      </w:r>
      <w:r>
        <w:t xml:space="preserve">have </w:t>
      </w:r>
      <w:r w:rsidRPr="008450C7">
        <w:t xml:space="preserve">completed driver training </w:t>
      </w:r>
      <w:r>
        <w:t xml:space="preserve">on transporting people with disabilities </w:t>
      </w:r>
      <w:r w:rsidRPr="008450C7">
        <w:t xml:space="preserve">within the past </w:t>
      </w:r>
      <w:r>
        <w:t>three</w:t>
      </w:r>
      <w:r w:rsidRPr="008450C7">
        <w:t xml:space="preserve"> years, including sensitivity training, passenger assistance techniques, accessibility equipment use, door-to-door service, and safety procedures</w:t>
      </w:r>
      <w:r>
        <w:t>.</w:t>
      </w:r>
    </w:p>
    <w:p w:rsidRPr="005B0F00" w:rsidR="000C0D6B" w:rsidP="005B0F00" w:rsidRDefault="000C0D6B" w14:paraId="645F0887" w14:textId="43D93EBC">
      <w:pPr>
        <w:pStyle w:val="ListParagraph"/>
        <w:numPr>
          <w:ilvl w:val="1"/>
          <w:numId w:val="11"/>
        </w:numPr>
        <w:spacing w:after="120"/>
        <w:ind w:left="1267" w:right="1440" w:hanging="277"/>
        <w:rPr>
          <w:rFonts w:cs="BookAntiqua"/>
        </w:rPr>
      </w:pPr>
      <w:r>
        <w:t>Certification</w:t>
      </w:r>
      <w:r w:rsidRPr="00210705">
        <w:t xml:space="preserve"> that all WAVs operating on </w:t>
      </w:r>
      <w:r>
        <w:t>a TNC’s</w:t>
      </w:r>
      <w:r w:rsidRPr="00210705">
        <w:t xml:space="preserve"> </w:t>
      </w:r>
      <w:r>
        <w:t xml:space="preserve">application or </w:t>
      </w:r>
      <w:r w:rsidRPr="00210705">
        <w:t xml:space="preserve">platform have been inspected and approved to conform with the </w:t>
      </w:r>
      <w:r>
        <w:t>Americans with Disabilit</w:t>
      </w:r>
      <w:r w:rsidR="008F5E86">
        <w:t>ies</w:t>
      </w:r>
      <w:r>
        <w:t xml:space="preserve"> Act</w:t>
      </w:r>
      <w:r w:rsidRPr="00210705">
        <w:t xml:space="preserve"> Accessibility Specifications for Transportation Vehicles within the past year</w:t>
      </w:r>
      <w:r>
        <w:t>.</w:t>
      </w:r>
    </w:p>
    <w:p w:rsidRPr="005B0F00" w:rsidR="000C0D6B" w:rsidP="005B0F00" w:rsidRDefault="000C0D6B" w14:paraId="28A32181" w14:textId="38F21EA8">
      <w:pPr>
        <w:pStyle w:val="ListParagraph"/>
        <w:numPr>
          <w:ilvl w:val="1"/>
          <w:numId w:val="11"/>
        </w:numPr>
        <w:spacing w:after="120"/>
        <w:ind w:left="1267" w:right="1440" w:hanging="277"/>
        <w:rPr>
          <w:rFonts w:cs="BookAntiqua"/>
        </w:rPr>
      </w:pPr>
      <w:r>
        <w:rPr>
          <w:rFonts w:cs="Calibri"/>
          <w:szCs w:val="26"/>
        </w:rPr>
        <w:lastRenderedPageBreak/>
        <w:t>Inspection</w:t>
      </w:r>
      <w:r w:rsidRPr="00DA37FA">
        <w:rPr>
          <w:rFonts w:cs="Calibri"/>
          <w:szCs w:val="26"/>
        </w:rPr>
        <w:t xml:space="preserve"> of a WAV’s adaptive equipment</w:t>
      </w:r>
      <w:r w:rsidR="002D4604">
        <w:rPr>
          <w:rFonts w:cs="Calibri"/>
          <w:szCs w:val="26"/>
        </w:rPr>
        <w:t xml:space="preserve"> by a facility qualified to inspect such equipment</w:t>
      </w:r>
      <w:r w:rsidRPr="00DA37FA">
        <w:rPr>
          <w:rFonts w:cs="Calibri"/>
          <w:szCs w:val="26"/>
        </w:rPr>
        <w:t xml:space="preserve"> </w:t>
      </w:r>
      <w:r>
        <w:rPr>
          <w:rFonts w:cs="Calibri"/>
          <w:szCs w:val="26"/>
        </w:rPr>
        <w:t>as part of</w:t>
      </w:r>
      <w:r w:rsidRPr="00DA37FA">
        <w:rPr>
          <w:rFonts w:cs="Calibri"/>
          <w:szCs w:val="26"/>
        </w:rPr>
        <w:t xml:space="preserve"> the annual “19-point” vehicle safety inspection</w:t>
      </w:r>
      <w:r>
        <w:rPr>
          <w:rFonts w:cs="Calibri"/>
          <w:szCs w:val="26"/>
        </w:rPr>
        <w:t>.</w:t>
      </w:r>
    </w:p>
    <w:p w:rsidRPr="005B0F00" w:rsidR="000C4F1B" w:rsidP="000C4F1B" w:rsidRDefault="000C0D6B" w14:paraId="6E20675E" w14:textId="27A23097">
      <w:pPr>
        <w:pStyle w:val="ListParagraph"/>
        <w:numPr>
          <w:ilvl w:val="1"/>
          <w:numId w:val="11"/>
        </w:numPr>
        <w:spacing w:after="120"/>
        <w:ind w:left="1267" w:right="1440" w:hanging="277"/>
        <w:rPr>
          <w:rFonts w:cs="BookAntiqua"/>
        </w:rPr>
      </w:pPr>
      <w:r>
        <w:t>Retention</w:t>
      </w:r>
      <w:r w:rsidRPr="00B26ECA">
        <w:t xml:space="preserve"> of WAV driver training and vehicle safety inspections to support certifications for any WAV drivers or WAV operating on a TNC’s platform</w:t>
      </w:r>
      <w:r>
        <w:t xml:space="preserve"> for a period of three years</w:t>
      </w:r>
      <w:r w:rsidRPr="00B26ECA">
        <w:rPr>
          <w:rFonts w:cs="BookAntiqua"/>
        </w:rPr>
        <w:t>.</w:t>
      </w:r>
    </w:p>
    <w:p w:rsidRPr="00132F85" w:rsidR="006A019B" w:rsidP="005B0F00" w:rsidRDefault="000C4F1B" w14:paraId="35E10821" w14:textId="59463D36">
      <w:pPr>
        <w:pStyle w:val="Standard0"/>
        <w:rPr>
          <w:rFonts w:cs="BookAntiqua"/>
          <w:szCs w:val="26"/>
        </w:rPr>
      </w:pPr>
      <w:r>
        <w:rPr>
          <w:rFonts w:cs="BookAntiqua"/>
          <w:szCs w:val="26"/>
        </w:rPr>
        <w:t>The</w:t>
      </w:r>
      <w:r w:rsidR="0004193A">
        <w:rPr>
          <w:rFonts w:cs="BookAntiqua"/>
          <w:szCs w:val="26"/>
        </w:rPr>
        <w:t xml:space="preserve">se </w:t>
      </w:r>
      <w:r>
        <w:rPr>
          <w:rFonts w:cs="BookAntiqua"/>
          <w:szCs w:val="26"/>
        </w:rPr>
        <w:t xml:space="preserve">requirements shall apply </w:t>
      </w:r>
      <w:r w:rsidR="0004193A">
        <w:rPr>
          <w:rFonts w:cs="BookAntiqua"/>
          <w:szCs w:val="26"/>
        </w:rPr>
        <w:t xml:space="preserve">to the extent that a </w:t>
      </w:r>
      <w:r>
        <w:rPr>
          <w:rFonts w:cs="BookAntiqua"/>
          <w:szCs w:val="26"/>
        </w:rPr>
        <w:t>TNC</w:t>
      </w:r>
      <w:r w:rsidR="0004193A">
        <w:rPr>
          <w:rFonts w:cs="BookAntiqua"/>
          <w:szCs w:val="26"/>
        </w:rPr>
        <w:t xml:space="preserve"> is operating WAVs</w:t>
      </w:r>
      <w:r w:rsidR="009F37A5">
        <w:rPr>
          <w:rFonts w:cs="BookAntiqua"/>
          <w:szCs w:val="26"/>
        </w:rPr>
        <w:t xml:space="preserve">, </w:t>
      </w:r>
      <w:r w:rsidR="009F37A5">
        <w:t>using a contractor to operate WAVs,</w:t>
      </w:r>
      <w:r w:rsidR="0004193A">
        <w:rPr>
          <w:rFonts w:cs="BookAntiqua"/>
          <w:szCs w:val="26"/>
        </w:rPr>
        <w:t xml:space="preserve"> or using WAV drivers</w:t>
      </w:r>
      <w:r>
        <w:rPr>
          <w:rFonts w:cs="BookAntiqua"/>
          <w:szCs w:val="26"/>
        </w:rPr>
        <w:t xml:space="preserve">. </w:t>
      </w:r>
    </w:p>
    <w:p w:rsidR="0027207F" w:rsidP="002148AE" w:rsidRDefault="003F3223" w14:paraId="78686707" w14:textId="36BB070A">
      <w:pPr>
        <w:pStyle w:val="OP"/>
        <w:keepNext/>
        <w:numPr>
          <w:ilvl w:val="0"/>
          <w:numId w:val="11"/>
        </w:numPr>
      </w:pPr>
      <w:r>
        <w:t>Rulemaking 19-02-012 remains open.</w:t>
      </w:r>
    </w:p>
    <w:p w:rsidR="0027207F" w:rsidP="002148AE" w:rsidRDefault="0027207F" w14:paraId="3B34D165" w14:textId="56EC2D32">
      <w:pPr>
        <w:pStyle w:val="Standard0"/>
        <w:keepNext/>
      </w:pPr>
      <w:r>
        <w:t>This order is effective today.</w:t>
      </w:r>
    </w:p>
    <w:p w:rsidR="006F79AA" w:rsidP="002148AE" w:rsidRDefault="0027207F" w14:paraId="2ABE642C" w14:textId="4701CF20">
      <w:pPr>
        <w:pStyle w:val="Standard0"/>
        <w:keepNext/>
      </w:pPr>
      <w:r>
        <w:t xml:space="preserve">Dated </w:t>
      </w:r>
      <w:r w:rsidR="00903F24">
        <w:t>March 4, 2021</w:t>
      </w:r>
      <w:r>
        <w:t>, at San Francisco, California.</w:t>
      </w:r>
      <w:bookmarkEnd w:id="0"/>
    </w:p>
    <w:p w:rsidR="00903F24" w:rsidP="002148AE" w:rsidRDefault="00903F24" w14:paraId="2B73D338" w14:textId="15B9223A">
      <w:pPr>
        <w:pStyle w:val="Standard0"/>
        <w:keepNext/>
      </w:pPr>
    </w:p>
    <w:p w:rsidRPr="00AE0DE2" w:rsidR="00903F24" w:rsidP="002148AE" w:rsidRDefault="00903F24" w14:paraId="39BECC53" w14:textId="77777777">
      <w:pPr>
        <w:keepNext/>
        <w:autoSpaceDE w:val="0"/>
        <w:autoSpaceDN w:val="0"/>
        <w:adjustRightInd w:val="0"/>
        <w:ind w:left="4320"/>
        <w:jc w:val="both"/>
      </w:pPr>
      <w:r w:rsidRPr="00AE0DE2">
        <w:t>MARYBEL BATJER</w:t>
      </w:r>
    </w:p>
    <w:p w:rsidR="00903F24" w:rsidP="002148AE" w:rsidRDefault="00903F24" w14:paraId="67B15FB2" w14:textId="77777777">
      <w:pPr>
        <w:keepNext/>
        <w:autoSpaceDE w:val="0"/>
        <w:autoSpaceDN w:val="0"/>
        <w:adjustRightInd w:val="0"/>
        <w:ind w:firstLine="720"/>
        <w:jc w:val="both"/>
      </w:pPr>
      <w:r w:rsidRPr="00AE0DE2">
        <w:tab/>
      </w:r>
      <w:r w:rsidRPr="00AE0DE2">
        <w:tab/>
      </w:r>
      <w:r w:rsidRPr="00AE0DE2">
        <w:tab/>
      </w:r>
      <w:r w:rsidRPr="00AE0DE2">
        <w:tab/>
      </w:r>
      <w:r w:rsidRPr="00AE0DE2">
        <w:tab/>
        <w:t xml:space="preserve">                       President</w:t>
      </w:r>
    </w:p>
    <w:p w:rsidRPr="00AE0DE2" w:rsidR="00903F24" w:rsidP="002148AE" w:rsidRDefault="00903F24" w14:paraId="17D1687E" w14:textId="77777777">
      <w:pPr>
        <w:keepNext/>
        <w:autoSpaceDE w:val="0"/>
        <w:autoSpaceDN w:val="0"/>
        <w:adjustRightInd w:val="0"/>
        <w:ind w:left="4320"/>
        <w:jc w:val="both"/>
      </w:pPr>
      <w:r w:rsidRPr="00AE0DE2">
        <w:t>MARTHA GUZMAN ACEVES</w:t>
      </w:r>
    </w:p>
    <w:p w:rsidRPr="00AE0DE2" w:rsidR="00903F24" w:rsidP="002148AE" w:rsidRDefault="00903F24" w14:paraId="57A25887" w14:textId="77777777">
      <w:pPr>
        <w:keepNext/>
        <w:autoSpaceDE w:val="0"/>
        <w:autoSpaceDN w:val="0"/>
        <w:adjustRightInd w:val="0"/>
        <w:ind w:left="4320"/>
        <w:jc w:val="both"/>
      </w:pPr>
      <w:r w:rsidRPr="00AE0DE2">
        <w:t>CLIFFORD RECHTSCHAFFEN</w:t>
      </w:r>
    </w:p>
    <w:p w:rsidR="00903F24" w:rsidP="002148AE" w:rsidRDefault="00903F24" w14:paraId="0A2B1A13" w14:textId="43E39246">
      <w:pPr>
        <w:keepNext/>
        <w:autoSpaceDE w:val="0"/>
        <w:autoSpaceDN w:val="0"/>
        <w:adjustRightInd w:val="0"/>
        <w:ind w:left="4320"/>
        <w:jc w:val="both"/>
      </w:pPr>
      <w:r w:rsidRPr="00AE0DE2">
        <w:t>GENEVIEVE SHIROMA</w:t>
      </w:r>
    </w:p>
    <w:p w:rsidRPr="00AE0DE2" w:rsidR="006B7668" w:rsidP="006B7668" w:rsidRDefault="006B7668" w14:paraId="06E190FC" w14:textId="77777777">
      <w:pPr>
        <w:keepNext/>
        <w:autoSpaceDE w:val="0"/>
        <w:autoSpaceDN w:val="0"/>
        <w:adjustRightInd w:val="0"/>
        <w:ind w:left="3600" w:firstLine="720"/>
        <w:jc w:val="both"/>
      </w:pPr>
      <w:r w:rsidRPr="001C6354">
        <w:t>DARCIE HOUCK</w:t>
      </w:r>
    </w:p>
    <w:p w:rsidRPr="003871CE" w:rsidR="00903F24" w:rsidP="002148AE" w:rsidRDefault="00903F24" w14:paraId="7A62C224" w14:textId="705B51B9">
      <w:pPr>
        <w:pStyle w:val="Standard0"/>
        <w:keepNext/>
        <w:ind w:right="1710"/>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 xml:space="preserve">      </w:t>
      </w:r>
      <w:r w:rsidRPr="00AE0DE2">
        <w:rPr>
          <w:rFonts w:cs="Times New Roman"/>
          <w:szCs w:val="20"/>
        </w:rPr>
        <w:t>Commissioners</w:t>
      </w:r>
    </w:p>
    <w:sectPr w:rsidRPr="003871CE" w:rsidR="00903F24" w:rsidSect="006A019B">
      <w:headerReference w:type="default" r:id="rId11"/>
      <w:footerReference w:type="default" r:id="rId12"/>
      <w:headerReference w:type="first" r:id="rId13"/>
      <w:footerReference w:type="first" r:id="rId14"/>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D23C" w14:textId="77777777" w:rsidR="007F0EFE" w:rsidRDefault="007F0EFE" w:rsidP="008F5856">
      <w:r>
        <w:separator/>
      </w:r>
    </w:p>
  </w:endnote>
  <w:endnote w:type="continuationSeparator" w:id="0">
    <w:p w14:paraId="23767C43" w14:textId="77777777" w:rsidR="007F0EFE" w:rsidRDefault="007F0EFE"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30AA" w14:textId="3A3A47B2" w:rsidR="00903F24" w:rsidRDefault="001E72BB" w:rsidP="0007224F">
    <w:pPr>
      <w:tabs>
        <w:tab w:val="center" w:pos="4680"/>
      </w:tabs>
    </w:pPr>
    <w:r w:rsidRPr="001E72BB">
      <w:rPr>
        <w:sz w:val="16"/>
        <w:szCs w:val="16"/>
      </w:rPr>
      <w:t>369679506</w:t>
    </w:r>
    <w:r w:rsidR="00903F24">
      <w:tab/>
      <w:t>-</w:t>
    </w:r>
    <w:sdt>
      <w:sdtPr>
        <w:id w:val="1935009305"/>
        <w:docPartObj>
          <w:docPartGallery w:val="Page Numbers (Bottom of Page)"/>
          <w:docPartUnique/>
        </w:docPartObj>
      </w:sdtPr>
      <w:sdtEndPr>
        <w:rPr>
          <w:noProof/>
        </w:rPr>
      </w:sdtEndPr>
      <w:sdtContent>
        <w:r w:rsidR="00903F24">
          <w:t xml:space="preserve"> 1</w:t>
        </w:r>
        <w:r w:rsidR="00903F24">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27AD" w14:textId="77777777" w:rsidR="00903F24" w:rsidRDefault="00903F24" w:rsidP="009679C2">
    <w:pPr>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EBAB" w14:textId="710C2E80" w:rsidR="00903F24" w:rsidRDefault="001C6354" w:rsidP="005173E7">
    <w:pPr>
      <w:pStyle w:val="Footer"/>
    </w:pPr>
    <w:sdt>
      <w:sdtPr>
        <w:id w:val="1566754428"/>
        <w:docPartObj>
          <w:docPartGallery w:val="Page Numbers (Bottom of Page)"/>
          <w:docPartUnique/>
        </w:docPartObj>
      </w:sdtPr>
      <w:sdtEndPr>
        <w:rPr>
          <w:noProof/>
        </w:rPr>
      </w:sdtEndPr>
      <w:sdtContent>
        <w:r w:rsidR="00903F24">
          <w:tab/>
          <w:t xml:space="preserve">- </w:t>
        </w:r>
        <w:r w:rsidR="00903F24">
          <w:fldChar w:fldCharType="begin"/>
        </w:r>
        <w:r w:rsidR="00903F24">
          <w:instrText xml:space="preserve"> PAGE   \* MERGEFORMAT </w:instrText>
        </w:r>
        <w:r w:rsidR="00903F24">
          <w:fldChar w:fldCharType="separate"/>
        </w:r>
        <w:r w:rsidR="00903F24">
          <w:rPr>
            <w:noProof/>
          </w:rPr>
          <w:t>2</w:t>
        </w:r>
        <w:r w:rsidR="00903F24">
          <w:rPr>
            <w:noProof/>
          </w:rPr>
          <w:fldChar w:fldCharType="end"/>
        </w:r>
        <w:r w:rsidR="00903F24">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54E9" w14:textId="0F2B1718" w:rsidR="00903F24" w:rsidRPr="00C43634" w:rsidRDefault="00903F24" w:rsidP="00C43634">
    <w:pPr>
      <w:pStyle w:val="Footer"/>
    </w:pPr>
    <w:r>
      <w:tab/>
      <w:t xml:space="preserve">- </w:t>
    </w:r>
    <w:r>
      <w:fldChar w:fldCharType="begin"/>
    </w:r>
    <w:r>
      <w:instrText xml:space="preserve"> PAGE   \* MERGEFORMAT </w:instrText>
    </w:r>
    <w:r>
      <w:fldChar w:fldCharType="separate"/>
    </w:r>
    <w:r>
      <w:rPr>
        <w:noProof/>
      </w:rPr>
      <w:t>84</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709D" w14:textId="77777777" w:rsidR="007F0EFE" w:rsidRDefault="007F0EFE" w:rsidP="008F5856">
      <w:r>
        <w:separator/>
      </w:r>
    </w:p>
  </w:footnote>
  <w:footnote w:type="continuationSeparator" w:id="0">
    <w:p w14:paraId="15A31E4F" w14:textId="77777777" w:rsidR="007F0EFE" w:rsidRDefault="007F0EFE" w:rsidP="008F5856">
      <w:r>
        <w:continuationSeparator/>
      </w:r>
    </w:p>
  </w:footnote>
  <w:footnote w:id="1">
    <w:p w14:paraId="0BC68AB3" w14:textId="78956F7B"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 xml:space="preserve">Senate Bill 1376 (Hill 2018), Public Utilities (Pub. Util.) Code </w:t>
      </w:r>
      <w:r w:rsidRPr="000D7151">
        <w:rPr>
          <w:rFonts w:cs="Calibri"/>
          <w:sz w:val="22"/>
          <w:szCs w:val="22"/>
        </w:rPr>
        <w:t xml:space="preserve">§ </w:t>
      </w:r>
      <w:r w:rsidRPr="000D7151">
        <w:rPr>
          <w:sz w:val="22"/>
          <w:szCs w:val="22"/>
        </w:rPr>
        <w:t xml:space="preserve">5440.5.  </w:t>
      </w:r>
    </w:p>
  </w:footnote>
  <w:footnote w:id="2">
    <w:p w14:paraId="72DD3409" w14:textId="17E2BC6B"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All statutory references are to the Public Utilities Code unless otherwise noted.</w:t>
      </w:r>
    </w:p>
  </w:footnote>
  <w:footnote w:id="3">
    <w:p w14:paraId="6B8A7028" w14:textId="650D2B81" w:rsidR="00903F24" w:rsidRPr="00A63693"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r>
      <w:r w:rsidRPr="00A63693">
        <w:rPr>
          <w:sz w:val="22"/>
          <w:szCs w:val="22"/>
        </w:rPr>
        <w:t xml:space="preserve">The interim Offset Time Standards can be found at D.20-03-007 at 18-20, available at: </w:t>
      </w:r>
      <w:hyperlink r:id="rId1" w:history="1">
        <w:r w:rsidRPr="00A63693">
          <w:rPr>
            <w:rStyle w:val="Hyperlink"/>
            <w:sz w:val="22"/>
            <w:szCs w:val="22"/>
          </w:rPr>
          <w:t>https://docs.cpuc.ca.gov/PublishedDocs/Published/G000/M329/K472/329472459.PDF</w:t>
        </w:r>
      </w:hyperlink>
      <w:r w:rsidRPr="00A63693">
        <w:rPr>
          <w:sz w:val="22"/>
          <w:szCs w:val="22"/>
        </w:rPr>
        <w:t>.</w:t>
      </w:r>
    </w:p>
  </w:footnote>
  <w:footnote w:id="4">
    <w:p w14:paraId="2BA15742" w14:textId="2551ECD4" w:rsidR="00903F24" w:rsidRPr="000D7151" w:rsidRDefault="00903F24" w:rsidP="005C1AC1">
      <w:pPr>
        <w:pStyle w:val="FootnoteText"/>
        <w:ind w:left="288" w:hanging="288"/>
        <w:rPr>
          <w:sz w:val="22"/>
          <w:szCs w:val="22"/>
        </w:rPr>
      </w:pPr>
      <w:r w:rsidRPr="00A63693">
        <w:rPr>
          <w:rStyle w:val="FootnoteReference"/>
          <w:sz w:val="22"/>
          <w:szCs w:val="22"/>
        </w:rPr>
        <w:footnoteRef/>
      </w:r>
      <w:r w:rsidRPr="00A63693">
        <w:rPr>
          <w:sz w:val="22"/>
          <w:szCs w:val="22"/>
        </w:rPr>
        <w:t xml:space="preserve"> </w:t>
      </w:r>
      <w:r w:rsidRPr="00A63693">
        <w:rPr>
          <w:sz w:val="22"/>
          <w:szCs w:val="22"/>
        </w:rPr>
        <w:tab/>
        <w:t>CPED Proposal at 5-6</w:t>
      </w:r>
      <w:r w:rsidRPr="000D7151">
        <w:rPr>
          <w:sz w:val="22"/>
          <w:szCs w:val="22"/>
        </w:rPr>
        <w:t>.</w:t>
      </w:r>
    </w:p>
  </w:footnote>
  <w:footnote w:id="5">
    <w:p w14:paraId="7ED2B8CD" w14:textId="52F7522A"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r>
      <w:r w:rsidRPr="000D7151">
        <w:rPr>
          <w:i/>
          <w:iCs/>
          <w:sz w:val="22"/>
          <w:szCs w:val="22"/>
        </w:rPr>
        <w:t>Id</w:t>
      </w:r>
      <w:r w:rsidRPr="000D7151">
        <w:rPr>
          <w:sz w:val="22"/>
          <w:szCs w:val="22"/>
        </w:rPr>
        <w:t>.</w:t>
      </w:r>
    </w:p>
  </w:footnote>
  <w:footnote w:id="6">
    <w:p w14:paraId="2E1EE302" w14:textId="7517E43B"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2, San Francisco Proposal at 3, SFTWA Proposal at 3.</w:t>
      </w:r>
    </w:p>
  </w:footnote>
  <w:footnote w:id="7">
    <w:p w14:paraId="71F78908" w14:textId="309B9682"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12.</w:t>
      </w:r>
    </w:p>
  </w:footnote>
  <w:footnote w:id="8">
    <w:p w14:paraId="685BD8D6" w14:textId="5BE9C26E"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CPED Proposal at 6.</w:t>
      </w:r>
    </w:p>
  </w:footnote>
  <w:footnote w:id="9">
    <w:p w14:paraId="281B2D26" w14:textId="31D4E18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11.</w:t>
      </w:r>
    </w:p>
  </w:footnote>
  <w:footnote w:id="10">
    <w:p w14:paraId="26B41D57" w14:textId="4EDDFE7E"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Comments at 2.</w:t>
      </w:r>
    </w:p>
  </w:footnote>
  <w:footnote w:id="11">
    <w:p w14:paraId="16A19D15" w14:textId="02E73796" w:rsidR="00903F24" w:rsidRPr="000D7151" w:rsidRDefault="00903F24" w:rsidP="004A3A47">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 xml:space="preserve">Uber Comments at </w:t>
      </w:r>
      <w:r>
        <w:rPr>
          <w:sz w:val="22"/>
          <w:szCs w:val="22"/>
        </w:rPr>
        <w:t>6</w:t>
      </w:r>
      <w:r w:rsidRPr="000D7151">
        <w:rPr>
          <w:sz w:val="22"/>
          <w:szCs w:val="22"/>
        </w:rPr>
        <w:t>, Lyft Comments at 8.</w:t>
      </w:r>
    </w:p>
  </w:footnote>
  <w:footnote w:id="12">
    <w:p w14:paraId="4BAD9D4F" w14:textId="551CE723"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 xml:space="preserve">Uber Comments at </w:t>
      </w:r>
      <w:r>
        <w:rPr>
          <w:sz w:val="22"/>
          <w:szCs w:val="22"/>
        </w:rPr>
        <w:t>6</w:t>
      </w:r>
      <w:r w:rsidRPr="000D7151">
        <w:rPr>
          <w:sz w:val="22"/>
          <w:szCs w:val="22"/>
        </w:rPr>
        <w:t>.</w:t>
      </w:r>
    </w:p>
  </w:footnote>
  <w:footnote w:id="13">
    <w:p w14:paraId="5E78AFCC" w14:textId="014AB2AA"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Reply Comments at 4.</w:t>
      </w:r>
    </w:p>
  </w:footnote>
  <w:footnote w:id="14">
    <w:p w14:paraId="575FF0AD" w14:textId="29B4D284"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9.</w:t>
      </w:r>
    </w:p>
  </w:footnote>
  <w:footnote w:id="15">
    <w:p w14:paraId="56FD059E" w14:textId="18FCD29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Comments at 4, SFTWA Comments at 4, San Francisco Comments at 5.</w:t>
      </w:r>
    </w:p>
  </w:footnote>
  <w:footnote w:id="16">
    <w:p w14:paraId="5180D3C5" w14:textId="3628D360"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Comments at 4.</w:t>
      </w:r>
    </w:p>
  </w:footnote>
  <w:footnote w:id="17">
    <w:p w14:paraId="5C1CF064" w14:textId="5741CF25"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9.</w:t>
      </w:r>
    </w:p>
  </w:footnote>
  <w:footnote w:id="18">
    <w:p w14:paraId="5D3F17EC" w14:textId="12B4A8B1"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Comments at 5, SFTWA Comments at 4, Disability Advocates Reply Comments at 3.</w:t>
      </w:r>
    </w:p>
  </w:footnote>
  <w:footnote w:id="19">
    <w:p w14:paraId="7B46E3D1" w14:textId="7DE4088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2.</w:t>
      </w:r>
    </w:p>
  </w:footnote>
  <w:footnote w:id="20">
    <w:p w14:paraId="3992528B" w14:textId="30295B3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10, Lyft Proposal at 6.</w:t>
      </w:r>
    </w:p>
  </w:footnote>
  <w:footnote w:id="21">
    <w:p w14:paraId="0F51CC34" w14:textId="3D9E5F1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Via Proposal at 4.</w:t>
      </w:r>
    </w:p>
  </w:footnote>
  <w:footnote w:id="22">
    <w:p w14:paraId="49A91777" w14:textId="596C1FA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Reply Comments at 2, Disability Advocates Comments at 7, SFTWA Reply Comments at 7.</w:t>
      </w:r>
    </w:p>
  </w:footnote>
  <w:footnote w:id="23">
    <w:p w14:paraId="0EE2A06A" w14:textId="36FB1A0B"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12.</w:t>
      </w:r>
    </w:p>
  </w:footnote>
  <w:footnote w:id="24">
    <w:p w14:paraId="7B0D86F1" w14:textId="5A22DAE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Comments at 5.</w:t>
      </w:r>
    </w:p>
  </w:footnote>
  <w:footnote w:id="25">
    <w:p w14:paraId="04260F36" w14:textId="0634D7FE"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r>
      <w:r w:rsidRPr="000D7151">
        <w:rPr>
          <w:i/>
          <w:iCs/>
          <w:sz w:val="22"/>
          <w:szCs w:val="22"/>
        </w:rPr>
        <w:t>See</w:t>
      </w:r>
      <w:r w:rsidRPr="000D7151">
        <w:rPr>
          <w:sz w:val="22"/>
          <w:szCs w:val="22"/>
        </w:rPr>
        <w:t xml:space="preserve"> D.20-03-007 at 30, 48, 69.</w:t>
      </w:r>
    </w:p>
  </w:footnote>
  <w:footnote w:id="26">
    <w:p w14:paraId="432246C9" w14:textId="7EC2D081"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r>
      <w:r w:rsidRPr="000D7151">
        <w:rPr>
          <w:i/>
          <w:iCs/>
          <w:sz w:val="22"/>
          <w:szCs w:val="22"/>
        </w:rPr>
        <w:t>Id</w:t>
      </w:r>
      <w:r w:rsidRPr="000D7151">
        <w:rPr>
          <w:sz w:val="22"/>
          <w:szCs w:val="22"/>
        </w:rPr>
        <w:t>. at 69.</w:t>
      </w:r>
    </w:p>
  </w:footnote>
  <w:footnote w:id="27">
    <w:p w14:paraId="599790C9" w14:textId="0EC580E5"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D.20-03-007 at 22-24.</w:t>
      </w:r>
    </w:p>
  </w:footnote>
  <w:footnote w:id="28">
    <w:p w14:paraId="173A856C" w14:textId="49EE88D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Proposal at 2.</w:t>
      </w:r>
    </w:p>
  </w:footnote>
  <w:footnote w:id="29">
    <w:p w14:paraId="208BA650" w14:textId="5F055E8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Via Proposal at 3.</w:t>
      </w:r>
    </w:p>
  </w:footnote>
  <w:footnote w:id="30">
    <w:p w14:paraId="777D1532" w14:textId="6C092003"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1.</w:t>
      </w:r>
    </w:p>
  </w:footnote>
  <w:footnote w:id="31">
    <w:p w14:paraId="1ED64296" w14:textId="351DF64C"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CPED Proposal at 2-3.</w:t>
      </w:r>
    </w:p>
  </w:footnote>
  <w:footnote w:id="32">
    <w:p w14:paraId="3A510DA7" w14:textId="597E87F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bookmarkStart w:id="25" w:name="_Hlk61721274"/>
      <w:r w:rsidRPr="000D7151">
        <w:rPr>
          <w:sz w:val="22"/>
          <w:szCs w:val="22"/>
        </w:rPr>
        <w:tab/>
        <w:t xml:space="preserve">Disability Advocates </w:t>
      </w:r>
      <w:bookmarkEnd w:id="25"/>
      <w:r w:rsidRPr="000D7151">
        <w:rPr>
          <w:sz w:val="22"/>
          <w:szCs w:val="22"/>
        </w:rPr>
        <w:t>Comments at 2.</w:t>
      </w:r>
    </w:p>
  </w:footnote>
  <w:footnote w:id="33">
    <w:p w14:paraId="2E14D14E" w14:textId="5904D43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9, Marin Transit Proposal at 3, SFTWA Proposal at 2, LA Metro Comments at 3, San Francisco Proposal at 2.</w:t>
      </w:r>
    </w:p>
  </w:footnote>
  <w:footnote w:id="34">
    <w:p w14:paraId="591EB2F6" w14:textId="7777777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D.20-03-007 at 24.</w:t>
      </w:r>
    </w:p>
  </w:footnote>
  <w:footnote w:id="35">
    <w:p w14:paraId="0FA4636E" w14:textId="295FA821"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D.20-03-007 at 37-38.</w:t>
      </w:r>
    </w:p>
  </w:footnote>
  <w:footnote w:id="36">
    <w:p w14:paraId="3087197A" w14:textId="55C1C0A5"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r>
      <w:r w:rsidRPr="000D7151">
        <w:rPr>
          <w:i/>
          <w:iCs/>
          <w:sz w:val="22"/>
          <w:szCs w:val="22"/>
        </w:rPr>
        <w:t>Id</w:t>
      </w:r>
      <w:r w:rsidRPr="000D7151">
        <w:rPr>
          <w:sz w:val="22"/>
          <w:szCs w:val="22"/>
        </w:rPr>
        <w:t>.</w:t>
      </w:r>
    </w:p>
  </w:footnote>
  <w:footnote w:id="37">
    <w:p w14:paraId="49E91EBC" w14:textId="07C7865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25, Marin Transit Proposal at 8, San Francisco Proposal, at 15.</w:t>
      </w:r>
    </w:p>
  </w:footnote>
  <w:footnote w:id="38">
    <w:p w14:paraId="0F4CDBBB" w14:textId="2D297E52"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10.</w:t>
      </w:r>
    </w:p>
  </w:footnote>
  <w:footnote w:id="39">
    <w:p w14:paraId="129648B6" w14:textId="2BDFCAD6"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11.</w:t>
      </w:r>
    </w:p>
  </w:footnote>
  <w:footnote w:id="40">
    <w:p w14:paraId="2A70354D" w14:textId="43752C50"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Reply Comments at 5.</w:t>
      </w:r>
    </w:p>
  </w:footnote>
  <w:footnote w:id="41">
    <w:p w14:paraId="10291BE1" w14:textId="0131D83A"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D.20-03-007 at 67.</w:t>
      </w:r>
    </w:p>
  </w:footnote>
  <w:footnote w:id="42">
    <w:p w14:paraId="7B84E25A" w14:textId="7040D06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Comments at 8, Marin Transit Proposal at 5.</w:t>
      </w:r>
    </w:p>
  </w:footnote>
  <w:footnote w:id="43">
    <w:p w14:paraId="2906C61B" w14:textId="01880D7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19.</w:t>
      </w:r>
    </w:p>
  </w:footnote>
  <w:footnote w:id="44">
    <w:p w14:paraId="67B30DFC" w14:textId="5B7A1C0C"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LA Metro Comments at 5.</w:t>
      </w:r>
    </w:p>
  </w:footnote>
  <w:footnote w:id="45">
    <w:p w14:paraId="4DBCD5C7" w14:textId="7777777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CPED Proposal at 7.</w:t>
      </w:r>
    </w:p>
  </w:footnote>
  <w:footnote w:id="46">
    <w:p w14:paraId="60620F4E" w14:textId="7777777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12.</w:t>
      </w:r>
    </w:p>
  </w:footnote>
  <w:footnote w:id="47">
    <w:p w14:paraId="1B3EC40A" w14:textId="7692D591"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6.</w:t>
      </w:r>
    </w:p>
  </w:footnote>
  <w:footnote w:id="48">
    <w:p w14:paraId="510AEACF" w14:textId="7A1825D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Comments at 8.</w:t>
      </w:r>
    </w:p>
  </w:footnote>
  <w:footnote w:id="49">
    <w:p w14:paraId="2B2F9E84" w14:textId="0B70A73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SFTWA Comments at 7-8.</w:t>
      </w:r>
    </w:p>
  </w:footnote>
  <w:footnote w:id="50">
    <w:p w14:paraId="23297C16" w14:textId="7BCB9110"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Proposal at 9.</w:t>
      </w:r>
    </w:p>
  </w:footnote>
  <w:footnote w:id="51">
    <w:p w14:paraId="50FB324E" w14:textId="4E87D2CE"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 xml:space="preserve">Pub. Util. Code § 5440, </w:t>
      </w:r>
      <w:r w:rsidRPr="000D7151">
        <w:rPr>
          <w:i/>
          <w:iCs/>
          <w:sz w:val="22"/>
          <w:szCs w:val="22"/>
        </w:rPr>
        <w:t>et al</w:t>
      </w:r>
      <w:r w:rsidRPr="000D7151">
        <w:rPr>
          <w:sz w:val="22"/>
          <w:szCs w:val="22"/>
        </w:rPr>
        <w:t>.</w:t>
      </w:r>
    </w:p>
  </w:footnote>
  <w:footnote w:id="52">
    <w:p w14:paraId="56BA8EAA" w14:textId="4BAF10E9"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D.20-03-007 at 66.</w:t>
      </w:r>
    </w:p>
  </w:footnote>
  <w:footnote w:id="53">
    <w:p w14:paraId="040CE2FF" w14:textId="16289FF3"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Lyft Proposal at 7.</w:t>
      </w:r>
    </w:p>
  </w:footnote>
  <w:footnote w:id="54">
    <w:p w14:paraId="1923A64B" w14:textId="2F8CF6EF"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Uber Reply Comments at 3.</w:t>
      </w:r>
    </w:p>
  </w:footnote>
  <w:footnote w:id="55">
    <w:p w14:paraId="3D1EF69B" w14:textId="4DE9F781"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CPED Proposal at 11-12.</w:t>
      </w:r>
    </w:p>
  </w:footnote>
  <w:footnote w:id="56">
    <w:p w14:paraId="0ECEB44A" w14:textId="23C8F10C"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SFTWA Comments at 6, San Francisco Comments at 7, Disability Advocates Comments at 10.</w:t>
      </w:r>
    </w:p>
  </w:footnote>
  <w:footnote w:id="57">
    <w:p w14:paraId="4268E3A2" w14:textId="6ED42363"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 xml:space="preserve">Disability Advocates Comments at 9. </w:t>
      </w:r>
    </w:p>
  </w:footnote>
  <w:footnote w:id="58">
    <w:p w14:paraId="6C8AB2B8" w14:textId="5B5E787C"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San Francisco Comments at 6-7.</w:t>
      </w:r>
    </w:p>
  </w:footnote>
  <w:footnote w:id="59">
    <w:p w14:paraId="20E956AA" w14:textId="52412010"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SFTWA Comments at 5.</w:t>
      </w:r>
    </w:p>
  </w:footnote>
  <w:footnote w:id="60">
    <w:p w14:paraId="6070A473" w14:textId="386DB283" w:rsidR="00903F24" w:rsidRPr="004316B2"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r>
      <w:r w:rsidRPr="000D7151">
        <w:rPr>
          <w:i/>
          <w:iCs/>
          <w:sz w:val="22"/>
          <w:szCs w:val="22"/>
        </w:rPr>
        <w:t>See</w:t>
      </w:r>
      <w:r w:rsidRPr="000D7151">
        <w:rPr>
          <w:sz w:val="22"/>
          <w:szCs w:val="22"/>
        </w:rPr>
        <w:t xml:space="preserve"> </w:t>
      </w:r>
      <w:hyperlink r:id="rId2" w:history="1">
        <w:r w:rsidRPr="00A63693">
          <w:rPr>
            <w:rStyle w:val="Hyperlink"/>
            <w:sz w:val="22"/>
            <w:szCs w:val="22"/>
          </w:rPr>
          <w:t>https://www.cpuc.ca.gov/uploadedFiles/CPUC_Public_Website/Content/Proceedings/General%20Order%20157-E.Final3.pdf</w:t>
        </w:r>
      </w:hyperlink>
    </w:p>
  </w:footnote>
  <w:footnote w:id="61">
    <w:p w14:paraId="1457BAC8" w14:textId="4EC632A7"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Disability Advocates Proposal at 17, San Francisco Proposal at 5, Lyft Proposal at 7.</w:t>
      </w:r>
    </w:p>
  </w:footnote>
  <w:footnote w:id="62">
    <w:p w14:paraId="4397CB53" w14:textId="2492056A"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Marin Transit Proposal at 4, LA Metro Comments at 6.</w:t>
      </w:r>
    </w:p>
  </w:footnote>
  <w:footnote w:id="63">
    <w:p w14:paraId="59360F59" w14:textId="10E677B2"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CPED Proposal at 10.</w:t>
      </w:r>
    </w:p>
  </w:footnote>
  <w:footnote w:id="64">
    <w:p w14:paraId="09F7BF7F" w14:textId="748AA660"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Uber Comments at 4.</w:t>
      </w:r>
    </w:p>
  </w:footnote>
  <w:footnote w:id="65">
    <w:p w14:paraId="2844650F" w14:textId="061DB25B"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Disability Advocates Proposal at 17, Uber Proposal at 3, Lyft Proposal at 6.</w:t>
      </w:r>
    </w:p>
  </w:footnote>
  <w:footnote w:id="66">
    <w:p w14:paraId="62E5B54E" w14:textId="3C4FFBBD"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LA Metro Comments at 5, Marin Transit Proposal at 4, San Francisco Proposal at 5.</w:t>
      </w:r>
    </w:p>
  </w:footnote>
  <w:footnote w:id="67">
    <w:p w14:paraId="6FD996D7" w14:textId="637961B7"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Uber Proposal at 5, Lyft Proposal at 9, CPED Proposal at 11-12.</w:t>
      </w:r>
    </w:p>
  </w:footnote>
  <w:footnote w:id="68">
    <w:p w14:paraId="59853BF2" w14:textId="42A6A470"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 xml:space="preserve">San Francisco Proposal at 6, Marin Transit Proposal at 5. </w:t>
      </w:r>
    </w:p>
  </w:footnote>
  <w:footnote w:id="69">
    <w:p w14:paraId="7FF565EB" w14:textId="0DFF394D"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Disability Advocates Proposal at 18.</w:t>
      </w:r>
    </w:p>
  </w:footnote>
  <w:footnote w:id="70">
    <w:p w14:paraId="78947FDA" w14:textId="134605EF"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D.20-03-007 at 53.</w:t>
      </w:r>
    </w:p>
  </w:footnote>
  <w:footnote w:id="71">
    <w:p w14:paraId="442F08E4" w14:textId="0C364DEA"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r>
      <w:r w:rsidRPr="000D7151">
        <w:rPr>
          <w:i/>
          <w:iCs/>
          <w:sz w:val="22"/>
          <w:szCs w:val="22"/>
        </w:rPr>
        <w:t>Id</w:t>
      </w:r>
      <w:r w:rsidRPr="000D7151">
        <w:rPr>
          <w:sz w:val="22"/>
          <w:szCs w:val="22"/>
        </w:rPr>
        <w:t>. at 67.</w:t>
      </w:r>
    </w:p>
  </w:footnote>
  <w:footnote w:id="72">
    <w:p w14:paraId="062388E7" w14:textId="2A039A2E"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CPED Proposal at 7-8, LA Metro Comments at 6, Disability Advocates Proposal at 20, San Francisco Proposal at 7.</w:t>
      </w:r>
    </w:p>
  </w:footnote>
  <w:footnote w:id="73">
    <w:p w14:paraId="4B99A5E7" w14:textId="32499884"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Lyft Proposal at 10.</w:t>
      </w:r>
    </w:p>
  </w:footnote>
  <w:footnote w:id="74">
    <w:p w14:paraId="24496D5D" w14:textId="4C6CBEAB"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Uber Proposal at 6.</w:t>
      </w:r>
    </w:p>
  </w:footnote>
  <w:footnote w:id="75">
    <w:p w14:paraId="758A74D7" w14:textId="02DB813D"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Via Proposal at 6.</w:t>
      </w:r>
    </w:p>
  </w:footnote>
  <w:footnote w:id="76">
    <w:p w14:paraId="1CCC525D" w14:textId="39F9AFD7"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D.20-03-007 at 16-17.</w:t>
      </w:r>
    </w:p>
  </w:footnote>
  <w:footnote w:id="77">
    <w:p w14:paraId="6D15115D" w14:textId="6EED5824"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Disability Advocates Proposal at 17, San Francisco Proposal at 5, CPED Proposal at 8, SFTWA Proposal at 4, Marin Transit Proposal at 5.</w:t>
      </w:r>
    </w:p>
  </w:footnote>
  <w:footnote w:id="78">
    <w:p w14:paraId="5C480469" w14:textId="225B5890"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Lyft Proposal at 8, Uber Proposal at 5.</w:t>
      </w:r>
    </w:p>
  </w:footnote>
  <w:footnote w:id="79">
    <w:p w14:paraId="18404782" w14:textId="611E4EE1"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Uber Proposal at 7, Via Proposal at 6, Lyft Proposal at 10.</w:t>
      </w:r>
    </w:p>
  </w:footnote>
  <w:footnote w:id="80">
    <w:p w14:paraId="7CD9617A" w14:textId="62C4FDFB"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San Francisco Proposal at 8, LA Metro Comments at 6.</w:t>
      </w:r>
    </w:p>
  </w:footnote>
  <w:footnote w:id="81">
    <w:p w14:paraId="6369D083" w14:textId="3A5063C5"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Marin Transit Proposal at 6.</w:t>
      </w:r>
    </w:p>
  </w:footnote>
  <w:footnote w:id="82">
    <w:p w14:paraId="7A143201" w14:textId="39105163"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CPED Proposal at 9.</w:t>
      </w:r>
    </w:p>
  </w:footnote>
  <w:footnote w:id="83">
    <w:p w14:paraId="0010C5CB" w14:textId="420F0E1E"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Disability Advocates Proposal at 21.</w:t>
      </w:r>
    </w:p>
  </w:footnote>
  <w:footnote w:id="84">
    <w:p w14:paraId="6BFA1790" w14:textId="60DCD08D"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Marin Transit Proposal at 6-7.</w:t>
      </w:r>
    </w:p>
  </w:footnote>
  <w:footnote w:id="85">
    <w:p w14:paraId="22A5962C" w14:textId="1239AE0E"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Lyft Proposal at 11.</w:t>
      </w:r>
    </w:p>
  </w:footnote>
  <w:footnote w:id="86">
    <w:p w14:paraId="54E1E05E" w14:textId="7E6EBD80"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r>
      <w:r w:rsidRPr="000D7151">
        <w:rPr>
          <w:i/>
          <w:iCs/>
          <w:sz w:val="22"/>
          <w:szCs w:val="22"/>
        </w:rPr>
        <w:t>Id</w:t>
      </w:r>
      <w:r w:rsidRPr="000D7151">
        <w:rPr>
          <w:sz w:val="22"/>
          <w:szCs w:val="22"/>
        </w:rPr>
        <w:t>. at 13.</w:t>
      </w:r>
    </w:p>
  </w:footnote>
  <w:footnote w:id="87">
    <w:p w14:paraId="3F4B0D24" w14:textId="75CB00A7" w:rsidR="00903F24" w:rsidRPr="000D7151" w:rsidRDefault="00903F24" w:rsidP="005C1AC1">
      <w:pPr>
        <w:pStyle w:val="FootnoteText"/>
        <w:ind w:left="288" w:hanging="288"/>
        <w:rPr>
          <w:sz w:val="22"/>
          <w:szCs w:val="22"/>
        </w:rPr>
      </w:pPr>
      <w:r w:rsidRPr="004316B2">
        <w:rPr>
          <w:rStyle w:val="FootnoteReference"/>
          <w:sz w:val="22"/>
          <w:szCs w:val="22"/>
        </w:rPr>
        <w:footnoteRef/>
      </w:r>
      <w:r w:rsidRPr="004316B2">
        <w:rPr>
          <w:sz w:val="22"/>
          <w:szCs w:val="22"/>
        </w:rPr>
        <w:t xml:space="preserve"> </w:t>
      </w:r>
      <w:r w:rsidRPr="000D7151">
        <w:rPr>
          <w:sz w:val="22"/>
          <w:szCs w:val="22"/>
        </w:rPr>
        <w:tab/>
        <w:t>Marin Transit Proposal at 7.</w:t>
      </w:r>
    </w:p>
  </w:footnote>
  <w:footnote w:id="88">
    <w:p w14:paraId="0AB6373E" w14:textId="07E505FA" w:rsidR="00903F24" w:rsidRPr="000D7151" w:rsidRDefault="00903F24" w:rsidP="005C1AC1">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sidRPr="000D7151">
        <w:rPr>
          <w:sz w:val="22"/>
          <w:szCs w:val="22"/>
        </w:rPr>
        <w:tab/>
        <w:t>San Francisco Proposal at 10-13.</w:t>
      </w:r>
    </w:p>
  </w:footnote>
  <w:footnote w:id="89">
    <w:p w14:paraId="54283B80" w14:textId="7822EC4F" w:rsidR="00903F24" w:rsidRPr="000D7151" w:rsidRDefault="00903F24" w:rsidP="005C1AC1">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sidRPr="000D7151">
        <w:rPr>
          <w:sz w:val="22"/>
          <w:szCs w:val="22"/>
        </w:rPr>
        <w:tab/>
        <w:t>Uber Comments at 8.</w:t>
      </w:r>
    </w:p>
  </w:footnote>
  <w:footnote w:id="90">
    <w:p w14:paraId="65C43FAD" w14:textId="6ED07E25" w:rsidR="00903F24" w:rsidRPr="000D7151" w:rsidRDefault="00903F24" w:rsidP="005C1AC1">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sidRPr="000D7151">
        <w:rPr>
          <w:sz w:val="22"/>
          <w:szCs w:val="22"/>
        </w:rPr>
        <w:tab/>
        <w:t>Lyft Reply Comments at 12.</w:t>
      </w:r>
    </w:p>
  </w:footnote>
  <w:footnote w:id="91">
    <w:p w14:paraId="3827BC3D" w14:textId="4F843D90" w:rsidR="00903F24" w:rsidRPr="000D7151" w:rsidRDefault="00903F24" w:rsidP="005C1AC1">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sidRPr="000D7151">
        <w:rPr>
          <w:sz w:val="22"/>
          <w:szCs w:val="22"/>
        </w:rPr>
        <w:tab/>
        <w:t>D.20-03-007 at 30-31.</w:t>
      </w:r>
    </w:p>
  </w:footnote>
  <w:footnote w:id="92">
    <w:p w14:paraId="7A7AC58B" w14:textId="1F3A9B5A" w:rsidR="00903F24" w:rsidRPr="000D7151" w:rsidRDefault="00903F24" w:rsidP="005C1AC1">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sidRPr="000D7151">
        <w:rPr>
          <w:sz w:val="22"/>
          <w:szCs w:val="22"/>
        </w:rPr>
        <w:tab/>
        <w:t>D.20-03-007 at 63.</w:t>
      </w:r>
    </w:p>
  </w:footnote>
  <w:footnote w:id="93">
    <w:p w14:paraId="4ADBEECF" w14:textId="26667D99"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9.</w:t>
      </w:r>
    </w:p>
  </w:footnote>
  <w:footnote w:id="94">
    <w:p w14:paraId="78E7D558" w14:textId="44ED2F5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Proposal at 14.</w:t>
      </w:r>
    </w:p>
  </w:footnote>
  <w:footnote w:id="95">
    <w:p w14:paraId="10FA092E" w14:textId="5A3F32B7"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Marin Transit Proposal at 8.</w:t>
      </w:r>
    </w:p>
  </w:footnote>
  <w:footnote w:id="96">
    <w:p w14:paraId="6CEDC56E" w14:textId="45898334"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Proposal at 14.</w:t>
      </w:r>
    </w:p>
  </w:footnote>
  <w:footnote w:id="97">
    <w:p w14:paraId="78BBFE8D" w14:textId="477B2AD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Comments at 8.</w:t>
      </w:r>
    </w:p>
  </w:footnote>
  <w:footnote w:id="98">
    <w:p w14:paraId="7505252D" w14:textId="5B2883B4"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r>
      <w:r w:rsidRPr="000D7151">
        <w:rPr>
          <w:i/>
          <w:iCs/>
          <w:sz w:val="22"/>
          <w:szCs w:val="22"/>
        </w:rPr>
        <w:t>See</w:t>
      </w:r>
      <w:r w:rsidRPr="000D7151">
        <w:rPr>
          <w:sz w:val="22"/>
          <w:szCs w:val="22"/>
        </w:rPr>
        <w:t xml:space="preserve"> U.S. Access Board, Guide to the ADA Accessibility Standards, available at: https://www.access-board.gov/ada/guides/guidance-on-the-isa/</w:t>
      </w:r>
    </w:p>
  </w:footnote>
  <w:footnote w:id="99">
    <w:p w14:paraId="75C6E543" w14:textId="3C51704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Proposal at 17.</w:t>
      </w:r>
    </w:p>
  </w:footnote>
  <w:footnote w:id="100">
    <w:p w14:paraId="2745FB8B" w14:textId="1B4E00A2"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Proposal at 12.</w:t>
      </w:r>
    </w:p>
  </w:footnote>
  <w:footnote w:id="101">
    <w:p w14:paraId="0B1FA42D" w14:textId="1A7B055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Proposal at 17.</w:t>
      </w:r>
    </w:p>
  </w:footnote>
  <w:footnote w:id="102">
    <w:p w14:paraId="173A7502" w14:textId="53BC2D6A"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D.20-03-007 at Ordering Paragraph (OP) 13, OP 33.</w:t>
      </w:r>
    </w:p>
  </w:footnote>
  <w:footnote w:id="103">
    <w:p w14:paraId="5A9EA03D" w14:textId="59E2C5C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30, San Francisco Proposal at 17, Marin Transit Proposal at 10, SFTWA Proposal at 6.</w:t>
      </w:r>
    </w:p>
  </w:footnote>
  <w:footnote w:id="104">
    <w:p w14:paraId="379139A0" w14:textId="77BE2540"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CPED Proposal 13-14.</w:t>
      </w:r>
    </w:p>
  </w:footnote>
  <w:footnote w:id="105">
    <w:p w14:paraId="760257B5" w14:textId="54A803A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Comments at 7.</w:t>
      </w:r>
    </w:p>
  </w:footnote>
  <w:footnote w:id="106">
    <w:p w14:paraId="19C0B3D1" w14:textId="4CA1242A"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SFTWA Comments at 9.</w:t>
      </w:r>
    </w:p>
  </w:footnote>
  <w:footnote w:id="107">
    <w:p w14:paraId="7B292BBC" w14:textId="5CF53AD2"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Lyft Comments at 11.</w:t>
      </w:r>
    </w:p>
  </w:footnote>
  <w:footnote w:id="108">
    <w:p w14:paraId="775A0E5A" w14:textId="2E865F17" w:rsidR="00903F24" w:rsidRPr="002B3C7C"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97878">
        <w:rPr>
          <w:sz w:val="22"/>
          <w:szCs w:val="22"/>
        </w:rPr>
        <w:tab/>
        <w:t>Disability Advocates</w:t>
      </w:r>
      <w:r w:rsidRPr="005402DB">
        <w:rPr>
          <w:sz w:val="22"/>
          <w:szCs w:val="22"/>
        </w:rPr>
        <w:t xml:space="preserve"> Comments at 11.</w:t>
      </w:r>
    </w:p>
  </w:footnote>
  <w:footnote w:id="109">
    <w:p w14:paraId="6B324A51" w14:textId="76E02EDC"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Comments at 7.</w:t>
      </w:r>
    </w:p>
  </w:footnote>
  <w:footnote w:id="110">
    <w:p w14:paraId="6343FB18" w14:textId="68CBC2CD"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SFTWA Comments at 10.</w:t>
      </w:r>
    </w:p>
  </w:footnote>
  <w:footnote w:id="111">
    <w:p w14:paraId="4BAD5958" w14:textId="6BD8A52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San Francisco Proposal at 17.</w:t>
      </w:r>
    </w:p>
  </w:footnote>
  <w:footnote w:id="112">
    <w:p w14:paraId="28454264" w14:textId="5713EE0C"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Uber Comments at 8.</w:t>
      </w:r>
    </w:p>
  </w:footnote>
  <w:footnote w:id="113">
    <w:p w14:paraId="2EB8A44A" w14:textId="33F831EF"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Reply Comments at 9, SFTWA Reply Comments at 10.</w:t>
      </w:r>
    </w:p>
  </w:footnote>
  <w:footnote w:id="114">
    <w:p w14:paraId="0F8513F9" w14:textId="780247C8"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Disability Advocates Proposal at 27.</w:t>
      </w:r>
    </w:p>
  </w:footnote>
  <w:footnote w:id="115">
    <w:p w14:paraId="78D48D8B" w14:textId="02FABA85" w:rsidR="00903F24" w:rsidRPr="000D7151"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D7151">
        <w:rPr>
          <w:sz w:val="22"/>
          <w:szCs w:val="22"/>
        </w:rPr>
        <w:tab/>
        <w:t>Marin Transit Proposal at 9.</w:t>
      </w:r>
    </w:p>
  </w:footnote>
  <w:footnote w:id="116">
    <w:p w14:paraId="0D46FB92" w14:textId="5F61D274" w:rsidR="00903F24" w:rsidRPr="00097878"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Uber Proposal at 11, Lyft Proposal at 17.</w:t>
      </w:r>
    </w:p>
  </w:footnote>
  <w:footnote w:id="117">
    <w:p w14:paraId="0099CA2D" w14:textId="02EE1343" w:rsidR="00903F24" w:rsidRPr="00097878" w:rsidRDefault="00903F24" w:rsidP="005C1AC1">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sidRPr="00097878">
        <w:rPr>
          <w:sz w:val="22"/>
          <w:szCs w:val="22"/>
        </w:rPr>
        <w:t> 5440(c).</w:t>
      </w:r>
    </w:p>
  </w:footnote>
  <w:footnote w:id="118">
    <w:p w14:paraId="0C2281E5" w14:textId="2EF73FED" w:rsidR="00903F24" w:rsidRPr="000D7151" w:rsidRDefault="00903F24" w:rsidP="00A63693">
      <w:pPr>
        <w:pStyle w:val="FootnoteText"/>
        <w:ind w:left="288" w:hanging="288"/>
        <w:rPr>
          <w:sz w:val="22"/>
          <w:szCs w:val="22"/>
        </w:rPr>
      </w:pPr>
      <w:r w:rsidRPr="000D7151">
        <w:rPr>
          <w:rStyle w:val="FootnoteReference"/>
          <w:sz w:val="22"/>
          <w:szCs w:val="22"/>
        </w:rPr>
        <w:footnoteRef/>
      </w:r>
      <w:r w:rsidRPr="000D7151">
        <w:rPr>
          <w:sz w:val="22"/>
          <w:szCs w:val="22"/>
        </w:rPr>
        <w:t xml:space="preserve"> San Francisco Comments </w:t>
      </w:r>
      <w:r>
        <w:rPr>
          <w:sz w:val="22"/>
          <w:szCs w:val="22"/>
        </w:rPr>
        <w:t xml:space="preserve">on Proposed Decision </w:t>
      </w:r>
      <w:r w:rsidRPr="000D7151">
        <w:rPr>
          <w:sz w:val="22"/>
          <w:szCs w:val="22"/>
        </w:rPr>
        <w:t>at 3</w:t>
      </w:r>
      <w:r>
        <w:rPr>
          <w:sz w:val="22"/>
          <w:szCs w:val="22"/>
        </w:rPr>
        <w:t>, Disability Advocates</w:t>
      </w:r>
      <w:r w:rsidRPr="000D7151">
        <w:rPr>
          <w:sz w:val="22"/>
          <w:szCs w:val="22"/>
        </w:rPr>
        <w:t xml:space="preserve"> Comments </w:t>
      </w:r>
      <w:r>
        <w:rPr>
          <w:sz w:val="22"/>
          <w:szCs w:val="22"/>
        </w:rPr>
        <w:t xml:space="preserve">on Proposed Decision </w:t>
      </w:r>
      <w:r w:rsidRPr="000D7151">
        <w:rPr>
          <w:sz w:val="22"/>
          <w:szCs w:val="22"/>
        </w:rPr>
        <w:t>at 2.</w:t>
      </w:r>
    </w:p>
  </w:footnote>
  <w:footnote w:id="119">
    <w:p w14:paraId="65258F1C" w14:textId="12D4F0B4" w:rsidR="00903F24" w:rsidRPr="000D7151" w:rsidRDefault="00903F24" w:rsidP="00A63693">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Pr>
          <w:sz w:val="22"/>
          <w:szCs w:val="22"/>
        </w:rPr>
        <w:t>Disability Advocates</w:t>
      </w:r>
      <w:r w:rsidRPr="000D7151">
        <w:rPr>
          <w:sz w:val="22"/>
          <w:szCs w:val="22"/>
        </w:rPr>
        <w:t xml:space="preserve"> Comments </w:t>
      </w:r>
      <w:r>
        <w:rPr>
          <w:sz w:val="22"/>
          <w:szCs w:val="22"/>
        </w:rPr>
        <w:t xml:space="preserve">on Proposed Decision </w:t>
      </w:r>
      <w:r w:rsidRPr="000D7151">
        <w:rPr>
          <w:sz w:val="22"/>
          <w:szCs w:val="22"/>
        </w:rPr>
        <w:t>at 2.</w:t>
      </w:r>
    </w:p>
  </w:footnote>
  <w:footnote w:id="120">
    <w:p w14:paraId="5EDDACCB" w14:textId="5976FA65" w:rsidR="00903F24" w:rsidRPr="000D7151" w:rsidRDefault="00903F24" w:rsidP="00A63693">
      <w:pPr>
        <w:pStyle w:val="FootnoteText"/>
        <w:ind w:left="288" w:hanging="288"/>
        <w:rPr>
          <w:sz w:val="22"/>
          <w:szCs w:val="22"/>
        </w:rPr>
      </w:pPr>
      <w:r w:rsidRPr="000D7151">
        <w:rPr>
          <w:rStyle w:val="FootnoteReference"/>
          <w:sz w:val="22"/>
          <w:szCs w:val="22"/>
        </w:rPr>
        <w:footnoteRef/>
      </w:r>
      <w:r w:rsidRPr="000D7151">
        <w:rPr>
          <w:sz w:val="22"/>
          <w:szCs w:val="22"/>
        </w:rPr>
        <w:t xml:space="preserve"> D.20-03-007 at 16-17.</w:t>
      </w:r>
    </w:p>
  </w:footnote>
  <w:footnote w:id="121">
    <w:p w14:paraId="51903D37" w14:textId="77CFF46F" w:rsidR="00903F24" w:rsidRPr="000D7151" w:rsidRDefault="00903F24" w:rsidP="00A63693">
      <w:pPr>
        <w:pStyle w:val="FootnoteText"/>
        <w:ind w:left="288" w:hanging="288"/>
        <w:rPr>
          <w:sz w:val="22"/>
          <w:szCs w:val="22"/>
        </w:rPr>
      </w:pPr>
      <w:r w:rsidRPr="000D7151">
        <w:rPr>
          <w:rStyle w:val="FootnoteReference"/>
          <w:sz w:val="22"/>
          <w:szCs w:val="22"/>
        </w:rPr>
        <w:footnoteRef/>
      </w:r>
      <w:r w:rsidRPr="000D7151">
        <w:rPr>
          <w:sz w:val="22"/>
          <w:szCs w:val="22"/>
        </w:rPr>
        <w:t xml:space="preserve"> </w:t>
      </w:r>
      <w:r>
        <w:rPr>
          <w:sz w:val="22"/>
          <w:szCs w:val="22"/>
        </w:rPr>
        <w:tab/>
      </w:r>
      <w:r w:rsidRPr="00A63693">
        <w:rPr>
          <w:i/>
          <w:iCs/>
          <w:sz w:val="22"/>
          <w:szCs w:val="22"/>
        </w:rPr>
        <w:t>Id</w:t>
      </w:r>
      <w:r>
        <w:rPr>
          <w:sz w:val="22"/>
          <w:szCs w:val="22"/>
        </w:rPr>
        <w:t>.</w:t>
      </w:r>
      <w:r w:rsidRPr="000D7151">
        <w:rPr>
          <w:sz w:val="22"/>
          <w:szCs w:val="22"/>
        </w:rPr>
        <w:t xml:space="preserve"> at 18.</w:t>
      </w:r>
    </w:p>
  </w:footnote>
  <w:footnote w:id="122">
    <w:p w14:paraId="4ACEB44D" w14:textId="18586234" w:rsidR="00903F24" w:rsidRPr="000D7151" w:rsidRDefault="00903F24" w:rsidP="00A63693">
      <w:pPr>
        <w:pStyle w:val="FootnoteText"/>
        <w:ind w:left="288" w:hanging="288"/>
        <w:rPr>
          <w:sz w:val="22"/>
          <w:szCs w:val="22"/>
        </w:rPr>
      </w:pPr>
      <w:r w:rsidRPr="000D7151">
        <w:rPr>
          <w:rStyle w:val="FootnoteReference"/>
          <w:sz w:val="22"/>
          <w:szCs w:val="22"/>
        </w:rPr>
        <w:footnoteRef/>
      </w:r>
      <w:r w:rsidRPr="000D7151">
        <w:rPr>
          <w:sz w:val="22"/>
          <w:szCs w:val="22"/>
        </w:rPr>
        <w:t xml:space="preserve"> Lyft Comments </w:t>
      </w:r>
      <w:r>
        <w:rPr>
          <w:sz w:val="22"/>
          <w:szCs w:val="22"/>
        </w:rPr>
        <w:t xml:space="preserve">on Proposed Decision </w:t>
      </w:r>
      <w:r w:rsidRPr="000D7151">
        <w:rPr>
          <w:sz w:val="22"/>
          <w:szCs w:val="22"/>
        </w:rPr>
        <w:t xml:space="preserve">at 2-3, Uber Comments </w:t>
      </w:r>
      <w:r>
        <w:rPr>
          <w:sz w:val="22"/>
          <w:szCs w:val="22"/>
        </w:rPr>
        <w:t xml:space="preserve">on Proposed Decision </w:t>
      </w:r>
      <w:r w:rsidRPr="000D7151">
        <w:rPr>
          <w:sz w:val="22"/>
          <w:szCs w:val="22"/>
        </w:rPr>
        <w:t>at 3, 9.</w:t>
      </w:r>
    </w:p>
  </w:footnote>
  <w:footnote w:id="123">
    <w:p w14:paraId="4AD7D37D" w14:textId="208AB594" w:rsidR="00903F24" w:rsidRPr="006A1F92" w:rsidRDefault="00903F24">
      <w:pPr>
        <w:pStyle w:val="FootnoteText"/>
        <w:rPr>
          <w:sz w:val="22"/>
          <w:szCs w:val="22"/>
        </w:rPr>
      </w:pPr>
      <w:r w:rsidRPr="006A1F92">
        <w:rPr>
          <w:rStyle w:val="FootnoteReference"/>
          <w:sz w:val="22"/>
          <w:szCs w:val="22"/>
        </w:rPr>
        <w:footnoteRef/>
      </w:r>
      <w:r w:rsidRPr="006A1F92">
        <w:rPr>
          <w:sz w:val="22"/>
          <w:szCs w:val="22"/>
        </w:rPr>
        <w:t xml:space="preserve"> Uber Comments on Proposed Decision at 3.</w:t>
      </w:r>
    </w:p>
  </w:footnote>
  <w:footnote w:id="124">
    <w:p w14:paraId="3554BDD6" w14:textId="1A042BDF" w:rsidR="00903F24" w:rsidRPr="000D7151" w:rsidRDefault="00903F24" w:rsidP="00A63693">
      <w:pPr>
        <w:pStyle w:val="FootnoteText"/>
        <w:ind w:left="288" w:hanging="288"/>
        <w:rPr>
          <w:sz w:val="22"/>
          <w:szCs w:val="22"/>
        </w:rPr>
      </w:pPr>
      <w:r w:rsidRPr="000D7151">
        <w:rPr>
          <w:rStyle w:val="FootnoteReference"/>
          <w:sz w:val="22"/>
          <w:szCs w:val="22"/>
        </w:rPr>
        <w:footnoteRef/>
      </w:r>
      <w:r w:rsidRPr="000D7151">
        <w:rPr>
          <w:sz w:val="22"/>
          <w:szCs w:val="22"/>
        </w:rPr>
        <w:t xml:space="preserve"> Lyft Comments </w:t>
      </w:r>
      <w:r>
        <w:rPr>
          <w:sz w:val="22"/>
          <w:szCs w:val="22"/>
        </w:rPr>
        <w:t>on Proposed Decision</w:t>
      </w:r>
      <w:r w:rsidRPr="000D7151">
        <w:rPr>
          <w:sz w:val="22"/>
          <w:szCs w:val="22"/>
        </w:rPr>
        <w:t xml:space="preserve"> at 2.</w:t>
      </w:r>
    </w:p>
  </w:footnote>
  <w:footnote w:id="125">
    <w:p w14:paraId="28FA901E" w14:textId="218DBB12"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Lyft Comments </w:t>
      </w:r>
      <w:r>
        <w:rPr>
          <w:sz w:val="22"/>
          <w:szCs w:val="22"/>
        </w:rPr>
        <w:t xml:space="preserve">on Proposed Decision </w:t>
      </w:r>
      <w:r w:rsidRPr="00097878">
        <w:rPr>
          <w:sz w:val="22"/>
          <w:szCs w:val="22"/>
        </w:rPr>
        <w:t xml:space="preserve">at 7, Uber Comments </w:t>
      </w:r>
      <w:r>
        <w:rPr>
          <w:sz w:val="22"/>
          <w:szCs w:val="22"/>
        </w:rPr>
        <w:t xml:space="preserve">on Proposed Decision </w:t>
      </w:r>
      <w:r w:rsidRPr="00097878">
        <w:rPr>
          <w:sz w:val="22"/>
          <w:szCs w:val="22"/>
        </w:rPr>
        <w:t>at 6.</w:t>
      </w:r>
    </w:p>
  </w:footnote>
  <w:footnote w:id="126">
    <w:p w14:paraId="1CC99220" w14:textId="554E68B8"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San Francisco Comments </w:t>
      </w:r>
      <w:r>
        <w:rPr>
          <w:sz w:val="22"/>
          <w:szCs w:val="22"/>
        </w:rPr>
        <w:t xml:space="preserve">on Proposed Decision </w:t>
      </w:r>
      <w:r w:rsidRPr="00097878">
        <w:rPr>
          <w:sz w:val="22"/>
          <w:szCs w:val="22"/>
        </w:rPr>
        <w:t>at 3.</w:t>
      </w:r>
    </w:p>
  </w:footnote>
  <w:footnote w:id="127">
    <w:p w14:paraId="5EE839C7" w14:textId="230FE308" w:rsidR="00903F24" w:rsidRPr="00352B9F" w:rsidRDefault="00903F24" w:rsidP="00A63693">
      <w:pPr>
        <w:pStyle w:val="FootnoteText"/>
        <w:ind w:left="288" w:hanging="288"/>
        <w:rPr>
          <w:sz w:val="22"/>
          <w:szCs w:val="22"/>
        </w:rPr>
      </w:pPr>
      <w:r w:rsidRPr="00352B9F">
        <w:rPr>
          <w:rStyle w:val="FootnoteReference"/>
          <w:sz w:val="22"/>
          <w:szCs w:val="22"/>
        </w:rPr>
        <w:footnoteRef/>
      </w:r>
      <w:r w:rsidRPr="00352B9F">
        <w:rPr>
          <w:sz w:val="22"/>
          <w:szCs w:val="22"/>
        </w:rPr>
        <w:t xml:space="preserve"> LA Metro Comments on Proposed Decision at 4, San Francisco Comments on Proposed</w:t>
      </w:r>
      <w:r>
        <w:rPr>
          <w:sz w:val="22"/>
          <w:szCs w:val="22"/>
        </w:rPr>
        <w:t> </w:t>
      </w:r>
      <w:r w:rsidRPr="00352B9F">
        <w:rPr>
          <w:sz w:val="22"/>
          <w:szCs w:val="22"/>
        </w:rPr>
        <w:t>Decision at 4, Disability Advocates Comments on Proposed Decision at 3.</w:t>
      </w:r>
    </w:p>
  </w:footnote>
  <w:footnote w:id="128">
    <w:p w14:paraId="6BA3BEE3" w14:textId="58615E23"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San Francisco Comments </w:t>
      </w:r>
      <w:r>
        <w:rPr>
          <w:sz w:val="22"/>
          <w:szCs w:val="22"/>
        </w:rPr>
        <w:t xml:space="preserve">on Proposed Decision </w:t>
      </w:r>
      <w:r w:rsidRPr="00097878">
        <w:rPr>
          <w:sz w:val="22"/>
          <w:szCs w:val="22"/>
        </w:rPr>
        <w:t>at 5.</w:t>
      </w:r>
    </w:p>
  </w:footnote>
  <w:footnote w:id="129">
    <w:p w14:paraId="73A560B9" w14:textId="2A6555C9"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Uber Comments </w:t>
      </w:r>
      <w:r>
        <w:rPr>
          <w:sz w:val="22"/>
          <w:szCs w:val="22"/>
        </w:rPr>
        <w:t xml:space="preserve">on Proposed Decision </w:t>
      </w:r>
      <w:r w:rsidRPr="00097878">
        <w:rPr>
          <w:sz w:val="22"/>
          <w:szCs w:val="22"/>
        </w:rPr>
        <w:t>at 6.</w:t>
      </w:r>
    </w:p>
  </w:footnote>
  <w:footnote w:id="130">
    <w:p w14:paraId="19066812" w14:textId="0C98B72C"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Lyft Reply Comments </w:t>
      </w:r>
      <w:r>
        <w:rPr>
          <w:sz w:val="22"/>
          <w:szCs w:val="22"/>
        </w:rPr>
        <w:t xml:space="preserve">on Proposed Decision </w:t>
      </w:r>
      <w:r w:rsidRPr="00097878">
        <w:rPr>
          <w:sz w:val="22"/>
          <w:szCs w:val="22"/>
        </w:rPr>
        <w:t>at 3.</w:t>
      </w:r>
    </w:p>
  </w:footnote>
  <w:footnote w:id="131">
    <w:p w14:paraId="4AA95607" w14:textId="666934DE"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SFTWA Reply Comments </w:t>
      </w:r>
      <w:r>
        <w:rPr>
          <w:sz w:val="22"/>
          <w:szCs w:val="22"/>
        </w:rPr>
        <w:t xml:space="preserve">on Proposed Decision </w:t>
      </w:r>
      <w:r w:rsidRPr="00097878">
        <w:rPr>
          <w:sz w:val="22"/>
          <w:szCs w:val="22"/>
        </w:rPr>
        <w:t>at 2</w:t>
      </w:r>
      <w:r>
        <w:rPr>
          <w:sz w:val="22"/>
          <w:szCs w:val="22"/>
        </w:rPr>
        <w:t>, Disability Advocates</w:t>
      </w:r>
      <w:r w:rsidRPr="00097878">
        <w:rPr>
          <w:sz w:val="22"/>
          <w:szCs w:val="22"/>
        </w:rPr>
        <w:t xml:space="preserve"> Comments </w:t>
      </w:r>
      <w:r>
        <w:rPr>
          <w:sz w:val="22"/>
          <w:szCs w:val="22"/>
        </w:rPr>
        <w:t xml:space="preserve">on Proposed Decision </w:t>
      </w:r>
      <w:r w:rsidRPr="00097878">
        <w:rPr>
          <w:sz w:val="22"/>
          <w:szCs w:val="22"/>
        </w:rPr>
        <w:t>at 8,</w:t>
      </w:r>
      <w:r w:rsidRPr="000A47B5">
        <w:rPr>
          <w:sz w:val="22"/>
          <w:szCs w:val="22"/>
        </w:rPr>
        <w:t xml:space="preserve"> </w:t>
      </w:r>
      <w:r w:rsidRPr="00097878">
        <w:rPr>
          <w:sz w:val="22"/>
          <w:szCs w:val="22"/>
        </w:rPr>
        <w:t xml:space="preserve">San Francisco Comments </w:t>
      </w:r>
      <w:r>
        <w:rPr>
          <w:sz w:val="22"/>
          <w:szCs w:val="22"/>
        </w:rPr>
        <w:t xml:space="preserve">on Proposed Decision </w:t>
      </w:r>
      <w:r w:rsidRPr="00097878">
        <w:rPr>
          <w:sz w:val="22"/>
          <w:szCs w:val="22"/>
        </w:rPr>
        <w:t>at 8</w:t>
      </w:r>
      <w:r>
        <w:rPr>
          <w:sz w:val="22"/>
          <w:szCs w:val="22"/>
        </w:rPr>
        <w:t>.</w:t>
      </w:r>
    </w:p>
  </w:footnote>
  <w:footnote w:id="132">
    <w:p w14:paraId="2D86090A" w14:textId="4E39885A"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San Francisco Comments </w:t>
      </w:r>
      <w:r>
        <w:rPr>
          <w:sz w:val="22"/>
          <w:szCs w:val="22"/>
        </w:rPr>
        <w:t xml:space="preserve">on Proposed Decision </w:t>
      </w:r>
      <w:r w:rsidRPr="00097878">
        <w:rPr>
          <w:sz w:val="22"/>
          <w:szCs w:val="22"/>
        </w:rPr>
        <w:t>at 10.</w:t>
      </w:r>
    </w:p>
  </w:footnote>
  <w:footnote w:id="133">
    <w:p w14:paraId="7F8004D6" w14:textId="54F7D78A"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San Francisco Comments </w:t>
      </w:r>
      <w:r>
        <w:rPr>
          <w:sz w:val="22"/>
          <w:szCs w:val="22"/>
        </w:rPr>
        <w:t>on Proposed Decision</w:t>
      </w:r>
      <w:r w:rsidRPr="00097878">
        <w:rPr>
          <w:sz w:val="22"/>
          <w:szCs w:val="22"/>
        </w:rPr>
        <w:t xml:space="preserve"> at 10</w:t>
      </w:r>
      <w:r>
        <w:rPr>
          <w:sz w:val="22"/>
          <w:szCs w:val="22"/>
        </w:rPr>
        <w:t xml:space="preserve">, Disability Advocates </w:t>
      </w:r>
      <w:r w:rsidRPr="00097878">
        <w:rPr>
          <w:sz w:val="22"/>
          <w:szCs w:val="22"/>
        </w:rPr>
        <w:t xml:space="preserve">Comments </w:t>
      </w:r>
      <w:r>
        <w:rPr>
          <w:sz w:val="22"/>
          <w:szCs w:val="22"/>
        </w:rPr>
        <w:t xml:space="preserve">on Proposed Decision </w:t>
      </w:r>
      <w:r w:rsidRPr="00097878">
        <w:rPr>
          <w:sz w:val="22"/>
          <w:szCs w:val="22"/>
        </w:rPr>
        <w:t>at 10.</w:t>
      </w:r>
    </w:p>
  </w:footnote>
  <w:footnote w:id="134">
    <w:p w14:paraId="6469E05B" w14:textId="4314BBD9"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San Francisco Comments </w:t>
      </w:r>
      <w:r>
        <w:rPr>
          <w:sz w:val="22"/>
          <w:szCs w:val="22"/>
        </w:rPr>
        <w:t xml:space="preserve">on Proposed Decision </w:t>
      </w:r>
      <w:r w:rsidRPr="00097878">
        <w:rPr>
          <w:sz w:val="22"/>
          <w:szCs w:val="22"/>
        </w:rPr>
        <w:t>at 12.</w:t>
      </w:r>
    </w:p>
  </w:footnote>
  <w:footnote w:id="135">
    <w:p w14:paraId="0D35D570" w14:textId="00722D3F"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sidRPr="00A63693">
        <w:rPr>
          <w:i/>
          <w:iCs/>
          <w:sz w:val="22"/>
          <w:szCs w:val="22"/>
        </w:rPr>
        <w:t>Id</w:t>
      </w:r>
      <w:r w:rsidRPr="00097878">
        <w:rPr>
          <w:sz w:val="22"/>
          <w:szCs w:val="22"/>
        </w:rPr>
        <w:t>.</w:t>
      </w:r>
    </w:p>
  </w:footnote>
  <w:footnote w:id="136">
    <w:p w14:paraId="5B4E0BB7" w14:textId="4C1375A4"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w:t>
      </w:r>
      <w:r>
        <w:rPr>
          <w:sz w:val="22"/>
          <w:szCs w:val="22"/>
        </w:rPr>
        <w:t>San Francisco</w:t>
      </w:r>
      <w:r w:rsidRPr="00097878">
        <w:rPr>
          <w:sz w:val="22"/>
          <w:szCs w:val="22"/>
        </w:rPr>
        <w:t xml:space="preserve"> Comments </w:t>
      </w:r>
      <w:r>
        <w:rPr>
          <w:sz w:val="22"/>
          <w:szCs w:val="22"/>
        </w:rPr>
        <w:t xml:space="preserve">on Proposed Decision </w:t>
      </w:r>
      <w:r w:rsidRPr="00097878">
        <w:rPr>
          <w:sz w:val="22"/>
          <w:szCs w:val="22"/>
        </w:rPr>
        <w:t>at 12.</w:t>
      </w:r>
    </w:p>
  </w:footnote>
  <w:footnote w:id="137">
    <w:p w14:paraId="35D1A2CC" w14:textId="0797ACE2"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LA Metro Comments </w:t>
      </w:r>
      <w:r>
        <w:rPr>
          <w:sz w:val="22"/>
          <w:szCs w:val="22"/>
        </w:rPr>
        <w:t xml:space="preserve">on Proposed Decision </w:t>
      </w:r>
      <w:r w:rsidRPr="00097878">
        <w:rPr>
          <w:sz w:val="22"/>
          <w:szCs w:val="22"/>
        </w:rPr>
        <w:t>at 3, D</w:t>
      </w:r>
      <w:r>
        <w:rPr>
          <w:sz w:val="22"/>
          <w:szCs w:val="22"/>
        </w:rPr>
        <w:t>isability Advocates</w:t>
      </w:r>
      <w:r w:rsidRPr="00097878">
        <w:rPr>
          <w:sz w:val="22"/>
          <w:szCs w:val="22"/>
        </w:rPr>
        <w:t xml:space="preserve"> Comments </w:t>
      </w:r>
      <w:r>
        <w:rPr>
          <w:sz w:val="22"/>
          <w:szCs w:val="22"/>
        </w:rPr>
        <w:t xml:space="preserve">on Proposed Decision </w:t>
      </w:r>
      <w:r w:rsidRPr="00097878">
        <w:rPr>
          <w:sz w:val="22"/>
          <w:szCs w:val="22"/>
        </w:rPr>
        <w:t>at 7.</w:t>
      </w:r>
    </w:p>
  </w:footnote>
  <w:footnote w:id="138">
    <w:p w14:paraId="4BF9BE75" w14:textId="64B79F30" w:rsidR="00903F24" w:rsidRPr="00097878" w:rsidRDefault="00903F24" w:rsidP="00A63693">
      <w:pPr>
        <w:pStyle w:val="FootnoteText"/>
        <w:ind w:left="288" w:hanging="288"/>
        <w:rPr>
          <w:sz w:val="22"/>
          <w:szCs w:val="22"/>
        </w:rPr>
      </w:pPr>
      <w:r w:rsidRPr="00097878">
        <w:rPr>
          <w:rStyle w:val="FootnoteReference"/>
          <w:sz w:val="22"/>
          <w:szCs w:val="22"/>
        </w:rPr>
        <w:footnoteRef/>
      </w:r>
      <w:r w:rsidRPr="00097878">
        <w:rPr>
          <w:sz w:val="22"/>
          <w:szCs w:val="22"/>
        </w:rPr>
        <w:t xml:space="preserve"> Uber Reply Comments </w:t>
      </w:r>
      <w:r>
        <w:rPr>
          <w:sz w:val="22"/>
          <w:szCs w:val="22"/>
        </w:rPr>
        <w:t xml:space="preserve">on Proposed Decision </w:t>
      </w:r>
      <w:r w:rsidRPr="00097878">
        <w:rPr>
          <w:sz w:val="22"/>
          <w:szCs w:val="22"/>
        </w:rPr>
        <w:t>at 3.</w:t>
      </w:r>
    </w:p>
  </w:footnote>
  <w:footnote w:id="139">
    <w:p w14:paraId="03E1BD5B" w14:textId="77E63ED6" w:rsidR="00903F24" w:rsidRPr="00A334AD" w:rsidRDefault="00903F24" w:rsidP="00A63693">
      <w:pPr>
        <w:pStyle w:val="FootnoteText"/>
        <w:ind w:left="288" w:hanging="288"/>
        <w:rPr>
          <w:sz w:val="22"/>
          <w:szCs w:val="22"/>
        </w:rPr>
      </w:pPr>
      <w:r w:rsidRPr="00A334AD">
        <w:rPr>
          <w:rStyle w:val="FootnoteReference"/>
          <w:sz w:val="22"/>
          <w:szCs w:val="22"/>
        </w:rPr>
        <w:footnoteRef/>
      </w:r>
      <w:r w:rsidRPr="00A334AD">
        <w:rPr>
          <w:sz w:val="22"/>
          <w:szCs w:val="22"/>
        </w:rPr>
        <w:t xml:space="preserve"> </w:t>
      </w:r>
      <w:r w:rsidRPr="00A334AD">
        <w:rPr>
          <w:i/>
          <w:iCs/>
          <w:sz w:val="22"/>
          <w:szCs w:val="22"/>
        </w:rPr>
        <w:t>See</w:t>
      </w:r>
      <w:r w:rsidRPr="00A334AD">
        <w:rPr>
          <w:sz w:val="22"/>
          <w:szCs w:val="22"/>
        </w:rPr>
        <w:t xml:space="preserve"> D.20-03-007 at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E6EF" w14:textId="50A1D791" w:rsidR="00903F24" w:rsidRDefault="00903F24" w:rsidP="009679C2">
    <w:pPr>
      <w:pStyle w:val="Header"/>
      <w:tabs>
        <w:tab w:val="clear" w:pos="4680"/>
      </w:tabs>
      <w:rPr>
        <w:b/>
      </w:rPr>
    </w:pPr>
    <w:r>
      <w:t>R.19-02-</w:t>
    </w:r>
    <w:proofErr w:type="gramStart"/>
    <w:r>
      <w:t>012  COM</w:t>
    </w:r>
    <w:proofErr w:type="gramEnd"/>
    <w:r>
      <w:t>/GSH/jnf</w:t>
    </w:r>
    <w:r>
      <w:tab/>
    </w:r>
  </w:p>
  <w:p w14:paraId="176B8E83" w14:textId="425490DB" w:rsidR="00903F24" w:rsidRDefault="00903F24" w:rsidP="009679C2">
    <w:pPr>
      <w:pStyle w:val="Header"/>
      <w:tabs>
        <w:tab w:val="clear" w:pos="4680"/>
      </w:tabs>
      <w:rPr>
        <w:i/>
        <w:color w:val="FF0000"/>
      </w:rPr>
    </w:pPr>
  </w:p>
  <w:p w14:paraId="4145F3D5" w14:textId="77777777" w:rsidR="00903F24" w:rsidRDefault="00903F24" w:rsidP="009679C2">
    <w:pPr>
      <w:pStyle w:val="Header"/>
      <w:tabs>
        <w:tab w:val="clear" w:pos="4680"/>
      </w:tabs>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A1F4" w14:textId="4BC2F4A5" w:rsidR="00903F24" w:rsidRDefault="00903F24" w:rsidP="006A019B">
    <w:pPr>
      <w:pStyle w:val="Header"/>
      <w:tabs>
        <w:tab w:val="clear" w:pos="4680"/>
      </w:tabs>
      <w:rPr>
        <w:b/>
      </w:rPr>
    </w:pPr>
    <w:r>
      <w:t>R.19-02-</w:t>
    </w:r>
    <w:proofErr w:type="gramStart"/>
    <w:r>
      <w:t>012  COM</w:t>
    </w:r>
    <w:proofErr w:type="gramEnd"/>
    <w:r>
      <w:t>/GSH/jnf</w:t>
    </w:r>
    <w:r>
      <w:tab/>
    </w:r>
  </w:p>
  <w:p w14:paraId="2C1F4145" w14:textId="64C03508" w:rsidR="00903F24" w:rsidRDefault="00903F24" w:rsidP="006A019B">
    <w:pPr>
      <w:pStyle w:val="Header"/>
      <w:rPr>
        <w:i/>
        <w:color w:val="FF0000"/>
      </w:rPr>
    </w:pPr>
  </w:p>
  <w:p w14:paraId="3CBF6559" w14:textId="159FE153" w:rsidR="00903F24" w:rsidRDefault="00903F24" w:rsidP="006A019B">
    <w:pPr>
      <w:pStyle w:val="Header"/>
      <w:rPr>
        <w:i/>
        <w:color w:val="FF0000"/>
      </w:rPr>
    </w:pPr>
  </w:p>
  <w:p w14:paraId="3193E666" w14:textId="77777777" w:rsidR="00903F24" w:rsidRPr="006A019B" w:rsidRDefault="00903F24" w:rsidP="006A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C83F" w14:textId="6BD7AADE" w:rsidR="00903F24" w:rsidRDefault="00903F24" w:rsidP="006A019B">
    <w:pPr>
      <w:pStyle w:val="Header"/>
      <w:tabs>
        <w:tab w:val="clear" w:pos="4680"/>
      </w:tabs>
      <w:rPr>
        <w:b/>
      </w:rPr>
    </w:pPr>
    <w:r>
      <w:t>R.19-02-</w:t>
    </w:r>
    <w:proofErr w:type="gramStart"/>
    <w:r>
      <w:t>012  COM</w:t>
    </w:r>
    <w:proofErr w:type="gramEnd"/>
    <w:r>
      <w:t>/GSH/jnf</w:t>
    </w:r>
    <w:r>
      <w:tab/>
    </w:r>
  </w:p>
  <w:p w14:paraId="4FA3AF4C" w14:textId="1F9DDCFA" w:rsidR="00903F24" w:rsidRDefault="00903F24" w:rsidP="006A019B">
    <w:pPr>
      <w:pStyle w:val="Header"/>
      <w:rPr>
        <w:i/>
        <w:color w:val="FF0000"/>
      </w:rPr>
    </w:pPr>
  </w:p>
  <w:p w14:paraId="4074224C" w14:textId="33A7F6CA" w:rsidR="00903F24" w:rsidRDefault="00903F24" w:rsidP="006A019B">
    <w:pPr>
      <w:pStyle w:val="Header"/>
      <w:rPr>
        <w:i/>
        <w:color w:val="FF0000"/>
      </w:rPr>
    </w:pPr>
  </w:p>
  <w:p w14:paraId="4DB37701" w14:textId="77777777" w:rsidR="00903F24" w:rsidRPr="006A019B" w:rsidRDefault="00903F24" w:rsidP="006A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38F3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34803AE"/>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0FE03897"/>
    <w:multiLevelType w:val="hybridMultilevel"/>
    <w:tmpl w:val="D30C15D0"/>
    <w:lvl w:ilvl="0" w:tplc="FA9859A0">
      <w:start w:val="1"/>
      <w:numFmt w:val="decimal"/>
      <w:lvlText w:val="%1."/>
      <w:lvlJc w:val="left"/>
      <w:pPr>
        <w:ind w:left="720" w:hanging="360"/>
      </w:pPr>
      <w:rPr>
        <w:rFonts w:ascii="Book Antiqua" w:eastAsia="Times New Roman" w:hAnsi="Book Antiqua" w:cs="BookAntiqua"/>
        <w:b w:val="0"/>
        <w:bCs w:val="0"/>
      </w:rPr>
    </w:lvl>
    <w:lvl w:ilvl="1" w:tplc="44F4B1BE">
      <w:start w:val="1"/>
      <w:numFmt w:val="lowerLetter"/>
      <w:lvlText w:val="%2."/>
      <w:lvlJc w:val="left"/>
      <w:pPr>
        <w:ind w:left="1440" w:hanging="360"/>
      </w:pPr>
      <w:rPr>
        <w:rFonts w:ascii="Book Antiqua" w:eastAsia="Times New Roman" w:hAnsi="Book Antiqua" w:cs="BookAntiqua"/>
        <w:b w:val="0"/>
        <w:bCs/>
      </w:rPr>
    </w:lvl>
    <w:lvl w:ilvl="2" w:tplc="49DCD42C">
      <w:start w:val="4"/>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6146CF"/>
    <w:multiLevelType w:val="hybridMultilevel"/>
    <w:tmpl w:val="0D6EBB70"/>
    <w:lvl w:ilvl="0" w:tplc="58F8AC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C87DC0"/>
    <w:multiLevelType w:val="hybridMultilevel"/>
    <w:tmpl w:val="8AAA462C"/>
    <w:lvl w:ilvl="0" w:tplc="6E5AFE3C">
      <w:start w:val="1"/>
      <w:numFmt w:val="decimal"/>
      <w:lvlText w:val="(%1)"/>
      <w:lvlJc w:val="left"/>
      <w:pPr>
        <w:ind w:left="1440" w:hanging="720"/>
      </w:pPr>
      <w:rPr>
        <w:rFonts w:ascii="Book Antiqua" w:eastAsiaTheme="minorHAnsi" w:hAnsi="Book Antiqua" w:cs="BookAntiqu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95C9F"/>
    <w:multiLevelType w:val="hybridMultilevel"/>
    <w:tmpl w:val="79D20132"/>
    <w:lvl w:ilvl="0" w:tplc="9872D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04A56"/>
    <w:multiLevelType w:val="hybridMultilevel"/>
    <w:tmpl w:val="5FE082EE"/>
    <w:lvl w:ilvl="0" w:tplc="4628B9D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B39D7"/>
    <w:multiLevelType w:val="hybridMultilevel"/>
    <w:tmpl w:val="90523FB4"/>
    <w:lvl w:ilvl="0" w:tplc="AB56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AD23B5"/>
    <w:multiLevelType w:val="multilevel"/>
    <w:tmpl w:val="199CBD4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D042D7"/>
    <w:multiLevelType w:val="multilevel"/>
    <w:tmpl w:val="18F4A5AC"/>
    <w:numStyleLink w:val="FoFCoLOP"/>
  </w:abstractNum>
  <w:abstractNum w:abstractNumId="15" w15:restartNumberingAfterBreak="0">
    <w:nsid w:val="789A0AFE"/>
    <w:multiLevelType w:val="multilevel"/>
    <w:tmpl w:val="18F4A5AC"/>
    <w:numStyleLink w:val="FoFCoLOP"/>
  </w:abstractNum>
  <w:abstractNum w:abstractNumId="16" w15:restartNumberingAfterBreak="0">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16"/>
  </w:num>
  <w:num w:numId="4">
    <w:abstractNumId w:val="5"/>
  </w:num>
  <w:num w:numId="5">
    <w:abstractNumId w:val="11"/>
  </w:num>
  <w:num w:numId="6">
    <w:abstractNumId w:val="12"/>
  </w:num>
  <w:num w:numId="7">
    <w:abstractNumId w:val="9"/>
  </w:num>
  <w:num w:numId="8">
    <w:abstractNumId w:val="3"/>
  </w:num>
  <w:num w:numId="9">
    <w:abstractNumId w:val="14"/>
  </w:num>
  <w:num w:numId="10">
    <w:abstractNumId w:val="4"/>
  </w:num>
  <w:num w:numId="11">
    <w:abstractNumId w:val="15"/>
  </w:num>
  <w:num w:numId="12">
    <w:abstractNumId w:val="2"/>
  </w:num>
  <w:num w:numId="13">
    <w:abstractNumId w:val="10"/>
  </w:num>
  <w:num w:numId="14">
    <w:abstractNumId w:val="6"/>
  </w:num>
  <w:num w:numId="15">
    <w:abstractNumId w:val="8"/>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09"/>
    <w:rsid w:val="000008B8"/>
    <w:rsid w:val="00000B24"/>
    <w:rsid w:val="00003FA8"/>
    <w:rsid w:val="00004145"/>
    <w:rsid w:val="00005805"/>
    <w:rsid w:val="00006171"/>
    <w:rsid w:val="00006798"/>
    <w:rsid w:val="000072D1"/>
    <w:rsid w:val="00007492"/>
    <w:rsid w:val="00010B06"/>
    <w:rsid w:val="00010F19"/>
    <w:rsid w:val="000113A2"/>
    <w:rsid w:val="00016FC1"/>
    <w:rsid w:val="0001754B"/>
    <w:rsid w:val="000201A6"/>
    <w:rsid w:val="00020A3E"/>
    <w:rsid w:val="00020ECD"/>
    <w:rsid w:val="00023224"/>
    <w:rsid w:val="00023798"/>
    <w:rsid w:val="00023825"/>
    <w:rsid w:val="00025D6D"/>
    <w:rsid w:val="00025D84"/>
    <w:rsid w:val="00025EA5"/>
    <w:rsid w:val="0002654E"/>
    <w:rsid w:val="00027628"/>
    <w:rsid w:val="00027A56"/>
    <w:rsid w:val="00032013"/>
    <w:rsid w:val="00032195"/>
    <w:rsid w:val="00032E51"/>
    <w:rsid w:val="00033898"/>
    <w:rsid w:val="00034281"/>
    <w:rsid w:val="00034568"/>
    <w:rsid w:val="00034B1F"/>
    <w:rsid w:val="00034F01"/>
    <w:rsid w:val="000350CC"/>
    <w:rsid w:val="00035BEE"/>
    <w:rsid w:val="00036C5F"/>
    <w:rsid w:val="00041840"/>
    <w:rsid w:val="0004193A"/>
    <w:rsid w:val="00042AED"/>
    <w:rsid w:val="00043C95"/>
    <w:rsid w:val="00045616"/>
    <w:rsid w:val="00045619"/>
    <w:rsid w:val="00047671"/>
    <w:rsid w:val="000477F9"/>
    <w:rsid w:val="00050A0E"/>
    <w:rsid w:val="00050DCD"/>
    <w:rsid w:val="00053917"/>
    <w:rsid w:val="000566D6"/>
    <w:rsid w:val="00056968"/>
    <w:rsid w:val="00057A62"/>
    <w:rsid w:val="00060982"/>
    <w:rsid w:val="00060C9F"/>
    <w:rsid w:val="00060CBC"/>
    <w:rsid w:val="00060CF1"/>
    <w:rsid w:val="00061A26"/>
    <w:rsid w:val="000625D3"/>
    <w:rsid w:val="00064DAD"/>
    <w:rsid w:val="00066027"/>
    <w:rsid w:val="00070CF1"/>
    <w:rsid w:val="00071087"/>
    <w:rsid w:val="0007224F"/>
    <w:rsid w:val="0007299D"/>
    <w:rsid w:val="00072C29"/>
    <w:rsid w:val="00072DEA"/>
    <w:rsid w:val="000736EB"/>
    <w:rsid w:val="00073FDC"/>
    <w:rsid w:val="00074872"/>
    <w:rsid w:val="000764B7"/>
    <w:rsid w:val="00076E38"/>
    <w:rsid w:val="000778E8"/>
    <w:rsid w:val="00077A57"/>
    <w:rsid w:val="00080C02"/>
    <w:rsid w:val="00081C25"/>
    <w:rsid w:val="000836D5"/>
    <w:rsid w:val="00083992"/>
    <w:rsid w:val="0008422B"/>
    <w:rsid w:val="000852A0"/>
    <w:rsid w:val="0008572F"/>
    <w:rsid w:val="00086E9D"/>
    <w:rsid w:val="0009018E"/>
    <w:rsid w:val="000905D5"/>
    <w:rsid w:val="00090745"/>
    <w:rsid w:val="00091CDF"/>
    <w:rsid w:val="00092004"/>
    <w:rsid w:val="00093242"/>
    <w:rsid w:val="0009404D"/>
    <w:rsid w:val="00094D80"/>
    <w:rsid w:val="00097878"/>
    <w:rsid w:val="000A0740"/>
    <w:rsid w:val="000A2056"/>
    <w:rsid w:val="000A2D69"/>
    <w:rsid w:val="000A2E42"/>
    <w:rsid w:val="000A3629"/>
    <w:rsid w:val="000A394C"/>
    <w:rsid w:val="000A3A9E"/>
    <w:rsid w:val="000A3C26"/>
    <w:rsid w:val="000A473A"/>
    <w:rsid w:val="000A47B5"/>
    <w:rsid w:val="000A5005"/>
    <w:rsid w:val="000A663A"/>
    <w:rsid w:val="000A7A56"/>
    <w:rsid w:val="000A7AE3"/>
    <w:rsid w:val="000A7EED"/>
    <w:rsid w:val="000B0593"/>
    <w:rsid w:val="000B1730"/>
    <w:rsid w:val="000B29D9"/>
    <w:rsid w:val="000B3659"/>
    <w:rsid w:val="000B3A08"/>
    <w:rsid w:val="000B3CB4"/>
    <w:rsid w:val="000B6637"/>
    <w:rsid w:val="000C03E3"/>
    <w:rsid w:val="000C0D42"/>
    <w:rsid w:val="000C0D6B"/>
    <w:rsid w:val="000C0F81"/>
    <w:rsid w:val="000C1505"/>
    <w:rsid w:val="000C17A4"/>
    <w:rsid w:val="000C1B9E"/>
    <w:rsid w:val="000C3389"/>
    <w:rsid w:val="000C4F1B"/>
    <w:rsid w:val="000C5C43"/>
    <w:rsid w:val="000C5F93"/>
    <w:rsid w:val="000C6D29"/>
    <w:rsid w:val="000C73C8"/>
    <w:rsid w:val="000C7725"/>
    <w:rsid w:val="000C78B9"/>
    <w:rsid w:val="000C7B4F"/>
    <w:rsid w:val="000C7E45"/>
    <w:rsid w:val="000D0EB4"/>
    <w:rsid w:val="000D18DE"/>
    <w:rsid w:val="000D2EFD"/>
    <w:rsid w:val="000D3ABA"/>
    <w:rsid w:val="000D5F63"/>
    <w:rsid w:val="000D7151"/>
    <w:rsid w:val="000E08F5"/>
    <w:rsid w:val="000E305B"/>
    <w:rsid w:val="000E4724"/>
    <w:rsid w:val="000E5B17"/>
    <w:rsid w:val="000F1C29"/>
    <w:rsid w:val="000F2D13"/>
    <w:rsid w:val="000F3016"/>
    <w:rsid w:val="000F3C15"/>
    <w:rsid w:val="000F43DB"/>
    <w:rsid w:val="000F5FB3"/>
    <w:rsid w:val="000F6977"/>
    <w:rsid w:val="000F6CA1"/>
    <w:rsid w:val="000F6CDA"/>
    <w:rsid w:val="000F6F1E"/>
    <w:rsid w:val="000F70BF"/>
    <w:rsid w:val="00100717"/>
    <w:rsid w:val="001009F8"/>
    <w:rsid w:val="00100FBB"/>
    <w:rsid w:val="001016D4"/>
    <w:rsid w:val="001018E0"/>
    <w:rsid w:val="00104161"/>
    <w:rsid w:val="00104BA9"/>
    <w:rsid w:val="00106BE2"/>
    <w:rsid w:val="001074E2"/>
    <w:rsid w:val="00107F78"/>
    <w:rsid w:val="001100E2"/>
    <w:rsid w:val="001102EE"/>
    <w:rsid w:val="00110883"/>
    <w:rsid w:val="00110B75"/>
    <w:rsid w:val="001135E5"/>
    <w:rsid w:val="00116BC1"/>
    <w:rsid w:val="00120B8C"/>
    <w:rsid w:val="0012263C"/>
    <w:rsid w:val="00122B28"/>
    <w:rsid w:val="001238D0"/>
    <w:rsid w:val="00123D08"/>
    <w:rsid w:val="001245D2"/>
    <w:rsid w:val="00124BFC"/>
    <w:rsid w:val="00125B2A"/>
    <w:rsid w:val="00127C4C"/>
    <w:rsid w:val="00127F14"/>
    <w:rsid w:val="0013054D"/>
    <w:rsid w:val="0013139C"/>
    <w:rsid w:val="00131D00"/>
    <w:rsid w:val="001326A3"/>
    <w:rsid w:val="00132F85"/>
    <w:rsid w:val="00133C97"/>
    <w:rsid w:val="001371BC"/>
    <w:rsid w:val="0013749C"/>
    <w:rsid w:val="001403C2"/>
    <w:rsid w:val="00142417"/>
    <w:rsid w:val="00142855"/>
    <w:rsid w:val="00144353"/>
    <w:rsid w:val="0014733D"/>
    <w:rsid w:val="00152A43"/>
    <w:rsid w:val="00154616"/>
    <w:rsid w:val="00154AB6"/>
    <w:rsid w:val="00154D35"/>
    <w:rsid w:val="00155057"/>
    <w:rsid w:val="001560B8"/>
    <w:rsid w:val="0015723A"/>
    <w:rsid w:val="00157A74"/>
    <w:rsid w:val="001602B9"/>
    <w:rsid w:val="001612D5"/>
    <w:rsid w:val="00161AED"/>
    <w:rsid w:val="00162746"/>
    <w:rsid w:val="00163108"/>
    <w:rsid w:val="0016378E"/>
    <w:rsid w:val="001643A6"/>
    <w:rsid w:val="00164AD5"/>
    <w:rsid w:val="001658AF"/>
    <w:rsid w:val="00165E17"/>
    <w:rsid w:val="00166380"/>
    <w:rsid w:val="00167CF3"/>
    <w:rsid w:val="00172671"/>
    <w:rsid w:val="00172A25"/>
    <w:rsid w:val="00172EB7"/>
    <w:rsid w:val="0017301A"/>
    <w:rsid w:val="00173FD5"/>
    <w:rsid w:val="001744F9"/>
    <w:rsid w:val="001747B3"/>
    <w:rsid w:val="001759F7"/>
    <w:rsid w:val="00176AB5"/>
    <w:rsid w:val="0017729B"/>
    <w:rsid w:val="00180138"/>
    <w:rsid w:val="00180E02"/>
    <w:rsid w:val="00181696"/>
    <w:rsid w:val="00181E27"/>
    <w:rsid w:val="00184264"/>
    <w:rsid w:val="00184F2A"/>
    <w:rsid w:val="001856FA"/>
    <w:rsid w:val="00185EFD"/>
    <w:rsid w:val="00185F25"/>
    <w:rsid w:val="001865B3"/>
    <w:rsid w:val="0019154F"/>
    <w:rsid w:val="00192B79"/>
    <w:rsid w:val="00192BE9"/>
    <w:rsid w:val="001938FA"/>
    <w:rsid w:val="00195803"/>
    <w:rsid w:val="00195B29"/>
    <w:rsid w:val="00195B74"/>
    <w:rsid w:val="00196299"/>
    <w:rsid w:val="00196E5F"/>
    <w:rsid w:val="00197E63"/>
    <w:rsid w:val="001A0047"/>
    <w:rsid w:val="001A2622"/>
    <w:rsid w:val="001A265A"/>
    <w:rsid w:val="001A3433"/>
    <w:rsid w:val="001A3A80"/>
    <w:rsid w:val="001A435D"/>
    <w:rsid w:val="001A5AC6"/>
    <w:rsid w:val="001A6402"/>
    <w:rsid w:val="001A79C2"/>
    <w:rsid w:val="001B00FA"/>
    <w:rsid w:val="001B03F0"/>
    <w:rsid w:val="001B14B3"/>
    <w:rsid w:val="001B1F59"/>
    <w:rsid w:val="001B391E"/>
    <w:rsid w:val="001B494E"/>
    <w:rsid w:val="001B4D6D"/>
    <w:rsid w:val="001B4F83"/>
    <w:rsid w:val="001B5E65"/>
    <w:rsid w:val="001B602B"/>
    <w:rsid w:val="001B6086"/>
    <w:rsid w:val="001B6201"/>
    <w:rsid w:val="001B6496"/>
    <w:rsid w:val="001C111B"/>
    <w:rsid w:val="001C1AB7"/>
    <w:rsid w:val="001C1E2C"/>
    <w:rsid w:val="001C4096"/>
    <w:rsid w:val="001C4AEA"/>
    <w:rsid w:val="001C5A5F"/>
    <w:rsid w:val="001C6023"/>
    <w:rsid w:val="001C6354"/>
    <w:rsid w:val="001C641A"/>
    <w:rsid w:val="001C7594"/>
    <w:rsid w:val="001C7880"/>
    <w:rsid w:val="001C7ECC"/>
    <w:rsid w:val="001D03A3"/>
    <w:rsid w:val="001D0B1A"/>
    <w:rsid w:val="001D1610"/>
    <w:rsid w:val="001D1D61"/>
    <w:rsid w:val="001D2159"/>
    <w:rsid w:val="001D25F5"/>
    <w:rsid w:val="001D269C"/>
    <w:rsid w:val="001D26FC"/>
    <w:rsid w:val="001D4504"/>
    <w:rsid w:val="001D4AA9"/>
    <w:rsid w:val="001D4BF7"/>
    <w:rsid w:val="001D4FC4"/>
    <w:rsid w:val="001D562C"/>
    <w:rsid w:val="001D5949"/>
    <w:rsid w:val="001D6960"/>
    <w:rsid w:val="001D6B5C"/>
    <w:rsid w:val="001D6BE5"/>
    <w:rsid w:val="001E09C6"/>
    <w:rsid w:val="001E0C03"/>
    <w:rsid w:val="001E12DE"/>
    <w:rsid w:val="001E164E"/>
    <w:rsid w:val="001E1BC7"/>
    <w:rsid w:val="001E1BE4"/>
    <w:rsid w:val="001E2268"/>
    <w:rsid w:val="001E2717"/>
    <w:rsid w:val="001E275F"/>
    <w:rsid w:val="001E2E1F"/>
    <w:rsid w:val="001E3C1D"/>
    <w:rsid w:val="001E4064"/>
    <w:rsid w:val="001E4202"/>
    <w:rsid w:val="001E6B59"/>
    <w:rsid w:val="001E6B79"/>
    <w:rsid w:val="001E6C51"/>
    <w:rsid w:val="001E72BB"/>
    <w:rsid w:val="001E7912"/>
    <w:rsid w:val="001E7F30"/>
    <w:rsid w:val="001F1CC8"/>
    <w:rsid w:val="001F1FFD"/>
    <w:rsid w:val="001F396E"/>
    <w:rsid w:val="001F4055"/>
    <w:rsid w:val="001F4729"/>
    <w:rsid w:val="001F4E00"/>
    <w:rsid w:val="001F5B87"/>
    <w:rsid w:val="001F64D1"/>
    <w:rsid w:val="002002F7"/>
    <w:rsid w:val="00200B01"/>
    <w:rsid w:val="002010B4"/>
    <w:rsid w:val="00201622"/>
    <w:rsid w:val="00201AC3"/>
    <w:rsid w:val="00201CA9"/>
    <w:rsid w:val="00201E18"/>
    <w:rsid w:val="002025FD"/>
    <w:rsid w:val="00202B0C"/>
    <w:rsid w:val="002032B2"/>
    <w:rsid w:val="002040EF"/>
    <w:rsid w:val="00204465"/>
    <w:rsid w:val="002057A6"/>
    <w:rsid w:val="00205ECC"/>
    <w:rsid w:val="00205F58"/>
    <w:rsid w:val="00206B51"/>
    <w:rsid w:val="00206BC7"/>
    <w:rsid w:val="002078E7"/>
    <w:rsid w:val="00210705"/>
    <w:rsid w:val="00210AED"/>
    <w:rsid w:val="0021157A"/>
    <w:rsid w:val="00211987"/>
    <w:rsid w:val="00212D4C"/>
    <w:rsid w:val="002148AE"/>
    <w:rsid w:val="002153F3"/>
    <w:rsid w:val="00216723"/>
    <w:rsid w:val="00217CEB"/>
    <w:rsid w:val="00220CD5"/>
    <w:rsid w:val="00220E8E"/>
    <w:rsid w:val="002216D6"/>
    <w:rsid w:val="002226AC"/>
    <w:rsid w:val="002227A5"/>
    <w:rsid w:val="002233B0"/>
    <w:rsid w:val="002235A5"/>
    <w:rsid w:val="00223C8C"/>
    <w:rsid w:val="00223D44"/>
    <w:rsid w:val="00223FAD"/>
    <w:rsid w:val="00224875"/>
    <w:rsid w:val="00225A71"/>
    <w:rsid w:val="002260C1"/>
    <w:rsid w:val="002269A8"/>
    <w:rsid w:val="00226AEB"/>
    <w:rsid w:val="002272B9"/>
    <w:rsid w:val="00227651"/>
    <w:rsid w:val="002307F1"/>
    <w:rsid w:val="00230CCE"/>
    <w:rsid w:val="00230D3D"/>
    <w:rsid w:val="002321DB"/>
    <w:rsid w:val="002327E2"/>
    <w:rsid w:val="00233DE6"/>
    <w:rsid w:val="0023449D"/>
    <w:rsid w:val="00235E04"/>
    <w:rsid w:val="00236299"/>
    <w:rsid w:val="00236393"/>
    <w:rsid w:val="0023755E"/>
    <w:rsid w:val="00237FB9"/>
    <w:rsid w:val="00240986"/>
    <w:rsid w:val="0024190F"/>
    <w:rsid w:val="002419BA"/>
    <w:rsid w:val="00242576"/>
    <w:rsid w:val="00243162"/>
    <w:rsid w:val="00243589"/>
    <w:rsid w:val="00244117"/>
    <w:rsid w:val="002442A8"/>
    <w:rsid w:val="00244F8C"/>
    <w:rsid w:val="00245D76"/>
    <w:rsid w:val="00245F61"/>
    <w:rsid w:val="0024726F"/>
    <w:rsid w:val="0025026E"/>
    <w:rsid w:val="00251ED6"/>
    <w:rsid w:val="0025263A"/>
    <w:rsid w:val="00253A52"/>
    <w:rsid w:val="002544D0"/>
    <w:rsid w:val="00255348"/>
    <w:rsid w:val="002557BE"/>
    <w:rsid w:val="00255CE4"/>
    <w:rsid w:val="00255D8C"/>
    <w:rsid w:val="002568AC"/>
    <w:rsid w:val="0025696D"/>
    <w:rsid w:val="00256B8F"/>
    <w:rsid w:val="00257093"/>
    <w:rsid w:val="00257177"/>
    <w:rsid w:val="00260EBE"/>
    <w:rsid w:val="00263724"/>
    <w:rsid w:val="00264215"/>
    <w:rsid w:val="002643DF"/>
    <w:rsid w:val="00265148"/>
    <w:rsid w:val="00265DF6"/>
    <w:rsid w:val="00267BFD"/>
    <w:rsid w:val="002703E1"/>
    <w:rsid w:val="0027207F"/>
    <w:rsid w:val="002720A1"/>
    <w:rsid w:val="00272466"/>
    <w:rsid w:val="002730FC"/>
    <w:rsid w:val="0027324F"/>
    <w:rsid w:val="00273513"/>
    <w:rsid w:val="0027357D"/>
    <w:rsid w:val="002755EB"/>
    <w:rsid w:val="00275D5B"/>
    <w:rsid w:val="00277400"/>
    <w:rsid w:val="002775FE"/>
    <w:rsid w:val="002800A7"/>
    <w:rsid w:val="002804D9"/>
    <w:rsid w:val="002805C3"/>
    <w:rsid w:val="00280655"/>
    <w:rsid w:val="00282A51"/>
    <w:rsid w:val="00283D3B"/>
    <w:rsid w:val="00283E68"/>
    <w:rsid w:val="00284AD5"/>
    <w:rsid w:val="00284CC4"/>
    <w:rsid w:val="00284EF2"/>
    <w:rsid w:val="002853AD"/>
    <w:rsid w:val="00287089"/>
    <w:rsid w:val="00287AEC"/>
    <w:rsid w:val="002928E5"/>
    <w:rsid w:val="0029293B"/>
    <w:rsid w:val="00292AB7"/>
    <w:rsid w:val="00292BF3"/>
    <w:rsid w:val="00292DCC"/>
    <w:rsid w:val="0029399B"/>
    <w:rsid w:val="002943C3"/>
    <w:rsid w:val="00294767"/>
    <w:rsid w:val="002947A6"/>
    <w:rsid w:val="00294CCC"/>
    <w:rsid w:val="002960C3"/>
    <w:rsid w:val="00297D3C"/>
    <w:rsid w:val="002A053E"/>
    <w:rsid w:val="002A3F89"/>
    <w:rsid w:val="002A454D"/>
    <w:rsid w:val="002A472D"/>
    <w:rsid w:val="002A4B15"/>
    <w:rsid w:val="002A65CF"/>
    <w:rsid w:val="002A68CE"/>
    <w:rsid w:val="002A6E04"/>
    <w:rsid w:val="002B0D7F"/>
    <w:rsid w:val="002B13EA"/>
    <w:rsid w:val="002B1463"/>
    <w:rsid w:val="002B24CB"/>
    <w:rsid w:val="002B267A"/>
    <w:rsid w:val="002B2BF6"/>
    <w:rsid w:val="002B3226"/>
    <w:rsid w:val="002B3C7C"/>
    <w:rsid w:val="002B3CE7"/>
    <w:rsid w:val="002B4903"/>
    <w:rsid w:val="002B546F"/>
    <w:rsid w:val="002B5E99"/>
    <w:rsid w:val="002B680C"/>
    <w:rsid w:val="002B6E96"/>
    <w:rsid w:val="002B739F"/>
    <w:rsid w:val="002B7715"/>
    <w:rsid w:val="002C078D"/>
    <w:rsid w:val="002C1F4B"/>
    <w:rsid w:val="002C2C0B"/>
    <w:rsid w:val="002C3493"/>
    <w:rsid w:val="002C3837"/>
    <w:rsid w:val="002C3BDE"/>
    <w:rsid w:val="002C43D3"/>
    <w:rsid w:val="002C4AB7"/>
    <w:rsid w:val="002C6336"/>
    <w:rsid w:val="002C653C"/>
    <w:rsid w:val="002C79C5"/>
    <w:rsid w:val="002D0543"/>
    <w:rsid w:val="002D0977"/>
    <w:rsid w:val="002D124A"/>
    <w:rsid w:val="002D270D"/>
    <w:rsid w:val="002D2ED5"/>
    <w:rsid w:val="002D30B5"/>
    <w:rsid w:val="002D348A"/>
    <w:rsid w:val="002D3ED1"/>
    <w:rsid w:val="002D4604"/>
    <w:rsid w:val="002D5355"/>
    <w:rsid w:val="002D561C"/>
    <w:rsid w:val="002D5A30"/>
    <w:rsid w:val="002D5F7E"/>
    <w:rsid w:val="002D670F"/>
    <w:rsid w:val="002D6D79"/>
    <w:rsid w:val="002D6DD6"/>
    <w:rsid w:val="002D77B5"/>
    <w:rsid w:val="002E0E4A"/>
    <w:rsid w:val="002E187F"/>
    <w:rsid w:val="002E1D26"/>
    <w:rsid w:val="002E1E90"/>
    <w:rsid w:val="002E2EA0"/>
    <w:rsid w:val="002E2F85"/>
    <w:rsid w:val="002E403D"/>
    <w:rsid w:val="002E45EC"/>
    <w:rsid w:val="002E4714"/>
    <w:rsid w:val="002E58AB"/>
    <w:rsid w:val="002E5A3B"/>
    <w:rsid w:val="002E5ECC"/>
    <w:rsid w:val="002E6A14"/>
    <w:rsid w:val="002E6ACA"/>
    <w:rsid w:val="002E6E8C"/>
    <w:rsid w:val="002E72F9"/>
    <w:rsid w:val="002F1435"/>
    <w:rsid w:val="002F1BA8"/>
    <w:rsid w:val="002F2537"/>
    <w:rsid w:val="002F33E0"/>
    <w:rsid w:val="002F4E63"/>
    <w:rsid w:val="002F64F3"/>
    <w:rsid w:val="002F68FB"/>
    <w:rsid w:val="002F78EE"/>
    <w:rsid w:val="00300E2D"/>
    <w:rsid w:val="0030111C"/>
    <w:rsid w:val="00301A3A"/>
    <w:rsid w:val="003036FF"/>
    <w:rsid w:val="003039DB"/>
    <w:rsid w:val="00303F46"/>
    <w:rsid w:val="00305D67"/>
    <w:rsid w:val="00305FF9"/>
    <w:rsid w:val="00306216"/>
    <w:rsid w:val="00307299"/>
    <w:rsid w:val="003074F3"/>
    <w:rsid w:val="00310D4F"/>
    <w:rsid w:val="00311405"/>
    <w:rsid w:val="0031176A"/>
    <w:rsid w:val="00311AAC"/>
    <w:rsid w:val="00311BE7"/>
    <w:rsid w:val="003129A6"/>
    <w:rsid w:val="00313950"/>
    <w:rsid w:val="00313B9E"/>
    <w:rsid w:val="00313CD2"/>
    <w:rsid w:val="00314334"/>
    <w:rsid w:val="00316475"/>
    <w:rsid w:val="00316676"/>
    <w:rsid w:val="003169B8"/>
    <w:rsid w:val="00320C8F"/>
    <w:rsid w:val="003218DA"/>
    <w:rsid w:val="0032199E"/>
    <w:rsid w:val="00321E36"/>
    <w:rsid w:val="003229B4"/>
    <w:rsid w:val="00323305"/>
    <w:rsid w:val="003239AF"/>
    <w:rsid w:val="00324514"/>
    <w:rsid w:val="0032495A"/>
    <w:rsid w:val="00324B15"/>
    <w:rsid w:val="00325B61"/>
    <w:rsid w:val="003278E4"/>
    <w:rsid w:val="00327A7A"/>
    <w:rsid w:val="0033108D"/>
    <w:rsid w:val="00331651"/>
    <w:rsid w:val="00331D0F"/>
    <w:rsid w:val="00332095"/>
    <w:rsid w:val="00333A41"/>
    <w:rsid w:val="00333AE1"/>
    <w:rsid w:val="0033648C"/>
    <w:rsid w:val="00340A4E"/>
    <w:rsid w:val="003434E0"/>
    <w:rsid w:val="00344298"/>
    <w:rsid w:val="00344D62"/>
    <w:rsid w:val="003459A8"/>
    <w:rsid w:val="003466D3"/>
    <w:rsid w:val="00350228"/>
    <w:rsid w:val="0035183A"/>
    <w:rsid w:val="003523F7"/>
    <w:rsid w:val="0035242F"/>
    <w:rsid w:val="00352B42"/>
    <w:rsid w:val="00352B9F"/>
    <w:rsid w:val="00352F40"/>
    <w:rsid w:val="00353289"/>
    <w:rsid w:val="00354D7D"/>
    <w:rsid w:val="00361A1C"/>
    <w:rsid w:val="003634A5"/>
    <w:rsid w:val="00365BB5"/>
    <w:rsid w:val="00365F79"/>
    <w:rsid w:val="00367CE3"/>
    <w:rsid w:val="00367F83"/>
    <w:rsid w:val="003700B4"/>
    <w:rsid w:val="003702C4"/>
    <w:rsid w:val="00370A35"/>
    <w:rsid w:val="00374325"/>
    <w:rsid w:val="003754F8"/>
    <w:rsid w:val="00376603"/>
    <w:rsid w:val="00377F84"/>
    <w:rsid w:val="00380438"/>
    <w:rsid w:val="003805C6"/>
    <w:rsid w:val="003817F7"/>
    <w:rsid w:val="00382A51"/>
    <w:rsid w:val="003833F1"/>
    <w:rsid w:val="003833FF"/>
    <w:rsid w:val="0038387F"/>
    <w:rsid w:val="00383A4F"/>
    <w:rsid w:val="003841B1"/>
    <w:rsid w:val="003842B8"/>
    <w:rsid w:val="0038545E"/>
    <w:rsid w:val="00385FC5"/>
    <w:rsid w:val="00386474"/>
    <w:rsid w:val="003871CE"/>
    <w:rsid w:val="00387229"/>
    <w:rsid w:val="0038785A"/>
    <w:rsid w:val="00387AEB"/>
    <w:rsid w:val="00387E2B"/>
    <w:rsid w:val="00390699"/>
    <w:rsid w:val="0039085D"/>
    <w:rsid w:val="003916D9"/>
    <w:rsid w:val="00391C1F"/>
    <w:rsid w:val="00392849"/>
    <w:rsid w:val="00395C85"/>
    <w:rsid w:val="00396CBB"/>
    <w:rsid w:val="0039746D"/>
    <w:rsid w:val="003A0506"/>
    <w:rsid w:val="003A0B1D"/>
    <w:rsid w:val="003A23A9"/>
    <w:rsid w:val="003A3F36"/>
    <w:rsid w:val="003A4381"/>
    <w:rsid w:val="003A4651"/>
    <w:rsid w:val="003A466B"/>
    <w:rsid w:val="003A5FB8"/>
    <w:rsid w:val="003A61EE"/>
    <w:rsid w:val="003A6586"/>
    <w:rsid w:val="003A7631"/>
    <w:rsid w:val="003B0BD3"/>
    <w:rsid w:val="003B0E28"/>
    <w:rsid w:val="003B106E"/>
    <w:rsid w:val="003B18B4"/>
    <w:rsid w:val="003B2812"/>
    <w:rsid w:val="003B2E5D"/>
    <w:rsid w:val="003B3291"/>
    <w:rsid w:val="003B4746"/>
    <w:rsid w:val="003B4B32"/>
    <w:rsid w:val="003B4E6A"/>
    <w:rsid w:val="003B70A3"/>
    <w:rsid w:val="003C0156"/>
    <w:rsid w:val="003C0CE2"/>
    <w:rsid w:val="003C0ED4"/>
    <w:rsid w:val="003C13D2"/>
    <w:rsid w:val="003C179B"/>
    <w:rsid w:val="003C182D"/>
    <w:rsid w:val="003C1A11"/>
    <w:rsid w:val="003C2863"/>
    <w:rsid w:val="003C2C7D"/>
    <w:rsid w:val="003C2D56"/>
    <w:rsid w:val="003C38E5"/>
    <w:rsid w:val="003C48B4"/>
    <w:rsid w:val="003C4B22"/>
    <w:rsid w:val="003C5248"/>
    <w:rsid w:val="003C5FF0"/>
    <w:rsid w:val="003C6093"/>
    <w:rsid w:val="003C6484"/>
    <w:rsid w:val="003C6A67"/>
    <w:rsid w:val="003C6B23"/>
    <w:rsid w:val="003C75C1"/>
    <w:rsid w:val="003D011A"/>
    <w:rsid w:val="003D04B6"/>
    <w:rsid w:val="003D1CB7"/>
    <w:rsid w:val="003D249C"/>
    <w:rsid w:val="003D2799"/>
    <w:rsid w:val="003D3167"/>
    <w:rsid w:val="003D36A3"/>
    <w:rsid w:val="003D4C89"/>
    <w:rsid w:val="003D60CF"/>
    <w:rsid w:val="003D6884"/>
    <w:rsid w:val="003D692C"/>
    <w:rsid w:val="003E002C"/>
    <w:rsid w:val="003E028B"/>
    <w:rsid w:val="003E2691"/>
    <w:rsid w:val="003E3869"/>
    <w:rsid w:val="003E517E"/>
    <w:rsid w:val="003E5677"/>
    <w:rsid w:val="003E5792"/>
    <w:rsid w:val="003E7D02"/>
    <w:rsid w:val="003F0122"/>
    <w:rsid w:val="003F3223"/>
    <w:rsid w:val="003F34A3"/>
    <w:rsid w:val="003F4036"/>
    <w:rsid w:val="003F4167"/>
    <w:rsid w:val="003F48DA"/>
    <w:rsid w:val="003F6020"/>
    <w:rsid w:val="003F7442"/>
    <w:rsid w:val="00401E16"/>
    <w:rsid w:val="00401E43"/>
    <w:rsid w:val="00401FDA"/>
    <w:rsid w:val="004023C5"/>
    <w:rsid w:val="00403392"/>
    <w:rsid w:val="004045F7"/>
    <w:rsid w:val="00405A9E"/>
    <w:rsid w:val="00406C1B"/>
    <w:rsid w:val="00407B82"/>
    <w:rsid w:val="00407E19"/>
    <w:rsid w:val="004108F2"/>
    <w:rsid w:val="00410E30"/>
    <w:rsid w:val="0041124C"/>
    <w:rsid w:val="00411260"/>
    <w:rsid w:val="004115D7"/>
    <w:rsid w:val="00411A1B"/>
    <w:rsid w:val="00411DD3"/>
    <w:rsid w:val="00411E49"/>
    <w:rsid w:val="004138FF"/>
    <w:rsid w:val="00414574"/>
    <w:rsid w:val="00414AE9"/>
    <w:rsid w:val="00415D4D"/>
    <w:rsid w:val="00416379"/>
    <w:rsid w:val="004163F5"/>
    <w:rsid w:val="00420974"/>
    <w:rsid w:val="0042146A"/>
    <w:rsid w:val="00421A13"/>
    <w:rsid w:val="00422A76"/>
    <w:rsid w:val="00423031"/>
    <w:rsid w:val="0042448F"/>
    <w:rsid w:val="00425311"/>
    <w:rsid w:val="004316B2"/>
    <w:rsid w:val="00431942"/>
    <w:rsid w:val="00431D7D"/>
    <w:rsid w:val="00435B57"/>
    <w:rsid w:val="004360E9"/>
    <w:rsid w:val="00436121"/>
    <w:rsid w:val="00436894"/>
    <w:rsid w:val="0043703A"/>
    <w:rsid w:val="00437345"/>
    <w:rsid w:val="00437D92"/>
    <w:rsid w:val="00443B26"/>
    <w:rsid w:val="004441D6"/>
    <w:rsid w:val="004448A5"/>
    <w:rsid w:val="0044602D"/>
    <w:rsid w:val="004504DD"/>
    <w:rsid w:val="0045140D"/>
    <w:rsid w:val="00451502"/>
    <w:rsid w:val="00451EB0"/>
    <w:rsid w:val="0045263C"/>
    <w:rsid w:val="00452A84"/>
    <w:rsid w:val="00452D1B"/>
    <w:rsid w:val="004532AD"/>
    <w:rsid w:val="0045442F"/>
    <w:rsid w:val="00455E60"/>
    <w:rsid w:val="00455F20"/>
    <w:rsid w:val="00456CFE"/>
    <w:rsid w:val="004573C0"/>
    <w:rsid w:val="00457562"/>
    <w:rsid w:val="00460CDD"/>
    <w:rsid w:val="00461352"/>
    <w:rsid w:val="00462047"/>
    <w:rsid w:val="00462058"/>
    <w:rsid w:val="00463495"/>
    <w:rsid w:val="004641DF"/>
    <w:rsid w:val="004645D0"/>
    <w:rsid w:val="00464F91"/>
    <w:rsid w:val="00466992"/>
    <w:rsid w:val="00467CDD"/>
    <w:rsid w:val="00470319"/>
    <w:rsid w:val="00470EB2"/>
    <w:rsid w:val="00470EC1"/>
    <w:rsid w:val="004714C5"/>
    <w:rsid w:val="004715C9"/>
    <w:rsid w:val="00472332"/>
    <w:rsid w:val="00472BA8"/>
    <w:rsid w:val="0047487E"/>
    <w:rsid w:val="00475135"/>
    <w:rsid w:val="00475B00"/>
    <w:rsid w:val="00475F91"/>
    <w:rsid w:val="00476F2D"/>
    <w:rsid w:val="0048025F"/>
    <w:rsid w:val="004805BC"/>
    <w:rsid w:val="004818BC"/>
    <w:rsid w:val="004846A6"/>
    <w:rsid w:val="0048625E"/>
    <w:rsid w:val="00486FFE"/>
    <w:rsid w:val="004871F2"/>
    <w:rsid w:val="004873C7"/>
    <w:rsid w:val="00490296"/>
    <w:rsid w:val="0049084A"/>
    <w:rsid w:val="00491413"/>
    <w:rsid w:val="0049249D"/>
    <w:rsid w:val="00492579"/>
    <w:rsid w:val="00492D39"/>
    <w:rsid w:val="00493776"/>
    <w:rsid w:val="004947AA"/>
    <w:rsid w:val="00494D4E"/>
    <w:rsid w:val="00495410"/>
    <w:rsid w:val="004955B0"/>
    <w:rsid w:val="00496571"/>
    <w:rsid w:val="004970BC"/>
    <w:rsid w:val="00497B9F"/>
    <w:rsid w:val="004A121C"/>
    <w:rsid w:val="004A12D3"/>
    <w:rsid w:val="004A31AF"/>
    <w:rsid w:val="004A3A32"/>
    <w:rsid w:val="004A3A47"/>
    <w:rsid w:val="004A4050"/>
    <w:rsid w:val="004A50F5"/>
    <w:rsid w:val="004A51D9"/>
    <w:rsid w:val="004A633F"/>
    <w:rsid w:val="004A6B35"/>
    <w:rsid w:val="004A7C42"/>
    <w:rsid w:val="004B03D8"/>
    <w:rsid w:val="004B2265"/>
    <w:rsid w:val="004B2AE8"/>
    <w:rsid w:val="004B3699"/>
    <w:rsid w:val="004B4079"/>
    <w:rsid w:val="004B5358"/>
    <w:rsid w:val="004B5E56"/>
    <w:rsid w:val="004B61D7"/>
    <w:rsid w:val="004B670A"/>
    <w:rsid w:val="004B72D6"/>
    <w:rsid w:val="004B77FF"/>
    <w:rsid w:val="004B78F8"/>
    <w:rsid w:val="004C001D"/>
    <w:rsid w:val="004C14B9"/>
    <w:rsid w:val="004C4CF4"/>
    <w:rsid w:val="004C5B97"/>
    <w:rsid w:val="004C5D3A"/>
    <w:rsid w:val="004C5F99"/>
    <w:rsid w:val="004C660D"/>
    <w:rsid w:val="004C6F2F"/>
    <w:rsid w:val="004D0259"/>
    <w:rsid w:val="004D12CA"/>
    <w:rsid w:val="004D35B2"/>
    <w:rsid w:val="004D3B31"/>
    <w:rsid w:val="004D59A5"/>
    <w:rsid w:val="004D5B38"/>
    <w:rsid w:val="004D6052"/>
    <w:rsid w:val="004D7177"/>
    <w:rsid w:val="004D73D6"/>
    <w:rsid w:val="004D79D7"/>
    <w:rsid w:val="004D79EA"/>
    <w:rsid w:val="004E01F6"/>
    <w:rsid w:val="004E3B63"/>
    <w:rsid w:val="004E4157"/>
    <w:rsid w:val="004E519B"/>
    <w:rsid w:val="004E5E92"/>
    <w:rsid w:val="004E6BB7"/>
    <w:rsid w:val="004E7330"/>
    <w:rsid w:val="004F03A1"/>
    <w:rsid w:val="004F06E2"/>
    <w:rsid w:val="004F124F"/>
    <w:rsid w:val="004F162A"/>
    <w:rsid w:val="004F2FAC"/>
    <w:rsid w:val="004F46FA"/>
    <w:rsid w:val="004F60F2"/>
    <w:rsid w:val="004F670D"/>
    <w:rsid w:val="0050030E"/>
    <w:rsid w:val="005005BF"/>
    <w:rsid w:val="00501843"/>
    <w:rsid w:val="00501F73"/>
    <w:rsid w:val="00505064"/>
    <w:rsid w:val="005062D3"/>
    <w:rsid w:val="0051042F"/>
    <w:rsid w:val="00510E77"/>
    <w:rsid w:val="0051117B"/>
    <w:rsid w:val="00512490"/>
    <w:rsid w:val="00512642"/>
    <w:rsid w:val="00513288"/>
    <w:rsid w:val="00513387"/>
    <w:rsid w:val="00513961"/>
    <w:rsid w:val="00514031"/>
    <w:rsid w:val="00515535"/>
    <w:rsid w:val="005161C8"/>
    <w:rsid w:val="005162FC"/>
    <w:rsid w:val="005164C4"/>
    <w:rsid w:val="00516E49"/>
    <w:rsid w:val="005173E7"/>
    <w:rsid w:val="00517686"/>
    <w:rsid w:val="00520523"/>
    <w:rsid w:val="0052112B"/>
    <w:rsid w:val="005224AD"/>
    <w:rsid w:val="0052260F"/>
    <w:rsid w:val="00522901"/>
    <w:rsid w:val="00522C2D"/>
    <w:rsid w:val="00522C93"/>
    <w:rsid w:val="005239E5"/>
    <w:rsid w:val="00524ECD"/>
    <w:rsid w:val="00525BCA"/>
    <w:rsid w:val="0052767B"/>
    <w:rsid w:val="00531BB2"/>
    <w:rsid w:val="00531C21"/>
    <w:rsid w:val="0053528E"/>
    <w:rsid w:val="00535EBA"/>
    <w:rsid w:val="00537626"/>
    <w:rsid w:val="00537F8A"/>
    <w:rsid w:val="0054027A"/>
    <w:rsid w:val="005402DB"/>
    <w:rsid w:val="00540806"/>
    <w:rsid w:val="005409C0"/>
    <w:rsid w:val="00542B86"/>
    <w:rsid w:val="00542F63"/>
    <w:rsid w:val="0054308B"/>
    <w:rsid w:val="0054316C"/>
    <w:rsid w:val="00545532"/>
    <w:rsid w:val="00550361"/>
    <w:rsid w:val="005506F3"/>
    <w:rsid w:val="00550C61"/>
    <w:rsid w:val="00551D63"/>
    <w:rsid w:val="00551F48"/>
    <w:rsid w:val="00552932"/>
    <w:rsid w:val="00552A8E"/>
    <w:rsid w:val="00552C3F"/>
    <w:rsid w:val="00552F0E"/>
    <w:rsid w:val="00553BA2"/>
    <w:rsid w:val="00553F33"/>
    <w:rsid w:val="005554F3"/>
    <w:rsid w:val="00557850"/>
    <w:rsid w:val="005603C8"/>
    <w:rsid w:val="0056048C"/>
    <w:rsid w:val="0056101C"/>
    <w:rsid w:val="00562D75"/>
    <w:rsid w:val="00562E69"/>
    <w:rsid w:val="00562F57"/>
    <w:rsid w:val="00563208"/>
    <w:rsid w:val="005632CA"/>
    <w:rsid w:val="0056371B"/>
    <w:rsid w:val="00564C93"/>
    <w:rsid w:val="00565406"/>
    <w:rsid w:val="0056658D"/>
    <w:rsid w:val="00566649"/>
    <w:rsid w:val="00567B17"/>
    <w:rsid w:val="00570222"/>
    <w:rsid w:val="00570952"/>
    <w:rsid w:val="00572F54"/>
    <w:rsid w:val="0057362A"/>
    <w:rsid w:val="005760AA"/>
    <w:rsid w:val="00576261"/>
    <w:rsid w:val="00577142"/>
    <w:rsid w:val="005771A4"/>
    <w:rsid w:val="00577F67"/>
    <w:rsid w:val="005801D8"/>
    <w:rsid w:val="005808ED"/>
    <w:rsid w:val="005827A6"/>
    <w:rsid w:val="00582DE5"/>
    <w:rsid w:val="0058653B"/>
    <w:rsid w:val="005872EC"/>
    <w:rsid w:val="00587D43"/>
    <w:rsid w:val="005908E5"/>
    <w:rsid w:val="0059276F"/>
    <w:rsid w:val="0059277F"/>
    <w:rsid w:val="00592A8A"/>
    <w:rsid w:val="00593068"/>
    <w:rsid w:val="0059399D"/>
    <w:rsid w:val="005948F6"/>
    <w:rsid w:val="00594F7D"/>
    <w:rsid w:val="00595587"/>
    <w:rsid w:val="005957AB"/>
    <w:rsid w:val="00595A8A"/>
    <w:rsid w:val="00596E27"/>
    <w:rsid w:val="00597938"/>
    <w:rsid w:val="005A0160"/>
    <w:rsid w:val="005A0187"/>
    <w:rsid w:val="005A1964"/>
    <w:rsid w:val="005A22DA"/>
    <w:rsid w:val="005A2994"/>
    <w:rsid w:val="005A2D2E"/>
    <w:rsid w:val="005A334E"/>
    <w:rsid w:val="005A364A"/>
    <w:rsid w:val="005A393A"/>
    <w:rsid w:val="005A3AD4"/>
    <w:rsid w:val="005A3ED1"/>
    <w:rsid w:val="005A4E5A"/>
    <w:rsid w:val="005A53C9"/>
    <w:rsid w:val="005A55C5"/>
    <w:rsid w:val="005A5CF2"/>
    <w:rsid w:val="005A6FB7"/>
    <w:rsid w:val="005A739A"/>
    <w:rsid w:val="005A7C75"/>
    <w:rsid w:val="005B0A26"/>
    <w:rsid w:val="005B0C0A"/>
    <w:rsid w:val="005B0F00"/>
    <w:rsid w:val="005B114B"/>
    <w:rsid w:val="005B1D6D"/>
    <w:rsid w:val="005B3389"/>
    <w:rsid w:val="005B49FF"/>
    <w:rsid w:val="005B4BFB"/>
    <w:rsid w:val="005B521C"/>
    <w:rsid w:val="005B5C8F"/>
    <w:rsid w:val="005B6EDF"/>
    <w:rsid w:val="005B75DF"/>
    <w:rsid w:val="005C0F61"/>
    <w:rsid w:val="005C128D"/>
    <w:rsid w:val="005C16BD"/>
    <w:rsid w:val="005C1AC1"/>
    <w:rsid w:val="005C4794"/>
    <w:rsid w:val="005C4C1E"/>
    <w:rsid w:val="005C4EAE"/>
    <w:rsid w:val="005C54C9"/>
    <w:rsid w:val="005C5B25"/>
    <w:rsid w:val="005C60EF"/>
    <w:rsid w:val="005C64B2"/>
    <w:rsid w:val="005C70FF"/>
    <w:rsid w:val="005C7350"/>
    <w:rsid w:val="005D0BAC"/>
    <w:rsid w:val="005D0D04"/>
    <w:rsid w:val="005D0E7F"/>
    <w:rsid w:val="005D1099"/>
    <w:rsid w:val="005D165F"/>
    <w:rsid w:val="005D1B51"/>
    <w:rsid w:val="005D206B"/>
    <w:rsid w:val="005D2447"/>
    <w:rsid w:val="005D3285"/>
    <w:rsid w:val="005D3CB7"/>
    <w:rsid w:val="005D3CFF"/>
    <w:rsid w:val="005D477E"/>
    <w:rsid w:val="005D4A75"/>
    <w:rsid w:val="005D536F"/>
    <w:rsid w:val="005D631D"/>
    <w:rsid w:val="005D64CB"/>
    <w:rsid w:val="005D6983"/>
    <w:rsid w:val="005D6A43"/>
    <w:rsid w:val="005E0DA9"/>
    <w:rsid w:val="005E26FD"/>
    <w:rsid w:val="005E4FF9"/>
    <w:rsid w:val="005E5CE4"/>
    <w:rsid w:val="005E5EA1"/>
    <w:rsid w:val="005E66B2"/>
    <w:rsid w:val="005E6781"/>
    <w:rsid w:val="005E7610"/>
    <w:rsid w:val="005E7A44"/>
    <w:rsid w:val="005F0678"/>
    <w:rsid w:val="005F1CB5"/>
    <w:rsid w:val="005F1DB6"/>
    <w:rsid w:val="005F2BD7"/>
    <w:rsid w:val="005F445D"/>
    <w:rsid w:val="005F51E6"/>
    <w:rsid w:val="005F5D23"/>
    <w:rsid w:val="005F663A"/>
    <w:rsid w:val="005F673A"/>
    <w:rsid w:val="00600077"/>
    <w:rsid w:val="006005FB"/>
    <w:rsid w:val="006015B5"/>
    <w:rsid w:val="0060305A"/>
    <w:rsid w:val="00603C0C"/>
    <w:rsid w:val="006041EB"/>
    <w:rsid w:val="006056B7"/>
    <w:rsid w:val="00605B20"/>
    <w:rsid w:val="00605CCC"/>
    <w:rsid w:val="00610B2D"/>
    <w:rsid w:val="00611981"/>
    <w:rsid w:val="00612BAF"/>
    <w:rsid w:val="00612C24"/>
    <w:rsid w:val="00612EC2"/>
    <w:rsid w:val="006136CE"/>
    <w:rsid w:val="006156EA"/>
    <w:rsid w:val="00615FB8"/>
    <w:rsid w:val="006175AB"/>
    <w:rsid w:val="00617FD7"/>
    <w:rsid w:val="00620C89"/>
    <w:rsid w:val="0062112A"/>
    <w:rsid w:val="006235D2"/>
    <w:rsid w:val="0062392D"/>
    <w:rsid w:val="006247EB"/>
    <w:rsid w:val="006253DC"/>
    <w:rsid w:val="00625546"/>
    <w:rsid w:val="00626434"/>
    <w:rsid w:val="00626C0B"/>
    <w:rsid w:val="00630DE9"/>
    <w:rsid w:val="00630F59"/>
    <w:rsid w:val="006311A4"/>
    <w:rsid w:val="006312FE"/>
    <w:rsid w:val="0063160C"/>
    <w:rsid w:val="00631998"/>
    <w:rsid w:val="00631C9F"/>
    <w:rsid w:val="00631D87"/>
    <w:rsid w:val="00632901"/>
    <w:rsid w:val="0063343D"/>
    <w:rsid w:val="00633703"/>
    <w:rsid w:val="00633EF9"/>
    <w:rsid w:val="006342C5"/>
    <w:rsid w:val="00634A03"/>
    <w:rsid w:val="00634DB6"/>
    <w:rsid w:val="0063775D"/>
    <w:rsid w:val="006406F6"/>
    <w:rsid w:val="0064141D"/>
    <w:rsid w:val="006422A7"/>
    <w:rsid w:val="00642D6A"/>
    <w:rsid w:val="006435A8"/>
    <w:rsid w:val="006447F7"/>
    <w:rsid w:val="006451C7"/>
    <w:rsid w:val="006457D4"/>
    <w:rsid w:val="006458FE"/>
    <w:rsid w:val="00647285"/>
    <w:rsid w:val="006503C2"/>
    <w:rsid w:val="00650810"/>
    <w:rsid w:val="00650FD1"/>
    <w:rsid w:val="00650FF9"/>
    <w:rsid w:val="0065108C"/>
    <w:rsid w:val="00651B38"/>
    <w:rsid w:val="00651CC7"/>
    <w:rsid w:val="00652D8A"/>
    <w:rsid w:val="0065328F"/>
    <w:rsid w:val="00653F21"/>
    <w:rsid w:val="00654142"/>
    <w:rsid w:val="006547E9"/>
    <w:rsid w:val="006569B1"/>
    <w:rsid w:val="006569CA"/>
    <w:rsid w:val="00656A5D"/>
    <w:rsid w:val="00656EDA"/>
    <w:rsid w:val="00656F92"/>
    <w:rsid w:val="006575EC"/>
    <w:rsid w:val="0066009B"/>
    <w:rsid w:val="00660733"/>
    <w:rsid w:val="00661534"/>
    <w:rsid w:val="0066189D"/>
    <w:rsid w:val="00663B42"/>
    <w:rsid w:val="00665439"/>
    <w:rsid w:val="00665ADC"/>
    <w:rsid w:val="00666115"/>
    <w:rsid w:val="0067086B"/>
    <w:rsid w:val="006710EF"/>
    <w:rsid w:val="00672163"/>
    <w:rsid w:val="00673425"/>
    <w:rsid w:val="00673CA8"/>
    <w:rsid w:val="00674134"/>
    <w:rsid w:val="00674B4D"/>
    <w:rsid w:val="006754DD"/>
    <w:rsid w:val="006758B4"/>
    <w:rsid w:val="006769E2"/>
    <w:rsid w:val="00676E96"/>
    <w:rsid w:val="006772D7"/>
    <w:rsid w:val="00677504"/>
    <w:rsid w:val="00680634"/>
    <w:rsid w:val="006808F3"/>
    <w:rsid w:val="00681DB0"/>
    <w:rsid w:val="00682323"/>
    <w:rsid w:val="0068310C"/>
    <w:rsid w:val="0068362E"/>
    <w:rsid w:val="00684D10"/>
    <w:rsid w:val="006853EE"/>
    <w:rsid w:val="00686DBB"/>
    <w:rsid w:val="00687D71"/>
    <w:rsid w:val="0069017C"/>
    <w:rsid w:val="00690854"/>
    <w:rsid w:val="006922AD"/>
    <w:rsid w:val="006929E2"/>
    <w:rsid w:val="00692AAA"/>
    <w:rsid w:val="00692B5B"/>
    <w:rsid w:val="006936C0"/>
    <w:rsid w:val="0069381D"/>
    <w:rsid w:val="00694A45"/>
    <w:rsid w:val="00694A9D"/>
    <w:rsid w:val="00695DDC"/>
    <w:rsid w:val="006960A6"/>
    <w:rsid w:val="006A019B"/>
    <w:rsid w:val="006A0320"/>
    <w:rsid w:val="006A1B08"/>
    <w:rsid w:val="006A1F8B"/>
    <w:rsid w:val="006A1F92"/>
    <w:rsid w:val="006A223A"/>
    <w:rsid w:val="006A3C4D"/>
    <w:rsid w:val="006A479E"/>
    <w:rsid w:val="006A4E48"/>
    <w:rsid w:val="006A57BF"/>
    <w:rsid w:val="006A62AB"/>
    <w:rsid w:val="006A639C"/>
    <w:rsid w:val="006A6BF1"/>
    <w:rsid w:val="006A6E94"/>
    <w:rsid w:val="006A7D22"/>
    <w:rsid w:val="006B0CF6"/>
    <w:rsid w:val="006B0DF9"/>
    <w:rsid w:val="006B0E2E"/>
    <w:rsid w:val="006B1CD4"/>
    <w:rsid w:val="006B3D49"/>
    <w:rsid w:val="006B45EF"/>
    <w:rsid w:val="006B4CE0"/>
    <w:rsid w:val="006B55B7"/>
    <w:rsid w:val="006B7668"/>
    <w:rsid w:val="006B7FD9"/>
    <w:rsid w:val="006C13BB"/>
    <w:rsid w:val="006C1AE3"/>
    <w:rsid w:val="006C31F7"/>
    <w:rsid w:val="006C4554"/>
    <w:rsid w:val="006C4578"/>
    <w:rsid w:val="006C6338"/>
    <w:rsid w:val="006C63B3"/>
    <w:rsid w:val="006C6997"/>
    <w:rsid w:val="006C6A3E"/>
    <w:rsid w:val="006C6E7B"/>
    <w:rsid w:val="006C7C50"/>
    <w:rsid w:val="006D0236"/>
    <w:rsid w:val="006D088B"/>
    <w:rsid w:val="006D1B10"/>
    <w:rsid w:val="006D1E11"/>
    <w:rsid w:val="006D2FCA"/>
    <w:rsid w:val="006D3171"/>
    <w:rsid w:val="006D320C"/>
    <w:rsid w:val="006D42DA"/>
    <w:rsid w:val="006D5030"/>
    <w:rsid w:val="006D5C32"/>
    <w:rsid w:val="006D78F8"/>
    <w:rsid w:val="006D7E26"/>
    <w:rsid w:val="006E030E"/>
    <w:rsid w:val="006E0A0E"/>
    <w:rsid w:val="006E0D17"/>
    <w:rsid w:val="006E117F"/>
    <w:rsid w:val="006E24BB"/>
    <w:rsid w:val="006E460A"/>
    <w:rsid w:val="006E47D4"/>
    <w:rsid w:val="006E6194"/>
    <w:rsid w:val="006E6770"/>
    <w:rsid w:val="006E683E"/>
    <w:rsid w:val="006E6C21"/>
    <w:rsid w:val="006E75A7"/>
    <w:rsid w:val="006F0AFD"/>
    <w:rsid w:val="006F1899"/>
    <w:rsid w:val="006F2556"/>
    <w:rsid w:val="006F3096"/>
    <w:rsid w:val="006F34F2"/>
    <w:rsid w:val="006F4D49"/>
    <w:rsid w:val="006F5CDD"/>
    <w:rsid w:val="006F5EB8"/>
    <w:rsid w:val="006F63DC"/>
    <w:rsid w:val="006F6F20"/>
    <w:rsid w:val="006F79AA"/>
    <w:rsid w:val="00700DAC"/>
    <w:rsid w:val="0070197A"/>
    <w:rsid w:val="00701BA1"/>
    <w:rsid w:val="00703ADE"/>
    <w:rsid w:val="00703CDB"/>
    <w:rsid w:val="00703D07"/>
    <w:rsid w:val="0070584E"/>
    <w:rsid w:val="00705BF1"/>
    <w:rsid w:val="00705EF2"/>
    <w:rsid w:val="00706068"/>
    <w:rsid w:val="0070648D"/>
    <w:rsid w:val="00710037"/>
    <w:rsid w:val="00710CF7"/>
    <w:rsid w:val="00711821"/>
    <w:rsid w:val="00712239"/>
    <w:rsid w:val="00713C17"/>
    <w:rsid w:val="0071441F"/>
    <w:rsid w:val="00714B14"/>
    <w:rsid w:val="007208B6"/>
    <w:rsid w:val="00720AF0"/>
    <w:rsid w:val="0072263C"/>
    <w:rsid w:val="007230B6"/>
    <w:rsid w:val="0072317C"/>
    <w:rsid w:val="00723547"/>
    <w:rsid w:val="00723902"/>
    <w:rsid w:val="007242E6"/>
    <w:rsid w:val="00724E08"/>
    <w:rsid w:val="007270FC"/>
    <w:rsid w:val="00727330"/>
    <w:rsid w:val="007301E0"/>
    <w:rsid w:val="00730923"/>
    <w:rsid w:val="007336E0"/>
    <w:rsid w:val="00733F28"/>
    <w:rsid w:val="00734402"/>
    <w:rsid w:val="007346B6"/>
    <w:rsid w:val="00735BA1"/>
    <w:rsid w:val="00736A9E"/>
    <w:rsid w:val="00736F31"/>
    <w:rsid w:val="00740559"/>
    <w:rsid w:val="00741AC8"/>
    <w:rsid w:val="007420AA"/>
    <w:rsid w:val="007427E5"/>
    <w:rsid w:val="007446D4"/>
    <w:rsid w:val="00745D41"/>
    <w:rsid w:val="00745EA3"/>
    <w:rsid w:val="00747794"/>
    <w:rsid w:val="007502B0"/>
    <w:rsid w:val="007502DA"/>
    <w:rsid w:val="00752793"/>
    <w:rsid w:val="00752C9A"/>
    <w:rsid w:val="007531B7"/>
    <w:rsid w:val="0075361C"/>
    <w:rsid w:val="0075370A"/>
    <w:rsid w:val="00754424"/>
    <w:rsid w:val="00755228"/>
    <w:rsid w:val="00755FB1"/>
    <w:rsid w:val="00756118"/>
    <w:rsid w:val="0075691F"/>
    <w:rsid w:val="00756B76"/>
    <w:rsid w:val="00760363"/>
    <w:rsid w:val="0076094D"/>
    <w:rsid w:val="00760E23"/>
    <w:rsid w:val="007635B1"/>
    <w:rsid w:val="00763606"/>
    <w:rsid w:val="00764EED"/>
    <w:rsid w:val="0076573A"/>
    <w:rsid w:val="00765F5B"/>
    <w:rsid w:val="007666A0"/>
    <w:rsid w:val="00766A76"/>
    <w:rsid w:val="00767A9C"/>
    <w:rsid w:val="00767EEE"/>
    <w:rsid w:val="00770ABB"/>
    <w:rsid w:val="00772120"/>
    <w:rsid w:val="007733F5"/>
    <w:rsid w:val="00775A6E"/>
    <w:rsid w:val="00775EE6"/>
    <w:rsid w:val="00776D94"/>
    <w:rsid w:val="007771F0"/>
    <w:rsid w:val="0077742C"/>
    <w:rsid w:val="00777FC9"/>
    <w:rsid w:val="0078142C"/>
    <w:rsid w:val="007825CE"/>
    <w:rsid w:val="007829BD"/>
    <w:rsid w:val="00782EB7"/>
    <w:rsid w:val="007834C5"/>
    <w:rsid w:val="0078381E"/>
    <w:rsid w:val="007852C8"/>
    <w:rsid w:val="007865F5"/>
    <w:rsid w:val="00786682"/>
    <w:rsid w:val="007868BD"/>
    <w:rsid w:val="00786F9E"/>
    <w:rsid w:val="0078728A"/>
    <w:rsid w:val="00787F46"/>
    <w:rsid w:val="00790806"/>
    <w:rsid w:val="007911AA"/>
    <w:rsid w:val="00792954"/>
    <w:rsid w:val="00794973"/>
    <w:rsid w:val="00794C24"/>
    <w:rsid w:val="00795DF5"/>
    <w:rsid w:val="007961BB"/>
    <w:rsid w:val="0079791D"/>
    <w:rsid w:val="00797EE8"/>
    <w:rsid w:val="007A19FA"/>
    <w:rsid w:val="007A241A"/>
    <w:rsid w:val="007A53F8"/>
    <w:rsid w:val="007A56CB"/>
    <w:rsid w:val="007B0710"/>
    <w:rsid w:val="007B1E86"/>
    <w:rsid w:val="007B21E2"/>
    <w:rsid w:val="007B236F"/>
    <w:rsid w:val="007B3AC6"/>
    <w:rsid w:val="007B3D72"/>
    <w:rsid w:val="007B678E"/>
    <w:rsid w:val="007B6B9A"/>
    <w:rsid w:val="007B7368"/>
    <w:rsid w:val="007B7E3D"/>
    <w:rsid w:val="007C1AED"/>
    <w:rsid w:val="007C2CA4"/>
    <w:rsid w:val="007C384F"/>
    <w:rsid w:val="007C387A"/>
    <w:rsid w:val="007C3E0D"/>
    <w:rsid w:val="007C423C"/>
    <w:rsid w:val="007C45D2"/>
    <w:rsid w:val="007C481D"/>
    <w:rsid w:val="007C6E0F"/>
    <w:rsid w:val="007C711B"/>
    <w:rsid w:val="007C71F8"/>
    <w:rsid w:val="007C7E20"/>
    <w:rsid w:val="007D11B0"/>
    <w:rsid w:val="007D210E"/>
    <w:rsid w:val="007D381E"/>
    <w:rsid w:val="007D503D"/>
    <w:rsid w:val="007D5269"/>
    <w:rsid w:val="007D573B"/>
    <w:rsid w:val="007D5936"/>
    <w:rsid w:val="007D5F98"/>
    <w:rsid w:val="007E0429"/>
    <w:rsid w:val="007E1F01"/>
    <w:rsid w:val="007E27DC"/>
    <w:rsid w:val="007E2BF4"/>
    <w:rsid w:val="007E31DA"/>
    <w:rsid w:val="007E4D10"/>
    <w:rsid w:val="007E4F9F"/>
    <w:rsid w:val="007E56C5"/>
    <w:rsid w:val="007E76BC"/>
    <w:rsid w:val="007F01D5"/>
    <w:rsid w:val="007F06A2"/>
    <w:rsid w:val="007F0793"/>
    <w:rsid w:val="007F0EFE"/>
    <w:rsid w:val="007F1002"/>
    <w:rsid w:val="007F3B95"/>
    <w:rsid w:val="007F46C2"/>
    <w:rsid w:val="007F47B2"/>
    <w:rsid w:val="007F5054"/>
    <w:rsid w:val="007F5330"/>
    <w:rsid w:val="007F54A1"/>
    <w:rsid w:val="007F5767"/>
    <w:rsid w:val="007F60CF"/>
    <w:rsid w:val="007F6305"/>
    <w:rsid w:val="007F704F"/>
    <w:rsid w:val="00800F59"/>
    <w:rsid w:val="008035C8"/>
    <w:rsid w:val="00804FC2"/>
    <w:rsid w:val="00805065"/>
    <w:rsid w:val="00805070"/>
    <w:rsid w:val="00805B23"/>
    <w:rsid w:val="00806464"/>
    <w:rsid w:val="00806544"/>
    <w:rsid w:val="00807979"/>
    <w:rsid w:val="00807A86"/>
    <w:rsid w:val="00807FD7"/>
    <w:rsid w:val="00811038"/>
    <w:rsid w:val="00811657"/>
    <w:rsid w:val="00811C99"/>
    <w:rsid w:val="00814B55"/>
    <w:rsid w:val="00815748"/>
    <w:rsid w:val="00816AEC"/>
    <w:rsid w:val="0081700E"/>
    <w:rsid w:val="00817FD3"/>
    <w:rsid w:val="00822B2B"/>
    <w:rsid w:val="00822D8C"/>
    <w:rsid w:val="008236FD"/>
    <w:rsid w:val="008247F1"/>
    <w:rsid w:val="00825207"/>
    <w:rsid w:val="00826757"/>
    <w:rsid w:val="0082755B"/>
    <w:rsid w:val="00827C04"/>
    <w:rsid w:val="008319A7"/>
    <w:rsid w:val="00831AB9"/>
    <w:rsid w:val="0083287C"/>
    <w:rsid w:val="0083292C"/>
    <w:rsid w:val="00832B98"/>
    <w:rsid w:val="0083482D"/>
    <w:rsid w:val="0083537B"/>
    <w:rsid w:val="00835BBE"/>
    <w:rsid w:val="00835ED1"/>
    <w:rsid w:val="00836CD0"/>
    <w:rsid w:val="00837C2E"/>
    <w:rsid w:val="00840910"/>
    <w:rsid w:val="00841285"/>
    <w:rsid w:val="0084149F"/>
    <w:rsid w:val="008420C7"/>
    <w:rsid w:val="008437B4"/>
    <w:rsid w:val="008450C7"/>
    <w:rsid w:val="0084544E"/>
    <w:rsid w:val="00846754"/>
    <w:rsid w:val="0084718A"/>
    <w:rsid w:val="0085037B"/>
    <w:rsid w:val="00852CDD"/>
    <w:rsid w:val="00853065"/>
    <w:rsid w:val="00853257"/>
    <w:rsid w:val="00853325"/>
    <w:rsid w:val="008537FD"/>
    <w:rsid w:val="00853CF4"/>
    <w:rsid w:val="0085464B"/>
    <w:rsid w:val="008546AD"/>
    <w:rsid w:val="00854F6A"/>
    <w:rsid w:val="00855D1D"/>
    <w:rsid w:val="00856136"/>
    <w:rsid w:val="00857CD8"/>
    <w:rsid w:val="008605E1"/>
    <w:rsid w:val="00860F41"/>
    <w:rsid w:val="008629AE"/>
    <w:rsid w:val="00862D92"/>
    <w:rsid w:val="0086314F"/>
    <w:rsid w:val="00864643"/>
    <w:rsid w:val="00866006"/>
    <w:rsid w:val="008660CD"/>
    <w:rsid w:val="00866869"/>
    <w:rsid w:val="008706CC"/>
    <w:rsid w:val="00870F5F"/>
    <w:rsid w:val="00873CBF"/>
    <w:rsid w:val="00874EF6"/>
    <w:rsid w:val="008750DB"/>
    <w:rsid w:val="008750E2"/>
    <w:rsid w:val="00877B2D"/>
    <w:rsid w:val="00881DBF"/>
    <w:rsid w:val="0088222E"/>
    <w:rsid w:val="008829D3"/>
    <w:rsid w:val="00883337"/>
    <w:rsid w:val="008839F5"/>
    <w:rsid w:val="00883FF4"/>
    <w:rsid w:val="00885960"/>
    <w:rsid w:val="00886B47"/>
    <w:rsid w:val="00890FAA"/>
    <w:rsid w:val="0089177A"/>
    <w:rsid w:val="00892BD5"/>
    <w:rsid w:val="00892CEB"/>
    <w:rsid w:val="00893941"/>
    <w:rsid w:val="00894020"/>
    <w:rsid w:val="00895060"/>
    <w:rsid w:val="00895D63"/>
    <w:rsid w:val="008960D3"/>
    <w:rsid w:val="00896324"/>
    <w:rsid w:val="00897FDF"/>
    <w:rsid w:val="008A0411"/>
    <w:rsid w:val="008A2460"/>
    <w:rsid w:val="008A2A61"/>
    <w:rsid w:val="008A4121"/>
    <w:rsid w:val="008A55F1"/>
    <w:rsid w:val="008A70F7"/>
    <w:rsid w:val="008A779A"/>
    <w:rsid w:val="008A7A92"/>
    <w:rsid w:val="008B11B5"/>
    <w:rsid w:val="008B1880"/>
    <w:rsid w:val="008B1D67"/>
    <w:rsid w:val="008B238B"/>
    <w:rsid w:val="008B2C6C"/>
    <w:rsid w:val="008B2F22"/>
    <w:rsid w:val="008B3693"/>
    <w:rsid w:val="008B375E"/>
    <w:rsid w:val="008B46BD"/>
    <w:rsid w:val="008B533E"/>
    <w:rsid w:val="008B731E"/>
    <w:rsid w:val="008B746A"/>
    <w:rsid w:val="008B7BCB"/>
    <w:rsid w:val="008C0448"/>
    <w:rsid w:val="008C052F"/>
    <w:rsid w:val="008C06FA"/>
    <w:rsid w:val="008C0C9B"/>
    <w:rsid w:val="008C0FF5"/>
    <w:rsid w:val="008C19C8"/>
    <w:rsid w:val="008C1CE8"/>
    <w:rsid w:val="008C2DBE"/>
    <w:rsid w:val="008C4B5C"/>
    <w:rsid w:val="008C4FC4"/>
    <w:rsid w:val="008C5AE3"/>
    <w:rsid w:val="008C5C00"/>
    <w:rsid w:val="008C5D61"/>
    <w:rsid w:val="008C6686"/>
    <w:rsid w:val="008C70FD"/>
    <w:rsid w:val="008C72FA"/>
    <w:rsid w:val="008D03BD"/>
    <w:rsid w:val="008D1BB5"/>
    <w:rsid w:val="008D39A8"/>
    <w:rsid w:val="008D475A"/>
    <w:rsid w:val="008D65F5"/>
    <w:rsid w:val="008D7024"/>
    <w:rsid w:val="008D76D4"/>
    <w:rsid w:val="008D78FF"/>
    <w:rsid w:val="008E019C"/>
    <w:rsid w:val="008E1825"/>
    <w:rsid w:val="008E1D0C"/>
    <w:rsid w:val="008E1D49"/>
    <w:rsid w:val="008E296B"/>
    <w:rsid w:val="008E2A36"/>
    <w:rsid w:val="008E2DB5"/>
    <w:rsid w:val="008E30BE"/>
    <w:rsid w:val="008E36B8"/>
    <w:rsid w:val="008E4239"/>
    <w:rsid w:val="008E4773"/>
    <w:rsid w:val="008E4F18"/>
    <w:rsid w:val="008E53E9"/>
    <w:rsid w:val="008E5F21"/>
    <w:rsid w:val="008E6B9F"/>
    <w:rsid w:val="008E76F9"/>
    <w:rsid w:val="008F00AE"/>
    <w:rsid w:val="008F058E"/>
    <w:rsid w:val="008F0915"/>
    <w:rsid w:val="008F0C52"/>
    <w:rsid w:val="008F199D"/>
    <w:rsid w:val="008F1B51"/>
    <w:rsid w:val="008F24AA"/>
    <w:rsid w:val="008F3A0E"/>
    <w:rsid w:val="008F4F46"/>
    <w:rsid w:val="008F5856"/>
    <w:rsid w:val="008F59FA"/>
    <w:rsid w:val="008F5E86"/>
    <w:rsid w:val="008F76A0"/>
    <w:rsid w:val="00900109"/>
    <w:rsid w:val="00900ED6"/>
    <w:rsid w:val="0090121D"/>
    <w:rsid w:val="00901CBA"/>
    <w:rsid w:val="00901FF3"/>
    <w:rsid w:val="009030B5"/>
    <w:rsid w:val="009031F1"/>
    <w:rsid w:val="009034E9"/>
    <w:rsid w:val="00903F24"/>
    <w:rsid w:val="009049F3"/>
    <w:rsid w:val="00904CA5"/>
    <w:rsid w:val="00906E30"/>
    <w:rsid w:val="009070A1"/>
    <w:rsid w:val="0090772A"/>
    <w:rsid w:val="009078A2"/>
    <w:rsid w:val="0091003A"/>
    <w:rsid w:val="0091073B"/>
    <w:rsid w:val="0091157E"/>
    <w:rsid w:val="0091280B"/>
    <w:rsid w:val="00913510"/>
    <w:rsid w:val="009144E2"/>
    <w:rsid w:val="00914B0D"/>
    <w:rsid w:val="00915040"/>
    <w:rsid w:val="0091536E"/>
    <w:rsid w:val="00920CE0"/>
    <w:rsid w:val="00920E46"/>
    <w:rsid w:val="00923182"/>
    <w:rsid w:val="0092423D"/>
    <w:rsid w:val="009250E1"/>
    <w:rsid w:val="00925618"/>
    <w:rsid w:val="0092743F"/>
    <w:rsid w:val="00927C30"/>
    <w:rsid w:val="00927DCD"/>
    <w:rsid w:val="009301B4"/>
    <w:rsid w:val="0093037A"/>
    <w:rsid w:val="009305CC"/>
    <w:rsid w:val="009329CC"/>
    <w:rsid w:val="00932AE6"/>
    <w:rsid w:val="0093477E"/>
    <w:rsid w:val="00934BBB"/>
    <w:rsid w:val="00935279"/>
    <w:rsid w:val="00935E74"/>
    <w:rsid w:val="00936CF5"/>
    <w:rsid w:val="00936E1B"/>
    <w:rsid w:val="0093717B"/>
    <w:rsid w:val="00940582"/>
    <w:rsid w:val="0094148A"/>
    <w:rsid w:val="00942265"/>
    <w:rsid w:val="00942520"/>
    <w:rsid w:val="00942CE5"/>
    <w:rsid w:val="00942CED"/>
    <w:rsid w:val="00943884"/>
    <w:rsid w:val="00944B99"/>
    <w:rsid w:val="0094501B"/>
    <w:rsid w:val="009450C0"/>
    <w:rsid w:val="00946A28"/>
    <w:rsid w:val="0094790A"/>
    <w:rsid w:val="00950120"/>
    <w:rsid w:val="0095049C"/>
    <w:rsid w:val="009509C6"/>
    <w:rsid w:val="00950D1A"/>
    <w:rsid w:val="0095238C"/>
    <w:rsid w:val="009523B0"/>
    <w:rsid w:val="00952FCA"/>
    <w:rsid w:val="009536BF"/>
    <w:rsid w:val="00953ACA"/>
    <w:rsid w:val="00956113"/>
    <w:rsid w:val="0095745F"/>
    <w:rsid w:val="00957902"/>
    <w:rsid w:val="0096115F"/>
    <w:rsid w:val="00961F33"/>
    <w:rsid w:val="0096315F"/>
    <w:rsid w:val="00964980"/>
    <w:rsid w:val="00965173"/>
    <w:rsid w:val="009654DB"/>
    <w:rsid w:val="009662AB"/>
    <w:rsid w:val="009664D3"/>
    <w:rsid w:val="00966E15"/>
    <w:rsid w:val="0096742E"/>
    <w:rsid w:val="00967501"/>
    <w:rsid w:val="00967549"/>
    <w:rsid w:val="009679C2"/>
    <w:rsid w:val="00970426"/>
    <w:rsid w:val="00970E90"/>
    <w:rsid w:val="00970F66"/>
    <w:rsid w:val="0097197A"/>
    <w:rsid w:val="00972F60"/>
    <w:rsid w:val="009731F7"/>
    <w:rsid w:val="0097347C"/>
    <w:rsid w:val="0097398D"/>
    <w:rsid w:val="009747FF"/>
    <w:rsid w:val="009749C0"/>
    <w:rsid w:val="00975604"/>
    <w:rsid w:val="00975FC8"/>
    <w:rsid w:val="009803FF"/>
    <w:rsid w:val="00981301"/>
    <w:rsid w:val="009816E0"/>
    <w:rsid w:val="00981973"/>
    <w:rsid w:val="00981A54"/>
    <w:rsid w:val="009835A2"/>
    <w:rsid w:val="00983B7E"/>
    <w:rsid w:val="009860F4"/>
    <w:rsid w:val="0098642A"/>
    <w:rsid w:val="0098676D"/>
    <w:rsid w:val="00987DD6"/>
    <w:rsid w:val="00990EC0"/>
    <w:rsid w:val="00991D2D"/>
    <w:rsid w:val="0099203C"/>
    <w:rsid w:val="009922E9"/>
    <w:rsid w:val="009931F6"/>
    <w:rsid w:val="00993AAA"/>
    <w:rsid w:val="009942C5"/>
    <w:rsid w:val="00996A31"/>
    <w:rsid w:val="00997F0B"/>
    <w:rsid w:val="009A06CD"/>
    <w:rsid w:val="009A0A0B"/>
    <w:rsid w:val="009A17F6"/>
    <w:rsid w:val="009A1ED9"/>
    <w:rsid w:val="009A1F61"/>
    <w:rsid w:val="009A36DD"/>
    <w:rsid w:val="009A3CDC"/>
    <w:rsid w:val="009A7698"/>
    <w:rsid w:val="009B09DA"/>
    <w:rsid w:val="009B1FFB"/>
    <w:rsid w:val="009B262E"/>
    <w:rsid w:val="009B3B8E"/>
    <w:rsid w:val="009B3BAE"/>
    <w:rsid w:val="009B4E40"/>
    <w:rsid w:val="009B54B3"/>
    <w:rsid w:val="009B5906"/>
    <w:rsid w:val="009B76FF"/>
    <w:rsid w:val="009C0616"/>
    <w:rsid w:val="009C0E6D"/>
    <w:rsid w:val="009C1634"/>
    <w:rsid w:val="009C1D2B"/>
    <w:rsid w:val="009C1E9E"/>
    <w:rsid w:val="009C221C"/>
    <w:rsid w:val="009C2311"/>
    <w:rsid w:val="009C2E35"/>
    <w:rsid w:val="009C3D04"/>
    <w:rsid w:val="009C54E1"/>
    <w:rsid w:val="009C7AAC"/>
    <w:rsid w:val="009D0978"/>
    <w:rsid w:val="009D10E2"/>
    <w:rsid w:val="009D1CA6"/>
    <w:rsid w:val="009D1F63"/>
    <w:rsid w:val="009D21E4"/>
    <w:rsid w:val="009D346F"/>
    <w:rsid w:val="009D4019"/>
    <w:rsid w:val="009D4652"/>
    <w:rsid w:val="009D597A"/>
    <w:rsid w:val="009D6A33"/>
    <w:rsid w:val="009D6F5F"/>
    <w:rsid w:val="009D76D4"/>
    <w:rsid w:val="009E1044"/>
    <w:rsid w:val="009E1227"/>
    <w:rsid w:val="009E1872"/>
    <w:rsid w:val="009E1AB6"/>
    <w:rsid w:val="009E23EF"/>
    <w:rsid w:val="009E2C15"/>
    <w:rsid w:val="009E3486"/>
    <w:rsid w:val="009E35A8"/>
    <w:rsid w:val="009E5387"/>
    <w:rsid w:val="009F0DB9"/>
    <w:rsid w:val="009F0EA5"/>
    <w:rsid w:val="009F37A5"/>
    <w:rsid w:val="009F395C"/>
    <w:rsid w:val="009F5B52"/>
    <w:rsid w:val="009F719F"/>
    <w:rsid w:val="009F7368"/>
    <w:rsid w:val="009F7D11"/>
    <w:rsid w:val="00A004F5"/>
    <w:rsid w:val="00A014A1"/>
    <w:rsid w:val="00A04688"/>
    <w:rsid w:val="00A047F0"/>
    <w:rsid w:val="00A05CAE"/>
    <w:rsid w:val="00A071A4"/>
    <w:rsid w:val="00A12CA7"/>
    <w:rsid w:val="00A135EB"/>
    <w:rsid w:val="00A138AB"/>
    <w:rsid w:val="00A13ABB"/>
    <w:rsid w:val="00A13C69"/>
    <w:rsid w:val="00A14072"/>
    <w:rsid w:val="00A16113"/>
    <w:rsid w:val="00A1652A"/>
    <w:rsid w:val="00A16841"/>
    <w:rsid w:val="00A173CE"/>
    <w:rsid w:val="00A178CD"/>
    <w:rsid w:val="00A20210"/>
    <w:rsid w:val="00A20789"/>
    <w:rsid w:val="00A21F64"/>
    <w:rsid w:val="00A22B43"/>
    <w:rsid w:val="00A22D89"/>
    <w:rsid w:val="00A23626"/>
    <w:rsid w:val="00A23FBB"/>
    <w:rsid w:val="00A247CF"/>
    <w:rsid w:val="00A249CD"/>
    <w:rsid w:val="00A25244"/>
    <w:rsid w:val="00A256E7"/>
    <w:rsid w:val="00A267BF"/>
    <w:rsid w:val="00A276E3"/>
    <w:rsid w:val="00A31738"/>
    <w:rsid w:val="00A32D6E"/>
    <w:rsid w:val="00A334AD"/>
    <w:rsid w:val="00A337B7"/>
    <w:rsid w:val="00A340BC"/>
    <w:rsid w:val="00A366B1"/>
    <w:rsid w:val="00A37338"/>
    <w:rsid w:val="00A40804"/>
    <w:rsid w:val="00A414B1"/>
    <w:rsid w:val="00A4211C"/>
    <w:rsid w:val="00A42505"/>
    <w:rsid w:val="00A45357"/>
    <w:rsid w:val="00A45E1D"/>
    <w:rsid w:val="00A4607E"/>
    <w:rsid w:val="00A46E88"/>
    <w:rsid w:val="00A479BC"/>
    <w:rsid w:val="00A50396"/>
    <w:rsid w:val="00A50AC5"/>
    <w:rsid w:val="00A50DC4"/>
    <w:rsid w:val="00A51696"/>
    <w:rsid w:val="00A53D2F"/>
    <w:rsid w:val="00A53D3F"/>
    <w:rsid w:val="00A54263"/>
    <w:rsid w:val="00A55900"/>
    <w:rsid w:val="00A563C2"/>
    <w:rsid w:val="00A56C41"/>
    <w:rsid w:val="00A571C0"/>
    <w:rsid w:val="00A576DB"/>
    <w:rsid w:val="00A60EB5"/>
    <w:rsid w:val="00A60FF4"/>
    <w:rsid w:val="00A61FBB"/>
    <w:rsid w:val="00A61FDF"/>
    <w:rsid w:val="00A6353A"/>
    <w:rsid w:val="00A63693"/>
    <w:rsid w:val="00A639A7"/>
    <w:rsid w:val="00A63AC3"/>
    <w:rsid w:val="00A643D6"/>
    <w:rsid w:val="00A65514"/>
    <w:rsid w:val="00A66101"/>
    <w:rsid w:val="00A663FB"/>
    <w:rsid w:val="00A66766"/>
    <w:rsid w:val="00A6784C"/>
    <w:rsid w:val="00A67DF8"/>
    <w:rsid w:val="00A709CD"/>
    <w:rsid w:val="00A72048"/>
    <w:rsid w:val="00A726C9"/>
    <w:rsid w:val="00A72CB9"/>
    <w:rsid w:val="00A735DE"/>
    <w:rsid w:val="00A73669"/>
    <w:rsid w:val="00A73922"/>
    <w:rsid w:val="00A74B73"/>
    <w:rsid w:val="00A74F57"/>
    <w:rsid w:val="00A757CD"/>
    <w:rsid w:val="00A75F36"/>
    <w:rsid w:val="00A76742"/>
    <w:rsid w:val="00A76F74"/>
    <w:rsid w:val="00A8127D"/>
    <w:rsid w:val="00A8188F"/>
    <w:rsid w:val="00A81919"/>
    <w:rsid w:val="00A822C5"/>
    <w:rsid w:val="00A823FD"/>
    <w:rsid w:val="00A837F7"/>
    <w:rsid w:val="00A83BE9"/>
    <w:rsid w:val="00A8528A"/>
    <w:rsid w:val="00A8548A"/>
    <w:rsid w:val="00A87BFF"/>
    <w:rsid w:val="00A87CAA"/>
    <w:rsid w:val="00A90498"/>
    <w:rsid w:val="00A9072D"/>
    <w:rsid w:val="00A90E82"/>
    <w:rsid w:val="00A90F0C"/>
    <w:rsid w:val="00A91D71"/>
    <w:rsid w:val="00A93EB0"/>
    <w:rsid w:val="00A93F00"/>
    <w:rsid w:val="00A942A5"/>
    <w:rsid w:val="00A9506E"/>
    <w:rsid w:val="00A9758E"/>
    <w:rsid w:val="00A97E7F"/>
    <w:rsid w:val="00A97E95"/>
    <w:rsid w:val="00AA069B"/>
    <w:rsid w:val="00AA162A"/>
    <w:rsid w:val="00AA1F2C"/>
    <w:rsid w:val="00AA2D9E"/>
    <w:rsid w:val="00AA3E66"/>
    <w:rsid w:val="00AA4001"/>
    <w:rsid w:val="00AA469B"/>
    <w:rsid w:val="00AA6D57"/>
    <w:rsid w:val="00AB2E59"/>
    <w:rsid w:val="00AB3482"/>
    <w:rsid w:val="00AB3EC6"/>
    <w:rsid w:val="00AB4387"/>
    <w:rsid w:val="00AB4650"/>
    <w:rsid w:val="00AB4DFA"/>
    <w:rsid w:val="00AB61F4"/>
    <w:rsid w:val="00AB645D"/>
    <w:rsid w:val="00AB660F"/>
    <w:rsid w:val="00AB668B"/>
    <w:rsid w:val="00AB685B"/>
    <w:rsid w:val="00AB68D7"/>
    <w:rsid w:val="00AB6C39"/>
    <w:rsid w:val="00AB6C5F"/>
    <w:rsid w:val="00AB7193"/>
    <w:rsid w:val="00AB768D"/>
    <w:rsid w:val="00AC00C9"/>
    <w:rsid w:val="00AC09C7"/>
    <w:rsid w:val="00AC0CB1"/>
    <w:rsid w:val="00AC0D84"/>
    <w:rsid w:val="00AC0E69"/>
    <w:rsid w:val="00AC1041"/>
    <w:rsid w:val="00AC12A9"/>
    <w:rsid w:val="00AC1D39"/>
    <w:rsid w:val="00AC3483"/>
    <w:rsid w:val="00AC3ACC"/>
    <w:rsid w:val="00AC3D2C"/>
    <w:rsid w:val="00AC3F85"/>
    <w:rsid w:val="00AC4B45"/>
    <w:rsid w:val="00AC50FC"/>
    <w:rsid w:val="00AC745E"/>
    <w:rsid w:val="00AC7490"/>
    <w:rsid w:val="00AC7623"/>
    <w:rsid w:val="00AC7EEB"/>
    <w:rsid w:val="00AD1183"/>
    <w:rsid w:val="00AD1A84"/>
    <w:rsid w:val="00AD1BA7"/>
    <w:rsid w:val="00AD1C99"/>
    <w:rsid w:val="00AD2513"/>
    <w:rsid w:val="00AD2E5E"/>
    <w:rsid w:val="00AD392B"/>
    <w:rsid w:val="00AD3B4C"/>
    <w:rsid w:val="00AD3B87"/>
    <w:rsid w:val="00AD53F0"/>
    <w:rsid w:val="00AD595B"/>
    <w:rsid w:val="00AD77EF"/>
    <w:rsid w:val="00AE0A81"/>
    <w:rsid w:val="00AE1018"/>
    <w:rsid w:val="00AE1443"/>
    <w:rsid w:val="00AE3F71"/>
    <w:rsid w:val="00AE4313"/>
    <w:rsid w:val="00AE4E75"/>
    <w:rsid w:val="00AE55E7"/>
    <w:rsid w:val="00AE5AB9"/>
    <w:rsid w:val="00AE68F6"/>
    <w:rsid w:val="00AE6FB3"/>
    <w:rsid w:val="00AE7575"/>
    <w:rsid w:val="00AE7618"/>
    <w:rsid w:val="00AE7B05"/>
    <w:rsid w:val="00AF179F"/>
    <w:rsid w:val="00AF27B5"/>
    <w:rsid w:val="00AF2955"/>
    <w:rsid w:val="00AF3E9E"/>
    <w:rsid w:val="00AF5132"/>
    <w:rsid w:val="00AF63F2"/>
    <w:rsid w:val="00AF6FAA"/>
    <w:rsid w:val="00AF7416"/>
    <w:rsid w:val="00B0167F"/>
    <w:rsid w:val="00B01A38"/>
    <w:rsid w:val="00B01D89"/>
    <w:rsid w:val="00B0263E"/>
    <w:rsid w:val="00B02A0E"/>
    <w:rsid w:val="00B03235"/>
    <w:rsid w:val="00B03B4E"/>
    <w:rsid w:val="00B057C9"/>
    <w:rsid w:val="00B0640E"/>
    <w:rsid w:val="00B06534"/>
    <w:rsid w:val="00B0660E"/>
    <w:rsid w:val="00B06B1C"/>
    <w:rsid w:val="00B07134"/>
    <w:rsid w:val="00B07172"/>
    <w:rsid w:val="00B07923"/>
    <w:rsid w:val="00B10924"/>
    <w:rsid w:val="00B10FCE"/>
    <w:rsid w:val="00B11B07"/>
    <w:rsid w:val="00B124F4"/>
    <w:rsid w:val="00B13CB4"/>
    <w:rsid w:val="00B13E33"/>
    <w:rsid w:val="00B13E54"/>
    <w:rsid w:val="00B14476"/>
    <w:rsid w:val="00B14A72"/>
    <w:rsid w:val="00B16116"/>
    <w:rsid w:val="00B2052D"/>
    <w:rsid w:val="00B20918"/>
    <w:rsid w:val="00B20FB7"/>
    <w:rsid w:val="00B215E6"/>
    <w:rsid w:val="00B219F5"/>
    <w:rsid w:val="00B23506"/>
    <w:rsid w:val="00B23677"/>
    <w:rsid w:val="00B23B91"/>
    <w:rsid w:val="00B24D9F"/>
    <w:rsid w:val="00B250E1"/>
    <w:rsid w:val="00B25CAC"/>
    <w:rsid w:val="00B26DB6"/>
    <w:rsid w:val="00B26ECA"/>
    <w:rsid w:val="00B301EB"/>
    <w:rsid w:val="00B3079C"/>
    <w:rsid w:val="00B30C0E"/>
    <w:rsid w:val="00B316A0"/>
    <w:rsid w:val="00B323F0"/>
    <w:rsid w:val="00B32FA1"/>
    <w:rsid w:val="00B332D2"/>
    <w:rsid w:val="00B336A8"/>
    <w:rsid w:val="00B33A23"/>
    <w:rsid w:val="00B359FD"/>
    <w:rsid w:val="00B3696E"/>
    <w:rsid w:val="00B36DC8"/>
    <w:rsid w:val="00B37EA9"/>
    <w:rsid w:val="00B40039"/>
    <w:rsid w:val="00B401FC"/>
    <w:rsid w:val="00B40618"/>
    <w:rsid w:val="00B41FFC"/>
    <w:rsid w:val="00B420B3"/>
    <w:rsid w:val="00B4281A"/>
    <w:rsid w:val="00B4297C"/>
    <w:rsid w:val="00B42D22"/>
    <w:rsid w:val="00B4341D"/>
    <w:rsid w:val="00B43615"/>
    <w:rsid w:val="00B44533"/>
    <w:rsid w:val="00B45408"/>
    <w:rsid w:val="00B45A96"/>
    <w:rsid w:val="00B45D7A"/>
    <w:rsid w:val="00B45EE3"/>
    <w:rsid w:val="00B46B39"/>
    <w:rsid w:val="00B47A3F"/>
    <w:rsid w:val="00B47ADD"/>
    <w:rsid w:val="00B50FC5"/>
    <w:rsid w:val="00B51929"/>
    <w:rsid w:val="00B525B9"/>
    <w:rsid w:val="00B528C6"/>
    <w:rsid w:val="00B535BE"/>
    <w:rsid w:val="00B546AE"/>
    <w:rsid w:val="00B548ED"/>
    <w:rsid w:val="00B56B07"/>
    <w:rsid w:val="00B57323"/>
    <w:rsid w:val="00B57D85"/>
    <w:rsid w:val="00B57F1D"/>
    <w:rsid w:val="00B60534"/>
    <w:rsid w:val="00B62DEA"/>
    <w:rsid w:val="00B64D92"/>
    <w:rsid w:val="00B64EE6"/>
    <w:rsid w:val="00B65FE2"/>
    <w:rsid w:val="00B67B57"/>
    <w:rsid w:val="00B7009C"/>
    <w:rsid w:val="00B736DD"/>
    <w:rsid w:val="00B738AF"/>
    <w:rsid w:val="00B7564E"/>
    <w:rsid w:val="00B757E8"/>
    <w:rsid w:val="00B76814"/>
    <w:rsid w:val="00B80A5A"/>
    <w:rsid w:val="00B80DCD"/>
    <w:rsid w:val="00B81D93"/>
    <w:rsid w:val="00B83433"/>
    <w:rsid w:val="00B8447D"/>
    <w:rsid w:val="00B846AD"/>
    <w:rsid w:val="00B84B3E"/>
    <w:rsid w:val="00B84F7A"/>
    <w:rsid w:val="00B8511A"/>
    <w:rsid w:val="00B853CE"/>
    <w:rsid w:val="00B85D49"/>
    <w:rsid w:val="00B85ED8"/>
    <w:rsid w:val="00B85ED9"/>
    <w:rsid w:val="00B86934"/>
    <w:rsid w:val="00B9185A"/>
    <w:rsid w:val="00B91BFC"/>
    <w:rsid w:val="00B9244E"/>
    <w:rsid w:val="00B94B5D"/>
    <w:rsid w:val="00B9558A"/>
    <w:rsid w:val="00B9597B"/>
    <w:rsid w:val="00B96266"/>
    <w:rsid w:val="00B965D4"/>
    <w:rsid w:val="00B97E62"/>
    <w:rsid w:val="00BA01FE"/>
    <w:rsid w:val="00BA07C6"/>
    <w:rsid w:val="00BA09F4"/>
    <w:rsid w:val="00BA0BE6"/>
    <w:rsid w:val="00BA149E"/>
    <w:rsid w:val="00BA1BB1"/>
    <w:rsid w:val="00BA227F"/>
    <w:rsid w:val="00BA2758"/>
    <w:rsid w:val="00BA3BDD"/>
    <w:rsid w:val="00BA3E6B"/>
    <w:rsid w:val="00BA405F"/>
    <w:rsid w:val="00BA45EC"/>
    <w:rsid w:val="00BA4E99"/>
    <w:rsid w:val="00BA5031"/>
    <w:rsid w:val="00BA5F23"/>
    <w:rsid w:val="00BA6115"/>
    <w:rsid w:val="00BA6231"/>
    <w:rsid w:val="00BA6D33"/>
    <w:rsid w:val="00BB013B"/>
    <w:rsid w:val="00BB1605"/>
    <w:rsid w:val="00BB1CD5"/>
    <w:rsid w:val="00BB298E"/>
    <w:rsid w:val="00BB34A2"/>
    <w:rsid w:val="00BB4008"/>
    <w:rsid w:val="00BB51F4"/>
    <w:rsid w:val="00BB6E92"/>
    <w:rsid w:val="00BC03AA"/>
    <w:rsid w:val="00BC0813"/>
    <w:rsid w:val="00BC1AE8"/>
    <w:rsid w:val="00BC3386"/>
    <w:rsid w:val="00BC4964"/>
    <w:rsid w:val="00BC63AF"/>
    <w:rsid w:val="00BC682F"/>
    <w:rsid w:val="00BC79F1"/>
    <w:rsid w:val="00BD0401"/>
    <w:rsid w:val="00BD104B"/>
    <w:rsid w:val="00BD1194"/>
    <w:rsid w:val="00BD1B27"/>
    <w:rsid w:val="00BD22CE"/>
    <w:rsid w:val="00BD319E"/>
    <w:rsid w:val="00BD40D4"/>
    <w:rsid w:val="00BD663F"/>
    <w:rsid w:val="00BD7EE8"/>
    <w:rsid w:val="00BE0213"/>
    <w:rsid w:val="00BE0860"/>
    <w:rsid w:val="00BE1207"/>
    <w:rsid w:val="00BE1813"/>
    <w:rsid w:val="00BE1AE3"/>
    <w:rsid w:val="00BE2BEE"/>
    <w:rsid w:val="00BE3885"/>
    <w:rsid w:val="00BE4BF9"/>
    <w:rsid w:val="00BE53D2"/>
    <w:rsid w:val="00BE5825"/>
    <w:rsid w:val="00BE6364"/>
    <w:rsid w:val="00BE711A"/>
    <w:rsid w:val="00BE761E"/>
    <w:rsid w:val="00BF0D11"/>
    <w:rsid w:val="00BF1B0F"/>
    <w:rsid w:val="00BF1E28"/>
    <w:rsid w:val="00BF2EB3"/>
    <w:rsid w:val="00BF4FB7"/>
    <w:rsid w:val="00BF7A58"/>
    <w:rsid w:val="00C0080E"/>
    <w:rsid w:val="00C02207"/>
    <w:rsid w:val="00C02285"/>
    <w:rsid w:val="00C0339A"/>
    <w:rsid w:val="00C04B7A"/>
    <w:rsid w:val="00C05663"/>
    <w:rsid w:val="00C05AA3"/>
    <w:rsid w:val="00C05EE1"/>
    <w:rsid w:val="00C071F4"/>
    <w:rsid w:val="00C07388"/>
    <w:rsid w:val="00C079FA"/>
    <w:rsid w:val="00C1011B"/>
    <w:rsid w:val="00C10CC4"/>
    <w:rsid w:val="00C1175C"/>
    <w:rsid w:val="00C12475"/>
    <w:rsid w:val="00C1367C"/>
    <w:rsid w:val="00C142BE"/>
    <w:rsid w:val="00C155EE"/>
    <w:rsid w:val="00C167C0"/>
    <w:rsid w:val="00C206A7"/>
    <w:rsid w:val="00C20C50"/>
    <w:rsid w:val="00C20DC8"/>
    <w:rsid w:val="00C20DDF"/>
    <w:rsid w:val="00C2113F"/>
    <w:rsid w:val="00C2265C"/>
    <w:rsid w:val="00C231AB"/>
    <w:rsid w:val="00C2439A"/>
    <w:rsid w:val="00C262CD"/>
    <w:rsid w:val="00C275EB"/>
    <w:rsid w:val="00C327E2"/>
    <w:rsid w:val="00C32B34"/>
    <w:rsid w:val="00C34217"/>
    <w:rsid w:val="00C350D0"/>
    <w:rsid w:val="00C36FD6"/>
    <w:rsid w:val="00C37870"/>
    <w:rsid w:val="00C40B5C"/>
    <w:rsid w:val="00C42232"/>
    <w:rsid w:val="00C42498"/>
    <w:rsid w:val="00C42922"/>
    <w:rsid w:val="00C43634"/>
    <w:rsid w:val="00C447FA"/>
    <w:rsid w:val="00C44E58"/>
    <w:rsid w:val="00C459A4"/>
    <w:rsid w:val="00C4618A"/>
    <w:rsid w:val="00C46855"/>
    <w:rsid w:val="00C47899"/>
    <w:rsid w:val="00C51E23"/>
    <w:rsid w:val="00C53880"/>
    <w:rsid w:val="00C541A5"/>
    <w:rsid w:val="00C54596"/>
    <w:rsid w:val="00C56C06"/>
    <w:rsid w:val="00C609A2"/>
    <w:rsid w:val="00C6331F"/>
    <w:rsid w:val="00C63596"/>
    <w:rsid w:val="00C63B62"/>
    <w:rsid w:val="00C640B8"/>
    <w:rsid w:val="00C64794"/>
    <w:rsid w:val="00C64CD4"/>
    <w:rsid w:val="00C67B0B"/>
    <w:rsid w:val="00C67C10"/>
    <w:rsid w:val="00C724A8"/>
    <w:rsid w:val="00C739BE"/>
    <w:rsid w:val="00C73AEA"/>
    <w:rsid w:val="00C74D12"/>
    <w:rsid w:val="00C758F8"/>
    <w:rsid w:val="00C77E83"/>
    <w:rsid w:val="00C80B2A"/>
    <w:rsid w:val="00C810B9"/>
    <w:rsid w:val="00C81A6B"/>
    <w:rsid w:val="00C824AE"/>
    <w:rsid w:val="00C82BF6"/>
    <w:rsid w:val="00C83047"/>
    <w:rsid w:val="00C83AD4"/>
    <w:rsid w:val="00C84F22"/>
    <w:rsid w:val="00C85042"/>
    <w:rsid w:val="00C850E6"/>
    <w:rsid w:val="00C85983"/>
    <w:rsid w:val="00C87CC4"/>
    <w:rsid w:val="00C87D81"/>
    <w:rsid w:val="00C91466"/>
    <w:rsid w:val="00C9306D"/>
    <w:rsid w:val="00C931B8"/>
    <w:rsid w:val="00C93573"/>
    <w:rsid w:val="00C938BA"/>
    <w:rsid w:val="00C95CBB"/>
    <w:rsid w:val="00C95F31"/>
    <w:rsid w:val="00C9672F"/>
    <w:rsid w:val="00C976AF"/>
    <w:rsid w:val="00C978D8"/>
    <w:rsid w:val="00C979E8"/>
    <w:rsid w:val="00CA043B"/>
    <w:rsid w:val="00CA04B2"/>
    <w:rsid w:val="00CA0B5E"/>
    <w:rsid w:val="00CA0DB8"/>
    <w:rsid w:val="00CA0EAD"/>
    <w:rsid w:val="00CA20F9"/>
    <w:rsid w:val="00CA274D"/>
    <w:rsid w:val="00CA372C"/>
    <w:rsid w:val="00CA40A9"/>
    <w:rsid w:val="00CA50C1"/>
    <w:rsid w:val="00CA53EE"/>
    <w:rsid w:val="00CA6424"/>
    <w:rsid w:val="00CA71D6"/>
    <w:rsid w:val="00CA73F2"/>
    <w:rsid w:val="00CA7798"/>
    <w:rsid w:val="00CA7F71"/>
    <w:rsid w:val="00CB064D"/>
    <w:rsid w:val="00CB178D"/>
    <w:rsid w:val="00CB198C"/>
    <w:rsid w:val="00CB2AEA"/>
    <w:rsid w:val="00CB411A"/>
    <w:rsid w:val="00CB5996"/>
    <w:rsid w:val="00CB6BAC"/>
    <w:rsid w:val="00CC06C6"/>
    <w:rsid w:val="00CC0E07"/>
    <w:rsid w:val="00CC10E9"/>
    <w:rsid w:val="00CC22CC"/>
    <w:rsid w:val="00CC2403"/>
    <w:rsid w:val="00CC3289"/>
    <w:rsid w:val="00CC410C"/>
    <w:rsid w:val="00CC590A"/>
    <w:rsid w:val="00CC5B52"/>
    <w:rsid w:val="00CC63F7"/>
    <w:rsid w:val="00CC79BA"/>
    <w:rsid w:val="00CC7ECD"/>
    <w:rsid w:val="00CD0196"/>
    <w:rsid w:val="00CD10F6"/>
    <w:rsid w:val="00CD2BA4"/>
    <w:rsid w:val="00CD4CC1"/>
    <w:rsid w:val="00CD5117"/>
    <w:rsid w:val="00CD53E7"/>
    <w:rsid w:val="00CD5F86"/>
    <w:rsid w:val="00CD72D3"/>
    <w:rsid w:val="00CD73A9"/>
    <w:rsid w:val="00CD79B7"/>
    <w:rsid w:val="00CD79EC"/>
    <w:rsid w:val="00CE0B97"/>
    <w:rsid w:val="00CE1716"/>
    <w:rsid w:val="00CE1749"/>
    <w:rsid w:val="00CE2295"/>
    <w:rsid w:val="00CE2339"/>
    <w:rsid w:val="00CE24FA"/>
    <w:rsid w:val="00CE2BBA"/>
    <w:rsid w:val="00CE2C7C"/>
    <w:rsid w:val="00CE40E6"/>
    <w:rsid w:val="00CE5071"/>
    <w:rsid w:val="00CE57EE"/>
    <w:rsid w:val="00CE5A1F"/>
    <w:rsid w:val="00CE74FB"/>
    <w:rsid w:val="00CF0507"/>
    <w:rsid w:val="00CF08DF"/>
    <w:rsid w:val="00CF1952"/>
    <w:rsid w:val="00CF1E92"/>
    <w:rsid w:val="00CF27ED"/>
    <w:rsid w:val="00CF38F1"/>
    <w:rsid w:val="00CF3D3A"/>
    <w:rsid w:val="00CF4A54"/>
    <w:rsid w:val="00CF6077"/>
    <w:rsid w:val="00CF6711"/>
    <w:rsid w:val="00CF69A3"/>
    <w:rsid w:val="00CF7F86"/>
    <w:rsid w:val="00D016B6"/>
    <w:rsid w:val="00D018D9"/>
    <w:rsid w:val="00D01D54"/>
    <w:rsid w:val="00D025CE"/>
    <w:rsid w:val="00D02F2F"/>
    <w:rsid w:val="00D03E7A"/>
    <w:rsid w:val="00D04815"/>
    <w:rsid w:val="00D048B4"/>
    <w:rsid w:val="00D059EC"/>
    <w:rsid w:val="00D062A2"/>
    <w:rsid w:val="00D0686E"/>
    <w:rsid w:val="00D06C1D"/>
    <w:rsid w:val="00D06FD5"/>
    <w:rsid w:val="00D10670"/>
    <w:rsid w:val="00D11022"/>
    <w:rsid w:val="00D12231"/>
    <w:rsid w:val="00D12588"/>
    <w:rsid w:val="00D13024"/>
    <w:rsid w:val="00D1329A"/>
    <w:rsid w:val="00D13C7F"/>
    <w:rsid w:val="00D1428A"/>
    <w:rsid w:val="00D14527"/>
    <w:rsid w:val="00D17BE0"/>
    <w:rsid w:val="00D17E6A"/>
    <w:rsid w:val="00D239AA"/>
    <w:rsid w:val="00D23AA9"/>
    <w:rsid w:val="00D24289"/>
    <w:rsid w:val="00D26274"/>
    <w:rsid w:val="00D26C19"/>
    <w:rsid w:val="00D27582"/>
    <w:rsid w:val="00D30012"/>
    <w:rsid w:val="00D303E2"/>
    <w:rsid w:val="00D31DED"/>
    <w:rsid w:val="00D327D4"/>
    <w:rsid w:val="00D3322B"/>
    <w:rsid w:val="00D33C2B"/>
    <w:rsid w:val="00D34082"/>
    <w:rsid w:val="00D35929"/>
    <w:rsid w:val="00D365B0"/>
    <w:rsid w:val="00D3758B"/>
    <w:rsid w:val="00D377DB"/>
    <w:rsid w:val="00D37A47"/>
    <w:rsid w:val="00D37FB2"/>
    <w:rsid w:val="00D4050D"/>
    <w:rsid w:val="00D406C1"/>
    <w:rsid w:val="00D406E3"/>
    <w:rsid w:val="00D40A8E"/>
    <w:rsid w:val="00D41AEB"/>
    <w:rsid w:val="00D42096"/>
    <w:rsid w:val="00D444A4"/>
    <w:rsid w:val="00D46B1E"/>
    <w:rsid w:val="00D506F1"/>
    <w:rsid w:val="00D508E1"/>
    <w:rsid w:val="00D518B8"/>
    <w:rsid w:val="00D523F4"/>
    <w:rsid w:val="00D52B11"/>
    <w:rsid w:val="00D53498"/>
    <w:rsid w:val="00D53773"/>
    <w:rsid w:val="00D53A44"/>
    <w:rsid w:val="00D53C48"/>
    <w:rsid w:val="00D54555"/>
    <w:rsid w:val="00D548BB"/>
    <w:rsid w:val="00D54F99"/>
    <w:rsid w:val="00D566CB"/>
    <w:rsid w:val="00D56C83"/>
    <w:rsid w:val="00D6162D"/>
    <w:rsid w:val="00D634B0"/>
    <w:rsid w:val="00D648ED"/>
    <w:rsid w:val="00D6496B"/>
    <w:rsid w:val="00D66F78"/>
    <w:rsid w:val="00D67828"/>
    <w:rsid w:val="00D7116F"/>
    <w:rsid w:val="00D717B1"/>
    <w:rsid w:val="00D7195E"/>
    <w:rsid w:val="00D719A2"/>
    <w:rsid w:val="00D7283C"/>
    <w:rsid w:val="00D73531"/>
    <w:rsid w:val="00D736D0"/>
    <w:rsid w:val="00D750E3"/>
    <w:rsid w:val="00D758C9"/>
    <w:rsid w:val="00D76789"/>
    <w:rsid w:val="00D773C0"/>
    <w:rsid w:val="00D77CD9"/>
    <w:rsid w:val="00D77E3D"/>
    <w:rsid w:val="00D77F4F"/>
    <w:rsid w:val="00D81F50"/>
    <w:rsid w:val="00D82BB5"/>
    <w:rsid w:val="00D83A5C"/>
    <w:rsid w:val="00D84579"/>
    <w:rsid w:val="00D84A54"/>
    <w:rsid w:val="00D860EE"/>
    <w:rsid w:val="00D86C29"/>
    <w:rsid w:val="00D86D69"/>
    <w:rsid w:val="00D87100"/>
    <w:rsid w:val="00D87599"/>
    <w:rsid w:val="00D90007"/>
    <w:rsid w:val="00D91A5E"/>
    <w:rsid w:val="00D924A6"/>
    <w:rsid w:val="00D92930"/>
    <w:rsid w:val="00D92D13"/>
    <w:rsid w:val="00D92F95"/>
    <w:rsid w:val="00D933C1"/>
    <w:rsid w:val="00D9383D"/>
    <w:rsid w:val="00D93C1C"/>
    <w:rsid w:val="00D96205"/>
    <w:rsid w:val="00D97EB9"/>
    <w:rsid w:val="00DA03FC"/>
    <w:rsid w:val="00DA0C31"/>
    <w:rsid w:val="00DA0DFD"/>
    <w:rsid w:val="00DA3295"/>
    <w:rsid w:val="00DA347A"/>
    <w:rsid w:val="00DA37FA"/>
    <w:rsid w:val="00DA485E"/>
    <w:rsid w:val="00DA4BE7"/>
    <w:rsid w:val="00DA614F"/>
    <w:rsid w:val="00DA64FC"/>
    <w:rsid w:val="00DA78A3"/>
    <w:rsid w:val="00DA7D75"/>
    <w:rsid w:val="00DB0306"/>
    <w:rsid w:val="00DB0C0A"/>
    <w:rsid w:val="00DB2BEE"/>
    <w:rsid w:val="00DB363D"/>
    <w:rsid w:val="00DB3C1A"/>
    <w:rsid w:val="00DB43C1"/>
    <w:rsid w:val="00DB4905"/>
    <w:rsid w:val="00DB4A72"/>
    <w:rsid w:val="00DB4F18"/>
    <w:rsid w:val="00DB5FAD"/>
    <w:rsid w:val="00DC2138"/>
    <w:rsid w:val="00DC3EC7"/>
    <w:rsid w:val="00DC4D6B"/>
    <w:rsid w:val="00DC4D8D"/>
    <w:rsid w:val="00DC6B28"/>
    <w:rsid w:val="00DC77C3"/>
    <w:rsid w:val="00DD102D"/>
    <w:rsid w:val="00DD2667"/>
    <w:rsid w:val="00DD44C6"/>
    <w:rsid w:val="00DD5DBE"/>
    <w:rsid w:val="00DD6808"/>
    <w:rsid w:val="00DE03CD"/>
    <w:rsid w:val="00DE0BB0"/>
    <w:rsid w:val="00DE3938"/>
    <w:rsid w:val="00DE3E73"/>
    <w:rsid w:val="00DE41E5"/>
    <w:rsid w:val="00DE4C52"/>
    <w:rsid w:val="00DE5938"/>
    <w:rsid w:val="00DE6239"/>
    <w:rsid w:val="00DF18FE"/>
    <w:rsid w:val="00DF24A6"/>
    <w:rsid w:val="00DF2719"/>
    <w:rsid w:val="00DF2F60"/>
    <w:rsid w:val="00DF35E4"/>
    <w:rsid w:val="00DF46A9"/>
    <w:rsid w:val="00DF4BC1"/>
    <w:rsid w:val="00DF59F1"/>
    <w:rsid w:val="00DF7AD7"/>
    <w:rsid w:val="00DF7EC5"/>
    <w:rsid w:val="00E00620"/>
    <w:rsid w:val="00E00AA8"/>
    <w:rsid w:val="00E00B05"/>
    <w:rsid w:val="00E00E57"/>
    <w:rsid w:val="00E0286F"/>
    <w:rsid w:val="00E02975"/>
    <w:rsid w:val="00E02DAE"/>
    <w:rsid w:val="00E036DC"/>
    <w:rsid w:val="00E03B5D"/>
    <w:rsid w:val="00E057EA"/>
    <w:rsid w:val="00E05808"/>
    <w:rsid w:val="00E068C5"/>
    <w:rsid w:val="00E112E9"/>
    <w:rsid w:val="00E1204C"/>
    <w:rsid w:val="00E12827"/>
    <w:rsid w:val="00E12EF4"/>
    <w:rsid w:val="00E136FA"/>
    <w:rsid w:val="00E13F49"/>
    <w:rsid w:val="00E150C3"/>
    <w:rsid w:val="00E153B3"/>
    <w:rsid w:val="00E15594"/>
    <w:rsid w:val="00E16F98"/>
    <w:rsid w:val="00E1778B"/>
    <w:rsid w:val="00E21C3B"/>
    <w:rsid w:val="00E21F85"/>
    <w:rsid w:val="00E23C3B"/>
    <w:rsid w:val="00E2435F"/>
    <w:rsid w:val="00E24B5E"/>
    <w:rsid w:val="00E24CAF"/>
    <w:rsid w:val="00E2512F"/>
    <w:rsid w:val="00E25554"/>
    <w:rsid w:val="00E255F8"/>
    <w:rsid w:val="00E263B5"/>
    <w:rsid w:val="00E26D96"/>
    <w:rsid w:val="00E27280"/>
    <w:rsid w:val="00E278E9"/>
    <w:rsid w:val="00E30C14"/>
    <w:rsid w:val="00E3136C"/>
    <w:rsid w:val="00E314C3"/>
    <w:rsid w:val="00E3235F"/>
    <w:rsid w:val="00E32CBF"/>
    <w:rsid w:val="00E33BCB"/>
    <w:rsid w:val="00E33C3E"/>
    <w:rsid w:val="00E3483E"/>
    <w:rsid w:val="00E36870"/>
    <w:rsid w:val="00E368A2"/>
    <w:rsid w:val="00E37EF5"/>
    <w:rsid w:val="00E40A6B"/>
    <w:rsid w:val="00E40F65"/>
    <w:rsid w:val="00E41603"/>
    <w:rsid w:val="00E426D4"/>
    <w:rsid w:val="00E430E9"/>
    <w:rsid w:val="00E44B34"/>
    <w:rsid w:val="00E45394"/>
    <w:rsid w:val="00E45B34"/>
    <w:rsid w:val="00E46000"/>
    <w:rsid w:val="00E46D7A"/>
    <w:rsid w:val="00E479DE"/>
    <w:rsid w:val="00E50348"/>
    <w:rsid w:val="00E50835"/>
    <w:rsid w:val="00E51ACD"/>
    <w:rsid w:val="00E522A5"/>
    <w:rsid w:val="00E5291A"/>
    <w:rsid w:val="00E537A2"/>
    <w:rsid w:val="00E53A94"/>
    <w:rsid w:val="00E53F09"/>
    <w:rsid w:val="00E55194"/>
    <w:rsid w:val="00E5727C"/>
    <w:rsid w:val="00E600E6"/>
    <w:rsid w:val="00E617DD"/>
    <w:rsid w:val="00E61901"/>
    <w:rsid w:val="00E63EB7"/>
    <w:rsid w:val="00E659C9"/>
    <w:rsid w:val="00E66E31"/>
    <w:rsid w:val="00E70857"/>
    <w:rsid w:val="00E722B4"/>
    <w:rsid w:val="00E72D10"/>
    <w:rsid w:val="00E72F12"/>
    <w:rsid w:val="00E747FC"/>
    <w:rsid w:val="00E75558"/>
    <w:rsid w:val="00E755E7"/>
    <w:rsid w:val="00E75957"/>
    <w:rsid w:val="00E777D6"/>
    <w:rsid w:val="00E80179"/>
    <w:rsid w:val="00E810B1"/>
    <w:rsid w:val="00E82892"/>
    <w:rsid w:val="00E83810"/>
    <w:rsid w:val="00E84866"/>
    <w:rsid w:val="00E84A9F"/>
    <w:rsid w:val="00E87EF6"/>
    <w:rsid w:val="00E901DE"/>
    <w:rsid w:val="00E90FB4"/>
    <w:rsid w:val="00E9194E"/>
    <w:rsid w:val="00E94049"/>
    <w:rsid w:val="00E94554"/>
    <w:rsid w:val="00E97216"/>
    <w:rsid w:val="00EA09BC"/>
    <w:rsid w:val="00EA0E64"/>
    <w:rsid w:val="00EA20CD"/>
    <w:rsid w:val="00EA2131"/>
    <w:rsid w:val="00EA328C"/>
    <w:rsid w:val="00EA3CC7"/>
    <w:rsid w:val="00EA47CC"/>
    <w:rsid w:val="00EA48F2"/>
    <w:rsid w:val="00EA5110"/>
    <w:rsid w:val="00EA52DC"/>
    <w:rsid w:val="00EA56A4"/>
    <w:rsid w:val="00EA7061"/>
    <w:rsid w:val="00EA743E"/>
    <w:rsid w:val="00EA7FB5"/>
    <w:rsid w:val="00EB0B03"/>
    <w:rsid w:val="00EB1AEF"/>
    <w:rsid w:val="00EB24EF"/>
    <w:rsid w:val="00EB30E1"/>
    <w:rsid w:val="00EB405C"/>
    <w:rsid w:val="00EB479C"/>
    <w:rsid w:val="00EB611B"/>
    <w:rsid w:val="00EB6F84"/>
    <w:rsid w:val="00EB6F97"/>
    <w:rsid w:val="00EB7292"/>
    <w:rsid w:val="00EB7438"/>
    <w:rsid w:val="00EB7472"/>
    <w:rsid w:val="00EB769E"/>
    <w:rsid w:val="00EB7A56"/>
    <w:rsid w:val="00EC0A6F"/>
    <w:rsid w:val="00EC1C34"/>
    <w:rsid w:val="00EC3166"/>
    <w:rsid w:val="00EC4B0A"/>
    <w:rsid w:val="00EC597F"/>
    <w:rsid w:val="00EC6168"/>
    <w:rsid w:val="00EC65DF"/>
    <w:rsid w:val="00EC682A"/>
    <w:rsid w:val="00ED0BBC"/>
    <w:rsid w:val="00ED0D02"/>
    <w:rsid w:val="00ED0E7F"/>
    <w:rsid w:val="00ED2956"/>
    <w:rsid w:val="00ED4496"/>
    <w:rsid w:val="00ED4760"/>
    <w:rsid w:val="00ED524F"/>
    <w:rsid w:val="00ED52ED"/>
    <w:rsid w:val="00ED5673"/>
    <w:rsid w:val="00ED571C"/>
    <w:rsid w:val="00ED57A0"/>
    <w:rsid w:val="00ED6800"/>
    <w:rsid w:val="00ED6E8E"/>
    <w:rsid w:val="00EE0059"/>
    <w:rsid w:val="00EE0F08"/>
    <w:rsid w:val="00EE1CFD"/>
    <w:rsid w:val="00EE2314"/>
    <w:rsid w:val="00EE2F94"/>
    <w:rsid w:val="00EE4657"/>
    <w:rsid w:val="00EE4A08"/>
    <w:rsid w:val="00EE5AA8"/>
    <w:rsid w:val="00EE5C0A"/>
    <w:rsid w:val="00EE5E56"/>
    <w:rsid w:val="00EE6122"/>
    <w:rsid w:val="00EE6A8F"/>
    <w:rsid w:val="00EE79EC"/>
    <w:rsid w:val="00EE7BE9"/>
    <w:rsid w:val="00EE7DC5"/>
    <w:rsid w:val="00EF0B37"/>
    <w:rsid w:val="00EF0D26"/>
    <w:rsid w:val="00EF1409"/>
    <w:rsid w:val="00EF1C37"/>
    <w:rsid w:val="00EF1DF5"/>
    <w:rsid w:val="00EF1E22"/>
    <w:rsid w:val="00EF3350"/>
    <w:rsid w:val="00EF46BA"/>
    <w:rsid w:val="00EF5DBB"/>
    <w:rsid w:val="00EF68DA"/>
    <w:rsid w:val="00EF68F3"/>
    <w:rsid w:val="00F0011C"/>
    <w:rsid w:val="00F020F2"/>
    <w:rsid w:val="00F028C7"/>
    <w:rsid w:val="00F02A92"/>
    <w:rsid w:val="00F032EC"/>
    <w:rsid w:val="00F047D6"/>
    <w:rsid w:val="00F049D2"/>
    <w:rsid w:val="00F04EB9"/>
    <w:rsid w:val="00F05017"/>
    <w:rsid w:val="00F054CB"/>
    <w:rsid w:val="00F06119"/>
    <w:rsid w:val="00F062D5"/>
    <w:rsid w:val="00F06BEE"/>
    <w:rsid w:val="00F06D19"/>
    <w:rsid w:val="00F074AC"/>
    <w:rsid w:val="00F075AD"/>
    <w:rsid w:val="00F075B5"/>
    <w:rsid w:val="00F104F7"/>
    <w:rsid w:val="00F10860"/>
    <w:rsid w:val="00F10A70"/>
    <w:rsid w:val="00F10ED2"/>
    <w:rsid w:val="00F11365"/>
    <w:rsid w:val="00F1136F"/>
    <w:rsid w:val="00F1158F"/>
    <w:rsid w:val="00F125BF"/>
    <w:rsid w:val="00F1286E"/>
    <w:rsid w:val="00F12B96"/>
    <w:rsid w:val="00F12D26"/>
    <w:rsid w:val="00F149A8"/>
    <w:rsid w:val="00F156C4"/>
    <w:rsid w:val="00F16AEE"/>
    <w:rsid w:val="00F16D7B"/>
    <w:rsid w:val="00F20125"/>
    <w:rsid w:val="00F203F5"/>
    <w:rsid w:val="00F20C0B"/>
    <w:rsid w:val="00F21D34"/>
    <w:rsid w:val="00F24333"/>
    <w:rsid w:val="00F25228"/>
    <w:rsid w:val="00F27026"/>
    <w:rsid w:val="00F303E3"/>
    <w:rsid w:val="00F30BC9"/>
    <w:rsid w:val="00F310CF"/>
    <w:rsid w:val="00F337CE"/>
    <w:rsid w:val="00F339C1"/>
    <w:rsid w:val="00F356E6"/>
    <w:rsid w:val="00F35F04"/>
    <w:rsid w:val="00F3629B"/>
    <w:rsid w:val="00F36C06"/>
    <w:rsid w:val="00F370EC"/>
    <w:rsid w:val="00F3778A"/>
    <w:rsid w:val="00F37C3C"/>
    <w:rsid w:val="00F40252"/>
    <w:rsid w:val="00F408A8"/>
    <w:rsid w:val="00F40B10"/>
    <w:rsid w:val="00F435D4"/>
    <w:rsid w:val="00F43EA1"/>
    <w:rsid w:val="00F4435D"/>
    <w:rsid w:val="00F4509C"/>
    <w:rsid w:val="00F45DBA"/>
    <w:rsid w:val="00F462D1"/>
    <w:rsid w:val="00F46BD3"/>
    <w:rsid w:val="00F46EC0"/>
    <w:rsid w:val="00F47043"/>
    <w:rsid w:val="00F472B9"/>
    <w:rsid w:val="00F4754C"/>
    <w:rsid w:val="00F5011E"/>
    <w:rsid w:val="00F5187C"/>
    <w:rsid w:val="00F5238C"/>
    <w:rsid w:val="00F5261F"/>
    <w:rsid w:val="00F527AE"/>
    <w:rsid w:val="00F52DCA"/>
    <w:rsid w:val="00F53746"/>
    <w:rsid w:val="00F53A43"/>
    <w:rsid w:val="00F54209"/>
    <w:rsid w:val="00F55051"/>
    <w:rsid w:val="00F55FF7"/>
    <w:rsid w:val="00F57925"/>
    <w:rsid w:val="00F6011A"/>
    <w:rsid w:val="00F602BF"/>
    <w:rsid w:val="00F6097D"/>
    <w:rsid w:val="00F61B16"/>
    <w:rsid w:val="00F61FB7"/>
    <w:rsid w:val="00F628FC"/>
    <w:rsid w:val="00F62E3B"/>
    <w:rsid w:val="00F62EDB"/>
    <w:rsid w:val="00F63F35"/>
    <w:rsid w:val="00F6428A"/>
    <w:rsid w:val="00F650FE"/>
    <w:rsid w:val="00F65D54"/>
    <w:rsid w:val="00F66896"/>
    <w:rsid w:val="00F707CB"/>
    <w:rsid w:val="00F70DF0"/>
    <w:rsid w:val="00F70F33"/>
    <w:rsid w:val="00F711B1"/>
    <w:rsid w:val="00F72C41"/>
    <w:rsid w:val="00F73B0D"/>
    <w:rsid w:val="00F74A9E"/>
    <w:rsid w:val="00F7518F"/>
    <w:rsid w:val="00F7599B"/>
    <w:rsid w:val="00F771DC"/>
    <w:rsid w:val="00F77441"/>
    <w:rsid w:val="00F808A7"/>
    <w:rsid w:val="00F83582"/>
    <w:rsid w:val="00F83614"/>
    <w:rsid w:val="00F838E9"/>
    <w:rsid w:val="00F84502"/>
    <w:rsid w:val="00F847B1"/>
    <w:rsid w:val="00F868F4"/>
    <w:rsid w:val="00F86B53"/>
    <w:rsid w:val="00F875E3"/>
    <w:rsid w:val="00F87966"/>
    <w:rsid w:val="00F904AC"/>
    <w:rsid w:val="00F92F22"/>
    <w:rsid w:val="00F93040"/>
    <w:rsid w:val="00F93E2A"/>
    <w:rsid w:val="00F93FB2"/>
    <w:rsid w:val="00F942F2"/>
    <w:rsid w:val="00F95F3E"/>
    <w:rsid w:val="00F979ED"/>
    <w:rsid w:val="00FA072C"/>
    <w:rsid w:val="00FA0B58"/>
    <w:rsid w:val="00FA0C93"/>
    <w:rsid w:val="00FA0F04"/>
    <w:rsid w:val="00FA1B8E"/>
    <w:rsid w:val="00FA1E33"/>
    <w:rsid w:val="00FA2084"/>
    <w:rsid w:val="00FA2AAA"/>
    <w:rsid w:val="00FA4F34"/>
    <w:rsid w:val="00FA68EA"/>
    <w:rsid w:val="00FA6E9F"/>
    <w:rsid w:val="00FB061E"/>
    <w:rsid w:val="00FB0BF0"/>
    <w:rsid w:val="00FB3AA9"/>
    <w:rsid w:val="00FB4503"/>
    <w:rsid w:val="00FB4BE9"/>
    <w:rsid w:val="00FB518E"/>
    <w:rsid w:val="00FB760D"/>
    <w:rsid w:val="00FB76CE"/>
    <w:rsid w:val="00FC13FA"/>
    <w:rsid w:val="00FC1442"/>
    <w:rsid w:val="00FC278A"/>
    <w:rsid w:val="00FC29BE"/>
    <w:rsid w:val="00FC2D29"/>
    <w:rsid w:val="00FC30CB"/>
    <w:rsid w:val="00FC3933"/>
    <w:rsid w:val="00FC4070"/>
    <w:rsid w:val="00FC4108"/>
    <w:rsid w:val="00FC4C5E"/>
    <w:rsid w:val="00FC5BCD"/>
    <w:rsid w:val="00FC6232"/>
    <w:rsid w:val="00FC7D1D"/>
    <w:rsid w:val="00FD0688"/>
    <w:rsid w:val="00FD0B3F"/>
    <w:rsid w:val="00FD1393"/>
    <w:rsid w:val="00FD1FF5"/>
    <w:rsid w:val="00FD2525"/>
    <w:rsid w:val="00FD2F13"/>
    <w:rsid w:val="00FD3509"/>
    <w:rsid w:val="00FD388E"/>
    <w:rsid w:val="00FD4738"/>
    <w:rsid w:val="00FD4FEC"/>
    <w:rsid w:val="00FD6D92"/>
    <w:rsid w:val="00FD79F7"/>
    <w:rsid w:val="00FD7AE7"/>
    <w:rsid w:val="00FD7CA5"/>
    <w:rsid w:val="00FE1DDC"/>
    <w:rsid w:val="00FE2C3F"/>
    <w:rsid w:val="00FE3D7E"/>
    <w:rsid w:val="00FE485D"/>
    <w:rsid w:val="00FE4DA8"/>
    <w:rsid w:val="00FE4F49"/>
    <w:rsid w:val="00FE5635"/>
    <w:rsid w:val="00FE59F4"/>
    <w:rsid w:val="00FF1A6F"/>
    <w:rsid w:val="00FF24C2"/>
    <w:rsid w:val="00FF2D13"/>
    <w:rsid w:val="00FF3880"/>
    <w:rsid w:val="00FF3C87"/>
    <w:rsid w:val="00FF45BA"/>
    <w:rsid w:val="00FF53BD"/>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70D55"/>
  <w15:chartTrackingRefBased/>
  <w15:docId w15:val="{AD7F14D5-4B71-44FE-A46F-CB6824C18CE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AE3"/>
    <w:rPr>
      <w:rFonts w:ascii="Book Antiqua" w:hAnsi="Book Antiqua"/>
      <w:sz w:val="26"/>
    </w:rPr>
  </w:style>
  <w:style w:type="paragraph" w:styleId="Heading1">
    <w:name w:val="heading 1"/>
    <w:basedOn w:val="Normal"/>
    <w:next w:val="Normal"/>
    <w:link w:val="Heading1Char"/>
    <w:uiPriority w:val="4"/>
    <w:qFormat/>
    <w:rsid w:val="00E25554"/>
    <w:pPr>
      <w:keepNext/>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spacing w:before="120" w:after="120"/>
      <w:outlineLvl w:val="1"/>
    </w:pPr>
    <w:rPr>
      <w:rFonts w:ascii="Arial" w:eastAsia="Times New Roman" w:hAnsi="Arial"/>
      <w:b/>
      <w:szCs w:val="26"/>
    </w:rPr>
  </w:style>
  <w:style w:type="paragraph" w:styleId="Heading3">
    <w:name w:val="heading 3"/>
    <w:basedOn w:val="Normal"/>
    <w:next w:val="Normal"/>
    <w:link w:val="Heading3Char"/>
    <w:uiPriority w:val="4"/>
    <w:qFormat/>
    <w:rsid w:val="00E25554"/>
    <w:pPr>
      <w:keepNext/>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3B4B32"/>
    <w:pPr>
      <w:ind w:left="260"/>
    </w:pPr>
    <w:rPr>
      <w:rFonts w:asciiTheme="minorHAnsi" w:hAnsiTheme="minorHAnsi"/>
      <w:b/>
      <w:bCs/>
      <w:sz w:val="22"/>
      <w:szCs w:val="22"/>
    </w:r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FD2F13"/>
    <w:pPr>
      <w:tabs>
        <w:tab w:val="right" w:leader="dot" w:pos="9350"/>
      </w:tabs>
      <w:ind w:left="432" w:hanging="432"/>
    </w:pPr>
    <w:rPr>
      <w:rFonts w:cs="Helvetica"/>
      <w:noProof/>
      <w:szCs w:val="26"/>
    </w:rPr>
  </w:style>
  <w:style w:type="paragraph" w:styleId="TOC3">
    <w:name w:val="toc 3"/>
    <w:basedOn w:val="Normal"/>
    <w:next w:val="Normal"/>
    <w:autoRedefine/>
    <w:uiPriority w:val="39"/>
    <w:unhideWhenUsed/>
    <w:rsid w:val="003B4B32"/>
    <w:pPr>
      <w:ind w:left="520"/>
    </w:pPr>
    <w:rPr>
      <w:rFonts w:asciiTheme="minorHAnsi" w:hAnsiTheme="minorHAnsi"/>
      <w:sz w:val="22"/>
      <w:szCs w:val="22"/>
    </w:r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uiPriority w:val="4"/>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uiPriority w:val="4"/>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iPriority w:val="99"/>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uiPriority w:val="99"/>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basedOn w:val="Normal"/>
    <w:link w:val="FootnoteTextChar"/>
    <w:uiPriority w:val="99"/>
    <w:unhideWhenUsed/>
    <w:qFormat/>
    <w:rsid w:val="00D06C1D"/>
    <w:pPr>
      <w:spacing w:after="120"/>
    </w:pPr>
    <w:rPr>
      <w:sz w:val="24"/>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basedOn w:val="DefaultParagraphFont"/>
    <w:link w:val="FootnoteText"/>
    <w:uiPriority w:val="99"/>
    <w:rsid w:val="00D06C1D"/>
    <w:rPr>
      <w:rFonts w:ascii="Book Antiqua" w:hAnsi="Book Antiqua"/>
      <w:sz w:val="24"/>
    </w:rPr>
  </w:style>
  <w:style w:type="character" w:styleId="FootnoteReference">
    <w:name w:val="footnote reference"/>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6"/>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5"/>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customStyle="1" w:styleId="Dummy">
    <w:name w:val="Dummy"/>
    <w:next w:val="Normal"/>
    <w:uiPriority w:val="19"/>
    <w:rsid w:val="0027207F"/>
    <w:pPr>
      <w:keepNext/>
      <w:keepLines/>
      <w:spacing w:after="120"/>
      <w:outlineLvl w:val="0"/>
    </w:pPr>
    <w:rPr>
      <w:rFonts w:ascii="Arial" w:hAnsi="Arial" w:cs="Arial"/>
      <w:b/>
      <w:sz w:val="26"/>
      <w:szCs w:val="26"/>
    </w:rPr>
  </w:style>
  <w:style w:type="paragraph" w:customStyle="1" w:styleId="Mainex">
    <w:name w:val="Mainex"/>
    <w:basedOn w:val="Normal"/>
    <w:next w:val="Normal"/>
    <w:uiPriority w:val="19"/>
    <w:rsid w:val="0027207F"/>
    <w:pPr>
      <w:keepNext/>
      <w:spacing w:line="360" w:lineRule="auto"/>
      <w:jc w:val="center"/>
      <w:outlineLvl w:val="0"/>
    </w:pPr>
    <w:rPr>
      <w:rFonts w:ascii="Arial" w:eastAsiaTheme="majorEastAsia" w:hAnsi="Arial" w:cstheme="majorBidi"/>
      <w:b/>
      <w:caps/>
      <w:spacing w:val="120"/>
      <w:szCs w:val="56"/>
    </w:rPr>
  </w:style>
  <w:style w:type="numbering" w:customStyle="1" w:styleId="FoFCoLOP">
    <w:name w:val="FoF/CoL/OP"/>
    <w:uiPriority w:val="99"/>
    <w:rsid w:val="0027207F"/>
    <w:pPr>
      <w:numPr>
        <w:numId w:val="8"/>
      </w:numPr>
    </w:pPr>
  </w:style>
  <w:style w:type="paragraph" w:customStyle="1" w:styleId="FoF">
    <w:name w:val="FoF"/>
    <w:basedOn w:val="Standard0"/>
    <w:uiPriority w:val="6"/>
    <w:qFormat/>
    <w:rsid w:val="0027207F"/>
    <w:pPr>
      <w:numPr>
        <w:numId w:val="9"/>
      </w:numPr>
      <w:ind w:firstLine="547"/>
    </w:pPr>
  </w:style>
  <w:style w:type="paragraph" w:customStyle="1" w:styleId="CoL">
    <w:name w:val="CoL"/>
    <w:basedOn w:val="Standard0"/>
    <w:uiPriority w:val="7"/>
    <w:qFormat/>
    <w:rsid w:val="0027207F"/>
    <w:pPr>
      <w:numPr>
        <w:numId w:val="10"/>
      </w:numPr>
      <w:ind w:firstLine="547"/>
    </w:pPr>
  </w:style>
  <w:style w:type="paragraph" w:customStyle="1" w:styleId="OP">
    <w:name w:val="OP"/>
    <w:basedOn w:val="Standard0"/>
    <w:uiPriority w:val="8"/>
    <w:qFormat/>
    <w:rsid w:val="0027207F"/>
    <w:pPr>
      <w:ind w:firstLine="0"/>
    </w:pPr>
  </w:style>
  <w:style w:type="paragraph" w:customStyle="1" w:styleId="Standard0">
    <w:name w:val="Standard"/>
    <w:basedOn w:val="Normal"/>
    <w:qFormat/>
    <w:rsid w:val="0027207F"/>
    <w:pPr>
      <w:spacing w:line="360" w:lineRule="auto"/>
      <w:ind w:firstLine="720"/>
    </w:pPr>
    <w:rPr>
      <w:rFonts w:cstheme="minorBidi"/>
      <w:szCs w:val="22"/>
    </w:rPr>
  </w:style>
  <w:style w:type="character" w:customStyle="1" w:styleId="apple-converted-space">
    <w:name w:val="apple-converted-space"/>
    <w:basedOn w:val="DefaultParagraphFont"/>
    <w:rsid w:val="00050DCD"/>
  </w:style>
  <w:style w:type="paragraph" w:styleId="NormalWeb">
    <w:name w:val="Normal (Web)"/>
    <w:basedOn w:val="Normal"/>
    <w:uiPriority w:val="99"/>
    <w:unhideWhenUsed/>
    <w:rsid w:val="00492D39"/>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unhideWhenUsed/>
    <w:rsid w:val="0085037B"/>
    <w:rPr>
      <w:sz w:val="24"/>
      <w:szCs w:val="24"/>
    </w:rPr>
  </w:style>
  <w:style w:type="character" w:customStyle="1" w:styleId="EndnoteTextChar">
    <w:name w:val="Endnote Text Char"/>
    <w:basedOn w:val="DefaultParagraphFont"/>
    <w:link w:val="EndnoteText"/>
    <w:uiPriority w:val="99"/>
    <w:rsid w:val="0085037B"/>
    <w:rPr>
      <w:rFonts w:ascii="Book Antiqua" w:hAnsi="Book Antiqua"/>
      <w:sz w:val="24"/>
      <w:szCs w:val="24"/>
    </w:rPr>
  </w:style>
  <w:style w:type="character" w:styleId="EndnoteReference">
    <w:name w:val="endnote reference"/>
    <w:basedOn w:val="DefaultParagraphFont"/>
    <w:uiPriority w:val="99"/>
    <w:unhideWhenUsed/>
    <w:rsid w:val="0085037B"/>
    <w:rPr>
      <w:vertAlign w:val="superscript"/>
    </w:rPr>
  </w:style>
  <w:style w:type="paragraph" w:styleId="TOCHeading">
    <w:name w:val="TOC Heading"/>
    <w:basedOn w:val="Heading1"/>
    <w:next w:val="Normal"/>
    <w:uiPriority w:val="39"/>
    <w:unhideWhenUsed/>
    <w:qFormat/>
    <w:rsid w:val="0091536E"/>
    <w:pPr>
      <w:keepLines/>
      <w:spacing w:before="480" w:after="0" w:line="276" w:lineRule="auto"/>
      <w:outlineLvl w:val="9"/>
    </w:pPr>
    <w:rPr>
      <w:rFonts w:asciiTheme="majorHAnsi" w:eastAsiaTheme="majorEastAsia" w:hAnsiTheme="majorHAnsi" w:cstheme="majorBidi"/>
      <w:bCs/>
      <w:color w:val="2F5496" w:themeColor="accent1" w:themeShade="BF"/>
      <w:kern w:val="0"/>
      <w:sz w:val="28"/>
      <w:szCs w:val="28"/>
    </w:rPr>
  </w:style>
  <w:style w:type="paragraph" w:styleId="TOC4">
    <w:name w:val="toc 4"/>
    <w:basedOn w:val="Normal"/>
    <w:next w:val="Normal"/>
    <w:autoRedefine/>
    <w:uiPriority w:val="39"/>
    <w:unhideWhenUsed/>
    <w:rsid w:val="0091536E"/>
    <w:pPr>
      <w:ind w:left="780"/>
    </w:pPr>
    <w:rPr>
      <w:rFonts w:asciiTheme="minorHAnsi" w:hAnsiTheme="minorHAnsi"/>
      <w:sz w:val="20"/>
    </w:rPr>
  </w:style>
  <w:style w:type="paragraph" w:styleId="TOC5">
    <w:name w:val="toc 5"/>
    <w:basedOn w:val="Normal"/>
    <w:next w:val="Normal"/>
    <w:autoRedefine/>
    <w:uiPriority w:val="39"/>
    <w:unhideWhenUsed/>
    <w:rsid w:val="0091536E"/>
    <w:pPr>
      <w:ind w:left="1040"/>
    </w:pPr>
    <w:rPr>
      <w:rFonts w:asciiTheme="minorHAnsi" w:hAnsiTheme="minorHAnsi"/>
      <w:sz w:val="20"/>
    </w:rPr>
  </w:style>
  <w:style w:type="paragraph" w:styleId="TOC6">
    <w:name w:val="toc 6"/>
    <w:basedOn w:val="Normal"/>
    <w:next w:val="Normal"/>
    <w:autoRedefine/>
    <w:uiPriority w:val="39"/>
    <w:unhideWhenUsed/>
    <w:rsid w:val="0091536E"/>
    <w:pPr>
      <w:ind w:left="1300"/>
    </w:pPr>
    <w:rPr>
      <w:rFonts w:asciiTheme="minorHAnsi" w:hAnsiTheme="minorHAnsi"/>
      <w:sz w:val="20"/>
    </w:rPr>
  </w:style>
  <w:style w:type="paragraph" w:styleId="TOC7">
    <w:name w:val="toc 7"/>
    <w:basedOn w:val="Normal"/>
    <w:next w:val="Normal"/>
    <w:autoRedefine/>
    <w:uiPriority w:val="39"/>
    <w:unhideWhenUsed/>
    <w:rsid w:val="0091536E"/>
    <w:pPr>
      <w:ind w:left="1560"/>
    </w:pPr>
    <w:rPr>
      <w:rFonts w:asciiTheme="minorHAnsi" w:hAnsiTheme="minorHAnsi"/>
      <w:sz w:val="20"/>
    </w:rPr>
  </w:style>
  <w:style w:type="paragraph" w:styleId="TOC8">
    <w:name w:val="toc 8"/>
    <w:basedOn w:val="Normal"/>
    <w:next w:val="Normal"/>
    <w:autoRedefine/>
    <w:uiPriority w:val="39"/>
    <w:unhideWhenUsed/>
    <w:rsid w:val="0091536E"/>
    <w:pPr>
      <w:ind w:left="1820"/>
    </w:pPr>
    <w:rPr>
      <w:rFonts w:asciiTheme="minorHAnsi" w:hAnsiTheme="minorHAnsi"/>
      <w:sz w:val="20"/>
    </w:rPr>
  </w:style>
  <w:style w:type="paragraph" w:styleId="TOC9">
    <w:name w:val="toc 9"/>
    <w:basedOn w:val="Normal"/>
    <w:next w:val="Normal"/>
    <w:autoRedefine/>
    <w:uiPriority w:val="39"/>
    <w:unhideWhenUsed/>
    <w:rsid w:val="0091536E"/>
    <w:pPr>
      <w:ind w:left="2080"/>
    </w:pPr>
    <w:rPr>
      <w:rFonts w:asciiTheme="minorHAnsi" w:hAnsiTheme="minorHAnsi"/>
      <w:sz w:val="20"/>
    </w:rPr>
  </w:style>
  <w:style w:type="character" w:styleId="FollowedHyperlink">
    <w:name w:val="FollowedHyperlink"/>
    <w:basedOn w:val="DefaultParagraphFont"/>
    <w:uiPriority w:val="99"/>
    <w:semiHidden/>
    <w:unhideWhenUsed/>
    <w:rsid w:val="00E314C3"/>
    <w:rPr>
      <w:color w:val="954F72" w:themeColor="followedHyperlink"/>
      <w:u w:val="single"/>
    </w:rPr>
  </w:style>
  <w:style w:type="character" w:styleId="UnresolvedMention">
    <w:name w:val="Unresolved Mention"/>
    <w:basedOn w:val="DefaultParagraphFont"/>
    <w:uiPriority w:val="99"/>
    <w:rsid w:val="00E314C3"/>
    <w:rPr>
      <w:color w:val="605E5C"/>
      <w:shd w:val="clear" w:color="auto" w:fill="E1DFDD"/>
    </w:rPr>
  </w:style>
  <w:style w:type="paragraph" w:styleId="ListBullet">
    <w:name w:val="List Bullet"/>
    <w:basedOn w:val="Standard0"/>
    <w:uiPriority w:val="4"/>
    <w:qFormat/>
    <w:rsid w:val="00D81F50"/>
    <w:pPr>
      <w:numPr>
        <w:numId w:val="16"/>
      </w:numPr>
      <w:tabs>
        <w:tab w:val="clear" w:pos="360"/>
      </w:tabs>
      <w:spacing w:after="120" w:line="240" w:lineRule="auto"/>
      <w:ind w:left="1080"/>
    </w:pPr>
    <w:rPr>
      <w:rFonts w:cs="Times New Roman"/>
      <w:szCs w:val="20"/>
    </w:rPr>
  </w:style>
  <w:style w:type="paragraph" w:customStyle="1" w:styleId="Body">
    <w:name w:val="Body"/>
    <w:rsid w:val="005554F3"/>
    <w:pPr>
      <w:pBdr>
        <w:top w:val="nil"/>
        <w:left w:val="nil"/>
        <w:bottom w:val="nil"/>
        <w:right w:val="nil"/>
        <w:between w:val="nil"/>
        <w:bar w:val="nil"/>
      </w:pBdr>
    </w:pPr>
    <w:rPr>
      <w:rFonts w:ascii="Palatino" w:eastAsia="Arial Unicode MS" w:hAnsi="Palatino" w:cs="Arial Unicode MS"/>
      <w:color w:val="000000"/>
      <w:sz w:val="26"/>
      <w:szCs w:val="26"/>
      <w:u w:color="000000"/>
      <w:bdr w:val="nil"/>
      <w14:textOutline w14:w="0" w14:cap="flat" w14:cmpd="sng" w14:algn="ctr">
        <w14:noFill/>
        <w14:prstDash w14:val="solid"/>
        <w14:bevel/>
      </w14:textOutline>
    </w:rPr>
  </w:style>
  <w:style w:type="character" w:customStyle="1" w:styleId="displayonly">
    <w:name w:val="display_only"/>
    <w:basedOn w:val="DefaultParagraphFont"/>
    <w:rsid w:val="005554F3"/>
  </w:style>
  <w:style w:type="paragraph" w:customStyle="1" w:styleId="Main">
    <w:name w:val="Main"/>
    <w:next w:val="Normal"/>
    <w:uiPriority w:val="19"/>
    <w:rsid w:val="005554F3"/>
    <w:pPr>
      <w:jc w:val="center"/>
    </w:pPr>
    <w:rPr>
      <w:rFonts w:ascii="Arial" w:eastAsiaTheme="majorEastAsia" w:hAnsi="Arial" w:cstheme="majorBidi"/>
      <w:b/>
      <w:caps/>
      <w:sz w:val="26"/>
      <w:szCs w:val="56"/>
    </w:rPr>
  </w:style>
  <w:style w:type="paragraph" w:customStyle="1" w:styleId="main0">
    <w:name w:val="main"/>
    <w:basedOn w:val="Normal"/>
    <w:link w:val="mainChar"/>
    <w:rsid w:val="005554F3"/>
    <w:pPr>
      <w:jc w:val="center"/>
    </w:pPr>
    <w:rPr>
      <w:rFonts w:ascii="Helvetica" w:eastAsia="Times New Roman" w:hAnsi="Helvetica"/>
      <w:b/>
    </w:rPr>
  </w:style>
  <w:style w:type="character" w:customStyle="1" w:styleId="mainChar">
    <w:name w:val="main Char"/>
    <w:link w:val="main0"/>
    <w:rsid w:val="005554F3"/>
    <w:rPr>
      <w:rFonts w:ascii="Helvetica" w:eastAsia="Times New Roman" w:hAnsi="Helvetica"/>
      <w:b/>
      <w:sz w:val="26"/>
    </w:rPr>
  </w:style>
  <w:style w:type="paragraph" w:styleId="Revision">
    <w:name w:val="Revision"/>
    <w:hidden/>
    <w:uiPriority w:val="99"/>
    <w:semiHidden/>
    <w:rsid w:val="007C71F8"/>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91542">
      <w:bodyDiv w:val="1"/>
      <w:marLeft w:val="0"/>
      <w:marRight w:val="0"/>
      <w:marTop w:val="0"/>
      <w:marBottom w:val="0"/>
      <w:divBdr>
        <w:top w:val="none" w:sz="0" w:space="0" w:color="auto"/>
        <w:left w:val="none" w:sz="0" w:space="0" w:color="auto"/>
        <w:bottom w:val="none" w:sz="0" w:space="0" w:color="auto"/>
        <w:right w:val="none" w:sz="0" w:space="0" w:color="auto"/>
      </w:divBdr>
    </w:div>
    <w:div w:id="261959429">
      <w:bodyDiv w:val="1"/>
      <w:marLeft w:val="0"/>
      <w:marRight w:val="0"/>
      <w:marTop w:val="0"/>
      <w:marBottom w:val="0"/>
      <w:divBdr>
        <w:top w:val="none" w:sz="0" w:space="0" w:color="auto"/>
        <w:left w:val="none" w:sz="0" w:space="0" w:color="auto"/>
        <w:bottom w:val="none" w:sz="0" w:space="0" w:color="auto"/>
        <w:right w:val="none" w:sz="0" w:space="0" w:color="auto"/>
      </w:divBdr>
      <w:divsChild>
        <w:div w:id="1730763576">
          <w:marLeft w:val="0"/>
          <w:marRight w:val="0"/>
          <w:marTop w:val="0"/>
          <w:marBottom w:val="0"/>
          <w:divBdr>
            <w:top w:val="none" w:sz="0" w:space="0" w:color="auto"/>
            <w:left w:val="none" w:sz="0" w:space="0" w:color="auto"/>
            <w:bottom w:val="none" w:sz="0" w:space="0" w:color="auto"/>
            <w:right w:val="none" w:sz="0" w:space="0" w:color="auto"/>
          </w:divBdr>
        </w:div>
        <w:div w:id="70929757">
          <w:marLeft w:val="0"/>
          <w:marRight w:val="0"/>
          <w:marTop w:val="0"/>
          <w:marBottom w:val="0"/>
          <w:divBdr>
            <w:top w:val="none" w:sz="0" w:space="0" w:color="auto"/>
            <w:left w:val="none" w:sz="0" w:space="0" w:color="auto"/>
            <w:bottom w:val="none" w:sz="0" w:space="0" w:color="auto"/>
            <w:right w:val="none" w:sz="0" w:space="0" w:color="auto"/>
          </w:divBdr>
        </w:div>
        <w:div w:id="85538537">
          <w:marLeft w:val="0"/>
          <w:marRight w:val="0"/>
          <w:marTop w:val="0"/>
          <w:marBottom w:val="0"/>
          <w:divBdr>
            <w:top w:val="none" w:sz="0" w:space="0" w:color="auto"/>
            <w:left w:val="none" w:sz="0" w:space="0" w:color="auto"/>
            <w:bottom w:val="none" w:sz="0" w:space="0" w:color="auto"/>
            <w:right w:val="none" w:sz="0" w:space="0" w:color="auto"/>
          </w:divBdr>
        </w:div>
        <w:div w:id="332732081">
          <w:marLeft w:val="0"/>
          <w:marRight w:val="0"/>
          <w:marTop w:val="0"/>
          <w:marBottom w:val="0"/>
          <w:divBdr>
            <w:top w:val="none" w:sz="0" w:space="0" w:color="auto"/>
            <w:left w:val="none" w:sz="0" w:space="0" w:color="auto"/>
            <w:bottom w:val="none" w:sz="0" w:space="0" w:color="auto"/>
            <w:right w:val="none" w:sz="0" w:space="0" w:color="auto"/>
          </w:divBdr>
        </w:div>
        <w:div w:id="380176110">
          <w:marLeft w:val="0"/>
          <w:marRight w:val="0"/>
          <w:marTop w:val="0"/>
          <w:marBottom w:val="0"/>
          <w:divBdr>
            <w:top w:val="none" w:sz="0" w:space="0" w:color="auto"/>
            <w:left w:val="none" w:sz="0" w:space="0" w:color="auto"/>
            <w:bottom w:val="none" w:sz="0" w:space="0" w:color="auto"/>
            <w:right w:val="none" w:sz="0" w:space="0" w:color="auto"/>
          </w:divBdr>
        </w:div>
        <w:div w:id="1462335563">
          <w:marLeft w:val="0"/>
          <w:marRight w:val="0"/>
          <w:marTop w:val="0"/>
          <w:marBottom w:val="0"/>
          <w:divBdr>
            <w:top w:val="none" w:sz="0" w:space="0" w:color="auto"/>
            <w:left w:val="none" w:sz="0" w:space="0" w:color="auto"/>
            <w:bottom w:val="none" w:sz="0" w:space="0" w:color="auto"/>
            <w:right w:val="none" w:sz="0" w:space="0" w:color="auto"/>
          </w:divBdr>
        </w:div>
      </w:divsChild>
    </w:div>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023091760">
      <w:bodyDiv w:val="1"/>
      <w:marLeft w:val="0"/>
      <w:marRight w:val="0"/>
      <w:marTop w:val="0"/>
      <w:marBottom w:val="0"/>
      <w:divBdr>
        <w:top w:val="none" w:sz="0" w:space="0" w:color="auto"/>
        <w:left w:val="none" w:sz="0" w:space="0" w:color="auto"/>
        <w:bottom w:val="none" w:sz="0" w:space="0" w:color="auto"/>
        <w:right w:val="none" w:sz="0" w:space="0" w:color="auto"/>
      </w:divBdr>
    </w:div>
    <w:div w:id="1256983141">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1362976063">
      <w:bodyDiv w:val="1"/>
      <w:marLeft w:val="0"/>
      <w:marRight w:val="0"/>
      <w:marTop w:val="0"/>
      <w:marBottom w:val="0"/>
      <w:divBdr>
        <w:top w:val="none" w:sz="0" w:space="0" w:color="auto"/>
        <w:left w:val="none" w:sz="0" w:space="0" w:color="auto"/>
        <w:bottom w:val="none" w:sz="0" w:space="0" w:color="auto"/>
        <w:right w:val="none" w:sz="0" w:space="0" w:color="auto"/>
      </w:divBdr>
    </w:div>
    <w:div w:id="1385568776">
      <w:bodyDiv w:val="1"/>
      <w:marLeft w:val="0"/>
      <w:marRight w:val="0"/>
      <w:marTop w:val="0"/>
      <w:marBottom w:val="0"/>
      <w:divBdr>
        <w:top w:val="none" w:sz="0" w:space="0" w:color="auto"/>
        <w:left w:val="none" w:sz="0" w:space="0" w:color="auto"/>
        <w:bottom w:val="none" w:sz="0" w:space="0" w:color="auto"/>
        <w:right w:val="none" w:sz="0" w:space="0" w:color="auto"/>
      </w:divBdr>
    </w:div>
    <w:div w:id="1392730958">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uploadedFiles/CPUC_Public_Website/Content/Proceedings/General%20Order%20157-E.Final3.pdf" TargetMode="External"/><Relationship Id="rId1" Type="http://schemas.openxmlformats.org/officeDocument/2006/relationships/hyperlink" Target="https://docs.cpuc.ca.gov/PublishedDocs/Published/G000/M329/K472/3294724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5173-80F1-46BD-B928-3DAB80F851A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66</ap:Pages>
  <ap:Words>14993</ap:Words>
  <ap:Characters>85465</ap:Characters>
  <ap:Application>Microsoft Office Word</ap:Application>
  <ap:DocSecurity>4</ap:DocSecurity>
  <ap:Lines>712</ap:Lines>
  <ap:Paragraphs>200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100258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2021-01-29T17:47:00Z</cp:lastPrinted>
  <dcterms:created xsi:type="dcterms:W3CDTF">2021-03-08T16:48:09Z</dcterms:created>
  <dcterms:modified xsi:type="dcterms:W3CDTF">2021-03-08T16:48:09Z</dcterms:modified>
</cp:coreProperties>
</file>