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315" w:rsidR="007007D9" w:rsidP="00AF4C9C" w:rsidRDefault="007007D9" w14:paraId="7C7FB4EA" w14:textId="32DA8012">
      <w:pPr>
        <w:tabs>
          <w:tab w:val="center" w:pos="4680"/>
          <w:tab w:val="right" w:pos="9360"/>
        </w:tabs>
        <w:ind w:left="-270" w:right="-360"/>
        <w:rPr>
          <w:b/>
        </w:rPr>
      </w:pPr>
      <w:r>
        <w:t>ALJ/PD1/SJP/gp2</w:t>
      </w:r>
      <w:r>
        <w:tab/>
      </w:r>
      <w:r>
        <w:tab/>
      </w:r>
      <w:r w:rsidR="00AF4C9C">
        <w:rPr>
          <w:b/>
        </w:rPr>
        <w:t>Date of Issuance:  3/9/2021</w:t>
      </w:r>
    </w:p>
    <w:p w:rsidR="007007D9" w:rsidP="007007D9" w:rsidRDefault="007007D9" w14:paraId="35D0F394" w14:textId="77777777">
      <w:pPr>
        <w:suppressAutoHyphens/>
        <w:ind w:left="-270" w:right="-360"/>
        <w:rPr>
          <w:color w:val="000000"/>
        </w:rPr>
      </w:pPr>
    </w:p>
    <w:p w:rsidRPr="00AF4C9C" w:rsidR="00A92D0B" w:rsidP="007007D9" w:rsidRDefault="00A92D0B" w14:paraId="5BDA9FD4" w14:textId="792D7BBD">
      <w:pPr>
        <w:suppressAutoHyphens/>
        <w:ind w:left="-270" w:right="-360"/>
        <w:rPr>
          <w:color w:val="000000"/>
        </w:rPr>
      </w:pPr>
      <w:r w:rsidRPr="000B58F6">
        <w:rPr>
          <w:color w:val="000000"/>
        </w:rPr>
        <w:t xml:space="preserve">Decision </w:t>
      </w:r>
      <w:r w:rsidRPr="00AF4C9C" w:rsidR="00AF4C9C">
        <w:rPr>
          <w:color w:val="000000"/>
        </w:rPr>
        <w:t>21-03-</w:t>
      </w:r>
      <w:proofErr w:type="gramStart"/>
      <w:r w:rsidRPr="00AF4C9C" w:rsidR="00AF4C9C">
        <w:rPr>
          <w:color w:val="000000"/>
        </w:rPr>
        <w:t>016</w:t>
      </w:r>
      <w:r w:rsidR="00AF4C9C">
        <w:rPr>
          <w:color w:val="000000"/>
        </w:rPr>
        <w:t xml:space="preserve">  March</w:t>
      </w:r>
      <w:proofErr w:type="gramEnd"/>
      <w:r w:rsidR="00AF4C9C">
        <w:rPr>
          <w:color w:val="000000"/>
        </w:rPr>
        <w:t xml:space="preserve"> 4, 2021</w:t>
      </w:r>
    </w:p>
    <w:p w:rsidRPr="000B58F6" w:rsidR="00A92D0B" w:rsidP="007007D9" w:rsidRDefault="00A92D0B" w14:paraId="44E03231" w14:textId="77777777">
      <w:pPr>
        <w:pStyle w:val="titlebar"/>
        <w:ind w:left="-270" w:right="-720"/>
        <w:jc w:val="left"/>
        <w:rPr>
          <w:rFonts w:ascii="Times New Roman" w:hAnsi="Times New Roman"/>
          <w:color w:val="000000"/>
          <w:sz w:val="24"/>
          <w:szCs w:val="24"/>
        </w:rPr>
      </w:pPr>
    </w:p>
    <w:p w:rsidRPr="000B58F6" w:rsidR="00A92D0B" w:rsidP="007007D9" w:rsidRDefault="00A92D0B" w14:paraId="67F2520C" w14:textId="77777777">
      <w:pPr>
        <w:pStyle w:val="titlebar"/>
        <w:ind w:left="-270" w:right="-720"/>
        <w:jc w:val="left"/>
        <w:rPr>
          <w:rFonts w:ascii="Times New Roman" w:hAnsi="Times New Roman"/>
          <w:color w:val="000000"/>
          <w:sz w:val="24"/>
          <w:szCs w:val="24"/>
        </w:rPr>
      </w:pPr>
      <w:r w:rsidRPr="000B58F6">
        <w:rPr>
          <w:rFonts w:ascii="Times New Roman" w:hAnsi="Times New Roman"/>
          <w:color w:val="000000"/>
          <w:sz w:val="24"/>
          <w:szCs w:val="24"/>
        </w:rPr>
        <w:t>BEFORE THE PUBLIC UTILITIES COMMISSION OF THE STATE OF CALIFORNIA</w:t>
      </w:r>
    </w:p>
    <w:p w:rsidRPr="000B58F6" w:rsidR="00A92D0B" w:rsidRDefault="00A92D0B" w14:paraId="564284CD" w14:textId="77777777">
      <w:pPr>
        <w:suppressAutoHyphens/>
        <w:rPr>
          <w:color w:val="000000"/>
        </w:rPr>
      </w:pPr>
    </w:p>
    <w:tbl>
      <w:tblPr>
        <w:tblW w:w="917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CC"/>
        <w:tblLayout w:type="fixed"/>
        <w:tblLook w:val="0000" w:firstRow="0" w:lastRow="0" w:firstColumn="0" w:lastColumn="0" w:noHBand="0" w:noVBand="0"/>
      </w:tblPr>
      <w:tblGrid>
        <w:gridCol w:w="4770"/>
        <w:gridCol w:w="4405"/>
      </w:tblGrid>
      <w:tr w:rsidRPr="000B58F6" w:rsidR="00A92D0B" w:rsidTr="007007D9" w14:paraId="3942D7B4" w14:textId="77777777">
        <w:tc>
          <w:tcPr>
            <w:tcW w:w="4770" w:type="dxa"/>
            <w:tcBorders>
              <w:top w:val="nil"/>
              <w:left w:val="nil"/>
            </w:tcBorders>
            <w:shd w:val="clear" w:color="auto" w:fill="auto"/>
          </w:tcPr>
          <w:p w:rsidRPr="000B58F6" w:rsidR="00610FEF" w:rsidP="00610FEF" w:rsidRDefault="00610FEF" w14:paraId="647C102D" w14:textId="77777777">
            <w:pPr>
              <w:tabs>
                <w:tab w:val="left" w:pos="1440"/>
                <w:tab w:val="left" w:pos="3600"/>
              </w:tabs>
              <w:rPr>
                <w:color w:val="000000"/>
              </w:rPr>
            </w:pPr>
            <w:r w:rsidRPr="000B58F6">
              <w:rPr>
                <w:color w:val="000000"/>
              </w:rPr>
              <w:t xml:space="preserve">Order Instituting Rulemaking on the Commission’s Own Motion to Conduct a Comprehensive Examination of </w:t>
            </w:r>
            <w:proofErr w:type="gramStart"/>
            <w:r w:rsidRPr="000B58F6">
              <w:rPr>
                <w:color w:val="000000"/>
              </w:rPr>
              <w:t>Investor Owned</w:t>
            </w:r>
            <w:proofErr w:type="gramEnd"/>
            <w:r w:rsidRPr="000B58F6">
              <w:rPr>
                <w:color w:val="000000"/>
              </w:rPr>
              <w:t xml:space="preserve"> Electric Utilities’ Residential Rate Structures, the Transition to Time Varying and Dynamic Rates, and Other Statutory Obligations.</w:t>
            </w:r>
          </w:p>
          <w:p w:rsidRPr="000B58F6" w:rsidR="00A92D0B" w:rsidRDefault="00A92D0B" w14:paraId="47850BD9" w14:textId="77777777">
            <w:pPr>
              <w:rPr>
                <w:color w:val="000000"/>
              </w:rPr>
            </w:pPr>
          </w:p>
        </w:tc>
        <w:tc>
          <w:tcPr>
            <w:tcW w:w="4405" w:type="dxa"/>
            <w:tcBorders>
              <w:top w:val="nil"/>
              <w:bottom w:val="nil"/>
              <w:right w:val="nil"/>
            </w:tcBorders>
            <w:shd w:val="clear" w:color="auto" w:fill="auto"/>
            <w:vAlign w:val="center"/>
          </w:tcPr>
          <w:p w:rsidRPr="000B58F6" w:rsidR="00A92D0B" w:rsidP="007007D9" w:rsidRDefault="00610FEF" w14:paraId="7EC7277D" w14:textId="1FE415FF">
            <w:pPr>
              <w:tabs>
                <w:tab w:val="left" w:pos="1440"/>
                <w:tab w:val="left" w:pos="3600"/>
              </w:tabs>
              <w:jc w:val="center"/>
              <w:rPr>
                <w:color w:val="000000"/>
              </w:rPr>
            </w:pPr>
            <w:r w:rsidRPr="000B58F6">
              <w:rPr>
                <w:color w:val="000000"/>
              </w:rPr>
              <w:t>R</w:t>
            </w:r>
            <w:r w:rsidR="007007D9">
              <w:rPr>
                <w:color w:val="000000"/>
              </w:rPr>
              <w:t xml:space="preserve">ulemaking </w:t>
            </w:r>
            <w:r w:rsidRPr="000B58F6">
              <w:rPr>
                <w:color w:val="000000"/>
              </w:rPr>
              <w:t>12-06-013</w:t>
            </w:r>
          </w:p>
        </w:tc>
      </w:tr>
    </w:tbl>
    <w:p w:rsidRPr="000B58F6" w:rsidR="00FC72B7" w:rsidRDefault="00FC72B7" w14:paraId="5459E071" w14:textId="77777777">
      <w:pPr>
        <w:jc w:val="center"/>
        <w:rPr>
          <w:b/>
          <w:color w:val="000000"/>
        </w:rPr>
      </w:pPr>
    </w:p>
    <w:p w:rsidR="00794BDB" w:rsidP="00794BDB" w:rsidRDefault="00794BDB" w14:paraId="6DA2B7EA" w14:textId="20FDD107">
      <w:pPr>
        <w:jc w:val="center"/>
        <w:rPr>
          <w:b/>
          <w:color w:val="000000"/>
        </w:rPr>
      </w:pPr>
      <w:r w:rsidRPr="00C83C0B">
        <w:rPr>
          <w:rFonts w:asciiTheme="majorBidi" w:hAnsiTheme="majorBidi" w:cstheme="majorBidi"/>
          <w:b/>
          <w:bCs/>
          <w:caps/>
        </w:rPr>
        <w:t xml:space="preserve">Decision granting compensation to </w:t>
      </w:r>
      <w:r>
        <w:rPr>
          <w:rFonts w:asciiTheme="majorBidi" w:hAnsiTheme="majorBidi" w:cstheme="majorBidi"/>
          <w:b/>
          <w:bCs/>
          <w:caps/>
        </w:rPr>
        <w:t>CENTER FOR ACCESSIBLE TECHNOLOGY</w:t>
      </w:r>
      <w:r w:rsidRPr="00C83C0B">
        <w:rPr>
          <w:rFonts w:asciiTheme="majorBidi" w:hAnsiTheme="majorBidi" w:cstheme="majorBidi"/>
          <w:b/>
          <w:bCs/>
          <w:caps/>
        </w:rPr>
        <w:t xml:space="preserve"> for substantial contribution to </w:t>
      </w:r>
      <w:r>
        <w:rPr>
          <w:rFonts w:asciiTheme="majorBidi" w:hAnsiTheme="majorBidi" w:cstheme="majorBidi"/>
          <w:b/>
          <w:bCs/>
          <w:caps/>
        </w:rPr>
        <w:t xml:space="preserve">Decision </w:t>
      </w:r>
      <w:r w:rsidR="006B00D2">
        <w:rPr>
          <w:rFonts w:asciiTheme="majorBidi" w:hAnsiTheme="majorBidi" w:cstheme="majorBidi"/>
          <w:b/>
          <w:bCs/>
          <w:caps/>
        </w:rPr>
        <w:br/>
      </w:r>
      <w:r w:rsidRPr="007F620E">
        <w:rPr>
          <w:b/>
          <w:color w:val="000000"/>
        </w:rPr>
        <w:t xml:space="preserve">(D.) </w:t>
      </w:r>
      <w:r w:rsidRPr="000B58F6">
        <w:rPr>
          <w:b/>
          <w:color w:val="000000"/>
        </w:rPr>
        <w:t>20-03-026</w:t>
      </w:r>
    </w:p>
    <w:p w:rsidRPr="000B58F6" w:rsidR="00A92D0B" w:rsidRDefault="00A92D0B" w14:paraId="4BEAFF75" w14:textId="77777777">
      <w:pPr>
        <w:suppressAutoHyphens/>
        <w:rPr>
          <w:color w:val="000000"/>
        </w:rPr>
      </w:pPr>
    </w:p>
    <w:tbl>
      <w:tblPr>
        <w:tblW w:w="95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0"/>
        <w:gridCol w:w="5040"/>
      </w:tblGrid>
      <w:tr w:rsidRPr="000B58F6" w:rsidR="00A92D0B" w:rsidTr="007007D9" w14:paraId="0FE98F62" w14:textId="77777777">
        <w:tc>
          <w:tcPr>
            <w:tcW w:w="4500" w:type="dxa"/>
            <w:shd w:val="clear" w:color="auto" w:fill="auto"/>
          </w:tcPr>
          <w:p w:rsidRPr="000B58F6" w:rsidR="00A92D0B" w:rsidP="00A92D0B" w:rsidRDefault="005A63D4" w14:paraId="11570D4A" w14:textId="0BC4BE11">
            <w:pPr>
              <w:tabs>
                <w:tab w:val="left" w:pos="1620"/>
                <w:tab w:val="right" w:pos="4500"/>
              </w:tabs>
              <w:spacing w:before="120"/>
              <w:rPr>
                <w:color w:val="000000"/>
              </w:rPr>
            </w:pPr>
            <w:r w:rsidRPr="000B58F6">
              <w:rPr>
                <w:b/>
                <w:color w:val="000000"/>
              </w:rPr>
              <w:t>Intervenor</w:t>
            </w:r>
            <w:r w:rsidRPr="000B58F6" w:rsidR="00F63C29">
              <w:rPr>
                <w:b/>
                <w:color w:val="000000"/>
              </w:rPr>
              <w:t>:</w:t>
            </w:r>
            <w:r w:rsidRPr="000B58F6" w:rsidR="00691528">
              <w:rPr>
                <w:b/>
                <w:color w:val="000000"/>
              </w:rPr>
              <w:t xml:space="preserve"> </w:t>
            </w:r>
            <w:r w:rsidRPr="007007D9" w:rsidR="00610FEF">
              <w:rPr>
                <w:bCs/>
                <w:color w:val="000000"/>
              </w:rPr>
              <w:t>Center for Accessible Technology (</w:t>
            </w:r>
            <w:proofErr w:type="spellStart"/>
            <w:r w:rsidRPr="007007D9" w:rsidR="00610FEF">
              <w:rPr>
                <w:bCs/>
                <w:color w:val="000000"/>
              </w:rPr>
              <w:t>CforAT</w:t>
            </w:r>
            <w:proofErr w:type="spellEnd"/>
            <w:r w:rsidRPr="007007D9" w:rsidR="00610FEF">
              <w:rPr>
                <w:bCs/>
                <w:color w:val="000000"/>
              </w:rPr>
              <w:t>)</w:t>
            </w:r>
          </w:p>
        </w:tc>
        <w:tc>
          <w:tcPr>
            <w:tcW w:w="5040" w:type="dxa"/>
            <w:shd w:val="clear" w:color="auto" w:fill="auto"/>
          </w:tcPr>
          <w:p w:rsidRPr="000B58F6" w:rsidR="00A92D0B" w:rsidP="00DE3A5D" w:rsidRDefault="00A92D0B" w14:paraId="53A584EE" w14:textId="000696EF">
            <w:pPr>
              <w:tabs>
                <w:tab w:val="left" w:pos="1872"/>
                <w:tab w:val="right" w:pos="3672"/>
              </w:tabs>
              <w:spacing w:before="120"/>
              <w:rPr>
                <w:b/>
                <w:color w:val="000000"/>
              </w:rPr>
            </w:pPr>
            <w:r w:rsidRPr="000B58F6">
              <w:rPr>
                <w:b/>
                <w:color w:val="000000"/>
              </w:rPr>
              <w:t>For contribution to D</w:t>
            </w:r>
            <w:r w:rsidRPr="000B58F6" w:rsidR="00DE3A5D">
              <w:rPr>
                <w:b/>
                <w:color w:val="000000"/>
              </w:rPr>
              <w:t xml:space="preserve">ecision </w:t>
            </w:r>
            <w:r w:rsidR="007007D9">
              <w:rPr>
                <w:b/>
                <w:color w:val="000000"/>
              </w:rPr>
              <w:br/>
            </w:r>
            <w:r w:rsidRPr="000B58F6" w:rsidR="00DE3A5D">
              <w:rPr>
                <w:b/>
                <w:color w:val="000000"/>
              </w:rPr>
              <w:t>(D.)</w:t>
            </w:r>
            <w:r w:rsidRPr="000B58F6" w:rsidR="00D01C06">
              <w:rPr>
                <w:b/>
                <w:color w:val="000000"/>
              </w:rPr>
              <w:t>20-03-026</w:t>
            </w:r>
            <w:r w:rsidR="007007D9">
              <w:rPr>
                <w:b/>
                <w:color w:val="000000"/>
              </w:rPr>
              <w:br/>
            </w:r>
          </w:p>
        </w:tc>
      </w:tr>
      <w:tr w:rsidRPr="000B58F6" w:rsidR="00A92D0B" w:rsidTr="007007D9" w14:paraId="47003B8E" w14:textId="77777777">
        <w:trPr>
          <w:trHeight w:val="521"/>
        </w:trPr>
        <w:tc>
          <w:tcPr>
            <w:tcW w:w="4500" w:type="dxa"/>
            <w:shd w:val="clear" w:color="auto" w:fill="auto"/>
          </w:tcPr>
          <w:p w:rsidRPr="000B58F6" w:rsidR="00A92D0B" w:rsidP="00691528" w:rsidRDefault="00A92D0B" w14:paraId="0E2E4BD1" w14:textId="5A9D8077">
            <w:pPr>
              <w:tabs>
                <w:tab w:val="left" w:pos="1620"/>
                <w:tab w:val="right" w:pos="4500"/>
              </w:tabs>
              <w:spacing w:before="120"/>
              <w:rPr>
                <w:b/>
                <w:color w:val="000000"/>
                <w:u w:val="single"/>
              </w:rPr>
            </w:pPr>
            <w:r w:rsidRPr="000B58F6">
              <w:rPr>
                <w:b/>
                <w:color w:val="000000"/>
              </w:rPr>
              <w:t>Claimed:</w:t>
            </w:r>
            <w:r w:rsidRPr="000B58F6" w:rsidR="00F63C29">
              <w:rPr>
                <w:b/>
                <w:color w:val="000000"/>
              </w:rPr>
              <w:t xml:space="preserve"> </w:t>
            </w:r>
            <w:r w:rsidRPr="000B58F6" w:rsidR="002D21CA">
              <w:rPr>
                <w:b/>
                <w:color w:val="000000"/>
              </w:rPr>
              <w:t xml:space="preserve"> </w:t>
            </w:r>
            <w:r w:rsidRPr="000B58F6" w:rsidR="00FC72B7">
              <w:rPr>
                <w:b/>
                <w:color w:val="000000"/>
              </w:rPr>
              <w:t>$</w:t>
            </w:r>
            <w:r w:rsidRPr="000B58F6" w:rsidR="008336EC">
              <w:rPr>
                <w:b/>
                <w:color w:val="000000"/>
              </w:rPr>
              <w:t xml:space="preserve"> </w:t>
            </w:r>
            <w:r w:rsidR="00B622DA">
              <w:rPr>
                <w:b/>
                <w:color w:val="000000"/>
              </w:rPr>
              <w:t>21</w:t>
            </w:r>
            <w:r w:rsidR="006A2380">
              <w:rPr>
                <w:b/>
                <w:color w:val="000000"/>
              </w:rPr>
              <w:t>,201.50</w:t>
            </w:r>
          </w:p>
        </w:tc>
        <w:tc>
          <w:tcPr>
            <w:tcW w:w="5040" w:type="dxa"/>
            <w:tcBorders>
              <w:bottom w:val="single" w:color="auto" w:sz="4" w:space="0"/>
            </w:tcBorders>
            <w:shd w:val="clear" w:color="auto" w:fill="auto"/>
          </w:tcPr>
          <w:p w:rsidRPr="000B58F6" w:rsidR="00A92D0B" w:rsidP="00FC72B7" w:rsidRDefault="00A92D0B" w14:paraId="211F40A8" w14:textId="2FCA8E12">
            <w:pPr>
              <w:tabs>
                <w:tab w:val="left" w:pos="1872"/>
                <w:tab w:val="right" w:pos="3672"/>
              </w:tabs>
              <w:spacing w:before="120"/>
              <w:rPr>
                <w:b/>
                <w:color w:val="000000"/>
                <w:u w:val="single"/>
              </w:rPr>
            </w:pPr>
            <w:r w:rsidRPr="000B58F6">
              <w:rPr>
                <w:b/>
                <w:color w:val="000000"/>
              </w:rPr>
              <w:t>Awarded:</w:t>
            </w:r>
            <w:r w:rsidRPr="000B58F6" w:rsidR="00FC72B7">
              <w:rPr>
                <w:b/>
                <w:color w:val="000000"/>
              </w:rPr>
              <w:t xml:space="preserve">  </w:t>
            </w:r>
            <w:r w:rsidRPr="003B5F0D" w:rsidR="003B5F0D">
              <w:rPr>
                <w:b/>
                <w:bCs/>
              </w:rPr>
              <w:t>$21,087.50</w:t>
            </w:r>
          </w:p>
        </w:tc>
      </w:tr>
      <w:tr w:rsidRPr="000B58F6" w:rsidR="00A92D0B" w:rsidTr="007007D9" w14:paraId="5C56877D" w14:textId="77777777">
        <w:tc>
          <w:tcPr>
            <w:tcW w:w="4500" w:type="dxa"/>
            <w:shd w:val="clear" w:color="auto" w:fill="auto"/>
          </w:tcPr>
          <w:p w:rsidRPr="000B58F6" w:rsidR="00A92D0B" w:rsidP="00A92D0B" w:rsidRDefault="00A92D0B" w14:paraId="6EF99E36" w14:textId="037111C8">
            <w:pPr>
              <w:tabs>
                <w:tab w:val="left" w:pos="3060"/>
                <w:tab w:val="right" w:pos="4500"/>
              </w:tabs>
              <w:spacing w:before="120"/>
              <w:rPr>
                <w:color w:val="000000"/>
                <w:u w:val="single"/>
              </w:rPr>
            </w:pPr>
            <w:r w:rsidRPr="000B58F6">
              <w:rPr>
                <w:b/>
                <w:color w:val="000000"/>
              </w:rPr>
              <w:t xml:space="preserve">Assigned Commissioner: </w:t>
            </w:r>
            <w:r w:rsidR="007007D9">
              <w:rPr>
                <w:b/>
                <w:color w:val="000000"/>
              </w:rPr>
              <w:br/>
            </w:r>
            <w:proofErr w:type="spellStart"/>
            <w:r w:rsidRPr="007007D9" w:rsidR="006B00D2">
              <w:rPr>
                <w:bCs/>
                <w:color w:val="000000"/>
              </w:rPr>
              <w:t>Marybel</w:t>
            </w:r>
            <w:proofErr w:type="spellEnd"/>
            <w:r w:rsidRPr="007007D9" w:rsidR="006B00D2">
              <w:rPr>
                <w:bCs/>
                <w:color w:val="000000"/>
              </w:rPr>
              <w:t xml:space="preserve"> </w:t>
            </w:r>
            <w:proofErr w:type="spellStart"/>
            <w:r w:rsidRPr="007007D9" w:rsidR="00C84D6E">
              <w:rPr>
                <w:bCs/>
                <w:color w:val="000000"/>
              </w:rPr>
              <w:t>Batjer</w:t>
            </w:r>
            <w:proofErr w:type="spellEnd"/>
          </w:p>
        </w:tc>
        <w:tc>
          <w:tcPr>
            <w:tcW w:w="5040" w:type="dxa"/>
            <w:shd w:val="clear" w:color="auto" w:fill="auto"/>
          </w:tcPr>
          <w:p w:rsidRPr="000B58F6" w:rsidR="00A92D0B" w:rsidP="00A92D0B" w:rsidRDefault="00A92D0B" w14:paraId="79375F78" w14:textId="36E1E614">
            <w:pPr>
              <w:tabs>
                <w:tab w:val="left" w:pos="1872"/>
                <w:tab w:val="right" w:pos="3672"/>
              </w:tabs>
              <w:spacing w:before="120"/>
              <w:rPr>
                <w:color w:val="000000"/>
                <w:u w:val="single"/>
              </w:rPr>
            </w:pPr>
            <w:r w:rsidRPr="000B58F6">
              <w:rPr>
                <w:b/>
                <w:color w:val="000000"/>
              </w:rPr>
              <w:t xml:space="preserve">Assigned </w:t>
            </w:r>
            <w:r w:rsidR="007007D9">
              <w:rPr>
                <w:b/>
                <w:color w:val="000000"/>
              </w:rPr>
              <w:t>Administrative Law Judges (</w:t>
            </w:r>
            <w:r w:rsidRPr="000B58F6">
              <w:rPr>
                <w:b/>
                <w:color w:val="000000"/>
              </w:rPr>
              <w:t>ALJ</w:t>
            </w:r>
            <w:r w:rsidR="00C84D6E">
              <w:rPr>
                <w:b/>
                <w:color w:val="000000"/>
              </w:rPr>
              <w:t>s</w:t>
            </w:r>
            <w:r w:rsidR="007007D9">
              <w:rPr>
                <w:b/>
                <w:color w:val="000000"/>
              </w:rPr>
              <w:t>)</w:t>
            </w:r>
            <w:r w:rsidRPr="000B58F6">
              <w:rPr>
                <w:b/>
                <w:color w:val="000000"/>
              </w:rPr>
              <w:t>:</w:t>
            </w:r>
            <w:r w:rsidRPr="000B58F6" w:rsidR="00F63C29">
              <w:rPr>
                <w:b/>
                <w:color w:val="000000"/>
              </w:rPr>
              <w:t xml:space="preserve"> </w:t>
            </w:r>
            <w:r w:rsidR="007007D9">
              <w:rPr>
                <w:b/>
                <w:color w:val="000000"/>
              </w:rPr>
              <w:br/>
            </w:r>
            <w:r w:rsidRPr="007007D9" w:rsidR="006B00D2">
              <w:rPr>
                <w:bCs/>
                <w:color w:val="000000"/>
              </w:rPr>
              <w:t xml:space="preserve">Patrick </w:t>
            </w:r>
            <w:r w:rsidRPr="007007D9" w:rsidR="00C84D6E">
              <w:rPr>
                <w:bCs/>
                <w:color w:val="000000"/>
              </w:rPr>
              <w:t xml:space="preserve">Doherty and </w:t>
            </w:r>
            <w:r w:rsidRPr="007007D9" w:rsidR="006B00D2">
              <w:rPr>
                <w:bCs/>
                <w:color w:val="000000"/>
              </w:rPr>
              <w:t xml:space="preserve">Sophia </w:t>
            </w:r>
            <w:r w:rsidRPr="007007D9" w:rsidR="00C84D6E">
              <w:rPr>
                <w:bCs/>
                <w:color w:val="000000"/>
              </w:rPr>
              <w:t>Park</w:t>
            </w:r>
            <w:r w:rsidR="007007D9">
              <w:rPr>
                <w:bCs/>
                <w:color w:val="000000"/>
              </w:rPr>
              <w:br/>
            </w:r>
          </w:p>
        </w:tc>
      </w:tr>
    </w:tbl>
    <w:p w:rsidR="007007D9" w:rsidRDefault="007007D9" w14:paraId="38ECAA04" w14:textId="77777777">
      <w:pPr>
        <w:rPr>
          <w:color w:val="000000"/>
        </w:rPr>
        <w:sectPr w:rsidR="007007D9" w:rsidSect="000F36C3">
          <w:footerReference w:type="default" r:id="rId8"/>
          <w:footerReference w:type="first" r:id="rId9"/>
          <w:pgSz w:w="12240" w:h="15840"/>
          <w:pgMar w:top="1440" w:right="1800" w:bottom="1440" w:left="1800" w:header="720" w:footer="720" w:gutter="0"/>
          <w:pgNumType w:fmt="numberInDash"/>
          <w:cols w:space="720"/>
          <w:titlePg/>
          <w:docGrid w:linePitch="360"/>
        </w:sectPr>
      </w:pPr>
    </w:p>
    <w:p w:rsidRPr="000B58F6" w:rsidR="00A92D0B" w:rsidRDefault="00A92D0B" w14:paraId="5F1ED56E" w14:textId="45C530C4">
      <w:pPr>
        <w:rPr>
          <w:color w:val="000000"/>
        </w:rPr>
      </w:pPr>
    </w:p>
    <w:p w:rsidRPr="000B58F6" w:rsidR="00691528" w:rsidP="00691528" w:rsidRDefault="00A92D0B" w14:paraId="3CEED871" w14:textId="77777777">
      <w:pPr>
        <w:jc w:val="center"/>
        <w:rPr>
          <w:b/>
          <w:color w:val="000000"/>
        </w:rPr>
      </w:pPr>
      <w:r w:rsidRPr="000B58F6">
        <w:rPr>
          <w:b/>
          <w:color w:val="000000"/>
        </w:rPr>
        <w:t>PART I:  PROCEDURAL ISSUES</w:t>
      </w:r>
    </w:p>
    <w:p w:rsidRPr="000B58F6" w:rsidR="00A92D0B" w:rsidRDefault="00A92D0B" w14:paraId="37AA25BD" w14:textId="77777777">
      <w:pPr>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0B58F6" w:rsidR="00A92D0B" w:rsidTr="00E14A77" w14:paraId="3C5C25ED" w14:textId="77777777">
        <w:tc>
          <w:tcPr>
            <w:tcW w:w="3708" w:type="dxa"/>
            <w:shd w:val="clear" w:color="auto" w:fill="auto"/>
          </w:tcPr>
          <w:p w:rsidRPr="000B58F6" w:rsidR="00A92D0B" w:rsidP="00915118" w:rsidRDefault="00A92D0B" w14:paraId="1576A0A6" w14:textId="77777777">
            <w:pPr>
              <w:rPr>
                <w:b/>
                <w:color w:val="000000"/>
              </w:rPr>
            </w:pPr>
            <w:r w:rsidRPr="000B58F6">
              <w:rPr>
                <w:b/>
                <w:color w:val="000000"/>
              </w:rPr>
              <w:t xml:space="preserve">A.  Brief </w:t>
            </w:r>
            <w:r w:rsidRPr="000B58F6" w:rsidR="00A319DE">
              <w:rPr>
                <w:b/>
                <w:color w:val="000000"/>
              </w:rPr>
              <w:t>d</w:t>
            </w:r>
            <w:r w:rsidRPr="000B58F6">
              <w:rPr>
                <w:b/>
                <w:color w:val="000000"/>
              </w:rPr>
              <w:t xml:space="preserve">escription of Decision: </w:t>
            </w:r>
          </w:p>
        </w:tc>
        <w:tc>
          <w:tcPr>
            <w:tcW w:w="6120" w:type="dxa"/>
            <w:shd w:val="clear" w:color="auto" w:fill="auto"/>
          </w:tcPr>
          <w:p w:rsidRPr="000B58F6" w:rsidR="00C02649" w:rsidRDefault="00D01C06" w14:paraId="67B8ECAA" w14:textId="30C3B484">
            <w:r w:rsidRPr="000B58F6">
              <w:t xml:space="preserve">This decision authorizes DDB San Francisco to continue </w:t>
            </w:r>
            <w:r w:rsidR="00C84D6E">
              <w:t xml:space="preserve">contracted </w:t>
            </w:r>
            <w:r w:rsidRPr="000B58F6">
              <w:t>work on a statewide marketing, education, and outreach program in support of the transition of most residential customers of the major IOUs to default time-of-use rates through 2021. This decision authorizes an additional ratepayer expenditure of up to approximately $13.3 million for this continued work; DDB sought approval of $22.9 million.</w:t>
            </w:r>
          </w:p>
        </w:tc>
      </w:tr>
    </w:tbl>
    <w:p w:rsidRPr="000B58F6" w:rsidR="00A92D0B" w:rsidRDefault="00A92D0B" w14:paraId="3627CBB7" w14:textId="77777777">
      <w:pPr>
        <w:rPr>
          <w:color w:val="000000"/>
        </w:rPr>
      </w:pPr>
    </w:p>
    <w:p w:rsidRPr="000B58F6" w:rsidR="00A92D0B" w:rsidRDefault="005A63D4" w14:paraId="2FBF046C" w14:textId="77777777">
      <w:pPr>
        <w:numPr>
          <w:ilvl w:val="0"/>
          <w:numId w:val="5"/>
        </w:numPr>
        <w:rPr>
          <w:b/>
          <w:color w:val="000000"/>
        </w:rPr>
      </w:pPr>
      <w:r w:rsidRPr="000B58F6">
        <w:rPr>
          <w:b/>
          <w:color w:val="000000"/>
        </w:rPr>
        <w:t xml:space="preserve">Intervenor </w:t>
      </w:r>
      <w:r w:rsidRPr="000B58F6" w:rsidR="00A92D0B">
        <w:rPr>
          <w:b/>
          <w:color w:val="000000"/>
        </w:rPr>
        <w:t xml:space="preserve">must satisfy intervenor compensation </w:t>
      </w:r>
      <w:r w:rsidRPr="000B58F6" w:rsidR="00DE3A5D">
        <w:rPr>
          <w:b/>
          <w:color w:val="000000"/>
        </w:rPr>
        <w:t>requirements set forth in Pub. Util.</w:t>
      </w:r>
      <w:r w:rsidRPr="000B58F6" w:rsidR="00A92D0B">
        <w:rPr>
          <w:b/>
          <w:color w:val="000000"/>
        </w:rPr>
        <w:t xml:space="preserve"> Code §§ 1801-1812</w:t>
      </w:r>
      <w:r w:rsidRPr="000B58F6" w:rsidR="003B6A1B">
        <w:rPr>
          <w:rStyle w:val="FootnoteReference"/>
          <w:b/>
          <w:color w:val="000000"/>
        </w:rPr>
        <w:footnoteReference w:id="1"/>
      </w:r>
      <w:r w:rsidRPr="000B58F6" w:rsidR="00A92D0B">
        <w:rPr>
          <w:b/>
          <w:color w:val="000000"/>
        </w:rPr>
        <w:t>:</w:t>
      </w:r>
    </w:p>
    <w:p w:rsidRPr="000B58F6" w:rsidR="00A92D0B" w:rsidRDefault="00A92D0B" w14:paraId="4E196E03" w14:textId="77777777">
      <w:pPr>
        <w:tabs>
          <w:tab w:val="left" w:pos="360"/>
        </w:tabs>
        <w:rPr>
          <w:color w:val="000000"/>
        </w:rPr>
      </w:pP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0B58F6" w:rsidR="00A92D0B" w:rsidTr="00180E8C" w14:paraId="640CF70A" w14:textId="77777777">
        <w:tc>
          <w:tcPr>
            <w:tcW w:w="5040" w:type="dxa"/>
            <w:tcBorders>
              <w:bottom w:val="single" w:color="auto" w:sz="4" w:space="0"/>
            </w:tcBorders>
            <w:shd w:val="clear" w:color="auto" w:fill="auto"/>
          </w:tcPr>
          <w:p w:rsidRPr="000B58F6" w:rsidR="00A92D0B" w:rsidP="00A92D0B" w:rsidRDefault="00A92D0B" w14:paraId="409E4D92"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0B58F6" w:rsidR="00A92D0B" w:rsidP="00A92D0B" w:rsidRDefault="005A63D4" w14:paraId="1412A3C6" w14:textId="77777777">
            <w:pPr>
              <w:tabs>
                <w:tab w:val="left" w:pos="360"/>
              </w:tabs>
              <w:spacing w:before="120"/>
              <w:jc w:val="center"/>
              <w:rPr>
                <w:b/>
                <w:color w:val="000000"/>
              </w:rPr>
            </w:pPr>
            <w:r w:rsidRPr="000B58F6">
              <w:rPr>
                <w:b/>
                <w:color w:val="000000"/>
              </w:rPr>
              <w:t>Intervenor</w:t>
            </w:r>
          </w:p>
        </w:tc>
        <w:tc>
          <w:tcPr>
            <w:tcW w:w="2340" w:type="dxa"/>
            <w:tcBorders>
              <w:bottom w:val="single" w:color="auto" w:sz="4" w:space="0"/>
            </w:tcBorders>
            <w:shd w:val="clear" w:color="auto" w:fill="auto"/>
          </w:tcPr>
          <w:p w:rsidRPr="000B58F6" w:rsidR="00A92D0B" w:rsidP="0081626F" w:rsidRDefault="00A92D0B" w14:paraId="2A218C38" w14:textId="386C9A6A">
            <w:pPr>
              <w:tabs>
                <w:tab w:val="left" w:pos="360"/>
              </w:tabs>
              <w:spacing w:before="120"/>
              <w:jc w:val="center"/>
              <w:rPr>
                <w:b/>
                <w:color w:val="000000"/>
              </w:rPr>
            </w:pPr>
            <w:r w:rsidRPr="000B58F6">
              <w:rPr>
                <w:b/>
                <w:color w:val="000000"/>
              </w:rPr>
              <w:t xml:space="preserve">CPUC </w:t>
            </w:r>
            <w:r w:rsidRPr="000B58F6" w:rsidR="0081626F">
              <w:rPr>
                <w:b/>
                <w:color w:val="000000"/>
              </w:rPr>
              <w:t>Verification</w:t>
            </w:r>
          </w:p>
        </w:tc>
      </w:tr>
      <w:tr w:rsidRPr="000B58F6" w:rsidR="00A92D0B" w:rsidTr="00180E8C" w14:paraId="7D83D00D"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B58F6" w:rsidR="00A92D0B" w:rsidP="00A92D0B" w:rsidRDefault="00A92D0B" w14:paraId="606E2B66" w14:textId="77777777">
            <w:pPr>
              <w:tabs>
                <w:tab w:val="left" w:pos="360"/>
              </w:tabs>
              <w:spacing w:before="60"/>
              <w:jc w:val="center"/>
              <w:rPr>
                <w:b/>
              </w:rPr>
            </w:pPr>
            <w:r w:rsidRPr="000B58F6">
              <w:rPr>
                <w:b/>
              </w:rPr>
              <w:t>Timely filing of notice of intent to claim compensation (NOI) (§ 1804(a)):</w:t>
            </w:r>
          </w:p>
        </w:tc>
      </w:tr>
      <w:tr w:rsidRPr="000B58F6" w:rsidR="00A92D0B" w:rsidTr="00AE0579" w14:paraId="160E284A" w14:textId="77777777">
        <w:tc>
          <w:tcPr>
            <w:tcW w:w="5040" w:type="dxa"/>
            <w:tcBorders>
              <w:top w:val="single" w:color="auto" w:sz="4" w:space="0"/>
            </w:tcBorders>
            <w:shd w:val="clear" w:color="auto" w:fill="auto"/>
          </w:tcPr>
          <w:p w:rsidRPr="000B58F6" w:rsidR="00A92D0B" w:rsidP="00ED6B6B" w:rsidRDefault="00FC72B7" w14:paraId="44D1876C" w14:textId="77777777">
            <w:pPr>
              <w:tabs>
                <w:tab w:val="left" w:pos="360"/>
              </w:tabs>
              <w:spacing w:before="120"/>
              <w:ind w:left="360" w:hanging="360"/>
              <w:rPr>
                <w:color w:val="000000"/>
              </w:rPr>
            </w:pPr>
            <w:r w:rsidRPr="000B58F6">
              <w:rPr>
                <w:color w:val="000000"/>
              </w:rPr>
              <w:t xml:space="preserve"> </w:t>
            </w:r>
            <w:r w:rsidRPr="000B58F6" w:rsidR="00A92D0B">
              <w:rPr>
                <w:color w:val="000000"/>
              </w:rPr>
              <w:t>1.  Date of Prehearing Conference:</w:t>
            </w:r>
          </w:p>
        </w:tc>
        <w:tc>
          <w:tcPr>
            <w:tcW w:w="2340" w:type="dxa"/>
            <w:tcBorders>
              <w:top w:val="single" w:color="auto" w:sz="4" w:space="0"/>
            </w:tcBorders>
            <w:shd w:val="clear" w:color="auto" w:fill="auto"/>
          </w:tcPr>
          <w:p w:rsidRPr="000B58F6" w:rsidR="0072314D" w:rsidP="0072314D" w:rsidRDefault="0072314D" w14:paraId="3D132C4C" w14:textId="77777777">
            <w:pPr>
              <w:tabs>
                <w:tab w:val="left" w:pos="360"/>
              </w:tabs>
              <w:spacing w:before="120"/>
              <w:ind w:left="1"/>
              <w:rPr>
                <w:color w:val="000000"/>
              </w:rPr>
            </w:pPr>
            <w:r w:rsidRPr="000B58F6">
              <w:rPr>
                <w:color w:val="000000"/>
              </w:rPr>
              <w:t>Initial PHC: 10/24/12</w:t>
            </w:r>
          </w:p>
          <w:p w:rsidRPr="000B58F6" w:rsidR="00A92D0B" w:rsidP="0072314D" w:rsidRDefault="0072314D" w14:paraId="35450816" w14:textId="239736AE">
            <w:pPr>
              <w:keepNext/>
              <w:keepLines/>
              <w:tabs>
                <w:tab w:val="left" w:pos="0"/>
              </w:tabs>
              <w:spacing w:before="120"/>
              <w:ind w:left="-29" w:firstLine="29"/>
              <w:rPr>
                <w:color w:val="000000"/>
              </w:rPr>
            </w:pPr>
            <w:r w:rsidRPr="000B58F6">
              <w:rPr>
                <w:color w:val="000000"/>
              </w:rPr>
              <w:t>Multiple additional PHCs have been held in this proceeding, but none of them are relevant to eligibility for compensation</w:t>
            </w:r>
          </w:p>
        </w:tc>
        <w:tc>
          <w:tcPr>
            <w:tcW w:w="2340" w:type="dxa"/>
            <w:tcBorders>
              <w:top w:val="single" w:color="auto" w:sz="4" w:space="0"/>
            </w:tcBorders>
            <w:shd w:val="clear" w:color="auto" w:fill="auto"/>
          </w:tcPr>
          <w:p w:rsidRPr="000B58F6" w:rsidR="00A92D0B" w:rsidP="009A62F6" w:rsidRDefault="00E14A77" w14:paraId="34540344" w14:textId="50469AF5">
            <w:pPr>
              <w:tabs>
                <w:tab w:val="left" w:pos="360"/>
              </w:tabs>
              <w:spacing w:before="120"/>
              <w:jc w:val="both"/>
              <w:rPr>
                <w:color w:val="000000"/>
              </w:rPr>
            </w:pPr>
            <w:r>
              <w:t>0</w:t>
            </w:r>
            <w:r w:rsidRPr="00575C7B">
              <w:t>8/24/15</w:t>
            </w:r>
          </w:p>
        </w:tc>
      </w:tr>
      <w:tr w:rsidRPr="000B58F6" w:rsidR="00A92D0B" w:rsidTr="00AE0579" w14:paraId="24C85564" w14:textId="77777777">
        <w:tc>
          <w:tcPr>
            <w:tcW w:w="5040" w:type="dxa"/>
            <w:shd w:val="clear" w:color="auto" w:fill="auto"/>
          </w:tcPr>
          <w:p w:rsidRPr="000B58F6" w:rsidR="00A92D0B" w:rsidP="00915118" w:rsidRDefault="00FC72B7" w14:paraId="382C5788" w14:textId="77777777">
            <w:pPr>
              <w:tabs>
                <w:tab w:val="left" w:pos="360"/>
              </w:tabs>
              <w:spacing w:before="120"/>
              <w:ind w:left="360" w:hanging="360"/>
              <w:rPr>
                <w:color w:val="000000"/>
              </w:rPr>
            </w:pPr>
            <w:r w:rsidRPr="000B58F6">
              <w:rPr>
                <w:color w:val="000000"/>
              </w:rPr>
              <w:t xml:space="preserve"> </w:t>
            </w:r>
            <w:r w:rsidRPr="000B58F6" w:rsidR="00A92D0B">
              <w:rPr>
                <w:color w:val="000000"/>
              </w:rPr>
              <w:t xml:space="preserve">2.  Other </w:t>
            </w:r>
            <w:r w:rsidRPr="000B58F6" w:rsidR="00A319DE">
              <w:rPr>
                <w:color w:val="000000"/>
              </w:rPr>
              <w:t>s</w:t>
            </w:r>
            <w:r w:rsidRPr="000B58F6" w:rsidR="00A92D0B">
              <w:rPr>
                <w:color w:val="000000"/>
              </w:rPr>
              <w:t xml:space="preserve">pecified </w:t>
            </w:r>
            <w:r w:rsidRPr="000B58F6" w:rsidR="00A319DE">
              <w:rPr>
                <w:color w:val="000000"/>
              </w:rPr>
              <w:t>d</w:t>
            </w:r>
            <w:r w:rsidRPr="000B58F6" w:rsidR="00A92D0B">
              <w:rPr>
                <w:color w:val="000000"/>
              </w:rPr>
              <w:t>ate for NOI:</w:t>
            </w:r>
          </w:p>
        </w:tc>
        <w:tc>
          <w:tcPr>
            <w:tcW w:w="2340" w:type="dxa"/>
            <w:shd w:val="clear" w:color="auto" w:fill="auto"/>
          </w:tcPr>
          <w:p w:rsidRPr="000B58F6" w:rsidR="00A92D0B" w:rsidP="00045A2F" w:rsidRDefault="0072314D" w14:paraId="1826BC2C" w14:textId="35140ABB">
            <w:pPr>
              <w:keepNext/>
              <w:keepLines/>
              <w:tabs>
                <w:tab w:val="left" w:pos="360"/>
              </w:tabs>
              <w:spacing w:before="120"/>
              <w:ind w:left="360" w:hanging="360"/>
              <w:rPr>
                <w:color w:val="000000"/>
              </w:rPr>
            </w:pPr>
            <w:r w:rsidRPr="000B58F6">
              <w:rPr>
                <w:color w:val="000000"/>
              </w:rPr>
              <w:t>N/A</w:t>
            </w:r>
          </w:p>
        </w:tc>
        <w:tc>
          <w:tcPr>
            <w:tcW w:w="2340" w:type="dxa"/>
            <w:shd w:val="clear" w:color="auto" w:fill="auto"/>
          </w:tcPr>
          <w:p w:rsidRPr="000B58F6" w:rsidR="00A92D0B" w:rsidP="009A62F6" w:rsidRDefault="00A92D0B" w14:paraId="210DAD91" w14:textId="77777777">
            <w:pPr>
              <w:tabs>
                <w:tab w:val="left" w:pos="360"/>
              </w:tabs>
              <w:spacing w:before="120"/>
              <w:jc w:val="both"/>
              <w:rPr>
                <w:color w:val="000000"/>
              </w:rPr>
            </w:pPr>
          </w:p>
        </w:tc>
      </w:tr>
      <w:tr w:rsidRPr="000B58F6" w:rsidR="00A92D0B" w:rsidTr="00AE0579" w14:paraId="4836EEA6" w14:textId="77777777">
        <w:tc>
          <w:tcPr>
            <w:tcW w:w="5040" w:type="dxa"/>
            <w:shd w:val="clear" w:color="auto" w:fill="auto"/>
          </w:tcPr>
          <w:p w:rsidRPr="000B58F6" w:rsidR="00A92D0B" w:rsidP="00915118" w:rsidRDefault="00FC72B7" w14:paraId="34809C45" w14:textId="77777777">
            <w:pPr>
              <w:tabs>
                <w:tab w:val="left" w:pos="360"/>
              </w:tabs>
              <w:spacing w:before="120"/>
              <w:ind w:left="360" w:hanging="360"/>
              <w:rPr>
                <w:color w:val="000000"/>
              </w:rPr>
            </w:pPr>
            <w:r w:rsidRPr="000B58F6">
              <w:rPr>
                <w:color w:val="000000"/>
              </w:rPr>
              <w:t xml:space="preserve"> </w:t>
            </w:r>
            <w:r w:rsidRPr="000B58F6" w:rsidR="00A92D0B">
              <w:rPr>
                <w:color w:val="000000"/>
              </w:rPr>
              <w:t xml:space="preserve">3.  Date NOI </w:t>
            </w:r>
            <w:r w:rsidRPr="000B58F6" w:rsidR="00A319DE">
              <w:rPr>
                <w:color w:val="000000"/>
              </w:rPr>
              <w:t>f</w:t>
            </w:r>
            <w:r w:rsidRPr="000B58F6" w:rsidR="00A92D0B">
              <w:rPr>
                <w:color w:val="000000"/>
              </w:rPr>
              <w:t>iled:</w:t>
            </w:r>
          </w:p>
        </w:tc>
        <w:tc>
          <w:tcPr>
            <w:tcW w:w="2340" w:type="dxa"/>
            <w:tcBorders>
              <w:bottom w:val="single" w:color="auto" w:sz="4" w:space="0"/>
            </w:tcBorders>
            <w:shd w:val="clear" w:color="auto" w:fill="auto"/>
          </w:tcPr>
          <w:p w:rsidRPr="000B58F6" w:rsidR="00A92D0B" w:rsidP="00045A2F" w:rsidRDefault="0072314D" w14:paraId="44F7CCB9" w14:textId="397DAAF2">
            <w:pPr>
              <w:keepNext/>
              <w:keepLines/>
              <w:tabs>
                <w:tab w:val="left" w:pos="360"/>
              </w:tabs>
              <w:spacing w:before="120"/>
              <w:ind w:left="360" w:hanging="360"/>
              <w:rPr>
                <w:color w:val="000000"/>
              </w:rPr>
            </w:pPr>
            <w:r w:rsidRPr="000B58F6">
              <w:rPr>
                <w:color w:val="000000"/>
              </w:rPr>
              <w:t>11/26/12</w:t>
            </w:r>
          </w:p>
        </w:tc>
        <w:tc>
          <w:tcPr>
            <w:tcW w:w="2340" w:type="dxa"/>
            <w:tcBorders>
              <w:bottom w:val="single" w:color="auto" w:sz="4" w:space="0"/>
            </w:tcBorders>
            <w:shd w:val="clear" w:color="auto" w:fill="auto"/>
          </w:tcPr>
          <w:p w:rsidRPr="000B58F6" w:rsidR="00A92D0B" w:rsidP="009A62F6" w:rsidRDefault="00E14A77" w14:paraId="71759DE3" w14:textId="7C52AE82">
            <w:pPr>
              <w:tabs>
                <w:tab w:val="left" w:pos="360"/>
              </w:tabs>
              <w:spacing w:before="120"/>
              <w:jc w:val="both"/>
              <w:rPr>
                <w:color w:val="000000"/>
              </w:rPr>
            </w:pPr>
            <w:r>
              <w:t>09/23/15</w:t>
            </w:r>
          </w:p>
        </w:tc>
      </w:tr>
      <w:tr w:rsidRPr="000B58F6" w:rsidR="00A92D0B" w:rsidTr="00180E8C" w14:paraId="22BBCDE3" w14:textId="77777777">
        <w:tc>
          <w:tcPr>
            <w:tcW w:w="7380" w:type="dxa"/>
            <w:gridSpan w:val="2"/>
            <w:tcBorders>
              <w:bottom w:val="single" w:color="auto" w:sz="4" w:space="0"/>
            </w:tcBorders>
            <w:shd w:val="clear" w:color="auto" w:fill="auto"/>
          </w:tcPr>
          <w:p w:rsidRPr="000B58F6" w:rsidR="00A92D0B" w:rsidP="00A92D0B" w:rsidRDefault="00FC72B7" w14:paraId="7E6E2068" w14:textId="77777777">
            <w:pPr>
              <w:tabs>
                <w:tab w:val="left" w:pos="360"/>
              </w:tabs>
              <w:spacing w:before="120"/>
              <w:ind w:left="360" w:hanging="360"/>
              <w:rPr>
                <w:color w:val="000000"/>
              </w:rPr>
            </w:pPr>
            <w:r w:rsidRPr="000B58F6">
              <w:rPr>
                <w:color w:val="000000"/>
              </w:rPr>
              <w:t xml:space="preserve"> </w:t>
            </w:r>
            <w:r w:rsidRPr="000B58F6" w:rsidR="00A92D0B">
              <w:rPr>
                <w:color w:val="000000"/>
              </w:rPr>
              <w:t xml:space="preserve">4. </w:t>
            </w:r>
            <w:r w:rsidRPr="000B58F6">
              <w:rPr>
                <w:color w:val="000000"/>
              </w:rPr>
              <w:t xml:space="preserve"> </w:t>
            </w:r>
            <w:r w:rsidRPr="000B58F6" w:rsidR="00A92D0B">
              <w:rPr>
                <w:color w:val="000000"/>
              </w:rPr>
              <w:t>Was the NOI timely filed?</w:t>
            </w:r>
          </w:p>
        </w:tc>
        <w:tc>
          <w:tcPr>
            <w:tcW w:w="2340" w:type="dxa"/>
            <w:tcBorders>
              <w:bottom w:val="single" w:color="auto" w:sz="4" w:space="0"/>
            </w:tcBorders>
            <w:shd w:val="clear" w:color="auto" w:fill="auto"/>
          </w:tcPr>
          <w:p w:rsidRPr="000B58F6" w:rsidR="00A92D0B" w:rsidP="00A92D0B" w:rsidRDefault="00E14A77" w14:paraId="61DE2845" w14:textId="7E65192E">
            <w:pPr>
              <w:tabs>
                <w:tab w:val="left" w:pos="360"/>
              </w:tabs>
              <w:spacing w:before="120"/>
              <w:rPr>
                <w:color w:val="000000"/>
              </w:rPr>
            </w:pPr>
            <w:r>
              <w:rPr>
                <w:color w:val="000000"/>
              </w:rPr>
              <w:t>Yes</w:t>
            </w:r>
          </w:p>
        </w:tc>
      </w:tr>
      <w:tr w:rsidRPr="000B58F6" w:rsidR="00A92D0B" w:rsidTr="00180E8C" w14:paraId="4CD7D46A"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0B58F6" w:rsidR="00A92D0B" w:rsidP="00ED6B6B" w:rsidRDefault="00A92D0B" w14:paraId="19D649BF" w14:textId="77777777">
            <w:pPr>
              <w:keepNext/>
              <w:keepLines/>
              <w:tabs>
                <w:tab w:val="left" w:pos="360"/>
              </w:tabs>
              <w:spacing w:before="60"/>
              <w:jc w:val="center"/>
              <w:rPr>
                <w:b/>
                <w:color w:val="000000"/>
              </w:rPr>
            </w:pPr>
            <w:r w:rsidRPr="000B58F6">
              <w:rPr>
                <w:b/>
                <w:color w:val="000000"/>
              </w:rPr>
              <w:t xml:space="preserve">Showing of </w:t>
            </w:r>
            <w:r w:rsidRPr="000B58F6" w:rsidR="00F63C29">
              <w:rPr>
                <w:b/>
                <w:color w:val="000000"/>
              </w:rPr>
              <w:t xml:space="preserve">eligible </w:t>
            </w:r>
            <w:r w:rsidRPr="000B58F6">
              <w:rPr>
                <w:b/>
                <w:color w:val="000000"/>
              </w:rPr>
              <w:t xml:space="preserve">customer </w:t>
            </w:r>
            <w:r w:rsidRPr="000B58F6" w:rsidR="00F63C29">
              <w:rPr>
                <w:b/>
                <w:color w:val="000000"/>
              </w:rPr>
              <w:t xml:space="preserve">status (§ 1802(b) or eligible local government entity </w:t>
            </w:r>
            <w:r w:rsidRPr="000B58F6" w:rsidR="00ED6B6B">
              <w:rPr>
                <w:b/>
                <w:color w:val="000000"/>
              </w:rPr>
              <w:t>status</w:t>
            </w:r>
            <w:r w:rsidRPr="000B58F6" w:rsidR="00F63C29">
              <w:rPr>
                <w:b/>
                <w:color w:val="000000"/>
              </w:rPr>
              <w:br/>
              <w:t>(§§ 1802(d), 1802.4)</w:t>
            </w:r>
            <w:r w:rsidRPr="000B58F6">
              <w:rPr>
                <w:b/>
                <w:color w:val="000000"/>
              </w:rPr>
              <w:t>:</w:t>
            </w:r>
          </w:p>
        </w:tc>
      </w:tr>
      <w:tr w:rsidRPr="000B58F6" w:rsidR="00A92D0B" w:rsidTr="00AE0579" w14:paraId="259EC227" w14:textId="77777777">
        <w:tc>
          <w:tcPr>
            <w:tcW w:w="5040" w:type="dxa"/>
            <w:tcBorders>
              <w:top w:val="single" w:color="auto" w:sz="4" w:space="0"/>
            </w:tcBorders>
            <w:shd w:val="clear" w:color="auto" w:fill="auto"/>
          </w:tcPr>
          <w:p w:rsidRPr="000B58F6" w:rsidR="00A92D0B" w:rsidP="007E71C3" w:rsidRDefault="00FC72B7" w14:paraId="0EFCD0E9" w14:textId="77777777">
            <w:pPr>
              <w:keepNext/>
              <w:keepLines/>
              <w:spacing w:before="120"/>
              <w:ind w:left="360" w:hanging="360"/>
              <w:rPr>
                <w:color w:val="000000"/>
              </w:rPr>
            </w:pPr>
            <w:r w:rsidRPr="000B58F6">
              <w:rPr>
                <w:color w:val="000000"/>
              </w:rPr>
              <w:t xml:space="preserve"> </w:t>
            </w:r>
            <w:r w:rsidRPr="000B58F6" w:rsidR="00A92D0B">
              <w:rPr>
                <w:color w:val="000000"/>
              </w:rPr>
              <w:t xml:space="preserve">5.  Based on ALJ ruling issued in proceeding </w:t>
            </w:r>
            <w:r w:rsidRPr="000B58F6" w:rsidR="00E3786F">
              <w:rPr>
                <w:color w:val="000000"/>
              </w:rPr>
              <w:t xml:space="preserve">  </w:t>
            </w:r>
            <w:r w:rsidRPr="000B58F6" w:rsidR="00A92D0B">
              <w:rPr>
                <w:color w:val="000000"/>
              </w:rPr>
              <w:t>number:</w:t>
            </w:r>
          </w:p>
        </w:tc>
        <w:tc>
          <w:tcPr>
            <w:tcW w:w="2340" w:type="dxa"/>
            <w:tcBorders>
              <w:top w:val="single" w:color="auto" w:sz="4" w:space="0"/>
            </w:tcBorders>
            <w:shd w:val="clear" w:color="auto" w:fill="auto"/>
          </w:tcPr>
          <w:p w:rsidRPr="000B58F6" w:rsidR="00A92D0B" w:rsidP="00DE3F74" w:rsidRDefault="00DE3F74" w14:paraId="13E72B6D" w14:textId="5A5722A5">
            <w:pPr>
              <w:keepNext/>
              <w:keepLines/>
              <w:tabs>
                <w:tab w:val="left" w:pos="0"/>
              </w:tabs>
              <w:spacing w:before="120"/>
              <w:rPr>
                <w:color w:val="000000"/>
              </w:rPr>
            </w:pPr>
            <w:proofErr w:type="spellStart"/>
            <w:r w:rsidRPr="000B58F6">
              <w:rPr>
                <w:color w:val="000000"/>
              </w:rPr>
              <w:t>CforAT’s</w:t>
            </w:r>
            <w:proofErr w:type="spellEnd"/>
            <w:r w:rsidRPr="000B58F6">
              <w:rPr>
                <w:color w:val="000000"/>
              </w:rPr>
              <w:t xml:space="preserve"> most recent finding of eligible customer status was issued in R.</w:t>
            </w:r>
            <w:r w:rsidR="00C84D6E">
              <w:rPr>
                <w:color w:val="000000"/>
              </w:rPr>
              <w:t>20-01-007 on May 29, 2020</w:t>
            </w:r>
            <w:r w:rsidRPr="000B58F6">
              <w:rPr>
                <w:color w:val="000000"/>
              </w:rPr>
              <w:t>.</w:t>
            </w:r>
            <w:r w:rsidRPr="000B58F6" w:rsidR="00C654ED">
              <w:rPr>
                <w:color w:val="000000"/>
              </w:rPr>
              <w:t xml:space="preserve">  See also note below.</w:t>
            </w:r>
          </w:p>
        </w:tc>
        <w:tc>
          <w:tcPr>
            <w:tcW w:w="2340" w:type="dxa"/>
            <w:tcBorders>
              <w:top w:val="single" w:color="auto" w:sz="4" w:space="0"/>
            </w:tcBorders>
            <w:shd w:val="clear" w:color="auto" w:fill="auto"/>
          </w:tcPr>
          <w:p w:rsidRPr="000B58F6" w:rsidR="00A92D0B" w:rsidP="007E71C3" w:rsidRDefault="00E14A77" w14:paraId="2679B197" w14:textId="6C18BB4F">
            <w:pPr>
              <w:keepNext/>
              <w:keepLines/>
              <w:tabs>
                <w:tab w:val="left" w:pos="360"/>
              </w:tabs>
              <w:spacing w:before="120"/>
              <w:rPr>
                <w:color w:val="000000"/>
              </w:rPr>
            </w:pPr>
            <w:r>
              <w:t>R.20-01-007</w:t>
            </w:r>
          </w:p>
        </w:tc>
      </w:tr>
      <w:tr w:rsidRPr="000B58F6" w:rsidR="00A92D0B" w:rsidTr="00AE0579" w14:paraId="4E0FB3B6" w14:textId="77777777">
        <w:tc>
          <w:tcPr>
            <w:tcW w:w="5040" w:type="dxa"/>
            <w:shd w:val="clear" w:color="auto" w:fill="auto"/>
          </w:tcPr>
          <w:p w:rsidRPr="000B58F6" w:rsidR="00A92D0B" w:rsidP="00FC72B7" w:rsidRDefault="00FC72B7" w14:paraId="568B12E8" w14:textId="77777777">
            <w:pPr>
              <w:tabs>
                <w:tab w:val="left" w:pos="360"/>
              </w:tabs>
              <w:spacing w:before="120"/>
              <w:ind w:left="360" w:hanging="360"/>
              <w:rPr>
                <w:color w:val="000000"/>
              </w:rPr>
            </w:pPr>
            <w:r w:rsidRPr="000B58F6">
              <w:rPr>
                <w:color w:val="000000"/>
              </w:rPr>
              <w:t xml:space="preserve"> </w:t>
            </w:r>
            <w:r w:rsidRPr="000B58F6" w:rsidR="00A92D0B">
              <w:rPr>
                <w:color w:val="000000"/>
              </w:rPr>
              <w:t>6.  Date of ALJ ruling:</w:t>
            </w:r>
          </w:p>
        </w:tc>
        <w:tc>
          <w:tcPr>
            <w:tcW w:w="2340" w:type="dxa"/>
            <w:shd w:val="clear" w:color="auto" w:fill="auto"/>
          </w:tcPr>
          <w:p w:rsidRPr="000B58F6" w:rsidR="00A92D0B" w:rsidP="00A92D0B" w:rsidRDefault="00DE3F74" w14:paraId="306125B9" w14:textId="59689283">
            <w:pPr>
              <w:tabs>
                <w:tab w:val="left" w:pos="360"/>
              </w:tabs>
              <w:spacing w:before="120"/>
              <w:ind w:left="360" w:hanging="360"/>
              <w:rPr>
                <w:color w:val="000000"/>
              </w:rPr>
            </w:pPr>
            <w:r w:rsidRPr="000B58F6">
              <w:rPr>
                <w:color w:val="000000"/>
              </w:rPr>
              <w:t>1/10/19</w:t>
            </w:r>
          </w:p>
        </w:tc>
        <w:tc>
          <w:tcPr>
            <w:tcW w:w="2340" w:type="dxa"/>
            <w:shd w:val="clear" w:color="auto" w:fill="auto"/>
          </w:tcPr>
          <w:p w:rsidRPr="000B58F6" w:rsidR="00A92D0B" w:rsidP="00A92D0B" w:rsidRDefault="00E14A77" w14:paraId="19F10313" w14:textId="05191EB4">
            <w:pPr>
              <w:tabs>
                <w:tab w:val="left" w:pos="360"/>
              </w:tabs>
              <w:spacing w:before="120"/>
              <w:rPr>
                <w:color w:val="000000"/>
              </w:rPr>
            </w:pPr>
            <w:r>
              <w:rPr>
                <w:color w:val="000000"/>
              </w:rPr>
              <w:t>05/29/2020</w:t>
            </w:r>
          </w:p>
        </w:tc>
      </w:tr>
      <w:tr w:rsidRPr="000B58F6" w:rsidR="00A92D0B" w:rsidTr="00AE0579" w14:paraId="7F6C1E54" w14:textId="77777777">
        <w:tc>
          <w:tcPr>
            <w:tcW w:w="5040" w:type="dxa"/>
            <w:shd w:val="clear" w:color="auto" w:fill="auto"/>
          </w:tcPr>
          <w:p w:rsidRPr="000B58F6" w:rsidR="00A92D0B" w:rsidP="00FC72B7" w:rsidRDefault="00FC72B7" w14:paraId="4B6E35B7" w14:textId="77777777">
            <w:pPr>
              <w:tabs>
                <w:tab w:val="left" w:pos="360"/>
              </w:tabs>
              <w:spacing w:before="120"/>
              <w:ind w:left="360" w:hanging="360"/>
              <w:rPr>
                <w:color w:val="000000"/>
              </w:rPr>
            </w:pPr>
            <w:r w:rsidRPr="000B58F6">
              <w:rPr>
                <w:color w:val="000000"/>
              </w:rPr>
              <w:t xml:space="preserve"> </w:t>
            </w:r>
            <w:r w:rsidRPr="000B58F6" w:rsidR="00A92D0B">
              <w:rPr>
                <w:color w:val="000000"/>
              </w:rPr>
              <w:t>7.  Based on another CPUC determination (specify):</w:t>
            </w:r>
          </w:p>
        </w:tc>
        <w:tc>
          <w:tcPr>
            <w:tcW w:w="2340" w:type="dxa"/>
            <w:tcBorders>
              <w:bottom w:val="single" w:color="auto" w:sz="4" w:space="0"/>
            </w:tcBorders>
            <w:shd w:val="clear" w:color="auto" w:fill="auto"/>
          </w:tcPr>
          <w:p w:rsidRPr="000B58F6" w:rsidR="00A92D0B" w:rsidP="00A92D0B" w:rsidRDefault="00D01C06" w14:paraId="5E0F9D32" w14:textId="6868CD6E">
            <w:pPr>
              <w:tabs>
                <w:tab w:val="left" w:pos="360"/>
              </w:tabs>
              <w:spacing w:before="120"/>
              <w:ind w:left="360" w:hanging="360"/>
              <w:rPr>
                <w:color w:val="000000"/>
              </w:rPr>
            </w:pPr>
            <w:r w:rsidRPr="000B58F6">
              <w:rPr>
                <w:color w:val="000000"/>
              </w:rPr>
              <w:t>N/A</w:t>
            </w:r>
          </w:p>
        </w:tc>
        <w:tc>
          <w:tcPr>
            <w:tcW w:w="2340" w:type="dxa"/>
            <w:tcBorders>
              <w:bottom w:val="single" w:color="auto" w:sz="4" w:space="0"/>
            </w:tcBorders>
            <w:shd w:val="clear" w:color="auto" w:fill="auto"/>
          </w:tcPr>
          <w:p w:rsidRPr="000B58F6" w:rsidR="00A92D0B" w:rsidP="00A92D0B" w:rsidRDefault="00A92D0B" w14:paraId="180E80B3" w14:textId="77777777">
            <w:pPr>
              <w:tabs>
                <w:tab w:val="left" w:pos="360"/>
              </w:tabs>
              <w:spacing w:before="120"/>
              <w:rPr>
                <w:color w:val="000000"/>
              </w:rPr>
            </w:pPr>
          </w:p>
        </w:tc>
      </w:tr>
      <w:tr w:rsidRPr="000B58F6" w:rsidR="00A92D0B" w:rsidTr="00180E8C" w14:paraId="397CC4AD" w14:textId="77777777">
        <w:tc>
          <w:tcPr>
            <w:tcW w:w="7380" w:type="dxa"/>
            <w:gridSpan w:val="2"/>
            <w:tcBorders>
              <w:bottom w:val="single" w:color="auto" w:sz="4" w:space="0"/>
            </w:tcBorders>
            <w:shd w:val="clear" w:color="auto" w:fill="auto"/>
          </w:tcPr>
          <w:p w:rsidRPr="000B58F6" w:rsidR="00A92D0B" w:rsidP="00ED6B6B" w:rsidRDefault="00FC72B7" w14:paraId="71D46B68" w14:textId="77777777">
            <w:pPr>
              <w:tabs>
                <w:tab w:val="left" w:pos="360"/>
              </w:tabs>
              <w:spacing w:before="120"/>
              <w:ind w:left="360" w:hanging="360"/>
              <w:rPr>
                <w:color w:val="000000"/>
              </w:rPr>
            </w:pPr>
            <w:r w:rsidRPr="000B58F6">
              <w:rPr>
                <w:color w:val="000000"/>
              </w:rPr>
              <w:lastRenderedPageBreak/>
              <w:t xml:space="preserve"> </w:t>
            </w:r>
            <w:r w:rsidRPr="000B58F6" w:rsidR="00A92D0B">
              <w:rPr>
                <w:color w:val="000000"/>
              </w:rPr>
              <w:t xml:space="preserve">8. </w:t>
            </w:r>
            <w:r w:rsidRPr="000B58F6">
              <w:rPr>
                <w:color w:val="000000"/>
              </w:rPr>
              <w:t xml:space="preserve"> </w:t>
            </w:r>
            <w:r w:rsidRPr="000B58F6" w:rsidR="00A92D0B">
              <w:rPr>
                <w:color w:val="000000"/>
              </w:rPr>
              <w:t xml:space="preserve">Has the </w:t>
            </w:r>
            <w:r w:rsidRPr="000B58F6" w:rsidR="005A63D4">
              <w:rPr>
                <w:color w:val="000000"/>
              </w:rPr>
              <w:t xml:space="preserve">Intervenor </w:t>
            </w:r>
            <w:r w:rsidRPr="000B58F6" w:rsidR="00A92D0B">
              <w:rPr>
                <w:color w:val="000000"/>
              </w:rPr>
              <w:t xml:space="preserve">demonstrated </w:t>
            </w:r>
            <w:r w:rsidRPr="000B58F6" w:rsidR="00A92D0B">
              <w:t>customer</w:t>
            </w:r>
            <w:r w:rsidRPr="000B58F6" w:rsidR="00A92D0B">
              <w:rPr>
                <w:color w:val="000000"/>
              </w:rPr>
              <w:t xml:space="preserve"> </w:t>
            </w:r>
            <w:r w:rsidRPr="000B58F6" w:rsidR="00ED6B6B">
              <w:rPr>
                <w:color w:val="000000"/>
              </w:rPr>
              <w:t>status or eligible government entity status</w:t>
            </w:r>
            <w:r w:rsidRPr="000B58F6" w:rsidR="00A92D0B">
              <w:rPr>
                <w:color w:val="000000"/>
              </w:rPr>
              <w:t>?</w:t>
            </w:r>
          </w:p>
        </w:tc>
        <w:tc>
          <w:tcPr>
            <w:tcW w:w="2340" w:type="dxa"/>
            <w:tcBorders>
              <w:bottom w:val="single" w:color="auto" w:sz="4" w:space="0"/>
            </w:tcBorders>
            <w:shd w:val="clear" w:color="auto" w:fill="auto"/>
          </w:tcPr>
          <w:p w:rsidRPr="000B58F6" w:rsidR="00A92D0B" w:rsidP="00A92D0B" w:rsidRDefault="00E14A77" w14:paraId="7D296E63" w14:textId="2EB0EE36">
            <w:pPr>
              <w:tabs>
                <w:tab w:val="left" w:pos="360"/>
              </w:tabs>
              <w:spacing w:before="120"/>
              <w:rPr>
                <w:color w:val="000000"/>
              </w:rPr>
            </w:pPr>
            <w:r>
              <w:rPr>
                <w:color w:val="000000"/>
              </w:rPr>
              <w:t>Yes</w:t>
            </w:r>
          </w:p>
        </w:tc>
      </w:tr>
      <w:tr w:rsidRPr="000B58F6" w:rsidR="00A92D0B" w:rsidTr="00180E8C" w14:paraId="33231C71"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0B58F6" w:rsidR="00A92D0B" w:rsidP="00ED6B6B" w:rsidRDefault="00A92D0B" w14:paraId="0291EC4E" w14:textId="77777777">
            <w:pPr>
              <w:tabs>
                <w:tab w:val="left" w:pos="360"/>
              </w:tabs>
              <w:spacing w:before="60"/>
              <w:jc w:val="center"/>
              <w:rPr>
                <w:color w:val="000000"/>
              </w:rPr>
            </w:pPr>
            <w:r w:rsidRPr="000B58F6">
              <w:rPr>
                <w:b/>
                <w:color w:val="000000"/>
              </w:rPr>
              <w:t>Showing of “significant</w:t>
            </w:r>
            <w:r w:rsidRPr="000B58F6" w:rsidR="00F63C29">
              <w:rPr>
                <w:b/>
                <w:color w:val="000000"/>
              </w:rPr>
              <w:t xml:space="preserve"> financial hardship” (§1802(</w:t>
            </w:r>
            <w:r w:rsidRPr="000B58F6" w:rsidR="00175865">
              <w:rPr>
                <w:b/>
                <w:color w:val="000000"/>
              </w:rPr>
              <w:t>h</w:t>
            </w:r>
            <w:r w:rsidRPr="000B58F6" w:rsidR="00F63C29">
              <w:rPr>
                <w:b/>
                <w:color w:val="000000"/>
              </w:rPr>
              <w:t xml:space="preserve">) or </w:t>
            </w:r>
            <w:r w:rsidRPr="000B58F6" w:rsidR="00ED6B6B">
              <w:rPr>
                <w:b/>
                <w:color w:val="000000"/>
              </w:rPr>
              <w:t>§</w:t>
            </w:r>
            <w:r w:rsidRPr="000B58F6" w:rsidR="00F63C29">
              <w:rPr>
                <w:b/>
                <w:color w:val="000000"/>
              </w:rPr>
              <w:t>1803.1(b))</w:t>
            </w:r>
            <w:r w:rsidRPr="000B58F6" w:rsidR="00C02649">
              <w:rPr>
                <w:b/>
                <w:color w:val="000000"/>
              </w:rPr>
              <w:t>:</w:t>
            </w:r>
          </w:p>
        </w:tc>
      </w:tr>
      <w:tr w:rsidRPr="000B58F6" w:rsidR="00A92D0B" w:rsidTr="00AE0579" w14:paraId="77F91856" w14:textId="77777777">
        <w:tc>
          <w:tcPr>
            <w:tcW w:w="5040" w:type="dxa"/>
            <w:tcBorders>
              <w:top w:val="single" w:color="auto" w:sz="4" w:space="0"/>
            </w:tcBorders>
            <w:shd w:val="clear" w:color="auto" w:fill="auto"/>
          </w:tcPr>
          <w:p w:rsidRPr="000B58F6" w:rsidR="00A92D0B" w:rsidP="00E3786F" w:rsidRDefault="00FC72B7" w14:paraId="6506E60E" w14:textId="77777777">
            <w:pPr>
              <w:tabs>
                <w:tab w:val="left" w:pos="315"/>
              </w:tabs>
              <w:spacing w:before="120"/>
              <w:ind w:left="360" w:hanging="360"/>
              <w:rPr>
                <w:color w:val="000000"/>
              </w:rPr>
            </w:pPr>
            <w:r w:rsidRPr="000B58F6">
              <w:rPr>
                <w:color w:val="000000"/>
              </w:rPr>
              <w:t xml:space="preserve"> </w:t>
            </w:r>
            <w:r w:rsidRPr="000B58F6" w:rsidR="00A92D0B">
              <w:rPr>
                <w:color w:val="000000"/>
              </w:rPr>
              <w:t>9.  Based on ALJ ruling issued in proceeding number:</w:t>
            </w:r>
          </w:p>
        </w:tc>
        <w:tc>
          <w:tcPr>
            <w:tcW w:w="2340" w:type="dxa"/>
            <w:tcBorders>
              <w:top w:val="single" w:color="auto" w:sz="4" w:space="0"/>
            </w:tcBorders>
            <w:shd w:val="clear" w:color="auto" w:fill="auto"/>
          </w:tcPr>
          <w:p w:rsidRPr="000B58F6" w:rsidR="00A92D0B" w:rsidP="00DE3F74" w:rsidRDefault="00DE3F74" w14:paraId="54B4911C" w14:textId="3A08ECB7">
            <w:pPr>
              <w:tabs>
                <w:tab w:val="left" w:pos="360"/>
              </w:tabs>
              <w:spacing w:before="120"/>
              <w:rPr>
                <w:color w:val="000000"/>
              </w:rPr>
            </w:pPr>
            <w:proofErr w:type="spellStart"/>
            <w:r w:rsidRPr="000B58F6">
              <w:rPr>
                <w:color w:val="000000"/>
              </w:rPr>
              <w:t>CforAT’s</w:t>
            </w:r>
            <w:proofErr w:type="spellEnd"/>
            <w:r w:rsidRPr="000B58F6">
              <w:rPr>
                <w:color w:val="000000"/>
              </w:rPr>
              <w:t xml:space="preserve"> most recent finding of significant financial hardship was issued </w:t>
            </w:r>
            <w:r w:rsidR="00C84D6E">
              <w:rPr>
                <w:color w:val="000000"/>
              </w:rPr>
              <w:t xml:space="preserve">in </w:t>
            </w:r>
            <w:r w:rsidR="00044EED">
              <w:rPr>
                <w:color w:val="000000"/>
              </w:rPr>
              <w:t>R.20-01-007 on May 29, 2020</w:t>
            </w:r>
            <w:r w:rsidRPr="000B58F6">
              <w:rPr>
                <w:color w:val="000000"/>
              </w:rPr>
              <w:t>.</w:t>
            </w:r>
            <w:r w:rsidRPr="000B58F6" w:rsidR="00C654ED">
              <w:rPr>
                <w:color w:val="000000"/>
              </w:rPr>
              <w:t xml:space="preserve">  See also note below.</w:t>
            </w:r>
          </w:p>
        </w:tc>
        <w:tc>
          <w:tcPr>
            <w:tcW w:w="2340" w:type="dxa"/>
            <w:tcBorders>
              <w:top w:val="single" w:color="auto" w:sz="4" w:space="0"/>
            </w:tcBorders>
            <w:shd w:val="clear" w:color="auto" w:fill="auto"/>
          </w:tcPr>
          <w:p w:rsidRPr="000B58F6" w:rsidR="00A92D0B" w:rsidP="00A92D0B" w:rsidRDefault="00E14A77" w14:paraId="2E2FB9D6" w14:textId="54AF56E5">
            <w:pPr>
              <w:tabs>
                <w:tab w:val="left" w:pos="360"/>
              </w:tabs>
              <w:spacing w:before="120"/>
              <w:rPr>
                <w:color w:val="000000"/>
              </w:rPr>
            </w:pPr>
            <w:r>
              <w:t>R.20-01-007</w:t>
            </w:r>
          </w:p>
        </w:tc>
      </w:tr>
      <w:tr w:rsidRPr="000B58F6" w:rsidR="00A92D0B" w:rsidTr="00AE0579" w14:paraId="4AD750C1" w14:textId="77777777">
        <w:tc>
          <w:tcPr>
            <w:tcW w:w="5040" w:type="dxa"/>
            <w:shd w:val="clear" w:color="auto" w:fill="auto"/>
          </w:tcPr>
          <w:p w:rsidRPr="000B58F6" w:rsidR="00A92D0B" w:rsidP="00A92D0B" w:rsidRDefault="00A92D0B" w14:paraId="2A279407" w14:textId="77777777">
            <w:pPr>
              <w:tabs>
                <w:tab w:val="left" w:pos="315"/>
              </w:tabs>
              <w:spacing w:before="120"/>
              <w:ind w:left="360" w:hanging="360"/>
              <w:rPr>
                <w:color w:val="000000"/>
              </w:rPr>
            </w:pPr>
            <w:r w:rsidRPr="000B58F6">
              <w:rPr>
                <w:color w:val="000000"/>
              </w:rPr>
              <w:t>10.</w:t>
            </w:r>
            <w:r w:rsidRPr="000B58F6">
              <w:rPr>
                <w:color w:val="000000"/>
              </w:rPr>
              <w:tab/>
            </w:r>
            <w:r w:rsidRPr="000B58F6" w:rsidR="00FC72B7">
              <w:rPr>
                <w:color w:val="000000"/>
              </w:rPr>
              <w:t xml:space="preserve"> </w:t>
            </w:r>
            <w:r w:rsidRPr="000B58F6">
              <w:rPr>
                <w:color w:val="000000"/>
              </w:rPr>
              <w:t>Date of ALJ ruling:</w:t>
            </w:r>
          </w:p>
        </w:tc>
        <w:tc>
          <w:tcPr>
            <w:tcW w:w="2340" w:type="dxa"/>
            <w:shd w:val="clear" w:color="auto" w:fill="auto"/>
          </w:tcPr>
          <w:p w:rsidRPr="000B58F6" w:rsidR="00A92D0B" w:rsidP="00DE3F74" w:rsidRDefault="00044EED" w14:paraId="4B66A2E4" w14:textId="646657F8">
            <w:pPr>
              <w:tabs>
                <w:tab w:val="left" w:pos="360"/>
              </w:tabs>
              <w:spacing w:before="120"/>
              <w:rPr>
                <w:color w:val="000000"/>
              </w:rPr>
            </w:pPr>
            <w:r>
              <w:rPr>
                <w:color w:val="000000"/>
              </w:rPr>
              <w:t>5/29/20</w:t>
            </w:r>
          </w:p>
        </w:tc>
        <w:tc>
          <w:tcPr>
            <w:tcW w:w="2340" w:type="dxa"/>
            <w:shd w:val="clear" w:color="auto" w:fill="auto"/>
          </w:tcPr>
          <w:p w:rsidRPr="000B58F6" w:rsidR="00A92D0B" w:rsidP="00A92D0B" w:rsidRDefault="00E14A77" w14:paraId="3B83D035" w14:textId="50B8CC17">
            <w:pPr>
              <w:tabs>
                <w:tab w:val="left" w:pos="360"/>
              </w:tabs>
              <w:spacing w:before="120"/>
              <w:rPr>
                <w:color w:val="000000"/>
              </w:rPr>
            </w:pPr>
            <w:r>
              <w:rPr>
                <w:color w:val="000000"/>
              </w:rPr>
              <w:t>Verified</w:t>
            </w:r>
          </w:p>
        </w:tc>
      </w:tr>
      <w:tr w:rsidRPr="000B58F6" w:rsidR="00357F1A" w:rsidTr="00AE0579" w14:paraId="7C183C5E" w14:textId="77777777">
        <w:tc>
          <w:tcPr>
            <w:tcW w:w="5040" w:type="dxa"/>
            <w:shd w:val="clear" w:color="auto" w:fill="auto"/>
          </w:tcPr>
          <w:p w:rsidRPr="000B58F6" w:rsidR="00357F1A" w:rsidP="00357F1A" w:rsidRDefault="00357F1A" w14:paraId="4141CB3D" w14:textId="77777777">
            <w:pPr>
              <w:tabs>
                <w:tab w:val="left" w:pos="315"/>
              </w:tabs>
              <w:spacing w:before="120"/>
              <w:ind w:left="360" w:hanging="360"/>
              <w:rPr>
                <w:color w:val="000000"/>
              </w:rPr>
            </w:pPr>
            <w:r w:rsidRPr="000B58F6">
              <w:rPr>
                <w:color w:val="000000"/>
              </w:rPr>
              <w:t>11. Based on another CPUC determination (specify):</w:t>
            </w:r>
          </w:p>
        </w:tc>
        <w:tc>
          <w:tcPr>
            <w:tcW w:w="2340" w:type="dxa"/>
            <w:shd w:val="clear" w:color="auto" w:fill="auto"/>
          </w:tcPr>
          <w:p w:rsidRPr="000B58F6" w:rsidR="00357F1A" w:rsidP="00A92D0B" w:rsidRDefault="00357F1A" w14:paraId="141EB5CF" w14:textId="77777777">
            <w:pPr>
              <w:tabs>
                <w:tab w:val="left" w:pos="360"/>
              </w:tabs>
              <w:spacing w:before="120"/>
              <w:ind w:hanging="360"/>
              <w:rPr>
                <w:color w:val="000000"/>
              </w:rPr>
            </w:pPr>
          </w:p>
        </w:tc>
        <w:tc>
          <w:tcPr>
            <w:tcW w:w="2340" w:type="dxa"/>
            <w:shd w:val="clear" w:color="auto" w:fill="auto"/>
          </w:tcPr>
          <w:p w:rsidRPr="000B58F6" w:rsidR="00357F1A" w:rsidP="00A92D0B" w:rsidRDefault="00357F1A" w14:paraId="79318715" w14:textId="77777777">
            <w:pPr>
              <w:tabs>
                <w:tab w:val="left" w:pos="360"/>
              </w:tabs>
              <w:spacing w:before="120"/>
              <w:rPr>
                <w:color w:val="000000"/>
              </w:rPr>
            </w:pPr>
          </w:p>
        </w:tc>
      </w:tr>
      <w:tr w:rsidRPr="000B58F6" w:rsidR="00A92D0B" w:rsidTr="00180E8C" w14:paraId="4E8D20BF" w14:textId="77777777">
        <w:tc>
          <w:tcPr>
            <w:tcW w:w="7380" w:type="dxa"/>
            <w:gridSpan w:val="2"/>
            <w:tcBorders>
              <w:bottom w:val="single" w:color="auto" w:sz="4" w:space="0"/>
            </w:tcBorders>
            <w:shd w:val="clear" w:color="auto" w:fill="auto"/>
          </w:tcPr>
          <w:p w:rsidRPr="000B58F6" w:rsidR="00A92D0B" w:rsidP="005A63D4" w:rsidRDefault="00180E8C" w14:paraId="48D0D936" w14:textId="77777777">
            <w:pPr>
              <w:tabs>
                <w:tab w:val="left" w:pos="360"/>
              </w:tabs>
              <w:spacing w:before="120"/>
              <w:ind w:hanging="360"/>
              <w:rPr>
                <w:color w:val="000000"/>
              </w:rPr>
            </w:pPr>
            <w:r w:rsidRPr="000B58F6">
              <w:rPr>
                <w:color w:val="000000"/>
              </w:rPr>
              <w:t>12</w:t>
            </w:r>
            <w:r w:rsidRPr="000B58F6" w:rsidR="00A92D0B">
              <w:rPr>
                <w:color w:val="000000"/>
              </w:rPr>
              <w:t xml:space="preserve"> 12. </w:t>
            </w:r>
            <w:r w:rsidRPr="000B58F6" w:rsidR="00FC72B7">
              <w:rPr>
                <w:color w:val="000000"/>
              </w:rPr>
              <w:t xml:space="preserve"> </w:t>
            </w:r>
            <w:r w:rsidRPr="000B58F6" w:rsidR="00A92D0B">
              <w:rPr>
                <w:color w:val="000000"/>
              </w:rPr>
              <w:t>Has the</w:t>
            </w:r>
            <w:r w:rsidRPr="000B58F6" w:rsidR="00A319DE">
              <w:rPr>
                <w:color w:val="000000"/>
              </w:rPr>
              <w:t xml:space="preserve"> </w:t>
            </w:r>
            <w:r w:rsidRPr="000B58F6" w:rsidR="005A63D4">
              <w:rPr>
                <w:color w:val="000000"/>
              </w:rPr>
              <w:t>Intervenor</w:t>
            </w:r>
            <w:r w:rsidRPr="000B58F6" w:rsidR="00A92D0B">
              <w:rPr>
                <w:color w:val="000000"/>
              </w:rPr>
              <w:t xml:space="preserve"> demonstrated significant financial hardship?</w:t>
            </w:r>
          </w:p>
        </w:tc>
        <w:tc>
          <w:tcPr>
            <w:tcW w:w="2340" w:type="dxa"/>
            <w:tcBorders>
              <w:bottom w:val="single" w:color="auto" w:sz="4" w:space="0"/>
            </w:tcBorders>
            <w:shd w:val="clear" w:color="auto" w:fill="auto"/>
          </w:tcPr>
          <w:p w:rsidRPr="000B58F6" w:rsidR="00A92D0B" w:rsidP="00A92D0B" w:rsidRDefault="00E14A77" w14:paraId="0F29B839" w14:textId="23483375">
            <w:pPr>
              <w:tabs>
                <w:tab w:val="left" w:pos="360"/>
              </w:tabs>
              <w:spacing w:before="120"/>
              <w:rPr>
                <w:color w:val="000000"/>
              </w:rPr>
            </w:pPr>
            <w:r>
              <w:rPr>
                <w:color w:val="000000"/>
              </w:rPr>
              <w:t>Yes</w:t>
            </w:r>
          </w:p>
        </w:tc>
      </w:tr>
      <w:tr w:rsidRPr="000B58F6" w:rsidR="00A92D0B" w:rsidTr="00180E8C" w14:paraId="60D4FD5C"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0B58F6" w:rsidR="00A92D0B" w:rsidP="00A92D0B" w:rsidRDefault="00A92D0B" w14:paraId="172E2884" w14:textId="77777777">
            <w:pPr>
              <w:tabs>
                <w:tab w:val="left" w:pos="360"/>
              </w:tabs>
              <w:spacing w:before="60"/>
              <w:jc w:val="center"/>
              <w:rPr>
                <w:color w:val="000000"/>
              </w:rPr>
            </w:pPr>
            <w:r w:rsidRPr="000B58F6">
              <w:rPr>
                <w:b/>
                <w:color w:val="000000"/>
              </w:rPr>
              <w:t>Timely request for compensation (§ 1804(c)):</w:t>
            </w:r>
          </w:p>
        </w:tc>
      </w:tr>
      <w:tr w:rsidRPr="000B58F6" w:rsidR="00A92D0B" w:rsidTr="00AE0579" w14:paraId="3E7938B0" w14:textId="77777777">
        <w:tc>
          <w:tcPr>
            <w:tcW w:w="5040" w:type="dxa"/>
            <w:tcBorders>
              <w:top w:val="single" w:color="auto" w:sz="4" w:space="0"/>
            </w:tcBorders>
            <w:shd w:val="clear" w:color="auto" w:fill="auto"/>
          </w:tcPr>
          <w:p w:rsidRPr="000B58F6" w:rsidR="00A92D0B" w:rsidP="00A92D0B" w:rsidRDefault="00A92D0B" w14:paraId="66088F1B" w14:textId="77777777">
            <w:pPr>
              <w:keepNext/>
              <w:tabs>
                <w:tab w:val="left" w:pos="612"/>
              </w:tabs>
              <w:spacing w:before="120"/>
              <w:ind w:left="360" w:hanging="360"/>
              <w:rPr>
                <w:color w:val="000000"/>
              </w:rPr>
            </w:pPr>
            <w:r w:rsidRPr="000B58F6">
              <w:rPr>
                <w:color w:val="000000"/>
              </w:rPr>
              <w:t>13.  Identify Final Decision:</w:t>
            </w:r>
          </w:p>
        </w:tc>
        <w:tc>
          <w:tcPr>
            <w:tcW w:w="2340" w:type="dxa"/>
            <w:tcBorders>
              <w:top w:val="single" w:color="auto" w:sz="4" w:space="0"/>
            </w:tcBorders>
            <w:shd w:val="clear" w:color="auto" w:fill="auto"/>
          </w:tcPr>
          <w:p w:rsidRPr="000B58F6" w:rsidR="00A92D0B" w:rsidP="00A92D0B" w:rsidRDefault="00DE3F74" w14:paraId="7166F318" w14:textId="66F59A80">
            <w:pPr>
              <w:tabs>
                <w:tab w:val="left" w:pos="360"/>
              </w:tabs>
              <w:spacing w:before="120"/>
              <w:rPr>
                <w:color w:val="000000"/>
              </w:rPr>
            </w:pPr>
            <w:r w:rsidRPr="000B58F6">
              <w:rPr>
                <w:color w:val="000000"/>
              </w:rPr>
              <w:t>D.</w:t>
            </w:r>
            <w:r w:rsidR="00044EED">
              <w:rPr>
                <w:color w:val="000000"/>
              </w:rPr>
              <w:t>20-03-026</w:t>
            </w:r>
          </w:p>
        </w:tc>
        <w:tc>
          <w:tcPr>
            <w:tcW w:w="2340" w:type="dxa"/>
            <w:tcBorders>
              <w:top w:val="single" w:color="auto" w:sz="4" w:space="0"/>
            </w:tcBorders>
            <w:shd w:val="clear" w:color="auto" w:fill="auto"/>
          </w:tcPr>
          <w:p w:rsidRPr="000B58F6" w:rsidR="00A92D0B" w:rsidP="00A92D0B" w:rsidRDefault="00E14A77" w14:paraId="1588DC54" w14:textId="3C275207">
            <w:pPr>
              <w:tabs>
                <w:tab w:val="left" w:pos="360"/>
              </w:tabs>
              <w:spacing w:before="120"/>
              <w:rPr>
                <w:color w:val="000000"/>
              </w:rPr>
            </w:pPr>
            <w:r>
              <w:rPr>
                <w:color w:val="000000"/>
              </w:rPr>
              <w:t>Verified</w:t>
            </w:r>
          </w:p>
        </w:tc>
      </w:tr>
      <w:tr w:rsidRPr="000B58F6" w:rsidR="00A92D0B" w:rsidTr="00AE0579" w14:paraId="6360DE59" w14:textId="77777777">
        <w:tc>
          <w:tcPr>
            <w:tcW w:w="5040" w:type="dxa"/>
            <w:shd w:val="clear" w:color="auto" w:fill="auto"/>
          </w:tcPr>
          <w:p w:rsidRPr="000B58F6" w:rsidR="00A92D0B" w:rsidP="00A92D0B" w:rsidRDefault="00A92D0B" w14:paraId="4B809E4A" w14:textId="77777777">
            <w:pPr>
              <w:keepNext/>
              <w:tabs>
                <w:tab w:val="left" w:pos="612"/>
              </w:tabs>
              <w:spacing w:before="120"/>
              <w:ind w:left="360" w:hanging="360"/>
              <w:rPr>
                <w:color w:val="000000"/>
              </w:rPr>
            </w:pPr>
            <w:r w:rsidRPr="000B58F6">
              <w:rPr>
                <w:color w:val="000000"/>
              </w:rPr>
              <w:t xml:space="preserve">14. </w:t>
            </w:r>
            <w:r w:rsidRPr="000B58F6" w:rsidR="00FC72B7">
              <w:rPr>
                <w:color w:val="000000"/>
              </w:rPr>
              <w:t xml:space="preserve"> </w:t>
            </w:r>
            <w:r w:rsidRPr="000B58F6">
              <w:rPr>
                <w:color w:val="000000"/>
              </w:rPr>
              <w:t xml:space="preserve">Date of </w:t>
            </w:r>
            <w:r w:rsidRPr="000B58F6" w:rsidR="00A319DE">
              <w:rPr>
                <w:color w:val="000000"/>
              </w:rPr>
              <w:t>i</w:t>
            </w:r>
            <w:r w:rsidRPr="000B58F6">
              <w:rPr>
                <w:color w:val="000000"/>
              </w:rPr>
              <w:t xml:space="preserve">ssuance of Final Order or Decision:    </w:t>
            </w:r>
          </w:p>
        </w:tc>
        <w:tc>
          <w:tcPr>
            <w:tcW w:w="2340" w:type="dxa"/>
            <w:shd w:val="clear" w:color="auto" w:fill="auto"/>
          </w:tcPr>
          <w:p w:rsidRPr="000B58F6" w:rsidR="00A92D0B" w:rsidP="00A92D0B" w:rsidRDefault="00C84D6E" w14:paraId="20455B5F" w14:textId="440868A2">
            <w:pPr>
              <w:tabs>
                <w:tab w:val="left" w:pos="360"/>
              </w:tabs>
              <w:spacing w:before="120"/>
              <w:rPr>
                <w:color w:val="000000"/>
              </w:rPr>
            </w:pPr>
            <w:r>
              <w:rPr>
                <w:color w:val="000000"/>
              </w:rPr>
              <w:t>April 2, 2020</w:t>
            </w:r>
          </w:p>
        </w:tc>
        <w:tc>
          <w:tcPr>
            <w:tcW w:w="2340" w:type="dxa"/>
            <w:shd w:val="clear" w:color="auto" w:fill="auto"/>
          </w:tcPr>
          <w:p w:rsidRPr="000B58F6" w:rsidR="00A92D0B" w:rsidP="00A92D0B" w:rsidRDefault="00E14A77" w14:paraId="1FCF00DD" w14:textId="402B0310">
            <w:pPr>
              <w:tabs>
                <w:tab w:val="left" w:pos="360"/>
              </w:tabs>
              <w:spacing w:before="120"/>
              <w:rPr>
                <w:color w:val="000000"/>
              </w:rPr>
            </w:pPr>
            <w:r>
              <w:rPr>
                <w:color w:val="000000"/>
              </w:rPr>
              <w:t>Verified</w:t>
            </w:r>
          </w:p>
        </w:tc>
      </w:tr>
      <w:tr w:rsidRPr="000B58F6" w:rsidR="00A92D0B" w:rsidTr="00AE0579" w14:paraId="723259E3" w14:textId="77777777">
        <w:tc>
          <w:tcPr>
            <w:tcW w:w="5040" w:type="dxa"/>
            <w:shd w:val="clear" w:color="auto" w:fill="auto"/>
          </w:tcPr>
          <w:p w:rsidRPr="000B58F6" w:rsidR="00A92D0B" w:rsidP="00A92D0B" w:rsidRDefault="00A92D0B" w14:paraId="163EE1CA" w14:textId="77777777">
            <w:pPr>
              <w:keepNext/>
              <w:tabs>
                <w:tab w:val="left" w:pos="612"/>
              </w:tabs>
              <w:spacing w:before="120"/>
              <w:ind w:left="360" w:hanging="360"/>
              <w:rPr>
                <w:color w:val="000000"/>
              </w:rPr>
            </w:pPr>
            <w:r w:rsidRPr="000B58F6">
              <w:rPr>
                <w:color w:val="000000"/>
              </w:rPr>
              <w:t xml:space="preserve">15. </w:t>
            </w:r>
            <w:r w:rsidRPr="000B58F6" w:rsidR="00FC72B7">
              <w:rPr>
                <w:color w:val="000000"/>
              </w:rPr>
              <w:t xml:space="preserve"> </w:t>
            </w:r>
            <w:r w:rsidRPr="000B58F6">
              <w:rPr>
                <w:color w:val="000000"/>
              </w:rPr>
              <w:t>File date of compensation request:</w:t>
            </w:r>
          </w:p>
        </w:tc>
        <w:tc>
          <w:tcPr>
            <w:tcW w:w="2340" w:type="dxa"/>
            <w:shd w:val="clear" w:color="auto" w:fill="auto"/>
          </w:tcPr>
          <w:p w:rsidRPr="000B58F6" w:rsidR="00A92D0B" w:rsidP="00A92D0B" w:rsidRDefault="00C84D6E" w14:paraId="0568B39D" w14:textId="4FFB6579">
            <w:pPr>
              <w:tabs>
                <w:tab w:val="left" w:pos="360"/>
              </w:tabs>
              <w:spacing w:before="120"/>
              <w:rPr>
                <w:color w:val="000000"/>
              </w:rPr>
            </w:pPr>
            <w:r>
              <w:rPr>
                <w:color w:val="000000"/>
              </w:rPr>
              <w:t>June 1, 2020</w:t>
            </w:r>
          </w:p>
        </w:tc>
        <w:tc>
          <w:tcPr>
            <w:tcW w:w="2340" w:type="dxa"/>
            <w:shd w:val="clear" w:color="auto" w:fill="auto"/>
          </w:tcPr>
          <w:p w:rsidRPr="000B58F6" w:rsidR="00A92D0B" w:rsidP="00A92D0B" w:rsidRDefault="00E14A77" w14:paraId="1CBF4E7A" w14:textId="550E117C">
            <w:pPr>
              <w:tabs>
                <w:tab w:val="left" w:pos="360"/>
              </w:tabs>
              <w:spacing w:before="120"/>
              <w:rPr>
                <w:color w:val="000000"/>
              </w:rPr>
            </w:pPr>
            <w:r>
              <w:rPr>
                <w:color w:val="000000"/>
              </w:rPr>
              <w:t>Verified</w:t>
            </w:r>
          </w:p>
        </w:tc>
      </w:tr>
      <w:tr w:rsidRPr="000B58F6" w:rsidR="00A92D0B" w:rsidTr="00180E8C" w14:paraId="406BCA3A" w14:textId="77777777">
        <w:tc>
          <w:tcPr>
            <w:tcW w:w="7380" w:type="dxa"/>
            <w:gridSpan w:val="2"/>
            <w:shd w:val="clear" w:color="auto" w:fill="auto"/>
          </w:tcPr>
          <w:p w:rsidRPr="000B58F6" w:rsidR="00A92D0B" w:rsidP="00FC72B7" w:rsidRDefault="00A92D0B" w14:paraId="10AF42D1" w14:textId="77777777">
            <w:pPr>
              <w:tabs>
                <w:tab w:val="left" w:pos="360"/>
              </w:tabs>
              <w:spacing w:before="120"/>
              <w:ind w:left="360" w:hanging="360"/>
              <w:rPr>
                <w:color w:val="000000"/>
              </w:rPr>
            </w:pPr>
            <w:r w:rsidRPr="000B58F6">
              <w:rPr>
                <w:color w:val="000000"/>
              </w:rPr>
              <w:t>16. Was the request for compensation timely?</w:t>
            </w:r>
          </w:p>
        </w:tc>
        <w:tc>
          <w:tcPr>
            <w:tcW w:w="2340" w:type="dxa"/>
            <w:shd w:val="clear" w:color="auto" w:fill="auto"/>
          </w:tcPr>
          <w:p w:rsidRPr="000B58F6" w:rsidR="00A92D0B" w:rsidP="00A92D0B" w:rsidRDefault="00E14A77" w14:paraId="2EA30E63" w14:textId="3FB3CA3C">
            <w:pPr>
              <w:tabs>
                <w:tab w:val="left" w:pos="360"/>
              </w:tabs>
              <w:spacing w:before="120"/>
              <w:rPr>
                <w:color w:val="000000"/>
              </w:rPr>
            </w:pPr>
            <w:r>
              <w:rPr>
                <w:color w:val="000000"/>
              </w:rPr>
              <w:t>Yes</w:t>
            </w:r>
          </w:p>
        </w:tc>
      </w:tr>
    </w:tbl>
    <w:p w:rsidRPr="000B58F6" w:rsidR="00A92D0B" w:rsidRDefault="00A92D0B" w14:paraId="0239D9E2" w14:textId="77777777">
      <w:pPr>
        <w:tabs>
          <w:tab w:val="left" w:pos="360"/>
        </w:tabs>
        <w:rPr>
          <w:b/>
          <w:color w:val="000000"/>
        </w:rPr>
      </w:pPr>
    </w:p>
    <w:p w:rsidRPr="00E14A77" w:rsidR="00A92D0B" w:rsidP="00056FC1" w:rsidRDefault="00A92D0B" w14:paraId="3E318497" w14:textId="07C659B7">
      <w:pPr>
        <w:numPr>
          <w:ilvl w:val="0"/>
          <w:numId w:val="5"/>
        </w:numPr>
        <w:tabs>
          <w:tab w:val="left" w:pos="360"/>
        </w:tabs>
        <w:rPr>
          <w:color w:val="000000"/>
        </w:rPr>
      </w:pPr>
      <w:r w:rsidRPr="00E14A77">
        <w:rPr>
          <w:b/>
          <w:color w:val="000000"/>
        </w:rPr>
        <w:t>Additional Comments on Part I</w:t>
      </w:r>
      <w:r w:rsidRPr="00E14A77" w:rsidR="00C02649">
        <w:rPr>
          <w:b/>
          <w:color w:val="000000"/>
        </w:rPr>
        <w:t>:</w:t>
      </w:r>
      <w:r w:rsidRPr="00E14A77">
        <w:rPr>
          <w:b/>
          <w:color w:val="000000"/>
        </w:rPr>
        <w:t xml:space="preserve"> </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2"/>
        <w:gridCol w:w="3896"/>
        <w:gridCol w:w="4950"/>
      </w:tblGrid>
      <w:tr w:rsidRPr="000B58F6" w:rsidR="003C608A" w:rsidTr="003B6A1B" w14:paraId="046F77BA" w14:textId="77777777">
        <w:trPr>
          <w:trHeight w:val="589"/>
        </w:trPr>
        <w:tc>
          <w:tcPr>
            <w:tcW w:w="892" w:type="dxa"/>
            <w:tcBorders>
              <w:bottom w:val="single" w:color="auto" w:sz="4" w:space="0"/>
            </w:tcBorders>
            <w:shd w:val="clear" w:color="auto" w:fill="D9D9D9" w:themeFill="background1" w:themeFillShade="D9"/>
          </w:tcPr>
          <w:p w:rsidRPr="000B58F6" w:rsidR="003C608A" w:rsidP="00A92D0B" w:rsidRDefault="003C608A" w14:paraId="0CB867A6" w14:textId="77777777">
            <w:pPr>
              <w:tabs>
                <w:tab w:val="left" w:pos="360"/>
              </w:tabs>
              <w:spacing w:before="120"/>
              <w:jc w:val="center"/>
              <w:rPr>
                <w:b/>
                <w:color w:val="000000"/>
              </w:rPr>
            </w:pPr>
            <w:r w:rsidRPr="000B58F6">
              <w:rPr>
                <w:b/>
                <w:color w:val="000000"/>
              </w:rPr>
              <w:t>#</w:t>
            </w:r>
          </w:p>
        </w:tc>
        <w:tc>
          <w:tcPr>
            <w:tcW w:w="3896" w:type="dxa"/>
            <w:tcBorders>
              <w:bottom w:val="single" w:color="auto" w:sz="4" w:space="0"/>
            </w:tcBorders>
            <w:shd w:val="clear" w:color="auto" w:fill="D9D9D9" w:themeFill="background1" w:themeFillShade="D9"/>
          </w:tcPr>
          <w:p w:rsidRPr="000B58F6" w:rsidR="003C608A" w:rsidP="00A92D0B" w:rsidRDefault="003C608A" w14:paraId="196D09DF" w14:textId="77777777">
            <w:pPr>
              <w:tabs>
                <w:tab w:val="left" w:pos="360"/>
              </w:tabs>
              <w:spacing w:before="120"/>
              <w:jc w:val="center"/>
              <w:rPr>
                <w:b/>
                <w:color w:val="000000"/>
              </w:rPr>
            </w:pPr>
            <w:r w:rsidRPr="000B58F6">
              <w:rPr>
                <w:b/>
                <w:color w:val="000000"/>
              </w:rPr>
              <w:t>Intervenor’s Comment(s)</w:t>
            </w:r>
          </w:p>
        </w:tc>
        <w:tc>
          <w:tcPr>
            <w:tcW w:w="4950" w:type="dxa"/>
            <w:shd w:val="clear" w:color="auto" w:fill="D9D9D9" w:themeFill="background1" w:themeFillShade="D9"/>
          </w:tcPr>
          <w:p w:rsidRPr="000B58F6" w:rsidR="003C608A" w:rsidP="00A92D0B" w:rsidRDefault="003C608A" w14:paraId="07207D31" w14:textId="77777777">
            <w:pPr>
              <w:tabs>
                <w:tab w:val="left" w:pos="360"/>
              </w:tabs>
              <w:spacing w:before="120"/>
              <w:jc w:val="center"/>
              <w:rPr>
                <w:b/>
                <w:color w:val="000000"/>
              </w:rPr>
            </w:pPr>
            <w:r w:rsidRPr="000B58F6">
              <w:rPr>
                <w:b/>
                <w:color w:val="000000"/>
              </w:rPr>
              <w:t>CPUC Discussion</w:t>
            </w:r>
          </w:p>
        </w:tc>
      </w:tr>
      <w:tr w:rsidRPr="000B58F6" w:rsidR="003C608A" w:rsidTr="00AE0579" w14:paraId="1C6180A4" w14:textId="77777777">
        <w:trPr>
          <w:trHeight w:val="67"/>
        </w:trPr>
        <w:tc>
          <w:tcPr>
            <w:tcW w:w="892" w:type="dxa"/>
            <w:shd w:val="clear" w:color="auto" w:fill="auto"/>
          </w:tcPr>
          <w:p w:rsidRPr="000B58F6" w:rsidR="003C608A" w:rsidP="00A92D0B" w:rsidRDefault="003C608A" w14:paraId="4350D384" w14:textId="77777777">
            <w:pPr>
              <w:tabs>
                <w:tab w:val="left" w:pos="360"/>
              </w:tabs>
              <w:spacing w:before="120"/>
              <w:rPr>
                <w:color w:val="000000"/>
              </w:rPr>
            </w:pPr>
          </w:p>
        </w:tc>
        <w:tc>
          <w:tcPr>
            <w:tcW w:w="3896" w:type="dxa"/>
            <w:shd w:val="clear" w:color="auto" w:fill="auto"/>
          </w:tcPr>
          <w:p w:rsidRPr="000B58F6" w:rsidR="003C608A" w:rsidP="00A92D0B" w:rsidRDefault="00C654ED" w14:paraId="0ECF4A98" w14:textId="046054E1">
            <w:pPr>
              <w:tabs>
                <w:tab w:val="left" w:pos="360"/>
              </w:tabs>
              <w:spacing w:before="120"/>
              <w:rPr>
                <w:color w:val="000000"/>
              </w:rPr>
            </w:pPr>
            <w:proofErr w:type="spellStart"/>
            <w:r w:rsidRPr="000B58F6">
              <w:rPr>
                <w:color w:val="000000"/>
              </w:rPr>
              <w:t>CforAT</w:t>
            </w:r>
            <w:proofErr w:type="spellEnd"/>
            <w:r w:rsidRPr="000B58F6">
              <w:rPr>
                <w:color w:val="000000"/>
              </w:rPr>
              <w:t xml:space="preserve"> has </w:t>
            </w:r>
            <w:r w:rsidR="00C84D6E">
              <w:rPr>
                <w:color w:val="000000"/>
              </w:rPr>
              <w:t xml:space="preserve">been found eligible for compensation and has been </w:t>
            </w:r>
            <w:r w:rsidRPr="000B58F6">
              <w:rPr>
                <w:color w:val="000000"/>
              </w:rPr>
              <w:t xml:space="preserve">awarded compensation in earlier phases of this proceeding.  </w:t>
            </w:r>
            <w:r w:rsidRPr="00C84D6E">
              <w:rPr>
                <w:i/>
                <w:color w:val="000000"/>
              </w:rPr>
              <w:t>See</w:t>
            </w:r>
            <w:r w:rsidRPr="000B58F6">
              <w:rPr>
                <w:color w:val="000000"/>
              </w:rPr>
              <w:t xml:space="preserve"> D.18-06-026, D.15-11-036, and D.15-03-013.  </w:t>
            </w:r>
            <w:r w:rsidRPr="000B58F6" w:rsidR="00B96895">
              <w:rPr>
                <w:color w:val="000000"/>
              </w:rPr>
              <w:t>“A party found eligible for an award of compensation in one phase of a</w:t>
            </w:r>
            <w:r w:rsidRPr="000B58F6" w:rsidR="00B96895">
              <w:rPr>
                <w:color w:val="000000"/>
              </w:rPr>
              <w:br/>
              <w:t xml:space="preserve">proceeding remains eligible in later phases, including any rehearing, in the same proceeding.”  Rule 17.2 of the Commission’s Rules of Practice and Procedure.  </w:t>
            </w:r>
            <w:r w:rsidRPr="000B58F6" w:rsidR="00D01C06">
              <w:rPr>
                <w:color w:val="000000"/>
              </w:rPr>
              <w:t xml:space="preserve">A further request for compensation for Phase 4 issues was filed on November 15, 2019; this request is still pending.  </w:t>
            </w:r>
          </w:p>
        </w:tc>
        <w:tc>
          <w:tcPr>
            <w:tcW w:w="4950" w:type="dxa"/>
            <w:shd w:val="clear" w:color="auto" w:fill="auto"/>
          </w:tcPr>
          <w:p w:rsidRPr="000B58F6" w:rsidR="003C608A" w:rsidP="00A92D0B" w:rsidRDefault="00E14A77" w14:paraId="416D6250" w14:textId="39A044B1">
            <w:pPr>
              <w:tabs>
                <w:tab w:val="left" w:pos="360"/>
              </w:tabs>
              <w:spacing w:before="120"/>
              <w:rPr>
                <w:color w:val="000000"/>
              </w:rPr>
            </w:pPr>
            <w:r>
              <w:rPr>
                <w:color w:val="000000"/>
              </w:rPr>
              <w:t>Noted</w:t>
            </w:r>
          </w:p>
        </w:tc>
      </w:tr>
    </w:tbl>
    <w:p w:rsidRPr="000B58F6" w:rsidR="00A92D0B" w:rsidRDefault="00A92D0B" w14:paraId="7A600136" w14:textId="77777777">
      <w:pPr>
        <w:ind w:left="900"/>
        <w:rPr>
          <w:color w:val="000000"/>
        </w:rPr>
      </w:pPr>
    </w:p>
    <w:p w:rsidRPr="000B58F6" w:rsidR="00E25078" w:rsidRDefault="00E25078" w14:paraId="509DE4EF" w14:textId="77777777">
      <w:pPr>
        <w:ind w:left="900"/>
        <w:rPr>
          <w:color w:val="000000"/>
        </w:rPr>
      </w:pPr>
    </w:p>
    <w:p w:rsidRPr="000B58F6" w:rsidR="003B6A1B" w:rsidP="00AF4C9C" w:rsidRDefault="00A92D0B" w14:paraId="501B5F3D" w14:textId="77777777">
      <w:pPr>
        <w:keepNext/>
        <w:keepLines/>
        <w:jc w:val="center"/>
        <w:rPr>
          <w:b/>
          <w:color w:val="000000"/>
        </w:rPr>
      </w:pPr>
      <w:r w:rsidRPr="000B58F6">
        <w:rPr>
          <w:b/>
          <w:color w:val="000000"/>
        </w:rPr>
        <w:lastRenderedPageBreak/>
        <w:t>PART II:  SUBSTANTIAL CONTRIBUTION</w:t>
      </w:r>
    </w:p>
    <w:p w:rsidRPr="000B58F6" w:rsidR="00A92D0B" w:rsidP="00AF4C9C" w:rsidRDefault="00A92D0B" w14:paraId="341C0F1E" w14:textId="77777777">
      <w:pPr>
        <w:keepNext/>
        <w:keepLines/>
        <w:rPr>
          <w:color w:val="000000"/>
        </w:rPr>
      </w:pPr>
    </w:p>
    <w:p w:rsidRPr="000B58F6" w:rsidR="00A92D0B" w:rsidP="00AF4C9C" w:rsidRDefault="00D075B1" w14:paraId="337CC332" w14:textId="54780FCB">
      <w:pPr>
        <w:keepNext/>
        <w:keepLines/>
        <w:numPr>
          <w:ilvl w:val="0"/>
          <w:numId w:val="1"/>
        </w:numPr>
        <w:tabs>
          <w:tab w:val="clear" w:pos="900"/>
          <w:tab w:val="num" w:pos="360"/>
        </w:tabs>
        <w:spacing w:after="120"/>
        <w:ind w:left="360"/>
        <w:rPr>
          <w:b/>
          <w:color w:val="000000"/>
        </w:rPr>
      </w:pPr>
      <w:r w:rsidRPr="000B58F6">
        <w:rPr>
          <w:b/>
          <w:color w:val="000000"/>
        </w:rPr>
        <w:t xml:space="preserve">Did the </w:t>
      </w:r>
      <w:r w:rsidRPr="000B58F6" w:rsidR="005A63D4">
        <w:rPr>
          <w:b/>
          <w:color w:val="000000"/>
        </w:rPr>
        <w:t>Intervenor</w:t>
      </w:r>
      <w:r w:rsidRPr="000B58F6">
        <w:rPr>
          <w:b/>
          <w:color w:val="000000"/>
        </w:rPr>
        <w:t xml:space="preserve"> substantially contribute to the final decision</w:t>
      </w:r>
      <w:r w:rsidRPr="000B58F6" w:rsidR="00A92D0B">
        <w:rPr>
          <w:b/>
          <w:color w:val="000000"/>
        </w:rPr>
        <w:t xml:space="preserve"> (</w:t>
      </w:r>
      <w:r w:rsidRPr="000B58F6" w:rsidR="00A92D0B">
        <w:rPr>
          <w:b/>
          <w:i/>
          <w:color w:val="000000"/>
        </w:rPr>
        <w:t>see</w:t>
      </w:r>
      <w:r w:rsidRPr="000B58F6" w:rsidR="00A92D0B">
        <w:rPr>
          <w:b/>
          <w:color w:val="000000"/>
        </w:rPr>
        <w:t xml:space="preserve"> § 1802(</w:t>
      </w:r>
      <w:r w:rsidRPr="000B58F6" w:rsidR="00ED6B6B">
        <w:rPr>
          <w:b/>
          <w:color w:val="000000"/>
        </w:rPr>
        <w:t>j</w:t>
      </w:r>
      <w:r w:rsidRPr="000B58F6" w:rsidR="00A92D0B">
        <w:rPr>
          <w:b/>
          <w:color w:val="000000"/>
        </w:rPr>
        <w:t xml:space="preserve">), </w:t>
      </w:r>
      <w:r w:rsidRPr="000B58F6" w:rsidR="001E77CF">
        <w:rPr>
          <w:b/>
          <w:color w:val="000000"/>
        </w:rPr>
        <w:br/>
      </w:r>
      <w:r w:rsidRPr="000B58F6" w:rsidR="00A92D0B">
        <w:rPr>
          <w:b/>
          <w:color w:val="000000"/>
        </w:rPr>
        <w:t>§ 1803(a)</w:t>
      </w:r>
      <w:r w:rsidRPr="000B58F6" w:rsidR="00F30DA8">
        <w:rPr>
          <w:b/>
          <w:color w:val="000000"/>
        </w:rPr>
        <w:t>,</w:t>
      </w:r>
      <w:r w:rsidRPr="000B58F6" w:rsidR="00A92D0B">
        <w:rPr>
          <w:b/>
          <w:color w:val="000000"/>
        </w:rPr>
        <w:t xml:space="preserve"> </w:t>
      </w:r>
      <w:r w:rsidRPr="000B58F6" w:rsidR="00ED6B6B">
        <w:rPr>
          <w:b/>
          <w:color w:val="000000"/>
        </w:rPr>
        <w:t xml:space="preserve">1803.1(a) </w:t>
      </w:r>
      <w:r w:rsidRPr="000B58F6" w:rsidR="00F30DA8">
        <w:rPr>
          <w:b/>
          <w:color w:val="000000"/>
        </w:rPr>
        <w:t>and</w:t>
      </w:r>
      <w:r w:rsidRPr="000B58F6" w:rsidR="00A92D0B">
        <w:rPr>
          <w:b/>
          <w:color w:val="000000"/>
        </w:rPr>
        <w:t xml:space="preserve"> D.98-04-059)</w:t>
      </w:r>
      <w:r w:rsidRPr="000B58F6" w:rsidR="00C02649">
        <w:rPr>
          <w:b/>
          <w:color w:val="000000"/>
        </w:rPr>
        <w:t>:</w:t>
      </w:r>
    </w:p>
    <w:p w:rsidRPr="000B58F6" w:rsidR="00FE3BAE" w:rsidP="00FE3BAE" w:rsidRDefault="00FE3BAE" w14:paraId="54593213" w14:textId="77777777">
      <w:pPr>
        <w:spacing w:after="120"/>
        <w:ind w:left="360"/>
        <w:rPr>
          <w:b/>
          <w:color w:val="000000"/>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8"/>
        <w:gridCol w:w="4140"/>
        <w:gridCol w:w="2340"/>
      </w:tblGrid>
      <w:tr w:rsidRPr="000B58F6" w:rsidR="00A92D0B" w:rsidTr="00B00BCD" w14:paraId="67755362" w14:textId="77777777">
        <w:tc>
          <w:tcPr>
            <w:tcW w:w="3258" w:type="dxa"/>
            <w:tcBorders>
              <w:bottom w:val="single" w:color="auto" w:sz="4" w:space="0"/>
            </w:tcBorders>
            <w:shd w:val="pct12" w:color="auto" w:fill="auto"/>
          </w:tcPr>
          <w:p w:rsidRPr="000B58F6" w:rsidR="00A92D0B" w:rsidP="00A92D0B" w:rsidRDefault="00D075B1" w14:paraId="7CE2E5BB" w14:textId="77777777">
            <w:pPr>
              <w:spacing w:before="120"/>
              <w:jc w:val="center"/>
              <w:rPr>
                <w:b/>
                <w:color w:val="000000"/>
              </w:rPr>
            </w:pPr>
            <w:r w:rsidRPr="000B58F6">
              <w:rPr>
                <w:b/>
                <w:color w:val="000000"/>
              </w:rPr>
              <w:t>Intervenor’s Claimed Contribution(s)</w:t>
            </w:r>
          </w:p>
        </w:tc>
        <w:tc>
          <w:tcPr>
            <w:tcW w:w="4140" w:type="dxa"/>
            <w:tcBorders>
              <w:bottom w:val="single" w:color="auto" w:sz="4" w:space="0"/>
            </w:tcBorders>
            <w:shd w:val="pct12" w:color="auto" w:fill="auto"/>
          </w:tcPr>
          <w:p w:rsidRPr="000B58F6" w:rsidR="00A92D0B" w:rsidP="00D075B1" w:rsidRDefault="00A92D0B" w14:paraId="2794272E" w14:textId="77777777">
            <w:pPr>
              <w:spacing w:before="120"/>
              <w:jc w:val="center"/>
              <w:rPr>
                <w:b/>
                <w:color w:val="000000"/>
              </w:rPr>
            </w:pPr>
            <w:r w:rsidRPr="000B58F6">
              <w:rPr>
                <w:b/>
                <w:color w:val="000000"/>
              </w:rPr>
              <w:t xml:space="preserve">Specific References to </w:t>
            </w:r>
            <w:r w:rsidRPr="000B58F6" w:rsidR="00D075B1">
              <w:rPr>
                <w:b/>
                <w:color w:val="000000"/>
              </w:rPr>
              <w:t>Intervenor’s Claimed Contribution(s)</w:t>
            </w:r>
          </w:p>
        </w:tc>
        <w:tc>
          <w:tcPr>
            <w:tcW w:w="2340" w:type="dxa"/>
            <w:shd w:val="pct12" w:color="auto" w:fill="auto"/>
          </w:tcPr>
          <w:p w:rsidRPr="000B58F6" w:rsidR="00A92D0B" w:rsidP="00A92D0B" w:rsidRDefault="00D075B1" w14:paraId="79AFC714" w14:textId="77777777">
            <w:pPr>
              <w:spacing w:before="120"/>
              <w:jc w:val="center"/>
              <w:rPr>
                <w:b/>
                <w:color w:val="000000"/>
              </w:rPr>
            </w:pPr>
            <w:r w:rsidRPr="000B58F6">
              <w:rPr>
                <w:b/>
                <w:color w:val="000000"/>
              </w:rPr>
              <w:t>CPUC Discussion</w:t>
            </w:r>
          </w:p>
        </w:tc>
      </w:tr>
      <w:tr w:rsidRPr="000B58F6" w:rsidR="00A92D0B" w:rsidTr="00794BDB" w14:paraId="2E691FFC" w14:textId="77777777">
        <w:tc>
          <w:tcPr>
            <w:tcW w:w="3258" w:type="dxa"/>
            <w:shd w:val="clear" w:color="auto" w:fill="auto"/>
          </w:tcPr>
          <w:p w:rsidRPr="00864656" w:rsidR="00864656" w:rsidP="00864656" w:rsidRDefault="00A01969" w14:paraId="1E724B6A" w14:textId="79DDFEAB">
            <w:pPr>
              <w:pStyle w:val="ListParagraph"/>
              <w:numPr>
                <w:ilvl w:val="0"/>
                <w:numId w:val="9"/>
              </w:numPr>
              <w:spacing w:before="120"/>
              <w:ind w:left="433"/>
              <w:rPr>
                <w:color w:val="000000"/>
              </w:rPr>
            </w:pPr>
            <w:r w:rsidRPr="001E6A2B">
              <w:rPr>
                <w:rFonts w:ascii="Times New Roman" w:hAnsi="Times New Roman"/>
                <w:b/>
                <w:color w:val="000000"/>
                <w:sz w:val="24"/>
                <w:szCs w:val="24"/>
              </w:rPr>
              <w:t>General/Background:</w:t>
            </w:r>
            <w:r w:rsidRPr="001E6A2B">
              <w:rPr>
                <w:rFonts w:ascii="Times New Roman" w:hAnsi="Times New Roman"/>
                <w:color w:val="000000"/>
                <w:sz w:val="24"/>
                <w:szCs w:val="24"/>
              </w:rPr>
              <w:t xml:space="preserve"> </w:t>
            </w:r>
            <w:r w:rsidRPr="001E6A2B" w:rsidR="00D01C06">
              <w:rPr>
                <w:rFonts w:ascii="Times New Roman" w:hAnsi="Times New Roman"/>
                <w:color w:val="000000"/>
                <w:sz w:val="24"/>
                <w:szCs w:val="24"/>
              </w:rPr>
              <w:t>Phase 5 of this proceeding addressed</w:t>
            </w:r>
            <w:r w:rsidRPr="001E6A2B" w:rsidR="00D01C06">
              <w:rPr>
                <w:color w:val="000000"/>
              </w:rPr>
              <w:t xml:space="preserve"> </w:t>
            </w:r>
            <w:r w:rsidRPr="001E6A2B" w:rsidR="00D01C06">
              <w:rPr>
                <w:rFonts w:ascii="Times New Roman" w:hAnsi="Times New Roman"/>
                <w:color w:val="000000"/>
                <w:sz w:val="24"/>
                <w:szCs w:val="24"/>
              </w:rPr>
              <w:t xml:space="preserve">whether to extend the existing marketing agreement with DDB in support of the rollout of residential default time of use (TOU) rates, and, if so, how much to spend on such an extension.  </w:t>
            </w:r>
            <w:proofErr w:type="spellStart"/>
            <w:r w:rsidRPr="001E6A2B" w:rsidR="00D01C06">
              <w:rPr>
                <w:rFonts w:ascii="Times New Roman" w:hAnsi="Times New Roman"/>
                <w:color w:val="000000"/>
                <w:sz w:val="24"/>
                <w:szCs w:val="24"/>
              </w:rPr>
              <w:t>CforAT</w:t>
            </w:r>
            <w:proofErr w:type="spellEnd"/>
            <w:r w:rsidRPr="001E6A2B" w:rsidR="00D01C06">
              <w:rPr>
                <w:rFonts w:ascii="Times New Roman" w:hAnsi="Times New Roman"/>
                <w:color w:val="000000"/>
                <w:sz w:val="24"/>
                <w:szCs w:val="24"/>
              </w:rPr>
              <w:t xml:space="preserve"> opposed any such extension</w:t>
            </w:r>
            <w:r w:rsidRPr="001E6A2B">
              <w:rPr>
                <w:rFonts w:ascii="Times New Roman" w:hAnsi="Times New Roman"/>
                <w:color w:val="000000"/>
                <w:sz w:val="24"/>
                <w:szCs w:val="24"/>
              </w:rPr>
              <w:t xml:space="preserve"> and opposed any additional spend</w:t>
            </w:r>
            <w:r w:rsidR="00864656">
              <w:rPr>
                <w:rFonts w:ascii="Times New Roman" w:hAnsi="Times New Roman"/>
                <w:color w:val="000000"/>
                <w:sz w:val="24"/>
                <w:szCs w:val="24"/>
              </w:rPr>
              <w:t xml:space="preserve">.  To the extent that any additional work or spending was authorized, </w:t>
            </w:r>
            <w:proofErr w:type="spellStart"/>
            <w:r w:rsidR="00864656">
              <w:rPr>
                <w:rFonts w:ascii="Times New Roman" w:hAnsi="Times New Roman"/>
                <w:color w:val="000000"/>
                <w:sz w:val="24"/>
                <w:szCs w:val="24"/>
              </w:rPr>
              <w:t>CforAT</w:t>
            </w:r>
            <w:proofErr w:type="spellEnd"/>
            <w:r w:rsidR="00864656">
              <w:rPr>
                <w:rFonts w:ascii="Times New Roman" w:hAnsi="Times New Roman"/>
                <w:color w:val="000000"/>
                <w:sz w:val="24"/>
                <w:szCs w:val="24"/>
              </w:rPr>
              <w:t xml:space="preserve"> sought additional oversight of DDB</w:t>
            </w:r>
            <w:r w:rsidRPr="001E6A2B">
              <w:rPr>
                <w:rFonts w:ascii="Times New Roman" w:hAnsi="Times New Roman"/>
                <w:color w:val="000000"/>
                <w:sz w:val="24"/>
                <w:szCs w:val="24"/>
              </w:rPr>
              <w:t>.</w:t>
            </w:r>
            <w:r w:rsidRPr="001E6A2B">
              <w:rPr>
                <w:color w:val="000000"/>
              </w:rPr>
              <w:t xml:space="preserve">  </w:t>
            </w:r>
          </w:p>
          <w:p w:rsidRPr="000B58F6" w:rsidR="001E6A2B" w:rsidP="001E6A2B" w:rsidRDefault="001E6A2B" w14:paraId="1CADD659" w14:textId="77777777">
            <w:pPr>
              <w:spacing w:before="120"/>
              <w:rPr>
                <w:i/>
                <w:color w:val="000000"/>
              </w:rPr>
            </w:pPr>
            <w:r w:rsidRPr="000B58F6">
              <w:rPr>
                <w:i/>
                <w:color w:val="000000"/>
              </w:rPr>
              <w:t>See generally:</w:t>
            </w:r>
          </w:p>
          <w:p w:rsidRPr="000B58F6" w:rsidR="001E6A2B" w:rsidP="001E6A2B" w:rsidRDefault="001E6A2B" w14:paraId="5404C675" w14:textId="77777777">
            <w:pPr>
              <w:pStyle w:val="ListParagraph"/>
              <w:numPr>
                <w:ilvl w:val="0"/>
                <w:numId w:val="8"/>
              </w:numPr>
              <w:spacing w:before="120"/>
              <w:rPr>
                <w:rFonts w:ascii="Times New Roman" w:hAnsi="Times New Roman"/>
                <w:color w:val="000000"/>
                <w:sz w:val="24"/>
                <w:szCs w:val="24"/>
                <w:u w:val="single"/>
              </w:rPr>
            </w:pPr>
            <w:r w:rsidRPr="000B58F6">
              <w:rPr>
                <w:rFonts w:ascii="Times New Roman" w:hAnsi="Times New Roman"/>
                <w:color w:val="000000"/>
                <w:sz w:val="24"/>
                <w:szCs w:val="24"/>
              </w:rPr>
              <w:t xml:space="preserve">Comments of Southern California Edison, San Diego Gas &amp; Electric, </w:t>
            </w:r>
            <w:proofErr w:type="spellStart"/>
            <w:r w:rsidRPr="000B58F6">
              <w:rPr>
                <w:rFonts w:ascii="Times New Roman" w:hAnsi="Times New Roman"/>
                <w:color w:val="000000"/>
                <w:sz w:val="24"/>
                <w:szCs w:val="24"/>
              </w:rPr>
              <w:t>CforAT</w:t>
            </w:r>
            <w:proofErr w:type="spellEnd"/>
            <w:r w:rsidRPr="000B58F6">
              <w:rPr>
                <w:rFonts w:ascii="Times New Roman" w:hAnsi="Times New Roman"/>
                <w:color w:val="000000"/>
                <w:sz w:val="24"/>
                <w:szCs w:val="24"/>
              </w:rPr>
              <w:t xml:space="preserve">, and TURN on Assigned Commissioner’s Scoping Memo and Ruling for Phase 4 of the Proceeding (the Joint Comments), filed on September 20, </w:t>
            </w:r>
            <w:proofErr w:type="gramStart"/>
            <w:r w:rsidRPr="000B58F6">
              <w:rPr>
                <w:rFonts w:ascii="Times New Roman" w:hAnsi="Times New Roman"/>
                <w:color w:val="000000"/>
                <w:sz w:val="24"/>
                <w:szCs w:val="24"/>
              </w:rPr>
              <w:t>2019;</w:t>
            </w:r>
            <w:proofErr w:type="gramEnd"/>
            <w:r w:rsidRPr="000B58F6">
              <w:rPr>
                <w:rFonts w:ascii="Times New Roman" w:hAnsi="Times New Roman"/>
                <w:color w:val="000000"/>
                <w:sz w:val="24"/>
                <w:szCs w:val="24"/>
              </w:rPr>
              <w:t xml:space="preserve"> </w:t>
            </w:r>
          </w:p>
          <w:p w:rsidRPr="000B58F6" w:rsidR="001E6A2B" w:rsidP="001E6A2B" w:rsidRDefault="001E6A2B" w14:paraId="563E6433" w14:textId="32FA5D88">
            <w:pPr>
              <w:pStyle w:val="ListParagraph"/>
              <w:numPr>
                <w:ilvl w:val="0"/>
                <w:numId w:val="8"/>
              </w:numPr>
              <w:spacing w:before="120"/>
              <w:rPr>
                <w:rFonts w:ascii="Times New Roman" w:hAnsi="Times New Roman"/>
                <w:color w:val="000000"/>
                <w:sz w:val="24"/>
                <w:szCs w:val="24"/>
                <w:u w:val="single"/>
              </w:rPr>
            </w:pPr>
            <w:proofErr w:type="spellStart"/>
            <w:r w:rsidRPr="000B58F6">
              <w:rPr>
                <w:rFonts w:ascii="Times New Roman" w:hAnsi="Times New Roman"/>
                <w:color w:val="000000"/>
                <w:sz w:val="24"/>
                <w:szCs w:val="24"/>
              </w:rPr>
              <w:t>CforAT</w:t>
            </w:r>
            <w:proofErr w:type="spellEnd"/>
            <w:r w:rsidRPr="000B58F6">
              <w:rPr>
                <w:rFonts w:ascii="Times New Roman" w:hAnsi="Times New Roman"/>
                <w:color w:val="000000"/>
                <w:sz w:val="24"/>
                <w:szCs w:val="24"/>
              </w:rPr>
              <w:t xml:space="preserve"> Comments on Proposed Decision Addressing Phase 5 Issues, </w:t>
            </w:r>
            <w:r w:rsidR="00013AB8">
              <w:rPr>
                <w:rFonts w:ascii="Times New Roman" w:hAnsi="Times New Roman"/>
                <w:color w:val="000000"/>
                <w:sz w:val="24"/>
                <w:szCs w:val="24"/>
              </w:rPr>
              <w:t xml:space="preserve">(Comments on </w:t>
            </w:r>
            <w:r w:rsidR="00013AB8">
              <w:rPr>
                <w:rFonts w:ascii="Times New Roman" w:hAnsi="Times New Roman"/>
                <w:color w:val="000000"/>
                <w:sz w:val="24"/>
                <w:szCs w:val="24"/>
              </w:rPr>
              <w:lastRenderedPageBreak/>
              <w:t xml:space="preserve">PD) </w:t>
            </w:r>
            <w:r w:rsidRPr="000B58F6">
              <w:rPr>
                <w:rFonts w:ascii="Times New Roman" w:hAnsi="Times New Roman"/>
                <w:color w:val="000000"/>
                <w:sz w:val="24"/>
                <w:szCs w:val="24"/>
              </w:rPr>
              <w:t xml:space="preserve">filed on January 16, </w:t>
            </w:r>
            <w:proofErr w:type="gramStart"/>
            <w:r w:rsidRPr="000B58F6">
              <w:rPr>
                <w:rFonts w:ascii="Times New Roman" w:hAnsi="Times New Roman"/>
                <w:color w:val="000000"/>
                <w:sz w:val="24"/>
                <w:szCs w:val="24"/>
              </w:rPr>
              <w:t>2020;</w:t>
            </w:r>
            <w:proofErr w:type="gramEnd"/>
          </w:p>
          <w:p w:rsidRPr="000B58F6" w:rsidR="001E6A2B" w:rsidP="001E6A2B" w:rsidRDefault="001E6A2B" w14:paraId="3296CF5F" w14:textId="7B7F5887">
            <w:pPr>
              <w:pStyle w:val="ListParagraph"/>
              <w:numPr>
                <w:ilvl w:val="0"/>
                <w:numId w:val="8"/>
              </w:numPr>
              <w:spacing w:before="120"/>
              <w:rPr>
                <w:rFonts w:ascii="Times New Roman" w:hAnsi="Times New Roman"/>
                <w:color w:val="000000"/>
                <w:sz w:val="24"/>
                <w:szCs w:val="24"/>
                <w:u w:val="single"/>
              </w:rPr>
            </w:pPr>
            <w:proofErr w:type="spellStart"/>
            <w:r w:rsidRPr="000B58F6">
              <w:rPr>
                <w:rFonts w:ascii="Times New Roman" w:hAnsi="Times New Roman"/>
                <w:color w:val="000000"/>
                <w:sz w:val="24"/>
                <w:szCs w:val="24"/>
              </w:rPr>
              <w:t>CforAT</w:t>
            </w:r>
            <w:proofErr w:type="spellEnd"/>
            <w:r w:rsidRPr="000B58F6">
              <w:rPr>
                <w:rFonts w:ascii="Times New Roman" w:hAnsi="Times New Roman"/>
                <w:color w:val="000000"/>
                <w:sz w:val="24"/>
                <w:szCs w:val="24"/>
              </w:rPr>
              <w:t xml:space="preserve"> Reply Comment on Proposed Decision Addressing Phase 5 Issues</w:t>
            </w:r>
            <w:r w:rsidR="00013AB8">
              <w:rPr>
                <w:rFonts w:ascii="Times New Roman" w:hAnsi="Times New Roman"/>
                <w:color w:val="000000"/>
                <w:sz w:val="24"/>
                <w:szCs w:val="24"/>
              </w:rPr>
              <w:t xml:space="preserve"> (Reply Comments on PD)</w:t>
            </w:r>
            <w:r w:rsidRPr="000B58F6">
              <w:rPr>
                <w:rFonts w:ascii="Times New Roman" w:hAnsi="Times New Roman"/>
                <w:color w:val="000000"/>
                <w:sz w:val="24"/>
                <w:szCs w:val="24"/>
              </w:rPr>
              <w:t xml:space="preserve">, filed on January 27, 2020; and </w:t>
            </w:r>
          </w:p>
          <w:p w:rsidR="00C84D6E" w:rsidP="00C84D6E" w:rsidRDefault="001E6A2B" w14:paraId="0793EADD" w14:textId="77777777">
            <w:pPr>
              <w:pStyle w:val="ListParagraph"/>
              <w:numPr>
                <w:ilvl w:val="0"/>
                <w:numId w:val="8"/>
              </w:numPr>
              <w:spacing w:before="120"/>
              <w:rPr>
                <w:color w:val="000000"/>
              </w:rPr>
            </w:pPr>
            <w:proofErr w:type="spellStart"/>
            <w:r w:rsidRPr="000B58F6">
              <w:rPr>
                <w:rFonts w:ascii="Times New Roman" w:hAnsi="Times New Roman"/>
                <w:color w:val="000000"/>
                <w:sz w:val="24"/>
                <w:szCs w:val="24"/>
              </w:rPr>
              <w:t>CforAT’s</w:t>
            </w:r>
            <w:proofErr w:type="spellEnd"/>
            <w:r w:rsidRPr="000B58F6">
              <w:rPr>
                <w:rFonts w:ascii="Times New Roman" w:hAnsi="Times New Roman"/>
                <w:color w:val="000000"/>
                <w:sz w:val="24"/>
                <w:szCs w:val="24"/>
              </w:rPr>
              <w:t xml:space="preserve"> Reply Comments on the Alternate Proposed Decision Addressing Phase 5 Issues</w:t>
            </w:r>
            <w:r w:rsidR="00013AB8">
              <w:rPr>
                <w:rFonts w:ascii="Times New Roman" w:hAnsi="Times New Roman"/>
                <w:color w:val="000000"/>
                <w:sz w:val="24"/>
                <w:szCs w:val="24"/>
              </w:rPr>
              <w:t xml:space="preserve"> (Reply Comments on APD)</w:t>
            </w:r>
            <w:r w:rsidRPr="000B58F6">
              <w:rPr>
                <w:rFonts w:ascii="Times New Roman" w:hAnsi="Times New Roman"/>
                <w:color w:val="000000"/>
                <w:sz w:val="24"/>
                <w:szCs w:val="24"/>
              </w:rPr>
              <w:t xml:space="preserve">, filed on March 19, </w:t>
            </w:r>
            <w:proofErr w:type="gramStart"/>
            <w:r w:rsidRPr="000B58F6">
              <w:rPr>
                <w:rFonts w:ascii="Times New Roman" w:hAnsi="Times New Roman"/>
                <w:color w:val="000000"/>
                <w:sz w:val="24"/>
                <w:szCs w:val="24"/>
              </w:rPr>
              <w:t>2020</w:t>
            </w:r>
            <w:proofErr w:type="gramEnd"/>
          </w:p>
          <w:p w:rsidRPr="00C84D6E" w:rsidR="00C84D6E" w:rsidP="00C84D6E" w:rsidRDefault="00C84D6E" w14:paraId="1B0CC007" w14:textId="2747C66C">
            <w:pPr>
              <w:pStyle w:val="ListParagraph"/>
              <w:spacing w:before="120"/>
              <w:rPr>
                <w:color w:val="000000"/>
              </w:rPr>
            </w:pPr>
          </w:p>
        </w:tc>
        <w:tc>
          <w:tcPr>
            <w:tcW w:w="4140" w:type="dxa"/>
            <w:shd w:val="clear" w:color="auto" w:fill="auto"/>
          </w:tcPr>
          <w:p w:rsidR="00A92D0B" w:rsidP="00A92D0B" w:rsidRDefault="00A01969" w14:paraId="7C10368D" w14:textId="0692882B">
            <w:pPr>
              <w:spacing w:before="120"/>
              <w:rPr>
                <w:color w:val="000000"/>
              </w:rPr>
            </w:pPr>
            <w:r w:rsidRPr="000B58F6">
              <w:rPr>
                <w:i/>
                <w:color w:val="000000"/>
              </w:rPr>
              <w:lastRenderedPageBreak/>
              <w:t xml:space="preserve">See </w:t>
            </w:r>
            <w:r w:rsidRPr="000B58F6">
              <w:rPr>
                <w:color w:val="000000"/>
              </w:rPr>
              <w:t>Phase 5 Decision at p. 5 (setting out questions within the scope of Phase 5).</w:t>
            </w:r>
          </w:p>
          <w:p w:rsidR="00864656" w:rsidP="00A92D0B" w:rsidRDefault="00DF71C1" w14:paraId="48937A1B" w14:textId="27A657AB">
            <w:pPr>
              <w:spacing w:before="120"/>
              <w:rPr>
                <w:color w:val="000000"/>
              </w:rPr>
            </w:pPr>
            <w:r>
              <w:rPr>
                <w:color w:val="000000"/>
              </w:rPr>
              <w:t xml:space="preserve">The initial </w:t>
            </w:r>
            <w:r w:rsidR="00864656">
              <w:rPr>
                <w:color w:val="000000"/>
              </w:rPr>
              <w:t>Proposed Decision of ALJ Doherty and ALJ Park,</w:t>
            </w:r>
            <w:r>
              <w:rPr>
                <w:color w:val="000000"/>
              </w:rPr>
              <w:t xml:space="preserve"> issued on </w:t>
            </w:r>
            <w:r w:rsidR="00864656">
              <w:rPr>
                <w:color w:val="000000"/>
              </w:rPr>
              <w:t>December 30, 2019, would have extended the contract with DDB but would have provided only $7.7 million in additional funding.  DDB requested $22.9 million in additional funding.  PD at p. 2.</w:t>
            </w:r>
          </w:p>
          <w:p w:rsidR="00864656" w:rsidP="00A92D0B" w:rsidRDefault="00864656" w14:paraId="337E0587" w14:textId="77777777">
            <w:pPr>
              <w:spacing w:before="120"/>
              <w:rPr>
                <w:color w:val="000000"/>
              </w:rPr>
            </w:pPr>
          </w:p>
          <w:p w:rsidR="00864656" w:rsidP="00864656" w:rsidRDefault="00864656" w14:paraId="32640961" w14:textId="3AB88678">
            <w:r>
              <w:rPr>
                <w:color w:val="000000"/>
              </w:rPr>
              <w:t xml:space="preserve">Subsequently, on February 25, 2020, the Alternate Proposed Decision of President </w:t>
            </w:r>
            <w:proofErr w:type="spellStart"/>
            <w:r>
              <w:rPr>
                <w:color w:val="000000"/>
              </w:rPr>
              <w:t>Batjer</w:t>
            </w:r>
            <w:proofErr w:type="spellEnd"/>
            <w:r>
              <w:rPr>
                <w:color w:val="000000"/>
              </w:rPr>
              <w:t xml:space="preserve"> was issued.  The APD, which was eventually adopted, authorized additional funding of up to $13.3, specifically allocating </w:t>
            </w:r>
            <w:r w:rsidR="00C84D6E">
              <w:rPr>
                <w:color w:val="000000"/>
              </w:rPr>
              <w:t xml:space="preserve">the increased </w:t>
            </w:r>
            <w:r>
              <w:rPr>
                <w:color w:val="000000"/>
              </w:rPr>
              <w:t xml:space="preserve">funding </w:t>
            </w:r>
            <w:r w:rsidR="00C84D6E">
              <w:rPr>
                <w:color w:val="000000"/>
              </w:rPr>
              <w:t xml:space="preserve">beyond that of the PD </w:t>
            </w:r>
            <w:r>
              <w:rPr>
                <w:color w:val="000000"/>
              </w:rPr>
              <w:t>to be spent on CBO Outreach and work to update and maintain i</w:t>
            </w:r>
            <w:r>
              <w:t xml:space="preserve">n-language and multicultural video, digital, and social media content.  </w:t>
            </w:r>
            <w:r>
              <w:rPr>
                <w:i/>
              </w:rPr>
              <w:t xml:space="preserve">See </w:t>
            </w:r>
            <w:r>
              <w:t xml:space="preserve">Digest of Differences between the PD and the APD.  </w:t>
            </w:r>
          </w:p>
          <w:p w:rsidR="00864656" w:rsidP="00864656" w:rsidRDefault="00864656" w14:paraId="4794886B" w14:textId="28423D73"/>
          <w:p w:rsidR="00864656" w:rsidP="00864656" w:rsidRDefault="00864656" w14:paraId="103C30AF" w14:textId="2808DDFC">
            <w:r>
              <w:t xml:space="preserve">Both the PD and the APD include additional requirements for tracking expenditures; these requirements were included in the Final Decision.   </w:t>
            </w:r>
            <w:r w:rsidR="00FC16F4">
              <w:t xml:space="preserve">Final Decision at p. 22. </w:t>
            </w:r>
          </w:p>
          <w:p w:rsidRPr="00864656" w:rsidR="00864656" w:rsidP="00864656" w:rsidRDefault="00864656" w14:paraId="18CA2BA9" w14:textId="39051785">
            <w:pPr>
              <w:rPr>
                <w:i/>
              </w:rPr>
            </w:pPr>
          </w:p>
          <w:p w:rsidRPr="000B58F6" w:rsidR="00864656" w:rsidP="00A92D0B" w:rsidRDefault="00864656" w14:paraId="7DA63EAF" w14:textId="2D1FA48B">
            <w:pPr>
              <w:spacing w:before="120"/>
              <w:rPr>
                <w:color w:val="000000"/>
              </w:rPr>
            </w:pPr>
          </w:p>
          <w:p w:rsidRPr="000B58F6" w:rsidR="000B58F6" w:rsidP="00DF71C1" w:rsidRDefault="000B58F6" w14:paraId="511DFAF0" w14:textId="50CDA8A1">
            <w:pPr>
              <w:pStyle w:val="ListParagraph"/>
              <w:spacing w:before="120"/>
              <w:ind w:left="787"/>
              <w:rPr>
                <w:rFonts w:ascii="Times New Roman" w:hAnsi="Times New Roman"/>
                <w:color w:val="000000"/>
                <w:sz w:val="24"/>
                <w:szCs w:val="24"/>
              </w:rPr>
            </w:pPr>
          </w:p>
          <w:p w:rsidRPr="000B58F6" w:rsidR="00A01969" w:rsidP="00A01969" w:rsidRDefault="00A01969" w14:paraId="532F95D2" w14:textId="63FD00AF">
            <w:pPr>
              <w:rPr>
                <w:color w:val="000000"/>
              </w:rPr>
            </w:pPr>
          </w:p>
        </w:tc>
        <w:tc>
          <w:tcPr>
            <w:tcW w:w="2340" w:type="dxa"/>
            <w:shd w:val="clear" w:color="auto" w:fill="auto"/>
          </w:tcPr>
          <w:p w:rsidRPr="000B58F6" w:rsidR="00A92D0B" w:rsidP="00A92D0B" w:rsidRDefault="00794BDB" w14:paraId="63938BDA" w14:textId="305DAEFB">
            <w:pPr>
              <w:spacing w:before="120"/>
              <w:rPr>
                <w:color w:val="000000"/>
              </w:rPr>
            </w:pPr>
            <w:r>
              <w:rPr>
                <w:color w:val="000000"/>
              </w:rPr>
              <w:t>Verified</w:t>
            </w:r>
          </w:p>
        </w:tc>
      </w:tr>
      <w:tr w:rsidRPr="000B58F6" w:rsidR="00A92D0B" w:rsidTr="00794BDB" w14:paraId="4AAA05AE" w14:textId="77777777">
        <w:tc>
          <w:tcPr>
            <w:tcW w:w="3258" w:type="dxa"/>
            <w:shd w:val="clear" w:color="auto" w:fill="auto"/>
          </w:tcPr>
          <w:p w:rsidR="00E25078" w:rsidP="00B96895" w:rsidRDefault="00A92D0B" w14:paraId="1E0DB4C9" w14:textId="28D69AF3">
            <w:pPr>
              <w:spacing w:before="120"/>
              <w:rPr>
                <w:b/>
                <w:color w:val="000000"/>
              </w:rPr>
            </w:pPr>
            <w:r w:rsidRPr="000B58F6">
              <w:rPr>
                <w:color w:val="000000"/>
              </w:rPr>
              <w:t>2</w:t>
            </w:r>
            <w:r w:rsidRPr="001E6A2B">
              <w:rPr>
                <w:b/>
                <w:color w:val="000000"/>
              </w:rPr>
              <w:t>.</w:t>
            </w:r>
            <w:r w:rsidRPr="001E6A2B" w:rsidR="00E25078">
              <w:rPr>
                <w:b/>
                <w:color w:val="000000"/>
              </w:rPr>
              <w:t xml:space="preserve"> </w:t>
            </w:r>
            <w:r w:rsidRPr="001E6A2B" w:rsidR="000B58F6">
              <w:rPr>
                <w:b/>
                <w:color w:val="000000"/>
              </w:rPr>
              <w:t>DDB Contract Extension</w:t>
            </w:r>
            <w:r w:rsidRPr="001E6A2B" w:rsidR="00B96895">
              <w:rPr>
                <w:b/>
                <w:color w:val="000000"/>
              </w:rPr>
              <w:t>.</w:t>
            </w:r>
          </w:p>
          <w:p w:rsidRPr="00A615D8" w:rsidR="001E6A2B" w:rsidP="00B96895" w:rsidRDefault="001E6A2B" w14:paraId="4C031E70" w14:textId="5ED2A432">
            <w:pPr>
              <w:spacing w:before="120"/>
              <w:rPr>
                <w:color w:val="000000"/>
              </w:rPr>
            </w:pPr>
            <w:proofErr w:type="spellStart"/>
            <w:r>
              <w:rPr>
                <w:color w:val="000000"/>
              </w:rPr>
              <w:t>C</w:t>
            </w:r>
            <w:r w:rsidRPr="000B58F6">
              <w:rPr>
                <w:color w:val="000000"/>
              </w:rPr>
              <w:t>forAT</w:t>
            </w:r>
            <w:proofErr w:type="spellEnd"/>
            <w:r>
              <w:rPr>
                <w:color w:val="000000"/>
              </w:rPr>
              <w:t xml:space="preserve"> joined with the IOUs as well as TURN to express support for ongoing ME&amp;O around the </w:t>
            </w:r>
            <w:r w:rsidR="00B5350A">
              <w:rPr>
                <w:color w:val="000000"/>
              </w:rPr>
              <w:t>extended</w:t>
            </w:r>
            <w:r>
              <w:rPr>
                <w:color w:val="000000"/>
              </w:rPr>
              <w:t xml:space="preserve"> transition to default TOU, while opposing any extension of the DD</w:t>
            </w:r>
            <w:r w:rsidR="00B5350A">
              <w:rPr>
                <w:color w:val="000000"/>
              </w:rPr>
              <w:t>B</w:t>
            </w:r>
            <w:r>
              <w:rPr>
                <w:color w:val="000000"/>
              </w:rPr>
              <w:t xml:space="preserve"> contract.  Joint Comments at p. 2. </w:t>
            </w:r>
            <w:proofErr w:type="spellStart"/>
            <w:r>
              <w:rPr>
                <w:color w:val="000000"/>
              </w:rPr>
              <w:t>CforAT</w:t>
            </w:r>
            <w:proofErr w:type="spellEnd"/>
            <w:r>
              <w:rPr>
                <w:color w:val="000000"/>
              </w:rPr>
              <w:t xml:space="preserve"> and the other Joint Parties argued that DDB had not demonstrated that its expenditures under the initial contract for outreach were effective.  </w:t>
            </w:r>
            <w:r>
              <w:rPr>
                <w:i/>
                <w:color w:val="000000"/>
              </w:rPr>
              <w:t>Id.</w:t>
            </w:r>
            <w:r>
              <w:rPr>
                <w:color w:val="000000"/>
              </w:rPr>
              <w:t xml:space="preserve"> at pp. 3-4.</w:t>
            </w:r>
            <w:r w:rsidR="00A615D8">
              <w:rPr>
                <w:color w:val="000000"/>
              </w:rPr>
              <w:t xml:space="preserve">  </w:t>
            </w:r>
            <w:r w:rsidR="00A615D8">
              <w:rPr>
                <w:i/>
                <w:color w:val="000000"/>
              </w:rPr>
              <w:t xml:space="preserve">See also </w:t>
            </w:r>
            <w:r w:rsidR="00A615D8">
              <w:rPr>
                <w:color w:val="000000"/>
              </w:rPr>
              <w:t xml:space="preserve">Joint Notice of Ex </w:t>
            </w:r>
            <w:proofErr w:type="spellStart"/>
            <w:r w:rsidR="00A615D8">
              <w:rPr>
                <w:color w:val="000000"/>
              </w:rPr>
              <w:t>Parte</w:t>
            </w:r>
            <w:proofErr w:type="spellEnd"/>
            <w:r w:rsidR="00A615D8">
              <w:rPr>
                <w:color w:val="000000"/>
              </w:rPr>
              <w:t xml:space="preserve"> Communication on Behalf of the Public Advocates Office, the Center for Accessible Technology and The Utility Reform Network</w:t>
            </w:r>
            <w:r w:rsidR="001F1A7F">
              <w:rPr>
                <w:color w:val="000000"/>
              </w:rPr>
              <w:t xml:space="preserve"> (Ex </w:t>
            </w:r>
            <w:proofErr w:type="spellStart"/>
            <w:r w:rsidR="001F1A7F">
              <w:rPr>
                <w:color w:val="000000"/>
              </w:rPr>
              <w:t>Parte</w:t>
            </w:r>
            <w:proofErr w:type="spellEnd"/>
            <w:r w:rsidR="001F1A7F">
              <w:rPr>
                <w:color w:val="000000"/>
              </w:rPr>
              <w:t xml:space="preserve"> Notice)</w:t>
            </w:r>
            <w:r w:rsidR="00A615D8">
              <w:rPr>
                <w:color w:val="000000"/>
              </w:rPr>
              <w:t xml:space="preserve">, filed on October 7, 2019.  </w:t>
            </w:r>
          </w:p>
          <w:p w:rsidRPr="00A615D8" w:rsidR="00A615D8" w:rsidP="00B96895" w:rsidRDefault="00A615D8" w14:paraId="19C3F14C" w14:textId="77777777">
            <w:pPr>
              <w:spacing w:before="120"/>
              <w:rPr>
                <w:i/>
                <w:color w:val="000000"/>
              </w:rPr>
            </w:pPr>
          </w:p>
          <w:p w:rsidRPr="000B58F6" w:rsidR="00DF71C1" w:rsidP="00B96895" w:rsidRDefault="00DF71C1" w14:paraId="11E330AD" w14:textId="77777777">
            <w:pPr>
              <w:spacing w:before="120"/>
              <w:rPr>
                <w:color w:val="000000"/>
              </w:rPr>
            </w:pPr>
          </w:p>
          <w:p w:rsidRPr="000B58F6" w:rsidR="00B96895" w:rsidP="00B96895" w:rsidRDefault="00B96895" w14:paraId="11FCCEB5" w14:textId="52298630">
            <w:pPr>
              <w:spacing w:before="120"/>
              <w:rPr>
                <w:color w:val="000000"/>
              </w:rPr>
            </w:pPr>
          </w:p>
        </w:tc>
        <w:tc>
          <w:tcPr>
            <w:tcW w:w="4140" w:type="dxa"/>
            <w:shd w:val="clear" w:color="auto" w:fill="auto"/>
          </w:tcPr>
          <w:p w:rsidR="00A92D0B" w:rsidP="00A92D0B" w:rsidRDefault="00A92D0B" w14:paraId="5B41C8C7" w14:textId="77777777">
            <w:pPr>
              <w:spacing w:before="120"/>
              <w:rPr>
                <w:color w:val="000000"/>
              </w:rPr>
            </w:pPr>
          </w:p>
          <w:p w:rsidRPr="00FC16F4" w:rsidR="00FC16F4" w:rsidP="00A92D0B" w:rsidRDefault="00FC16F4" w14:paraId="2A92A629" w14:textId="311B0716">
            <w:pPr>
              <w:spacing w:before="120"/>
              <w:rPr>
                <w:color w:val="000000"/>
              </w:rPr>
            </w:pPr>
            <w:r>
              <w:rPr>
                <w:color w:val="000000"/>
              </w:rPr>
              <w:t xml:space="preserve">While the Commission determined that the DDB contract should be extended, both the PD and the APD recognized the concerns raised by </w:t>
            </w:r>
            <w:proofErr w:type="spellStart"/>
            <w:r>
              <w:rPr>
                <w:color w:val="000000"/>
              </w:rPr>
              <w:t>CforAT</w:t>
            </w:r>
            <w:proofErr w:type="spellEnd"/>
            <w:r>
              <w:rPr>
                <w:color w:val="000000"/>
              </w:rPr>
              <w:t xml:space="preserve"> and the other Joint Parties; the Final Decision notes that “the Commission is mindful of the concerns” expressed by the Joint Parties as well as Cal Advocates, and makes clear that “the Commission’s approval of a timeline extension does not indicate approval of the incremental budget sought by DDB.”  Final Decision at p. 12.  The Final Decision justifies the extension of the contract </w:t>
            </w:r>
            <w:proofErr w:type="gramStart"/>
            <w:r>
              <w:rPr>
                <w:color w:val="000000"/>
              </w:rPr>
              <w:t>on the basis of</w:t>
            </w:r>
            <w:proofErr w:type="gramEnd"/>
            <w:r>
              <w:rPr>
                <w:color w:val="000000"/>
              </w:rPr>
              <w:t xml:space="preserve"> the need to avoid wasting already expended funds developing an outreach program by ending the program prior to the extended dates for the TOU transition.  </w:t>
            </w:r>
            <w:r>
              <w:rPr>
                <w:i/>
                <w:color w:val="000000"/>
              </w:rPr>
              <w:t>Id.</w:t>
            </w:r>
            <w:r>
              <w:rPr>
                <w:color w:val="000000"/>
              </w:rPr>
              <w:t xml:space="preserve"> at pp. 11-12.</w:t>
            </w:r>
            <w:r w:rsidR="00B5350A">
              <w:rPr>
                <w:color w:val="000000"/>
              </w:rPr>
              <w:t xml:space="preserve">  It does not contain any endorsement of </w:t>
            </w:r>
            <w:r w:rsidR="001F1A7F">
              <w:rPr>
                <w:color w:val="000000"/>
              </w:rPr>
              <w:t xml:space="preserve">the work performed by </w:t>
            </w:r>
            <w:r w:rsidR="00B5350A">
              <w:rPr>
                <w:color w:val="000000"/>
              </w:rPr>
              <w:t xml:space="preserve">DDB.  </w:t>
            </w:r>
          </w:p>
        </w:tc>
        <w:tc>
          <w:tcPr>
            <w:tcW w:w="2340" w:type="dxa"/>
            <w:shd w:val="clear" w:color="auto" w:fill="auto"/>
          </w:tcPr>
          <w:p w:rsidRPr="000B58F6" w:rsidR="00A92D0B" w:rsidP="00A92D0B" w:rsidRDefault="00794BDB" w14:paraId="56FD3368" w14:textId="28032915">
            <w:pPr>
              <w:spacing w:before="120"/>
              <w:rPr>
                <w:color w:val="000000"/>
              </w:rPr>
            </w:pPr>
            <w:r>
              <w:rPr>
                <w:color w:val="000000"/>
              </w:rPr>
              <w:t>Verified</w:t>
            </w:r>
          </w:p>
        </w:tc>
      </w:tr>
      <w:tr w:rsidRPr="000B58F6" w:rsidR="00691528" w:rsidTr="00794BDB" w14:paraId="36FF786B" w14:textId="77777777">
        <w:tc>
          <w:tcPr>
            <w:tcW w:w="3258" w:type="dxa"/>
            <w:shd w:val="clear" w:color="auto" w:fill="auto"/>
          </w:tcPr>
          <w:p w:rsidR="001E6A2B" w:rsidP="00A92D0B" w:rsidRDefault="00691528" w14:paraId="49932BE8" w14:textId="77777777">
            <w:pPr>
              <w:spacing w:before="120"/>
              <w:rPr>
                <w:color w:val="000000"/>
              </w:rPr>
            </w:pPr>
            <w:r w:rsidRPr="000B58F6">
              <w:rPr>
                <w:color w:val="000000"/>
              </w:rPr>
              <w:t>3.</w:t>
            </w:r>
            <w:r w:rsidRPr="000B58F6" w:rsidR="00E25078">
              <w:rPr>
                <w:color w:val="000000"/>
              </w:rPr>
              <w:t xml:space="preserve"> </w:t>
            </w:r>
            <w:r w:rsidRPr="001E6A2B" w:rsidR="000B58F6">
              <w:rPr>
                <w:b/>
                <w:color w:val="000000"/>
              </w:rPr>
              <w:t>Additional Spend for DDB</w:t>
            </w:r>
            <w:r w:rsidRPr="000B58F6" w:rsidR="00CA2ED1">
              <w:rPr>
                <w:color w:val="000000"/>
              </w:rPr>
              <w:t>.</w:t>
            </w:r>
          </w:p>
          <w:p w:rsidRPr="001F1A7F" w:rsidR="00E87C0F" w:rsidP="00A92D0B" w:rsidRDefault="001E6A2B" w14:paraId="4050E079" w14:textId="4319A987">
            <w:pPr>
              <w:spacing w:before="120"/>
              <w:rPr>
                <w:i/>
                <w:color w:val="000000"/>
              </w:rPr>
            </w:pPr>
            <w:proofErr w:type="spellStart"/>
            <w:r>
              <w:rPr>
                <w:color w:val="000000"/>
              </w:rPr>
              <w:t>CforAT</w:t>
            </w:r>
            <w:proofErr w:type="spellEnd"/>
            <w:r>
              <w:rPr>
                <w:color w:val="000000"/>
              </w:rPr>
              <w:t xml:space="preserve"> and the other Joint Parties opposed any incremental funding for DDB. Joint Comments at p. 3</w:t>
            </w:r>
            <w:r w:rsidR="001F1A7F">
              <w:rPr>
                <w:color w:val="000000"/>
              </w:rPr>
              <w:t xml:space="preserve">; </w:t>
            </w:r>
            <w:r w:rsidRPr="001F1A7F" w:rsidR="001F1A7F">
              <w:rPr>
                <w:i/>
                <w:color w:val="000000"/>
              </w:rPr>
              <w:t>see also</w:t>
            </w:r>
            <w:r w:rsidR="001F1A7F">
              <w:rPr>
                <w:color w:val="000000"/>
              </w:rPr>
              <w:t xml:space="preserve"> Ex </w:t>
            </w:r>
            <w:proofErr w:type="spellStart"/>
            <w:r w:rsidR="001F1A7F">
              <w:rPr>
                <w:color w:val="000000"/>
              </w:rPr>
              <w:t>Parte</w:t>
            </w:r>
            <w:proofErr w:type="spellEnd"/>
            <w:r w:rsidR="001F1A7F">
              <w:rPr>
                <w:color w:val="000000"/>
              </w:rPr>
              <w:t xml:space="preserve"> Notice at p. 2.  </w:t>
            </w:r>
          </w:p>
          <w:p w:rsidR="00F163FD" w:rsidP="00A92D0B" w:rsidRDefault="00F163FD" w14:paraId="5E0AF7FA" w14:textId="77777777">
            <w:pPr>
              <w:spacing w:before="120"/>
              <w:rPr>
                <w:color w:val="000000"/>
              </w:rPr>
            </w:pPr>
          </w:p>
          <w:p w:rsidR="00F163FD" w:rsidP="00F163FD" w:rsidRDefault="00F163FD" w14:paraId="0982912D" w14:textId="6233C13E">
            <w:r>
              <w:rPr>
                <w:color w:val="000000"/>
              </w:rPr>
              <w:t xml:space="preserve">Upon the issuance of the PD, </w:t>
            </w:r>
            <w:proofErr w:type="spellStart"/>
            <w:r>
              <w:rPr>
                <w:color w:val="000000"/>
              </w:rPr>
              <w:t>CforAT</w:t>
            </w:r>
            <w:proofErr w:type="spellEnd"/>
            <w:r>
              <w:rPr>
                <w:color w:val="000000"/>
              </w:rPr>
              <w:t xml:space="preserve"> noted </w:t>
            </w:r>
            <w:r w:rsidR="001F1A7F">
              <w:rPr>
                <w:color w:val="000000"/>
              </w:rPr>
              <w:t>our</w:t>
            </w:r>
            <w:r>
              <w:rPr>
                <w:color w:val="000000"/>
              </w:rPr>
              <w:t xml:space="preserve"> ongoing </w:t>
            </w:r>
            <w:r w:rsidR="00B5350A">
              <w:rPr>
                <w:color w:val="000000"/>
              </w:rPr>
              <w:t xml:space="preserve">general </w:t>
            </w:r>
            <w:r>
              <w:rPr>
                <w:color w:val="000000"/>
              </w:rPr>
              <w:t xml:space="preserve">opposition to any </w:t>
            </w:r>
            <w:r w:rsidR="00B5350A">
              <w:rPr>
                <w:color w:val="000000"/>
              </w:rPr>
              <w:t xml:space="preserve">new </w:t>
            </w:r>
            <w:r>
              <w:rPr>
                <w:color w:val="000000"/>
              </w:rPr>
              <w:t>funding</w:t>
            </w:r>
            <w:r w:rsidR="00B5350A">
              <w:rPr>
                <w:color w:val="000000"/>
              </w:rPr>
              <w:t xml:space="preserve"> allocation</w:t>
            </w:r>
            <w:r>
              <w:rPr>
                <w:color w:val="000000"/>
              </w:rPr>
              <w:t>, while declining to oppose the limited allocation set out in the Proposed Decision, stating, “</w:t>
            </w:r>
            <w:r>
              <w:t xml:space="preserve">While </w:t>
            </w:r>
            <w:proofErr w:type="spellStart"/>
            <w:r>
              <w:t>CforAT</w:t>
            </w:r>
            <w:proofErr w:type="spellEnd"/>
            <w:r>
              <w:t xml:space="preserve"> (in conjunction with multiple other stakeholders) opposed an extension of DDB’s contract and opposed authorization of any additional expenditures to DDB, we do not fundamentally oppose the PD, which recognizes the validity of the concerns raised by parties, but strives to ensure that ratepayer funds already spent in support of developing content regarding the TOU transition are not wasted.”  </w:t>
            </w:r>
            <w:proofErr w:type="spellStart"/>
            <w:r>
              <w:t>CforAT</w:t>
            </w:r>
            <w:proofErr w:type="spellEnd"/>
            <w:r>
              <w:t xml:space="preserve"> Comments on PD at p. 1 (footnotes omitted).  </w:t>
            </w:r>
          </w:p>
          <w:p w:rsidRPr="00E87C0F" w:rsidR="00691528" w:rsidP="00A92D0B" w:rsidRDefault="00E87C0F" w14:paraId="00FFAC2D" w14:textId="79C051AD">
            <w:pPr>
              <w:spacing w:before="120"/>
              <w:rPr>
                <w:color w:val="000000"/>
              </w:rPr>
            </w:pPr>
            <w:r>
              <w:rPr>
                <w:i/>
                <w:color w:val="000000"/>
              </w:rPr>
              <w:t xml:space="preserve">See also </w:t>
            </w:r>
            <w:proofErr w:type="spellStart"/>
            <w:r>
              <w:rPr>
                <w:color w:val="000000"/>
              </w:rPr>
              <w:t>CforAT’s</w:t>
            </w:r>
            <w:proofErr w:type="spellEnd"/>
            <w:r>
              <w:rPr>
                <w:color w:val="000000"/>
              </w:rPr>
              <w:t xml:space="preserve"> Reply Comments on APD at pp. 1-2.  </w:t>
            </w:r>
          </w:p>
          <w:p w:rsidRPr="000B58F6" w:rsidR="00E25078" w:rsidP="00A92D0B" w:rsidRDefault="00E25078" w14:paraId="77A8C970" w14:textId="77777777">
            <w:pPr>
              <w:spacing w:before="120"/>
              <w:rPr>
                <w:color w:val="000000"/>
              </w:rPr>
            </w:pPr>
          </w:p>
        </w:tc>
        <w:tc>
          <w:tcPr>
            <w:tcW w:w="4140" w:type="dxa"/>
            <w:shd w:val="clear" w:color="auto" w:fill="auto"/>
          </w:tcPr>
          <w:p w:rsidR="00691528" w:rsidP="00A92D0B" w:rsidRDefault="00691528" w14:paraId="647025A7" w14:textId="77777777">
            <w:pPr>
              <w:spacing w:before="120"/>
            </w:pPr>
          </w:p>
          <w:p w:rsidR="00155079" w:rsidP="00A92D0B" w:rsidRDefault="00FC16F4" w14:paraId="246CF21A" w14:textId="768950F2">
            <w:pPr>
              <w:spacing w:before="120"/>
            </w:pPr>
            <w:r>
              <w:t xml:space="preserve">The Final Decision recognized that “a reasonable interpretation of D.17-12-023 [initially authorizing work by DDB] is that the deliverables described </w:t>
            </w:r>
            <w:r w:rsidR="001F1A7F">
              <w:t>b</w:t>
            </w:r>
            <w:r>
              <w:t>y that decision – including any work under them that may have in DDB’s judgment been specific to PG&amp;E and SCE territories – were to be completed using the $31.7 million authorized by that decision,” and further noted that this “creates difficul</w:t>
            </w:r>
            <w:r w:rsidR="00155079">
              <w:t>ty</w:t>
            </w:r>
            <w:r>
              <w:t xml:space="preserve"> in evaluating the merit of DB’s incremental budget request, as it is evident that DDB is requesting an incremental budget to fulfill tasks that D.17-12-023 directed be fulfilled </w:t>
            </w:r>
            <w:r w:rsidR="00155079">
              <w:t xml:space="preserve">without an incremental budget.” Final Decision at pp. 13-14.  This is consistent with the argument of the Joint Parties that DDB should leverage previously allocated funding to complete the work needed during the TOU transition.  </w:t>
            </w:r>
            <w:r w:rsidR="00B5350A">
              <w:rPr>
                <w:i/>
              </w:rPr>
              <w:t xml:space="preserve">See </w:t>
            </w:r>
            <w:r w:rsidR="00155079">
              <w:t>Final Decision at p. 15.</w:t>
            </w:r>
          </w:p>
          <w:p w:rsidR="00B5350A" w:rsidP="00A92D0B" w:rsidRDefault="00155079" w14:paraId="6C0A3FE8" w14:textId="41C52891">
            <w:pPr>
              <w:spacing w:before="120"/>
            </w:pPr>
            <w:r>
              <w:t xml:space="preserve">The Final Decision further notes that “it is unfortunate” that money was not reserved to account for the known delay in the TOU transition </w:t>
            </w:r>
            <w:proofErr w:type="gramStart"/>
            <w:r>
              <w:t>period, and</w:t>
            </w:r>
            <w:proofErr w:type="gramEnd"/>
            <w:r>
              <w:t xml:space="preserve"> expressed disappointment in the incremental budget request.  </w:t>
            </w:r>
            <w:r>
              <w:rPr>
                <w:i/>
              </w:rPr>
              <w:t xml:space="preserve">Id. </w:t>
            </w:r>
            <w:r>
              <w:t>at p. 15.</w:t>
            </w:r>
          </w:p>
          <w:p w:rsidR="00155079" w:rsidP="00B5350A" w:rsidRDefault="00155079" w14:paraId="4EE21F6A" w14:textId="43EC1280">
            <w:pPr>
              <w:spacing w:before="120"/>
            </w:pPr>
            <w:r>
              <w:t xml:space="preserve">Notwithstanding these expressions of disappointment and concern, the PD would have allocated $7.7 million in additional funding, allocated to specified tasks, in order “to allow DDB to place creative content in 2020 and 2021, optimize and adapt existing creative content based on an evaluator’s findings of the impact of the content during SDG&amp;E’s rollout of TOU, generally refresh creative content for PG&amp;E and SCE territories, and continue coordination with the Commission and </w:t>
            </w:r>
            <w:r>
              <w:lastRenderedPageBreak/>
              <w:t xml:space="preserve">other stakeholders.”  PD at pp. 17-19.  This </w:t>
            </w:r>
            <w:r w:rsidR="00B5350A">
              <w:t xml:space="preserve">relatively small </w:t>
            </w:r>
            <w:r>
              <w:t xml:space="preserve">allocation </w:t>
            </w:r>
            <w:r w:rsidR="00B5350A">
              <w:t>was</w:t>
            </w:r>
            <w:r>
              <w:t xml:space="preserve"> accompanied by an admonishment “the incremental budget should be limited to the funding DDB requires to ensure that existing content is able to be run in a manner that supports the Commission’s goals.” PD at p. 17.</w:t>
            </w:r>
            <w:r w:rsidR="00947A45">
              <w:t xml:space="preserve">  These concerns accept the validity of the positions taken by </w:t>
            </w:r>
            <w:proofErr w:type="spellStart"/>
            <w:r w:rsidR="00947A45">
              <w:t>CforAT</w:t>
            </w:r>
            <w:proofErr w:type="spellEnd"/>
            <w:r w:rsidR="00947A45">
              <w:t xml:space="preserve"> and the other Joint Parties.</w:t>
            </w:r>
          </w:p>
          <w:p w:rsidR="00947A45" w:rsidP="00155079" w:rsidRDefault="00947A45" w14:paraId="6409C9E5" w14:textId="669351D2"/>
          <w:p w:rsidR="00947A45" w:rsidP="00155079" w:rsidRDefault="00947A45" w14:paraId="3CB6DA41" w14:textId="77EEC83B">
            <w:r>
              <w:t xml:space="preserve">The APD subsequently expanded the approved list of tasks, adding funding targeting efforts to reach diverse and hard-to-reach customers, including CBO outreach.  APD/Final Decision at pp. 17-18.  </w:t>
            </w:r>
          </w:p>
          <w:p w:rsidR="00155079" w:rsidP="00155079" w:rsidRDefault="00155079" w14:paraId="53F226DD" w14:textId="528E933D"/>
          <w:p w:rsidR="00B5350A" w:rsidP="00155079" w:rsidRDefault="00B5350A" w14:paraId="42B363BA" w14:textId="20C4B30A">
            <w:r>
              <w:t xml:space="preserve">While neither the PD nor the APD concur with </w:t>
            </w:r>
            <w:proofErr w:type="spellStart"/>
            <w:r>
              <w:t>CforAT’s</w:t>
            </w:r>
            <w:proofErr w:type="spellEnd"/>
            <w:r>
              <w:t xml:space="preserve"> initial request to deny additional funding to DDB, </w:t>
            </w:r>
            <w:proofErr w:type="spellStart"/>
            <w:r>
              <w:t>CforAT’s</w:t>
            </w:r>
            <w:proofErr w:type="spellEnd"/>
            <w:r>
              <w:t xml:space="preserve"> input, in conjunction with other parties, supported the Commission’s concerns about an additional allocation and its determination to limit such allocations to a defined and constrained list of tasks.</w:t>
            </w:r>
          </w:p>
          <w:p w:rsidRPr="000B58F6" w:rsidR="00FC16F4" w:rsidP="00A92D0B" w:rsidRDefault="00FC16F4" w14:paraId="2144B6BD" w14:textId="79F56711">
            <w:pPr>
              <w:spacing w:before="120"/>
            </w:pPr>
          </w:p>
        </w:tc>
        <w:tc>
          <w:tcPr>
            <w:tcW w:w="2340" w:type="dxa"/>
            <w:shd w:val="clear" w:color="auto" w:fill="auto"/>
          </w:tcPr>
          <w:p w:rsidRPr="000B58F6" w:rsidR="00691528" w:rsidP="00A92D0B" w:rsidRDefault="00794BDB" w14:paraId="64233D9C" w14:textId="1B81047B">
            <w:pPr>
              <w:spacing w:before="120"/>
              <w:rPr>
                <w:color w:val="000000"/>
              </w:rPr>
            </w:pPr>
            <w:r>
              <w:rPr>
                <w:color w:val="000000"/>
              </w:rPr>
              <w:lastRenderedPageBreak/>
              <w:t>Verified</w:t>
            </w:r>
          </w:p>
        </w:tc>
      </w:tr>
      <w:tr w:rsidRPr="000B58F6" w:rsidR="00DF71C1" w:rsidTr="00794BDB" w14:paraId="7C671233" w14:textId="77777777">
        <w:tc>
          <w:tcPr>
            <w:tcW w:w="3258" w:type="dxa"/>
            <w:shd w:val="clear" w:color="auto" w:fill="auto"/>
          </w:tcPr>
          <w:p w:rsidR="00DF71C1" w:rsidP="00A92D0B" w:rsidRDefault="00DF71C1" w14:paraId="554BB060" w14:textId="77777777">
            <w:pPr>
              <w:spacing w:before="120"/>
              <w:rPr>
                <w:b/>
                <w:color w:val="000000"/>
              </w:rPr>
            </w:pPr>
            <w:r w:rsidRPr="00DF71C1">
              <w:rPr>
                <w:b/>
                <w:color w:val="000000"/>
              </w:rPr>
              <w:t>4. Need for Additional Monitoring</w:t>
            </w:r>
            <w:r>
              <w:rPr>
                <w:b/>
                <w:color w:val="000000"/>
              </w:rPr>
              <w:t>.</w:t>
            </w:r>
          </w:p>
          <w:p w:rsidR="00DF71C1" w:rsidP="00A92D0B" w:rsidRDefault="00DF71C1" w14:paraId="169629F0" w14:textId="0CF34390">
            <w:pPr>
              <w:spacing w:before="120"/>
              <w:rPr>
                <w:color w:val="000000"/>
              </w:rPr>
            </w:pPr>
            <w:proofErr w:type="spellStart"/>
            <w:r>
              <w:rPr>
                <w:color w:val="000000"/>
              </w:rPr>
              <w:t>CforAT</w:t>
            </w:r>
            <w:proofErr w:type="spellEnd"/>
            <w:r>
              <w:rPr>
                <w:color w:val="000000"/>
              </w:rPr>
              <w:t xml:space="preserve"> argued that, to the extent DDB was authorized to conduct additional work and/or allocated additional funding, greater monitoring and oversight of their work would be needed.   </w:t>
            </w:r>
            <w:proofErr w:type="spellStart"/>
            <w:r w:rsidR="00F163FD">
              <w:rPr>
                <w:color w:val="000000"/>
              </w:rPr>
              <w:t>CforAT</w:t>
            </w:r>
            <w:proofErr w:type="spellEnd"/>
            <w:r w:rsidR="00F163FD">
              <w:rPr>
                <w:color w:val="000000"/>
              </w:rPr>
              <w:t xml:space="preserve"> </w:t>
            </w:r>
            <w:r>
              <w:rPr>
                <w:color w:val="000000"/>
              </w:rPr>
              <w:t xml:space="preserve">Comments on Phase 5 PD at pp. </w:t>
            </w:r>
            <w:r w:rsidR="00E87C0F">
              <w:rPr>
                <w:color w:val="000000"/>
              </w:rPr>
              <w:t>2-4.</w:t>
            </w:r>
          </w:p>
          <w:p w:rsidRPr="00DF71C1" w:rsidR="00F163FD" w:rsidP="00A92D0B" w:rsidRDefault="00F163FD" w14:paraId="3DF627A8" w14:textId="6B73914C">
            <w:pPr>
              <w:spacing w:before="120"/>
              <w:rPr>
                <w:color w:val="000000"/>
              </w:rPr>
            </w:pPr>
            <w:proofErr w:type="spellStart"/>
            <w:r>
              <w:rPr>
                <w:color w:val="000000"/>
              </w:rPr>
              <w:t>CforAT</w:t>
            </w:r>
            <w:proofErr w:type="spellEnd"/>
            <w:r>
              <w:rPr>
                <w:color w:val="000000"/>
              </w:rPr>
              <w:t xml:space="preserve"> also argue</w:t>
            </w:r>
            <w:r w:rsidR="00B5350A">
              <w:rPr>
                <w:color w:val="000000"/>
              </w:rPr>
              <w:t>d</w:t>
            </w:r>
            <w:r>
              <w:rPr>
                <w:color w:val="000000"/>
              </w:rPr>
              <w:t xml:space="preserve"> for specific </w:t>
            </w:r>
            <w:r w:rsidR="00B5350A">
              <w:rPr>
                <w:color w:val="000000"/>
              </w:rPr>
              <w:t xml:space="preserve">additional </w:t>
            </w:r>
            <w:r>
              <w:rPr>
                <w:color w:val="000000"/>
              </w:rPr>
              <w:t xml:space="preserve">monitoring obligations </w:t>
            </w:r>
            <w:proofErr w:type="gramStart"/>
            <w:r>
              <w:rPr>
                <w:color w:val="000000"/>
              </w:rPr>
              <w:t>with regard to</w:t>
            </w:r>
            <w:proofErr w:type="gramEnd"/>
            <w:r>
              <w:rPr>
                <w:color w:val="000000"/>
              </w:rPr>
              <w:t xml:space="preserve"> the addition of funding targeted at CBO outreach in the APD, including a request that </w:t>
            </w:r>
            <w:r>
              <w:rPr>
                <w:color w:val="000000"/>
              </w:rPr>
              <w:lastRenderedPageBreak/>
              <w:t xml:space="preserve">information be provided to all stakeholders.  </w:t>
            </w:r>
            <w:proofErr w:type="spellStart"/>
            <w:r>
              <w:rPr>
                <w:color w:val="000000"/>
              </w:rPr>
              <w:t>CforAT</w:t>
            </w:r>
            <w:proofErr w:type="spellEnd"/>
            <w:r>
              <w:rPr>
                <w:color w:val="000000"/>
              </w:rPr>
              <w:t xml:space="preserve"> Reply Comments on APD at pp. 1-2.  </w:t>
            </w:r>
          </w:p>
        </w:tc>
        <w:tc>
          <w:tcPr>
            <w:tcW w:w="4140" w:type="dxa"/>
            <w:shd w:val="clear" w:color="auto" w:fill="auto"/>
          </w:tcPr>
          <w:p w:rsidR="00947A45" w:rsidP="00A92D0B" w:rsidRDefault="00947A45" w14:paraId="70DBD403" w14:textId="48D085EB">
            <w:pPr>
              <w:spacing w:before="120"/>
            </w:pPr>
            <w:r>
              <w:lastRenderedPageBreak/>
              <w:t xml:space="preserve">The Final Decision adopted new requirements for DDB to report </w:t>
            </w:r>
            <w:proofErr w:type="gramStart"/>
            <w:r>
              <w:t>on a monthly basis</w:t>
            </w:r>
            <w:proofErr w:type="gramEnd"/>
            <w:r>
              <w:t xml:space="preserve"> to the Commission’s Energy Division regarding expenditures made under the extended agreement.  This new reporting requirement is expressly intended to allow Energy division to evaluate “the appropriateness of expenditures as they relate to the goals of this proceeding.”  Final Decision at p. 22.</w:t>
            </w:r>
          </w:p>
          <w:p w:rsidRPr="000B58F6" w:rsidR="00947A45" w:rsidP="00A92D0B" w:rsidRDefault="00E66CC1" w14:paraId="275C1FE4" w14:textId="4EDF1909">
            <w:pPr>
              <w:spacing w:before="120"/>
            </w:pPr>
            <w:r>
              <w:t>In addition to this general reporting requirement, t</w:t>
            </w:r>
            <w:r w:rsidR="00947A45">
              <w:t xml:space="preserve">he APD added (and the Final Decision incorporated) additional </w:t>
            </w:r>
            <w:r>
              <w:t xml:space="preserve">specific </w:t>
            </w:r>
            <w:r w:rsidR="00947A45">
              <w:t>requirements for DDB to provide information on its CBO outreach efforts</w:t>
            </w:r>
            <w:r>
              <w:t xml:space="preserve"> to all stakeholders on </w:t>
            </w:r>
            <w:r>
              <w:lastRenderedPageBreak/>
              <w:t>the service list</w:t>
            </w:r>
            <w:r w:rsidR="00B5350A">
              <w:t xml:space="preserve">, consistent with </w:t>
            </w:r>
            <w:proofErr w:type="spellStart"/>
            <w:r w:rsidR="00B5350A">
              <w:t>CforAT’s</w:t>
            </w:r>
            <w:proofErr w:type="spellEnd"/>
            <w:r w:rsidR="00B5350A">
              <w:t xml:space="preserve"> request</w:t>
            </w:r>
            <w:r w:rsidR="00947A45">
              <w:t>.  Final Decision at pp. 18-19.</w:t>
            </w:r>
          </w:p>
        </w:tc>
        <w:tc>
          <w:tcPr>
            <w:tcW w:w="2340" w:type="dxa"/>
            <w:shd w:val="clear" w:color="auto" w:fill="auto"/>
          </w:tcPr>
          <w:p w:rsidRPr="000B58F6" w:rsidR="00DF71C1" w:rsidP="00A92D0B" w:rsidRDefault="00794BDB" w14:paraId="144028BA" w14:textId="22989D26">
            <w:pPr>
              <w:spacing w:before="120"/>
              <w:rPr>
                <w:color w:val="000000"/>
              </w:rPr>
            </w:pPr>
            <w:r>
              <w:rPr>
                <w:color w:val="000000"/>
              </w:rPr>
              <w:lastRenderedPageBreak/>
              <w:t>Verified</w:t>
            </w:r>
          </w:p>
        </w:tc>
      </w:tr>
    </w:tbl>
    <w:p w:rsidRPr="000B58F6" w:rsidR="00A92D0B" w:rsidRDefault="00A92D0B" w14:paraId="01BB662F" w14:textId="77777777">
      <w:pPr>
        <w:rPr>
          <w:color w:val="000000"/>
        </w:rPr>
      </w:pPr>
    </w:p>
    <w:p w:rsidRPr="000B58F6" w:rsidR="00A92D0B" w:rsidP="00DE3A5D" w:rsidRDefault="00A92D0B" w14:paraId="0D4BCD3A" w14:textId="77777777">
      <w:pPr>
        <w:keepNext/>
        <w:keepLines/>
        <w:numPr>
          <w:ilvl w:val="0"/>
          <w:numId w:val="1"/>
        </w:numPr>
        <w:tabs>
          <w:tab w:val="clear" w:pos="900"/>
          <w:tab w:val="num" w:pos="360"/>
        </w:tabs>
        <w:spacing w:after="120"/>
        <w:ind w:left="360"/>
        <w:rPr>
          <w:b/>
          <w:color w:val="000000"/>
        </w:rPr>
      </w:pPr>
      <w:r w:rsidRPr="000B58F6">
        <w:rPr>
          <w:b/>
          <w:color w:val="000000"/>
        </w:rPr>
        <w:t xml:space="preserve">Duplication of Effort (§ 1801.3(f) </w:t>
      </w:r>
      <w:r w:rsidRPr="000B58F6" w:rsidR="00F30DA8">
        <w:rPr>
          <w:b/>
          <w:color w:val="000000"/>
        </w:rPr>
        <w:t xml:space="preserve">and § </w:t>
      </w:r>
      <w:r w:rsidRPr="000B58F6" w:rsidR="0022302F">
        <w:rPr>
          <w:b/>
          <w:color w:val="000000"/>
        </w:rPr>
        <w:t>1802.5)</w:t>
      </w:r>
      <w:r w:rsidRPr="000B58F6"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0B58F6" w:rsidR="00A92D0B" w:rsidTr="003B6A1B" w14:paraId="76F3266C" w14:textId="77777777">
        <w:tc>
          <w:tcPr>
            <w:tcW w:w="6048" w:type="dxa"/>
            <w:shd w:val="clear" w:color="auto" w:fill="D9D9D9" w:themeFill="background1" w:themeFillShade="D9"/>
          </w:tcPr>
          <w:p w:rsidRPr="000B58F6" w:rsidR="00A92D0B" w:rsidP="00DE3A5D" w:rsidRDefault="00A92D0B" w14:paraId="300CEDBC" w14:textId="77777777">
            <w:pPr>
              <w:keepNext/>
              <w:keepLines/>
              <w:spacing w:before="120"/>
              <w:rPr>
                <w:color w:val="000000"/>
              </w:rPr>
            </w:pPr>
          </w:p>
        </w:tc>
        <w:tc>
          <w:tcPr>
            <w:tcW w:w="1710" w:type="dxa"/>
            <w:tcBorders>
              <w:bottom w:val="single" w:color="auto" w:sz="4" w:space="0"/>
            </w:tcBorders>
            <w:shd w:val="clear" w:color="auto" w:fill="D9D9D9" w:themeFill="background1" w:themeFillShade="D9"/>
          </w:tcPr>
          <w:p w:rsidRPr="000B58F6" w:rsidR="00A92D0B" w:rsidP="00DE3A5D" w:rsidRDefault="005A63D4" w14:paraId="7B091096" w14:textId="77777777">
            <w:pPr>
              <w:keepNext/>
              <w:keepLines/>
              <w:spacing w:before="120"/>
              <w:jc w:val="center"/>
              <w:rPr>
                <w:b/>
                <w:color w:val="000000"/>
              </w:rPr>
            </w:pPr>
            <w:r w:rsidRPr="000B58F6">
              <w:rPr>
                <w:b/>
                <w:color w:val="000000"/>
              </w:rPr>
              <w:t>Interveno</w:t>
            </w:r>
            <w:r w:rsidRPr="000B58F6" w:rsidR="00204E3A">
              <w:rPr>
                <w:b/>
                <w:color w:val="000000"/>
              </w:rPr>
              <w:t>r</w:t>
            </w:r>
            <w:r w:rsidRPr="000B58F6">
              <w:rPr>
                <w:b/>
                <w:color w:val="000000"/>
              </w:rPr>
              <w:t xml:space="preserve">’s </w:t>
            </w:r>
            <w:r w:rsidRPr="000B58F6" w:rsidR="00D075B1">
              <w:rPr>
                <w:b/>
                <w:color w:val="000000"/>
              </w:rPr>
              <w:t>Assertion</w:t>
            </w:r>
          </w:p>
        </w:tc>
        <w:tc>
          <w:tcPr>
            <w:tcW w:w="1980" w:type="dxa"/>
            <w:shd w:val="clear" w:color="auto" w:fill="D9D9D9" w:themeFill="background1" w:themeFillShade="D9"/>
          </w:tcPr>
          <w:p w:rsidRPr="000B58F6" w:rsidR="00A92D0B" w:rsidP="00D075B1" w:rsidRDefault="00A92D0B" w14:paraId="25CE5081" w14:textId="77777777">
            <w:pPr>
              <w:keepNext/>
              <w:keepLines/>
              <w:spacing w:before="120"/>
              <w:jc w:val="center"/>
              <w:rPr>
                <w:b/>
                <w:color w:val="000000"/>
              </w:rPr>
            </w:pPr>
            <w:r w:rsidRPr="000B58F6">
              <w:rPr>
                <w:b/>
                <w:color w:val="000000"/>
              </w:rPr>
              <w:t xml:space="preserve">CPUC </w:t>
            </w:r>
            <w:r w:rsidRPr="000B58F6" w:rsidR="00D075B1">
              <w:rPr>
                <w:b/>
                <w:color w:val="000000"/>
              </w:rPr>
              <w:t>Discussion</w:t>
            </w:r>
          </w:p>
        </w:tc>
      </w:tr>
      <w:tr w:rsidRPr="000B58F6" w:rsidR="00A92D0B" w:rsidTr="00E14A77" w14:paraId="24A12BE1" w14:textId="77777777">
        <w:tc>
          <w:tcPr>
            <w:tcW w:w="6048" w:type="dxa"/>
            <w:shd w:val="clear" w:color="auto" w:fill="auto"/>
          </w:tcPr>
          <w:p w:rsidRPr="000B58F6" w:rsidR="00A92D0B" w:rsidP="00DE3A5D" w:rsidRDefault="00A92D0B" w14:paraId="6915FAF6" w14:textId="55102672">
            <w:pPr>
              <w:keepNext/>
              <w:keepLines/>
              <w:spacing w:before="120"/>
              <w:ind w:left="360" w:hanging="360"/>
              <w:rPr>
                <w:b/>
                <w:color w:val="000000"/>
              </w:rPr>
            </w:pPr>
            <w:r w:rsidRPr="000B58F6">
              <w:rPr>
                <w:b/>
                <w:color w:val="000000"/>
              </w:rPr>
              <w:t>a.</w:t>
            </w:r>
            <w:r w:rsidRPr="000B58F6">
              <w:rPr>
                <w:b/>
                <w:color w:val="000000"/>
              </w:rPr>
              <w:tab/>
            </w:r>
            <w:r w:rsidRPr="000B58F6">
              <w:rPr>
                <w:b/>
              </w:rPr>
              <w:t xml:space="preserve">Was the </w:t>
            </w:r>
            <w:r w:rsidRPr="000B58F6" w:rsidR="009E48E4">
              <w:rPr>
                <w:b/>
                <w:color w:val="000000"/>
              </w:rPr>
              <w:t>Public Advocate</w:t>
            </w:r>
            <w:r w:rsidRPr="000B58F6" w:rsidR="00621A7C">
              <w:rPr>
                <w:b/>
                <w:color w:val="000000"/>
              </w:rPr>
              <w:t>’</w:t>
            </w:r>
            <w:r w:rsidRPr="000B58F6" w:rsidR="009E48E4">
              <w:rPr>
                <w:b/>
                <w:color w:val="000000"/>
              </w:rPr>
              <w:t>s Office of the Public Utilities Commission</w:t>
            </w:r>
            <w:r w:rsidRPr="000B58F6" w:rsidR="009E48E4">
              <w:rPr>
                <w:b/>
              </w:rPr>
              <w:t xml:space="preserve"> </w:t>
            </w:r>
            <w:r w:rsidRPr="000B58F6">
              <w:rPr>
                <w:b/>
                <w:color w:val="000000"/>
              </w:rPr>
              <w:t>(</w:t>
            </w:r>
            <w:r w:rsidRPr="000B58F6" w:rsidR="00B55D78">
              <w:rPr>
                <w:b/>
                <w:color w:val="000000"/>
              </w:rPr>
              <w:t>Cal Advocates</w:t>
            </w:r>
            <w:r w:rsidRPr="000B58F6">
              <w:rPr>
                <w:b/>
              </w:rPr>
              <w:t>) a party to the proceeding</w:t>
            </w:r>
            <w:r w:rsidRPr="000B58F6">
              <w:rPr>
                <w:b/>
                <w:color w:val="000000"/>
              </w:rPr>
              <w:t>?</w:t>
            </w:r>
            <w:r w:rsidRPr="000B58F6" w:rsidR="009E48E4">
              <w:rPr>
                <w:rStyle w:val="FootnoteReference"/>
                <w:b/>
                <w:color w:val="000000"/>
              </w:rPr>
              <w:footnoteReference w:id="2"/>
            </w:r>
          </w:p>
        </w:tc>
        <w:tc>
          <w:tcPr>
            <w:tcW w:w="1710" w:type="dxa"/>
            <w:shd w:val="clear" w:color="auto" w:fill="auto"/>
          </w:tcPr>
          <w:p w:rsidRPr="000B58F6" w:rsidR="00A92D0B" w:rsidP="00DE3A5D" w:rsidRDefault="00DE3F74" w14:paraId="0B49A7C8" w14:textId="486AF541">
            <w:pPr>
              <w:keepNext/>
              <w:keepLines/>
              <w:spacing w:before="120"/>
              <w:rPr>
                <w:color w:val="000000"/>
              </w:rPr>
            </w:pPr>
            <w:r w:rsidRPr="000B58F6">
              <w:rPr>
                <w:color w:val="000000"/>
              </w:rPr>
              <w:t>Yes</w:t>
            </w:r>
          </w:p>
        </w:tc>
        <w:tc>
          <w:tcPr>
            <w:tcW w:w="1980" w:type="dxa"/>
            <w:shd w:val="clear" w:color="auto" w:fill="auto"/>
          </w:tcPr>
          <w:p w:rsidRPr="000B58F6" w:rsidR="00A92D0B" w:rsidP="00DE3A5D" w:rsidRDefault="00E14A77" w14:paraId="23B6532A" w14:textId="401175ED">
            <w:pPr>
              <w:keepNext/>
              <w:keepLines/>
              <w:spacing w:before="120"/>
              <w:rPr>
                <w:color w:val="000000"/>
              </w:rPr>
            </w:pPr>
            <w:r>
              <w:rPr>
                <w:color w:val="000000"/>
              </w:rPr>
              <w:t>Yes</w:t>
            </w:r>
          </w:p>
        </w:tc>
      </w:tr>
      <w:tr w:rsidRPr="000B58F6" w:rsidR="00A92D0B" w:rsidTr="00E14A77" w14:paraId="3317BD71" w14:textId="77777777">
        <w:tc>
          <w:tcPr>
            <w:tcW w:w="6048" w:type="dxa"/>
            <w:shd w:val="clear" w:color="auto" w:fill="auto"/>
          </w:tcPr>
          <w:p w:rsidRPr="000B58F6" w:rsidR="00A92D0B" w:rsidP="00A92D0B" w:rsidRDefault="00A92D0B" w14:paraId="561D245D" w14:textId="77777777">
            <w:pPr>
              <w:tabs>
                <w:tab w:val="left" w:pos="360"/>
              </w:tabs>
              <w:spacing w:before="120"/>
              <w:ind w:left="360" w:hanging="360"/>
              <w:rPr>
                <w:b/>
                <w:color w:val="000000"/>
              </w:rPr>
            </w:pPr>
            <w:r w:rsidRPr="000B58F6">
              <w:rPr>
                <w:b/>
                <w:color w:val="000000"/>
              </w:rPr>
              <w:t>b.</w:t>
            </w:r>
            <w:r w:rsidRPr="000B58F6">
              <w:rPr>
                <w:b/>
                <w:color w:val="000000"/>
              </w:rPr>
              <w:tab/>
              <w:t xml:space="preserve">Were there other parties to the proceeding with positions </w:t>
            </w:r>
            <w:proofErr w:type="gramStart"/>
            <w:r w:rsidRPr="000B58F6">
              <w:rPr>
                <w:b/>
                <w:color w:val="000000"/>
              </w:rPr>
              <w:t>similar to</w:t>
            </w:r>
            <w:proofErr w:type="gramEnd"/>
            <w:r w:rsidRPr="000B58F6">
              <w:rPr>
                <w:b/>
                <w:color w:val="000000"/>
              </w:rPr>
              <w:t xml:space="preserve"> yours? </w:t>
            </w:r>
          </w:p>
        </w:tc>
        <w:tc>
          <w:tcPr>
            <w:tcW w:w="1710" w:type="dxa"/>
            <w:shd w:val="clear" w:color="auto" w:fill="auto"/>
          </w:tcPr>
          <w:p w:rsidRPr="000B58F6" w:rsidR="00A92D0B" w:rsidP="00A92D0B" w:rsidRDefault="00F163FD" w14:paraId="3708E485" w14:textId="5A98D1A6">
            <w:pPr>
              <w:spacing w:before="120"/>
              <w:rPr>
                <w:color w:val="000000"/>
              </w:rPr>
            </w:pPr>
            <w:r>
              <w:rPr>
                <w:color w:val="000000"/>
              </w:rPr>
              <w:t>Yes.</w:t>
            </w:r>
          </w:p>
        </w:tc>
        <w:tc>
          <w:tcPr>
            <w:tcW w:w="1980" w:type="dxa"/>
            <w:shd w:val="clear" w:color="auto" w:fill="auto"/>
          </w:tcPr>
          <w:p w:rsidRPr="000B58F6" w:rsidR="00A92D0B" w:rsidP="00A92D0B" w:rsidRDefault="00E14A77" w14:paraId="6B3388E6" w14:textId="7B10E365">
            <w:pPr>
              <w:spacing w:before="120"/>
              <w:rPr>
                <w:color w:val="000000"/>
              </w:rPr>
            </w:pPr>
            <w:r>
              <w:rPr>
                <w:color w:val="000000"/>
              </w:rPr>
              <w:t>Yes</w:t>
            </w:r>
          </w:p>
        </w:tc>
      </w:tr>
      <w:tr w:rsidRPr="000B58F6" w:rsidR="00A92D0B" w:rsidTr="00E14A77" w14:paraId="0A51B7D4" w14:textId="77777777">
        <w:tc>
          <w:tcPr>
            <w:tcW w:w="7758" w:type="dxa"/>
            <w:gridSpan w:val="2"/>
            <w:shd w:val="clear" w:color="auto" w:fill="auto"/>
          </w:tcPr>
          <w:p w:rsidRPr="000B58F6" w:rsidR="00691528" w:rsidP="0021076E" w:rsidRDefault="00A92D0B" w14:paraId="058CE425" w14:textId="136D35D4">
            <w:pPr>
              <w:spacing w:before="120"/>
              <w:ind w:left="360" w:hanging="360"/>
              <w:rPr>
                <w:color w:val="000000"/>
              </w:rPr>
            </w:pPr>
            <w:r w:rsidRPr="000B58F6">
              <w:rPr>
                <w:b/>
                <w:color w:val="000000"/>
              </w:rPr>
              <w:t>c.</w:t>
            </w:r>
            <w:r w:rsidRPr="000B58F6">
              <w:rPr>
                <w:b/>
                <w:color w:val="000000"/>
              </w:rPr>
              <w:tab/>
              <w:t>If so, provide name of other parties:</w:t>
            </w:r>
            <w:r w:rsidR="00B5350A">
              <w:rPr>
                <w:color w:val="000000"/>
              </w:rPr>
              <w:t xml:space="preserve">  Virtually all active parties in this proceeding opposed additional funding for DDB</w:t>
            </w:r>
            <w:r w:rsidRPr="000B58F6" w:rsidR="0021076E">
              <w:rPr>
                <w:color w:val="000000"/>
              </w:rPr>
              <w:t xml:space="preserve">.  </w:t>
            </w:r>
          </w:p>
          <w:p w:rsidRPr="000B58F6" w:rsidR="00A92D0B" w:rsidP="00691528" w:rsidRDefault="00A92D0B" w14:paraId="0919176B" w14:textId="77777777">
            <w:pPr>
              <w:ind w:left="360" w:hanging="360"/>
              <w:rPr>
                <w:color w:val="000000"/>
              </w:rPr>
            </w:pPr>
          </w:p>
        </w:tc>
        <w:tc>
          <w:tcPr>
            <w:tcW w:w="1980" w:type="dxa"/>
            <w:shd w:val="clear" w:color="auto" w:fill="auto"/>
          </w:tcPr>
          <w:p w:rsidRPr="000B58F6" w:rsidR="00A92D0B" w:rsidP="00E25078" w:rsidRDefault="00E14A77" w14:paraId="22A40B49" w14:textId="25C85C15">
            <w:pPr>
              <w:spacing w:before="120"/>
              <w:rPr>
                <w:color w:val="000000"/>
              </w:rPr>
            </w:pPr>
            <w:r>
              <w:rPr>
                <w:color w:val="000000"/>
              </w:rPr>
              <w:t>Noted</w:t>
            </w:r>
          </w:p>
        </w:tc>
      </w:tr>
      <w:tr w:rsidRPr="000B58F6" w:rsidR="00A92D0B" w:rsidTr="00E14A77" w14:paraId="744830F5" w14:textId="77777777">
        <w:tc>
          <w:tcPr>
            <w:tcW w:w="7758" w:type="dxa"/>
            <w:gridSpan w:val="2"/>
            <w:shd w:val="clear" w:color="auto" w:fill="auto"/>
          </w:tcPr>
          <w:p w:rsidRPr="000B58F6" w:rsidR="00691528" w:rsidP="0021076E" w:rsidRDefault="00A92D0B" w14:paraId="0CFBC7B2" w14:textId="4C357AC2">
            <w:pPr>
              <w:tabs>
                <w:tab w:val="left" w:pos="360"/>
              </w:tabs>
              <w:spacing w:before="120"/>
              <w:ind w:left="360" w:hanging="360"/>
              <w:rPr>
                <w:color w:val="000000"/>
              </w:rPr>
            </w:pPr>
            <w:r w:rsidRPr="000B58F6">
              <w:rPr>
                <w:b/>
                <w:color w:val="000000"/>
              </w:rPr>
              <w:t>d.</w:t>
            </w:r>
            <w:r w:rsidRPr="000B58F6">
              <w:rPr>
                <w:b/>
                <w:color w:val="000000"/>
              </w:rPr>
              <w:tab/>
            </w:r>
            <w:r w:rsidRPr="000B58F6" w:rsidR="00D075B1">
              <w:rPr>
                <w:b/>
                <w:color w:val="000000"/>
              </w:rPr>
              <w:t xml:space="preserve">Intervenor’s </w:t>
            </w:r>
            <w:r w:rsidRPr="000B58F6" w:rsidR="00A319DE">
              <w:rPr>
                <w:b/>
                <w:color w:val="000000"/>
              </w:rPr>
              <w:t>c</w:t>
            </w:r>
            <w:r w:rsidRPr="000B58F6" w:rsidR="00D075B1">
              <w:rPr>
                <w:b/>
                <w:color w:val="000000"/>
              </w:rPr>
              <w:t xml:space="preserve">laim of </w:t>
            </w:r>
            <w:r w:rsidRPr="000B58F6" w:rsidR="00A319DE">
              <w:rPr>
                <w:b/>
                <w:color w:val="000000"/>
              </w:rPr>
              <w:t>n</w:t>
            </w:r>
            <w:r w:rsidRPr="000B58F6" w:rsidR="00D075B1">
              <w:rPr>
                <w:b/>
                <w:color w:val="000000"/>
              </w:rPr>
              <w:t>on-</w:t>
            </w:r>
            <w:r w:rsidRPr="000B58F6" w:rsidR="00A319DE">
              <w:rPr>
                <w:b/>
                <w:color w:val="000000"/>
              </w:rPr>
              <w:t>d</w:t>
            </w:r>
            <w:r w:rsidRPr="000B58F6" w:rsidR="00D075B1">
              <w:rPr>
                <w:b/>
                <w:color w:val="000000"/>
              </w:rPr>
              <w:t>uplication:</w:t>
            </w:r>
            <w:r w:rsidRPr="000B58F6" w:rsidR="00E25078">
              <w:rPr>
                <w:color w:val="000000"/>
              </w:rPr>
              <w:t xml:space="preserve"> </w:t>
            </w:r>
            <w:r w:rsidRPr="000B58F6" w:rsidR="0021076E">
              <w:rPr>
                <w:color w:val="000000"/>
              </w:rPr>
              <w:t xml:space="preserve">As noted above, </w:t>
            </w:r>
            <w:proofErr w:type="spellStart"/>
            <w:r w:rsidRPr="000B58F6" w:rsidR="0021076E">
              <w:rPr>
                <w:color w:val="000000"/>
              </w:rPr>
              <w:t>CforAT</w:t>
            </w:r>
            <w:proofErr w:type="spellEnd"/>
            <w:r w:rsidR="00B5350A">
              <w:rPr>
                <w:color w:val="000000"/>
              </w:rPr>
              <w:t xml:space="preserve"> joined with a strong coalition of IOUs and other consumer groups for the primar</w:t>
            </w:r>
            <w:r w:rsidR="001F1A7F">
              <w:rPr>
                <w:color w:val="000000"/>
              </w:rPr>
              <w:t>y</w:t>
            </w:r>
            <w:r w:rsidR="00B5350A">
              <w:rPr>
                <w:color w:val="000000"/>
              </w:rPr>
              <w:t xml:space="preserve"> substantive filing in this phase of the proceeding</w:t>
            </w:r>
            <w:r w:rsidRPr="000B58F6" w:rsidR="0021076E">
              <w:rPr>
                <w:color w:val="000000"/>
              </w:rPr>
              <w:t>.</w:t>
            </w:r>
            <w:r w:rsidR="00B5350A">
              <w:rPr>
                <w:color w:val="000000"/>
              </w:rPr>
              <w:t xml:space="preserve">  </w:t>
            </w:r>
            <w:proofErr w:type="spellStart"/>
            <w:r w:rsidR="00B5350A">
              <w:rPr>
                <w:color w:val="000000"/>
              </w:rPr>
              <w:t>CforAT</w:t>
            </w:r>
            <w:proofErr w:type="spellEnd"/>
            <w:r w:rsidR="00B5350A">
              <w:rPr>
                <w:color w:val="000000"/>
              </w:rPr>
              <w:t xml:space="preserve"> further coordinated with both consumer advocates (TURN and Public Advocates) and the IOUs regarding comments on the PD and the APD</w:t>
            </w:r>
            <w:r w:rsidR="001F1A7F">
              <w:rPr>
                <w:color w:val="000000"/>
              </w:rPr>
              <w:t xml:space="preserve"> and attendance at an ex </w:t>
            </w:r>
            <w:proofErr w:type="spellStart"/>
            <w:r w:rsidR="001F1A7F">
              <w:rPr>
                <w:color w:val="000000"/>
              </w:rPr>
              <w:t>parte</w:t>
            </w:r>
            <w:proofErr w:type="spellEnd"/>
            <w:r w:rsidR="001F1A7F">
              <w:rPr>
                <w:color w:val="000000"/>
              </w:rPr>
              <w:t xml:space="preserve"> meeting with President </w:t>
            </w:r>
            <w:proofErr w:type="spellStart"/>
            <w:r w:rsidR="001F1A7F">
              <w:rPr>
                <w:color w:val="000000"/>
              </w:rPr>
              <w:t>Batjer’s</w:t>
            </w:r>
            <w:proofErr w:type="spellEnd"/>
            <w:r w:rsidR="001F1A7F">
              <w:rPr>
                <w:color w:val="000000"/>
              </w:rPr>
              <w:t xml:space="preserve"> Advisor</w:t>
            </w:r>
            <w:r w:rsidR="00B5350A">
              <w:rPr>
                <w:color w:val="000000"/>
              </w:rPr>
              <w:t xml:space="preserve">.  While </w:t>
            </w:r>
            <w:r w:rsidR="001F1A7F">
              <w:rPr>
                <w:color w:val="000000"/>
              </w:rPr>
              <w:t xml:space="preserve">the </w:t>
            </w:r>
            <w:r w:rsidR="00B5350A">
              <w:rPr>
                <w:color w:val="000000"/>
              </w:rPr>
              <w:t xml:space="preserve">parties took similar positions, </w:t>
            </w:r>
            <w:proofErr w:type="spellStart"/>
            <w:r w:rsidR="00B5350A">
              <w:rPr>
                <w:color w:val="000000"/>
              </w:rPr>
              <w:t>CforAT’s</w:t>
            </w:r>
            <w:proofErr w:type="spellEnd"/>
            <w:r w:rsidR="00B5350A">
              <w:rPr>
                <w:color w:val="000000"/>
              </w:rPr>
              <w:t xml:space="preserve"> input reflects our ongoing </w:t>
            </w:r>
            <w:r w:rsidR="00AB4235">
              <w:rPr>
                <w:color w:val="000000"/>
              </w:rPr>
              <w:t xml:space="preserve">advocacy in this proceeding to ensure that any outreach is both effective and cost effective.  To the extent there was limited duplication because so many parties shared the same position, it does not justify any reduction in </w:t>
            </w:r>
            <w:proofErr w:type="spellStart"/>
            <w:r w:rsidR="00AB4235">
              <w:rPr>
                <w:color w:val="000000"/>
              </w:rPr>
              <w:t>CforAT’s</w:t>
            </w:r>
            <w:proofErr w:type="spellEnd"/>
            <w:r w:rsidR="00AB4235">
              <w:rPr>
                <w:color w:val="000000"/>
              </w:rPr>
              <w:t xml:space="preserve"> compensation.  </w:t>
            </w:r>
            <w:r w:rsidRPr="000B58F6" w:rsidR="0021076E">
              <w:rPr>
                <w:color w:val="000000"/>
              </w:rPr>
              <w:t xml:space="preserve">  </w:t>
            </w:r>
          </w:p>
          <w:p w:rsidRPr="000B58F6" w:rsidR="00A92D0B" w:rsidP="00691528" w:rsidRDefault="00A92D0B" w14:paraId="3228BB07" w14:textId="77777777">
            <w:pPr>
              <w:tabs>
                <w:tab w:val="left" w:pos="360"/>
              </w:tabs>
              <w:ind w:left="360" w:hanging="360"/>
              <w:rPr>
                <w:color w:val="000000"/>
              </w:rPr>
            </w:pPr>
          </w:p>
        </w:tc>
        <w:tc>
          <w:tcPr>
            <w:tcW w:w="1980" w:type="dxa"/>
            <w:shd w:val="clear" w:color="auto" w:fill="auto"/>
          </w:tcPr>
          <w:p w:rsidRPr="000B58F6" w:rsidR="00A92D0B" w:rsidP="00A92D0B" w:rsidRDefault="00E14A77" w14:paraId="5F9BBA55" w14:textId="635C3A40">
            <w:pPr>
              <w:tabs>
                <w:tab w:val="left" w:pos="360"/>
              </w:tabs>
              <w:spacing w:before="120"/>
              <w:ind w:left="360" w:hanging="360"/>
              <w:rPr>
                <w:color w:val="000000"/>
              </w:rPr>
            </w:pPr>
            <w:r>
              <w:rPr>
                <w:color w:val="000000"/>
              </w:rPr>
              <w:t>Noted</w:t>
            </w:r>
          </w:p>
        </w:tc>
      </w:tr>
    </w:tbl>
    <w:p w:rsidRPr="000B58F6" w:rsidR="00A92D0B" w:rsidRDefault="00A92D0B" w14:paraId="108B1E4B" w14:textId="77777777">
      <w:pPr>
        <w:rPr>
          <w:color w:val="000000"/>
        </w:rPr>
      </w:pPr>
    </w:p>
    <w:p w:rsidRPr="000B58F6" w:rsidR="00B312DA" w:rsidP="00691528" w:rsidRDefault="00A92D0B" w14:paraId="175C3F89" w14:textId="77777777">
      <w:pPr>
        <w:tabs>
          <w:tab w:val="left" w:pos="1260"/>
        </w:tabs>
        <w:ind w:left="1260" w:hanging="1260"/>
        <w:jc w:val="center"/>
        <w:rPr>
          <w:b/>
          <w:color w:val="000000"/>
        </w:rPr>
      </w:pPr>
      <w:r w:rsidRPr="000B58F6">
        <w:rPr>
          <w:b/>
          <w:color w:val="000000"/>
        </w:rPr>
        <w:t>PART III:</w:t>
      </w:r>
      <w:r w:rsidRPr="000B58F6">
        <w:rPr>
          <w:b/>
          <w:color w:val="000000"/>
        </w:rPr>
        <w:tab/>
        <w:t>REASONABLENESS OF REQUESTED COMPENSATION</w:t>
      </w:r>
    </w:p>
    <w:p w:rsidRPr="000B58F6" w:rsidR="00A92D0B" w:rsidRDefault="00A92D0B" w14:paraId="5C02B8B5" w14:textId="77777777">
      <w:pPr>
        <w:rPr>
          <w:color w:val="000000"/>
        </w:rPr>
      </w:pPr>
    </w:p>
    <w:p w:rsidRPr="000B58F6" w:rsidR="00A92D0B" w:rsidRDefault="00A92D0B" w14:paraId="6F74DAE2" w14:textId="77777777">
      <w:pPr>
        <w:numPr>
          <w:ilvl w:val="0"/>
          <w:numId w:val="2"/>
        </w:numPr>
        <w:tabs>
          <w:tab w:val="clear" w:pos="900"/>
          <w:tab w:val="num" w:pos="360"/>
        </w:tabs>
        <w:spacing w:after="120"/>
        <w:ind w:left="360"/>
        <w:rPr>
          <w:b/>
          <w:color w:val="000000"/>
        </w:rPr>
      </w:pPr>
      <w:r w:rsidRPr="000B58F6">
        <w:rPr>
          <w:b/>
          <w:color w:val="000000"/>
        </w:rPr>
        <w:t xml:space="preserve">General Claim of Reasonableness </w:t>
      </w:r>
      <w:r w:rsidRPr="000B58F6" w:rsidR="00F30DA8">
        <w:rPr>
          <w:b/>
          <w:color w:val="000000"/>
        </w:rPr>
        <w:t xml:space="preserve">(§ </w:t>
      </w:r>
      <w:r w:rsidRPr="000B58F6">
        <w:rPr>
          <w:b/>
          <w:color w:val="000000"/>
        </w:rPr>
        <w:t xml:space="preserve">1801 </w:t>
      </w:r>
      <w:r w:rsidRPr="000B58F6" w:rsidR="00F30DA8">
        <w:rPr>
          <w:b/>
          <w:color w:val="000000"/>
        </w:rPr>
        <w:t>and §</w:t>
      </w:r>
      <w:r w:rsidRPr="000B58F6" w:rsidR="0022302F">
        <w:rPr>
          <w:b/>
          <w:color w:val="000000"/>
        </w:rPr>
        <w:t xml:space="preserve"> 1806)</w:t>
      </w:r>
      <w:r w:rsidRPr="000B58F6"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0B58F6" w:rsidR="00FE3BAE" w:rsidTr="003B6A1B" w14:paraId="4078AC87" w14:textId="77777777">
        <w:tc>
          <w:tcPr>
            <w:tcW w:w="7488" w:type="dxa"/>
            <w:tcBorders>
              <w:bottom w:val="single" w:color="auto" w:sz="4" w:space="0"/>
            </w:tcBorders>
            <w:shd w:val="clear" w:color="auto" w:fill="D9D9D9" w:themeFill="background1" w:themeFillShade="D9"/>
          </w:tcPr>
          <w:p w:rsidRPr="000B58F6" w:rsidR="00FE3BAE" w:rsidRDefault="00FE3BAE" w14:paraId="70FDF5DA" w14:textId="77777777">
            <w:pPr>
              <w:rPr>
                <w:b/>
                <w:color w:val="000000"/>
              </w:rPr>
            </w:pPr>
          </w:p>
        </w:tc>
        <w:tc>
          <w:tcPr>
            <w:tcW w:w="2250" w:type="dxa"/>
            <w:shd w:val="clear" w:color="auto" w:fill="D9D9D9" w:themeFill="background1" w:themeFillShade="D9"/>
          </w:tcPr>
          <w:p w:rsidRPr="000B58F6" w:rsidR="00FE3BAE" w:rsidP="00D3641C" w:rsidRDefault="00FE3BAE" w14:paraId="59CD9FCF" w14:textId="77777777">
            <w:pPr>
              <w:spacing w:before="120"/>
              <w:rPr>
                <w:color w:val="000000"/>
              </w:rPr>
            </w:pPr>
            <w:r w:rsidRPr="000B58F6">
              <w:rPr>
                <w:b/>
                <w:color w:val="000000"/>
              </w:rPr>
              <w:t>CPUC Discussion</w:t>
            </w:r>
          </w:p>
        </w:tc>
      </w:tr>
      <w:tr w:rsidRPr="000B58F6" w:rsidR="00FE3BAE" w:rsidTr="00AE6A45" w14:paraId="5708510E" w14:textId="77777777">
        <w:tc>
          <w:tcPr>
            <w:tcW w:w="7488" w:type="dxa"/>
            <w:tcBorders>
              <w:bottom w:val="single" w:color="auto" w:sz="4" w:space="0"/>
            </w:tcBorders>
            <w:shd w:val="clear" w:color="auto" w:fill="auto"/>
          </w:tcPr>
          <w:p w:rsidRPr="000B58F6" w:rsidR="00FE3BAE" w:rsidRDefault="00FE3BAE" w14:paraId="707F9932" w14:textId="24B1B5E0">
            <w:pPr>
              <w:rPr>
                <w:color w:val="000000"/>
              </w:rPr>
            </w:pPr>
            <w:r w:rsidRPr="000B58F6">
              <w:rPr>
                <w:b/>
                <w:color w:val="000000"/>
              </w:rPr>
              <w:t>a. Intervenor’s claim of cost reasonableness:</w:t>
            </w:r>
            <w:r w:rsidRPr="000B58F6" w:rsidR="00E25078">
              <w:rPr>
                <w:color w:val="000000"/>
              </w:rPr>
              <w:t xml:space="preserve"> </w:t>
            </w:r>
          </w:p>
          <w:p w:rsidRPr="000B58F6" w:rsidR="00691528" w:rsidRDefault="00691528" w14:paraId="6A25116A" w14:textId="77777777">
            <w:pPr>
              <w:rPr>
                <w:color w:val="000000"/>
              </w:rPr>
            </w:pPr>
          </w:p>
          <w:p w:rsidRPr="000B58F6" w:rsidR="00FE3BAE" w:rsidRDefault="00D3641C" w14:paraId="2B1A1242" w14:textId="5D1ADEDE">
            <w:pPr>
              <w:rPr>
                <w:color w:val="000000"/>
              </w:rPr>
            </w:pPr>
            <w:proofErr w:type="spellStart"/>
            <w:r w:rsidRPr="000B58F6">
              <w:rPr>
                <w:color w:val="000000"/>
              </w:rPr>
              <w:t>CforAT</w:t>
            </w:r>
            <w:proofErr w:type="spellEnd"/>
            <w:r w:rsidRPr="000B58F6">
              <w:rPr>
                <w:color w:val="000000"/>
              </w:rPr>
              <w:t xml:space="preserve"> regularly participates before the Commission to address issues impacting the bills of vulnerable utility </w:t>
            </w:r>
            <w:proofErr w:type="gramStart"/>
            <w:r w:rsidRPr="000B58F6">
              <w:rPr>
                <w:color w:val="000000"/>
              </w:rPr>
              <w:t xml:space="preserve">customers, </w:t>
            </w:r>
            <w:r w:rsidR="00AB4235">
              <w:rPr>
                <w:color w:val="000000"/>
              </w:rPr>
              <w:t>and</w:t>
            </w:r>
            <w:proofErr w:type="gramEnd"/>
            <w:r w:rsidR="00AB4235">
              <w:rPr>
                <w:color w:val="000000"/>
              </w:rPr>
              <w:t xml:space="preserve"> has been an active participant in this proceeding since it was opened. </w:t>
            </w:r>
            <w:proofErr w:type="spellStart"/>
            <w:r w:rsidR="00AB4235">
              <w:rPr>
                <w:color w:val="000000"/>
              </w:rPr>
              <w:t>CforAT</w:t>
            </w:r>
            <w:proofErr w:type="spellEnd"/>
            <w:r w:rsidR="00AB4235">
              <w:rPr>
                <w:color w:val="000000"/>
              </w:rPr>
              <w:t xml:space="preserve"> has been the most active consumer advocate in the ongoing work on ME&amp;O, including issues related to the work of DDB.  Our efforts benefit our constituency by working to ensure that they understand their rate options and that they </w:t>
            </w:r>
            <w:proofErr w:type="gramStart"/>
            <w:r w:rsidR="00AB4235">
              <w:rPr>
                <w:color w:val="000000"/>
              </w:rPr>
              <w:t xml:space="preserve">are </w:t>
            </w:r>
            <w:r w:rsidR="00AB4235">
              <w:rPr>
                <w:color w:val="000000"/>
              </w:rPr>
              <w:lastRenderedPageBreak/>
              <w:t>able to</w:t>
            </w:r>
            <w:proofErr w:type="gramEnd"/>
            <w:r w:rsidR="00AB4235">
              <w:rPr>
                <w:color w:val="000000"/>
              </w:rPr>
              <w:t xml:space="preserve"> make a choice on rates based on accurate information.  </w:t>
            </w:r>
            <w:r w:rsidRPr="000B58F6">
              <w:rPr>
                <w:color w:val="000000"/>
              </w:rPr>
              <w:t xml:space="preserve">Overall, the benefits to our constituency of our </w:t>
            </w:r>
            <w:r w:rsidR="00AB4235">
              <w:rPr>
                <w:color w:val="000000"/>
              </w:rPr>
              <w:t xml:space="preserve">ongoing </w:t>
            </w:r>
            <w:r w:rsidRPr="000B58F6">
              <w:rPr>
                <w:color w:val="000000"/>
              </w:rPr>
              <w:t xml:space="preserve">efforts on their behalf outweigh the cost of participation by </w:t>
            </w:r>
            <w:proofErr w:type="spellStart"/>
            <w:r w:rsidRPr="000B58F6">
              <w:rPr>
                <w:color w:val="000000"/>
              </w:rPr>
              <w:t>CforAT</w:t>
            </w:r>
            <w:proofErr w:type="spellEnd"/>
            <w:r w:rsidRPr="000B58F6">
              <w:rPr>
                <w:color w:val="000000"/>
              </w:rPr>
              <w:t>.</w:t>
            </w:r>
          </w:p>
        </w:tc>
        <w:tc>
          <w:tcPr>
            <w:tcW w:w="2250" w:type="dxa"/>
            <w:shd w:val="clear" w:color="auto" w:fill="auto"/>
          </w:tcPr>
          <w:p w:rsidRPr="000B58F6" w:rsidR="00FE3BAE" w:rsidP="00FE3BAE" w:rsidRDefault="00B67DD6" w14:paraId="223B4665" w14:textId="3CBD7A05">
            <w:pPr>
              <w:spacing w:before="120"/>
              <w:rPr>
                <w:color w:val="000000"/>
              </w:rPr>
            </w:pPr>
            <w:r>
              <w:rPr>
                <w:color w:val="000000"/>
              </w:rPr>
              <w:lastRenderedPageBreak/>
              <w:t>Noted</w:t>
            </w:r>
          </w:p>
        </w:tc>
      </w:tr>
      <w:tr w:rsidRPr="000B58F6" w:rsidR="00FE3BAE" w:rsidTr="00AE6A45" w14:paraId="5548029C" w14:textId="77777777">
        <w:tc>
          <w:tcPr>
            <w:tcW w:w="7488" w:type="dxa"/>
            <w:shd w:val="clear" w:color="auto" w:fill="auto"/>
          </w:tcPr>
          <w:p w:rsidRPr="00AB4235" w:rsidR="00FE3BAE" w:rsidP="00AB4235" w:rsidRDefault="00FE3BAE" w14:paraId="751A610C" w14:textId="509B1715">
            <w:pPr>
              <w:pStyle w:val="Heading2"/>
              <w:rPr>
                <w:rFonts w:ascii="Times New Roman" w:hAnsi="Times New Roman" w:cs="Times New Roman"/>
                <w:color w:val="000000"/>
                <w:sz w:val="24"/>
                <w:szCs w:val="24"/>
              </w:rPr>
            </w:pPr>
            <w:r w:rsidRPr="00AB4235">
              <w:rPr>
                <w:rFonts w:ascii="Times New Roman" w:hAnsi="Times New Roman" w:cs="Times New Roman"/>
                <w:b/>
                <w:color w:val="000000"/>
                <w:sz w:val="24"/>
                <w:szCs w:val="24"/>
              </w:rPr>
              <w:t>b. Reasonableness of hours claimed:</w:t>
            </w:r>
            <w:r w:rsidRPr="00AB4235" w:rsidR="00E25078">
              <w:rPr>
                <w:rFonts w:ascii="Times New Roman" w:hAnsi="Times New Roman" w:cs="Times New Roman"/>
                <w:color w:val="000000"/>
                <w:sz w:val="24"/>
                <w:szCs w:val="24"/>
              </w:rPr>
              <w:t xml:space="preserve"> </w:t>
            </w:r>
          </w:p>
          <w:p w:rsidRPr="00AB4235" w:rsidR="00FE3BAE" w:rsidP="00AB4235" w:rsidRDefault="00FE3BAE" w14:paraId="1009F6D5" w14:textId="044867EC">
            <w:pPr>
              <w:pStyle w:val="Heading2"/>
              <w:rPr>
                <w:rFonts w:ascii="Times New Roman" w:hAnsi="Times New Roman" w:cs="Times New Roman"/>
                <w:color w:val="000000"/>
                <w:sz w:val="24"/>
                <w:szCs w:val="24"/>
              </w:rPr>
            </w:pPr>
          </w:p>
          <w:p w:rsidRPr="00AB4235" w:rsidR="00D3641C" w:rsidP="00AB4235" w:rsidRDefault="00D3641C" w14:paraId="68C77FCE" w14:textId="0378FB81">
            <w:pPr>
              <w:pStyle w:val="Heading2"/>
              <w:rPr>
                <w:rFonts w:ascii="Times New Roman" w:hAnsi="Times New Roman" w:cs="Times New Roman"/>
                <w:color w:val="000000"/>
                <w:sz w:val="24"/>
                <w:szCs w:val="24"/>
              </w:rPr>
            </w:pPr>
            <w:r w:rsidRPr="00AB4235">
              <w:rPr>
                <w:rFonts w:ascii="Times New Roman" w:hAnsi="Times New Roman" w:cs="Times New Roman"/>
                <w:color w:val="000000"/>
                <w:sz w:val="24"/>
                <w:szCs w:val="24"/>
              </w:rPr>
              <w:t xml:space="preserve">The time spent by </w:t>
            </w:r>
            <w:proofErr w:type="spellStart"/>
            <w:r w:rsidRPr="00AB4235">
              <w:rPr>
                <w:rFonts w:ascii="Times New Roman" w:hAnsi="Times New Roman" w:cs="Times New Roman"/>
                <w:color w:val="000000"/>
                <w:sz w:val="24"/>
                <w:szCs w:val="24"/>
              </w:rPr>
              <w:t>CforAT</w:t>
            </w:r>
            <w:proofErr w:type="spellEnd"/>
            <w:r w:rsidRPr="00AB4235">
              <w:rPr>
                <w:rFonts w:ascii="Times New Roman" w:hAnsi="Times New Roman" w:cs="Times New Roman"/>
                <w:color w:val="000000"/>
                <w:sz w:val="24"/>
                <w:szCs w:val="24"/>
              </w:rPr>
              <w:t xml:space="preserve"> on </w:t>
            </w:r>
            <w:r w:rsidRPr="00AB4235" w:rsidR="00AB4235">
              <w:rPr>
                <w:rFonts w:ascii="Times New Roman" w:hAnsi="Times New Roman" w:cs="Times New Roman"/>
                <w:color w:val="000000"/>
                <w:sz w:val="24"/>
                <w:szCs w:val="24"/>
              </w:rPr>
              <w:t xml:space="preserve">Phase 5 of this proceeding reflect </w:t>
            </w:r>
            <w:proofErr w:type="spellStart"/>
            <w:r w:rsidRPr="00AB4235" w:rsidR="00AB4235">
              <w:rPr>
                <w:rFonts w:ascii="Times New Roman" w:hAnsi="Times New Roman" w:cs="Times New Roman"/>
                <w:color w:val="000000"/>
                <w:sz w:val="24"/>
                <w:szCs w:val="24"/>
              </w:rPr>
              <w:t>CforAT’s</w:t>
            </w:r>
            <w:proofErr w:type="spellEnd"/>
            <w:r w:rsidRPr="00AB4235" w:rsidR="00AB4235">
              <w:rPr>
                <w:rFonts w:ascii="Times New Roman" w:hAnsi="Times New Roman" w:cs="Times New Roman"/>
                <w:color w:val="000000"/>
                <w:sz w:val="24"/>
                <w:szCs w:val="24"/>
              </w:rPr>
              <w:t xml:space="preserve"> reasonable efforts to respond to a Ruling requesting input and then to the PD and APD as they were issued.  </w:t>
            </w:r>
            <w:r w:rsidRPr="00AB4235">
              <w:rPr>
                <w:rFonts w:ascii="Times New Roman" w:hAnsi="Times New Roman" w:cs="Times New Roman"/>
                <w:color w:val="000000"/>
                <w:sz w:val="24"/>
                <w:szCs w:val="24"/>
              </w:rPr>
              <w:t xml:space="preserve">As a key stakeholder representing </w:t>
            </w:r>
            <w:r w:rsidRPr="00AB4235" w:rsidR="00AB4235">
              <w:rPr>
                <w:rFonts w:ascii="Times New Roman" w:hAnsi="Times New Roman" w:cs="Times New Roman"/>
                <w:color w:val="000000"/>
                <w:sz w:val="24"/>
                <w:szCs w:val="24"/>
              </w:rPr>
              <w:t>hard-to-reach</w:t>
            </w:r>
            <w:r w:rsidRPr="00AB4235">
              <w:rPr>
                <w:rFonts w:ascii="Times New Roman" w:hAnsi="Times New Roman" w:cs="Times New Roman"/>
                <w:color w:val="000000"/>
                <w:sz w:val="24"/>
                <w:szCs w:val="24"/>
              </w:rPr>
              <w:t xml:space="preserve"> customers throughout this proceeding, </w:t>
            </w:r>
            <w:proofErr w:type="spellStart"/>
            <w:r w:rsidRPr="00AB4235">
              <w:rPr>
                <w:rFonts w:ascii="Times New Roman" w:hAnsi="Times New Roman" w:cs="Times New Roman"/>
                <w:color w:val="000000"/>
                <w:sz w:val="24"/>
                <w:szCs w:val="24"/>
              </w:rPr>
              <w:t>CforAT’s</w:t>
            </w:r>
            <w:proofErr w:type="spellEnd"/>
            <w:r w:rsidRPr="00AB4235">
              <w:rPr>
                <w:rFonts w:ascii="Times New Roman" w:hAnsi="Times New Roman" w:cs="Times New Roman"/>
                <w:color w:val="000000"/>
                <w:sz w:val="24"/>
                <w:szCs w:val="24"/>
              </w:rPr>
              <w:t xml:space="preserve"> active participation </w:t>
            </w:r>
            <w:r w:rsidRPr="00AB4235" w:rsidR="00AB4235">
              <w:rPr>
                <w:rFonts w:ascii="Times New Roman" w:hAnsi="Times New Roman" w:cs="Times New Roman"/>
                <w:color w:val="000000"/>
                <w:sz w:val="24"/>
                <w:szCs w:val="24"/>
              </w:rPr>
              <w:t>on Phase 5 issues</w:t>
            </w:r>
            <w:r w:rsidRPr="00AB4235">
              <w:rPr>
                <w:rFonts w:ascii="Times New Roman" w:hAnsi="Times New Roman" w:cs="Times New Roman"/>
                <w:color w:val="000000"/>
                <w:sz w:val="24"/>
                <w:szCs w:val="24"/>
              </w:rPr>
              <w:t xml:space="preserve"> was reasonable, and our overall hours spent on </w:t>
            </w:r>
            <w:r w:rsidRPr="00AB4235" w:rsidR="00AB4235">
              <w:rPr>
                <w:rFonts w:ascii="Times New Roman" w:hAnsi="Times New Roman" w:cs="Times New Roman"/>
                <w:color w:val="000000"/>
                <w:sz w:val="24"/>
                <w:szCs w:val="24"/>
              </w:rPr>
              <w:t>Phase 5 represen</w:t>
            </w:r>
            <w:r w:rsidRPr="00AB4235">
              <w:rPr>
                <w:rFonts w:ascii="Times New Roman" w:hAnsi="Times New Roman" w:cs="Times New Roman"/>
                <w:color w:val="000000"/>
                <w:sz w:val="24"/>
                <w:szCs w:val="24"/>
              </w:rPr>
              <w:t xml:space="preserve">ts </w:t>
            </w:r>
            <w:r w:rsidRPr="00AB4235" w:rsidR="00AB4235">
              <w:rPr>
                <w:rFonts w:ascii="Times New Roman" w:hAnsi="Times New Roman" w:cs="Times New Roman"/>
                <w:color w:val="000000"/>
                <w:sz w:val="24"/>
                <w:szCs w:val="24"/>
              </w:rPr>
              <w:t xml:space="preserve">appropriate </w:t>
            </w:r>
            <w:r w:rsidR="00AB4235">
              <w:rPr>
                <w:rFonts w:ascii="Times New Roman" w:hAnsi="Times New Roman" w:cs="Times New Roman"/>
                <w:color w:val="000000"/>
                <w:sz w:val="24"/>
                <w:szCs w:val="24"/>
              </w:rPr>
              <w:t xml:space="preserve">levels of participation.  </w:t>
            </w:r>
            <w:r w:rsidR="00802A61">
              <w:rPr>
                <w:rFonts w:ascii="Times New Roman" w:hAnsi="Times New Roman" w:cs="Times New Roman"/>
                <w:color w:val="000000"/>
                <w:sz w:val="24"/>
                <w:szCs w:val="24"/>
              </w:rPr>
              <w:t xml:space="preserve">To improve efficiency, </w:t>
            </w:r>
            <w:proofErr w:type="spellStart"/>
            <w:r w:rsidR="00802A61">
              <w:rPr>
                <w:rFonts w:ascii="Times New Roman" w:hAnsi="Times New Roman" w:cs="Times New Roman"/>
                <w:color w:val="000000"/>
                <w:sz w:val="24"/>
                <w:szCs w:val="24"/>
              </w:rPr>
              <w:t>CforAT</w:t>
            </w:r>
            <w:proofErr w:type="spellEnd"/>
            <w:r w:rsidR="00802A61">
              <w:rPr>
                <w:rFonts w:ascii="Times New Roman" w:hAnsi="Times New Roman" w:cs="Times New Roman"/>
                <w:color w:val="000000"/>
                <w:sz w:val="24"/>
                <w:szCs w:val="24"/>
              </w:rPr>
              <w:t xml:space="preserve"> was generally represented at the ME&amp;O Working Group, where issues related to DDB’s performance and general effectiveness of ME&amp;O around the TOU transition are addressed, by our Analyst, Kate Woodford, whose hourly billing rate is substantially lower than that of </w:t>
            </w:r>
            <w:proofErr w:type="spellStart"/>
            <w:r w:rsidR="00802A61">
              <w:rPr>
                <w:rFonts w:ascii="Times New Roman" w:hAnsi="Times New Roman" w:cs="Times New Roman"/>
                <w:color w:val="000000"/>
                <w:sz w:val="24"/>
                <w:szCs w:val="24"/>
              </w:rPr>
              <w:t>CforAT’s</w:t>
            </w:r>
            <w:proofErr w:type="spellEnd"/>
            <w:r w:rsidR="00802A61">
              <w:rPr>
                <w:rFonts w:ascii="Times New Roman" w:hAnsi="Times New Roman" w:cs="Times New Roman"/>
                <w:color w:val="000000"/>
                <w:sz w:val="24"/>
                <w:szCs w:val="24"/>
              </w:rPr>
              <w:t xml:space="preserve"> legal counsel.  </w:t>
            </w:r>
          </w:p>
          <w:p w:rsidRPr="000B58F6" w:rsidR="00691528" w:rsidP="00AB4235" w:rsidRDefault="00691528" w14:paraId="694F0B63" w14:textId="77777777">
            <w:pPr>
              <w:pStyle w:val="Heading2"/>
              <w:rPr>
                <w:color w:val="000000"/>
              </w:rPr>
            </w:pPr>
          </w:p>
        </w:tc>
        <w:tc>
          <w:tcPr>
            <w:tcW w:w="2250" w:type="dxa"/>
            <w:shd w:val="clear" w:color="auto" w:fill="auto"/>
          </w:tcPr>
          <w:p w:rsidRPr="000B58F6" w:rsidR="00FE3BAE" w:rsidP="00AB4235" w:rsidRDefault="00B67DD6" w14:paraId="1874D625" w14:textId="67B22D6A">
            <w:pPr>
              <w:pStyle w:val="Heading2"/>
              <w:rPr>
                <w:color w:val="000000"/>
              </w:rPr>
            </w:pPr>
            <w:r>
              <w:rPr>
                <w:color w:val="000000"/>
              </w:rPr>
              <w:t>Noted</w:t>
            </w:r>
          </w:p>
        </w:tc>
      </w:tr>
      <w:tr w:rsidRPr="000B58F6" w:rsidR="00FE3BAE" w:rsidTr="00AE6A45" w14:paraId="3FD38B74" w14:textId="77777777">
        <w:tc>
          <w:tcPr>
            <w:tcW w:w="7488" w:type="dxa"/>
            <w:shd w:val="clear" w:color="auto" w:fill="auto"/>
          </w:tcPr>
          <w:p w:rsidRPr="000B58F6" w:rsidR="00FE3BAE" w:rsidRDefault="00FE3BAE" w14:paraId="46990B37" w14:textId="00CC02B1">
            <w:pPr>
              <w:rPr>
                <w:color w:val="000000"/>
              </w:rPr>
            </w:pPr>
            <w:r w:rsidRPr="000B58F6">
              <w:rPr>
                <w:b/>
                <w:color w:val="000000"/>
              </w:rPr>
              <w:t>c. Allocation of hours by issue:</w:t>
            </w:r>
            <w:r w:rsidRPr="000B58F6" w:rsidR="00E25078">
              <w:rPr>
                <w:color w:val="000000"/>
              </w:rPr>
              <w:t xml:space="preserve"> </w:t>
            </w:r>
          </w:p>
          <w:p w:rsidRPr="000B58F6" w:rsidR="00D3641C" w:rsidRDefault="00D3641C" w14:paraId="2D8FFB6C" w14:textId="07AD1DC7">
            <w:pPr>
              <w:rPr>
                <w:color w:val="000000"/>
              </w:rPr>
            </w:pPr>
          </w:p>
          <w:p w:rsidRPr="000B58F6" w:rsidR="00D3641C" w:rsidRDefault="00D3641C" w14:paraId="175C1B79" w14:textId="21587564">
            <w:pPr>
              <w:rPr>
                <w:color w:val="000000"/>
              </w:rPr>
            </w:pPr>
            <w:r w:rsidRPr="000B58F6">
              <w:rPr>
                <w:color w:val="000000"/>
              </w:rPr>
              <w:t xml:space="preserve">This time request </w:t>
            </w:r>
            <w:r w:rsidR="00802A61">
              <w:rPr>
                <w:color w:val="000000"/>
              </w:rPr>
              <w:t xml:space="preserve">primarily </w:t>
            </w:r>
            <w:r w:rsidRPr="000B58F6">
              <w:rPr>
                <w:color w:val="000000"/>
              </w:rPr>
              <w:t xml:space="preserve">includes </w:t>
            </w:r>
            <w:r w:rsidR="00802A61">
              <w:rPr>
                <w:color w:val="000000"/>
              </w:rPr>
              <w:t xml:space="preserve">time spent specifically on the Phase 5 issues of the proposed contract extension for DDB.  It also includes some time spent generally on ongoing issues of residential rate reform, including attendance at the annual rate summit, and on </w:t>
            </w:r>
            <w:proofErr w:type="spellStart"/>
            <w:r w:rsidR="00802A61">
              <w:rPr>
                <w:color w:val="000000"/>
              </w:rPr>
              <w:t>CforAT’s</w:t>
            </w:r>
            <w:proofErr w:type="spellEnd"/>
            <w:r w:rsidR="00802A61">
              <w:rPr>
                <w:color w:val="000000"/>
              </w:rPr>
              <w:t xml:space="preserve"> ongoing participation in the Working Group, much of which was spent on issues of ME&amp;O related to the ongoing work of DDB.  None of the time recorded in Phase 5 of this proceeding has been included in any prior compensation request.  </w:t>
            </w:r>
          </w:p>
          <w:p w:rsidRPr="000B58F6" w:rsidR="00543FAC" w:rsidRDefault="00543FAC" w14:paraId="0E6A2075" w14:textId="77777777">
            <w:pPr>
              <w:rPr>
                <w:color w:val="000000"/>
              </w:rPr>
            </w:pPr>
          </w:p>
          <w:p w:rsidR="00802A61" w:rsidP="00560D4E" w:rsidRDefault="00802A61" w14:paraId="435FEE93" w14:textId="77777777">
            <w:pPr>
              <w:jc w:val="center"/>
              <w:rPr>
                <w:b/>
                <w:color w:val="000000"/>
              </w:rPr>
            </w:pPr>
            <w:r>
              <w:rPr>
                <w:b/>
                <w:color w:val="000000"/>
              </w:rPr>
              <w:t xml:space="preserve">Hours by counsel (Melissa </w:t>
            </w:r>
            <w:proofErr w:type="spellStart"/>
            <w:r>
              <w:rPr>
                <w:b/>
                <w:color w:val="000000"/>
              </w:rPr>
              <w:t>Kasnitz</w:t>
            </w:r>
            <w:proofErr w:type="spellEnd"/>
            <w:r>
              <w:rPr>
                <w:b/>
                <w:color w:val="000000"/>
              </w:rPr>
              <w:t>)</w:t>
            </w:r>
          </w:p>
          <w:p w:rsidRPr="000B58F6" w:rsidR="00560D4E" w:rsidP="00560D4E" w:rsidRDefault="00560D4E" w14:paraId="184CF815" w14:textId="61069EB1">
            <w:pPr>
              <w:jc w:val="center"/>
              <w:rPr>
                <w:b/>
                <w:color w:val="000000"/>
              </w:rPr>
            </w:pPr>
            <w:r w:rsidRPr="000B58F6">
              <w:rPr>
                <w:b/>
                <w:color w:val="000000"/>
              </w:rPr>
              <w:t xml:space="preserve">2019 – </w:t>
            </w:r>
            <w:r w:rsidR="00802A61">
              <w:rPr>
                <w:b/>
                <w:color w:val="000000"/>
              </w:rPr>
              <w:t>16.5</w:t>
            </w:r>
            <w:r w:rsidRPr="000B58F6">
              <w:rPr>
                <w:b/>
                <w:color w:val="000000"/>
              </w:rPr>
              <w:t xml:space="preserve"> hours total</w:t>
            </w:r>
          </w:p>
          <w:p w:rsidRPr="000B58F6" w:rsidR="00560D4E" w:rsidP="00560D4E" w:rsidRDefault="00560D4E" w14:paraId="1FF1F23C" w14:textId="77777777">
            <w:pPr>
              <w:jc w:val="center"/>
              <w:rPr>
                <w:b/>
                <w:color w:val="000000"/>
              </w:rPr>
            </w:pPr>
          </w:p>
          <w:p w:rsidR="00802A61" w:rsidP="00560D4E" w:rsidRDefault="00802A61" w14:paraId="22E81A9C" w14:textId="2A969271">
            <w:pPr>
              <w:rPr>
                <w:b/>
                <w:color w:val="000000"/>
              </w:rPr>
            </w:pPr>
            <w:r>
              <w:rPr>
                <w:b/>
                <w:color w:val="000000"/>
              </w:rPr>
              <w:t>Phase 5: 9.0 hours (</w:t>
            </w:r>
            <w:r w:rsidR="00F20FBA">
              <w:rPr>
                <w:b/>
                <w:color w:val="000000"/>
              </w:rPr>
              <w:t>55</w:t>
            </w:r>
            <w:r>
              <w:rPr>
                <w:b/>
                <w:color w:val="000000"/>
              </w:rPr>
              <w:t>% of total)</w:t>
            </w:r>
          </w:p>
          <w:p w:rsidR="00802A61" w:rsidP="00560D4E" w:rsidRDefault="00802A61" w14:paraId="7B3DA3EA" w14:textId="3AB3316E">
            <w:pPr>
              <w:rPr>
                <w:color w:val="000000"/>
              </w:rPr>
            </w:pPr>
            <w:r>
              <w:rPr>
                <w:color w:val="000000"/>
              </w:rPr>
              <w:t>As noted above, this time relates to work directly addressing the Phase 5 issues regarding the proposed contract extension for DDB.</w:t>
            </w:r>
          </w:p>
          <w:p w:rsidR="00802A61" w:rsidP="00560D4E" w:rsidRDefault="00802A61" w14:paraId="00FAD346" w14:textId="77777777">
            <w:pPr>
              <w:rPr>
                <w:b/>
                <w:color w:val="000000"/>
              </w:rPr>
            </w:pPr>
          </w:p>
          <w:p w:rsidRPr="00802A61" w:rsidR="00560D4E" w:rsidP="00560D4E" w:rsidRDefault="00802A61" w14:paraId="0A2BDDA9" w14:textId="144653AD">
            <w:pPr>
              <w:rPr>
                <w:b/>
                <w:color w:val="000000"/>
              </w:rPr>
            </w:pPr>
            <w:r w:rsidRPr="00802A61">
              <w:rPr>
                <w:b/>
                <w:color w:val="000000"/>
              </w:rPr>
              <w:t>General Participation: 6.1 hours (</w:t>
            </w:r>
            <w:r w:rsidR="00F20FBA">
              <w:rPr>
                <w:b/>
                <w:color w:val="000000"/>
              </w:rPr>
              <w:t>37</w:t>
            </w:r>
            <w:r w:rsidRPr="00802A61">
              <w:rPr>
                <w:b/>
                <w:color w:val="000000"/>
              </w:rPr>
              <w:t>% of total)</w:t>
            </w:r>
          </w:p>
          <w:p w:rsidR="00802A61" w:rsidP="00560D4E" w:rsidRDefault="00802A61" w14:paraId="52749EED" w14:textId="5AF1C607">
            <w:pPr>
              <w:rPr>
                <w:color w:val="000000"/>
              </w:rPr>
            </w:pPr>
            <w:proofErr w:type="gramStart"/>
            <w:r>
              <w:rPr>
                <w:color w:val="000000"/>
              </w:rPr>
              <w:t>The substantial majority of</w:t>
            </w:r>
            <w:proofErr w:type="gramEnd"/>
            <w:r>
              <w:rPr>
                <w:color w:val="000000"/>
              </w:rPr>
              <w:t xml:space="preserve"> this time is from attendance at the 2019 Annual Rate summit.  The remainder </w:t>
            </w:r>
            <w:r w:rsidR="00F20FBA">
              <w:rPr>
                <w:color w:val="000000"/>
              </w:rPr>
              <w:t>records time spent on</w:t>
            </w:r>
            <w:r>
              <w:rPr>
                <w:color w:val="000000"/>
              </w:rPr>
              <w:t xml:space="preserve"> general issues regarding ongoing rate reform</w:t>
            </w:r>
            <w:r w:rsidR="00F20FBA">
              <w:rPr>
                <w:color w:val="000000"/>
              </w:rPr>
              <w:t xml:space="preserve"> implementation efforts</w:t>
            </w:r>
            <w:r>
              <w:rPr>
                <w:color w:val="000000"/>
              </w:rPr>
              <w:t>.</w:t>
            </w:r>
          </w:p>
          <w:p w:rsidRPr="00802A61" w:rsidR="00802A61" w:rsidP="00560D4E" w:rsidRDefault="00802A61" w14:paraId="650D06A9" w14:textId="3FC5735C">
            <w:pPr>
              <w:rPr>
                <w:b/>
                <w:color w:val="000000"/>
              </w:rPr>
            </w:pPr>
          </w:p>
          <w:p w:rsidR="00802A61" w:rsidP="00560D4E" w:rsidRDefault="00802A61" w14:paraId="14E774D4" w14:textId="32D57236">
            <w:pPr>
              <w:rPr>
                <w:b/>
                <w:color w:val="000000"/>
              </w:rPr>
            </w:pPr>
            <w:r w:rsidRPr="00802A61">
              <w:rPr>
                <w:b/>
                <w:color w:val="000000"/>
              </w:rPr>
              <w:t>Working Group: 1.4 hours (</w:t>
            </w:r>
            <w:r w:rsidR="00F20FBA">
              <w:rPr>
                <w:b/>
                <w:color w:val="000000"/>
              </w:rPr>
              <w:t>8</w:t>
            </w:r>
            <w:r w:rsidRPr="00802A61">
              <w:rPr>
                <w:b/>
                <w:color w:val="000000"/>
              </w:rPr>
              <w:t>% of total)</w:t>
            </w:r>
          </w:p>
          <w:p w:rsidR="00802A61" w:rsidP="00560D4E" w:rsidRDefault="00802A61" w14:paraId="1A380163" w14:textId="42154A45">
            <w:pPr>
              <w:rPr>
                <w:color w:val="000000"/>
              </w:rPr>
            </w:pPr>
            <w:r>
              <w:rPr>
                <w:color w:val="000000"/>
              </w:rPr>
              <w:t xml:space="preserve">While </w:t>
            </w:r>
            <w:proofErr w:type="spellStart"/>
            <w:r>
              <w:rPr>
                <w:color w:val="000000"/>
              </w:rPr>
              <w:t>CforAT</w:t>
            </w:r>
            <w:proofErr w:type="spellEnd"/>
            <w:r>
              <w:rPr>
                <w:color w:val="000000"/>
              </w:rPr>
              <w:t xml:space="preserve"> was represented at the Working Group by our Analyst, Kate Woodford, </w:t>
            </w:r>
            <w:r w:rsidR="00F20FBA">
              <w:rPr>
                <w:color w:val="000000"/>
              </w:rPr>
              <w:t xml:space="preserve">counsel spent some time reviewing Working Group issues with Ms. Woodford and reviewing results from the Working Group meetings.  </w:t>
            </w:r>
          </w:p>
          <w:p w:rsidR="00F20FBA" w:rsidP="00560D4E" w:rsidRDefault="00F20FBA" w14:paraId="45CF1C32" w14:textId="35798FEB">
            <w:pPr>
              <w:rPr>
                <w:color w:val="000000"/>
              </w:rPr>
            </w:pPr>
          </w:p>
          <w:p w:rsidR="00F20FBA" w:rsidP="00F20FBA" w:rsidRDefault="00F20FBA" w14:paraId="1392F77A" w14:textId="09AA14A0">
            <w:pPr>
              <w:jc w:val="center"/>
              <w:rPr>
                <w:b/>
                <w:color w:val="000000"/>
              </w:rPr>
            </w:pPr>
            <w:r>
              <w:rPr>
                <w:b/>
                <w:color w:val="000000"/>
              </w:rPr>
              <w:t>2020 – 12.8 hours total</w:t>
            </w:r>
          </w:p>
          <w:p w:rsidR="00F20FBA" w:rsidP="00F20FBA" w:rsidRDefault="00F20FBA" w14:paraId="5CE5F618" w14:textId="7D1EEADB">
            <w:pPr>
              <w:jc w:val="center"/>
              <w:rPr>
                <w:b/>
                <w:color w:val="000000"/>
              </w:rPr>
            </w:pPr>
          </w:p>
          <w:p w:rsidR="00F20FBA" w:rsidP="00F20FBA" w:rsidRDefault="00F20FBA" w14:paraId="2624C23B" w14:textId="5EB4F4FF">
            <w:pPr>
              <w:rPr>
                <w:b/>
                <w:color w:val="000000"/>
              </w:rPr>
            </w:pPr>
            <w:r>
              <w:rPr>
                <w:b/>
                <w:color w:val="000000"/>
              </w:rPr>
              <w:t>Phase 5: 12.1 hours (95% of total)</w:t>
            </w:r>
          </w:p>
          <w:p w:rsidR="00F20FBA" w:rsidP="00F20FBA" w:rsidRDefault="00F20FBA" w14:paraId="2E71A46A" w14:textId="58BD4867">
            <w:pPr>
              <w:rPr>
                <w:b/>
                <w:color w:val="000000"/>
              </w:rPr>
            </w:pPr>
          </w:p>
          <w:p w:rsidR="00F20FBA" w:rsidP="00F20FBA" w:rsidRDefault="00F20FBA" w14:paraId="708F85B6" w14:textId="47C50CD9">
            <w:pPr>
              <w:rPr>
                <w:b/>
                <w:color w:val="000000"/>
              </w:rPr>
            </w:pPr>
            <w:r>
              <w:rPr>
                <w:b/>
                <w:color w:val="000000"/>
              </w:rPr>
              <w:t>General Participation: 0.4 hours (3% of total)</w:t>
            </w:r>
          </w:p>
          <w:p w:rsidR="00F20FBA" w:rsidP="00F20FBA" w:rsidRDefault="00F20FBA" w14:paraId="4C4186CB" w14:textId="08DCEE7E">
            <w:pPr>
              <w:rPr>
                <w:b/>
                <w:color w:val="000000"/>
              </w:rPr>
            </w:pPr>
          </w:p>
          <w:p w:rsidR="00F20FBA" w:rsidP="00F20FBA" w:rsidRDefault="00F20FBA" w14:paraId="1EB61BF6" w14:textId="1A9667E6">
            <w:pPr>
              <w:rPr>
                <w:b/>
                <w:color w:val="000000"/>
              </w:rPr>
            </w:pPr>
            <w:r>
              <w:rPr>
                <w:b/>
                <w:color w:val="000000"/>
              </w:rPr>
              <w:t>Working Group: 0.3 hours (2% of total)</w:t>
            </w:r>
          </w:p>
          <w:p w:rsidR="00F20FBA" w:rsidP="00F20FBA" w:rsidRDefault="00F20FBA" w14:paraId="1D08F6A0" w14:textId="2F01E093">
            <w:pPr>
              <w:rPr>
                <w:b/>
                <w:color w:val="000000"/>
              </w:rPr>
            </w:pPr>
          </w:p>
          <w:p w:rsidR="00F20FBA" w:rsidP="00F20FBA" w:rsidRDefault="00F20FBA" w14:paraId="76112285" w14:textId="77777777">
            <w:pPr>
              <w:rPr>
                <w:b/>
                <w:color w:val="000000"/>
              </w:rPr>
            </w:pPr>
          </w:p>
          <w:p w:rsidR="00F20FBA" w:rsidP="00F20FBA" w:rsidRDefault="00F20FBA" w14:paraId="5C9B06D0" w14:textId="0A662E39">
            <w:pPr>
              <w:jc w:val="center"/>
              <w:rPr>
                <w:b/>
                <w:color w:val="000000"/>
              </w:rPr>
            </w:pPr>
            <w:r>
              <w:rPr>
                <w:b/>
                <w:color w:val="000000"/>
              </w:rPr>
              <w:t>Hours by Analyst (Kate Woodford)</w:t>
            </w:r>
          </w:p>
          <w:p w:rsidR="00F20FBA" w:rsidP="00F20FBA" w:rsidRDefault="00F20FBA" w14:paraId="0D07F563" w14:textId="3A56BA96">
            <w:pPr>
              <w:jc w:val="center"/>
              <w:rPr>
                <w:b/>
                <w:color w:val="000000"/>
              </w:rPr>
            </w:pPr>
            <w:r>
              <w:rPr>
                <w:b/>
                <w:color w:val="000000"/>
              </w:rPr>
              <w:t>2019 – 11.5 hours total</w:t>
            </w:r>
          </w:p>
          <w:p w:rsidR="00F20FBA" w:rsidP="00F20FBA" w:rsidRDefault="00F20FBA" w14:paraId="2C40CDD5" w14:textId="4D2526D7">
            <w:pPr>
              <w:jc w:val="center"/>
              <w:rPr>
                <w:b/>
                <w:color w:val="000000"/>
              </w:rPr>
            </w:pPr>
          </w:p>
          <w:p w:rsidR="00F20FBA" w:rsidP="00F20FBA" w:rsidRDefault="00F20FBA" w14:paraId="254FE45E" w14:textId="57154049">
            <w:pPr>
              <w:rPr>
                <w:b/>
                <w:color w:val="000000"/>
              </w:rPr>
            </w:pPr>
            <w:r>
              <w:rPr>
                <w:b/>
                <w:color w:val="000000"/>
              </w:rPr>
              <w:t>Phase 5: 0.6 hours (5% of total)</w:t>
            </w:r>
          </w:p>
          <w:p w:rsidR="00F20FBA" w:rsidP="00F20FBA" w:rsidRDefault="00F20FBA" w14:paraId="6CDCA621" w14:textId="67DE2597">
            <w:pPr>
              <w:rPr>
                <w:b/>
                <w:color w:val="000000"/>
              </w:rPr>
            </w:pPr>
          </w:p>
          <w:p w:rsidR="00F20FBA" w:rsidP="00F20FBA" w:rsidRDefault="00F20FBA" w14:paraId="5054F762" w14:textId="00652BCA">
            <w:pPr>
              <w:rPr>
                <w:b/>
                <w:color w:val="000000"/>
              </w:rPr>
            </w:pPr>
            <w:r>
              <w:rPr>
                <w:b/>
                <w:color w:val="000000"/>
              </w:rPr>
              <w:t>Working Group: 10.9 hours (95% of total)</w:t>
            </w:r>
          </w:p>
          <w:p w:rsidR="00F20FBA" w:rsidP="00F20FBA" w:rsidRDefault="00F20FBA" w14:paraId="76932A45" w14:textId="06C988DD">
            <w:pPr>
              <w:rPr>
                <w:b/>
                <w:color w:val="000000"/>
              </w:rPr>
            </w:pPr>
          </w:p>
          <w:p w:rsidR="00F20FBA" w:rsidP="00F20FBA" w:rsidRDefault="00F20FBA" w14:paraId="7C943A0F" w14:textId="1A3468A2">
            <w:pPr>
              <w:jc w:val="center"/>
              <w:rPr>
                <w:b/>
                <w:color w:val="000000"/>
              </w:rPr>
            </w:pPr>
            <w:r>
              <w:rPr>
                <w:b/>
                <w:color w:val="000000"/>
              </w:rPr>
              <w:t>2020 – 17.1 hours total</w:t>
            </w:r>
          </w:p>
          <w:p w:rsidR="00F20FBA" w:rsidP="00F20FBA" w:rsidRDefault="00F20FBA" w14:paraId="679EC612" w14:textId="51219BB8">
            <w:pPr>
              <w:jc w:val="center"/>
              <w:rPr>
                <w:b/>
                <w:color w:val="000000"/>
              </w:rPr>
            </w:pPr>
          </w:p>
          <w:p w:rsidRPr="000B58F6" w:rsidR="00691528" w:rsidP="006B00D2" w:rsidRDefault="00F20FBA" w14:paraId="3285939A" w14:textId="0BD6BAAA">
            <w:pPr>
              <w:rPr>
                <w:color w:val="000000"/>
              </w:rPr>
            </w:pPr>
            <w:r>
              <w:rPr>
                <w:b/>
                <w:color w:val="000000"/>
              </w:rPr>
              <w:t>Working Group: 17.1 hours (100% of total)</w:t>
            </w:r>
          </w:p>
        </w:tc>
        <w:tc>
          <w:tcPr>
            <w:tcW w:w="2250" w:type="dxa"/>
            <w:shd w:val="clear" w:color="auto" w:fill="auto"/>
          </w:tcPr>
          <w:p w:rsidRPr="000B58F6" w:rsidR="00FE3BAE" w:rsidP="00A92D0B" w:rsidRDefault="00B67DD6" w14:paraId="497C4799" w14:textId="1774B40E">
            <w:pPr>
              <w:spacing w:before="120"/>
              <w:rPr>
                <w:color w:val="000000"/>
              </w:rPr>
            </w:pPr>
            <w:r>
              <w:rPr>
                <w:color w:val="000000"/>
              </w:rPr>
              <w:lastRenderedPageBreak/>
              <w:t>Noted</w:t>
            </w:r>
          </w:p>
        </w:tc>
      </w:tr>
    </w:tbl>
    <w:p w:rsidRPr="000B58F6" w:rsidR="00691528" w:rsidP="00691528" w:rsidRDefault="00691528" w14:paraId="3199B6EF" w14:textId="77777777">
      <w:pPr>
        <w:keepNext/>
        <w:keepLines/>
        <w:ind w:left="360"/>
        <w:rPr>
          <w:b/>
          <w:color w:val="000000"/>
        </w:rPr>
      </w:pPr>
    </w:p>
    <w:p w:rsidRPr="000B58F6" w:rsidR="00A92D0B" w:rsidP="00691528" w:rsidRDefault="00A92D0B" w14:paraId="710BC7D6" w14:textId="77777777">
      <w:pPr>
        <w:keepNext/>
        <w:keepLines/>
        <w:numPr>
          <w:ilvl w:val="0"/>
          <w:numId w:val="2"/>
        </w:numPr>
        <w:tabs>
          <w:tab w:val="clear" w:pos="900"/>
          <w:tab w:val="num" w:pos="360"/>
        </w:tabs>
        <w:spacing w:after="240"/>
        <w:ind w:left="360"/>
        <w:rPr>
          <w:b/>
          <w:color w:val="000000"/>
        </w:rPr>
      </w:pPr>
      <w:r w:rsidRPr="000B58F6">
        <w:rPr>
          <w:b/>
          <w:color w:val="000000"/>
        </w:rPr>
        <w:t xml:space="preserve">Specific </w:t>
      </w:r>
      <w:proofErr w:type="gramStart"/>
      <w:r w:rsidRPr="000B58F6">
        <w:rPr>
          <w:b/>
          <w:color w:val="000000"/>
        </w:rPr>
        <w:t>Claim</w:t>
      </w:r>
      <w:r w:rsidRPr="000B58F6" w:rsidR="00C02649">
        <w:rPr>
          <w:b/>
          <w:color w:val="000000"/>
        </w:rPr>
        <w:t>:</w:t>
      </w:r>
      <w:r w:rsidRPr="000B58F6" w:rsidR="00D075B1">
        <w:rPr>
          <w:b/>
          <w:color w:val="000000"/>
        </w:rPr>
        <w:t>*</w:t>
      </w:r>
      <w:proofErr w:type="gramEnd"/>
    </w:p>
    <w:tbl>
      <w:tblPr>
        <w:tblW w:w="10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7"/>
        <w:gridCol w:w="774"/>
        <w:gridCol w:w="360"/>
        <w:gridCol w:w="512"/>
        <w:gridCol w:w="990"/>
        <w:gridCol w:w="298"/>
        <w:gridCol w:w="1234"/>
        <w:gridCol w:w="924"/>
        <w:gridCol w:w="606"/>
        <w:gridCol w:w="810"/>
        <w:gridCol w:w="1350"/>
        <w:gridCol w:w="1261"/>
      </w:tblGrid>
      <w:tr w:rsidRPr="000B58F6" w:rsidR="00A92D0B" w:rsidTr="00B9784F" w14:paraId="780664A2" w14:textId="77777777">
        <w:trPr>
          <w:jc w:val="center"/>
        </w:trPr>
        <w:tc>
          <w:tcPr>
            <w:tcW w:w="7015" w:type="dxa"/>
            <w:gridSpan w:val="9"/>
            <w:tcBorders>
              <w:bottom w:val="single" w:color="auto" w:sz="4" w:space="0"/>
              <w:right w:val="single" w:color="auto" w:sz="24" w:space="0"/>
            </w:tcBorders>
            <w:shd w:val="clear" w:color="auto" w:fill="auto"/>
          </w:tcPr>
          <w:p w:rsidRPr="000B58F6" w:rsidR="00A92D0B" w:rsidP="00DE3A5D" w:rsidRDefault="00A92D0B" w14:paraId="6BFE54DA" w14:textId="77777777">
            <w:pPr>
              <w:keepNext/>
              <w:keepLines/>
              <w:spacing w:before="60" w:after="60"/>
              <w:jc w:val="center"/>
              <w:rPr>
                <w:b/>
                <w:smallCaps/>
                <w:color w:val="000000"/>
              </w:rPr>
            </w:pPr>
            <w:r w:rsidRPr="000B58F6">
              <w:rPr>
                <w:b/>
                <w:smallCaps/>
                <w:color w:val="000000"/>
              </w:rPr>
              <w:t>Claimed</w:t>
            </w:r>
          </w:p>
        </w:tc>
        <w:tc>
          <w:tcPr>
            <w:tcW w:w="3421" w:type="dxa"/>
            <w:gridSpan w:val="3"/>
            <w:tcBorders>
              <w:left w:val="single" w:color="auto" w:sz="24" w:space="0"/>
              <w:bottom w:val="single" w:color="auto" w:sz="4" w:space="0"/>
            </w:tcBorders>
            <w:shd w:val="clear" w:color="auto" w:fill="auto"/>
          </w:tcPr>
          <w:p w:rsidRPr="000B58F6" w:rsidR="00A92D0B" w:rsidP="00DE3A5D" w:rsidRDefault="00A92D0B" w14:paraId="170A0FA1" w14:textId="77777777">
            <w:pPr>
              <w:keepNext/>
              <w:keepLines/>
              <w:spacing w:before="60" w:after="60"/>
              <w:jc w:val="center"/>
              <w:rPr>
                <w:b/>
                <w:smallCaps/>
                <w:color w:val="000000"/>
              </w:rPr>
            </w:pPr>
            <w:r w:rsidRPr="000B58F6">
              <w:rPr>
                <w:b/>
                <w:smallCaps/>
                <w:color w:val="000000"/>
              </w:rPr>
              <w:t>CPUC Award</w:t>
            </w:r>
          </w:p>
        </w:tc>
      </w:tr>
      <w:tr w:rsidRPr="000B58F6" w:rsidR="00A92D0B" w:rsidTr="007921F7" w14:paraId="0F5B6CAA" w14:textId="77777777">
        <w:trPr>
          <w:jc w:val="center"/>
        </w:trPr>
        <w:tc>
          <w:tcPr>
            <w:tcW w:w="10436" w:type="dxa"/>
            <w:gridSpan w:val="12"/>
            <w:tcBorders>
              <w:top w:val="single" w:color="auto" w:sz="4" w:space="0"/>
              <w:left w:val="single" w:color="auto" w:sz="4" w:space="0"/>
              <w:bottom w:val="single" w:color="auto" w:sz="4" w:space="0"/>
              <w:right w:val="single" w:color="auto" w:sz="4" w:space="0"/>
            </w:tcBorders>
            <w:shd w:val="clear" w:color="auto" w:fill="E6E6E6"/>
          </w:tcPr>
          <w:p w:rsidRPr="000B58F6" w:rsidR="00A92D0B" w:rsidP="00DE3A5D" w:rsidRDefault="00A92D0B" w14:paraId="284F9031" w14:textId="77777777">
            <w:pPr>
              <w:keepNext/>
              <w:keepLines/>
              <w:spacing w:before="60" w:after="60"/>
              <w:jc w:val="center"/>
              <w:rPr>
                <w:b/>
              </w:rPr>
            </w:pPr>
            <w:r w:rsidRPr="000B58F6">
              <w:rPr>
                <w:b/>
              </w:rPr>
              <w:t>ATTORNEY, EXPERT, AND ADVOCATE FEES</w:t>
            </w:r>
          </w:p>
        </w:tc>
      </w:tr>
      <w:tr w:rsidRPr="000B58F6" w:rsidR="00A92D0B" w:rsidTr="00B9784F" w14:paraId="5A70C962" w14:textId="77777777">
        <w:trPr>
          <w:jc w:val="center"/>
        </w:trPr>
        <w:tc>
          <w:tcPr>
            <w:tcW w:w="1317" w:type="dxa"/>
            <w:tcBorders>
              <w:top w:val="single" w:color="auto" w:sz="4" w:space="0"/>
              <w:bottom w:val="single" w:color="auto" w:sz="4" w:space="0"/>
            </w:tcBorders>
            <w:shd w:val="clear" w:color="auto" w:fill="auto"/>
            <w:vAlign w:val="bottom"/>
          </w:tcPr>
          <w:p w:rsidRPr="000B58F6" w:rsidR="00A92D0B" w:rsidP="003B6A1B" w:rsidRDefault="00A92D0B" w14:paraId="41646676" w14:textId="77777777">
            <w:pPr>
              <w:keepNext/>
              <w:keepLines/>
              <w:spacing w:before="60" w:after="60"/>
              <w:jc w:val="center"/>
              <w:rPr>
                <w:b/>
                <w:color w:val="000000"/>
              </w:rPr>
            </w:pPr>
            <w:r w:rsidRPr="000B58F6">
              <w:rPr>
                <w:b/>
                <w:color w:val="000000"/>
              </w:rPr>
              <w:t>Item</w:t>
            </w:r>
          </w:p>
        </w:tc>
        <w:tc>
          <w:tcPr>
            <w:tcW w:w="774" w:type="dxa"/>
            <w:tcBorders>
              <w:top w:val="single" w:color="auto" w:sz="4" w:space="0"/>
              <w:bottom w:val="single" w:color="auto" w:sz="4" w:space="0"/>
            </w:tcBorders>
            <w:shd w:val="clear" w:color="auto" w:fill="auto"/>
            <w:vAlign w:val="bottom"/>
          </w:tcPr>
          <w:p w:rsidRPr="000B58F6" w:rsidR="00A92D0B" w:rsidP="003B6A1B" w:rsidRDefault="00A92D0B" w14:paraId="43BB9941" w14:textId="77777777">
            <w:pPr>
              <w:keepNext/>
              <w:keepLines/>
              <w:spacing w:before="60" w:after="60"/>
              <w:jc w:val="center"/>
              <w:rPr>
                <w:b/>
                <w:color w:val="000000"/>
              </w:rPr>
            </w:pPr>
            <w:r w:rsidRPr="000B58F6">
              <w:rPr>
                <w:b/>
                <w:color w:val="000000"/>
              </w:rPr>
              <w:t>Year</w:t>
            </w:r>
          </w:p>
        </w:tc>
        <w:tc>
          <w:tcPr>
            <w:tcW w:w="872" w:type="dxa"/>
            <w:gridSpan w:val="2"/>
            <w:tcBorders>
              <w:top w:val="single" w:color="auto" w:sz="4" w:space="0"/>
              <w:bottom w:val="single" w:color="auto" w:sz="4" w:space="0"/>
            </w:tcBorders>
            <w:shd w:val="clear" w:color="auto" w:fill="auto"/>
            <w:vAlign w:val="bottom"/>
          </w:tcPr>
          <w:p w:rsidRPr="000B58F6" w:rsidR="00A92D0B" w:rsidP="003B6A1B" w:rsidRDefault="00A92D0B" w14:paraId="0EF32B08" w14:textId="77777777">
            <w:pPr>
              <w:keepNext/>
              <w:keepLines/>
              <w:spacing w:before="60" w:after="60"/>
              <w:jc w:val="center"/>
              <w:rPr>
                <w:b/>
                <w:color w:val="000000"/>
              </w:rPr>
            </w:pPr>
            <w:r w:rsidRPr="000B58F6">
              <w:rPr>
                <w:b/>
                <w:color w:val="000000"/>
              </w:rPr>
              <w:t>Hours</w:t>
            </w:r>
          </w:p>
        </w:tc>
        <w:tc>
          <w:tcPr>
            <w:tcW w:w="990" w:type="dxa"/>
            <w:tcBorders>
              <w:top w:val="single" w:color="auto" w:sz="4" w:space="0"/>
              <w:bottom w:val="single" w:color="auto" w:sz="4" w:space="0"/>
            </w:tcBorders>
            <w:shd w:val="clear" w:color="auto" w:fill="auto"/>
            <w:vAlign w:val="bottom"/>
          </w:tcPr>
          <w:p w:rsidRPr="000B58F6" w:rsidR="00A92D0B" w:rsidP="003B6A1B" w:rsidRDefault="00A92D0B" w14:paraId="21C69246" w14:textId="77777777">
            <w:pPr>
              <w:keepNext/>
              <w:keepLines/>
              <w:spacing w:before="60" w:after="60"/>
              <w:jc w:val="center"/>
              <w:rPr>
                <w:b/>
                <w:color w:val="000000"/>
              </w:rPr>
            </w:pPr>
            <w:r w:rsidRPr="000B58F6">
              <w:rPr>
                <w:b/>
                <w:color w:val="000000"/>
              </w:rPr>
              <w:t>Rate</w:t>
            </w:r>
            <w:r w:rsidRPr="000B58F6" w:rsidR="00E3786F">
              <w:rPr>
                <w:b/>
                <w:color w:val="000000"/>
              </w:rPr>
              <w:t xml:space="preserve"> $</w:t>
            </w:r>
          </w:p>
        </w:tc>
        <w:tc>
          <w:tcPr>
            <w:tcW w:w="1532" w:type="dxa"/>
            <w:gridSpan w:val="2"/>
            <w:tcBorders>
              <w:top w:val="single" w:color="auto" w:sz="4" w:space="0"/>
              <w:bottom w:val="single" w:color="auto" w:sz="4" w:space="0"/>
              <w:right w:val="single" w:color="auto" w:sz="4" w:space="0"/>
            </w:tcBorders>
            <w:shd w:val="clear" w:color="auto" w:fill="auto"/>
            <w:vAlign w:val="bottom"/>
          </w:tcPr>
          <w:p w:rsidRPr="000B58F6" w:rsidR="00A92D0B" w:rsidP="003B6A1B" w:rsidRDefault="00A92D0B" w14:paraId="59E63C07" w14:textId="77777777">
            <w:pPr>
              <w:keepNext/>
              <w:keepLines/>
              <w:spacing w:before="60" w:after="60"/>
              <w:jc w:val="center"/>
              <w:rPr>
                <w:b/>
                <w:color w:val="000000"/>
              </w:rPr>
            </w:pPr>
            <w:r w:rsidRPr="000B58F6">
              <w:rPr>
                <w:b/>
                <w:color w:val="000000"/>
              </w:rPr>
              <w:t>Basis for Rate*</w:t>
            </w:r>
          </w:p>
        </w:tc>
        <w:tc>
          <w:tcPr>
            <w:tcW w:w="153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0B58F6" w:rsidR="00A92D0B" w:rsidP="003B6A1B" w:rsidRDefault="00A92D0B" w14:paraId="7099C603" w14:textId="77777777">
            <w:pPr>
              <w:keepNext/>
              <w:keepLines/>
              <w:spacing w:before="60" w:after="60"/>
              <w:jc w:val="center"/>
              <w:rPr>
                <w:b/>
                <w:color w:val="000000"/>
              </w:rPr>
            </w:pPr>
            <w:r w:rsidRPr="000B58F6">
              <w:rPr>
                <w:b/>
                <w:color w:val="000000"/>
              </w:rPr>
              <w:t>Total $</w:t>
            </w:r>
          </w:p>
        </w:tc>
        <w:tc>
          <w:tcPr>
            <w:tcW w:w="810" w:type="dxa"/>
            <w:tcBorders>
              <w:top w:val="single" w:color="auto" w:sz="4" w:space="0"/>
              <w:left w:val="single" w:color="auto" w:sz="4" w:space="0"/>
            </w:tcBorders>
            <w:shd w:val="clear" w:color="auto" w:fill="auto"/>
            <w:vAlign w:val="bottom"/>
          </w:tcPr>
          <w:p w:rsidRPr="000B58F6" w:rsidR="00A92D0B" w:rsidP="003B6A1B" w:rsidRDefault="00A92D0B" w14:paraId="564E4964" w14:textId="77777777">
            <w:pPr>
              <w:keepNext/>
              <w:keepLines/>
              <w:spacing w:before="60" w:after="60"/>
              <w:jc w:val="center"/>
              <w:rPr>
                <w:b/>
                <w:color w:val="000000"/>
              </w:rPr>
            </w:pPr>
            <w:r w:rsidRPr="000B58F6">
              <w:rPr>
                <w:b/>
                <w:color w:val="000000"/>
              </w:rPr>
              <w:t>Hours</w:t>
            </w:r>
          </w:p>
        </w:tc>
        <w:tc>
          <w:tcPr>
            <w:tcW w:w="1350" w:type="dxa"/>
            <w:tcBorders>
              <w:top w:val="single" w:color="auto" w:sz="4" w:space="0"/>
            </w:tcBorders>
            <w:shd w:val="clear" w:color="auto" w:fill="auto"/>
            <w:vAlign w:val="bottom"/>
          </w:tcPr>
          <w:p w:rsidRPr="000B58F6" w:rsidR="00A92D0B" w:rsidP="003B6A1B" w:rsidRDefault="00A92D0B" w14:paraId="1462552D" w14:textId="77777777">
            <w:pPr>
              <w:keepNext/>
              <w:keepLines/>
              <w:spacing w:before="60" w:after="60"/>
              <w:jc w:val="center"/>
              <w:rPr>
                <w:b/>
                <w:color w:val="000000"/>
              </w:rPr>
            </w:pPr>
            <w:r w:rsidRPr="000B58F6">
              <w:rPr>
                <w:b/>
                <w:color w:val="000000"/>
              </w:rPr>
              <w:t>Rate</w:t>
            </w:r>
            <w:r w:rsidRPr="000B58F6" w:rsidR="00E3786F">
              <w:rPr>
                <w:b/>
                <w:color w:val="000000"/>
              </w:rPr>
              <w:t xml:space="preserve"> $</w:t>
            </w:r>
          </w:p>
        </w:tc>
        <w:tc>
          <w:tcPr>
            <w:tcW w:w="1261" w:type="dxa"/>
            <w:tcBorders>
              <w:top w:val="single" w:color="auto" w:sz="4" w:space="0"/>
            </w:tcBorders>
            <w:shd w:val="clear" w:color="auto" w:fill="auto"/>
            <w:vAlign w:val="bottom"/>
          </w:tcPr>
          <w:p w:rsidRPr="000B58F6" w:rsidR="00A92D0B" w:rsidP="003B6A1B" w:rsidRDefault="00A92D0B" w14:paraId="1B6A5CA4" w14:textId="77777777">
            <w:pPr>
              <w:keepNext/>
              <w:keepLines/>
              <w:spacing w:before="60" w:after="60"/>
              <w:jc w:val="center"/>
              <w:rPr>
                <w:b/>
                <w:color w:val="000000"/>
              </w:rPr>
            </w:pPr>
            <w:r w:rsidRPr="000B58F6">
              <w:rPr>
                <w:b/>
                <w:color w:val="000000"/>
              </w:rPr>
              <w:t>Total $</w:t>
            </w:r>
          </w:p>
        </w:tc>
      </w:tr>
      <w:tr w:rsidRPr="000B58F6" w:rsidR="00D95CD1" w:rsidTr="00EB20A0" w14:paraId="65A50321" w14:textId="77777777">
        <w:trPr>
          <w:jc w:val="center"/>
        </w:trPr>
        <w:tc>
          <w:tcPr>
            <w:tcW w:w="1317" w:type="dxa"/>
            <w:shd w:val="clear" w:color="auto" w:fill="auto"/>
          </w:tcPr>
          <w:p w:rsidRPr="000B58F6" w:rsidR="00D95CD1" w:rsidP="00864656" w:rsidRDefault="00D95CD1" w14:paraId="0B4B645A" w14:textId="1ED68564">
            <w:pPr>
              <w:spacing w:before="60" w:after="60"/>
              <w:rPr>
                <w:color w:val="000000"/>
              </w:rPr>
            </w:pPr>
            <w:r w:rsidRPr="000B58F6">
              <w:rPr>
                <w:color w:val="000000"/>
              </w:rPr>
              <w:t xml:space="preserve">Melissa W. </w:t>
            </w:r>
            <w:proofErr w:type="spellStart"/>
            <w:r w:rsidRPr="000B58F6">
              <w:rPr>
                <w:color w:val="000000"/>
              </w:rPr>
              <w:t>Kasnitz</w:t>
            </w:r>
            <w:proofErr w:type="spellEnd"/>
          </w:p>
        </w:tc>
        <w:tc>
          <w:tcPr>
            <w:tcW w:w="774" w:type="dxa"/>
            <w:shd w:val="clear" w:color="auto" w:fill="auto"/>
          </w:tcPr>
          <w:p w:rsidRPr="000B58F6" w:rsidR="00D95CD1" w:rsidP="00D95CD1" w:rsidRDefault="00D95CD1" w14:paraId="66559614" w14:textId="498BC1B0">
            <w:pPr>
              <w:spacing w:before="60" w:after="60"/>
              <w:jc w:val="center"/>
              <w:rPr>
                <w:color w:val="000000"/>
              </w:rPr>
            </w:pPr>
            <w:r w:rsidRPr="000B58F6">
              <w:rPr>
                <w:color w:val="000000"/>
              </w:rPr>
              <w:t>201</w:t>
            </w:r>
            <w:r w:rsidR="003120DD">
              <w:rPr>
                <w:color w:val="000000"/>
              </w:rPr>
              <w:t>9</w:t>
            </w:r>
          </w:p>
        </w:tc>
        <w:tc>
          <w:tcPr>
            <w:tcW w:w="872" w:type="dxa"/>
            <w:gridSpan w:val="2"/>
            <w:shd w:val="clear" w:color="auto" w:fill="auto"/>
          </w:tcPr>
          <w:p w:rsidRPr="000B58F6" w:rsidR="00D95CD1" w:rsidP="00D95CD1" w:rsidRDefault="00087FA4" w14:paraId="7C6B5EBE" w14:textId="7D242895">
            <w:pPr>
              <w:spacing w:before="60" w:after="60"/>
              <w:jc w:val="center"/>
              <w:rPr>
                <w:color w:val="000000"/>
              </w:rPr>
            </w:pPr>
            <w:r>
              <w:rPr>
                <w:color w:val="000000"/>
              </w:rPr>
              <w:t>16.5</w:t>
            </w:r>
          </w:p>
        </w:tc>
        <w:tc>
          <w:tcPr>
            <w:tcW w:w="990" w:type="dxa"/>
            <w:shd w:val="clear" w:color="auto" w:fill="auto"/>
          </w:tcPr>
          <w:p w:rsidRPr="000B58F6" w:rsidR="00D95CD1" w:rsidP="00D95CD1" w:rsidRDefault="00D95CD1" w14:paraId="3E1EAB4A" w14:textId="55E75978">
            <w:pPr>
              <w:spacing w:before="60" w:after="60"/>
              <w:jc w:val="center"/>
              <w:rPr>
                <w:color w:val="000000"/>
              </w:rPr>
            </w:pPr>
            <w:r w:rsidRPr="000B58F6">
              <w:rPr>
                <w:color w:val="000000"/>
              </w:rPr>
              <w:t>$</w:t>
            </w:r>
            <w:r w:rsidR="00F75870">
              <w:rPr>
                <w:color w:val="000000"/>
              </w:rPr>
              <w:t>490</w:t>
            </w:r>
          </w:p>
        </w:tc>
        <w:tc>
          <w:tcPr>
            <w:tcW w:w="1532" w:type="dxa"/>
            <w:gridSpan w:val="2"/>
            <w:tcBorders>
              <w:right w:val="single" w:color="auto" w:sz="4" w:space="0"/>
            </w:tcBorders>
            <w:shd w:val="clear" w:color="auto" w:fill="auto"/>
          </w:tcPr>
          <w:p w:rsidRPr="000B58F6" w:rsidR="00D95CD1" w:rsidP="00D95CD1" w:rsidRDefault="00F75870" w14:paraId="399E10EC" w14:textId="1439AA8F">
            <w:pPr>
              <w:spacing w:before="60" w:after="60"/>
              <w:jc w:val="center"/>
              <w:rPr>
                <w:color w:val="000000"/>
              </w:rPr>
            </w:pPr>
            <w:r>
              <w:rPr>
                <w:color w:val="000000"/>
              </w:rPr>
              <w:t>D.19-12-053</w:t>
            </w:r>
          </w:p>
        </w:tc>
        <w:tc>
          <w:tcPr>
            <w:tcW w:w="1530" w:type="dxa"/>
            <w:gridSpan w:val="2"/>
            <w:tcBorders>
              <w:top w:val="single" w:color="auto" w:sz="4" w:space="0"/>
              <w:left w:val="single" w:color="auto" w:sz="4" w:space="0"/>
              <w:bottom w:val="single" w:color="auto" w:sz="4" w:space="0"/>
              <w:right w:val="single" w:color="auto" w:sz="24" w:space="0"/>
            </w:tcBorders>
            <w:shd w:val="clear" w:color="auto" w:fill="auto"/>
          </w:tcPr>
          <w:p w:rsidRPr="000B58F6" w:rsidR="00D95CD1" w:rsidP="00D95CD1" w:rsidRDefault="00087FA4" w14:paraId="7FFBFBCE" w14:textId="14194673">
            <w:pPr>
              <w:spacing w:before="60" w:after="60"/>
              <w:jc w:val="center"/>
              <w:rPr>
                <w:color w:val="000000"/>
              </w:rPr>
            </w:pPr>
            <w:r>
              <w:rPr>
                <w:color w:val="000000"/>
              </w:rPr>
              <w:t>$8,085</w:t>
            </w:r>
            <w:r w:rsidR="006D3D52">
              <w:rPr>
                <w:color w:val="000000"/>
              </w:rPr>
              <w:t>.00</w:t>
            </w:r>
          </w:p>
        </w:tc>
        <w:tc>
          <w:tcPr>
            <w:tcW w:w="810" w:type="dxa"/>
            <w:tcBorders>
              <w:left w:val="single" w:color="auto" w:sz="4" w:space="0"/>
            </w:tcBorders>
            <w:shd w:val="clear" w:color="auto" w:fill="auto"/>
          </w:tcPr>
          <w:p w:rsidRPr="000B58F6" w:rsidR="00D95CD1" w:rsidP="00864656" w:rsidRDefault="000405F3" w14:paraId="00F81862" w14:textId="4027A146">
            <w:pPr>
              <w:spacing w:before="60" w:after="60"/>
              <w:rPr>
                <w:color w:val="000000"/>
              </w:rPr>
            </w:pPr>
            <w:r>
              <w:rPr>
                <w:color w:val="000000"/>
              </w:rPr>
              <w:t>16.5</w:t>
            </w:r>
          </w:p>
        </w:tc>
        <w:tc>
          <w:tcPr>
            <w:tcW w:w="1350" w:type="dxa"/>
            <w:shd w:val="clear" w:color="auto" w:fill="auto"/>
          </w:tcPr>
          <w:p w:rsidRPr="000B58F6" w:rsidR="00D95CD1" w:rsidP="00864656" w:rsidRDefault="000405F3" w14:paraId="48CC1588" w14:textId="5DC3D4D6">
            <w:pPr>
              <w:spacing w:before="60" w:after="60"/>
              <w:rPr>
                <w:color w:val="000000"/>
              </w:rPr>
            </w:pPr>
            <w:r>
              <w:rPr>
                <w:color w:val="000000"/>
              </w:rPr>
              <w:t>$490.00</w:t>
            </w:r>
          </w:p>
        </w:tc>
        <w:tc>
          <w:tcPr>
            <w:tcW w:w="1261" w:type="dxa"/>
            <w:shd w:val="clear" w:color="auto" w:fill="auto"/>
          </w:tcPr>
          <w:p w:rsidRPr="000B58F6" w:rsidR="00D95CD1" w:rsidP="00864656" w:rsidRDefault="00721434" w14:paraId="5862E982" w14:textId="11DB5A64">
            <w:pPr>
              <w:spacing w:before="60" w:after="60"/>
              <w:rPr>
                <w:color w:val="000000"/>
              </w:rPr>
            </w:pPr>
            <w:r w:rsidRPr="00721434">
              <w:rPr>
                <w:color w:val="000000"/>
              </w:rPr>
              <w:t>$8,085.00</w:t>
            </w:r>
          </w:p>
        </w:tc>
      </w:tr>
      <w:tr w:rsidRPr="000B58F6" w:rsidR="00D95CD1" w:rsidTr="00EB20A0" w14:paraId="00373BAE" w14:textId="77777777">
        <w:trPr>
          <w:jc w:val="center"/>
        </w:trPr>
        <w:tc>
          <w:tcPr>
            <w:tcW w:w="1317" w:type="dxa"/>
            <w:shd w:val="clear" w:color="auto" w:fill="auto"/>
          </w:tcPr>
          <w:p w:rsidRPr="000B58F6" w:rsidR="00D95CD1" w:rsidP="00864656" w:rsidRDefault="00D95CD1" w14:paraId="64AE7F9D" w14:textId="16F15A57">
            <w:pPr>
              <w:spacing w:before="60" w:after="60"/>
              <w:rPr>
                <w:color w:val="000000"/>
              </w:rPr>
            </w:pPr>
            <w:r w:rsidRPr="000B58F6">
              <w:rPr>
                <w:color w:val="000000"/>
              </w:rPr>
              <w:t xml:space="preserve">Melissa W. </w:t>
            </w:r>
            <w:proofErr w:type="spellStart"/>
            <w:r w:rsidRPr="000B58F6">
              <w:rPr>
                <w:color w:val="000000"/>
              </w:rPr>
              <w:t>Kasnitz</w:t>
            </w:r>
            <w:proofErr w:type="spellEnd"/>
          </w:p>
        </w:tc>
        <w:tc>
          <w:tcPr>
            <w:tcW w:w="774" w:type="dxa"/>
            <w:shd w:val="clear" w:color="auto" w:fill="auto"/>
          </w:tcPr>
          <w:p w:rsidRPr="000B58F6" w:rsidR="00D95CD1" w:rsidP="00D95CD1" w:rsidRDefault="00D95CD1" w14:paraId="15629543" w14:textId="70E00A4B">
            <w:pPr>
              <w:spacing w:before="60" w:after="60"/>
              <w:jc w:val="center"/>
              <w:rPr>
                <w:color w:val="000000"/>
              </w:rPr>
            </w:pPr>
            <w:r w:rsidRPr="000B58F6">
              <w:rPr>
                <w:color w:val="000000"/>
              </w:rPr>
              <w:t>2</w:t>
            </w:r>
            <w:r w:rsidR="00F75870">
              <w:rPr>
                <w:color w:val="000000"/>
              </w:rPr>
              <w:t>020</w:t>
            </w:r>
          </w:p>
        </w:tc>
        <w:tc>
          <w:tcPr>
            <w:tcW w:w="872" w:type="dxa"/>
            <w:gridSpan w:val="2"/>
            <w:shd w:val="clear" w:color="auto" w:fill="auto"/>
          </w:tcPr>
          <w:p w:rsidRPr="000B58F6" w:rsidR="00D95CD1" w:rsidP="00D95CD1" w:rsidRDefault="006D3D52" w14:paraId="0204DC0C" w14:textId="1FB37B1B">
            <w:pPr>
              <w:spacing w:before="60" w:after="60"/>
              <w:jc w:val="center"/>
              <w:rPr>
                <w:color w:val="000000"/>
              </w:rPr>
            </w:pPr>
            <w:r>
              <w:rPr>
                <w:color w:val="000000"/>
              </w:rPr>
              <w:t>12.8</w:t>
            </w:r>
          </w:p>
        </w:tc>
        <w:tc>
          <w:tcPr>
            <w:tcW w:w="990" w:type="dxa"/>
            <w:shd w:val="clear" w:color="auto" w:fill="auto"/>
          </w:tcPr>
          <w:p w:rsidRPr="000B58F6" w:rsidR="00D95CD1" w:rsidP="00D95CD1" w:rsidRDefault="00D95CD1" w14:paraId="0F7A6E63" w14:textId="0B4D21B5">
            <w:pPr>
              <w:spacing w:before="60" w:after="60"/>
              <w:jc w:val="center"/>
              <w:rPr>
                <w:color w:val="000000"/>
              </w:rPr>
            </w:pPr>
            <w:r w:rsidRPr="000B58F6">
              <w:rPr>
                <w:color w:val="000000"/>
              </w:rPr>
              <w:t>$</w:t>
            </w:r>
            <w:r w:rsidR="00F75870">
              <w:rPr>
                <w:color w:val="000000"/>
              </w:rPr>
              <w:t>505</w:t>
            </w:r>
          </w:p>
        </w:tc>
        <w:tc>
          <w:tcPr>
            <w:tcW w:w="1532" w:type="dxa"/>
            <w:gridSpan w:val="2"/>
            <w:tcBorders>
              <w:right w:val="single" w:color="auto" w:sz="4" w:space="0"/>
            </w:tcBorders>
            <w:shd w:val="clear" w:color="auto" w:fill="auto"/>
          </w:tcPr>
          <w:p w:rsidRPr="000B58F6" w:rsidR="00D95CD1" w:rsidP="00D95CD1" w:rsidRDefault="00F75870" w14:paraId="66E97E04" w14:textId="1C20A24E">
            <w:pPr>
              <w:spacing w:before="60" w:after="60"/>
              <w:jc w:val="center"/>
              <w:rPr>
                <w:color w:val="000000"/>
              </w:rPr>
            </w:pPr>
            <w:r>
              <w:rPr>
                <w:color w:val="000000"/>
              </w:rPr>
              <w:t>Anticipated COLA for 2020</w:t>
            </w:r>
          </w:p>
        </w:tc>
        <w:tc>
          <w:tcPr>
            <w:tcW w:w="1530" w:type="dxa"/>
            <w:gridSpan w:val="2"/>
            <w:tcBorders>
              <w:top w:val="single" w:color="auto" w:sz="4" w:space="0"/>
              <w:left w:val="single" w:color="auto" w:sz="4" w:space="0"/>
              <w:bottom w:val="single" w:color="auto" w:sz="4" w:space="0"/>
              <w:right w:val="single" w:color="auto" w:sz="24" w:space="0"/>
            </w:tcBorders>
            <w:shd w:val="clear" w:color="auto" w:fill="auto"/>
          </w:tcPr>
          <w:p w:rsidRPr="000B58F6" w:rsidR="00D95CD1" w:rsidP="00D95CD1" w:rsidRDefault="006D3D52" w14:paraId="26945D2F" w14:textId="0FA9BAE8">
            <w:pPr>
              <w:spacing w:before="60" w:after="60"/>
              <w:jc w:val="center"/>
              <w:rPr>
                <w:color w:val="000000"/>
              </w:rPr>
            </w:pPr>
            <w:r>
              <w:rPr>
                <w:color w:val="000000"/>
              </w:rPr>
              <w:t>$6,464.00</w:t>
            </w:r>
          </w:p>
        </w:tc>
        <w:tc>
          <w:tcPr>
            <w:tcW w:w="810" w:type="dxa"/>
            <w:tcBorders>
              <w:left w:val="single" w:color="auto" w:sz="4" w:space="0"/>
            </w:tcBorders>
            <w:shd w:val="clear" w:color="auto" w:fill="auto"/>
          </w:tcPr>
          <w:p w:rsidRPr="000B58F6" w:rsidR="00D95CD1" w:rsidP="00864656" w:rsidRDefault="000405F3" w14:paraId="24C7A5F9" w14:textId="1A79B7BC">
            <w:pPr>
              <w:spacing w:before="60" w:after="60"/>
              <w:rPr>
                <w:color w:val="000000"/>
              </w:rPr>
            </w:pPr>
            <w:r>
              <w:rPr>
                <w:color w:val="000000"/>
              </w:rPr>
              <w:t>12.8</w:t>
            </w:r>
          </w:p>
        </w:tc>
        <w:tc>
          <w:tcPr>
            <w:tcW w:w="1350" w:type="dxa"/>
            <w:shd w:val="clear" w:color="auto" w:fill="auto"/>
          </w:tcPr>
          <w:p w:rsidRPr="000B58F6" w:rsidR="00D95CD1" w:rsidP="00864656" w:rsidRDefault="000405F3" w14:paraId="1A370964" w14:textId="47C3D410">
            <w:pPr>
              <w:spacing w:before="60" w:after="60"/>
              <w:rPr>
                <w:color w:val="000000"/>
              </w:rPr>
            </w:pPr>
            <w:r>
              <w:rPr>
                <w:color w:val="000000"/>
              </w:rPr>
              <w:t>$</w:t>
            </w:r>
            <w:r w:rsidR="00694DEA">
              <w:rPr>
                <w:color w:val="000000"/>
              </w:rPr>
              <w:t>505.00</w:t>
            </w:r>
            <w:r w:rsidR="006B00D2">
              <w:rPr>
                <w:color w:val="000000"/>
              </w:rPr>
              <w:t xml:space="preserve"> </w:t>
            </w:r>
            <w:r w:rsidR="00694DEA">
              <w:rPr>
                <w:color w:val="000000"/>
              </w:rPr>
              <w:t>[1]</w:t>
            </w:r>
          </w:p>
        </w:tc>
        <w:tc>
          <w:tcPr>
            <w:tcW w:w="1261" w:type="dxa"/>
            <w:shd w:val="clear" w:color="auto" w:fill="auto"/>
          </w:tcPr>
          <w:p w:rsidRPr="000B58F6" w:rsidR="00D95CD1" w:rsidP="00864656" w:rsidRDefault="00721434" w14:paraId="4C700331" w14:textId="6D9382BD">
            <w:pPr>
              <w:spacing w:before="60" w:after="60"/>
              <w:rPr>
                <w:color w:val="000000"/>
              </w:rPr>
            </w:pPr>
            <w:r w:rsidRPr="00721434">
              <w:rPr>
                <w:color w:val="000000"/>
              </w:rPr>
              <w:t>$6,464.00</w:t>
            </w:r>
          </w:p>
        </w:tc>
      </w:tr>
      <w:tr w:rsidRPr="000B58F6" w:rsidR="00D95CD1" w:rsidTr="00EB20A0" w14:paraId="535D2E1A" w14:textId="77777777">
        <w:trPr>
          <w:jc w:val="center"/>
        </w:trPr>
        <w:tc>
          <w:tcPr>
            <w:tcW w:w="1317" w:type="dxa"/>
            <w:shd w:val="clear" w:color="auto" w:fill="auto"/>
          </w:tcPr>
          <w:p w:rsidRPr="000B58F6" w:rsidR="00D95CD1" w:rsidP="00864656" w:rsidRDefault="00F75870" w14:paraId="73D32F75" w14:textId="3DBE250F">
            <w:pPr>
              <w:spacing w:before="60" w:after="60"/>
              <w:rPr>
                <w:color w:val="000000"/>
              </w:rPr>
            </w:pPr>
            <w:r>
              <w:rPr>
                <w:color w:val="000000"/>
              </w:rPr>
              <w:t>Kate Woodford</w:t>
            </w:r>
          </w:p>
        </w:tc>
        <w:tc>
          <w:tcPr>
            <w:tcW w:w="774" w:type="dxa"/>
            <w:shd w:val="clear" w:color="auto" w:fill="auto"/>
          </w:tcPr>
          <w:p w:rsidRPr="000B58F6" w:rsidR="00D95CD1" w:rsidP="00D95CD1" w:rsidRDefault="00F75870" w14:paraId="07D09E55" w14:textId="32AC9096">
            <w:pPr>
              <w:spacing w:before="60" w:after="60"/>
              <w:jc w:val="center"/>
              <w:rPr>
                <w:color w:val="000000"/>
              </w:rPr>
            </w:pPr>
            <w:r>
              <w:rPr>
                <w:color w:val="000000"/>
              </w:rPr>
              <w:t>2019</w:t>
            </w:r>
          </w:p>
        </w:tc>
        <w:tc>
          <w:tcPr>
            <w:tcW w:w="872" w:type="dxa"/>
            <w:gridSpan w:val="2"/>
            <w:shd w:val="clear" w:color="auto" w:fill="auto"/>
          </w:tcPr>
          <w:p w:rsidRPr="000B58F6" w:rsidR="00D95CD1" w:rsidP="00D95CD1" w:rsidRDefault="006D3D52" w14:paraId="6956DC0C" w14:textId="61B89884">
            <w:pPr>
              <w:spacing w:before="60" w:after="60"/>
              <w:jc w:val="center"/>
              <w:rPr>
                <w:color w:val="000000"/>
              </w:rPr>
            </w:pPr>
            <w:r>
              <w:rPr>
                <w:color w:val="000000"/>
              </w:rPr>
              <w:t>11.5</w:t>
            </w:r>
          </w:p>
        </w:tc>
        <w:tc>
          <w:tcPr>
            <w:tcW w:w="990" w:type="dxa"/>
            <w:shd w:val="clear" w:color="auto" w:fill="auto"/>
          </w:tcPr>
          <w:p w:rsidRPr="000B58F6" w:rsidR="00D95CD1" w:rsidP="00D95CD1" w:rsidRDefault="00F75870" w14:paraId="4444A8E7" w14:textId="47E124C0">
            <w:pPr>
              <w:spacing w:before="60" w:after="60"/>
              <w:jc w:val="center"/>
              <w:rPr>
                <w:color w:val="000000"/>
              </w:rPr>
            </w:pPr>
            <w:r>
              <w:rPr>
                <w:color w:val="000000"/>
              </w:rPr>
              <w:t>$155</w:t>
            </w:r>
          </w:p>
        </w:tc>
        <w:tc>
          <w:tcPr>
            <w:tcW w:w="1532" w:type="dxa"/>
            <w:gridSpan w:val="2"/>
            <w:tcBorders>
              <w:right w:val="single" w:color="auto" w:sz="4" w:space="0"/>
            </w:tcBorders>
            <w:shd w:val="clear" w:color="auto" w:fill="auto"/>
          </w:tcPr>
          <w:p w:rsidRPr="000B58F6" w:rsidR="00D95CD1" w:rsidP="00D95CD1" w:rsidRDefault="00F75870" w14:paraId="19107904" w14:textId="0F089FF0">
            <w:pPr>
              <w:spacing w:before="60" w:after="60"/>
              <w:jc w:val="center"/>
              <w:rPr>
                <w:color w:val="000000"/>
              </w:rPr>
            </w:pPr>
            <w:r>
              <w:rPr>
                <w:color w:val="000000"/>
              </w:rPr>
              <w:t>D.19-12-052</w:t>
            </w:r>
            <w:r w:rsidR="00F96DD1">
              <w:rPr>
                <w:rStyle w:val="FootnoteReference"/>
                <w:color w:val="000000"/>
              </w:rPr>
              <w:footnoteReference w:id="3"/>
            </w:r>
          </w:p>
        </w:tc>
        <w:tc>
          <w:tcPr>
            <w:tcW w:w="1530" w:type="dxa"/>
            <w:gridSpan w:val="2"/>
            <w:tcBorders>
              <w:top w:val="single" w:color="auto" w:sz="4" w:space="0"/>
              <w:left w:val="single" w:color="auto" w:sz="4" w:space="0"/>
              <w:bottom w:val="single" w:color="auto" w:sz="4" w:space="0"/>
              <w:right w:val="single" w:color="auto" w:sz="24" w:space="0"/>
            </w:tcBorders>
            <w:shd w:val="clear" w:color="auto" w:fill="auto"/>
          </w:tcPr>
          <w:p w:rsidRPr="000B58F6" w:rsidR="00D95CD1" w:rsidP="00D95CD1" w:rsidRDefault="006D3D52" w14:paraId="27FF52CA" w14:textId="3EAB4E84">
            <w:pPr>
              <w:spacing w:before="60" w:after="60"/>
              <w:jc w:val="center"/>
              <w:rPr>
                <w:color w:val="000000"/>
              </w:rPr>
            </w:pPr>
            <w:r>
              <w:rPr>
                <w:color w:val="000000"/>
              </w:rPr>
              <w:t>$1,916.50</w:t>
            </w:r>
            <w:r w:rsidR="006B00D2">
              <w:rPr>
                <w:color w:val="000000"/>
              </w:rPr>
              <w:t xml:space="preserve"> </w:t>
            </w:r>
            <w:r w:rsidR="00B9784F">
              <w:rPr>
                <w:color w:val="000000"/>
              </w:rPr>
              <w:t>[2]</w:t>
            </w:r>
          </w:p>
        </w:tc>
        <w:tc>
          <w:tcPr>
            <w:tcW w:w="810" w:type="dxa"/>
            <w:tcBorders>
              <w:left w:val="single" w:color="auto" w:sz="4" w:space="0"/>
            </w:tcBorders>
            <w:shd w:val="clear" w:color="auto" w:fill="auto"/>
          </w:tcPr>
          <w:p w:rsidRPr="000B58F6" w:rsidR="00D95CD1" w:rsidP="00864656" w:rsidRDefault="00694DEA" w14:paraId="0917DC0A" w14:textId="27A3D437">
            <w:pPr>
              <w:spacing w:before="60" w:after="60"/>
              <w:rPr>
                <w:color w:val="000000"/>
              </w:rPr>
            </w:pPr>
            <w:r>
              <w:rPr>
                <w:color w:val="000000"/>
              </w:rPr>
              <w:t>11.5</w:t>
            </w:r>
          </w:p>
        </w:tc>
        <w:tc>
          <w:tcPr>
            <w:tcW w:w="1350" w:type="dxa"/>
            <w:shd w:val="clear" w:color="auto" w:fill="auto"/>
          </w:tcPr>
          <w:p w:rsidRPr="000B58F6" w:rsidR="00D95CD1" w:rsidP="00864656" w:rsidRDefault="00694DEA" w14:paraId="73611823" w14:textId="2680FA39">
            <w:pPr>
              <w:spacing w:before="60" w:after="60"/>
              <w:rPr>
                <w:color w:val="000000"/>
              </w:rPr>
            </w:pPr>
            <w:r>
              <w:rPr>
                <w:color w:val="000000"/>
              </w:rPr>
              <w:t>$155.00</w:t>
            </w:r>
          </w:p>
        </w:tc>
        <w:tc>
          <w:tcPr>
            <w:tcW w:w="1261" w:type="dxa"/>
            <w:shd w:val="clear" w:color="auto" w:fill="auto"/>
          </w:tcPr>
          <w:p w:rsidRPr="000B58F6" w:rsidR="00D95CD1" w:rsidP="00864656" w:rsidRDefault="00721434" w14:paraId="6EE7F2DE" w14:textId="3EA6162E">
            <w:pPr>
              <w:spacing w:before="60" w:after="60"/>
              <w:rPr>
                <w:color w:val="000000"/>
              </w:rPr>
            </w:pPr>
            <w:r w:rsidRPr="00721434">
              <w:rPr>
                <w:color w:val="000000"/>
              </w:rPr>
              <w:t>$1,782.50</w:t>
            </w:r>
          </w:p>
        </w:tc>
      </w:tr>
      <w:tr w:rsidRPr="000B58F6" w:rsidR="00A92D0B" w:rsidTr="00EB20A0" w14:paraId="5BF6A154" w14:textId="77777777">
        <w:trPr>
          <w:jc w:val="center"/>
        </w:trPr>
        <w:tc>
          <w:tcPr>
            <w:tcW w:w="1317" w:type="dxa"/>
            <w:shd w:val="clear" w:color="auto" w:fill="auto"/>
          </w:tcPr>
          <w:p w:rsidRPr="000B58F6" w:rsidR="00A92D0B" w:rsidP="003B6A1B" w:rsidRDefault="00F75870" w14:paraId="118506EC" w14:textId="6A19FB44">
            <w:pPr>
              <w:spacing w:before="60" w:after="60"/>
              <w:rPr>
                <w:color w:val="000000"/>
              </w:rPr>
            </w:pPr>
            <w:r>
              <w:rPr>
                <w:color w:val="000000"/>
              </w:rPr>
              <w:t>Kate Woodford</w:t>
            </w:r>
          </w:p>
        </w:tc>
        <w:tc>
          <w:tcPr>
            <w:tcW w:w="774" w:type="dxa"/>
            <w:shd w:val="clear" w:color="auto" w:fill="auto"/>
          </w:tcPr>
          <w:p w:rsidRPr="000B58F6" w:rsidR="00A92D0B" w:rsidP="00D95CD1" w:rsidRDefault="00F75870" w14:paraId="3767540B" w14:textId="13F8E410">
            <w:pPr>
              <w:spacing w:before="60" w:after="60"/>
              <w:jc w:val="center"/>
              <w:rPr>
                <w:color w:val="000000"/>
              </w:rPr>
            </w:pPr>
            <w:r>
              <w:rPr>
                <w:color w:val="000000"/>
              </w:rPr>
              <w:t>2020</w:t>
            </w:r>
          </w:p>
        </w:tc>
        <w:tc>
          <w:tcPr>
            <w:tcW w:w="872" w:type="dxa"/>
            <w:gridSpan w:val="2"/>
            <w:shd w:val="clear" w:color="auto" w:fill="auto"/>
          </w:tcPr>
          <w:p w:rsidRPr="000B58F6" w:rsidR="00A92D0B" w:rsidP="00D95CD1" w:rsidRDefault="006D3D52" w14:paraId="120FE857" w14:textId="5721366E">
            <w:pPr>
              <w:spacing w:before="60" w:after="60"/>
              <w:jc w:val="center"/>
              <w:rPr>
                <w:color w:val="000000"/>
              </w:rPr>
            </w:pPr>
            <w:r>
              <w:rPr>
                <w:color w:val="000000"/>
              </w:rPr>
              <w:t>17.1</w:t>
            </w:r>
          </w:p>
        </w:tc>
        <w:tc>
          <w:tcPr>
            <w:tcW w:w="990" w:type="dxa"/>
            <w:shd w:val="clear" w:color="auto" w:fill="auto"/>
          </w:tcPr>
          <w:p w:rsidRPr="000B58F6" w:rsidR="00A92D0B" w:rsidP="00D95CD1" w:rsidRDefault="00F75870" w14:paraId="075109E1" w14:textId="5A52E8D0">
            <w:pPr>
              <w:spacing w:before="60" w:after="60"/>
              <w:jc w:val="center"/>
              <w:rPr>
                <w:color w:val="000000"/>
              </w:rPr>
            </w:pPr>
            <w:r>
              <w:rPr>
                <w:color w:val="000000"/>
              </w:rPr>
              <w:t>$160</w:t>
            </w:r>
          </w:p>
        </w:tc>
        <w:tc>
          <w:tcPr>
            <w:tcW w:w="1532" w:type="dxa"/>
            <w:gridSpan w:val="2"/>
            <w:tcBorders>
              <w:right w:val="single" w:color="auto" w:sz="4" w:space="0"/>
            </w:tcBorders>
            <w:shd w:val="clear" w:color="auto" w:fill="auto"/>
          </w:tcPr>
          <w:p w:rsidRPr="000B58F6" w:rsidR="00A92D0B" w:rsidP="00D95CD1" w:rsidRDefault="00F75870" w14:paraId="4AF4C006" w14:textId="76F090C2">
            <w:pPr>
              <w:spacing w:before="60" w:after="60"/>
              <w:jc w:val="center"/>
              <w:rPr>
                <w:color w:val="000000"/>
              </w:rPr>
            </w:pPr>
            <w:r>
              <w:rPr>
                <w:color w:val="000000"/>
              </w:rPr>
              <w:t>Anticipated COLA for 2020</w:t>
            </w:r>
          </w:p>
        </w:tc>
        <w:tc>
          <w:tcPr>
            <w:tcW w:w="1530" w:type="dxa"/>
            <w:gridSpan w:val="2"/>
            <w:tcBorders>
              <w:top w:val="single" w:color="auto" w:sz="4" w:space="0"/>
              <w:left w:val="single" w:color="auto" w:sz="4" w:space="0"/>
              <w:bottom w:val="single" w:color="auto" w:sz="4" w:space="0"/>
              <w:right w:val="single" w:color="auto" w:sz="24" w:space="0"/>
            </w:tcBorders>
            <w:shd w:val="clear" w:color="auto" w:fill="auto"/>
          </w:tcPr>
          <w:p w:rsidRPr="000B58F6" w:rsidR="00A92D0B" w:rsidP="00D95CD1" w:rsidRDefault="00560D4E" w14:paraId="2A77845E" w14:textId="79482211">
            <w:pPr>
              <w:spacing w:before="60" w:after="60"/>
              <w:jc w:val="center"/>
              <w:rPr>
                <w:color w:val="000000"/>
              </w:rPr>
            </w:pPr>
            <w:r w:rsidRPr="000B58F6">
              <w:rPr>
                <w:color w:val="000000"/>
              </w:rPr>
              <w:t>$</w:t>
            </w:r>
            <w:r w:rsidR="006D3D52">
              <w:rPr>
                <w:color w:val="000000"/>
              </w:rPr>
              <w:t>2,736.00</w:t>
            </w:r>
          </w:p>
        </w:tc>
        <w:tc>
          <w:tcPr>
            <w:tcW w:w="810" w:type="dxa"/>
            <w:tcBorders>
              <w:left w:val="single" w:color="auto" w:sz="4" w:space="0"/>
            </w:tcBorders>
            <w:shd w:val="clear" w:color="auto" w:fill="auto"/>
          </w:tcPr>
          <w:p w:rsidRPr="000B58F6" w:rsidR="00A92D0B" w:rsidP="003B6A1B" w:rsidRDefault="00694DEA" w14:paraId="461DC9FD" w14:textId="19028D7B">
            <w:pPr>
              <w:spacing w:before="60" w:after="60"/>
              <w:rPr>
                <w:color w:val="000000"/>
              </w:rPr>
            </w:pPr>
            <w:r>
              <w:rPr>
                <w:color w:val="000000"/>
              </w:rPr>
              <w:t>17.1</w:t>
            </w:r>
          </w:p>
        </w:tc>
        <w:tc>
          <w:tcPr>
            <w:tcW w:w="1350" w:type="dxa"/>
            <w:shd w:val="clear" w:color="auto" w:fill="auto"/>
          </w:tcPr>
          <w:p w:rsidRPr="000B58F6" w:rsidR="00A92D0B" w:rsidP="003B6A1B" w:rsidRDefault="00694DEA" w14:paraId="7FDABF74" w14:textId="4CEFFC96">
            <w:pPr>
              <w:spacing w:before="60" w:after="60"/>
              <w:rPr>
                <w:color w:val="000000"/>
              </w:rPr>
            </w:pPr>
            <w:r>
              <w:rPr>
                <w:color w:val="000000"/>
              </w:rPr>
              <w:t>$160.00</w:t>
            </w:r>
            <w:r w:rsidR="006B00D2">
              <w:rPr>
                <w:color w:val="000000"/>
              </w:rPr>
              <w:t xml:space="preserve"> </w:t>
            </w:r>
            <w:r>
              <w:rPr>
                <w:color w:val="000000"/>
              </w:rPr>
              <w:t>[</w:t>
            </w:r>
            <w:r w:rsidR="00B9784F">
              <w:rPr>
                <w:color w:val="000000"/>
              </w:rPr>
              <w:t>3</w:t>
            </w:r>
            <w:r>
              <w:rPr>
                <w:color w:val="000000"/>
              </w:rPr>
              <w:t>]</w:t>
            </w:r>
          </w:p>
        </w:tc>
        <w:tc>
          <w:tcPr>
            <w:tcW w:w="1261" w:type="dxa"/>
            <w:shd w:val="clear" w:color="auto" w:fill="auto"/>
          </w:tcPr>
          <w:p w:rsidRPr="000B58F6" w:rsidR="00A92D0B" w:rsidP="003B6A1B" w:rsidRDefault="00721434" w14:paraId="05EFCF76" w14:textId="6C412EC2">
            <w:pPr>
              <w:spacing w:before="60" w:after="60"/>
              <w:rPr>
                <w:color w:val="000000"/>
              </w:rPr>
            </w:pPr>
            <w:r w:rsidRPr="00721434">
              <w:rPr>
                <w:color w:val="000000"/>
              </w:rPr>
              <w:t>$2,736.00</w:t>
            </w:r>
          </w:p>
        </w:tc>
      </w:tr>
      <w:tr w:rsidRPr="000B58F6" w:rsidR="00E3786F" w:rsidTr="00B9784F" w14:paraId="1B237C11" w14:textId="77777777">
        <w:trPr>
          <w:jc w:val="center"/>
        </w:trPr>
        <w:tc>
          <w:tcPr>
            <w:tcW w:w="7015" w:type="dxa"/>
            <w:gridSpan w:val="9"/>
            <w:tcBorders>
              <w:bottom w:val="single" w:color="auto" w:sz="4" w:space="0"/>
              <w:right w:val="single" w:color="auto" w:sz="24" w:space="0"/>
            </w:tcBorders>
            <w:shd w:val="clear" w:color="auto" w:fill="auto"/>
            <w:vAlign w:val="bottom"/>
          </w:tcPr>
          <w:p w:rsidRPr="000B58F6" w:rsidR="00E3786F" w:rsidP="00691528" w:rsidRDefault="00E3786F" w14:paraId="2ECB6744" w14:textId="101DDBDF">
            <w:pPr>
              <w:tabs>
                <w:tab w:val="left" w:pos="957"/>
              </w:tabs>
              <w:spacing w:before="60" w:after="60"/>
              <w:ind w:right="162"/>
              <w:jc w:val="right"/>
              <w:rPr>
                <w:b/>
                <w:i/>
                <w:color w:val="000000"/>
              </w:rPr>
            </w:pPr>
            <w:r w:rsidRPr="000B58F6">
              <w:rPr>
                <w:b/>
                <w:i/>
                <w:color w:val="000000"/>
              </w:rPr>
              <w:t>Subtotal:</w:t>
            </w:r>
            <w:r w:rsidRPr="000B58F6" w:rsidR="00D95CD1">
              <w:t xml:space="preserve"> </w:t>
            </w:r>
            <w:r w:rsidR="006D3D52">
              <w:rPr>
                <w:b/>
                <w:color w:val="000000"/>
              </w:rPr>
              <w:fldChar w:fldCharType="begin"/>
            </w:r>
            <w:r w:rsidR="006D3D52">
              <w:rPr>
                <w:b/>
                <w:color w:val="000000"/>
              </w:rPr>
              <w:instrText xml:space="preserve"> =SUM(ABOVE) </w:instrText>
            </w:r>
            <w:r w:rsidR="006D3D52">
              <w:rPr>
                <w:b/>
                <w:color w:val="000000"/>
              </w:rPr>
              <w:fldChar w:fldCharType="separate"/>
            </w:r>
            <w:r w:rsidR="006D3D52">
              <w:rPr>
                <w:b/>
                <w:noProof/>
                <w:color w:val="000000"/>
              </w:rPr>
              <w:t>$19,201.50</w:t>
            </w:r>
            <w:r w:rsidR="006D3D52">
              <w:rPr>
                <w:b/>
                <w:color w:val="000000"/>
              </w:rPr>
              <w:fldChar w:fldCharType="end"/>
            </w:r>
          </w:p>
        </w:tc>
        <w:tc>
          <w:tcPr>
            <w:tcW w:w="3421" w:type="dxa"/>
            <w:gridSpan w:val="3"/>
            <w:tcBorders>
              <w:left w:val="single" w:color="auto" w:sz="24" w:space="0"/>
              <w:bottom w:val="single" w:color="auto" w:sz="4" w:space="0"/>
            </w:tcBorders>
            <w:shd w:val="clear" w:color="auto" w:fill="auto"/>
            <w:vAlign w:val="bottom"/>
          </w:tcPr>
          <w:p w:rsidRPr="000B58F6" w:rsidR="00E3786F" w:rsidP="003B6A1B" w:rsidRDefault="00E3786F" w14:paraId="4C4556E5" w14:textId="45E576EE">
            <w:pPr>
              <w:tabs>
                <w:tab w:val="left" w:pos="957"/>
              </w:tabs>
              <w:spacing w:before="60" w:after="60"/>
              <w:ind w:right="162"/>
              <w:jc w:val="right"/>
              <w:rPr>
                <w:color w:val="000000"/>
              </w:rPr>
            </w:pPr>
            <w:r w:rsidRPr="000B58F6">
              <w:rPr>
                <w:b/>
                <w:i/>
                <w:color w:val="000000"/>
              </w:rPr>
              <w:t xml:space="preserve">Subtotal: </w:t>
            </w:r>
            <w:r w:rsidRPr="00721434" w:rsidR="00721434">
              <w:rPr>
                <w:b/>
                <w:color w:val="000000"/>
              </w:rPr>
              <w:t>$19,067.50</w:t>
            </w:r>
          </w:p>
        </w:tc>
      </w:tr>
      <w:tr w:rsidRPr="000B58F6" w:rsidR="00A92D0B" w:rsidTr="007921F7" w14:paraId="4F8FAF05" w14:textId="77777777">
        <w:trPr>
          <w:jc w:val="center"/>
        </w:trPr>
        <w:tc>
          <w:tcPr>
            <w:tcW w:w="10436" w:type="dxa"/>
            <w:gridSpan w:val="12"/>
            <w:tcBorders>
              <w:top w:val="single" w:color="auto" w:sz="4" w:space="0"/>
              <w:left w:val="single" w:color="auto" w:sz="4" w:space="0"/>
              <w:bottom w:val="single" w:color="auto" w:sz="4" w:space="0"/>
              <w:right w:val="single" w:color="auto" w:sz="4" w:space="0"/>
            </w:tcBorders>
            <w:shd w:val="clear" w:color="auto" w:fill="E6E6E6"/>
          </w:tcPr>
          <w:p w:rsidRPr="000B58F6" w:rsidR="00A92D0B" w:rsidP="00A92D0B" w:rsidRDefault="00A92D0B" w14:paraId="41FE304C" w14:textId="77777777">
            <w:pPr>
              <w:spacing w:before="60" w:after="60"/>
              <w:jc w:val="center"/>
              <w:rPr>
                <w:color w:val="000000"/>
              </w:rPr>
            </w:pPr>
            <w:r w:rsidRPr="000B58F6">
              <w:rPr>
                <w:b/>
                <w:color w:val="000000"/>
              </w:rPr>
              <w:t xml:space="preserve">INTERVENOR COMPENSATION CLAIM </w:t>
            </w:r>
            <w:proofErr w:type="gramStart"/>
            <w:r w:rsidRPr="000B58F6">
              <w:rPr>
                <w:b/>
                <w:color w:val="000000"/>
              </w:rPr>
              <w:t xml:space="preserve">PREPARATION </w:t>
            </w:r>
            <w:r w:rsidRPr="000B58F6">
              <w:rPr>
                <w:b/>
                <w:smallCaps/>
                <w:color w:val="000000"/>
              </w:rPr>
              <w:t xml:space="preserve"> *</w:t>
            </w:r>
            <w:proofErr w:type="gramEnd"/>
            <w:r w:rsidRPr="000B58F6">
              <w:rPr>
                <w:b/>
                <w:smallCaps/>
                <w:color w:val="000000"/>
              </w:rPr>
              <w:t>*</w:t>
            </w:r>
          </w:p>
        </w:tc>
      </w:tr>
      <w:tr w:rsidRPr="000B58F6" w:rsidR="00A92D0B" w:rsidTr="00B9784F" w14:paraId="48B3E535" w14:textId="77777777">
        <w:trPr>
          <w:jc w:val="center"/>
        </w:trPr>
        <w:tc>
          <w:tcPr>
            <w:tcW w:w="1317" w:type="dxa"/>
            <w:tcBorders>
              <w:top w:val="single" w:color="auto" w:sz="4" w:space="0"/>
              <w:bottom w:val="single" w:color="auto" w:sz="4" w:space="0"/>
            </w:tcBorders>
            <w:shd w:val="clear" w:color="auto" w:fill="auto"/>
          </w:tcPr>
          <w:p w:rsidRPr="000B58F6" w:rsidR="00A92D0B" w:rsidP="00A92D0B" w:rsidRDefault="00A92D0B" w14:paraId="563A43BB" w14:textId="77777777">
            <w:pPr>
              <w:spacing w:before="60" w:after="60"/>
              <w:jc w:val="center"/>
              <w:rPr>
                <w:b/>
                <w:color w:val="000000"/>
              </w:rPr>
            </w:pPr>
            <w:r w:rsidRPr="000B58F6">
              <w:rPr>
                <w:b/>
                <w:color w:val="000000"/>
              </w:rPr>
              <w:t>Item</w:t>
            </w:r>
          </w:p>
        </w:tc>
        <w:tc>
          <w:tcPr>
            <w:tcW w:w="774" w:type="dxa"/>
            <w:tcBorders>
              <w:top w:val="single" w:color="auto" w:sz="4" w:space="0"/>
              <w:bottom w:val="single" w:color="auto" w:sz="4" w:space="0"/>
            </w:tcBorders>
            <w:shd w:val="clear" w:color="auto" w:fill="auto"/>
          </w:tcPr>
          <w:p w:rsidRPr="000B58F6" w:rsidR="00A92D0B" w:rsidP="00A92D0B" w:rsidRDefault="00A92D0B" w14:paraId="144552E0" w14:textId="77777777">
            <w:pPr>
              <w:spacing w:before="60" w:after="60"/>
              <w:jc w:val="center"/>
              <w:rPr>
                <w:b/>
                <w:color w:val="000000"/>
              </w:rPr>
            </w:pPr>
            <w:r w:rsidRPr="000B58F6">
              <w:rPr>
                <w:b/>
                <w:color w:val="000000"/>
              </w:rPr>
              <w:t>Year</w:t>
            </w:r>
          </w:p>
        </w:tc>
        <w:tc>
          <w:tcPr>
            <w:tcW w:w="872" w:type="dxa"/>
            <w:gridSpan w:val="2"/>
            <w:tcBorders>
              <w:top w:val="single" w:color="auto" w:sz="4" w:space="0"/>
              <w:bottom w:val="single" w:color="auto" w:sz="4" w:space="0"/>
            </w:tcBorders>
            <w:shd w:val="clear" w:color="auto" w:fill="auto"/>
          </w:tcPr>
          <w:p w:rsidRPr="000B58F6" w:rsidR="00A92D0B" w:rsidP="00A92D0B" w:rsidRDefault="00A92D0B" w14:paraId="42890B1B" w14:textId="77777777">
            <w:pPr>
              <w:spacing w:before="60" w:after="60"/>
              <w:jc w:val="center"/>
              <w:rPr>
                <w:b/>
                <w:color w:val="000000"/>
              </w:rPr>
            </w:pPr>
            <w:r w:rsidRPr="000B58F6">
              <w:rPr>
                <w:b/>
                <w:color w:val="000000"/>
              </w:rPr>
              <w:t>Hours</w:t>
            </w:r>
          </w:p>
        </w:tc>
        <w:tc>
          <w:tcPr>
            <w:tcW w:w="990" w:type="dxa"/>
            <w:tcBorders>
              <w:top w:val="single" w:color="auto" w:sz="4" w:space="0"/>
              <w:bottom w:val="single" w:color="auto" w:sz="4" w:space="0"/>
            </w:tcBorders>
            <w:shd w:val="clear" w:color="auto" w:fill="auto"/>
          </w:tcPr>
          <w:p w:rsidRPr="000B58F6" w:rsidR="00A92D0B" w:rsidP="00A92D0B" w:rsidRDefault="00A92D0B" w14:paraId="1E7BD956" w14:textId="77777777">
            <w:pPr>
              <w:spacing w:before="60" w:after="60"/>
              <w:jc w:val="center"/>
              <w:rPr>
                <w:b/>
                <w:color w:val="000000"/>
              </w:rPr>
            </w:pPr>
            <w:r w:rsidRPr="000B58F6">
              <w:rPr>
                <w:b/>
                <w:color w:val="000000"/>
              </w:rPr>
              <w:t>Rate</w:t>
            </w:r>
            <w:r w:rsidRPr="000B58F6" w:rsidR="00380703">
              <w:rPr>
                <w:b/>
                <w:color w:val="000000"/>
              </w:rPr>
              <w:t xml:space="preserve"> $</w:t>
            </w:r>
            <w:r w:rsidRPr="000B58F6">
              <w:rPr>
                <w:b/>
                <w:color w:val="000000"/>
              </w:rPr>
              <w:t xml:space="preserve"> </w:t>
            </w:r>
          </w:p>
        </w:tc>
        <w:tc>
          <w:tcPr>
            <w:tcW w:w="1532" w:type="dxa"/>
            <w:gridSpan w:val="2"/>
            <w:tcBorders>
              <w:top w:val="single" w:color="auto" w:sz="4" w:space="0"/>
              <w:bottom w:val="single" w:color="auto" w:sz="4" w:space="0"/>
              <w:right w:val="single" w:color="auto" w:sz="4" w:space="0"/>
            </w:tcBorders>
            <w:shd w:val="clear" w:color="auto" w:fill="auto"/>
          </w:tcPr>
          <w:p w:rsidRPr="000B58F6" w:rsidR="00A92D0B" w:rsidP="00A92D0B" w:rsidRDefault="00A92D0B" w14:paraId="104D7982" w14:textId="77777777">
            <w:pPr>
              <w:spacing w:before="60" w:after="60"/>
              <w:jc w:val="center"/>
              <w:rPr>
                <w:b/>
                <w:color w:val="000000"/>
              </w:rPr>
            </w:pPr>
            <w:r w:rsidRPr="000B58F6">
              <w:rPr>
                <w:b/>
                <w:color w:val="000000"/>
              </w:rPr>
              <w:t>Basis for Rate*</w:t>
            </w:r>
          </w:p>
        </w:tc>
        <w:tc>
          <w:tcPr>
            <w:tcW w:w="1530" w:type="dxa"/>
            <w:gridSpan w:val="2"/>
            <w:tcBorders>
              <w:top w:val="single" w:color="auto" w:sz="4" w:space="0"/>
              <w:left w:val="single" w:color="auto" w:sz="4" w:space="0"/>
              <w:bottom w:val="single" w:color="auto" w:sz="4" w:space="0"/>
              <w:right w:val="single" w:color="auto" w:sz="24" w:space="0"/>
            </w:tcBorders>
            <w:shd w:val="clear" w:color="auto" w:fill="auto"/>
          </w:tcPr>
          <w:p w:rsidRPr="000B58F6" w:rsidR="00A92D0B" w:rsidP="00A92D0B" w:rsidRDefault="00A92D0B" w14:paraId="073B2BB9" w14:textId="77777777">
            <w:pPr>
              <w:spacing w:before="60" w:after="60"/>
              <w:jc w:val="center"/>
              <w:rPr>
                <w:b/>
                <w:color w:val="000000"/>
              </w:rPr>
            </w:pPr>
            <w:r w:rsidRPr="000B58F6">
              <w:rPr>
                <w:b/>
                <w:color w:val="000000"/>
              </w:rPr>
              <w:t>Total $</w:t>
            </w:r>
          </w:p>
        </w:tc>
        <w:tc>
          <w:tcPr>
            <w:tcW w:w="810" w:type="dxa"/>
            <w:tcBorders>
              <w:top w:val="single" w:color="auto" w:sz="4" w:space="0"/>
              <w:left w:val="single" w:color="auto" w:sz="4" w:space="0"/>
            </w:tcBorders>
            <w:shd w:val="clear" w:color="auto" w:fill="auto"/>
          </w:tcPr>
          <w:p w:rsidRPr="000B58F6" w:rsidR="00A92D0B" w:rsidP="00A92D0B" w:rsidRDefault="00A92D0B" w14:paraId="0409143B" w14:textId="77777777">
            <w:pPr>
              <w:spacing w:before="60" w:after="60"/>
              <w:jc w:val="center"/>
              <w:rPr>
                <w:b/>
                <w:color w:val="000000"/>
              </w:rPr>
            </w:pPr>
            <w:r w:rsidRPr="000B58F6">
              <w:rPr>
                <w:b/>
                <w:color w:val="000000"/>
              </w:rPr>
              <w:t>Hours</w:t>
            </w:r>
          </w:p>
        </w:tc>
        <w:tc>
          <w:tcPr>
            <w:tcW w:w="1350" w:type="dxa"/>
            <w:tcBorders>
              <w:top w:val="single" w:color="auto" w:sz="4" w:space="0"/>
            </w:tcBorders>
            <w:shd w:val="clear" w:color="auto" w:fill="auto"/>
          </w:tcPr>
          <w:p w:rsidRPr="000B58F6" w:rsidR="00A92D0B" w:rsidP="00A92D0B" w:rsidRDefault="00A92D0B" w14:paraId="6B59BB80" w14:textId="77777777">
            <w:pPr>
              <w:spacing w:before="60" w:after="60"/>
              <w:jc w:val="center"/>
              <w:rPr>
                <w:b/>
                <w:color w:val="000000"/>
              </w:rPr>
            </w:pPr>
            <w:r w:rsidRPr="000B58F6">
              <w:rPr>
                <w:b/>
                <w:color w:val="000000"/>
              </w:rPr>
              <w:t xml:space="preserve">Rate </w:t>
            </w:r>
          </w:p>
        </w:tc>
        <w:tc>
          <w:tcPr>
            <w:tcW w:w="1261" w:type="dxa"/>
            <w:tcBorders>
              <w:top w:val="single" w:color="auto" w:sz="4" w:space="0"/>
            </w:tcBorders>
            <w:shd w:val="clear" w:color="auto" w:fill="auto"/>
          </w:tcPr>
          <w:p w:rsidRPr="000B58F6" w:rsidR="00A92D0B" w:rsidP="00A92D0B" w:rsidRDefault="00A92D0B" w14:paraId="6C7B13CF" w14:textId="77777777">
            <w:pPr>
              <w:spacing w:before="60" w:after="60"/>
              <w:jc w:val="center"/>
              <w:rPr>
                <w:b/>
                <w:color w:val="000000"/>
              </w:rPr>
            </w:pPr>
            <w:r w:rsidRPr="000B58F6">
              <w:rPr>
                <w:b/>
                <w:color w:val="000000"/>
              </w:rPr>
              <w:t>Total $</w:t>
            </w:r>
          </w:p>
        </w:tc>
      </w:tr>
      <w:tr w:rsidRPr="000B58F6" w:rsidR="00A92D0B" w:rsidTr="00EB20A0" w14:paraId="25086E67" w14:textId="77777777">
        <w:trPr>
          <w:jc w:val="center"/>
        </w:trPr>
        <w:tc>
          <w:tcPr>
            <w:tcW w:w="1317" w:type="dxa"/>
            <w:shd w:val="clear" w:color="auto" w:fill="auto"/>
          </w:tcPr>
          <w:p w:rsidRPr="000B58F6" w:rsidR="00A92D0B" w:rsidP="003B6A1B" w:rsidRDefault="00560D4E" w14:paraId="386D0995" w14:textId="6C5F3810">
            <w:pPr>
              <w:spacing w:before="60" w:after="60"/>
              <w:rPr>
                <w:color w:val="000000"/>
              </w:rPr>
            </w:pPr>
            <w:r w:rsidRPr="000B58F6">
              <w:rPr>
                <w:color w:val="000000"/>
              </w:rPr>
              <w:lastRenderedPageBreak/>
              <w:t xml:space="preserve">Melissa W. </w:t>
            </w:r>
            <w:proofErr w:type="spellStart"/>
            <w:r w:rsidRPr="000B58F6">
              <w:rPr>
                <w:color w:val="000000"/>
              </w:rPr>
              <w:t>Kasnitz</w:t>
            </w:r>
            <w:proofErr w:type="spellEnd"/>
          </w:p>
        </w:tc>
        <w:tc>
          <w:tcPr>
            <w:tcW w:w="774" w:type="dxa"/>
            <w:shd w:val="clear" w:color="auto" w:fill="auto"/>
          </w:tcPr>
          <w:p w:rsidRPr="000B58F6" w:rsidR="00A92D0B" w:rsidP="003B6A1B" w:rsidRDefault="00E1331A" w14:paraId="4A155F1D" w14:textId="102A7FB4">
            <w:pPr>
              <w:spacing w:before="60" w:after="60"/>
              <w:rPr>
                <w:color w:val="000000"/>
              </w:rPr>
            </w:pPr>
            <w:r w:rsidRPr="000B58F6">
              <w:rPr>
                <w:color w:val="000000"/>
              </w:rPr>
              <w:t>2</w:t>
            </w:r>
            <w:r w:rsidR="00F75870">
              <w:rPr>
                <w:color w:val="000000"/>
              </w:rPr>
              <w:t>020</w:t>
            </w:r>
          </w:p>
        </w:tc>
        <w:tc>
          <w:tcPr>
            <w:tcW w:w="872" w:type="dxa"/>
            <w:gridSpan w:val="2"/>
            <w:shd w:val="clear" w:color="auto" w:fill="auto"/>
          </w:tcPr>
          <w:p w:rsidRPr="000B58F6" w:rsidR="00A92D0B" w:rsidP="00790FDF" w:rsidRDefault="00790FDF" w14:paraId="30EEA80A" w14:textId="3EC12ABE">
            <w:pPr>
              <w:spacing w:before="60" w:after="60"/>
              <w:jc w:val="center"/>
              <w:rPr>
                <w:color w:val="000000"/>
              </w:rPr>
            </w:pPr>
            <w:r>
              <w:rPr>
                <w:color w:val="000000"/>
              </w:rPr>
              <w:t>8.0</w:t>
            </w:r>
          </w:p>
        </w:tc>
        <w:tc>
          <w:tcPr>
            <w:tcW w:w="990" w:type="dxa"/>
            <w:shd w:val="clear" w:color="auto" w:fill="auto"/>
          </w:tcPr>
          <w:p w:rsidRPr="000B58F6" w:rsidR="00A92D0B" w:rsidP="003B6A1B" w:rsidRDefault="00F75870" w14:paraId="4EB14C91" w14:textId="301F04B2">
            <w:pPr>
              <w:spacing w:before="60" w:after="60"/>
              <w:rPr>
                <w:color w:val="000000"/>
              </w:rPr>
            </w:pPr>
            <w:r>
              <w:rPr>
                <w:color w:val="000000"/>
              </w:rPr>
              <w:t>$250</w:t>
            </w:r>
          </w:p>
        </w:tc>
        <w:tc>
          <w:tcPr>
            <w:tcW w:w="1532" w:type="dxa"/>
            <w:gridSpan w:val="2"/>
            <w:tcBorders>
              <w:right w:val="single" w:color="auto" w:sz="4" w:space="0"/>
            </w:tcBorders>
            <w:shd w:val="clear" w:color="auto" w:fill="auto"/>
          </w:tcPr>
          <w:p w:rsidRPr="000B58F6" w:rsidR="00A92D0B" w:rsidP="003B6A1B" w:rsidRDefault="00D67228" w14:paraId="02D334B7" w14:textId="1129A2C4">
            <w:pPr>
              <w:spacing w:before="60" w:after="60"/>
              <w:rPr>
                <w:color w:val="000000"/>
              </w:rPr>
            </w:pPr>
            <w:r w:rsidRPr="000B58F6">
              <w:rPr>
                <w:color w:val="000000"/>
              </w:rPr>
              <w:t>½ standard requested rate</w:t>
            </w:r>
            <w:r w:rsidR="00F75870">
              <w:rPr>
                <w:color w:val="000000"/>
              </w:rPr>
              <w:t>, rounded down for convenience</w:t>
            </w:r>
          </w:p>
        </w:tc>
        <w:tc>
          <w:tcPr>
            <w:tcW w:w="1530" w:type="dxa"/>
            <w:gridSpan w:val="2"/>
            <w:tcBorders>
              <w:top w:val="single" w:color="auto" w:sz="4" w:space="0"/>
              <w:left w:val="single" w:color="auto" w:sz="4" w:space="0"/>
              <w:bottom w:val="single" w:color="auto" w:sz="4" w:space="0"/>
              <w:right w:val="single" w:color="auto" w:sz="24" w:space="0"/>
            </w:tcBorders>
            <w:shd w:val="clear" w:color="auto" w:fill="auto"/>
          </w:tcPr>
          <w:p w:rsidRPr="000B58F6" w:rsidR="00A92D0B" w:rsidP="006A2380" w:rsidRDefault="00B622DA" w14:paraId="7B9A0261" w14:textId="335F05A9">
            <w:pPr>
              <w:spacing w:before="60" w:after="60"/>
              <w:jc w:val="center"/>
              <w:rPr>
                <w:color w:val="000000"/>
              </w:rPr>
            </w:pPr>
            <w:r>
              <w:rPr>
                <w:color w:val="000000"/>
              </w:rPr>
              <w:t>$2</w:t>
            </w:r>
            <w:r w:rsidR="006A2380">
              <w:rPr>
                <w:color w:val="000000"/>
              </w:rPr>
              <w:t>,000</w:t>
            </w:r>
          </w:p>
        </w:tc>
        <w:tc>
          <w:tcPr>
            <w:tcW w:w="810" w:type="dxa"/>
            <w:tcBorders>
              <w:left w:val="single" w:color="auto" w:sz="4" w:space="0"/>
              <w:right w:val="single" w:color="auto" w:sz="4" w:space="0"/>
            </w:tcBorders>
            <w:shd w:val="clear" w:color="auto" w:fill="auto"/>
          </w:tcPr>
          <w:p w:rsidRPr="000B58F6" w:rsidR="00A92D0B" w:rsidP="003B6A1B" w:rsidRDefault="00694DEA" w14:paraId="5E5A4264" w14:textId="0247C7C1">
            <w:pPr>
              <w:spacing w:before="60" w:after="60"/>
              <w:rPr>
                <w:color w:val="000000"/>
              </w:rPr>
            </w:pPr>
            <w:r>
              <w:rPr>
                <w:color w:val="000000"/>
              </w:rPr>
              <w:t>8.0</w:t>
            </w:r>
          </w:p>
        </w:tc>
        <w:tc>
          <w:tcPr>
            <w:tcW w:w="1350" w:type="dxa"/>
            <w:tcBorders>
              <w:left w:val="single" w:color="auto" w:sz="4" w:space="0"/>
            </w:tcBorders>
            <w:shd w:val="clear" w:color="auto" w:fill="auto"/>
          </w:tcPr>
          <w:p w:rsidRPr="000B58F6" w:rsidR="00A92D0B" w:rsidP="003B6A1B" w:rsidRDefault="00694DEA" w14:paraId="47B1F089" w14:textId="2DB9F024">
            <w:pPr>
              <w:spacing w:before="60" w:after="60"/>
              <w:rPr>
                <w:color w:val="000000"/>
              </w:rPr>
            </w:pPr>
            <w:r>
              <w:rPr>
                <w:color w:val="000000"/>
              </w:rPr>
              <w:t>$252.50</w:t>
            </w:r>
            <w:r w:rsidR="006B00D2">
              <w:rPr>
                <w:color w:val="000000"/>
              </w:rPr>
              <w:t xml:space="preserve"> </w:t>
            </w:r>
            <w:r>
              <w:rPr>
                <w:color w:val="000000"/>
              </w:rPr>
              <w:t>[1]</w:t>
            </w:r>
          </w:p>
        </w:tc>
        <w:tc>
          <w:tcPr>
            <w:tcW w:w="1261" w:type="dxa"/>
            <w:shd w:val="clear" w:color="auto" w:fill="auto"/>
          </w:tcPr>
          <w:p w:rsidRPr="000B58F6" w:rsidR="00A92D0B" w:rsidP="003B6A1B" w:rsidRDefault="00EB20A0" w14:paraId="10659B6D" w14:textId="5D45E1C3">
            <w:pPr>
              <w:spacing w:before="60" w:after="60"/>
              <w:rPr>
                <w:color w:val="000000"/>
              </w:rPr>
            </w:pPr>
            <w:r w:rsidRPr="00EB20A0">
              <w:rPr>
                <w:color w:val="000000"/>
              </w:rPr>
              <w:t>$2,020.00</w:t>
            </w:r>
          </w:p>
        </w:tc>
      </w:tr>
      <w:tr w:rsidRPr="000B58F6" w:rsidR="00E15DC3" w:rsidTr="00B9784F" w14:paraId="266CEDD5" w14:textId="77777777">
        <w:trPr>
          <w:jc w:val="center"/>
        </w:trPr>
        <w:tc>
          <w:tcPr>
            <w:tcW w:w="7015" w:type="dxa"/>
            <w:gridSpan w:val="9"/>
            <w:tcBorders>
              <w:bottom w:val="single" w:color="auto" w:sz="4" w:space="0"/>
              <w:right w:val="single" w:color="auto" w:sz="24" w:space="0"/>
            </w:tcBorders>
            <w:shd w:val="clear" w:color="auto" w:fill="auto"/>
            <w:vAlign w:val="bottom"/>
          </w:tcPr>
          <w:p w:rsidRPr="000B58F6" w:rsidR="00E15DC3" w:rsidP="003B6A1B" w:rsidRDefault="00E15DC3" w14:paraId="4A1F5988" w14:textId="14E0410F">
            <w:pPr>
              <w:tabs>
                <w:tab w:val="left" w:pos="957"/>
              </w:tabs>
              <w:spacing w:before="60" w:after="60"/>
              <w:ind w:right="162"/>
              <w:jc w:val="right"/>
              <w:rPr>
                <w:b/>
                <w:i/>
                <w:color w:val="000000"/>
              </w:rPr>
            </w:pPr>
            <w:r w:rsidRPr="000B58F6">
              <w:rPr>
                <w:b/>
                <w:i/>
                <w:color w:val="000000"/>
              </w:rPr>
              <w:t>Subtotal: $</w:t>
            </w:r>
            <w:r w:rsidR="00B622DA">
              <w:rPr>
                <w:b/>
                <w:i/>
                <w:color w:val="000000"/>
              </w:rPr>
              <w:t>2</w:t>
            </w:r>
            <w:r w:rsidR="006A2380">
              <w:rPr>
                <w:b/>
                <w:i/>
                <w:color w:val="000000"/>
              </w:rPr>
              <w:t>,000</w:t>
            </w:r>
          </w:p>
        </w:tc>
        <w:tc>
          <w:tcPr>
            <w:tcW w:w="3421" w:type="dxa"/>
            <w:gridSpan w:val="3"/>
            <w:tcBorders>
              <w:left w:val="single" w:color="auto" w:sz="24" w:space="0"/>
              <w:bottom w:val="single" w:color="auto" w:sz="4" w:space="0"/>
            </w:tcBorders>
            <w:shd w:val="clear" w:color="auto" w:fill="auto"/>
            <w:vAlign w:val="bottom"/>
          </w:tcPr>
          <w:p w:rsidRPr="000B58F6" w:rsidR="00E15DC3" w:rsidP="00691528" w:rsidRDefault="00E15DC3" w14:paraId="2FBAA587" w14:textId="116E4B8B">
            <w:pPr>
              <w:tabs>
                <w:tab w:val="left" w:pos="957"/>
              </w:tabs>
              <w:spacing w:before="60" w:after="60"/>
              <w:ind w:right="162"/>
              <w:jc w:val="right"/>
              <w:rPr>
                <w:b/>
                <w:i/>
                <w:color w:val="000000"/>
              </w:rPr>
            </w:pPr>
            <w:r w:rsidRPr="000B58F6">
              <w:rPr>
                <w:b/>
                <w:i/>
                <w:color w:val="000000"/>
              </w:rPr>
              <w:t>Subtotal:</w:t>
            </w:r>
            <w:r w:rsidR="00EB20A0">
              <w:rPr>
                <w:b/>
                <w:i/>
                <w:color w:val="000000"/>
              </w:rPr>
              <w:t xml:space="preserve"> </w:t>
            </w:r>
            <w:r w:rsidRPr="00EB20A0" w:rsidR="00EB20A0">
              <w:rPr>
                <w:b/>
                <w:i/>
                <w:color w:val="000000"/>
              </w:rPr>
              <w:t>$2,020.00</w:t>
            </w:r>
          </w:p>
        </w:tc>
      </w:tr>
      <w:tr w:rsidRPr="000B58F6" w:rsidR="003B6A1B" w:rsidTr="00B9784F" w14:paraId="06E7371A" w14:textId="77777777">
        <w:trPr>
          <w:jc w:val="center"/>
        </w:trPr>
        <w:tc>
          <w:tcPr>
            <w:tcW w:w="7015" w:type="dxa"/>
            <w:gridSpan w:val="9"/>
            <w:tcBorders>
              <w:top w:val="single" w:color="auto" w:sz="4" w:space="0"/>
              <w:bottom w:val="single" w:color="auto" w:sz="4" w:space="0"/>
              <w:right w:val="single" w:color="auto" w:sz="24" w:space="0"/>
            </w:tcBorders>
            <w:shd w:val="clear" w:color="auto" w:fill="E6E6E6"/>
            <w:vAlign w:val="bottom"/>
          </w:tcPr>
          <w:p w:rsidRPr="000B58F6" w:rsidR="003B6A1B" w:rsidP="00FE3BAE" w:rsidRDefault="003B6A1B" w14:paraId="11B3B704" w14:textId="030F0C37">
            <w:pPr>
              <w:tabs>
                <w:tab w:val="left" w:pos="957"/>
              </w:tabs>
              <w:spacing w:before="60" w:after="60"/>
              <w:ind w:right="72"/>
              <w:jc w:val="right"/>
              <w:rPr>
                <w:b/>
                <w:color w:val="000000"/>
              </w:rPr>
            </w:pPr>
            <w:r w:rsidRPr="000B58F6">
              <w:rPr>
                <w:b/>
                <w:i/>
                <w:color w:val="000000"/>
              </w:rPr>
              <w:t>TOTAL REQUEST: $</w:t>
            </w:r>
            <w:r w:rsidR="00B622DA">
              <w:rPr>
                <w:b/>
                <w:i/>
                <w:color w:val="000000"/>
              </w:rPr>
              <w:t>21</w:t>
            </w:r>
            <w:r w:rsidR="006A2380">
              <w:rPr>
                <w:b/>
                <w:i/>
                <w:color w:val="000000"/>
              </w:rPr>
              <w:t>,201.50</w:t>
            </w:r>
          </w:p>
        </w:tc>
        <w:tc>
          <w:tcPr>
            <w:tcW w:w="3421" w:type="dxa"/>
            <w:gridSpan w:val="3"/>
            <w:tcBorders>
              <w:left w:val="single" w:color="auto" w:sz="24" w:space="0"/>
            </w:tcBorders>
            <w:shd w:val="clear" w:color="auto" w:fill="E6E6E6"/>
            <w:vAlign w:val="bottom"/>
          </w:tcPr>
          <w:p w:rsidRPr="000B58F6" w:rsidR="003B6A1B" w:rsidP="00FE3BAE" w:rsidRDefault="003B6A1B" w14:paraId="3680D139" w14:textId="0495A695">
            <w:pPr>
              <w:tabs>
                <w:tab w:val="left" w:pos="957"/>
              </w:tabs>
              <w:spacing w:before="60" w:after="60"/>
              <w:ind w:right="72"/>
              <w:jc w:val="right"/>
              <w:rPr>
                <w:b/>
                <w:color w:val="000000"/>
              </w:rPr>
            </w:pPr>
            <w:r w:rsidRPr="000B58F6">
              <w:rPr>
                <w:b/>
                <w:i/>
                <w:color w:val="000000"/>
              </w:rPr>
              <w:t xml:space="preserve">TOTAL AWARD: </w:t>
            </w:r>
            <w:r w:rsidRPr="00EB20A0" w:rsidR="00EB20A0">
              <w:rPr>
                <w:b/>
                <w:i/>
                <w:color w:val="000000"/>
              </w:rPr>
              <w:t>$21,087.50</w:t>
            </w:r>
          </w:p>
        </w:tc>
      </w:tr>
      <w:tr w:rsidRPr="000B58F6" w:rsidR="006B00D2" w:rsidTr="006B00D2" w14:paraId="0C06200C" w14:textId="77777777">
        <w:trPr>
          <w:jc w:val="center"/>
        </w:trPr>
        <w:tc>
          <w:tcPr>
            <w:tcW w:w="10436" w:type="dxa"/>
            <w:gridSpan w:val="12"/>
            <w:tcBorders>
              <w:top w:val="single" w:color="auto" w:sz="4" w:space="0"/>
              <w:left w:val="single" w:color="auto" w:sz="4" w:space="0"/>
              <w:bottom w:val="single" w:color="auto" w:sz="4" w:space="0"/>
              <w:right w:val="single" w:color="auto" w:sz="4" w:space="0"/>
            </w:tcBorders>
            <w:shd w:val="clear" w:color="auto" w:fill="auto"/>
          </w:tcPr>
          <w:p w:rsidRPr="007F620E" w:rsidR="006B00D2" w:rsidP="006B00D2" w:rsidRDefault="006B00D2" w14:paraId="43F08017" w14:textId="77777777">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0B58F6" w:rsidR="006B00D2" w:rsidP="006B00D2" w:rsidRDefault="006B00D2" w14:paraId="63D8B78A" w14:textId="7C6ED46F">
            <w:pPr>
              <w:spacing w:before="60" w:after="60"/>
              <w:rPr>
                <w:b/>
                <w:smallCaps/>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p>
        </w:tc>
      </w:tr>
      <w:tr w:rsidRPr="000B58F6" w:rsidR="003B6A1B" w:rsidTr="007921F7" w14:paraId="458B01A4" w14:textId="77777777">
        <w:trPr>
          <w:jc w:val="center"/>
        </w:trPr>
        <w:tc>
          <w:tcPr>
            <w:tcW w:w="10436"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B58F6" w:rsidR="003B6A1B" w:rsidP="00DD52BB" w:rsidRDefault="003B6A1B" w14:paraId="48B43CBD" w14:textId="77777777">
            <w:pPr>
              <w:spacing w:before="60" w:after="60"/>
              <w:jc w:val="center"/>
              <w:rPr>
                <w:b/>
                <w:smallCaps/>
                <w:color w:val="000000"/>
              </w:rPr>
            </w:pPr>
            <w:r w:rsidRPr="000B58F6">
              <w:rPr>
                <w:b/>
                <w:smallCaps/>
                <w:color w:val="000000"/>
              </w:rPr>
              <w:t>ATTORNEY INFORMATION</w:t>
            </w:r>
          </w:p>
        </w:tc>
      </w:tr>
      <w:tr w:rsidRPr="000B58F6" w:rsidR="003B6A1B" w:rsidTr="00F75870" w14:paraId="790C92C0" w14:textId="77777777">
        <w:trPr>
          <w:trHeight w:val="173"/>
          <w:jc w:val="center"/>
        </w:trPr>
        <w:tc>
          <w:tcPr>
            <w:tcW w:w="2451" w:type="dxa"/>
            <w:gridSpan w:val="3"/>
            <w:tcBorders>
              <w:top w:val="single" w:color="auto" w:sz="4" w:space="0"/>
              <w:bottom w:val="single" w:color="auto" w:sz="4" w:space="0"/>
            </w:tcBorders>
            <w:shd w:val="clear" w:color="auto" w:fill="FFFFFF"/>
          </w:tcPr>
          <w:p w:rsidRPr="000B58F6" w:rsidR="003B6A1B" w:rsidP="00DD52BB" w:rsidRDefault="003B6A1B" w14:paraId="00CAC866" w14:textId="77777777">
            <w:pPr>
              <w:keepNext/>
              <w:keepLines/>
              <w:spacing w:before="60" w:after="60"/>
              <w:jc w:val="center"/>
              <w:rPr>
                <w:b/>
                <w:color w:val="000000"/>
              </w:rPr>
            </w:pPr>
            <w:r w:rsidRPr="000B58F6">
              <w:rPr>
                <w:b/>
              </w:rPr>
              <w:t>Attorney</w:t>
            </w:r>
          </w:p>
        </w:tc>
        <w:tc>
          <w:tcPr>
            <w:tcW w:w="1800" w:type="dxa"/>
            <w:gridSpan w:val="3"/>
            <w:tcBorders>
              <w:top w:val="single" w:color="auto" w:sz="4" w:space="0"/>
              <w:bottom w:val="single" w:color="auto" w:sz="4" w:space="0"/>
            </w:tcBorders>
            <w:shd w:val="clear" w:color="auto" w:fill="FFFFFF"/>
          </w:tcPr>
          <w:p w:rsidRPr="000B58F6" w:rsidR="003B6A1B" w:rsidP="00DD52BB" w:rsidRDefault="003B6A1B" w14:paraId="7E76A008" w14:textId="77777777">
            <w:pPr>
              <w:keepNext/>
              <w:keepLines/>
              <w:spacing w:before="60" w:after="60"/>
              <w:jc w:val="center"/>
              <w:rPr>
                <w:b/>
                <w:color w:val="000000"/>
              </w:rPr>
            </w:pPr>
            <w:r w:rsidRPr="000B58F6">
              <w:rPr>
                <w:b/>
              </w:rPr>
              <w:t>Date Admitted to CA BAR</w:t>
            </w:r>
            <w:r w:rsidRPr="000B58F6">
              <w:rPr>
                <w:rStyle w:val="FootnoteReference"/>
                <w:b/>
              </w:rPr>
              <w:footnoteReference w:id="4"/>
            </w:r>
          </w:p>
        </w:tc>
        <w:tc>
          <w:tcPr>
            <w:tcW w:w="2158" w:type="dxa"/>
            <w:gridSpan w:val="2"/>
            <w:tcBorders>
              <w:top w:val="single" w:color="auto" w:sz="4" w:space="0"/>
              <w:bottom w:val="single" w:color="auto" w:sz="4" w:space="0"/>
            </w:tcBorders>
            <w:shd w:val="clear" w:color="auto" w:fill="FFFFFF"/>
          </w:tcPr>
          <w:p w:rsidRPr="000B58F6" w:rsidR="003B6A1B" w:rsidP="00DD52BB" w:rsidRDefault="003B6A1B" w14:paraId="27E64ED7" w14:textId="77777777">
            <w:pPr>
              <w:keepNext/>
              <w:keepLines/>
              <w:spacing w:before="60" w:after="60"/>
              <w:jc w:val="center"/>
              <w:rPr>
                <w:b/>
                <w:color w:val="000000"/>
              </w:rPr>
            </w:pPr>
            <w:r w:rsidRPr="000B58F6">
              <w:rPr>
                <w:b/>
              </w:rPr>
              <w:t>Member Number</w:t>
            </w:r>
          </w:p>
        </w:tc>
        <w:tc>
          <w:tcPr>
            <w:tcW w:w="4027" w:type="dxa"/>
            <w:gridSpan w:val="4"/>
            <w:tcBorders>
              <w:top w:val="single" w:color="auto" w:sz="4" w:space="0"/>
              <w:bottom w:val="single" w:color="auto" w:sz="4" w:space="0"/>
            </w:tcBorders>
            <w:shd w:val="clear" w:color="auto" w:fill="FFFFFF"/>
          </w:tcPr>
          <w:p w:rsidRPr="000B58F6" w:rsidR="003B6A1B" w:rsidP="00C16981" w:rsidRDefault="003B6A1B" w14:paraId="496B5DC1" w14:textId="77777777">
            <w:pPr>
              <w:keepNext/>
              <w:keepLines/>
              <w:spacing w:before="60" w:after="60"/>
              <w:jc w:val="center"/>
              <w:rPr>
                <w:b/>
              </w:rPr>
            </w:pPr>
            <w:r w:rsidRPr="000B58F6">
              <w:rPr>
                <w:b/>
              </w:rPr>
              <w:t>Actions Affecting Eligibility (Yes/No?)</w:t>
            </w:r>
          </w:p>
          <w:p w:rsidRPr="000B58F6" w:rsidR="003B6A1B" w:rsidP="00DD52BB" w:rsidRDefault="003B6A1B" w14:paraId="36F8922D" w14:textId="77777777">
            <w:pPr>
              <w:keepNext/>
              <w:keepLines/>
              <w:spacing w:before="60" w:after="60"/>
              <w:jc w:val="center"/>
              <w:rPr>
                <w:b/>
                <w:color w:val="000000"/>
              </w:rPr>
            </w:pPr>
            <w:r w:rsidRPr="000B58F6">
              <w:rPr>
                <w:b/>
              </w:rPr>
              <w:t>If “Yes”, attach explanation</w:t>
            </w:r>
          </w:p>
        </w:tc>
      </w:tr>
      <w:tr w:rsidRPr="000B58F6" w:rsidR="003B6A1B" w:rsidTr="00AE6A45" w14:paraId="4DC5EE9B" w14:textId="77777777">
        <w:trPr>
          <w:trHeight w:val="172"/>
          <w:jc w:val="center"/>
        </w:trPr>
        <w:tc>
          <w:tcPr>
            <w:tcW w:w="2451" w:type="dxa"/>
            <w:gridSpan w:val="3"/>
            <w:tcBorders>
              <w:top w:val="single" w:color="auto" w:sz="4" w:space="0"/>
              <w:bottom w:val="single" w:color="auto" w:sz="4" w:space="0"/>
            </w:tcBorders>
            <w:shd w:val="clear" w:color="auto" w:fill="auto"/>
          </w:tcPr>
          <w:p w:rsidRPr="000B58F6" w:rsidR="003B6A1B" w:rsidP="00DD52BB" w:rsidRDefault="00E1331A" w14:paraId="7266B7BF" w14:textId="66EABFD5">
            <w:pPr>
              <w:keepNext/>
              <w:keepLines/>
              <w:spacing w:before="60" w:after="60"/>
              <w:jc w:val="center"/>
              <w:rPr>
                <w:color w:val="000000"/>
              </w:rPr>
            </w:pPr>
            <w:r w:rsidRPr="000B58F6">
              <w:rPr>
                <w:color w:val="000000"/>
              </w:rPr>
              <w:t xml:space="preserve">Melissa W. </w:t>
            </w:r>
            <w:proofErr w:type="spellStart"/>
            <w:r w:rsidRPr="000B58F6">
              <w:rPr>
                <w:color w:val="000000"/>
              </w:rPr>
              <w:t>Kasnitz</w:t>
            </w:r>
            <w:proofErr w:type="spellEnd"/>
          </w:p>
        </w:tc>
        <w:tc>
          <w:tcPr>
            <w:tcW w:w="1800" w:type="dxa"/>
            <w:gridSpan w:val="3"/>
            <w:tcBorders>
              <w:top w:val="single" w:color="auto" w:sz="4" w:space="0"/>
              <w:bottom w:val="single" w:color="auto" w:sz="4" w:space="0"/>
            </w:tcBorders>
            <w:shd w:val="clear" w:color="auto" w:fill="auto"/>
          </w:tcPr>
          <w:p w:rsidRPr="000B58F6" w:rsidR="003B6A1B" w:rsidP="00DD52BB" w:rsidRDefault="00E1331A" w14:paraId="69A41F15" w14:textId="1863FCBE">
            <w:pPr>
              <w:keepNext/>
              <w:keepLines/>
              <w:spacing w:before="60" w:after="60"/>
              <w:jc w:val="center"/>
              <w:rPr>
                <w:color w:val="000000"/>
              </w:rPr>
            </w:pPr>
            <w:r w:rsidRPr="000B58F6">
              <w:rPr>
                <w:color w:val="000000"/>
              </w:rPr>
              <w:t>December, 1992</w:t>
            </w:r>
          </w:p>
        </w:tc>
        <w:tc>
          <w:tcPr>
            <w:tcW w:w="2158" w:type="dxa"/>
            <w:gridSpan w:val="2"/>
            <w:tcBorders>
              <w:top w:val="single" w:color="auto" w:sz="4" w:space="0"/>
              <w:bottom w:val="single" w:color="auto" w:sz="4" w:space="0"/>
            </w:tcBorders>
            <w:shd w:val="clear" w:color="auto" w:fill="auto"/>
          </w:tcPr>
          <w:p w:rsidRPr="000B58F6" w:rsidR="003B6A1B" w:rsidP="00DD52BB" w:rsidRDefault="00E1331A" w14:paraId="58495CD7" w14:textId="0ED45D00">
            <w:pPr>
              <w:keepNext/>
              <w:keepLines/>
              <w:spacing w:before="60" w:after="60"/>
              <w:jc w:val="center"/>
              <w:rPr>
                <w:color w:val="000000"/>
              </w:rPr>
            </w:pPr>
            <w:r w:rsidRPr="000B58F6">
              <w:rPr>
                <w:color w:val="000000"/>
              </w:rPr>
              <w:t>162679</w:t>
            </w:r>
          </w:p>
        </w:tc>
        <w:tc>
          <w:tcPr>
            <w:tcW w:w="4027" w:type="dxa"/>
            <w:gridSpan w:val="4"/>
            <w:tcBorders>
              <w:top w:val="single" w:color="auto" w:sz="4" w:space="0"/>
              <w:bottom w:val="single" w:color="auto" w:sz="4" w:space="0"/>
            </w:tcBorders>
            <w:shd w:val="clear" w:color="auto" w:fill="auto"/>
          </w:tcPr>
          <w:p w:rsidRPr="000B58F6" w:rsidR="003B6A1B" w:rsidP="00DD52BB" w:rsidRDefault="001F1A7F" w14:paraId="117B99BF" w14:textId="33643858">
            <w:pPr>
              <w:keepNext/>
              <w:keepLines/>
              <w:spacing w:before="60" w:after="60"/>
              <w:jc w:val="center"/>
              <w:rPr>
                <w:color w:val="000000"/>
              </w:rPr>
            </w:pPr>
            <w:r>
              <w:rPr>
                <w:color w:val="000000"/>
              </w:rPr>
              <w:t>No</w:t>
            </w:r>
          </w:p>
        </w:tc>
      </w:tr>
    </w:tbl>
    <w:p w:rsidRPr="006B00D2" w:rsidR="0022302F" w:rsidP="0022302F" w:rsidRDefault="00A92D0B" w14:paraId="67A6CABA" w14:textId="744BC8A0">
      <w:pPr>
        <w:numPr>
          <w:ilvl w:val="0"/>
          <w:numId w:val="2"/>
        </w:numPr>
        <w:tabs>
          <w:tab w:val="clear" w:pos="900"/>
          <w:tab w:val="num" w:pos="360"/>
        </w:tabs>
        <w:spacing w:before="240"/>
        <w:ind w:left="360"/>
        <w:rPr>
          <w:b/>
          <w:color w:val="000000"/>
        </w:rPr>
      </w:pPr>
      <w:r w:rsidRPr="000B58F6">
        <w:rPr>
          <w:b/>
        </w:rPr>
        <w:t>Attachments Documenting Specific Claim and Comments on Part III</w:t>
      </w:r>
      <w:r w:rsidRPr="000B58F6" w:rsidR="00C02649">
        <w:rPr>
          <w:b/>
        </w:rPr>
        <w:t>:</w:t>
      </w:r>
    </w:p>
    <w:p w:rsidRPr="006B00D2" w:rsidR="006B00D2" w:rsidP="006B00D2" w:rsidRDefault="006B00D2" w14:paraId="089EDD54" w14:textId="77777777">
      <w:pPr>
        <w:spacing w:after="240"/>
        <w:rPr>
          <w:b/>
          <w:i/>
          <w:color w:val="000000"/>
          <w:u w:val="single"/>
        </w:rPr>
      </w:pPr>
      <w:r w:rsidRPr="006B00D2">
        <w:rPr>
          <w:b/>
          <w:i/>
          <w:color w:val="000000"/>
          <w:u w:val="single"/>
        </w:rPr>
        <w:t>(Intervenor completes; attachments not attached to final Decision)</w:t>
      </w:r>
    </w:p>
    <w:p w:rsidRPr="000B58F6" w:rsidR="00D5679D" w:rsidP="00D5679D" w:rsidRDefault="00D5679D" w14:paraId="04D46A24" w14:textId="77777777">
      <w:pPr>
        <w:spacing w:before="240"/>
        <w:ind w:left="360"/>
        <w:rPr>
          <w:b/>
          <w:color w:val="000000"/>
        </w:rPr>
      </w:pPr>
    </w:p>
    <w:tbl>
      <w:tblPr>
        <w:tblW w:w="992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3"/>
        <w:gridCol w:w="8010"/>
      </w:tblGrid>
      <w:tr w:rsidRPr="000B58F6" w:rsidR="00A92D0B" w:rsidTr="007921F7" w14:paraId="0C2B760A" w14:textId="77777777">
        <w:tc>
          <w:tcPr>
            <w:tcW w:w="1913" w:type="dxa"/>
            <w:shd w:val="clear" w:color="auto" w:fill="D9D9D9" w:themeFill="background1" w:themeFillShade="D9"/>
          </w:tcPr>
          <w:p w:rsidRPr="000B58F6" w:rsidR="00A92D0B" w:rsidP="00A92D0B" w:rsidRDefault="00A92D0B" w14:paraId="42A1D838" w14:textId="77777777">
            <w:pPr>
              <w:tabs>
                <w:tab w:val="left" w:pos="1260"/>
              </w:tabs>
              <w:spacing w:before="120"/>
              <w:jc w:val="center"/>
              <w:rPr>
                <w:b/>
                <w:color w:val="000000"/>
              </w:rPr>
            </w:pPr>
            <w:r w:rsidRPr="000B58F6">
              <w:rPr>
                <w:b/>
                <w:color w:val="000000"/>
              </w:rPr>
              <w:t xml:space="preserve">Attachment or </w:t>
            </w:r>
            <w:proofErr w:type="gramStart"/>
            <w:r w:rsidRPr="000B58F6">
              <w:rPr>
                <w:b/>
                <w:color w:val="000000"/>
              </w:rPr>
              <w:t>Comment  #</w:t>
            </w:r>
            <w:proofErr w:type="gramEnd"/>
          </w:p>
        </w:tc>
        <w:tc>
          <w:tcPr>
            <w:tcW w:w="8010" w:type="dxa"/>
            <w:tcBorders>
              <w:bottom w:val="single" w:color="auto" w:sz="4" w:space="0"/>
            </w:tcBorders>
            <w:shd w:val="clear" w:color="auto" w:fill="D9D9D9" w:themeFill="background1" w:themeFillShade="D9"/>
          </w:tcPr>
          <w:p w:rsidRPr="000B58F6" w:rsidR="00A92D0B" w:rsidP="00A92D0B" w:rsidRDefault="00A92D0B" w14:paraId="55F0A65F" w14:textId="77777777">
            <w:pPr>
              <w:tabs>
                <w:tab w:val="left" w:pos="1260"/>
              </w:tabs>
              <w:spacing w:before="120"/>
              <w:jc w:val="center"/>
              <w:rPr>
                <w:b/>
                <w:color w:val="000000"/>
              </w:rPr>
            </w:pPr>
            <w:r w:rsidRPr="000B58F6">
              <w:rPr>
                <w:b/>
                <w:color w:val="000000"/>
              </w:rPr>
              <w:t>Description/Comment</w:t>
            </w:r>
          </w:p>
        </w:tc>
      </w:tr>
      <w:tr w:rsidRPr="000B58F6" w:rsidR="00A92D0B" w:rsidTr="00AE0579" w14:paraId="71F47148" w14:textId="77777777">
        <w:tc>
          <w:tcPr>
            <w:tcW w:w="1913" w:type="dxa"/>
            <w:tcBorders>
              <w:bottom w:val="single" w:color="auto" w:sz="4" w:space="0"/>
            </w:tcBorders>
            <w:shd w:val="clear" w:color="auto" w:fill="auto"/>
          </w:tcPr>
          <w:p w:rsidRPr="000B58F6" w:rsidR="00A92D0B" w:rsidP="00D5679D" w:rsidRDefault="00A92D0B" w14:paraId="7A5C03D8" w14:textId="77777777">
            <w:pPr>
              <w:tabs>
                <w:tab w:val="left" w:pos="1260"/>
              </w:tabs>
              <w:spacing w:before="120"/>
              <w:jc w:val="center"/>
              <w:rPr>
                <w:color w:val="000000"/>
              </w:rPr>
            </w:pPr>
            <w:r w:rsidRPr="000B58F6">
              <w:rPr>
                <w:color w:val="000000"/>
              </w:rPr>
              <w:t>1</w:t>
            </w:r>
          </w:p>
        </w:tc>
        <w:tc>
          <w:tcPr>
            <w:tcW w:w="8010" w:type="dxa"/>
            <w:tcBorders>
              <w:bottom w:val="single" w:color="auto" w:sz="4" w:space="0"/>
            </w:tcBorders>
            <w:shd w:val="clear" w:color="auto" w:fill="auto"/>
          </w:tcPr>
          <w:p w:rsidRPr="000B58F6" w:rsidR="00A92D0B" w:rsidP="00A92D0B" w:rsidRDefault="00A92D0B" w14:paraId="370C67BC" w14:textId="77777777">
            <w:pPr>
              <w:tabs>
                <w:tab w:val="left" w:pos="1260"/>
              </w:tabs>
              <w:spacing w:before="120"/>
              <w:rPr>
                <w:color w:val="000000"/>
              </w:rPr>
            </w:pPr>
            <w:r w:rsidRPr="000B58F6">
              <w:rPr>
                <w:color w:val="000000"/>
              </w:rPr>
              <w:t>Certificate of Service</w:t>
            </w:r>
          </w:p>
        </w:tc>
      </w:tr>
      <w:tr w:rsidRPr="000B58F6" w:rsidR="00A92D0B" w:rsidTr="00AE0579" w14:paraId="72C869B0" w14:textId="77777777">
        <w:tc>
          <w:tcPr>
            <w:tcW w:w="1913" w:type="dxa"/>
            <w:shd w:val="clear" w:color="auto" w:fill="auto"/>
          </w:tcPr>
          <w:p w:rsidRPr="000B58F6" w:rsidR="00A92D0B" w:rsidP="00D5679D" w:rsidRDefault="0022302F" w14:paraId="49AADD21" w14:textId="77777777">
            <w:pPr>
              <w:tabs>
                <w:tab w:val="left" w:pos="1260"/>
              </w:tabs>
              <w:spacing w:before="120"/>
              <w:jc w:val="center"/>
              <w:rPr>
                <w:color w:val="000000"/>
              </w:rPr>
            </w:pPr>
            <w:r w:rsidRPr="000B58F6">
              <w:rPr>
                <w:color w:val="000000"/>
              </w:rPr>
              <w:t>2</w:t>
            </w:r>
          </w:p>
        </w:tc>
        <w:tc>
          <w:tcPr>
            <w:tcW w:w="8010" w:type="dxa"/>
            <w:shd w:val="clear" w:color="auto" w:fill="auto"/>
          </w:tcPr>
          <w:p w:rsidRPr="000B58F6" w:rsidR="00A92D0B" w:rsidP="00A92D0B" w:rsidRDefault="006E60F7" w14:paraId="3AF20C23" w14:textId="32269AC8">
            <w:pPr>
              <w:tabs>
                <w:tab w:val="left" w:pos="1260"/>
              </w:tabs>
              <w:spacing w:before="120"/>
              <w:rPr>
                <w:b/>
                <w:color w:val="000000"/>
              </w:rPr>
            </w:pPr>
            <w:r w:rsidRPr="000B58F6">
              <w:rPr>
                <w:b/>
                <w:color w:val="000000"/>
              </w:rPr>
              <w:t>Detailed Time Records (including Merits Time</w:t>
            </w:r>
            <w:r w:rsidR="00AB4235">
              <w:rPr>
                <w:b/>
                <w:color w:val="000000"/>
              </w:rPr>
              <w:t xml:space="preserve"> for work on Phase 5</w:t>
            </w:r>
            <w:r w:rsidRPr="000B58F6">
              <w:rPr>
                <w:b/>
                <w:color w:val="000000"/>
              </w:rPr>
              <w:t xml:space="preserve"> and time spent on this compensation request)</w:t>
            </w:r>
          </w:p>
        </w:tc>
      </w:tr>
    </w:tbl>
    <w:p w:rsidRPr="000B58F6" w:rsidR="00A92D0B" w:rsidP="00F81778" w:rsidRDefault="00F81778" w14:paraId="0D8B7003" w14:textId="00C6110A">
      <w:pPr>
        <w:spacing w:before="240" w:after="240"/>
        <w:ind w:left="540" w:hanging="540"/>
        <w:rPr>
          <w:b/>
          <w:color w:val="000000"/>
        </w:rPr>
      </w:pPr>
      <w:r w:rsidRPr="000B58F6">
        <w:rPr>
          <w:b/>
          <w:color w:val="000000"/>
        </w:rPr>
        <w:t xml:space="preserve">D.  </w:t>
      </w:r>
      <w:r w:rsidRPr="000B58F6" w:rsidR="00A92D0B">
        <w:rPr>
          <w:b/>
          <w:color w:val="000000"/>
        </w:rPr>
        <w:t xml:space="preserve">CPUC </w:t>
      </w:r>
      <w:r w:rsidRPr="000B58F6" w:rsidR="008C09F7">
        <w:rPr>
          <w:b/>
          <w:color w:val="000000"/>
        </w:rPr>
        <w:t xml:space="preserve">Comments, </w:t>
      </w:r>
      <w:r w:rsidRPr="000B58F6" w:rsidR="00A92D0B">
        <w:rPr>
          <w:b/>
          <w:color w:val="000000"/>
        </w:rPr>
        <w:t>Disallowances</w:t>
      </w:r>
      <w:r w:rsidRPr="000B58F6" w:rsidR="008C09F7">
        <w:rPr>
          <w:b/>
          <w:color w:val="000000"/>
        </w:rPr>
        <w:t>,</w:t>
      </w:r>
      <w:r w:rsidRPr="000B58F6" w:rsidR="00D075B1">
        <w:rPr>
          <w:b/>
          <w:color w:val="000000"/>
        </w:rPr>
        <w:t xml:space="preserve"> </w:t>
      </w:r>
      <w:r w:rsidRPr="000B58F6" w:rsidR="00A319DE">
        <w:rPr>
          <w:b/>
          <w:color w:val="000000"/>
        </w:rPr>
        <w:t>and</w:t>
      </w:r>
      <w:r w:rsidRPr="000B58F6" w:rsidR="00D075B1">
        <w:rPr>
          <w:b/>
          <w:color w:val="000000"/>
        </w:rPr>
        <w:t xml:space="preserve"> </w:t>
      </w:r>
      <w:r w:rsidRPr="000B58F6" w:rsidR="00A92D0B">
        <w:rPr>
          <w:b/>
          <w:color w:val="000000"/>
        </w:rPr>
        <w:t xml:space="preserve">Adjustments </w:t>
      </w:r>
    </w:p>
    <w:tbl>
      <w:tblPr>
        <w:tblW w:w="9923"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13"/>
        <w:gridCol w:w="8010"/>
      </w:tblGrid>
      <w:tr w:rsidRPr="000B58F6" w:rsidR="00A92D0B" w:rsidTr="007921F7" w14:paraId="52CD0603" w14:textId="77777777">
        <w:tc>
          <w:tcPr>
            <w:tcW w:w="1913" w:type="dxa"/>
            <w:shd w:val="pct12" w:color="auto" w:fill="auto"/>
          </w:tcPr>
          <w:p w:rsidRPr="000B58F6" w:rsidR="00A92D0B" w:rsidP="00A92D0B" w:rsidRDefault="00072C81" w14:paraId="3954EC4C" w14:textId="77777777">
            <w:pPr>
              <w:tabs>
                <w:tab w:val="left" w:pos="1440"/>
              </w:tabs>
              <w:spacing w:before="120"/>
              <w:jc w:val="center"/>
              <w:rPr>
                <w:b/>
                <w:color w:val="000000"/>
              </w:rPr>
            </w:pPr>
            <w:r w:rsidRPr="000B58F6">
              <w:rPr>
                <w:b/>
                <w:color w:val="000000"/>
              </w:rPr>
              <w:t>Item</w:t>
            </w:r>
          </w:p>
        </w:tc>
        <w:tc>
          <w:tcPr>
            <w:tcW w:w="8010" w:type="dxa"/>
            <w:shd w:val="pct12" w:color="auto" w:fill="auto"/>
          </w:tcPr>
          <w:p w:rsidRPr="000B58F6" w:rsidR="00A92D0B" w:rsidP="00A92D0B" w:rsidRDefault="00A92D0B" w14:paraId="09F9E4D9" w14:textId="77777777">
            <w:pPr>
              <w:tabs>
                <w:tab w:val="left" w:pos="1440"/>
              </w:tabs>
              <w:spacing w:before="120"/>
              <w:jc w:val="center"/>
              <w:rPr>
                <w:b/>
                <w:color w:val="000000"/>
              </w:rPr>
            </w:pPr>
            <w:r w:rsidRPr="000B58F6">
              <w:rPr>
                <w:b/>
                <w:color w:val="000000"/>
              </w:rPr>
              <w:t>Reason</w:t>
            </w:r>
          </w:p>
        </w:tc>
      </w:tr>
      <w:tr w:rsidRPr="000B58F6" w:rsidR="00A92D0B" w:rsidTr="007921F7" w14:paraId="69DEE01C" w14:textId="77777777">
        <w:tc>
          <w:tcPr>
            <w:tcW w:w="1913" w:type="dxa"/>
            <w:shd w:val="clear" w:color="auto" w:fill="auto"/>
          </w:tcPr>
          <w:p w:rsidRPr="000B58F6" w:rsidR="00A92D0B" w:rsidP="00B9784F" w:rsidRDefault="00B9784F" w14:paraId="1E6C8F3D" w14:textId="373B558D">
            <w:pPr>
              <w:tabs>
                <w:tab w:val="left" w:pos="1440"/>
              </w:tabs>
              <w:spacing w:before="120"/>
              <w:jc w:val="center"/>
              <w:rPr>
                <w:color w:val="000000"/>
              </w:rPr>
            </w:pPr>
            <w:r>
              <w:rPr>
                <w:color w:val="000000"/>
              </w:rPr>
              <w:t>[1]</w:t>
            </w:r>
          </w:p>
        </w:tc>
        <w:tc>
          <w:tcPr>
            <w:tcW w:w="8010" w:type="dxa"/>
            <w:shd w:val="clear" w:color="auto" w:fill="auto"/>
          </w:tcPr>
          <w:p w:rsidRPr="000B58F6" w:rsidR="00A92D0B" w:rsidP="00721434" w:rsidRDefault="00721434" w14:paraId="45BFCB16" w14:textId="52E38656">
            <w:pPr>
              <w:tabs>
                <w:tab w:val="left" w:pos="2175"/>
              </w:tabs>
              <w:spacing w:before="120"/>
              <w:rPr>
                <w:color w:val="000000"/>
              </w:rPr>
            </w:pPr>
            <w:r w:rsidRPr="00721434">
              <w:rPr>
                <w:color w:val="000000"/>
              </w:rPr>
              <w:t xml:space="preserve">We have applied the 2020 COLA of 2.55% to </w:t>
            </w:r>
            <w:r>
              <w:rPr>
                <w:color w:val="000000"/>
              </w:rPr>
              <w:t xml:space="preserve">Melissa </w:t>
            </w:r>
            <w:proofErr w:type="spellStart"/>
            <w:r>
              <w:rPr>
                <w:color w:val="000000"/>
              </w:rPr>
              <w:t>Kasnitz</w:t>
            </w:r>
            <w:r w:rsidRPr="00721434">
              <w:rPr>
                <w:color w:val="000000"/>
              </w:rPr>
              <w:t>’s</w:t>
            </w:r>
            <w:proofErr w:type="spellEnd"/>
            <w:r w:rsidRPr="00721434">
              <w:rPr>
                <w:color w:val="000000"/>
              </w:rPr>
              <w:t xml:space="preserve"> requested rate of $49</w:t>
            </w:r>
            <w:r>
              <w:rPr>
                <w:color w:val="000000"/>
              </w:rPr>
              <w:t>0</w:t>
            </w:r>
            <w:r w:rsidRPr="00721434">
              <w:rPr>
                <w:color w:val="000000"/>
              </w:rPr>
              <w:t xml:space="preserve">.00, per Resolution ALJ-387. The application of the 2020 COLA, </w:t>
            </w:r>
            <w:r w:rsidRPr="00721434">
              <w:rPr>
                <w:color w:val="000000"/>
              </w:rPr>
              <w:lastRenderedPageBreak/>
              <w:t xml:space="preserve">rounded to the nearest $5 per D.08-04-010, brings </w:t>
            </w:r>
            <w:r>
              <w:rPr>
                <w:color w:val="000000"/>
              </w:rPr>
              <w:t xml:space="preserve">Melissa </w:t>
            </w:r>
            <w:proofErr w:type="spellStart"/>
            <w:r>
              <w:rPr>
                <w:color w:val="000000"/>
              </w:rPr>
              <w:t>Kasnitz</w:t>
            </w:r>
            <w:r w:rsidRPr="00721434">
              <w:rPr>
                <w:color w:val="000000"/>
              </w:rPr>
              <w:t>’s</w:t>
            </w:r>
            <w:proofErr w:type="spellEnd"/>
            <w:r w:rsidRPr="00721434">
              <w:rPr>
                <w:color w:val="000000"/>
              </w:rPr>
              <w:t xml:space="preserve"> 2020 Attorney rate to $5</w:t>
            </w:r>
            <w:r>
              <w:rPr>
                <w:color w:val="000000"/>
              </w:rPr>
              <w:t>05</w:t>
            </w:r>
            <w:r w:rsidRPr="00721434">
              <w:rPr>
                <w:color w:val="000000"/>
              </w:rPr>
              <w:t>.00.</w:t>
            </w:r>
            <w:r>
              <w:rPr>
                <w:color w:val="000000"/>
              </w:rPr>
              <w:t xml:space="preserve"> </w:t>
            </w:r>
          </w:p>
        </w:tc>
      </w:tr>
      <w:tr w:rsidRPr="000B58F6" w:rsidR="00B9784F" w:rsidTr="007921F7" w14:paraId="5322A15C" w14:textId="77777777">
        <w:tc>
          <w:tcPr>
            <w:tcW w:w="1913" w:type="dxa"/>
            <w:shd w:val="clear" w:color="auto" w:fill="auto"/>
          </w:tcPr>
          <w:p w:rsidRPr="000B58F6" w:rsidR="00B9784F" w:rsidP="00B9784F" w:rsidRDefault="00B9784F" w14:paraId="067D0675" w14:textId="116CB87C">
            <w:pPr>
              <w:tabs>
                <w:tab w:val="left" w:pos="1440"/>
              </w:tabs>
              <w:spacing w:before="120"/>
              <w:jc w:val="center"/>
              <w:rPr>
                <w:color w:val="000000"/>
              </w:rPr>
            </w:pPr>
            <w:r>
              <w:rPr>
                <w:color w:val="000000"/>
              </w:rPr>
              <w:lastRenderedPageBreak/>
              <w:t>[2]</w:t>
            </w:r>
          </w:p>
        </w:tc>
        <w:tc>
          <w:tcPr>
            <w:tcW w:w="8010" w:type="dxa"/>
            <w:shd w:val="clear" w:color="auto" w:fill="auto"/>
          </w:tcPr>
          <w:p w:rsidRPr="000B58F6" w:rsidR="00B9784F" w:rsidP="00A92D0B" w:rsidRDefault="00D5679D" w14:paraId="056D74B3" w14:textId="63DC7C09">
            <w:pPr>
              <w:tabs>
                <w:tab w:val="left" w:pos="1440"/>
              </w:tabs>
              <w:spacing w:before="120"/>
              <w:rPr>
                <w:color w:val="000000"/>
              </w:rPr>
            </w:pPr>
            <w:r>
              <w:rPr>
                <w:color w:val="000000"/>
              </w:rPr>
              <w:t>The correct total for</w:t>
            </w:r>
            <w:r w:rsidR="00F96DD1">
              <w:rPr>
                <w:color w:val="000000"/>
              </w:rPr>
              <w:t xml:space="preserve"> Kathryn Woodford’s 2019 rate is $1,782.50. During verification of the submitted timesheet, we found the first entry for Kathryn Woodford’s 2019 time reflects 0.4 hours at a rate of $490.00. The correct 2019 rate for Kathryn Woodford, per D.19-</w:t>
            </w:r>
            <w:r w:rsidR="00F96E66">
              <w:rPr>
                <w:color w:val="000000"/>
              </w:rPr>
              <w:t>12-53</w:t>
            </w:r>
            <w:r w:rsidR="0008557F">
              <w:rPr>
                <w:color w:val="000000"/>
              </w:rPr>
              <w:t>, is the requested rate of $155.00.</w:t>
            </w:r>
          </w:p>
        </w:tc>
      </w:tr>
      <w:tr w:rsidRPr="000B58F6" w:rsidR="00A92D0B" w:rsidTr="007921F7" w14:paraId="52155EFC" w14:textId="77777777">
        <w:tc>
          <w:tcPr>
            <w:tcW w:w="1913" w:type="dxa"/>
            <w:shd w:val="clear" w:color="auto" w:fill="auto"/>
          </w:tcPr>
          <w:p w:rsidRPr="000B58F6" w:rsidR="00A92D0B" w:rsidP="00B9784F" w:rsidRDefault="00D5679D" w14:paraId="26487933" w14:textId="5E9B07FA">
            <w:pPr>
              <w:tabs>
                <w:tab w:val="left" w:pos="1440"/>
              </w:tabs>
              <w:spacing w:before="120"/>
              <w:jc w:val="center"/>
              <w:rPr>
                <w:color w:val="000000"/>
              </w:rPr>
            </w:pPr>
            <w:r>
              <w:rPr>
                <w:color w:val="000000"/>
              </w:rPr>
              <w:t>[3]</w:t>
            </w:r>
          </w:p>
        </w:tc>
        <w:tc>
          <w:tcPr>
            <w:tcW w:w="8010" w:type="dxa"/>
            <w:shd w:val="clear" w:color="auto" w:fill="auto"/>
          </w:tcPr>
          <w:p w:rsidRPr="000B58F6" w:rsidR="00A92D0B" w:rsidP="00A92D0B" w:rsidRDefault="00721434" w14:paraId="455E6A00" w14:textId="0F523765">
            <w:pPr>
              <w:tabs>
                <w:tab w:val="left" w:pos="1440"/>
              </w:tabs>
              <w:spacing w:before="120"/>
              <w:rPr>
                <w:color w:val="000000"/>
              </w:rPr>
            </w:pPr>
            <w:r w:rsidRPr="00721434">
              <w:rPr>
                <w:color w:val="000000"/>
              </w:rPr>
              <w:t xml:space="preserve">We have applied the 2020 COLA of 2.55% to </w:t>
            </w:r>
            <w:r>
              <w:rPr>
                <w:color w:val="000000"/>
              </w:rPr>
              <w:t>Kathryn Woodford</w:t>
            </w:r>
            <w:r w:rsidRPr="00721434">
              <w:rPr>
                <w:color w:val="000000"/>
              </w:rPr>
              <w:t>’s requested rate of $</w:t>
            </w:r>
            <w:r>
              <w:rPr>
                <w:color w:val="000000"/>
              </w:rPr>
              <w:t>155.00</w:t>
            </w:r>
            <w:r w:rsidRPr="00721434">
              <w:rPr>
                <w:color w:val="000000"/>
              </w:rPr>
              <w:t xml:space="preserve">, per Resolution ALJ-387. The application of the 2020 COLA, rounded to the nearest $5 per D.08-04-010, brings </w:t>
            </w:r>
            <w:r>
              <w:rPr>
                <w:color w:val="000000"/>
              </w:rPr>
              <w:t>Kathryn Woodford</w:t>
            </w:r>
            <w:r w:rsidRPr="00721434">
              <w:rPr>
                <w:color w:val="000000"/>
              </w:rPr>
              <w:t>’s 2020 Attorney rate to $</w:t>
            </w:r>
            <w:r>
              <w:rPr>
                <w:color w:val="000000"/>
              </w:rPr>
              <w:t>155</w:t>
            </w:r>
            <w:r w:rsidRPr="00721434">
              <w:rPr>
                <w:color w:val="000000"/>
              </w:rPr>
              <w:t>.00.</w:t>
            </w:r>
          </w:p>
        </w:tc>
      </w:tr>
    </w:tbl>
    <w:p w:rsidRPr="000B58F6" w:rsidR="00A92D0B" w:rsidP="00691528" w:rsidRDefault="00A92D0B" w14:paraId="18E9D359" w14:textId="77777777">
      <w:pPr>
        <w:tabs>
          <w:tab w:val="left" w:pos="1260"/>
        </w:tabs>
        <w:spacing w:before="240"/>
        <w:jc w:val="center"/>
        <w:rPr>
          <w:b/>
          <w:color w:val="000000"/>
        </w:rPr>
      </w:pPr>
      <w:r w:rsidRPr="000B58F6">
        <w:rPr>
          <w:b/>
          <w:color w:val="000000"/>
        </w:rPr>
        <w:t>PART IV:</w:t>
      </w:r>
      <w:r w:rsidRPr="000B58F6">
        <w:rPr>
          <w:b/>
          <w:color w:val="000000"/>
        </w:rPr>
        <w:tab/>
        <w:t>OPPOSITIONS AND COMMENTS</w:t>
      </w:r>
    </w:p>
    <w:p w:rsidRPr="000B58F6" w:rsidR="00A92D0B" w:rsidP="00691528" w:rsidRDefault="00A92D0B" w14:paraId="5D5DC317" w14:textId="77777777">
      <w:pPr>
        <w:tabs>
          <w:tab w:val="left" w:pos="1260"/>
        </w:tabs>
        <w:ind w:left="1267" w:right="-720" w:hanging="1267"/>
        <w:jc w:val="center"/>
        <w:rPr>
          <w:b/>
          <w:color w:val="000000"/>
        </w:rPr>
      </w:pPr>
      <w:r w:rsidRPr="000B58F6">
        <w:rPr>
          <w:b/>
          <w:color w:val="000000"/>
        </w:rPr>
        <w:t>Within 30 days after service of this Claim, Commission Staff</w:t>
      </w:r>
      <w:r w:rsidRPr="000B58F6" w:rsidR="00F20061">
        <w:rPr>
          <w:b/>
          <w:color w:val="000000"/>
        </w:rPr>
        <w:t xml:space="preserve"> </w:t>
      </w:r>
      <w:r w:rsidRPr="000B58F6">
        <w:rPr>
          <w:b/>
          <w:color w:val="000000"/>
        </w:rPr>
        <w:t>or any other party may file a response to the Claim (</w:t>
      </w:r>
      <w:r w:rsidRPr="000B58F6">
        <w:rPr>
          <w:b/>
          <w:i/>
          <w:color w:val="000000"/>
        </w:rPr>
        <w:t>see</w:t>
      </w:r>
      <w:r w:rsidRPr="000B58F6">
        <w:rPr>
          <w:b/>
          <w:color w:val="000000"/>
        </w:rPr>
        <w:t xml:space="preserve"> § 1804(c))</w:t>
      </w:r>
    </w:p>
    <w:p w:rsidRPr="000B58F6" w:rsidR="00A92D0B" w:rsidRDefault="00A92D0B" w14:paraId="71122750"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0B58F6" w:rsidR="00A92D0B" w:rsidTr="003D359B" w14:paraId="46A51699" w14:textId="77777777">
        <w:tc>
          <w:tcPr>
            <w:tcW w:w="7488" w:type="dxa"/>
            <w:shd w:val="clear" w:color="auto" w:fill="auto"/>
          </w:tcPr>
          <w:p w:rsidRPr="000B58F6" w:rsidR="00A92D0B" w:rsidP="00A92D0B" w:rsidRDefault="00A92D0B" w14:paraId="607B1FB9" w14:textId="77777777">
            <w:pPr>
              <w:spacing w:after="240"/>
              <w:rPr>
                <w:color w:val="000000"/>
              </w:rPr>
            </w:pPr>
            <w:r w:rsidRPr="000B58F6">
              <w:rPr>
                <w:b/>
                <w:color w:val="000000"/>
              </w:rPr>
              <w:t>A.  Opposition:  Did any party oppose the Claim?</w:t>
            </w:r>
          </w:p>
        </w:tc>
        <w:tc>
          <w:tcPr>
            <w:tcW w:w="2070" w:type="dxa"/>
            <w:shd w:val="clear" w:color="auto" w:fill="auto"/>
          </w:tcPr>
          <w:p w:rsidRPr="000B58F6" w:rsidR="00A92D0B" w:rsidP="00A92D0B" w:rsidRDefault="006B00D2" w14:paraId="6E7CD931" w14:textId="4D717D28">
            <w:pPr>
              <w:spacing w:after="240"/>
              <w:rPr>
                <w:color w:val="000000"/>
              </w:rPr>
            </w:pPr>
            <w:r>
              <w:rPr>
                <w:color w:val="000000"/>
              </w:rPr>
              <w:t>No</w:t>
            </w:r>
          </w:p>
        </w:tc>
      </w:tr>
    </w:tbl>
    <w:p w:rsidRPr="000B58F6" w:rsidR="00A92D0B" w:rsidRDefault="00A92D0B" w14:paraId="23420BFC"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0B58F6" w:rsidR="00A92D0B" w:rsidTr="003D359B" w14:paraId="7A0D8740" w14:textId="77777777">
        <w:tc>
          <w:tcPr>
            <w:tcW w:w="7488" w:type="dxa"/>
            <w:shd w:val="clear" w:color="auto" w:fill="auto"/>
          </w:tcPr>
          <w:p w:rsidRPr="000B58F6" w:rsidR="00A92D0B" w:rsidP="00DE3A5D" w:rsidRDefault="00A92D0B" w14:paraId="37D28D8D" w14:textId="77777777">
            <w:pPr>
              <w:keepNext/>
              <w:keepLines/>
              <w:spacing w:after="240"/>
              <w:rPr>
                <w:color w:val="000000"/>
              </w:rPr>
            </w:pPr>
            <w:r w:rsidRPr="000B58F6">
              <w:rPr>
                <w:b/>
                <w:color w:val="000000"/>
              </w:rPr>
              <w:t>B.  Comment Period:  Was the 30-day comment period waived (</w:t>
            </w:r>
            <w:r w:rsidRPr="000B58F6">
              <w:rPr>
                <w:b/>
                <w:i/>
                <w:color w:val="000000"/>
              </w:rPr>
              <w:t>see</w:t>
            </w:r>
            <w:r w:rsidRPr="000B58F6">
              <w:rPr>
                <w:b/>
                <w:color w:val="000000"/>
              </w:rPr>
              <w:t xml:space="preserve"> Rule 14.6(</w:t>
            </w:r>
            <w:r w:rsidRPr="000B58F6" w:rsidR="00963EEF">
              <w:rPr>
                <w:b/>
                <w:color w:val="000000"/>
              </w:rPr>
              <w:t>c</w:t>
            </w:r>
            <w:r w:rsidRPr="000B58F6">
              <w:rPr>
                <w:b/>
                <w:color w:val="000000"/>
              </w:rPr>
              <w:t>)(6))?</w:t>
            </w:r>
          </w:p>
        </w:tc>
        <w:tc>
          <w:tcPr>
            <w:tcW w:w="2070" w:type="dxa"/>
            <w:shd w:val="clear" w:color="auto" w:fill="auto"/>
          </w:tcPr>
          <w:p w:rsidRPr="000B58F6" w:rsidR="00A92D0B" w:rsidP="00DE3A5D" w:rsidRDefault="006B00D2" w14:paraId="238D2D3F" w14:textId="3690012D">
            <w:pPr>
              <w:keepNext/>
              <w:keepLines/>
              <w:spacing w:after="240"/>
              <w:rPr>
                <w:color w:val="000000"/>
              </w:rPr>
            </w:pPr>
            <w:r>
              <w:rPr>
                <w:color w:val="000000"/>
              </w:rPr>
              <w:t>Yes</w:t>
            </w:r>
          </w:p>
        </w:tc>
      </w:tr>
    </w:tbl>
    <w:p w:rsidRPr="000B58F6" w:rsidR="003D359B" w:rsidRDefault="003D359B" w14:paraId="2A36EEA6" w14:textId="77777777">
      <w:pPr>
        <w:jc w:val="center"/>
        <w:rPr>
          <w:b/>
          <w:color w:val="000000"/>
          <w:u w:val="single"/>
        </w:rPr>
      </w:pPr>
    </w:p>
    <w:p w:rsidRPr="000B58F6" w:rsidR="00A92D0B" w:rsidRDefault="00A92D0B" w14:paraId="186E115A" w14:textId="77777777">
      <w:pPr>
        <w:jc w:val="center"/>
        <w:rPr>
          <w:b/>
          <w:color w:val="000000"/>
          <w:u w:val="single"/>
        </w:rPr>
      </w:pPr>
      <w:r w:rsidRPr="000B58F6">
        <w:rPr>
          <w:b/>
          <w:color w:val="000000"/>
          <w:u w:val="single"/>
        </w:rPr>
        <w:t>FINDINGS OF FACT</w:t>
      </w:r>
    </w:p>
    <w:p w:rsidRPr="000B58F6" w:rsidR="00A92D0B" w:rsidRDefault="00A92D0B" w14:paraId="519C6244" w14:textId="77777777">
      <w:pPr>
        <w:rPr>
          <w:color w:val="000000"/>
        </w:rPr>
      </w:pPr>
    </w:p>
    <w:p w:rsidRPr="000B58F6" w:rsidR="00A92D0B" w:rsidRDefault="00B45043" w14:paraId="7772A9DC" w14:textId="6ADF0833">
      <w:pPr>
        <w:numPr>
          <w:ilvl w:val="0"/>
          <w:numId w:val="3"/>
        </w:numPr>
        <w:tabs>
          <w:tab w:val="clear" w:pos="900"/>
          <w:tab w:val="num" w:pos="540"/>
        </w:tabs>
        <w:ind w:left="540" w:hanging="540"/>
      </w:pPr>
      <w:r w:rsidRPr="00AE6A45">
        <w:t xml:space="preserve">Center for Accessible Technology </w:t>
      </w:r>
      <w:r w:rsidRPr="000B58F6" w:rsidR="00A92D0B">
        <w:t>has</w:t>
      </w:r>
      <w:r w:rsidR="00EB20A0">
        <w:t xml:space="preserve"> </w:t>
      </w:r>
      <w:r w:rsidRPr="000B58F6" w:rsidR="00A92D0B">
        <w:t>made a substantia</w:t>
      </w:r>
      <w:r w:rsidRPr="000B58F6" w:rsidR="00DE3A5D">
        <w:t xml:space="preserve">l contribution to </w:t>
      </w:r>
      <w:r w:rsidR="006B00D2">
        <w:br/>
      </w:r>
      <w:r w:rsidRPr="000B58F6" w:rsidR="00DE3A5D">
        <w:t>D.</w:t>
      </w:r>
      <w:r w:rsidRPr="00AE6A45">
        <w:t>20-03-026</w:t>
      </w:r>
      <w:r w:rsidRPr="000B58F6" w:rsidR="00A92D0B">
        <w:t>.</w:t>
      </w:r>
    </w:p>
    <w:p w:rsidRPr="000B58F6" w:rsidR="00A92D0B" w:rsidRDefault="00A92D0B" w14:paraId="04EB50FD" w14:textId="48E6DB14">
      <w:pPr>
        <w:numPr>
          <w:ilvl w:val="0"/>
          <w:numId w:val="3"/>
        </w:numPr>
        <w:tabs>
          <w:tab w:val="clear" w:pos="900"/>
          <w:tab w:val="num" w:pos="540"/>
        </w:tabs>
        <w:spacing w:before="240"/>
        <w:ind w:left="547" w:hanging="547"/>
      </w:pPr>
      <w:r w:rsidRPr="000B58F6">
        <w:t>The requested hourly rates for</w:t>
      </w:r>
      <w:r w:rsidRPr="000B58F6" w:rsidR="003B6A1B">
        <w:t xml:space="preserve"> </w:t>
      </w:r>
      <w:r w:rsidRPr="00AE6A45" w:rsidR="00B45043">
        <w:t>Center for Accessible Technology</w:t>
      </w:r>
      <w:r w:rsidR="006B00D2">
        <w:t>’s</w:t>
      </w:r>
      <w:r w:rsidRPr="00AE6A45" w:rsidR="00B45043">
        <w:t xml:space="preserve"> </w:t>
      </w:r>
      <w:r w:rsidRPr="000B58F6">
        <w:t>representatives,</w:t>
      </w:r>
      <w:r w:rsidRPr="000B58F6" w:rsidR="003B5EAC">
        <w:t xml:space="preserve"> </w:t>
      </w:r>
      <w:r w:rsidRPr="000B58F6">
        <w:t>as adjusted herein, are comparable to market rates paid to experts and advocates having comparable training and experience and offering similar services.</w:t>
      </w:r>
    </w:p>
    <w:p w:rsidRPr="000B58F6" w:rsidR="00A92D0B" w:rsidRDefault="00A92D0B" w14:paraId="528EBB52" w14:textId="3A74C8F4">
      <w:pPr>
        <w:numPr>
          <w:ilvl w:val="0"/>
          <w:numId w:val="3"/>
        </w:numPr>
        <w:tabs>
          <w:tab w:val="clear" w:pos="900"/>
          <w:tab w:val="num" w:pos="540"/>
        </w:tabs>
        <w:spacing w:before="240"/>
        <w:ind w:left="547" w:hanging="547"/>
      </w:pPr>
      <w:r w:rsidRPr="000B58F6">
        <w:t xml:space="preserve">The claimed costs and expenses are reasonable and commensurate with the work performed. </w:t>
      </w:r>
    </w:p>
    <w:p w:rsidRPr="000B58F6" w:rsidR="00A92D0B" w:rsidRDefault="00A92D0B" w14:paraId="48B52895" w14:textId="543D99F8">
      <w:pPr>
        <w:numPr>
          <w:ilvl w:val="0"/>
          <w:numId w:val="3"/>
        </w:numPr>
        <w:tabs>
          <w:tab w:val="clear" w:pos="900"/>
          <w:tab w:val="num" w:pos="540"/>
        </w:tabs>
        <w:spacing w:before="240"/>
        <w:ind w:left="547" w:hanging="547"/>
      </w:pPr>
      <w:r w:rsidRPr="000B58F6">
        <w:t xml:space="preserve">The total of reasonable </w:t>
      </w:r>
      <w:r w:rsidRPr="000B58F6" w:rsidR="003C608A">
        <w:t xml:space="preserve">compensation </w:t>
      </w:r>
      <w:r w:rsidRPr="000B58F6">
        <w:t xml:space="preserve">is </w:t>
      </w:r>
      <w:r w:rsidRPr="00EB20A0" w:rsidR="00EB20A0">
        <w:t>$21,087.50</w:t>
      </w:r>
      <w:r w:rsidRPr="000B58F6">
        <w:t>.</w:t>
      </w:r>
    </w:p>
    <w:p w:rsidRPr="000B58F6" w:rsidR="001962EB" w:rsidRDefault="001962EB" w14:paraId="68E2B644" w14:textId="77777777">
      <w:pPr>
        <w:spacing w:before="120"/>
        <w:rPr>
          <w:color w:val="000000"/>
        </w:rPr>
      </w:pPr>
    </w:p>
    <w:p w:rsidRPr="000B58F6" w:rsidR="00A92D0B" w:rsidRDefault="00A92D0B" w14:paraId="5C773C3F" w14:textId="77777777">
      <w:pPr>
        <w:jc w:val="center"/>
        <w:rPr>
          <w:b/>
          <w:color w:val="000000"/>
          <w:u w:val="single"/>
        </w:rPr>
      </w:pPr>
      <w:r w:rsidRPr="000B58F6">
        <w:rPr>
          <w:b/>
          <w:color w:val="000000"/>
          <w:u w:val="single"/>
        </w:rPr>
        <w:t>CONCLUSION OF LAW</w:t>
      </w:r>
    </w:p>
    <w:p w:rsidRPr="000B58F6" w:rsidR="00A92D0B" w:rsidRDefault="00A92D0B" w14:paraId="654F2C27" w14:textId="0C39320D">
      <w:pPr>
        <w:numPr>
          <w:ilvl w:val="0"/>
          <w:numId w:val="6"/>
        </w:numPr>
        <w:tabs>
          <w:tab w:val="num" w:pos="360"/>
        </w:tabs>
        <w:spacing w:before="240"/>
        <w:ind w:left="360"/>
        <w:rPr>
          <w:color w:val="000000"/>
        </w:rPr>
      </w:pPr>
      <w:r w:rsidRPr="000B58F6">
        <w:rPr>
          <w:color w:val="000000"/>
        </w:rPr>
        <w:t>The Claim, with any adjustment set forth above,</w:t>
      </w:r>
      <w:r w:rsidR="00EB20A0">
        <w:rPr>
          <w:color w:val="000000"/>
        </w:rPr>
        <w:t xml:space="preserve"> </w:t>
      </w:r>
      <w:r w:rsidRPr="000B58F6">
        <w:rPr>
          <w:color w:val="000000"/>
        </w:rPr>
        <w:t>satisfies</w:t>
      </w:r>
      <w:r w:rsidRPr="000B58F6" w:rsidR="00DE3A5D">
        <w:rPr>
          <w:color w:val="000000"/>
        </w:rPr>
        <w:t xml:space="preserve"> all requirements of Pub. Util.</w:t>
      </w:r>
      <w:r w:rsidRPr="000B58F6">
        <w:rPr>
          <w:color w:val="000000"/>
        </w:rPr>
        <w:t xml:space="preserve"> Code §§ 1801-1812.</w:t>
      </w:r>
    </w:p>
    <w:p w:rsidRPr="000B58F6" w:rsidR="001962EB" w:rsidRDefault="001962EB" w14:paraId="295DCA42" w14:textId="77777777">
      <w:pPr>
        <w:jc w:val="center"/>
        <w:rPr>
          <w:b/>
          <w:color w:val="000000"/>
          <w:u w:val="single"/>
        </w:rPr>
      </w:pPr>
    </w:p>
    <w:p w:rsidRPr="000B58F6" w:rsidR="00A92D0B" w:rsidRDefault="00A92D0B" w14:paraId="0E2503A5" w14:textId="77777777">
      <w:pPr>
        <w:jc w:val="center"/>
        <w:rPr>
          <w:b/>
          <w:color w:val="000000"/>
          <w:u w:val="single"/>
        </w:rPr>
      </w:pPr>
      <w:r w:rsidRPr="000B58F6">
        <w:rPr>
          <w:b/>
          <w:color w:val="000000"/>
          <w:u w:val="single"/>
        </w:rPr>
        <w:t>ORDER</w:t>
      </w:r>
    </w:p>
    <w:p w:rsidRPr="000B58F6" w:rsidR="00A92D0B" w:rsidRDefault="00A92D0B" w14:paraId="3D09973A" w14:textId="77777777">
      <w:pPr>
        <w:jc w:val="center"/>
        <w:rPr>
          <w:b/>
          <w:color w:val="000000"/>
          <w:u w:val="single"/>
        </w:rPr>
      </w:pPr>
    </w:p>
    <w:p w:rsidRPr="000B58F6" w:rsidR="00A92D0B" w:rsidRDefault="00B45043" w14:paraId="33FB4E15" w14:textId="0E2EE7C1">
      <w:pPr>
        <w:numPr>
          <w:ilvl w:val="0"/>
          <w:numId w:val="4"/>
        </w:numPr>
        <w:tabs>
          <w:tab w:val="clear" w:pos="900"/>
          <w:tab w:val="num" w:pos="540"/>
        </w:tabs>
        <w:ind w:left="540" w:hanging="540"/>
        <w:rPr>
          <w:color w:val="000000"/>
        </w:rPr>
      </w:pPr>
      <w:r w:rsidRPr="00AE6A45">
        <w:t>Center for Accessible Technology</w:t>
      </w:r>
      <w:r w:rsidRPr="000B58F6" w:rsidR="00FE3BAE">
        <w:t xml:space="preserve"> shall be</w:t>
      </w:r>
      <w:r w:rsidRPr="000B58F6" w:rsidR="00A92D0B">
        <w:rPr>
          <w:color w:val="000000"/>
        </w:rPr>
        <w:t xml:space="preserve"> awarded </w:t>
      </w:r>
      <w:r w:rsidRPr="00EB20A0" w:rsidR="00EB20A0">
        <w:rPr>
          <w:color w:val="000000"/>
        </w:rPr>
        <w:t>$21,087.50</w:t>
      </w:r>
      <w:r w:rsidRPr="000B58F6" w:rsidR="00A92D0B">
        <w:rPr>
          <w:color w:val="000000"/>
        </w:rPr>
        <w:t>.</w:t>
      </w:r>
    </w:p>
    <w:p w:rsidRPr="000B58F6" w:rsidR="00A92D0B" w:rsidRDefault="0055228B" w14:paraId="4AEF5671" w14:textId="68D45B14">
      <w:pPr>
        <w:numPr>
          <w:ilvl w:val="0"/>
          <w:numId w:val="4"/>
        </w:numPr>
        <w:tabs>
          <w:tab w:val="clear" w:pos="900"/>
          <w:tab w:val="num" w:pos="540"/>
        </w:tabs>
        <w:spacing w:before="240"/>
        <w:ind w:left="547" w:hanging="547"/>
      </w:pPr>
      <w:r w:rsidRPr="000B58F6">
        <w:lastRenderedPageBreak/>
        <w:t xml:space="preserve">Within 30 days of the effective date of this decision, </w:t>
      </w:r>
      <w:r w:rsidRPr="00B43BF0" w:rsidR="00B43BF0">
        <w:t xml:space="preserve">Pacific Gas and Electric Company, Southern California Edison Company, </w:t>
      </w:r>
      <w:r w:rsidR="006B00D2">
        <w:t xml:space="preserve">and </w:t>
      </w:r>
      <w:r w:rsidRPr="00B43BF0" w:rsidR="00B43BF0">
        <w:t xml:space="preserve">San Diego Gas </w:t>
      </w:r>
      <w:r w:rsidR="00B43BF0">
        <w:t>&amp;</w:t>
      </w:r>
      <w:r w:rsidRPr="00B43BF0" w:rsidR="00B43BF0">
        <w:t xml:space="preserve"> Electric</w:t>
      </w:r>
      <w:r w:rsidR="006B00D2">
        <w:t xml:space="preserve"> Company</w:t>
      </w:r>
      <w:r w:rsidR="00B43BF0">
        <w:t xml:space="preserve"> </w:t>
      </w:r>
      <w:r w:rsidRPr="000B58F6">
        <w:t xml:space="preserve">shall pay </w:t>
      </w:r>
      <w:r w:rsidRPr="00AE6A45" w:rsidR="00B45043">
        <w:t xml:space="preserve">Center for Accessible Technology </w:t>
      </w:r>
      <w:r w:rsidRPr="000B58F6">
        <w:t xml:space="preserve">their respective shares of the award, based on their California-jurisdictional electric revenues for the </w:t>
      </w:r>
      <w:r w:rsidR="00B43BF0">
        <w:t>2019</w:t>
      </w:r>
      <w:r w:rsidRPr="000B58F6">
        <w:t xml:space="preserve"> calendar year, to reflect the year in which the proceeding was primarily litigated.  If such data is unavailable, the most recent electric revenue data shall be used.</w:t>
      </w:r>
      <w:r w:rsidRPr="000B58F6" w:rsidR="00A92D0B">
        <w:t xml:space="preserve">  Payment of the award shall include</w:t>
      </w:r>
      <w:r w:rsidRPr="000B58F6" w:rsidR="004E3939">
        <w:t xml:space="preserve"> compound </w:t>
      </w:r>
      <w:r w:rsidRPr="000B58F6" w:rsidR="00A92D0B">
        <w:t xml:space="preserve">interest at the rate earned on prime, three-month </w:t>
      </w:r>
      <w:r w:rsidRPr="000B58F6" w:rsidR="00214B22">
        <w:t xml:space="preserve">non-financial </w:t>
      </w:r>
      <w:r w:rsidRPr="000B58F6" w:rsidR="00A92D0B">
        <w:t>commercial paper as reported in Federal Reserve Statistical Release H.15, beginning</w:t>
      </w:r>
      <w:r w:rsidRPr="000B58F6" w:rsidR="00357F1A">
        <w:t xml:space="preserve"> </w:t>
      </w:r>
      <w:r w:rsidR="00EB20A0">
        <w:t>August 15</w:t>
      </w:r>
      <w:r w:rsidRPr="000B58F6" w:rsidR="00357F1A">
        <w:t>,</w:t>
      </w:r>
      <w:r w:rsidR="00EB20A0">
        <w:t xml:space="preserve"> 2020,</w:t>
      </w:r>
      <w:r w:rsidRPr="000B58F6" w:rsidR="00357F1A">
        <w:t xml:space="preserve"> </w:t>
      </w:r>
      <w:r w:rsidRPr="000B58F6" w:rsidR="00A92D0B">
        <w:t>the 75</w:t>
      </w:r>
      <w:r w:rsidRPr="00AE6A45" w:rsidR="00A92D0B">
        <w:t>th</w:t>
      </w:r>
      <w:r w:rsidRPr="000B58F6" w:rsidR="00A92D0B">
        <w:t xml:space="preserve"> day after the filing of </w:t>
      </w:r>
      <w:r w:rsidRPr="00AE6A45" w:rsidR="00B45043">
        <w:t>Center for Accessible Technology</w:t>
      </w:r>
      <w:r w:rsidRPr="000B58F6" w:rsidR="00FE3BAE">
        <w:t>’s</w:t>
      </w:r>
      <w:r w:rsidRPr="00AE6A45" w:rsidR="00FE3BAE">
        <w:t xml:space="preserve"> </w:t>
      </w:r>
      <w:r w:rsidRPr="000B58F6" w:rsidR="00A92D0B">
        <w:t>request, and continuing until full payment is made.</w:t>
      </w:r>
    </w:p>
    <w:p w:rsidRPr="000B58F6" w:rsidR="00A92D0B" w:rsidP="00DE3A5D" w:rsidRDefault="00A92D0B" w14:paraId="5AD40C95" w14:textId="5E7FB57F">
      <w:pPr>
        <w:keepNext/>
        <w:keepLines/>
        <w:numPr>
          <w:ilvl w:val="0"/>
          <w:numId w:val="4"/>
        </w:numPr>
        <w:tabs>
          <w:tab w:val="clear" w:pos="900"/>
          <w:tab w:val="num" w:pos="540"/>
        </w:tabs>
        <w:spacing w:before="240"/>
        <w:ind w:left="547" w:hanging="547"/>
      </w:pPr>
      <w:r w:rsidRPr="000B58F6">
        <w:t>The comment period for today’s decision is</w:t>
      </w:r>
      <w:r w:rsidR="00EB20A0">
        <w:t xml:space="preserve"> </w:t>
      </w:r>
      <w:r w:rsidRPr="000B58F6">
        <w:t>waived.</w:t>
      </w:r>
    </w:p>
    <w:p w:rsidRPr="000B58F6" w:rsidR="00A92D0B" w:rsidP="00AE6A45" w:rsidRDefault="00A92D0B" w14:paraId="13F3A0AD" w14:textId="77777777">
      <w:pPr>
        <w:keepNext/>
        <w:keepLines/>
        <w:spacing w:before="240"/>
        <w:ind w:left="547"/>
        <w:rPr>
          <w:color w:val="000000"/>
        </w:rPr>
      </w:pPr>
      <w:r w:rsidRPr="00AE6A45">
        <w:t>This</w:t>
      </w:r>
      <w:r w:rsidRPr="000B58F6">
        <w:rPr>
          <w:color w:val="000000"/>
        </w:rPr>
        <w:t xml:space="preserve"> decision is effective today.</w:t>
      </w:r>
    </w:p>
    <w:p w:rsidR="00A92D0B" w:rsidP="00AF4C9C" w:rsidRDefault="00A92D0B" w14:paraId="0467B995" w14:textId="761E57C7">
      <w:pPr>
        <w:keepNext/>
        <w:keepLines/>
        <w:spacing w:before="240"/>
        <w:ind w:firstLine="540"/>
        <w:rPr>
          <w:color w:val="000000"/>
        </w:rPr>
      </w:pPr>
      <w:r w:rsidRPr="000B58F6">
        <w:rPr>
          <w:color w:val="000000"/>
        </w:rPr>
        <w:t xml:space="preserve">Dated </w:t>
      </w:r>
      <w:r w:rsidR="00AF4C9C">
        <w:rPr>
          <w:color w:val="000000"/>
        </w:rPr>
        <w:t>March 4, 2021</w:t>
      </w:r>
      <w:r w:rsidRPr="000B58F6">
        <w:rPr>
          <w:color w:val="000000"/>
        </w:rPr>
        <w:t>, at San Francisco, California.</w:t>
      </w:r>
    </w:p>
    <w:p w:rsidRPr="000B58F6" w:rsidR="00AF4C9C" w:rsidP="00AF4C9C" w:rsidRDefault="00AF4C9C" w14:paraId="051A5CA4" w14:textId="77777777">
      <w:pPr>
        <w:keepNext/>
        <w:keepLines/>
        <w:spacing w:before="240"/>
        <w:ind w:firstLine="540"/>
        <w:rPr>
          <w:color w:val="000000"/>
        </w:rPr>
      </w:pPr>
    </w:p>
    <w:p w:rsidR="007007D9" w:rsidRDefault="007007D9" w14:paraId="30845187" w14:textId="77777777"/>
    <w:p w:rsidRPr="00AE0DE2" w:rsidR="00AF4C9C" w:rsidP="00AF4C9C" w:rsidRDefault="00AF4C9C" w14:paraId="6351E110" w14:textId="77777777">
      <w:pPr>
        <w:autoSpaceDE w:val="0"/>
        <w:autoSpaceDN w:val="0"/>
        <w:adjustRightInd w:val="0"/>
        <w:ind w:left="4320"/>
        <w:jc w:val="both"/>
        <w:rPr>
          <w:rFonts w:ascii="Book Antiqua" w:hAnsi="Book Antiqua"/>
          <w:sz w:val="26"/>
          <w:szCs w:val="20"/>
        </w:rPr>
      </w:pPr>
      <w:bookmarkStart w:name="_Hlk17215919" w:id="0"/>
      <w:r w:rsidRPr="00AE0DE2">
        <w:rPr>
          <w:rFonts w:ascii="Book Antiqua" w:hAnsi="Book Antiqua"/>
          <w:sz w:val="26"/>
          <w:szCs w:val="20"/>
        </w:rPr>
        <w:t>MARYBEL BATJER</w:t>
      </w:r>
    </w:p>
    <w:p w:rsidR="00AF4C9C" w:rsidP="00AF4C9C" w:rsidRDefault="00AF4C9C" w14:paraId="5733FF7F" w14:textId="77777777">
      <w:pPr>
        <w:autoSpaceDE w:val="0"/>
        <w:autoSpaceDN w:val="0"/>
        <w:adjustRightInd w:val="0"/>
        <w:ind w:firstLine="720"/>
        <w:jc w:val="both"/>
        <w:rPr>
          <w:rFonts w:ascii="Book Antiqua" w:hAnsi="Book Antiqua"/>
          <w:sz w:val="26"/>
          <w:szCs w:val="20"/>
        </w:rPr>
      </w:pP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t xml:space="preserve">                       President</w:t>
      </w:r>
    </w:p>
    <w:p w:rsidRPr="00AE0DE2" w:rsidR="00AF4C9C" w:rsidP="00AF4C9C" w:rsidRDefault="00AF4C9C" w14:paraId="00DD9F6E"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MARTHA GUZMAN ACEVES</w:t>
      </w:r>
    </w:p>
    <w:p w:rsidRPr="00AE0DE2" w:rsidR="00AF4C9C" w:rsidP="00AF4C9C" w:rsidRDefault="00AF4C9C" w14:paraId="5139EED7"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CLIFFORD RECHTSCHAFFEN</w:t>
      </w:r>
    </w:p>
    <w:p w:rsidR="00AF4C9C" w:rsidP="00AF4C9C" w:rsidRDefault="00AF4C9C" w14:paraId="368C8A92"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GENEVIEVE SHIROMA</w:t>
      </w:r>
    </w:p>
    <w:p w:rsidRPr="00AE0DE2" w:rsidR="00AF4C9C" w:rsidP="00AF4C9C" w:rsidRDefault="00AF4C9C" w14:paraId="48ACC786" w14:textId="77777777">
      <w:pPr>
        <w:autoSpaceDE w:val="0"/>
        <w:autoSpaceDN w:val="0"/>
        <w:adjustRightInd w:val="0"/>
        <w:ind w:left="3600" w:firstLine="720"/>
        <w:jc w:val="both"/>
        <w:rPr>
          <w:rFonts w:ascii="Book Antiqua" w:hAnsi="Book Antiqua"/>
          <w:sz w:val="26"/>
          <w:szCs w:val="20"/>
        </w:rPr>
      </w:pPr>
      <w:r>
        <w:rPr>
          <w:rFonts w:ascii="Book Antiqua" w:hAnsi="Book Antiqua"/>
          <w:sz w:val="26"/>
          <w:szCs w:val="20"/>
        </w:rPr>
        <w:t>DARCIE HOUCK</w:t>
      </w:r>
    </w:p>
    <w:p w:rsidRPr="00AE0DE2" w:rsidR="00AF4C9C" w:rsidP="00AF4C9C" w:rsidRDefault="00AF4C9C" w14:paraId="276F3A45" w14:textId="77777777">
      <w:pPr>
        <w:autoSpaceDE w:val="0"/>
        <w:autoSpaceDN w:val="0"/>
        <w:adjustRightInd w:val="0"/>
        <w:ind w:left="4320" w:firstLine="720"/>
        <w:jc w:val="both"/>
        <w:rPr>
          <w:rFonts w:ascii="Book Antiqua" w:hAnsi="Book Antiqua"/>
          <w:sz w:val="26"/>
          <w:szCs w:val="20"/>
        </w:rPr>
      </w:pPr>
      <w:r w:rsidRPr="00AE0DE2">
        <w:rPr>
          <w:rFonts w:ascii="Book Antiqua" w:hAnsi="Book Antiqua"/>
          <w:sz w:val="26"/>
          <w:szCs w:val="20"/>
        </w:rPr>
        <w:t xml:space="preserve">                 Commissioners</w:t>
      </w:r>
    </w:p>
    <w:bookmarkEnd w:id="0"/>
    <w:p w:rsidR="00AF4C9C" w:rsidRDefault="00AF4C9C" w14:paraId="5D3C53A5" w14:textId="3BBBD918">
      <w:pPr>
        <w:sectPr w:rsidR="00AF4C9C" w:rsidSect="002A6C07">
          <w:headerReference w:type="default" r:id="rId10"/>
          <w:pgSz w:w="12240" w:h="15840"/>
          <w:pgMar w:top="1440" w:right="1800" w:bottom="1440" w:left="1800" w:header="720" w:footer="720" w:gutter="0"/>
          <w:pgNumType w:fmt="numberInDash"/>
          <w:cols w:space="720"/>
          <w:docGrid w:linePitch="360"/>
        </w:sectPr>
      </w:pPr>
    </w:p>
    <w:p w:rsidRPr="000B58F6" w:rsidR="00FE3BAE" w:rsidP="00FE3BAE" w:rsidRDefault="00FE3BAE" w14:paraId="7A1C7043" w14:textId="77777777">
      <w:pPr>
        <w:pStyle w:val="standard"/>
        <w:ind w:firstLine="0"/>
        <w:jc w:val="center"/>
        <w:rPr>
          <w:rFonts w:ascii="Times New Roman" w:hAnsi="Times New Roman"/>
          <w:b/>
          <w:sz w:val="24"/>
          <w:szCs w:val="24"/>
        </w:rPr>
      </w:pPr>
      <w:r w:rsidRPr="000B58F6">
        <w:rPr>
          <w:rFonts w:ascii="Times New Roman" w:hAnsi="Times New Roman"/>
          <w:b/>
          <w:sz w:val="24"/>
          <w:szCs w:val="24"/>
        </w:rPr>
        <w:lastRenderedPageBreak/>
        <w:t>APPENDIX</w:t>
      </w:r>
    </w:p>
    <w:p w:rsidRPr="000B58F6" w:rsidR="00FE3BAE" w:rsidP="00FE3BAE" w:rsidRDefault="00FE3BAE" w14:paraId="300BB274" w14:textId="77777777">
      <w:pPr>
        <w:pStyle w:val="standard"/>
        <w:jc w:val="center"/>
        <w:rPr>
          <w:rFonts w:ascii="Times New Roman" w:hAnsi="Times New Roman"/>
          <w:sz w:val="24"/>
          <w:szCs w:val="24"/>
        </w:rPr>
      </w:pPr>
      <w:r w:rsidRPr="000B58F6">
        <w:rPr>
          <w:rFonts w:ascii="Times New Roman" w:hAnsi="Times New Roman"/>
          <w:sz w:val="24"/>
          <w:szCs w:val="24"/>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Pr="000B58F6" w:rsidR="00FE3BAE" w:rsidTr="00D3641C" w14:paraId="062C592A"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4BC9C636" w14:textId="77777777">
            <w:r w:rsidRPr="000B58F6">
              <w:t>Compensation Decision:</w:t>
            </w:r>
          </w:p>
        </w:tc>
        <w:tc>
          <w:tcPr>
            <w:tcW w:w="3735" w:type="dxa"/>
            <w:tcBorders>
              <w:top w:val="single" w:color="auto" w:sz="4" w:space="0"/>
              <w:left w:val="single" w:color="auto" w:sz="4" w:space="0"/>
              <w:bottom w:val="single" w:color="auto" w:sz="4" w:space="0"/>
              <w:right w:val="single" w:color="auto" w:sz="4" w:space="0"/>
            </w:tcBorders>
          </w:tcPr>
          <w:p w:rsidRPr="000B58F6" w:rsidR="00FE3BAE" w:rsidP="00D3641C" w:rsidRDefault="00AF4C9C" w14:paraId="16C5D6B1" w14:textId="029C281F">
            <w:r>
              <w:t>D</w:t>
            </w:r>
            <w:r w:rsidRPr="00AF4C9C">
              <w:t>2103016</w:t>
            </w:r>
          </w:p>
        </w:tc>
        <w:tc>
          <w:tcPr>
            <w:tcW w:w="2475"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3ECA0C4F" w14:textId="77777777">
            <w:r w:rsidRPr="000B58F6">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0B58F6" w:rsidR="00FE3BAE" w:rsidP="00D3641C" w:rsidRDefault="00EB20A0" w14:paraId="6846FB87" w14:textId="375DDF21">
            <w:pPr>
              <w:jc w:val="center"/>
            </w:pPr>
            <w:r>
              <w:t>No</w:t>
            </w:r>
          </w:p>
        </w:tc>
      </w:tr>
      <w:tr w:rsidRPr="000B58F6" w:rsidR="00FE3BAE" w:rsidTr="00AE6A45" w14:paraId="3E0218AD"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6E65620B" w14:textId="77777777">
            <w:r w:rsidRPr="000B58F6">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0B58F6" w:rsidR="00FE3BAE" w:rsidP="00D3641C" w:rsidRDefault="00B45043" w14:paraId="426F2C45" w14:textId="2D658328">
            <w:r>
              <w:t>D2003026</w:t>
            </w:r>
          </w:p>
        </w:tc>
      </w:tr>
      <w:tr w:rsidRPr="000B58F6" w:rsidR="00FE3BAE" w:rsidTr="00AE6A45" w14:paraId="2808C576"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717974DE" w14:textId="77777777">
            <w:r w:rsidRPr="000B58F6">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0B58F6" w:rsidR="00FE3BAE" w:rsidP="00D3641C" w:rsidRDefault="00B45043" w14:paraId="5B85688D" w14:textId="67C67096">
            <w:r>
              <w:t>R1206013</w:t>
            </w:r>
          </w:p>
        </w:tc>
      </w:tr>
      <w:tr w:rsidRPr="000B58F6" w:rsidR="00FE3BAE" w:rsidTr="00D3641C" w14:paraId="6677917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738C0A58" w14:textId="77777777">
            <w:r w:rsidRPr="000B58F6">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Pr="000B58F6" w:rsidR="00FE3BAE" w:rsidP="00D3641C" w:rsidRDefault="00AE6A45" w14:paraId="5E75C0F0" w14:textId="7C1000F4">
            <w:r>
              <w:t>ALJ</w:t>
            </w:r>
            <w:r w:rsidR="007007D9">
              <w:t>s</w:t>
            </w:r>
            <w:r>
              <w:t xml:space="preserve"> Doherty and Park</w:t>
            </w:r>
          </w:p>
        </w:tc>
      </w:tr>
      <w:tr w:rsidRPr="000B58F6" w:rsidR="00FE3BAE" w:rsidTr="00D3641C" w14:paraId="305F69F4"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1414CA71" w14:textId="77777777">
            <w:r w:rsidRPr="000B58F6">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Pr="000B58F6" w:rsidR="00FE3BAE" w:rsidP="00D3641C" w:rsidRDefault="00B43BF0" w14:paraId="7CA711B6" w14:textId="256B551B">
            <w:r w:rsidRPr="00B43BF0">
              <w:t xml:space="preserve">Pacific Gas and Electric Company, Southern California Edison Company, </w:t>
            </w:r>
            <w:r w:rsidR="006B00D2">
              <w:t xml:space="preserve">and </w:t>
            </w:r>
            <w:r w:rsidRPr="00B43BF0">
              <w:t xml:space="preserve">San Diego Gas </w:t>
            </w:r>
            <w:r>
              <w:t>&amp;</w:t>
            </w:r>
            <w:r w:rsidRPr="00B43BF0">
              <w:t xml:space="preserve"> Electric</w:t>
            </w:r>
            <w:r w:rsidR="006B00D2">
              <w:t xml:space="preserve"> Company</w:t>
            </w:r>
          </w:p>
        </w:tc>
      </w:tr>
    </w:tbl>
    <w:p w:rsidRPr="000B58F6" w:rsidR="00FE3BAE" w:rsidP="00FE3BAE" w:rsidRDefault="00FE3BAE" w14:paraId="577092C6" w14:textId="77777777"/>
    <w:p w:rsidRPr="000B58F6" w:rsidR="00FE3BAE" w:rsidP="00FE3BAE" w:rsidRDefault="00FE3BAE" w14:paraId="14BBADAB" w14:textId="77777777"/>
    <w:p w:rsidRPr="000B58F6" w:rsidR="00FE3BAE" w:rsidP="00FE3BAE" w:rsidRDefault="00FE3BAE" w14:paraId="7F0236A2" w14:textId="77777777">
      <w:pPr>
        <w:jc w:val="center"/>
      </w:pPr>
      <w:r w:rsidRPr="000B58F6">
        <w:t>Intervenor Information</w:t>
      </w:r>
    </w:p>
    <w:p w:rsidRPr="000B58F6" w:rsidR="00FE3BAE" w:rsidP="00FE3BAE" w:rsidRDefault="00FE3BAE" w14:paraId="12F6E9ED" w14:textId="77777777"/>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Pr="000B58F6" w:rsidR="00FE3BAE" w:rsidTr="00EB20A0" w14:paraId="6CDB318E" w14:textId="77777777">
        <w:tc>
          <w:tcPr>
            <w:tcW w:w="2044"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2578F35B" w14:textId="77777777">
            <w:pPr>
              <w:jc w:val="center"/>
            </w:pPr>
            <w:r w:rsidRPr="000B58F6">
              <w:t>Intervenor</w:t>
            </w:r>
          </w:p>
        </w:tc>
        <w:tc>
          <w:tcPr>
            <w:tcW w:w="1376" w:type="dxa"/>
            <w:tcBorders>
              <w:top w:val="single" w:color="auto" w:sz="4" w:space="0"/>
              <w:left w:val="single" w:color="auto" w:sz="4" w:space="0"/>
              <w:bottom w:val="single" w:color="auto" w:sz="4" w:space="0"/>
              <w:right w:val="single" w:color="auto" w:sz="4" w:space="0"/>
            </w:tcBorders>
            <w:hideMark/>
          </w:tcPr>
          <w:p w:rsidRPr="000B58F6" w:rsidR="00FE3BAE" w:rsidP="00D3641C" w:rsidRDefault="0081626F" w14:paraId="2C1C9DC3" w14:textId="23D0CF49">
            <w:pPr>
              <w:jc w:val="center"/>
            </w:pPr>
            <w:r w:rsidRPr="000B58F6">
              <w:t>Date Claim Filed</w:t>
            </w:r>
          </w:p>
        </w:tc>
        <w:tc>
          <w:tcPr>
            <w:tcW w:w="1530"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60DD020D" w14:textId="77777777">
            <w:pPr>
              <w:jc w:val="center"/>
            </w:pPr>
            <w:r w:rsidRPr="000B58F6">
              <w:t>Amount Requested</w:t>
            </w:r>
          </w:p>
        </w:tc>
        <w:tc>
          <w:tcPr>
            <w:tcW w:w="1603"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19A4A01D" w14:textId="77777777">
            <w:pPr>
              <w:jc w:val="center"/>
            </w:pPr>
            <w:r w:rsidRPr="000B58F6">
              <w:t>Amount Awarded</w:t>
            </w:r>
          </w:p>
        </w:tc>
        <w:tc>
          <w:tcPr>
            <w:tcW w:w="1296"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5B9F47E2" w14:textId="77777777">
            <w:pPr>
              <w:jc w:val="center"/>
            </w:pPr>
            <w:r w:rsidRPr="000B58F6">
              <w:t>Multiplier?</w:t>
            </w:r>
          </w:p>
        </w:tc>
        <w:tc>
          <w:tcPr>
            <w:tcW w:w="2478"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089590A8" w14:textId="77777777">
            <w:pPr>
              <w:jc w:val="center"/>
            </w:pPr>
            <w:r w:rsidRPr="000B58F6">
              <w:t>Reason Change/Disallowance</w:t>
            </w:r>
          </w:p>
        </w:tc>
      </w:tr>
      <w:tr w:rsidRPr="000B58F6" w:rsidR="00FE3BAE" w:rsidTr="00EB20A0" w14:paraId="080524E3" w14:textId="77777777">
        <w:trPr>
          <w:trHeight w:val="872"/>
        </w:trPr>
        <w:tc>
          <w:tcPr>
            <w:tcW w:w="2044" w:type="dxa"/>
            <w:tcBorders>
              <w:top w:val="single" w:color="auto" w:sz="4" w:space="0"/>
              <w:left w:val="single" w:color="auto" w:sz="4" w:space="0"/>
              <w:bottom w:val="single" w:color="auto" w:sz="4" w:space="0"/>
              <w:right w:val="single" w:color="auto" w:sz="4" w:space="0"/>
            </w:tcBorders>
            <w:shd w:val="clear" w:color="auto" w:fill="auto"/>
            <w:hideMark/>
          </w:tcPr>
          <w:p w:rsidRPr="00EB20A0" w:rsidR="00FE3BAE" w:rsidP="00D3641C" w:rsidRDefault="00B45043" w14:paraId="3008FB17" w14:textId="40A2A519">
            <w:pPr>
              <w:jc w:val="center"/>
            </w:pPr>
            <w:r w:rsidRPr="00EB20A0">
              <w:t>Center for Accessible Technology</w:t>
            </w:r>
          </w:p>
        </w:tc>
        <w:tc>
          <w:tcPr>
            <w:tcW w:w="1376" w:type="dxa"/>
            <w:tcBorders>
              <w:top w:val="single" w:color="auto" w:sz="4" w:space="0"/>
              <w:left w:val="single" w:color="auto" w:sz="4" w:space="0"/>
              <w:bottom w:val="single" w:color="auto" w:sz="4" w:space="0"/>
              <w:right w:val="single" w:color="auto" w:sz="4" w:space="0"/>
            </w:tcBorders>
            <w:shd w:val="clear" w:color="auto" w:fill="auto"/>
            <w:hideMark/>
          </w:tcPr>
          <w:p w:rsidRPr="00AE6A45" w:rsidR="00FE3BAE" w:rsidP="00D3641C" w:rsidRDefault="00B45043" w14:paraId="63956769" w14:textId="0A18B370">
            <w:pPr>
              <w:jc w:val="center"/>
              <w:rPr>
                <w:bCs/>
              </w:rPr>
            </w:pPr>
            <w:r w:rsidRPr="00AE6A45">
              <w:rPr>
                <w:bCs/>
              </w:rPr>
              <w:t>6/1/20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AE6A45" w:rsidR="00FE3BAE" w:rsidP="00D3641C" w:rsidRDefault="006A2380" w14:paraId="75AD20FA" w14:textId="473E32ED">
            <w:pPr>
              <w:jc w:val="center"/>
              <w:rPr>
                <w:bCs/>
              </w:rPr>
            </w:pPr>
            <w:r w:rsidRPr="00AE6A45">
              <w:rPr>
                <w:bCs/>
                <w:color w:val="000000"/>
              </w:rPr>
              <w:t xml:space="preserve">$ </w:t>
            </w:r>
            <w:r w:rsidRPr="00AE6A45" w:rsidR="00AB2C33">
              <w:rPr>
                <w:bCs/>
                <w:color w:val="000000"/>
              </w:rPr>
              <w:t>21</w:t>
            </w:r>
            <w:r w:rsidRPr="00AE6A45">
              <w:rPr>
                <w:bCs/>
                <w:color w:val="000000"/>
              </w:rPr>
              <w:t>,201.50</w:t>
            </w:r>
          </w:p>
        </w:tc>
        <w:tc>
          <w:tcPr>
            <w:tcW w:w="1603" w:type="dxa"/>
            <w:tcBorders>
              <w:top w:val="single" w:color="auto" w:sz="4" w:space="0"/>
              <w:left w:val="single" w:color="auto" w:sz="4" w:space="0"/>
              <w:bottom w:val="single" w:color="auto" w:sz="4" w:space="0"/>
              <w:right w:val="single" w:color="auto" w:sz="4" w:space="0"/>
            </w:tcBorders>
            <w:hideMark/>
          </w:tcPr>
          <w:p w:rsidRPr="000B58F6" w:rsidR="00FE3BAE" w:rsidP="00D3641C" w:rsidRDefault="00EB20A0" w14:paraId="0DD6FE00" w14:textId="016C93A0">
            <w:pPr>
              <w:jc w:val="center"/>
            </w:pPr>
            <w:r w:rsidRPr="00EB20A0">
              <w:t>$21,087.50</w:t>
            </w:r>
          </w:p>
        </w:tc>
        <w:tc>
          <w:tcPr>
            <w:tcW w:w="1296" w:type="dxa"/>
            <w:tcBorders>
              <w:top w:val="single" w:color="auto" w:sz="4" w:space="0"/>
              <w:left w:val="single" w:color="auto" w:sz="4" w:space="0"/>
              <w:bottom w:val="single" w:color="auto" w:sz="4" w:space="0"/>
              <w:right w:val="single" w:color="auto" w:sz="4" w:space="0"/>
            </w:tcBorders>
            <w:hideMark/>
          </w:tcPr>
          <w:p w:rsidRPr="000B58F6" w:rsidR="00FE3BAE" w:rsidP="00D3641C" w:rsidRDefault="00FE3BAE" w14:paraId="0BDAFE20" w14:textId="77777777">
            <w:pPr>
              <w:jc w:val="center"/>
            </w:pPr>
            <w:r w:rsidRPr="000B58F6">
              <w:t>N/A</w:t>
            </w:r>
          </w:p>
        </w:tc>
        <w:tc>
          <w:tcPr>
            <w:tcW w:w="2478" w:type="dxa"/>
            <w:tcBorders>
              <w:top w:val="single" w:color="auto" w:sz="4" w:space="0"/>
              <w:left w:val="single" w:color="auto" w:sz="4" w:space="0"/>
              <w:bottom w:val="single" w:color="auto" w:sz="4" w:space="0"/>
              <w:right w:val="single" w:color="auto" w:sz="4" w:space="0"/>
            </w:tcBorders>
            <w:hideMark/>
          </w:tcPr>
          <w:p w:rsidRPr="006B00D2" w:rsidR="00CC1809" w:rsidP="00D3641C" w:rsidRDefault="006B00D2" w14:paraId="6B53C6F9" w14:textId="216B00FE">
            <w:pPr>
              <w:jc w:val="center"/>
            </w:pPr>
            <w:r w:rsidRPr="006B00D2">
              <w:rPr>
                <w:rFonts w:asciiTheme="majorBidi" w:hAnsiTheme="majorBidi" w:cstheme="majorBidi"/>
                <w:i/>
                <w:iCs/>
                <w:color w:val="000000"/>
              </w:rPr>
              <w:t>See</w:t>
            </w:r>
            <w:r w:rsidRPr="006B00D2">
              <w:rPr>
                <w:rFonts w:asciiTheme="majorBidi" w:hAnsiTheme="majorBidi" w:cstheme="majorBidi"/>
                <w:color w:val="000000"/>
              </w:rPr>
              <w:t xml:space="preserve"> </w:t>
            </w:r>
            <w:r w:rsidRPr="006B00D2">
              <w:rPr>
                <w:color w:val="000000"/>
              </w:rPr>
              <w:t>CPUC Comments, Disallowances, and Adjustments above</w:t>
            </w:r>
            <w:r w:rsidRPr="006B00D2" w:rsidR="00F71D69">
              <w:rPr>
                <w:rFonts w:asciiTheme="majorBidi" w:hAnsiTheme="majorBidi" w:cstheme="majorBidi"/>
                <w:color w:val="000000"/>
              </w:rPr>
              <w:t xml:space="preserve"> </w:t>
            </w:r>
          </w:p>
        </w:tc>
      </w:tr>
    </w:tbl>
    <w:p w:rsidRPr="000B58F6" w:rsidR="00FE3BAE" w:rsidP="00FE3BAE" w:rsidRDefault="00FE3BAE" w14:paraId="4864D7A1" w14:textId="77777777"/>
    <w:p w:rsidRPr="000B58F6" w:rsidR="00FE3BAE" w:rsidP="00FE3BAE" w:rsidRDefault="00FE3BAE" w14:paraId="5FB11A0C" w14:textId="77777777"/>
    <w:p w:rsidRPr="000B58F6" w:rsidR="00FE3BAE" w:rsidP="00FE3BAE" w:rsidRDefault="0022302F" w14:paraId="2841210B" w14:textId="77777777">
      <w:pPr>
        <w:jc w:val="center"/>
      </w:pPr>
      <w:r w:rsidRPr="000B58F6">
        <w:t>Hourly Fee</w:t>
      </w:r>
      <w:r w:rsidRPr="000B58F6" w:rsidR="00FE3BAE">
        <w:t xml:space="preserve"> Information</w:t>
      </w:r>
    </w:p>
    <w:p w:rsidRPr="000B58F6" w:rsidR="00FE3BAE" w:rsidP="00FE3BAE" w:rsidRDefault="00FE3BAE" w14:paraId="659D5EF0" w14:textId="77777777">
      <w:pPr>
        <w:jc w:val="center"/>
        <w:rPr>
          <w:shd w:val="clear" w:color="auto" w:fill="CCFFCC"/>
        </w:rPr>
      </w:pP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Pr="000B58F6" w:rsidR="00C02649" w:rsidTr="00C02649" w14:paraId="7CF2F0CA" w14:textId="77777777">
        <w:trPr>
          <w:trHeight w:val="288"/>
        </w:trPr>
        <w:tc>
          <w:tcPr>
            <w:tcW w:w="1710" w:type="dxa"/>
            <w:tcBorders>
              <w:top w:val="single" w:color="auto" w:sz="4" w:space="0"/>
              <w:left w:val="single" w:color="auto" w:sz="4" w:space="0"/>
              <w:bottom w:val="single" w:color="auto" w:sz="4" w:space="0"/>
              <w:right w:val="single" w:color="auto" w:sz="4" w:space="0"/>
            </w:tcBorders>
            <w:hideMark/>
          </w:tcPr>
          <w:p w:rsidRPr="000B58F6" w:rsidR="003B6A1B" w:rsidP="00C02649" w:rsidRDefault="003B6A1B" w14:paraId="61500303" w14:textId="77777777">
            <w:pPr>
              <w:jc w:val="center"/>
            </w:pPr>
            <w:r w:rsidRPr="000B58F6">
              <w:t>First Name</w:t>
            </w:r>
          </w:p>
        </w:tc>
        <w:tc>
          <w:tcPr>
            <w:tcW w:w="1770" w:type="dxa"/>
            <w:tcBorders>
              <w:top w:val="single" w:color="auto" w:sz="4" w:space="0"/>
              <w:left w:val="single" w:color="auto" w:sz="4" w:space="0"/>
              <w:bottom w:val="single" w:color="auto" w:sz="4" w:space="0"/>
              <w:right w:val="single" w:color="auto" w:sz="4" w:space="0"/>
            </w:tcBorders>
            <w:hideMark/>
          </w:tcPr>
          <w:p w:rsidRPr="000B58F6" w:rsidR="003B6A1B" w:rsidP="00C02649" w:rsidRDefault="003B6A1B" w14:paraId="55908486" w14:textId="77777777">
            <w:pPr>
              <w:jc w:val="center"/>
            </w:pPr>
            <w:r w:rsidRPr="000B58F6">
              <w:t>Last Name</w:t>
            </w:r>
          </w:p>
        </w:tc>
        <w:tc>
          <w:tcPr>
            <w:tcW w:w="1920" w:type="dxa"/>
            <w:tcBorders>
              <w:top w:val="single" w:color="auto" w:sz="4" w:space="0"/>
              <w:left w:val="single" w:color="auto" w:sz="4" w:space="0"/>
              <w:bottom w:val="single" w:color="auto" w:sz="4" w:space="0"/>
              <w:right w:val="single" w:color="auto" w:sz="4" w:space="0"/>
            </w:tcBorders>
            <w:hideMark/>
          </w:tcPr>
          <w:p w:rsidRPr="000B58F6" w:rsidR="003B6A1B" w:rsidP="00C02649" w:rsidRDefault="00171EBF" w14:paraId="2438DAE1" w14:textId="77777777">
            <w:pPr>
              <w:ind w:left="12" w:firstLine="12"/>
              <w:jc w:val="center"/>
            </w:pPr>
            <w:r w:rsidRPr="000B58F6">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0B58F6" w:rsidR="003B6A1B" w:rsidP="00C02649" w:rsidRDefault="003B6A1B" w14:paraId="3431A72E" w14:textId="77777777">
            <w:pPr>
              <w:jc w:val="center"/>
            </w:pPr>
            <w:r w:rsidRPr="000B58F6">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0B58F6" w:rsidR="003B6A1B" w:rsidP="00C02649" w:rsidRDefault="003B6A1B" w14:paraId="6FE76773" w14:textId="77777777">
            <w:pPr>
              <w:jc w:val="center"/>
            </w:pPr>
            <w:r w:rsidRPr="000B58F6">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0B58F6" w:rsidR="003B6A1B" w:rsidP="00C02649" w:rsidRDefault="003B6A1B" w14:paraId="1B789B85" w14:textId="77777777">
            <w:pPr>
              <w:jc w:val="center"/>
            </w:pPr>
            <w:r w:rsidRPr="000B58F6">
              <w:t>Hourly Fee Adopted</w:t>
            </w:r>
          </w:p>
        </w:tc>
      </w:tr>
      <w:tr w:rsidRPr="000B58F6" w:rsidR="00C02649" w:rsidTr="00EB20A0" w14:paraId="1211B948"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0F0C6D6C" w14:textId="049F207C">
            <w:pPr>
              <w:jc w:val="center"/>
            </w:pPr>
            <w:r w:rsidRPr="00EB20A0">
              <w:t>Melissa</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6ACE7B68" w14:textId="3406752F">
            <w:pPr>
              <w:jc w:val="center"/>
            </w:pPr>
            <w:proofErr w:type="spellStart"/>
            <w:r w:rsidRPr="00EB20A0">
              <w:t>Kasnitz</w:t>
            </w:r>
            <w:proofErr w:type="spellEnd"/>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0E61474F" w14:textId="5B552D0D">
            <w:pPr>
              <w:jc w:val="center"/>
            </w:pPr>
            <w:r w:rsidRPr="00EB20A0">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44F9655C" w14:textId="367844D9">
            <w:pPr>
              <w:jc w:val="center"/>
            </w:pPr>
            <w:r>
              <w:t>$505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2EB25516" w14:textId="1E6E4ED3">
            <w:pPr>
              <w:jc w:val="center"/>
            </w:pPr>
            <w:r>
              <w:t>2020</w:t>
            </w:r>
          </w:p>
        </w:tc>
        <w:tc>
          <w:tcPr>
            <w:tcW w:w="1620" w:type="dxa"/>
            <w:tcBorders>
              <w:top w:val="single" w:color="auto" w:sz="4" w:space="0"/>
              <w:left w:val="single" w:color="auto" w:sz="4" w:space="0"/>
              <w:bottom w:val="single" w:color="auto" w:sz="4" w:space="0"/>
              <w:right w:val="single" w:color="auto" w:sz="4" w:space="0"/>
            </w:tcBorders>
          </w:tcPr>
          <w:p w:rsidRPr="000B58F6" w:rsidR="003B6A1B" w:rsidP="00D3641C" w:rsidRDefault="00EB20A0" w14:paraId="0A76FE98" w14:textId="262A81F3">
            <w:pPr>
              <w:jc w:val="center"/>
            </w:pPr>
            <w:r>
              <w:t>$505</w:t>
            </w:r>
          </w:p>
        </w:tc>
      </w:tr>
      <w:tr w:rsidRPr="000B58F6" w:rsidR="00C02649" w:rsidTr="00EB20A0" w14:paraId="23CC0A9F"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4CFDAB24" w14:textId="777B5962">
            <w:pPr>
              <w:jc w:val="center"/>
            </w:pPr>
            <w:r w:rsidRPr="00EB20A0">
              <w:t xml:space="preserve">Melissa </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3A9B4F75" w14:textId="2FB9AD8A">
            <w:pPr>
              <w:jc w:val="center"/>
            </w:pPr>
            <w:proofErr w:type="spellStart"/>
            <w:r w:rsidRPr="00EB20A0">
              <w:t>Kasnitz</w:t>
            </w:r>
            <w:proofErr w:type="spellEnd"/>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73440B00" w14:textId="7026DD5B">
            <w:pPr>
              <w:jc w:val="center"/>
            </w:pPr>
            <w:r w:rsidRPr="00EB20A0">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1466F47E" w14:textId="22639ACD">
            <w:pPr>
              <w:jc w:val="center"/>
            </w:pPr>
            <w:r>
              <w:t>$490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4CBE320E" w14:textId="4AFEFC0E">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Pr="000B58F6" w:rsidR="003B6A1B" w:rsidP="00D3641C" w:rsidRDefault="00EB20A0" w14:paraId="37932A57" w14:textId="06F64741">
            <w:pPr>
              <w:jc w:val="center"/>
            </w:pPr>
            <w:r>
              <w:t>$490</w:t>
            </w:r>
          </w:p>
        </w:tc>
      </w:tr>
      <w:tr w:rsidRPr="000B58F6" w:rsidR="00C02649" w:rsidTr="00EB20A0" w14:paraId="4C519B49"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65C04662" w14:textId="0B091B0B">
            <w:pPr>
              <w:jc w:val="center"/>
            </w:pPr>
            <w:r w:rsidRPr="00EB20A0">
              <w:t>Kate</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1C590887" w14:textId="4DF8A8A0">
            <w:pPr>
              <w:jc w:val="center"/>
            </w:pPr>
            <w:r w:rsidRPr="00EB20A0">
              <w:t>Woodford</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1EA8DE3D" w14:textId="4B03F60B">
            <w:pPr>
              <w:jc w:val="center"/>
            </w:pPr>
            <w:r w:rsidRPr="00EB20A0">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4F6290AB" w14:textId="00068D94">
            <w:pPr>
              <w:jc w:val="center"/>
            </w:pPr>
            <w:r>
              <w:t>$160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1354C70A" w14:textId="2505E2A2">
            <w:pPr>
              <w:jc w:val="center"/>
            </w:pPr>
            <w:r>
              <w:t>2020</w:t>
            </w:r>
          </w:p>
        </w:tc>
        <w:tc>
          <w:tcPr>
            <w:tcW w:w="1620" w:type="dxa"/>
            <w:tcBorders>
              <w:top w:val="single" w:color="auto" w:sz="4" w:space="0"/>
              <w:left w:val="single" w:color="auto" w:sz="4" w:space="0"/>
              <w:bottom w:val="single" w:color="auto" w:sz="4" w:space="0"/>
              <w:right w:val="single" w:color="auto" w:sz="4" w:space="0"/>
            </w:tcBorders>
          </w:tcPr>
          <w:p w:rsidRPr="000B58F6" w:rsidR="003B6A1B" w:rsidP="00D3641C" w:rsidRDefault="00EB20A0" w14:paraId="36649915" w14:textId="513C0C07">
            <w:pPr>
              <w:jc w:val="center"/>
            </w:pPr>
            <w:r>
              <w:t>$160</w:t>
            </w:r>
          </w:p>
        </w:tc>
      </w:tr>
      <w:tr w:rsidRPr="000B58F6" w:rsidR="00C02649" w:rsidTr="00EB20A0" w14:paraId="6C04DB40"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71BF257F" w14:textId="79F9DDAA">
            <w:pPr>
              <w:jc w:val="center"/>
            </w:pPr>
            <w:r w:rsidRPr="00EB20A0">
              <w:t>Kate</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4D0E5B24" w14:textId="6D4B41F1">
            <w:pPr>
              <w:jc w:val="center"/>
            </w:pPr>
            <w:r w:rsidRPr="00EB20A0">
              <w:t>Woodford</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B20A0" w:rsidR="003B6A1B" w:rsidP="00D3641C" w:rsidRDefault="00B45043" w14:paraId="3ACB6465" w14:textId="54860F90">
            <w:pPr>
              <w:jc w:val="center"/>
            </w:pPr>
            <w:r w:rsidRPr="00EB20A0">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27D75B3F" w14:textId="0B9DE59B">
            <w:pPr>
              <w:jc w:val="center"/>
            </w:pPr>
            <w:r>
              <w:t>$155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Pr="000B58F6" w:rsidR="003B6A1B" w:rsidP="00D3641C" w:rsidRDefault="00B45043" w14:paraId="0BD45097" w14:textId="654FBF79">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Pr="000B58F6" w:rsidR="003B6A1B" w:rsidP="00D3641C" w:rsidRDefault="00EB20A0" w14:paraId="6B245605" w14:textId="11209740">
            <w:pPr>
              <w:jc w:val="center"/>
            </w:pPr>
            <w:r>
              <w:t>$155</w:t>
            </w:r>
          </w:p>
        </w:tc>
      </w:tr>
    </w:tbl>
    <w:p w:rsidRPr="000B58F6" w:rsidR="0022302F" w:rsidP="00FE3BAE" w:rsidRDefault="0022302F" w14:paraId="330D3693" w14:textId="77777777">
      <w:pPr>
        <w:spacing w:line="360" w:lineRule="auto"/>
        <w:rPr>
          <w:b/>
        </w:rPr>
      </w:pPr>
    </w:p>
    <w:p w:rsidRPr="000B58F6" w:rsidR="0022302F" w:rsidP="00FE3BAE" w:rsidRDefault="0022302F" w14:paraId="1CF37A00" w14:textId="77777777">
      <w:pPr>
        <w:spacing w:line="360" w:lineRule="auto"/>
        <w:rPr>
          <w:b/>
        </w:rPr>
      </w:pPr>
    </w:p>
    <w:p w:rsidRPr="000B58F6" w:rsidR="0022302F" w:rsidP="00FE3BAE" w:rsidRDefault="0022302F" w14:paraId="439C0840" w14:textId="77777777">
      <w:pPr>
        <w:spacing w:line="360" w:lineRule="auto"/>
        <w:rPr>
          <w:b/>
        </w:rPr>
      </w:pPr>
    </w:p>
    <w:p w:rsidRPr="000B58F6" w:rsidR="00FE3BAE" w:rsidP="00FE3BAE" w:rsidRDefault="00FE3BAE" w14:paraId="53F54635" w14:textId="77777777">
      <w:pPr>
        <w:jc w:val="center"/>
      </w:pPr>
      <w:r w:rsidRPr="000B58F6">
        <w:rPr>
          <w:b/>
        </w:rPr>
        <w:t>(END OF APPENDIX)</w:t>
      </w:r>
    </w:p>
    <w:sectPr w:rsidRPr="000B58F6" w:rsidR="00FE3BAE" w:rsidSect="002A6C07">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D86C" w14:textId="77777777" w:rsidR="00E262C7" w:rsidRDefault="00E262C7" w:rsidP="00885956">
      <w:r>
        <w:separator/>
      </w:r>
    </w:p>
  </w:endnote>
  <w:endnote w:type="continuationSeparator" w:id="0">
    <w:p w14:paraId="1ACD4B66" w14:textId="77777777" w:rsidR="00E262C7" w:rsidRDefault="00E262C7"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20F4" w14:textId="0A4AA9E9" w:rsidR="00EB20A0" w:rsidRDefault="000F36C3" w:rsidP="000F36C3">
    <w:pPr>
      <w:pStyle w:val="Footer"/>
    </w:pPr>
    <w:r>
      <w:tab/>
    </w:r>
    <w:sdt>
      <w:sdtPr>
        <w:id w:val="1910570652"/>
        <w:docPartObj>
          <w:docPartGallery w:val="Page Numbers (Bottom of Page)"/>
          <w:docPartUnique/>
        </w:docPartObj>
      </w:sdtPr>
      <w:sdtEndPr>
        <w:rPr>
          <w:noProof/>
        </w:rPr>
      </w:sdtEndPr>
      <w:sdtContent>
        <w:r w:rsidR="00EB20A0">
          <w:fldChar w:fldCharType="begin"/>
        </w:r>
        <w:r w:rsidR="00EB20A0">
          <w:instrText xml:space="preserve"> PAGE   \* MERGEFORMAT </w:instrText>
        </w:r>
        <w:r w:rsidR="00EB20A0">
          <w:fldChar w:fldCharType="separate"/>
        </w:r>
        <w:r w:rsidR="00EB20A0">
          <w:rPr>
            <w:noProof/>
          </w:rPr>
          <w:t>- 12 -</w:t>
        </w:r>
        <w:r w:rsidR="00EB20A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49329"/>
      <w:docPartObj>
        <w:docPartGallery w:val="Page Numbers (Bottom of Page)"/>
        <w:docPartUnique/>
      </w:docPartObj>
    </w:sdtPr>
    <w:sdtEndPr>
      <w:rPr>
        <w:noProof/>
      </w:rPr>
    </w:sdtEndPr>
    <w:sdtContent>
      <w:p w14:paraId="2B494C2D" w14:textId="3E492697" w:rsidR="00EB20A0" w:rsidRDefault="00144C41" w:rsidP="000F36C3">
        <w:pPr>
          <w:pStyle w:val="Footer"/>
          <w:tabs>
            <w:tab w:val="left" w:pos="737"/>
            <w:tab w:val="center" w:pos="4320"/>
          </w:tabs>
        </w:pPr>
        <w:r w:rsidRPr="00144C41">
          <w:rPr>
            <w:sz w:val="18"/>
            <w:szCs w:val="18"/>
          </w:rPr>
          <w:t>370283072</w:t>
        </w:r>
        <w:r w:rsidR="000F36C3">
          <w:tab/>
        </w:r>
        <w:r w:rsidR="00EB20A0">
          <w:fldChar w:fldCharType="begin"/>
        </w:r>
        <w:r w:rsidR="00EB20A0">
          <w:instrText xml:space="preserve"> PAGE   \* MERGEFORMAT </w:instrText>
        </w:r>
        <w:r w:rsidR="00EB20A0">
          <w:fldChar w:fldCharType="separate"/>
        </w:r>
        <w:r w:rsidR="00EB20A0">
          <w:rPr>
            <w:noProof/>
          </w:rPr>
          <w:t>- 1 -</w:t>
        </w:r>
        <w:r w:rsidR="00EB20A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0B0E" w14:textId="77777777" w:rsidR="00E262C7" w:rsidRDefault="00E262C7" w:rsidP="00885956">
      <w:r>
        <w:separator/>
      </w:r>
    </w:p>
  </w:footnote>
  <w:footnote w:type="continuationSeparator" w:id="0">
    <w:p w14:paraId="7EFD78F4" w14:textId="77777777" w:rsidR="00E262C7" w:rsidRDefault="00E262C7" w:rsidP="00885956">
      <w:r>
        <w:continuationSeparator/>
      </w:r>
    </w:p>
  </w:footnote>
  <w:footnote w:id="1">
    <w:p w14:paraId="7CAF0DDD" w14:textId="77777777" w:rsidR="00EB20A0" w:rsidRDefault="00EB20A0">
      <w:pPr>
        <w:pStyle w:val="FootnoteText"/>
      </w:pPr>
      <w:r>
        <w:rPr>
          <w:rStyle w:val="FootnoteReference"/>
        </w:rPr>
        <w:footnoteRef/>
      </w:r>
      <w:r>
        <w:t xml:space="preserve"> All statutory references are to California Public Utilities Code unless indicated otherwise.</w:t>
      </w:r>
    </w:p>
  </w:footnote>
  <w:footnote w:id="2">
    <w:p w14:paraId="067A050B" w14:textId="744ED51D" w:rsidR="00EB20A0" w:rsidRDefault="00EB20A0" w:rsidP="00D30039">
      <w:pPr>
        <w:pStyle w:val="NormalWeb"/>
      </w:pPr>
      <w:r>
        <w:rPr>
          <w:rStyle w:val="FootnoteReference"/>
        </w:rPr>
        <w:footnoteRef/>
      </w:r>
      <w:r>
        <w:t xml:space="preserve"> </w:t>
      </w:r>
      <w:r w:rsidRPr="00D30039">
        <w:rPr>
          <w:color w:val="000000"/>
          <w:sz w:val="20"/>
          <w:szCs w:val="20"/>
        </w:rPr>
        <w:t>The Office of Ratepayer Advocates was renamed the Public Advocate</w:t>
      </w:r>
      <w:r>
        <w:rPr>
          <w:color w:val="000000"/>
          <w:sz w:val="20"/>
          <w:szCs w:val="20"/>
        </w:rPr>
        <w:t>’</w:t>
      </w:r>
      <w:r w:rsidRPr="00D30039">
        <w:rPr>
          <w:color w:val="000000"/>
          <w:sz w:val="20"/>
          <w:szCs w:val="20"/>
        </w:rPr>
        <w:t>s Office of the Public Utilities Commission pursuant to Senate Bill No. 854, which the Governor approved on June 27, 2018. </w:t>
      </w:r>
    </w:p>
  </w:footnote>
  <w:footnote w:id="3">
    <w:p w14:paraId="58EC7036" w14:textId="02B5418D" w:rsidR="00EB20A0" w:rsidRDefault="00EB20A0">
      <w:pPr>
        <w:pStyle w:val="FootnoteText"/>
      </w:pPr>
      <w:r>
        <w:rPr>
          <w:rStyle w:val="FootnoteReference"/>
        </w:rPr>
        <w:footnoteRef/>
      </w:r>
      <w:r>
        <w:t xml:space="preserve"> The correct reference Decision is D.19-12-053.</w:t>
      </w:r>
    </w:p>
  </w:footnote>
  <w:footnote w:id="4">
    <w:p w14:paraId="2A44723A" w14:textId="1DFA513B" w:rsidR="00EB20A0" w:rsidRPr="00DE3A5D" w:rsidRDefault="00EB20A0" w:rsidP="005A53F1">
      <w:pPr>
        <w:pStyle w:val="ListParagraph"/>
        <w:ind w:left="0"/>
        <w:rPr>
          <w:rFonts w:ascii="Times New Roman" w:hAnsi="Times New Roman"/>
        </w:rPr>
      </w:pPr>
      <w:r w:rsidRPr="00DE3A5D">
        <w:rPr>
          <w:rStyle w:val="FootnoteReference"/>
          <w:rFonts w:ascii="Times New Roman" w:hAnsi="Times New Roman"/>
          <w:sz w:val="20"/>
          <w:szCs w:val="20"/>
        </w:rPr>
        <w:footnoteRef/>
      </w:r>
      <w:r w:rsidRPr="00DE3A5D">
        <w:rPr>
          <w:rFonts w:ascii="Times New Roman" w:hAnsi="Times New Roman"/>
        </w:rPr>
        <w:t xml:space="preserve"> </w:t>
      </w:r>
      <w:r w:rsidRPr="00DE3A5D">
        <w:rPr>
          <w:rFonts w:ascii="Times New Roman" w:hAnsi="Times New Roman"/>
          <w:sz w:val="20"/>
          <w:szCs w:val="20"/>
        </w:rPr>
        <w:t xml:space="preserve">This information may be </w:t>
      </w:r>
      <w:r w:rsidRPr="00DE3A5D">
        <w:rPr>
          <w:rFonts w:ascii="Times New Roman" w:hAnsi="Times New Roman"/>
          <w:color w:val="000000"/>
          <w:sz w:val="20"/>
          <w:szCs w:val="20"/>
        </w:rPr>
        <w:t>obtain</w:t>
      </w:r>
      <w:r>
        <w:rPr>
          <w:rFonts w:ascii="Times New Roman" w:hAnsi="Times New Roman"/>
          <w:color w:val="000000"/>
          <w:sz w:val="20"/>
          <w:szCs w:val="20"/>
        </w:rPr>
        <w:t xml:space="preserve">ed through the State Bar of California’s website at </w:t>
      </w:r>
      <w:hyperlink r:id="rId1" w:history="1">
        <w:r w:rsidRPr="00915118">
          <w:rPr>
            <w:rStyle w:val="Hyperlink"/>
            <w:rFonts w:ascii="Times New Roman" w:hAnsi="Times New Roman"/>
            <w:sz w:val="20"/>
            <w:szCs w:val="20"/>
          </w:rPr>
          <w:t>http://members.calbar.ca.gov/fal/MemberSearch/QuickSearch</w:t>
        </w:r>
      </w:hyperlink>
      <w:r>
        <w:rPr>
          <w:rFonts w:ascii="Times New Roman" w:hAnsi="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C411" w14:textId="05B5DAC0" w:rsidR="007007D9" w:rsidRPr="007007D9" w:rsidRDefault="007007D9">
    <w:pPr>
      <w:pStyle w:val="Header"/>
      <w:rPr>
        <w:b/>
        <w:bCs/>
      </w:rPr>
    </w:pPr>
    <w:r>
      <w:t>R.12-06-</w:t>
    </w:r>
    <w:proofErr w:type="gramStart"/>
    <w:r>
      <w:t>013  ALJ</w:t>
    </w:r>
    <w:proofErr w:type="gramEnd"/>
    <w:r>
      <w:t>/PD1/SJP/gp2</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0918C9"/>
    <w:multiLevelType w:val="hybridMultilevel"/>
    <w:tmpl w:val="0F44E7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39E07609"/>
    <w:multiLevelType w:val="hybridMultilevel"/>
    <w:tmpl w:val="3ABA4530"/>
    <w:lvl w:ilvl="0" w:tplc="CC72B2E2">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3E0746"/>
    <w:multiLevelType w:val="hybridMultilevel"/>
    <w:tmpl w:val="ED5ED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5"/>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3"/>
    <w:rsid w:val="00003A49"/>
    <w:rsid w:val="00013AB8"/>
    <w:rsid w:val="00026A15"/>
    <w:rsid w:val="00034492"/>
    <w:rsid w:val="00036F54"/>
    <w:rsid w:val="000405F3"/>
    <w:rsid w:val="00044B2B"/>
    <w:rsid w:val="00044EED"/>
    <w:rsid w:val="00045A2F"/>
    <w:rsid w:val="00056FC1"/>
    <w:rsid w:val="00072C81"/>
    <w:rsid w:val="0008557F"/>
    <w:rsid w:val="00087FA4"/>
    <w:rsid w:val="000B58F6"/>
    <w:rsid w:val="000D63CE"/>
    <w:rsid w:val="000D6CA0"/>
    <w:rsid w:val="000D6DF8"/>
    <w:rsid w:val="000E41D9"/>
    <w:rsid w:val="000E6ABD"/>
    <w:rsid w:val="000F36C3"/>
    <w:rsid w:val="000F595C"/>
    <w:rsid w:val="000F7670"/>
    <w:rsid w:val="0010480F"/>
    <w:rsid w:val="00110D89"/>
    <w:rsid w:val="00123103"/>
    <w:rsid w:val="00125492"/>
    <w:rsid w:val="001346EB"/>
    <w:rsid w:val="00136BC6"/>
    <w:rsid w:val="00141A4E"/>
    <w:rsid w:val="00144C41"/>
    <w:rsid w:val="00151AA8"/>
    <w:rsid w:val="00152F94"/>
    <w:rsid w:val="001542CF"/>
    <w:rsid w:val="00155079"/>
    <w:rsid w:val="00171EBF"/>
    <w:rsid w:val="00175865"/>
    <w:rsid w:val="00180E8C"/>
    <w:rsid w:val="001962EB"/>
    <w:rsid w:val="001B7557"/>
    <w:rsid w:val="001C0DD1"/>
    <w:rsid w:val="001C21AE"/>
    <w:rsid w:val="001D3ED2"/>
    <w:rsid w:val="001E6A2B"/>
    <w:rsid w:val="001E77CF"/>
    <w:rsid w:val="001F1A7F"/>
    <w:rsid w:val="001F238E"/>
    <w:rsid w:val="00204E3A"/>
    <w:rsid w:val="0021076E"/>
    <w:rsid w:val="00212E10"/>
    <w:rsid w:val="00214B22"/>
    <w:rsid w:val="00217224"/>
    <w:rsid w:val="0022302F"/>
    <w:rsid w:val="00230392"/>
    <w:rsid w:val="002415DC"/>
    <w:rsid w:val="002466F8"/>
    <w:rsid w:val="00256F00"/>
    <w:rsid w:val="00260518"/>
    <w:rsid w:val="00264333"/>
    <w:rsid w:val="00270E2E"/>
    <w:rsid w:val="00273208"/>
    <w:rsid w:val="002A6C07"/>
    <w:rsid w:val="002D21CA"/>
    <w:rsid w:val="002D53AA"/>
    <w:rsid w:val="002E5F83"/>
    <w:rsid w:val="002E77D8"/>
    <w:rsid w:val="00303C2B"/>
    <w:rsid w:val="003120DD"/>
    <w:rsid w:val="003501DD"/>
    <w:rsid w:val="00357F1A"/>
    <w:rsid w:val="00374FD1"/>
    <w:rsid w:val="00377884"/>
    <w:rsid w:val="00380703"/>
    <w:rsid w:val="003B1782"/>
    <w:rsid w:val="003B5EAC"/>
    <w:rsid w:val="003B5F0D"/>
    <w:rsid w:val="003B6A1B"/>
    <w:rsid w:val="003C608A"/>
    <w:rsid w:val="003D359B"/>
    <w:rsid w:val="003D4455"/>
    <w:rsid w:val="003E34FD"/>
    <w:rsid w:val="004534E7"/>
    <w:rsid w:val="00480BF6"/>
    <w:rsid w:val="004840D2"/>
    <w:rsid w:val="004C0961"/>
    <w:rsid w:val="004C39A1"/>
    <w:rsid w:val="004D6B6D"/>
    <w:rsid w:val="004D779D"/>
    <w:rsid w:val="004E0395"/>
    <w:rsid w:val="004E3939"/>
    <w:rsid w:val="004E3D93"/>
    <w:rsid w:val="00516CE7"/>
    <w:rsid w:val="005215EF"/>
    <w:rsid w:val="00521B86"/>
    <w:rsid w:val="00527FDB"/>
    <w:rsid w:val="00533373"/>
    <w:rsid w:val="005406E1"/>
    <w:rsid w:val="00543FAC"/>
    <w:rsid w:val="00547145"/>
    <w:rsid w:val="00551967"/>
    <w:rsid w:val="0055228B"/>
    <w:rsid w:val="00560D4E"/>
    <w:rsid w:val="005912FA"/>
    <w:rsid w:val="005A53F1"/>
    <w:rsid w:val="005A63D4"/>
    <w:rsid w:val="005A65C2"/>
    <w:rsid w:val="005C327F"/>
    <w:rsid w:val="005F4D82"/>
    <w:rsid w:val="00610FEF"/>
    <w:rsid w:val="00621A7C"/>
    <w:rsid w:val="0065087E"/>
    <w:rsid w:val="00652DEA"/>
    <w:rsid w:val="00660D7E"/>
    <w:rsid w:val="006637D2"/>
    <w:rsid w:val="00673595"/>
    <w:rsid w:val="00673EB1"/>
    <w:rsid w:val="00691528"/>
    <w:rsid w:val="00692738"/>
    <w:rsid w:val="00694DEA"/>
    <w:rsid w:val="006A2380"/>
    <w:rsid w:val="006A7272"/>
    <w:rsid w:val="006B00D2"/>
    <w:rsid w:val="006B7375"/>
    <w:rsid w:val="006D1BE0"/>
    <w:rsid w:val="006D3D52"/>
    <w:rsid w:val="006D4B0E"/>
    <w:rsid w:val="006E60F7"/>
    <w:rsid w:val="007007D9"/>
    <w:rsid w:val="00703D5A"/>
    <w:rsid w:val="00721434"/>
    <w:rsid w:val="0072314D"/>
    <w:rsid w:val="0074620B"/>
    <w:rsid w:val="00757B44"/>
    <w:rsid w:val="00780C7B"/>
    <w:rsid w:val="00790FDF"/>
    <w:rsid w:val="007921F7"/>
    <w:rsid w:val="00794BDB"/>
    <w:rsid w:val="007A3FCC"/>
    <w:rsid w:val="007B6076"/>
    <w:rsid w:val="007C1B69"/>
    <w:rsid w:val="007E71C3"/>
    <w:rsid w:val="007F620E"/>
    <w:rsid w:val="007F6CF5"/>
    <w:rsid w:val="00802101"/>
    <w:rsid w:val="00802701"/>
    <w:rsid w:val="00802A61"/>
    <w:rsid w:val="00815F1F"/>
    <w:rsid w:val="0081626F"/>
    <w:rsid w:val="0083350A"/>
    <w:rsid w:val="008336EC"/>
    <w:rsid w:val="00855FD7"/>
    <w:rsid w:val="00864656"/>
    <w:rsid w:val="0088344A"/>
    <w:rsid w:val="008844B6"/>
    <w:rsid w:val="00885956"/>
    <w:rsid w:val="00886869"/>
    <w:rsid w:val="008B67E2"/>
    <w:rsid w:val="008C09F7"/>
    <w:rsid w:val="008C2208"/>
    <w:rsid w:val="008E3450"/>
    <w:rsid w:val="008E4336"/>
    <w:rsid w:val="00915118"/>
    <w:rsid w:val="00925FAB"/>
    <w:rsid w:val="00947A45"/>
    <w:rsid w:val="00963EEF"/>
    <w:rsid w:val="009A62F6"/>
    <w:rsid w:val="009E48E4"/>
    <w:rsid w:val="00A01969"/>
    <w:rsid w:val="00A07A96"/>
    <w:rsid w:val="00A10F70"/>
    <w:rsid w:val="00A26FDF"/>
    <w:rsid w:val="00A319DE"/>
    <w:rsid w:val="00A55B4C"/>
    <w:rsid w:val="00A615D8"/>
    <w:rsid w:val="00A67E89"/>
    <w:rsid w:val="00A75D2D"/>
    <w:rsid w:val="00A86988"/>
    <w:rsid w:val="00A910F1"/>
    <w:rsid w:val="00A92D0B"/>
    <w:rsid w:val="00AA1740"/>
    <w:rsid w:val="00AB2C33"/>
    <w:rsid w:val="00AB2F7F"/>
    <w:rsid w:val="00AB3510"/>
    <w:rsid w:val="00AB4235"/>
    <w:rsid w:val="00AC5A4B"/>
    <w:rsid w:val="00AD5797"/>
    <w:rsid w:val="00AD742A"/>
    <w:rsid w:val="00AE0579"/>
    <w:rsid w:val="00AE429F"/>
    <w:rsid w:val="00AE6A45"/>
    <w:rsid w:val="00AF4C9C"/>
    <w:rsid w:val="00B00BCD"/>
    <w:rsid w:val="00B03003"/>
    <w:rsid w:val="00B1593B"/>
    <w:rsid w:val="00B312DA"/>
    <w:rsid w:val="00B31565"/>
    <w:rsid w:val="00B43BF0"/>
    <w:rsid w:val="00B45043"/>
    <w:rsid w:val="00B51C2B"/>
    <w:rsid w:val="00B5350A"/>
    <w:rsid w:val="00B54991"/>
    <w:rsid w:val="00B55CCD"/>
    <w:rsid w:val="00B55D78"/>
    <w:rsid w:val="00B622DA"/>
    <w:rsid w:val="00B62AC0"/>
    <w:rsid w:val="00B66CF5"/>
    <w:rsid w:val="00B67DD6"/>
    <w:rsid w:val="00B96895"/>
    <w:rsid w:val="00B9784F"/>
    <w:rsid w:val="00B978F0"/>
    <w:rsid w:val="00BA548C"/>
    <w:rsid w:val="00BB49BB"/>
    <w:rsid w:val="00BE45D0"/>
    <w:rsid w:val="00BF2F45"/>
    <w:rsid w:val="00C02649"/>
    <w:rsid w:val="00C0471D"/>
    <w:rsid w:val="00C13B3F"/>
    <w:rsid w:val="00C16981"/>
    <w:rsid w:val="00C372E0"/>
    <w:rsid w:val="00C47036"/>
    <w:rsid w:val="00C654ED"/>
    <w:rsid w:val="00C742D7"/>
    <w:rsid w:val="00C765A2"/>
    <w:rsid w:val="00C80771"/>
    <w:rsid w:val="00C84D6E"/>
    <w:rsid w:val="00C91D31"/>
    <w:rsid w:val="00CA1796"/>
    <w:rsid w:val="00CA2ED1"/>
    <w:rsid w:val="00CB3209"/>
    <w:rsid w:val="00CC1809"/>
    <w:rsid w:val="00CC4B40"/>
    <w:rsid w:val="00CD6886"/>
    <w:rsid w:val="00CD7D17"/>
    <w:rsid w:val="00CF1129"/>
    <w:rsid w:val="00D01C06"/>
    <w:rsid w:val="00D075B1"/>
    <w:rsid w:val="00D10372"/>
    <w:rsid w:val="00D27D5F"/>
    <w:rsid w:val="00D30039"/>
    <w:rsid w:val="00D30C4F"/>
    <w:rsid w:val="00D3641C"/>
    <w:rsid w:val="00D36884"/>
    <w:rsid w:val="00D36927"/>
    <w:rsid w:val="00D5679D"/>
    <w:rsid w:val="00D56BCA"/>
    <w:rsid w:val="00D67228"/>
    <w:rsid w:val="00D740FC"/>
    <w:rsid w:val="00D74F4E"/>
    <w:rsid w:val="00D75107"/>
    <w:rsid w:val="00D84F94"/>
    <w:rsid w:val="00D8769E"/>
    <w:rsid w:val="00D95CD1"/>
    <w:rsid w:val="00DA3AEE"/>
    <w:rsid w:val="00DD52BB"/>
    <w:rsid w:val="00DE3A5D"/>
    <w:rsid w:val="00DE3F74"/>
    <w:rsid w:val="00DE5DC4"/>
    <w:rsid w:val="00DF71C1"/>
    <w:rsid w:val="00E00990"/>
    <w:rsid w:val="00E00FCE"/>
    <w:rsid w:val="00E1331A"/>
    <w:rsid w:val="00E14A77"/>
    <w:rsid w:val="00E15DC3"/>
    <w:rsid w:val="00E21EA5"/>
    <w:rsid w:val="00E25078"/>
    <w:rsid w:val="00E262C7"/>
    <w:rsid w:val="00E3786F"/>
    <w:rsid w:val="00E40140"/>
    <w:rsid w:val="00E52992"/>
    <w:rsid w:val="00E60942"/>
    <w:rsid w:val="00E66CC1"/>
    <w:rsid w:val="00E75E09"/>
    <w:rsid w:val="00E87C0F"/>
    <w:rsid w:val="00E9366A"/>
    <w:rsid w:val="00E959A0"/>
    <w:rsid w:val="00EB20A0"/>
    <w:rsid w:val="00EC4CC9"/>
    <w:rsid w:val="00ED6B6B"/>
    <w:rsid w:val="00F04904"/>
    <w:rsid w:val="00F163FD"/>
    <w:rsid w:val="00F20061"/>
    <w:rsid w:val="00F20FBA"/>
    <w:rsid w:val="00F26371"/>
    <w:rsid w:val="00F30DA8"/>
    <w:rsid w:val="00F34C1F"/>
    <w:rsid w:val="00F3772B"/>
    <w:rsid w:val="00F47E87"/>
    <w:rsid w:val="00F63C29"/>
    <w:rsid w:val="00F650AE"/>
    <w:rsid w:val="00F71D69"/>
    <w:rsid w:val="00F75870"/>
    <w:rsid w:val="00F81778"/>
    <w:rsid w:val="00F96DD1"/>
    <w:rsid w:val="00F96E66"/>
    <w:rsid w:val="00FA4732"/>
    <w:rsid w:val="00FC16F4"/>
    <w:rsid w:val="00FC3AF0"/>
    <w:rsid w:val="00FC72B7"/>
    <w:rsid w:val="00FE3BAE"/>
    <w:rsid w:val="00FE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B42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character" w:customStyle="1" w:styleId="Heading2Char">
    <w:name w:val="Heading 2 Char"/>
    <w:basedOn w:val="DefaultParagraphFont"/>
    <w:link w:val="Heading2"/>
    <w:rsid w:val="00AB42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4359">
      <w:bodyDiv w:val="1"/>
      <w:marLeft w:val="0"/>
      <w:marRight w:val="0"/>
      <w:marTop w:val="0"/>
      <w:marBottom w:val="0"/>
      <w:divBdr>
        <w:top w:val="none" w:sz="0" w:space="0" w:color="auto"/>
        <w:left w:val="none" w:sz="0" w:space="0" w:color="auto"/>
        <w:bottom w:val="none" w:sz="0" w:space="0" w:color="auto"/>
        <w:right w:val="none" w:sz="0" w:space="0" w:color="auto"/>
      </w:divBdr>
    </w:div>
    <w:div w:id="226647883">
      <w:bodyDiv w:val="1"/>
      <w:marLeft w:val="0"/>
      <w:marRight w:val="0"/>
      <w:marTop w:val="0"/>
      <w:marBottom w:val="0"/>
      <w:divBdr>
        <w:top w:val="none" w:sz="0" w:space="0" w:color="auto"/>
        <w:left w:val="none" w:sz="0" w:space="0" w:color="auto"/>
        <w:bottom w:val="none" w:sz="0" w:space="0" w:color="auto"/>
        <w:right w:val="none" w:sz="0" w:space="0" w:color="auto"/>
      </w:divBdr>
    </w:div>
    <w:div w:id="496119131">
      <w:bodyDiv w:val="1"/>
      <w:marLeft w:val="0"/>
      <w:marRight w:val="0"/>
      <w:marTop w:val="0"/>
      <w:marBottom w:val="0"/>
      <w:divBdr>
        <w:top w:val="none" w:sz="0" w:space="0" w:color="auto"/>
        <w:left w:val="none" w:sz="0" w:space="0" w:color="auto"/>
        <w:bottom w:val="none" w:sz="0" w:space="0" w:color="auto"/>
        <w:right w:val="none" w:sz="0" w:space="0" w:color="auto"/>
      </w:divBdr>
    </w:div>
    <w:div w:id="695736363">
      <w:bodyDiv w:val="1"/>
      <w:marLeft w:val="0"/>
      <w:marRight w:val="0"/>
      <w:marTop w:val="0"/>
      <w:marBottom w:val="0"/>
      <w:divBdr>
        <w:top w:val="none" w:sz="0" w:space="0" w:color="auto"/>
        <w:left w:val="none" w:sz="0" w:space="0" w:color="auto"/>
        <w:bottom w:val="none" w:sz="0" w:space="0" w:color="auto"/>
        <w:right w:val="none" w:sz="0" w:space="0" w:color="auto"/>
      </w:divBdr>
    </w:div>
    <w:div w:id="754475676">
      <w:bodyDiv w:val="1"/>
      <w:marLeft w:val="0"/>
      <w:marRight w:val="0"/>
      <w:marTop w:val="0"/>
      <w:marBottom w:val="0"/>
      <w:divBdr>
        <w:top w:val="none" w:sz="0" w:space="0" w:color="auto"/>
        <w:left w:val="none" w:sz="0" w:space="0" w:color="auto"/>
        <w:bottom w:val="none" w:sz="0" w:space="0" w:color="auto"/>
        <w:right w:val="none" w:sz="0" w:space="0" w:color="auto"/>
      </w:divBdr>
    </w:div>
    <w:div w:id="982391000">
      <w:bodyDiv w:val="1"/>
      <w:marLeft w:val="0"/>
      <w:marRight w:val="0"/>
      <w:marTop w:val="0"/>
      <w:marBottom w:val="0"/>
      <w:divBdr>
        <w:top w:val="none" w:sz="0" w:space="0" w:color="auto"/>
        <w:left w:val="none" w:sz="0" w:space="0" w:color="auto"/>
        <w:bottom w:val="none" w:sz="0" w:space="0" w:color="auto"/>
        <w:right w:val="none" w:sz="0" w:space="0" w:color="auto"/>
      </w:divBdr>
    </w:div>
    <w:div w:id="1520853985">
      <w:bodyDiv w:val="1"/>
      <w:marLeft w:val="0"/>
      <w:marRight w:val="0"/>
      <w:marTop w:val="0"/>
      <w:marBottom w:val="0"/>
      <w:divBdr>
        <w:top w:val="none" w:sz="0" w:space="0" w:color="auto"/>
        <w:left w:val="none" w:sz="0" w:space="0" w:color="auto"/>
        <w:bottom w:val="none" w:sz="0" w:space="0" w:color="auto"/>
        <w:right w:val="none" w:sz="0" w:space="0" w:color="auto"/>
      </w:divBdr>
    </w:div>
    <w:div w:id="1582987279">
      <w:bodyDiv w:val="1"/>
      <w:marLeft w:val="0"/>
      <w:marRight w:val="0"/>
      <w:marTop w:val="0"/>
      <w:marBottom w:val="0"/>
      <w:divBdr>
        <w:top w:val="none" w:sz="0" w:space="0" w:color="auto"/>
        <w:left w:val="none" w:sz="0" w:space="0" w:color="auto"/>
        <w:bottom w:val="none" w:sz="0" w:space="0" w:color="auto"/>
        <w:right w:val="none" w:sz="0" w:space="0" w:color="auto"/>
      </w:divBdr>
    </w:div>
    <w:div w:id="1598708814">
      <w:bodyDiv w:val="1"/>
      <w:marLeft w:val="0"/>
      <w:marRight w:val="0"/>
      <w:marTop w:val="0"/>
      <w:marBottom w:val="0"/>
      <w:divBdr>
        <w:top w:val="none" w:sz="0" w:space="0" w:color="auto"/>
        <w:left w:val="none" w:sz="0" w:space="0" w:color="auto"/>
        <w:bottom w:val="none" w:sz="0" w:space="0" w:color="auto"/>
        <w:right w:val="none" w:sz="0" w:space="0" w:color="auto"/>
      </w:divBdr>
    </w:div>
    <w:div w:id="1684549143">
      <w:bodyDiv w:val="1"/>
      <w:marLeft w:val="0"/>
      <w:marRight w:val="0"/>
      <w:marTop w:val="0"/>
      <w:marBottom w:val="0"/>
      <w:divBdr>
        <w:top w:val="none" w:sz="0" w:space="0" w:color="auto"/>
        <w:left w:val="none" w:sz="0" w:space="0" w:color="auto"/>
        <w:bottom w:val="none" w:sz="0" w:space="0" w:color="auto"/>
        <w:right w:val="none" w:sz="0" w:space="0" w:color="auto"/>
      </w:divBdr>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 w:id="19803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FA2A-7BB3-471A-B972-DA67AC73436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3379</ap:Words>
  <ap:Characters>18937</ap:Characters>
  <ap:Application>Microsoft Office Word</ap:Application>
  <ap:DocSecurity>0</ap:DocSecurity>
  <ap:Lines>157</ap:Lines>
  <ap:Paragraphs>44</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LinksUpToDate>false</ap:LinksUpToDate>
  <ap:CharactersWithSpaces>22272</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2021-03-09T08:49:39Z</dcterms:created>
  <dcterms:modified xsi:type="dcterms:W3CDTF">2021-03-09T08:49:39Z</dcterms:modified>
</cp:coreProperties>
</file>