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231B" w:rsidP="00DF231B" w:rsidRDefault="00DF231B" w14:paraId="121A20A9" w14:textId="77777777">
      <w:pPr>
        <w:rPr>
          <w:rFonts w:ascii="Palatino Linotype" w:hAnsi="Palatino Linotype"/>
          <w:b/>
          <w:sz w:val="24"/>
        </w:rPr>
      </w:pPr>
    </w:p>
    <w:p w:rsidR="00DF231B" w:rsidP="00DF231B" w:rsidRDefault="00DF231B" w14:paraId="0F63A66D" w14:textId="77777777">
      <w:pPr>
        <w:jc w:val="center"/>
        <w:rPr>
          <w:rFonts w:ascii="Palatino Linotype" w:hAnsi="Palatino Linotype"/>
          <w:b/>
          <w:sz w:val="24"/>
        </w:rPr>
      </w:pPr>
      <w:r>
        <w:rPr>
          <w:rFonts w:ascii="Palatino Linotype" w:hAnsi="Palatino Linotype"/>
          <w:b/>
          <w:sz w:val="24"/>
        </w:rPr>
        <w:t>PUBLIC UTILITIES COMMISSION OF THE STATE OF CALIFORNIA</w:t>
      </w:r>
    </w:p>
    <w:p w:rsidR="00DF231B" w:rsidP="00DF231B" w:rsidRDefault="00DF231B" w14:paraId="7CF44B75" w14:textId="77777777">
      <w:pPr>
        <w:rPr>
          <w:rFonts w:ascii="Palatino Linotype" w:hAnsi="Palatino Linotype"/>
          <w:b/>
          <w:sz w:val="24"/>
        </w:rPr>
      </w:pPr>
    </w:p>
    <w:tbl>
      <w:tblPr>
        <w:tblW w:w="0" w:type="auto"/>
        <w:tblLayout w:type="fixed"/>
        <w:tblLook w:val="0000" w:firstRow="0" w:lastRow="0" w:firstColumn="0" w:lastColumn="0" w:noHBand="0" w:noVBand="0"/>
      </w:tblPr>
      <w:tblGrid>
        <w:gridCol w:w="5028"/>
        <w:gridCol w:w="4380"/>
      </w:tblGrid>
      <w:tr w:rsidR="00DF231B" w:rsidTr="36129757" w14:paraId="5471176A" w14:textId="77777777">
        <w:tc>
          <w:tcPr>
            <w:tcW w:w="5028" w:type="dxa"/>
          </w:tcPr>
          <w:p w:rsidR="00DF231B" w:rsidP="0256EE47" w:rsidRDefault="00DF231B" w14:paraId="42FFB99F" w14:textId="7904766E">
            <w:pPr>
              <w:rPr>
                <w:rFonts w:ascii="Palatino Linotype" w:hAnsi="Palatino Linotype"/>
                <w:b/>
                <w:bCs/>
                <w:sz w:val="24"/>
                <w:szCs w:val="24"/>
                <w:lang w:val="fr-FR"/>
              </w:rPr>
            </w:pPr>
            <w:r w:rsidRPr="0256EE47">
              <w:rPr>
                <w:rFonts w:ascii="Palatino Linotype" w:hAnsi="Palatino Linotype"/>
                <w:b/>
                <w:bCs/>
                <w:sz w:val="24"/>
                <w:szCs w:val="24"/>
              </w:rPr>
              <w:t>Communications</w:t>
            </w:r>
            <w:r w:rsidRPr="0256EE47">
              <w:rPr>
                <w:rFonts w:ascii="Palatino Linotype" w:hAnsi="Palatino Linotype"/>
                <w:b/>
                <w:bCs/>
                <w:sz w:val="24"/>
                <w:szCs w:val="24"/>
                <w:lang w:val="fr-FR"/>
              </w:rPr>
              <w:t xml:space="preserve"> Division</w:t>
            </w:r>
          </w:p>
        </w:tc>
        <w:tc>
          <w:tcPr>
            <w:tcW w:w="4380" w:type="dxa"/>
          </w:tcPr>
          <w:p w:rsidR="00DF231B" w:rsidP="00D970E1" w:rsidRDefault="00DF231B" w14:paraId="6780D4D0" w14:textId="1003B4AB">
            <w:pPr>
              <w:pStyle w:val="Heading3"/>
              <w:jc w:val="right"/>
              <w:rPr>
                <w:rFonts w:ascii="Palatino Linotype" w:hAnsi="Palatino Linotype"/>
                <w:lang w:val="fr-FR"/>
              </w:rPr>
            </w:pPr>
            <w:r w:rsidRPr="0256EE47">
              <w:rPr>
                <w:rFonts w:ascii="Palatino Linotype" w:hAnsi="Palatino Linotype"/>
                <w:lang w:val="fr-FR"/>
              </w:rPr>
              <w:t>RESOLUTION T-17733</w:t>
            </w:r>
          </w:p>
        </w:tc>
      </w:tr>
      <w:tr w:rsidR="00DF231B" w:rsidTr="36129757" w14:paraId="485E7887" w14:textId="77777777">
        <w:tc>
          <w:tcPr>
            <w:tcW w:w="5028" w:type="dxa"/>
          </w:tcPr>
          <w:p w:rsidR="00DF231B" w:rsidP="00D970E1" w:rsidRDefault="00DF231B" w14:paraId="119C0DE9" w14:textId="393569D4">
            <w:pPr>
              <w:pStyle w:val="Heading2"/>
              <w:rPr>
                <w:rFonts w:ascii="Palatino Linotype" w:hAnsi="Palatino Linotype"/>
                <w:b w:val="0"/>
                <w:u w:val="none"/>
              </w:rPr>
            </w:pPr>
            <w:r w:rsidRPr="0256EE47">
              <w:rPr>
                <w:rFonts w:ascii="Palatino Linotype" w:hAnsi="Palatino Linotype"/>
                <w:u w:val="none"/>
              </w:rPr>
              <w:t>Broadband, Video and Market Branch</w:t>
            </w:r>
          </w:p>
        </w:tc>
        <w:tc>
          <w:tcPr>
            <w:tcW w:w="4380" w:type="dxa"/>
          </w:tcPr>
          <w:p w:rsidR="00DF231B" w:rsidP="0256EE47" w:rsidRDefault="00DF231B" w14:paraId="2ACE534D" w14:textId="4A51BA35">
            <w:pPr>
              <w:jc w:val="right"/>
              <w:rPr>
                <w:rFonts w:ascii="Palatino Linotype" w:hAnsi="Palatino Linotype"/>
                <w:b/>
                <w:bCs/>
                <w:sz w:val="24"/>
                <w:szCs w:val="24"/>
              </w:rPr>
            </w:pPr>
            <w:r w:rsidRPr="0256EE47">
              <w:rPr>
                <w:rFonts w:ascii="Palatino Linotype" w:hAnsi="Palatino Linotype"/>
                <w:b/>
                <w:bCs/>
                <w:sz w:val="24"/>
                <w:szCs w:val="24"/>
              </w:rPr>
              <w:t>April 15, 2021</w:t>
            </w:r>
          </w:p>
        </w:tc>
      </w:tr>
    </w:tbl>
    <w:p w:rsidR="00DF231B" w:rsidP="00DF231B" w:rsidRDefault="00DF231B" w14:paraId="6B42BECA" w14:textId="77777777">
      <w:pPr>
        <w:rPr>
          <w:rFonts w:ascii="Palatino Linotype" w:hAnsi="Palatino Linotype"/>
          <w:b/>
          <w:sz w:val="24"/>
        </w:rPr>
      </w:pPr>
    </w:p>
    <w:p w:rsidR="00DF231B" w:rsidP="00DF231B" w:rsidRDefault="00DF231B" w14:paraId="7A9E2CDC" w14:textId="77777777">
      <w:pPr>
        <w:rPr>
          <w:rFonts w:ascii="Palatino Linotype" w:hAnsi="Palatino Linotype"/>
          <w:sz w:val="24"/>
        </w:rPr>
      </w:pPr>
    </w:p>
    <w:p w:rsidR="00DF231B" w:rsidP="0256EE47" w:rsidRDefault="00DF231B" w14:paraId="212C0044" w14:textId="41633A04">
      <w:pPr>
        <w:jc w:val="center"/>
        <w:rPr>
          <w:rFonts w:ascii="Palatino Linotype" w:hAnsi="Palatino Linotype"/>
          <w:b/>
          <w:bCs/>
          <w:sz w:val="24"/>
          <w:szCs w:val="24"/>
          <w:u w:val="single"/>
        </w:rPr>
      </w:pPr>
      <w:r w:rsidRPr="0256EE47">
        <w:rPr>
          <w:rFonts w:ascii="Palatino Linotype" w:hAnsi="Palatino Linotype"/>
          <w:b/>
          <w:bCs/>
          <w:sz w:val="24"/>
          <w:szCs w:val="24"/>
          <w:u w:val="single"/>
        </w:rPr>
        <w:t>R</w:t>
      </w:r>
      <w:r w:rsidRPr="0256EE47">
        <w:rPr>
          <w:rFonts w:ascii="Palatino Linotype" w:hAnsi="Palatino Linotype"/>
          <w:sz w:val="24"/>
          <w:szCs w:val="24"/>
        </w:rPr>
        <w:t xml:space="preserve"> </w:t>
      </w:r>
      <w:r w:rsidRPr="0256EE47">
        <w:rPr>
          <w:rFonts w:ascii="Palatino Linotype" w:hAnsi="Palatino Linotype"/>
          <w:b/>
          <w:bCs/>
          <w:sz w:val="24"/>
          <w:szCs w:val="24"/>
          <w:u w:val="single"/>
        </w:rPr>
        <w:t>E</w:t>
      </w:r>
      <w:r w:rsidRPr="0256EE47">
        <w:rPr>
          <w:rFonts w:ascii="Palatino Linotype" w:hAnsi="Palatino Linotype"/>
          <w:sz w:val="24"/>
          <w:szCs w:val="24"/>
        </w:rPr>
        <w:t xml:space="preserve"> </w:t>
      </w:r>
      <w:r w:rsidRPr="0256EE47">
        <w:rPr>
          <w:rFonts w:ascii="Palatino Linotype" w:hAnsi="Palatino Linotype"/>
          <w:b/>
          <w:bCs/>
          <w:sz w:val="24"/>
          <w:szCs w:val="24"/>
          <w:u w:val="single"/>
        </w:rPr>
        <w:t>S</w:t>
      </w:r>
      <w:r w:rsidRPr="0256EE47">
        <w:rPr>
          <w:rFonts w:ascii="Palatino Linotype" w:hAnsi="Palatino Linotype"/>
          <w:sz w:val="24"/>
          <w:szCs w:val="24"/>
        </w:rPr>
        <w:t xml:space="preserve"> </w:t>
      </w:r>
      <w:r w:rsidRPr="0256EE47">
        <w:rPr>
          <w:rFonts w:ascii="Palatino Linotype" w:hAnsi="Palatino Linotype"/>
          <w:b/>
          <w:bCs/>
          <w:sz w:val="24"/>
          <w:szCs w:val="24"/>
          <w:u w:val="single"/>
        </w:rPr>
        <w:t>O</w:t>
      </w:r>
      <w:r w:rsidRPr="0256EE47">
        <w:rPr>
          <w:rFonts w:ascii="Palatino Linotype" w:hAnsi="Palatino Linotype"/>
          <w:sz w:val="24"/>
          <w:szCs w:val="24"/>
        </w:rPr>
        <w:t xml:space="preserve"> </w:t>
      </w:r>
      <w:r w:rsidRPr="0256EE47">
        <w:rPr>
          <w:rFonts w:ascii="Palatino Linotype" w:hAnsi="Palatino Linotype"/>
          <w:b/>
          <w:bCs/>
          <w:sz w:val="24"/>
          <w:szCs w:val="24"/>
          <w:u w:val="single"/>
        </w:rPr>
        <w:t>L</w:t>
      </w:r>
      <w:r w:rsidRPr="0256EE47">
        <w:rPr>
          <w:rFonts w:ascii="Palatino Linotype" w:hAnsi="Palatino Linotype"/>
          <w:sz w:val="24"/>
          <w:szCs w:val="24"/>
        </w:rPr>
        <w:t xml:space="preserve"> </w:t>
      </w:r>
      <w:r w:rsidRPr="0256EE47">
        <w:rPr>
          <w:rFonts w:ascii="Palatino Linotype" w:hAnsi="Palatino Linotype"/>
          <w:b/>
          <w:bCs/>
          <w:sz w:val="24"/>
          <w:szCs w:val="24"/>
          <w:u w:val="single"/>
        </w:rPr>
        <w:t>U</w:t>
      </w:r>
      <w:r w:rsidRPr="0256EE47">
        <w:rPr>
          <w:rFonts w:ascii="Palatino Linotype" w:hAnsi="Palatino Linotype"/>
          <w:sz w:val="24"/>
          <w:szCs w:val="24"/>
        </w:rPr>
        <w:t xml:space="preserve"> </w:t>
      </w:r>
      <w:r w:rsidRPr="0256EE47">
        <w:rPr>
          <w:rFonts w:ascii="Palatino Linotype" w:hAnsi="Palatino Linotype"/>
          <w:b/>
          <w:bCs/>
          <w:sz w:val="24"/>
          <w:szCs w:val="24"/>
          <w:u w:val="single"/>
        </w:rPr>
        <w:t>T</w:t>
      </w:r>
      <w:r w:rsidRPr="0256EE47">
        <w:rPr>
          <w:rFonts w:ascii="Palatino Linotype" w:hAnsi="Palatino Linotype"/>
          <w:sz w:val="24"/>
          <w:szCs w:val="24"/>
        </w:rPr>
        <w:t xml:space="preserve"> </w:t>
      </w:r>
      <w:r w:rsidRPr="0256EE47">
        <w:rPr>
          <w:rFonts w:ascii="Palatino Linotype" w:hAnsi="Palatino Linotype"/>
          <w:b/>
          <w:bCs/>
          <w:sz w:val="24"/>
          <w:szCs w:val="24"/>
          <w:u w:val="single"/>
        </w:rPr>
        <w:t>I</w:t>
      </w:r>
      <w:r w:rsidRPr="0256EE47">
        <w:rPr>
          <w:rFonts w:ascii="Palatino Linotype" w:hAnsi="Palatino Linotype"/>
          <w:sz w:val="24"/>
          <w:szCs w:val="24"/>
        </w:rPr>
        <w:t xml:space="preserve"> </w:t>
      </w:r>
      <w:r w:rsidRPr="0256EE47">
        <w:rPr>
          <w:rFonts w:ascii="Palatino Linotype" w:hAnsi="Palatino Linotype"/>
          <w:b/>
          <w:bCs/>
          <w:sz w:val="24"/>
          <w:szCs w:val="24"/>
          <w:u w:val="single"/>
        </w:rPr>
        <w:t>O</w:t>
      </w:r>
      <w:r w:rsidRPr="0256EE47">
        <w:rPr>
          <w:rFonts w:ascii="Palatino Linotype" w:hAnsi="Palatino Linotype"/>
          <w:sz w:val="24"/>
          <w:szCs w:val="24"/>
        </w:rPr>
        <w:t xml:space="preserve"> </w:t>
      </w:r>
      <w:r w:rsidRPr="0256EE47">
        <w:rPr>
          <w:rFonts w:ascii="Palatino Linotype" w:hAnsi="Palatino Linotype"/>
          <w:b/>
          <w:bCs/>
          <w:sz w:val="24"/>
          <w:szCs w:val="24"/>
          <w:u w:val="single"/>
        </w:rPr>
        <w:t>N</w:t>
      </w:r>
    </w:p>
    <w:p w:rsidR="00DF231B" w:rsidP="00DF231B" w:rsidRDefault="00DF231B" w14:paraId="3012EC6C" w14:textId="77777777">
      <w:pPr>
        <w:rPr>
          <w:rFonts w:ascii="Palatino Linotype" w:hAnsi="Palatino Linotype"/>
          <w:sz w:val="24"/>
        </w:rPr>
      </w:pPr>
    </w:p>
    <w:p w:rsidR="00DF231B" w:rsidP="00DF231B" w:rsidRDefault="00DF231B" w14:paraId="6104BC28" w14:textId="0F369CD9">
      <w:pPr>
        <w:pStyle w:val="BlockText"/>
        <w:rPr>
          <w:rFonts w:ascii="Palatino Linotype" w:hAnsi="Palatino Linotype"/>
        </w:rPr>
      </w:pPr>
      <w:r w:rsidRPr="0256EE47">
        <w:rPr>
          <w:rFonts w:ascii="Palatino Linotype" w:hAnsi="Palatino Linotype"/>
          <w:b/>
          <w:bCs/>
        </w:rPr>
        <w:t>Resolution T-17733</w:t>
      </w:r>
      <w:r w:rsidRPr="0256EE47">
        <w:rPr>
          <w:rFonts w:ascii="Palatino Linotype" w:hAnsi="Palatino Linotype"/>
        </w:rPr>
        <w:t xml:space="preserve"> </w:t>
      </w:r>
      <w:r w:rsidRPr="0256EE47" w:rsidR="00654DB8">
        <w:rPr>
          <w:rFonts w:ascii="Palatino Linotype" w:hAnsi="Palatino Linotype"/>
        </w:rPr>
        <w:t xml:space="preserve">Authorizing </w:t>
      </w:r>
      <w:r w:rsidRPr="0256EE47" w:rsidR="005856C8">
        <w:rPr>
          <w:rFonts w:ascii="Palatino Linotype" w:hAnsi="Palatino Linotype"/>
        </w:rPr>
        <w:t xml:space="preserve">Disclosure </w:t>
      </w:r>
      <w:r w:rsidRPr="0256EE47" w:rsidR="002A5046">
        <w:rPr>
          <w:rFonts w:ascii="Palatino Linotype" w:hAnsi="Palatino Linotype"/>
        </w:rPr>
        <w:t xml:space="preserve">of </w:t>
      </w:r>
      <w:r w:rsidRPr="0256EE47" w:rsidR="00EF7876">
        <w:rPr>
          <w:rFonts w:ascii="Palatino Linotype" w:hAnsi="Palatino Linotype"/>
        </w:rPr>
        <w:t xml:space="preserve">Project </w:t>
      </w:r>
      <w:r w:rsidRPr="0256EE47" w:rsidR="310D5050">
        <w:rPr>
          <w:rFonts w:ascii="Palatino Linotype" w:hAnsi="Palatino Linotype"/>
        </w:rPr>
        <w:t xml:space="preserve">Household </w:t>
      </w:r>
      <w:r w:rsidRPr="0256EE47" w:rsidR="419CDCF5">
        <w:rPr>
          <w:rFonts w:ascii="Palatino Linotype" w:hAnsi="Palatino Linotype"/>
        </w:rPr>
        <w:t xml:space="preserve">Broadband </w:t>
      </w:r>
      <w:r w:rsidRPr="0256EE47" w:rsidR="004D672B">
        <w:rPr>
          <w:rFonts w:ascii="Palatino Linotype" w:hAnsi="Palatino Linotype"/>
        </w:rPr>
        <w:t>Subscription Data</w:t>
      </w:r>
      <w:r w:rsidRPr="0256EE47" w:rsidR="00EF7876">
        <w:rPr>
          <w:rFonts w:ascii="Palatino Linotype" w:hAnsi="Palatino Linotype"/>
        </w:rPr>
        <w:t xml:space="preserve"> for California Advanced Services Fund Annual Report</w:t>
      </w:r>
    </w:p>
    <w:p w:rsidR="00DF231B" w:rsidP="00DF231B" w:rsidRDefault="00DF231B" w14:paraId="0DB32AF8" w14:textId="77777777">
      <w:pPr>
        <w:ind w:left="720" w:right="720"/>
        <w:rPr>
          <w:rFonts w:ascii="Palatino Linotype" w:hAnsi="Palatino Linotype"/>
          <w:sz w:val="24"/>
        </w:rPr>
      </w:pPr>
      <w:r>
        <w:rPr>
          <w:rFonts w:ascii="Palatino Linotype" w:hAnsi="Palatino Linotype"/>
          <w:sz w:val="24"/>
        </w:rPr>
        <w:t>____________________________________________________________</w:t>
      </w:r>
    </w:p>
    <w:p w:rsidR="00DF231B" w:rsidP="00DF231B" w:rsidRDefault="00DF231B" w14:paraId="2D8416CE" w14:textId="77777777">
      <w:pPr>
        <w:rPr>
          <w:rFonts w:ascii="Palatino Linotype" w:hAnsi="Palatino Linotype"/>
          <w:sz w:val="24"/>
        </w:rPr>
      </w:pPr>
    </w:p>
    <w:p w:rsidRPr="008331AB" w:rsidR="00DF231B" w:rsidP="00DF231B" w:rsidRDefault="00DF231B" w14:paraId="3F6BA4D8" w14:textId="77777777">
      <w:pPr>
        <w:pStyle w:val="Heading3"/>
        <w:rPr>
          <w:rFonts w:ascii="Palatino Linotype" w:hAnsi="Palatino Linotype"/>
          <w:szCs w:val="24"/>
          <w:u w:val="single"/>
        </w:rPr>
      </w:pPr>
      <w:r>
        <w:rPr>
          <w:rFonts w:ascii="Palatino Linotype" w:hAnsi="Palatino Linotype"/>
          <w:szCs w:val="24"/>
          <w:u w:val="single"/>
        </w:rPr>
        <w:t>SUMMARY</w:t>
      </w:r>
    </w:p>
    <w:p w:rsidR="00DF231B" w:rsidP="00DF231B" w:rsidRDefault="00DF231B" w14:paraId="1F9FBB4D" w14:textId="77777777">
      <w:pPr>
        <w:rPr>
          <w:rFonts w:ascii="Palatino Linotype" w:hAnsi="Palatino Linotype"/>
          <w:sz w:val="24"/>
          <w:szCs w:val="24"/>
        </w:rPr>
      </w:pPr>
    </w:p>
    <w:p w:rsidR="00DF231B" w:rsidP="04A5F6F5" w:rsidRDefault="00DF231B" w14:paraId="4DE141BA" w14:textId="0CEF2609">
      <w:pPr>
        <w:pStyle w:val="BodyText"/>
        <w:suppressAutoHyphens/>
        <w:rPr>
          <w:rFonts w:ascii="Palatino Linotype" w:hAnsi="Palatino Linotype"/>
        </w:rPr>
      </w:pPr>
      <w:bookmarkStart w:name="OLE_LINK3" w:id="0"/>
      <w:bookmarkStart w:name="OLE_LINK4" w:id="1"/>
      <w:r w:rsidRPr="0256EE47">
        <w:rPr>
          <w:rFonts w:ascii="Palatino Linotype" w:hAnsi="Palatino Linotype"/>
        </w:rPr>
        <w:t xml:space="preserve">This Resolution </w:t>
      </w:r>
      <w:r w:rsidRPr="0256EE47" w:rsidR="00B918FE">
        <w:rPr>
          <w:rFonts w:ascii="Palatino Linotype" w:hAnsi="Palatino Linotype"/>
        </w:rPr>
        <w:t xml:space="preserve">authorizes </w:t>
      </w:r>
      <w:r w:rsidRPr="0256EE47" w:rsidR="00686D43">
        <w:rPr>
          <w:rFonts w:ascii="Palatino Linotype" w:hAnsi="Palatino Linotype"/>
        </w:rPr>
        <w:t xml:space="preserve">the </w:t>
      </w:r>
      <w:r w:rsidRPr="0256EE47" w:rsidR="67969D66">
        <w:rPr>
          <w:rFonts w:ascii="Palatino Linotype" w:hAnsi="Palatino Linotype"/>
        </w:rPr>
        <w:t xml:space="preserve">public </w:t>
      </w:r>
      <w:r w:rsidRPr="0256EE47" w:rsidR="00686D43">
        <w:rPr>
          <w:rFonts w:ascii="Palatino Linotype" w:hAnsi="Palatino Linotype"/>
        </w:rPr>
        <w:t xml:space="preserve">disclosure of California Advanced Services Fund (CASF) project </w:t>
      </w:r>
      <w:r w:rsidRPr="0256EE47" w:rsidR="05E31D04">
        <w:rPr>
          <w:rFonts w:ascii="Palatino Linotype" w:hAnsi="Palatino Linotype"/>
        </w:rPr>
        <w:t xml:space="preserve">household </w:t>
      </w:r>
      <w:r w:rsidRPr="0256EE47" w:rsidR="059FF447">
        <w:rPr>
          <w:rFonts w:ascii="Palatino Linotype" w:hAnsi="Palatino Linotype"/>
        </w:rPr>
        <w:t xml:space="preserve">broadband </w:t>
      </w:r>
      <w:r w:rsidRPr="0256EE47" w:rsidR="00686D43">
        <w:rPr>
          <w:rFonts w:ascii="Palatino Linotype" w:hAnsi="Palatino Linotype"/>
        </w:rPr>
        <w:t xml:space="preserve">subscription data </w:t>
      </w:r>
      <w:r w:rsidRPr="0256EE47" w:rsidR="6FB23581">
        <w:rPr>
          <w:rFonts w:ascii="Palatino Linotype" w:hAnsi="Palatino Linotype"/>
        </w:rPr>
        <w:t xml:space="preserve">to be included in </w:t>
      </w:r>
      <w:r w:rsidRPr="0256EE47" w:rsidR="00686D43">
        <w:rPr>
          <w:rFonts w:ascii="Palatino Linotype" w:hAnsi="Palatino Linotype"/>
        </w:rPr>
        <w:t>the CASF Annual Report,</w:t>
      </w:r>
      <w:r w:rsidRPr="0256EE47" w:rsidR="36FB5048">
        <w:rPr>
          <w:rFonts w:ascii="Palatino Linotype" w:hAnsi="Palatino Linotype"/>
        </w:rPr>
        <w:t xml:space="preserve"> which the</w:t>
      </w:r>
      <w:r w:rsidRPr="3890975A" w:rsidR="36FB5048">
        <w:rPr>
          <w:rFonts w:ascii="Palatino Linotype" w:hAnsi="Palatino Linotype" w:eastAsia="Palatino Linotype" w:cs="Palatino Linotype"/>
          <w:color w:val="000000" w:themeColor="text1"/>
        </w:rPr>
        <w:t xml:space="preserve"> California Public Utilities Commission (Commission)</w:t>
      </w:r>
      <w:r w:rsidRPr="0256EE47" w:rsidR="36FB5048">
        <w:rPr>
          <w:rFonts w:ascii="Palatino Linotype" w:hAnsi="Palatino Linotype"/>
        </w:rPr>
        <w:t xml:space="preserve"> </w:t>
      </w:r>
      <w:r w:rsidRPr="0256EE47" w:rsidR="24A960AD">
        <w:rPr>
          <w:rFonts w:ascii="Palatino Linotype" w:hAnsi="Palatino Linotype"/>
        </w:rPr>
        <w:t>is</w:t>
      </w:r>
      <w:r w:rsidRPr="0256EE47" w:rsidR="00686D43">
        <w:rPr>
          <w:rFonts w:ascii="Palatino Linotype" w:hAnsi="Palatino Linotype"/>
        </w:rPr>
        <w:t xml:space="preserve"> required </w:t>
      </w:r>
      <w:r w:rsidRPr="0256EE47" w:rsidR="653F6ADA">
        <w:rPr>
          <w:rFonts w:ascii="Palatino Linotype" w:hAnsi="Palatino Linotype"/>
        </w:rPr>
        <w:t xml:space="preserve">to </w:t>
      </w:r>
      <w:r w:rsidRPr="0256EE47" w:rsidR="3BDD5B9A">
        <w:rPr>
          <w:rFonts w:ascii="Palatino Linotype" w:hAnsi="Palatino Linotype"/>
        </w:rPr>
        <w:t xml:space="preserve">provide to the </w:t>
      </w:r>
      <w:r w:rsidR="00BE7B60">
        <w:rPr>
          <w:rFonts w:ascii="Palatino Linotype" w:hAnsi="Palatino Linotype"/>
        </w:rPr>
        <w:t>L</w:t>
      </w:r>
      <w:r w:rsidRPr="0256EE47" w:rsidR="3BDD5B9A">
        <w:rPr>
          <w:rFonts w:ascii="Palatino Linotype" w:hAnsi="Palatino Linotype"/>
        </w:rPr>
        <w:t xml:space="preserve">egislature </w:t>
      </w:r>
      <w:r w:rsidRPr="0256EE47" w:rsidR="00686D43">
        <w:rPr>
          <w:rFonts w:ascii="Palatino Linotype" w:hAnsi="Palatino Linotype"/>
        </w:rPr>
        <w:t xml:space="preserve">pursuant to </w:t>
      </w:r>
      <w:r w:rsidRPr="0256EE47" w:rsidR="006973B9">
        <w:rPr>
          <w:rFonts w:ascii="Palatino Linotype" w:hAnsi="Palatino Linotype"/>
        </w:rPr>
        <w:t xml:space="preserve">California Public Utilities (Pub. Util.) </w:t>
      </w:r>
      <w:r w:rsidRPr="0256EE47" w:rsidR="001352D7">
        <w:rPr>
          <w:rFonts w:ascii="Palatino Linotype" w:hAnsi="Palatino Linotype"/>
        </w:rPr>
        <w:t xml:space="preserve">Code section </w:t>
      </w:r>
      <w:r w:rsidRPr="0256EE47" w:rsidR="00B25936">
        <w:rPr>
          <w:rFonts w:ascii="Palatino Linotype" w:hAnsi="Palatino Linotype"/>
        </w:rPr>
        <w:t xml:space="preserve">914.7(a).  </w:t>
      </w:r>
      <w:r w:rsidRPr="0256EE47" w:rsidR="00D028F8">
        <w:rPr>
          <w:rFonts w:ascii="Palatino Linotype" w:hAnsi="Palatino Linotype"/>
        </w:rPr>
        <w:t xml:space="preserve"> </w:t>
      </w:r>
      <w:bookmarkEnd w:id="0"/>
      <w:bookmarkEnd w:id="1"/>
    </w:p>
    <w:p w:rsidR="00DF231B" w:rsidP="00DF231B" w:rsidRDefault="00DF231B" w14:paraId="55A364B8" w14:textId="77777777">
      <w:pPr>
        <w:tabs>
          <w:tab w:val="left" w:pos="-1440"/>
          <w:tab w:val="left" w:pos="-720"/>
        </w:tabs>
        <w:suppressAutoHyphens/>
        <w:jc w:val="center"/>
        <w:rPr>
          <w:rFonts w:ascii="Palatino Linotype" w:hAnsi="Palatino Linotype"/>
          <w:sz w:val="24"/>
          <w:szCs w:val="24"/>
        </w:rPr>
      </w:pPr>
    </w:p>
    <w:p w:rsidRPr="008331AB" w:rsidR="00DF231B" w:rsidP="00DF231B" w:rsidRDefault="00DF231B" w14:paraId="785BD31D" w14:textId="77777777">
      <w:pPr>
        <w:pStyle w:val="Heading3"/>
        <w:rPr>
          <w:rFonts w:ascii="Palatino Linotype" w:hAnsi="Palatino Linotype"/>
          <w:szCs w:val="24"/>
          <w:u w:val="single"/>
        </w:rPr>
      </w:pPr>
      <w:r>
        <w:rPr>
          <w:rFonts w:ascii="Palatino Linotype" w:hAnsi="Palatino Linotype"/>
          <w:szCs w:val="24"/>
          <w:u w:val="single"/>
        </w:rPr>
        <w:t>BACKGROUND</w:t>
      </w:r>
    </w:p>
    <w:p w:rsidR="00DF231B" w:rsidP="00DF231B" w:rsidRDefault="00DF231B" w14:paraId="75BEEB6E" w14:textId="33D500EC">
      <w:pPr>
        <w:rPr>
          <w:rFonts w:ascii="Palatino Linotype" w:hAnsi="Palatino Linotype"/>
          <w:sz w:val="24"/>
          <w:szCs w:val="24"/>
        </w:rPr>
      </w:pPr>
    </w:p>
    <w:p w:rsidR="00BD3B40" w:rsidP="00DF231B" w:rsidRDefault="00BD3B40" w14:paraId="0D911CE7" w14:textId="25706759">
      <w:pPr>
        <w:rPr>
          <w:rFonts w:ascii="Palatino Linotype" w:hAnsi="Palatino Linotype"/>
          <w:sz w:val="24"/>
          <w:szCs w:val="24"/>
        </w:rPr>
      </w:pPr>
      <w:r w:rsidRPr="00BD3B40">
        <w:rPr>
          <w:rFonts w:ascii="Palatino Linotype" w:hAnsi="Palatino Linotype"/>
          <w:sz w:val="24"/>
          <w:szCs w:val="24"/>
        </w:rPr>
        <w:t xml:space="preserve">The CASF </w:t>
      </w:r>
      <w:r>
        <w:rPr>
          <w:rFonts w:ascii="Palatino Linotype" w:hAnsi="Palatino Linotype"/>
          <w:sz w:val="24"/>
          <w:szCs w:val="24"/>
        </w:rPr>
        <w:t xml:space="preserve">program </w:t>
      </w:r>
      <w:r w:rsidRPr="007C292D" w:rsidR="007C292D">
        <w:rPr>
          <w:rFonts w:ascii="Palatino Linotype" w:hAnsi="Palatino Linotype"/>
          <w:sz w:val="24"/>
          <w:szCs w:val="24"/>
        </w:rPr>
        <w:t>provides grants</w:t>
      </w:r>
      <w:r w:rsidRPr="007C292D" w:rsidR="12602A96">
        <w:rPr>
          <w:rFonts w:ascii="Palatino Linotype" w:hAnsi="Palatino Linotype"/>
          <w:sz w:val="24"/>
          <w:szCs w:val="24"/>
        </w:rPr>
        <w:t>, funded by</w:t>
      </w:r>
      <w:r w:rsidRPr="007C292D" w:rsidR="73AB46F1">
        <w:rPr>
          <w:rFonts w:ascii="Palatino Linotype" w:hAnsi="Palatino Linotype"/>
          <w:sz w:val="24"/>
          <w:szCs w:val="24"/>
        </w:rPr>
        <w:t xml:space="preserve"> surcharges </w:t>
      </w:r>
      <w:r w:rsidRPr="007C292D" w:rsidR="334E50BC">
        <w:rPr>
          <w:rFonts w:ascii="Palatino Linotype" w:hAnsi="Palatino Linotype"/>
          <w:sz w:val="24"/>
          <w:szCs w:val="24"/>
        </w:rPr>
        <w:t xml:space="preserve">collected </w:t>
      </w:r>
      <w:proofErr w:type="gramStart"/>
      <w:r w:rsidRPr="007C292D" w:rsidR="334E50BC">
        <w:rPr>
          <w:rFonts w:ascii="Palatino Linotype" w:hAnsi="Palatino Linotype"/>
          <w:sz w:val="24"/>
          <w:szCs w:val="24"/>
        </w:rPr>
        <w:t>from</w:t>
      </w:r>
      <w:r w:rsidRPr="007C292D" w:rsidR="12602A96">
        <w:rPr>
          <w:rFonts w:ascii="Palatino Linotype" w:hAnsi="Palatino Linotype"/>
          <w:sz w:val="24"/>
          <w:szCs w:val="24"/>
        </w:rPr>
        <w:t xml:space="preserve"> California’s telecommunications ratepayers,</w:t>
      </w:r>
      <w:proofErr w:type="gramEnd"/>
      <w:r w:rsidRPr="007C292D" w:rsidR="007C292D">
        <w:rPr>
          <w:rFonts w:ascii="Palatino Linotype" w:hAnsi="Palatino Linotype"/>
          <w:sz w:val="24"/>
          <w:szCs w:val="24"/>
        </w:rPr>
        <w:t xml:space="preserve"> to eligible applicants</w:t>
      </w:r>
      <w:r w:rsidR="0077215D">
        <w:rPr>
          <w:rFonts w:ascii="Palatino Linotype" w:hAnsi="Palatino Linotype"/>
          <w:sz w:val="24"/>
          <w:szCs w:val="24"/>
        </w:rPr>
        <w:t>,</w:t>
      </w:r>
      <w:r w:rsidRPr="007C292D" w:rsidR="007C292D">
        <w:rPr>
          <w:rFonts w:ascii="Palatino Linotype" w:hAnsi="Palatino Linotype"/>
          <w:sz w:val="24"/>
          <w:szCs w:val="24"/>
        </w:rPr>
        <w:t xml:space="preserve"> to increase broadband </w:t>
      </w:r>
      <w:r w:rsidRPr="007C292D" w:rsidR="2A349408">
        <w:rPr>
          <w:rFonts w:ascii="Palatino Linotype" w:hAnsi="Palatino Linotype"/>
          <w:sz w:val="24"/>
          <w:szCs w:val="24"/>
        </w:rPr>
        <w:t>deployment</w:t>
      </w:r>
      <w:r w:rsidRPr="007C292D" w:rsidR="007C292D">
        <w:rPr>
          <w:rFonts w:ascii="Palatino Linotype" w:hAnsi="Palatino Linotype"/>
          <w:sz w:val="24"/>
          <w:szCs w:val="24"/>
        </w:rPr>
        <w:t xml:space="preserve"> and </w:t>
      </w:r>
      <w:r w:rsidRPr="007C292D" w:rsidR="4DB35A42">
        <w:rPr>
          <w:rFonts w:ascii="Palatino Linotype" w:hAnsi="Palatino Linotype"/>
          <w:sz w:val="24"/>
          <w:szCs w:val="24"/>
        </w:rPr>
        <w:t xml:space="preserve">adoption </w:t>
      </w:r>
      <w:r w:rsidRPr="007C292D" w:rsidR="007C292D">
        <w:rPr>
          <w:rFonts w:ascii="Palatino Linotype" w:hAnsi="Palatino Linotype"/>
          <w:sz w:val="24"/>
          <w:szCs w:val="24"/>
        </w:rPr>
        <w:t xml:space="preserve">and </w:t>
      </w:r>
      <w:r w:rsidRPr="007C292D" w:rsidR="2510B288">
        <w:rPr>
          <w:rFonts w:ascii="Palatino Linotype" w:hAnsi="Palatino Linotype"/>
          <w:sz w:val="24"/>
          <w:szCs w:val="24"/>
        </w:rPr>
        <w:t xml:space="preserve">to </w:t>
      </w:r>
      <w:r w:rsidRPr="007C292D" w:rsidR="007C292D">
        <w:rPr>
          <w:rFonts w:ascii="Palatino Linotype" w:hAnsi="Palatino Linotype"/>
          <w:sz w:val="24"/>
          <w:szCs w:val="24"/>
        </w:rPr>
        <w:t xml:space="preserve">provide </w:t>
      </w:r>
      <w:r w:rsidRPr="007C292D" w:rsidR="36B3557C">
        <w:rPr>
          <w:rFonts w:ascii="Palatino Linotype" w:hAnsi="Palatino Linotype"/>
          <w:sz w:val="24"/>
          <w:szCs w:val="24"/>
        </w:rPr>
        <w:t>I</w:t>
      </w:r>
      <w:r w:rsidRPr="007C292D" w:rsidR="007C292D">
        <w:rPr>
          <w:rFonts w:ascii="Palatino Linotype" w:hAnsi="Palatino Linotype"/>
          <w:sz w:val="24"/>
          <w:szCs w:val="24"/>
        </w:rPr>
        <w:t>nternet access in underserved areas in order to bridge the “digital divide.</w:t>
      </w:r>
      <w:r w:rsidRPr="007C292D" w:rsidR="4243F1FE">
        <w:rPr>
          <w:rFonts w:ascii="Palatino Linotype" w:hAnsi="Palatino Linotype"/>
          <w:sz w:val="24"/>
          <w:szCs w:val="24"/>
        </w:rPr>
        <w:t>”</w:t>
      </w:r>
      <w:r w:rsidRPr="0256EE47">
        <w:rPr>
          <w:rStyle w:val="FootnoteReference"/>
          <w:rFonts w:ascii="Palatino Linotype" w:hAnsi="Palatino Linotype"/>
          <w:sz w:val="24"/>
          <w:szCs w:val="24"/>
        </w:rPr>
        <w:footnoteReference w:id="2"/>
      </w:r>
      <w:r w:rsidR="000141E5">
        <w:rPr>
          <w:rFonts w:ascii="Palatino Linotype" w:hAnsi="Palatino Linotype"/>
          <w:sz w:val="24"/>
          <w:szCs w:val="24"/>
        </w:rPr>
        <w:t xml:space="preserve">  </w:t>
      </w:r>
      <w:r w:rsidRPr="00BD3B40">
        <w:rPr>
          <w:rFonts w:ascii="Palatino Linotype" w:hAnsi="Palatino Linotype"/>
          <w:sz w:val="24"/>
          <w:szCs w:val="24"/>
        </w:rPr>
        <w:t xml:space="preserve">The </w:t>
      </w:r>
      <w:r w:rsidRPr="00BD3B40" w:rsidR="253AEAE7">
        <w:rPr>
          <w:rFonts w:ascii="Palatino Linotype" w:hAnsi="Palatino Linotype"/>
          <w:sz w:val="24"/>
          <w:szCs w:val="24"/>
        </w:rPr>
        <w:t xml:space="preserve">Commission launched the </w:t>
      </w:r>
      <w:r w:rsidRPr="00BD3B40">
        <w:rPr>
          <w:rFonts w:ascii="Palatino Linotype" w:hAnsi="Palatino Linotype"/>
          <w:sz w:val="24"/>
          <w:szCs w:val="24"/>
        </w:rPr>
        <w:t xml:space="preserve">CASF program in 2008 in Decision (D.) 07-12-054 and </w:t>
      </w:r>
      <w:r w:rsidRPr="00BD3B40" w:rsidR="3013E8FD">
        <w:rPr>
          <w:rFonts w:ascii="Palatino Linotype" w:hAnsi="Palatino Linotype"/>
          <w:sz w:val="24"/>
          <w:szCs w:val="24"/>
        </w:rPr>
        <w:t xml:space="preserve">the </w:t>
      </w:r>
      <w:r w:rsidR="00990F41">
        <w:rPr>
          <w:rFonts w:ascii="Palatino Linotype" w:hAnsi="Palatino Linotype"/>
          <w:sz w:val="24"/>
          <w:szCs w:val="24"/>
        </w:rPr>
        <w:t>L</w:t>
      </w:r>
      <w:r w:rsidRPr="00BD3B40" w:rsidR="3013E8FD">
        <w:rPr>
          <w:rFonts w:ascii="Palatino Linotype" w:hAnsi="Palatino Linotype"/>
          <w:sz w:val="24"/>
          <w:szCs w:val="24"/>
        </w:rPr>
        <w:t xml:space="preserve">egislature later </w:t>
      </w:r>
      <w:r w:rsidRPr="00BD3B40" w:rsidR="405CB718">
        <w:rPr>
          <w:rFonts w:ascii="Palatino Linotype" w:hAnsi="Palatino Linotype"/>
          <w:sz w:val="24"/>
          <w:szCs w:val="24"/>
        </w:rPr>
        <w:t>codified the program</w:t>
      </w:r>
      <w:r w:rsidRPr="00BD3B40">
        <w:rPr>
          <w:rFonts w:ascii="Palatino Linotype" w:hAnsi="Palatino Linotype"/>
          <w:sz w:val="24"/>
          <w:szCs w:val="24"/>
        </w:rPr>
        <w:t xml:space="preserve"> pursuant to Senate Bill (SB) 1193</w:t>
      </w:r>
      <w:r w:rsidRPr="00BD3B40" w:rsidR="6D9DBA99">
        <w:rPr>
          <w:rFonts w:ascii="Palatino Linotype" w:hAnsi="Palatino Linotype"/>
          <w:sz w:val="24"/>
          <w:szCs w:val="24"/>
        </w:rPr>
        <w:t>.</w:t>
      </w:r>
      <w:r w:rsidR="000141E5">
        <w:rPr>
          <w:rStyle w:val="FootnoteReference"/>
          <w:rFonts w:ascii="Palatino Linotype" w:hAnsi="Palatino Linotype"/>
          <w:sz w:val="24"/>
          <w:szCs w:val="24"/>
        </w:rPr>
        <w:footnoteReference w:id="3"/>
      </w:r>
      <w:r w:rsidRPr="00BD3B40">
        <w:rPr>
          <w:rFonts w:ascii="Palatino Linotype" w:hAnsi="Palatino Linotype"/>
          <w:sz w:val="24"/>
          <w:szCs w:val="24"/>
        </w:rPr>
        <w:t xml:space="preserve">  </w:t>
      </w:r>
    </w:p>
    <w:p w:rsidR="00BD3B40" w:rsidP="00DF231B" w:rsidRDefault="00BD3B40" w14:paraId="3C481185" w14:textId="77777777">
      <w:pPr>
        <w:rPr>
          <w:rFonts w:ascii="Palatino Linotype" w:hAnsi="Palatino Linotype"/>
          <w:sz w:val="24"/>
          <w:szCs w:val="24"/>
        </w:rPr>
      </w:pPr>
    </w:p>
    <w:p w:rsidR="002022D6" w:rsidP="00DF231B" w:rsidRDefault="0F665B96" w14:paraId="6AA89776" w14:textId="5F30505B">
      <w:pPr>
        <w:rPr>
          <w:rFonts w:ascii="Palatino Linotype" w:hAnsi="Palatino Linotype"/>
          <w:sz w:val="24"/>
          <w:szCs w:val="24"/>
        </w:rPr>
      </w:pPr>
      <w:r w:rsidRPr="3890975A">
        <w:rPr>
          <w:rFonts w:ascii="Palatino Linotype" w:hAnsi="Palatino Linotype"/>
          <w:sz w:val="24"/>
          <w:szCs w:val="24"/>
        </w:rPr>
        <w:t>Pub. Util. Code section 914.7(a) mandates that</w:t>
      </w:r>
      <w:r w:rsidR="02DF9810">
        <w:rPr>
          <w:rFonts w:ascii="Palatino Linotype" w:hAnsi="Palatino Linotype"/>
          <w:sz w:val="24"/>
          <w:szCs w:val="24"/>
        </w:rPr>
        <w:t xml:space="preserve"> t</w:t>
      </w:r>
      <w:r w:rsidR="00DF231B">
        <w:rPr>
          <w:rFonts w:ascii="Palatino Linotype" w:hAnsi="Palatino Linotype"/>
          <w:sz w:val="24"/>
          <w:szCs w:val="24"/>
        </w:rPr>
        <w:t xml:space="preserve">he </w:t>
      </w:r>
      <w:r w:rsidR="00FD0BC8">
        <w:rPr>
          <w:rFonts w:ascii="Palatino Linotype" w:hAnsi="Palatino Linotype"/>
          <w:sz w:val="24"/>
          <w:szCs w:val="24"/>
        </w:rPr>
        <w:t>Commission submit</w:t>
      </w:r>
      <w:r w:rsidR="2DDF5F3D">
        <w:rPr>
          <w:rFonts w:ascii="Palatino Linotype" w:hAnsi="Palatino Linotype"/>
          <w:sz w:val="24"/>
          <w:szCs w:val="24"/>
        </w:rPr>
        <w:t xml:space="preserve"> to the </w:t>
      </w:r>
      <w:r w:rsidR="00BE7B60">
        <w:rPr>
          <w:rFonts w:ascii="Palatino Linotype" w:hAnsi="Palatino Linotype"/>
          <w:sz w:val="24"/>
          <w:szCs w:val="24"/>
        </w:rPr>
        <w:t>L</w:t>
      </w:r>
      <w:r w:rsidR="2DDF5F3D">
        <w:rPr>
          <w:rFonts w:ascii="Palatino Linotype" w:hAnsi="Palatino Linotype"/>
          <w:sz w:val="24"/>
          <w:szCs w:val="24"/>
        </w:rPr>
        <w:t>egislature</w:t>
      </w:r>
      <w:r w:rsidR="00FD0BC8">
        <w:rPr>
          <w:rFonts w:ascii="Palatino Linotype" w:hAnsi="Palatino Linotype"/>
          <w:sz w:val="24"/>
          <w:szCs w:val="24"/>
        </w:rPr>
        <w:t xml:space="preserve"> an</w:t>
      </w:r>
      <w:r w:rsidRPr="00FD0BC8" w:rsidR="00FD0BC8">
        <w:rPr>
          <w:rFonts w:ascii="Palatino Linotype" w:hAnsi="Palatino Linotype"/>
          <w:sz w:val="24"/>
          <w:szCs w:val="24"/>
        </w:rPr>
        <w:t xml:space="preserve"> annual report on </w:t>
      </w:r>
      <w:r w:rsidR="00FD0BC8">
        <w:rPr>
          <w:rFonts w:ascii="Palatino Linotype" w:hAnsi="Palatino Linotype"/>
          <w:sz w:val="24"/>
          <w:szCs w:val="24"/>
        </w:rPr>
        <w:t>CASF</w:t>
      </w:r>
      <w:r w:rsidRPr="00FD0BC8" w:rsidR="00FD0BC8">
        <w:rPr>
          <w:rFonts w:ascii="Palatino Linotype" w:hAnsi="Palatino Linotype"/>
          <w:sz w:val="24"/>
          <w:szCs w:val="24"/>
        </w:rPr>
        <w:t xml:space="preserve"> program activities</w:t>
      </w:r>
      <w:r w:rsidR="009816ED">
        <w:rPr>
          <w:rFonts w:ascii="Palatino Linotype" w:hAnsi="Palatino Linotype"/>
          <w:sz w:val="24"/>
          <w:szCs w:val="24"/>
        </w:rPr>
        <w:t xml:space="preserve"> by April 1 of each y</w:t>
      </w:r>
      <w:r w:rsidR="05B63348">
        <w:rPr>
          <w:rFonts w:ascii="Palatino Linotype" w:hAnsi="Palatino Linotype"/>
          <w:sz w:val="24"/>
          <w:szCs w:val="24"/>
        </w:rPr>
        <w:t>e</w:t>
      </w:r>
      <w:r w:rsidR="009816ED">
        <w:rPr>
          <w:rFonts w:ascii="Palatino Linotype" w:hAnsi="Palatino Linotype"/>
          <w:sz w:val="24"/>
          <w:szCs w:val="24"/>
        </w:rPr>
        <w:t>ar</w:t>
      </w:r>
      <w:r w:rsidR="00606D19">
        <w:rPr>
          <w:rFonts w:ascii="Palatino Linotype" w:hAnsi="Palatino Linotype"/>
          <w:sz w:val="24"/>
          <w:szCs w:val="24"/>
        </w:rPr>
        <w:t>.</w:t>
      </w:r>
      <w:r w:rsidR="002022D6">
        <w:rPr>
          <w:rStyle w:val="FootnoteReference"/>
          <w:rFonts w:ascii="Palatino Linotype" w:hAnsi="Palatino Linotype"/>
          <w:sz w:val="24"/>
          <w:szCs w:val="24"/>
        </w:rPr>
        <w:footnoteReference w:id="4"/>
      </w:r>
      <w:r w:rsidR="00606D19">
        <w:rPr>
          <w:rFonts w:ascii="Palatino Linotype" w:hAnsi="Palatino Linotype"/>
          <w:sz w:val="24"/>
          <w:szCs w:val="24"/>
        </w:rPr>
        <w:t xml:space="preserve">  </w:t>
      </w:r>
      <w:r w:rsidRPr="00C94212" w:rsidR="00C94212">
        <w:rPr>
          <w:rFonts w:ascii="Palatino Linotype" w:hAnsi="Palatino Linotype"/>
          <w:sz w:val="24"/>
          <w:szCs w:val="24"/>
        </w:rPr>
        <w:t xml:space="preserve">The statute requires, among other items, reporting of </w:t>
      </w:r>
      <w:r w:rsidRPr="0256EE47" w:rsidR="4BD6B707">
        <w:rPr>
          <w:rFonts w:ascii="Palatino Linotype" w:hAnsi="Palatino Linotype"/>
          <w:sz w:val="24"/>
          <w:szCs w:val="24"/>
        </w:rPr>
        <w:t>“[</w:t>
      </w:r>
      <w:r w:rsidRPr="0256EE47" w:rsidR="4920816A">
        <w:rPr>
          <w:rFonts w:ascii="Palatino Linotype" w:hAnsi="Palatino Linotype"/>
          <w:sz w:val="24"/>
          <w:szCs w:val="24"/>
        </w:rPr>
        <w:t xml:space="preserve">t]he number of formerly unserved households subscribing to broadband service in areas covered by projects funded by the </w:t>
      </w:r>
      <w:r w:rsidRPr="15C9352B" w:rsidR="5D87D636">
        <w:rPr>
          <w:rFonts w:ascii="Palatino Linotype" w:hAnsi="Palatino Linotype"/>
          <w:sz w:val="24"/>
          <w:szCs w:val="24"/>
        </w:rPr>
        <w:lastRenderedPageBreak/>
        <w:t>[CASF</w:t>
      </w:r>
      <w:r w:rsidRPr="00C94212" w:rsidR="5D87D636">
        <w:rPr>
          <w:rFonts w:ascii="Palatino Linotype" w:hAnsi="Palatino Linotype"/>
          <w:sz w:val="24"/>
          <w:szCs w:val="24"/>
        </w:rPr>
        <w:t>]</w:t>
      </w:r>
      <w:r w:rsidRPr="15C9352B" w:rsidR="0BC1DF7B">
        <w:rPr>
          <w:rFonts w:ascii="Palatino Linotype" w:hAnsi="Palatino Linotype"/>
          <w:sz w:val="24"/>
          <w:szCs w:val="24"/>
        </w:rPr>
        <w:t>.</w:t>
      </w:r>
      <w:r w:rsidRPr="0256EE47" w:rsidR="00DF231B">
        <w:rPr>
          <w:rStyle w:val="FootnoteReference"/>
          <w:rFonts w:ascii="Palatino Linotype" w:hAnsi="Palatino Linotype"/>
          <w:sz w:val="24"/>
          <w:szCs w:val="24"/>
        </w:rPr>
        <w:footnoteReference w:id="5"/>
      </w:r>
      <w:r w:rsidR="001E23D7">
        <w:t xml:space="preserve">  </w:t>
      </w:r>
      <w:r w:rsidR="00C12A3E">
        <w:rPr>
          <w:rFonts w:ascii="Palatino Linotype" w:hAnsi="Palatino Linotype"/>
          <w:sz w:val="24"/>
          <w:szCs w:val="24"/>
        </w:rPr>
        <w:t xml:space="preserve">On </w:t>
      </w:r>
      <w:r w:rsidR="00C46326">
        <w:rPr>
          <w:rFonts w:ascii="Palatino Linotype" w:hAnsi="Palatino Linotype"/>
          <w:sz w:val="24"/>
          <w:szCs w:val="24"/>
        </w:rPr>
        <w:t>January 4, 2021, t</w:t>
      </w:r>
      <w:r w:rsidR="00DC4661">
        <w:rPr>
          <w:rFonts w:ascii="Palatino Linotype" w:hAnsi="Palatino Linotype"/>
          <w:sz w:val="24"/>
          <w:szCs w:val="24"/>
        </w:rPr>
        <w:t>he Communications Division</w:t>
      </w:r>
      <w:r w:rsidR="00C46326">
        <w:rPr>
          <w:rFonts w:ascii="Palatino Linotype" w:hAnsi="Palatino Linotype"/>
          <w:sz w:val="24"/>
          <w:szCs w:val="24"/>
        </w:rPr>
        <w:t xml:space="preserve"> (CD)</w:t>
      </w:r>
      <w:r w:rsidR="00DC4661">
        <w:rPr>
          <w:rFonts w:ascii="Palatino Linotype" w:hAnsi="Palatino Linotype"/>
          <w:sz w:val="24"/>
          <w:szCs w:val="24"/>
        </w:rPr>
        <w:t xml:space="preserve"> </w:t>
      </w:r>
      <w:r w:rsidR="00E816ED">
        <w:rPr>
          <w:rFonts w:ascii="Palatino Linotype" w:hAnsi="Palatino Linotype"/>
          <w:sz w:val="24"/>
          <w:szCs w:val="24"/>
        </w:rPr>
        <w:t xml:space="preserve">sent data requests to all CASF infrastructure grantees </w:t>
      </w:r>
      <w:r w:rsidRPr="00C94212" w:rsidR="00C94212">
        <w:rPr>
          <w:rFonts w:ascii="Palatino Linotype" w:hAnsi="Palatino Linotype"/>
          <w:sz w:val="24"/>
          <w:szCs w:val="24"/>
        </w:rPr>
        <w:t>to collect broadband subscription data and project statuses.</w:t>
      </w:r>
      <w:r w:rsidR="00C46326">
        <w:rPr>
          <w:rFonts w:ascii="Palatino Linotype" w:hAnsi="Palatino Linotype"/>
          <w:sz w:val="24"/>
          <w:szCs w:val="24"/>
        </w:rPr>
        <w:t xml:space="preserve">  Responses were due on January 15, 2021. </w:t>
      </w:r>
    </w:p>
    <w:p w:rsidR="04A5F6F5" w:rsidP="04A5F6F5" w:rsidRDefault="04A5F6F5" w14:paraId="1CB05EE2" w14:textId="561E15ED">
      <w:pPr>
        <w:rPr>
          <w:rFonts w:ascii="Palatino Linotype" w:hAnsi="Palatino Linotype"/>
          <w:sz w:val="24"/>
          <w:szCs w:val="24"/>
        </w:rPr>
      </w:pPr>
    </w:p>
    <w:p w:rsidR="00D41664" w:rsidP="0256EE47" w:rsidRDefault="334017A2" w14:paraId="6CAF7335" w14:textId="4C4A2302">
      <w:pPr>
        <w:rPr>
          <w:rStyle w:val="FootnoteReference"/>
          <w:rFonts w:ascii="Palatino Linotype" w:hAnsi="Palatino Linotype"/>
          <w:sz w:val="24"/>
          <w:szCs w:val="24"/>
        </w:rPr>
      </w:pPr>
      <w:r w:rsidRPr="3890975A">
        <w:rPr>
          <w:rFonts w:ascii="Palatino Linotype" w:hAnsi="Palatino Linotype"/>
          <w:sz w:val="24"/>
          <w:szCs w:val="24"/>
        </w:rPr>
        <w:t xml:space="preserve">In their data responses, both </w:t>
      </w:r>
      <w:r w:rsidRPr="00CE0065" w:rsidR="00CE0065">
        <w:rPr>
          <w:rFonts w:ascii="Palatino Linotype" w:hAnsi="Palatino Linotype"/>
          <w:sz w:val="24"/>
          <w:szCs w:val="24"/>
        </w:rPr>
        <w:t xml:space="preserve">Pacific Bell Telephone Company (dba AT&amp;T California) </w:t>
      </w:r>
      <w:r w:rsidR="00AC03AB">
        <w:rPr>
          <w:rFonts w:ascii="Palatino Linotype" w:hAnsi="Palatino Linotype"/>
          <w:sz w:val="24"/>
          <w:szCs w:val="24"/>
        </w:rPr>
        <w:t xml:space="preserve">and </w:t>
      </w:r>
      <w:r w:rsidR="00BA1501">
        <w:rPr>
          <w:rFonts w:ascii="Palatino Linotype" w:hAnsi="Palatino Linotype"/>
          <w:sz w:val="24"/>
          <w:szCs w:val="24"/>
        </w:rPr>
        <w:t xml:space="preserve">Charter Communications, Inc. (Charter) </w:t>
      </w:r>
      <w:r w:rsidRPr="00C12A3E" w:rsidR="00C12A3E">
        <w:rPr>
          <w:rFonts w:ascii="Palatino Linotype" w:hAnsi="Palatino Linotype"/>
          <w:sz w:val="24"/>
          <w:szCs w:val="24"/>
        </w:rPr>
        <w:t xml:space="preserve">designated their </w:t>
      </w:r>
      <w:r w:rsidR="00D12AFB">
        <w:rPr>
          <w:rFonts w:ascii="Palatino Linotype" w:hAnsi="Palatino Linotype"/>
          <w:sz w:val="24"/>
          <w:szCs w:val="24"/>
        </w:rPr>
        <w:t>CASF project household</w:t>
      </w:r>
      <w:r w:rsidRPr="00C12A3E" w:rsidR="00C12A3E">
        <w:rPr>
          <w:rFonts w:ascii="Palatino Linotype" w:hAnsi="Palatino Linotype"/>
          <w:sz w:val="24"/>
          <w:szCs w:val="24"/>
        </w:rPr>
        <w:t xml:space="preserve"> subscribership data as </w:t>
      </w:r>
      <w:r w:rsidR="00FC3941">
        <w:rPr>
          <w:rFonts w:ascii="Palatino Linotype" w:hAnsi="Palatino Linotype"/>
          <w:sz w:val="24"/>
          <w:szCs w:val="24"/>
        </w:rPr>
        <w:t>c</w:t>
      </w:r>
      <w:r w:rsidRPr="00C12A3E" w:rsidR="00C12A3E">
        <w:rPr>
          <w:rFonts w:ascii="Palatino Linotype" w:hAnsi="Palatino Linotype"/>
          <w:sz w:val="24"/>
          <w:szCs w:val="24"/>
        </w:rPr>
        <w:t>onfidential</w:t>
      </w:r>
      <w:r w:rsidR="00242305">
        <w:rPr>
          <w:rFonts w:ascii="Palatino Linotype" w:hAnsi="Palatino Linotype"/>
          <w:sz w:val="24"/>
          <w:szCs w:val="24"/>
        </w:rPr>
        <w:t xml:space="preserve"> pursuant to </w:t>
      </w:r>
      <w:r w:rsidRPr="3890975A" w:rsidR="7501F5B0">
        <w:rPr>
          <w:rFonts w:ascii="Palatino Linotype" w:hAnsi="Palatino Linotype"/>
          <w:sz w:val="24"/>
          <w:szCs w:val="24"/>
        </w:rPr>
        <w:t>Commission General Order (</w:t>
      </w:r>
      <w:r w:rsidR="00242305">
        <w:rPr>
          <w:rFonts w:ascii="Palatino Linotype" w:hAnsi="Palatino Linotype"/>
          <w:sz w:val="24"/>
          <w:szCs w:val="24"/>
        </w:rPr>
        <w:t>G</w:t>
      </w:r>
      <w:r w:rsidR="0045717F">
        <w:rPr>
          <w:rFonts w:ascii="Palatino Linotype" w:hAnsi="Palatino Linotype"/>
          <w:sz w:val="24"/>
          <w:szCs w:val="24"/>
        </w:rPr>
        <w:t>.O</w:t>
      </w:r>
      <w:r w:rsidRPr="3890975A" w:rsidR="0045717F">
        <w:rPr>
          <w:rFonts w:ascii="Palatino Linotype" w:hAnsi="Palatino Linotype"/>
          <w:sz w:val="24"/>
          <w:szCs w:val="24"/>
        </w:rPr>
        <w:t>.</w:t>
      </w:r>
      <w:r w:rsidRPr="3890975A" w:rsidR="5CFC37F0">
        <w:rPr>
          <w:rFonts w:ascii="Palatino Linotype" w:hAnsi="Palatino Linotype"/>
          <w:sz w:val="24"/>
          <w:szCs w:val="24"/>
        </w:rPr>
        <w:t>)</w:t>
      </w:r>
      <w:r w:rsidR="0045717F">
        <w:rPr>
          <w:rFonts w:ascii="Palatino Linotype" w:hAnsi="Palatino Linotype"/>
          <w:sz w:val="24"/>
          <w:szCs w:val="24"/>
        </w:rPr>
        <w:t xml:space="preserve"> 66-D</w:t>
      </w:r>
      <w:r w:rsidRPr="00C12A3E" w:rsidR="00C12A3E">
        <w:rPr>
          <w:rFonts w:ascii="Palatino Linotype" w:hAnsi="Palatino Linotype"/>
          <w:sz w:val="24"/>
          <w:szCs w:val="24"/>
        </w:rPr>
        <w:t>.</w:t>
      </w:r>
      <w:r w:rsidR="000A2E4F">
        <w:rPr>
          <w:rFonts w:ascii="Palatino Linotype" w:hAnsi="Palatino Linotype"/>
          <w:sz w:val="24"/>
          <w:szCs w:val="24"/>
        </w:rPr>
        <w:t xml:space="preserve">  </w:t>
      </w:r>
    </w:p>
    <w:p w:rsidRPr="007C0F69" w:rsidR="00DF231B" w:rsidP="007C0F69" w:rsidRDefault="00DF231B" w14:paraId="124A8FE5" w14:textId="77777777">
      <w:pPr>
        <w:rPr>
          <w:sz w:val="24"/>
          <w:szCs w:val="24"/>
        </w:rPr>
      </w:pPr>
    </w:p>
    <w:p w:rsidRPr="008331AB" w:rsidR="00DF231B" w:rsidP="00DF231B" w:rsidRDefault="00DF231B" w14:paraId="517EFF89" w14:textId="77777777">
      <w:pPr>
        <w:pStyle w:val="Heading3"/>
        <w:rPr>
          <w:rFonts w:ascii="Palatino Linotype" w:hAnsi="Palatino Linotype"/>
          <w:szCs w:val="24"/>
          <w:u w:val="single"/>
        </w:rPr>
      </w:pPr>
      <w:r>
        <w:rPr>
          <w:rFonts w:ascii="Palatino Linotype" w:hAnsi="Palatino Linotype"/>
          <w:szCs w:val="24"/>
          <w:u w:val="single"/>
        </w:rPr>
        <w:t>DISCUSSION</w:t>
      </w:r>
    </w:p>
    <w:p w:rsidR="00DF231B" w:rsidP="00DF231B" w:rsidRDefault="00DF231B" w14:paraId="101E1638" w14:textId="77777777">
      <w:pPr>
        <w:rPr>
          <w:rFonts w:ascii="Palatino Linotype" w:hAnsi="Palatino Linotype"/>
          <w:sz w:val="24"/>
          <w:szCs w:val="24"/>
        </w:rPr>
      </w:pPr>
    </w:p>
    <w:p w:rsidR="00DF231B" w:rsidP="00DF231B" w:rsidRDefault="00DF231B" w14:paraId="6D4727F3" w14:textId="172BF36A">
      <w:pPr>
        <w:rPr>
          <w:rFonts w:ascii="Palatino Linotype" w:hAnsi="Palatino Linotype"/>
          <w:sz w:val="24"/>
          <w:szCs w:val="24"/>
        </w:rPr>
      </w:pPr>
      <w:r w:rsidRPr="0256EE47">
        <w:rPr>
          <w:rFonts w:ascii="Palatino Linotype" w:hAnsi="Palatino Linotype"/>
          <w:sz w:val="24"/>
          <w:szCs w:val="24"/>
        </w:rPr>
        <w:t xml:space="preserve">This Resolution </w:t>
      </w:r>
      <w:r w:rsidRPr="0256EE47" w:rsidR="00042609">
        <w:rPr>
          <w:rFonts w:ascii="Palatino Linotype" w:hAnsi="Palatino Linotype"/>
          <w:sz w:val="24"/>
          <w:szCs w:val="24"/>
        </w:rPr>
        <w:t xml:space="preserve">authorizes the disclosure of </w:t>
      </w:r>
      <w:r w:rsidRPr="0256EE47" w:rsidR="0CD62128">
        <w:rPr>
          <w:rFonts w:ascii="Palatino Linotype" w:hAnsi="Palatino Linotype"/>
          <w:sz w:val="24"/>
          <w:szCs w:val="24"/>
        </w:rPr>
        <w:t xml:space="preserve">the actual number of household subscribers to each </w:t>
      </w:r>
      <w:r w:rsidRPr="0256EE47" w:rsidR="00042609">
        <w:rPr>
          <w:rFonts w:ascii="Palatino Linotype" w:hAnsi="Palatino Linotype"/>
          <w:sz w:val="24"/>
          <w:szCs w:val="24"/>
        </w:rPr>
        <w:t xml:space="preserve">CASF project </w:t>
      </w:r>
      <w:r w:rsidRPr="0256EE47" w:rsidR="4FEA76D2">
        <w:rPr>
          <w:rFonts w:ascii="Palatino Linotype" w:hAnsi="Palatino Linotype"/>
          <w:sz w:val="24"/>
          <w:szCs w:val="24"/>
        </w:rPr>
        <w:t xml:space="preserve">and </w:t>
      </w:r>
      <w:r w:rsidRPr="3890975A" w:rsidR="11BE0E0C">
        <w:rPr>
          <w:rFonts w:ascii="Palatino Linotype" w:hAnsi="Palatino Linotype"/>
          <w:sz w:val="24"/>
          <w:szCs w:val="24"/>
        </w:rPr>
        <w:t xml:space="preserve">finds </w:t>
      </w:r>
      <w:r w:rsidRPr="0256EE47" w:rsidR="4FEA76D2">
        <w:rPr>
          <w:rFonts w:ascii="Palatino Linotype" w:hAnsi="Palatino Linotype"/>
          <w:sz w:val="24"/>
          <w:szCs w:val="24"/>
        </w:rPr>
        <w:t>that this information may be included in</w:t>
      </w:r>
      <w:r w:rsidRPr="0256EE47" w:rsidR="00042609">
        <w:rPr>
          <w:rFonts w:ascii="Palatino Linotype" w:hAnsi="Palatino Linotype"/>
          <w:sz w:val="24"/>
          <w:szCs w:val="24"/>
        </w:rPr>
        <w:t xml:space="preserve"> </w:t>
      </w:r>
      <w:r w:rsidRPr="0256EE47" w:rsidR="6164284F">
        <w:rPr>
          <w:rFonts w:ascii="Palatino Linotype" w:hAnsi="Palatino Linotype"/>
          <w:sz w:val="24"/>
          <w:szCs w:val="24"/>
        </w:rPr>
        <w:t>the</w:t>
      </w:r>
      <w:r w:rsidRPr="0256EE47" w:rsidR="002C6CC4">
        <w:rPr>
          <w:rFonts w:ascii="Palatino Linotype" w:hAnsi="Palatino Linotype"/>
          <w:sz w:val="24"/>
          <w:szCs w:val="24"/>
        </w:rPr>
        <w:t xml:space="preserve"> </w:t>
      </w:r>
      <w:r w:rsidRPr="0256EE47" w:rsidR="00042609">
        <w:rPr>
          <w:rFonts w:ascii="Palatino Linotype" w:hAnsi="Palatino Linotype"/>
          <w:sz w:val="24"/>
          <w:szCs w:val="24"/>
        </w:rPr>
        <w:t>CASF Annual Report</w:t>
      </w:r>
      <w:r w:rsidRPr="0256EE47" w:rsidR="002C6CC4">
        <w:rPr>
          <w:rFonts w:ascii="Palatino Linotype" w:hAnsi="Palatino Linotype"/>
          <w:sz w:val="24"/>
          <w:szCs w:val="24"/>
        </w:rPr>
        <w:t>s</w:t>
      </w:r>
      <w:r w:rsidRPr="0256EE47">
        <w:rPr>
          <w:rFonts w:ascii="Palatino Linotype" w:hAnsi="Palatino Linotype"/>
          <w:sz w:val="24"/>
          <w:szCs w:val="24"/>
        </w:rPr>
        <w:t>.</w:t>
      </w:r>
      <w:bookmarkStart w:name="_Hlk64548822" w:id="2"/>
    </w:p>
    <w:bookmarkEnd w:id="2"/>
    <w:p w:rsidR="00DF5A67" w:rsidP="002D3781" w:rsidRDefault="00DF5A67" w14:paraId="20E1F34A" w14:textId="173F290A">
      <w:pPr>
        <w:rPr>
          <w:rFonts w:ascii="Palatino Linotype" w:hAnsi="Palatino Linotype"/>
          <w:sz w:val="24"/>
          <w:szCs w:val="24"/>
        </w:rPr>
      </w:pPr>
    </w:p>
    <w:p w:rsidR="358E3FE2" w:rsidP="0256EE47" w:rsidRDefault="358E3FE2" w14:paraId="18A389CD" w14:textId="48044727">
      <w:pPr>
        <w:rPr>
          <w:rFonts w:ascii="Palatino Linotype" w:hAnsi="Palatino Linotype"/>
          <w:sz w:val="24"/>
          <w:szCs w:val="24"/>
        </w:rPr>
      </w:pPr>
      <w:r w:rsidRPr="00255925">
        <w:rPr>
          <w:rFonts w:ascii="Palatino Linotype" w:hAnsi="Palatino Linotype"/>
          <w:b/>
          <w:sz w:val="24"/>
          <w:szCs w:val="24"/>
          <w:u w:val="single"/>
        </w:rPr>
        <w:t>AT&amp;T California and Charter’s Confidentiality Claims</w:t>
      </w:r>
    </w:p>
    <w:p w:rsidR="00E96802" w:rsidP="0256EE47" w:rsidRDefault="00DF5A67" w14:paraId="34A3EB31" w14:textId="050B4C01">
      <w:pPr>
        <w:rPr>
          <w:rFonts w:ascii="Palatino Linotype" w:hAnsi="Palatino Linotype"/>
          <w:sz w:val="24"/>
          <w:szCs w:val="24"/>
        </w:rPr>
      </w:pPr>
      <w:r w:rsidRPr="00DF5A67">
        <w:rPr>
          <w:rFonts w:ascii="Palatino Linotype" w:hAnsi="Palatino Linotype"/>
          <w:sz w:val="24"/>
          <w:szCs w:val="24"/>
        </w:rPr>
        <w:t xml:space="preserve">General Order 66-D took effect on </w:t>
      </w:r>
      <w:r w:rsidRPr="00DF5A67" w:rsidR="00F72D28">
        <w:rPr>
          <w:rFonts w:ascii="Palatino Linotype" w:hAnsi="Palatino Linotype"/>
          <w:sz w:val="24"/>
          <w:szCs w:val="24"/>
        </w:rPr>
        <w:t>January 1, 2018 and</w:t>
      </w:r>
      <w:r w:rsidRPr="00DF5A67">
        <w:rPr>
          <w:rFonts w:ascii="Palatino Linotype" w:hAnsi="Palatino Linotype"/>
          <w:sz w:val="24"/>
          <w:szCs w:val="24"/>
        </w:rPr>
        <w:t xml:space="preserve"> describes the </w:t>
      </w:r>
      <w:proofErr w:type="gramStart"/>
      <w:r w:rsidRPr="00DF5A67">
        <w:rPr>
          <w:rFonts w:ascii="Palatino Linotype" w:hAnsi="Palatino Linotype"/>
          <w:sz w:val="24"/>
          <w:szCs w:val="24"/>
        </w:rPr>
        <w:t>manner in which</w:t>
      </w:r>
      <w:proofErr w:type="gramEnd"/>
      <w:r w:rsidRPr="00DF5A67">
        <w:rPr>
          <w:rFonts w:ascii="Palatino Linotype" w:hAnsi="Palatino Linotype"/>
          <w:sz w:val="24"/>
          <w:szCs w:val="24"/>
        </w:rPr>
        <w:t xml:space="preserve"> information must be submitted to the Commission in order to be treated as confidential.</w:t>
      </w:r>
      <w:r w:rsidRPr="0256EE47" w:rsidR="296725DE">
        <w:rPr>
          <w:rFonts w:ascii="Palatino Linotype" w:hAnsi="Palatino Linotype"/>
          <w:sz w:val="24"/>
          <w:szCs w:val="24"/>
        </w:rPr>
        <w:t xml:space="preserve"> </w:t>
      </w:r>
      <w:r w:rsidRPr="0256EE47" w:rsidR="2ECC885C">
        <w:rPr>
          <w:rFonts w:ascii="Palatino Linotype" w:hAnsi="Palatino Linotype"/>
          <w:sz w:val="24"/>
          <w:szCs w:val="24"/>
        </w:rPr>
        <w:t>As stated above, AT&amp;T California and Charter have designated their CASF project household subscribership data as confidential pursuant to G.O. 66-D, Section 3.2.</w:t>
      </w:r>
      <w:r w:rsidRPr="0256EE47" w:rsidR="296725DE">
        <w:rPr>
          <w:rFonts w:ascii="Palatino Linotype" w:hAnsi="Palatino Linotype"/>
          <w:sz w:val="24"/>
          <w:szCs w:val="24"/>
        </w:rPr>
        <w:t xml:space="preserve"> </w:t>
      </w:r>
      <w:r w:rsidRPr="0256EE47" w:rsidR="7D63989C">
        <w:rPr>
          <w:rFonts w:ascii="Palatino Linotype" w:hAnsi="Palatino Linotype"/>
          <w:sz w:val="24"/>
          <w:szCs w:val="24"/>
        </w:rPr>
        <w:t xml:space="preserve"> </w:t>
      </w:r>
      <w:r w:rsidRPr="0256EE47" w:rsidR="296725DE">
        <w:rPr>
          <w:rFonts w:ascii="Palatino Linotype" w:hAnsi="Palatino Linotype"/>
          <w:sz w:val="24"/>
          <w:szCs w:val="24"/>
        </w:rPr>
        <w:t>AT&amp;T California claims, “[t]he information is competitively sensitive and has economic value to AT&amp;T California, the disclosure of which would put AT&amp;T California at an unfair competitive disadvantage</w:t>
      </w:r>
      <w:r w:rsidRPr="0256EE47" w:rsidR="0020FE98">
        <w:rPr>
          <w:rFonts w:ascii="Palatino Linotype" w:hAnsi="Palatino Linotype"/>
          <w:sz w:val="24"/>
          <w:szCs w:val="24"/>
        </w:rPr>
        <w:t>.</w:t>
      </w:r>
      <w:r w:rsidRPr="0256EE47" w:rsidR="296725DE">
        <w:rPr>
          <w:rFonts w:ascii="Palatino Linotype" w:hAnsi="Palatino Linotype"/>
          <w:sz w:val="24"/>
          <w:szCs w:val="24"/>
        </w:rPr>
        <w:t>”</w:t>
      </w:r>
      <w:r w:rsidRPr="0256EE47">
        <w:rPr>
          <w:rStyle w:val="FootnoteReference"/>
          <w:rFonts w:ascii="Palatino Linotype" w:hAnsi="Palatino Linotype"/>
          <w:sz w:val="24"/>
          <w:szCs w:val="24"/>
        </w:rPr>
        <w:footnoteReference w:id="6"/>
      </w:r>
      <w:r w:rsidRPr="0256EE47" w:rsidR="296725DE">
        <w:rPr>
          <w:rFonts w:ascii="Palatino Linotype" w:hAnsi="Palatino Linotype"/>
          <w:sz w:val="24"/>
          <w:szCs w:val="24"/>
        </w:rPr>
        <w:t xml:space="preserve">  </w:t>
      </w:r>
      <w:r w:rsidRPr="0256EE47" w:rsidR="11CF5BBC">
        <w:rPr>
          <w:rFonts w:ascii="Palatino Linotype" w:hAnsi="Palatino Linotype"/>
          <w:sz w:val="24"/>
          <w:szCs w:val="24"/>
        </w:rPr>
        <w:t>AT&amp;T California also claims that “if this confidential information was publicly disclosed, AT&amp;T California competitors could use this information to AT&amp;T California’s competitive disadvantage, by adjusting their sales, marketing, and customer service practices to improperly target AT&amp;T California’s subscribers and/or locations AT&amp;T California does not serve.”</w:t>
      </w:r>
      <w:r w:rsidRPr="0256EE47">
        <w:rPr>
          <w:rStyle w:val="FootnoteReference"/>
          <w:rFonts w:ascii="Palatino Linotype" w:hAnsi="Palatino Linotype"/>
          <w:sz w:val="24"/>
          <w:szCs w:val="24"/>
        </w:rPr>
        <w:footnoteReference w:id="7"/>
      </w:r>
      <w:r w:rsidRPr="0256EE47" w:rsidR="11CF5BBC">
        <w:rPr>
          <w:rFonts w:ascii="Palatino Linotype" w:hAnsi="Palatino Linotype"/>
          <w:sz w:val="24"/>
          <w:szCs w:val="24"/>
        </w:rPr>
        <w:t xml:space="preserve">  </w:t>
      </w:r>
      <w:r w:rsidRPr="0256EE47" w:rsidR="296725DE">
        <w:rPr>
          <w:rFonts w:ascii="Palatino Linotype" w:hAnsi="Palatino Linotype"/>
          <w:sz w:val="24"/>
          <w:szCs w:val="24"/>
        </w:rPr>
        <w:t>Similarly, Charter states</w:t>
      </w:r>
      <w:r w:rsidRPr="0256EE47" w:rsidR="68050253">
        <w:rPr>
          <w:rFonts w:ascii="Palatino Linotype" w:hAnsi="Palatino Linotype"/>
          <w:sz w:val="24"/>
          <w:szCs w:val="24"/>
        </w:rPr>
        <w:t xml:space="preserve"> that “</w:t>
      </w:r>
      <w:r w:rsidRPr="3890975A" w:rsidR="14AC8E00">
        <w:rPr>
          <w:rFonts w:ascii="Palatino Linotype" w:hAnsi="Palatino Linotype"/>
          <w:sz w:val="24"/>
          <w:szCs w:val="24"/>
        </w:rPr>
        <w:t>[p]</w:t>
      </w:r>
      <w:proofErr w:type="spellStart"/>
      <w:r w:rsidRPr="3890975A" w:rsidR="14AC8E00">
        <w:rPr>
          <w:rFonts w:ascii="Palatino Linotype" w:hAnsi="Palatino Linotype"/>
          <w:sz w:val="24"/>
          <w:szCs w:val="24"/>
        </w:rPr>
        <w:t>ublic</w:t>
      </w:r>
      <w:proofErr w:type="spellEnd"/>
      <w:r w:rsidRPr="3890975A" w:rsidR="14AC8E00">
        <w:rPr>
          <w:rFonts w:ascii="Palatino Linotype" w:hAnsi="Palatino Linotype"/>
          <w:sz w:val="24"/>
          <w:szCs w:val="24"/>
        </w:rPr>
        <w:t xml:space="preserve"> release could provide highly competitively-sensitive data and trade secrets as defined by California Civil Code Section 3426.1 and California Evidence Code Section 1061.</w:t>
      </w:r>
      <w:r w:rsidRPr="0256EE47" w:rsidR="296725DE">
        <w:rPr>
          <w:rFonts w:ascii="Palatino Linotype" w:hAnsi="Palatino Linotype"/>
          <w:sz w:val="24"/>
          <w:szCs w:val="24"/>
        </w:rPr>
        <w:t>”</w:t>
      </w:r>
      <w:r w:rsidR="00460EED">
        <w:rPr>
          <w:rStyle w:val="FootnoteReference"/>
          <w:rFonts w:ascii="Palatino Linotype" w:hAnsi="Palatino Linotype"/>
          <w:sz w:val="24"/>
          <w:szCs w:val="24"/>
        </w:rPr>
        <w:footnoteReference w:id="8"/>
      </w:r>
    </w:p>
    <w:p w:rsidR="00937C42" w:rsidP="0256EE47" w:rsidRDefault="00937C42" w14:paraId="17752447" w14:textId="3026170E">
      <w:pPr>
        <w:rPr>
          <w:rFonts w:ascii="Palatino Linotype" w:hAnsi="Palatino Linotype"/>
          <w:sz w:val="24"/>
          <w:szCs w:val="24"/>
        </w:rPr>
      </w:pPr>
    </w:p>
    <w:p w:rsidR="00E96802" w:rsidP="0256EE47" w:rsidRDefault="2CBA512A" w14:paraId="7CD28D46" w14:textId="40C067C4">
      <w:pPr>
        <w:rPr>
          <w:rFonts w:ascii="Palatino Linotype" w:hAnsi="Palatino Linotype"/>
          <w:sz w:val="24"/>
          <w:szCs w:val="24"/>
        </w:rPr>
      </w:pPr>
      <w:r w:rsidRPr="3890975A">
        <w:rPr>
          <w:rFonts w:ascii="Palatino Linotype" w:hAnsi="Palatino Linotype"/>
          <w:sz w:val="24"/>
          <w:szCs w:val="24"/>
        </w:rPr>
        <w:t>Recently, in Decision (D.)</w:t>
      </w:r>
      <w:r w:rsidR="00905B15">
        <w:rPr>
          <w:rFonts w:ascii="Palatino Linotype" w:hAnsi="Palatino Linotype"/>
          <w:sz w:val="24"/>
          <w:szCs w:val="24"/>
        </w:rPr>
        <w:t xml:space="preserve"> </w:t>
      </w:r>
      <w:r w:rsidRPr="3890975A">
        <w:rPr>
          <w:rFonts w:ascii="Palatino Linotype" w:hAnsi="Palatino Linotype"/>
          <w:sz w:val="24"/>
          <w:szCs w:val="24"/>
        </w:rPr>
        <w:t>20-12-021, the Commission considered issues of</w:t>
      </w:r>
      <w:r w:rsidRPr="3890975A" w:rsidR="53517331">
        <w:rPr>
          <w:rFonts w:ascii="Palatino Linotype" w:hAnsi="Palatino Linotype"/>
          <w:sz w:val="24"/>
          <w:szCs w:val="24"/>
        </w:rPr>
        <w:t xml:space="preserve"> </w:t>
      </w:r>
      <w:r w:rsidRPr="3890975A">
        <w:rPr>
          <w:rFonts w:ascii="Palatino Linotype" w:hAnsi="Palatino Linotype"/>
          <w:sz w:val="24"/>
          <w:szCs w:val="24"/>
        </w:rPr>
        <w:t>confidentiality</w:t>
      </w:r>
      <w:r w:rsidRPr="3890975A" w:rsidR="00679EE9">
        <w:rPr>
          <w:rFonts w:ascii="Palatino Linotype" w:hAnsi="Palatino Linotype"/>
          <w:sz w:val="24"/>
          <w:szCs w:val="24"/>
        </w:rPr>
        <w:t xml:space="preserve"> and trade secrets</w:t>
      </w:r>
      <w:r w:rsidRPr="3890975A">
        <w:rPr>
          <w:rFonts w:ascii="Palatino Linotype" w:hAnsi="Palatino Linotype"/>
          <w:sz w:val="24"/>
          <w:szCs w:val="24"/>
        </w:rPr>
        <w:t xml:space="preserve"> as </w:t>
      </w:r>
      <w:r w:rsidRPr="3890975A" w:rsidR="259C416C">
        <w:rPr>
          <w:rFonts w:ascii="Palatino Linotype" w:hAnsi="Palatino Linotype"/>
          <w:sz w:val="24"/>
          <w:szCs w:val="24"/>
        </w:rPr>
        <w:t>they</w:t>
      </w:r>
      <w:r w:rsidRPr="3890975A">
        <w:rPr>
          <w:rFonts w:ascii="Palatino Linotype" w:hAnsi="Palatino Linotype"/>
          <w:sz w:val="24"/>
          <w:szCs w:val="24"/>
        </w:rPr>
        <w:t xml:space="preserve"> related to an examination of </w:t>
      </w:r>
      <w:r w:rsidRPr="3890975A">
        <w:rPr>
          <w:rFonts w:ascii="Palatino Linotype" w:hAnsi="Palatino Linotype"/>
          <w:sz w:val="24"/>
          <w:szCs w:val="24"/>
        </w:rPr>
        <w:lastRenderedPageBreak/>
        <w:t xml:space="preserve">telecommunications network infrastructure, facilities, policies, and practices.  </w:t>
      </w:r>
      <w:r w:rsidRPr="3890975A" w:rsidR="1C927D22">
        <w:rPr>
          <w:rFonts w:ascii="Palatino Linotype" w:hAnsi="Palatino Linotype"/>
          <w:sz w:val="24"/>
          <w:szCs w:val="24"/>
        </w:rPr>
        <w:t>The Commission noted that “[I]</w:t>
      </w:r>
      <w:proofErr w:type="spellStart"/>
      <w:r w:rsidRPr="3890975A" w:rsidR="1C927D22">
        <w:rPr>
          <w:rFonts w:ascii="Palatino Linotype" w:hAnsi="Palatino Linotype"/>
          <w:sz w:val="24"/>
          <w:szCs w:val="24"/>
        </w:rPr>
        <w:t>nformation</w:t>
      </w:r>
      <w:proofErr w:type="spellEnd"/>
      <w:r w:rsidRPr="3890975A" w:rsidR="1C927D22">
        <w:rPr>
          <w:rFonts w:ascii="Palatino Linotype" w:hAnsi="Palatino Linotype"/>
          <w:sz w:val="24"/>
          <w:szCs w:val="24"/>
        </w:rPr>
        <w:t xml:space="preserve"> will not fall within the definition of a trade secret if it is readily ascertainable by a competitor or others . . .”</w:t>
      </w:r>
      <w:r w:rsidRPr="3890975A" w:rsidR="56CC9E37">
        <w:rPr>
          <w:rStyle w:val="FootnoteReference"/>
          <w:rFonts w:ascii="Palatino Linotype" w:hAnsi="Palatino Linotype"/>
          <w:sz w:val="24"/>
          <w:szCs w:val="24"/>
        </w:rPr>
        <w:footnoteReference w:id="9"/>
      </w:r>
      <w:r w:rsidRPr="36129757" w:rsidR="410EE863">
        <w:rPr>
          <w:rFonts w:ascii="Palatino Linotype" w:hAnsi="Palatino Linotype"/>
          <w:sz w:val="24"/>
          <w:szCs w:val="24"/>
        </w:rPr>
        <w:t xml:space="preserve">  </w:t>
      </w:r>
      <w:r w:rsidRPr="36129757" w:rsidR="3AA851FF">
        <w:rPr>
          <w:rFonts w:ascii="Palatino Linotype" w:hAnsi="Palatino Linotype"/>
          <w:sz w:val="24"/>
          <w:szCs w:val="24"/>
        </w:rPr>
        <w:t>I</w:t>
      </w:r>
      <w:r w:rsidRPr="36129757" w:rsidR="56CC9E37">
        <w:rPr>
          <w:rFonts w:ascii="Palatino Linotype" w:hAnsi="Palatino Linotype"/>
          <w:sz w:val="24"/>
          <w:szCs w:val="24"/>
        </w:rPr>
        <w:t>n order to receive CASF funding f</w:t>
      </w:r>
      <w:r w:rsidRPr="36129757" w:rsidR="0088BE86">
        <w:rPr>
          <w:rFonts w:ascii="Palatino Linotype" w:hAnsi="Palatino Linotype"/>
          <w:sz w:val="24"/>
          <w:szCs w:val="24"/>
        </w:rPr>
        <w:t>or their projects</w:t>
      </w:r>
      <w:r w:rsidRPr="36129757" w:rsidR="56CC9E37">
        <w:rPr>
          <w:rFonts w:ascii="Palatino Linotype" w:hAnsi="Palatino Linotype"/>
          <w:sz w:val="24"/>
          <w:szCs w:val="24"/>
        </w:rPr>
        <w:t>, AT&amp;T California and Charter</w:t>
      </w:r>
      <w:r w:rsidRPr="36129757" w:rsidR="4F98F781">
        <w:rPr>
          <w:rFonts w:ascii="Palatino Linotype" w:hAnsi="Palatino Linotype"/>
          <w:sz w:val="24"/>
          <w:szCs w:val="24"/>
        </w:rPr>
        <w:t xml:space="preserve"> </w:t>
      </w:r>
      <w:r w:rsidRPr="36129757" w:rsidR="0A65D5D7">
        <w:rPr>
          <w:rFonts w:ascii="Palatino Linotype" w:hAnsi="Palatino Linotype"/>
          <w:sz w:val="24"/>
          <w:szCs w:val="24"/>
        </w:rPr>
        <w:t>were required</w:t>
      </w:r>
      <w:r w:rsidRPr="36129757" w:rsidR="4F98F781">
        <w:rPr>
          <w:rFonts w:ascii="Palatino Linotype" w:hAnsi="Palatino Linotype"/>
          <w:sz w:val="24"/>
          <w:szCs w:val="24"/>
        </w:rPr>
        <w:t xml:space="preserve"> to publicly disclose</w:t>
      </w:r>
      <w:r w:rsidRPr="36129757" w:rsidR="56CC9E37">
        <w:rPr>
          <w:rFonts w:ascii="Palatino Linotype" w:hAnsi="Palatino Linotype"/>
          <w:sz w:val="24"/>
          <w:szCs w:val="24"/>
        </w:rPr>
        <w:t xml:space="preserve"> </w:t>
      </w:r>
      <w:r w:rsidRPr="36129757" w:rsidR="7FF863B0">
        <w:rPr>
          <w:rFonts w:ascii="Palatino Linotype" w:hAnsi="Palatino Linotype"/>
          <w:sz w:val="24"/>
          <w:szCs w:val="24"/>
        </w:rPr>
        <w:t>“information regarding the area designated for a broadband deployment, the number of households or locations to be served, and the estimated date by which the deployment will be completed.”</w:t>
      </w:r>
      <w:r w:rsidRPr="0256EE47" w:rsidR="00DF5A67">
        <w:rPr>
          <w:rStyle w:val="FootnoteReference"/>
          <w:rFonts w:ascii="Palatino Linotype" w:hAnsi="Palatino Linotype"/>
          <w:sz w:val="24"/>
          <w:szCs w:val="24"/>
        </w:rPr>
        <w:footnoteReference w:id="10"/>
      </w:r>
      <w:r w:rsidRPr="0256EE47" w:rsidR="67B6D596">
        <w:rPr>
          <w:rFonts w:ascii="Palatino Linotype" w:hAnsi="Palatino Linotype"/>
          <w:sz w:val="24"/>
          <w:szCs w:val="24"/>
        </w:rPr>
        <w:t xml:space="preserve"> </w:t>
      </w:r>
      <w:r w:rsidRPr="36129757" w:rsidR="67B6D596">
        <w:rPr>
          <w:rFonts w:ascii="Palatino Linotype" w:hAnsi="Palatino Linotype"/>
          <w:sz w:val="24"/>
          <w:szCs w:val="24"/>
        </w:rPr>
        <w:t xml:space="preserve"> </w:t>
      </w:r>
      <w:r w:rsidRPr="36129757" w:rsidR="616AFF98">
        <w:rPr>
          <w:rFonts w:ascii="Palatino Linotype" w:hAnsi="Palatino Linotype"/>
          <w:sz w:val="24"/>
          <w:szCs w:val="24"/>
        </w:rPr>
        <w:t>T</w:t>
      </w:r>
      <w:r w:rsidRPr="36129757" w:rsidR="67B6D596">
        <w:rPr>
          <w:rFonts w:ascii="Palatino Linotype" w:hAnsi="Palatino Linotype"/>
          <w:sz w:val="24"/>
          <w:szCs w:val="24"/>
        </w:rPr>
        <w:t>he Commission is prohibited from disclosing</w:t>
      </w:r>
      <w:r w:rsidRPr="36129757" w:rsidR="2BC11D46">
        <w:rPr>
          <w:rFonts w:ascii="Palatino Linotype" w:hAnsi="Palatino Linotype"/>
          <w:sz w:val="24"/>
          <w:szCs w:val="24"/>
        </w:rPr>
        <w:t xml:space="preserve">, </w:t>
      </w:r>
      <w:r w:rsidRPr="36129757" w:rsidR="72FE9C56">
        <w:rPr>
          <w:rFonts w:ascii="Palatino Linotype" w:hAnsi="Palatino Linotype"/>
          <w:sz w:val="24"/>
          <w:szCs w:val="24"/>
        </w:rPr>
        <w:t>“</w:t>
      </w:r>
      <w:r w:rsidRPr="36129757" w:rsidR="67B6D596">
        <w:rPr>
          <w:rFonts w:ascii="Palatino Linotype" w:hAnsi="Palatino Linotype"/>
          <w:sz w:val="24"/>
          <w:szCs w:val="24"/>
        </w:rPr>
        <w:t xml:space="preserve">information submitted to the commission that includes the provider’s plans for future broadband </w:t>
      </w:r>
      <w:r w:rsidRPr="37637796" w:rsidR="67B6D596">
        <w:rPr>
          <w:rFonts w:ascii="Palatino Linotype" w:hAnsi="Palatino Linotype"/>
          <w:i/>
          <w:iCs/>
          <w:sz w:val="24"/>
          <w:szCs w:val="24"/>
        </w:rPr>
        <w:t>deployment</w:t>
      </w:r>
      <w:r w:rsidRPr="36129757" w:rsidR="30A2FC7A">
        <w:rPr>
          <w:rFonts w:ascii="Palatino Linotype" w:hAnsi="Palatino Linotype"/>
          <w:sz w:val="24"/>
          <w:szCs w:val="24"/>
        </w:rPr>
        <w:t>,</w:t>
      </w:r>
      <w:r w:rsidRPr="36129757" w:rsidR="02BD7010">
        <w:rPr>
          <w:rFonts w:ascii="Palatino Linotype" w:hAnsi="Palatino Linotype"/>
          <w:sz w:val="24"/>
          <w:szCs w:val="24"/>
        </w:rPr>
        <w:t>”</w:t>
      </w:r>
      <w:r w:rsidRPr="36129757" w:rsidR="25A773E8">
        <w:rPr>
          <w:rFonts w:ascii="Palatino Linotype" w:hAnsi="Palatino Linotype"/>
          <w:sz w:val="24"/>
          <w:szCs w:val="24"/>
        </w:rPr>
        <w:t xml:space="preserve"> aside from the information</w:t>
      </w:r>
      <w:r w:rsidRPr="36129757" w:rsidR="3D893A37">
        <w:rPr>
          <w:rFonts w:ascii="Palatino Linotype" w:hAnsi="Palatino Linotype"/>
          <w:sz w:val="24"/>
          <w:szCs w:val="24"/>
        </w:rPr>
        <w:t xml:space="preserve"> specified in Pub. Util. Code section 281(f)(4)</w:t>
      </w:r>
      <w:r w:rsidRPr="36129757" w:rsidR="1137B7E0">
        <w:rPr>
          <w:rFonts w:ascii="Palatino Linotype" w:hAnsi="Palatino Linotype"/>
          <w:sz w:val="24"/>
          <w:szCs w:val="24"/>
        </w:rPr>
        <w:t>(B)(ii).</w:t>
      </w:r>
      <w:r w:rsidRPr="0256EE47" w:rsidR="00DF5A67">
        <w:rPr>
          <w:rStyle w:val="FootnoteReference"/>
          <w:rFonts w:ascii="Palatino Linotype" w:hAnsi="Palatino Linotype"/>
          <w:sz w:val="24"/>
          <w:szCs w:val="24"/>
        </w:rPr>
        <w:footnoteReference w:id="11"/>
      </w:r>
    </w:p>
    <w:p w:rsidR="00E96802" w:rsidP="0256EE47" w:rsidRDefault="00E96802" w14:paraId="0A9068E8" w14:textId="33090338">
      <w:pPr>
        <w:rPr>
          <w:rFonts w:ascii="Palatino Linotype" w:hAnsi="Palatino Linotype"/>
          <w:sz w:val="24"/>
          <w:szCs w:val="24"/>
        </w:rPr>
      </w:pPr>
    </w:p>
    <w:p w:rsidR="00E96802" w:rsidP="3890975A" w:rsidRDefault="02F7F7C4" w14:paraId="31289CE1" w14:textId="79BAE3B2">
      <w:pPr>
        <w:rPr>
          <w:rFonts w:ascii="Palatino Linotype" w:hAnsi="Palatino Linotype"/>
          <w:sz w:val="24"/>
          <w:szCs w:val="24"/>
        </w:rPr>
      </w:pPr>
      <w:r w:rsidRPr="36129757">
        <w:rPr>
          <w:rFonts w:ascii="Palatino Linotype" w:hAnsi="Palatino Linotype"/>
          <w:sz w:val="24"/>
          <w:szCs w:val="24"/>
        </w:rPr>
        <w:t xml:space="preserve">The project household </w:t>
      </w:r>
      <w:r w:rsidRPr="36129757" w:rsidR="56B8CF0D">
        <w:rPr>
          <w:rFonts w:ascii="Palatino Linotype" w:hAnsi="Palatino Linotype"/>
          <w:sz w:val="24"/>
          <w:szCs w:val="24"/>
        </w:rPr>
        <w:t>broadband subscription data at issue will not reveal a “provider’s plans for future broadband deployment.”</w:t>
      </w:r>
      <w:r w:rsidRPr="36129757" w:rsidR="5F58994A">
        <w:rPr>
          <w:rFonts w:ascii="Palatino Linotype" w:hAnsi="Palatino Linotype"/>
          <w:sz w:val="24"/>
          <w:szCs w:val="24"/>
        </w:rPr>
        <w:t xml:space="preserve">  The providers have already </w:t>
      </w:r>
      <w:r w:rsidRPr="15C9352B" w:rsidR="2E1F40A2">
        <w:rPr>
          <w:rFonts w:ascii="Palatino Linotype" w:hAnsi="Palatino Linotype"/>
          <w:sz w:val="24"/>
          <w:szCs w:val="24"/>
        </w:rPr>
        <w:t xml:space="preserve">publicized their plans to </w:t>
      </w:r>
      <w:r w:rsidRPr="15C9352B" w:rsidR="435A457E">
        <w:rPr>
          <w:rFonts w:ascii="Palatino Linotype" w:hAnsi="Palatino Linotype"/>
          <w:sz w:val="24"/>
          <w:szCs w:val="24"/>
        </w:rPr>
        <w:t>deploy</w:t>
      </w:r>
      <w:r w:rsidRPr="36129757" w:rsidR="5F58994A">
        <w:rPr>
          <w:rFonts w:ascii="Palatino Linotype" w:hAnsi="Palatino Linotype"/>
          <w:sz w:val="24"/>
          <w:szCs w:val="24"/>
        </w:rPr>
        <w:t xml:space="preserve"> broadband infrastructure</w:t>
      </w:r>
      <w:r w:rsidRPr="15C9352B" w:rsidR="0959BA28">
        <w:rPr>
          <w:rFonts w:ascii="Palatino Linotype" w:hAnsi="Palatino Linotype"/>
          <w:sz w:val="24"/>
          <w:szCs w:val="24"/>
        </w:rPr>
        <w:t xml:space="preserve"> in their project areas</w:t>
      </w:r>
      <w:r w:rsidRPr="15C9352B" w:rsidR="73346892">
        <w:rPr>
          <w:rFonts w:ascii="Palatino Linotype" w:hAnsi="Palatino Linotype"/>
          <w:sz w:val="24"/>
          <w:szCs w:val="24"/>
        </w:rPr>
        <w:t xml:space="preserve">, </w:t>
      </w:r>
      <w:r w:rsidRPr="15C9352B" w:rsidR="582CE2CE">
        <w:rPr>
          <w:rFonts w:ascii="Palatino Linotype" w:hAnsi="Palatino Linotype"/>
          <w:sz w:val="24"/>
          <w:szCs w:val="24"/>
        </w:rPr>
        <w:t>a requirement to receive</w:t>
      </w:r>
      <w:r w:rsidRPr="36129757" w:rsidR="76E95AB0">
        <w:rPr>
          <w:rFonts w:ascii="Palatino Linotype" w:hAnsi="Palatino Linotype"/>
          <w:sz w:val="24"/>
          <w:szCs w:val="24"/>
        </w:rPr>
        <w:t xml:space="preserve"> funding </w:t>
      </w:r>
      <w:r w:rsidRPr="15C9352B" w:rsidR="79357CC4">
        <w:rPr>
          <w:rFonts w:ascii="Palatino Linotype" w:hAnsi="Palatino Linotype"/>
          <w:sz w:val="24"/>
          <w:szCs w:val="24"/>
        </w:rPr>
        <w:t>from</w:t>
      </w:r>
      <w:r w:rsidRPr="36129757" w:rsidR="76E95AB0">
        <w:rPr>
          <w:rFonts w:ascii="Palatino Linotype" w:hAnsi="Palatino Linotype"/>
          <w:sz w:val="24"/>
          <w:szCs w:val="24"/>
        </w:rPr>
        <w:t xml:space="preserve"> the CASF program.</w:t>
      </w:r>
      <w:r w:rsidRPr="36129757" w:rsidR="36DEA91F">
        <w:rPr>
          <w:rFonts w:ascii="Palatino Linotype" w:hAnsi="Palatino Linotype"/>
          <w:sz w:val="24"/>
          <w:szCs w:val="24"/>
        </w:rPr>
        <w:t xml:space="preserve">  Thus, disclosure of the information at issue will not impact any future deployment plans by the providers.</w:t>
      </w:r>
      <w:r w:rsidRPr="36129757" w:rsidR="76E95AB0">
        <w:rPr>
          <w:rFonts w:ascii="Palatino Linotype" w:hAnsi="Palatino Linotype"/>
          <w:sz w:val="24"/>
          <w:szCs w:val="24"/>
        </w:rPr>
        <w:t xml:space="preserve">  Moreover, the Commission,</w:t>
      </w:r>
      <w:r w:rsidRPr="36129757" w:rsidR="40DD8DC6">
        <w:rPr>
          <w:rFonts w:ascii="Palatino Linotype" w:hAnsi="Palatino Linotype"/>
          <w:sz w:val="24"/>
          <w:szCs w:val="24"/>
        </w:rPr>
        <w:t xml:space="preserve"> pursuant </w:t>
      </w:r>
      <w:r w:rsidRPr="36129757" w:rsidR="12A77EA2">
        <w:rPr>
          <w:rFonts w:ascii="Palatino Linotype" w:hAnsi="Palatino Linotype"/>
          <w:sz w:val="24"/>
          <w:szCs w:val="24"/>
        </w:rPr>
        <w:t>to Pub. Util. Code section 281(f)(4)(</w:t>
      </w:r>
      <w:r w:rsidRPr="36129757" w:rsidR="2C7173E1">
        <w:rPr>
          <w:rFonts w:ascii="Palatino Linotype" w:hAnsi="Palatino Linotype"/>
          <w:sz w:val="24"/>
          <w:szCs w:val="24"/>
        </w:rPr>
        <w:t>B)(ii), already publicized the</w:t>
      </w:r>
      <w:r w:rsidRPr="36129757" w:rsidR="0DA2ABB4">
        <w:rPr>
          <w:rFonts w:ascii="Palatino Linotype" w:hAnsi="Palatino Linotype"/>
          <w:sz w:val="24"/>
          <w:szCs w:val="24"/>
        </w:rPr>
        <w:t xml:space="preserve"> number of households to be served by broadband service</w:t>
      </w:r>
      <w:r w:rsidRPr="36129757" w:rsidR="5ACF2D54">
        <w:rPr>
          <w:rFonts w:ascii="Palatino Linotype" w:hAnsi="Palatino Linotype"/>
          <w:sz w:val="24"/>
          <w:szCs w:val="24"/>
        </w:rPr>
        <w:t xml:space="preserve"> and</w:t>
      </w:r>
      <w:r w:rsidRPr="36129757" w:rsidR="0DA2ABB4">
        <w:rPr>
          <w:rFonts w:ascii="Palatino Linotype" w:hAnsi="Palatino Linotype"/>
          <w:sz w:val="24"/>
          <w:szCs w:val="24"/>
        </w:rPr>
        <w:t xml:space="preserve"> the estimated date by which the deployment would be co</w:t>
      </w:r>
      <w:r w:rsidRPr="36129757" w:rsidR="12994588">
        <w:rPr>
          <w:rFonts w:ascii="Palatino Linotype" w:hAnsi="Palatino Linotype"/>
          <w:sz w:val="24"/>
          <w:szCs w:val="24"/>
        </w:rPr>
        <w:t>mpleted</w:t>
      </w:r>
      <w:r w:rsidRPr="36129757" w:rsidR="47039B1C">
        <w:rPr>
          <w:rFonts w:ascii="Palatino Linotype" w:hAnsi="Palatino Linotype"/>
          <w:sz w:val="24"/>
          <w:szCs w:val="24"/>
        </w:rPr>
        <w:t>.  In many cases</w:t>
      </w:r>
      <w:r w:rsidRPr="36129757" w:rsidR="12994588">
        <w:rPr>
          <w:rFonts w:ascii="Palatino Linotype" w:hAnsi="Palatino Linotype"/>
          <w:sz w:val="24"/>
          <w:szCs w:val="24"/>
        </w:rPr>
        <w:t xml:space="preserve">, the </w:t>
      </w:r>
      <w:r w:rsidRPr="36129757" w:rsidR="5725FCEB">
        <w:rPr>
          <w:rFonts w:ascii="Palatino Linotype" w:hAnsi="Palatino Linotype"/>
          <w:sz w:val="24"/>
          <w:szCs w:val="24"/>
        </w:rPr>
        <w:t xml:space="preserve">Commission also published the </w:t>
      </w:r>
      <w:r w:rsidRPr="36129757" w:rsidR="12994588">
        <w:rPr>
          <w:rFonts w:ascii="Palatino Linotype" w:hAnsi="Palatino Linotype"/>
          <w:sz w:val="24"/>
          <w:szCs w:val="24"/>
        </w:rPr>
        <w:t xml:space="preserve">providers’ estimate of the number of households </w:t>
      </w:r>
      <w:r w:rsidRPr="15C9352B" w:rsidR="447F8CA4">
        <w:rPr>
          <w:rFonts w:ascii="Palatino Linotype" w:hAnsi="Palatino Linotype"/>
          <w:sz w:val="24"/>
          <w:szCs w:val="24"/>
        </w:rPr>
        <w:t>in the project area</w:t>
      </w:r>
      <w:r w:rsidRPr="15C9352B" w:rsidR="201E8645">
        <w:rPr>
          <w:rFonts w:ascii="Palatino Linotype" w:hAnsi="Palatino Linotype"/>
          <w:sz w:val="24"/>
          <w:szCs w:val="24"/>
        </w:rPr>
        <w:t xml:space="preserve"> </w:t>
      </w:r>
      <w:r w:rsidRPr="36129757" w:rsidR="12994588">
        <w:rPr>
          <w:rFonts w:ascii="Palatino Linotype" w:hAnsi="Palatino Linotype"/>
          <w:sz w:val="24"/>
          <w:szCs w:val="24"/>
        </w:rPr>
        <w:t xml:space="preserve">that would subscribe to </w:t>
      </w:r>
      <w:r w:rsidRPr="36129757" w:rsidR="39CB897C">
        <w:rPr>
          <w:rFonts w:ascii="Palatino Linotype" w:hAnsi="Palatino Linotype"/>
          <w:sz w:val="24"/>
          <w:szCs w:val="24"/>
        </w:rPr>
        <w:t xml:space="preserve">broadband </w:t>
      </w:r>
      <w:r w:rsidRPr="36129757" w:rsidR="12994588">
        <w:rPr>
          <w:rFonts w:ascii="Palatino Linotype" w:hAnsi="Palatino Linotype"/>
          <w:sz w:val="24"/>
          <w:szCs w:val="24"/>
        </w:rPr>
        <w:t>se</w:t>
      </w:r>
      <w:r w:rsidRPr="36129757" w:rsidR="32AFDA3D">
        <w:rPr>
          <w:rFonts w:ascii="Palatino Linotype" w:hAnsi="Palatino Linotype"/>
          <w:sz w:val="24"/>
          <w:szCs w:val="24"/>
        </w:rPr>
        <w:t>rvice</w:t>
      </w:r>
      <w:r w:rsidRPr="15C9352B" w:rsidR="50445528">
        <w:rPr>
          <w:rFonts w:ascii="Palatino Linotype" w:hAnsi="Palatino Linotype"/>
          <w:sz w:val="24"/>
          <w:szCs w:val="24"/>
        </w:rPr>
        <w:t xml:space="preserve"> after a given interval of time</w:t>
      </w:r>
      <w:r w:rsidR="00722956">
        <w:rPr>
          <w:rFonts w:ascii="Palatino Linotype" w:hAnsi="Palatino Linotype"/>
          <w:sz w:val="24"/>
          <w:szCs w:val="24"/>
        </w:rPr>
        <w:t>.</w:t>
      </w:r>
      <w:r w:rsidRPr="6877351F">
        <w:rPr>
          <w:rStyle w:val="FootnoteReference"/>
          <w:rFonts w:ascii="Palatino Linotype" w:hAnsi="Palatino Linotype"/>
          <w:sz w:val="24"/>
          <w:szCs w:val="24"/>
        </w:rPr>
        <w:footnoteReference w:id="12"/>
      </w:r>
      <w:r w:rsidRPr="36129757" w:rsidR="6F22F13B">
        <w:rPr>
          <w:rFonts w:ascii="Palatino Linotype" w:hAnsi="Palatino Linotype"/>
          <w:sz w:val="24"/>
          <w:szCs w:val="24"/>
        </w:rPr>
        <w:t xml:space="preserve">  </w:t>
      </w:r>
    </w:p>
    <w:p w:rsidR="00E96802" w:rsidP="3890975A" w:rsidRDefault="00E96802" w14:paraId="6E04A350" w14:textId="5291062F">
      <w:pPr>
        <w:rPr>
          <w:rFonts w:ascii="Palatino Linotype" w:hAnsi="Palatino Linotype"/>
          <w:sz w:val="24"/>
          <w:szCs w:val="24"/>
        </w:rPr>
      </w:pPr>
    </w:p>
    <w:p w:rsidR="00E96802" w:rsidP="3890975A" w:rsidRDefault="6F22F13B" w14:paraId="6F96F5F0" w14:textId="491456C9">
      <w:pPr>
        <w:rPr>
          <w:rFonts w:ascii="Palatino Linotype" w:hAnsi="Palatino Linotype"/>
          <w:sz w:val="24"/>
          <w:szCs w:val="24"/>
        </w:rPr>
      </w:pPr>
      <w:r w:rsidRPr="36129757">
        <w:rPr>
          <w:rFonts w:ascii="Palatino Linotype" w:hAnsi="Palatino Linotype"/>
          <w:sz w:val="24"/>
          <w:szCs w:val="24"/>
        </w:rPr>
        <w:t>Thus, the disclosure at issue here would add only one bit of information</w:t>
      </w:r>
      <w:r w:rsidRPr="36129757" w:rsidR="58DF9940">
        <w:rPr>
          <w:rFonts w:ascii="Palatino Linotype" w:hAnsi="Palatino Linotype"/>
          <w:sz w:val="24"/>
          <w:szCs w:val="24"/>
        </w:rPr>
        <w:t xml:space="preserve">: of the </w:t>
      </w:r>
      <w:proofErr w:type="gramStart"/>
      <w:r w:rsidRPr="36129757" w:rsidR="58DF9940">
        <w:rPr>
          <w:rFonts w:ascii="Palatino Linotype" w:hAnsi="Palatino Linotype"/>
          <w:sz w:val="24"/>
          <w:szCs w:val="24"/>
        </w:rPr>
        <w:t>publicly-disclosed</w:t>
      </w:r>
      <w:proofErr w:type="gramEnd"/>
      <w:r w:rsidRPr="36129757" w:rsidR="58DF9940">
        <w:rPr>
          <w:rFonts w:ascii="Palatino Linotype" w:hAnsi="Palatino Linotype"/>
          <w:sz w:val="24"/>
          <w:szCs w:val="24"/>
        </w:rPr>
        <w:t xml:space="preserve"> total number of households to be served by the CASF projects, how ma</w:t>
      </w:r>
      <w:r w:rsidR="00706199">
        <w:rPr>
          <w:rFonts w:ascii="Palatino Linotype" w:hAnsi="Palatino Linotype"/>
          <w:sz w:val="24"/>
          <w:szCs w:val="24"/>
        </w:rPr>
        <w:t>n</w:t>
      </w:r>
      <w:r w:rsidRPr="36129757" w:rsidR="58DF9940">
        <w:rPr>
          <w:rFonts w:ascii="Palatino Linotype" w:hAnsi="Palatino Linotype"/>
          <w:sz w:val="24"/>
          <w:szCs w:val="24"/>
        </w:rPr>
        <w:t xml:space="preserve">y of those households actually subscribe to </w:t>
      </w:r>
      <w:r w:rsidRPr="36129757" w:rsidR="4B50658D">
        <w:rPr>
          <w:rFonts w:ascii="Palatino Linotype" w:hAnsi="Palatino Linotype"/>
          <w:sz w:val="24"/>
          <w:szCs w:val="24"/>
        </w:rPr>
        <w:t>broadband service.</w:t>
      </w:r>
      <w:r w:rsidRPr="36129757" w:rsidR="54C09771">
        <w:rPr>
          <w:rFonts w:ascii="Palatino Linotype" w:hAnsi="Palatino Linotype"/>
          <w:sz w:val="24"/>
          <w:szCs w:val="24"/>
        </w:rPr>
        <w:t xml:space="preserve">  </w:t>
      </w:r>
      <w:r w:rsidRPr="15C9352B" w:rsidR="0CB4A3AE">
        <w:rPr>
          <w:rFonts w:ascii="Palatino Linotype" w:hAnsi="Palatino Linotype"/>
          <w:sz w:val="24"/>
          <w:szCs w:val="24"/>
        </w:rPr>
        <w:t xml:space="preserve">In other terms, this disclosure would only report </w:t>
      </w:r>
      <w:r w:rsidRPr="15C9352B" w:rsidR="1B1CCB88">
        <w:rPr>
          <w:rFonts w:ascii="Palatino Linotype" w:hAnsi="Palatino Linotype"/>
          <w:sz w:val="24"/>
          <w:szCs w:val="24"/>
        </w:rPr>
        <w:t>on the</w:t>
      </w:r>
      <w:r w:rsidRPr="15C9352B" w:rsidR="0CB4A3AE">
        <w:rPr>
          <w:rFonts w:ascii="Palatino Linotype" w:hAnsi="Palatino Linotype"/>
          <w:sz w:val="24"/>
          <w:szCs w:val="24"/>
        </w:rPr>
        <w:t xml:space="preserve"> accura</w:t>
      </w:r>
      <w:r w:rsidRPr="15C9352B" w:rsidR="311432A4">
        <w:rPr>
          <w:rFonts w:ascii="Palatino Linotype" w:hAnsi="Palatino Linotype"/>
          <w:sz w:val="24"/>
          <w:szCs w:val="24"/>
        </w:rPr>
        <w:t>cy of</w:t>
      </w:r>
      <w:r w:rsidRPr="15C9352B" w:rsidR="0CB4A3AE">
        <w:rPr>
          <w:rFonts w:ascii="Palatino Linotype" w:hAnsi="Palatino Linotype"/>
          <w:sz w:val="24"/>
          <w:szCs w:val="24"/>
        </w:rPr>
        <w:t xml:space="preserve"> the providers’ </w:t>
      </w:r>
      <w:proofErr w:type="gramStart"/>
      <w:r w:rsidRPr="15C9352B" w:rsidR="30745915">
        <w:rPr>
          <w:rFonts w:ascii="Palatino Linotype" w:hAnsi="Palatino Linotype"/>
          <w:sz w:val="24"/>
          <w:szCs w:val="24"/>
        </w:rPr>
        <w:t>publicly-disclosed</w:t>
      </w:r>
      <w:proofErr w:type="gramEnd"/>
      <w:r w:rsidRPr="15C9352B" w:rsidR="30745915">
        <w:rPr>
          <w:rFonts w:ascii="Palatino Linotype" w:hAnsi="Palatino Linotype"/>
          <w:sz w:val="24"/>
          <w:szCs w:val="24"/>
        </w:rPr>
        <w:t xml:space="preserve"> </w:t>
      </w:r>
      <w:r w:rsidRPr="15C9352B" w:rsidR="0CB4A3AE">
        <w:rPr>
          <w:rFonts w:ascii="Palatino Linotype" w:hAnsi="Palatino Linotype"/>
          <w:sz w:val="24"/>
          <w:szCs w:val="24"/>
        </w:rPr>
        <w:t>estimate of the</w:t>
      </w:r>
      <w:r w:rsidRPr="15C9352B" w:rsidR="0150F248">
        <w:rPr>
          <w:rFonts w:ascii="Palatino Linotype" w:hAnsi="Palatino Linotype"/>
          <w:sz w:val="24"/>
          <w:szCs w:val="24"/>
        </w:rPr>
        <w:t xml:space="preserve"> number of</w:t>
      </w:r>
      <w:r w:rsidRPr="15C9352B" w:rsidR="0CB4A3AE">
        <w:rPr>
          <w:rFonts w:ascii="Palatino Linotype" w:hAnsi="Palatino Linotype"/>
          <w:sz w:val="24"/>
          <w:szCs w:val="24"/>
        </w:rPr>
        <w:t xml:space="preserve"> </w:t>
      </w:r>
      <w:r w:rsidRPr="15C9352B" w:rsidR="0A5013C5">
        <w:rPr>
          <w:rFonts w:ascii="Palatino Linotype" w:hAnsi="Palatino Linotype"/>
          <w:sz w:val="24"/>
          <w:szCs w:val="24"/>
        </w:rPr>
        <w:t>household subscribers</w:t>
      </w:r>
      <w:r w:rsidRPr="15C9352B" w:rsidR="65E8C3AD">
        <w:rPr>
          <w:rFonts w:ascii="Palatino Linotype" w:hAnsi="Palatino Linotype"/>
          <w:sz w:val="24"/>
          <w:szCs w:val="24"/>
        </w:rPr>
        <w:t xml:space="preserve"> in the project area</w:t>
      </w:r>
      <w:r w:rsidRPr="15C9352B" w:rsidR="5BA8406C">
        <w:rPr>
          <w:rFonts w:ascii="Palatino Linotype" w:hAnsi="Palatino Linotype"/>
          <w:sz w:val="24"/>
          <w:szCs w:val="24"/>
        </w:rPr>
        <w:t>.</w:t>
      </w:r>
      <w:r w:rsidRPr="15C9352B" w:rsidR="1CB82A93">
        <w:rPr>
          <w:rFonts w:ascii="Palatino Linotype" w:hAnsi="Palatino Linotype"/>
          <w:sz w:val="24"/>
          <w:szCs w:val="24"/>
        </w:rPr>
        <w:t xml:space="preserve"> </w:t>
      </w:r>
      <w:r w:rsidRPr="15C9352B" w:rsidR="02713390">
        <w:rPr>
          <w:rFonts w:ascii="Palatino Linotype" w:hAnsi="Palatino Linotype"/>
          <w:sz w:val="24"/>
          <w:szCs w:val="24"/>
        </w:rPr>
        <w:t xml:space="preserve"> T</w:t>
      </w:r>
      <w:r w:rsidRPr="15C9352B" w:rsidR="1CB82A93">
        <w:rPr>
          <w:rFonts w:ascii="Palatino Linotype" w:hAnsi="Palatino Linotype"/>
          <w:sz w:val="24"/>
          <w:szCs w:val="24"/>
        </w:rPr>
        <w:t>he number of households subscribing to broadband service for</w:t>
      </w:r>
      <w:r w:rsidRPr="15C9352B" w:rsidR="46F87D03">
        <w:rPr>
          <w:rFonts w:ascii="Palatino Linotype" w:hAnsi="Palatino Linotype"/>
          <w:sz w:val="24"/>
          <w:szCs w:val="24"/>
        </w:rPr>
        <w:t xml:space="preserve"> each project is readily ascertainable by competi</w:t>
      </w:r>
      <w:r w:rsidRPr="15C9352B" w:rsidR="1A01F4F6">
        <w:rPr>
          <w:rFonts w:ascii="Palatino Linotype" w:hAnsi="Palatino Linotype"/>
          <w:sz w:val="24"/>
          <w:szCs w:val="24"/>
        </w:rPr>
        <w:t xml:space="preserve">tors, given </w:t>
      </w:r>
      <w:proofErr w:type="gramStart"/>
      <w:r w:rsidRPr="15C9352B" w:rsidR="1A01F4F6">
        <w:rPr>
          <w:rFonts w:ascii="Palatino Linotype" w:hAnsi="Palatino Linotype"/>
          <w:sz w:val="24"/>
          <w:szCs w:val="24"/>
        </w:rPr>
        <w:t>all of</w:t>
      </w:r>
      <w:proofErr w:type="gramEnd"/>
      <w:r w:rsidRPr="15C9352B" w:rsidR="1A01F4F6">
        <w:rPr>
          <w:rFonts w:ascii="Palatino Linotype" w:hAnsi="Palatino Linotype"/>
          <w:sz w:val="24"/>
          <w:szCs w:val="24"/>
        </w:rPr>
        <w:t xml:space="preserve"> the</w:t>
      </w:r>
      <w:r w:rsidRPr="15C9352B" w:rsidR="58A6DA27">
        <w:rPr>
          <w:rFonts w:ascii="Palatino Linotype" w:hAnsi="Palatino Linotype"/>
          <w:sz w:val="24"/>
          <w:szCs w:val="24"/>
        </w:rPr>
        <w:t xml:space="preserve"> data that has already been disclosed concerning the CASF projects.</w:t>
      </w:r>
      <w:r w:rsidRPr="15C9352B" w:rsidR="1CB82A93">
        <w:rPr>
          <w:rFonts w:ascii="Palatino Linotype" w:hAnsi="Palatino Linotype"/>
          <w:sz w:val="24"/>
          <w:szCs w:val="24"/>
        </w:rPr>
        <w:t xml:space="preserve"> </w:t>
      </w:r>
    </w:p>
    <w:p w:rsidR="00E96802" w:rsidP="3890975A" w:rsidRDefault="00E96802" w14:paraId="7DC65414" w14:textId="7DF53D51">
      <w:pPr>
        <w:rPr>
          <w:rFonts w:ascii="Palatino Linotype" w:hAnsi="Palatino Linotype"/>
          <w:sz w:val="24"/>
          <w:szCs w:val="24"/>
        </w:rPr>
      </w:pPr>
    </w:p>
    <w:p w:rsidR="00E96802" w:rsidP="3890975A" w:rsidRDefault="4209138D" w14:paraId="5B11854A" w14:textId="2CABDAE7">
      <w:pPr>
        <w:rPr>
          <w:rFonts w:ascii="Palatino Linotype" w:hAnsi="Palatino Linotype"/>
          <w:sz w:val="24"/>
          <w:szCs w:val="24"/>
        </w:rPr>
      </w:pPr>
      <w:r w:rsidRPr="3890975A">
        <w:rPr>
          <w:rFonts w:ascii="Palatino Linotype" w:hAnsi="Palatino Linotype"/>
          <w:sz w:val="24"/>
          <w:szCs w:val="24"/>
        </w:rPr>
        <w:t>In D.20-12-021, the Commission found:</w:t>
      </w:r>
    </w:p>
    <w:p w:rsidR="00E96802" w:rsidP="3890975A" w:rsidRDefault="00E96802" w14:paraId="18BE46EA" w14:textId="0993A4E1">
      <w:pPr>
        <w:rPr>
          <w:rFonts w:ascii="Palatino Linotype" w:hAnsi="Palatino Linotype"/>
          <w:sz w:val="24"/>
          <w:szCs w:val="24"/>
        </w:rPr>
      </w:pPr>
    </w:p>
    <w:p w:rsidR="00E96802" w:rsidP="3890975A" w:rsidRDefault="29CB1836" w14:paraId="24ECE475" w14:textId="0B3F0A72">
      <w:pPr>
        <w:ind w:left="432"/>
        <w:rPr>
          <w:rFonts w:ascii="Palatino Linotype" w:hAnsi="Palatino Linotype" w:eastAsia="Palatino Linotype" w:cs="Palatino Linotype"/>
          <w:sz w:val="24"/>
          <w:szCs w:val="24"/>
        </w:rPr>
      </w:pPr>
      <w:r w:rsidRPr="3890975A">
        <w:rPr>
          <w:rFonts w:ascii="Palatino Linotype" w:hAnsi="Palatino Linotype" w:eastAsia="Palatino Linotype" w:cs="Palatino Linotype"/>
          <w:sz w:val="24"/>
          <w:szCs w:val="24"/>
        </w:rPr>
        <w:lastRenderedPageBreak/>
        <w:t>If a claimant asserts that information has independent economic value by virtue of being secret, the claimant should do more than merely assert that the information would be helpful or of use to a competitor recipient in carrying out a specific activity. Such simple assertions are not enough to compel a fact finder to conclude the information is sufficiently valuable to provide the claimant with an economic advantage over others.</w:t>
      </w:r>
      <w:r w:rsidRPr="3890975A" w:rsidR="02F7F7C4">
        <w:rPr>
          <w:rStyle w:val="FootnoteReference"/>
          <w:rFonts w:ascii="Palatino Linotype" w:hAnsi="Palatino Linotype" w:eastAsia="Palatino Linotype" w:cs="Palatino Linotype"/>
          <w:sz w:val="24"/>
          <w:szCs w:val="24"/>
        </w:rPr>
        <w:footnoteReference w:id="13"/>
      </w:r>
    </w:p>
    <w:p w:rsidR="00E96802" w:rsidP="3890975A" w:rsidRDefault="00E96802" w14:paraId="68CF9F13" w14:textId="3119253D">
      <w:pPr>
        <w:rPr>
          <w:rFonts w:ascii="Palatino Linotype" w:hAnsi="Palatino Linotype"/>
          <w:sz w:val="24"/>
          <w:szCs w:val="24"/>
        </w:rPr>
      </w:pPr>
    </w:p>
    <w:p w:rsidR="6B087591" w:rsidP="15C9352B" w:rsidRDefault="65E2CF99" w14:paraId="46C72A30" w14:textId="4BFF127D">
      <w:pPr>
        <w:rPr>
          <w:rFonts w:ascii="Palatino Linotype" w:hAnsi="Palatino Linotype"/>
          <w:sz w:val="24"/>
          <w:szCs w:val="24"/>
        </w:rPr>
      </w:pPr>
      <w:r w:rsidRPr="36129757">
        <w:rPr>
          <w:rFonts w:ascii="Palatino Linotype" w:hAnsi="Palatino Linotype"/>
          <w:sz w:val="24"/>
          <w:szCs w:val="24"/>
        </w:rPr>
        <w:t xml:space="preserve">AT&amp;T California and Charter do not provide the substantiation necessary to demonstrate that their economic interests would be </w:t>
      </w:r>
      <w:r w:rsidRPr="36129757" w:rsidR="395B1036">
        <w:rPr>
          <w:rFonts w:ascii="Palatino Linotype" w:hAnsi="Palatino Linotype"/>
          <w:sz w:val="24"/>
          <w:szCs w:val="24"/>
        </w:rPr>
        <w:t>disadvantaged by the disclosure of project household subscriber data, especially given that</w:t>
      </w:r>
      <w:r w:rsidRPr="36129757" w:rsidR="6F05E42D">
        <w:rPr>
          <w:rFonts w:ascii="Palatino Linotype" w:hAnsi="Palatino Linotype"/>
          <w:sz w:val="24"/>
          <w:szCs w:val="24"/>
        </w:rPr>
        <w:t xml:space="preserve"> a great deal of</w:t>
      </w:r>
      <w:r w:rsidRPr="36129757" w:rsidR="395B1036">
        <w:rPr>
          <w:rFonts w:ascii="Palatino Linotype" w:hAnsi="Palatino Linotype"/>
          <w:sz w:val="24"/>
          <w:szCs w:val="24"/>
        </w:rPr>
        <w:t xml:space="preserve"> inform</w:t>
      </w:r>
      <w:r w:rsidRPr="36129757" w:rsidR="03DA2764">
        <w:rPr>
          <w:rFonts w:ascii="Palatino Linotype" w:hAnsi="Palatino Linotype"/>
          <w:sz w:val="24"/>
          <w:szCs w:val="24"/>
        </w:rPr>
        <w:t>ation about the project</w:t>
      </w:r>
      <w:r w:rsidRPr="36129757" w:rsidR="145C7218">
        <w:rPr>
          <w:rFonts w:ascii="Palatino Linotype" w:hAnsi="Palatino Linotype"/>
          <w:sz w:val="24"/>
          <w:szCs w:val="24"/>
        </w:rPr>
        <w:t>s ha</w:t>
      </w:r>
      <w:r w:rsidRPr="36129757" w:rsidR="27B2FBA5">
        <w:rPr>
          <w:rFonts w:ascii="Palatino Linotype" w:hAnsi="Palatino Linotype"/>
          <w:sz w:val="24"/>
          <w:szCs w:val="24"/>
        </w:rPr>
        <w:t>s</w:t>
      </w:r>
      <w:r w:rsidRPr="36129757" w:rsidR="03DA2764">
        <w:rPr>
          <w:rFonts w:ascii="Palatino Linotype" w:hAnsi="Palatino Linotype"/>
          <w:sz w:val="24"/>
          <w:szCs w:val="24"/>
        </w:rPr>
        <w:t xml:space="preserve"> already been revealed.  </w:t>
      </w:r>
      <w:r w:rsidRPr="3890975A" w:rsidR="7A4E92B8">
        <w:rPr>
          <w:rFonts w:ascii="Palatino Linotype" w:hAnsi="Palatino Linotype"/>
          <w:sz w:val="24"/>
          <w:szCs w:val="24"/>
        </w:rPr>
        <w:t>Moreover, in prior years’ CASF Annual Reports,</w:t>
      </w:r>
      <w:r w:rsidRPr="3890975A" w:rsidR="02F7F7C4">
        <w:rPr>
          <w:rStyle w:val="FootnoteReference"/>
          <w:rFonts w:ascii="Palatino Linotype" w:hAnsi="Palatino Linotype"/>
          <w:sz w:val="24"/>
          <w:szCs w:val="24"/>
        </w:rPr>
        <w:footnoteReference w:id="14"/>
      </w:r>
      <w:r w:rsidRPr="3890975A" w:rsidR="7A4E92B8">
        <w:rPr>
          <w:rFonts w:ascii="Palatino Linotype" w:hAnsi="Palatino Linotype"/>
          <w:sz w:val="24"/>
          <w:szCs w:val="24"/>
        </w:rPr>
        <w:t xml:space="preserve"> the Commission publicly reported the same project household subscription data.  In their declarations, AT&amp;T California and Charter do not allege that the past disclosure of this information has led to any competitive disadvantage.  </w:t>
      </w:r>
      <w:r w:rsidRPr="36129757" w:rsidR="03DA2764">
        <w:rPr>
          <w:rFonts w:ascii="Palatino Linotype" w:hAnsi="Palatino Linotype"/>
          <w:sz w:val="24"/>
          <w:szCs w:val="24"/>
        </w:rPr>
        <w:t xml:space="preserve">Without such evidence </w:t>
      </w:r>
      <w:r w:rsidRPr="36129757" w:rsidR="7DF6DB56">
        <w:rPr>
          <w:rFonts w:ascii="Palatino Linotype" w:hAnsi="Palatino Linotype"/>
          <w:sz w:val="24"/>
          <w:szCs w:val="24"/>
        </w:rPr>
        <w:t>of competitive disadvantage</w:t>
      </w:r>
      <w:r w:rsidRPr="36129757" w:rsidR="03DA2764">
        <w:rPr>
          <w:rFonts w:ascii="Palatino Linotype" w:hAnsi="Palatino Linotype"/>
          <w:sz w:val="24"/>
          <w:szCs w:val="24"/>
        </w:rPr>
        <w:t>, the Commission concludes that</w:t>
      </w:r>
      <w:r w:rsidRPr="36129757" w:rsidR="600999DE">
        <w:rPr>
          <w:rFonts w:ascii="Palatino Linotype" w:hAnsi="Palatino Linotype"/>
          <w:sz w:val="24"/>
          <w:szCs w:val="24"/>
        </w:rPr>
        <w:t xml:space="preserve"> t</w:t>
      </w:r>
      <w:r w:rsidRPr="36129757" w:rsidR="54C09771">
        <w:rPr>
          <w:rFonts w:ascii="Palatino Linotype" w:hAnsi="Palatino Linotype"/>
          <w:sz w:val="24"/>
          <w:szCs w:val="24"/>
        </w:rPr>
        <w:t>he disclosure of this information</w:t>
      </w:r>
      <w:r w:rsidRPr="36129757" w:rsidR="63C6F812">
        <w:rPr>
          <w:rFonts w:ascii="Palatino Linotype" w:hAnsi="Palatino Linotype"/>
          <w:sz w:val="24"/>
          <w:szCs w:val="24"/>
        </w:rPr>
        <w:t xml:space="preserve"> w</w:t>
      </w:r>
      <w:r w:rsidRPr="36129757" w:rsidR="48DF9856">
        <w:rPr>
          <w:rFonts w:ascii="Palatino Linotype" w:hAnsi="Palatino Linotype"/>
          <w:sz w:val="24"/>
          <w:szCs w:val="24"/>
        </w:rPr>
        <w:t>ould likely not result in any</w:t>
      </w:r>
      <w:r w:rsidRPr="36129757" w:rsidR="54C09771">
        <w:rPr>
          <w:rFonts w:ascii="Palatino Linotype" w:hAnsi="Palatino Linotype"/>
          <w:sz w:val="24"/>
          <w:szCs w:val="24"/>
        </w:rPr>
        <w:t xml:space="preserve"> competitive disadvantage</w:t>
      </w:r>
      <w:r w:rsidRPr="36129757" w:rsidR="10AC8D08">
        <w:rPr>
          <w:rFonts w:ascii="Palatino Linotype" w:hAnsi="Palatino Linotype"/>
          <w:sz w:val="24"/>
          <w:szCs w:val="24"/>
        </w:rPr>
        <w:t>s.</w:t>
      </w:r>
    </w:p>
    <w:p w:rsidR="00E96802" w:rsidP="0256EE47" w:rsidRDefault="00E96802" w14:paraId="7DBF4EF7" w14:textId="33335029">
      <w:pPr>
        <w:rPr>
          <w:rFonts w:ascii="Palatino Linotype" w:hAnsi="Palatino Linotype"/>
          <w:sz w:val="24"/>
          <w:szCs w:val="24"/>
        </w:rPr>
      </w:pPr>
    </w:p>
    <w:p w:rsidRPr="00255925" w:rsidR="00E96802" w:rsidP="0256EE47" w:rsidRDefault="36C93FA7" w14:paraId="7185F8F9" w14:textId="52F35618">
      <w:pPr>
        <w:rPr>
          <w:rFonts w:ascii="Palatino Linotype" w:hAnsi="Palatino Linotype"/>
          <w:b/>
          <w:sz w:val="24"/>
          <w:szCs w:val="24"/>
          <w:u w:val="single"/>
        </w:rPr>
      </w:pPr>
      <w:r w:rsidRPr="00255925">
        <w:rPr>
          <w:rFonts w:ascii="Palatino Linotype" w:hAnsi="Palatino Linotype"/>
          <w:b/>
          <w:sz w:val="24"/>
          <w:szCs w:val="24"/>
          <w:u w:val="single"/>
        </w:rPr>
        <w:t xml:space="preserve">Public Interest </w:t>
      </w:r>
      <w:r w:rsidRPr="00255925" w:rsidR="2F274C94">
        <w:rPr>
          <w:rFonts w:ascii="Palatino Linotype" w:hAnsi="Palatino Linotype"/>
          <w:b/>
          <w:sz w:val="24"/>
          <w:szCs w:val="24"/>
          <w:u w:val="single"/>
        </w:rPr>
        <w:t>in</w:t>
      </w:r>
      <w:r w:rsidRPr="00255925">
        <w:rPr>
          <w:rFonts w:ascii="Palatino Linotype" w:hAnsi="Palatino Linotype"/>
          <w:b/>
          <w:sz w:val="24"/>
          <w:szCs w:val="24"/>
          <w:u w:val="single"/>
        </w:rPr>
        <w:t xml:space="preserve"> Disclosure of CASF Project Household</w:t>
      </w:r>
      <w:r w:rsidRPr="00255925" w:rsidR="45CFA048">
        <w:rPr>
          <w:rFonts w:ascii="Palatino Linotype" w:hAnsi="Palatino Linotype"/>
          <w:b/>
          <w:sz w:val="24"/>
          <w:szCs w:val="24"/>
          <w:u w:val="single"/>
        </w:rPr>
        <w:t xml:space="preserve"> Subscription Data</w:t>
      </w:r>
    </w:p>
    <w:p w:rsidR="00E96802" w:rsidDel="00550081" w:rsidP="0256EE47" w:rsidRDefault="00E96802" w14:paraId="0CE5B7DF" w14:textId="060ABD4C">
      <w:pPr>
        <w:rPr>
          <w:rFonts w:ascii="Palatino Linotype" w:hAnsi="Palatino Linotype"/>
          <w:sz w:val="24"/>
          <w:szCs w:val="24"/>
        </w:rPr>
      </w:pPr>
    </w:p>
    <w:p w:rsidR="093F89E2" w:rsidP="3890975A" w:rsidRDefault="093F89E2" w14:paraId="164DCD11" w14:textId="6FF941D8">
      <w:pPr>
        <w:rPr>
          <w:rFonts w:ascii="Palatino Linotype" w:hAnsi="Palatino Linotype"/>
          <w:sz w:val="24"/>
          <w:szCs w:val="24"/>
        </w:rPr>
      </w:pPr>
      <w:r w:rsidRPr="3890975A">
        <w:rPr>
          <w:rFonts w:ascii="Palatino Linotype" w:hAnsi="Palatino Linotype"/>
          <w:sz w:val="24"/>
          <w:szCs w:val="24"/>
        </w:rPr>
        <w:t>In D.20-12-021, the Commission stated:</w:t>
      </w:r>
    </w:p>
    <w:p w:rsidR="3890975A" w:rsidP="3890975A" w:rsidRDefault="3890975A" w14:paraId="3A12F049" w14:textId="490F8A17">
      <w:pPr>
        <w:rPr>
          <w:rFonts w:ascii="Palatino Linotype" w:hAnsi="Palatino Linotype"/>
          <w:sz w:val="24"/>
          <w:szCs w:val="24"/>
        </w:rPr>
      </w:pPr>
    </w:p>
    <w:p w:rsidR="093F89E2" w:rsidP="3890975A" w:rsidRDefault="093F89E2" w14:paraId="37F24B6E" w14:textId="1CCCEA1C">
      <w:pPr>
        <w:ind w:left="432"/>
        <w:rPr>
          <w:rFonts w:ascii="Palatino Linotype" w:hAnsi="Palatino Linotype"/>
          <w:sz w:val="24"/>
          <w:szCs w:val="24"/>
        </w:rPr>
      </w:pPr>
      <w:r w:rsidRPr="3890975A">
        <w:rPr>
          <w:rFonts w:ascii="Palatino Linotype" w:hAnsi="Palatino Linotype"/>
          <w:sz w:val="24"/>
          <w:szCs w:val="24"/>
        </w:rPr>
        <w:t>Trade secrets are generally the products of the creativity and hard work of the trade secret holder’s efforts to further a business or otherwise reap economic rewards. The idea behind the trade secret privilege is that those who devote time and energy to creating something of value should be protected against the use of such hard won, and economically valuable, information by others who contribute nothing to the creation of the trade secret.</w:t>
      </w:r>
      <w:r w:rsidRPr="3890975A">
        <w:rPr>
          <w:rStyle w:val="FootnoteReference"/>
          <w:rFonts w:ascii="Palatino Linotype" w:hAnsi="Palatino Linotype"/>
          <w:sz w:val="24"/>
          <w:szCs w:val="24"/>
        </w:rPr>
        <w:footnoteReference w:id="15"/>
      </w:r>
    </w:p>
    <w:p w:rsidR="3890975A" w:rsidP="3890975A" w:rsidRDefault="3890975A" w14:paraId="5BD1F28C" w14:textId="16E2B3B9">
      <w:pPr>
        <w:rPr>
          <w:rFonts w:ascii="Palatino Linotype" w:hAnsi="Palatino Linotype"/>
          <w:sz w:val="24"/>
          <w:szCs w:val="24"/>
        </w:rPr>
      </w:pPr>
    </w:p>
    <w:p w:rsidR="093F89E2" w:rsidP="3890975A" w:rsidRDefault="093F89E2" w14:paraId="4CF13003" w14:textId="5F15C708">
      <w:pPr>
        <w:rPr>
          <w:rFonts w:ascii="Palatino Linotype" w:hAnsi="Palatino Linotype"/>
          <w:sz w:val="24"/>
          <w:szCs w:val="24"/>
        </w:rPr>
      </w:pPr>
      <w:r w:rsidRPr="3890975A">
        <w:rPr>
          <w:rFonts w:ascii="Palatino Linotype" w:hAnsi="Palatino Linotype"/>
          <w:sz w:val="24"/>
          <w:szCs w:val="24"/>
        </w:rPr>
        <w:t>In this case, the project household subscriber information is the product primarily of funding provided by California ratepayers through the CASF program; AT&amp;T California and Charter utilized the CASF funding the deploy the broadband infrastructure.</w:t>
      </w:r>
    </w:p>
    <w:p w:rsidR="3890975A" w:rsidP="3890975A" w:rsidRDefault="3890975A" w14:paraId="61BF4D7A" w14:textId="2E931BEB">
      <w:pPr>
        <w:rPr>
          <w:rFonts w:ascii="Palatino Linotype" w:hAnsi="Palatino Linotype"/>
          <w:sz w:val="24"/>
          <w:szCs w:val="24"/>
        </w:rPr>
      </w:pPr>
    </w:p>
    <w:p w:rsidR="00E96802" w:rsidP="0256EE47" w:rsidRDefault="1D6D72E0" w14:paraId="18AF8D66" w14:textId="761A8EE2">
      <w:pPr>
        <w:rPr>
          <w:rFonts w:ascii="Palatino Linotype" w:hAnsi="Palatino Linotype"/>
          <w:sz w:val="24"/>
          <w:szCs w:val="24"/>
        </w:rPr>
      </w:pPr>
      <w:r w:rsidRPr="36129757">
        <w:rPr>
          <w:rFonts w:ascii="Palatino Linotype" w:hAnsi="Palatino Linotype"/>
          <w:sz w:val="24"/>
          <w:szCs w:val="24"/>
        </w:rPr>
        <w:lastRenderedPageBreak/>
        <w:t xml:space="preserve">The </w:t>
      </w:r>
      <w:r w:rsidR="00BE7B60">
        <w:rPr>
          <w:rFonts w:ascii="Palatino Linotype" w:hAnsi="Palatino Linotype"/>
          <w:sz w:val="24"/>
          <w:szCs w:val="24"/>
        </w:rPr>
        <w:t>L</w:t>
      </w:r>
      <w:r w:rsidRPr="36129757">
        <w:rPr>
          <w:rFonts w:ascii="Palatino Linotype" w:hAnsi="Palatino Linotype"/>
          <w:sz w:val="24"/>
          <w:szCs w:val="24"/>
        </w:rPr>
        <w:t>egislature authorized the Commission to implement the CASF program to bring br</w:t>
      </w:r>
      <w:r w:rsidRPr="36129757" w:rsidR="45A53097">
        <w:rPr>
          <w:rFonts w:ascii="Palatino Linotype" w:hAnsi="Palatino Linotype"/>
          <w:sz w:val="24"/>
          <w:szCs w:val="24"/>
        </w:rPr>
        <w:t>oadband access to underserved communities by publicly funding broadband deployment projects.</w:t>
      </w:r>
      <w:r w:rsidRPr="0256EE47" w:rsidR="00DF5A67">
        <w:rPr>
          <w:rStyle w:val="FootnoteReference"/>
          <w:rFonts w:ascii="Palatino Linotype" w:hAnsi="Palatino Linotype"/>
          <w:sz w:val="24"/>
          <w:szCs w:val="24"/>
        </w:rPr>
        <w:footnoteReference w:id="16"/>
      </w:r>
      <w:r w:rsidRPr="0256EE47">
        <w:rPr>
          <w:rFonts w:ascii="Palatino Linotype" w:hAnsi="Palatino Linotype"/>
          <w:sz w:val="24"/>
          <w:szCs w:val="24"/>
        </w:rPr>
        <w:t xml:space="preserve"> </w:t>
      </w:r>
      <w:r w:rsidRPr="0256EE47" w:rsidR="36C93FA7">
        <w:rPr>
          <w:rFonts w:ascii="Palatino Linotype" w:hAnsi="Palatino Linotype"/>
          <w:sz w:val="24"/>
          <w:szCs w:val="24"/>
        </w:rPr>
        <w:t xml:space="preserve"> </w:t>
      </w:r>
      <w:r w:rsidRPr="0256EE47" w:rsidR="685948B0">
        <w:rPr>
          <w:rFonts w:ascii="Palatino Linotype" w:hAnsi="Palatino Linotype"/>
          <w:sz w:val="24"/>
          <w:szCs w:val="24"/>
        </w:rPr>
        <w:t xml:space="preserve">The </w:t>
      </w:r>
      <w:r w:rsidR="00BE7B60">
        <w:rPr>
          <w:rFonts w:ascii="Palatino Linotype" w:hAnsi="Palatino Linotype"/>
          <w:sz w:val="24"/>
          <w:szCs w:val="24"/>
        </w:rPr>
        <w:t>L</w:t>
      </w:r>
      <w:r w:rsidRPr="0256EE47" w:rsidR="685948B0">
        <w:rPr>
          <w:rFonts w:ascii="Palatino Linotype" w:hAnsi="Palatino Linotype"/>
          <w:sz w:val="24"/>
          <w:szCs w:val="24"/>
        </w:rPr>
        <w:t xml:space="preserve">egislature also instituted the means by which it would track the effectiveness of the </w:t>
      </w:r>
      <w:r w:rsidRPr="0256EE47" w:rsidR="44F585AC">
        <w:rPr>
          <w:rFonts w:ascii="Palatino Linotype" w:hAnsi="Palatino Linotype"/>
          <w:sz w:val="24"/>
          <w:szCs w:val="24"/>
        </w:rPr>
        <w:t xml:space="preserve">publicly-funded </w:t>
      </w:r>
      <w:r w:rsidRPr="0256EE47" w:rsidR="685948B0">
        <w:rPr>
          <w:rFonts w:ascii="Palatino Linotype" w:hAnsi="Palatino Linotype"/>
          <w:sz w:val="24"/>
          <w:szCs w:val="24"/>
        </w:rPr>
        <w:t>CASF program</w:t>
      </w:r>
      <w:r w:rsidRPr="0256EE47" w:rsidR="73CD60C6">
        <w:rPr>
          <w:rFonts w:ascii="Palatino Linotype" w:hAnsi="Palatino Linotype"/>
          <w:sz w:val="24"/>
          <w:szCs w:val="24"/>
        </w:rPr>
        <w:t xml:space="preserve"> </w:t>
      </w:r>
      <w:r w:rsidRPr="0256EE47" w:rsidR="685948B0">
        <w:rPr>
          <w:rFonts w:ascii="Palatino Linotype" w:hAnsi="Palatino Linotype"/>
          <w:sz w:val="24"/>
          <w:szCs w:val="24"/>
        </w:rPr>
        <w:t xml:space="preserve">– through a report that included, among other things, the </w:t>
      </w:r>
      <w:r w:rsidRPr="15C9352B" w:rsidR="293761BB">
        <w:rPr>
          <w:rFonts w:ascii="Palatino Linotype" w:hAnsi="Palatino Linotype"/>
          <w:sz w:val="24"/>
          <w:szCs w:val="24"/>
        </w:rPr>
        <w:t>“[t]</w:t>
      </w:r>
      <w:proofErr w:type="gramStart"/>
      <w:r w:rsidRPr="15C9352B" w:rsidR="293761BB">
        <w:rPr>
          <w:rFonts w:ascii="Palatino Linotype" w:hAnsi="Palatino Linotype"/>
          <w:sz w:val="24"/>
          <w:szCs w:val="24"/>
        </w:rPr>
        <w:t>he</w:t>
      </w:r>
      <w:proofErr w:type="gramEnd"/>
      <w:r w:rsidRPr="15C9352B" w:rsidR="293761BB">
        <w:rPr>
          <w:rFonts w:ascii="Palatino Linotype" w:hAnsi="Palatino Linotype"/>
          <w:sz w:val="24"/>
          <w:szCs w:val="24"/>
        </w:rPr>
        <w:t xml:space="preserve"> number of formerly unserved households subscribing to broadband service in areas covered by projects funded by the </w:t>
      </w:r>
      <w:r w:rsidRPr="15C9352B" w:rsidR="4EFE1C13">
        <w:rPr>
          <w:rFonts w:ascii="Palatino Linotype" w:hAnsi="Palatino Linotype"/>
          <w:sz w:val="24"/>
          <w:szCs w:val="24"/>
        </w:rPr>
        <w:t>[CASF]</w:t>
      </w:r>
      <w:r w:rsidRPr="15C9352B" w:rsidR="293761BB">
        <w:rPr>
          <w:rFonts w:ascii="Palatino Linotype" w:hAnsi="Palatino Linotype"/>
          <w:sz w:val="24"/>
          <w:szCs w:val="24"/>
        </w:rPr>
        <w:t>.”</w:t>
      </w:r>
      <w:r w:rsidR="00802741">
        <w:rPr>
          <w:rStyle w:val="FootnoteReference"/>
          <w:rFonts w:ascii="Palatino Linotype" w:hAnsi="Palatino Linotype"/>
          <w:sz w:val="24"/>
          <w:szCs w:val="24"/>
        </w:rPr>
        <w:footnoteReference w:id="17"/>
      </w:r>
    </w:p>
    <w:p w:rsidR="15C9352B" w:rsidP="15C9352B" w:rsidRDefault="15C9352B" w14:paraId="089CE15B" w14:textId="3F0EDCCC">
      <w:pPr>
        <w:rPr>
          <w:rFonts w:ascii="Palatino Linotype" w:hAnsi="Palatino Linotype"/>
          <w:sz w:val="24"/>
          <w:szCs w:val="24"/>
        </w:rPr>
      </w:pPr>
    </w:p>
    <w:p w:rsidR="44256D49" w:rsidP="15C9352B" w:rsidRDefault="44256D49" w14:paraId="0D5CED45" w14:textId="1D63FB71">
      <w:pPr>
        <w:rPr>
          <w:rFonts w:ascii="Palatino Linotype" w:hAnsi="Palatino Linotype"/>
          <w:sz w:val="24"/>
          <w:szCs w:val="24"/>
        </w:rPr>
      </w:pPr>
      <w:r w:rsidRPr="15C9352B">
        <w:rPr>
          <w:rFonts w:ascii="Palatino Linotype" w:hAnsi="Palatino Linotype"/>
          <w:sz w:val="24"/>
          <w:szCs w:val="24"/>
        </w:rPr>
        <w:t>T</w:t>
      </w:r>
      <w:r w:rsidRPr="15C9352B" w:rsidR="7F19F1B3">
        <w:rPr>
          <w:rFonts w:ascii="Palatino Linotype" w:hAnsi="Palatino Linotype"/>
          <w:sz w:val="24"/>
          <w:szCs w:val="24"/>
        </w:rPr>
        <w:t xml:space="preserve">he California Constitution favors the </w:t>
      </w:r>
      <w:r w:rsidRPr="15C9352B" w:rsidR="0A4BAF65">
        <w:rPr>
          <w:rFonts w:ascii="Palatino Linotype" w:hAnsi="Palatino Linotype"/>
          <w:sz w:val="24"/>
          <w:szCs w:val="24"/>
        </w:rPr>
        <w:t>disclosure of governmental records by, among other things, stating that “[t]he people have the right of access to information concerning the conduct of the peoples’ business.</w:t>
      </w:r>
      <w:r w:rsidRPr="15C9352B" w:rsidR="17C22788">
        <w:rPr>
          <w:rFonts w:ascii="Palatino Linotype" w:hAnsi="Palatino Linotype"/>
          <w:sz w:val="24"/>
          <w:szCs w:val="24"/>
        </w:rPr>
        <w:t>”</w:t>
      </w:r>
      <w:r w:rsidRPr="15C9352B">
        <w:rPr>
          <w:rStyle w:val="FootnoteReference"/>
          <w:rFonts w:ascii="Palatino Linotype" w:hAnsi="Palatino Linotype"/>
          <w:sz w:val="24"/>
          <w:szCs w:val="24"/>
        </w:rPr>
        <w:footnoteReference w:id="18"/>
      </w:r>
      <w:r w:rsidRPr="15C9352B" w:rsidR="2F12ED84">
        <w:rPr>
          <w:rFonts w:ascii="Palatino Linotype" w:hAnsi="Palatino Linotype"/>
          <w:sz w:val="24"/>
          <w:szCs w:val="24"/>
        </w:rPr>
        <w:t xml:space="preserve">  The effectiveness of the CASF program, which is funded by California ratepayers, is part </w:t>
      </w:r>
      <w:proofErr w:type="gramStart"/>
      <w:r w:rsidRPr="15C9352B" w:rsidR="2F12ED84">
        <w:rPr>
          <w:rFonts w:ascii="Palatino Linotype" w:hAnsi="Palatino Linotype"/>
          <w:sz w:val="24"/>
          <w:szCs w:val="24"/>
        </w:rPr>
        <w:t>of ”the</w:t>
      </w:r>
      <w:proofErr w:type="gramEnd"/>
      <w:r w:rsidRPr="15C9352B" w:rsidR="2F12ED84">
        <w:rPr>
          <w:rFonts w:ascii="Palatino Linotype" w:hAnsi="Palatino Linotype"/>
          <w:sz w:val="24"/>
          <w:szCs w:val="24"/>
        </w:rPr>
        <w:t xml:space="preserve"> people’s business.”</w:t>
      </w:r>
      <w:r w:rsidRPr="15C9352B" w:rsidR="6409385B">
        <w:rPr>
          <w:rFonts w:ascii="Palatino Linotype" w:hAnsi="Palatino Linotype"/>
          <w:sz w:val="24"/>
          <w:szCs w:val="24"/>
        </w:rPr>
        <w:t xml:space="preserve">  The California Constitution </w:t>
      </w:r>
      <w:r w:rsidRPr="15C9352B" w:rsidR="5B940140">
        <w:rPr>
          <w:rFonts w:ascii="Palatino Linotype" w:hAnsi="Palatino Linotype"/>
          <w:sz w:val="24"/>
          <w:szCs w:val="24"/>
        </w:rPr>
        <w:t xml:space="preserve">further </w:t>
      </w:r>
      <w:r w:rsidRPr="15C9352B" w:rsidR="6409385B">
        <w:rPr>
          <w:rFonts w:ascii="Palatino Linotype" w:hAnsi="Palatino Linotype"/>
          <w:sz w:val="24"/>
          <w:szCs w:val="24"/>
        </w:rPr>
        <w:t xml:space="preserve">dictates that </w:t>
      </w:r>
      <w:r w:rsidRPr="15C9352B" w:rsidR="0A4BAF65">
        <w:rPr>
          <w:rFonts w:ascii="Palatino Linotype" w:hAnsi="Palatino Linotype"/>
          <w:sz w:val="24"/>
          <w:szCs w:val="24"/>
        </w:rPr>
        <w:t>statutes, court rules, and other authority favoring disclosure be broadly construed, and that statutes, court rules, and other authority limiting disclosure be construed narrowly</w:t>
      </w:r>
      <w:r w:rsidRPr="15C9352B" w:rsidR="53EEF0A5">
        <w:rPr>
          <w:rFonts w:ascii="Palatino Linotype" w:hAnsi="Palatino Linotype"/>
          <w:sz w:val="24"/>
          <w:szCs w:val="24"/>
        </w:rPr>
        <w:t xml:space="preserve"> construed.</w:t>
      </w:r>
      <w:r w:rsidRPr="15C9352B">
        <w:rPr>
          <w:rStyle w:val="FootnoteReference"/>
          <w:rFonts w:ascii="Palatino Linotype" w:hAnsi="Palatino Linotype"/>
          <w:sz w:val="24"/>
          <w:szCs w:val="24"/>
        </w:rPr>
        <w:footnoteReference w:id="19"/>
      </w:r>
      <w:r w:rsidRPr="15C9352B" w:rsidR="2508BE16">
        <w:rPr>
          <w:rFonts w:ascii="Palatino Linotype" w:hAnsi="Palatino Linotype"/>
          <w:sz w:val="24"/>
          <w:szCs w:val="24"/>
        </w:rPr>
        <w:t xml:space="preserve">  The CASF Annual Report to the </w:t>
      </w:r>
      <w:r w:rsidR="00BE7B60">
        <w:rPr>
          <w:rFonts w:ascii="Palatino Linotype" w:hAnsi="Palatino Linotype"/>
          <w:sz w:val="24"/>
          <w:szCs w:val="24"/>
        </w:rPr>
        <w:t>L</w:t>
      </w:r>
      <w:r w:rsidRPr="15C9352B" w:rsidR="2508BE16">
        <w:rPr>
          <w:rFonts w:ascii="Palatino Linotype" w:hAnsi="Palatino Linotype"/>
          <w:sz w:val="24"/>
          <w:szCs w:val="24"/>
        </w:rPr>
        <w:t xml:space="preserve">egislature should be a public document, allowing California </w:t>
      </w:r>
      <w:r w:rsidRPr="15C9352B" w:rsidR="3175DC3F">
        <w:rPr>
          <w:rFonts w:ascii="Palatino Linotype" w:hAnsi="Palatino Linotype"/>
          <w:sz w:val="24"/>
          <w:szCs w:val="24"/>
        </w:rPr>
        <w:t>ratepayers to determine the effectiveness of the program funded by surcharges that they pay.</w:t>
      </w:r>
    </w:p>
    <w:p w:rsidR="15C9352B" w:rsidP="15C9352B" w:rsidRDefault="15C9352B" w14:paraId="6A5CD13D" w14:textId="5C99956E">
      <w:pPr>
        <w:rPr>
          <w:rFonts w:ascii="Palatino Linotype" w:hAnsi="Palatino Linotype"/>
          <w:sz w:val="24"/>
          <w:szCs w:val="24"/>
        </w:rPr>
      </w:pPr>
    </w:p>
    <w:p w:rsidR="2377DFE2" w:rsidP="15C9352B" w:rsidRDefault="2377DFE2" w14:paraId="08FDF711" w14:textId="6A895358">
      <w:pPr>
        <w:rPr>
          <w:rFonts w:ascii="Palatino Linotype" w:hAnsi="Palatino Linotype"/>
          <w:sz w:val="24"/>
          <w:szCs w:val="24"/>
        </w:rPr>
      </w:pPr>
      <w:r w:rsidRPr="15C9352B">
        <w:rPr>
          <w:rFonts w:ascii="Palatino Linotype" w:hAnsi="Palatino Linotype"/>
          <w:sz w:val="24"/>
          <w:szCs w:val="24"/>
        </w:rPr>
        <w:t>Moreover, th</w:t>
      </w:r>
      <w:r w:rsidRPr="15C9352B" w:rsidR="7E1FC689">
        <w:rPr>
          <w:rFonts w:ascii="Palatino Linotype" w:hAnsi="Palatino Linotype"/>
          <w:sz w:val="24"/>
          <w:szCs w:val="24"/>
        </w:rPr>
        <w:t xml:space="preserve">e </w:t>
      </w:r>
      <w:r w:rsidRPr="15C9352B" w:rsidR="0AECF352">
        <w:rPr>
          <w:rFonts w:ascii="Palatino Linotype" w:hAnsi="Palatino Linotype"/>
          <w:sz w:val="24"/>
          <w:szCs w:val="24"/>
        </w:rPr>
        <w:t xml:space="preserve">number of formerly unserved households subscribing to broadband service in each project, at issue here, is very similar to information that the </w:t>
      </w:r>
      <w:r w:rsidR="00BE7B60">
        <w:rPr>
          <w:rFonts w:ascii="Palatino Linotype" w:hAnsi="Palatino Linotype"/>
          <w:sz w:val="24"/>
          <w:szCs w:val="24"/>
        </w:rPr>
        <w:t>L</w:t>
      </w:r>
      <w:r w:rsidRPr="15C9352B" w:rsidR="0AECF352">
        <w:rPr>
          <w:rFonts w:ascii="Palatino Linotype" w:hAnsi="Palatino Linotype"/>
          <w:sz w:val="24"/>
          <w:szCs w:val="24"/>
        </w:rPr>
        <w:t>egislature already ordered public</w:t>
      </w:r>
      <w:r w:rsidRPr="15C9352B" w:rsidR="31841559">
        <w:rPr>
          <w:rFonts w:ascii="Palatino Linotype" w:hAnsi="Palatino Linotype"/>
          <w:sz w:val="24"/>
          <w:szCs w:val="24"/>
        </w:rPr>
        <w:t>ized</w:t>
      </w:r>
      <w:r w:rsidRPr="15C9352B" w:rsidR="0AECF352">
        <w:rPr>
          <w:rFonts w:ascii="Palatino Linotype" w:hAnsi="Palatino Linotype"/>
          <w:sz w:val="24"/>
          <w:szCs w:val="24"/>
        </w:rPr>
        <w:t xml:space="preserve"> </w:t>
      </w:r>
      <w:r w:rsidRPr="15C9352B" w:rsidR="5231A2C0">
        <w:rPr>
          <w:rFonts w:ascii="Palatino Linotype" w:hAnsi="Palatino Linotype"/>
          <w:sz w:val="24"/>
          <w:szCs w:val="24"/>
        </w:rPr>
        <w:t>in</w:t>
      </w:r>
      <w:r w:rsidRPr="15C9352B" w:rsidR="0AECF352">
        <w:rPr>
          <w:rFonts w:ascii="Palatino Linotype" w:hAnsi="Palatino Linotype"/>
          <w:sz w:val="24"/>
          <w:szCs w:val="24"/>
        </w:rPr>
        <w:t xml:space="preserve"> the implementation of the</w:t>
      </w:r>
      <w:r w:rsidRPr="15C9352B" w:rsidR="38EA586B">
        <w:rPr>
          <w:rFonts w:ascii="Palatino Linotype" w:hAnsi="Palatino Linotype"/>
          <w:sz w:val="24"/>
          <w:szCs w:val="24"/>
        </w:rPr>
        <w:t xml:space="preserve"> CASF program</w:t>
      </w:r>
      <w:r w:rsidRPr="15C9352B" w:rsidR="1C526F8C">
        <w:rPr>
          <w:rFonts w:ascii="Palatino Linotype" w:hAnsi="Palatino Linotype"/>
          <w:sz w:val="24"/>
          <w:szCs w:val="24"/>
        </w:rPr>
        <w:t xml:space="preserve"> – </w:t>
      </w:r>
      <w:r w:rsidRPr="15C9352B" w:rsidR="0AECF352">
        <w:rPr>
          <w:rFonts w:ascii="Palatino Linotype" w:hAnsi="Palatino Linotype"/>
          <w:sz w:val="24"/>
          <w:szCs w:val="24"/>
        </w:rPr>
        <w:t>the</w:t>
      </w:r>
      <w:r w:rsidRPr="15C9352B" w:rsidR="1C526F8C">
        <w:rPr>
          <w:rFonts w:ascii="Palatino Linotype" w:hAnsi="Palatino Linotype"/>
          <w:sz w:val="24"/>
          <w:szCs w:val="24"/>
        </w:rPr>
        <w:t xml:space="preserve"> </w:t>
      </w:r>
      <w:r w:rsidRPr="15C9352B" w:rsidR="0AECF352">
        <w:rPr>
          <w:rFonts w:ascii="Palatino Linotype" w:hAnsi="Palatino Linotype"/>
          <w:sz w:val="24"/>
          <w:szCs w:val="24"/>
        </w:rPr>
        <w:t>number of households or locations to be served</w:t>
      </w:r>
      <w:r w:rsidRPr="15C9352B" w:rsidR="7EB57B0F">
        <w:rPr>
          <w:rFonts w:ascii="Palatino Linotype" w:hAnsi="Palatino Linotype"/>
          <w:sz w:val="24"/>
          <w:szCs w:val="24"/>
        </w:rPr>
        <w:t xml:space="preserve"> by each project.</w:t>
      </w:r>
      <w:r w:rsidRPr="15C9352B">
        <w:rPr>
          <w:rStyle w:val="FootnoteReference"/>
          <w:rFonts w:ascii="Palatino Linotype" w:hAnsi="Palatino Linotype"/>
          <w:sz w:val="24"/>
          <w:szCs w:val="24"/>
        </w:rPr>
        <w:footnoteReference w:id="20"/>
      </w:r>
      <w:r w:rsidRPr="15C9352B" w:rsidR="7CD02F41">
        <w:rPr>
          <w:rFonts w:ascii="Palatino Linotype" w:hAnsi="Palatino Linotype"/>
          <w:sz w:val="24"/>
          <w:szCs w:val="24"/>
        </w:rPr>
        <w:t xml:space="preserve">  The disclosure of the actual number of household subscribers for each project will allow the </w:t>
      </w:r>
      <w:r w:rsidR="00BE7B60">
        <w:rPr>
          <w:rFonts w:ascii="Palatino Linotype" w:hAnsi="Palatino Linotype"/>
          <w:sz w:val="24"/>
          <w:szCs w:val="24"/>
        </w:rPr>
        <w:t>L</w:t>
      </w:r>
      <w:r w:rsidRPr="15C9352B" w:rsidR="7CD02F41">
        <w:rPr>
          <w:rFonts w:ascii="Palatino Linotype" w:hAnsi="Palatino Linotype"/>
          <w:sz w:val="24"/>
          <w:szCs w:val="24"/>
        </w:rPr>
        <w:t>egislature and the publi</w:t>
      </w:r>
      <w:r w:rsidRPr="15C9352B" w:rsidR="7CE7EE38">
        <w:rPr>
          <w:rFonts w:ascii="Palatino Linotype" w:hAnsi="Palatino Linotype"/>
          <w:sz w:val="24"/>
          <w:szCs w:val="24"/>
        </w:rPr>
        <w:t>c to track the effectiveness of the CASF program against the publicly-disclosed initial statement of households to be served.</w:t>
      </w:r>
    </w:p>
    <w:p w:rsidR="15C9352B" w:rsidP="15C9352B" w:rsidRDefault="15C9352B" w14:paraId="73276D7D" w14:textId="5D19CB31">
      <w:pPr>
        <w:rPr>
          <w:rFonts w:ascii="Palatino Linotype" w:hAnsi="Palatino Linotype"/>
          <w:sz w:val="24"/>
          <w:szCs w:val="24"/>
        </w:rPr>
      </w:pPr>
    </w:p>
    <w:p w:rsidR="00E96802" w:rsidP="0256EE47" w:rsidRDefault="7CE7EE38" w14:paraId="11F21CB9" w14:textId="5F1EB7BF">
      <w:pPr>
        <w:rPr>
          <w:rFonts w:ascii="Palatino Linotype" w:hAnsi="Palatino Linotype"/>
          <w:sz w:val="24"/>
          <w:szCs w:val="24"/>
        </w:rPr>
      </w:pPr>
      <w:r w:rsidRPr="15C9352B">
        <w:rPr>
          <w:rFonts w:ascii="Palatino Linotype" w:hAnsi="Palatino Linotype"/>
          <w:sz w:val="24"/>
          <w:szCs w:val="24"/>
        </w:rPr>
        <w:t>The public interest favors disclosure of the number of formerly unserved households subscribing to broadband service in each project.</w:t>
      </w:r>
      <w:r w:rsidR="008E79C8">
        <w:rPr>
          <w:rFonts w:ascii="Palatino Linotype" w:hAnsi="Palatino Linotype"/>
          <w:sz w:val="24"/>
          <w:szCs w:val="24"/>
        </w:rPr>
        <w:t xml:space="preserve"> </w:t>
      </w:r>
    </w:p>
    <w:p w:rsidR="15C9352B" w:rsidP="15C9352B" w:rsidRDefault="15C9352B" w14:paraId="5134F2CF" w14:textId="6DABFB87">
      <w:pPr>
        <w:rPr>
          <w:rFonts w:ascii="Palatino Linotype" w:hAnsi="Palatino Linotype"/>
          <w:sz w:val="24"/>
          <w:szCs w:val="24"/>
        </w:rPr>
      </w:pPr>
    </w:p>
    <w:p w:rsidRPr="00255925" w:rsidR="69536D07" w:rsidP="15C9352B" w:rsidRDefault="69536D07" w14:paraId="4817BD61" w14:textId="60929ACE">
      <w:pPr>
        <w:rPr>
          <w:rFonts w:ascii="Palatino Linotype" w:hAnsi="Palatino Linotype"/>
          <w:b/>
          <w:bCs/>
          <w:sz w:val="24"/>
          <w:szCs w:val="24"/>
          <w:u w:val="single"/>
        </w:rPr>
      </w:pPr>
      <w:r w:rsidRPr="00255925">
        <w:rPr>
          <w:rFonts w:ascii="Palatino Linotype" w:hAnsi="Palatino Linotype"/>
          <w:b/>
          <w:bCs/>
          <w:sz w:val="24"/>
          <w:szCs w:val="24"/>
          <w:u w:val="single"/>
        </w:rPr>
        <w:t>Other Issues</w:t>
      </w:r>
    </w:p>
    <w:p w:rsidR="002C6CC4" w:rsidP="00DF5A67" w:rsidRDefault="002C6CC4" w14:paraId="4D855A56" w14:textId="77777777">
      <w:pPr>
        <w:rPr>
          <w:rFonts w:ascii="Palatino Linotype" w:hAnsi="Palatino Linotype"/>
          <w:sz w:val="24"/>
          <w:szCs w:val="24"/>
        </w:rPr>
      </w:pPr>
    </w:p>
    <w:p w:rsidR="00166C2E" w:rsidP="00DF5A67" w:rsidRDefault="000E791C" w14:paraId="7E45CE26" w14:textId="1DFDBDB9">
      <w:pPr>
        <w:rPr>
          <w:rFonts w:ascii="Palatino Linotype" w:hAnsi="Palatino Linotype"/>
          <w:sz w:val="24"/>
          <w:szCs w:val="24"/>
        </w:rPr>
      </w:pPr>
      <w:r w:rsidRPr="04A5F6F5">
        <w:rPr>
          <w:rFonts w:ascii="Palatino Linotype" w:hAnsi="Palatino Linotype"/>
          <w:sz w:val="24"/>
          <w:szCs w:val="24"/>
        </w:rPr>
        <w:t>While this year’s CASF Annual Report</w:t>
      </w:r>
      <w:r w:rsidRPr="04A5F6F5" w:rsidR="001C02AA">
        <w:rPr>
          <w:rFonts w:ascii="Palatino Linotype" w:hAnsi="Palatino Linotype"/>
          <w:sz w:val="24"/>
          <w:szCs w:val="24"/>
        </w:rPr>
        <w:t xml:space="preserve"> nears completion, it has been delayed due to the adoption of this resolution to resolve </w:t>
      </w:r>
      <w:r w:rsidRPr="15C9352B" w:rsidR="08E71149">
        <w:rPr>
          <w:rFonts w:ascii="Palatino Linotype" w:hAnsi="Palatino Linotype"/>
          <w:sz w:val="24"/>
          <w:szCs w:val="24"/>
        </w:rPr>
        <w:t>confidentiality concerns, pursuant to</w:t>
      </w:r>
      <w:r w:rsidRPr="15C9352B" w:rsidR="2A0BE273">
        <w:rPr>
          <w:rFonts w:ascii="Palatino Linotype" w:hAnsi="Palatino Linotype"/>
          <w:sz w:val="24"/>
          <w:szCs w:val="24"/>
        </w:rPr>
        <w:t xml:space="preserve"> </w:t>
      </w:r>
      <w:r w:rsidRPr="04A5F6F5" w:rsidR="001C02AA">
        <w:rPr>
          <w:rFonts w:ascii="Palatino Linotype" w:hAnsi="Palatino Linotype"/>
          <w:sz w:val="24"/>
          <w:szCs w:val="24"/>
        </w:rPr>
        <w:t>G.O</w:t>
      </w:r>
      <w:r w:rsidRPr="04A5F6F5" w:rsidDel="2FCE9DB8">
        <w:rPr>
          <w:rFonts w:ascii="Palatino Linotype" w:hAnsi="Palatino Linotype"/>
          <w:sz w:val="24"/>
          <w:szCs w:val="24"/>
        </w:rPr>
        <w:t>.</w:t>
      </w:r>
      <w:r w:rsidRPr="04A5F6F5" w:rsidR="001C02AA">
        <w:rPr>
          <w:rFonts w:ascii="Palatino Linotype" w:hAnsi="Palatino Linotype"/>
          <w:sz w:val="24"/>
          <w:szCs w:val="24"/>
        </w:rPr>
        <w:t xml:space="preserve"> 66-D </w:t>
      </w:r>
      <w:r w:rsidRPr="04A5F6F5" w:rsidR="001742B4">
        <w:rPr>
          <w:rFonts w:ascii="Palatino Linotype" w:hAnsi="Palatino Linotype"/>
          <w:sz w:val="24"/>
          <w:szCs w:val="24"/>
        </w:rPr>
        <w:lastRenderedPageBreak/>
        <w:t>requirements</w:t>
      </w:r>
      <w:r w:rsidRPr="04A5F6F5" w:rsidR="00390F2B">
        <w:rPr>
          <w:rFonts w:ascii="Palatino Linotype" w:hAnsi="Palatino Linotype"/>
          <w:sz w:val="24"/>
          <w:szCs w:val="24"/>
        </w:rPr>
        <w:t>.  As a result,</w:t>
      </w:r>
      <w:r w:rsidRPr="04A5F6F5" w:rsidR="009D173E">
        <w:rPr>
          <w:rFonts w:ascii="Palatino Linotype" w:hAnsi="Palatino Linotype"/>
          <w:sz w:val="24"/>
          <w:szCs w:val="24"/>
        </w:rPr>
        <w:t xml:space="preserve"> </w:t>
      </w:r>
      <w:r w:rsidRPr="04A5F6F5" w:rsidR="00390F2B">
        <w:rPr>
          <w:rFonts w:ascii="Palatino Linotype" w:hAnsi="Palatino Linotype"/>
          <w:sz w:val="24"/>
          <w:szCs w:val="24"/>
        </w:rPr>
        <w:t>this year’</w:t>
      </w:r>
      <w:r w:rsidRPr="04A5F6F5" w:rsidR="4A622C18">
        <w:rPr>
          <w:rFonts w:ascii="Palatino Linotype" w:hAnsi="Palatino Linotype"/>
          <w:sz w:val="24"/>
          <w:szCs w:val="24"/>
        </w:rPr>
        <w:t>s</w:t>
      </w:r>
      <w:r w:rsidRPr="04A5F6F5" w:rsidR="00007289">
        <w:rPr>
          <w:rFonts w:ascii="Palatino Linotype" w:hAnsi="Palatino Linotype"/>
          <w:sz w:val="24"/>
          <w:szCs w:val="24"/>
        </w:rPr>
        <w:t xml:space="preserve"> CASF Annual Report </w:t>
      </w:r>
      <w:r w:rsidRPr="04A5F6F5" w:rsidR="003C6923">
        <w:rPr>
          <w:rFonts w:ascii="Palatino Linotype" w:hAnsi="Palatino Linotype"/>
          <w:sz w:val="24"/>
          <w:szCs w:val="24"/>
        </w:rPr>
        <w:t xml:space="preserve">will be submitted to the Legislature no later than April 30, 2021.  </w:t>
      </w:r>
      <w:bookmarkStart w:name="_Hlk64553732" w:id="3"/>
    </w:p>
    <w:bookmarkEnd w:id="3"/>
    <w:p w:rsidR="00667821" w:rsidP="00DF231B" w:rsidRDefault="00667821" w14:paraId="617EE795" w14:textId="77777777">
      <w:pPr>
        <w:autoSpaceDE w:val="0"/>
        <w:autoSpaceDN w:val="0"/>
        <w:adjustRightInd w:val="0"/>
        <w:rPr>
          <w:rFonts w:ascii="Palatino Linotype" w:hAnsi="Palatino Linotype"/>
          <w:sz w:val="24"/>
          <w:szCs w:val="24"/>
        </w:rPr>
      </w:pPr>
    </w:p>
    <w:p w:rsidR="00DF231B" w:rsidP="00DF231B" w:rsidRDefault="00DF231B" w14:paraId="314838C6" w14:textId="2AF05879">
      <w:pPr>
        <w:autoSpaceDE w:val="0"/>
        <w:autoSpaceDN w:val="0"/>
        <w:adjustRightInd w:val="0"/>
        <w:rPr>
          <w:rFonts w:ascii="Palatino Linotype" w:hAnsi="Palatino Linotype"/>
          <w:b/>
          <w:sz w:val="24"/>
          <w:szCs w:val="24"/>
          <w:u w:val="single"/>
        </w:rPr>
      </w:pPr>
      <w:r>
        <w:rPr>
          <w:rFonts w:ascii="Palatino Linotype" w:hAnsi="Palatino Linotype"/>
          <w:b/>
          <w:sz w:val="24"/>
          <w:szCs w:val="24"/>
          <w:u w:val="single"/>
        </w:rPr>
        <w:t xml:space="preserve">SAFETY </w:t>
      </w:r>
      <w:r w:rsidRPr="00AD62EB">
        <w:rPr>
          <w:rFonts w:ascii="Palatino Linotype" w:hAnsi="Palatino Linotype"/>
          <w:b/>
          <w:sz w:val="24"/>
          <w:szCs w:val="24"/>
          <w:u w:val="single"/>
        </w:rPr>
        <w:t>CONSIDERATIONS</w:t>
      </w:r>
    </w:p>
    <w:p w:rsidR="00DF231B" w:rsidP="00DF231B" w:rsidRDefault="00DF231B" w14:paraId="3AB6CEA2" w14:textId="77777777">
      <w:pPr>
        <w:autoSpaceDE w:val="0"/>
        <w:autoSpaceDN w:val="0"/>
        <w:adjustRightInd w:val="0"/>
        <w:rPr>
          <w:rFonts w:ascii="Palatino Linotype" w:hAnsi="Palatino Linotype"/>
          <w:b/>
          <w:sz w:val="24"/>
          <w:szCs w:val="24"/>
        </w:rPr>
      </w:pPr>
      <w:r>
        <w:rPr>
          <w:rFonts w:ascii="Palatino Linotype" w:hAnsi="Palatino Linotype"/>
          <w:b/>
          <w:sz w:val="24"/>
          <w:szCs w:val="24"/>
        </w:rPr>
        <w:t xml:space="preserve"> </w:t>
      </w:r>
    </w:p>
    <w:p w:rsidR="004F24F0" w:rsidP="004F24F0" w:rsidRDefault="004F24F0" w14:paraId="48DB3017" w14:textId="1FB34D2F">
      <w:pPr>
        <w:pStyle w:val="BodyText"/>
        <w:rPr>
          <w:rFonts w:ascii="Palatino Linotype" w:hAnsi="Palatino Linotype"/>
        </w:rPr>
      </w:pPr>
      <w:r w:rsidRPr="69FA7AA6">
        <w:rPr>
          <w:rFonts w:ascii="Palatino Linotype" w:hAnsi="Palatino Linotype"/>
        </w:rPr>
        <w:t xml:space="preserve">The CASF </w:t>
      </w:r>
      <w:r>
        <w:rPr>
          <w:rFonts w:ascii="Palatino Linotype" w:hAnsi="Palatino Linotype"/>
        </w:rPr>
        <w:t xml:space="preserve">program </w:t>
      </w:r>
      <w:r w:rsidRPr="69FA7AA6">
        <w:rPr>
          <w:rFonts w:ascii="Palatino Linotype" w:hAnsi="Palatino Linotype"/>
        </w:rPr>
        <w:t>provides subsidies for the deployment of high-quality advanced broadband infrastructure throughout the state of California.  Broadband infrastructure is vital to the operation and management of critical infrastructure</w:t>
      </w:r>
      <w:r>
        <w:rPr>
          <w:rFonts w:ascii="Palatino Linotype" w:hAnsi="Palatino Linotype"/>
        </w:rPr>
        <w:t xml:space="preserve"> </w:t>
      </w:r>
      <w:r w:rsidRPr="69FA7AA6">
        <w:rPr>
          <w:rFonts w:ascii="Palatino Linotype" w:hAnsi="Palatino Linotype"/>
        </w:rPr>
        <w:t xml:space="preserve">and public safety and emergency response networks.  </w:t>
      </w:r>
    </w:p>
    <w:p w:rsidR="00DF231B" w:rsidP="00DF231B" w:rsidRDefault="00DF231B" w14:paraId="3C8E8FA3" w14:textId="77777777">
      <w:pPr>
        <w:autoSpaceDE w:val="0"/>
        <w:autoSpaceDN w:val="0"/>
        <w:adjustRightInd w:val="0"/>
        <w:rPr>
          <w:rFonts w:ascii="Palatino Linotype" w:hAnsi="Palatino Linotype"/>
          <w:b/>
          <w:sz w:val="24"/>
          <w:szCs w:val="24"/>
          <w:u w:val="single"/>
        </w:rPr>
      </w:pPr>
    </w:p>
    <w:p w:rsidR="00DF231B" w:rsidP="00DF231B" w:rsidRDefault="00DF231B" w14:paraId="44292F7D" w14:textId="77777777">
      <w:pPr>
        <w:autoSpaceDE w:val="0"/>
        <w:autoSpaceDN w:val="0"/>
        <w:adjustRightInd w:val="0"/>
        <w:rPr>
          <w:rFonts w:ascii="Palatino Linotype" w:hAnsi="Palatino Linotype"/>
          <w:b/>
          <w:sz w:val="24"/>
          <w:szCs w:val="24"/>
          <w:u w:val="single"/>
        </w:rPr>
      </w:pPr>
      <w:r>
        <w:rPr>
          <w:rFonts w:ascii="Palatino Linotype" w:hAnsi="Palatino Linotype"/>
          <w:b/>
          <w:sz w:val="24"/>
          <w:szCs w:val="24"/>
          <w:u w:val="single"/>
        </w:rPr>
        <w:t>COMMENTS</w:t>
      </w:r>
    </w:p>
    <w:p w:rsidR="00DF231B" w:rsidP="00DF231B" w:rsidRDefault="00DF231B" w14:paraId="7B0FAEFD" w14:textId="77777777">
      <w:pPr>
        <w:autoSpaceDE w:val="0"/>
        <w:autoSpaceDN w:val="0"/>
        <w:adjustRightInd w:val="0"/>
        <w:rPr>
          <w:rFonts w:ascii="Palatino Linotype" w:hAnsi="Palatino Linotype"/>
          <w:b/>
          <w:sz w:val="24"/>
          <w:szCs w:val="24"/>
        </w:rPr>
      </w:pPr>
      <w:r w:rsidRPr="006C0E74">
        <w:rPr>
          <w:rFonts w:ascii="Palatino Linotype" w:hAnsi="Palatino Linotype"/>
          <w:b/>
          <w:sz w:val="24"/>
          <w:szCs w:val="24"/>
        </w:rPr>
        <w:t xml:space="preserve"> </w:t>
      </w:r>
    </w:p>
    <w:p w:rsidR="00DF231B" w:rsidP="004F24F0" w:rsidRDefault="00BF30B9" w14:paraId="10D82149" w14:textId="0A74B6AA">
      <w:pPr>
        <w:overflowPunct w:val="0"/>
        <w:autoSpaceDE w:val="0"/>
        <w:autoSpaceDN w:val="0"/>
        <w:ind w:right="775"/>
        <w:rPr>
          <w:rFonts w:ascii="Palatino Linotype" w:hAnsi="Palatino Linotype"/>
          <w:sz w:val="24"/>
          <w:szCs w:val="24"/>
        </w:rPr>
      </w:pPr>
      <w:r w:rsidRPr="00BF30B9">
        <w:rPr>
          <w:rFonts w:ascii="Palatino Linotype" w:hAnsi="Palatino Linotype"/>
          <w:sz w:val="24"/>
          <w:szCs w:val="24"/>
        </w:rPr>
        <w:t xml:space="preserve">In compliance with Public Utilities Code § 311(g), a notice letter was e-mailed on </w:t>
      </w:r>
      <w:r>
        <w:rPr>
          <w:rFonts w:ascii="Palatino Linotype" w:hAnsi="Palatino Linotype"/>
          <w:sz w:val="24"/>
          <w:szCs w:val="24"/>
        </w:rPr>
        <w:t>March 12, 2021</w:t>
      </w:r>
      <w:r w:rsidRPr="00BF30B9">
        <w:rPr>
          <w:rFonts w:ascii="Palatino Linotype" w:hAnsi="Palatino Linotype"/>
          <w:sz w:val="24"/>
          <w:szCs w:val="24"/>
        </w:rPr>
        <w:t>, informing all parties on the CASF Distribution List of the availability of the draft of this resolution and of the opportunity to comment</w:t>
      </w:r>
      <w:r>
        <w:rPr>
          <w:rFonts w:ascii="Palatino Linotype" w:hAnsi="Palatino Linotype"/>
          <w:sz w:val="24"/>
          <w:szCs w:val="24"/>
        </w:rPr>
        <w:t xml:space="preserve">. </w:t>
      </w:r>
      <w:r w:rsidRPr="008A5912" w:rsidR="008A5912">
        <w:rPr>
          <w:rFonts w:ascii="Palatino Linotype" w:hAnsi="Palatino Linotype"/>
          <w:sz w:val="24"/>
          <w:szCs w:val="24"/>
        </w:rPr>
        <w:t xml:space="preserve">Comments are due within 20 days of </w:t>
      </w:r>
      <w:r w:rsidR="008A5912">
        <w:rPr>
          <w:rFonts w:ascii="Palatino Linotype" w:hAnsi="Palatino Linotype"/>
          <w:sz w:val="24"/>
          <w:szCs w:val="24"/>
        </w:rPr>
        <w:t>the draft resolution</w:t>
      </w:r>
      <w:r w:rsidRPr="008A5912" w:rsidR="008A5912">
        <w:rPr>
          <w:rFonts w:ascii="Palatino Linotype" w:hAnsi="Palatino Linotype"/>
          <w:sz w:val="24"/>
          <w:szCs w:val="24"/>
        </w:rPr>
        <w:t xml:space="preserve"> being noticed in the Commission’s Daily Calendar.  Hence, comments on this draft resolution must be submitted no later than April 1, 2021.  Reply comments must be submitted no later than April 6, 2021. </w:t>
      </w:r>
      <w:r>
        <w:rPr>
          <w:rFonts w:ascii="Palatino Linotype" w:hAnsi="Palatino Linotype"/>
          <w:sz w:val="24"/>
          <w:szCs w:val="24"/>
        </w:rPr>
        <w:t xml:space="preserve"> </w:t>
      </w:r>
      <w:r w:rsidRPr="00BF30B9">
        <w:rPr>
          <w:rFonts w:ascii="Palatino Linotype" w:hAnsi="Palatino Linotype"/>
          <w:sz w:val="24"/>
          <w:szCs w:val="24"/>
        </w:rPr>
        <w:t xml:space="preserve">This letter also informed parties that the final </w:t>
      </w:r>
      <w:r>
        <w:rPr>
          <w:rFonts w:ascii="Palatino Linotype" w:hAnsi="Palatino Linotype"/>
          <w:sz w:val="24"/>
          <w:szCs w:val="24"/>
        </w:rPr>
        <w:t>r</w:t>
      </w:r>
      <w:r w:rsidRPr="00BF30B9">
        <w:rPr>
          <w:rFonts w:ascii="Palatino Linotype" w:hAnsi="Palatino Linotype"/>
          <w:sz w:val="24"/>
          <w:szCs w:val="24"/>
        </w:rPr>
        <w:t xml:space="preserve">esolution adopted by the Commission will be posted and available at </w:t>
      </w:r>
      <w:hyperlink w:history="1" r:id="rId8">
        <w:r w:rsidRPr="00CA6419">
          <w:rPr>
            <w:rStyle w:val="Hyperlink"/>
            <w:rFonts w:ascii="Palatino Linotype" w:hAnsi="Palatino Linotype"/>
            <w:sz w:val="22"/>
            <w:szCs w:val="22"/>
          </w:rPr>
          <w:t>https://www.cpuc.ca.gov/documents/</w:t>
        </w:r>
      </w:hyperlink>
      <w:r>
        <w:rPr>
          <w:rFonts w:ascii="Palatino Linotype" w:hAnsi="Palatino Linotype"/>
          <w:sz w:val="22"/>
          <w:szCs w:val="22"/>
        </w:rPr>
        <w:t xml:space="preserve">.  </w:t>
      </w:r>
    </w:p>
    <w:p w:rsidR="00BF30B9" w:rsidP="004F24F0" w:rsidRDefault="00BF30B9" w14:paraId="50347793" w14:textId="77777777">
      <w:pPr>
        <w:overflowPunct w:val="0"/>
        <w:autoSpaceDE w:val="0"/>
        <w:autoSpaceDN w:val="0"/>
        <w:ind w:right="775"/>
        <w:rPr>
          <w:rFonts w:ascii="Palatino Linotype" w:hAnsi="Palatino Linotype"/>
          <w:sz w:val="24"/>
          <w:szCs w:val="24"/>
        </w:rPr>
      </w:pPr>
    </w:p>
    <w:p w:rsidRPr="00550081" w:rsidR="00DF231B" w:rsidP="00DF231B" w:rsidRDefault="00DF231B" w14:paraId="615A2228" w14:textId="1C173AE9">
      <w:pPr>
        <w:rPr>
          <w:rFonts w:ascii="Palatino Linotype" w:hAnsi="Palatino Linotype"/>
          <w:sz w:val="24"/>
          <w:szCs w:val="24"/>
          <w:u w:val="single"/>
        </w:rPr>
      </w:pPr>
      <w:r w:rsidRPr="00FF21A9">
        <w:rPr>
          <w:rFonts w:ascii="Palatino Linotype" w:hAnsi="Palatino Linotype"/>
          <w:b/>
          <w:sz w:val="24"/>
          <w:szCs w:val="24"/>
          <w:u w:val="single"/>
        </w:rPr>
        <w:t>FINDINGS</w:t>
      </w:r>
      <w:r w:rsidRPr="00FF21A9" w:rsidR="5F5125FE">
        <w:rPr>
          <w:rFonts w:ascii="Palatino Linotype" w:hAnsi="Palatino Linotype"/>
          <w:b/>
          <w:sz w:val="24"/>
          <w:szCs w:val="24"/>
          <w:u w:val="single"/>
        </w:rPr>
        <w:t xml:space="preserve"> OF FACT</w:t>
      </w:r>
    </w:p>
    <w:p w:rsidR="00DF231B" w:rsidP="00DF231B" w:rsidRDefault="00DF231B" w14:paraId="59DD3DD5" w14:textId="77777777">
      <w:pPr>
        <w:rPr>
          <w:rFonts w:ascii="Palatino Linotype" w:hAnsi="Palatino Linotype"/>
          <w:sz w:val="24"/>
          <w:szCs w:val="24"/>
        </w:rPr>
      </w:pPr>
    </w:p>
    <w:p w:rsidR="00FC3941" w:rsidP="04A5F6F5" w:rsidRDefault="3549742F" w14:paraId="6367432C" w14:textId="1F5DE2DC">
      <w:pPr>
        <w:numPr>
          <w:ilvl w:val="0"/>
          <w:numId w:val="2"/>
        </w:numPr>
        <w:suppressAutoHyphens/>
        <w:rPr>
          <w:rFonts w:asciiTheme="minorHAnsi" w:hAnsiTheme="minorHAnsi" w:eastAsiaTheme="minorEastAsia" w:cstheme="minorBidi"/>
          <w:sz w:val="24"/>
          <w:szCs w:val="24"/>
        </w:rPr>
      </w:pPr>
      <w:r w:rsidRPr="3890975A">
        <w:rPr>
          <w:rFonts w:ascii="Palatino Linotype" w:hAnsi="Palatino Linotype"/>
          <w:sz w:val="24"/>
          <w:szCs w:val="24"/>
        </w:rPr>
        <w:t xml:space="preserve">Public Utilities Code section 914.7(a) mandates that the Commission submit to the </w:t>
      </w:r>
      <w:r w:rsidR="00004D3F">
        <w:rPr>
          <w:rFonts w:ascii="Palatino Linotype" w:hAnsi="Palatino Linotype"/>
          <w:sz w:val="24"/>
          <w:szCs w:val="24"/>
        </w:rPr>
        <w:t>L</w:t>
      </w:r>
      <w:r w:rsidRPr="3890975A">
        <w:rPr>
          <w:rFonts w:ascii="Palatino Linotype" w:hAnsi="Palatino Linotype"/>
          <w:sz w:val="24"/>
          <w:szCs w:val="24"/>
        </w:rPr>
        <w:t>egislature an annual report on CASF program activities by April 1 of each year</w:t>
      </w:r>
      <w:r w:rsidRPr="04A5F6F5" w:rsidR="00DF231B">
        <w:rPr>
          <w:rFonts w:ascii="Palatino Linotype" w:hAnsi="Palatino Linotype"/>
          <w:sz w:val="24"/>
          <w:szCs w:val="24"/>
        </w:rPr>
        <w:t>.</w:t>
      </w:r>
    </w:p>
    <w:p w:rsidR="00FC3941" w:rsidP="00FC3941" w:rsidRDefault="00FC3941" w14:paraId="1BE8BD2B" w14:textId="77777777">
      <w:pPr>
        <w:tabs>
          <w:tab w:val="left" w:pos="-1440"/>
          <w:tab w:val="left" w:pos="-720"/>
        </w:tabs>
        <w:suppressAutoHyphens/>
        <w:ind w:left="360"/>
        <w:rPr>
          <w:rFonts w:ascii="Palatino Linotype" w:hAnsi="Palatino Linotype"/>
          <w:sz w:val="24"/>
        </w:rPr>
      </w:pPr>
    </w:p>
    <w:p w:rsidRPr="00FC3941" w:rsidR="00DF231B" w:rsidP="00FC3941" w:rsidRDefault="00FC3941" w14:paraId="56AF5EB6" w14:textId="74C5B6B2">
      <w:pPr>
        <w:numPr>
          <w:ilvl w:val="0"/>
          <w:numId w:val="2"/>
        </w:numPr>
        <w:tabs>
          <w:tab w:val="left" w:pos="-1440"/>
          <w:tab w:val="left" w:pos="-720"/>
        </w:tabs>
        <w:suppressAutoHyphens/>
        <w:rPr>
          <w:rFonts w:ascii="Palatino Linotype" w:hAnsi="Palatino Linotype"/>
          <w:sz w:val="24"/>
          <w:szCs w:val="24"/>
        </w:rPr>
      </w:pPr>
      <w:r w:rsidRPr="3890975A">
        <w:rPr>
          <w:rFonts w:ascii="Palatino Linotype" w:hAnsi="Palatino Linotype"/>
          <w:sz w:val="24"/>
          <w:szCs w:val="24"/>
        </w:rPr>
        <w:t xml:space="preserve">On January 4, 2021, CD sent data requests to all CASF infrastructure grantees to collect broadband subscription data and project statuses.  </w:t>
      </w:r>
    </w:p>
    <w:p w:rsidR="00FC3941" w:rsidP="00DF231B" w:rsidRDefault="00FC3941" w14:paraId="44E85F75" w14:textId="77777777">
      <w:pPr>
        <w:pStyle w:val="ListParagraph"/>
        <w:rPr>
          <w:rFonts w:ascii="Palatino Linotype" w:hAnsi="Palatino Linotype"/>
          <w:sz w:val="24"/>
          <w:szCs w:val="24"/>
        </w:rPr>
      </w:pPr>
    </w:p>
    <w:p w:rsidRPr="00EA53B4" w:rsidR="15C9352B" w:rsidP="00550081" w:rsidRDefault="20C1AA45" w14:paraId="6396B60D" w14:textId="5125C27E">
      <w:pPr>
        <w:numPr>
          <w:ilvl w:val="0"/>
          <w:numId w:val="2"/>
        </w:numPr>
        <w:rPr>
          <w:rFonts w:ascii="Palatino Linotype" w:hAnsi="Palatino Linotype"/>
          <w:sz w:val="24"/>
          <w:szCs w:val="24"/>
        </w:rPr>
      </w:pPr>
      <w:r w:rsidRPr="15C9352B">
        <w:rPr>
          <w:rFonts w:ascii="Palatino Linotype" w:hAnsi="Palatino Linotype"/>
          <w:sz w:val="24"/>
          <w:szCs w:val="24"/>
        </w:rPr>
        <w:t>AT&amp;T California and Charter designated their CASF project household subscribership data as confidential pursuant to G.O. 66-D</w:t>
      </w:r>
      <w:r w:rsidRPr="15C9352B" w:rsidR="06DBB320">
        <w:rPr>
          <w:rFonts w:ascii="Palatino Linotype" w:hAnsi="Palatino Linotype"/>
          <w:sz w:val="24"/>
          <w:szCs w:val="24"/>
        </w:rPr>
        <w:t>, Section 3.2</w:t>
      </w:r>
      <w:r w:rsidRPr="15C9352B" w:rsidR="30605E2F">
        <w:rPr>
          <w:rFonts w:ascii="Palatino Linotype" w:hAnsi="Palatino Linotype"/>
          <w:sz w:val="24"/>
          <w:szCs w:val="24"/>
        </w:rPr>
        <w:t>, claiming that disclosure of this information would lead to competitive disadvantage</w:t>
      </w:r>
      <w:r w:rsidRPr="15C9352B">
        <w:rPr>
          <w:rFonts w:ascii="Palatino Linotype" w:hAnsi="Palatino Linotype"/>
          <w:sz w:val="24"/>
          <w:szCs w:val="24"/>
        </w:rPr>
        <w:t>.</w:t>
      </w:r>
    </w:p>
    <w:p w:rsidR="15C9352B" w:rsidP="00550081" w:rsidRDefault="15C9352B" w14:paraId="61A79C79" w14:textId="05AD83A9">
      <w:pPr>
        <w:rPr>
          <w:rFonts w:ascii="Palatino Linotype" w:hAnsi="Palatino Linotype"/>
          <w:sz w:val="24"/>
          <w:szCs w:val="24"/>
        </w:rPr>
      </w:pPr>
    </w:p>
    <w:p w:rsidR="33241390" w:rsidP="00550081" w:rsidRDefault="00D605EC" w14:paraId="6EBE3801" w14:textId="6D25A0E9">
      <w:pPr>
        <w:numPr>
          <w:ilvl w:val="0"/>
          <w:numId w:val="2"/>
        </w:numPr>
        <w:rPr>
          <w:rFonts w:asciiTheme="minorHAnsi" w:hAnsiTheme="minorHAnsi" w:eastAsiaTheme="minorEastAsia" w:cstheme="minorBidi"/>
          <w:sz w:val="24"/>
          <w:szCs w:val="24"/>
        </w:rPr>
      </w:pPr>
      <w:r>
        <w:rPr>
          <w:rFonts w:ascii="Palatino Linotype" w:hAnsi="Palatino Linotype"/>
          <w:sz w:val="24"/>
          <w:szCs w:val="24"/>
        </w:rPr>
        <w:t>CASF grantees</w:t>
      </w:r>
      <w:r w:rsidRPr="15C9352B" w:rsidR="33241390">
        <w:rPr>
          <w:rFonts w:ascii="Palatino Linotype" w:hAnsi="Palatino Linotype"/>
          <w:sz w:val="24"/>
          <w:szCs w:val="24"/>
        </w:rPr>
        <w:t xml:space="preserve"> public</w:t>
      </w:r>
      <w:r w:rsidRPr="15C9352B" w:rsidR="33085AB2">
        <w:rPr>
          <w:rFonts w:ascii="Palatino Linotype" w:hAnsi="Palatino Linotype"/>
          <w:sz w:val="24"/>
          <w:szCs w:val="24"/>
        </w:rPr>
        <w:t>ized</w:t>
      </w:r>
      <w:r w:rsidRPr="15C9352B" w:rsidR="33241390">
        <w:rPr>
          <w:rFonts w:ascii="Palatino Linotype" w:hAnsi="Palatino Linotype"/>
          <w:sz w:val="24"/>
          <w:szCs w:val="24"/>
        </w:rPr>
        <w:t xml:space="preserve"> plans to deploy broadband infrastructure i</w:t>
      </w:r>
      <w:r w:rsidRPr="15C9352B" w:rsidR="781A25AD">
        <w:rPr>
          <w:rFonts w:ascii="Palatino Linotype" w:hAnsi="Palatino Linotype"/>
          <w:sz w:val="24"/>
          <w:szCs w:val="24"/>
        </w:rPr>
        <w:t>n their project areas</w:t>
      </w:r>
      <w:r w:rsidRPr="15C9352B" w:rsidR="33241390">
        <w:rPr>
          <w:rFonts w:ascii="Palatino Linotype" w:hAnsi="Palatino Linotype"/>
          <w:sz w:val="24"/>
          <w:szCs w:val="24"/>
        </w:rPr>
        <w:t xml:space="preserve">, </w:t>
      </w:r>
      <w:r w:rsidRPr="3890975A" w:rsidR="0C6BB887">
        <w:rPr>
          <w:rFonts w:ascii="Palatino Linotype" w:hAnsi="Palatino Linotype"/>
          <w:sz w:val="24"/>
          <w:szCs w:val="24"/>
        </w:rPr>
        <w:t xml:space="preserve">as </w:t>
      </w:r>
      <w:r w:rsidRPr="15C9352B" w:rsidR="32C4BF14">
        <w:rPr>
          <w:rFonts w:ascii="Palatino Linotype" w:hAnsi="Palatino Linotype"/>
          <w:sz w:val="24"/>
          <w:szCs w:val="24"/>
        </w:rPr>
        <w:t>required to receive</w:t>
      </w:r>
      <w:r w:rsidRPr="15C9352B" w:rsidR="33241390">
        <w:rPr>
          <w:rFonts w:ascii="Palatino Linotype" w:hAnsi="Palatino Linotype"/>
          <w:sz w:val="24"/>
          <w:szCs w:val="24"/>
        </w:rPr>
        <w:t xml:space="preserve"> funding </w:t>
      </w:r>
      <w:r w:rsidRPr="15C9352B" w:rsidR="25166F26">
        <w:rPr>
          <w:rFonts w:ascii="Palatino Linotype" w:hAnsi="Palatino Linotype"/>
          <w:sz w:val="24"/>
          <w:szCs w:val="24"/>
        </w:rPr>
        <w:t>from</w:t>
      </w:r>
      <w:r w:rsidRPr="15C9352B" w:rsidR="33241390">
        <w:rPr>
          <w:rFonts w:ascii="Palatino Linotype" w:hAnsi="Palatino Linotype"/>
          <w:sz w:val="24"/>
          <w:szCs w:val="24"/>
        </w:rPr>
        <w:t xml:space="preserve"> the CASF program</w:t>
      </w:r>
      <w:r w:rsidRPr="15C9352B" w:rsidR="1695AF9A">
        <w:rPr>
          <w:rFonts w:ascii="Palatino Linotype" w:hAnsi="Palatino Linotype"/>
          <w:sz w:val="24"/>
          <w:szCs w:val="24"/>
        </w:rPr>
        <w:t>.</w:t>
      </w:r>
    </w:p>
    <w:p w:rsidR="15C9352B" w:rsidP="00550081" w:rsidRDefault="15C9352B" w14:paraId="0B108634" w14:textId="33F42760">
      <w:pPr>
        <w:rPr>
          <w:rFonts w:ascii="Palatino Linotype" w:hAnsi="Palatino Linotype"/>
          <w:sz w:val="24"/>
          <w:szCs w:val="24"/>
        </w:rPr>
      </w:pPr>
    </w:p>
    <w:p w:rsidR="778FA425" w:rsidP="00550081" w:rsidRDefault="778FA425" w14:paraId="7FA9EE0C" w14:textId="5EBD7B73">
      <w:pPr>
        <w:numPr>
          <w:ilvl w:val="0"/>
          <w:numId w:val="2"/>
        </w:numPr>
        <w:rPr>
          <w:rFonts w:asciiTheme="minorHAnsi" w:hAnsiTheme="minorHAnsi" w:eastAsiaTheme="minorEastAsia" w:cstheme="minorBidi"/>
          <w:sz w:val="24"/>
          <w:szCs w:val="24"/>
        </w:rPr>
      </w:pPr>
      <w:r w:rsidRPr="15C9352B">
        <w:rPr>
          <w:rFonts w:ascii="Palatino Linotype" w:hAnsi="Palatino Linotype"/>
          <w:sz w:val="24"/>
          <w:szCs w:val="24"/>
        </w:rPr>
        <w:lastRenderedPageBreak/>
        <w:t xml:space="preserve">Disclosure of project household subscription data will not reveal any future deployment plans by the CASF </w:t>
      </w:r>
      <w:r w:rsidR="005660F1">
        <w:rPr>
          <w:rFonts w:ascii="Palatino Linotype" w:hAnsi="Palatino Linotype"/>
          <w:sz w:val="24"/>
          <w:szCs w:val="24"/>
        </w:rPr>
        <w:t>grantees.</w:t>
      </w:r>
    </w:p>
    <w:p w:rsidR="3890975A" w:rsidP="00FF21A9" w:rsidRDefault="3890975A" w14:paraId="6C8B186E" w14:textId="6CD4816C">
      <w:pPr>
        <w:rPr>
          <w:rFonts w:ascii="Palatino Linotype" w:hAnsi="Palatino Linotype"/>
          <w:sz w:val="24"/>
          <w:szCs w:val="24"/>
        </w:rPr>
      </w:pPr>
    </w:p>
    <w:p w:rsidR="65DBC6DD" w:rsidP="3890975A" w:rsidRDefault="65DBC6DD" w14:paraId="12657865" w14:textId="5218FC31">
      <w:pPr>
        <w:numPr>
          <w:ilvl w:val="0"/>
          <w:numId w:val="2"/>
        </w:numPr>
        <w:rPr>
          <w:rFonts w:asciiTheme="minorHAnsi" w:hAnsiTheme="minorHAnsi" w:eastAsiaTheme="minorEastAsia" w:cstheme="minorBidi"/>
          <w:sz w:val="24"/>
          <w:szCs w:val="24"/>
        </w:rPr>
      </w:pPr>
      <w:r w:rsidRPr="3890975A">
        <w:rPr>
          <w:rFonts w:ascii="Palatino Linotype" w:hAnsi="Palatino Linotype"/>
          <w:sz w:val="24"/>
          <w:szCs w:val="24"/>
        </w:rPr>
        <w:t>The number of households subscribing to broadband service for each project is readily ascertainable by competitors, given the data that has already been disclosed concerning the CASF projects.</w:t>
      </w:r>
    </w:p>
    <w:p w:rsidR="3890975A" w:rsidP="00FF21A9" w:rsidRDefault="3890975A" w14:paraId="5DA96154" w14:textId="7D738B59">
      <w:pPr>
        <w:rPr>
          <w:rFonts w:ascii="Palatino Linotype" w:hAnsi="Palatino Linotype"/>
          <w:sz w:val="24"/>
          <w:szCs w:val="24"/>
        </w:rPr>
      </w:pPr>
    </w:p>
    <w:p w:rsidR="72AF1496" w:rsidP="3890975A" w:rsidRDefault="72AF1496" w14:paraId="64FC449B" w14:textId="129BF0D8">
      <w:pPr>
        <w:numPr>
          <w:ilvl w:val="0"/>
          <w:numId w:val="2"/>
        </w:numPr>
        <w:rPr>
          <w:rFonts w:asciiTheme="minorHAnsi" w:hAnsiTheme="minorHAnsi" w:eastAsiaTheme="minorEastAsia" w:cstheme="minorBidi"/>
          <w:sz w:val="24"/>
          <w:szCs w:val="24"/>
        </w:rPr>
      </w:pPr>
      <w:r w:rsidRPr="3890975A">
        <w:rPr>
          <w:rFonts w:ascii="Palatino Linotype" w:hAnsi="Palatino Linotype"/>
          <w:sz w:val="24"/>
          <w:szCs w:val="24"/>
        </w:rPr>
        <w:t>AT&amp;T California and Charter do not provide the substantiation necessary to demonstrate that their economic interests would be disadvantaged by the disclosure of project household subscriber data, especially given that a great deal of information about the project</w:t>
      </w:r>
      <w:r w:rsidRPr="3890975A" w:rsidR="1E352625">
        <w:rPr>
          <w:rFonts w:ascii="Palatino Linotype" w:hAnsi="Palatino Linotype"/>
          <w:sz w:val="24"/>
          <w:szCs w:val="24"/>
        </w:rPr>
        <w:t xml:space="preserve">s has </w:t>
      </w:r>
      <w:r w:rsidRPr="3890975A">
        <w:rPr>
          <w:rFonts w:ascii="Palatino Linotype" w:hAnsi="Palatino Linotype"/>
          <w:sz w:val="24"/>
          <w:szCs w:val="24"/>
        </w:rPr>
        <w:t>already been revealed.</w:t>
      </w:r>
    </w:p>
    <w:p w:rsidR="15C9352B" w:rsidP="00550081" w:rsidRDefault="15C9352B" w14:paraId="4C853271" w14:textId="6D8B933C">
      <w:pPr>
        <w:rPr>
          <w:rFonts w:ascii="Palatino Linotype" w:hAnsi="Palatino Linotype"/>
          <w:sz w:val="24"/>
          <w:szCs w:val="24"/>
        </w:rPr>
      </w:pPr>
    </w:p>
    <w:p w:rsidRPr="000A3117" w:rsidR="00DA2E62" w:rsidP="00550081" w:rsidRDefault="1695AF9A" w14:paraId="4344B84A" w14:textId="786DD996">
      <w:pPr>
        <w:numPr>
          <w:ilvl w:val="0"/>
          <w:numId w:val="2"/>
        </w:numPr>
        <w:rPr>
          <w:rFonts w:ascii="Palatino Linotype" w:hAnsi="Palatino Linotype" w:eastAsiaTheme="minorEastAsia"/>
          <w:sz w:val="24"/>
          <w:szCs w:val="24"/>
        </w:rPr>
      </w:pPr>
      <w:r w:rsidRPr="15C9352B">
        <w:rPr>
          <w:rFonts w:ascii="Palatino Linotype" w:hAnsi="Palatino Linotype"/>
          <w:sz w:val="24"/>
          <w:szCs w:val="24"/>
        </w:rPr>
        <w:t>In prior years’ CASF Annual Reports, the Commission publicly reported project household subscription data</w:t>
      </w:r>
      <w:r w:rsidRPr="15C9352B" w:rsidR="7ADEBC06">
        <w:rPr>
          <w:rFonts w:ascii="Palatino Linotype" w:hAnsi="Palatino Linotype"/>
          <w:sz w:val="24"/>
          <w:szCs w:val="24"/>
        </w:rPr>
        <w:t>; in their declarations, AT&amp;T California and Charter do not allege that the past disclosure of this information has led to any competitive disadvantage</w:t>
      </w:r>
      <w:r w:rsidRPr="15C9352B">
        <w:rPr>
          <w:rFonts w:ascii="Palatino Linotype" w:hAnsi="Palatino Linotype"/>
          <w:sz w:val="24"/>
          <w:szCs w:val="24"/>
        </w:rPr>
        <w:t>.</w:t>
      </w:r>
    </w:p>
    <w:p w:rsidR="535FE140" w:rsidP="00550081" w:rsidRDefault="535FE140" w14:paraId="1253B77F" w14:textId="7B1CBA3B">
      <w:pPr>
        <w:rPr>
          <w:rFonts w:ascii="Palatino Linotype" w:hAnsi="Palatino Linotype"/>
          <w:sz w:val="24"/>
          <w:szCs w:val="24"/>
        </w:rPr>
      </w:pPr>
    </w:p>
    <w:p w:rsidRPr="00BE7B60" w:rsidR="00303216" w:rsidP="3890975A" w:rsidRDefault="4C617595" w14:paraId="43458344" w14:textId="08A3809D">
      <w:pPr>
        <w:pStyle w:val="ListParagraph"/>
        <w:numPr>
          <w:ilvl w:val="0"/>
          <w:numId w:val="2"/>
        </w:numPr>
        <w:suppressAutoHyphens/>
        <w:rPr>
          <w:rFonts w:ascii="Palatino Linotype" w:hAnsi="Palatino Linotype"/>
          <w:sz w:val="24"/>
          <w:szCs w:val="24"/>
        </w:rPr>
      </w:pPr>
      <w:r w:rsidRPr="00BE7B60">
        <w:rPr>
          <w:rFonts w:ascii="Palatino Linotype" w:hAnsi="Palatino Linotype"/>
          <w:sz w:val="24"/>
          <w:szCs w:val="24"/>
        </w:rPr>
        <w:t>The effectiveness of the CASF program, funded by California ratepayers to bridge “the Di</w:t>
      </w:r>
      <w:r w:rsidRPr="00BE7B60" w:rsidR="61B90322">
        <w:rPr>
          <w:rFonts w:ascii="Palatino Linotype" w:hAnsi="Palatino Linotype"/>
          <w:sz w:val="24"/>
          <w:szCs w:val="24"/>
        </w:rPr>
        <w:t>gital Divide</w:t>
      </w:r>
      <w:r w:rsidRPr="3890975A" w:rsidR="61B90322">
        <w:rPr>
          <w:rFonts w:ascii="Palatino Linotype" w:hAnsi="Palatino Linotype"/>
          <w:sz w:val="24"/>
          <w:szCs w:val="24"/>
        </w:rPr>
        <w:t>,”</w:t>
      </w:r>
      <w:r w:rsidRPr="00BE7B60">
        <w:rPr>
          <w:rFonts w:ascii="Palatino Linotype" w:hAnsi="Palatino Linotype"/>
          <w:sz w:val="24"/>
          <w:szCs w:val="24"/>
        </w:rPr>
        <w:t xml:space="preserve"> is part of the “people’s business.”</w:t>
      </w:r>
    </w:p>
    <w:p w:rsidRPr="00BE7B60" w:rsidR="00BE7B60" w:rsidP="00BE7B60" w:rsidRDefault="00BE7B60" w14:paraId="3F25427A" w14:textId="77777777">
      <w:pPr>
        <w:tabs>
          <w:tab w:val="left" w:pos="-1440"/>
          <w:tab w:val="left" w:pos="-720"/>
        </w:tabs>
        <w:suppressAutoHyphens/>
        <w:rPr>
          <w:rFonts w:ascii="Palatino Linotype" w:hAnsi="Palatino Linotype"/>
          <w:sz w:val="24"/>
        </w:rPr>
      </w:pPr>
    </w:p>
    <w:p w:rsidRPr="00CB7DEA" w:rsidR="00DF231B" w:rsidP="00550081" w:rsidRDefault="00CB7DEA" w14:paraId="2833F13D" w14:textId="30CACE50">
      <w:pPr>
        <w:numPr>
          <w:ilvl w:val="0"/>
          <w:numId w:val="2"/>
        </w:numPr>
        <w:suppressAutoHyphens/>
        <w:rPr>
          <w:rFonts w:ascii="Palatino Linotype" w:hAnsi="Palatino Linotype"/>
          <w:sz w:val="24"/>
          <w:szCs w:val="24"/>
        </w:rPr>
      </w:pPr>
      <w:r w:rsidRPr="3F19BB8E">
        <w:rPr>
          <w:rFonts w:ascii="Palatino Linotype" w:hAnsi="Palatino Linotype"/>
          <w:sz w:val="24"/>
          <w:szCs w:val="24"/>
        </w:rPr>
        <w:t>The public interest favors disclosure</w:t>
      </w:r>
      <w:r>
        <w:t xml:space="preserve"> </w:t>
      </w:r>
      <w:r w:rsidRPr="3F19BB8E">
        <w:rPr>
          <w:rFonts w:ascii="Palatino Linotype" w:hAnsi="Palatino Linotype"/>
          <w:sz w:val="24"/>
          <w:szCs w:val="24"/>
        </w:rPr>
        <w:t xml:space="preserve">of CASF project subscription data for the CASF Annual Report. </w:t>
      </w:r>
    </w:p>
    <w:p w:rsidR="00DF231B" w:rsidP="00DF231B" w:rsidRDefault="00DF231B" w14:paraId="3A4DF55B" w14:textId="77777777">
      <w:pPr>
        <w:rPr>
          <w:rFonts w:ascii="Palatino Linotype" w:hAnsi="Palatino Linotype"/>
          <w:b/>
          <w:sz w:val="24"/>
          <w:szCs w:val="24"/>
        </w:rPr>
      </w:pPr>
    </w:p>
    <w:p w:rsidR="60AC726C" w:rsidP="15C9352B" w:rsidRDefault="60AC726C" w14:paraId="4760B173" w14:textId="4352D015">
      <w:pPr>
        <w:rPr>
          <w:rFonts w:ascii="Palatino Linotype" w:hAnsi="Palatino Linotype"/>
          <w:b/>
          <w:bCs/>
          <w:sz w:val="24"/>
          <w:szCs w:val="24"/>
        </w:rPr>
      </w:pPr>
      <w:r w:rsidRPr="00550081">
        <w:rPr>
          <w:rFonts w:ascii="Palatino Linotype" w:hAnsi="Palatino Linotype"/>
          <w:b/>
          <w:bCs/>
          <w:sz w:val="24"/>
          <w:szCs w:val="24"/>
          <w:u w:val="single"/>
        </w:rPr>
        <w:t>CONCLUSIONS OF LAW</w:t>
      </w:r>
    </w:p>
    <w:p w:rsidRPr="00550081" w:rsidR="15C9352B" w:rsidP="15C9352B" w:rsidRDefault="15C9352B" w14:paraId="3E7D57AC" w14:textId="32BB6A4A">
      <w:pPr>
        <w:rPr>
          <w:rFonts w:ascii="Palatino Linotype" w:hAnsi="Palatino Linotype"/>
          <w:sz w:val="24"/>
          <w:szCs w:val="24"/>
        </w:rPr>
      </w:pPr>
    </w:p>
    <w:p w:rsidRPr="0033393D" w:rsidR="0033393D" w:rsidP="0033393D" w:rsidRDefault="5B7E41F3" w14:paraId="13D2E6F9" w14:textId="69644A94">
      <w:pPr>
        <w:pStyle w:val="ListParagraph"/>
        <w:numPr>
          <w:ilvl w:val="0"/>
          <w:numId w:val="6"/>
        </w:numPr>
        <w:rPr>
          <w:rFonts w:asciiTheme="minorHAnsi" w:hAnsiTheme="minorHAnsi" w:eastAsiaTheme="minorEastAsia" w:cstheme="minorBidi"/>
          <w:sz w:val="24"/>
          <w:szCs w:val="24"/>
        </w:rPr>
      </w:pPr>
      <w:r w:rsidRPr="15C9352B">
        <w:rPr>
          <w:rFonts w:ascii="Palatino Linotype" w:hAnsi="Palatino Linotype"/>
          <w:sz w:val="24"/>
          <w:szCs w:val="24"/>
        </w:rPr>
        <w:t xml:space="preserve">Pursuant to Pub. Util. Code </w:t>
      </w:r>
      <w:r w:rsidR="00CD0F09">
        <w:rPr>
          <w:rFonts w:ascii="Palatino Linotype" w:hAnsi="Palatino Linotype"/>
          <w:sz w:val="24"/>
          <w:szCs w:val="24"/>
        </w:rPr>
        <w:t xml:space="preserve">section </w:t>
      </w:r>
      <w:r w:rsidRPr="15C9352B">
        <w:rPr>
          <w:rFonts w:ascii="Palatino Linotype" w:hAnsi="Palatino Linotype"/>
          <w:sz w:val="24"/>
          <w:szCs w:val="24"/>
        </w:rPr>
        <w:t xml:space="preserve">281, the </w:t>
      </w:r>
      <w:r w:rsidR="00BE7B60">
        <w:rPr>
          <w:rFonts w:ascii="Palatino Linotype" w:hAnsi="Palatino Linotype"/>
          <w:sz w:val="24"/>
          <w:szCs w:val="24"/>
        </w:rPr>
        <w:t>L</w:t>
      </w:r>
      <w:r w:rsidRPr="15C9352B">
        <w:rPr>
          <w:rFonts w:ascii="Palatino Linotype" w:hAnsi="Palatino Linotype"/>
          <w:sz w:val="24"/>
          <w:szCs w:val="24"/>
        </w:rPr>
        <w:t>egislature authorized the Commission to implement the CASF program to bring broadband access to underserved communities, by publicly funding broadband deployment projects.</w:t>
      </w:r>
    </w:p>
    <w:p w:rsidRPr="0033393D" w:rsidR="0033393D" w:rsidP="0033393D" w:rsidRDefault="0033393D" w14:paraId="47C7C8C5" w14:textId="77777777">
      <w:pPr>
        <w:pStyle w:val="ListParagraph"/>
        <w:ind w:left="360"/>
        <w:rPr>
          <w:rFonts w:asciiTheme="minorHAnsi" w:hAnsiTheme="minorHAnsi" w:eastAsiaTheme="minorEastAsia" w:cstheme="minorBidi"/>
          <w:sz w:val="24"/>
          <w:szCs w:val="24"/>
        </w:rPr>
      </w:pPr>
    </w:p>
    <w:p w:rsidRPr="0033393D" w:rsidR="0033393D" w:rsidP="0033393D" w:rsidRDefault="2FDC2C0D" w14:paraId="12B92630" w14:textId="77777777">
      <w:pPr>
        <w:pStyle w:val="ListParagraph"/>
        <w:numPr>
          <w:ilvl w:val="0"/>
          <w:numId w:val="6"/>
        </w:numPr>
        <w:rPr>
          <w:rFonts w:asciiTheme="minorHAnsi" w:hAnsiTheme="minorHAnsi" w:eastAsiaTheme="minorEastAsia" w:cstheme="minorBidi"/>
          <w:sz w:val="24"/>
          <w:szCs w:val="24"/>
        </w:rPr>
      </w:pPr>
      <w:r w:rsidRPr="0033393D">
        <w:rPr>
          <w:rFonts w:ascii="Palatino Linotype" w:hAnsi="Palatino Linotype"/>
          <w:sz w:val="24"/>
          <w:szCs w:val="24"/>
        </w:rPr>
        <w:t>Pursuant to Pub. Util. Code section 914.7(a)(9), the Commission must report on the effectiveness of the CASF program by provi</w:t>
      </w:r>
      <w:r w:rsidRPr="0033393D" w:rsidR="74637580">
        <w:rPr>
          <w:rFonts w:ascii="Palatino Linotype" w:hAnsi="Palatino Linotype"/>
          <w:sz w:val="24"/>
          <w:szCs w:val="24"/>
        </w:rPr>
        <w:t xml:space="preserve">ding to the </w:t>
      </w:r>
      <w:r w:rsidRPr="0033393D" w:rsidR="00BE7B60">
        <w:rPr>
          <w:rFonts w:ascii="Palatino Linotype" w:hAnsi="Palatino Linotype"/>
          <w:sz w:val="24"/>
          <w:szCs w:val="24"/>
        </w:rPr>
        <w:t>L</w:t>
      </w:r>
      <w:r w:rsidRPr="0033393D" w:rsidR="74637580">
        <w:rPr>
          <w:rFonts w:ascii="Palatino Linotype" w:hAnsi="Palatino Linotype"/>
          <w:sz w:val="24"/>
          <w:szCs w:val="24"/>
        </w:rPr>
        <w:t>egislature</w:t>
      </w:r>
      <w:r w:rsidRPr="0033393D">
        <w:rPr>
          <w:rFonts w:ascii="Palatino Linotype" w:hAnsi="Palatino Linotype"/>
          <w:sz w:val="24"/>
          <w:szCs w:val="24"/>
        </w:rPr>
        <w:t xml:space="preserve"> “[t]</w:t>
      </w:r>
      <w:proofErr w:type="gramStart"/>
      <w:r w:rsidRPr="0033393D">
        <w:rPr>
          <w:rFonts w:ascii="Palatino Linotype" w:hAnsi="Palatino Linotype"/>
          <w:sz w:val="24"/>
          <w:szCs w:val="24"/>
        </w:rPr>
        <w:t>he</w:t>
      </w:r>
      <w:proofErr w:type="gramEnd"/>
      <w:r w:rsidRPr="0033393D">
        <w:rPr>
          <w:rFonts w:ascii="Palatino Linotype" w:hAnsi="Palatino Linotype"/>
          <w:sz w:val="24"/>
          <w:szCs w:val="24"/>
        </w:rPr>
        <w:t xml:space="preserve"> number of formerly unserved households subscribing to broadband service in areas covered by projects funded by the [CASF]</w:t>
      </w:r>
      <w:r w:rsidRPr="0033393D" w:rsidR="496E9BE9">
        <w:rPr>
          <w:rFonts w:ascii="Palatino Linotype" w:hAnsi="Palatino Linotype"/>
          <w:sz w:val="24"/>
          <w:szCs w:val="24"/>
        </w:rPr>
        <w:t>.</w:t>
      </w:r>
      <w:r w:rsidRPr="0033393D" w:rsidR="746FFBC7">
        <w:rPr>
          <w:rFonts w:ascii="Palatino Linotype" w:hAnsi="Palatino Linotype"/>
          <w:sz w:val="24"/>
          <w:szCs w:val="24"/>
        </w:rPr>
        <w:t>”</w:t>
      </w:r>
    </w:p>
    <w:p w:rsidR="3890975A" w:rsidP="00FF21A9" w:rsidRDefault="3890975A" w14:paraId="1161D751" w14:textId="0BA327E0">
      <w:pPr>
        <w:rPr>
          <w:rFonts w:ascii="Palatino Linotype" w:hAnsi="Palatino Linotype"/>
          <w:sz w:val="24"/>
          <w:szCs w:val="24"/>
        </w:rPr>
      </w:pPr>
    </w:p>
    <w:p w:rsidR="3D12A15B" w:rsidP="3890975A" w:rsidRDefault="3D12A15B" w14:paraId="5DE1B3B1" w14:textId="63131DA2">
      <w:pPr>
        <w:pStyle w:val="ListParagraph"/>
        <w:numPr>
          <w:ilvl w:val="0"/>
          <w:numId w:val="6"/>
        </w:numPr>
        <w:rPr>
          <w:rFonts w:asciiTheme="minorHAnsi" w:hAnsiTheme="minorHAnsi" w:eastAsiaTheme="minorEastAsia" w:cstheme="minorBidi"/>
          <w:sz w:val="24"/>
          <w:szCs w:val="24"/>
        </w:rPr>
      </w:pPr>
      <w:r w:rsidRPr="3890975A">
        <w:rPr>
          <w:rFonts w:ascii="Palatino Linotype" w:hAnsi="Palatino Linotype"/>
          <w:sz w:val="24"/>
          <w:szCs w:val="24"/>
        </w:rPr>
        <w:t>Information will not fall within the definition of a trade secret if it is readily ascertainable by a competitor or others.</w:t>
      </w:r>
    </w:p>
    <w:p w:rsidRPr="0033393D" w:rsidR="0033393D" w:rsidP="0033393D" w:rsidRDefault="0033393D" w14:paraId="63FAA9EC" w14:textId="77777777">
      <w:pPr>
        <w:pStyle w:val="ListParagraph"/>
        <w:rPr>
          <w:rFonts w:ascii="Palatino Linotype" w:hAnsi="Palatino Linotype" w:cstheme="minorBidi"/>
          <w:sz w:val="24"/>
          <w:szCs w:val="24"/>
        </w:rPr>
      </w:pPr>
    </w:p>
    <w:p w:rsidRPr="0033393D" w:rsidR="0033393D" w:rsidP="0033393D" w:rsidRDefault="67B17D0A" w14:paraId="44F3039D" w14:textId="77777777">
      <w:pPr>
        <w:pStyle w:val="ListParagraph"/>
        <w:numPr>
          <w:ilvl w:val="0"/>
          <w:numId w:val="6"/>
        </w:numPr>
        <w:rPr>
          <w:rFonts w:asciiTheme="minorHAnsi" w:hAnsiTheme="minorHAnsi" w:eastAsiaTheme="minorEastAsia" w:cstheme="minorBidi"/>
          <w:sz w:val="24"/>
          <w:szCs w:val="24"/>
        </w:rPr>
      </w:pPr>
      <w:r w:rsidRPr="0033393D">
        <w:rPr>
          <w:rFonts w:ascii="Palatino Linotype" w:hAnsi="Palatino Linotype" w:cstheme="minorBidi"/>
          <w:sz w:val="24"/>
          <w:szCs w:val="24"/>
        </w:rPr>
        <w:lastRenderedPageBreak/>
        <w:t xml:space="preserve">Pursuant to Pub. Util. Code section 281(f)(4)(B)(ii), </w:t>
      </w:r>
      <w:proofErr w:type="gramStart"/>
      <w:r w:rsidRPr="0033393D">
        <w:rPr>
          <w:rFonts w:ascii="Palatino Linotype" w:hAnsi="Palatino Linotype" w:cstheme="minorBidi"/>
          <w:sz w:val="24"/>
          <w:szCs w:val="24"/>
        </w:rPr>
        <w:t>in order to</w:t>
      </w:r>
      <w:proofErr w:type="gramEnd"/>
      <w:r w:rsidRPr="0033393D">
        <w:rPr>
          <w:rFonts w:ascii="Palatino Linotype" w:hAnsi="Palatino Linotype" w:cstheme="minorBidi"/>
          <w:sz w:val="24"/>
          <w:szCs w:val="24"/>
        </w:rPr>
        <w:t xml:space="preserve"> receive CASF funding for their projects, AT&amp;T California and Charter were required to publicly disclose “information regarding the area designated for a broadband deployment, the number of households or locations to be served, and the estimated date by which the deployment will be completed</w:t>
      </w:r>
      <w:r w:rsidRPr="0033393D" w:rsidR="045BE923">
        <w:rPr>
          <w:rFonts w:ascii="Palatino Linotype" w:hAnsi="Palatino Linotype" w:cstheme="minorBidi"/>
          <w:sz w:val="24"/>
          <w:szCs w:val="24"/>
        </w:rPr>
        <w:t>.”</w:t>
      </w:r>
    </w:p>
    <w:p w:rsidRPr="0033393D" w:rsidR="0033393D" w:rsidP="0033393D" w:rsidRDefault="0033393D" w14:paraId="39DE831D" w14:textId="77777777">
      <w:pPr>
        <w:pStyle w:val="ListParagraph"/>
        <w:rPr>
          <w:rFonts w:ascii="Palatino Linotype" w:hAnsi="Palatino Linotype"/>
          <w:sz w:val="24"/>
          <w:szCs w:val="24"/>
        </w:rPr>
      </w:pPr>
    </w:p>
    <w:p w:rsidRPr="00E307B5" w:rsidR="0033393D" w:rsidP="3890975A" w:rsidRDefault="069D2C05" w14:paraId="1EEF1F04" w14:textId="77669920">
      <w:pPr>
        <w:pStyle w:val="ListParagraph"/>
        <w:numPr>
          <w:ilvl w:val="0"/>
          <w:numId w:val="6"/>
        </w:numPr>
        <w:rPr>
          <w:rFonts w:asciiTheme="minorHAnsi" w:hAnsiTheme="minorHAnsi" w:eastAsiaTheme="minorEastAsia" w:cstheme="minorBidi"/>
          <w:sz w:val="24"/>
          <w:szCs w:val="24"/>
        </w:rPr>
      </w:pPr>
      <w:r w:rsidRPr="0033393D">
        <w:rPr>
          <w:rFonts w:ascii="Palatino Linotype" w:hAnsi="Palatino Linotype"/>
          <w:sz w:val="24"/>
          <w:szCs w:val="24"/>
        </w:rPr>
        <w:t>Pursuant to Pub. Util. Code section 281(f)(4)(B)(i), except for the information specified above, the Commission is prohibited from disclosing, “information submitted to the commission that includes the provider’s plans for future broadband deployment.</w:t>
      </w:r>
      <w:r w:rsidRPr="0033393D" w:rsidR="76ACD79D">
        <w:rPr>
          <w:rFonts w:ascii="Palatino Linotype" w:hAnsi="Palatino Linotype"/>
          <w:sz w:val="24"/>
          <w:szCs w:val="24"/>
        </w:rPr>
        <w:t>”</w:t>
      </w:r>
    </w:p>
    <w:p w:rsidRPr="00E307B5" w:rsidR="0033393D" w:rsidP="00FF21A9" w:rsidRDefault="0033393D" w14:paraId="4F12BCB0" w14:textId="1DDB0E9B">
      <w:pPr>
        <w:rPr>
          <w:rFonts w:ascii="Palatino Linotype" w:hAnsi="Palatino Linotype"/>
          <w:sz w:val="24"/>
          <w:szCs w:val="24"/>
        </w:rPr>
      </w:pPr>
    </w:p>
    <w:p w:rsidRPr="00E307B5" w:rsidR="0033393D" w:rsidP="3890975A" w:rsidRDefault="0A39B50C" w14:paraId="6F4058E7" w14:textId="4B9995B6">
      <w:pPr>
        <w:pStyle w:val="ListParagraph"/>
        <w:numPr>
          <w:ilvl w:val="0"/>
          <w:numId w:val="6"/>
        </w:numPr>
        <w:rPr>
          <w:rFonts w:asciiTheme="minorHAnsi" w:hAnsiTheme="minorHAnsi" w:eastAsiaTheme="minorEastAsia" w:cstheme="minorBidi"/>
          <w:sz w:val="24"/>
          <w:szCs w:val="24"/>
        </w:rPr>
      </w:pPr>
      <w:r w:rsidRPr="3890975A">
        <w:rPr>
          <w:rFonts w:ascii="Palatino Linotype" w:hAnsi="Palatino Linotype"/>
          <w:sz w:val="24"/>
          <w:szCs w:val="24"/>
        </w:rPr>
        <w:t>A claimant must do more than merely assert that information would be helpful or of use to a competitor recipient in carrying out a specific activity, for a fact finder to conclude that the information is sufficiently valuable to provide the claimant with an economic advantage over others.</w:t>
      </w:r>
    </w:p>
    <w:p w:rsidR="3890975A" w:rsidP="3890975A" w:rsidRDefault="3890975A" w14:paraId="72795833" w14:textId="0B8CC144">
      <w:pPr>
        <w:rPr>
          <w:rFonts w:ascii="Palatino Linotype" w:hAnsi="Palatino Linotype"/>
          <w:sz w:val="24"/>
          <w:szCs w:val="24"/>
        </w:rPr>
      </w:pPr>
    </w:p>
    <w:p w:rsidRPr="0033393D" w:rsidR="0033393D" w:rsidP="0033393D" w:rsidRDefault="0915B073" w14:paraId="2B79D7C1" w14:textId="77777777">
      <w:pPr>
        <w:pStyle w:val="ListParagraph"/>
        <w:numPr>
          <w:ilvl w:val="0"/>
          <w:numId w:val="6"/>
        </w:numPr>
        <w:rPr>
          <w:rFonts w:asciiTheme="minorHAnsi" w:hAnsiTheme="minorHAnsi" w:eastAsiaTheme="minorEastAsia" w:cstheme="minorBidi"/>
          <w:sz w:val="24"/>
          <w:szCs w:val="24"/>
        </w:rPr>
      </w:pPr>
      <w:r w:rsidRPr="0033393D">
        <w:rPr>
          <w:rFonts w:ascii="Palatino Linotype" w:hAnsi="Palatino Linotype"/>
          <w:sz w:val="24"/>
          <w:szCs w:val="24"/>
        </w:rPr>
        <w:t>The California Constitution</w:t>
      </w:r>
      <w:r w:rsidRPr="0033393D" w:rsidR="193D7DA8">
        <w:rPr>
          <w:rFonts w:ascii="Palatino Linotype" w:hAnsi="Palatino Linotype"/>
          <w:sz w:val="24"/>
          <w:szCs w:val="24"/>
        </w:rPr>
        <w:t>, Article § 3(b)(1)</w:t>
      </w:r>
      <w:r w:rsidRPr="0033393D">
        <w:rPr>
          <w:rFonts w:ascii="Palatino Linotype" w:hAnsi="Palatino Linotype"/>
          <w:sz w:val="24"/>
          <w:szCs w:val="24"/>
        </w:rPr>
        <w:t xml:space="preserve"> favors the disclosure of governmental records by, among other things, stating that “[t]he people have the right of access to information concerning the conduct of the peoples’ business.”</w:t>
      </w:r>
    </w:p>
    <w:p w:rsidRPr="0033393D" w:rsidR="0033393D" w:rsidP="0033393D" w:rsidRDefault="0033393D" w14:paraId="7C56D303" w14:textId="77777777">
      <w:pPr>
        <w:pStyle w:val="ListParagraph"/>
        <w:rPr>
          <w:rFonts w:ascii="Palatino Linotype" w:hAnsi="Palatino Linotype"/>
          <w:sz w:val="24"/>
          <w:szCs w:val="24"/>
        </w:rPr>
      </w:pPr>
    </w:p>
    <w:p w:rsidRPr="0033393D" w:rsidR="009834E1" w:rsidP="0033393D" w:rsidRDefault="31B6A979" w14:paraId="2AC3178D" w14:textId="448E8B11">
      <w:pPr>
        <w:pStyle w:val="ListParagraph"/>
        <w:numPr>
          <w:ilvl w:val="0"/>
          <w:numId w:val="6"/>
        </w:numPr>
        <w:rPr>
          <w:rFonts w:asciiTheme="minorHAnsi" w:hAnsiTheme="minorHAnsi" w:eastAsiaTheme="minorEastAsia" w:cstheme="minorBidi"/>
          <w:sz w:val="24"/>
          <w:szCs w:val="24"/>
        </w:rPr>
      </w:pPr>
      <w:r w:rsidRPr="0033393D">
        <w:rPr>
          <w:rFonts w:ascii="Palatino Linotype" w:hAnsi="Palatino Linotype"/>
          <w:sz w:val="24"/>
          <w:szCs w:val="24"/>
        </w:rPr>
        <w:t>The California Constitution, Article § 3(b)(2) dictates that statutes, court rules, and other authority favoring disclosure be broadly construed, and that statutes, court rules, and other authority limiting disclosure be construed narrowly construed s.</w:t>
      </w:r>
    </w:p>
    <w:p w:rsidR="00DF231B" w:rsidP="00CB7DEA" w:rsidRDefault="00DF231B" w14:paraId="6D2FCF40" w14:textId="0969483D">
      <w:pPr>
        <w:spacing w:after="200" w:line="276" w:lineRule="auto"/>
        <w:rPr>
          <w:rFonts w:ascii="Palatino Linotype" w:hAnsi="Palatino Linotype"/>
          <w:b/>
          <w:sz w:val="24"/>
          <w:szCs w:val="24"/>
        </w:rPr>
      </w:pPr>
    </w:p>
    <w:p w:rsidRPr="00550081" w:rsidR="7E35018C" w:rsidP="15C9352B" w:rsidRDefault="7E35018C" w14:paraId="0E96301A" w14:textId="01D389A4">
      <w:pPr>
        <w:spacing w:after="200" w:line="276" w:lineRule="auto"/>
        <w:rPr>
          <w:rFonts w:ascii="Palatino Linotype" w:hAnsi="Palatino Linotype"/>
          <w:b/>
          <w:bCs/>
          <w:sz w:val="24"/>
          <w:szCs w:val="24"/>
        </w:rPr>
      </w:pPr>
      <w:r w:rsidRPr="15C9352B">
        <w:rPr>
          <w:rFonts w:ascii="Palatino Linotype" w:hAnsi="Palatino Linotype"/>
          <w:b/>
          <w:bCs/>
          <w:sz w:val="24"/>
          <w:szCs w:val="24"/>
        </w:rPr>
        <w:t>ORDER</w:t>
      </w:r>
    </w:p>
    <w:p w:rsidR="00126B65" w:rsidP="0097092D" w:rsidRDefault="513E797F" w14:paraId="67AACC73" w14:textId="74759499">
      <w:pPr>
        <w:numPr>
          <w:ilvl w:val="0"/>
          <w:numId w:val="8"/>
        </w:numPr>
        <w:rPr>
          <w:rFonts w:ascii="Palatino Linotype" w:hAnsi="Palatino Linotype"/>
          <w:sz w:val="24"/>
          <w:szCs w:val="24"/>
        </w:rPr>
      </w:pPr>
      <w:r w:rsidRPr="3F19BB8E">
        <w:rPr>
          <w:rFonts w:ascii="Palatino Linotype" w:hAnsi="Palatino Linotype"/>
          <w:sz w:val="24"/>
          <w:szCs w:val="24"/>
        </w:rPr>
        <w:t xml:space="preserve">Household broadband </w:t>
      </w:r>
      <w:r w:rsidRPr="3F19BB8E" w:rsidR="00126B65">
        <w:rPr>
          <w:rFonts w:ascii="Palatino Linotype" w:hAnsi="Palatino Linotype"/>
          <w:sz w:val="24"/>
          <w:szCs w:val="24"/>
        </w:rPr>
        <w:t xml:space="preserve">subscription data for CASF </w:t>
      </w:r>
      <w:r w:rsidRPr="3F19BB8E" w:rsidR="220EBD99">
        <w:rPr>
          <w:rFonts w:ascii="Palatino Linotype" w:hAnsi="Palatino Linotype"/>
          <w:sz w:val="24"/>
          <w:szCs w:val="24"/>
        </w:rPr>
        <w:t>projects</w:t>
      </w:r>
      <w:r w:rsidRPr="3F19BB8E" w:rsidR="2C097105">
        <w:rPr>
          <w:rFonts w:ascii="Palatino Linotype" w:hAnsi="Palatino Linotype"/>
          <w:sz w:val="24"/>
          <w:szCs w:val="24"/>
        </w:rPr>
        <w:t xml:space="preserve"> </w:t>
      </w:r>
      <w:r w:rsidRPr="3F19BB8E" w:rsidR="00126B65">
        <w:rPr>
          <w:rFonts w:ascii="Palatino Linotype" w:hAnsi="Palatino Linotype"/>
          <w:sz w:val="24"/>
          <w:szCs w:val="24"/>
        </w:rPr>
        <w:t xml:space="preserve">shall be made public. </w:t>
      </w:r>
    </w:p>
    <w:p w:rsidR="0097092D" w:rsidP="00550081" w:rsidRDefault="0097092D" w14:paraId="06DEFF59" w14:textId="77777777">
      <w:pPr>
        <w:ind w:left="360"/>
        <w:rPr>
          <w:rFonts w:ascii="Palatino Linotype" w:hAnsi="Palatino Linotype"/>
          <w:sz w:val="24"/>
          <w:szCs w:val="24"/>
        </w:rPr>
      </w:pPr>
    </w:p>
    <w:p w:rsidR="68CF3AE5" w:rsidP="00550081" w:rsidRDefault="68CF3AE5" w14:paraId="2D8F0A01" w14:textId="3B7CEBB7">
      <w:pPr>
        <w:numPr>
          <w:ilvl w:val="0"/>
          <w:numId w:val="8"/>
        </w:numPr>
        <w:rPr>
          <w:sz w:val="24"/>
          <w:szCs w:val="24"/>
        </w:rPr>
      </w:pPr>
      <w:r w:rsidRPr="15C9352B">
        <w:rPr>
          <w:rFonts w:ascii="Palatino Linotype" w:hAnsi="Palatino Linotype"/>
          <w:sz w:val="24"/>
          <w:szCs w:val="24"/>
        </w:rPr>
        <w:t xml:space="preserve">This project household broadband subscription data will be included in the </w:t>
      </w:r>
      <w:proofErr w:type="gramStart"/>
      <w:r w:rsidRPr="15C9352B">
        <w:rPr>
          <w:rFonts w:ascii="Palatino Linotype" w:hAnsi="Palatino Linotype"/>
          <w:sz w:val="24"/>
          <w:szCs w:val="24"/>
        </w:rPr>
        <w:t>publicly-available</w:t>
      </w:r>
      <w:proofErr w:type="gramEnd"/>
      <w:r w:rsidRPr="15C9352B">
        <w:rPr>
          <w:rFonts w:ascii="Palatino Linotype" w:hAnsi="Palatino Linotype"/>
          <w:sz w:val="24"/>
          <w:szCs w:val="24"/>
        </w:rPr>
        <w:t xml:space="preserve"> CASF Annual Report.</w:t>
      </w:r>
    </w:p>
    <w:p w:rsidR="00126B65" w:rsidP="00126B65" w:rsidRDefault="00126B65" w14:paraId="014A295E" w14:textId="77777777">
      <w:pPr>
        <w:rPr>
          <w:rFonts w:ascii="Palatino Linotype" w:hAnsi="Palatino Linotype"/>
          <w:sz w:val="24"/>
        </w:rPr>
      </w:pPr>
    </w:p>
    <w:p w:rsidR="00126B65" w:rsidP="00550081" w:rsidRDefault="00126B65" w14:paraId="6188C0F1" w14:textId="51F7A8F8">
      <w:pPr>
        <w:numPr>
          <w:ilvl w:val="0"/>
          <w:numId w:val="8"/>
        </w:numPr>
        <w:rPr>
          <w:rFonts w:ascii="Palatino Linotype" w:hAnsi="Palatino Linotype"/>
          <w:sz w:val="24"/>
          <w:szCs w:val="24"/>
        </w:rPr>
      </w:pPr>
      <w:r w:rsidRPr="15C9352B">
        <w:rPr>
          <w:rFonts w:ascii="Palatino Linotype" w:hAnsi="Palatino Linotype"/>
          <w:sz w:val="24"/>
          <w:szCs w:val="24"/>
        </w:rPr>
        <w:t xml:space="preserve">The Commission shall submit this year’s CASF Annual Report to the Legislature no later than April 30, 2021.  </w:t>
      </w:r>
    </w:p>
    <w:p w:rsidR="00DF231B" w:rsidP="00DF231B" w:rsidRDefault="00DF231B" w14:paraId="5D887EB0" w14:textId="77777777">
      <w:pPr>
        <w:rPr>
          <w:rFonts w:ascii="Palatino Linotype" w:hAnsi="Palatino Linotype"/>
          <w:sz w:val="24"/>
        </w:rPr>
      </w:pPr>
    </w:p>
    <w:p w:rsidR="00F91998" w:rsidP="00DF231B" w:rsidRDefault="00F91998" w14:paraId="5A70906A" w14:textId="77777777">
      <w:pPr>
        <w:ind w:right="-180"/>
        <w:rPr>
          <w:rFonts w:ascii="Palatino Linotype" w:hAnsi="Palatino Linotype"/>
          <w:sz w:val="24"/>
        </w:rPr>
      </w:pPr>
    </w:p>
    <w:p w:rsidR="00F91998" w:rsidP="00DF231B" w:rsidRDefault="00F91998" w14:paraId="479627D0" w14:textId="77777777">
      <w:pPr>
        <w:ind w:right="-180"/>
        <w:rPr>
          <w:rFonts w:ascii="Palatino Linotype" w:hAnsi="Palatino Linotype"/>
          <w:sz w:val="24"/>
        </w:rPr>
      </w:pPr>
    </w:p>
    <w:p w:rsidR="00F91998" w:rsidP="00DF231B" w:rsidRDefault="00F91998" w14:paraId="290F4D8B" w14:textId="77777777">
      <w:pPr>
        <w:ind w:right="-180"/>
        <w:rPr>
          <w:rFonts w:ascii="Palatino Linotype" w:hAnsi="Palatino Linotype"/>
          <w:sz w:val="24"/>
        </w:rPr>
      </w:pPr>
    </w:p>
    <w:p w:rsidRPr="00906097" w:rsidR="00DF231B" w:rsidP="00DF231B" w:rsidRDefault="00DF231B" w14:paraId="587102C6" w14:textId="66821FEA">
      <w:pPr>
        <w:ind w:right="-180"/>
        <w:rPr>
          <w:rFonts w:ascii="Palatino Linotype" w:hAnsi="Palatino Linotype"/>
          <w:sz w:val="24"/>
        </w:rPr>
      </w:pPr>
      <w:r w:rsidRPr="00906097">
        <w:rPr>
          <w:rFonts w:ascii="Palatino Linotype" w:hAnsi="Palatino Linotype"/>
          <w:sz w:val="24"/>
        </w:rPr>
        <w:lastRenderedPageBreak/>
        <w:t>This Resolution is effective today.</w:t>
      </w:r>
    </w:p>
    <w:p w:rsidRPr="00906097" w:rsidR="00DF231B" w:rsidP="00DF231B" w:rsidRDefault="00DF231B" w14:paraId="028441CC" w14:textId="77777777">
      <w:pPr>
        <w:ind w:right="-180"/>
        <w:rPr>
          <w:rFonts w:ascii="Palatino Linotype" w:hAnsi="Palatino Linotype"/>
          <w:sz w:val="24"/>
        </w:rPr>
      </w:pPr>
    </w:p>
    <w:p w:rsidRPr="00906097" w:rsidR="00DF231B" w:rsidP="00DF231B" w:rsidRDefault="00DF231B" w14:paraId="26DCD6C0" w14:textId="138E13D8">
      <w:pPr>
        <w:ind w:right="-180"/>
        <w:rPr>
          <w:rFonts w:ascii="Palatino Linotype" w:hAnsi="Palatino Linotype"/>
          <w:sz w:val="24"/>
        </w:rPr>
      </w:pPr>
      <w:r w:rsidRPr="00906097">
        <w:rPr>
          <w:rFonts w:ascii="Palatino Linotype" w:hAnsi="Palatino Linotype"/>
          <w:sz w:val="24"/>
        </w:rPr>
        <w:t xml:space="preserve">I hereby certify that the Public Utilities Commission adopted this Resolution at its regular meeting on </w:t>
      </w:r>
      <w:r w:rsidR="00A2360A">
        <w:rPr>
          <w:rFonts w:ascii="Palatino Linotype" w:hAnsi="Palatino Linotype"/>
          <w:sz w:val="24"/>
        </w:rPr>
        <w:t>________________</w:t>
      </w:r>
      <w:r w:rsidRPr="00906097">
        <w:rPr>
          <w:rFonts w:ascii="Palatino Linotype" w:hAnsi="Palatino Linotype"/>
          <w:sz w:val="24"/>
        </w:rPr>
        <w:t>.</w:t>
      </w:r>
    </w:p>
    <w:p w:rsidR="00DF231B" w:rsidP="00DF231B" w:rsidRDefault="00DF231B" w14:paraId="01273A9B" w14:textId="77777777">
      <w:pPr>
        <w:ind w:right="-180"/>
        <w:rPr>
          <w:rFonts w:ascii="Palatino Linotype" w:hAnsi="Palatino Linotype"/>
          <w:sz w:val="24"/>
        </w:rPr>
      </w:pPr>
    </w:p>
    <w:p w:rsidR="00DF231B" w:rsidP="00DF231B" w:rsidRDefault="00DF231B" w14:paraId="58FFEEED" w14:textId="77777777">
      <w:pPr>
        <w:ind w:right="-180"/>
        <w:rPr>
          <w:rFonts w:ascii="Palatino Linotype" w:hAnsi="Palatino Linotype"/>
          <w:sz w:val="24"/>
        </w:rPr>
      </w:pPr>
    </w:p>
    <w:p w:rsidR="00DF231B" w:rsidP="00DF231B" w:rsidRDefault="00DF231B" w14:paraId="6D7DD0CA" w14:textId="77777777">
      <w:pPr>
        <w:suppressAutoHyphens/>
        <w:rPr>
          <w:rFonts w:ascii="Palatino Linotype" w:hAnsi="Palatino Linotype"/>
          <w:sz w:val="24"/>
        </w:rPr>
      </w:pPr>
    </w:p>
    <w:p w:rsidR="00DF231B" w:rsidP="00DF231B" w:rsidRDefault="00DF231B" w14:paraId="0EBFC0C2" w14:textId="77777777">
      <w:pPr>
        <w:suppressAutoHyphens/>
        <w:rPr>
          <w:rFonts w:ascii="Palatino Linotype" w:hAnsi="Palatino Linotype"/>
          <w:sz w:val="24"/>
        </w:rPr>
      </w:pPr>
    </w:p>
    <w:tbl>
      <w:tblPr>
        <w:tblW w:w="0" w:type="auto"/>
        <w:jc w:val="right"/>
        <w:tblLayout w:type="fixed"/>
        <w:tblLook w:val="0000" w:firstRow="0" w:lastRow="0" w:firstColumn="0" w:lastColumn="0" w:noHBand="0" w:noVBand="0"/>
      </w:tblPr>
      <w:tblGrid>
        <w:gridCol w:w="3870"/>
      </w:tblGrid>
      <w:tr w:rsidR="00DF231B" w:rsidTr="007F2286" w14:paraId="1398DFEB" w14:textId="77777777">
        <w:trPr>
          <w:jc w:val="right"/>
        </w:trPr>
        <w:tc>
          <w:tcPr>
            <w:tcW w:w="3870" w:type="dxa"/>
            <w:tcBorders>
              <w:bottom w:val="single" w:color="auto" w:sz="6" w:space="0"/>
            </w:tcBorders>
          </w:tcPr>
          <w:p w:rsidR="00DF231B" w:rsidP="007F2286" w:rsidRDefault="00DF231B" w14:paraId="6D529130" w14:textId="77777777">
            <w:pPr>
              <w:suppressAutoHyphens/>
              <w:ind w:right="-648"/>
              <w:rPr>
                <w:rFonts w:ascii="Palatino Linotype" w:hAnsi="Palatino Linotype"/>
                <w:sz w:val="24"/>
              </w:rPr>
            </w:pPr>
            <w:r>
              <w:rPr>
                <w:rFonts w:ascii="Palatino Linotype" w:hAnsi="Palatino Linotype"/>
                <w:sz w:val="24"/>
              </w:rPr>
              <w:t xml:space="preserve">           </w:t>
            </w:r>
          </w:p>
        </w:tc>
      </w:tr>
      <w:tr w:rsidR="00DF231B" w:rsidTr="007F2286" w14:paraId="0F570867" w14:textId="77777777">
        <w:trPr>
          <w:jc w:val="right"/>
        </w:trPr>
        <w:tc>
          <w:tcPr>
            <w:tcW w:w="3870" w:type="dxa"/>
          </w:tcPr>
          <w:p w:rsidR="00DF231B" w:rsidP="00D970E1" w:rsidRDefault="00DF231B" w14:paraId="6AD2E90D" w14:textId="77777777">
            <w:pPr>
              <w:pStyle w:val="Heading6"/>
              <w:keepNext w:val="0"/>
              <w:suppressAutoHyphens/>
              <w:spacing w:before="0"/>
              <w:jc w:val="center"/>
              <w:rPr>
                <w:rFonts w:ascii="Palatino Linotype" w:hAnsi="Palatino Linotype"/>
              </w:rPr>
            </w:pPr>
            <w:r>
              <w:rPr>
                <w:rFonts w:ascii="Palatino Linotype" w:hAnsi="Palatino Linotype"/>
              </w:rPr>
              <w:t>RACHEL PETERSON</w:t>
            </w:r>
          </w:p>
          <w:p w:rsidR="00DF231B" w:rsidP="00D970E1" w:rsidRDefault="00DF231B" w14:paraId="384377C8" w14:textId="77777777">
            <w:pPr>
              <w:pStyle w:val="Heading6"/>
              <w:keepNext w:val="0"/>
              <w:suppressAutoHyphens/>
              <w:spacing w:before="0"/>
              <w:jc w:val="center"/>
              <w:rPr>
                <w:rFonts w:ascii="Palatino Linotype" w:hAnsi="Palatino Linotype"/>
              </w:rPr>
            </w:pPr>
            <w:r>
              <w:rPr>
                <w:rFonts w:ascii="Palatino Linotype" w:hAnsi="Palatino Linotype"/>
              </w:rPr>
              <w:t>Executive Director</w:t>
            </w:r>
          </w:p>
        </w:tc>
      </w:tr>
    </w:tbl>
    <w:p w:rsidR="00DF231B" w:rsidP="00DF231B" w:rsidRDefault="00DF231B" w14:paraId="18EA1B9B" w14:textId="77777777"/>
    <w:p w:rsidR="001349FC" w:rsidRDefault="001349FC" w14:paraId="2DB0CD06" w14:textId="77777777"/>
    <w:sectPr w:rsidR="001349FC" w:rsidSect="007F2286">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30C72" w14:textId="77777777" w:rsidR="003022E5" w:rsidRDefault="003022E5" w:rsidP="00DF231B">
      <w:r>
        <w:separator/>
      </w:r>
    </w:p>
  </w:endnote>
  <w:endnote w:type="continuationSeparator" w:id="0">
    <w:p w14:paraId="02475707" w14:textId="77777777" w:rsidR="003022E5" w:rsidRDefault="003022E5" w:rsidP="00DF231B">
      <w:r>
        <w:continuationSeparator/>
      </w:r>
    </w:p>
  </w:endnote>
  <w:endnote w:type="continuationNotice" w:id="1">
    <w:p w14:paraId="56CACC00" w14:textId="77777777" w:rsidR="003022E5" w:rsidRDefault="00302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Yu Mincho">
    <w:altName w:val="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454401"/>
      <w:docPartObj>
        <w:docPartGallery w:val="Page Numbers (Bottom of Page)"/>
        <w:docPartUnique/>
      </w:docPartObj>
    </w:sdtPr>
    <w:sdtEndPr>
      <w:rPr>
        <w:noProof/>
      </w:rPr>
    </w:sdtEndPr>
    <w:sdtContent>
      <w:p w14:paraId="2BA15E7F" w14:textId="77777777" w:rsidR="007F2286" w:rsidRDefault="009D17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00A4D" w14:textId="77777777" w:rsidR="007F2286" w:rsidRDefault="007F2286" w:rsidP="007F2286">
    <w:pPr>
      <w:pStyle w:val="Footer"/>
      <w:rPr>
        <w:rFonts w:ascii="Tahoma" w:hAnsi="Tahoma" w:cs="Tahoma"/>
      </w:rPr>
    </w:pPr>
  </w:p>
  <w:p w14:paraId="6E07E4EA" w14:textId="77777777" w:rsidR="007F2286" w:rsidRDefault="007F2286" w:rsidP="007F2286">
    <w:pPr>
      <w:pStyle w:val="Footer"/>
      <w:rPr>
        <w:rFonts w:ascii="Tahoma" w:hAnsi="Tahoma" w:cs="Tahoma"/>
      </w:rPr>
    </w:pPr>
  </w:p>
  <w:p w14:paraId="3FE5E702" w14:textId="3ED7C2B9" w:rsidR="007F2286" w:rsidRDefault="00A8611B" w:rsidP="007F2286">
    <w:pPr>
      <w:pStyle w:val="Footer"/>
      <w:rPr>
        <w:rFonts w:ascii="Tahoma" w:hAnsi="Tahoma" w:cs="Tahoma"/>
      </w:rPr>
    </w:pPr>
    <w:r>
      <w:rPr>
        <w:rFonts w:ascii="Arial" w:hAnsi="Arial" w:cs="Arial"/>
        <w:color w:val="000000"/>
        <w:sz w:val="18"/>
        <w:szCs w:val="18"/>
        <w:shd w:val="clear" w:color="auto" w:fill="FFFFFF"/>
      </w:rPr>
      <w:t>370636522  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FDB54" w14:textId="77777777" w:rsidR="003022E5" w:rsidRDefault="003022E5" w:rsidP="00DF231B">
      <w:r>
        <w:separator/>
      </w:r>
    </w:p>
  </w:footnote>
  <w:footnote w:type="continuationSeparator" w:id="0">
    <w:p w14:paraId="317B6BC3" w14:textId="77777777" w:rsidR="003022E5" w:rsidRDefault="003022E5" w:rsidP="00DF231B">
      <w:r>
        <w:continuationSeparator/>
      </w:r>
    </w:p>
  </w:footnote>
  <w:footnote w:type="continuationNotice" w:id="1">
    <w:p w14:paraId="01EDD552" w14:textId="77777777" w:rsidR="003022E5" w:rsidRDefault="003022E5"/>
  </w:footnote>
  <w:footnote w:id="2">
    <w:p w14:paraId="0C76A1C5" w14:textId="48465467" w:rsidR="0256EE47" w:rsidRPr="007B6B57" w:rsidRDefault="0256EE47" w:rsidP="00207691">
      <w:pPr>
        <w:pStyle w:val="FootnoteText"/>
        <w:rPr>
          <w:rFonts w:ascii="Palatino Linotype" w:hAnsi="Palatino Linotype"/>
        </w:rPr>
      </w:pPr>
      <w:r w:rsidRPr="007B6B57">
        <w:rPr>
          <w:rStyle w:val="FootnoteReference"/>
          <w:rFonts w:ascii="Palatino Linotype" w:hAnsi="Palatino Linotype"/>
        </w:rPr>
        <w:footnoteRef/>
      </w:r>
      <w:r w:rsidRPr="007B6B57">
        <w:rPr>
          <w:rFonts w:ascii="Palatino Linotype" w:hAnsi="Palatino Linotype"/>
        </w:rPr>
        <w:t xml:space="preserve"> </w:t>
      </w:r>
      <w:r w:rsidRPr="007B6B57">
        <w:rPr>
          <w:rFonts w:ascii="Palatino Linotype" w:hAnsi="Palatino Linotype"/>
          <w:i/>
          <w:iCs/>
        </w:rPr>
        <w:t>See</w:t>
      </w:r>
      <w:r w:rsidRPr="007B6B57">
        <w:rPr>
          <w:rFonts w:ascii="Palatino Linotype" w:hAnsi="Palatino Linotype"/>
        </w:rPr>
        <w:t xml:space="preserve"> Pub. Util. Code §§ 281(a), (d).</w:t>
      </w:r>
    </w:p>
  </w:footnote>
  <w:footnote w:id="3">
    <w:p w14:paraId="6CF79595" w14:textId="77777777" w:rsidR="000141E5" w:rsidRPr="007B6B57" w:rsidRDefault="000141E5" w:rsidP="000141E5">
      <w:pPr>
        <w:pStyle w:val="FootnoteText"/>
        <w:rPr>
          <w:rFonts w:ascii="Palatino Linotype" w:hAnsi="Palatino Linotype"/>
        </w:rPr>
      </w:pPr>
      <w:r w:rsidRPr="007B6B57">
        <w:rPr>
          <w:rStyle w:val="FootnoteReference"/>
          <w:rFonts w:ascii="Palatino Linotype" w:hAnsi="Palatino Linotype"/>
        </w:rPr>
        <w:footnoteRef/>
      </w:r>
      <w:r w:rsidRPr="007B6B57">
        <w:rPr>
          <w:rFonts w:ascii="Palatino Linotype" w:hAnsi="Palatino Linotype"/>
        </w:rPr>
        <w:t xml:space="preserve"> Please see the CASF website for more details regarding the program: </w:t>
      </w:r>
      <w:hyperlink r:id="rId1" w:history="1">
        <w:r w:rsidRPr="007B6B57">
          <w:rPr>
            <w:rStyle w:val="Hyperlink"/>
            <w:rFonts w:ascii="Palatino Linotype" w:hAnsi="Palatino Linotype"/>
          </w:rPr>
          <w:t>https://www.cpuc.ca.gov/casf/</w:t>
        </w:r>
      </w:hyperlink>
      <w:r w:rsidRPr="007B6B57">
        <w:rPr>
          <w:rFonts w:ascii="Palatino Linotype" w:hAnsi="Palatino Linotype"/>
        </w:rPr>
        <w:t xml:space="preserve">. </w:t>
      </w:r>
    </w:p>
  </w:footnote>
  <w:footnote w:id="4">
    <w:p w14:paraId="4577CEFC" w14:textId="280D35E3" w:rsidR="002022D6" w:rsidRPr="007B6B57" w:rsidRDefault="002022D6">
      <w:pPr>
        <w:pStyle w:val="FootnoteText"/>
        <w:rPr>
          <w:rFonts w:ascii="Palatino Linotype" w:hAnsi="Palatino Linotype"/>
        </w:rPr>
      </w:pPr>
      <w:r w:rsidRPr="007B6B57">
        <w:rPr>
          <w:rStyle w:val="FootnoteReference"/>
          <w:rFonts w:ascii="Palatino Linotype" w:hAnsi="Palatino Linotype"/>
        </w:rPr>
        <w:footnoteRef/>
      </w:r>
      <w:r w:rsidRPr="007B6B57">
        <w:rPr>
          <w:rFonts w:ascii="Palatino Linotype" w:hAnsi="Palatino Linotype"/>
        </w:rPr>
        <w:t xml:space="preserve"> The prior Annual Reports are available at: </w:t>
      </w:r>
      <w:hyperlink r:id="rId2" w:history="1">
        <w:r w:rsidRPr="007B6B57">
          <w:rPr>
            <w:rStyle w:val="Hyperlink"/>
            <w:rFonts w:ascii="Palatino Linotype" w:hAnsi="Palatino Linotype"/>
          </w:rPr>
          <w:t>http://www.cpuc.ca.gov/General.aspx?id=9226</w:t>
        </w:r>
      </w:hyperlink>
      <w:r w:rsidRPr="007B6B57">
        <w:rPr>
          <w:rFonts w:ascii="Palatino Linotype" w:hAnsi="Palatino Linotype"/>
        </w:rPr>
        <w:t xml:space="preserve">. </w:t>
      </w:r>
    </w:p>
  </w:footnote>
  <w:footnote w:id="5">
    <w:p w14:paraId="4D7C557D" w14:textId="571586DE" w:rsidR="0256EE47" w:rsidRPr="007B6B57" w:rsidRDefault="0256EE47" w:rsidP="00255925">
      <w:pPr>
        <w:pStyle w:val="FootnoteText"/>
        <w:rPr>
          <w:rFonts w:ascii="Palatino Linotype" w:hAnsi="Palatino Linotype"/>
        </w:rPr>
      </w:pPr>
      <w:r w:rsidRPr="007B6B57">
        <w:rPr>
          <w:rStyle w:val="FootnoteReference"/>
          <w:rFonts w:ascii="Palatino Linotype" w:hAnsi="Palatino Linotype"/>
        </w:rPr>
        <w:footnoteRef/>
      </w:r>
      <w:r w:rsidRPr="007B6B57">
        <w:rPr>
          <w:rFonts w:ascii="Palatino Linotype" w:hAnsi="Palatino Linotype"/>
        </w:rPr>
        <w:t xml:space="preserve"> Pub. Util. Code</w:t>
      </w:r>
      <w:r w:rsidR="00AC6BAF">
        <w:rPr>
          <w:rFonts w:ascii="Palatino Linotype" w:hAnsi="Palatino Linotype"/>
        </w:rPr>
        <w:t xml:space="preserve">, </w:t>
      </w:r>
      <w:r w:rsidRPr="007B6B57">
        <w:rPr>
          <w:rFonts w:ascii="Palatino Linotype" w:hAnsi="Palatino Linotype"/>
        </w:rPr>
        <w:t>§ 914.7(a)(9).</w:t>
      </w:r>
    </w:p>
  </w:footnote>
  <w:footnote w:id="6">
    <w:p w14:paraId="118FE4E8" w14:textId="229FD88F" w:rsidR="0256EE47" w:rsidRPr="007B6B57" w:rsidRDefault="0256EE47" w:rsidP="0256EE47">
      <w:pPr>
        <w:pStyle w:val="FootnoteText"/>
        <w:rPr>
          <w:rFonts w:ascii="Palatino Linotype" w:hAnsi="Palatino Linotype"/>
        </w:rPr>
      </w:pPr>
      <w:r w:rsidRPr="007B6B57">
        <w:rPr>
          <w:rStyle w:val="FootnoteReference"/>
          <w:rFonts w:ascii="Palatino Linotype" w:hAnsi="Palatino Linotype"/>
        </w:rPr>
        <w:footnoteRef/>
      </w:r>
      <w:r w:rsidRPr="007B6B57">
        <w:rPr>
          <w:rFonts w:ascii="Palatino Linotype" w:hAnsi="Palatino Linotype"/>
        </w:rPr>
        <w:t>Declaration of Ross Johnson in Support of Claim for Confidential Treatment by AT&amp;T California of Information Regarding California Advanced Services Fund Projects, ¶ 3.</w:t>
      </w:r>
    </w:p>
  </w:footnote>
  <w:footnote w:id="7">
    <w:p w14:paraId="5F9AFEB5" w14:textId="22D872DF" w:rsidR="0256EE47" w:rsidRPr="007B6B57" w:rsidRDefault="0256EE47" w:rsidP="00255925">
      <w:pPr>
        <w:pStyle w:val="FootnoteText"/>
        <w:rPr>
          <w:rFonts w:ascii="Palatino Linotype" w:hAnsi="Palatino Linotype"/>
        </w:rPr>
      </w:pPr>
      <w:r w:rsidRPr="007B6B57">
        <w:rPr>
          <w:rStyle w:val="FootnoteReference"/>
          <w:rFonts w:ascii="Palatino Linotype" w:hAnsi="Palatino Linotype"/>
        </w:rPr>
        <w:footnoteRef/>
      </w:r>
      <w:r w:rsidRPr="007B6B57">
        <w:rPr>
          <w:rFonts w:ascii="Palatino Linotype" w:hAnsi="Palatino Linotype"/>
        </w:rPr>
        <w:t xml:space="preserve"> </w:t>
      </w:r>
      <w:r w:rsidRPr="007B6B57">
        <w:rPr>
          <w:rFonts w:ascii="Palatino Linotype" w:hAnsi="Palatino Linotype"/>
          <w:i/>
          <w:iCs/>
        </w:rPr>
        <w:t>Id</w:t>
      </w:r>
      <w:r w:rsidRPr="007B6B57">
        <w:rPr>
          <w:rFonts w:ascii="Palatino Linotype" w:hAnsi="Palatino Linotype"/>
        </w:rPr>
        <w:t>.</w:t>
      </w:r>
    </w:p>
  </w:footnote>
  <w:footnote w:id="8">
    <w:p w14:paraId="39BA752B" w14:textId="5337EE1C" w:rsidR="00460EED" w:rsidRPr="007B6B57" w:rsidRDefault="00460EED">
      <w:pPr>
        <w:pStyle w:val="FootnoteText"/>
        <w:rPr>
          <w:rFonts w:ascii="Palatino Linotype" w:hAnsi="Palatino Linotype"/>
        </w:rPr>
      </w:pPr>
      <w:r w:rsidRPr="007B6B57">
        <w:rPr>
          <w:rStyle w:val="FootnoteReference"/>
          <w:rFonts w:ascii="Palatino Linotype" w:hAnsi="Palatino Linotype"/>
        </w:rPr>
        <w:footnoteRef/>
      </w:r>
      <w:r w:rsidR="3890975A" w:rsidRPr="007B6B57">
        <w:rPr>
          <w:rFonts w:ascii="Palatino Linotype" w:hAnsi="Palatino Linotype"/>
        </w:rPr>
        <w:t xml:space="preserve"> Declaration of Ross Johnson in Support of Claim for Confidential Treatment by AT&amp;T California of Information Regarding California Advanced Services Fund Projects, ¶ 4.</w:t>
      </w:r>
    </w:p>
  </w:footnote>
  <w:footnote w:id="9">
    <w:p w14:paraId="062A61C6" w14:textId="7A1E30E5" w:rsidR="3890975A" w:rsidRPr="007B6B57" w:rsidRDefault="3890975A" w:rsidP="00FF21A9">
      <w:pPr>
        <w:pStyle w:val="FootnoteText"/>
        <w:rPr>
          <w:rFonts w:ascii="Palatino Linotype" w:hAnsi="Palatino Linotype"/>
        </w:rPr>
      </w:pPr>
      <w:r w:rsidRPr="007B6B57">
        <w:rPr>
          <w:rStyle w:val="FootnoteReference"/>
          <w:rFonts w:ascii="Palatino Linotype" w:hAnsi="Palatino Linotype"/>
        </w:rPr>
        <w:footnoteRef/>
      </w:r>
      <w:r w:rsidRPr="007B6B57">
        <w:rPr>
          <w:rFonts w:ascii="Palatino Linotype" w:hAnsi="Palatino Linotype"/>
        </w:rPr>
        <w:t xml:space="preserve"> D.20-12-021, p. 23 (citations omitted).</w:t>
      </w:r>
    </w:p>
  </w:footnote>
  <w:footnote w:id="10">
    <w:p w14:paraId="2F5BAF63" w14:textId="27E45363" w:rsidR="0256EE47" w:rsidRPr="007B6B57" w:rsidRDefault="0256EE47" w:rsidP="00255925">
      <w:pPr>
        <w:pStyle w:val="FootnoteText"/>
        <w:rPr>
          <w:rFonts w:ascii="Palatino Linotype" w:hAnsi="Palatino Linotype"/>
        </w:rPr>
      </w:pPr>
      <w:r w:rsidRPr="007B6B57">
        <w:rPr>
          <w:rStyle w:val="FootnoteReference"/>
          <w:rFonts w:ascii="Palatino Linotype" w:hAnsi="Palatino Linotype"/>
        </w:rPr>
        <w:footnoteRef/>
      </w:r>
      <w:r w:rsidRPr="007B6B57">
        <w:rPr>
          <w:rFonts w:ascii="Palatino Linotype" w:hAnsi="Palatino Linotype"/>
        </w:rPr>
        <w:t xml:space="preserve"> Pub. Util. Code</w:t>
      </w:r>
      <w:r w:rsidR="00B636C6">
        <w:rPr>
          <w:rFonts w:ascii="Palatino Linotype" w:hAnsi="Palatino Linotype"/>
        </w:rPr>
        <w:t>,</w:t>
      </w:r>
      <w:r w:rsidRPr="007B6B57">
        <w:rPr>
          <w:rFonts w:ascii="Palatino Linotype" w:hAnsi="Palatino Linotype"/>
        </w:rPr>
        <w:t xml:space="preserve"> § 281(f)(4)(B)(ii).</w:t>
      </w:r>
    </w:p>
  </w:footnote>
  <w:footnote w:id="11">
    <w:p w14:paraId="6C14C5AA" w14:textId="7D5FC6C4" w:rsidR="0256EE47" w:rsidRPr="007B6B57" w:rsidRDefault="0256EE47" w:rsidP="00255925">
      <w:pPr>
        <w:pStyle w:val="FootnoteText"/>
        <w:rPr>
          <w:rFonts w:ascii="Palatino Linotype" w:hAnsi="Palatino Linotype"/>
        </w:rPr>
      </w:pPr>
      <w:r w:rsidRPr="007B6B57">
        <w:rPr>
          <w:rStyle w:val="FootnoteReference"/>
          <w:rFonts w:ascii="Palatino Linotype" w:hAnsi="Palatino Linotype"/>
        </w:rPr>
        <w:footnoteRef/>
      </w:r>
      <w:r w:rsidRPr="007B6B57">
        <w:rPr>
          <w:rFonts w:ascii="Palatino Linotype" w:hAnsi="Palatino Linotype"/>
        </w:rPr>
        <w:t xml:space="preserve"> Pub. Util. Code</w:t>
      </w:r>
      <w:r w:rsidR="00B636C6">
        <w:rPr>
          <w:rFonts w:ascii="Palatino Linotype" w:hAnsi="Palatino Linotype"/>
        </w:rPr>
        <w:t>,</w:t>
      </w:r>
      <w:r w:rsidRPr="007B6B57">
        <w:rPr>
          <w:rFonts w:ascii="Palatino Linotype" w:hAnsi="Palatino Linotype"/>
        </w:rPr>
        <w:t xml:space="preserve"> § 281(f)(4)(B)(i) (emphasis added).</w:t>
      </w:r>
    </w:p>
  </w:footnote>
  <w:footnote w:id="12">
    <w:p w14:paraId="6B072915" w14:textId="77777777" w:rsidR="6877351F" w:rsidRPr="007B6B57" w:rsidRDefault="6877351F" w:rsidP="00255925">
      <w:pPr>
        <w:pStyle w:val="FootnoteText"/>
        <w:rPr>
          <w:rFonts w:ascii="Palatino Linotype" w:hAnsi="Palatino Linotype"/>
        </w:rPr>
      </w:pPr>
      <w:r w:rsidRPr="007B6B57">
        <w:rPr>
          <w:rStyle w:val="FootnoteReference"/>
          <w:rFonts w:ascii="Palatino Linotype" w:hAnsi="Palatino Linotype"/>
        </w:rPr>
        <w:footnoteRef/>
      </w:r>
      <w:r w:rsidR="36129757" w:rsidRPr="007B6B57">
        <w:rPr>
          <w:rFonts w:ascii="Palatino Linotype" w:hAnsi="Palatino Linotype"/>
        </w:rPr>
        <w:t xml:space="preserve"> </w:t>
      </w:r>
      <w:r w:rsidR="36129757" w:rsidRPr="007B6B57">
        <w:rPr>
          <w:rFonts w:ascii="Palatino Linotype" w:hAnsi="Palatino Linotype"/>
          <w:i/>
          <w:iCs/>
        </w:rPr>
        <w:t>See</w:t>
      </w:r>
      <w:r w:rsidR="36129757" w:rsidRPr="007B6B57">
        <w:rPr>
          <w:rFonts w:ascii="Palatino Linotype" w:hAnsi="Palatino Linotype"/>
        </w:rPr>
        <w:t xml:space="preserve"> D.12-02-015, pp.25-26 and Appendix 1, Sec. </w:t>
      </w:r>
      <w:r w:rsidR="15C9352B" w:rsidRPr="007B6B57">
        <w:rPr>
          <w:rFonts w:ascii="Palatino Linotype" w:hAnsi="Palatino Linotype"/>
        </w:rPr>
        <w:t>V.</w:t>
      </w:r>
      <w:r w:rsidR="36129757" w:rsidRPr="007B6B57">
        <w:rPr>
          <w:rFonts w:ascii="Palatino Linotype" w:hAnsi="Palatino Linotype"/>
        </w:rPr>
        <w:t>15</w:t>
      </w:r>
      <w:r w:rsidR="15C9352B" w:rsidRPr="007B6B57">
        <w:rPr>
          <w:rFonts w:ascii="Palatino Linotype" w:hAnsi="Palatino Linotype"/>
        </w:rPr>
        <w:t>.;</w:t>
      </w:r>
      <w:r w:rsidR="36129757" w:rsidRPr="007B6B57">
        <w:rPr>
          <w:rFonts w:ascii="Palatino Linotype" w:hAnsi="Palatino Linotype"/>
        </w:rPr>
        <w:t xml:space="preserve"> D.14-02-</w:t>
      </w:r>
      <w:r w:rsidR="15C9352B" w:rsidRPr="007B6B57">
        <w:rPr>
          <w:rFonts w:ascii="Palatino Linotype" w:hAnsi="Palatino Linotype"/>
        </w:rPr>
        <w:t>018, Appendix 2, Sec. 3.1.15; D.18-12-018, Appendix 1, pp. B-3</w:t>
      </w:r>
      <w:r w:rsidR="36129757" w:rsidRPr="007B6B57">
        <w:rPr>
          <w:rFonts w:ascii="Palatino Linotype" w:hAnsi="Palatino Linotype"/>
        </w:rPr>
        <w:t>.</w:t>
      </w:r>
    </w:p>
  </w:footnote>
  <w:footnote w:id="13">
    <w:p w14:paraId="1DA656C2" w14:textId="6F29BB36" w:rsidR="3890975A" w:rsidRPr="007B6B57" w:rsidRDefault="3890975A" w:rsidP="3890975A">
      <w:pPr>
        <w:pStyle w:val="FootnoteText"/>
        <w:rPr>
          <w:rFonts w:ascii="Palatino Linotype" w:hAnsi="Palatino Linotype"/>
        </w:rPr>
      </w:pPr>
      <w:r w:rsidRPr="007B6B57">
        <w:rPr>
          <w:rStyle w:val="FootnoteReference"/>
          <w:rFonts w:ascii="Palatino Linotype" w:hAnsi="Palatino Linotype"/>
        </w:rPr>
        <w:footnoteRef/>
      </w:r>
      <w:r w:rsidRPr="007B6B57">
        <w:rPr>
          <w:rFonts w:ascii="Palatino Linotype" w:hAnsi="Palatino Linotype"/>
        </w:rPr>
        <w:t xml:space="preserve"> D.20-12-021, pp. 22-23, citing </w:t>
      </w:r>
      <w:r w:rsidRPr="007B6B57">
        <w:rPr>
          <w:rFonts w:ascii="Palatino Linotype" w:hAnsi="Palatino Linotype"/>
          <w:i/>
          <w:iCs/>
        </w:rPr>
        <w:t>Yield Dynamics, Inc. v. TEA Systems Corp</w:t>
      </w:r>
      <w:r w:rsidRPr="007B6B57">
        <w:rPr>
          <w:rFonts w:ascii="Palatino Linotype" w:hAnsi="Palatino Linotype"/>
        </w:rPr>
        <w:t>. (2007) 154 Cal.App.4th 547, 564-565.</w:t>
      </w:r>
    </w:p>
  </w:footnote>
  <w:footnote w:id="14">
    <w:p w14:paraId="5C8C6C02" w14:textId="6CE8C2C8" w:rsidR="3890975A" w:rsidRPr="007B6B57" w:rsidRDefault="3890975A" w:rsidP="3890975A">
      <w:pPr>
        <w:pStyle w:val="FootnoteText"/>
        <w:rPr>
          <w:rFonts w:ascii="Palatino Linotype" w:hAnsi="Palatino Linotype"/>
          <w:i/>
          <w:iCs/>
        </w:rPr>
      </w:pPr>
      <w:r w:rsidRPr="007B6B57">
        <w:rPr>
          <w:rStyle w:val="FootnoteReference"/>
          <w:rFonts w:ascii="Palatino Linotype" w:hAnsi="Palatino Linotype"/>
        </w:rPr>
        <w:footnoteRef/>
      </w:r>
      <w:r w:rsidRPr="007B6B57">
        <w:rPr>
          <w:rFonts w:ascii="Palatino Linotype" w:hAnsi="Palatino Linotype"/>
        </w:rPr>
        <w:t xml:space="preserve">See </w:t>
      </w:r>
      <w:r w:rsidRPr="007B6B57">
        <w:rPr>
          <w:rFonts w:ascii="Palatino Linotype" w:hAnsi="Palatino Linotype"/>
          <w:i/>
          <w:iCs/>
        </w:rPr>
        <w:t xml:space="preserve">e.g. </w:t>
      </w:r>
      <w:hyperlink r:id="rId3">
        <w:r w:rsidRPr="007B6B57">
          <w:rPr>
            <w:rStyle w:val="Hyperlink"/>
            <w:rFonts w:ascii="Palatino Linotype" w:hAnsi="Palatino Linotype"/>
            <w:lang w:val="en"/>
          </w:rPr>
          <w:t xml:space="preserve">CASF Annual Report, January 2019 - December 2019 </w:t>
        </w:r>
      </w:hyperlink>
      <w:r w:rsidRPr="007B6B57">
        <w:rPr>
          <w:rFonts w:ascii="Palatino Linotype" w:hAnsi="Palatino Linotype"/>
          <w:color w:val="333333"/>
          <w:lang w:val="en"/>
        </w:rPr>
        <w:t xml:space="preserve">and </w:t>
      </w:r>
      <w:hyperlink r:id="rId4">
        <w:r w:rsidRPr="007B6B57">
          <w:rPr>
            <w:rStyle w:val="Hyperlink"/>
            <w:rFonts w:ascii="Palatino Linotype" w:hAnsi="Palatino Linotype"/>
            <w:lang w:val="en"/>
          </w:rPr>
          <w:t xml:space="preserve">CASF Annual Report, January 2018 - December 2018.  </w:t>
        </w:r>
      </w:hyperlink>
    </w:p>
  </w:footnote>
  <w:footnote w:id="15">
    <w:p w14:paraId="0A876B05" w14:textId="26CCADBE" w:rsidR="3890975A" w:rsidRPr="007B6B57" w:rsidRDefault="3890975A" w:rsidP="3890975A">
      <w:pPr>
        <w:pStyle w:val="FootnoteText"/>
        <w:rPr>
          <w:rFonts w:ascii="Palatino Linotype" w:hAnsi="Palatino Linotype"/>
        </w:rPr>
      </w:pPr>
      <w:r w:rsidRPr="007B6B57">
        <w:rPr>
          <w:rStyle w:val="FootnoteReference"/>
          <w:rFonts w:ascii="Palatino Linotype" w:hAnsi="Palatino Linotype"/>
        </w:rPr>
        <w:footnoteRef/>
      </w:r>
      <w:r w:rsidRPr="007B6B57">
        <w:rPr>
          <w:rFonts w:ascii="Palatino Linotype" w:hAnsi="Palatino Linotype"/>
        </w:rPr>
        <w:t xml:space="preserve"> D.20-12-021, p. 20 (citations omitted).</w:t>
      </w:r>
    </w:p>
  </w:footnote>
  <w:footnote w:id="16">
    <w:p w14:paraId="2FCC3A1D" w14:textId="0D514505" w:rsidR="0256EE47" w:rsidRPr="007B6B57" w:rsidRDefault="0256EE47" w:rsidP="00147825">
      <w:pPr>
        <w:pStyle w:val="FootnoteText"/>
        <w:rPr>
          <w:rFonts w:ascii="Palatino Linotype" w:hAnsi="Palatino Linotype"/>
        </w:rPr>
      </w:pPr>
      <w:r w:rsidRPr="007B6B57">
        <w:rPr>
          <w:rStyle w:val="FootnoteReference"/>
          <w:rFonts w:ascii="Palatino Linotype" w:hAnsi="Palatino Linotype"/>
        </w:rPr>
        <w:footnoteRef/>
      </w:r>
      <w:r w:rsidRPr="007B6B57">
        <w:rPr>
          <w:rFonts w:ascii="Palatino Linotype" w:hAnsi="Palatino Linotype"/>
        </w:rPr>
        <w:t xml:space="preserve"> </w:t>
      </w:r>
      <w:r w:rsidRPr="007B6B57">
        <w:rPr>
          <w:rFonts w:ascii="Palatino Linotype" w:hAnsi="Palatino Linotype"/>
          <w:i/>
          <w:iCs/>
        </w:rPr>
        <w:t>See</w:t>
      </w:r>
      <w:r w:rsidRPr="007B6B57">
        <w:rPr>
          <w:rFonts w:ascii="Palatino Linotype" w:hAnsi="Palatino Linotype"/>
        </w:rPr>
        <w:t xml:space="preserve"> Pub. Util. Code</w:t>
      </w:r>
      <w:r w:rsidR="003002A8">
        <w:rPr>
          <w:rFonts w:ascii="Palatino Linotype" w:hAnsi="Palatino Linotype"/>
        </w:rPr>
        <w:t>,</w:t>
      </w:r>
      <w:r w:rsidRPr="007B6B57">
        <w:rPr>
          <w:rFonts w:ascii="Palatino Linotype" w:hAnsi="Palatino Linotype"/>
        </w:rPr>
        <w:t xml:space="preserve"> §§ 281(a)(d).</w:t>
      </w:r>
    </w:p>
  </w:footnote>
  <w:footnote w:id="17">
    <w:p w14:paraId="7CE0A932" w14:textId="01D18F63" w:rsidR="00802741" w:rsidRPr="007B6B57" w:rsidRDefault="00802741">
      <w:pPr>
        <w:pStyle w:val="FootnoteText"/>
        <w:rPr>
          <w:rFonts w:ascii="Palatino Linotype" w:hAnsi="Palatino Linotype"/>
        </w:rPr>
      </w:pPr>
      <w:r w:rsidRPr="007B6B57">
        <w:rPr>
          <w:rStyle w:val="FootnoteReference"/>
          <w:rFonts w:ascii="Palatino Linotype" w:hAnsi="Palatino Linotype"/>
        </w:rPr>
        <w:footnoteRef/>
      </w:r>
      <w:r w:rsidR="007B6B57" w:rsidRPr="007B6B57">
        <w:rPr>
          <w:rFonts w:ascii="Palatino Linotype" w:hAnsi="Palatino Linotype"/>
        </w:rPr>
        <w:t xml:space="preserve"> </w:t>
      </w:r>
      <w:r w:rsidR="009C79D9" w:rsidRPr="007B6B57">
        <w:rPr>
          <w:rFonts w:ascii="Palatino Linotype" w:hAnsi="Palatino Linotype"/>
        </w:rPr>
        <w:t>Pub. Util. Code</w:t>
      </w:r>
      <w:r w:rsidR="003002A8">
        <w:rPr>
          <w:rFonts w:ascii="Palatino Linotype" w:hAnsi="Palatino Linotype"/>
        </w:rPr>
        <w:t>,</w:t>
      </w:r>
      <w:r w:rsidR="009C79D9" w:rsidRPr="007B6B57">
        <w:rPr>
          <w:rFonts w:ascii="Palatino Linotype" w:hAnsi="Palatino Linotype"/>
        </w:rPr>
        <w:t xml:space="preserve"> § 914.7(a)(9).</w:t>
      </w:r>
    </w:p>
  </w:footnote>
  <w:footnote w:id="18">
    <w:p w14:paraId="7CD024C3" w14:textId="55869F29" w:rsidR="15C9352B" w:rsidRPr="007B6B57" w:rsidRDefault="15C9352B" w:rsidP="00147825">
      <w:pPr>
        <w:pStyle w:val="FootnoteText"/>
        <w:rPr>
          <w:rFonts w:ascii="Palatino Linotype" w:hAnsi="Palatino Linotype"/>
        </w:rPr>
      </w:pPr>
      <w:r w:rsidRPr="007B6B57">
        <w:rPr>
          <w:rStyle w:val="FootnoteReference"/>
          <w:rFonts w:ascii="Palatino Linotype" w:hAnsi="Palatino Linotype"/>
        </w:rPr>
        <w:footnoteRef/>
      </w:r>
      <w:r w:rsidRPr="007B6B57">
        <w:rPr>
          <w:rFonts w:ascii="Palatino Linotype" w:hAnsi="Palatino Linotype"/>
        </w:rPr>
        <w:t xml:space="preserve"> California Constitution, Article I, § 3(b)(1).</w:t>
      </w:r>
    </w:p>
  </w:footnote>
  <w:footnote w:id="19">
    <w:p w14:paraId="69D38D78" w14:textId="140DABEB" w:rsidR="15C9352B" w:rsidRPr="007B6B57" w:rsidRDefault="15C9352B" w:rsidP="00147825">
      <w:pPr>
        <w:pStyle w:val="FootnoteText"/>
        <w:rPr>
          <w:rFonts w:ascii="Palatino Linotype" w:hAnsi="Palatino Linotype"/>
        </w:rPr>
      </w:pPr>
      <w:r w:rsidRPr="007B6B57">
        <w:rPr>
          <w:rStyle w:val="FootnoteReference"/>
          <w:rFonts w:ascii="Palatino Linotype" w:hAnsi="Palatino Linotype"/>
        </w:rPr>
        <w:footnoteRef/>
      </w:r>
      <w:r w:rsidRPr="007B6B57">
        <w:rPr>
          <w:rFonts w:ascii="Palatino Linotype" w:hAnsi="Palatino Linotype"/>
        </w:rPr>
        <w:t xml:space="preserve"> </w:t>
      </w:r>
      <w:r w:rsidRPr="007B6B57">
        <w:rPr>
          <w:rFonts w:ascii="Palatino Linotype" w:hAnsi="Palatino Linotype"/>
          <w:i/>
          <w:iCs/>
        </w:rPr>
        <w:t>See</w:t>
      </w:r>
      <w:r w:rsidRPr="007B6B57">
        <w:rPr>
          <w:rFonts w:ascii="Palatino Linotype" w:hAnsi="Palatino Linotype"/>
        </w:rPr>
        <w:t xml:space="preserve"> California Constitution, Article I, § 3(b)(2).</w:t>
      </w:r>
    </w:p>
  </w:footnote>
  <w:footnote w:id="20">
    <w:p w14:paraId="134A80C4" w14:textId="5A9FE01D" w:rsidR="15C9352B" w:rsidRPr="007B6B57" w:rsidRDefault="15C9352B" w:rsidP="00147825">
      <w:pPr>
        <w:pStyle w:val="FootnoteText"/>
        <w:rPr>
          <w:rFonts w:ascii="Palatino Linotype" w:hAnsi="Palatino Linotype"/>
        </w:rPr>
      </w:pPr>
      <w:r w:rsidRPr="007B6B57">
        <w:rPr>
          <w:rStyle w:val="FootnoteReference"/>
          <w:rFonts w:ascii="Palatino Linotype" w:hAnsi="Palatino Linotype"/>
        </w:rPr>
        <w:footnoteRef/>
      </w:r>
      <w:r w:rsidRPr="007B6B57">
        <w:rPr>
          <w:rFonts w:ascii="Palatino Linotype" w:hAnsi="Palatino Linotype"/>
        </w:rPr>
        <w:t xml:space="preserve"> </w:t>
      </w:r>
      <w:r w:rsidRPr="007B6B57">
        <w:rPr>
          <w:rFonts w:ascii="Palatino Linotype" w:hAnsi="Palatino Linotype"/>
          <w:i/>
          <w:iCs/>
        </w:rPr>
        <w:t>See</w:t>
      </w:r>
      <w:r w:rsidRPr="007B6B57">
        <w:rPr>
          <w:rFonts w:ascii="Palatino Linotype" w:hAnsi="Palatino Linotype"/>
        </w:rPr>
        <w:t xml:space="preserve"> Pub. Util. Code</w:t>
      </w:r>
      <w:r w:rsidR="006A77BD">
        <w:rPr>
          <w:rFonts w:ascii="Palatino Linotype" w:hAnsi="Palatino Linotype"/>
        </w:rPr>
        <w:t>,</w:t>
      </w:r>
      <w:r w:rsidRPr="007B6B57">
        <w:rPr>
          <w:rFonts w:ascii="Palatino Linotype" w:hAnsi="Palatino Linotype"/>
        </w:rPr>
        <w:t xml:space="preserve"> § 281(f)(4)(B)(ii).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69CFD" w14:textId="1F48BA0D" w:rsidR="007F2286" w:rsidRDefault="009D173E" w:rsidP="007F2286">
    <w:pPr>
      <w:pStyle w:val="Header"/>
      <w:rPr>
        <w:rFonts w:ascii="Palatino Linotype" w:hAnsi="Palatino Linotype"/>
        <w:sz w:val="24"/>
        <w:lang w:val="es-MX"/>
      </w:rPr>
    </w:pPr>
    <w:proofErr w:type="spellStart"/>
    <w:r>
      <w:rPr>
        <w:rFonts w:ascii="Palatino Linotype" w:hAnsi="Palatino Linotype"/>
        <w:sz w:val="24"/>
        <w:lang w:val="es-MX"/>
      </w:rPr>
      <w:t>Resolution</w:t>
    </w:r>
    <w:proofErr w:type="spellEnd"/>
    <w:r>
      <w:rPr>
        <w:rFonts w:ascii="Palatino Linotype" w:hAnsi="Palatino Linotype"/>
        <w:sz w:val="24"/>
        <w:lang w:val="es-MX"/>
      </w:rPr>
      <w:t xml:space="preserve"> T-177</w:t>
    </w:r>
    <w:r w:rsidR="002022D6">
      <w:rPr>
        <w:rFonts w:ascii="Palatino Linotype" w:hAnsi="Palatino Linotype"/>
        <w:sz w:val="24"/>
        <w:lang w:val="es-MX"/>
      </w:rPr>
      <w:t>33</w:t>
    </w:r>
    <w:r>
      <w:rPr>
        <w:rFonts w:ascii="Palatino Linotype" w:hAnsi="Palatino Linotype"/>
        <w:sz w:val="24"/>
        <w:lang w:val="es-MX"/>
      </w:rPr>
      <w:t xml:space="preserve">                                       </w:t>
    </w:r>
    <w:r w:rsidRPr="009E66C6">
      <w:rPr>
        <w:rFonts w:ascii="Palatino Linotype" w:hAnsi="Palatino Linotype"/>
        <w:b/>
        <w:bCs/>
        <w:sz w:val="24"/>
        <w:lang w:val="es-MX"/>
      </w:rPr>
      <w:t>DRAFT</w:t>
    </w:r>
    <w:r>
      <w:rPr>
        <w:rFonts w:ascii="Palatino Linotype" w:hAnsi="Palatino Linotype"/>
        <w:sz w:val="24"/>
        <w:lang w:val="es-MX"/>
      </w:rPr>
      <w:t xml:space="preserve">                                      </w:t>
    </w:r>
    <w:r>
      <w:rPr>
        <w:rFonts w:ascii="Palatino Linotype" w:hAnsi="Palatino Linotype"/>
        <w:sz w:val="24"/>
        <w:lang w:val="es-MX"/>
      </w:rPr>
      <w:tab/>
      <w:t xml:space="preserve"> </w:t>
    </w:r>
    <w:r w:rsidR="004750A1">
      <w:rPr>
        <w:rFonts w:ascii="Palatino Linotype" w:hAnsi="Palatino Linotype"/>
        <w:sz w:val="24"/>
        <w:lang w:val="es-MX"/>
      </w:rPr>
      <w:t>April 15</w:t>
    </w:r>
    <w:r>
      <w:rPr>
        <w:rFonts w:ascii="Palatino Linotype" w:hAnsi="Palatino Linotype"/>
        <w:sz w:val="24"/>
        <w:lang w:val="es-MX"/>
      </w:rPr>
      <w:t>, 2021                                                                           CD/</w:t>
    </w:r>
    <w:r w:rsidR="002022D6">
      <w:rPr>
        <w:rFonts w:ascii="Palatino Linotype" w:hAnsi="Palatino Linotype"/>
        <w:sz w:val="24"/>
        <w:lang w:val="es-MX"/>
      </w:rPr>
      <w:t>XSH</w:t>
    </w:r>
    <w:r>
      <w:rPr>
        <w:rFonts w:ascii="Palatino Linotype" w:hAnsi="Palatino Linotype"/>
        <w:sz w:val="24"/>
        <w:lang w:val="es-MX"/>
      </w:rPr>
      <w:t>/</w:t>
    </w:r>
    <w:r w:rsidR="002022D6">
      <w:rPr>
        <w:rFonts w:ascii="Palatino Linotype" w:hAnsi="Palatino Linotype"/>
        <w:sz w:val="24"/>
        <w:lang w:val="es-MX"/>
      </w:rPr>
      <w:t>EG2</w:t>
    </w:r>
    <w:r>
      <w:rPr>
        <w:rFonts w:ascii="Palatino Linotype" w:hAnsi="Palatino Linotype"/>
        <w:sz w:val="24"/>
        <w:lang w:val="es-MX"/>
      </w:rPr>
      <w:tab/>
      <w:t xml:space="preserve"> </w:t>
    </w:r>
  </w:p>
  <w:p w14:paraId="4C719177" w14:textId="77777777" w:rsidR="007F2286" w:rsidRDefault="009D173E" w:rsidP="007F2286">
    <w:pPr>
      <w:pStyle w:val="Header"/>
    </w:pPr>
    <w:r>
      <w:rPr>
        <w:sz w:val="24"/>
        <w:szCs w:val="24"/>
      </w:rPr>
      <w:t xml:space="preserve">                                      </w:t>
    </w:r>
  </w:p>
  <w:p w14:paraId="3BE6703A" w14:textId="77777777" w:rsidR="007F2286" w:rsidRDefault="009D173E" w:rsidP="007F2286">
    <w:pPr>
      <w:tabs>
        <w:tab w:val="center" w:pos="4680"/>
        <w:tab w:val="right" w:pos="9360"/>
      </w:tabs>
    </w:pPr>
    <w:r>
      <w:rPr>
        <w:rFonts w:ascii="Palatino Linotype" w:hAnsi="Palatino Linotype"/>
        <w:sz w:val="24"/>
        <w:lang w:val="es-MX"/>
      </w:rPr>
      <w:t xml:space="preserve">                                                   </w:t>
    </w:r>
    <w:r>
      <w:rPr>
        <w:rFonts w:ascii="Palatino Linotype" w:hAnsi="Palatino Linotype"/>
        <w:sz w:val="24"/>
        <w:lang w:val="es-MX"/>
      </w:rPr>
      <w:tab/>
      <w:t xml:space="preserve"> </w:t>
    </w:r>
  </w:p>
  <w:p w14:paraId="126C2D6D" w14:textId="77777777" w:rsidR="007F2286" w:rsidRDefault="007F2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CBDC4" w14:textId="77777777" w:rsidR="007F2286" w:rsidRDefault="007F2286">
    <w:pPr>
      <w:pStyle w:val="Footer"/>
      <w:jc w:val="center"/>
    </w:pPr>
  </w:p>
  <w:p w14:paraId="24B7FD33" w14:textId="0120A0F9" w:rsidR="007F2286" w:rsidRDefault="009D173E" w:rsidP="00817686">
    <w:pPr>
      <w:pStyle w:val="Footer"/>
      <w:rPr>
        <w:rFonts w:ascii="Palatino Linotype" w:hAnsi="Palatino Linotype"/>
        <w:sz w:val="24"/>
        <w:lang w:val="es-MX"/>
      </w:rPr>
    </w:pPr>
    <w:proofErr w:type="spellStart"/>
    <w:r w:rsidRPr="0044011D">
      <w:rPr>
        <w:rFonts w:ascii="Palatino Linotype" w:hAnsi="Palatino Linotype"/>
        <w:sz w:val="24"/>
        <w:lang w:val="es-MX"/>
      </w:rPr>
      <w:t>Resolution</w:t>
    </w:r>
    <w:proofErr w:type="spellEnd"/>
    <w:r w:rsidRPr="0044011D">
      <w:rPr>
        <w:rFonts w:ascii="Palatino Linotype" w:hAnsi="Palatino Linotype"/>
        <w:sz w:val="24"/>
        <w:lang w:val="es-MX"/>
      </w:rPr>
      <w:t xml:space="preserve"> T-17</w:t>
    </w:r>
    <w:r>
      <w:rPr>
        <w:rFonts w:ascii="Palatino Linotype" w:hAnsi="Palatino Linotype"/>
        <w:sz w:val="24"/>
        <w:lang w:val="es-MX"/>
      </w:rPr>
      <w:t>7</w:t>
    </w:r>
    <w:r w:rsidR="00DF231B">
      <w:rPr>
        <w:rFonts w:ascii="Palatino Linotype" w:hAnsi="Palatino Linotype"/>
        <w:sz w:val="24"/>
        <w:lang w:val="es-MX"/>
      </w:rPr>
      <w:t>33</w:t>
    </w:r>
    <w:r>
      <w:rPr>
        <w:rFonts w:ascii="Palatino Linotype" w:hAnsi="Palatino Linotype"/>
        <w:sz w:val="24"/>
        <w:lang w:val="es-MX"/>
      </w:rPr>
      <w:t xml:space="preserve">                                    </w:t>
    </w:r>
    <w:r w:rsidRPr="00D916F6">
      <w:rPr>
        <w:rFonts w:ascii="Palatino Linotype" w:hAnsi="Palatino Linotype"/>
        <w:b/>
        <w:sz w:val="24"/>
        <w:lang w:val="es-MX"/>
      </w:rPr>
      <w:t>DRAFT</w:t>
    </w:r>
    <w:r>
      <w:rPr>
        <w:rFonts w:ascii="Palatino Linotype" w:hAnsi="Palatino Linotype"/>
        <w:sz w:val="24"/>
        <w:lang w:val="es-MX"/>
      </w:rPr>
      <w:t xml:space="preserve">                           </w:t>
    </w:r>
    <w:r>
      <w:rPr>
        <w:rFonts w:ascii="Palatino Linotype" w:hAnsi="Palatino Linotype"/>
        <w:sz w:val="24"/>
        <w:lang w:val="es-MX"/>
      </w:rPr>
      <w:tab/>
      <w:t xml:space="preserve">Agenda ID # </w:t>
    </w:r>
    <w:r w:rsidR="004708D4">
      <w:rPr>
        <w:rFonts w:ascii="Palatino Linotype" w:hAnsi="Palatino Linotype"/>
        <w:sz w:val="24"/>
        <w:lang w:val="es-MX"/>
      </w:rPr>
      <w:t>19304</w:t>
    </w:r>
    <w:r>
      <w:rPr>
        <w:rFonts w:ascii="Palatino Linotype" w:hAnsi="Palatino Linotype"/>
        <w:sz w:val="24"/>
        <w:lang w:val="es-MX"/>
      </w:rPr>
      <w:t xml:space="preserve">                                                            </w:t>
    </w:r>
  </w:p>
  <w:p w14:paraId="4179535C" w14:textId="2538C61F" w:rsidR="007F2286" w:rsidRPr="00544DDC" w:rsidRDefault="009D173E" w:rsidP="007F2286">
    <w:pPr>
      <w:pStyle w:val="Header"/>
      <w:rPr>
        <w:rFonts w:ascii="Palatino Linotype" w:hAnsi="Palatino Linotype"/>
        <w:sz w:val="24"/>
        <w:lang w:val="es-MX"/>
      </w:rPr>
    </w:pPr>
    <w:bookmarkStart w:id="4" w:name="_Hlk66348431"/>
    <w:r>
      <w:rPr>
        <w:rFonts w:ascii="Palatino Linotype" w:hAnsi="Palatino Linotype"/>
        <w:sz w:val="24"/>
        <w:lang w:val="es-MX"/>
      </w:rPr>
      <w:t>CD/</w:t>
    </w:r>
    <w:r w:rsidR="00DF231B">
      <w:rPr>
        <w:rFonts w:ascii="Palatino Linotype" w:hAnsi="Palatino Linotype"/>
        <w:sz w:val="24"/>
        <w:lang w:val="es-MX"/>
      </w:rPr>
      <w:t>XSH</w:t>
    </w:r>
    <w:r>
      <w:rPr>
        <w:rFonts w:ascii="Palatino Linotype" w:hAnsi="Palatino Linotype"/>
        <w:sz w:val="24"/>
        <w:lang w:val="es-MX"/>
      </w:rPr>
      <w:t>/</w:t>
    </w:r>
    <w:r w:rsidR="00DF231B">
      <w:rPr>
        <w:rFonts w:ascii="Palatino Linotype" w:hAnsi="Palatino Linotype"/>
        <w:sz w:val="24"/>
        <w:lang w:val="es-MX"/>
      </w:rPr>
      <w:t>EG2</w:t>
    </w:r>
    <w:r>
      <w:rPr>
        <w:rFonts w:ascii="Palatino Linotype" w:hAnsi="Palatino Linotype"/>
        <w:sz w:val="24"/>
        <w:lang w:val="es-MX"/>
      </w:rPr>
      <w:t xml:space="preserve">                                         </w:t>
    </w:r>
    <w:r>
      <w:rPr>
        <w:sz w:val="24"/>
        <w:szCs w:val="24"/>
      </w:rPr>
      <w:t xml:space="preserve">                                                        </w:t>
    </w:r>
    <w:bookmarkEnd w:id="4"/>
    <w:r>
      <w:rPr>
        <w:rFonts w:ascii="Palatino Linotype" w:hAnsi="Palatino Linotype"/>
        <w:sz w:val="24"/>
        <w:lang w:val="es-MX"/>
      </w:rPr>
      <w:tab/>
    </w:r>
  </w:p>
  <w:p w14:paraId="667FD559" w14:textId="77777777" w:rsidR="007F2286" w:rsidRDefault="007F2286" w:rsidP="007F2286">
    <w:pPr>
      <w:pStyle w:val="Header"/>
      <w:tabs>
        <w:tab w:val="clear" w:pos="4680"/>
        <w:tab w:val="clear" w:pos="9360"/>
        <w:tab w:val="left" w:pos="3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E2A41"/>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1A27E6F"/>
    <w:multiLevelType w:val="hybridMultilevel"/>
    <w:tmpl w:val="01C4F7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B652DE"/>
    <w:multiLevelType w:val="hybridMultilevel"/>
    <w:tmpl w:val="01C4F7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930237"/>
    <w:multiLevelType w:val="hybridMultilevel"/>
    <w:tmpl w:val="FFFFFFFF"/>
    <w:lvl w:ilvl="0" w:tplc="4F8AE3E6">
      <w:start w:val="1"/>
      <w:numFmt w:val="decimal"/>
      <w:lvlText w:val="%1."/>
      <w:lvlJc w:val="left"/>
      <w:pPr>
        <w:ind w:left="360" w:hanging="360"/>
      </w:pPr>
    </w:lvl>
    <w:lvl w:ilvl="1" w:tplc="A762CF98">
      <w:start w:val="1"/>
      <w:numFmt w:val="lowerLetter"/>
      <w:lvlText w:val="%2."/>
      <w:lvlJc w:val="left"/>
      <w:pPr>
        <w:ind w:left="1440" w:hanging="360"/>
      </w:pPr>
    </w:lvl>
    <w:lvl w:ilvl="2" w:tplc="AC7E0B56">
      <w:start w:val="1"/>
      <w:numFmt w:val="lowerRoman"/>
      <w:lvlText w:val="%3."/>
      <w:lvlJc w:val="right"/>
      <w:pPr>
        <w:ind w:left="2160" w:hanging="180"/>
      </w:pPr>
    </w:lvl>
    <w:lvl w:ilvl="3" w:tplc="44E807D4">
      <w:start w:val="1"/>
      <w:numFmt w:val="decimal"/>
      <w:lvlText w:val="%4."/>
      <w:lvlJc w:val="left"/>
      <w:pPr>
        <w:ind w:left="2880" w:hanging="360"/>
      </w:pPr>
    </w:lvl>
    <w:lvl w:ilvl="4" w:tplc="CB08A5FC">
      <w:start w:val="1"/>
      <w:numFmt w:val="lowerLetter"/>
      <w:lvlText w:val="%5."/>
      <w:lvlJc w:val="left"/>
      <w:pPr>
        <w:ind w:left="3600" w:hanging="360"/>
      </w:pPr>
    </w:lvl>
    <w:lvl w:ilvl="5" w:tplc="2FA2C0C8">
      <w:start w:val="1"/>
      <w:numFmt w:val="lowerRoman"/>
      <w:lvlText w:val="%6."/>
      <w:lvlJc w:val="right"/>
      <w:pPr>
        <w:ind w:left="4320" w:hanging="180"/>
      </w:pPr>
    </w:lvl>
    <w:lvl w:ilvl="6" w:tplc="3006BFFA">
      <w:start w:val="1"/>
      <w:numFmt w:val="decimal"/>
      <w:lvlText w:val="%7."/>
      <w:lvlJc w:val="left"/>
      <w:pPr>
        <w:ind w:left="5040" w:hanging="360"/>
      </w:pPr>
    </w:lvl>
    <w:lvl w:ilvl="7" w:tplc="65140F80">
      <w:start w:val="1"/>
      <w:numFmt w:val="lowerLetter"/>
      <w:lvlText w:val="%8."/>
      <w:lvlJc w:val="left"/>
      <w:pPr>
        <w:ind w:left="5760" w:hanging="360"/>
      </w:pPr>
    </w:lvl>
    <w:lvl w:ilvl="8" w:tplc="0E58A3A8">
      <w:start w:val="1"/>
      <w:numFmt w:val="lowerRoman"/>
      <w:lvlText w:val="%9."/>
      <w:lvlJc w:val="right"/>
      <w:pPr>
        <w:ind w:left="6480" w:hanging="180"/>
      </w:pPr>
    </w:lvl>
  </w:abstractNum>
  <w:abstractNum w:abstractNumId="4" w15:restartNumberingAfterBreak="0">
    <w:nsid w:val="52375D8D"/>
    <w:multiLevelType w:val="hybridMultilevel"/>
    <w:tmpl w:val="5DF64412"/>
    <w:lvl w:ilvl="0" w:tplc="F918BF42">
      <w:start w:val="1"/>
      <w:numFmt w:val="decimal"/>
      <w:lvlText w:val="%1."/>
      <w:lvlJc w:val="left"/>
      <w:pPr>
        <w:ind w:left="360" w:hanging="360"/>
      </w:pPr>
    </w:lvl>
    <w:lvl w:ilvl="1" w:tplc="F2A2D974">
      <w:start w:val="1"/>
      <w:numFmt w:val="lowerLetter"/>
      <w:lvlText w:val="%2."/>
      <w:lvlJc w:val="left"/>
      <w:pPr>
        <w:ind w:left="1440" w:hanging="360"/>
      </w:pPr>
    </w:lvl>
    <w:lvl w:ilvl="2" w:tplc="F2600D7E">
      <w:start w:val="1"/>
      <w:numFmt w:val="lowerRoman"/>
      <w:lvlText w:val="%3."/>
      <w:lvlJc w:val="right"/>
      <w:pPr>
        <w:ind w:left="2160" w:hanging="180"/>
      </w:pPr>
    </w:lvl>
    <w:lvl w:ilvl="3" w:tplc="E8BAB828">
      <w:start w:val="1"/>
      <w:numFmt w:val="decimal"/>
      <w:lvlText w:val="%4."/>
      <w:lvlJc w:val="left"/>
      <w:pPr>
        <w:ind w:left="2880" w:hanging="360"/>
      </w:pPr>
    </w:lvl>
    <w:lvl w:ilvl="4" w:tplc="886AF1D8">
      <w:start w:val="1"/>
      <w:numFmt w:val="lowerLetter"/>
      <w:lvlText w:val="%5."/>
      <w:lvlJc w:val="left"/>
      <w:pPr>
        <w:ind w:left="3600" w:hanging="360"/>
      </w:pPr>
    </w:lvl>
    <w:lvl w:ilvl="5" w:tplc="8CA405D0">
      <w:start w:val="1"/>
      <w:numFmt w:val="lowerRoman"/>
      <w:lvlText w:val="%6."/>
      <w:lvlJc w:val="right"/>
      <w:pPr>
        <w:ind w:left="4320" w:hanging="180"/>
      </w:pPr>
    </w:lvl>
    <w:lvl w:ilvl="6" w:tplc="54048C56">
      <w:start w:val="1"/>
      <w:numFmt w:val="decimal"/>
      <w:lvlText w:val="%7."/>
      <w:lvlJc w:val="left"/>
      <w:pPr>
        <w:ind w:left="5040" w:hanging="360"/>
      </w:pPr>
    </w:lvl>
    <w:lvl w:ilvl="7" w:tplc="3D30BAEC">
      <w:start w:val="1"/>
      <w:numFmt w:val="lowerLetter"/>
      <w:lvlText w:val="%8."/>
      <w:lvlJc w:val="left"/>
      <w:pPr>
        <w:ind w:left="5760" w:hanging="360"/>
      </w:pPr>
    </w:lvl>
    <w:lvl w:ilvl="8" w:tplc="A4E8E320">
      <w:start w:val="1"/>
      <w:numFmt w:val="lowerRoman"/>
      <w:lvlText w:val="%9."/>
      <w:lvlJc w:val="right"/>
      <w:pPr>
        <w:ind w:left="6480" w:hanging="180"/>
      </w:pPr>
    </w:lvl>
  </w:abstractNum>
  <w:abstractNum w:abstractNumId="5" w15:restartNumberingAfterBreak="0">
    <w:nsid w:val="557F3AE3"/>
    <w:multiLevelType w:val="hybridMultilevel"/>
    <w:tmpl w:val="CE3C80C2"/>
    <w:lvl w:ilvl="0" w:tplc="FFFFFFFF">
      <w:start w:val="1"/>
      <w:numFmt w:val="decimal"/>
      <w:lvlText w:val="%1."/>
      <w:lvlJc w:val="left"/>
      <w:pPr>
        <w:tabs>
          <w:tab w:val="num" w:pos="360"/>
        </w:tabs>
        <w:ind w:left="360" w:hanging="360"/>
      </w:pPr>
      <w:rPr>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56F66B01"/>
    <w:multiLevelType w:val="hybridMultilevel"/>
    <w:tmpl w:val="AD9A7EF0"/>
    <w:lvl w:ilvl="0" w:tplc="FFFFFFFF">
      <w:start w:val="1"/>
      <w:numFmt w:val="decimal"/>
      <w:lvlText w:val="%1."/>
      <w:lvlJc w:val="left"/>
      <w:pPr>
        <w:tabs>
          <w:tab w:val="num" w:pos="360"/>
        </w:tabs>
        <w:ind w:left="360" w:hanging="360"/>
      </w:pPr>
      <w:rPr>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63E810B2"/>
    <w:multiLevelType w:val="hybridMultilevel"/>
    <w:tmpl w:val="FFFFFFFF"/>
    <w:lvl w:ilvl="0" w:tplc="446C2FF0">
      <w:start w:val="1"/>
      <w:numFmt w:val="decimal"/>
      <w:lvlText w:val="%1."/>
      <w:lvlJc w:val="left"/>
      <w:pPr>
        <w:ind w:left="720" w:hanging="360"/>
      </w:pPr>
    </w:lvl>
    <w:lvl w:ilvl="1" w:tplc="51EE937C">
      <w:start w:val="1"/>
      <w:numFmt w:val="lowerLetter"/>
      <w:lvlText w:val="%2."/>
      <w:lvlJc w:val="left"/>
      <w:pPr>
        <w:ind w:left="1440" w:hanging="360"/>
      </w:pPr>
    </w:lvl>
    <w:lvl w:ilvl="2" w:tplc="9B0CB8A4">
      <w:start w:val="1"/>
      <w:numFmt w:val="lowerRoman"/>
      <w:lvlText w:val="%3."/>
      <w:lvlJc w:val="right"/>
      <w:pPr>
        <w:ind w:left="2160" w:hanging="180"/>
      </w:pPr>
    </w:lvl>
    <w:lvl w:ilvl="3" w:tplc="D97E6A76">
      <w:start w:val="1"/>
      <w:numFmt w:val="decimal"/>
      <w:lvlText w:val="%4."/>
      <w:lvlJc w:val="left"/>
      <w:pPr>
        <w:ind w:left="2880" w:hanging="360"/>
      </w:pPr>
    </w:lvl>
    <w:lvl w:ilvl="4" w:tplc="D288337E">
      <w:start w:val="1"/>
      <w:numFmt w:val="lowerLetter"/>
      <w:lvlText w:val="%5."/>
      <w:lvlJc w:val="left"/>
      <w:pPr>
        <w:ind w:left="3600" w:hanging="360"/>
      </w:pPr>
    </w:lvl>
    <w:lvl w:ilvl="5" w:tplc="ECBC9C52">
      <w:start w:val="1"/>
      <w:numFmt w:val="lowerRoman"/>
      <w:lvlText w:val="%6."/>
      <w:lvlJc w:val="right"/>
      <w:pPr>
        <w:ind w:left="4320" w:hanging="180"/>
      </w:pPr>
    </w:lvl>
    <w:lvl w:ilvl="6" w:tplc="796E1296">
      <w:start w:val="1"/>
      <w:numFmt w:val="decimal"/>
      <w:lvlText w:val="%7."/>
      <w:lvlJc w:val="left"/>
      <w:pPr>
        <w:ind w:left="5040" w:hanging="360"/>
      </w:pPr>
    </w:lvl>
    <w:lvl w:ilvl="7" w:tplc="6F907760">
      <w:start w:val="1"/>
      <w:numFmt w:val="lowerLetter"/>
      <w:lvlText w:val="%8."/>
      <w:lvlJc w:val="left"/>
      <w:pPr>
        <w:ind w:left="5760" w:hanging="360"/>
      </w:pPr>
    </w:lvl>
    <w:lvl w:ilvl="8" w:tplc="27AAEF80">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1B"/>
    <w:rsid w:val="00004D3F"/>
    <w:rsid w:val="00007289"/>
    <w:rsid w:val="000141E5"/>
    <w:rsid w:val="0003167A"/>
    <w:rsid w:val="000351A0"/>
    <w:rsid w:val="00042609"/>
    <w:rsid w:val="0005026B"/>
    <w:rsid w:val="00053F5F"/>
    <w:rsid w:val="00061636"/>
    <w:rsid w:val="00071952"/>
    <w:rsid w:val="00072856"/>
    <w:rsid w:val="00085AF8"/>
    <w:rsid w:val="0008773B"/>
    <w:rsid w:val="000A2E4F"/>
    <w:rsid w:val="000A3117"/>
    <w:rsid w:val="000A596D"/>
    <w:rsid w:val="000B731C"/>
    <w:rsid w:val="000C028E"/>
    <w:rsid w:val="000C1F18"/>
    <w:rsid w:val="000D0FAD"/>
    <w:rsid w:val="000E6B1A"/>
    <w:rsid w:val="000E791C"/>
    <w:rsid w:val="001000BA"/>
    <w:rsid w:val="00126B65"/>
    <w:rsid w:val="001324F6"/>
    <w:rsid w:val="001349FC"/>
    <w:rsid w:val="001352D7"/>
    <w:rsid w:val="0014011D"/>
    <w:rsid w:val="00147825"/>
    <w:rsid w:val="0016435A"/>
    <w:rsid w:val="00166C2E"/>
    <w:rsid w:val="001742B4"/>
    <w:rsid w:val="00193F2E"/>
    <w:rsid w:val="001B737D"/>
    <w:rsid w:val="001B7885"/>
    <w:rsid w:val="001C02AA"/>
    <w:rsid w:val="001E23D7"/>
    <w:rsid w:val="002022D6"/>
    <w:rsid w:val="00207691"/>
    <w:rsid w:val="00207A74"/>
    <w:rsid w:val="0020FE98"/>
    <w:rsid w:val="00212F59"/>
    <w:rsid w:val="00233C59"/>
    <w:rsid w:val="00237697"/>
    <w:rsid w:val="00242305"/>
    <w:rsid w:val="00255925"/>
    <w:rsid w:val="00261749"/>
    <w:rsid w:val="00261A8E"/>
    <w:rsid w:val="00263499"/>
    <w:rsid w:val="002A5046"/>
    <w:rsid w:val="002A6940"/>
    <w:rsid w:val="002C2D36"/>
    <w:rsid w:val="002C6CC4"/>
    <w:rsid w:val="002D3781"/>
    <w:rsid w:val="002D45FC"/>
    <w:rsid w:val="002F01E5"/>
    <w:rsid w:val="002F049B"/>
    <w:rsid w:val="002F5C8A"/>
    <w:rsid w:val="003002A8"/>
    <w:rsid w:val="003022E5"/>
    <w:rsid w:val="00303216"/>
    <w:rsid w:val="0033393D"/>
    <w:rsid w:val="00335213"/>
    <w:rsid w:val="0034104F"/>
    <w:rsid w:val="00342826"/>
    <w:rsid w:val="00364252"/>
    <w:rsid w:val="00375AC8"/>
    <w:rsid w:val="00380CA7"/>
    <w:rsid w:val="00380FA5"/>
    <w:rsid w:val="0038711E"/>
    <w:rsid w:val="00390F2B"/>
    <w:rsid w:val="003A2444"/>
    <w:rsid w:val="003B308C"/>
    <w:rsid w:val="003C6923"/>
    <w:rsid w:val="003F508B"/>
    <w:rsid w:val="00407D6E"/>
    <w:rsid w:val="00423473"/>
    <w:rsid w:val="00426B01"/>
    <w:rsid w:val="00427DCF"/>
    <w:rsid w:val="00437843"/>
    <w:rsid w:val="0045574F"/>
    <w:rsid w:val="0045717F"/>
    <w:rsid w:val="00460EED"/>
    <w:rsid w:val="0046179E"/>
    <w:rsid w:val="004708D4"/>
    <w:rsid w:val="00474312"/>
    <w:rsid w:val="004750A1"/>
    <w:rsid w:val="00481CAD"/>
    <w:rsid w:val="004925BB"/>
    <w:rsid w:val="004A5416"/>
    <w:rsid w:val="004A5BCB"/>
    <w:rsid w:val="004D430B"/>
    <w:rsid w:val="004D61C7"/>
    <w:rsid w:val="004D672B"/>
    <w:rsid w:val="004F24F0"/>
    <w:rsid w:val="00507784"/>
    <w:rsid w:val="00512FE0"/>
    <w:rsid w:val="00515953"/>
    <w:rsid w:val="00520DB2"/>
    <w:rsid w:val="00523273"/>
    <w:rsid w:val="005335AB"/>
    <w:rsid w:val="00550081"/>
    <w:rsid w:val="005660F1"/>
    <w:rsid w:val="00581244"/>
    <w:rsid w:val="005856C8"/>
    <w:rsid w:val="005B6770"/>
    <w:rsid w:val="005D0748"/>
    <w:rsid w:val="005E19A2"/>
    <w:rsid w:val="00606D19"/>
    <w:rsid w:val="00627427"/>
    <w:rsid w:val="0062774C"/>
    <w:rsid w:val="00630F69"/>
    <w:rsid w:val="00635FCF"/>
    <w:rsid w:val="00654DB8"/>
    <w:rsid w:val="00657962"/>
    <w:rsid w:val="00667821"/>
    <w:rsid w:val="0067134F"/>
    <w:rsid w:val="0067140E"/>
    <w:rsid w:val="00679EE9"/>
    <w:rsid w:val="006847E8"/>
    <w:rsid w:val="00686D43"/>
    <w:rsid w:val="00691F9B"/>
    <w:rsid w:val="00694EF3"/>
    <w:rsid w:val="006973B9"/>
    <w:rsid w:val="006A457E"/>
    <w:rsid w:val="006A77BD"/>
    <w:rsid w:val="006B5ED9"/>
    <w:rsid w:val="006C1A55"/>
    <w:rsid w:val="006C5A83"/>
    <w:rsid w:val="006D2FAD"/>
    <w:rsid w:val="006E1E3D"/>
    <w:rsid w:val="006F31E2"/>
    <w:rsid w:val="006F7BCF"/>
    <w:rsid w:val="00702051"/>
    <w:rsid w:val="00706199"/>
    <w:rsid w:val="007104CF"/>
    <w:rsid w:val="00711FC2"/>
    <w:rsid w:val="00722956"/>
    <w:rsid w:val="00734C00"/>
    <w:rsid w:val="0074781C"/>
    <w:rsid w:val="007504F1"/>
    <w:rsid w:val="00761B67"/>
    <w:rsid w:val="0077215D"/>
    <w:rsid w:val="007745CA"/>
    <w:rsid w:val="00787EC9"/>
    <w:rsid w:val="007928AE"/>
    <w:rsid w:val="007A21D6"/>
    <w:rsid w:val="007A6CF9"/>
    <w:rsid w:val="007B6B57"/>
    <w:rsid w:val="007C0F69"/>
    <w:rsid w:val="007C292D"/>
    <w:rsid w:val="007C3C88"/>
    <w:rsid w:val="007C418E"/>
    <w:rsid w:val="007C6AAD"/>
    <w:rsid w:val="007D3343"/>
    <w:rsid w:val="007F1C38"/>
    <w:rsid w:val="007F2286"/>
    <w:rsid w:val="007F2F94"/>
    <w:rsid w:val="007F589D"/>
    <w:rsid w:val="007F7635"/>
    <w:rsid w:val="008000C9"/>
    <w:rsid w:val="00802741"/>
    <w:rsid w:val="0080454C"/>
    <w:rsid w:val="00817686"/>
    <w:rsid w:val="00820C80"/>
    <w:rsid w:val="00823F6E"/>
    <w:rsid w:val="00824061"/>
    <w:rsid w:val="008366BA"/>
    <w:rsid w:val="00843312"/>
    <w:rsid w:val="0085764F"/>
    <w:rsid w:val="00872953"/>
    <w:rsid w:val="00882593"/>
    <w:rsid w:val="0088BE86"/>
    <w:rsid w:val="00895C79"/>
    <w:rsid w:val="008A4A04"/>
    <w:rsid w:val="008A5912"/>
    <w:rsid w:val="008B42BF"/>
    <w:rsid w:val="008C7620"/>
    <w:rsid w:val="008D46F9"/>
    <w:rsid w:val="008E79C8"/>
    <w:rsid w:val="008F4377"/>
    <w:rsid w:val="00903136"/>
    <w:rsid w:val="00905B15"/>
    <w:rsid w:val="00916F41"/>
    <w:rsid w:val="00931DCA"/>
    <w:rsid w:val="009334B5"/>
    <w:rsid w:val="00937C42"/>
    <w:rsid w:val="0097092D"/>
    <w:rsid w:val="00975DB7"/>
    <w:rsid w:val="00976ECB"/>
    <w:rsid w:val="009816ED"/>
    <w:rsid w:val="009834E1"/>
    <w:rsid w:val="00990F41"/>
    <w:rsid w:val="00996BAD"/>
    <w:rsid w:val="00997DAB"/>
    <w:rsid w:val="009A49B6"/>
    <w:rsid w:val="009B320D"/>
    <w:rsid w:val="009B74A4"/>
    <w:rsid w:val="009C79D9"/>
    <w:rsid w:val="009D173E"/>
    <w:rsid w:val="009D5A5A"/>
    <w:rsid w:val="009E2D46"/>
    <w:rsid w:val="009E6F50"/>
    <w:rsid w:val="009F1354"/>
    <w:rsid w:val="00A16292"/>
    <w:rsid w:val="00A2360A"/>
    <w:rsid w:val="00A3E42A"/>
    <w:rsid w:val="00A408EC"/>
    <w:rsid w:val="00A8611B"/>
    <w:rsid w:val="00A96AC6"/>
    <w:rsid w:val="00AA01F7"/>
    <w:rsid w:val="00AA3B8F"/>
    <w:rsid w:val="00AA7D0C"/>
    <w:rsid w:val="00AB147D"/>
    <w:rsid w:val="00AC03AB"/>
    <w:rsid w:val="00AC3D37"/>
    <w:rsid w:val="00AC6BAF"/>
    <w:rsid w:val="00B05F9F"/>
    <w:rsid w:val="00B20FCB"/>
    <w:rsid w:val="00B25936"/>
    <w:rsid w:val="00B33DAF"/>
    <w:rsid w:val="00B33F8F"/>
    <w:rsid w:val="00B35793"/>
    <w:rsid w:val="00B37F63"/>
    <w:rsid w:val="00B41A15"/>
    <w:rsid w:val="00B51F01"/>
    <w:rsid w:val="00B520EC"/>
    <w:rsid w:val="00B636C6"/>
    <w:rsid w:val="00B90CDE"/>
    <w:rsid w:val="00B918FE"/>
    <w:rsid w:val="00B94A62"/>
    <w:rsid w:val="00BA1501"/>
    <w:rsid w:val="00BA4D4B"/>
    <w:rsid w:val="00BC5F96"/>
    <w:rsid w:val="00BD0716"/>
    <w:rsid w:val="00BD3B40"/>
    <w:rsid w:val="00BD3CDD"/>
    <w:rsid w:val="00BD7E30"/>
    <w:rsid w:val="00BE7B60"/>
    <w:rsid w:val="00BF294B"/>
    <w:rsid w:val="00BF30B9"/>
    <w:rsid w:val="00C12A3E"/>
    <w:rsid w:val="00C136ED"/>
    <w:rsid w:val="00C4084A"/>
    <w:rsid w:val="00C46109"/>
    <w:rsid w:val="00C46326"/>
    <w:rsid w:val="00C716B0"/>
    <w:rsid w:val="00C774F5"/>
    <w:rsid w:val="00C92E69"/>
    <w:rsid w:val="00C94212"/>
    <w:rsid w:val="00C96D0E"/>
    <w:rsid w:val="00CA1A79"/>
    <w:rsid w:val="00CA2A9A"/>
    <w:rsid w:val="00CA34F9"/>
    <w:rsid w:val="00CB0997"/>
    <w:rsid w:val="00CB291A"/>
    <w:rsid w:val="00CB7DEA"/>
    <w:rsid w:val="00CC0317"/>
    <w:rsid w:val="00CC251D"/>
    <w:rsid w:val="00CD0F09"/>
    <w:rsid w:val="00CE0065"/>
    <w:rsid w:val="00CF4651"/>
    <w:rsid w:val="00D028B1"/>
    <w:rsid w:val="00D028F8"/>
    <w:rsid w:val="00D12AFB"/>
    <w:rsid w:val="00D275AD"/>
    <w:rsid w:val="00D41664"/>
    <w:rsid w:val="00D55E3A"/>
    <w:rsid w:val="00D605EC"/>
    <w:rsid w:val="00D80CE4"/>
    <w:rsid w:val="00D96E3A"/>
    <w:rsid w:val="00D970E1"/>
    <w:rsid w:val="00DA2E62"/>
    <w:rsid w:val="00DA5C55"/>
    <w:rsid w:val="00DA6BEB"/>
    <w:rsid w:val="00DB2844"/>
    <w:rsid w:val="00DB2B8C"/>
    <w:rsid w:val="00DC4476"/>
    <w:rsid w:val="00DC4661"/>
    <w:rsid w:val="00DD7973"/>
    <w:rsid w:val="00DE0020"/>
    <w:rsid w:val="00DF231B"/>
    <w:rsid w:val="00DF5A67"/>
    <w:rsid w:val="00E12820"/>
    <w:rsid w:val="00E213CE"/>
    <w:rsid w:val="00E307B5"/>
    <w:rsid w:val="00E37B7C"/>
    <w:rsid w:val="00E4661C"/>
    <w:rsid w:val="00E52D1F"/>
    <w:rsid w:val="00E61B28"/>
    <w:rsid w:val="00E67731"/>
    <w:rsid w:val="00E816ED"/>
    <w:rsid w:val="00E9590F"/>
    <w:rsid w:val="00E96802"/>
    <w:rsid w:val="00EA40DD"/>
    <w:rsid w:val="00EA53B4"/>
    <w:rsid w:val="00EB0520"/>
    <w:rsid w:val="00EC4C96"/>
    <w:rsid w:val="00ED25FC"/>
    <w:rsid w:val="00EF132E"/>
    <w:rsid w:val="00EF4802"/>
    <w:rsid w:val="00EF7876"/>
    <w:rsid w:val="00F16217"/>
    <w:rsid w:val="00F2700F"/>
    <w:rsid w:val="00F36625"/>
    <w:rsid w:val="00F3796D"/>
    <w:rsid w:val="00F47796"/>
    <w:rsid w:val="00F6288F"/>
    <w:rsid w:val="00F6F474"/>
    <w:rsid w:val="00F72D28"/>
    <w:rsid w:val="00F81B46"/>
    <w:rsid w:val="00F91998"/>
    <w:rsid w:val="00F91B24"/>
    <w:rsid w:val="00FA196A"/>
    <w:rsid w:val="00FA3858"/>
    <w:rsid w:val="00FC3941"/>
    <w:rsid w:val="00FD0BC8"/>
    <w:rsid w:val="00FE6417"/>
    <w:rsid w:val="00FF21A9"/>
    <w:rsid w:val="00FF497E"/>
    <w:rsid w:val="014BCD8D"/>
    <w:rsid w:val="0150F248"/>
    <w:rsid w:val="01655663"/>
    <w:rsid w:val="019250E1"/>
    <w:rsid w:val="01AD6FE7"/>
    <w:rsid w:val="021A390C"/>
    <w:rsid w:val="02268C2E"/>
    <w:rsid w:val="0237C705"/>
    <w:rsid w:val="024D1416"/>
    <w:rsid w:val="024EB3DA"/>
    <w:rsid w:val="0256EE47"/>
    <w:rsid w:val="025FEEB1"/>
    <w:rsid w:val="02713390"/>
    <w:rsid w:val="0272EC9C"/>
    <w:rsid w:val="02BD7010"/>
    <w:rsid w:val="02D445B7"/>
    <w:rsid w:val="02DF9810"/>
    <w:rsid w:val="02F7F7C4"/>
    <w:rsid w:val="0343342F"/>
    <w:rsid w:val="03702588"/>
    <w:rsid w:val="03CF31CA"/>
    <w:rsid w:val="03DA2764"/>
    <w:rsid w:val="03EA843B"/>
    <w:rsid w:val="03ED125C"/>
    <w:rsid w:val="04521A72"/>
    <w:rsid w:val="045BE923"/>
    <w:rsid w:val="04A5F6F5"/>
    <w:rsid w:val="04CA57A6"/>
    <w:rsid w:val="050AB8CB"/>
    <w:rsid w:val="050FE5F6"/>
    <w:rsid w:val="05451ABE"/>
    <w:rsid w:val="0562C077"/>
    <w:rsid w:val="0577554D"/>
    <w:rsid w:val="05889024"/>
    <w:rsid w:val="059D6235"/>
    <w:rsid w:val="059F7CF9"/>
    <w:rsid w:val="059FF447"/>
    <w:rsid w:val="05B1AF62"/>
    <w:rsid w:val="05B63348"/>
    <w:rsid w:val="05E31D04"/>
    <w:rsid w:val="060DE49A"/>
    <w:rsid w:val="060F8F93"/>
    <w:rsid w:val="069A08D5"/>
    <w:rsid w:val="069D2C05"/>
    <w:rsid w:val="06DBB320"/>
    <w:rsid w:val="06ED936A"/>
    <w:rsid w:val="06FC3BD1"/>
    <w:rsid w:val="0717EF9D"/>
    <w:rsid w:val="071C876B"/>
    <w:rsid w:val="07A78E90"/>
    <w:rsid w:val="07AFA4B6"/>
    <w:rsid w:val="07D497E7"/>
    <w:rsid w:val="07D52021"/>
    <w:rsid w:val="0815E7F0"/>
    <w:rsid w:val="08319E6E"/>
    <w:rsid w:val="0853488C"/>
    <w:rsid w:val="088663DB"/>
    <w:rsid w:val="089F2F6F"/>
    <w:rsid w:val="08D9ABDC"/>
    <w:rsid w:val="08E71149"/>
    <w:rsid w:val="0915B073"/>
    <w:rsid w:val="093F1D81"/>
    <w:rsid w:val="093F89E2"/>
    <w:rsid w:val="0958EAA8"/>
    <w:rsid w:val="0959BA28"/>
    <w:rsid w:val="09F0B900"/>
    <w:rsid w:val="09FB716C"/>
    <w:rsid w:val="0A254AF1"/>
    <w:rsid w:val="0A39B50C"/>
    <w:rsid w:val="0A4BAF65"/>
    <w:rsid w:val="0A5013C5"/>
    <w:rsid w:val="0A65D5D7"/>
    <w:rsid w:val="0A757C3D"/>
    <w:rsid w:val="0A762E49"/>
    <w:rsid w:val="0ADAEDE2"/>
    <w:rsid w:val="0AEB47AE"/>
    <w:rsid w:val="0AECF352"/>
    <w:rsid w:val="0B4B1995"/>
    <w:rsid w:val="0B5016D3"/>
    <w:rsid w:val="0B769A7A"/>
    <w:rsid w:val="0B7A63DC"/>
    <w:rsid w:val="0BC1DF7B"/>
    <w:rsid w:val="0BD201FB"/>
    <w:rsid w:val="0BDF9EEF"/>
    <w:rsid w:val="0C1419BD"/>
    <w:rsid w:val="0C6BB887"/>
    <w:rsid w:val="0CAF7567"/>
    <w:rsid w:val="0CB4A3AE"/>
    <w:rsid w:val="0CC414B1"/>
    <w:rsid w:val="0CD62128"/>
    <w:rsid w:val="0CEA9781"/>
    <w:rsid w:val="0CF6168E"/>
    <w:rsid w:val="0D0B27D1"/>
    <w:rsid w:val="0D3C6A20"/>
    <w:rsid w:val="0D5B690D"/>
    <w:rsid w:val="0DA2ABB4"/>
    <w:rsid w:val="0DE088A4"/>
    <w:rsid w:val="0E6E3C9F"/>
    <w:rsid w:val="0EC0C5EA"/>
    <w:rsid w:val="0EDC7D02"/>
    <w:rsid w:val="0F665B96"/>
    <w:rsid w:val="0FA898AB"/>
    <w:rsid w:val="0FB5A6BD"/>
    <w:rsid w:val="1047E54D"/>
    <w:rsid w:val="106D32F6"/>
    <w:rsid w:val="10810D10"/>
    <w:rsid w:val="109675D5"/>
    <w:rsid w:val="10AC8D08"/>
    <w:rsid w:val="1137B7E0"/>
    <w:rsid w:val="119F0066"/>
    <w:rsid w:val="11BE0E0C"/>
    <w:rsid w:val="11CF5BBC"/>
    <w:rsid w:val="123AB240"/>
    <w:rsid w:val="125EA04D"/>
    <w:rsid w:val="12602A96"/>
    <w:rsid w:val="126F0CB0"/>
    <w:rsid w:val="126F3D20"/>
    <w:rsid w:val="12929265"/>
    <w:rsid w:val="12973454"/>
    <w:rsid w:val="1298AA7A"/>
    <w:rsid w:val="12994588"/>
    <w:rsid w:val="12A77EA2"/>
    <w:rsid w:val="12CD406B"/>
    <w:rsid w:val="13094278"/>
    <w:rsid w:val="13210914"/>
    <w:rsid w:val="13506F0E"/>
    <w:rsid w:val="140B23AC"/>
    <w:rsid w:val="143538FE"/>
    <w:rsid w:val="145C7218"/>
    <w:rsid w:val="1479B0CC"/>
    <w:rsid w:val="14AC8E00"/>
    <w:rsid w:val="1547BAB0"/>
    <w:rsid w:val="15535392"/>
    <w:rsid w:val="158B3C53"/>
    <w:rsid w:val="158ED362"/>
    <w:rsid w:val="15A98C5C"/>
    <w:rsid w:val="15B789A5"/>
    <w:rsid w:val="15C9352B"/>
    <w:rsid w:val="15E04065"/>
    <w:rsid w:val="1610B2F7"/>
    <w:rsid w:val="162D3458"/>
    <w:rsid w:val="1695AF9A"/>
    <w:rsid w:val="16A17630"/>
    <w:rsid w:val="16C3746B"/>
    <w:rsid w:val="16C57C21"/>
    <w:rsid w:val="16C87338"/>
    <w:rsid w:val="17195422"/>
    <w:rsid w:val="173848C7"/>
    <w:rsid w:val="1783FE4C"/>
    <w:rsid w:val="17C22788"/>
    <w:rsid w:val="17DCB39B"/>
    <w:rsid w:val="1812E35D"/>
    <w:rsid w:val="183D4691"/>
    <w:rsid w:val="185F48C0"/>
    <w:rsid w:val="18720F41"/>
    <w:rsid w:val="18A098FA"/>
    <w:rsid w:val="18EFB098"/>
    <w:rsid w:val="19320721"/>
    <w:rsid w:val="193D7DA8"/>
    <w:rsid w:val="194CCDE7"/>
    <w:rsid w:val="1955E615"/>
    <w:rsid w:val="19CD375B"/>
    <w:rsid w:val="19E39299"/>
    <w:rsid w:val="1A01F4F6"/>
    <w:rsid w:val="1A574AB8"/>
    <w:rsid w:val="1A8911E6"/>
    <w:rsid w:val="1AA60C84"/>
    <w:rsid w:val="1AB3B188"/>
    <w:rsid w:val="1B12F29C"/>
    <w:rsid w:val="1B1CCB88"/>
    <w:rsid w:val="1B63AC7C"/>
    <w:rsid w:val="1B6E11F8"/>
    <w:rsid w:val="1BC8A06E"/>
    <w:rsid w:val="1BFDB03F"/>
    <w:rsid w:val="1C526F8C"/>
    <w:rsid w:val="1C6EF70D"/>
    <w:rsid w:val="1C927D22"/>
    <w:rsid w:val="1CA94B17"/>
    <w:rsid w:val="1CB82A93"/>
    <w:rsid w:val="1D00A848"/>
    <w:rsid w:val="1D0F5F8C"/>
    <w:rsid w:val="1D3155E7"/>
    <w:rsid w:val="1D45C6A6"/>
    <w:rsid w:val="1D6D72E0"/>
    <w:rsid w:val="1DB4D311"/>
    <w:rsid w:val="1DDC993D"/>
    <w:rsid w:val="1E1873B6"/>
    <w:rsid w:val="1E26419A"/>
    <w:rsid w:val="1E352625"/>
    <w:rsid w:val="1E928324"/>
    <w:rsid w:val="1EC3A074"/>
    <w:rsid w:val="1EFDA507"/>
    <w:rsid w:val="1EFE7ECE"/>
    <w:rsid w:val="1F1C7561"/>
    <w:rsid w:val="1F355101"/>
    <w:rsid w:val="200C8940"/>
    <w:rsid w:val="201E8645"/>
    <w:rsid w:val="205E74B6"/>
    <w:rsid w:val="20C1AA45"/>
    <w:rsid w:val="20C5C4AD"/>
    <w:rsid w:val="21AAC654"/>
    <w:rsid w:val="21BA4F2F"/>
    <w:rsid w:val="21BB37E3"/>
    <w:rsid w:val="220EBD99"/>
    <w:rsid w:val="22462C72"/>
    <w:rsid w:val="22486CB1"/>
    <w:rsid w:val="22642305"/>
    <w:rsid w:val="226CF1C3"/>
    <w:rsid w:val="22A6249C"/>
    <w:rsid w:val="23016579"/>
    <w:rsid w:val="233EA92F"/>
    <w:rsid w:val="2358457B"/>
    <w:rsid w:val="235D838A"/>
    <w:rsid w:val="2377DFE2"/>
    <w:rsid w:val="2380AF55"/>
    <w:rsid w:val="23A5852B"/>
    <w:rsid w:val="23BA5093"/>
    <w:rsid w:val="23D0FF65"/>
    <w:rsid w:val="23F6CA5F"/>
    <w:rsid w:val="24214776"/>
    <w:rsid w:val="2465A433"/>
    <w:rsid w:val="2497B053"/>
    <w:rsid w:val="24A960AD"/>
    <w:rsid w:val="24C169EE"/>
    <w:rsid w:val="24F1EFF1"/>
    <w:rsid w:val="2508BE16"/>
    <w:rsid w:val="2510B288"/>
    <w:rsid w:val="25166F26"/>
    <w:rsid w:val="253AEAE7"/>
    <w:rsid w:val="259C416C"/>
    <w:rsid w:val="25A773E8"/>
    <w:rsid w:val="25AF042E"/>
    <w:rsid w:val="25B65782"/>
    <w:rsid w:val="25BD17D7"/>
    <w:rsid w:val="25F12011"/>
    <w:rsid w:val="25F33269"/>
    <w:rsid w:val="26316DE3"/>
    <w:rsid w:val="264CB20A"/>
    <w:rsid w:val="266C0C98"/>
    <w:rsid w:val="269D6951"/>
    <w:rsid w:val="2718DEDF"/>
    <w:rsid w:val="2721DF49"/>
    <w:rsid w:val="2724DA44"/>
    <w:rsid w:val="27760F19"/>
    <w:rsid w:val="27A0634A"/>
    <w:rsid w:val="27B2FBA5"/>
    <w:rsid w:val="27D44A4C"/>
    <w:rsid w:val="2819D021"/>
    <w:rsid w:val="285A7F9E"/>
    <w:rsid w:val="28A348E4"/>
    <w:rsid w:val="28D0D692"/>
    <w:rsid w:val="28FA3214"/>
    <w:rsid w:val="293761BB"/>
    <w:rsid w:val="296725DE"/>
    <w:rsid w:val="29B71A9A"/>
    <w:rsid w:val="29CB1836"/>
    <w:rsid w:val="29CF532F"/>
    <w:rsid w:val="29E00E4E"/>
    <w:rsid w:val="29E25728"/>
    <w:rsid w:val="2A0BE273"/>
    <w:rsid w:val="2A2253B4"/>
    <w:rsid w:val="2A349408"/>
    <w:rsid w:val="2A560C8D"/>
    <w:rsid w:val="2A5D60C3"/>
    <w:rsid w:val="2AB2FCE9"/>
    <w:rsid w:val="2AC9D552"/>
    <w:rsid w:val="2AE378D4"/>
    <w:rsid w:val="2B2F145A"/>
    <w:rsid w:val="2B33357C"/>
    <w:rsid w:val="2B406DC3"/>
    <w:rsid w:val="2B5170E3"/>
    <w:rsid w:val="2B7BDEAF"/>
    <w:rsid w:val="2BAFF341"/>
    <w:rsid w:val="2BC11D46"/>
    <w:rsid w:val="2BD3E65B"/>
    <w:rsid w:val="2C097105"/>
    <w:rsid w:val="2C1BB342"/>
    <w:rsid w:val="2C7173E1"/>
    <w:rsid w:val="2C8CA2BB"/>
    <w:rsid w:val="2C9AB4A5"/>
    <w:rsid w:val="2CBA512A"/>
    <w:rsid w:val="2CD98968"/>
    <w:rsid w:val="2D17AF10"/>
    <w:rsid w:val="2D3B5689"/>
    <w:rsid w:val="2D5D64B5"/>
    <w:rsid w:val="2D882063"/>
    <w:rsid w:val="2D98FD29"/>
    <w:rsid w:val="2DDF5F3D"/>
    <w:rsid w:val="2DE13BEE"/>
    <w:rsid w:val="2DF0EDC6"/>
    <w:rsid w:val="2E1F40A2"/>
    <w:rsid w:val="2E8A8BBD"/>
    <w:rsid w:val="2E9848AB"/>
    <w:rsid w:val="2EA03631"/>
    <w:rsid w:val="2EBC816D"/>
    <w:rsid w:val="2ECC885C"/>
    <w:rsid w:val="2EE53C9E"/>
    <w:rsid w:val="2EF01683"/>
    <w:rsid w:val="2F12ED84"/>
    <w:rsid w:val="2F274C94"/>
    <w:rsid w:val="2F697E0B"/>
    <w:rsid w:val="2FCC8858"/>
    <w:rsid w:val="2FCE9DB8"/>
    <w:rsid w:val="2FDC2C0D"/>
    <w:rsid w:val="3013E8FD"/>
    <w:rsid w:val="3013F127"/>
    <w:rsid w:val="301D788B"/>
    <w:rsid w:val="30605E2F"/>
    <w:rsid w:val="306486BF"/>
    <w:rsid w:val="30745915"/>
    <w:rsid w:val="3089EA2F"/>
    <w:rsid w:val="30989CE8"/>
    <w:rsid w:val="30A2FC7A"/>
    <w:rsid w:val="30D65737"/>
    <w:rsid w:val="310D5050"/>
    <w:rsid w:val="311432A4"/>
    <w:rsid w:val="316BA903"/>
    <w:rsid w:val="316E25C8"/>
    <w:rsid w:val="3175DC3F"/>
    <w:rsid w:val="31841559"/>
    <w:rsid w:val="31B6A979"/>
    <w:rsid w:val="31D1F7D6"/>
    <w:rsid w:val="325430E0"/>
    <w:rsid w:val="32AFDA3D"/>
    <w:rsid w:val="32C4BF14"/>
    <w:rsid w:val="32DD9671"/>
    <w:rsid w:val="32E7E522"/>
    <w:rsid w:val="32F2E22B"/>
    <w:rsid w:val="33085AB2"/>
    <w:rsid w:val="3312AE74"/>
    <w:rsid w:val="33241390"/>
    <w:rsid w:val="333F2C86"/>
    <w:rsid w:val="334017A2"/>
    <w:rsid w:val="33439222"/>
    <w:rsid w:val="334E50BC"/>
    <w:rsid w:val="3427C595"/>
    <w:rsid w:val="346FA529"/>
    <w:rsid w:val="347CE22A"/>
    <w:rsid w:val="34BC6D1D"/>
    <w:rsid w:val="34DBD6AE"/>
    <w:rsid w:val="34DF6283"/>
    <w:rsid w:val="350F77B5"/>
    <w:rsid w:val="351205D6"/>
    <w:rsid w:val="3526C1EA"/>
    <w:rsid w:val="3549742F"/>
    <w:rsid w:val="358E3FE2"/>
    <w:rsid w:val="36129757"/>
    <w:rsid w:val="361F85E4"/>
    <w:rsid w:val="36460D77"/>
    <w:rsid w:val="366089A3"/>
    <w:rsid w:val="3676CD48"/>
    <w:rsid w:val="3689F430"/>
    <w:rsid w:val="36B3557C"/>
    <w:rsid w:val="36C93FA7"/>
    <w:rsid w:val="36DEA91F"/>
    <w:rsid w:val="36FB5048"/>
    <w:rsid w:val="37637796"/>
    <w:rsid w:val="37D509D1"/>
    <w:rsid w:val="381E4F69"/>
    <w:rsid w:val="38471877"/>
    <w:rsid w:val="384C73B7"/>
    <w:rsid w:val="387AB083"/>
    <w:rsid w:val="3890975A"/>
    <w:rsid w:val="38EA586B"/>
    <w:rsid w:val="390E9B09"/>
    <w:rsid w:val="391211AF"/>
    <w:rsid w:val="394C1641"/>
    <w:rsid w:val="395B1036"/>
    <w:rsid w:val="399545AD"/>
    <w:rsid w:val="39C25C81"/>
    <w:rsid w:val="39CB897C"/>
    <w:rsid w:val="3A32AFB2"/>
    <w:rsid w:val="3A3E3875"/>
    <w:rsid w:val="3A650873"/>
    <w:rsid w:val="3A686722"/>
    <w:rsid w:val="3AA851FF"/>
    <w:rsid w:val="3AAFF856"/>
    <w:rsid w:val="3ABFBEF6"/>
    <w:rsid w:val="3B1E3D08"/>
    <w:rsid w:val="3B5E2CE2"/>
    <w:rsid w:val="3B6D4D13"/>
    <w:rsid w:val="3B81475A"/>
    <w:rsid w:val="3BDD5B9A"/>
    <w:rsid w:val="3C4473A4"/>
    <w:rsid w:val="3C92E1DC"/>
    <w:rsid w:val="3CC34C21"/>
    <w:rsid w:val="3CCB7B11"/>
    <w:rsid w:val="3CCCE66F"/>
    <w:rsid w:val="3CDB5D5F"/>
    <w:rsid w:val="3D0F05A7"/>
    <w:rsid w:val="3D12A15B"/>
    <w:rsid w:val="3D1FE4DA"/>
    <w:rsid w:val="3D47AB06"/>
    <w:rsid w:val="3D893A37"/>
    <w:rsid w:val="3DCCFC84"/>
    <w:rsid w:val="3E4C9F59"/>
    <w:rsid w:val="3E7F67CE"/>
    <w:rsid w:val="3E861D8B"/>
    <w:rsid w:val="3EB6C3D0"/>
    <w:rsid w:val="3EFC1A38"/>
    <w:rsid w:val="3F19BB8E"/>
    <w:rsid w:val="3F5C9AA1"/>
    <w:rsid w:val="3F9425BD"/>
    <w:rsid w:val="3FB9525F"/>
    <w:rsid w:val="3FD0690A"/>
    <w:rsid w:val="4054B87D"/>
    <w:rsid w:val="405CB718"/>
    <w:rsid w:val="4085046B"/>
    <w:rsid w:val="40DD8DC6"/>
    <w:rsid w:val="410EE863"/>
    <w:rsid w:val="412F5313"/>
    <w:rsid w:val="41792AE8"/>
    <w:rsid w:val="41857A41"/>
    <w:rsid w:val="419CDCF5"/>
    <w:rsid w:val="41B44A58"/>
    <w:rsid w:val="41BDE58B"/>
    <w:rsid w:val="4209138D"/>
    <w:rsid w:val="421B1C29"/>
    <w:rsid w:val="423F500F"/>
    <w:rsid w:val="4243F1FE"/>
    <w:rsid w:val="4256C4CC"/>
    <w:rsid w:val="428DD10F"/>
    <w:rsid w:val="42C2EDD9"/>
    <w:rsid w:val="4306F196"/>
    <w:rsid w:val="435A457E"/>
    <w:rsid w:val="438F265E"/>
    <w:rsid w:val="43A56B71"/>
    <w:rsid w:val="43B539B3"/>
    <w:rsid w:val="44256D49"/>
    <w:rsid w:val="447F8CA4"/>
    <w:rsid w:val="449AA29B"/>
    <w:rsid w:val="44F585AC"/>
    <w:rsid w:val="44FFA66F"/>
    <w:rsid w:val="451460A8"/>
    <w:rsid w:val="451E734A"/>
    <w:rsid w:val="45A53097"/>
    <w:rsid w:val="45CFA048"/>
    <w:rsid w:val="461170EC"/>
    <w:rsid w:val="463D664A"/>
    <w:rsid w:val="4658EB64"/>
    <w:rsid w:val="466AC84B"/>
    <w:rsid w:val="46F87D03"/>
    <w:rsid w:val="47039B1C"/>
    <w:rsid w:val="470E5FD3"/>
    <w:rsid w:val="475774EC"/>
    <w:rsid w:val="4762122D"/>
    <w:rsid w:val="47EA6F9B"/>
    <w:rsid w:val="47F317B5"/>
    <w:rsid w:val="48744D5C"/>
    <w:rsid w:val="48DF9856"/>
    <w:rsid w:val="4920816A"/>
    <w:rsid w:val="496E9BE9"/>
    <w:rsid w:val="49700EB6"/>
    <w:rsid w:val="4A065568"/>
    <w:rsid w:val="4A1D2EBA"/>
    <w:rsid w:val="4A622C18"/>
    <w:rsid w:val="4A7656F8"/>
    <w:rsid w:val="4A9C7CEE"/>
    <w:rsid w:val="4AB25352"/>
    <w:rsid w:val="4B50658D"/>
    <w:rsid w:val="4B694ADF"/>
    <w:rsid w:val="4BBF7CA5"/>
    <w:rsid w:val="4BC3DBFE"/>
    <w:rsid w:val="4BD6B707"/>
    <w:rsid w:val="4C3ADA73"/>
    <w:rsid w:val="4C3AE606"/>
    <w:rsid w:val="4C3BD692"/>
    <w:rsid w:val="4C617595"/>
    <w:rsid w:val="4C6F7799"/>
    <w:rsid w:val="4C93E17C"/>
    <w:rsid w:val="4CCF8AD4"/>
    <w:rsid w:val="4D254DF7"/>
    <w:rsid w:val="4D55AF74"/>
    <w:rsid w:val="4D6478FA"/>
    <w:rsid w:val="4DB35A42"/>
    <w:rsid w:val="4E1C82D1"/>
    <w:rsid w:val="4E586748"/>
    <w:rsid w:val="4EF17FD5"/>
    <w:rsid w:val="4EFE1C13"/>
    <w:rsid w:val="4F352255"/>
    <w:rsid w:val="4F7EF0AF"/>
    <w:rsid w:val="4F98F781"/>
    <w:rsid w:val="4FA7185B"/>
    <w:rsid w:val="4FBE6290"/>
    <w:rsid w:val="4FEA76D2"/>
    <w:rsid w:val="4FF138D0"/>
    <w:rsid w:val="4FFE55E0"/>
    <w:rsid w:val="50042147"/>
    <w:rsid w:val="503CBC02"/>
    <w:rsid w:val="50445528"/>
    <w:rsid w:val="506F59A3"/>
    <w:rsid w:val="50E59935"/>
    <w:rsid w:val="510EEDA6"/>
    <w:rsid w:val="513E797F"/>
    <w:rsid w:val="51AAE97D"/>
    <w:rsid w:val="51F55BA6"/>
    <w:rsid w:val="5231A2C0"/>
    <w:rsid w:val="527E3CEC"/>
    <w:rsid w:val="52C366AC"/>
    <w:rsid w:val="52D89BFD"/>
    <w:rsid w:val="52EC9AF0"/>
    <w:rsid w:val="53517331"/>
    <w:rsid w:val="535FE140"/>
    <w:rsid w:val="5378BCE0"/>
    <w:rsid w:val="53C6A33D"/>
    <w:rsid w:val="53EAC264"/>
    <w:rsid w:val="53EEF0A5"/>
    <w:rsid w:val="53FF573A"/>
    <w:rsid w:val="545261D2"/>
    <w:rsid w:val="54593598"/>
    <w:rsid w:val="547FE4BE"/>
    <w:rsid w:val="54C09771"/>
    <w:rsid w:val="54C0D347"/>
    <w:rsid w:val="54F6895C"/>
    <w:rsid w:val="551A59E2"/>
    <w:rsid w:val="553E373F"/>
    <w:rsid w:val="5549080F"/>
    <w:rsid w:val="55B470BB"/>
    <w:rsid w:val="55D8DEA7"/>
    <w:rsid w:val="55F505F9"/>
    <w:rsid w:val="560062AE"/>
    <w:rsid w:val="567DAFB7"/>
    <w:rsid w:val="56B8CF0D"/>
    <w:rsid w:val="56CC9E37"/>
    <w:rsid w:val="5725FCEB"/>
    <w:rsid w:val="578421B8"/>
    <w:rsid w:val="57B8D995"/>
    <w:rsid w:val="57CB529D"/>
    <w:rsid w:val="5822B9BB"/>
    <w:rsid w:val="582CE2CE"/>
    <w:rsid w:val="585C603D"/>
    <w:rsid w:val="5861DF74"/>
    <w:rsid w:val="58A6DA27"/>
    <w:rsid w:val="58DF9940"/>
    <w:rsid w:val="58F09C08"/>
    <w:rsid w:val="58FD40C1"/>
    <w:rsid w:val="59073F8C"/>
    <w:rsid w:val="59078A7B"/>
    <w:rsid w:val="592CA6BB"/>
    <w:rsid w:val="59355BD0"/>
    <w:rsid w:val="59BA15D6"/>
    <w:rsid w:val="5A006D8B"/>
    <w:rsid w:val="5A9C1112"/>
    <w:rsid w:val="5AB55034"/>
    <w:rsid w:val="5ACF2D54"/>
    <w:rsid w:val="5AEF2642"/>
    <w:rsid w:val="5B34F3A7"/>
    <w:rsid w:val="5B7E41F3"/>
    <w:rsid w:val="5B940140"/>
    <w:rsid w:val="5BA8406C"/>
    <w:rsid w:val="5BB56649"/>
    <w:rsid w:val="5BC31C7D"/>
    <w:rsid w:val="5BF644DB"/>
    <w:rsid w:val="5C3B39E5"/>
    <w:rsid w:val="5C4C38E0"/>
    <w:rsid w:val="5C512095"/>
    <w:rsid w:val="5C5C5933"/>
    <w:rsid w:val="5CDBA642"/>
    <w:rsid w:val="5CFC37F0"/>
    <w:rsid w:val="5D2BBB2B"/>
    <w:rsid w:val="5D86B349"/>
    <w:rsid w:val="5D87D636"/>
    <w:rsid w:val="5DA170AF"/>
    <w:rsid w:val="5DF27C5E"/>
    <w:rsid w:val="5EAFDEE1"/>
    <w:rsid w:val="5EB7FB49"/>
    <w:rsid w:val="5EDBCC34"/>
    <w:rsid w:val="5F0F32F9"/>
    <w:rsid w:val="5F1687CA"/>
    <w:rsid w:val="5F5125FE"/>
    <w:rsid w:val="5F58994A"/>
    <w:rsid w:val="600339CB"/>
    <w:rsid w:val="600999DE"/>
    <w:rsid w:val="600C1489"/>
    <w:rsid w:val="606FAF0F"/>
    <w:rsid w:val="60AC726C"/>
    <w:rsid w:val="60BE540B"/>
    <w:rsid w:val="60F7FA82"/>
    <w:rsid w:val="614DEA7A"/>
    <w:rsid w:val="6164284F"/>
    <w:rsid w:val="616AFF98"/>
    <w:rsid w:val="61784441"/>
    <w:rsid w:val="619FE0CB"/>
    <w:rsid w:val="61B90322"/>
    <w:rsid w:val="62B761AF"/>
    <w:rsid w:val="62DB7687"/>
    <w:rsid w:val="62E2D103"/>
    <w:rsid w:val="6328A87D"/>
    <w:rsid w:val="63C6F812"/>
    <w:rsid w:val="63FD2788"/>
    <w:rsid w:val="6409385B"/>
    <w:rsid w:val="641670A8"/>
    <w:rsid w:val="6468859C"/>
    <w:rsid w:val="64955BE0"/>
    <w:rsid w:val="64C478DE"/>
    <w:rsid w:val="65090640"/>
    <w:rsid w:val="653F6ADA"/>
    <w:rsid w:val="65545B09"/>
    <w:rsid w:val="6565BEC7"/>
    <w:rsid w:val="65BBAFE9"/>
    <w:rsid w:val="65DBC6DD"/>
    <w:rsid w:val="65E2CF99"/>
    <w:rsid w:val="65E8C3AD"/>
    <w:rsid w:val="6636F950"/>
    <w:rsid w:val="66F02B6A"/>
    <w:rsid w:val="675816B5"/>
    <w:rsid w:val="679686DC"/>
    <w:rsid w:val="67969D66"/>
    <w:rsid w:val="67B17D0A"/>
    <w:rsid w:val="67B6D596"/>
    <w:rsid w:val="67BB3680"/>
    <w:rsid w:val="67D48DE8"/>
    <w:rsid w:val="68050253"/>
    <w:rsid w:val="685948B0"/>
    <w:rsid w:val="6877351F"/>
    <w:rsid w:val="688799BE"/>
    <w:rsid w:val="68B943DE"/>
    <w:rsid w:val="68CF3AE5"/>
    <w:rsid w:val="69379123"/>
    <w:rsid w:val="69536D07"/>
    <w:rsid w:val="699C0DCB"/>
    <w:rsid w:val="69A5411B"/>
    <w:rsid w:val="69D40BB7"/>
    <w:rsid w:val="6A7F3DB3"/>
    <w:rsid w:val="6B087591"/>
    <w:rsid w:val="6B1CD180"/>
    <w:rsid w:val="6B1EFE4E"/>
    <w:rsid w:val="6B2E40E7"/>
    <w:rsid w:val="6B327BF4"/>
    <w:rsid w:val="6B9D0E2A"/>
    <w:rsid w:val="6BA60E94"/>
    <w:rsid w:val="6CA8AAD7"/>
    <w:rsid w:val="6CC9AAE2"/>
    <w:rsid w:val="6D2E5F90"/>
    <w:rsid w:val="6D5F6CEE"/>
    <w:rsid w:val="6D76E34F"/>
    <w:rsid w:val="6D8F8220"/>
    <w:rsid w:val="6D9DBA99"/>
    <w:rsid w:val="6DC08289"/>
    <w:rsid w:val="6E52C316"/>
    <w:rsid w:val="6E6CAAD7"/>
    <w:rsid w:val="6E6FB2F5"/>
    <w:rsid w:val="6E798FC9"/>
    <w:rsid w:val="6F05E42D"/>
    <w:rsid w:val="6F22F13B"/>
    <w:rsid w:val="6FB23581"/>
    <w:rsid w:val="6FC4B339"/>
    <w:rsid w:val="7005BDF0"/>
    <w:rsid w:val="70187D89"/>
    <w:rsid w:val="706A30F1"/>
    <w:rsid w:val="70797FB7"/>
    <w:rsid w:val="70A26197"/>
    <w:rsid w:val="70C498D9"/>
    <w:rsid w:val="713CA193"/>
    <w:rsid w:val="715F9E01"/>
    <w:rsid w:val="71606D6F"/>
    <w:rsid w:val="719DFBC6"/>
    <w:rsid w:val="719E7233"/>
    <w:rsid w:val="71DE217D"/>
    <w:rsid w:val="71E070BF"/>
    <w:rsid w:val="72686B1E"/>
    <w:rsid w:val="72AF1496"/>
    <w:rsid w:val="72FE9C56"/>
    <w:rsid w:val="732B9F29"/>
    <w:rsid w:val="73346892"/>
    <w:rsid w:val="7337F047"/>
    <w:rsid w:val="73AB46F1"/>
    <w:rsid w:val="73CD60C6"/>
    <w:rsid w:val="74637580"/>
    <w:rsid w:val="746FFBC7"/>
    <w:rsid w:val="7477CE5B"/>
    <w:rsid w:val="74A4E36C"/>
    <w:rsid w:val="74C74729"/>
    <w:rsid w:val="74D73196"/>
    <w:rsid w:val="7501F5B0"/>
    <w:rsid w:val="7527C75F"/>
    <w:rsid w:val="7543F070"/>
    <w:rsid w:val="759A9405"/>
    <w:rsid w:val="759CA26E"/>
    <w:rsid w:val="75F653DC"/>
    <w:rsid w:val="765DECC5"/>
    <w:rsid w:val="76A3890D"/>
    <w:rsid w:val="76ACD79D"/>
    <w:rsid w:val="76B86237"/>
    <w:rsid w:val="76C17469"/>
    <w:rsid w:val="76E95AB0"/>
    <w:rsid w:val="7727B7B0"/>
    <w:rsid w:val="778FA425"/>
    <w:rsid w:val="778FBBC5"/>
    <w:rsid w:val="779F08F6"/>
    <w:rsid w:val="77CFAEF3"/>
    <w:rsid w:val="77D96D79"/>
    <w:rsid w:val="77E520A6"/>
    <w:rsid w:val="77F072A5"/>
    <w:rsid w:val="781A25AD"/>
    <w:rsid w:val="781E53EF"/>
    <w:rsid w:val="7898D244"/>
    <w:rsid w:val="78AA0D1B"/>
    <w:rsid w:val="78B35B4F"/>
    <w:rsid w:val="78D70C05"/>
    <w:rsid w:val="7912CB00"/>
    <w:rsid w:val="79357CC4"/>
    <w:rsid w:val="7A07A5D4"/>
    <w:rsid w:val="7A25600C"/>
    <w:rsid w:val="7A34A2A5"/>
    <w:rsid w:val="7A36E321"/>
    <w:rsid w:val="7A4E92B8"/>
    <w:rsid w:val="7A54DCCB"/>
    <w:rsid w:val="7A5F4247"/>
    <w:rsid w:val="7AC75C87"/>
    <w:rsid w:val="7ADEBC06"/>
    <w:rsid w:val="7AF26DF8"/>
    <w:rsid w:val="7B4B61C8"/>
    <w:rsid w:val="7BC3FD8C"/>
    <w:rsid w:val="7C006E07"/>
    <w:rsid w:val="7C4743E3"/>
    <w:rsid w:val="7CB6AB13"/>
    <w:rsid w:val="7CD02F41"/>
    <w:rsid w:val="7CE6FA95"/>
    <w:rsid w:val="7CE7EE38"/>
    <w:rsid w:val="7D01D588"/>
    <w:rsid w:val="7D2A305C"/>
    <w:rsid w:val="7D4C70E0"/>
    <w:rsid w:val="7D5DD392"/>
    <w:rsid w:val="7D610A93"/>
    <w:rsid w:val="7D63989C"/>
    <w:rsid w:val="7DF3D365"/>
    <w:rsid w:val="7DF6DB56"/>
    <w:rsid w:val="7E1FC689"/>
    <w:rsid w:val="7E35018C"/>
    <w:rsid w:val="7E896C74"/>
    <w:rsid w:val="7E8B50E5"/>
    <w:rsid w:val="7EAFA356"/>
    <w:rsid w:val="7EB57B0F"/>
    <w:rsid w:val="7F00FB23"/>
    <w:rsid w:val="7F19F1B3"/>
    <w:rsid w:val="7F40085D"/>
    <w:rsid w:val="7FF863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60005"/>
  <w15:chartTrackingRefBased/>
  <w15:docId w15:val="{23F93A0E-A70A-4F2A-8AA3-96E1FE14AAD6}"/>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31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DF231B"/>
    <w:pPr>
      <w:keepNext/>
      <w:outlineLvl w:val="1"/>
    </w:pPr>
    <w:rPr>
      <w:b/>
      <w:sz w:val="24"/>
      <w:u w:val="single"/>
    </w:rPr>
  </w:style>
  <w:style w:type="paragraph" w:styleId="Heading3">
    <w:name w:val="heading 3"/>
    <w:basedOn w:val="Normal"/>
    <w:next w:val="Normal"/>
    <w:link w:val="Heading3Char"/>
    <w:qFormat/>
    <w:rsid w:val="00DF231B"/>
    <w:pPr>
      <w:keepNext/>
      <w:outlineLvl w:val="2"/>
    </w:pPr>
    <w:rPr>
      <w:rFonts w:ascii="Palatino" w:hAnsi="Palatino"/>
      <w:b/>
      <w:sz w:val="24"/>
    </w:rPr>
  </w:style>
  <w:style w:type="paragraph" w:styleId="Heading6">
    <w:name w:val="heading 6"/>
    <w:basedOn w:val="Normal"/>
    <w:next w:val="Normal"/>
    <w:link w:val="Heading6Char"/>
    <w:qFormat/>
    <w:rsid w:val="00DF231B"/>
    <w:pPr>
      <w:keepNext/>
      <w:spacing w:before="120"/>
      <w:jc w:val="righ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231B"/>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DF231B"/>
    <w:rPr>
      <w:rFonts w:ascii="Palatino" w:eastAsia="Times New Roman" w:hAnsi="Palatino" w:cs="Times New Roman"/>
      <w:b/>
      <w:sz w:val="24"/>
      <w:szCs w:val="20"/>
    </w:rPr>
  </w:style>
  <w:style w:type="character" w:customStyle="1" w:styleId="Heading6Char">
    <w:name w:val="Heading 6 Char"/>
    <w:basedOn w:val="DefaultParagraphFont"/>
    <w:link w:val="Heading6"/>
    <w:rsid w:val="00DF231B"/>
    <w:rPr>
      <w:rFonts w:ascii="Times New Roman" w:eastAsia="Times New Roman" w:hAnsi="Times New Roman" w:cs="Times New Roman"/>
      <w:sz w:val="24"/>
      <w:szCs w:val="20"/>
    </w:rPr>
  </w:style>
  <w:style w:type="paragraph" w:styleId="BodyText">
    <w:name w:val="Body Text"/>
    <w:basedOn w:val="Normal"/>
    <w:link w:val="BodyTextChar"/>
    <w:rsid w:val="00DF231B"/>
    <w:rPr>
      <w:sz w:val="24"/>
    </w:rPr>
  </w:style>
  <w:style w:type="character" w:customStyle="1" w:styleId="BodyTextChar">
    <w:name w:val="Body Text Char"/>
    <w:basedOn w:val="DefaultParagraphFont"/>
    <w:link w:val="BodyText"/>
    <w:rsid w:val="00DF231B"/>
    <w:rPr>
      <w:rFonts w:ascii="Times New Roman" w:eastAsia="Times New Roman" w:hAnsi="Times New Roman" w:cs="Times New Roman"/>
      <w:sz w:val="24"/>
      <w:szCs w:val="20"/>
    </w:rPr>
  </w:style>
  <w:style w:type="paragraph" w:styleId="BlockText">
    <w:name w:val="Block Text"/>
    <w:basedOn w:val="Normal"/>
    <w:rsid w:val="00DF231B"/>
    <w:pPr>
      <w:ind w:left="720" w:right="720"/>
    </w:pPr>
    <w:rPr>
      <w:sz w:val="24"/>
    </w:rPr>
  </w:style>
  <w:style w:type="paragraph" w:styleId="FootnoteText">
    <w:name w:val="footnote text"/>
    <w:basedOn w:val="Normal"/>
    <w:link w:val="FootnoteTextChar"/>
    <w:semiHidden/>
    <w:rsid w:val="00DF231B"/>
  </w:style>
  <w:style w:type="character" w:customStyle="1" w:styleId="FootnoteTextChar">
    <w:name w:val="Footnote Text Char"/>
    <w:basedOn w:val="DefaultParagraphFont"/>
    <w:link w:val="FootnoteText"/>
    <w:semiHidden/>
    <w:rsid w:val="00DF231B"/>
    <w:rPr>
      <w:rFonts w:ascii="Times New Roman" w:eastAsia="Times New Roman" w:hAnsi="Times New Roman" w:cs="Times New Roman"/>
      <w:sz w:val="20"/>
      <w:szCs w:val="20"/>
    </w:rPr>
  </w:style>
  <w:style w:type="character" w:styleId="FootnoteReference">
    <w:name w:val="footnote reference"/>
    <w:semiHidden/>
    <w:rsid w:val="00DF231B"/>
    <w:rPr>
      <w:vertAlign w:val="superscript"/>
    </w:rPr>
  </w:style>
  <w:style w:type="paragraph" w:styleId="ListParagraph">
    <w:name w:val="List Paragraph"/>
    <w:basedOn w:val="Normal"/>
    <w:uiPriority w:val="34"/>
    <w:qFormat/>
    <w:rsid w:val="00DF231B"/>
    <w:pPr>
      <w:ind w:left="720"/>
    </w:pPr>
  </w:style>
  <w:style w:type="paragraph" w:customStyle="1" w:styleId="Default">
    <w:name w:val="Default"/>
    <w:rsid w:val="00DF231B"/>
    <w:pPr>
      <w:autoSpaceDE w:val="0"/>
      <w:autoSpaceDN w:val="0"/>
      <w:adjustRightInd w:val="0"/>
      <w:spacing w:after="0" w:line="240" w:lineRule="auto"/>
    </w:pPr>
    <w:rPr>
      <w:rFonts w:ascii="Palatino Linotype" w:eastAsia="Times New Roman" w:hAnsi="Palatino Linotype" w:cs="Palatino Linotype"/>
      <w:color w:val="000000"/>
      <w:sz w:val="24"/>
      <w:szCs w:val="24"/>
    </w:rPr>
  </w:style>
  <w:style w:type="paragraph" w:styleId="Header">
    <w:name w:val="header"/>
    <w:basedOn w:val="Normal"/>
    <w:link w:val="HeaderChar"/>
    <w:uiPriority w:val="99"/>
    <w:unhideWhenUsed/>
    <w:rsid w:val="00DF231B"/>
    <w:pPr>
      <w:tabs>
        <w:tab w:val="center" w:pos="4680"/>
        <w:tab w:val="right" w:pos="9360"/>
      </w:tabs>
    </w:pPr>
  </w:style>
  <w:style w:type="character" w:customStyle="1" w:styleId="HeaderChar">
    <w:name w:val="Header Char"/>
    <w:basedOn w:val="DefaultParagraphFont"/>
    <w:link w:val="Header"/>
    <w:uiPriority w:val="99"/>
    <w:rsid w:val="00DF231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F231B"/>
    <w:pPr>
      <w:tabs>
        <w:tab w:val="center" w:pos="4680"/>
        <w:tab w:val="right" w:pos="9360"/>
      </w:tabs>
    </w:pPr>
  </w:style>
  <w:style w:type="character" w:customStyle="1" w:styleId="FooterChar">
    <w:name w:val="Footer Char"/>
    <w:basedOn w:val="DefaultParagraphFont"/>
    <w:link w:val="Footer"/>
    <w:uiPriority w:val="99"/>
    <w:rsid w:val="00DF231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F231B"/>
    <w:rPr>
      <w:sz w:val="16"/>
      <w:szCs w:val="16"/>
    </w:rPr>
  </w:style>
  <w:style w:type="paragraph" w:styleId="CommentText">
    <w:name w:val="annotation text"/>
    <w:basedOn w:val="Normal"/>
    <w:link w:val="CommentTextChar"/>
    <w:uiPriority w:val="99"/>
    <w:unhideWhenUsed/>
    <w:rsid w:val="00DF231B"/>
  </w:style>
  <w:style w:type="character" w:customStyle="1" w:styleId="CommentTextChar">
    <w:name w:val="Comment Text Char"/>
    <w:basedOn w:val="DefaultParagraphFont"/>
    <w:link w:val="CommentText"/>
    <w:uiPriority w:val="99"/>
    <w:rsid w:val="00DF231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41664"/>
    <w:rPr>
      <w:color w:val="0563C1" w:themeColor="hyperlink"/>
      <w:u w:val="single"/>
    </w:rPr>
  </w:style>
  <w:style w:type="character" w:styleId="UnresolvedMention">
    <w:name w:val="Unresolved Mention"/>
    <w:basedOn w:val="DefaultParagraphFont"/>
    <w:uiPriority w:val="99"/>
    <w:unhideWhenUsed/>
    <w:rsid w:val="00D41664"/>
    <w:rPr>
      <w:color w:val="605E5C"/>
      <w:shd w:val="clear" w:color="auto" w:fill="E1DFDD"/>
    </w:rPr>
  </w:style>
  <w:style w:type="character" w:styleId="LineNumber">
    <w:name w:val="line number"/>
    <w:rsid w:val="00426B01"/>
    <w:rPr>
      <w:sz w:val="26"/>
    </w:rPr>
  </w:style>
  <w:style w:type="paragraph" w:styleId="CommentSubject">
    <w:name w:val="annotation subject"/>
    <w:basedOn w:val="CommentText"/>
    <w:next w:val="CommentText"/>
    <w:link w:val="CommentSubjectChar"/>
    <w:uiPriority w:val="99"/>
    <w:semiHidden/>
    <w:unhideWhenUsed/>
    <w:rsid w:val="0067134F"/>
    <w:rPr>
      <w:b/>
      <w:bCs/>
    </w:rPr>
  </w:style>
  <w:style w:type="character" w:customStyle="1" w:styleId="CommentSubjectChar">
    <w:name w:val="Comment Subject Char"/>
    <w:basedOn w:val="CommentTextChar"/>
    <w:link w:val="CommentSubject"/>
    <w:uiPriority w:val="99"/>
    <w:semiHidden/>
    <w:rsid w:val="0067134F"/>
    <w:rPr>
      <w:rFonts w:ascii="Times New Roman" w:eastAsia="Times New Roman" w:hAnsi="Times New Roman" w:cs="Times New Roman"/>
      <w:b/>
      <w:bCs/>
      <w:sz w:val="20"/>
      <w:szCs w:val="20"/>
    </w:rPr>
  </w:style>
  <w:style w:type="character" w:styleId="Mention">
    <w:name w:val="Mention"/>
    <w:basedOn w:val="DefaultParagraphFont"/>
    <w:uiPriority w:val="99"/>
    <w:unhideWhenUsed/>
    <w:rsid w:val="0087295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c.ca.gov/docu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puc.ca.gov/uploadedFiles/CPUC_Public_Website/Content/Utilities_and_Industries/Communications_-_Telecommunications_and_Broadband/2019%20Annual%20Report%20California%20Advanced%20Services%20Fund%202.pdf" TargetMode="External"/><Relationship Id="rId2" Type="http://schemas.openxmlformats.org/officeDocument/2006/relationships/hyperlink" Target="http://www.cpuc.ca.gov/General.aspx?id=9226" TargetMode="External"/><Relationship Id="rId1" Type="http://schemas.openxmlformats.org/officeDocument/2006/relationships/hyperlink" Target="https://www.cpuc.ca.gov/casf/" TargetMode="External"/><Relationship Id="rId4" Type="http://schemas.openxmlformats.org/officeDocument/2006/relationships/hyperlink" Target="https://www.cpuc.ca.gov/uploadedFiles/CPUC_Public_Website/Content/Utilities_and_Industries/Communications_-_Telecommunications_and_Broadband/2018%20Annual%20Report%20California%20Advanced%20Services%20Fund_April%20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5DA76-D61C-48B1-B9DC-93A0880C8FE9}">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9</ap:Pages>
  <ap:Words>2305</ap:Words>
  <ap:Characters>13145</ap:Characters>
  <ap:Application>Microsoft Office Word</ap:Application>
  <ap:DocSecurity>0</ap:DocSecurity>
  <ap:Lines>109</ap:Lines>
  <ap:Paragraphs>30</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15420</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2021-03-11T10:48:53Z</dcterms:created>
  <dcterms:modified xsi:type="dcterms:W3CDTF">2021-03-11T10:48:53Z</dcterms:modified>
</cp:coreProperties>
</file>