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67F4B" w:rsidR="00932789" w:rsidP="00932789" w:rsidRDefault="00932789" w14:paraId="0FAF6A65" w14:textId="77777777">
      <w:pPr>
        <w:pStyle w:val="Title"/>
        <w:rPr>
          <w:rFonts w:ascii="Palatino Linotype" w:hAnsi="Palatino Linotype"/>
          <w:szCs w:val="24"/>
        </w:rPr>
      </w:pPr>
      <w:bookmarkStart w:name="_Hlk41905788" w:id="0"/>
      <w:r w:rsidRPr="00467F4B">
        <w:rPr>
          <w:rFonts w:ascii="Palatino Linotype" w:hAnsi="Palatino Linotype"/>
          <w:szCs w:val="24"/>
        </w:rPr>
        <w:t>PUBLIC UTILITIES COMMISSION OF THE STATE OF CALIFORNIA</w:t>
      </w:r>
    </w:p>
    <w:p w:rsidRPr="00467F4B" w:rsidR="00932789" w:rsidP="00932789" w:rsidRDefault="00932789" w14:paraId="57916760" w14:textId="77777777">
      <w:pPr>
        <w:pStyle w:val="Title"/>
        <w:jc w:val="left"/>
        <w:rPr>
          <w:rFonts w:ascii="Palatino Linotype" w:hAnsi="Palatino Linotype"/>
          <w:szCs w:val="24"/>
        </w:rPr>
      </w:pPr>
    </w:p>
    <w:p w:rsidRPr="00467F4B" w:rsidR="00932789" w:rsidP="00932789" w:rsidRDefault="00932789" w14:paraId="0037C10B" w14:textId="77777777">
      <w:pPr>
        <w:pStyle w:val="Title"/>
        <w:jc w:val="left"/>
        <w:rPr>
          <w:rFonts w:ascii="Palatino Linotype" w:hAnsi="Palatino Linotype"/>
          <w:szCs w:val="24"/>
        </w:rPr>
      </w:pPr>
      <w:r w:rsidRPr="00467F4B">
        <w:rPr>
          <w:rFonts w:ascii="Palatino Linotype" w:hAnsi="Palatino Linotype"/>
          <w:szCs w:val="24"/>
        </w:rPr>
        <w:t>Communications Division</w:t>
      </w:r>
      <w:r w:rsidRPr="00467F4B">
        <w:rPr>
          <w:rFonts w:ascii="Palatino Linotype" w:hAnsi="Palatino Linotype"/>
          <w:szCs w:val="24"/>
        </w:rPr>
        <w:tab/>
      </w:r>
      <w:r w:rsidRPr="00467F4B">
        <w:rPr>
          <w:rFonts w:ascii="Palatino Linotype" w:hAnsi="Palatino Linotype"/>
          <w:szCs w:val="24"/>
        </w:rPr>
        <w:tab/>
      </w:r>
      <w:r w:rsidRPr="00467F4B">
        <w:rPr>
          <w:rFonts w:ascii="Palatino Linotype" w:hAnsi="Palatino Linotype"/>
          <w:szCs w:val="24"/>
        </w:rPr>
        <w:tab/>
        <w:t xml:space="preserve">   </w:t>
      </w:r>
      <w:r w:rsidRPr="00467F4B">
        <w:rPr>
          <w:rFonts w:ascii="Palatino Linotype" w:hAnsi="Palatino Linotype"/>
          <w:szCs w:val="24"/>
        </w:rPr>
        <w:tab/>
        <w:t xml:space="preserve">                       Resolution T-17704</w:t>
      </w:r>
    </w:p>
    <w:p w:rsidRPr="00467F4B" w:rsidR="00932789" w:rsidP="00932789" w:rsidRDefault="00932789" w14:paraId="75F57D70" w14:textId="77777777">
      <w:pPr>
        <w:pStyle w:val="Title"/>
        <w:jc w:val="left"/>
        <w:rPr>
          <w:rFonts w:ascii="Palatino Linotype" w:hAnsi="Palatino Linotype"/>
          <w:szCs w:val="24"/>
        </w:rPr>
      </w:pPr>
      <w:r w:rsidRPr="00467F4B">
        <w:rPr>
          <w:rFonts w:ascii="Palatino Linotype" w:hAnsi="Palatino Linotype"/>
          <w:szCs w:val="24"/>
        </w:rPr>
        <w:t>Carrier Oversight &amp; Programs Branch</w:t>
      </w:r>
      <w:r w:rsidRPr="00467F4B">
        <w:rPr>
          <w:rFonts w:ascii="Palatino Linotype" w:hAnsi="Palatino Linotype"/>
          <w:szCs w:val="24"/>
        </w:rPr>
        <w:tab/>
      </w:r>
      <w:r w:rsidRPr="00467F4B">
        <w:rPr>
          <w:rFonts w:ascii="Palatino Linotype" w:hAnsi="Palatino Linotype"/>
          <w:szCs w:val="24"/>
        </w:rPr>
        <w:tab/>
      </w:r>
      <w:r w:rsidRPr="00467F4B">
        <w:rPr>
          <w:rFonts w:ascii="Palatino Linotype" w:hAnsi="Palatino Linotype"/>
          <w:szCs w:val="24"/>
        </w:rPr>
        <w:tab/>
      </w:r>
      <w:r w:rsidRPr="00467F4B">
        <w:rPr>
          <w:rFonts w:ascii="Palatino Linotype" w:hAnsi="Palatino Linotype"/>
          <w:szCs w:val="24"/>
        </w:rPr>
        <w:tab/>
        <w:t xml:space="preserve">          </w:t>
      </w:r>
      <w:r>
        <w:rPr>
          <w:rFonts w:ascii="Palatino Linotype" w:hAnsi="Palatino Linotype"/>
          <w:szCs w:val="24"/>
        </w:rPr>
        <w:tab/>
      </w:r>
      <w:r>
        <w:rPr>
          <w:rFonts w:ascii="Palatino Linotype" w:hAnsi="Palatino Linotype"/>
          <w:szCs w:val="24"/>
        </w:rPr>
        <w:tab/>
        <w:t>June 3</w:t>
      </w:r>
      <w:r w:rsidRPr="00467F4B">
        <w:rPr>
          <w:rFonts w:ascii="Palatino Linotype" w:hAnsi="Palatino Linotype"/>
          <w:szCs w:val="24"/>
        </w:rPr>
        <w:t>, 202</w:t>
      </w:r>
      <w:r>
        <w:rPr>
          <w:rFonts w:ascii="Palatino Linotype" w:hAnsi="Palatino Linotype"/>
          <w:szCs w:val="24"/>
        </w:rPr>
        <w:t>1</w:t>
      </w:r>
    </w:p>
    <w:bookmarkEnd w:id="0"/>
    <w:p w:rsidRPr="00467F4B" w:rsidR="00932789" w:rsidP="00932789" w:rsidRDefault="00932789" w14:paraId="65DA259A" w14:textId="77777777">
      <w:pPr>
        <w:pStyle w:val="Title"/>
        <w:jc w:val="left"/>
        <w:rPr>
          <w:rFonts w:ascii="Palatino Linotype" w:hAnsi="Palatino Linotype"/>
          <w:szCs w:val="24"/>
        </w:rPr>
      </w:pPr>
    </w:p>
    <w:p w:rsidRPr="00467F4B" w:rsidR="00932789" w:rsidP="00932789" w:rsidRDefault="00932789" w14:paraId="7CE16D2B" w14:textId="77777777">
      <w:pPr>
        <w:pStyle w:val="Title"/>
        <w:rPr>
          <w:rFonts w:ascii="Palatino Linotype" w:hAnsi="Palatino Linotype"/>
          <w:szCs w:val="24"/>
          <w:u w:val="single"/>
        </w:rPr>
      </w:pPr>
      <w:r w:rsidRPr="00467F4B">
        <w:rPr>
          <w:rFonts w:ascii="Palatino Linotype" w:hAnsi="Palatino Linotype"/>
          <w:szCs w:val="24"/>
          <w:u w:val="single"/>
        </w:rPr>
        <w:t>R E S O L U T I O N</w:t>
      </w:r>
    </w:p>
    <w:p w:rsidRPr="00467F4B" w:rsidR="00932789" w:rsidP="00932789" w:rsidRDefault="00932789" w14:paraId="6F25FDDC" w14:textId="77777777">
      <w:pPr>
        <w:pStyle w:val="Title"/>
        <w:jc w:val="left"/>
        <w:rPr>
          <w:rFonts w:ascii="Palatino Linotype" w:hAnsi="Palatino Linotype"/>
          <w:b w:val="0"/>
          <w:szCs w:val="24"/>
        </w:rPr>
      </w:pPr>
    </w:p>
    <w:p w:rsidRPr="001A34CF" w:rsidR="00932789" w:rsidP="00932789" w:rsidRDefault="00932789" w14:paraId="1F88C8DA" w14:textId="77777777">
      <w:pPr>
        <w:pStyle w:val="Title"/>
        <w:keepNext/>
        <w:jc w:val="left"/>
        <w:rPr>
          <w:rFonts w:ascii="Palatino Linotype" w:hAnsi="Palatino Linotype"/>
          <w:b w:val="0"/>
        </w:rPr>
      </w:pPr>
      <w:bookmarkStart w:name="_Hlk67989451" w:id="1"/>
      <w:r w:rsidRPr="001A34CF">
        <w:rPr>
          <w:rFonts w:ascii="Palatino Linotype" w:hAnsi="Palatino Linotype"/>
          <w:bCs/>
        </w:rPr>
        <w:t>Resolution T-17704.</w:t>
      </w:r>
      <w:r w:rsidRPr="001A34CF">
        <w:rPr>
          <w:rFonts w:ascii="Palatino Linotype" w:hAnsi="Palatino Linotype"/>
          <w:b w:val="0"/>
        </w:rPr>
        <w:t xml:space="preserve">  </w:t>
      </w:r>
      <w:r w:rsidRPr="001A34CF">
        <w:rPr>
          <w:rFonts w:ascii="Palatino Linotype" w:hAnsi="Palatino Linotype"/>
          <w:b w:val="0"/>
          <w:szCs w:val="24"/>
        </w:rPr>
        <w:t xml:space="preserve">Approval of the partial refund of surcharge and user fee overpayments to </w:t>
      </w:r>
      <w:r w:rsidRPr="001A34CF">
        <w:rPr>
          <w:rFonts w:ascii="Palatino Linotype" w:hAnsi="Palatino Linotype"/>
          <w:b w:val="0"/>
        </w:rPr>
        <w:t>Santa Barbara Cellular Systems, LLC, AT&amp;T Mobility Wireless Operations Holdings, Inc., and New Cingular Wireless PCS, LLC (AT&amp;T Mobility)</w:t>
      </w:r>
      <w:r w:rsidRPr="001A34CF">
        <w:rPr>
          <w:rFonts w:ascii="Palatino Linotype" w:hAnsi="Palatino Linotype"/>
          <w:b w:val="0"/>
          <w:szCs w:val="24"/>
        </w:rPr>
        <w:t xml:space="preserve">.  Additionally, </w:t>
      </w:r>
      <w:r>
        <w:rPr>
          <w:rFonts w:ascii="Palatino Linotype" w:hAnsi="Palatino Linotype"/>
          <w:b w:val="0"/>
          <w:szCs w:val="24"/>
        </w:rPr>
        <w:t xml:space="preserve">the </w:t>
      </w:r>
      <w:r w:rsidRPr="001A34CF">
        <w:rPr>
          <w:rFonts w:ascii="Palatino Linotype" w:hAnsi="Palatino Linotype"/>
          <w:b w:val="0"/>
          <w:szCs w:val="24"/>
        </w:rPr>
        <w:t xml:space="preserve">Commission requires AT&amp;T Mobility to pay the outstanding amounts due to the Commission and authorize </w:t>
      </w:r>
      <w:r>
        <w:rPr>
          <w:rFonts w:ascii="Palatino Linotype" w:hAnsi="Palatino Linotype"/>
          <w:b w:val="0"/>
          <w:szCs w:val="24"/>
        </w:rPr>
        <w:t xml:space="preserve">deduction of this </w:t>
      </w:r>
      <w:r w:rsidRPr="001A34CF">
        <w:rPr>
          <w:rFonts w:ascii="Palatino Linotype" w:hAnsi="Palatino Linotype"/>
          <w:b w:val="0"/>
          <w:szCs w:val="24"/>
        </w:rPr>
        <w:t xml:space="preserve">from the total approved refund amount. The final </w:t>
      </w:r>
      <w:r>
        <w:rPr>
          <w:rFonts w:ascii="Palatino Linotype" w:hAnsi="Palatino Linotype"/>
          <w:b w:val="0"/>
          <w:szCs w:val="24"/>
        </w:rPr>
        <w:t xml:space="preserve">approved </w:t>
      </w:r>
      <w:r w:rsidRPr="001A34CF">
        <w:rPr>
          <w:rFonts w:ascii="Palatino Linotype" w:hAnsi="Palatino Linotype"/>
          <w:b w:val="0"/>
        </w:rPr>
        <w:t xml:space="preserve">total refund to AT&amp;T Mobility is $270,370.75.  </w:t>
      </w:r>
    </w:p>
    <w:bookmarkEnd w:id="1"/>
    <w:p w:rsidRPr="00467F4B" w:rsidR="00932789" w:rsidP="00932789" w:rsidRDefault="00932789" w14:paraId="5D8E0446" w14:textId="77777777">
      <w:pPr>
        <w:pStyle w:val="Title"/>
        <w:jc w:val="left"/>
        <w:rPr>
          <w:rFonts w:ascii="Palatino Linotype" w:hAnsi="Palatino Linotype"/>
          <w:b w:val="0"/>
          <w:szCs w:val="24"/>
        </w:rPr>
      </w:pPr>
      <w:r w:rsidRPr="00467F4B">
        <w:rPr>
          <w:rFonts w:ascii="Palatino Linotype" w:hAnsi="Palatino Linotype"/>
          <w:b w:val="0"/>
          <w:szCs w:val="24"/>
        </w:rPr>
        <w:t xml:space="preserve"> _____________________________________________________________________________</w:t>
      </w:r>
    </w:p>
    <w:p w:rsidRPr="00467F4B" w:rsidR="00932789" w:rsidP="00932789" w:rsidRDefault="00932789" w14:paraId="2C46CA4C" w14:textId="77777777">
      <w:pPr>
        <w:pStyle w:val="Title"/>
        <w:jc w:val="left"/>
        <w:rPr>
          <w:rFonts w:ascii="Palatino Linotype" w:hAnsi="Palatino Linotype"/>
          <w:b w:val="0"/>
          <w:szCs w:val="24"/>
        </w:rPr>
      </w:pPr>
    </w:p>
    <w:p w:rsidRPr="00467F4B" w:rsidR="00932789" w:rsidP="00932789" w:rsidRDefault="00932789" w14:paraId="32CB896C" w14:textId="77777777">
      <w:pPr>
        <w:pStyle w:val="Title"/>
        <w:jc w:val="left"/>
        <w:rPr>
          <w:rFonts w:ascii="Palatino Linotype" w:hAnsi="Palatino Linotype"/>
          <w:szCs w:val="24"/>
        </w:rPr>
      </w:pPr>
      <w:r w:rsidRPr="00467F4B">
        <w:rPr>
          <w:rFonts w:ascii="Palatino Linotype" w:hAnsi="Palatino Linotype"/>
          <w:szCs w:val="24"/>
        </w:rPr>
        <w:t>SUMMARY</w:t>
      </w:r>
    </w:p>
    <w:p w:rsidRPr="00467F4B" w:rsidR="00932789" w:rsidP="00932789" w:rsidRDefault="00932789" w14:paraId="4563B679" w14:textId="77777777">
      <w:pPr>
        <w:pStyle w:val="Title"/>
        <w:jc w:val="left"/>
        <w:rPr>
          <w:rFonts w:ascii="Palatino Linotype" w:hAnsi="Palatino Linotype"/>
          <w:b w:val="0"/>
          <w:szCs w:val="24"/>
        </w:rPr>
      </w:pPr>
    </w:p>
    <w:p w:rsidR="00932789" w:rsidP="00932789" w:rsidRDefault="00932789" w14:paraId="1D5C0950" w14:textId="77777777">
      <w:pPr>
        <w:pStyle w:val="Title"/>
        <w:jc w:val="left"/>
        <w:rPr>
          <w:rFonts w:ascii="Palatino Linotype" w:hAnsi="Palatino Linotype"/>
          <w:b w:val="0"/>
          <w:szCs w:val="24"/>
        </w:rPr>
      </w:pPr>
      <w:r w:rsidRPr="00467F4B">
        <w:rPr>
          <w:rFonts w:ascii="Palatino Linotype" w:hAnsi="Palatino Linotype"/>
          <w:b w:val="0"/>
          <w:szCs w:val="24"/>
        </w:rPr>
        <w:t xml:space="preserve">This Resolution approves </w:t>
      </w:r>
      <w:r>
        <w:rPr>
          <w:rFonts w:ascii="Palatino Linotype" w:hAnsi="Palatino Linotype"/>
          <w:b w:val="0"/>
          <w:szCs w:val="24"/>
        </w:rPr>
        <w:t xml:space="preserve">in part </w:t>
      </w:r>
      <w:r w:rsidRPr="00467F4B">
        <w:rPr>
          <w:rFonts w:ascii="Palatino Linotype" w:hAnsi="Palatino Linotype"/>
          <w:b w:val="0"/>
          <w:szCs w:val="24"/>
        </w:rPr>
        <w:t>the requests for refund of overpayments of the California Public Utilities Commission (CPUC or Commission) Public Purpose Program surcharges</w:t>
      </w:r>
      <w:r>
        <w:rPr>
          <w:rFonts w:ascii="Palatino Linotype" w:hAnsi="Palatino Linotype"/>
          <w:b w:val="0"/>
          <w:szCs w:val="24"/>
        </w:rPr>
        <w:t xml:space="preserve"> (surcharges)</w:t>
      </w:r>
      <w:r w:rsidRPr="00467F4B">
        <w:rPr>
          <w:rFonts w:ascii="Palatino Linotype" w:hAnsi="Palatino Linotype"/>
          <w:b w:val="0"/>
          <w:szCs w:val="24"/>
        </w:rPr>
        <w:t xml:space="preserve"> and </w:t>
      </w:r>
      <w:r>
        <w:rPr>
          <w:rFonts w:ascii="Palatino Linotype" w:hAnsi="Palatino Linotype"/>
          <w:b w:val="0"/>
          <w:szCs w:val="24"/>
        </w:rPr>
        <w:t xml:space="preserve">Public Utilities Commission </w:t>
      </w:r>
      <w:r w:rsidRPr="00467F4B">
        <w:rPr>
          <w:rFonts w:ascii="Palatino Linotype" w:hAnsi="Palatino Linotype"/>
          <w:b w:val="0"/>
          <w:szCs w:val="24"/>
        </w:rPr>
        <w:t>user fees</w:t>
      </w:r>
      <w:r>
        <w:rPr>
          <w:rFonts w:ascii="Palatino Linotype" w:hAnsi="Palatino Linotype"/>
          <w:b w:val="0"/>
          <w:szCs w:val="24"/>
        </w:rPr>
        <w:t xml:space="preserve"> (user fees)</w:t>
      </w:r>
      <w:r w:rsidRPr="00467F4B">
        <w:rPr>
          <w:rFonts w:ascii="Palatino Linotype" w:hAnsi="Palatino Linotype"/>
          <w:b w:val="0"/>
          <w:szCs w:val="24"/>
        </w:rPr>
        <w:t xml:space="preserve"> submitted by Santa Barbara Cellular Systems, LLC (U-3015-C), AT&amp;T Mobility Wireless Operations Holdings, Inc. (U-3021-C), and New Cingular Wireless PCS, LLC (U-3060-C), (hereafter referred to collectively as AT&amp;T Mobility)</w:t>
      </w:r>
      <w:r>
        <w:rPr>
          <w:rFonts w:ascii="Palatino Linotype" w:hAnsi="Palatino Linotype"/>
          <w:b w:val="0"/>
          <w:szCs w:val="24"/>
        </w:rPr>
        <w:t xml:space="preserve"> all submitted </w:t>
      </w:r>
      <w:r w:rsidRPr="00467F4B">
        <w:rPr>
          <w:rFonts w:ascii="Palatino Linotype" w:hAnsi="Palatino Linotype"/>
          <w:b w:val="0"/>
          <w:szCs w:val="24"/>
        </w:rPr>
        <w:t xml:space="preserve">via Advice Letter </w:t>
      </w:r>
      <w:r>
        <w:rPr>
          <w:rFonts w:ascii="Palatino Linotype" w:hAnsi="Palatino Linotype"/>
          <w:b w:val="0"/>
          <w:szCs w:val="24"/>
        </w:rPr>
        <w:t xml:space="preserve">(AL) </w:t>
      </w:r>
      <w:r w:rsidRPr="00467F4B">
        <w:rPr>
          <w:rFonts w:ascii="Palatino Linotype" w:hAnsi="Palatino Linotype"/>
          <w:b w:val="0"/>
          <w:szCs w:val="24"/>
        </w:rPr>
        <w:t>N</w:t>
      </w:r>
      <w:r>
        <w:rPr>
          <w:rFonts w:ascii="Palatino Linotype" w:hAnsi="Palatino Linotype"/>
          <w:b w:val="0"/>
          <w:szCs w:val="24"/>
        </w:rPr>
        <w:t>umbers</w:t>
      </w:r>
      <w:r w:rsidRPr="00467F4B">
        <w:rPr>
          <w:rFonts w:ascii="Palatino Linotype" w:hAnsi="Palatino Linotype"/>
          <w:b w:val="0"/>
          <w:szCs w:val="24"/>
        </w:rPr>
        <w:t xml:space="preserve"> 166, 161, and 8, respectively. These overpayments were the result of AT&amp;T </w:t>
      </w:r>
      <w:r>
        <w:rPr>
          <w:rFonts w:ascii="Palatino Linotype" w:hAnsi="Palatino Linotype"/>
          <w:b w:val="0"/>
          <w:szCs w:val="24"/>
        </w:rPr>
        <w:t>M</w:t>
      </w:r>
      <w:r w:rsidRPr="00467F4B">
        <w:rPr>
          <w:rFonts w:ascii="Palatino Linotype" w:hAnsi="Palatino Linotype"/>
          <w:b w:val="0"/>
          <w:szCs w:val="24"/>
        </w:rPr>
        <w:t xml:space="preserve">obility erroneously submitting surcharges and user fees associated with data revenues. </w:t>
      </w:r>
    </w:p>
    <w:p w:rsidR="00932789" w:rsidP="00932789" w:rsidRDefault="00932789" w14:paraId="6EDE153B" w14:textId="77777777">
      <w:pPr>
        <w:pStyle w:val="Title"/>
        <w:jc w:val="left"/>
        <w:rPr>
          <w:rFonts w:ascii="Palatino Linotype" w:hAnsi="Palatino Linotype"/>
          <w:b w:val="0"/>
          <w:szCs w:val="24"/>
        </w:rPr>
      </w:pPr>
    </w:p>
    <w:p w:rsidR="00932789" w:rsidP="00932789" w:rsidRDefault="00932789" w14:paraId="58E16A19" w14:textId="77777777">
      <w:pPr>
        <w:pStyle w:val="Title"/>
        <w:jc w:val="left"/>
        <w:rPr>
          <w:rFonts w:ascii="Palatino Linotype" w:hAnsi="Palatino Linotype"/>
          <w:b w:val="0"/>
          <w:szCs w:val="24"/>
        </w:rPr>
      </w:pPr>
      <w:r w:rsidRPr="00467F4B">
        <w:rPr>
          <w:rFonts w:ascii="Palatino Linotype" w:hAnsi="Palatino Linotype"/>
          <w:b w:val="0"/>
          <w:szCs w:val="24"/>
        </w:rPr>
        <w:t xml:space="preserve">AT&amp;T </w:t>
      </w:r>
      <w:r>
        <w:rPr>
          <w:rFonts w:ascii="Palatino Linotype" w:hAnsi="Palatino Linotype"/>
          <w:b w:val="0"/>
          <w:szCs w:val="24"/>
        </w:rPr>
        <w:t>M</w:t>
      </w:r>
      <w:r w:rsidRPr="00467F4B">
        <w:rPr>
          <w:rFonts w:ascii="Palatino Linotype" w:hAnsi="Palatino Linotype"/>
          <w:b w:val="0"/>
          <w:szCs w:val="24"/>
        </w:rPr>
        <w:t>obility owes the Commission $326,732.95 in accrued interest for its failure to report and correctly remit the amounts due to the California Advanced Service Fund (CASF) program</w:t>
      </w:r>
      <w:r>
        <w:rPr>
          <w:rFonts w:ascii="Palatino Linotype" w:hAnsi="Palatino Linotype"/>
          <w:b w:val="0"/>
          <w:szCs w:val="24"/>
        </w:rPr>
        <w:t xml:space="preserve"> for two reporting periods in 2011</w:t>
      </w:r>
      <w:r w:rsidRPr="00467F4B">
        <w:rPr>
          <w:rFonts w:ascii="Palatino Linotype" w:hAnsi="Palatino Linotype"/>
          <w:b w:val="0"/>
          <w:szCs w:val="24"/>
        </w:rPr>
        <w:t xml:space="preserve">. </w:t>
      </w:r>
      <w:r>
        <w:rPr>
          <w:rFonts w:ascii="Palatino Linotype" w:hAnsi="Palatino Linotype"/>
          <w:b w:val="0"/>
          <w:szCs w:val="24"/>
        </w:rPr>
        <w:t xml:space="preserve">The </w:t>
      </w:r>
      <w:r w:rsidRPr="00467F4B">
        <w:rPr>
          <w:rFonts w:ascii="Palatino Linotype" w:hAnsi="Palatino Linotype"/>
          <w:b w:val="0"/>
          <w:szCs w:val="24"/>
        </w:rPr>
        <w:t xml:space="preserve">Commission </w:t>
      </w:r>
      <w:r>
        <w:rPr>
          <w:rFonts w:ascii="Palatino Linotype" w:hAnsi="Palatino Linotype"/>
          <w:b w:val="0"/>
          <w:szCs w:val="24"/>
        </w:rPr>
        <w:t>is</w:t>
      </w:r>
      <w:r w:rsidRPr="00467F4B">
        <w:rPr>
          <w:rFonts w:ascii="Palatino Linotype" w:hAnsi="Palatino Linotype"/>
          <w:b w:val="0"/>
          <w:szCs w:val="24"/>
        </w:rPr>
        <w:t xml:space="preserve"> deduct</w:t>
      </w:r>
      <w:r>
        <w:rPr>
          <w:rFonts w:ascii="Palatino Linotype" w:hAnsi="Palatino Linotype"/>
          <w:b w:val="0"/>
          <w:szCs w:val="24"/>
        </w:rPr>
        <w:t>ing</w:t>
      </w:r>
      <w:r w:rsidRPr="00467F4B">
        <w:rPr>
          <w:rFonts w:ascii="Palatino Linotype" w:hAnsi="Palatino Linotype"/>
          <w:b w:val="0"/>
          <w:szCs w:val="24"/>
        </w:rPr>
        <w:t xml:space="preserve"> the amounts </w:t>
      </w:r>
      <w:r>
        <w:rPr>
          <w:rFonts w:ascii="Palatino Linotype" w:hAnsi="Palatino Linotype"/>
          <w:b w:val="0"/>
          <w:szCs w:val="24"/>
        </w:rPr>
        <w:t xml:space="preserve">AT&amp;T Mobility </w:t>
      </w:r>
      <w:r w:rsidRPr="00467F4B">
        <w:rPr>
          <w:rFonts w:ascii="Palatino Linotype" w:hAnsi="Palatino Linotype"/>
          <w:b w:val="0"/>
          <w:szCs w:val="24"/>
        </w:rPr>
        <w:t>owe</w:t>
      </w:r>
      <w:r>
        <w:rPr>
          <w:rFonts w:ascii="Palatino Linotype" w:hAnsi="Palatino Linotype"/>
          <w:b w:val="0"/>
          <w:szCs w:val="24"/>
        </w:rPr>
        <w:t>s</w:t>
      </w:r>
      <w:r w:rsidRPr="00467F4B">
        <w:rPr>
          <w:rFonts w:ascii="Palatino Linotype" w:hAnsi="Palatino Linotype"/>
          <w:b w:val="0"/>
          <w:szCs w:val="24"/>
        </w:rPr>
        <w:t xml:space="preserve"> </w:t>
      </w:r>
      <w:r>
        <w:rPr>
          <w:rFonts w:ascii="Palatino Linotype" w:hAnsi="Palatino Linotype"/>
          <w:b w:val="0"/>
          <w:szCs w:val="24"/>
        </w:rPr>
        <w:t>from</w:t>
      </w:r>
      <w:r w:rsidRPr="00467F4B">
        <w:rPr>
          <w:rFonts w:ascii="Palatino Linotype" w:hAnsi="Palatino Linotype"/>
          <w:b w:val="0"/>
          <w:szCs w:val="24"/>
        </w:rPr>
        <w:t xml:space="preserve"> the total amount of approved refund</w:t>
      </w:r>
      <w:r>
        <w:rPr>
          <w:rFonts w:ascii="Palatino Linotype" w:hAnsi="Palatino Linotype"/>
          <w:b w:val="0"/>
          <w:szCs w:val="24"/>
        </w:rPr>
        <w:t xml:space="preserve"> to </w:t>
      </w:r>
      <w:r w:rsidRPr="00467F4B">
        <w:rPr>
          <w:rFonts w:ascii="Palatino Linotype" w:hAnsi="Palatino Linotype"/>
          <w:b w:val="0"/>
          <w:szCs w:val="24"/>
        </w:rPr>
        <w:t xml:space="preserve">AT&amp;T Mobility. </w:t>
      </w:r>
      <w:r>
        <w:rPr>
          <w:rFonts w:ascii="Palatino Linotype" w:hAnsi="Palatino Linotype"/>
          <w:b w:val="0"/>
          <w:szCs w:val="24"/>
        </w:rPr>
        <w:t>Therefore, t</w:t>
      </w:r>
      <w:r w:rsidRPr="00467F4B">
        <w:rPr>
          <w:rFonts w:ascii="Palatino Linotype" w:hAnsi="Palatino Linotype"/>
          <w:b w:val="0"/>
          <w:szCs w:val="24"/>
        </w:rPr>
        <w:t xml:space="preserve">he total </w:t>
      </w:r>
      <w:r>
        <w:rPr>
          <w:rFonts w:ascii="Palatino Linotype" w:hAnsi="Palatino Linotype"/>
          <w:b w:val="0"/>
          <w:szCs w:val="24"/>
        </w:rPr>
        <w:t xml:space="preserve">remaining </w:t>
      </w:r>
      <w:r w:rsidRPr="00467F4B">
        <w:rPr>
          <w:rFonts w:ascii="Palatino Linotype" w:hAnsi="Palatino Linotype"/>
          <w:b w:val="0"/>
          <w:szCs w:val="24"/>
        </w:rPr>
        <w:t xml:space="preserve">surcharges and user fees </w:t>
      </w:r>
      <w:r>
        <w:rPr>
          <w:rFonts w:ascii="Palatino Linotype" w:hAnsi="Palatino Linotype"/>
          <w:b w:val="0"/>
          <w:szCs w:val="24"/>
        </w:rPr>
        <w:t xml:space="preserve">this Resolution </w:t>
      </w:r>
      <w:r w:rsidRPr="00467F4B">
        <w:rPr>
          <w:rFonts w:ascii="Palatino Linotype" w:hAnsi="Palatino Linotype"/>
          <w:b w:val="0"/>
          <w:szCs w:val="24"/>
        </w:rPr>
        <w:t>approve</w:t>
      </w:r>
      <w:r>
        <w:rPr>
          <w:rFonts w:ascii="Palatino Linotype" w:hAnsi="Palatino Linotype"/>
          <w:b w:val="0"/>
          <w:szCs w:val="24"/>
        </w:rPr>
        <w:t>s</w:t>
      </w:r>
      <w:r w:rsidRPr="00467F4B">
        <w:rPr>
          <w:rFonts w:ascii="Palatino Linotype" w:hAnsi="Palatino Linotype"/>
          <w:b w:val="0"/>
          <w:szCs w:val="24"/>
        </w:rPr>
        <w:t xml:space="preserve"> for refund is equal to $270,370.75. </w:t>
      </w:r>
      <w:r>
        <w:rPr>
          <w:rFonts w:ascii="Palatino Linotype" w:hAnsi="Palatino Linotype"/>
          <w:b w:val="0"/>
          <w:szCs w:val="24"/>
        </w:rPr>
        <w:t>Table 1 provides the summary of the refunds and owed amounts.</w:t>
      </w:r>
    </w:p>
    <w:p w:rsidRPr="00DE04F0" w:rsidR="00932789" w:rsidP="00932789" w:rsidRDefault="00932789" w14:paraId="5AB0300D" w14:textId="77777777">
      <w:pPr>
        <w:rPr>
          <w:rFonts w:ascii="Palatino Linotype" w:hAnsi="Palatino Linotype"/>
          <w:b/>
        </w:rPr>
      </w:pPr>
      <w:r w:rsidRPr="00DE04F0">
        <w:rPr>
          <w:rFonts w:ascii="Palatino Linotype" w:hAnsi="Palatino Linotype"/>
          <w:b/>
        </w:rPr>
        <w:br w:type="page"/>
      </w:r>
      <w:r w:rsidRPr="00DE04F0">
        <w:rPr>
          <w:rFonts w:ascii="Palatino Linotype" w:hAnsi="Palatino Linotype"/>
          <w:b/>
        </w:rPr>
        <w:lastRenderedPageBreak/>
        <w:t xml:space="preserve">Table 1: Summary of AT&amp;T Mobility Approved CPUC Refund and Amounts Owed </w:t>
      </w:r>
    </w:p>
    <w:tbl>
      <w:tblPr>
        <w:tblW w:w="9445" w:type="dxa"/>
        <w:jc w:val="center"/>
        <w:tblLook w:val="04A0" w:firstRow="1" w:lastRow="0" w:firstColumn="1" w:lastColumn="0" w:noHBand="0" w:noVBand="1"/>
      </w:tblPr>
      <w:tblGrid>
        <w:gridCol w:w="2155"/>
        <w:gridCol w:w="1857"/>
        <w:gridCol w:w="1980"/>
        <w:gridCol w:w="1890"/>
        <w:gridCol w:w="1563"/>
      </w:tblGrid>
      <w:tr w:rsidR="00932789" w:rsidTr="00A07617" w14:paraId="3E5D14DA" w14:textId="77777777">
        <w:trPr>
          <w:trHeight w:val="890"/>
          <w:jc w:val="center"/>
        </w:trPr>
        <w:tc>
          <w:tcPr>
            <w:tcW w:w="2155"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932789" w:rsidP="00A07617" w:rsidRDefault="00932789" w14:paraId="34303CF0" w14:textId="77777777">
            <w:pPr>
              <w:jc w:val="center"/>
              <w:rPr>
                <w:rFonts w:ascii="Palatino Linotype" w:hAnsi="Palatino Linotype" w:cs="Calibri"/>
                <w:b/>
                <w:bCs/>
                <w:color w:val="000000"/>
              </w:rPr>
            </w:pPr>
          </w:p>
        </w:tc>
        <w:tc>
          <w:tcPr>
            <w:tcW w:w="1857" w:type="dxa"/>
            <w:tcBorders>
              <w:top w:val="single" w:color="auto" w:sz="4" w:space="0"/>
              <w:left w:val="nil"/>
              <w:bottom w:val="single" w:color="auto" w:sz="4" w:space="0"/>
              <w:right w:val="single" w:color="auto" w:sz="4" w:space="0"/>
            </w:tcBorders>
            <w:shd w:val="clear" w:color="auto" w:fill="auto"/>
            <w:vAlign w:val="center"/>
            <w:hideMark/>
          </w:tcPr>
          <w:p w:rsidR="00932789" w:rsidP="00A07617" w:rsidRDefault="00932789" w14:paraId="399E9157" w14:textId="77777777">
            <w:pPr>
              <w:jc w:val="center"/>
              <w:rPr>
                <w:rFonts w:ascii="Palatino Linotype" w:hAnsi="Palatino Linotype" w:cs="Calibri"/>
                <w:b/>
                <w:bCs/>
                <w:color w:val="000000"/>
              </w:rPr>
            </w:pPr>
            <w:r>
              <w:rPr>
                <w:rFonts w:ascii="Palatino Linotype" w:hAnsi="Palatino Linotype" w:cs="Calibri"/>
                <w:b/>
                <w:bCs/>
                <w:color w:val="000000"/>
              </w:rPr>
              <w:t xml:space="preserve">Santa Barbara Cellular </w:t>
            </w:r>
            <w:r>
              <w:rPr>
                <w:rFonts w:ascii="Palatino Linotype" w:hAnsi="Palatino Linotype" w:cs="Calibri"/>
                <w:b/>
                <w:bCs/>
                <w:color w:val="000000"/>
              </w:rPr>
              <w:br/>
              <w:t>(U-3015-C)</w:t>
            </w:r>
          </w:p>
        </w:tc>
        <w:tc>
          <w:tcPr>
            <w:tcW w:w="1980" w:type="dxa"/>
            <w:tcBorders>
              <w:top w:val="single" w:color="auto" w:sz="4" w:space="0"/>
              <w:left w:val="nil"/>
              <w:bottom w:val="single" w:color="auto" w:sz="4" w:space="0"/>
              <w:right w:val="single" w:color="auto" w:sz="4" w:space="0"/>
            </w:tcBorders>
            <w:shd w:val="clear" w:color="auto" w:fill="auto"/>
            <w:vAlign w:val="center"/>
            <w:hideMark/>
          </w:tcPr>
          <w:p w:rsidR="00932789" w:rsidP="00A07617" w:rsidRDefault="00932789" w14:paraId="133A7B65" w14:textId="77777777">
            <w:pPr>
              <w:jc w:val="center"/>
              <w:rPr>
                <w:rFonts w:ascii="Palatino Linotype" w:hAnsi="Palatino Linotype" w:cs="Calibri"/>
                <w:b/>
                <w:bCs/>
                <w:color w:val="000000"/>
              </w:rPr>
            </w:pPr>
            <w:r>
              <w:rPr>
                <w:rFonts w:ascii="Palatino Linotype" w:hAnsi="Palatino Linotype" w:cs="Calibri"/>
                <w:b/>
                <w:bCs/>
                <w:color w:val="000000"/>
              </w:rPr>
              <w:t xml:space="preserve">AT&amp;T Mobility Wireless </w:t>
            </w:r>
            <w:r>
              <w:rPr>
                <w:rFonts w:ascii="Palatino Linotype" w:hAnsi="Palatino Linotype" w:cs="Calibri"/>
                <w:b/>
                <w:bCs/>
                <w:color w:val="000000"/>
              </w:rPr>
              <w:br/>
              <w:t>(U-3021-C)</w:t>
            </w:r>
          </w:p>
        </w:tc>
        <w:tc>
          <w:tcPr>
            <w:tcW w:w="1890" w:type="dxa"/>
            <w:tcBorders>
              <w:top w:val="single" w:color="auto" w:sz="4" w:space="0"/>
              <w:left w:val="nil"/>
              <w:bottom w:val="single" w:color="auto" w:sz="4" w:space="0"/>
              <w:right w:val="single" w:color="auto" w:sz="4" w:space="0"/>
            </w:tcBorders>
            <w:shd w:val="clear" w:color="auto" w:fill="auto"/>
            <w:vAlign w:val="center"/>
            <w:hideMark/>
          </w:tcPr>
          <w:p w:rsidR="00932789" w:rsidP="00A07617" w:rsidRDefault="00932789" w14:paraId="459C7B6D" w14:textId="77777777">
            <w:pPr>
              <w:jc w:val="center"/>
              <w:rPr>
                <w:rFonts w:ascii="Palatino Linotype" w:hAnsi="Palatino Linotype" w:cs="Calibri"/>
                <w:b/>
                <w:bCs/>
                <w:color w:val="000000"/>
              </w:rPr>
            </w:pPr>
            <w:r>
              <w:rPr>
                <w:rFonts w:ascii="Palatino Linotype" w:hAnsi="Palatino Linotype" w:cs="Calibri"/>
                <w:b/>
                <w:bCs/>
                <w:color w:val="000000"/>
              </w:rPr>
              <w:t>New Cingular Wireless</w:t>
            </w:r>
            <w:r>
              <w:rPr>
                <w:rFonts w:ascii="Palatino Linotype" w:hAnsi="Palatino Linotype" w:cs="Calibri"/>
                <w:b/>
                <w:bCs/>
                <w:color w:val="000000"/>
              </w:rPr>
              <w:br/>
              <w:t>(U-3060-C)</w:t>
            </w:r>
          </w:p>
        </w:tc>
        <w:tc>
          <w:tcPr>
            <w:tcW w:w="1563" w:type="dxa"/>
            <w:tcBorders>
              <w:top w:val="single" w:color="auto" w:sz="4" w:space="0"/>
              <w:left w:val="nil"/>
              <w:bottom w:val="single" w:color="auto" w:sz="4" w:space="0"/>
              <w:right w:val="single" w:color="auto" w:sz="4" w:space="0"/>
            </w:tcBorders>
            <w:shd w:val="clear" w:color="auto" w:fill="auto"/>
            <w:vAlign w:val="center"/>
            <w:hideMark/>
          </w:tcPr>
          <w:p w:rsidR="00932789" w:rsidP="00A07617" w:rsidRDefault="00932789" w14:paraId="1F37E51C" w14:textId="77777777">
            <w:pPr>
              <w:jc w:val="center"/>
              <w:rPr>
                <w:rFonts w:ascii="Palatino Linotype" w:hAnsi="Palatino Linotype" w:cs="Calibri"/>
                <w:b/>
                <w:bCs/>
                <w:color w:val="000000"/>
              </w:rPr>
            </w:pPr>
            <w:r>
              <w:rPr>
                <w:rFonts w:ascii="Palatino Linotype" w:hAnsi="Palatino Linotype" w:cs="Calibri"/>
                <w:b/>
                <w:bCs/>
                <w:color w:val="000000"/>
              </w:rPr>
              <w:t>Total</w:t>
            </w:r>
          </w:p>
        </w:tc>
      </w:tr>
      <w:tr w:rsidR="00932789" w:rsidTr="00A07617" w14:paraId="679FFA9E" w14:textId="77777777">
        <w:trPr>
          <w:trHeight w:val="360"/>
          <w:jc w:val="center"/>
        </w:trPr>
        <w:tc>
          <w:tcPr>
            <w:tcW w:w="2155" w:type="dxa"/>
            <w:tcBorders>
              <w:top w:val="nil"/>
              <w:left w:val="single" w:color="auto" w:sz="4" w:space="0"/>
              <w:bottom w:val="single" w:color="auto" w:sz="4" w:space="0"/>
              <w:right w:val="single" w:color="auto" w:sz="4" w:space="0"/>
            </w:tcBorders>
            <w:shd w:val="clear" w:color="auto" w:fill="auto"/>
            <w:vAlign w:val="center"/>
            <w:hideMark/>
          </w:tcPr>
          <w:p w:rsidR="00932789" w:rsidP="00A07617" w:rsidRDefault="00932789" w14:paraId="13F5B315" w14:textId="77777777">
            <w:pPr>
              <w:rPr>
                <w:rFonts w:ascii="Palatino Linotype" w:hAnsi="Palatino Linotype" w:cs="Calibri"/>
                <w:color w:val="000000"/>
              </w:rPr>
            </w:pPr>
            <w:r>
              <w:rPr>
                <w:rFonts w:ascii="Palatino Linotype" w:hAnsi="Palatino Linotype" w:cs="Calibri"/>
                <w:color w:val="000000"/>
              </w:rPr>
              <w:t>Surcharge Refund</w:t>
            </w:r>
          </w:p>
        </w:tc>
        <w:tc>
          <w:tcPr>
            <w:tcW w:w="1857" w:type="dxa"/>
            <w:tcBorders>
              <w:top w:val="nil"/>
              <w:left w:val="nil"/>
              <w:bottom w:val="single" w:color="auto" w:sz="4" w:space="0"/>
              <w:right w:val="single" w:color="auto" w:sz="4" w:space="0"/>
            </w:tcBorders>
            <w:shd w:val="clear" w:color="auto" w:fill="auto"/>
            <w:vAlign w:val="center"/>
            <w:hideMark/>
          </w:tcPr>
          <w:p w:rsidR="00932789" w:rsidP="00A07617" w:rsidRDefault="00932789" w14:paraId="53E3F5D5" w14:textId="77777777">
            <w:pPr>
              <w:jc w:val="right"/>
              <w:rPr>
                <w:rFonts w:ascii="Palatino Linotype" w:hAnsi="Palatino Linotype" w:cs="Calibri"/>
                <w:color w:val="000000"/>
              </w:rPr>
            </w:pPr>
            <w:r>
              <w:rPr>
                <w:rFonts w:ascii="Palatino Linotype" w:hAnsi="Palatino Linotype" w:cs="Calibri"/>
                <w:color w:val="000000"/>
              </w:rPr>
              <w:t xml:space="preserve">$    9,481.52 </w:t>
            </w:r>
          </w:p>
        </w:tc>
        <w:tc>
          <w:tcPr>
            <w:tcW w:w="1980" w:type="dxa"/>
            <w:tcBorders>
              <w:top w:val="nil"/>
              <w:left w:val="nil"/>
              <w:bottom w:val="single" w:color="auto" w:sz="4" w:space="0"/>
              <w:right w:val="single" w:color="auto" w:sz="4" w:space="0"/>
            </w:tcBorders>
            <w:shd w:val="clear" w:color="auto" w:fill="auto"/>
            <w:vAlign w:val="center"/>
            <w:hideMark/>
          </w:tcPr>
          <w:p w:rsidR="00932789" w:rsidP="00A07617" w:rsidRDefault="00932789" w14:paraId="6B5AD7F9" w14:textId="77777777">
            <w:pPr>
              <w:jc w:val="right"/>
              <w:rPr>
                <w:rFonts w:ascii="Palatino Linotype" w:hAnsi="Palatino Linotype" w:cs="Calibri"/>
                <w:color w:val="000000"/>
              </w:rPr>
            </w:pPr>
            <w:r>
              <w:rPr>
                <w:rFonts w:ascii="Palatino Linotype" w:hAnsi="Palatino Linotype" w:cs="Calibri"/>
                <w:color w:val="000000"/>
              </w:rPr>
              <w:t xml:space="preserve">$   7,029.51 </w:t>
            </w:r>
          </w:p>
        </w:tc>
        <w:tc>
          <w:tcPr>
            <w:tcW w:w="1890" w:type="dxa"/>
            <w:tcBorders>
              <w:top w:val="nil"/>
              <w:left w:val="nil"/>
              <w:bottom w:val="single" w:color="auto" w:sz="4" w:space="0"/>
              <w:right w:val="single" w:color="auto" w:sz="4" w:space="0"/>
            </w:tcBorders>
            <w:shd w:val="clear" w:color="auto" w:fill="auto"/>
            <w:vAlign w:val="center"/>
            <w:hideMark/>
          </w:tcPr>
          <w:p w:rsidR="00932789" w:rsidP="00A07617" w:rsidRDefault="00932789" w14:paraId="171C655E" w14:textId="77777777">
            <w:pPr>
              <w:jc w:val="right"/>
              <w:rPr>
                <w:rFonts w:ascii="Palatino Linotype" w:hAnsi="Palatino Linotype" w:cs="Calibri"/>
                <w:color w:val="000000"/>
              </w:rPr>
            </w:pPr>
            <w:r>
              <w:rPr>
                <w:rFonts w:ascii="Palatino Linotype" w:hAnsi="Palatino Linotype" w:cs="Calibri"/>
                <w:color w:val="000000"/>
              </w:rPr>
              <w:t xml:space="preserve">$    526,283.05 </w:t>
            </w:r>
          </w:p>
        </w:tc>
        <w:tc>
          <w:tcPr>
            <w:tcW w:w="1563" w:type="dxa"/>
            <w:tcBorders>
              <w:top w:val="nil"/>
              <w:left w:val="nil"/>
              <w:bottom w:val="single" w:color="auto" w:sz="4" w:space="0"/>
              <w:right w:val="single" w:color="auto" w:sz="4" w:space="0"/>
            </w:tcBorders>
            <w:shd w:val="clear" w:color="auto" w:fill="auto"/>
            <w:vAlign w:val="center"/>
            <w:hideMark/>
          </w:tcPr>
          <w:p w:rsidR="00932789" w:rsidP="00A07617" w:rsidRDefault="00932789" w14:paraId="37698F01" w14:textId="77777777">
            <w:pPr>
              <w:jc w:val="right"/>
              <w:rPr>
                <w:rFonts w:ascii="Palatino Linotype" w:hAnsi="Palatino Linotype" w:cs="Calibri"/>
                <w:color w:val="000000"/>
              </w:rPr>
            </w:pPr>
            <w:r>
              <w:rPr>
                <w:rFonts w:ascii="Palatino Linotype" w:hAnsi="Palatino Linotype" w:cs="Calibri"/>
                <w:color w:val="000000"/>
              </w:rPr>
              <w:t xml:space="preserve">$ 542,794.08 </w:t>
            </w:r>
          </w:p>
        </w:tc>
      </w:tr>
      <w:tr w:rsidR="00932789" w:rsidTr="00A07617" w14:paraId="231C175C" w14:textId="77777777">
        <w:trPr>
          <w:trHeight w:val="360"/>
          <w:jc w:val="center"/>
        </w:trPr>
        <w:tc>
          <w:tcPr>
            <w:tcW w:w="2155" w:type="dxa"/>
            <w:tcBorders>
              <w:top w:val="nil"/>
              <w:left w:val="single" w:color="auto" w:sz="4" w:space="0"/>
              <w:bottom w:val="single" w:color="auto" w:sz="4" w:space="0"/>
              <w:right w:val="single" w:color="auto" w:sz="4" w:space="0"/>
            </w:tcBorders>
            <w:shd w:val="clear" w:color="auto" w:fill="auto"/>
            <w:vAlign w:val="center"/>
            <w:hideMark/>
          </w:tcPr>
          <w:p w:rsidR="00932789" w:rsidP="00A07617" w:rsidRDefault="00932789" w14:paraId="7F5E76C1" w14:textId="77777777">
            <w:pPr>
              <w:rPr>
                <w:rFonts w:ascii="Palatino Linotype" w:hAnsi="Palatino Linotype" w:cs="Calibri"/>
                <w:color w:val="000000"/>
              </w:rPr>
            </w:pPr>
            <w:r>
              <w:rPr>
                <w:rFonts w:ascii="Palatino Linotype" w:hAnsi="Palatino Linotype" w:cs="Calibri"/>
                <w:color w:val="000000"/>
              </w:rPr>
              <w:t>User Fees Refund</w:t>
            </w:r>
          </w:p>
        </w:tc>
        <w:tc>
          <w:tcPr>
            <w:tcW w:w="1857" w:type="dxa"/>
            <w:tcBorders>
              <w:top w:val="nil"/>
              <w:left w:val="nil"/>
              <w:bottom w:val="single" w:color="auto" w:sz="4" w:space="0"/>
              <w:right w:val="single" w:color="auto" w:sz="4" w:space="0"/>
            </w:tcBorders>
            <w:shd w:val="clear" w:color="auto" w:fill="auto"/>
            <w:vAlign w:val="center"/>
            <w:hideMark/>
          </w:tcPr>
          <w:p w:rsidRPr="00DB6661" w:rsidR="00932789" w:rsidP="00A07617" w:rsidRDefault="00932789" w14:paraId="65FED7E0" w14:textId="77777777">
            <w:pPr>
              <w:jc w:val="right"/>
              <w:rPr>
                <w:rFonts w:ascii="Palatino Linotype" w:hAnsi="Palatino Linotype" w:cs="Calibri"/>
                <w:color w:val="000000"/>
                <w:u w:val="single"/>
              </w:rPr>
            </w:pPr>
            <w:r w:rsidRPr="00DB6661">
              <w:rPr>
                <w:rFonts w:ascii="Palatino Linotype" w:hAnsi="Palatino Linotype" w:cs="Calibri"/>
                <w:color w:val="000000"/>
                <w:u w:val="single"/>
              </w:rPr>
              <w:t xml:space="preserve">$    1,346.77 </w:t>
            </w:r>
          </w:p>
        </w:tc>
        <w:tc>
          <w:tcPr>
            <w:tcW w:w="1980" w:type="dxa"/>
            <w:tcBorders>
              <w:top w:val="nil"/>
              <w:left w:val="nil"/>
              <w:bottom w:val="single" w:color="auto" w:sz="4" w:space="0"/>
              <w:right w:val="single" w:color="auto" w:sz="4" w:space="0"/>
            </w:tcBorders>
            <w:shd w:val="clear" w:color="auto" w:fill="auto"/>
            <w:vAlign w:val="center"/>
            <w:hideMark/>
          </w:tcPr>
          <w:p w:rsidRPr="00DB6661" w:rsidR="00932789" w:rsidP="00A07617" w:rsidRDefault="00932789" w14:paraId="7CAC9FB0" w14:textId="77777777">
            <w:pPr>
              <w:jc w:val="right"/>
              <w:rPr>
                <w:rFonts w:ascii="Palatino Linotype" w:hAnsi="Palatino Linotype" w:cs="Calibri"/>
                <w:color w:val="000000"/>
                <w:u w:val="single"/>
              </w:rPr>
            </w:pPr>
            <w:r w:rsidRPr="00DB6661">
              <w:rPr>
                <w:rFonts w:ascii="Palatino Linotype" w:hAnsi="Palatino Linotype" w:cs="Calibri"/>
                <w:color w:val="000000"/>
                <w:u w:val="single"/>
              </w:rPr>
              <w:t xml:space="preserve">$      702.02 </w:t>
            </w:r>
          </w:p>
        </w:tc>
        <w:tc>
          <w:tcPr>
            <w:tcW w:w="1890" w:type="dxa"/>
            <w:tcBorders>
              <w:top w:val="nil"/>
              <w:left w:val="nil"/>
              <w:bottom w:val="single" w:color="auto" w:sz="4" w:space="0"/>
              <w:right w:val="single" w:color="auto" w:sz="4" w:space="0"/>
            </w:tcBorders>
            <w:shd w:val="clear" w:color="auto" w:fill="auto"/>
            <w:vAlign w:val="center"/>
            <w:hideMark/>
          </w:tcPr>
          <w:p w:rsidRPr="00DB6661" w:rsidR="00932789" w:rsidP="00A07617" w:rsidRDefault="00932789" w14:paraId="057711AF" w14:textId="77777777">
            <w:pPr>
              <w:jc w:val="right"/>
              <w:rPr>
                <w:rFonts w:ascii="Palatino Linotype" w:hAnsi="Palatino Linotype" w:cs="Calibri"/>
                <w:color w:val="000000"/>
                <w:u w:val="single"/>
              </w:rPr>
            </w:pPr>
            <w:r w:rsidRPr="00DB6661">
              <w:rPr>
                <w:rFonts w:ascii="Palatino Linotype" w:hAnsi="Palatino Linotype" w:cs="Calibri"/>
                <w:color w:val="000000"/>
                <w:u w:val="single"/>
              </w:rPr>
              <w:t xml:space="preserve">$      52,260.83 </w:t>
            </w:r>
          </w:p>
        </w:tc>
        <w:tc>
          <w:tcPr>
            <w:tcW w:w="1563" w:type="dxa"/>
            <w:tcBorders>
              <w:top w:val="nil"/>
              <w:left w:val="nil"/>
              <w:bottom w:val="single" w:color="auto" w:sz="4" w:space="0"/>
              <w:right w:val="single" w:color="auto" w:sz="4" w:space="0"/>
            </w:tcBorders>
            <w:shd w:val="clear" w:color="auto" w:fill="auto"/>
            <w:vAlign w:val="center"/>
            <w:hideMark/>
          </w:tcPr>
          <w:p w:rsidRPr="00DB6661" w:rsidR="00932789" w:rsidP="00A07617" w:rsidRDefault="00932789" w14:paraId="43EE2C08" w14:textId="77777777">
            <w:pPr>
              <w:jc w:val="right"/>
              <w:rPr>
                <w:rFonts w:ascii="Palatino Linotype" w:hAnsi="Palatino Linotype" w:cs="Calibri"/>
                <w:color w:val="000000"/>
                <w:u w:val="single"/>
              </w:rPr>
            </w:pPr>
            <w:r w:rsidRPr="00DB6661">
              <w:rPr>
                <w:rFonts w:ascii="Palatino Linotype" w:hAnsi="Palatino Linotype" w:cs="Calibri"/>
                <w:color w:val="000000"/>
                <w:u w:val="single"/>
              </w:rPr>
              <w:t xml:space="preserve">$   54,309.62 </w:t>
            </w:r>
          </w:p>
        </w:tc>
      </w:tr>
      <w:tr w:rsidR="00932789" w:rsidTr="00A07617" w14:paraId="60B47117" w14:textId="77777777">
        <w:trPr>
          <w:trHeight w:val="360"/>
          <w:jc w:val="center"/>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957DC6" w:rsidR="00932789" w:rsidP="00A07617" w:rsidRDefault="00932789" w14:paraId="07B8DFD8" w14:textId="77777777">
            <w:pPr>
              <w:jc w:val="right"/>
              <w:rPr>
                <w:rFonts w:ascii="Palatino Linotype" w:hAnsi="Palatino Linotype" w:cs="Calibri"/>
                <w:i/>
                <w:iCs/>
                <w:color w:val="000000"/>
              </w:rPr>
            </w:pPr>
            <w:r w:rsidRPr="00957DC6">
              <w:rPr>
                <w:rFonts w:ascii="Palatino Linotype" w:hAnsi="Palatino Linotype" w:cs="Calibri"/>
                <w:i/>
                <w:iCs/>
                <w:color w:val="000000"/>
              </w:rPr>
              <w:t xml:space="preserve">Subtotal </w:t>
            </w:r>
            <w:r>
              <w:rPr>
                <w:rFonts w:ascii="Palatino Linotype" w:hAnsi="Palatino Linotype" w:cs="Calibri"/>
                <w:i/>
                <w:iCs/>
                <w:color w:val="000000"/>
              </w:rPr>
              <w:t xml:space="preserve">of </w:t>
            </w:r>
            <w:r w:rsidRPr="00957DC6">
              <w:rPr>
                <w:rFonts w:ascii="Palatino Linotype" w:hAnsi="Palatino Linotype" w:cs="Calibri"/>
                <w:i/>
                <w:iCs/>
                <w:color w:val="000000"/>
              </w:rPr>
              <w:t>Refund</w:t>
            </w:r>
          </w:p>
        </w:tc>
        <w:tc>
          <w:tcPr>
            <w:tcW w:w="1857" w:type="dxa"/>
            <w:tcBorders>
              <w:top w:val="nil"/>
              <w:left w:val="nil"/>
              <w:bottom w:val="single" w:color="auto" w:sz="4" w:space="0"/>
              <w:right w:val="single" w:color="auto" w:sz="4" w:space="0"/>
            </w:tcBorders>
            <w:shd w:val="clear" w:color="auto" w:fill="auto"/>
            <w:vAlign w:val="center"/>
            <w:hideMark/>
          </w:tcPr>
          <w:p w:rsidR="00932789" w:rsidP="00A07617" w:rsidRDefault="00932789" w14:paraId="5A701684" w14:textId="77777777">
            <w:pPr>
              <w:jc w:val="right"/>
              <w:rPr>
                <w:rFonts w:ascii="Palatino Linotype" w:hAnsi="Palatino Linotype" w:cs="Calibri"/>
                <w:color w:val="000000"/>
              </w:rPr>
            </w:pPr>
            <w:r>
              <w:rPr>
                <w:rFonts w:ascii="Palatino Linotype" w:hAnsi="Palatino Linotype" w:cs="Calibri"/>
                <w:color w:val="000000"/>
              </w:rPr>
              <w:t xml:space="preserve">$  10,828.29 </w:t>
            </w:r>
          </w:p>
        </w:tc>
        <w:tc>
          <w:tcPr>
            <w:tcW w:w="1980" w:type="dxa"/>
            <w:tcBorders>
              <w:top w:val="nil"/>
              <w:left w:val="nil"/>
              <w:bottom w:val="single" w:color="auto" w:sz="4" w:space="0"/>
              <w:right w:val="single" w:color="auto" w:sz="4" w:space="0"/>
            </w:tcBorders>
            <w:shd w:val="clear" w:color="auto" w:fill="auto"/>
            <w:vAlign w:val="center"/>
            <w:hideMark/>
          </w:tcPr>
          <w:p w:rsidR="00932789" w:rsidP="00A07617" w:rsidRDefault="00932789" w14:paraId="191CB6DF" w14:textId="77777777">
            <w:pPr>
              <w:jc w:val="right"/>
              <w:rPr>
                <w:rFonts w:ascii="Palatino Linotype" w:hAnsi="Palatino Linotype" w:cs="Calibri"/>
                <w:color w:val="000000"/>
              </w:rPr>
            </w:pPr>
            <w:r>
              <w:rPr>
                <w:rFonts w:ascii="Palatino Linotype" w:hAnsi="Palatino Linotype" w:cs="Calibri"/>
                <w:color w:val="000000"/>
              </w:rPr>
              <w:t xml:space="preserve">$   7,731.53 </w:t>
            </w:r>
          </w:p>
        </w:tc>
        <w:tc>
          <w:tcPr>
            <w:tcW w:w="1890" w:type="dxa"/>
            <w:tcBorders>
              <w:top w:val="nil"/>
              <w:left w:val="nil"/>
              <w:bottom w:val="single" w:color="auto" w:sz="4" w:space="0"/>
              <w:right w:val="single" w:color="auto" w:sz="4" w:space="0"/>
            </w:tcBorders>
            <w:shd w:val="clear" w:color="auto" w:fill="auto"/>
            <w:vAlign w:val="center"/>
            <w:hideMark/>
          </w:tcPr>
          <w:p w:rsidR="00932789" w:rsidP="00A07617" w:rsidRDefault="00932789" w14:paraId="7DA05895" w14:textId="77777777">
            <w:pPr>
              <w:jc w:val="right"/>
              <w:rPr>
                <w:rFonts w:ascii="Palatino Linotype" w:hAnsi="Palatino Linotype" w:cs="Calibri"/>
                <w:color w:val="000000"/>
              </w:rPr>
            </w:pPr>
            <w:r>
              <w:rPr>
                <w:rFonts w:ascii="Palatino Linotype" w:hAnsi="Palatino Linotype" w:cs="Calibri"/>
                <w:color w:val="000000"/>
              </w:rPr>
              <w:t xml:space="preserve">$    578,543.88 </w:t>
            </w:r>
          </w:p>
        </w:tc>
        <w:tc>
          <w:tcPr>
            <w:tcW w:w="1563" w:type="dxa"/>
            <w:tcBorders>
              <w:top w:val="nil"/>
              <w:left w:val="nil"/>
              <w:bottom w:val="single" w:color="auto" w:sz="4" w:space="0"/>
              <w:right w:val="single" w:color="auto" w:sz="4" w:space="0"/>
            </w:tcBorders>
            <w:shd w:val="clear" w:color="auto" w:fill="auto"/>
            <w:vAlign w:val="center"/>
            <w:hideMark/>
          </w:tcPr>
          <w:p w:rsidR="00932789" w:rsidP="00A07617" w:rsidRDefault="00932789" w14:paraId="0B734897" w14:textId="77777777">
            <w:pPr>
              <w:jc w:val="right"/>
              <w:rPr>
                <w:rFonts w:ascii="Palatino Linotype" w:hAnsi="Palatino Linotype" w:cs="Calibri"/>
                <w:color w:val="000000"/>
              </w:rPr>
            </w:pPr>
            <w:r>
              <w:rPr>
                <w:rFonts w:ascii="Palatino Linotype" w:hAnsi="Palatino Linotype" w:cs="Calibri"/>
                <w:color w:val="000000"/>
              </w:rPr>
              <w:t xml:space="preserve">$ 597,103.70 </w:t>
            </w:r>
          </w:p>
        </w:tc>
      </w:tr>
      <w:tr w:rsidR="00932789" w:rsidTr="00A07617" w14:paraId="7878A560" w14:textId="77777777">
        <w:trPr>
          <w:trHeight w:val="360"/>
          <w:jc w:val="center"/>
        </w:trPr>
        <w:tc>
          <w:tcPr>
            <w:tcW w:w="2155" w:type="dxa"/>
            <w:tcBorders>
              <w:top w:val="nil"/>
              <w:left w:val="single" w:color="auto" w:sz="4" w:space="0"/>
              <w:bottom w:val="single" w:color="auto" w:sz="4" w:space="0"/>
              <w:right w:val="single" w:color="auto" w:sz="4" w:space="0"/>
            </w:tcBorders>
            <w:shd w:val="clear" w:color="auto" w:fill="auto"/>
            <w:vAlign w:val="center"/>
            <w:hideMark/>
          </w:tcPr>
          <w:p w:rsidR="00932789" w:rsidP="00A07617" w:rsidRDefault="00932789" w14:paraId="05636DF4" w14:textId="77777777">
            <w:pPr>
              <w:rPr>
                <w:rFonts w:ascii="Palatino Linotype" w:hAnsi="Palatino Linotype" w:cs="Calibri"/>
                <w:color w:val="000000"/>
              </w:rPr>
            </w:pPr>
            <w:r>
              <w:rPr>
                <w:rFonts w:ascii="Palatino Linotype" w:hAnsi="Palatino Linotype" w:cs="Calibri"/>
                <w:color w:val="000000"/>
              </w:rPr>
              <w:t>Total Owed</w:t>
            </w:r>
          </w:p>
        </w:tc>
        <w:tc>
          <w:tcPr>
            <w:tcW w:w="1857" w:type="dxa"/>
            <w:tcBorders>
              <w:top w:val="nil"/>
              <w:left w:val="nil"/>
              <w:bottom w:val="single" w:color="auto" w:sz="4" w:space="0"/>
              <w:right w:val="single" w:color="auto" w:sz="4" w:space="0"/>
            </w:tcBorders>
            <w:shd w:val="clear" w:color="auto" w:fill="auto"/>
            <w:vAlign w:val="center"/>
            <w:hideMark/>
          </w:tcPr>
          <w:p w:rsidRPr="00DB6661" w:rsidR="00932789" w:rsidP="00A07617" w:rsidRDefault="00932789" w14:paraId="527DE103" w14:textId="77777777">
            <w:pPr>
              <w:jc w:val="right"/>
              <w:rPr>
                <w:rFonts w:ascii="Palatino Linotype" w:hAnsi="Palatino Linotype" w:cs="Calibri"/>
                <w:color w:val="000000"/>
                <w:u w:val="single"/>
              </w:rPr>
            </w:pPr>
            <w:r w:rsidRPr="00DB6661">
              <w:rPr>
                <w:rFonts w:ascii="Palatino Linotype" w:hAnsi="Palatino Linotype" w:cs="Calibri"/>
                <w:color w:val="000000"/>
                <w:u w:val="single"/>
              </w:rPr>
              <w:t>$    3,393.82</w:t>
            </w:r>
          </w:p>
        </w:tc>
        <w:tc>
          <w:tcPr>
            <w:tcW w:w="1980" w:type="dxa"/>
            <w:tcBorders>
              <w:top w:val="nil"/>
              <w:left w:val="nil"/>
              <w:bottom w:val="single" w:color="auto" w:sz="4" w:space="0"/>
              <w:right w:val="single" w:color="auto" w:sz="4" w:space="0"/>
            </w:tcBorders>
            <w:shd w:val="clear" w:color="auto" w:fill="auto"/>
            <w:vAlign w:val="center"/>
            <w:hideMark/>
          </w:tcPr>
          <w:p w:rsidRPr="00DB6661" w:rsidR="00932789" w:rsidP="00A07617" w:rsidRDefault="00932789" w14:paraId="422E12D8" w14:textId="77777777">
            <w:pPr>
              <w:jc w:val="right"/>
              <w:rPr>
                <w:rFonts w:ascii="Palatino Linotype" w:hAnsi="Palatino Linotype" w:cs="Calibri"/>
                <w:color w:val="000000"/>
                <w:u w:val="single"/>
              </w:rPr>
            </w:pPr>
            <w:r w:rsidRPr="00DB6661">
              <w:rPr>
                <w:rFonts w:ascii="Palatino Linotype" w:hAnsi="Palatino Linotype" w:cs="Calibri"/>
                <w:color w:val="000000"/>
                <w:u w:val="single"/>
              </w:rPr>
              <w:t>$   7,013.15</w:t>
            </w:r>
          </w:p>
        </w:tc>
        <w:tc>
          <w:tcPr>
            <w:tcW w:w="1890" w:type="dxa"/>
            <w:tcBorders>
              <w:top w:val="nil"/>
              <w:left w:val="nil"/>
              <w:bottom w:val="single" w:color="auto" w:sz="4" w:space="0"/>
              <w:right w:val="single" w:color="auto" w:sz="4" w:space="0"/>
            </w:tcBorders>
            <w:shd w:val="clear" w:color="auto" w:fill="auto"/>
            <w:vAlign w:val="center"/>
            <w:hideMark/>
          </w:tcPr>
          <w:p w:rsidRPr="00DB6661" w:rsidR="00932789" w:rsidP="00A07617" w:rsidRDefault="00932789" w14:paraId="7C95D1BD" w14:textId="77777777">
            <w:pPr>
              <w:jc w:val="right"/>
              <w:rPr>
                <w:rFonts w:ascii="Palatino Linotype" w:hAnsi="Palatino Linotype" w:cs="Calibri"/>
                <w:color w:val="000000"/>
                <w:u w:val="single"/>
              </w:rPr>
            </w:pPr>
            <w:r w:rsidRPr="00DB6661">
              <w:rPr>
                <w:rFonts w:ascii="Palatino Linotype" w:hAnsi="Palatino Linotype" w:cs="Calibri"/>
                <w:color w:val="000000"/>
                <w:u w:val="single"/>
              </w:rPr>
              <w:t xml:space="preserve">$    316,325.98 </w:t>
            </w:r>
          </w:p>
        </w:tc>
        <w:tc>
          <w:tcPr>
            <w:tcW w:w="1563" w:type="dxa"/>
            <w:tcBorders>
              <w:top w:val="nil"/>
              <w:left w:val="nil"/>
              <w:bottom w:val="single" w:color="auto" w:sz="4" w:space="0"/>
              <w:right w:val="single" w:color="auto" w:sz="4" w:space="0"/>
            </w:tcBorders>
            <w:shd w:val="clear" w:color="auto" w:fill="auto"/>
            <w:vAlign w:val="center"/>
            <w:hideMark/>
          </w:tcPr>
          <w:p w:rsidRPr="00DB6661" w:rsidR="00932789" w:rsidP="00A07617" w:rsidRDefault="00932789" w14:paraId="1A9C47BC" w14:textId="77777777">
            <w:pPr>
              <w:jc w:val="right"/>
              <w:rPr>
                <w:rFonts w:ascii="Palatino Linotype" w:hAnsi="Palatino Linotype" w:cs="Calibri"/>
                <w:color w:val="000000"/>
                <w:u w:val="single"/>
              </w:rPr>
            </w:pPr>
            <w:r w:rsidRPr="00DB6661">
              <w:rPr>
                <w:rFonts w:ascii="Palatino Linotype" w:hAnsi="Palatino Linotype" w:cs="Calibri"/>
                <w:color w:val="000000"/>
                <w:u w:val="single"/>
              </w:rPr>
              <w:t xml:space="preserve">$ 326,732.95 </w:t>
            </w:r>
          </w:p>
        </w:tc>
      </w:tr>
      <w:tr w:rsidRPr="00957DC6" w:rsidR="00932789" w:rsidTr="00A07617" w14:paraId="6AA63932" w14:textId="77777777">
        <w:trPr>
          <w:trHeight w:val="360"/>
          <w:jc w:val="center"/>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957DC6" w:rsidR="00932789" w:rsidP="00A07617" w:rsidRDefault="00932789" w14:paraId="476D48EA" w14:textId="77777777">
            <w:pPr>
              <w:jc w:val="right"/>
              <w:rPr>
                <w:rFonts w:ascii="Palatino Linotype" w:hAnsi="Palatino Linotype" w:cs="Calibri"/>
                <w:b/>
                <w:bCs/>
                <w:color w:val="000000"/>
              </w:rPr>
            </w:pPr>
            <w:r w:rsidRPr="00957DC6">
              <w:rPr>
                <w:rFonts w:ascii="Palatino Linotype" w:hAnsi="Palatino Linotype" w:cs="Calibri"/>
                <w:b/>
                <w:bCs/>
                <w:color w:val="000000"/>
              </w:rPr>
              <w:t xml:space="preserve">Total Refund </w:t>
            </w:r>
          </w:p>
        </w:tc>
        <w:tc>
          <w:tcPr>
            <w:tcW w:w="1857" w:type="dxa"/>
            <w:tcBorders>
              <w:top w:val="nil"/>
              <w:left w:val="nil"/>
              <w:bottom w:val="single" w:color="auto" w:sz="4" w:space="0"/>
              <w:right w:val="single" w:color="auto" w:sz="4" w:space="0"/>
            </w:tcBorders>
            <w:shd w:val="clear" w:color="auto" w:fill="auto"/>
            <w:vAlign w:val="center"/>
            <w:hideMark/>
          </w:tcPr>
          <w:p w:rsidRPr="00957DC6" w:rsidR="00932789" w:rsidP="00A07617" w:rsidRDefault="00932789" w14:paraId="4693085B" w14:textId="77777777">
            <w:pPr>
              <w:jc w:val="right"/>
              <w:rPr>
                <w:rFonts w:ascii="Palatino Linotype" w:hAnsi="Palatino Linotype" w:cs="Calibri"/>
                <w:b/>
                <w:bCs/>
                <w:color w:val="000000"/>
              </w:rPr>
            </w:pPr>
            <w:r w:rsidRPr="00957DC6">
              <w:rPr>
                <w:rFonts w:ascii="Palatino Linotype" w:hAnsi="Palatino Linotype" w:cs="Calibri"/>
                <w:b/>
                <w:bCs/>
                <w:color w:val="000000"/>
              </w:rPr>
              <w:t>$</w:t>
            </w:r>
            <w:r>
              <w:rPr>
                <w:rFonts w:ascii="Palatino Linotype" w:hAnsi="Palatino Linotype" w:cs="Calibri"/>
                <w:b/>
                <w:bCs/>
                <w:color w:val="000000"/>
              </w:rPr>
              <w:t xml:space="preserve">    7,434.47</w:t>
            </w:r>
            <w:r w:rsidRPr="00957DC6">
              <w:rPr>
                <w:rFonts w:ascii="Palatino Linotype" w:hAnsi="Palatino Linotype" w:cs="Calibri"/>
                <w:b/>
                <w:bCs/>
                <w:color w:val="000000"/>
              </w:rPr>
              <w:t xml:space="preserve"> </w:t>
            </w:r>
          </w:p>
        </w:tc>
        <w:tc>
          <w:tcPr>
            <w:tcW w:w="1980" w:type="dxa"/>
            <w:tcBorders>
              <w:top w:val="nil"/>
              <w:left w:val="nil"/>
              <w:bottom w:val="single" w:color="auto" w:sz="4" w:space="0"/>
              <w:right w:val="single" w:color="auto" w:sz="4" w:space="0"/>
            </w:tcBorders>
            <w:shd w:val="clear" w:color="auto" w:fill="auto"/>
            <w:noWrap/>
            <w:vAlign w:val="bottom"/>
            <w:hideMark/>
          </w:tcPr>
          <w:p w:rsidRPr="00957DC6" w:rsidR="00932789" w:rsidP="00A07617" w:rsidRDefault="00932789" w14:paraId="11B4729D" w14:textId="77777777">
            <w:pPr>
              <w:jc w:val="right"/>
              <w:rPr>
                <w:rFonts w:ascii="Palatino Linotype" w:hAnsi="Palatino Linotype" w:cs="Calibri"/>
                <w:b/>
                <w:bCs/>
                <w:color w:val="000000"/>
              </w:rPr>
            </w:pPr>
            <w:r w:rsidRPr="00957DC6">
              <w:rPr>
                <w:rFonts w:ascii="Palatino Linotype" w:hAnsi="Palatino Linotype" w:cs="Calibri"/>
                <w:b/>
                <w:bCs/>
                <w:color w:val="000000"/>
              </w:rPr>
              <w:t>$</w:t>
            </w:r>
            <w:r>
              <w:rPr>
                <w:rFonts w:ascii="Palatino Linotype" w:hAnsi="Palatino Linotype" w:cs="Calibri"/>
                <w:b/>
                <w:bCs/>
                <w:color w:val="000000"/>
              </w:rPr>
              <w:t xml:space="preserve">      718.38</w:t>
            </w:r>
            <w:r w:rsidRPr="00957DC6">
              <w:rPr>
                <w:rFonts w:ascii="Palatino Linotype" w:hAnsi="Palatino Linotype" w:cs="Calibri"/>
                <w:b/>
                <w:bCs/>
                <w:color w:val="000000"/>
              </w:rPr>
              <w:t xml:space="preserve"> </w:t>
            </w:r>
          </w:p>
        </w:tc>
        <w:tc>
          <w:tcPr>
            <w:tcW w:w="1890" w:type="dxa"/>
            <w:tcBorders>
              <w:top w:val="nil"/>
              <w:left w:val="nil"/>
              <w:bottom w:val="single" w:color="auto" w:sz="4" w:space="0"/>
              <w:right w:val="single" w:color="auto" w:sz="4" w:space="0"/>
            </w:tcBorders>
            <w:shd w:val="clear" w:color="auto" w:fill="auto"/>
            <w:noWrap/>
            <w:vAlign w:val="bottom"/>
            <w:hideMark/>
          </w:tcPr>
          <w:p w:rsidRPr="00957DC6" w:rsidR="00932789" w:rsidP="00A07617" w:rsidRDefault="00932789" w14:paraId="529DA58F" w14:textId="77777777">
            <w:pPr>
              <w:jc w:val="right"/>
              <w:rPr>
                <w:rFonts w:ascii="Palatino Linotype" w:hAnsi="Palatino Linotype" w:cs="Calibri"/>
                <w:b/>
                <w:bCs/>
                <w:color w:val="000000"/>
              </w:rPr>
            </w:pPr>
            <w:r w:rsidRPr="00957DC6">
              <w:rPr>
                <w:rFonts w:ascii="Palatino Linotype" w:hAnsi="Palatino Linotype" w:cs="Calibri"/>
                <w:b/>
                <w:bCs/>
                <w:color w:val="000000"/>
              </w:rPr>
              <w:t>$</w:t>
            </w:r>
            <w:r>
              <w:rPr>
                <w:rFonts w:ascii="Palatino Linotype" w:hAnsi="Palatino Linotype" w:cs="Calibri"/>
                <w:b/>
                <w:bCs/>
                <w:color w:val="000000"/>
              </w:rPr>
              <w:t xml:space="preserve">    </w:t>
            </w:r>
            <w:r w:rsidRPr="00957DC6">
              <w:rPr>
                <w:rFonts w:ascii="Palatino Linotype" w:hAnsi="Palatino Linotype" w:cs="Calibri"/>
                <w:b/>
                <w:bCs/>
                <w:color w:val="000000"/>
              </w:rPr>
              <w:t xml:space="preserve">262,217.90 </w:t>
            </w:r>
          </w:p>
        </w:tc>
        <w:tc>
          <w:tcPr>
            <w:tcW w:w="1563" w:type="dxa"/>
            <w:tcBorders>
              <w:top w:val="nil"/>
              <w:left w:val="nil"/>
              <w:bottom w:val="single" w:color="auto" w:sz="4" w:space="0"/>
              <w:right w:val="single" w:color="auto" w:sz="4" w:space="0"/>
            </w:tcBorders>
            <w:shd w:val="clear" w:color="auto" w:fill="auto"/>
            <w:noWrap/>
            <w:vAlign w:val="bottom"/>
            <w:hideMark/>
          </w:tcPr>
          <w:p w:rsidRPr="00957DC6" w:rsidR="00932789" w:rsidP="00A07617" w:rsidRDefault="00932789" w14:paraId="04E54574" w14:textId="77777777">
            <w:pPr>
              <w:jc w:val="right"/>
              <w:rPr>
                <w:rFonts w:ascii="Palatino Linotype" w:hAnsi="Palatino Linotype" w:cs="Calibri"/>
                <w:b/>
                <w:bCs/>
                <w:color w:val="000000"/>
              </w:rPr>
            </w:pPr>
            <w:r w:rsidRPr="00957DC6">
              <w:rPr>
                <w:rFonts w:ascii="Palatino Linotype" w:hAnsi="Palatino Linotype" w:cs="Calibri"/>
                <w:b/>
                <w:bCs/>
                <w:color w:val="000000"/>
              </w:rPr>
              <w:t>$</w:t>
            </w:r>
            <w:r>
              <w:rPr>
                <w:rFonts w:ascii="Palatino Linotype" w:hAnsi="Palatino Linotype" w:cs="Calibri"/>
                <w:b/>
                <w:bCs/>
                <w:color w:val="000000"/>
              </w:rPr>
              <w:t xml:space="preserve"> </w:t>
            </w:r>
            <w:r w:rsidRPr="00957DC6">
              <w:rPr>
                <w:rFonts w:ascii="Palatino Linotype" w:hAnsi="Palatino Linotype" w:cs="Calibri"/>
                <w:b/>
                <w:bCs/>
                <w:color w:val="000000"/>
              </w:rPr>
              <w:t xml:space="preserve">270,370.75 </w:t>
            </w:r>
          </w:p>
        </w:tc>
      </w:tr>
    </w:tbl>
    <w:p w:rsidR="00932789" w:rsidP="00932789" w:rsidRDefault="00932789" w14:paraId="05ED2D00" w14:textId="77777777">
      <w:pPr>
        <w:pStyle w:val="Title"/>
        <w:jc w:val="left"/>
        <w:rPr>
          <w:rFonts w:ascii="Palatino Linotype" w:hAnsi="Palatino Linotype"/>
          <w:b w:val="0"/>
          <w:szCs w:val="24"/>
        </w:rPr>
      </w:pPr>
    </w:p>
    <w:p w:rsidRPr="00467F4B" w:rsidR="00932789" w:rsidP="00932789" w:rsidRDefault="00932789" w14:paraId="76E419CF" w14:textId="77777777">
      <w:pPr>
        <w:pStyle w:val="Title"/>
        <w:jc w:val="left"/>
        <w:rPr>
          <w:rFonts w:ascii="Palatino Linotype" w:hAnsi="Palatino Linotype"/>
          <w:b w:val="0"/>
          <w:szCs w:val="24"/>
        </w:rPr>
      </w:pPr>
      <w:r w:rsidRPr="00467F4B">
        <w:rPr>
          <w:rFonts w:ascii="Palatino Linotype" w:hAnsi="Palatino Linotype"/>
          <w:b w:val="0"/>
          <w:szCs w:val="24"/>
        </w:rPr>
        <w:t>The CPUC Administrative Service Division’s Fiscal Office</w:t>
      </w:r>
      <w:r w:rsidRPr="00467F4B" w:rsidDel="001702FD">
        <w:rPr>
          <w:rFonts w:ascii="Palatino Linotype" w:hAnsi="Palatino Linotype"/>
          <w:b w:val="0"/>
          <w:szCs w:val="24"/>
        </w:rPr>
        <w:t xml:space="preserve"> </w:t>
      </w:r>
      <w:r w:rsidRPr="00467F4B">
        <w:rPr>
          <w:rFonts w:ascii="Palatino Linotype" w:hAnsi="Palatino Linotype"/>
          <w:b w:val="0"/>
          <w:szCs w:val="24"/>
        </w:rPr>
        <w:t>shall undertake the necessary procedures to transmit the funds, subject to refund, to AT&amp;T Mobility</w:t>
      </w:r>
      <w:r>
        <w:rPr>
          <w:rFonts w:ascii="Palatino Linotype" w:hAnsi="Palatino Linotype"/>
          <w:b w:val="0"/>
          <w:szCs w:val="24"/>
        </w:rPr>
        <w:t xml:space="preserve"> and update the records regarding the monies owed as identified in this resolution</w:t>
      </w:r>
      <w:r w:rsidRPr="00467F4B">
        <w:rPr>
          <w:rFonts w:ascii="Palatino Linotype" w:hAnsi="Palatino Linotype"/>
          <w:b w:val="0"/>
          <w:szCs w:val="24"/>
        </w:rPr>
        <w:t>.</w:t>
      </w:r>
    </w:p>
    <w:p w:rsidRPr="00467F4B" w:rsidR="00932789" w:rsidP="00932789" w:rsidRDefault="00932789" w14:paraId="27BF1EF9" w14:textId="77777777">
      <w:pPr>
        <w:pStyle w:val="Title"/>
        <w:jc w:val="left"/>
        <w:rPr>
          <w:rFonts w:ascii="Palatino Linotype" w:hAnsi="Palatino Linotype"/>
          <w:b w:val="0"/>
          <w:szCs w:val="24"/>
        </w:rPr>
      </w:pPr>
    </w:p>
    <w:p w:rsidRPr="00467F4B" w:rsidR="00932789" w:rsidP="00932789" w:rsidRDefault="00932789" w14:paraId="6A140B33" w14:textId="77777777">
      <w:pPr>
        <w:pStyle w:val="Title"/>
        <w:jc w:val="left"/>
        <w:rPr>
          <w:rFonts w:ascii="Palatino Linotype" w:hAnsi="Palatino Linotype"/>
          <w:szCs w:val="24"/>
        </w:rPr>
      </w:pPr>
      <w:r w:rsidRPr="00467F4B">
        <w:rPr>
          <w:rFonts w:ascii="Palatino Linotype" w:hAnsi="Palatino Linotype"/>
          <w:szCs w:val="24"/>
        </w:rPr>
        <w:t>BACKGROUND</w:t>
      </w:r>
    </w:p>
    <w:p w:rsidRPr="00467F4B" w:rsidR="00932789" w:rsidP="00932789" w:rsidRDefault="00932789" w14:paraId="1DFE8E14" w14:textId="77777777">
      <w:pPr>
        <w:pStyle w:val="Title"/>
        <w:jc w:val="left"/>
        <w:rPr>
          <w:rFonts w:ascii="Palatino Linotype" w:hAnsi="Palatino Linotype"/>
          <w:szCs w:val="24"/>
          <w:u w:val="single"/>
          <w:lang w:val="en"/>
        </w:rPr>
      </w:pPr>
    </w:p>
    <w:p w:rsidRPr="00467F4B" w:rsidR="00932789" w:rsidP="00932789" w:rsidRDefault="00932789" w14:paraId="499D53FB" w14:textId="77777777">
      <w:pPr>
        <w:pStyle w:val="Title"/>
        <w:jc w:val="left"/>
        <w:rPr>
          <w:rFonts w:ascii="Palatino Linotype" w:hAnsi="Palatino Linotype"/>
          <w:b w:val="0"/>
          <w:szCs w:val="24"/>
        </w:rPr>
      </w:pPr>
      <w:r w:rsidRPr="00232A04">
        <w:rPr>
          <w:rFonts w:ascii="Palatino Linotype" w:hAnsi="Palatino Linotype"/>
          <w:b w:val="0"/>
          <w:szCs w:val="24"/>
        </w:rPr>
        <w:t>All telephone corporations (carriers) are required to assess Telecommunications surcharges</w:t>
      </w:r>
      <w:r w:rsidRPr="00232A04">
        <w:rPr>
          <w:rStyle w:val="FootnoteReference"/>
          <w:rFonts w:ascii="Palatino Linotype" w:hAnsi="Palatino Linotype"/>
          <w:b w:val="0"/>
          <w:szCs w:val="24"/>
        </w:rPr>
        <w:footnoteReference w:id="2"/>
      </w:r>
      <w:r w:rsidRPr="00232A04">
        <w:rPr>
          <w:rFonts w:ascii="Palatino Linotype" w:hAnsi="Palatino Linotype"/>
          <w:b w:val="0"/>
          <w:szCs w:val="24"/>
        </w:rPr>
        <w:t xml:space="preserve"> and user fees</w:t>
      </w:r>
      <w:r w:rsidRPr="00232A04">
        <w:rPr>
          <w:rStyle w:val="FootnoteReference"/>
          <w:rFonts w:ascii="Palatino Linotype" w:hAnsi="Palatino Linotype"/>
          <w:b w:val="0"/>
          <w:szCs w:val="24"/>
        </w:rPr>
        <w:footnoteReference w:id="3"/>
      </w:r>
      <w:r w:rsidRPr="00232A04">
        <w:rPr>
          <w:rFonts w:ascii="Palatino Linotype" w:hAnsi="Palatino Linotype"/>
          <w:b w:val="0"/>
          <w:szCs w:val="24"/>
        </w:rPr>
        <w:t xml:space="preserve"> on California end-user intrastate service revenues, and to remit the collected funds to the Commission. Attachment A to this Resolution provides background information on surcharges and user fees</w:t>
      </w:r>
      <w:r>
        <w:rPr>
          <w:rFonts w:ascii="Palatino Linotype" w:hAnsi="Palatino Linotype"/>
          <w:b w:val="0"/>
          <w:szCs w:val="24"/>
        </w:rPr>
        <w:t>.</w:t>
      </w:r>
    </w:p>
    <w:p w:rsidR="00932789" w:rsidP="00932789" w:rsidRDefault="00932789" w14:paraId="33AB9F4C" w14:textId="77777777">
      <w:pPr>
        <w:pStyle w:val="Title"/>
        <w:jc w:val="left"/>
        <w:rPr>
          <w:rFonts w:ascii="Palatino Linotype" w:hAnsi="Palatino Linotype"/>
          <w:b w:val="0"/>
          <w:szCs w:val="24"/>
        </w:rPr>
      </w:pPr>
    </w:p>
    <w:p w:rsidRPr="00F565F2" w:rsidR="00932789" w:rsidP="00932789" w:rsidRDefault="00932789" w14:paraId="5A0AFBA7" w14:textId="77777777">
      <w:pPr>
        <w:pStyle w:val="Title"/>
        <w:jc w:val="left"/>
        <w:rPr>
          <w:rFonts w:ascii="Palatino Linotype" w:hAnsi="Palatino Linotype"/>
          <w:b w:val="0"/>
          <w:lang w:val="en"/>
        </w:rPr>
      </w:pPr>
      <w:r>
        <w:rPr>
          <w:rFonts w:ascii="Palatino Linotype" w:hAnsi="Palatino Linotype"/>
          <w:b w:val="0"/>
          <w:lang w:val="en"/>
        </w:rPr>
        <w:t>In 2010, t</w:t>
      </w:r>
      <w:r w:rsidRPr="00F565F2">
        <w:rPr>
          <w:rFonts w:ascii="Palatino Linotype" w:hAnsi="Palatino Linotype"/>
          <w:b w:val="0"/>
          <w:lang w:val="en"/>
        </w:rPr>
        <w:t>he Commission</w:t>
      </w:r>
      <w:r>
        <w:rPr>
          <w:rFonts w:ascii="Palatino Linotype" w:hAnsi="Palatino Linotype"/>
          <w:b w:val="0"/>
          <w:lang w:val="en"/>
        </w:rPr>
        <w:t xml:space="preserve"> created the </w:t>
      </w:r>
      <w:r w:rsidRPr="00F565F2">
        <w:rPr>
          <w:rFonts w:ascii="Palatino Linotype" w:hAnsi="Palatino Linotype"/>
          <w:b w:val="0"/>
          <w:lang w:val="en"/>
        </w:rPr>
        <w:t xml:space="preserve">proprietary Telecommunications and User Fee Filing System (TUFFS) </w:t>
      </w:r>
      <w:r>
        <w:rPr>
          <w:rFonts w:ascii="Palatino Linotype" w:hAnsi="Palatino Linotype"/>
          <w:b w:val="0"/>
          <w:lang w:val="en"/>
        </w:rPr>
        <w:t xml:space="preserve">to facilitate the reporting and remittances of surcharges and user fees. </w:t>
      </w:r>
      <w:r w:rsidRPr="00F565F2">
        <w:rPr>
          <w:rFonts w:ascii="Palatino Linotype" w:hAnsi="Palatino Linotype"/>
          <w:b w:val="0"/>
          <w:lang w:val="en"/>
        </w:rPr>
        <w:t xml:space="preserve">Prior to January 2016, </w:t>
      </w:r>
      <w:r>
        <w:rPr>
          <w:rFonts w:ascii="Palatino Linotype" w:hAnsi="Palatino Linotype"/>
          <w:b w:val="0"/>
          <w:lang w:val="en"/>
        </w:rPr>
        <w:t xml:space="preserve">carriers </w:t>
      </w:r>
      <w:r w:rsidRPr="00F565F2">
        <w:rPr>
          <w:rFonts w:ascii="Palatino Linotype" w:hAnsi="Palatino Linotype"/>
          <w:b w:val="0"/>
          <w:lang w:val="en"/>
        </w:rPr>
        <w:t xml:space="preserve">reported their intrastate revenues subject to </w:t>
      </w:r>
      <w:r>
        <w:rPr>
          <w:rFonts w:ascii="Palatino Linotype" w:hAnsi="Palatino Linotype"/>
          <w:b w:val="0"/>
          <w:lang w:val="en"/>
        </w:rPr>
        <w:t>surcharges and user fees using separate methods: for surcharge assessment, carriers utilized TUFFS; and for user</w:t>
      </w:r>
      <w:r w:rsidRPr="00F565F2">
        <w:rPr>
          <w:rFonts w:ascii="Palatino Linotype" w:hAnsi="Palatino Linotype"/>
          <w:b w:val="0"/>
          <w:lang w:val="en"/>
        </w:rPr>
        <w:t xml:space="preserve"> fee </w:t>
      </w:r>
      <w:r>
        <w:rPr>
          <w:rFonts w:ascii="Palatino Linotype" w:hAnsi="Palatino Linotype"/>
          <w:b w:val="0"/>
          <w:lang w:val="en"/>
        </w:rPr>
        <w:t xml:space="preserve">assessment, carrier </w:t>
      </w:r>
      <w:r w:rsidRPr="00F565F2">
        <w:rPr>
          <w:rFonts w:ascii="Palatino Linotype" w:hAnsi="Palatino Linotype"/>
          <w:b w:val="0"/>
          <w:lang w:val="en"/>
        </w:rPr>
        <w:t>us</w:t>
      </w:r>
      <w:r>
        <w:rPr>
          <w:rFonts w:ascii="Palatino Linotype" w:hAnsi="Palatino Linotype"/>
          <w:b w:val="0"/>
          <w:lang w:val="en"/>
        </w:rPr>
        <w:t xml:space="preserve">ed the </w:t>
      </w:r>
      <w:r w:rsidRPr="00F565F2">
        <w:rPr>
          <w:rFonts w:ascii="Palatino Linotype" w:hAnsi="Palatino Linotype"/>
          <w:b w:val="0"/>
          <w:lang w:val="en"/>
        </w:rPr>
        <w:t xml:space="preserve">paper </w:t>
      </w:r>
      <w:r w:rsidRPr="00FA5115">
        <w:rPr>
          <w:rFonts w:ascii="Palatino Linotype" w:hAnsi="Palatino Linotype"/>
          <w:b w:val="0"/>
          <w:lang w:val="en"/>
        </w:rPr>
        <w:t>User Fee Statement.</w:t>
      </w:r>
      <w:r>
        <w:rPr>
          <w:rFonts w:ascii="Palatino Linotype" w:hAnsi="Palatino Linotype"/>
          <w:b w:val="0"/>
          <w:lang w:val="en"/>
        </w:rPr>
        <w:t xml:space="preserve"> Beginning in 2016, TUFFS allowed carriers to enter one intrastate revenue base for the purpose of surcharge and user fee assessment.</w:t>
      </w:r>
    </w:p>
    <w:p w:rsidRPr="00467F4B" w:rsidR="00932789" w:rsidP="00932789" w:rsidRDefault="00932789" w14:paraId="726515B9" w14:textId="77777777">
      <w:pPr>
        <w:rPr>
          <w:rFonts w:ascii="Palatino Linotype" w:hAnsi="Palatino Linotype"/>
          <w:lang w:val="en"/>
        </w:rPr>
      </w:pPr>
    </w:p>
    <w:p w:rsidRPr="00467F4B" w:rsidR="00932789" w:rsidP="00932789" w:rsidRDefault="00932789" w14:paraId="2AFF552A" w14:textId="77777777">
      <w:pPr>
        <w:pStyle w:val="Title"/>
        <w:jc w:val="left"/>
        <w:rPr>
          <w:rFonts w:ascii="Palatino Linotype" w:hAnsi="Palatino Linotype"/>
          <w:szCs w:val="24"/>
          <w:u w:val="single"/>
          <w:lang w:val="en"/>
        </w:rPr>
      </w:pPr>
      <w:r w:rsidRPr="00467F4B">
        <w:rPr>
          <w:rFonts w:ascii="Palatino Linotype" w:hAnsi="Palatino Linotype"/>
          <w:b w:val="0"/>
          <w:szCs w:val="24"/>
          <w:lang w:val="en"/>
        </w:rPr>
        <w:t>AT&amp;T Mobility provides both prepaid and postpaid wireless telephone services in California</w:t>
      </w:r>
      <w:r w:rsidRPr="00467F4B">
        <w:rPr>
          <w:rFonts w:ascii="Palatino Linotype" w:hAnsi="Palatino Linotype"/>
          <w:b w:val="0"/>
          <w:szCs w:val="24"/>
        </w:rPr>
        <w:t xml:space="preserve">.  As </w:t>
      </w:r>
      <w:r>
        <w:rPr>
          <w:rFonts w:ascii="Palatino Linotype" w:hAnsi="Palatino Linotype"/>
          <w:b w:val="0"/>
          <w:szCs w:val="24"/>
        </w:rPr>
        <w:t xml:space="preserve">a </w:t>
      </w:r>
      <w:r w:rsidRPr="00467F4B">
        <w:rPr>
          <w:rFonts w:ascii="Palatino Linotype" w:hAnsi="Palatino Linotype"/>
          <w:b w:val="0"/>
          <w:szCs w:val="24"/>
        </w:rPr>
        <w:t>registered cellular provider</w:t>
      </w:r>
      <w:r>
        <w:rPr>
          <w:rFonts w:ascii="Palatino Linotype" w:hAnsi="Palatino Linotype"/>
          <w:b w:val="0"/>
          <w:szCs w:val="24"/>
        </w:rPr>
        <w:t xml:space="preserve"> and telephone corporation</w:t>
      </w:r>
      <w:r w:rsidRPr="00467F4B">
        <w:rPr>
          <w:rFonts w:ascii="Palatino Linotype" w:hAnsi="Palatino Linotype"/>
          <w:b w:val="0"/>
          <w:szCs w:val="24"/>
        </w:rPr>
        <w:t xml:space="preserve"> in California, AT&amp;T Mobility </w:t>
      </w:r>
      <w:r>
        <w:rPr>
          <w:rFonts w:ascii="Palatino Linotype" w:hAnsi="Palatino Linotype"/>
          <w:b w:val="0"/>
          <w:szCs w:val="24"/>
        </w:rPr>
        <w:t>is</w:t>
      </w:r>
      <w:r w:rsidRPr="00467F4B">
        <w:rPr>
          <w:rFonts w:ascii="Palatino Linotype" w:hAnsi="Palatino Linotype"/>
          <w:b w:val="0"/>
          <w:szCs w:val="24"/>
        </w:rPr>
        <w:t xml:space="preserve"> required to collect, report and remit surcharges and user fees to the Commission.  Surcharges and user fees, further discussed below, are assessed on a carrier’s intrastate revenues.  These charges are calculated as a percentage of intrastate </w:t>
      </w:r>
      <w:r w:rsidRPr="00467F4B">
        <w:rPr>
          <w:rFonts w:ascii="Palatino Linotype" w:hAnsi="Palatino Linotype"/>
          <w:b w:val="0"/>
          <w:szCs w:val="24"/>
        </w:rPr>
        <w:lastRenderedPageBreak/>
        <w:t xml:space="preserve">prepaid and postpaid wireless service revenues subject to surcharge.  </w:t>
      </w:r>
      <w:r>
        <w:rPr>
          <w:rFonts w:ascii="Palatino Linotype" w:hAnsi="Palatino Linotype"/>
          <w:b w:val="0"/>
          <w:szCs w:val="24"/>
        </w:rPr>
        <w:t>The Federal Communications Commission (FCC) has classified i</w:t>
      </w:r>
      <w:r w:rsidRPr="00467F4B">
        <w:rPr>
          <w:rFonts w:ascii="Palatino Linotype" w:hAnsi="Palatino Linotype"/>
          <w:b w:val="0"/>
          <w:szCs w:val="24"/>
        </w:rPr>
        <w:t xml:space="preserve">nternet access </w:t>
      </w:r>
      <w:r>
        <w:rPr>
          <w:rFonts w:ascii="Palatino Linotype" w:hAnsi="Palatino Linotype"/>
          <w:b w:val="0"/>
          <w:szCs w:val="24"/>
        </w:rPr>
        <w:t>and</w:t>
      </w:r>
      <w:r w:rsidRPr="00467F4B">
        <w:rPr>
          <w:rFonts w:ascii="Palatino Linotype" w:hAnsi="Palatino Linotype"/>
          <w:b w:val="0"/>
          <w:szCs w:val="24"/>
        </w:rPr>
        <w:t xml:space="preserve"> data services as interstate information services and </w:t>
      </w:r>
      <w:r>
        <w:rPr>
          <w:rFonts w:ascii="Palatino Linotype" w:hAnsi="Palatino Linotype"/>
          <w:b w:val="0"/>
          <w:szCs w:val="24"/>
        </w:rPr>
        <w:t xml:space="preserve">the Commission has </w:t>
      </w:r>
      <w:r w:rsidRPr="00467F4B">
        <w:rPr>
          <w:rFonts w:ascii="Palatino Linotype" w:hAnsi="Palatino Linotype"/>
          <w:b w:val="0"/>
          <w:szCs w:val="24"/>
        </w:rPr>
        <w:t xml:space="preserve">not </w:t>
      </w:r>
      <w:r>
        <w:rPr>
          <w:rFonts w:ascii="Palatino Linotype" w:hAnsi="Palatino Linotype"/>
          <w:b w:val="0"/>
          <w:szCs w:val="24"/>
        </w:rPr>
        <w:t xml:space="preserve">required collection and remittance of </w:t>
      </w:r>
      <w:r w:rsidRPr="00467F4B">
        <w:rPr>
          <w:rFonts w:ascii="Palatino Linotype" w:hAnsi="Palatino Linotype"/>
          <w:b w:val="0"/>
          <w:szCs w:val="24"/>
        </w:rPr>
        <w:t>surcharges and user fees</w:t>
      </w:r>
      <w:r>
        <w:rPr>
          <w:rFonts w:ascii="Palatino Linotype" w:hAnsi="Palatino Linotype"/>
          <w:b w:val="0"/>
          <w:szCs w:val="24"/>
        </w:rPr>
        <w:t xml:space="preserve"> from those services</w:t>
      </w:r>
      <w:r w:rsidRPr="00467F4B">
        <w:rPr>
          <w:rFonts w:ascii="Palatino Linotype" w:hAnsi="Palatino Linotype"/>
          <w:b w:val="0"/>
          <w:szCs w:val="24"/>
        </w:rPr>
        <w:t>.</w:t>
      </w:r>
      <w:r w:rsidRPr="00467F4B">
        <w:rPr>
          <w:rStyle w:val="FootnoteReference"/>
          <w:rFonts w:ascii="Palatino Linotype" w:hAnsi="Palatino Linotype"/>
          <w:b w:val="0"/>
          <w:szCs w:val="24"/>
        </w:rPr>
        <w:footnoteReference w:id="4"/>
      </w:r>
    </w:p>
    <w:p w:rsidRPr="00467F4B" w:rsidR="00932789" w:rsidP="00932789" w:rsidRDefault="00932789" w14:paraId="207308F2" w14:textId="77777777">
      <w:pPr>
        <w:pStyle w:val="Title"/>
        <w:jc w:val="left"/>
        <w:rPr>
          <w:rFonts w:ascii="Palatino Linotype" w:hAnsi="Palatino Linotype"/>
          <w:b w:val="0"/>
          <w:szCs w:val="24"/>
        </w:rPr>
      </w:pPr>
    </w:p>
    <w:p w:rsidRPr="00467F4B" w:rsidR="00932789" w:rsidP="00932789" w:rsidRDefault="00932789" w14:paraId="782AF9D6" w14:textId="2AFF6611">
      <w:pPr>
        <w:rPr>
          <w:rFonts w:ascii="Palatino Linotype" w:hAnsi="Palatino Linotype"/>
        </w:rPr>
      </w:pPr>
      <w:r w:rsidRPr="00467F4B">
        <w:rPr>
          <w:rFonts w:ascii="Palatino Linotype" w:hAnsi="Palatino Linotype"/>
        </w:rPr>
        <w:t>On January 26, 2016, AT&amp;T Mobility sent a letter to the Director of the Commission’s Communications Division</w:t>
      </w:r>
      <w:r>
        <w:rPr>
          <w:rFonts w:ascii="Palatino Linotype" w:hAnsi="Palatino Linotype"/>
        </w:rPr>
        <w:t xml:space="preserve"> (CD)</w:t>
      </w:r>
      <w:r w:rsidRPr="00467F4B">
        <w:rPr>
          <w:rFonts w:ascii="Palatino Linotype" w:hAnsi="Palatino Linotype"/>
        </w:rPr>
        <w:t xml:space="preserve"> explaining that, from January 2013 through September 2015, AT&amp;T Mobility overpaid its surcharges and user fees by erroneously including prepaid data and text messaging (text) revenues in reporting its intrastate telecommunications revenues to the Commission.  AT&amp;T Mobility claims that these services should not have been included in the intrastate revenues because, it asserts, surcharging these services violates federal law.  </w:t>
      </w:r>
    </w:p>
    <w:p w:rsidRPr="00467F4B" w:rsidR="00932789" w:rsidP="00932789" w:rsidRDefault="00932789" w14:paraId="23BF835A" w14:textId="77777777">
      <w:pPr>
        <w:rPr>
          <w:rFonts w:ascii="Palatino Linotype" w:hAnsi="Palatino Linotype"/>
        </w:rPr>
      </w:pPr>
    </w:p>
    <w:p w:rsidRPr="00467F4B" w:rsidR="00932789" w:rsidP="00932789" w:rsidRDefault="00932789" w14:paraId="051EC9DF" w14:textId="4D894279">
      <w:pPr>
        <w:rPr>
          <w:rFonts w:ascii="Palatino Linotype" w:hAnsi="Palatino Linotype"/>
        </w:rPr>
      </w:pPr>
      <w:r w:rsidRPr="00467F4B">
        <w:rPr>
          <w:rFonts w:ascii="Palatino Linotype" w:hAnsi="Palatino Linotype"/>
        </w:rPr>
        <w:t xml:space="preserve">In February 2016, staff advised AT&amp;T Mobility to </w:t>
      </w:r>
      <w:r>
        <w:rPr>
          <w:rFonts w:ascii="Palatino Linotype" w:hAnsi="Palatino Linotype"/>
        </w:rPr>
        <w:t>submit</w:t>
      </w:r>
      <w:r w:rsidRPr="00467F4B">
        <w:rPr>
          <w:rFonts w:ascii="Palatino Linotype" w:hAnsi="Palatino Linotype"/>
        </w:rPr>
        <w:t xml:space="preserve"> </w:t>
      </w:r>
      <w:r w:rsidR="00A07617">
        <w:rPr>
          <w:rFonts w:ascii="Palatino Linotype" w:hAnsi="Palatino Linotype"/>
        </w:rPr>
        <w:t xml:space="preserve">Tier III </w:t>
      </w:r>
      <w:r>
        <w:rPr>
          <w:rFonts w:ascii="Palatino Linotype" w:hAnsi="Palatino Linotype"/>
        </w:rPr>
        <w:t>ALs</w:t>
      </w:r>
      <w:r w:rsidRPr="00467F4B">
        <w:rPr>
          <w:rFonts w:ascii="Palatino Linotype" w:hAnsi="Palatino Linotype"/>
        </w:rPr>
        <w:t xml:space="preserve"> to formally request the recovery of alleged overpayments to the Commission.  In addition, staff advised AT&amp;T Mobility that the period allowed for the recovery of surcharges and user fees resulting from carrier’s reporting errors was limited.  </w:t>
      </w:r>
      <w:r w:rsidR="00A35564">
        <w:rPr>
          <w:rFonts w:ascii="Palatino Linotype" w:hAnsi="Palatino Linotype"/>
        </w:rPr>
        <w:t xml:space="preserve">On March 2016, Acting CD Director issued a letter to AT&amp;T Mobility reminding them that text messaging revenues </w:t>
      </w:r>
      <w:r w:rsidRPr="00467F4B">
        <w:rPr>
          <w:rFonts w:ascii="Palatino Linotype" w:hAnsi="Palatino Linotype"/>
        </w:rPr>
        <w:t>were subject to surcharges and user fee</w:t>
      </w:r>
      <w:r>
        <w:rPr>
          <w:rFonts w:ascii="Palatino Linotype" w:hAnsi="Palatino Linotype"/>
        </w:rPr>
        <w:t>s</w:t>
      </w:r>
      <w:r w:rsidRPr="00467F4B">
        <w:rPr>
          <w:rFonts w:ascii="Palatino Linotype" w:hAnsi="Palatino Linotype"/>
        </w:rPr>
        <w:t>.</w:t>
      </w:r>
      <w:r w:rsidRPr="00467F4B">
        <w:rPr>
          <w:rStyle w:val="FootnoteReference"/>
          <w:rFonts w:ascii="Palatino Linotype" w:hAnsi="Palatino Linotype"/>
        </w:rPr>
        <w:footnoteReference w:id="5"/>
      </w:r>
      <w:r w:rsidRPr="00467F4B">
        <w:rPr>
          <w:rFonts w:ascii="Palatino Linotype" w:hAnsi="Palatino Linotype"/>
        </w:rPr>
        <w:t xml:space="preserve">  Hence, the requested refund amounts shall be limited to a one-year period prior to the date on which the Commission was notified and shall pertain to only the portion involving data.  </w:t>
      </w:r>
    </w:p>
    <w:p w:rsidRPr="00467F4B" w:rsidR="00932789" w:rsidP="00932789" w:rsidRDefault="00932789" w14:paraId="09333001" w14:textId="77777777">
      <w:pPr>
        <w:pStyle w:val="Title"/>
        <w:jc w:val="left"/>
        <w:rPr>
          <w:rFonts w:ascii="Palatino Linotype" w:hAnsi="Palatino Linotype"/>
          <w:b w:val="0"/>
          <w:szCs w:val="24"/>
        </w:rPr>
      </w:pPr>
    </w:p>
    <w:p w:rsidRPr="00467F4B" w:rsidR="00932789" w:rsidP="00932789" w:rsidRDefault="00932789" w14:paraId="0BC54E7D" w14:textId="08999E07">
      <w:pPr>
        <w:rPr>
          <w:rFonts w:ascii="Palatino Linotype" w:hAnsi="Palatino Linotype"/>
        </w:rPr>
      </w:pPr>
      <w:r w:rsidRPr="00467F4B">
        <w:rPr>
          <w:rFonts w:ascii="Palatino Linotype" w:hAnsi="Palatino Linotype"/>
        </w:rPr>
        <w:t xml:space="preserve">On August 15, 2016, AT&amp;T Mobility submitted </w:t>
      </w:r>
      <w:r w:rsidR="00A07617">
        <w:rPr>
          <w:rFonts w:ascii="Palatino Linotype" w:hAnsi="Palatino Linotype"/>
        </w:rPr>
        <w:t xml:space="preserve">Tier III </w:t>
      </w:r>
      <w:r w:rsidRPr="00467F4B">
        <w:rPr>
          <w:rFonts w:ascii="Palatino Linotype" w:hAnsi="Palatino Linotype"/>
        </w:rPr>
        <w:t>A</w:t>
      </w:r>
      <w:r>
        <w:rPr>
          <w:rFonts w:ascii="Palatino Linotype" w:hAnsi="Palatino Linotype"/>
        </w:rPr>
        <w:t>L Nos.</w:t>
      </w:r>
      <w:r w:rsidRPr="00467F4B">
        <w:rPr>
          <w:rFonts w:ascii="Palatino Linotype" w:hAnsi="Palatino Linotype"/>
        </w:rPr>
        <w:t xml:space="preserve"> 166, 161, and 8.  In these ALs, AT&amp;T Mobility requested refunds for overpayments of surcharges and user fees that it erroneously made for prepaid services from January 2013 through September 2015. </w:t>
      </w:r>
    </w:p>
    <w:p w:rsidRPr="00467F4B" w:rsidR="00932789" w:rsidP="00932789" w:rsidRDefault="00932789" w14:paraId="2B60C6C3" w14:textId="77777777">
      <w:pPr>
        <w:rPr>
          <w:rFonts w:ascii="Palatino Linotype" w:hAnsi="Palatino Linotype"/>
        </w:rPr>
      </w:pPr>
    </w:p>
    <w:p w:rsidRPr="00467F4B" w:rsidR="00932789" w:rsidP="00932789" w:rsidRDefault="00932789" w14:paraId="3AB5E6E7" w14:textId="77777777">
      <w:pPr>
        <w:pStyle w:val="Title"/>
        <w:jc w:val="left"/>
        <w:rPr>
          <w:rFonts w:ascii="Palatino Linotype" w:hAnsi="Palatino Linotype"/>
          <w:b w:val="0"/>
          <w:szCs w:val="24"/>
        </w:rPr>
      </w:pPr>
      <w:r w:rsidRPr="00467F4B">
        <w:rPr>
          <w:rFonts w:ascii="Palatino Linotype" w:hAnsi="Palatino Linotype"/>
          <w:b w:val="0"/>
          <w:szCs w:val="24"/>
        </w:rPr>
        <w:t xml:space="preserve">On September 14, 2016 and January 23, 2017, staff suspended AT&amp;T Mobility’s AL </w:t>
      </w:r>
      <w:r w:rsidRPr="00467F4B">
        <w:rPr>
          <w:rFonts w:ascii="Palatino Linotype" w:hAnsi="Palatino Linotype"/>
          <w:b w:val="0"/>
          <w:szCs w:val="24"/>
        </w:rPr>
        <w:br/>
        <w:t xml:space="preserve">Nos. 166, 161, and 8 to allow for adequate time to collect and analyze the data in preparation of </w:t>
      </w:r>
      <w:r>
        <w:rPr>
          <w:rFonts w:ascii="Palatino Linotype" w:hAnsi="Palatino Linotype"/>
          <w:b w:val="0"/>
          <w:szCs w:val="24"/>
        </w:rPr>
        <w:t>a</w:t>
      </w:r>
      <w:r w:rsidRPr="00467F4B">
        <w:rPr>
          <w:rFonts w:ascii="Palatino Linotype" w:hAnsi="Palatino Linotype"/>
          <w:b w:val="0"/>
          <w:szCs w:val="24"/>
        </w:rPr>
        <w:t xml:space="preserve"> Resolution.</w:t>
      </w:r>
    </w:p>
    <w:p w:rsidRPr="00467F4B" w:rsidR="00932789" w:rsidP="00932789" w:rsidRDefault="00932789" w14:paraId="6F68115E" w14:textId="77777777">
      <w:pPr>
        <w:pStyle w:val="Title"/>
        <w:jc w:val="left"/>
        <w:rPr>
          <w:rFonts w:ascii="Palatino Linotype" w:hAnsi="Palatino Linotype"/>
          <w:b w:val="0"/>
          <w:szCs w:val="24"/>
        </w:rPr>
      </w:pPr>
    </w:p>
    <w:p w:rsidRPr="00467F4B" w:rsidR="00932789" w:rsidP="00932789" w:rsidRDefault="00932789" w14:paraId="066F411B" w14:textId="7F6A39FA">
      <w:pPr>
        <w:rPr>
          <w:rFonts w:ascii="Palatino Linotype" w:hAnsi="Palatino Linotype"/>
          <w:b/>
        </w:rPr>
      </w:pPr>
      <w:r w:rsidRPr="00467F4B">
        <w:rPr>
          <w:rFonts w:ascii="Palatino Linotype" w:hAnsi="Palatino Linotype"/>
        </w:rPr>
        <w:t xml:space="preserve">On June 6, 2018, AT&amp;T </w:t>
      </w:r>
      <w:r>
        <w:rPr>
          <w:rFonts w:ascii="Palatino Linotype" w:hAnsi="Palatino Linotype"/>
        </w:rPr>
        <w:t xml:space="preserve">Mobility </w:t>
      </w:r>
      <w:r w:rsidRPr="00467F4B">
        <w:rPr>
          <w:rFonts w:ascii="Palatino Linotype" w:hAnsi="Palatino Linotype"/>
        </w:rPr>
        <w:t xml:space="preserve">revised its claims </w:t>
      </w:r>
      <w:r>
        <w:rPr>
          <w:rFonts w:ascii="Palatino Linotype" w:hAnsi="Palatino Linotype"/>
        </w:rPr>
        <w:t xml:space="preserve">by submitting a letter to CD </w:t>
      </w:r>
      <w:r w:rsidRPr="00467F4B">
        <w:rPr>
          <w:rFonts w:ascii="Palatino Linotype" w:hAnsi="Palatino Linotype"/>
        </w:rPr>
        <w:t>to reflect a refund for only data or Internet access service.</w:t>
      </w:r>
      <w:r w:rsidRPr="00467F4B">
        <w:rPr>
          <w:rStyle w:val="FootnoteReference"/>
          <w:rFonts w:ascii="Palatino Linotype" w:hAnsi="Palatino Linotype"/>
        </w:rPr>
        <w:footnoteReference w:id="6"/>
      </w:r>
      <w:r w:rsidRPr="00467F4B">
        <w:rPr>
          <w:rFonts w:ascii="Palatino Linotype" w:hAnsi="Palatino Linotype"/>
          <w:b/>
        </w:rPr>
        <w:t xml:space="preserve"> </w:t>
      </w:r>
      <w:r w:rsidRPr="00467F4B">
        <w:rPr>
          <w:rFonts w:ascii="Palatino Linotype" w:hAnsi="Palatino Linotype"/>
        </w:rPr>
        <w:t xml:space="preserve">The revised requested refund amount </w:t>
      </w:r>
      <w:r w:rsidRPr="00467F4B">
        <w:rPr>
          <w:rFonts w:ascii="Palatino Linotype" w:hAnsi="Palatino Linotype"/>
        </w:rPr>
        <w:lastRenderedPageBreak/>
        <w:t>total</w:t>
      </w:r>
      <w:r>
        <w:rPr>
          <w:rFonts w:ascii="Palatino Linotype" w:hAnsi="Palatino Linotype"/>
        </w:rPr>
        <w:t xml:space="preserve">s </w:t>
      </w:r>
      <w:r w:rsidR="00BE1399">
        <w:rPr>
          <w:rFonts w:ascii="Palatino Linotype" w:hAnsi="Palatino Linotype"/>
        </w:rPr>
        <w:t>we</w:t>
      </w:r>
      <w:r>
        <w:rPr>
          <w:rFonts w:ascii="Palatino Linotype" w:hAnsi="Palatino Linotype"/>
        </w:rPr>
        <w:t>re:</w:t>
      </w:r>
      <w:r w:rsidRPr="00467F4B">
        <w:rPr>
          <w:rFonts w:ascii="Palatino Linotype" w:hAnsi="Palatino Linotype"/>
        </w:rPr>
        <w:t xml:space="preserve"> $50,387.00 for Santa Barbara Cellular Systems, LLC; $27,922.00 for AT&amp;T Mobility Wireless Operations Holdings, Inc.; and $2,100,265.00 for New Cingular Wireless PCS, LLC.  </w:t>
      </w:r>
    </w:p>
    <w:p w:rsidRPr="00467F4B" w:rsidR="00932789" w:rsidP="00932789" w:rsidRDefault="00932789" w14:paraId="75216952" w14:textId="77777777">
      <w:pPr>
        <w:pStyle w:val="Title"/>
        <w:jc w:val="left"/>
        <w:rPr>
          <w:rFonts w:ascii="Palatino Linotype" w:hAnsi="Palatino Linotype"/>
          <w:b w:val="0"/>
          <w:szCs w:val="24"/>
        </w:rPr>
      </w:pPr>
    </w:p>
    <w:p w:rsidRPr="00467F4B" w:rsidR="00932789" w:rsidP="00932789" w:rsidRDefault="00932789" w14:paraId="1DD257B1" w14:textId="29D51778">
      <w:pPr>
        <w:pStyle w:val="Title"/>
        <w:jc w:val="left"/>
        <w:rPr>
          <w:rFonts w:ascii="Palatino Linotype" w:hAnsi="Palatino Linotype"/>
          <w:b w:val="0"/>
          <w:szCs w:val="24"/>
        </w:rPr>
      </w:pPr>
      <w:r w:rsidRPr="00467F4B">
        <w:rPr>
          <w:rFonts w:ascii="Palatino Linotype" w:hAnsi="Palatino Linotype"/>
          <w:b w:val="0"/>
          <w:szCs w:val="24"/>
        </w:rPr>
        <w:t xml:space="preserve">During the AL review, staff discovered that the AT&amp;T Mobility companies’ monthly remittances </w:t>
      </w:r>
      <w:r w:rsidR="00BE1399">
        <w:rPr>
          <w:rFonts w:ascii="Palatino Linotype" w:hAnsi="Palatino Linotype"/>
          <w:b w:val="0"/>
          <w:szCs w:val="24"/>
        </w:rPr>
        <w:t xml:space="preserve">to the Commission </w:t>
      </w:r>
      <w:r w:rsidRPr="00467F4B">
        <w:rPr>
          <w:rFonts w:ascii="Palatino Linotype" w:hAnsi="Palatino Linotype"/>
          <w:b w:val="0"/>
          <w:szCs w:val="24"/>
        </w:rPr>
        <w:t xml:space="preserve">were generally erroneous. Underpayments and overpayments occurred for numerous reporting periods for surcharges and user fees from 2010 to 2017.  </w:t>
      </w:r>
      <w:r>
        <w:rPr>
          <w:rFonts w:ascii="Palatino Linotype" w:hAnsi="Palatino Linotype"/>
          <w:b w:val="0"/>
          <w:szCs w:val="24"/>
        </w:rPr>
        <w:t xml:space="preserve">Staff informed </w:t>
      </w:r>
      <w:r w:rsidRPr="00467F4B">
        <w:rPr>
          <w:rFonts w:ascii="Palatino Linotype" w:hAnsi="Palatino Linotype"/>
          <w:b w:val="0"/>
          <w:szCs w:val="24"/>
        </w:rPr>
        <w:t xml:space="preserve">AT&amp;T Mobility </w:t>
      </w:r>
      <w:r>
        <w:rPr>
          <w:rFonts w:ascii="Palatino Linotype" w:hAnsi="Palatino Linotype"/>
          <w:b w:val="0"/>
          <w:szCs w:val="24"/>
        </w:rPr>
        <w:t>about these</w:t>
      </w:r>
      <w:r w:rsidRPr="00467F4B">
        <w:rPr>
          <w:rFonts w:ascii="Palatino Linotype" w:hAnsi="Palatino Linotype"/>
          <w:b w:val="0"/>
          <w:szCs w:val="24"/>
        </w:rPr>
        <w:t xml:space="preserve"> issues. </w:t>
      </w:r>
    </w:p>
    <w:p w:rsidRPr="00467F4B" w:rsidR="00932789" w:rsidP="00932789" w:rsidRDefault="00932789" w14:paraId="297AE02B" w14:textId="77777777">
      <w:pPr>
        <w:pStyle w:val="Title"/>
        <w:jc w:val="left"/>
        <w:rPr>
          <w:rFonts w:ascii="Palatino Linotype" w:hAnsi="Palatino Linotype"/>
          <w:b w:val="0"/>
          <w:szCs w:val="24"/>
        </w:rPr>
      </w:pPr>
    </w:p>
    <w:p w:rsidR="00932789" w:rsidP="00932789" w:rsidRDefault="00932789" w14:paraId="69F6944E" w14:textId="77777777">
      <w:pPr>
        <w:pStyle w:val="Title"/>
        <w:jc w:val="left"/>
        <w:rPr>
          <w:rFonts w:ascii="Palatino Linotype" w:hAnsi="Palatino Linotype"/>
          <w:b w:val="0"/>
          <w:szCs w:val="24"/>
        </w:rPr>
      </w:pPr>
      <w:r w:rsidRPr="00467F4B">
        <w:rPr>
          <w:rFonts w:ascii="Palatino Linotype" w:hAnsi="Palatino Linotype"/>
          <w:b w:val="0"/>
          <w:szCs w:val="24"/>
        </w:rPr>
        <w:t xml:space="preserve">On June 15, 2018, the CD Deputy Director issued a letter to AT&amp;T </w:t>
      </w:r>
      <w:r>
        <w:rPr>
          <w:rFonts w:ascii="Palatino Linotype" w:hAnsi="Palatino Linotype"/>
          <w:b w:val="0"/>
          <w:szCs w:val="24"/>
        </w:rPr>
        <w:t>M</w:t>
      </w:r>
      <w:r w:rsidRPr="00467F4B">
        <w:rPr>
          <w:rFonts w:ascii="Palatino Linotype" w:hAnsi="Palatino Linotype"/>
          <w:b w:val="0"/>
          <w:szCs w:val="24"/>
        </w:rPr>
        <w:t>obility to remind the company of its responsibility to ensure accurately report</w:t>
      </w:r>
      <w:r>
        <w:rPr>
          <w:rFonts w:ascii="Palatino Linotype" w:hAnsi="Palatino Linotype"/>
          <w:b w:val="0"/>
          <w:szCs w:val="24"/>
        </w:rPr>
        <w:t>ing</w:t>
      </w:r>
      <w:r w:rsidRPr="00467F4B">
        <w:rPr>
          <w:rFonts w:ascii="Palatino Linotype" w:hAnsi="Palatino Linotype"/>
          <w:b w:val="0"/>
          <w:szCs w:val="24"/>
        </w:rPr>
        <w:t xml:space="preserve"> and remit</w:t>
      </w:r>
      <w:r>
        <w:rPr>
          <w:rFonts w:ascii="Palatino Linotype" w:hAnsi="Palatino Linotype"/>
          <w:b w:val="0"/>
          <w:szCs w:val="24"/>
        </w:rPr>
        <w:t>tance of</w:t>
      </w:r>
      <w:r w:rsidRPr="00467F4B">
        <w:rPr>
          <w:rFonts w:ascii="Palatino Linotype" w:hAnsi="Palatino Linotype"/>
          <w:b w:val="0"/>
          <w:szCs w:val="24"/>
        </w:rPr>
        <w:t xml:space="preserve"> surcharges. The letter </w:t>
      </w:r>
      <w:r>
        <w:rPr>
          <w:rFonts w:ascii="Palatino Linotype" w:hAnsi="Palatino Linotype"/>
          <w:b w:val="0"/>
          <w:szCs w:val="24"/>
        </w:rPr>
        <w:t xml:space="preserve">noted </w:t>
      </w:r>
      <w:r w:rsidRPr="00467F4B">
        <w:rPr>
          <w:rFonts w:ascii="Palatino Linotype" w:hAnsi="Palatino Linotype"/>
          <w:b w:val="0"/>
          <w:szCs w:val="24"/>
        </w:rPr>
        <w:t>that AT&amp;T Mobility did not accurately report and remit CASF surcharges timely</w:t>
      </w:r>
      <w:r>
        <w:rPr>
          <w:rFonts w:ascii="Palatino Linotype" w:hAnsi="Palatino Linotype"/>
          <w:b w:val="0"/>
          <w:szCs w:val="24"/>
        </w:rPr>
        <w:t xml:space="preserve">, </w:t>
      </w:r>
      <w:r w:rsidRPr="00467F4B">
        <w:rPr>
          <w:rFonts w:ascii="Palatino Linotype" w:hAnsi="Palatino Linotype"/>
          <w:b w:val="0"/>
          <w:szCs w:val="24"/>
        </w:rPr>
        <w:t>result</w:t>
      </w:r>
      <w:r>
        <w:rPr>
          <w:rFonts w:ascii="Palatino Linotype" w:hAnsi="Palatino Linotype"/>
          <w:b w:val="0"/>
          <w:szCs w:val="24"/>
        </w:rPr>
        <w:t>ing</w:t>
      </w:r>
      <w:r w:rsidRPr="00467F4B">
        <w:rPr>
          <w:rFonts w:ascii="Palatino Linotype" w:hAnsi="Palatino Linotype"/>
          <w:b w:val="0"/>
          <w:szCs w:val="24"/>
        </w:rPr>
        <w:t xml:space="preserve"> in accrued interest</w:t>
      </w:r>
      <w:r>
        <w:rPr>
          <w:rFonts w:ascii="Palatino Linotype" w:hAnsi="Palatino Linotype"/>
          <w:b w:val="0"/>
          <w:szCs w:val="24"/>
        </w:rPr>
        <w:t>.</w:t>
      </w:r>
      <w:r>
        <w:rPr>
          <w:rStyle w:val="FootnoteReference"/>
          <w:rFonts w:ascii="Palatino Linotype" w:hAnsi="Palatino Linotype"/>
          <w:b w:val="0"/>
          <w:szCs w:val="24"/>
        </w:rPr>
        <w:footnoteReference w:id="7"/>
      </w:r>
      <w:r w:rsidRPr="00467F4B">
        <w:rPr>
          <w:rFonts w:ascii="Palatino Linotype" w:hAnsi="Palatino Linotype"/>
          <w:b w:val="0"/>
          <w:szCs w:val="24"/>
        </w:rPr>
        <w:t xml:space="preserve"> </w:t>
      </w:r>
      <w:r w:rsidRPr="001D7E88">
        <w:rPr>
          <w:rFonts w:ascii="Times New Roman" w:hAnsi="Times New Roman"/>
          <w:b w:val="0"/>
          <w:szCs w:val="24"/>
        </w:rPr>
        <w:t xml:space="preserve"> </w:t>
      </w:r>
      <w:r w:rsidRPr="001D7E88">
        <w:rPr>
          <w:rFonts w:ascii="Palatino Linotype" w:hAnsi="Palatino Linotype"/>
          <w:b w:val="0"/>
          <w:szCs w:val="24"/>
        </w:rPr>
        <w:t xml:space="preserve">Per D.98-01-023 and G.O. 153 (11.4), carriers who are late in remitting surcharges shall pay a penalty equal to an annual interest rate of 10%. </w:t>
      </w:r>
      <w:r w:rsidRPr="00467F4B">
        <w:rPr>
          <w:rFonts w:ascii="Palatino Linotype" w:hAnsi="Palatino Linotype"/>
          <w:b w:val="0"/>
          <w:szCs w:val="24"/>
        </w:rPr>
        <w:t xml:space="preserve">The letter also directed AT&amp;T Mobility to pay the accrued interest of </w:t>
      </w:r>
      <w:r w:rsidRPr="003F7B35">
        <w:rPr>
          <w:rFonts w:ascii="Palatino Linotype" w:hAnsi="Palatino Linotype"/>
          <w:b w:val="0"/>
          <w:bCs/>
        </w:rPr>
        <w:t xml:space="preserve">$326,732.95 </w:t>
      </w:r>
      <w:r w:rsidRPr="00467F4B">
        <w:rPr>
          <w:rFonts w:ascii="Palatino Linotype" w:hAnsi="Palatino Linotype"/>
          <w:b w:val="0"/>
          <w:szCs w:val="24"/>
        </w:rPr>
        <w:t xml:space="preserve">in addition to remitting the amounts due for the periods owed. AT&amp;T </w:t>
      </w:r>
      <w:r>
        <w:rPr>
          <w:rFonts w:ascii="Palatino Linotype" w:hAnsi="Palatino Linotype"/>
          <w:b w:val="0"/>
          <w:szCs w:val="24"/>
        </w:rPr>
        <w:t xml:space="preserve">Mobility </w:t>
      </w:r>
      <w:r w:rsidRPr="00467F4B">
        <w:rPr>
          <w:rFonts w:ascii="Palatino Linotype" w:hAnsi="Palatino Linotype"/>
          <w:b w:val="0"/>
          <w:szCs w:val="24"/>
        </w:rPr>
        <w:t>addressed the remittances of the amounts due for the periods owed but it did not pay the accrued interest</w:t>
      </w:r>
      <w:r>
        <w:rPr>
          <w:rFonts w:ascii="Palatino Linotype" w:hAnsi="Palatino Linotype"/>
          <w:b w:val="0"/>
          <w:szCs w:val="24"/>
        </w:rPr>
        <w:t>.</w:t>
      </w:r>
      <w:r>
        <w:rPr>
          <w:rStyle w:val="FootnoteReference"/>
          <w:rFonts w:ascii="Palatino Linotype" w:hAnsi="Palatino Linotype"/>
          <w:b w:val="0"/>
          <w:szCs w:val="24"/>
        </w:rPr>
        <w:footnoteReference w:id="8"/>
      </w:r>
      <w:r w:rsidRPr="00467F4B">
        <w:rPr>
          <w:rFonts w:ascii="Palatino Linotype" w:hAnsi="Palatino Linotype"/>
          <w:b w:val="0"/>
          <w:szCs w:val="24"/>
        </w:rPr>
        <w:t xml:space="preserve"> </w:t>
      </w:r>
    </w:p>
    <w:p w:rsidR="00932789" w:rsidP="00932789" w:rsidRDefault="00932789" w14:paraId="33A46780" w14:textId="77777777">
      <w:pPr>
        <w:pStyle w:val="Title"/>
        <w:jc w:val="left"/>
        <w:rPr>
          <w:rFonts w:ascii="Palatino Linotype" w:hAnsi="Palatino Linotype"/>
          <w:b w:val="0"/>
          <w:szCs w:val="24"/>
        </w:rPr>
      </w:pPr>
    </w:p>
    <w:p w:rsidR="00932789" w:rsidP="00932789" w:rsidRDefault="00932789" w14:paraId="45237A4F" w14:textId="77777777">
      <w:pPr>
        <w:pStyle w:val="Title"/>
        <w:jc w:val="left"/>
        <w:rPr>
          <w:rFonts w:ascii="Palatino Linotype" w:hAnsi="Palatino Linotype"/>
          <w:b w:val="0"/>
          <w:szCs w:val="24"/>
        </w:rPr>
      </w:pPr>
      <w:r>
        <w:rPr>
          <w:rFonts w:ascii="Palatino Linotype" w:hAnsi="Palatino Linotype"/>
          <w:b w:val="0"/>
          <w:szCs w:val="24"/>
        </w:rPr>
        <w:t xml:space="preserve">In July 2020, staff noted that AT&amp;T Mobility reported different intrastate revenue amounts for the purpose of surcharge and user fee assessments for the periods requested. Staff relayed this information to AT&amp;T Mobility, which was able to provide the Commission an explanation to support its calculation methodology for the different intrastate revenue bases. </w:t>
      </w:r>
    </w:p>
    <w:p w:rsidR="00932789" w:rsidP="00932789" w:rsidRDefault="00932789" w14:paraId="7D17F63F" w14:textId="77777777">
      <w:pPr>
        <w:pStyle w:val="Title"/>
        <w:jc w:val="left"/>
        <w:rPr>
          <w:rFonts w:ascii="Palatino Linotype" w:hAnsi="Palatino Linotype"/>
          <w:b w:val="0"/>
          <w:szCs w:val="24"/>
        </w:rPr>
      </w:pPr>
    </w:p>
    <w:p w:rsidRPr="00467F4B" w:rsidR="00932789" w:rsidP="00932789" w:rsidRDefault="00932789" w14:paraId="1B4ECF04" w14:textId="77777777">
      <w:pPr>
        <w:pStyle w:val="Title"/>
        <w:jc w:val="left"/>
        <w:rPr>
          <w:rFonts w:ascii="Palatino Linotype" w:hAnsi="Palatino Linotype"/>
          <w:b w:val="0"/>
          <w:szCs w:val="24"/>
        </w:rPr>
      </w:pPr>
      <w:r w:rsidRPr="00467F4B">
        <w:rPr>
          <w:rFonts w:ascii="Palatino Linotype" w:hAnsi="Palatino Linotype"/>
          <w:b w:val="0"/>
          <w:szCs w:val="24"/>
        </w:rPr>
        <w:t xml:space="preserve">On September 30, 2020, CD staff issued a data request to </w:t>
      </w:r>
      <w:r>
        <w:rPr>
          <w:rFonts w:ascii="Palatino Linotype" w:hAnsi="Palatino Linotype"/>
          <w:b w:val="0"/>
          <w:szCs w:val="24"/>
        </w:rPr>
        <w:t>AT&amp;T Mobility</w:t>
      </w:r>
      <w:r w:rsidRPr="00467F4B">
        <w:rPr>
          <w:rFonts w:ascii="Palatino Linotype" w:hAnsi="Palatino Linotype"/>
          <w:b w:val="0"/>
          <w:szCs w:val="24"/>
        </w:rPr>
        <w:t xml:space="preserve"> related to its refund request</w:t>
      </w:r>
      <w:r>
        <w:rPr>
          <w:rFonts w:ascii="Palatino Linotype" w:hAnsi="Palatino Linotype"/>
          <w:b w:val="0"/>
          <w:szCs w:val="24"/>
        </w:rPr>
        <w:t>. A</w:t>
      </w:r>
      <w:r w:rsidRPr="00467F4B">
        <w:rPr>
          <w:rFonts w:ascii="Palatino Linotype" w:hAnsi="Palatino Linotype"/>
          <w:b w:val="0"/>
          <w:szCs w:val="24"/>
        </w:rPr>
        <w:t>mong other things</w:t>
      </w:r>
      <w:r>
        <w:rPr>
          <w:rFonts w:ascii="Palatino Linotype" w:hAnsi="Palatino Linotype"/>
          <w:b w:val="0"/>
          <w:szCs w:val="24"/>
        </w:rPr>
        <w:t>,</w:t>
      </w:r>
      <w:r w:rsidRPr="00467F4B">
        <w:rPr>
          <w:rFonts w:ascii="Palatino Linotype" w:hAnsi="Palatino Linotype"/>
          <w:b w:val="0"/>
          <w:szCs w:val="24"/>
        </w:rPr>
        <w:t xml:space="preserve"> </w:t>
      </w:r>
      <w:r>
        <w:rPr>
          <w:rFonts w:ascii="Palatino Linotype" w:hAnsi="Palatino Linotype"/>
          <w:b w:val="0"/>
          <w:szCs w:val="24"/>
        </w:rPr>
        <w:t xml:space="preserve">staff </w:t>
      </w:r>
      <w:r w:rsidRPr="00467F4B">
        <w:rPr>
          <w:rFonts w:ascii="Palatino Linotype" w:hAnsi="Palatino Linotype"/>
          <w:b w:val="0"/>
          <w:szCs w:val="24"/>
        </w:rPr>
        <w:t>request</w:t>
      </w:r>
      <w:r>
        <w:rPr>
          <w:rFonts w:ascii="Palatino Linotype" w:hAnsi="Palatino Linotype"/>
          <w:b w:val="0"/>
          <w:szCs w:val="24"/>
        </w:rPr>
        <w:t>ed</w:t>
      </w:r>
      <w:r w:rsidRPr="00467F4B">
        <w:rPr>
          <w:rFonts w:ascii="Palatino Linotype" w:hAnsi="Palatino Linotype"/>
          <w:b w:val="0"/>
          <w:szCs w:val="24"/>
        </w:rPr>
        <w:t xml:space="preserve"> an explanation </w:t>
      </w:r>
      <w:r>
        <w:rPr>
          <w:rFonts w:ascii="Palatino Linotype" w:hAnsi="Palatino Linotype"/>
          <w:b w:val="0"/>
          <w:szCs w:val="24"/>
        </w:rPr>
        <w:t>for AT&amp;T Mobility’s failure to</w:t>
      </w:r>
      <w:r w:rsidRPr="00467F4B">
        <w:rPr>
          <w:rFonts w:ascii="Palatino Linotype" w:hAnsi="Palatino Linotype"/>
          <w:b w:val="0"/>
          <w:szCs w:val="24"/>
        </w:rPr>
        <w:t xml:space="preserve"> address the outstanding amounts owed identified in the </w:t>
      </w:r>
      <w:r>
        <w:rPr>
          <w:rFonts w:ascii="Palatino Linotype" w:hAnsi="Palatino Linotype"/>
          <w:b w:val="0"/>
          <w:szCs w:val="24"/>
        </w:rPr>
        <w:t xml:space="preserve">CD </w:t>
      </w:r>
      <w:r w:rsidRPr="00467F4B">
        <w:rPr>
          <w:rFonts w:ascii="Palatino Linotype" w:hAnsi="Palatino Linotype"/>
          <w:b w:val="0"/>
          <w:szCs w:val="24"/>
        </w:rPr>
        <w:t xml:space="preserve">June 2018 letter issued. On December 4, 2020, AT&amp;T </w:t>
      </w:r>
      <w:r>
        <w:rPr>
          <w:rFonts w:ascii="Palatino Linotype" w:hAnsi="Palatino Linotype"/>
          <w:b w:val="0"/>
          <w:szCs w:val="24"/>
        </w:rPr>
        <w:t>M</w:t>
      </w:r>
      <w:r w:rsidRPr="00467F4B">
        <w:rPr>
          <w:rFonts w:ascii="Palatino Linotype" w:hAnsi="Palatino Linotype"/>
          <w:b w:val="0"/>
          <w:szCs w:val="24"/>
        </w:rPr>
        <w:t>obility provided its response to CD’s data request but did not provide an explanation for its failure to address the outstanding amounts owed of accrued interest. On December 23, 2020,</w:t>
      </w:r>
      <w:r>
        <w:rPr>
          <w:rFonts w:ascii="Palatino Linotype" w:hAnsi="Palatino Linotype"/>
          <w:b w:val="0"/>
          <w:szCs w:val="24"/>
        </w:rPr>
        <w:t xml:space="preserve"> staff issued</w:t>
      </w:r>
      <w:r w:rsidRPr="00467F4B">
        <w:rPr>
          <w:rFonts w:ascii="Palatino Linotype" w:hAnsi="Palatino Linotype"/>
          <w:b w:val="0"/>
          <w:szCs w:val="24"/>
        </w:rPr>
        <w:t xml:space="preserve"> a second data request to AT&amp;T </w:t>
      </w:r>
      <w:r>
        <w:rPr>
          <w:rFonts w:ascii="Palatino Linotype" w:hAnsi="Palatino Linotype"/>
          <w:b w:val="0"/>
          <w:szCs w:val="24"/>
        </w:rPr>
        <w:t>M</w:t>
      </w:r>
      <w:r w:rsidRPr="00467F4B">
        <w:rPr>
          <w:rFonts w:ascii="Palatino Linotype" w:hAnsi="Palatino Linotype"/>
          <w:b w:val="0"/>
          <w:szCs w:val="24"/>
        </w:rPr>
        <w:t>obility seeking additional information and</w:t>
      </w:r>
      <w:r>
        <w:rPr>
          <w:rFonts w:ascii="Palatino Linotype" w:hAnsi="Palatino Linotype"/>
          <w:b w:val="0"/>
          <w:szCs w:val="24"/>
        </w:rPr>
        <w:t xml:space="preserve"> again </w:t>
      </w:r>
      <w:r>
        <w:rPr>
          <w:rFonts w:ascii="Palatino Linotype" w:hAnsi="Palatino Linotype"/>
          <w:b w:val="0"/>
          <w:szCs w:val="24"/>
        </w:rPr>
        <w:lastRenderedPageBreak/>
        <w:t>req</w:t>
      </w:r>
      <w:r w:rsidRPr="00467F4B">
        <w:rPr>
          <w:rFonts w:ascii="Palatino Linotype" w:hAnsi="Palatino Linotype"/>
          <w:b w:val="0"/>
          <w:szCs w:val="24"/>
        </w:rPr>
        <w:t xml:space="preserve">uesting an explanation </w:t>
      </w:r>
      <w:r>
        <w:rPr>
          <w:rFonts w:ascii="Palatino Linotype" w:hAnsi="Palatino Linotype"/>
          <w:b w:val="0"/>
          <w:szCs w:val="24"/>
        </w:rPr>
        <w:t xml:space="preserve">as to </w:t>
      </w:r>
      <w:r w:rsidRPr="00467F4B">
        <w:rPr>
          <w:rFonts w:ascii="Palatino Linotype" w:hAnsi="Palatino Linotype"/>
          <w:b w:val="0"/>
          <w:szCs w:val="24"/>
        </w:rPr>
        <w:t xml:space="preserve">why </w:t>
      </w:r>
      <w:r>
        <w:rPr>
          <w:rFonts w:ascii="Palatino Linotype" w:hAnsi="Palatino Linotype"/>
          <w:b w:val="0"/>
          <w:szCs w:val="24"/>
        </w:rPr>
        <w:t>AT&amp;T Mobility</w:t>
      </w:r>
      <w:r w:rsidRPr="00467F4B">
        <w:rPr>
          <w:rFonts w:ascii="Palatino Linotype" w:hAnsi="Palatino Linotype"/>
          <w:b w:val="0"/>
          <w:szCs w:val="24"/>
        </w:rPr>
        <w:t xml:space="preserve"> did not address the outstanding amounts owed identified in the June 2018 letter. On January 25, 2021, AT&amp;T Mobility provided a response to the data request and identified that it should not be required to pay the accrued interest and stated the following “</w:t>
      </w:r>
      <w:r>
        <w:rPr>
          <w:rFonts w:ascii="Palatino Linotype" w:hAnsi="Palatino Linotype"/>
          <w:b w:val="0"/>
          <w:szCs w:val="24"/>
        </w:rPr>
        <w:t>…</w:t>
      </w:r>
      <w:r w:rsidRPr="00467F4B">
        <w:rPr>
          <w:rFonts w:ascii="Palatino Linotype" w:hAnsi="Palatino Linotype"/>
          <w:b w:val="0"/>
          <w:szCs w:val="24"/>
        </w:rPr>
        <w:t xml:space="preserve"> there is no Commission order that authorizes a 10% interest penalty for late-paid CASF surcharge remittances…”.</w:t>
      </w:r>
    </w:p>
    <w:p w:rsidR="00A35564" w:rsidP="00932789" w:rsidRDefault="00A35564" w14:paraId="15F504D3" w14:textId="77777777">
      <w:pPr>
        <w:pStyle w:val="Title"/>
        <w:keepNext/>
        <w:jc w:val="left"/>
        <w:rPr>
          <w:rFonts w:ascii="Palatino Linotype" w:hAnsi="Palatino Linotype"/>
          <w:b w:val="0"/>
          <w:szCs w:val="24"/>
          <w:u w:val="single"/>
        </w:rPr>
      </w:pPr>
    </w:p>
    <w:p w:rsidRPr="00467F4B" w:rsidR="00932789" w:rsidP="00932789" w:rsidRDefault="00932789" w14:paraId="3968974F" w14:textId="10047479">
      <w:pPr>
        <w:pStyle w:val="Title"/>
        <w:keepNext/>
        <w:jc w:val="left"/>
        <w:rPr>
          <w:rFonts w:ascii="Palatino Linotype" w:hAnsi="Palatino Linotype"/>
          <w:b w:val="0"/>
          <w:szCs w:val="24"/>
          <w:u w:val="single"/>
        </w:rPr>
      </w:pPr>
      <w:r w:rsidRPr="00467F4B">
        <w:rPr>
          <w:rFonts w:ascii="Palatino Linotype" w:hAnsi="Palatino Linotype"/>
          <w:b w:val="0"/>
          <w:szCs w:val="24"/>
          <w:u w:val="single"/>
        </w:rPr>
        <w:t>Issuance and Withdrawal of Draft Resolution T-17553</w:t>
      </w:r>
    </w:p>
    <w:p w:rsidRPr="00467F4B" w:rsidR="00932789" w:rsidP="00932789" w:rsidRDefault="00932789" w14:paraId="7C8176C8" w14:textId="77777777">
      <w:pPr>
        <w:pStyle w:val="Title"/>
        <w:keepNext/>
        <w:jc w:val="left"/>
        <w:rPr>
          <w:rFonts w:ascii="Palatino Linotype" w:hAnsi="Palatino Linotype"/>
          <w:b w:val="0"/>
          <w:szCs w:val="24"/>
          <w:u w:val="single"/>
        </w:rPr>
      </w:pPr>
    </w:p>
    <w:p w:rsidRPr="00467F4B" w:rsidR="00932789" w:rsidP="00932789" w:rsidRDefault="00932789" w14:paraId="0DB6C2A2" w14:textId="77777777">
      <w:pPr>
        <w:pStyle w:val="Title"/>
        <w:keepNext/>
        <w:jc w:val="left"/>
        <w:rPr>
          <w:rFonts w:ascii="Palatino Linotype" w:hAnsi="Palatino Linotype"/>
          <w:b w:val="0"/>
          <w:bCs/>
          <w:szCs w:val="24"/>
        </w:rPr>
      </w:pPr>
      <w:r w:rsidRPr="00467F4B">
        <w:rPr>
          <w:rFonts w:ascii="Palatino Linotype" w:hAnsi="Palatino Linotype"/>
          <w:b w:val="0"/>
          <w:szCs w:val="24"/>
        </w:rPr>
        <w:t>On January 17, 2019, CD prepared and issued draft Resolution T-175</w:t>
      </w:r>
      <w:r>
        <w:rPr>
          <w:rFonts w:ascii="Palatino Linotype" w:hAnsi="Palatino Linotype"/>
          <w:b w:val="0"/>
          <w:szCs w:val="24"/>
        </w:rPr>
        <w:t>5</w:t>
      </w:r>
      <w:r w:rsidRPr="00467F4B">
        <w:rPr>
          <w:rFonts w:ascii="Palatino Linotype" w:hAnsi="Palatino Linotype"/>
          <w:b w:val="0"/>
          <w:szCs w:val="24"/>
        </w:rPr>
        <w:t xml:space="preserve">3 for public comment.  </w:t>
      </w:r>
      <w:r w:rsidRPr="00467F4B">
        <w:rPr>
          <w:rFonts w:ascii="Palatino Linotype" w:hAnsi="Palatino Linotype"/>
          <w:b w:val="0"/>
          <w:bCs/>
          <w:szCs w:val="24"/>
        </w:rPr>
        <w:t xml:space="preserve">On February 11, 2019, AT&amp;T Mobility filed comments to the draft Resolution. Due to </w:t>
      </w:r>
      <w:r>
        <w:rPr>
          <w:rFonts w:ascii="Palatino Linotype" w:hAnsi="Palatino Linotype"/>
          <w:b w:val="0"/>
          <w:bCs/>
          <w:szCs w:val="24"/>
        </w:rPr>
        <w:t>new</w:t>
      </w:r>
      <w:r w:rsidRPr="00467F4B">
        <w:rPr>
          <w:rFonts w:ascii="Palatino Linotype" w:hAnsi="Palatino Linotype"/>
          <w:b w:val="0"/>
          <w:bCs/>
          <w:szCs w:val="24"/>
        </w:rPr>
        <w:t xml:space="preserve"> issues that required additional review, the draft Resolution was ultimately withdrawn from the March 14, 2019 Commission meeting agenda.</w:t>
      </w:r>
    </w:p>
    <w:p w:rsidRPr="00467F4B" w:rsidR="00932789" w:rsidP="00932789" w:rsidRDefault="00932789" w14:paraId="37556A96" w14:textId="77777777">
      <w:pPr>
        <w:pStyle w:val="Title"/>
        <w:jc w:val="left"/>
        <w:rPr>
          <w:rFonts w:ascii="Palatino Linotype" w:hAnsi="Palatino Linotype"/>
          <w:b w:val="0"/>
          <w:bCs/>
          <w:szCs w:val="24"/>
        </w:rPr>
      </w:pPr>
    </w:p>
    <w:p w:rsidRPr="00467F4B" w:rsidR="00932789" w:rsidP="00932789" w:rsidRDefault="00932789" w14:paraId="62E6DCFF" w14:textId="77777777">
      <w:pPr>
        <w:pStyle w:val="Title"/>
        <w:keepNext/>
        <w:jc w:val="left"/>
        <w:rPr>
          <w:rFonts w:ascii="Palatino Linotype" w:hAnsi="Palatino Linotype"/>
          <w:b w:val="0"/>
          <w:szCs w:val="24"/>
          <w:u w:val="single"/>
        </w:rPr>
      </w:pPr>
      <w:r w:rsidRPr="00467F4B">
        <w:rPr>
          <w:rFonts w:ascii="Palatino Linotype" w:hAnsi="Palatino Linotype"/>
          <w:b w:val="0"/>
          <w:szCs w:val="24"/>
          <w:u w:val="single"/>
        </w:rPr>
        <w:t>CPUC Internal Audit Review</w:t>
      </w:r>
    </w:p>
    <w:p w:rsidRPr="00467F4B" w:rsidR="00932789" w:rsidP="00932789" w:rsidRDefault="00932789" w14:paraId="4DB9210A" w14:textId="77777777">
      <w:pPr>
        <w:pStyle w:val="Title"/>
        <w:keepNext/>
        <w:jc w:val="left"/>
        <w:rPr>
          <w:rFonts w:ascii="Palatino Linotype" w:hAnsi="Palatino Linotype"/>
          <w:b w:val="0"/>
          <w:szCs w:val="24"/>
        </w:rPr>
      </w:pPr>
    </w:p>
    <w:p w:rsidRPr="00467F4B" w:rsidR="00932789" w:rsidP="00932789" w:rsidRDefault="00932789" w14:paraId="523566E1" w14:textId="77777777">
      <w:pPr>
        <w:pStyle w:val="Title"/>
        <w:keepNext/>
        <w:jc w:val="left"/>
        <w:rPr>
          <w:rFonts w:ascii="Palatino Linotype" w:hAnsi="Palatino Linotype"/>
          <w:b w:val="0"/>
          <w:szCs w:val="24"/>
        </w:rPr>
      </w:pPr>
      <w:r w:rsidRPr="00467F4B">
        <w:rPr>
          <w:rFonts w:ascii="Palatino Linotype" w:hAnsi="Palatino Linotype"/>
          <w:b w:val="0"/>
          <w:szCs w:val="24"/>
        </w:rPr>
        <w:t>Shortly after withdrawal of the draft Resolution T-175</w:t>
      </w:r>
      <w:r>
        <w:rPr>
          <w:rFonts w:ascii="Palatino Linotype" w:hAnsi="Palatino Linotype"/>
          <w:b w:val="0"/>
          <w:szCs w:val="24"/>
        </w:rPr>
        <w:t>5</w:t>
      </w:r>
      <w:r w:rsidRPr="00467F4B">
        <w:rPr>
          <w:rFonts w:ascii="Palatino Linotype" w:hAnsi="Palatino Linotype"/>
          <w:b w:val="0"/>
          <w:szCs w:val="24"/>
        </w:rPr>
        <w:t xml:space="preserve">3, CD requested </w:t>
      </w:r>
      <w:r>
        <w:rPr>
          <w:rFonts w:ascii="Palatino Linotype" w:hAnsi="Palatino Linotype"/>
          <w:b w:val="0"/>
          <w:szCs w:val="24"/>
        </w:rPr>
        <w:t xml:space="preserve">that </w:t>
      </w:r>
      <w:r w:rsidRPr="00467F4B">
        <w:rPr>
          <w:rFonts w:ascii="Palatino Linotype" w:hAnsi="Palatino Linotype"/>
          <w:b w:val="0"/>
          <w:szCs w:val="24"/>
        </w:rPr>
        <w:t xml:space="preserve">the Commission’s Utility Audit Branch (UAB) conduct a review of the surcharges and user fees refund requested by AT&amp;T Mobility. The results of the internal audit review were inconclusive and </w:t>
      </w:r>
      <w:r>
        <w:rPr>
          <w:rFonts w:ascii="Palatino Linotype" w:hAnsi="Palatino Linotype"/>
          <w:b w:val="0"/>
          <w:szCs w:val="24"/>
        </w:rPr>
        <w:t>were</w:t>
      </w:r>
      <w:r w:rsidRPr="00467F4B">
        <w:rPr>
          <w:rFonts w:ascii="Palatino Linotype" w:hAnsi="Palatino Linotype"/>
          <w:b w:val="0"/>
          <w:szCs w:val="24"/>
        </w:rPr>
        <w:t xml:space="preserve"> not taken into account in </w:t>
      </w:r>
      <w:r>
        <w:rPr>
          <w:rFonts w:ascii="Palatino Linotype" w:hAnsi="Palatino Linotype"/>
          <w:b w:val="0"/>
          <w:szCs w:val="24"/>
        </w:rPr>
        <w:t>s</w:t>
      </w:r>
      <w:r w:rsidRPr="00467F4B">
        <w:rPr>
          <w:rFonts w:ascii="Palatino Linotype" w:hAnsi="Palatino Linotype"/>
          <w:b w:val="0"/>
          <w:szCs w:val="24"/>
        </w:rPr>
        <w:t>taff’s recommendation</w:t>
      </w:r>
      <w:r>
        <w:rPr>
          <w:rFonts w:ascii="Palatino Linotype" w:hAnsi="Palatino Linotype"/>
          <w:b w:val="0"/>
          <w:szCs w:val="24"/>
        </w:rPr>
        <w:t>s</w:t>
      </w:r>
      <w:r w:rsidRPr="00467F4B">
        <w:rPr>
          <w:rFonts w:ascii="Palatino Linotype" w:hAnsi="Palatino Linotype"/>
          <w:b w:val="0"/>
          <w:szCs w:val="24"/>
        </w:rPr>
        <w:t xml:space="preserve"> </w:t>
      </w:r>
      <w:r>
        <w:rPr>
          <w:rFonts w:ascii="Palatino Linotype" w:hAnsi="Palatino Linotype"/>
          <w:b w:val="0"/>
          <w:szCs w:val="24"/>
        </w:rPr>
        <w:t>in this Resolution</w:t>
      </w:r>
      <w:r w:rsidRPr="00467F4B">
        <w:rPr>
          <w:rFonts w:ascii="Palatino Linotype" w:hAnsi="Palatino Linotype"/>
          <w:b w:val="0"/>
          <w:szCs w:val="24"/>
        </w:rPr>
        <w:t xml:space="preserve">. </w:t>
      </w:r>
    </w:p>
    <w:p w:rsidRPr="00467F4B" w:rsidR="00932789" w:rsidP="00932789" w:rsidRDefault="00932789" w14:paraId="65B8B54E" w14:textId="77777777">
      <w:pPr>
        <w:pStyle w:val="Title"/>
        <w:jc w:val="left"/>
        <w:rPr>
          <w:rFonts w:ascii="Palatino Linotype" w:hAnsi="Palatino Linotype"/>
          <w:b w:val="0"/>
          <w:szCs w:val="24"/>
        </w:rPr>
      </w:pPr>
    </w:p>
    <w:p w:rsidRPr="00467F4B" w:rsidR="00932789" w:rsidP="00932789" w:rsidRDefault="00932789" w14:paraId="7A105CEE" w14:textId="77777777">
      <w:pPr>
        <w:pStyle w:val="Title"/>
        <w:jc w:val="left"/>
        <w:rPr>
          <w:rFonts w:ascii="Palatino Linotype" w:hAnsi="Palatino Linotype"/>
          <w:szCs w:val="24"/>
        </w:rPr>
      </w:pPr>
      <w:r w:rsidRPr="00467F4B">
        <w:rPr>
          <w:rFonts w:ascii="Palatino Linotype" w:hAnsi="Palatino Linotype"/>
          <w:szCs w:val="24"/>
        </w:rPr>
        <w:t>DISCUSSION</w:t>
      </w:r>
    </w:p>
    <w:p w:rsidRPr="00467F4B" w:rsidR="00932789" w:rsidP="00932789" w:rsidRDefault="00932789" w14:paraId="60CA105E" w14:textId="77777777">
      <w:pPr>
        <w:rPr>
          <w:rFonts w:ascii="Palatino Linotype" w:hAnsi="Palatino Linotype"/>
        </w:rPr>
      </w:pPr>
    </w:p>
    <w:p w:rsidRPr="00467F4B" w:rsidR="00932789" w:rsidP="00932789" w:rsidRDefault="00932789" w14:paraId="42E2D45E" w14:textId="77777777">
      <w:pPr>
        <w:rPr>
          <w:rFonts w:ascii="Palatino Linotype" w:hAnsi="Palatino Linotype"/>
        </w:rPr>
      </w:pPr>
      <w:r w:rsidRPr="00467F4B">
        <w:rPr>
          <w:rFonts w:ascii="Palatino Linotype" w:hAnsi="Palatino Linotype"/>
        </w:rPr>
        <w:t xml:space="preserve">In its respective </w:t>
      </w:r>
      <w:r>
        <w:rPr>
          <w:rFonts w:ascii="Palatino Linotype" w:hAnsi="Palatino Linotype"/>
        </w:rPr>
        <w:t>ALs</w:t>
      </w:r>
      <w:r w:rsidRPr="00467F4B">
        <w:rPr>
          <w:rFonts w:ascii="Palatino Linotype" w:hAnsi="Palatino Linotype"/>
        </w:rPr>
        <w:t>, AT&amp;T Mobility claim</w:t>
      </w:r>
      <w:r>
        <w:rPr>
          <w:rFonts w:ascii="Palatino Linotype" w:hAnsi="Palatino Linotype"/>
        </w:rPr>
        <w:t>ed</w:t>
      </w:r>
      <w:r w:rsidRPr="00467F4B">
        <w:rPr>
          <w:rFonts w:ascii="Palatino Linotype" w:hAnsi="Palatino Linotype"/>
        </w:rPr>
        <w:t xml:space="preserve"> that, in reporting intrastate revenues to the Commission from January 1, 2013 through September 30, 2015, it erroneously included intrastate prepaid wireless data service revenue, which is not subject to surcharges or the user </w:t>
      </w:r>
      <w:r>
        <w:rPr>
          <w:rFonts w:ascii="Palatino Linotype" w:hAnsi="Palatino Linotype"/>
        </w:rPr>
        <w:t>f</w:t>
      </w:r>
      <w:r w:rsidRPr="00467F4B">
        <w:rPr>
          <w:rFonts w:ascii="Palatino Linotype" w:hAnsi="Palatino Linotype"/>
        </w:rPr>
        <w:t>ee.  AT&amp;T Mobility assert</w:t>
      </w:r>
      <w:r>
        <w:rPr>
          <w:rFonts w:ascii="Palatino Linotype" w:hAnsi="Palatino Linotype"/>
        </w:rPr>
        <w:t>ed</w:t>
      </w:r>
      <w:r w:rsidRPr="00467F4B">
        <w:rPr>
          <w:rFonts w:ascii="Palatino Linotype" w:hAnsi="Palatino Linotype"/>
        </w:rPr>
        <w:t xml:space="preserve"> that the inadvertent overstatement of revenues resulted in overpayments for the periods identified.</w:t>
      </w:r>
    </w:p>
    <w:p w:rsidRPr="00467F4B" w:rsidR="00932789" w:rsidP="00932789" w:rsidRDefault="00932789" w14:paraId="12F9FB69" w14:textId="77777777">
      <w:pPr>
        <w:rPr>
          <w:rFonts w:ascii="Palatino Linotype" w:hAnsi="Palatino Linotype"/>
        </w:rPr>
      </w:pPr>
    </w:p>
    <w:p w:rsidRPr="00467F4B" w:rsidR="00932789" w:rsidP="00932789" w:rsidRDefault="00932789" w14:paraId="1B2E95C8" w14:textId="77777777">
      <w:pPr>
        <w:rPr>
          <w:rFonts w:ascii="Palatino Linotype" w:hAnsi="Palatino Linotype"/>
          <w:b/>
        </w:rPr>
      </w:pPr>
      <w:r w:rsidRPr="00467F4B">
        <w:rPr>
          <w:rFonts w:ascii="Palatino Linotype" w:hAnsi="Palatino Linotype"/>
        </w:rPr>
        <w:t xml:space="preserve">The total amounts requested by AT&amp;T Mobility companies to be refunded are summarized in Table </w:t>
      </w:r>
      <w:r>
        <w:rPr>
          <w:rFonts w:ascii="Palatino Linotype" w:hAnsi="Palatino Linotype"/>
        </w:rPr>
        <w:t>2</w:t>
      </w:r>
      <w:r w:rsidRPr="00467F4B">
        <w:rPr>
          <w:rFonts w:ascii="Palatino Linotype" w:hAnsi="Palatino Linotype"/>
        </w:rPr>
        <w:t xml:space="preserve"> and Table </w:t>
      </w:r>
      <w:r>
        <w:rPr>
          <w:rFonts w:ascii="Palatino Linotype" w:hAnsi="Palatino Linotype"/>
        </w:rPr>
        <w:t>3</w:t>
      </w:r>
      <w:r w:rsidRPr="00467F4B">
        <w:rPr>
          <w:rFonts w:ascii="Palatino Linotype" w:hAnsi="Palatino Linotype"/>
        </w:rPr>
        <w:t>.</w:t>
      </w:r>
    </w:p>
    <w:p w:rsidRPr="00467F4B" w:rsidR="00932789" w:rsidP="00932789" w:rsidRDefault="00932789" w14:paraId="6534DAB1" w14:textId="77777777">
      <w:pPr>
        <w:rPr>
          <w:rFonts w:ascii="Palatino Linotype" w:hAnsi="Palatino Linotype"/>
          <w:b/>
        </w:rPr>
      </w:pPr>
    </w:p>
    <w:p w:rsidRPr="00467F4B" w:rsidR="00932789" w:rsidP="00932789" w:rsidRDefault="00932789" w14:paraId="37B6AB9E" w14:textId="77777777">
      <w:pPr>
        <w:rPr>
          <w:rFonts w:ascii="Palatino Linotype" w:hAnsi="Palatino Linotype"/>
          <w:b/>
        </w:rPr>
      </w:pPr>
      <w:r w:rsidRPr="00467F4B">
        <w:rPr>
          <w:rFonts w:ascii="Palatino Linotype" w:hAnsi="Palatino Linotype"/>
          <w:b/>
        </w:rPr>
        <w:t xml:space="preserve">Table </w:t>
      </w:r>
      <w:r>
        <w:rPr>
          <w:rFonts w:ascii="Palatino Linotype" w:hAnsi="Palatino Linotype"/>
          <w:b/>
        </w:rPr>
        <w:t>2</w:t>
      </w:r>
      <w:r w:rsidRPr="00467F4B">
        <w:rPr>
          <w:rFonts w:ascii="Palatino Linotype" w:hAnsi="Palatino Linotype"/>
          <w:b/>
        </w:rPr>
        <w:t xml:space="preserve">: AT&amp;T Mobility Requested Refund Amounts </w:t>
      </w:r>
      <w:r>
        <w:rPr>
          <w:rFonts w:ascii="Palatino Linotype" w:hAnsi="Palatino Linotype"/>
          <w:b/>
        </w:rPr>
        <w:t>(</w:t>
      </w:r>
      <w:r w:rsidRPr="00467F4B">
        <w:rPr>
          <w:rFonts w:ascii="Palatino Linotype" w:hAnsi="Palatino Linotype"/>
          <w:b/>
        </w:rPr>
        <w:t>Advice Letters</w:t>
      </w:r>
      <w:r>
        <w:rPr>
          <w:rFonts w:ascii="Palatino Linotype" w:hAnsi="Palatino Linotype"/>
          <w:b/>
        </w:rPr>
        <w:t>)</w:t>
      </w:r>
    </w:p>
    <w:tbl>
      <w:tblPr>
        <w:tblStyle w:val="TableGrid"/>
        <w:tblW w:w="9654" w:type="dxa"/>
        <w:jc w:val="center"/>
        <w:tblLook w:val="04A0" w:firstRow="1" w:lastRow="0" w:firstColumn="1" w:lastColumn="0" w:noHBand="0" w:noVBand="1"/>
      </w:tblPr>
      <w:tblGrid>
        <w:gridCol w:w="5424"/>
        <w:gridCol w:w="1440"/>
        <w:gridCol w:w="1350"/>
        <w:gridCol w:w="1440"/>
      </w:tblGrid>
      <w:tr w:rsidRPr="00467F4B" w:rsidR="00932789" w:rsidTr="00A07617" w14:paraId="1342F66B" w14:textId="77777777">
        <w:trPr>
          <w:jc w:val="center"/>
        </w:trPr>
        <w:tc>
          <w:tcPr>
            <w:tcW w:w="5424" w:type="dxa"/>
          </w:tcPr>
          <w:p w:rsidRPr="00467F4B" w:rsidR="00932789" w:rsidP="00A07617" w:rsidRDefault="00932789" w14:paraId="75E294C7" w14:textId="77777777">
            <w:pPr>
              <w:jc w:val="center"/>
              <w:rPr>
                <w:rFonts w:ascii="Palatino Linotype" w:hAnsi="Palatino Linotype"/>
                <w:b/>
              </w:rPr>
            </w:pPr>
            <w:r w:rsidRPr="00467F4B">
              <w:rPr>
                <w:rFonts w:ascii="Palatino Linotype" w:hAnsi="Palatino Linotype"/>
                <w:b/>
              </w:rPr>
              <w:t>Carrier</w:t>
            </w:r>
          </w:p>
        </w:tc>
        <w:tc>
          <w:tcPr>
            <w:tcW w:w="1440" w:type="dxa"/>
          </w:tcPr>
          <w:p w:rsidRPr="00467F4B" w:rsidR="00932789" w:rsidP="00A07617" w:rsidRDefault="00932789" w14:paraId="107281F8" w14:textId="77777777">
            <w:pPr>
              <w:jc w:val="center"/>
              <w:rPr>
                <w:rFonts w:ascii="Palatino Linotype" w:hAnsi="Palatino Linotype"/>
                <w:b/>
              </w:rPr>
            </w:pPr>
            <w:r w:rsidRPr="00467F4B">
              <w:rPr>
                <w:rFonts w:ascii="Palatino Linotype" w:hAnsi="Palatino Linotype"/>
                <w:b/>
              </w:rPr>
              <w:t>Surcharges</w:t>
            </w:r>
          </w:p>
        </w:tc>
        <w:tc>
          <w:tcPr>
            <w:tcW w:w="1350" w:type="dxa"/>
          </w:tcPr>
          <w:p w:rsidRPr="00467F4B" w:rsidR="00932789" w:rsidP="00A07617" w:rsidRDefault="00932789" w14:paraId="13F0BB52" w14:textId="77777777">
            <w:pPr>
              <w:jc w:val="center"/>
              <w:rPr>
                <w:rFonts w:ascii="Palatino Linotype" w:hAnsi="Palatino Linotype"/>
                <w:b/>
              </w:rPr>
            </w:pPr>
            <w:r w:rsidRPr="00467F4B">
              <w:rPr>
                <w:rFonts w:ascii="Palatino Linotype" w:hAnsi="Palatino Linotype"/>
                <w:b/>
              </w:rPr>
              <w:t>User Fees</w:t>
            </w:r>
          </w:p>
        </w:tc>
        <w:tc>
          <w:tcPr>
            <w:tcW w:w="1440" w:type="dxa"/>
          </w:tcPr>
          <w:p w:rsidRPr="00467F4B" w:rsidR="00932789" w:rsidP="00A07617" w:rsidRDefault="00932789" w14:paraId="154F036C" w14:textId="77777777">
            <w:pPr>
              <w:jc w:val="center"/>
              <w:rPr>
                <w:rFonts w:ascii="Palatino Linotype" w:hAnsi="Palatino Linotype"/>
                <w:b/>
              </w:rPr>
            </w:pPr>
            <w:r w:rsidRPr="00467F4B">
              <w:rPr>
                <w:rFonts w:ascii="Palatino Linotype" w:hAnsi="Palatino Linotype"/>
                <w:b/>
              </w:rPr>
              <w:t>Total</w:t>
            </w:r>
          </w:p>
        </w:tc>
      </w:tr>
      <w:tr w:rsidRPr="00467F4B" w:rsidR="00932789" w:rsidTr="00A07617" w14:paraId="5FDF4A9D" w14:textId="77777777">
        <w:trPr>
          <w:jc w:val="center"/>
        </w:trPr>
        <w:tc>
          <w:tcPr>
            <w:tcW w:w="5424" w:type="dxa"/>
          </w:tcPr>
          <w:p w:rsidRPr="00467F4B" w:rsidR="00932789" w:rsidP="00A07617" w:rsidRDefault="00932789" w14:paraId="0AF4127C" w14:textId="77777777">
            <w:pPr>
              <w:jc w:val="center"/>
              <w:rPr>
                <w:rFonts w:ascii="Palatino Linotype" w:hAnsi="Palatino Linotype"/>
                <w:bCs/>
              </w:rPr>
            </w:pPr>
            <w:r w:rsidRPr="00467F4B">
              <w:rPr>
                <w:rFonts w:ascii="Palatino Linotype" w:hAnsi="Palatino Linotype"/>
                <w:bCs/>
              </w:rPr>
              <w:t>Santa Barbara Cellular (U-3015-C)</w:t>
            </w:r>
            <w:r>
              <w:rPr>
                <w:rFonts w:ascii="Palatino Linotype" w:hAnsi="Palatino Linotype"/>
                <w:bCs/>
              </w:rPr>
              <w:t xml:space="preserve"> AL No. 166</w:t>
            </w:r>
          </w:p>
        </w:tc>
        <w:tc>
          <w:tcPr>
            <w:tcW w:w="1440" w:type="dxa"/>
          </w:tcPr>
          <w:p w:rsidRPr="00467F4B" w:rsidR="00932789" w:rsidP="00A07617" w:rsidRDefault="00932789" w14:paraId="5075C795" w14:textId="77777777">
            <w:pPr>
              <w:jc w:val="right"/>
              <w:rPr>
                <w:rFonts w:ascii="Palatino Linotype" w:hAnsi="Palatino Linotype"/>
                <w:bCs/>
              </w:rPr>
            </w:pPr>
            <w:r w:rsidRPr="00467F4B">
              <w:rPr>
                <w:rFonts w:ascii="Palatino Linotype" w:hAnsi="Palatino Linotype"/>
                <w:bCs/>
              </w:rPr>
              <w:t>$ 34,535</w:t>
            </w:r>
          </w:p>
        </w:tc>
        <w:tc>
          <w:tcPr>
            <w:tcW w:w="1350" w:type="dxa"/>
          </w:tcPr>
          <w:p w:rsidRPr="00467F4B" w:rsidR="00932789" w:rsidP="00A07617" w:rsidRDefault="00932789" w14:paraId="5176833B" w14:textId="77777777">
            <w:pPr>
              <w:jc w:val="right"/>
              <w:rPr>
                <w:rFonts w:ascii="Palatino Linotype" w:hAnsi="Palatino Linotype"/>
                <w:bCs/>
              </w:rPr>
            </w:pPr>
            <w:r w:rsidRPr="00467F4B">
              <w:rPr>
                <w:rFonts w:ascii="Palatino Linotype" w:hAnsi="Palatino Linotype"/>
                <w:bCs/>
              </w:rPr>
              <w:t>$ 1,763</w:t>
            </w:r>
          </w:p>
        </w:tc>
        <w:tc>
          <w:tcPr>
            <w:tcW w:w="1440" w:type="dxa"/>
          </w:tcPr>
          <w:p w:rsidRPr="00467F4B" w:rsidR="00932789" w:rsidP="00A07617" w:rsidRDefault="00932789" w14:paraId="4A95620C" w14:textId="77777777">
            <w:pPr>
              <w:jc w:val="right"/>
              <w:rPr>
                <w:rFonts w:ascii="Palatino Linotype" w:hAnsi="Palatino Linotype"/>
                <w:bCs/>
              </w:rPr>
            </w:pPr>
            <w:r w:rsidRPr="00467F4B">
              <w:rPr>
                <w:rFonts w:ascii="Palatino Linotype" w:hAnsi="Palatino Linotype"/>
                <w:bCs/>
              </w:rPr>
              <w:t>$ 36,298</w:t>
            </w:r>
          </w:p>
        </w:tc>
      </w:tr>
      <w:tr w:rsidRPr="00467F4B" w:rsidR="00932789" w:rsidTr="00A07617" w14:paraId="77602C36" w14:textId="77777777">
        <w:trPr>
          <w:jc w:val="center"/>
        </w:trPr>
        <w:tc>
          <w:tcPr>
            <w:tcW w:w="5424" w:type="dxa"/>
          </w:tcPr>
          <w:p w:rsidRPr="00467F4B" w:rsidR="00932789" w:rsidP="00A07617" w:rsidRDefault="00932789" w14:paraId="143E443A" w14:textId="77777777">
            <w:pPr>
              <w:jc w:val="center"/>
              <w:rPr>
                <w:rFonts w:ascii="Palatino Linotype" w:hAnsi="Palatino Linotype"/>
                <w:bCs/>
              </w:rPr>
            </w:pPr>
            <w:r w:rsidRPr="00467F4B">
              <w:rPr>
                <w:rFonts w:ascii="Palatino Linotype" w:hAnsi="Palatino Linotype"/>
                <w:bCs/>
              </w:rPr>
              <w:t>AT&amp;T Mobility Wireless (U-3021-C)</w:t>
            </w:r>
            <w:r>
              <w:rPr>
                <w:rFonts w:ascii="Palatino Linotype" w:hAnsi="Palatino Linotype"/>
                <w:bCs/>
              </w:rPr>
              <w:t xml:space="preserve"> AL No. 161</w:t>
            </w:r>
          </w:p>
        </w:tc>
        <w:tc>
          <w:tcPr>
            <w:tcW w:w="1440" w:type="dxa"/>
          </w:tcPr>
          <w:p w:rsidRPr="00467F4B" w:rsidR="00932789" w:rsidP="00A07617" w:rsidRDefault="00932789" w14:paraId="33CC1AB8" w14:textId="77777777">
            <w:pPr>
              <w:jc w:val="right"/>
              <w:rPr>
                <w:rFonts w:ascii="Palatino Linotype" w:hAnsi="Palatino Linotype"/>
                <w:bCs/>
              </w:rPr>
            </w:pPr>
            <w:r w:rsidRPr="00467F4B">
              <w:rPr>
                <w:rFonts w:ascii="Palatino Linotype" w:hAnsi="Palatino Linotype"/>
                <w:bCs/>
              </w:rPr>
              <w:t>$ 26,549</w:t>
            </w:r>
          </w:p>
        </w:tc>
        <w:tc>
          <w:tcPr>
            <w:tcW w:w="1350" w:type="dxa"/>
          </w:tcPr>
          <w:p w:rsidRPr="00467F4B" w:rsidR="00932789" w:rsidP="00A07617" w:rsidRDefault="00932789" w14:paraId="3829E0C8" w14:textId="77777777">
            <w:pPr>
              <w:jc w:val="right"/>
              <w:rPr>
                <w:rFonts w:ascii="Palatino Linotype" w:hAnsi="Palatino Linotype"/>
                <w:bCs/>
              </w:rPr>
            </w:pPr>
            <w:r w:rsidRPr="00467F4B">
              <w:rPr>
                <w:rFonts w:ascii="Palatino Linotype" w:hAnsi="Palatino Linotype"/>
                <w:bCs/>
              </w:rPr>
              <w:t>$ 1,373</w:t>
            </w:r>
          </w:p>
        </w:tc>
        <w:tc>
          <w:tcPr>
            <w:tcW w:w="1440" w:type="dxa"/>
          </w:tcPr>
          <w:p w:rsidRPr="00467F4B" w:rsidR="00932789" w:rsidP="00A07617" w:rsidRDefault="00932789" w14:paraId="39A12DA0" w14:textId="77777777">
            <w:pPr>
              <w:jc w:val="right"/>
              <w:rPr>
                <w:rFonts w:ascii="Palatino Linotype" w:hAnsi="Palatino Linotype"/>
                <w:bCs/>
              </w:rPr>
            </w:pPr>
            <w:r w:rsidRPr="00467F4B">
              <w:rPr>
                <w:rFonts w:ascii="Palatino Linotype" w:hAnsi="Palatino Linotype"/>
                <w:bCs/>
              </w:rPr>
              <w:t>$ 27,922</w:t>
            </w:r>
          </w:p>
        </w:tc>
      </w:tr>
      <w:tr w:rsidRPr="00467F4B" w:rsidR="00932789" w:rsidTr="00A07617" w14:paraId="754E5C9B" w14:textId="77777777">
        <w:trPr>
          <w:jc w:val="center"/>
        </w:trPr>
        <w:tc>
          <w:tcPr>
            <w:tcW w:w="5424" w:type="dxa"/>
          </w:tcPr>
          <w:p w:rsidRPr="00467F4B" w:rsidR="00932789" w:rsidP="00A07617" w:rsidRDefault="00932789" w14:paraId="3F8D12B2" w14:textId="77777777">
            <w:pPr>
              <w:jc w:val="center"/>
              <w:rPr>
                <w:rFonts w:ascii="Palatino Linotype" w:hAnsi="Palatino Linotype"/>
                <w:bCs/>
              </w:rPr>
            </w:pPr>
            <w:r w:rsidRPr="00467F4B">
              <w:rPr>
                <w:rFonts w:ascii="Palatino Linotype" w:hAnsi="Palatino Linotype"/>
                <w:bCs/>
              </w:rPr>
              <w:t>New Cingular Wireless (U-3060-C)</w:t>
            </w:r>
            <w:r>
              <w:rPr>
                <w:rFonts w:ascii="Palatino Linotype" w:hAnsi="Palatino Linotype"/>
                <w:bCs/>
              </w:rPr>
              <w:t xml:space="preserve"> AL No. 8</w:t>
            </w:r>
          </w:p>
        </w:tc>
        <w:tc>
          <w:tcPr>
            <w:tcW w:w="1440" w:type="dxa"/>
          </w:tcPr>
          <w:p w:rsidRPr="00DB6661" w:rsidR="00932789" w:rsidP="00A07617" w:rsidRDefault="00932789" w14:paraId="221312E7" w14:textId="77777777">
            <w:pPr>
              <w:jc w:val="right"/>
              <w:rPr>
                <w:rFonts w:ascii="Palatino Linotype" w:hAnsi="Palatino Linotype"/>
                <w:bCs/>
                <w:u w:val="single"/>
              </w:rPr>
            </w:pPr>
            <w:r w:rsidRPr="00DB6661">
              <w:rPr>
                <w:rFonts w:ascii="Palatino Linotype" w:hAnsi="Palatino Linotype"/>
                <w:bCs/>
                <w:u w:val="single"/>
              </w:rPr>
              <w:t>$ 1,996,821</w:t>
            </w:r>
          </w:p>
        </w:tc>
        <w:tc>
          <w:tcPr>
            <w:tcW w:w="1350" w:type="dxa"/>
          </w:tcPr>
          <w:p w:rsidRPr="00DB6661" w:rsidR="00932789" w:rsidP="00A07617" w:rsidRDefault="00932789" w14:paraId="50C8F265" w14:textId="77777777">
            <w:pPr>
              <w:jc w:val="right"/>
              <w:rPr>
                <w:rFonts w:ascii="Palatino Linotype" w:hAnsi="Palatino Linotype"/>
                <w:bCs/>
                <w:u w:val="single"/>
              </w:rPr>
            </w:pPr>
            <w:r w:rsidRPr="00DB6661">
              <w:rPr>
                <w:rFonts w:ascii="Palatino Linotype" w:hAnsi="Palatino Linotype"/>
                <w:bCs/>
                <w:u w:val="single"/>
              </w:rPr>
              <w:t>$ 103,444</w:t>
            </w:r>
          </w:p>
        </w:tc>
        <w:tc>
          <w:tcPr>
            <w:tcW w:w="1440" w:type="dxa"/>
          </w:tcPr>
          <w:p w:rsidRPr="00DB6661" w:rsidR="00932789" w:rsidP="00A07617" w:rsidRDefault="00932789" w14:paraId="4807FBA9" w14:textId="77777777">
            <w:pPr>
              <w:jc w:val="right"/>
              <w:rPr>
                <w:rFonts w:ascii="Palatino Linotype" w:hAnsi="Palatino Linotype"/>
                <w:bCs/>
                <w:u w:val="single"/>
              </w:rPr>
            </w:pPr>
            <w:r w:rsidRPr="00DB6661">
              <w:rPr>
                <w:rFonts w:ascii="Palatino Linotype" w:hAnsi="Palatino Linotype"/>
                <w:bCs/>
                <w:u w:val="single"/>
              </w:rPr>
              <w:t>$ 2,100,265</w:t>
            </w:r>
          </w:p>
        </w:tc>
      </w:tr>
      <w:tr w:rsidRPr="00467F4B" w:rsidR="00932789" w:rsidTr="00A07617" w14:paraId="5CBCC707" w14:textId="77777777">
        <w:trPr>
          <w:jc w:val="center"/>
        </w:trPr>
        <w:tc>
          <w:tcPr>
            <w:tcW w:w="5424" w:type="dxa"/>
          </w:tcPr>
          <w:p w:rsidRPr="00467F4B" w:rsidR="00932789" w:rsidP="00A07617" w:rsidRDefault="00932789" w14:paraId="5A439AD2" w14:textId="77777777">
            <w:pPr>
              <w:jc w:val="center"/>
              <w:rPr>
                <w:rFonts w:ascii="Palatino Linotype" w:hAnsi="Palatino Linotype"/>
                <w:b/>
              </w:rPr>
            </w:pPr>
            <w:r w:rsidRPr="00467F4B">
              <w:rPr>
                <w:rFonts w:ascii="Palatino Linotype" w:hAnsi="Palatino Linotype"/>
                <w:b/>
              </w:rPr>
              <w:t>Total</w:t>
            </w:r>
          </w:p>
        </w:tc>
        <w:tc>
          <w:tcPr>
            <w:tcW w:w="1440" w:type="dxa"/>
          </w:tcPr>
          <w:p w:rsidRPr="00467F4B" w:rsidR="00932789" w:rsidP="00A07617" w:rsidRDefault="00932789" w14:paraId="6E975582" w14:textId="77777777">
            <w:pPr>
              <w:jc w:val="right"/>
              <w:rPr>
                <w:rFonts w:ascii="Palatino Linotype" w:hAnsi="Palatino Linotype"/>
                <w:b/>
              </w:rPr>
            </w:pPr>
            <w:r w:rsidRPr="00467F4B">
              <w:rPr>
                <w:rFonts w:ascii="Palatino Linotype" w:hAnsi="Palatino Linotype"/>
                <w:b/>
              </w:rPr>
              <w:t>$ 2,057,905</w:t>
            </w:r>
          </w:p>
        </w:tc>
        <w:tc>
          <w:tcPr>
            <w:tcW w:w="1350" w:type="dxa"/>
          </w:tcPr>
          <w:p w:rsidRPr="00467F4B" w:rsidR="00932789" w:rsidP="00A07617" w:rsidRDefault="00932789" w14:paraId="3EB859A8" w14:textId="77777777">
            <w:pPr>
              <w:jc w:val="right"/>
              <w:rPr>
                <w:rFonts w:ascii="Palatino Linotype" w:hAnsi="Palatino Linotype"/>
                <w:b/>
              </w:rPr>
            </w:pPr>
            <w:r w:rsidRPr="00467F4B">
              <w:rPr>
                <w:rFonts w:ascii="Palatino Linotype" w:hAnsi="Palatino Linotype"/>
                <w:b/>
              </w:rPr>
              <w:t>$ 106,580</w:t>
            </w:r>
          </w:p>
        </w:tc>
        <w:tc>
          <w:tcPr>
            <w:tcW w:w="1440" w:type="dxa"/>
          </w:tcPr>
          <w:p w:rsidRPr="00467F4B" w:rsidR="00932789" w:rsidP="00A07617" w:rsidRDefault="00932789" w14:paraId="41545E91" w14:textId="77777777">
            <w:pPr>
              <w:jc w:val="right"/>
              <w:rPr>
                <w:rFonts w:ascii="Palatino Linotype" w:hAnsi="Palatino Linotype"/>
                <w:b/>
              </w:rPr>
            </w:pPr>
            <w:r w:rsidRPr="00467F4B">
              <w:rPr>
                <w:rFonts w:ascii="Palatino Linotype" w:hAnsi="Palatino Linotype"/>
                <w:b/>
              </w:rPr>
              <w:t>$ 2,164,485</w:t>
            </w:r>
          </w:p>
        </w:tc>
      </w:tr>
    </w:tbl>
    <w:p w:rsidR="00932789" w:rsidP="00932789" w:rsidRDefault="00932789" w14:paraId="512C3607" w14:textId="77777777">
      <w:pPr>
        <w:jc w:val="center"/>
        <w:rPr>
          <w:rFonts w:ascii="Palatino Linotype" w:hAnsi="Palatino Linotype"/>
          <w:b/>
        </w:rPr>
      </w:pPr>
    </w:p>
    <w:p w:rsidR="00932789" w:rsidP="00932789" w:rsidRDefault="00932789" w14:paraId="28218642" w14:textId="77777777">
      <w:pPr>
        <w:jc w:val="center"/>
        <w:rPr>
          <w:rFonts w:ascii="Palatino Linotype" w:hAnsi="Palatino Linotype"/>
          <w:b/>
        </w:rPr>
      </w:pPr>
    </w:p>
    <w:p w:rsidR="00932789" w:rsidP="00932789" w:rsidRDefault="00932789" w14:paraId="2928520B" w14:textId="77777777">
      <w:pPr>
        <w:jc w:val="center"/>
        <w:rPr>
          <w:rFonts w:ascii="Palatino Linotype" w:hAnsi="Palatino Linotype"/>
          <w:b/>
        </w:rPr>
      </w:pPr>
    </w:p>
    <w:p w:rsidRPr="00467F4B" w:rsidR="00932789" w:rsidP="00932789" w:rsidRDefault="00932789" w14:paraId="557B3695" w14:textId="77777777">
      <w:pPr>
        <w:jc w:val="center"/>
        <w:rPr>
          <w:rFonts w:ascii="Palatino Linotype" w:hAnsi="Palatino Linotype"/>
          <w:b/>
        </w:rPr>
      </w:pPr>
      <w:r w:rsidRPr="00467F4B">
        <w:rPr>
          <w:rFonts w:ascii="Palatino Linotype" w:hAnsi="Palatino Linotype"/>
          <w:b/>
        </w:rPr>
        <w:t xml:space="preserve">Table </w:t>
      </w:r>
      <w:r>
        <w:rPr>
          <w:rFonts w:ascii="Palatino Linotype" w:hAnsi="Palatino Linotype"/>
          <w:b/>
        </w:rPr>
        <w:t>3</w:t>
      </w:r>
      <w:r w:rsidRPr="00467F4B">
        <w:rPr>
          <w:rFonts w:ascii="Palatino Linotype" w:hAnsi="Palatino Linotype"/>
          <w:b/>
        </w:rPr>
        <w:t xml:space="preserve">: </w:t>
      </w:r>
      <w:r>
        <w:rPr>
          <w:rFonts w:ascii="Palatino Linotype" w:hAnsi="Palatino Linotype"/>
          <w:b/>
        </w:rPr>
        <w:t xml:space="preserve">Updated </w:t>
      </w:r>
      <w:r w:rsidRPr="00467F4B">
        <w:rPr>
          <w:rFonts w:ascii="Palatino Linotype" w:hAnsi="Palatino Linotype"/>
          <w:b/>
        </w:rPr>
        <w:t>AT&amp;T Mobility Requested Refund Amounts</w:t>
      </w:r>
      <w:r>
        <w:rPr>
          <w:rFonts w:ascii="Palatino Linotype" w:hAnsi="Palatino Linotype"/>
          <w:b/>
        </w:rPr>
        <w:t xml:space="preserve"> (</w:t>
      </w:r>
      <w:r w:rsidRPr="00467F4B">
        <w:rPr>
          <w:rFonts w:ascii="Palatino Linotype" w:hAnsi="Palatino Linotype"/>
          <w:b/>
        </w:rPr>
        <w:t>June 6, 2018</w:t>
      </w:r>
      <w:r>
        <w:rPr>
          <w:rFonts w:ascii="Palatino Linotype" w:hAnsi="Palatino Linotype"/>
          <w:b/>
        </w:rPr>
        <w:t xml:space="preserve"> Letter)</w:t>
      </w:r>
    </w:p>
    <w:tbl>
      <w:tblPr>
        <w:tblStyle w:val="TableGrid"/>
        <w:tblW w:w="0" w:type="auto"/>
        <w:jc w:val="center"/>
        <w:tblLook w:val="04A0" w:firstRow="1" w:lastRow="0" w:firstColumn="1" w:lastColumn="0" w:noHBand="0" w:noVBand="1"/>
      </w:tblPr>
      <w:tblGrid>
        <w:gridCol w:w="5152"/>
        <w:gridCol w:w="1430"/>
        <w:gridCol w:w="1300"/>
        <w:gridCol w:w="1468"/>
      </w:tblGrid>
      <w:tr w:rsidRPr="00467F4B" w:rsidR="00932789" w:rsidTr="00A07617" w14:paraId="263C90E5" w14:textId="77777777">
        <w:trPr>
          <w:jc w:val="center"/>
        </w:trPr>
        <w:tc>
          <w:tcPr>
            <w:tcW w:w="5256" w:type="dxa"/>
          </w:tcPr>
          <w:p w:rsidRPr="00467F4B" w:rsidR="00932789" w:rsidP="00A07617" w:rsidRDefault="00932789" w14:paraId="72E9D8EE" w14:textId="77777777">
            <w:pPr>
              <w:jc w:val="center"/>
              <w:rPr>
                <w:rFonts w:ascii="Palatino Linotype" w:hAnsi="Palatino Linotype"/>
                <w:b/>
              </w:rPr>
            </w:pPr>
            <w:r w:rsidRPr="00467F4B">
              <w:rPr>
                <w:rFonts w:ascii="Palatino Linotype" w:hAnsi="Palatino Linotype"/>
                <w:b/>
              </w:rPr>
              <w:t>Carrier</w:t>
            </w:r>
          </w:p>
        </w:tc>
        <w:tc>
          <w:tcPr>
            <w:tcW w:w="1430" w:type="dxa"/>
          </w:tcPr>
          <w:p w:rsidRPr="00467F4B" w:rsidR="00932789" w:rsidP="00A07617" w:rsidRDefault="00932789" w14:paraId="10340465" w14:textId="77777777">
            <w:pPr>
              <w:jc w:val="center"/>
              <w:rPr>
                <w:rFonts w:ascii="Palatino Linotype" w:hAnsi="Palatino Linotype"/>
                <w:b/>
              </w:rPr>
            </w:pPr>
            <w:r w:rsidRPr="00467F4B">
              <w:rPr>
                <w:rFonts w:ascii="Palatino Linotype" w:hAnsi="Palatino Linotype"/>
                <w:b/>
              </w:rPr>
              <w:t>Surcharges</w:t>
            </w:r>
          </w:p>
        </w:tc>
        <w:tc>
          <w:tcPr>
            <w:tcW w:w="1308" w:type="dxa"/>
          </w:tcPr>
          <w:p w:rsidRPr="00467F4B" w:rsidR="00932789" w:rsidP="00A07617" w:rsidRDefault="00932789" w14:paraId="369959C1" w14:textId="77777777">
            <w:pPr>
              <w:jc w:val="center"/>
              <w:rPr>
                <w:rFonts w:ascii="Palatino Linotype" w:hAnsi="Palatino Linotype"/>
                <w:b/>
              </w:rPr>
            </w:pPr>
            <w:r w:rsidRPr="00467F4B">
              <w:rPr>
                <w:rFonts w:ascii="Palatino Linotype" w:hAnsi="Palatino Linotype"/>
                <w:b/>
              </w:rPr>
              <w:t>User Fees</w:t>
            </w:r>
          </w:p>
        </w:tc>
        <w:tc>
          <w:tcPr>
            <w:tcW w:w="1476" w:type="dxa"/>
          </w:tcPr>
          <w:p w:rsidRPr="00467F4B" w:rsidR="00932789" w:rsidP="00A07617" w:rsidRDefault="00932789" w14:paraId="34150A65" w14:textId="77777777">
            <w:pPr>
              <w:jc w:val="center"/>
              <w:rPr>
                <w:rFonts w:ascii="Palatino Linotype" w:hAnsi="Palatino Linotype"/>
                <w:b/>
              </w:rPr>
            </w:pPr>
            <w:r w:rsidRPr="00467F4B">
              <w:rPr>
                <w:rFonts w:ascii="Palatino Linotype" w:hAnsi="Palatino Linotype"/>
                <w:b/>
              </w:rPr>
              <w:t>Total</w:t>
            </w:r>
          </w:p>
        </w:tc>
      </w:tr>
      <w:tr w:rsidRPr="00467F4B" w:rsidR="00932789" w:rsidTr="00A07617" w14:paraId="05E971D5" w14:textId="77777777">
        <w:trPr>
          <w:jc w:val="center"/>
        </w:trPr>
        <w:tc>
          <w:tcPr>
            <w:tcW w:w="5256" w:type="dxa"/>
          </w:tcPr>
          <w:p w:rsidRPr="00467F4B" w:rsidR="00932789" w:rsidP="00A07617" w:rsidRDefault="00932789" w14:paraId="7C8F709D" w14:textId="77777777">
            <w:pPr>
              <w:jc w:val="center"/>
              <w:rPr>
                <w:rFonts w:ascii="Palatino Linotype" w:hAnsi="Palatino Linotype"/>
                <w:bCs/>
              </w:rPr>
            </w:pPr>
            <w:r w:rsidRPr="00467F4B">
              <w:rPr>
                <w:rFonts w:ascii="Palatino Linotype" w:hAnsi="Palatino Linotype"/>
                <w:bCs/>
              </w:rPr>
              <w:t>Santa Barbara Cellular (U-3015-C)</w:t>
            </w:r>
          </w:p>
        </w:tc>
        <w:tc>
          <w:tcPr>
            <w:tcW w:w="1430" w:type="dxa"/>
          </w:tcPr>
          <w:p w:rsidRPr="00467F4B" w:rsidR="00932789" w:rsidP="00A07617" w:rsidRDefault="00932789" w14:paraId="25E0258E" w14:textId="77777777">
            <w:pPr>
              <w:jc w:val="right"/>
              <w:rPr>
                <w:rFonts w:ascii="Palatino Linotype" w:hAnsi="Palatino Linotype"/>
                <w:bCs/>
              </w:rPr>
            </w:pPr>
            <w:r w:rsidRPr="00467F4B">
              <w:rPr>
                <w:rFonts w:ascii="Palatino Linotype" w:hAnsi="Palatino Linotype"/>
                <w:bCs/>
              </w:rPr>
              <w:t>$ 47,731</w:t>
            </w:r>
          </w:p>
        </w:tc>
        <w:tc>
          <w:tcPr>
            <w:tcW w:w="1308" w:type="dxa"/>
          </w:tcPr>
          <w:p w:rsidRPr="00467F4B" w:rsidR="00932789" w:rsidP="00A07617" w:rsidRDefault="00932789" w14:paraId="230D8F6E" w14:textId="77777777">
            <w:pPr>
              <w:jc w:val="right"/>
              <w:rPr>
                <w:rFonts w:ascii="Palatino Linotype" w:hAnsi="Palatino Linotype"/>
                <w:bCs/>
              </w:rPr>
            </w:pPr>
            <w:r w:rsidRPr="00467F4B">
              <w:rPr>
                <w:rFonts w:ascii="Palatino Linotype" w:hAnsi="Palatino Linotype"/>
                <w:bCs/>
              </w:rPr>
              <w:t>$ 2,656</w:t>
            </w:r>
          </w:p>
        </w:tc>
        <w:tc>
          <w:tcPr>
            <w:tcW w:w="1476" w:type="dxa"/>
          </w:tcPr>
          <w:p w:rsidRPr="00467F4B" w:rsidR="00932789" w:rsidP="00A07617" w:rsidRDefault="00932789" w14:paraId="5A443671" w14:textId="77777777">
            <w:pPr>
              <w:jc w:val="right"/>
              <w:rPr>
                <w:rFonts w:ascii="Palatino Linotype" w:hAnsi="Palatino Linotype"/>
                <w:bCs/>
              </w:rPr>
            </w:pPr>
            <w:r w:rsidRPr="00467F4B">
              <w:rPr>
                <w:rFonts w:ascii="Palatino Linotype" w:hAnsi="Palatino Linotype"/>
                <w:bCs/>
              </w:rPr>
              <w:t>$ 50,387</w:t>
            </w:r>
          </w:p>
        </w:tc>
      </w:tr>
      <w:tr w:rsidRPr="00467F4B" w:rsidR="00932789" w:rsidTr="00A07617" w14:paraId="5B49CE6C" w14:textId="77777777">
        <w:trPr>
          <w:jc w:val="center"/>
        </w:trPr>
        <w:tc>
          <w:tcPr>
            <w:tcW w:w="5256" w:type="dxa"/>
          </w:tcPr>
          <w:p w:rsidRPr="00467F4B" w:rsidR="00932789" w:rsidP="00A07617" w:rsidRDefault="00932789" w14:paraId="67C0B79E" w14:textId="77777777">
            <w:pPr>
              <w:jc w:val="center"/>
              <w:rPr>
                <w:rFonts w:ascii="Palatino Linotype" w:hAnsi="Palatino Linotype"/>
                <w:bCs/>
              </w:rPr>
            </w:pPr>
            <w:r w:rsidRPr="00467F4B">
              <w:rPr>
                <w:rFonts w:ascii="Palatino Linotype" w:hAnsi="Palatino Linotype"/>
                <w:bCs/>
              </w:rPr>
              <w:t>AT&amp;T Mobility Wireless (U-3021-C)</w:t>
            </w:r>
          </w:p>
        </w:tc>
        <w:tc>
          <w:tcPr>
            <w:tcW w:w="1430" w:type="dxa"/>
          </w:tcPr>
          <w:p w:rsidRPr="00467F4B" w:rsidR="00932789" w:rsidP="00A07617" w:rsidRDefault="00932789" w14:paraId="67510DED" w14:textId="77777777">
            <w:pPr>
              <w:jc w:val="right"/>
              <w:rPr>
                <w:rFonts w:ascii="Palatino Linotype" w:hAnsi="Palatino Linotype"/>
                <w:bCs/>
              </w:rPr>
            </w:pPr>
            <w:r w:rsidRPr="00467F4B">
              <w:rPr>
                <w:rFonts w:ascii="Palatino Linotype" w:hAnsi="Palatino Linotype"/>
                <w:bCs/>
              </w:rPr>
              <w:t>$ 26,549</w:t>
            </w:r>
          </w:p>
        </w:tc>
        <w:tc>
          <w:tcPr>
            <w:tcW w:w="1308" w:type="dxa"/>
          </w:tcPr>
          <w:p w:rsidRPr="00467F4B" w:rsidR="00932789" w:rsidP="00A07617" w:rsidRDefault="00932789" w14:paraId="2B901BA9" w14:textId="77777777">
            <w:pPr>
              <w:jc w:val="right"/>
              <w:rPr>
                <w:rFonts w:ascii="Palatino Linotype" w:hAnsi="Palatino Linotype"/>
                <w:bCs/>
              </w:rPr>
            </w:pPr>
            <w:r w:rsidRPr="00467F4B">
              <w:rPr>
                <w:rFonts w:ascii="Palatino Linotype" w:hAnsi="Palatino Linotype"/>
                <w:bCs/>
              </w:rPr>
              <w:t>$ 1,373</w:t>
            </w:r>
          </w:p>
        </w:tc>
        <w:tc>
          <w:tcPr>
            <w:tcW w:w="1476" w:type="dxa"/>
          </w:tcPr>
          <w:p w:rsidRPr="00467F4B" w:rsidR="00932789" w:rsidP="00A07617" w:rsidRDefault="00932789" w14:paraId="5281DEB6" w14:textId="77777777">
            <w:pPr>
              <w:jc w:val="right"/>
              <w:rPr>
                <w:rFonts w:ascii="Palatino Linotype" w:hAnsi="Palatino Linotype"/>
                <w:bCs/>
              </w:rPr>
            </w:pPr>
            <w:r w:rsidRPr="00467F4B">
              <w:rPr>
                <w:rFonts w:ascii="Palatino Linotype" w:hAnsi="Palatino Linotype"/>
                <w:bCs/>
              </w:rPr>
              <w:t>$ 27,922</w:t>
            </w:r>
          </w:p>
        </w:tc>
      </w:tr>
      <w:tr w:rsidRPr="00467F4B" w:rsidR="00932789" w:rsidTr="00A07617" w14:paraId="44B1AD40" w14:textId="77777777">
        <w:trPr>
          <w:jc w:val="center"/>
        </w:trPr>
        <w:tc>
          <w:tcPr>
            <w:tcW w:w="5256" w:type="dxa"/>
          </w:tcPr>
          <w:p w:rsidRPr="00467F4B" w:rsidR="00932789" w:rsidP="00A07617" w:rsidRDefault="00932789" w14:paraId="3980EB10" w14:textId="77777777">
            <w:pPr>
              <w:jc w:val="center"/>
              <w:rPr>
                <w:rFonts w:ascii="Palatino Linotype" w:hAnsi="Palatino Linotype"/>
                <w:bCs/>
              </w:rPr>
            </w:pPr>
            <w:r w:rsidRPr="00467F4B">
              <w:rPr>
                <w:rFonts w:ascii="Palatino Linotype" w:hAnsi="Palatino Linotype"/>
                <w:bCs/>
              </w:rPr>
              <w:t>New Cingular Wireless (U-3060-C)</w:t>
            </w:r>
          </w:p>
        </w:tc>
        <w:tc>
          <w:tcPr>
            <w:tcW w:w="1430" w:type="dxa"/>
          </w:tcPr>
          <w:p w:rsidRPr="00DB6661" w:rsidR="00932789" w:rsidP="00A07617" w:rsidRDefault="00932789" w14:paraId="21C698E2" w14:textId="77777777">
            <w:pPr>
              <w:jc w:val="right"/>
              <w:rPr>
                <w:rFonts w:ascii="Palatino Linotype" w:hAnsi="Palatino Linotype"/>
                <w:bCs/>
                <w:u w:val="single"/>
              </w:rPr>
            </w:pPr>
            <w:r w:rsidRPr="00DB6661">
              <w:rPr>
                <w:rFonts w:ascii="Palatino Linotype" w:hAnsi="Palatino Linotype"/>
                <w:bCs/>
                <w:u w:val="single"/>
              </w:rPr>
              <w:t>$ 1,996,821</w:t>
            </w:r>
          </w:p>
        </w:tc>
        <w:tc>
          <w:tcPr>
            <w:tcW w:w="1308" w:type="dxa"/>
          </w:tcPr>
          <w:p w:rsidRPr="00DB6661" w:rsidR="00932789" w:rsidP="00A07617" w:rsidRDefault="00932789" w14:paraId="5AE3E84C" w14:textId="77777777">
            <w:pPr>
              <w:jc w:val="right"/>
              <w:rPr>
                <w:rFonts w:ascii="Palatino Linotype" w:hAnsi="Palatino Linotype"/>
                <w:bCs/>
                <w:u w:val="single"/>
              </w:rPr>
            </w:pPr>
            <w:r w:rsidRPr="00DB6661">
              <w:rPr>
                <w:rFonts w:ascii="Palatino Linotype" w:hAnsi="Palatino Linotype"/>
                <w:bCs/>
                <w:u w:val="single"/>
              </w:rPr>
              <w:t>$ 103,444</w:t>
            </w:r>
          </w:p>
        </w:tc>
        <w:tc>
          <w:tcPr>
            <w:tcW w:w="1476" w:type="dxa"/>
          </w:tcPr>
          <w:p w:rsidRPr="00DB6661" w:rsidR="00932789" w:rsidP="00A07617" w:rsidRDefault="00932789" w14:paraId="74538F69" w14:textId="77777777">
            <w:pPr>
              <w:jc w:val="right"/>
              <w:rPr>
                <w:rFonts w:ascii="Palatino Linotype" w:hAnsi="Palatino Linotype"/>
                <w:bCs/>
                <w:u w:val="single"/>
              </w:rPr>
            </w:pPr>
            <w:r w:rsidRPr="00DB6661">
              <w:rPr>
                <w:rFonts w:ascii="Palatino Linotype" w:hAnsi="Palatino Linotype"/>
                <w:bCs/>
                <w:u w:val="single"/>
              </w:rPr>
              <w:t>$ 2,100,265</w:t>
            </w:r>
          </w:p>
        </w:tc>
      </w:tr>
      <w:tr w:rsidRPr="00467F4B" w:rsidR="00932789" w:rsidTr="00A07617" w14:paraId="321FE00A" w14:textId="77777777">
        <w:trPr>
          <w:jc w:val="center"/>
        </w:trPr>
        <w:tc>
          <w:tcPr>
            <w:tcW w:w="5256" w:type="dxa"/>
          </w:tcPr>
          <w:p w:rsidRPr="00467F4B" w:rsidR="00932789" w:rsidP="00A07617" w:rsidRDefault="00932789" w14:paraId="6F503EB3" w14:textId="77777777">
            <w:pPr>
              <w:jc w:val="center"/>
              <w:rPr>
                <w:rFonts w:ascii="Palatino Linotype" w:hAnsi="Palatino Linotype"/>
                <w:b/>
              </w:rPr>
            </w:pPr>
            <w:r w:rsidRPr="00467F4B">
              <w:rPr>
                <w:rFonts w:ascii="Palatino Linotype" w:hAnsi="Palatino Linotype"/>
                <w:b/>
              </w:rPr>
              <w:t>Total</w:t>
            </w:r>
          </w:p>
        </w:tc>
        <w:tc>
          <w:tcPr>
            <w:tcW w:w="1430" w:type="dxa"/>
          </w:tcPr>
          <w:p w:rsidRPr="00467F4B" w:rsidR="00932789" w:rsidP="00A07617" w:rsidRDefault="00932789" w14:paraId="748239AF" w14:textId="77777777">
            <w:pPr>
              <w:jc w:val="right"/>
              <w:rPr>
                <w:rFonts w:ascii="Palatino Linotype" w:hAnsi="Palatino Linotype"/>
                <w:b/>
              </w:rPr>
            </w:pPr>
            <w:r w:rsidRPr="00467F4B">
              <w:rPr>
                <w:rFonts w:ascii="Palatino Linotype" w:hAnsi="Palatino Linotype"/>
                <w:b/>
              </w:rPr>
              <w:t>$ 2,071,101</w:t>
            </w:r>
          </w:p>
        </w:tc>
        <w:tc>
          <w:tcPr>
            <w:tcW w:w="1308" w:type="dxa"/>
          </w:tcPr>
          <w:p w:rsidRPr="00467F4B" w:rsidR="00932789" w:rsidP="00A07617" w:rsidRDefault="00932789" w14:paraId="42EBD4B4" w14:textId="77777777">
            <w:pPr>
              <w:jc w:val="right"/>
              <w:rPr>
                <w:rFonts w:ascii="Palatino Linotype" w:hAnsi="Palatino Linotype"/>
                <w:b/>
              </w:rPr>
            </w:pPr>
            <w:r w:rsidRPr="00467F4B">
              <w:rPr>
                <w:rFonts w:ascii="Palatino Linotype" w:hAnsi="Palatino Linotype"/>
                <w:b/>
              </w:rPr>
              <w:t>$ 107,473</w:t>
            </w:r>
          </w:p>
        </w:tc>
        <w:tc>
          <w:tcPr>
            <w:tcW w:w="1476" w:type="dxa"/>
          </w:tcPr>
          <w:p w:rsidRPr="00467F4B" w:rsidR="00932789" w:rsidP="00A07617" w:rsidRDefault="00932789" w14:paraId="6C4BC70B" w14:textId="77777777">
            <w:pPr>
              <w:jc w:val="right"/>
              <w:rPr>
                <w:rFonts w:ascii="Palatino Linotype" w:hAnsi="Palatino Linotype"/>
                <w:b/>
              </w:rPr>
            </w:pPr>
            <w:r w:rsidRPr="00467F4B">
              <w:rPr>
                <w:rFonts w:ascii="Palatino Linotype" w:hAnsi="Palatino Linotype"/>
                <w:b/>
              </w:rPr>
              <w:t>$ 2,178,574</w:t>
            </w:r>
          </w:p>
        </w:tc>
      </w:tr>
    </w:tbl>
    <w:p w:rsidR="00932789" w:rsidP="00932789" w:rsidRDefault="00932789" w14:paraId="0BE2C0F8" w14:textId="77777777">
      <w:pPr>
        <w:spacing w:before="21" w:line="259" w:lineRule="auto"/>
        <w:rPr>
          <w:rFonts w:ascii="Palatino Linotype" w:hAnsi="Palatino Linotype" w:eastAsia="Calibri"/>
          <w:spacing w:val="-2"/>
        </w:rPr>
      </w:pPr>
    </w:p>
    <w:p w:rsidRPr="001918F8" w:rsidR="00932789" w:rsidP="00932789" w:rsidRDefault="00932789" w14:paraId="15119BB3" w14:textId="77777777">
      <w:pPr>
        <w:spacing w:before="21" w:line="259" w:lineRule="auto"/>
        <w:rPr>
          <w:rFonts w:ascii="Palatino Linotype" w:hAnsi="Palatino Linotype" w:eastAsia="Calibri"/>
          <w:spacing w:val="1"/>
        </w:rPr>
      </w:pPr>
      <w:r>
        <w:rPr>
          <w:rFonts w:ascii="Palatino Linotype" w:hAnsi="Palatino Linotype" w:eastAsia="Calibri"/>
          <w:spacing w:val="-2"/>
        </w:rPr>
        <w:t xml:space="preserve">Additionally, </w:t>
      </w:r>
      <w:r w:rsidRPr="001918F8">
        <w:rPr>
          <w:rFonts w:ascii="Palatino Linotype" w:hAnsi="Palatino Linotype" w:eastAsia="Calibri"/>
          <w:spacing w:val="-2"/>
        </w:rPr>
        <w:t>AT&amp;T Mobility stated</w:t>
      </w:r>
      <w:r>
        <w:rPr>
          <w:rFonts w:ascii="Palatino Linotype" w:hAnsi="Palatino Linotype" w:eastAsia="Calibri"/>
          <w:spacing w:val="-2"/>
        </w:rPr>
        <w:t xml:space="preserve"> in their ALs </w:t>
      </w:r>
      <w:r w:rsidRPr="001918F8">
        <w:rPr>
          <w:rFonts w:ascii="Palatino Linotype" w:hAnsi="Palatino Linotype" w:eastAsia="Calibri"/>
          <w:spacing w:val="-2"/>
        </w:rPr>
        <w:t>that “</w:t>
      </w:r>
      <w:r w:rsidRPr="00957DC6">
        <w:rPr>
          <w:rFonts w:ascii="Palatino Linotype" w:hAnsi="Palatino Linotype" w:eastAsia="Calibri"/>
          <w:i/>
          <w:iCs/>
          <w:spacing w:val="-2"/>
        </w:rPr>
        <w:t>No AT&amp;T Mobility customers were affected by this accounting error and no refunds to customers are owed. These specific Surcharge and User Fee amounts were not collected from prepaid customers.</w:t>
      </w:r>
      <w:r>
        <w:rPr>
          <w:rFonts w:ascii="Palatino Linotype" w:hAnsi="Palatino Linotype" w:eastAsia="Calibri"/>
          <w:spacing w:val="-2"/>
        </w:rPr>
        <w:t>”</w:t>
      </w:r>
      <w:r w:rsidRPr="001918F8">
        <w:rPr>
          <w:rFonts w:ascii="Palatino Linotype" w:hAnsi="Palatino Linotype" w:eastAsia="Calibri"/>
          <w:spacing w:val="1"/>
        </w:rPr>
        <w:t xml:space="preserve"> </w:t>
      </w:r>
      <w:r>
        <w:rPr>
          <w:rFonts w:ascii="Palatino Linotype" w:hAnsi="Palatino Linotype" w:eastAsia="Calibri"/>
          <w:spacing w:val="1"/>
        </w:rPr>
        <w:t>CD requested information to support this claim. Because the surcharge amounts were levied on prepaid transactions, AT&amp;T Mobility was unable to provide additional information due to the nature of prepaid transactions during the period requested</w:t>
      </w:r>
      <w:r w:rsidRPr="00BA54BA">
        <w:rPr>
          <w:rFonts w:ascii="Palatino Linotype" w:hAnsi="Palatino Linotype" w:eastAsia="Calibri"/>
          <w:spacing w:val="1"/>
        </w:rPr>
        <w:t>.</w:t>
      </w:r>
      <w:r>
        <w:rPr>
          <w:rStyle w:val="FootnoteReference"/>
          <w:rFonts w:ascii="Palatino Linotype" w:hAnsi="Palatino Linotype" w:eastAsia="Calibri"/>
          <w:spacing w:val="1"/>
        </w:rPr>
        <w:footnoteReference w:id="9"/>
      </w:r>
      <w:r w:rsidRPr="00BA54BA">
        <w:rPr>
          <w:rFonts w:ascii="Palatino Linotype" w:hAnsi="Palatino Linotype" w:eastAsia="Calibri"/>
          <w:spacing w:val="1"/>
        </w:rPr>
        <w:t xml:space="preserve"> </w:t>
      </w:r>
      <w:r w:rsidRPr="006E7914">
        <w:rPr>
          <w:rFonts w:ascii="Palatino Linotype" w:hAnsi="Palatino Linotype"/>
        </w:rPr>
        <w:t>AT&amp;</w:t>
      </w:r>
      <w:r w:rsidRPr="00426BE9">
        <w:rPr>
          <w:rFonts w:ascii="Palatino Linotype" w:hAnsi="Palatino Linotype"/>
        </w:rPr>
        <w:t>T</w:t>
      </w:r>
      <w:r w:rsidRPr="00D409C0">
        <w:rPr>
          <w:rFonts w:ascii="Palatino Linotype" w:hAnsi="Palatino Linotype"/>
        </w:rPr>
        <w:t xml:space="preserve"> Mobility</w:t>
      </w:r>
      <w:r w:rsidRPr="00426BE9">
        <w:rPr>
          <w:rFonts w:ascii="Palatino Linotype" w:hAnsi="Palatino Linotype"/>
        </w:rPr>
        <w:t xml:space="preserve"> </w:t>
      </w:r>
      <w:r w:rsidRPr="00D409C0">
        <w:rPr>
          <w:rFonts w:ascii="Palatino Linotype" w:hAnsi="Palatino Linotype"/>
        </w:rPr>
        <w:t xml:space="preserve">states </w:t>
      </w:r>
      <w:r w:rsidRPr="00426BE9">
        <w:rPr>
          <w:rFonts w:ascii="Palatino Linotype" w:hAnsi="Palatino Linotype"/>
        </w:rPr>
        <w:t>that prepaid surcharges were paid out of general prepaid revenue prior to January 2016</w:t>
      </w:r>
      <w:r w:rsidRPr="00D409C0">
        <w:rPr>
          <w:rFonts w:ascii="Palatino Linotype" w:hAnsi="Palatino Linotype"/>
        </w:rPr>
        <w:t>, and not billed to customers as a specific line item. Therefore, a refund to prepaid customers is not necessary</w:t>
      </w:r>
      <w:r w:rsidRPr="00426BE9">
        <w:rPr>
          <w:rFonts w:ascii="Palatino Linotype" w:hAnsi="Palatino Linotype"/>
        </w:rPr>
        <w:t>.</w:t>
      </w:r>
      <w:r w:rsidRPr="006E7914">
        <w:rPr>
          <w:rFonts w:ascii="Palatino Linotype" w:hAnsi="Palatino Linotype"/>
        </w:rPr>
        <w:t xml:space="preserve"> </w:t>
      </w:r>
    </w:p>
    <w:p w:rsidRPr="00467F4B" w:rsidR="00932789" w:rsidP="00932789" w:rsidRDefault="00932789" w14:paraId="5F8EDEF1" w14:textId="77777777">
      <w:pPr>
        <w:pStyle w:val="Title"/>
        <w:jc w:val="left"/>
        <w:rPr>
          <w:rFonts w:ascii="Palatino Linotype" w:hAnsi="Palatino Linotype"/>
          <w:szCs w:val="24"/>
          <w:u w:val="single"/>
          <w:lang w:val="en"/>
        </w:rPr>
      </w:pPr>
    </w:p>
    <w:p w:rsidRPr="001918F8" w:rsidR="00932789" w:rsidP="00932789" w:rsidRDefault="00932789" w14:paraId="070BB73E" w14:textId="77777777">
      <w:pPr>
        <w:pStyle w:val="Title"/>
        <w:jc w:val="left"/>
        <w:rPr>
          <w:rFonts w:ascii="Palatino Linotype" w:hAnsi="Palatino Linotype"/>
          <w:b w:val="0"/>
          <w:szCs w:val="24"/>
        </w:rPr>
      </w:pPr>
      <w:r w:rsidRPr="001918F8">
        <w:rPr>
          <w:rFonts w:ascii="Palatino Linotype" w:hAnsi="Palatino Linotype"/>
          <w:b w:val="0"/>
          <w:szCs w:val="24"/>
        </w:rPr>
        <w:t xml:space="preserve">CD reviewed the jurisdictional allocation percentages AT&amp;T </w:t>
      </w:r>
      <w:r>
        <w:rPr>
          <w:rFonts w:ascii="Palatino Linotype" w:hAnsi="Palatino Linotype"/>
          <w:b w:val="0"/>
          <w:szCs w:val="24"/>
        </w:rPr>
        <w:t>M</w:t>
      </w:r>
      <w:r w:rsidRPr="001918F8">
        <w:rPr>
          <w:rFonts w:ascii="Palatino Linotype" w:hAnsi="Palatino Linotype"/>
          <w:b w:val="0"/>
          <w:szCs w:val="24"/>
        </w:rPr>
        <w:t>obility</w:t>
      </w:r>
      <w:r>
        <w:rPr>
          <w:rFonts w:ascii="Palatino Linotype" w:hAnsi="Palatino Linotype"/>
          <w:b w:val="0"/>
          <w:szCs w:val="24"/>
        </w:rPr>
        <w:t xml:space="preserve"> presented </w:t>
      </w:r>
      <w:r w:rsidRPr="001918F8">
        <w:rPr>
          <w:rFonts w:ascii="Palatino Linotype" w:hAnsi="Palatino Linotype"/>
          <w:b w:val="0"/>
          <w:szCs w:val="24"/>
        </w:rPr>
        <w:t xml:space="preserve">in </w:t>
      </w:r>
      <w:r>
        <w:rPr>
          <w:rFonts w:ascii="Palatino Linotype" w:hAnsi="Palatino Linotype"/>
          <w:b w:val="0"/>
          <w:szCs w:val="24"/>
        </w:rPr>
        <w:t>their</w:t>
      </w:r>
      <w:r w:rsidRPr="001918F8">
        <w:rPr>
          <w:rFonts w:ascii="Palatino Linotype" w:hAnsi="Palatino Linotype"/>
          <w:b w:val="0"/>
          <w:szCs w:val="24"/>
        </w:rPr>
        <w:t xml:space="preserve"> </w:t>
      </w:r>
      <w:r>
        <w:rPr>
          <w:rFonts w:ascii="Palatino Linotype" w:hAnsi="Palatino Linotype"/>
          <w:b w:val="0"/>
          <w:szCs w:val="24"/>
        </w:rPr>
        <w:t xml:space="preserve">ALs’ </w:t>
      </w:r>
      <w:r w:rsidRPr="001918F8">
        <w:rPr>
          <w:rFonts w:ascii="Palatino Linotype" w:hAnsi="Palatino Linotype"/>
          <w:b w:val="0"/>
          <w:szCs w:val="24"/>
        </w:rPr>
        <w:t xml:space="preserve">request. </w:t>
      </w:r>
      <w:bookmarkStart w:name="_Hlk70086040" w:id="2"/>
      <w:r w:rsidRPr="001918F8">
        <w:rPr>
          <w:rFonts w:ascii="Palatino Linotype" w:hAnsi="Palatino Linotype"/>
          <w:b w:val="0"/>
          <w:szCs w:val="24"/>
        </w:rPr>
        <w:t>In December 2016, AT&amp;T Mobility provided jurisdictional allocation percentages, i.e.</w:t>
      </w:r>
      <w:r>
        <w:rPr>
          <w:rFonts w:ascii="Palatino Linotype" w:hAnsi="Palatino Linotype"/>
          <w:b w:val="0"/>
          <w:szCs w:val="24"/>
        </w:rPr>
        <w:t>,</w:t>
      </w:r>
      <w:r w:rsidRPr="001918F8">
        <w:rPr>
          <w:rFonts w:ascii="Palatino Linotype" w:hAnsi="Palatino Linotype"/>
          <w:b w:val="0"/>
          <w:szCs w:val="24"/>
        </w:rPr>
        <w:t xml:space="preserve"> intrastate, interstate, and international</w:t>
      </w:r>
      <w:r>
        <w:rPr>
          <w:rFonts w:ascii="Palatino Linotype" w:hAnsi="Palatino Linotype"/>
          <w:b w:val="0"/>
          <w:szCs w:val="24"/>
        </w:rPr>
        <w:t xml:space="preserve"> percentages</w:t>
      </w:r>
      <w:r w:rsidRPr="001918F8">
        <w:rPr>
          <w:rFonts w:ascii="Palatino Linotype" w:hAnsi="Palatino Linotype"/>
          <w:b w:val="0"/>
          <w:szCs w:val="24"/>
        </w:rPr>
        <w:t>, for the periods of January 2013 through March 2016.</w:t>
      </w:r>
      <w:bookmarkEnd w:id="2"/>
      <w:r w:rsidRPr="001918F8">
        <w:rPr>
          <w:rFonts w:ascii="Palatino Linotype" w:hAnsi="Palatino Linotype"/>
          <w:b w:val="0"/>
          <w:szCs w:val="24"/>
        </w:rPr>
        <w:t xml:space="preserve">  According to AT&amp;T Mobility, </w:t>
      </w:r>
      <w:r w:rsidRPr="001918F8">
        <w:rPr>
          <w:rFonts w:ascii="Palatino Linotype" w:hAnsi="Palatino Linotype" w:eastAsia="Calibri"/>
          <w:b w:val="0"/>
          <w:spacing w:val="1"/>
          <w:szCs w:val="24"/>
        </w:rPr>
        <w:t>t</w:t>
      </w:r>
      <w:r w:rsidRPr="001918F8">
        <w:rPr>
          <w:rFonts w:ascii="Palatino Linotype" w:hAnsi="Palatino Linotype"/>
          <w:b w:val="0"/>
          <w:szCs w:val="24"/>
        </w:rPr>
        <w:t xml:space="preserve">hese jurisdictional allocation percentages result from its quarterly-conducted traffic studies and are used to establish and report intrastate revenues to the Commission.  </w:t>
      </w:r>
      <w:r>
        <w:rPr>
          <w:rFonts w:ascii="Palatino Linotype" w:hAnsi="Palatino Linotype"/>
          <w:b w:val="0"/>
          <w:szCs w:val="24"/>
        </w:rPr>
        <w:t>AT&amp;T Mobility</w:t>
      </w:r>
      <w:r w:rsidRPr="001918F8">
        <w:rPr>
          <w:rFonts w:ascii="Palatino Linotype" w:hAnsi="Palatino Linotype"/>
          <w:b w:val="0"/>
          <w:szCs w:val="24"/>
        </w:rPr>
        <w:t xml:space="preserve"> utilize</w:t>
      </w:r>
      <w:r>
        <w:rPr>
          <w:rFonts w:ascii="Palatino Linotype" w:hAnsi="Palatino Linotype"/>
          <w:b w:val="0"/>
          <w:szCs w:val="24"/>
        </w:rPr>
        <w:t>d</w:t>
      </w:r>
      <w:r w:rsidRPr="001918F8">
        <w:rPr>
          <w:rFonts w:ascii="Palatino Linotype" w:hAnsi="Palatino Linotype"/>
          <w:b w:val="0"/>
          <w:szCs w:val="24"/>
        </w:rPr>
        <w:t xml:space="preserve"> the same jurisdictional allocation percentages.</w:t>
      </w:r>
    </w:p>
    <w:p w:rsidRPr="00467F4B" w:rsidR="00932789" w:rsidP="00932789" w:rsidRDefault="00932789" w14:paraId="67818A61" w14:textId="77777777">
      <w:pPr>
        <w:pStyle w:val="Title"/>
        <w:jc w:val="left"/>
        <w:rPr>
          <w:rFonts w:ascii="Palatino Linotype" w:hAnsi="Palatino Linotype"/>
          <w:b w:val="0"/>
          <w:szCs w:val="24"/>
          <w:highlight w:val="yellow"/>
        </w:rPr>
      </w:pPr>
    </w:p>
    <w:p w:rsidRPr="00237413" w:rsidR="00932789" w:rsidP="00932789" w:rsidRDefault="00932789" w14:paraId="6FA6A8AA" w14:textId="77777777">
      <w:pPr>
        <w:pStyle w:val="Title"/>
        <w:jc w:val="left"/>
        <w:rPr>
          <w:rFonts w:ascii="Palatino Linotype" w:hAnsi="Palatino Linotype"/>
          <w:szCs w:val="24"/>
        </w:rPr>
      </w:pPr>
      <w:r w:rsidRPr="00237413">
        <w:rPr>
          <w:rFonts w:ascii="Palatino Linotype" w:hAnsi="Palatino Linotype"/>
          <w:b w:val="0"/>
          <w:szCs w:val="24"/>
        </w:rPr>
        <w:t xml:space="preserve">Along with its traffic studies, AT&amp;T Mobility also provided its summarized service allocation percentages for the periods of January 2013 through March 2016, i.e., voice, text, and data service allocations, which </w:t>
      </w:r>
      <w:r>
        <w:rPr>
          <w:rFonts w:ascii="Palatino Linotype" w:hAnsi="Palatino Linotype"/>
          <w:b w:val="0"/>
          <w:szCs w:val="24"/>
        </w:rPr>
        <w:t>were</w:t>
      </w:r>
      <w:r w:rsidRPr="00237413">
        <w:rPr>
          <w:rFonts w:ascii="Palatino Linotype" w:hAnsi="Palatino Linotype"/>
          <w:b w:val="0"/>
          <w:szCs w:val="24"/>
        </w:rPr>
        <w:t xml:space="preserve"> derived from its marketing studies.  The summarized results illustrate monthly shifts in the service allocation percentages.  However, in its response to the staff’s data request, AT&amp;T Mobility identified that “the 3</w:t>
      </w:r>
      <w:r w:rsidRPr="00237413">
        <w:rPr>
          <w:rFonts w:ascii="Palatino Linotype" w:hAnsi="Palatino Linotype"/>
          <w:b w:val="0"/>
          <w:szCs w:val="24"/>
          <w:vertAlign w:val="superscript"/>
        </w:rPr>
        <w:t>rd</w:t>
      </w:r>
      <w:r w:rsidRPr="00237413">
        <w:rPr>
          <w:rFonts w:ascii="Palatino Linotype" w:hAnsi="Palatino Linotype"/>
          <w:b w:val="0"/>
          <w:szCs w:val="24"/>
        </w:rPr>
        <w:t xml:space="preserve"> quarter 2013 marketing study continued to be used until it was updated in 2015.”  AT&amp;T Mobility further explained that in 2015, “there was a shift from AT&amp;T offering </w:t>
      </w:r>
      <w:r w:rsidRPr="00237413">
        <w:rPr>
          <w:rFonts w:ascii="Palatino Linotype" w:hAnsi="Palatino Linotype"/>
          <w:b w:val="0"/>
          <w:szCs w:val="24"/>
        </w:rPr>
        <w:lastRenderedPageBreak/>
        <w:t>stand-alone plans to bundled plans.”  Hence, the marketing study was updated.</w:t>
      </w:r>
      <w:r w:rsidRPr="00237413">
        <w:rPr>
          <w:rStyle w:val="FootnoteReference"/>
          <w:rFonts w:ascii="Palatino Linotype" w:hAnsi="Palatino Linotype"/>
          <w:b w:val="0"/>
          <w:szCs w:val="24"/>
        </w:rPr>
        <w:footnoteReference w:id="10"/>
      </w:r>
      <w:r w:rsidRPr="00237413">
        <w:rPr>
          <w:rFonts w:ascii="Palatino Linotype" w:hAnsi="Palatino Linotype"/>
          <w:b w:val="0"/>
          <w:szCs w:val="24"/>
        </w:rPr>
        <w:t xml:space="preserve"> </w:t>
      </w:r>
      <w:r>
        <w:rPr>
          <w:rFonts w:ascii="Palatino Linotype" w:hAnsi="Palatino Linotype"/>
          <w:b w:val="0"/>
          <w:szCs w:val="24"/>
        </w:rPr>
        <w:t>A</w:t>
      </w:r>
      <w:r w:rsidRPr="00237413">
        <w:rPr>
          <w:rFonts w:ascii="Palatino Linotype" w:hAnsi="Palatino Linotype"/>
          <w:b w:val="0"/>
          <w:szCs w:val="24"/>
        </w:rPr>
        <w:t>ccording to AT&amp;T Mobility,</w:t>
      </w:r>
      <w:r w:rsidRPr="00237413" w:rsidDel="00454B4F">
        <w:rPr>
          <w:rFonts w:ascii="Palatino Linotype" w:hAnsi="Palatino Linotype"/>
          <w:b w:val="0"/>
          <w:szCs w:val="24"/>
        </w:rPr>
        <w:t xml:space="preserve"> </w:t>
      </w:r>
      <w:r w:rsidRPr="00237413">
        <w:rPr>
          <w:rFonts w:ascii="Palatino Linotype" w:hAnsi="Palatino Linotype"/>
          <w:b w:val="0"/>
          <w:szCs w:val="24"/>
        </w:rPr>
        <w:t xml:space="preserve">similar to traffic studies, </w:t>
      </w:r>
      <w:r>
        <w:rPr>
          <w:rFonts w:ascii="Palatino Linotype" w:hAnsi="Palatino Linotype"/>
          <w:b w:val="0"/>
          <w:szCs w:val="24"/>
        </w:rPr>
        <w:t>they</w:t>
      </w:r>
      <w:r w:rsidRPr="00237413">
        <w:rPr>
          <w:rFonts w:ascii="Palatino Linotype" w:hAnsi="Palatino Linotype"/>
          <w:b w:val="0"/>
          <w:szCs w:val="24"/>
        </w:rPr>
        <w:t xml:space="preserve"> utilized the service allocation factors derived from the same marketing studies.</w:t>
      </w:r>
    </w:p>
    <w:p w:rsidRPr="00467F4B" w:rsidR="00932789" w:rsidP="00932789" w:rsidRDefault="00932789" w14:paraId="67A18481" w14:textId="77777777">
      <w:pPr>
        <w:rPr>
          <w:rFonts w:ascii="Palatino Linotype" w:hAnsi="Palatino Linotype"/>
          <w:highlight w:val="yellow"/>
          <w:u w:val="single"/>
        </w:rPr>
      </w:pPr>
    </w:p>
    <w:p w:rsidRPr="00230C60" w:rsidR="00932789" w:rsidP="00932789" w:rsidRDefault="00932789" w14:paraId="3A6547B8" w14:textId="77777777">
      <w:pPr>
        <w:rPr>
          <w:rFonts w:ascii="Palatino Linotype" w:hAnsi="Palatino Linotype"/>
        </w:rPr>
      </w:pPr>
      <w:r w:rsidRPr="00230C60">
        <w:rPr>
          <w:rFonts w:ascii="Palatino Linotype" w:hAnsi="Palatino Linotype"/>
        </w:rPr>
        <w:t>AT&amp;T Mobility also presented its calculations for the claimed overpayments of surcharges and user fees in spreadsheets provided to staff.  Tables 4 and 5 illustrate AT&amp;T Mobility’s spreadsheets by detailing the column headers and formulas as shown below.</w:t>
      </w:r>
      <w:r w:rsidRPr="00230C60">
        <w:rPr>
          <w:rStyle w:val="FootnoteReference"/>
          <w:rFonts w:ascii="Palatino Linotype" w:hAnsi="Palatino Linotype"/>
        </w:rPr>
        <w:footnoteReference w:id="11"/>
      </w:r>
    </w:p>
    <w:p w:rsidRPr="00467F4B" w:rsidR="00932789" w:rsidP="00932789" w:rsidRDefault="00932789" w14:paraId="5A7D252D" w14:textId="77777777">
      <w:pPr>
        <w:rPr>
          <w:rFonts w:ascii="Palatino Linotype" w:hAnsi="Palatino Linotype" w:eastAsia="Calibri"/>
          <w:highlight w:val="yellow"/>
        </w:rPr>
      </w:pPr>
    </w:p>
    <w:p w:rsidRPr="00230C60" w:rsidR="00932789" w:rsidP="00932789" w:rsidRDefault="00932789" w14:paraId="0E080631" w14:textId="77777777">
      <w:pPr>
        <w:rPr>
          <w:rFonts w:ascii="Palatino Linotype" w:hAnsi="Palatino Linotype"/>
        </w:rPr>
      </w:pPr>
      <w:r w:rsidRPr="00230C60">
        <w:rPr>
          <w:rFonts w:ascii="Palatino Linotype" w:hAnsi="Palatino Linotype" w:eastAsia="Calibri"/>
        </w:rPr>
        <w:t>The spreadsheets detailed the AT&amp;T Mobility</w:t>
      </w:r>
      <w:r>
        <w:rPr>
          <w:rFonts w:ascii="Palatino Linotype" w:hAnsi="Palatino Linotype" w:eastAsia="Calibri"/>
        </w:rPr>
        <w:t xml:space="preserve">’s </w:t>
      </w:r>
      <w:r w:rsidRPr="00230C60">
        <w:rPr>
          <w:rFonts w:ascii="Palatino Linotype" w:hAnsi="Palatino Linotype" w:eastAsia="Calibri"/>
        </w:rPr>
        <w:t>monthly total intrastate revenues as reported in TUFFS(B)</w:t>
      </w:r>
      <w:r w:rsidRPr="00230C60">
        <w:rPr>
          <w:rStyle w:val="FootnoteReference"/>
          <w:rFonts w:ascii="Palatino Linotype" w:hAnsi="Palatino Linotype"/>
        </w:rPr>
        <w:footnoteReference w:id="12"/>
      </w:r>
      <w:r w:rsidRPr="00230C60">
        <w:rPr>
          <w:rFonts w:ascii="Palatino Linotype" w:hAnsi="Palatino Linotype" w:eastAsia="Calibri"/>
        </w:rPr>
        <w:t xml:space="preserve"> and total monthly prepaid revenues(C).</w:t>
      </w:r>
      <w:r w:rsidRPr="00230C60">
        <w:rPr>
          <w:rStyle w:val="FootnoteReference"/>
          <w:rFonts w:ascii="Palatino Linotype" w:hAnsi="Palatino Linotype"/>
        </w:rPr>
        <w:footnoteReference w:id="13"/>
      </w:r>
      <w:r w:rsidRPr="00230C60">
        <w:rPr>
          <w:rFonts w:ascii="Palatino Linotype" w:hAnsi="Palatino Linotype" w:eastAsia="Calibri"/>
        </w:rPr>
        <w:t xml:space="preserve">  The total monthly prepaid revenue was allocated between</w:t>
      </w:r>
      <w:r w:rsidRPr="00230C60">
        <w:rPr>
          <w:rFonts w:ascii="Palatino Linotype" w:hAnsi="Palatino Linotype" w:eastAsia="Calibri"/>
          <w:spacing w:val="-1"/>
        </w:rPr>
        <w:t xml:space="preserve"> services (i.e. v</w:t>
      </w:r>
      <w:r w:rsidRPr="00230C60">
        <w:rPr>
          <w:rFonts w:ascii="Palatino Linotype" w:hAnsi="Palatino Linotype" w:eastAsia="Calibri"/>
          <w:spacing w:val="1"/>
        </w:rPr>
        <w:t>o</w:t>
      </w:r>
      <w:r w:rsidRPr="00230C60">
        <w:rPr>
          <w:rFonts w:ascii="Palatino Linotype" w:hAnsi="Palatino Linotype" w:eastAsia="Calibri"/>
        </w:rPr>
        <w:t>ic</w:t>
      </w:r>
      <w:r w:rsidRPr="00230C60">
        <w:rPr>
          <w:rFonts w:ascii="Palatino Linotype" w:hAnsi="Palatino Linotype" w:eastAsia="Calibri"/>
          <w:spacing w:val="1"/>
        </w:rPr>
        <w:t>e (D)</w:t>
      </w:r>
      <w:r w:rsidRPr="00230C60">
        <w:rPr>
          <w:rFonts w:ascii="Palatino Linotype" w:hAnsi="Palatino Linotype" w:eastAsia="Calibri"/>
        </w:rPr>
        <w:t>,</w:t>
      </w:r>
      <w:r w:rsidRPr="00230C60">
        <w:rPr>
          <w:rFonts w:ascii="Palatino Linotype" w:hAnsi="Palatino Linotype" w:eastAsia="Calibri"/>
          <w:spacing w:val="-2"/>
        </w:rPr>
        <w:t xml:space="preserve"> t</w:t>
      </w:r>
      <w:r w:rsidRPr="00230C60">
        <w:rPr>
          <w:rFonts w:ascii="Palatino Linotype" w:hAnsi="Palatino Linotype" w:eastAsia="Calibri"/>
          <w:spacing w:val="1"/>
        </w:rPr>
        <w:t>e</w:t>
      </w:r>
      <w:r w:rsidRPr="00230C60">
        <w:rPr>
          <w:rFonts w:ascii="Palatino Linotype" w:hAnsi="Palatino Linotype" w:eastAsia="Calibri"/>
        </w:rPr>
        <w:t>xt (E),</w:t>
      </w:r>
      <w:r w:rsidRPr="00230C60">
        <w:rPr>
          <w:rFonts w:ascii="Palatino Linotype" w:hAnsi="Palatino Linotype" w:eastAsia="Calibri"/>
          <w:spacing w:val="-1"/>
        </w:rPr>
        <w:t xml:space="preserve"> and data (F)) u</w:t>
      </w:r>
      <w:r w:rsidRPr="00230C60">
        <w:rPr>
          <w:rFonts w:ascii="Palatino Linotype" w:hAnsi="Palatino Linotype" w:eastAsia="Calibri"/>
        </w:rPr>
        <w:t>si</w:t>
      </w:r>
      <w:r w:rsidRPr="00230C60">
        <w:rPr>
          <w:rFonts w:ascii="Palatino Linotype" w:hAnsi="Palatino Linotype" w:eastAsia="Calibri"/>
          <w:spacing w:val="-1"/>
        </w:rPr>
        <w:t>n</w:t>
      </w:r>
      <w:r w:rsidRPr="00230C60">
        <w:rPr>
          <w:rFonts w:ascii="Palatino Linotype" w:hAnsi="Palatino Linotype" w:eastAsia="Calibri"/>
        </w:rPr>
        <w:t>g fac</w:t>
      </w:r>
      <w:r w:rsidRPr="00230C60">
        <w:rPr>
          <w:rFonts w:ascii="Palatino Linotype" w:hAnsi="Palatino Linotype" w:eastAsia="Calibri"/>
          <w:spacing w:val="-2"/>
        </w:rPr>
        <w:t>t</w:t>
      </w:r>
      <w:r w:rsidRPr="00230C60">
        <w:rPr>
          <w:rFonts w:ascii="Palatino Linotype" w:hAnsi="Palatino Linotype" w:eastAsia="Calibri"/>
          <w:spacing w:val="-1"/>
        </w:rPr>
        <w:t>o</w:t>
      </w:r>
      <w:r w:rsidRPr="00230C60">
        <w:rPr>
          <w:rFonts w:ascii="Palatino Linotype" w:hAnsi="Palatino Linotype" w:eastAsia="Calibri"/>
        </w:rPr>
        <w:t>rs or percentage rates</w:t>
      </w:r>
      <w:r w:rsidRPr="00230C60">
        <w:rPr>
          <w:rFonts w:ascii="Palatino Linotype" w:hAnsi="Palatino Linotype" w:eastAsia="Calibri"/>
          <w:spacing w:val="2"/>
        </w:rPr>
        <w:t xml:space="preserve"> </w:t>
      </w:r>
      <w:r w:rsidRPr="00230C60">
        <w:rPr>
          <w:rFonts w:ascii="Palatino Linotype" w:hAnsi="Palatino Linotype" w:eastAsia="Calibri"/>
          <w:spacing w:val="-1"/>
        </w:rPr>
        <w:t>derived from</w:t>
      </w:r>
      <w:r w:rsidRPr="00230C60">
        <w:rPr>
          <w:rFonts w:ascii="Palatino Linotype" w:hAnsi="Palatino Linotype" w:eastAsia="Calibri"/>
        </w:rPr>
        <w:t xml:space="preserve"> the mar</w:t>
      </w:r>
      <w:r w:rsidRPr="00230C60">
        <w:rPr>
          <w:rFonts w:ascii="Palatino Linotype" w:hAnsi="Palatino Linotype" w:eastAsia="Calibri"/>
          <w:spacing w:val="-2"/>
        </w:rPr>
        <w:t>k</w:t>
      </w:r>
      <w:r w:rsidRPr="00230C60">
        <w:rPr>
          <w:rFonts w:ascii="Palatino Linotype" w:hAnsi="Palatino Linotype" w:eastAsia="Calibri"/>
          <w:spacing w:val="1"/>
        </w:rPr>
        <w:t>e</w:t>
      </w:r>
      <w:r w:rsidRPr="00230C60">
        <w:rPr>
          <w:rFonts w:ascii="Palatino Linotype" w:hAnsi="Palatino Linotype" w:eastAsia="Calibri"/>
        </w:rPr>
        <w:t>ti</w:t>
      </w:r>
      <w:r w:rsidRPr="00230C60">
        <w:rPr>
          <w:rFonts w:ascii="Palatino Linotype" w:hAnsi="Palatino Linotype" w:eastAsia="Calibri"/>
          <w:spacing w:val="-1"/>
        </w:rPr>
        <w:t>n</w:t>
      </w:r>
      <w:r w:rsidRPr="00230C60">
        <w:rPr>
          <w:rFonts w:ascii="Palatino Linotype" w:hAnsi="Palatino Linotype" w:eastAsia="Calibri"/>
        </w:rPr>
        <w:t>g st</w:t>
      </w:r>
      <w:r w:rsidRPr="00230C60">
        <w:rPr>
          <w:rFonts w:ascii="Palatino Linotype" w:hAnsi="Palatino Linotype" w:eastAsia="Calibri"/>
          <w:spacing w:val="-1"/>
        </w:rPr>
        <w:t>ud</w:t>
      </w:r>
      <w:r w:rsidRPr="00230C60">
        <w:rPr>
          <w:rFonts w:ascii="Palatino Linotype" w:hAnsi="Palatino Linotype" w:eastAsia="Calibri"/>
        </w:rPr>
        <w:t>ies as discussed above.</w:t>
      </w:r>
      <w:r w:rsidRPr="00230C60">
        <w:rPr>
          <w:rStyle w:val="FootnoteReference"/>
          <w:rFonts w:ascii="Palatino Linotype" w:hAnsi="Palatino Linotype" w:eastAsia="Calibri"/>
        </w:rPr>
        <w:footnoteReference w:id="14"/>
      </w:r>
      <w:r w:rsidRPr="00230C60">
        <w:rPr>
          <w:rFonts w:ascii="Palatino Linotype" w:hAnsi="Palatino Linotype" w:eastAsia="Calibri"/>
        </w:rPr>
        <w:t xml:space="preserve">  </w:t>
      </w:r>
      <w:r w:rsidRPr="00230C60">
        <w:rPr>
          <w:rFonts w:ascii="Palatino Linotype" w:hAnsi="Palatino Linotype" w:eastAsia="Calibri"/>
          <w:spacing w:val="-1"/>
        </w:rPr>
        <w:t>A</w:t>
      </w:r>
      <w:r w:rsidRPr="00230C60">
        <w:rPr>
          <w:rFonts w:ascii="Palatino Linotype" w:hAnsi="Palatino Linotype" w:eastAsia="Calibri"/>
        </w:rPr>
        <w:t>T</w:t>
      </w:r>
      <w:r w:rsidRPr="00230C60">
        <w:rPr>
          <w:rFonts w:ascii="Palatino Linotype" w:hAnsi="Palatino Linotype" w:eastAsia="Calibri"/>
          <w:spacing w:val="1"/>
        </w:rPr>
        <w:t>&amp;</w:t>
      </w:r>
      <w:r w:rsidRPr="00230C60">
        <w:rPr>
          <w:rFonts w:ascii="Palatino Linotype" w:hAnsi="Palatino Linotype" w:eastAsia="Calibri"/>
        </w:rPr>
        <w:t>T</w:t>
      </w:r>
      <w:r w:rsidRPr="00230C60">
        <w:rPr>
          <w:rFonts w:ascii="Palatino Linotype" w:hAnsi="Palatino Linotype" w:eastAsia="Calibri"/>
          <w:spacing w:val="-1"/>
        </w:rPr>
        <w:t xml:space="preserve"> </w:t>
      </w:r>
      <w:r w:rsidRPr="00230C60">
        <w:rPr>
          <w:rFonts w:ascii="Palatino Linotype" w:hAnsi="Palatino Linotype" w:eastAsia="Calibri"/>
          <w:spacing w:val="-2"/>
        </w:rPr>
        <w:t>M</w:t>
      </w:r>
      <w:r w:rsidRPr="00230C60">
        <w:rPr>
          <w:rFonts w:ascii="Palatino Linotype" w:hAnsi="Palatino Linotype" w:eastAsia="Calibri"/>
          <w:spacing w:val="1"/>
        </w:rPr>
        <w:t>o</w:t>
      </w:r>
      <w:r w:rsidRPr="00230C60">
        <w:rPr>
          <w:rFonts w:ascii="Palatino Linotype" w:hAnsi="Palatino Linotype" w:eastAsia="Calibri"/>
          <w:spacing w:val="-1"/>
        </w:rPr>
        <w:t>b</w:t>
      </w:r>
      <w:r w:rsidRPr="00230C60">
        <w:rPr>
          <w:rFonts w:ascii="Palatino Linotype" w:hAnsi="Palatino Linotype" w:eastAsia="Calibri"/>
        </w:rPr>
        <w:t xml:space="preserve">ility then multiplied </w:t>
      </w:r>
      <w:r w:rsidRPr="00230C60">
        <w:rPr>
          <w:rFonts w:ascii="Palatino Linotype" w:hAnsi="Palatino Linotype" w:eastAsia="Calibri"/>
          <w:spacing w:val="-2"/>
        </w:rPr>
        <w:t xml:space="preserve">its prepaid data </w:t>
      </w:r>
      <w:r w:rsidRPr="00230C60">
        <w:rPr>
          <w:rFonts w:ascii="Palatino Linotype" w:hAnsi="Palatino Linotype" w:eastAsia="Calibri"/>
          <w:spacing w:val="-3"/>
        </w:rPr>
        <w:t>r</w:t>
      </w:r>
      <w:r w:rsidRPr="00230C60">
        <w:rPr>
          <w:rFonts w:ascii="Palatino Linotype" w:hAnsi="Palatino Linotype" w:eastAsia="Calibri"/>
          <w:spacing w:val="1"/>
        </w:rPr>
        <w:t>e</w:t>
      </w:r>
      <w:r w:rsidRPr="00230C60">
        <w:rPr>
          <w:rFonts w:ascii="Palatino Linotype" w:hAnsi="Palatino Linotype" w:eastAsia="Calibri"/>
          <w:spacing w:val="-1"/>
        </w:rPr>
        <w:t>v</w:t>
      </w:r>
      <w:r w:rsidRPr="00230C60">
        <w:rPr>
          <w:rFonts w:ascii="Palatino Linotype" w:hAnsi="Palatino Linotype" w:eastAsia="Calibri"/>
          <w:spacing w:val="1"/>
        </w:rPr>
        <w:t>e</w:t>
      </w:r>
      <w:r w:rsidRPr="00230C60">
        <w:rPr>
          <w:rFonts w:ascii="Palatino Linotype" w:hAnsi="Palatino Linotype" w:eastAsia="Calibri"/>
          <w:spacing w:val="-1"/>
        </w:rPr>
        <w:t>nu</w:t>
      </w:r>
      <w:r w:rsidRPr="00230C60">
        <w:rPr>
          <w:rFonts w:ascii="Palatino Linotype" w:hAnsi="Palatino Linotype" w:eastAsia="Calibri"/>
        </w:rPr>
        <w:t xml:space="preserve">e </w:t>
      </w:r>
      <w:r w:rsidRPr="00230C60">
        <w:rPr>
          <w:rFonts w:ascii="Palatino Linotype" w:hAnsi="Palatino Linotype"/>
        </w:rPr>
        <w:t>(F) by the intrastate factor derived from its traffic studies (G), also discussed above, to arrive at the monthly intrastate prepaid revenue attributed to data (H).</w:t>
      </w:r>
      <w:r w:rsidRPr="00230C60">
        <w:rPr>
          <w:rFonts w:ascii="Palatino Linotype" w:hAnsi="Palatino Linotype" w:eastAsia="Calibri"/>
        </w:rPr>
        <w:t xml:space="preserve">  </w:t>
      </w:r>
      <w:r w:rsidRPr="00230C60">
        <w:rPr>
          <w:rFonts w:ascii="Palatino Linotype" w:hAnsi="Palatino Linotype"/>
        </w:rPr>
        <w:t xml:space="preserve">These are the amounts which AT&amp;T Mobility claims were inadvertently included in the reports to the Commission, thus resulting in overpayment of surcharges and user fees. </w:t>
      </w:r>
    </w:p>
    <w:p w:rsidRPr="00467F4B" w:rsidR="00932789" w:rsidP="00932789" w:rsidRDefault="00932789" w14:paraId="64E24D48" w14:textId="77777777">
      <w:pPr>
        <w:rPr>
          <w:rFonts w:ascii="Palatino Linotype" w:hAnsi="Palatino Linotype"/>
          <w:highlight w:val="yellow"/>
        </w:rPr>
      </w:pPr>
    </w:p>
    <w:p w:rsidRPr="00230C60" w:rsidR="00932789" w:rsidP="00932789" w:rsidRDefault="00932789" w14:paraId="58BBA7EF" w14:textId="77777777">
      <w:pPr>
        <w:rPr>
          <w:rFonts w:ascii="Palatino Linotype" w:hAnsi="Palatino Linotype"/>
        </w:rPr>
      </w:pPr>
      <w:r w:rsidRPr="00230C60">
        <w:rPr>
          <w:rFonts w:ascii="Palatino Linotype" w:hAnsi="Palatino Linotype"/>
        </w:rPr>
        <w:t>AT&amp;T Mobility provided the “correct” revenue amount (I) by subtracting the intrastate prepaid data revenues (H) from the total intrastate revenues originally reported in TUFFS (B).</w:t>
      </w:r>
    </w:p>
    <w:p w:rsidRPr="00467F4B" w:rsidR="00932789" w:rsidP="00932789" w:rsidRDefault="00932789" w14:paraId="3226616E" w14:textId="77777777">
      <w:pPr>
        <w:rPr>
          <w:rFonts w:eastAsia="Calibri"/>
          <w:highlight w:val="yellow"/>
        </w:rPr>
      </w:pPr>
    </w:p>
    <w:p w:rsidR="00932789" w:rsidP="00932789" w:rsidRDefault="00932789" w14:paraId="05747821" w14:textId="77777777">
      <w:pPr>
        <w:rPr>
          <w:rFonts w:ascii="Palatino Linotype" w:hAnsi="Palatino Linotype"/>
          <w:b/>
        </w:rPr>
      </w:pPr>
      <w:r w:rsidRPr="00230C60">
        <w:rPr>
          <w:rFonts w:ascii="Palatino Linotype" w:hAnsi="Palatino Linotype"/>
          <w:b/>
        </w:rPr>
        <w:t>Table 4</w:t>
      </w:r>
      <w:r>
        <w:rPr>
          <w:rFonts w:ascii="Palatino Linotype" w:hAnsi="Palatino Linotype"/>
          <w:b/>
        </w:rPr>
        <w:t xml:space="preserve">. Column Headings and Formula to Calculate “Correct” Revenue Amount </w:t>
      </w:r>
    </w:p>
    <w:tbl>
      <w:tblPr>
        <w:tblStyle w:val="TableGrid"/>
        <w:tblW w:w="9625" w:type="dxa"/>
        <w:jc w:val="center"/>
        <w:tblLook w:val="04A0" w:firstRow="1" w:lastRow="0" w:firstColumn="1" w:lastColumn="0" w:noHBand="0" w:noVBand="1"/>
      </w:tblPr>
      <w:tblGrid>
        <w:gridCol w:w="1229"/>
        <w:gridCol w:w="1144"/>
        <w:gridCol w:w="1095"/>
        <w:gridCol w:w="998"/>
        <w:gridCol w:w="998"/>
        <w:gridCol w:w="998"/>
        <w:gridCol w:w="1170"/>
        <w:gridCol w:w="1170"/>
        <w:gridCol w:w="1095"/>
      </w:tblGrid>
      <w:tr w:rsidR="00932789" w:rsidTr="00A07617" w14:paraId="3ADD0C0A" w14:textId="77777777">
        <w:trPr>
          <w:jc w:val="center"/>
        </w:trPr>
        <w:tc>
          <w:tcPr>
            <w:tcW w:w="1159" w:type="dxa"/>
          </w:tcPr>
          <w:p w:rsidRPr="00911518" w:rsidR="00932789" w:rsidP="00A07617" w:rsidRDefault="00932789" w14:paraId="6031422F" w14:textId="77777777">
            <w:pPr>
              <w:jc w:val="center"/>
              <w:rPr>
                <w:rFonts w:ascii="Palatino Linotype" w:hAnsi="Palatino Linotype"/>
                <w:b/>
                <w:sz w:val="22"/>
                <w:szCs w:val="22"/>
              </w:rPr>
            </w:pPr>
            <w:r w:rsidRPr="00911518">
              <w:rPr>
                <w:rFonts w:ascii="Palatino Linotype" w:hAnsi="Palatino Linotype"/>
                <w:b/>
                <w:sz w:val="22"/>
                <w:szCs w:val="22"/>
              </w:rPr>
              <w:t>Reporting</w:t>
            </w:r>
          </w:p>
          <w:p w:rsidRPr="00911518" w:rsidR="00932789" w:rsidP="00A07617" w:rsidRDefault="00932789" w14:paraId="5CC4E7C1" w14:textId="77777777">
            <w:pPr>
              <w:jc w:val="center"/>
              <w:rPr>
                <w:rFonts w:ascii="Palatino Linotype" w:hAnsi="Palatino Linotype"/>
                <w:b/>
                <w:sz w:val="22"/>
                <w:szCs w:val="22"/>
              </w:rPr>
            </w:pPr>
            <w:r w:rsidRPr="00911518">
              <w:rPr>
                <w:rFonts w:ascii="Palatino Linotype" w:hAnsi="Palatino Linotype"/>
                <w:b/>
                <w:sz w:val="22"/>
                <w:szCs w:val="22"/>
              </w:rPr>
              <w:t>Period</w:t>
            </w:r>
          </w:p>
        </w:tc>
        <w:tc>
          <w:tcPr>
            <w:tcW w:w="1080" w:type="dxa"/>
          </w:tcPr>
          <w:p w:rsidRPr="00911518" w:rsidR="00932789" w:rsidP="00A07617" w:rsidRDefault="00932789" w14:paraId="08FBB96C" w14:textId="77777777">
            <w:pPr>
              <w:jc w:val="center"/>
              <w:rPr>
                <w:rFonts w:ascii="Palatino Linotype" w:hAnsi="Palatino Linotype"/>
                <w:b/>
                <w:sz w:val="22"/>
                <w:szCs w:val="22"/>
              </w:rPr>
            </w:pPr>
            <w:r w:rsidRPr="00911518">
              <w:rPr>
                <w:rFonts w:ascii="Palatino Linotype" w:hAnsi="Palatino Linotype"/>
                <w:b/>
                <w:sz w:val="22"/>
                <w:szCs w:val="22"/>
              </w:rPr>
              <w:t>Original</w:t>
            </w:r>
          </w:p>
          <w:p w:rsidRPr="00911518" w:rsidR="00932789" w:rsidP="00A07617" w:rsidRDefault="00932789" w14:paraId="3C0523B3" w14:textId="77777777">
            <w:pPr>
              <w:jc w:val="center"/>
              <w:rPr>
                <w:rFonts w:ascii="Palatino Linotype" w:hAnsi="Palatino Linotype"/>
                <w:b/>
                <w:sz w:val="22"/>
                <w:szCs w:val="22"/>
              </w:rPr>
            </w:pPr>
            <w:r w:rsidRPr="00911518">
              <w:rPr>
                <w:rFonts w:ascii="Palatino Linotype" w:hAnsi="Palatino Linotype"/>
                <w:b/>
                <w:sz w:val="22"/>
                <w:szCs w:val="22"/>
              </w:rPr>
              <w:t>Reported</w:t>
            </w:r>
          </w:p>
          <w:p w:rsidRPr="00911518" w:rsidR="00932789" w:rsidP="00A07617" w:rsidRDefault="00932789" w14:paraId="2C375E19" w14:textId="77777777">
            <w:pPr>
              <w:jc w:val="center"/>
              <w:rPr>
                <w:rFonts w:ascii="Palatino Linotype" w:hAnsi="Palatino Linotype"/>
                <w:b/>
                <w:sz w:val="22"/>
                <w:szCs w:val="22"/>
              </w:rPr>
            </w:pPr>
            <w:r w:rsidRPr="00911518">
              <w:rPr>
                <w:rFonts w:ascii="Palatino Linotype" w:hAnsi="Palatino Linotype"/>
                <w:b/>
                <w:sz w:val="22"/>
                <w:szCs w:val="22"/>
              </w:rPr>
              <w:t>Amount</w:t>
            </w:r>
          </w:p>
        </w:tc>
        <w:tc>
          <w:tcPr>
            <w:tcW w:w="1034" w:type="dxa"/>
          </w:tcPr>
          <w:p w:rsidRPr="00911518" w:rsidR="00932789" w:rsidP="00A07617" w:rsidRDefault="00932789" w14:paraId="6321B747" w14:textId="77777777">
            <w:pPr>
              <w:jc w:val="center"/>
              <w:rPr>
                <w:rFonts w:ascii="Palatino Linotype" w:hAnsi="Palatino Linotype"/>
                <w:b/>
                <w:sz w:val="22"/>
                <w:szCs w:val="22"/>
              </w:rPr>
            </w:pPr>
            <w:r w:rsidRPr="00911518">
              <w:rPr>
                <w:rFonts w:ascii="Palatino Linotype" w:hAnsi="Palatino Linotype"/>
                <w:b/>
                <w:sz w:val="22"/>
                <w:szCs w:val="22"/>
              </w:rPr>
              <w:t>Prepaid</w:t>
            </w:r>
          </w:p>
          <w:p w:rsidRPr="00911518" w:rsidR="00932789" w:rsidP="00A07617" w:rsidRDefault="00932789" w14:paraId="1F81029A" w14:textId="77777777">
            <w:pPr>
              <w:jc w:val="center"/>
              <w:rPr>
                <w:rFonts w:ascii="Palatino Linotype" w:hAnsi="Palatino Linotype"/>
                <w:b/>
                <w:sz w:val="22"/>
                <w:szCs w:val="22"/>
              </w:rPr>
            </w:pPr>
            <w:r w:rsidRPr="00911518">
              <w:rPr>
                <w:rFonts w:ascii="Palatino Linotype" w:hAnsi="Palatino Linotype"/>
                <w:b/>
                <w:sz w:val="22"/>
                <w:szCs w:val="22"/>
              </w:rPr>
              <w:t>Revenue</w:t>
            </w:r>
          </w:p>
        </w:tc>
        <w:tc>
          <w:tcPr>
            <w:tcW w:w="945" w:type="dxa"/>
          </w:tcPr>
          <w:p w:rsidRPr="00911518" w:rsidR="00932789" w:rsidP="00A07617" w:rsidRDefault="00932789" w14:paraId="334D7F53" w14:textId="77777777">
            <w:pPr>
              <w:jc w:val="center"/>
              <w:rPr>
                <w:rFonts w:ascii="Palatino Linotype" w:hAnsi="Palatino Linotype"/>
                <w:b/>
                <w:sz w:val="22"/>
                <w:szCs w:val="22"/>
              </w:rPr>
            </w:pPr>
            <w:r w:rsidRPr="00911518">
              <w:rPr>
                <w:rFonts w:ascii="Palatino Linotype" w:hAnsi="Palatino Linotype"/>
                <w:b/>
                <w:sz w:val="22"/>
                <w:szCs w:val="22"/>
              </w:rPr>
              <w:t>Prepaid</w:t>
            </w:r>
          </w:p>
          <w:p w:rsidRPr="00911518" w:rsidR="00932789" w:rsidP="00A07617" w:rsidRDefault="00932789" w14:paraId="3F1A6187" w14:textId="77777777">
            <w:pPr>
              <w:jc w:val="center"/>
              <w:rPr>
                <w:rFonts w:ascii="Palatino Linotype" w:hAnsi="Palatino Linotype"/>
                <w:b/>
                <w:sz w:val="22"/>
                <w:szCs w:val="22"/>
              </w:rPr>
            </w:pPr>
            <w:r w:rsidRPr="00911518">
              <w:rPr>
                <w:rFonts w:ascii="Palatino Linotype" w:hAnsi="Palatino Linotype"/>
                <w:b/>
                <w:sz w:val="22"/>
                <w:szCs w:val="22"/>
              </w:rPr>
              <w:t>Voice</w:t>
            </w:r>
          </w:p>
        </w:tc>
        <w:tc>
          <w:tcPr>
            <w:tcW w:w="945" w:type="dxa"/>
          </w:tcPr>
          <w:p w:rsidRPr="00911518" w:rsidR="00932789" w:rsidP="00A07617" w:rsidRDefault="00932789" w14:paraId="721C51BB" w14:textId="77777777">
            <w:pPr>
              <w:jc w:val="center"/>
              <w:rPr>
                <w:rFonts w:ascii="Palatino Linotype" w:hAnsi="Palatino Linotype"/>
                <w:b/>
                <w:sz w:val="22"/>
                <w:szCs w:val="22"/>
              </w:rPr>
            </w:pPr>
            <w:r w:rsidRPr="00911518">
              <w:rPr>
                <w:rFonts w:ascii="Palatino Linotype" w:hAnsi="Palatino Linotype"/>
                <w:b/>
                <w:sz w:val="22"/>
                <w:szCs w:val="22"/>
              </w:rPr>
              <w:t>Prepaid</w:t>
            </w:r>
          </w:p>
          <w:p w:rsidRPr="00911518" w:rsidR="00932789" w:rsidP="00A07617" w:rsidRDefault="00932789" w14:paraId="43785D08" w14:textId="77777777">
            <w:pPr>
              <w:jc w:val="center"/>
              <w:rPr>
                <w:rFonts w:ascii="Palatino Linotype" w:hAnsi="Palatino Linotype"/>
                <w:b/>
                <w:sz w:val="22"/>
                <w:szCs w:val="22"/>
              </w:rPr>
            </w:pPr>
            <w:r w:rsidRPr="00911518">
              <w:rPr>
                <w:rFonts w:ascii="Palatino Linotype" w:hAnsi="Palatino Linotype"/>
                <w:b/>
                <w:sz w:val="22"/>
                <w:szCs w:val="22"/>
              </w:rPr>
              <w:t>SMS</w:t>
            </w:r>
          </w:p>
        </w:tc>
        <w:tc>
          <w:tcPr>
            <w:tcW w:w="945" w:type="dxa"/>
          </w:tcPr>
          <w:p w:rsidRPr="00911518" w:rsidR="00932789" w:rsidP="00A07617" w:rsidRDefault="00932789" w14:paraId="7B95DD89" w14:textId="77777777">
            <w:pPr>
              <w:jc w:val="center"/>
              <w:rPr>
                <w:rFonts w:ascii="Palatino Linotype" w:hAnsi="Palatino Linotype"/>
                <w:b/>
                <w:sz w:val="22"/>
                <w:szCs w:val="22"/>
              </w:rPr>
            </w:pPr>
            <w:r w:rsidRPr="00911518">
              <w:rPr>
                <w:rFonts w:ascii="Palatino Linotype" w:hAnsi="Palatino Linotype"/>
                <w:b/>
                <w:sz w:val="22"/>
                <w:szCs w:val="22"/>
              </w:rPr>
              <w:t>Prepaid</w:t>
            </w:r>
          </w:p>
          <w:p w:rsidRPr="00911518" w:rsidR="00932789" w:rsidP="00A07617" w:rsidRDefault="00932789" w14:paraId="3F60C49C" w14:textId="77777777">
            <w:pPr>
              <w:jc w:val="center"/>
              <w:rPr>
                <w:rFonts w:ascii="Palatino Linotype" w:hAnsi="Palatino Linotype"/>
                <w:b/>
                <w:sz w:val="22"/>
                <w:szCs w:val="22"/>
              </w:rPr>
            </w:pPr>
            <w:r w:rsidRPr="00911518">
              <w:rPr>
                <w:rFonts w:ascii="Palatino Linotype" w:hAnsi="Palatino Linotype"/>
                <w:b/>
                <w:sz w:val="22"/>
                <w:szCs w:val="22"/>
              </w:rPr>
              <w:t>Data</w:t>
            </w:r>
          </w:p>
        </w:tc>
        <w:tc>
          <w:tcPr>
            <w:tcW w:w="1104" w:type="dxa"/>
          </w:tcPr>
          <w:p w:rsidRPr="00911518" w:rsidR="00932789" w:rsidP="00A07617" w:rsidRDefault="00932789" w14:paraId="7E63679D" w14:textId="77777777">
            <w:pPr>
              <w:jc w:val="center"/>
              <w:rPr>
                <w:rFonts w:ascii="Palatino Linotype" w:hAnsi="Palatino Linotype"/>
                <w:b/>
                <w:sz w:val="22"/>
                <w:szCs w:val="22"/>
              </w:rPr>
            </w:pPr>
            <w:r w:rsidRPr="00911518">
              <w:rPr>
                <w:rFonts w:ascii="Palatino Linotype" w:hAnsi="Palatino Linotype"/>
                <w:b/>
                <w:sz w:val="22"/>
                <w:szCs w:val="22"/>
              </w:rPr>
              <w:t>Intrastate</w:t>
            </w:r>
          </w:p>
          <w:p w:rsidRPr="00911518" w:rsidR="00932789" w:rsidP="00A07617" w:rsidRDefault="00932789" w14:paraId="468AF529" w14:textId="77777777">
            <w:pPr>
              <w:jc w:val="center"/>
              <w:rPr>
                <w:rFonts w:ascii="Palatino Linotype" w:hAnsi="Palatino Linotype"/>
                <w:b/>
                <w:sz w:val="22"/>
                <w:szCs w:val="22"/>
              </w:rPr>
            </w:pPr>
            <w:r w:rsidRPr="00911518">
              <w:rPr>
                <w:rFonts w:ascii="Palatino Linotype" w:hAnsi="Palatino Linotype"/>
                <w:b/>
                <w:sz w:val="22"/>
                <w:szCs w:val="22"/>
              </w:rPr>
              <w:t>Factor</w:t>
            </w:r>
          </w:p>
        </w:tc>
        <w:tc>
          <w:tcPr>
            <w:tcW w:w="1104" w:type="dxa"/>
          </w:tcPr>
          <w:p w:rsidRPr="00911518" w:rsidR="00932789" w:rsidP="00A07617" w:rsidRDefault="00932789" w14:paraId="5BEBFAF0" w14:textId="77777777">
            <w:pPr>
              <w:jc w:val="center"/>
              <w:rPr>
                <w:rFonts w:ascii="Palatino Linotype" w:hAnsi="Palatino Linotype"/>
                <w:b/>
                <w:sz w:val="22"/>
                <w:szCs w:val="22"/>
              </w:rPr>
            </w:pPr>
            <w:r w:rsidRPr="00911518">
              <w:rPr>
                <w:rFonts w:ascii="Palatino Linotype" w:hAnsi="Palatino Linotype"/>
                <w:b/>
                <w:sz w:val="22"/>
                <w:szCs w:val="22"/>
              </w:rPr>
              <w:t>Intrastate</w:t>
            </w:r>
          </w:p>
          <w:p w:rsidRPr="00911518" w:rsidR="00932789" w:rsidP="00A07617" w:rsidRDefault="00932789" w14:paraId="0706A940" w14:textId="77777777">
            <w:pPr>
              <w:jc w:val="center"/>
              <w:rPr>
                <w:rFonts w:ascii="Palatino Linotype" w:hAnsi="Palatino Linotype"/>
                <w:b/>
                <w:sz w:val="22"/>
                <w:szCs w:val="22"/>
              </w:rPr>
            </w:pPr>
            <w:r w:rsidRPr="00911518">
              <w:rPr>
                <w:rFonts w:ascii="Palatino Linotype" w:hAnsi="Palatino Linotype"/>
                <w:b/>
                <w:sz w:val="22"/>
                <w:szCs w:val="22"/>
              </w:rPr>
              <w:t>Prepaid</w:t>
            </w:r>
          </w:p>
          <w:p w:rsidRPr="00911518" w:rsidR="00932789" w:rsidP="00A07617" w:rsidRDefault="00932789" w14:paraId="2597AA7C" w14:textId="77777777">
            <w:pPr>
              <w:jc w:val="center"/>
              <w:rPr>
                <w:rFonts w:ascii="Palatino Linotype" w:hAnsi="Palatino Linotype"/>
                <w:b/>
                <w:sz w:val="22"/>
                <w:szCs w:val="22"/>
              </w:rPr>
            </w:pPr>
            <w:r w:rsidRPr="00911518">
              <w:rPr>
                <w:rFonts w:ascii="Palatino Linotype" w:hAnsi="Palatino Linotype"/>
                <w:b/>
                <w:sz w:val="22"/>
                <w:szCs w:val="22"/>
              </w:rPr>
              <w:t>Data</w:t>
            </w:r>
          </w:p>
        </w:tc>
        <w:tc>
          <w:tcPr>
            <w:tcW w:w="1309" w:type="dxa"/>
          </w:tcPr>
          <w:p w:rsidRPr="00911518" w:rsidR="00932789" w:rsidP="00A07617" w:rsidRDefault="00932789" w14:paraId="46740D4B" w14:textId="77777777">
            <w:pPr>
              <w:jc w:val="center"/>
              <w:rPr>
                <w:rFonts w:ascii="Palatino Linotype" w:hAnsi="Palatino Linotype"/>
                <w:b/>
                <w:sz w:val="22"/>
                <w:szCs w:val="22"/>
              </w:rPr>
            </w:pPr>
            <w:r w:rsidRPr="00911518">
              <w:rPr>
                <w:rFonts w:ascii="Palatino Linotype" w:hAnsi="Palatino Linotype"/>
                <w:b/>
                <w:sz w:val="22"/>
                <w:szCs w:val="22"/>
              </w:rPr>
              <w:t>Correct Revenue</w:t>
            </w:r>
          </w:p>
          <w:p w:rsidRPr="00911518" w:rsidR="00932789" w:rsidP="00A07617" w:rsidRDefault="00932789" w14:paraId="6D2EE390" w14:textId="77777777">
            <w:pPr>
              <w:jc w:val="center"/>
              <w:rPr>
                <w:rFonts w:ascii="Palatino Linotype" w:hAnsi="Palatino Linotype"/>
                <w:b/>
                <w:sz w:val="22"/>
                <w:szCs w:val="22"/>
              </w:rPr>
            </w:pPr>
            <w:r w:rsidRPr="00911518">
              <w:rPr>
                <w:rFonts w:ascii="Palatino Linotype" w:hAnsi="Palatino Linotype"/>
                <w:b/>
                <w:sz w:val="22"/>
                <w:szCs w:val="22"/>
              </w:rPr>
              <w:t>Amount</w:t>
            </w:r>
          </w:p>
        </w:tc>
      </w:tr>
      <w:tr w:rsidRPr="00911518" w:rsidR="00932789" w:rsidTr="00A07617" w14:paraId="4996C338" w14:textId="77777777">
        <w:trPr>
          <w:jc w:val="center"/>
        </w:trPr>
        <w:tc>
          <w:tcPr>
            <w:tcW w:w="1159" w:type="dxa"/>
            <w:vAlign w:val="center"/>
          </w:tcPr>
          <w:p w:rsidRPr="00911518" w:rsidR="00932789" w:rsidP="00A07617" w:rsidRDefault="00932789" w14:paraId="4D23B7DE" w14:textId="77777777">
            <w:pPr>
              <w:jc w:val="center"/>
              <w:rPr>
                <w:rFonts w:ascii="Palatino Linotype" w:hAnsi="Palatino Linotype"/>
                <w:bCs/>
                <w:sz w:val="22"/>
                <w:szCs w:val="22"/>
              </w:rPr>
            </w:pPr>
            <w:r w:rsidRPr="00911518">
              <w:rPr>
                <w:rFonts w:ascii="Palatino Linotype" w:hAnsi="Palatino Linotype"/>
                <w:bCs/>
                <w:sz w:val="22"/>
                <w:szCs w:val="22"/>
              </w:rPr>
              <w:t>(A)</w:t>
            </w:r>
          </w:p>
        </w:tc>
        <w:tc>
          <w:tcPr>
            <w:tcW w:w="1080" w:type="dxa"/>
            <w:vAlign w:val="center"/>
          </w:tcPr>
          <w:p w:rsidRPr="00911518" w:rsidR="00932789" w:rsidP="00A07617" w:rsidRDefault="00932789" w14:paraId="6E51B07D" w14:textId="77777777">
            <w:pPr>
              <w:jc w:val="center"/>
              <w:rPr>
                <w:rFonts w:ascii="Palatino Linotype" w:hAnsi="Palatino Linotype"/>
                <w:bCs/>
                <w:sz w:val="22"/>
                <w:szCs w:val="22"/>
              </w:rPr>
            </w:pPr>
            <w:r w:rsidRPr="00911518">
              <w:rPr>
                <w:rFonts w:ascii="Palatino Linotype" w:hAnsi="Palatino Linotype"/>
                <w:bCs/>
                <w:sz w:val="22"/>
                <w:szCs w:val="22"/>
              </w:rPr>
              <w:t>(B)</w:t>
            </w:r>
          </w:p>
        </w:tc>
        <w:tc>
          <w:tcPr>
            <w:tcW w:w="1034" w:type="dxa"/>
            <w:vAlign w:val="center"/>
          </w:tcPr>
          <w:p w:rsidRPr="00911518" w:rsidR="00932789" w:rsidP="00A07617" w:rsidRDefault="00932789" w14:paraId="4EEC9A61" w14:textId="77777777">
            <w:pPr>
              <w:jc w:val="center"/>
              <w:rPr>
                <w:rFonts w:ascii="Palatino Linotype" w:hAnsi="Palatino Linotype"/>
                <w:bCs/>
                <w:sz w:val="22"/>
                <w:szCs w:val="22"/>
              </w:rPr>
            </w:pPr>
            <w:r w:rsidRPr="00911518">
              <w:rPr>
                <w:rFonts w:ascii="Palatino Linotype" w:hAnsi="Palatino Linotype"/>
                <w:bCs/>
                <w:sz w:val="22"/>
                <w:szCs w:val="22"/>
              </w:rPr>
              <w:t>(C)</w:t>
            </w:r>
          </w:p>
        </w:tc>
        <w:tc>
          <w:tcPr>
            <w:tcW w:w="945" w:type="dxa"/>
            <w:vAlign w:val="center"/>
          </w:tcPr>
          <w:p w:rsidR="00932789" w:rsidP="00A07617" w:rsidRDefault="00932789" w14:paraId="65EB5586" w14:textId="77777777">
            <w:pPr>
              <w:jc w:val="center"/>
              <w:rPr>
                <w:rFonts w:ascii="Palatino Linotype" w:hAnsi="Palatino Linotype"/>
                <w:bCs/>
                <w:sz w:val="22"/>
                <w:szCs w:val="22"/>
              </w:rPr>
            </w:pPr>
            <w:r w:rsidRPr="00911518">
              <w:rPr>
                <w:rFonts w:ascii="Palatino Linotype" w:hAnsi="Palatino Linotype"/>
                <w:bCs/>
                <w:sz w:val="22"/>
                <w:szCs w:val="22"/>
              </w:rPr>
              <w:t xml:space="preserve">(D) = </w:t>
            </w:r>
          </w:p>
          <w:p w:rsidRPr="00911518" w:rsidR="00932789" w:rsidP="00A07617" w:rsidRDefault="00932789" w14:paraId="103CF12A" w14:textId="77777777">
            <w:pPr>
              <w:jc w:val="center"/>
              <w:rPr>
                <w:rFonts w:ascii="Palatino Linotype" w:hAnsi="Palatino Linotype"/>
                <w:bCs/>
                <w:sz w:val="22"/>
                <w:szCs w:val="22"/>
              </w:rPr>
            </w:pPr>
            <w:r w:rsidRPr="00911518">
              <w:rPr>
                <w:rFonts w:ascii="Palatino Linotype" w:hAnsi="Palatino Linotype"/>
                <w:bCs/>
                <w:sz w:val="22"/>
                <w:szCs w:val="22"/>
              </w:rPr>
              <w:t>(C * %)</w:t>
            </w:r>
          </w:p>
        </w:tc>
        <w:tc>
          <w:tcPr>
            <w:tcW w:w="945" w:type="dxa"/>
            <w:vAlign w:val="center"/>
          </w:tcPr>
          <w:p w:rsidR="00932789" w:rsidP="00A07617" w:rsidRDefault="00932789" w14:paraId="0CFC98ED" w14:textId="77777777">
            <w:pPr>
              <w:jc w:val="center"/>
              <w:rPr>
                <w:rFonts w:ascii="Palatino Linotype" w:hAnsi="Palatino Linotype"/>
                <w:bCs/>
                <w:sz w:val="22"/>
                <w:szCs w:val="22"/>
              </w:rPr>
            </w:pPr>
            <w:r w:rsidRPr="00911518">
              <w:rPr>
                <w:rFonts w:ascii="Palatino Linotype" w:hAnsi="Palatino Linotype"/>
                <w:bCs/>
                <w:sz w:val="22"/>
                <w:szCs w:val="22"/>
              </w:rPr>
              <w:t xml:space="preserve">(E) = </w:t>
            </w:r>
          </w:p>
          <w:p w:rsidRPr="00911518" w:rsidR="00932789" w:rsidP="00A07617" w:rsidRDefault="00932789" w14:paraId="51836635" w14:textId="77777777">
            <w:pPr>
              <w:jc w:val="center"/>
              <w:rPr>
                <w:rFonts w:ascii="Palatino Linotype" w:hAnsi="Palatino Linotype"/>
                <w:bCs/>
                <w:sz w:val="22"/>
                <w:szCs w:val="22"/>
              </w:rPr>
            </w:pPr>
            <w:r w:rsidRPr="00911518">
              <w:rPr>
                <w:rFonts w:ascii="Palatino Linotype" w:hAnsi="Palatino Linotype"/>
                <w:bCs/>
                <w:sz w:val="22"/>
                <w:szCs w:val="22"/>
              </w:rPr>
              <w:t>(C * %)</w:t>
            </w:r>
          </w:p>
        </w:tc>
        <w:tc>
          <w:tcPr>
            <w:tcW w:w="945" w:type="dxa"/>
            <w:vAlign w:val="center"/>
          </w:tcPr>
          <w:p w:rsidRPr="00911518" w:rsidR="00932789" w:rsidP="00A07617" w:rsidRDefault="00932789" w14:paraId="38F4DC3E" w14:textId="77777777">
            <w:pPr>
              <w:jc w:val="center"/>
              <w:rPr>
                <w:rFonts w:ascii="Palatino Linotype" w:hAnsi="Palatino Linotype"/>
                <w:bCs/>
                <w:sz w:val="22"/>
                <w:szCs w:val="22"/>
              </w:rPr>
            </w:pPr>
            <w:r w:rsidRPr="00911518">
              <w:rPr>
                <w:rFonts w:ascii="Palatino Linotype" w:hAnsi="Palatino Linotype"/>
                <w:bCs/>
                <w:sz w:val="22"/>
                <w:szCs w:val="22"/>
              </w:rPr>
              <w:t>(F) =</w:t>
            </w:r>
          </w:p>
          <w:p w:rsidRPr="00911518" w:rsidR="00932789" w:rsidP="00A07617" w:rsidRDefault="00932789" w14:paraId="24B1F9F6" w14:textId="77777777">
            <w:pPr>
              <w:jc w:val="center"/>
              <w:rPr>
                <w:rFonts w:ascii="Palatino Linotype" w:hAnsi="Palatino Linotype"/>
                <w:bCs/>
                <w:sz w:val="22"/>
                <w:szCs w:val="22"/>
              </w:rPr>
            </w:pPr>
            <w:r w:rsidRPr="00911518">
              <w:rPr>
                <w:rFonts w:ascii="Palatino Linotype" w:hAnsi="Palatino Linotype"/>
                <w:bCs/>
                <w:sz w:val="22"/>
                <w:szCs w:val="22"/>
              </w:rPr>
              <w:t>(C * %)</w:t>
            </w:r>
          </w:p>
        </w:tc>
        <w:tc>
          <w:tcPr>
            <w:tcW w:w="1104" w:type="dxa"/>
            <w:vAlign w:val="center"/>
          </w:tcPr>
          <w:p w:rsidRPr="00911518" w:rsidR="00932789" w:rsidP="00A07617" w:rsidRDefault="00932789" w14:paraId="5ACF1820" w14:textId="77777777">
            <w:pPr>
              <w:jc w:val="center"/>
              <w:rPr>
                <w:rFonts w:ascii="Palatino Linotype" w:hAnsi="Palatino Linotype"/>
                <w:bCs/>
                <w:sz w:val="22"/>
                <w:szCs w:val="22"/>
              </w:rPr>
            </w:pPr>
            <w:r w:rsidRPr="00911518">
              <w:rPr>
                <w:rFonts w:ascii="Palatino Linotype" w:hAnsi="Palatino Linotype"/>
                <w:bCs/>
                <w:sz w:val="22"/>
                <w:szCs w:val="22"/>
              </w:rPr>
              <w:t>(G)</w:t>
            </w:r>
          </w:p>
        </w:tc>
        <w:tc>
          <w:tcPr>
            <w:tcW w:w="1104" w:type="dxa"/>
            <w:vAlign w:val="center"/>
          </w:tcPr>
          <w:p w:rsidRPr="00911518" w:rsidR="00932789" w:rsidP="00A07617" w:rsidRDefault="00932789" w14:paraId="55DD6196" w14:textId="77777777">
            <w:pPr>
              <w:jc w:val="center"/>
              <w:rPr>
                <w:rFonts w:ascii="Palatino Linotype" w:hAnsi="Palatino Linotype"/>
                <w:bCs/>
                <w:sz w:val="22"/>
                <w:szCs w:val="22"/>
              </w:rPr>
            </w:pPr>
            <w:r w:rsidRPr="00911518">
              <w:rPr>
                <w:rFonts w:ascii="Palatino Linotype" w:hAnsi="Palatino Linotype"/>
                <w:bCs/>
                <w:sz w:val="22"/>
                <w:szCs w:val="22"/>
              </w:rPr>
              <w:t>(H) =</w:t>
            </w:r>
          </w:p>
          <w:p w:rsidRPr="00911518" w:rsidR="00932789" w:rsidP="00A07617" w:rsidRDefault="00932789" w14:paraId="28F588CB" w14:textId="77777777">
            <w:pPr>
              <w:jc w:val="center"/>
              <w:rPr>
                <w:rFonts w:ascii="Palatino Linotype" w:hAnsi="Palatino Linotype"/>
                <w:bCs/>
                <w:sz w:val="22"/>
                <w:szCs w:val="22"/>
              </w:rPr>
            </w:pPr>
            <w:r w:rsidRPr="00911518">
              <w:rPr>
                <w:rFonts w:ascii="Palatino Linotype" w:hAnsi="Palatino Linotype"/>
                <w:bCs/>
                <w:sz w:val="22"/>
                <w:szCs w:val="22"/>
              </w:rPr>
              <w:t>(F * G)</w:t>
            </w:r>
          </w:p>
        </w:tc>
        <w:tc>
          <w:tcPr>
            <w:tcW w:w="1309" w:type="dxa"/>
            <w:vAlign w:val="center"/>
          </w:tcPr>
          <w:p w:rsidRPr="00911518" w:rsidR="00932789" w:rsidP="00A07617" w:rsidRDefault="00932789" w14:paraId="6E8D8A4B" w14:textId="77777777">
            <w:pPr>
              <w:jc w:val="center"/>
              <w:rPr>
                <w:rFonts w:ascii="Palatino Linotype" w:hAnsi="Palatino Linotype"/>
                <w:bCs/>
                <w:sz w:val="22"/>
                <w:szCs w:val="22"/>
              </w:rPr>
            </w:pPr>
            <w:r w:rsidRPr="00911518">
              <w:rPr>
                <w:rFonts w:ascii="Palatino Linotype" w:hAnsi="Palatino Linotype"/>
                <w:bCs/>
                <w:sz w:val="22"/>
                <w:szCs w:val="22"/>
              </w:rPr>
              <w:t>(I) =</w:t>
            </w:r>
          </w:p>
          <w:p w:rsidRPr="00911518" w:rsidR="00932789" w:rsidP="00A07617" w:rsidRDefault="00932789" w14:paraId="46FF4214" w14:textId="77777777">
            <w:pPr>
              <w:jc w:val="center"/>
              <w:rPr>
                <w:rFonts w:ascii="Palatino Linotype" w:hAnsi="Palatino Linotype"/>
                <w:bCs/>
                <w:sz w:val="22"/>
                <w:szCs w:val="22"/>
              </w:rPr>
            </w:pPr>
            <w:r w:rsidRPr="00911518">
              <w:rPr>
                <w:rFonts w:ascii="Palatino Linotype" w:hAnsi="Palatino Linotype"/>
                <w:bCs/>
                <w:sz w:val="22"/>
                <w:szCs w:val="22"/>
              </w:rPr>
              <w:t>(B - H)</w:t>
            </w:r>
          </w:p>
        </w:tc>
      </w:tr>
    </w:tbl>
    <w:p w:rsidR="00932789" w:rsidP="00932789" w:rsidRDefault="00932789" w14:paraId="37CC1FE6" w14:textId="77777777">
      <w:pPr>
        <w:rPr>
          <w:rFonts w:ascii="Palatino Linotype" w:hAnsi="Palatino Linotype"/>
          <w:b/>
        </w:rPr>
      </w:pPr>
    </w:p>
    <w:p w:rsidRPr="00230C60" w:rsidR="00932789" w:rsidP="00932789" w:rsidRDefault="00932789" w14:paraId="2CF08B41" w14:textId="77777777">
      <w:pPr>
        <w:rPr>
          <w:rFonts w:ascii="Palatino Linotype" w:hAnsi="Palatino Linotype"/>
        </w:rPr>
      </w:pPr>
      <w:r w:rsidRPr="00230C60">
        <w:rPr>
          <w:rFonts w:ascii="Palatino Linotype" w:hAnsi="Palatino Linotype"/>
        </w:rPr>
        <w:t xml:space="preserve">In the same spreadsheets, to illustrate the dollar amounts of surcharges and user fees </w:t>
      </w:r>
      <w:r>
        <w:rPr>
          <w:rFonts w:ascii="Palatino Linotype" w:hAnsi="Palatino Linotype"/>
        </w:rPr>
        <w:t xml:space="preserve">its alleged were </w:t>
      </w:r>
      <w:r w:rsidRPr="00230C60">
        <w:rPr>
          <w:rFonts w:ascii="Palatino Linotype" w:hAnsi="Palatino Linotype"/>
        </w:rPr>
        <w:t>overpaid to the Commission (Q,</w:t>
      </w:r>
      <w:r>
        <w:rPr>
          <w:rFonts w:ascii="Palatino Linotype" w:hAnsi="Palatino Linotype"/>
        </w:rPr>
        <w:t xml:space="preserve"> </w:t>
      </w:r>
      <w:r w:rsidRPr="00230C60">
        <w:rPr>
          <w:rFonts w:ascii="Palatino Linotype" w:hAnsi="Palatino Linotype"/>
        </w:rPr>
        <w:t xml:space="preserve">R…W), AT&amp;T Mobility multiplied the </w:t>
      </w:r>
      <w:r w:rsidRPr="00230C60">
        <w:rPr>
          <w:rFonts w:ascii="Palatino Linotype" w:hAnsi="Palatino Linotype"/>
        </w:rPr>
        <w:lastRenderedPageBreak/>
        <w:t>intrastate prepaid data revenues (H) by each individual program’s rates effective for the corresponding time periods (J,</w:t>
      </w:r>
      <w:r>
        <w:rPr>
          <w:rFonts w:ascii="Palatino Linotype" w:hAnsi="Palatino Linotype"/>
        </w:rPr>
        <w:t xml:space="preserve"> </w:t>
      </w:r>
      <w:r w:rsidRPr="00230C60">
        <w:rPr>
          <w:rFonts w:ascii="Palatino Linotype" w:hAnsi="Palatino Linotype"/>
        </w:rPr>
        <w:t>K…P).</w:t>
      </w:r>
    </w:p>
    <w:p w:rsidRPr="00230C60" w:rsidR="00932789" w:rsidP="00932789" w:rsidRDefault="00932789" w14:paraId="231B0825" w14:textId="77777777"/>
    <w:p w:rsidR="00932789" w:rsidP="00932789" w:rsidRDefault="00932789" w14:paraId="5F142A83" w14:textId="77777777">
      <w:pPr>
        <w:rPr>
          <w:rFonts w:ascii="Palatino Linotype" w:hAnsi="Palatino Linotype"/>
          <w:b/>
        </w:rPr>
      </w:pPr>
    </w:p>
    <w:p w:rsidRPr="00230C60" w:rsidR="00932789" w:rsidP="00932789" w:rsidRDefault="00932789" w14:paraId="617F1C12" w14:textId="77777777">
      <w:pPr>
        <w:rPr>
          <w:rFonts w:ascii="Palatino Linotype" w:hAnsi="Palatino Linotype"/>
          <w:b/>
        </w:rPr>
      </w:pPr>
      <w:r w:rsidRPr="00230C60">
        <w:rPr>
          <w:rFonts w:ascii="Palatino Linotype" w:hAnsi="Palatino Linotype"/>
          <w:b/>
        </w:rPr>
        <w:t>Table 5</w:t>
      </w:r>
      <w:r>
        <w:rPr>
          <w:rFonts w:ascii="Palatino Linotype" w:hAnsi="Palatino Linotype"/>
          <w:b/>
        </w:rPr>
        <w:t>. Column Headings and Formula to Calculate Overpayment</w:t>
      </w:r>
    </w:p>
    <w:p w:rsidRPr="00230C60" w:rsidR="00932789" w:rsidP="00932789" w:rsidRDefault="00932789" w14:paraId="6464CCC2" w14:textId="77777777">
      <w:pPr>
        <w:jc w:val="center"/>
        <w:rPr>
          <w:rFonts w:ascii="Palatino Linotype" w:hAnsi="Palatino Linotype"/>
        </w:rPr>
      </w:pPr>
      <w:r w:rsidRPr="00230C60">
        <w:rPr>
          <w:rFonts w:ascii="Palatino Linotype" w:hAnsi="Palatino Linotype"/>
          <w:noProof/>
        </w:rPr>
        <w:drawing>
          <wp:inline distT="0" distB="0" distL="0" distR="0" wp14:anchorId="34652538" wp14:editId="2751A6DE">
            <wp:extent cx="5724525" cy="9334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933450"/>
                    </a:xfrm>
                    <a:prstGeom prst="rect">
                      <a:avLst/>
                    </a:prstGeom>
                    <a:noFill/>
                    <a:ln>
                      <a:noFill/>
                    </a:ln>
                  </pic:spPr>
                </pic:pic>
              </a:graphicData>
            </a:graphic>
          </wp:inline>
        </w:drawing>
      </w:r>
    </w:p>
    <w:p w:rsidRPr="00230C60" w:rsidR="00932789" w:rsidP="00932789" w:rsidRDefault="00932789" w14:paraId="0A100FBD" w14:textId="77777777">
      <w:pPr>
        <w:rPr>
          <w:rFonts w:ascii="Palatino Linotype" w:hAnsi="Palatino Linotype"/>
        </w:rPr>
      </w:pPr>
    </w:p>
    <w:p w:rsidR="00932789" w:rsidP="00932789" w:rsidRDefault="00932789" w14:paraId="2538704C" w14:textId="3BC48870">
      <w:pPr>
        <w:rPr>
          <w:rFonts w:ascii="Palatino Linotype" w:hAnsi="Palatino Linotype"/>
        </w:rPr>
      </w:pPr>
      <w:r w:rsidRPr="00230C60">
        <w:rPr>
          <w:rFonts w:ascii="Palatino Linotype" w:hAnsi="Palatino Linotype"/>
        </w:rPr>
        <w:t xml:space="preserve">Staff believes that AT&amp;T Mobility’s calculation methodology is generally reasonable and utilized </w:t>
      </w:r>
      <w:r>
        <w:rPr>
          <w:rFonts w:ascii="Palatino Linotype" w:hAnsi="Palatino Linotype"/>
        </w:rPr>
        <w:t>the same methodology</w:t>
      </w:r>
      <w:r w:rsidRPr="00230C60">
        <w:rPr>
          <w:rFonts w:ascii="Palatino Linotype" w:hAnsi="Palatino Linotype"/>
        </w:rPr>
        <w:t xml:space="preserve"> to calculate the </w:t>
      </w:r>
      <w:r>
        <w:rPr>
          <w:rFonts w:ascii="Palatino Linotype" w:hAnsi="Palatino Linotype"/>
        </w:rPr>
        <w:t xml:space="preserve">appropriate </w:t>
      </w:r>
      <w:r w:rsidRPr="00230C60">
        <w:rPr>
          <w:rFonts w:ascii="Palatino Linotype" w:hAnsi="Palatino Linotype"/>
        </w:rPr>
        <w:t>final refund amount</w:t>
      </w:r>
      <w:r>
        <w:rPr>
          <w:rFonts w:ascii="Palatino Linotype" w:hAnsi="Palatino Linotype"/>
        </w:rPr>
        <w:t>s</w:t>
      </w:r>
      <w:r w:rsidRPr="00230C60">
        <w:rPr>
          <w:rFonts w:ascii="Palatino Linotype" w:hAnsi="Palatino Linotype"/>
        </w:rPr>
        <w:t xml:space="preserve">. However, in doing so, </w:t>
      </w:r>
      <w:r>
        <w:rPr>
          <w:rFonts w:ascii="Palatino Linotype" w:hAnsi="Palatino Linotype"/>
        </w:rPr>
        <w:t>s</w:t>
      </w:r>
      <w:r w:rsidRPr="00230C60">
        <w:rPr>
          <w:rFonts w:ascii="Palatino Linotype" w:hAnsi="Palatino Linotype"/>
        </w:rPr>
        <w:t xml:space="preserve">taff incorporated adjustments to correct the </w:t>
      </w:r>
      <w:r w:rsidR="00A35564">
        <w:rPr>
          <w:rFonts w:ascii="Palatino Linotype" w:hAnsi="Palatino Linotype"/>
        </w:rPr>
        <w:t>data</w:t>
      </w:r>
      <w:r w:rsidRPr="00230C60">
        <w:rPr>
          <w:rFonts w:ascii="Palatino Linotype" w:hAnsi="Palatino Linotype"/>
        </w:rPr>
        <w:t xml:space="preserve"> used</w:t>
      </w:r>
      <w:r>
        <w:rPr>
          <w:rFonts w:ascii="Palatino Linotype" w:hAnsi="Palatino Linotype"/>
        </w:rPr>
        <w:t xml:space="preserve"> in the calculation</w:t>
      </w:r>
      <w:r w:rsidRPr="00230C60">
        <w:rPr>
          <w:rFonts w:ascii="Palatino Linotype" w:hAnsi="Palatino Linotype"/>
        </w:rPr>
        <w:t>. Among the adjustment made were:</w:t>
      </w:r>
    </w:p>
    <w:p w:rsidRPr="00467F4B" w:rsidR="00932789" w:rsidP="00932789" w:rsidRDefault="00932789" w14:paraId="0138D4A7" w14:textId="77777777">
      <w:pPr>
        <w:rPr>
          <w:rFonts w:ascii="Palatino Linotype" w:hAnsi="Palatino Linotype"/>
          <w:highlight w:val="yellow"/>
        </w:rPr>
      </w:pPr>
    </w:p>
    <w:p w:rsidRPr="00467F4B" w:rsidR="00932789" w:rsidP="00932789" w:rsidRDefault="00932789" w14:paraId="7C42B141" w14:textId="77777777">
      <w:pPr>
        <w:pStyle w:val="ListParagraph"/>
        <w:numPr>
          <w:ilvl w:val="0"/>
          <w:numId w:val="57"/>
        </w:numPr>
        <w:rPr>
          <w:rFonts w:ascii="Palatino Linotype" w:hAnsi="Palatino Linotype"/>
        </w:rPr>
      </w:pPr>
      <w:r w:rsidRPr="00467F4B">
        <w:rPr>
          <w:rFonts w:ascii="Palatino Linotype" w:hAnsi="Palatino Linotype"/>
          <w:b/>
          <w:bCs/>
        </w:rPr>
        <w:t>Reported Intrastate Revenues for User Fee.</w:t>
      </w:r>
      <w:r w:rsidRPr="00467F4B">
        <w:rPr>
          <w:rFonts w:ascii="Palatino Linotype" w:hAnsi="Palatino Linotype"/>
        </w:rPr>
        <w:t xml:space="preserve"> Staff further reviewed and validated the intrastate revenues identified for each reporting period identified by AT&amp;T Mobility. Staff </w:t>
      </w:r>
      <w:r>
        <w:rPr>
          <w:rFonts w:ascii="Palatino Linotype" w:hAnsi="Palatino Linotype"/>
        </w:rPr>
        <w:t>noted</w:t>
      </w:r>
      <w:r w:rsidRPr="00467F4B">
        <w:rPr>
          <w:rFonts w:ascii="Palatino Linotype" w:hAnsi="Palatino Linotype"/>
        </w:rPr>
        <w:t xml:space="preserve"> that AT&amp;T Mobility have reported intrastate revenues differently for surcharge and user fee assessments. Therefore, the allowed </w:t>
      </w:r>
      <w:r>
        <w:rPr>
          <w:rFonts w:ascii="Palatino Linotype" w:hAnsi="Palatino Linotype"/>
        </w:rPr>
        <w:t xml:space="preserve">surcharge and </w:t>
      </w:r>
      <w:r w:rsidRPr="00467F4B">
        <w:rPr>
          <w:rFonts w:ascii="Palatino Linotype" w:hAnsi="Palatino Linotype"/>
        </w:rPr>
        <w:t>user fee refund</w:t>
      </w:r>
      <w:r>
        <w:rPr>
          <w:rFonts w:ascii="Palatino Linotype" w:hAnsi="Palatino Linotype"/>
        </w:rPr>
        <w:t>s</w:t>
      </w:r>
      <w:r w:rsidRPr="00467F4B">
        <w:rPr>
          <w:rFonts w:ascii="Palatino Linotype" w:hAnsi="Palatino Linotype"/>
        </w:rPr>
        <w:t xml:space="preserve"> </w:t>
      </w:r>
      <w:r>
        <w:rPr>
          <w:rFonts w:ascii="Palatino Linotype" w:hAnsi="Palatino Linotype"/>
        </w:rPr>
        <w:t>will be</w:t>
      </w:r>
      <w:r w:rsidRPr="00467F4B">
        <w:rPr>
          <w:rFonts w:ascii="Palatino Linotype" w:hAnsi="Palatino Linotype"/>
        </w:rPr>
        <w:t xml:space="preserve"> based on the actual reported revenue by AT&amp;T Mobility</w:t>
      </w:r>
      <w:r>
        <w:rPr>
          <w:rFonts w:ascii="Palatino Linotype" w:hAnsi="Palatino Linotype"/>
        </w:rPr>
        <w:t xml:space="preserve"> (i.e., user fee refunds will be based on the intrastate revenues</w:t>
      </w:r>
      <w:r w:rsidRPr="00467F4B">
        <w:rPr>
          <w:rFonts w:ascii="Palatino Linotype" w:hAnsi="Palatino Linotype"/>
        </w:rPr>
        <w:t xml:space="preserve"> as reflected in their </w:t>
      </w:r>
      <w:r w:rsidRPr="00FA5115">
        <w:rPr>
          <w:rFonts w:ascii="Palatino Linotype" w:hAnsi="Palatino Linotype"/>
        </w:rPr>
        <w:t>User Fee Statement instead</w:t>
      </w:r>
      <w:r w:rsidRPr="00467F4B">
        <w:rPr>
          <w:rFonts w:ascii="Palatino Linotype" w:hAnsi="Palatino Linotype"/>
        </w:rPr>
        <w:t xml:space="preserve"> of their reported revenue reported in TUFFS</w:t>
      </w:r>
      <w:r>
        <w:rPr>
          <w:rFonts w:ascii="Palatino Linotype" w:hAnsi="Palatino Linotype"/>
        </w:rPr>
        <w:t xml:space="preserve"> and surcharge revenues will be based on revenues reported in TUFFS)</w:t>
      </w:r>
      <w:r w:rsidRPr="00467F4B">
        <w:rPr>
          <w:rFonts w:ascii="Palatino Linotype" w:hAnsi="Palatino Linotype"/>
        </w:rPr>
        <w:t xml:space="preserve">. </w:t>
      </w:r>
    </w:p>
    <w:p w:rsidRPr="00467F4B" w:rsidR="00932789" w:rsidP="00932789" w:rsidRDefault="00932789" w14:paraId="2596F95C" w14:textId="77777777">
      <w:pPr>
        <w:ind w:left="360"/>
        <w:rPr>
          <w:rFonts w:ascii="Palatino Linotype" w:hAnsi="Palatino Linotype"/>
        </w:rPr>
      </w:pPr>
    </w:p>
    <w:p w:rsidRPr="008673AB" w:rsidR="00932789" w:rsidP="00932789" w:rsidRDefault="00932789" w14:paraId="2BE90F45" w14:textId="77777777">
      <w:pPr>
        <w:pStyle w:val="ListParagraph"/>
        <w:numPr>
          <w:ilvl w:val="0"/>
          <w:numId w:val="57"/>
        </w:numPr>
        <w:rPr>
          <w:rFonts w:ascii="Palatino Linotype" w:hAnsi="Palatino Linotype"/>
          <w:b/>
          <w:bCs/>
        </w:rPr>
      </w:pPr>
      <w:r w:rsidRPr="008673AB">
        <w:rPr>
          <w:rFonts w:ascii="Palatino Linotype" w:hAnsi="Palatino Linotype"/>
          <w:b/>
          <w:bCs/>
        </w:rPr>
        <w:t>Service Allocation Factors.</w:t>
      </w:r>
      <w:r w:rsidRPr="008673AB">
        <w:rPr>
          <w:rFonts w:ascii="Palatino Linotype" w:hAnsi="Palatino Linotype"/>
        </w:rPr>
        <w:t xml:space="preserve"> Only three marketing studies were conducted from January 2013 through September 2015, the last of which was conducted in the 3</w:t>
      </w:r>
      <w:r w:rsidRPr="008673AB">
        <w:rPr>
          <w:rFonts w:ascii="Palatino Linotype" w:hAnsi="Palatino Linotype"/>
          <w:vertAlign w:val="superscript"/>
        </w:rPr>
        <w:t>rd</w:t>
      </w:r>
      <w:r w:rsidRPr="008673AB">
        <w:rPr>
          <w:rFonts w:ascii="Palatino Linotype" w:hAnsi="Palatino Linotype"/>
        </w:rPr>
        <w:t xml:space="preserve"> quarter of 2013.</w:t>
      </w:r>
      <w:r w:rsidRPr="00467F4B">
        <w:rPr>
          <w:rStyle w:val="FootnoteReference"/>
          <w:rFonts w:ascii="Palatino Linotype" w:hAnsi="Palatino Linotype"/>
        </w:rPr>
        <w:footnoteReference w:id="15"/>
      </w:r>
      <w:r w:rsidRPr="008673AB">
        <w:rPr>
          <w:rFonts w:ascii="Palatino Linotype" w:hAnsi="Palatino Linotype"/>
        </w:rPr>
        <w:t xml:space="preserve">  After that, the shift from stand-alone to bundled services in mid-June 2015 is the only proof of a change in service allocations provided to the Commission.  For this reason, staff disregards the service allocation figures reflected from the 1</w:t>
      </w:r>
      <w:r w:rsidRPr="008673AB">
        <w:rPr>
          <w:rFonts w:ascii="Palatino Linotype" w:hAnsi="Palatino Linotype"/>
          <w:vertAlign w:val="superscript"/>
        </w:rPr>
        <w:t>st</w:t>
      </w:r>
      <w:r w:rsidRPr="008673AB">
        <w:rPr>
          <w:rFonts w:ascii="Palatino Linotype" w:hAnsi="Palatino Linotype"/>
        </w:rPr>
        <w:t xml:space="preserve"> quarter of 2014 through the 2</w:t>
      </w:r>
      <w:r w:rsidRPr="008673AB">
        <w:rPr>
          <w:rFonts w:ascii="Palatino Linotype" w:hAnsi="Palatino Linotype"/>
          <w:vertAlign w:val="superscript"/>
        </w:rPr>
        <w:t>nd</w:t>
      </w:r>
      <w:r w:rsidRPr="008673AB">
        <w:rPr>
          <w:rFonts w:ascii="Palatino Linotype" w:hAnsi="Palatino Linotype"/>
        </w:rPr>
        <w:t xml:space="preserve"> quarter of 2015.  Instead, staff relied on the documented figures presented for December 2013 period to compute the overpayments from January 2014 through June 2015.  Staff then utilized AT&amp;T Mobility’s provided service allocation figures for January 2013 through December 2013 and July through September 2015 for the corresponding reporting periods. Therefore, staff only used service allocation figures supported by documented marketing studies. </w:t>
      </w:r>
    </w:p>
    <w:p w:rsidRPr="008673AB" w:rsidR="00932789" w:rsidP="00932789" w:rsidRDefault="00932789" w14:paraId="26FBA388" w14:textId="77777777">
      <w:pPr>
        <w:pStyle w:val="ListParagraph"/>
        <w:rPr>
          <w:rFonts w:ascii="Palatino Linotype" w:hAnsi="Palatino Linotype"/>
          <w:b/>
          <w:bCs/>
        </w:rPr>
      </w:pPr>
    </w:p>
    <w:p w:rsidR="00932789" w:rsidP="00932789" w:rsidRDefault="00932789" w14:paraId="1EBD6D9A" w14:textId="77777777">
      <w:pPr>
        <w:pStyle w:val="ListParagraph"/>
        <w:numPr>
          <w:ilvl w:val="0"/>
          <w:numId w:val="57"/>
        </w:numPr>
        <w:rPr>
          <w:rFonts w:ascii="Palatino Linotype" w:hAnsi="Palatino Linotype"/>
        </w:rPr>
      </w:pPr>
      <w:r w:rsidRPr="00467F4B">
        <w:rPr>
          <w:rFonts w:ascii="Palatino Linotype" w:hAnsi="Palatino Linotype"/>
          <w:b/>
          <w:bCs/>
        </w:rPr>
        <w:lastRenderedPageBreak/>
        <w:t>Allowable Refund Period.</w:t>
      </w:r>
      <w:r w:rsidRPr="00467F4B">
        <w:rPr>
          <w:rFonts w:ascii="Palatino Linotype" w:hAnsi="Palatino Linotype"/>
        </w:rPr>
        <w:t xml:space="preserve"> AT&amp;T Mobility requested the refund period from January 2013 through September 2015 for both surcharges and user fees.  AT&amp;T</w:t>
      </w:r>
      <w:r>
        <w:rPr>
          <w:rFonts w:ascii="Palatino Linotype" w:hAnsi="Palatino Linotype"/>
        </w:rPr>
        <w:t xml:space="preserve"> Mobility</w:t>
      </w:r>
      <w:r w:rsidRPr="00467F4B">
        <w:rPr>
          <w:rFonts w:ascii="Palatino Linotype" w:hAnsi="Palatino Linotype"/>
        </w:rPr>
        <w:t xml:space="preserve"> provided notice to the Commission in January 2016 and subsequently </w:t>
      </w:r>
      <w:r>
        <w:rPr>
          <w:rFonts w:ascii="Palatino Linotype" w:hAnsi="Palatino Linotype"/>
        </w:rPr>
        <w:t>submitted</w:t>
      </w:r>
      <w:r w:rsidRPr="00467F4B">
        <w:rPr>
          <w:rFonts w:ascii="Palatino Linotype" w:hAnsi="Palatino Linotype"/>
        </w:rPr>
        <w:t xml:space="preserve"> </w:t>
      </w:r>
      <w:r>
        <w:rPr>
          <w:rFonts w:ascii="Palatino Linotype" w:hAnsi="Palatino Linotype"/>
        </w:rPr>
        <w:t>ALs</w:t>
      </w:r>
      <w:r w:rsidRPr="00467F4B">
        <w:rPr>
          <w:rFonts w:ascii="Palatino Linotype" w:hAnsi="Palatino Linotype"/>
        </w:rPr>
        <w:t xml:space="preserve"> in August 2016. The Government Claims Act requires claims for refunds on surcharges to be submitted within one year of the accrual of the claim.  (See Gov. Code, § 911.2.). Staff had published instructions that stated adjustments in TUFFS could be made within 36 months from the original reported date.  However, staff removed these specific instructions from the Commission’s website before these ALs were </w:t>
      </w:r>
      <w:r>
        <w:rPr>
          <w:rFonts w:ascii="Palatino Linotype" w:hAnsi="Palatino Linotype"/>
        </w:rPr>
        <w:t>submitted</w:t>
      </w:r>
      <w:r w:rsidRPr="00467F4B">
        <w:rPr>
          <w:rFonts w:ascii="Palatino Linotype" w:hAnsi="Palatino Linotype"/>
        </w:rPr>
        <w:t xml:space="preserve"> in August 2016 to be consistent with the Government Claims Act. Therefore, </w:t>
      </w:r>
      <w:r>
        <w:rPr>
          <w:rFonts w:ascii="Palatino Linotype" w:hAnsi="Palatino Linotype"/>
        </w:rPr>
        <w:t>s</w:t>
      </w:r>
      <w:r w:rsidRPr="00467F4B">
        <w:rPr>
          <w:rFonts w:ascii="Palatino Linotype" w:hAnsi="Palatino Linotype"/>
        </w:rPr>
        <w:t xml:space="preserve">taff </w:t>
      </w:r>
      <w:r>
        <w:rPr>
          <w:rFonts w:ascii="Palatino Linotype" w:hAnsi="Palatino Linotype"/>
        </w:rPr>
        <w:t>is recommending that the Commission</w:t>
      </w:r>
      <w:r w:rsidRPr="00467F4B">
        <w:rPr>
          <w:rFonts w:ascii="Palatino Linotype" w:hAnsi="Palatino Linotype"/>
        </w:rPr>
        <w:t xml:space="preserve"> only allow </w:t>
      </w:r>
      <w:r>
        <w:rPr>
          <w:rFonts w:ascii="Palatino Linotype" w:hAnsi="Palatino Linotype"/>
        </w:rPr>
        <w:t>AT&amp;T Mobility</w:t>
      </w:r>
      <w:r w:rsidRPr="00467F4B">
        <w:rPr>
          <w:rFonts w:ascii="Palatino Linotype" w:hAnsi="Palatino Linotype"/>
        </w:rPr>
        <w:t xml:space="preserve"> to obtain the following refunds for the specified period:</w:t>
      </w:r>
    </w:p>
    <w:p w:rsidRPr="00834121" w:rsidR="00932789" w:rsidP="00932789" w:rsidRDefault="00932789" w14:paraId="64227493" w14:textId="77777777">
      <w:pPr>
        <w:pStyle w:val="ListParagraph"/>
        <w:rPr>
          <w:rFonts w:ascii="Palatino Linotype" w:hAnsi="Palatino Linotype"/>
        </w:rPr>
      </w:pPr>
    </w:p>
    <w:p w:rsidRPr="00467F4B" w:rsidR="00932789" w:rsidP="00932789" w:rsidRDefault="00932789" w14:paraId="18DF1E1F" w14:textId="77777777">
      <w:pPr>
        <w:pStyle w:val="ListParagraph"/>
        <w:numPr>
          <w:ilvl w:val="0"/>
          <w:numId w:val="59"/>
        </w:numPr>
        <w:rPr>
          <w:rFonts w:ascii="Palatino Linotype" w:hAnsi="Palatino Linotype"/>
        </w:rPr>
      </w:pPr>
      <w:r w:rsidRPr="00467F4B">
        <w:rPr>
          <w:rFonts w:ascii="Palatino Linotype" w:hAnsi="Palatino Linotype"/>
        </w:rPr>
        <w:t xml:space="preserve">Surcharge refunds from January 2015 through September 2015 periods; and </w:t>
      </w:r>
    </w:p>
    <w:p w:rsidRPr="000A402E" w:rsidR="00932789" w:rsidP="00932789" w:rsidRDefault="00932789" w14:paraId="42934242" w14:textId="77777777">
      <w:pPr>
        <w:pStyle w:val="ListParagraph"/>
        <w:numPr>
          <w:ilvl w:val="0"/>
          <w:numId w:val="59"/>
        </w:numPr>
        <w:rPr>
          <w:rFonts w:ascii="Palatino Linotype" w:hAnsi="Palatino Linotype"/>
        </w:rPr>
      </w:pPr>
      <w:r w:rsidRPr="00467F4B">
        <w:rPr>
          <w:rFonts w:ascii="Palatino Linotype" w:hAnsi="Palatino Linotype"/>
        </w:rPr>
        <w:t xml:space="preserve">User Fee refunds from January 2013 through September 2015 periods. </w:t>
      </w:r>
    </w:p>
    <w:p w:rsidRPr="000A402E" w:rsidR="00932789" w:rsidP="00932789" w:rsidRDefault="00932789" w14:paraId="2661C441" w14:textId="77777777">
      <w:pPr>
        <w:rPr>
          <w:rFonts w:ascii="Palatino Linotype" w:hAnsi="Palatino Linotype"/>
        </w:rPr>
      </w:pPr>
    </w:p>
    <w:p w:rsidR="00932789" w:rsidP="00932789" w:rsidRDefault="00932789" w14:paraId="0FB2C922" w14:textId="77777777">
      <w:pPr>
        <w:rPr>
          <w:rFonts w:ascii="Palatino Linotype" w:hAnsi="Palatino Linotype"/>
        </w:rPr>
      </w:pPr>
      <w:r>
        <w:rPr>
          <w:rFonts w:ascii="Palatino Linotype" w:hAnsi="Palatino Linotype"/>
        </w:rPr>
        <w:t>After incorporating all the adjustments and utilizing the same calculation methodology by AT&amp;T Mobility, t</w:t>
      </w:r>
      <w:r w:rsidRPr="00834121">
        <w:rPr>
          <w:rFonts w:ascii="Palatino Linotype" w:hAnsi="Palatino Linotype"/>
        </w:rPr>
        <w:t xml:space="preserve">he final approved refund amounts are shown in Table </w:t>
      </w:r>
      <w:r>
        <w:rPr>
          <w:rFonts w:ascii="Palatino Linotype" w:hAnsi="Palatino Linotype"/>
        </w:rPr>
        <w:t>6.</w:t>
      </w:r>
      <w:r w:rsidRPr="00834121">
        <w:rPr>
          <w:rFonts w:ascii="Palatino Linotype" w:hAnsi="Palatino Linotype"/>
        </w:rPr>
        <w:t xml:space="preserve"> </w:t>
      </w:r>
    </w:p>
    <w:p w:rsidRPr="00834121" w:rsidR="00932789" w:rsidP="00932789" w:rsidRDefault="00932789" w14:paraId="58DAD6D2" w14:textId="77777777">
      <w:pPr>
        <w:rPr>
          <w:rFonts w:ascii="Palatino Linotype" w:hAnsi="Palatino Linotype"/>
        </w:rPr>
      </w:pPr>
    </w:p>
    <w:p w:rsidRPr="000A402E" w:rsidR="00932789" w:rsidP="00932789" w:rsidRDefault="00932789" w14:paraId="5E701C57" w14:textId="77777777">
      <w:pPr>
        <w:rPr>
          <w:rFonts w:ascii="Palatino Linotype" w:hAnsi="Palatino Linotype"/>
          <w:b/>
        </w:rPr>
      </w:pPr>
      <w:r w:rsidRPr="000A402E">
        <w:rPr>
          <w:rFonts w:ascii="Palatino Linotype" w:hAnsi="Palatino Linotype"/>
          <w:b/>
        </w:rPr>
        <w:t xml:space="preserve">Table </w:t>
      </w:r>
      <w:r>
        <w:rPr>
          <w:rFonts w:ascii="Palatino Linotype" w:hAnsi="Palatino Linotype"/>
          <w:b/>
        </w:rPr>
        <w:t>6</w:t>
      </w:r>
      <w:r w:rsidRPr="000A402E">
        <w:rPr>
          <w:rFonts w:ascii="Palatino Linotype" w:hAnsi="Palatino Linotype"/>
          <w:b/>
        </w:rPr>
        <w:t>: CPUC Approved Refund Amounts</w:t>
      </w:r>
    </w:p>
    <w:tbl>
      <w:tblPr>
        <w:tblW w:w="89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20"/>
        <w:gridCol w:w="1620"/>
        <w:gridCol w:w="1530"/>
        <w:gridCol w:w="1620"/>
      </w:tblGrid>
      <w:tr w:rsidRPr="000A402E" w:rsidR="00932789" w:rsidTr="00A07617" w14:paraId="077DB94F" w14:textId="77777777">
        <w:trPr>
          <w:trHeight w:val="735"/>
        </w:trPr>
        <w:tc>
          <w:tcPr>
            <w:tcW w:w="4220" w:type="dxa"/>
            <w:shd w:val="clear" w:color="auto" w:fill="auto"/>
            <w:vAlign w:val="center"/>
            <w:hideMark/>
          </w:tcPr>
          <w:p w:rsidRPr="000A402E" w:rsidR="00932789" w:rsidP="00A07617" w:rsidRDefault="00932789" w14:paraId="0DFC1E95" w14:textId="77777777">
            <w:pPr>
              <w:jc w:val="center"/>
              <w:rPr>
                <w:rFonts w:ascii="Palatino Linotype" w:hAnsi="Palatino Linotype"/>
                <w:b/>
                <w:bCs/>
              </w:rPr>
            </w:pPr>
            <w:r w:rsidRPr="000A402E">
              <w:rPr>
                <w:rFonts w:ascii="Palatino Linotype" w:hAnsi="Palatino Linotype"/>
                <w:b/>
                <w:bCs/>
              </w:rPr>
              <w:t>Carrier</w:t>
            </w:r>
          </w:p>
        </w:tc>
        <w:tc>
          <w:tcPr>
            <w:tcW w:w="1620" w:type="dxa"/>
            <w:shd w:val="clear" w:color="auto" w:fill="auto"/>
            <w:vAlign w:val="center"/>
            <w:hideMark/>
          </w:tcPr>
          <w:p w:rsidRPr="000A402E" w:rsidR="00932789" w:rsidP="00A07617" w:rsidRDefault="00932789" w14:paraId="1C2DFFF7" w14:textId="77777777">
            <w:pPr>
              <w:jc w:val="center"/>
              <w:rPr>
                <w:rFonts w:ascii="Palatino Linotype" w:hAnsi="Palatino Linotype"/>
                <w:b/>
                <w:bCs/>
              </w:rPr>
            </w:pPr>
            <w:r w:rsidRPr="000A402E">
              <w:rPr>
                <w:rFonts w:ascii="Palatino Linotype" w:hAnsi="Palatino Linotype"/>
                <w:b/>
                <w:bCs/>
              </w:rPr>
              <w:t>Surcharge Refund</w:t>
            </w:r>
          </w:p>
        </w:tc>
        <w:tc>
          <w:tcPr>
            <w:tcW w:w="1530" w:type="dxa"/>
            <w:shd w:val="clear" w:color="auto" w:fill="auto"/>
            <w:vAlign w:val="center"/>
            <w:hideMark/>
          </w:tcPr>
          <w:p w:rsidRPr="000A402E" w:rsidR="00932789" w:rsidP="00A07617" w:rsidRDefault="00932789" w14:paraId="2BC1654C" w14:textId="77777777">
            <w:pPr>
              <w:jc w:val="center"/>
              <w:rPr>
                <w:rFonts w:ascii="Palatino Linotype" w:hAnsi="Palatino Linotype"/>
                <w:b/>
                <w:bCs/>
              </w:rPr>
            </w:pPr>
            <w:r w:rsidRPr="000A402E">
              <w:rPr>
                <w:rFonts w:ascii="Palatino Linotype" w:hAnsi="Palatino Linotype"/>
                <w:b/>
                <w:bCs/>
              </w:rPr>
              <w:t>User Fees Refund</w:t>
            </w:r>
          </w:p>
        </w:tc>
        <w:tc>
          <w:tcPr>
            <w:tcW w:w="1620" w:type="dxa"/>
            <w:shd w:val="clear" w:color="auto" w:fill="auto"/>
            <w:vAlign w:val="center"/>
            <w:hideMark/>
          </w:tcPr>
          <w:p w:rsidRPr="000A402E" w:rsidR="00932789" w:rsidP="00A07617" w:rsidRDefault="00932789" w14:paraId="3557E1C9" w14:textId="77777777">
            <w:pPr>
              <w:jc w:val="center"/>
              <w:rPr>
                <w:rFonts w:ascii="Palatino Linotype" w:hAnsi="Palatino Linotype"/>
                <w:b/>
                <w:bCs/>
              </w:rPr>
            </w:pPr>
            <w:r w:rsidRPr="000A402E">
              <w:rPr>
                <w:rFonts w:ascii="Palatino Linotype" w:hAnsi="Palatino Linotype"/>
                <w:b/>
                <w:bCs/>
              </w:rPr>
              <w:t>Total Refund</w:t>
            </w:r>
          </w:p>
        </w:tc>
      </w:tr>
      <w:tr w:rsidRPr="000A402E" w:rsidR="00932789" w:rsidTr="00A07617" w14:paraId="0679516B" w14:textId="77777777">
        <w:trPr>
          <w:trHeight w:val="375"/>
        </w:trPr>
        <w:tc>
          <w:tcPr>
            <w:tcW w:w="4220" w:type="dxa"/>
            <w:shd w:val="clear" w:color="auto" w:fill="auto"/>
            <w:vAlign w:val="center"/>
            <w:hideMark/>
          </w:tcPr>
          <w:p w:rsidRPr="000A402E" w:rsidR="00932789" w:rsidP="00A07617" w:rsidRDefault="00932789" w14:paraId="7D3AC4A4" w14:textId="77777777">
            <w:pPr>
              <w:rPr>
                <w:rFonts w:ascii="Palatino Linotype" w:hAnsi="Palatino Linotype"/>
              </w:rPr>
            </w:pPr>
            <w:r w:rsidRPr="000A402E">
              <w:rPr>
                <w:rFonts w:ascii="Palatino Linotype" w:hAnsi="Palatino Linotype"/>
              </w:rPr>
              <w:t>Santa Barbara Cellular (U-3015-C)</w:t>
            </w:r>
          </w:p>
        </w:tc>
        <w:tc>
          <w:tcPr>
            <w:tcW w:w="1620" w:type="dxa"/>
            <w:shd w:val="clear" w:color="auto" w:fill="auto"/>
            <w:vAlign w:val="center"/>
            <w:hideMark/>
          </w:tcPr>
          <w:p w:rsidRPr="000A402E" w:rsidR="00932789" w:rsidP="00A07617" w:rsidRDefault="00932789" w14:paraId="5296C994" w14:textId="77777777">
            <w:pPr>
              <w:jc w:val="right"/>
              <w:rPr>
                <w:rFonts w:ascii="Palatino Linotype" w:hAnsi="Palatino Linotype"/>
              </w:rPr>
            </w:pPr>
            <w:r w:rsidRPr="000A402E">
              <w:rPr>
                <w:rFonts w:ascii="Palatino Linotype" w:hAnsi="Palatino Linotype"/>
              </w:rPr>
              <w:t xml:space="preserve"> $     9,481.52 </w:t>
            </w:r>
          </w:p>
        </w:tc>
        <w:tc>
          <w:tcPr>
            <w:tcW w:w="1530" w:type="dxa"/>
            <w:shd w:val="clear" w:color="auto" w:fill="auto"/>
            <w:vAlign w:val="center"/>
            <w:hideMark/>
          </w:tcPr>
          <w:p w:rsidRPr="000A402E" w:rsidR="00932789" w:rsidP="00A07617" w:rsidRDefault="00932789" w14:paraId="7DC0124C" w14:textId="77777777">
            <w:pPr>
              <w:jc w:val="right"/>
              <w:rPr>
                <w:rFonts w:ascii="Palatino Linotype" w:hAnsi="Palatino Linotype"/>
              </w:rPr>
            </w:pPr>
            <w:r w:rsidRPr="000A402E">
              <w:rPr>
                <w:rFonts w:ascii="Palatino Linotype" w:hAnsi="Palatino Linotype"/>
              </w:rPr>
              <w:t xml:space="preserve"> $   1,346.77 </w:t>
            </w:r>
          </w:p>
        </w:tc>
        <w:tc>
          <w:tcPr>
            <w:tcW w:w="1620" w:type="dxa"/>
            <w:shd w:val="clear" w:color="auto" w:fill="auto"/>
            <w:vAlign w:val="center"/>
            <w:hideMark/>
          </w:tcPr>
          <w:p w:rsidRPr="000A402E" w:rsidR="00932789" w:rsidP="00A07617" w:rsidRDefault="00932789" w14:paraId="4C8ADE27" w14:textId="77777777">
            <w:pPr>
              <w:jc w:val="right"/>
              <w:rPr>
                <w:rFonts w:ascii="Palatino Linotype" w:hAnsi="Palatino Linotype"/>
              </w:rPr>
            </w:pPr>
            <w:r w:rsidRPr="000A402E">
              <w:rPr>
                <w:rFonts w:ascii="Palatino Linotype" w:hAnsi="Palatino Linotype"/>
              </w:rPr>
              <w:t xml:space="preserve"> $   10,828.29 </w:t>
            </w:r>
          </w:p>
        </w:tc>
      </w:tr>
      <w:tr w:rsidRPr="000A402E" w:rsidR="00932789" w:rsidTr="00A07617" w14:paraId="56CF50FB" w14:textId="77777777">
        <w:trPr>
          <w:trHeight w:val="375"/>
        </w:trPr>
        <w:tc>
          <w:tcPr>
            <w:tcW w:w="4220" w:type="dxa"/>
            <w:shd w:val="clear" w:color="auto" w:fill="auto"/>
            <w:vAlign w:val="center"/>
            <w:hideMark/>
          </w:tcPr>
          <w:p w:rsidRPr="000A402E" w:rsidR="00932789" w:rsidP="00A07617" w:rsidRDefault="00932789" w14:paraId="773521C7" w14:textId="77777777">
            <w:pPr>
              <w:rPr>
                <w:rFonts w:ascii="Palatino Linotype" w:hAnsi="Palatino Linotype"/>
              </w:rPr>
            </w:pPr>
            <w:r w:rsidRPr="000A402E">
              <w:rPr>
                <w:rFonts w:ascii="Palatino Linotype" w:hAnsi="Palatino Linotype"/>
              </w:rPr>
              <w:t>AT&amp;T Mobility Wireless (U-3021-C)</w:t>
            </w:r>
          </w:p>
        </w:tc>
        <w:tc>
          <w:tcPr>
            <w:tcW w:w="1620" w:type="dxa"/>
            <w:shd w:val="clear" w:color="auto" w:fill="auto"/>
            <w:vAlign w:val="center"/>
            <w:hideMark/>
          </w:tcPr>
          <w:p w:rsidRPr="000A402E" w:rsidR="00932789" w:rsidP="00A07617" w:rsidRDefault="00932789" w14:paraId="4C5DBA11" w14:textId="77777777">
            <w:pPr>
              <w:jc w:val="right"/>
              <w:rPr>
                <w:rFonts w:ascii="Palatino Linotype" w:hAnsi="Palatino Linotype"/>
              </w:rPr>
            </w:pPr>
            <w:r w:rsidRPr="000A402E">
              <w:rPr>
                <w:rFonts w:ascii="Palatino Linotype" w:hAnsi="Palatino Linotype"/>
              </w:rPr>
              <w:t xml:space="preserve"> $     7,029.51 </w:t>
            </w:r>
          </w:p>
        </w:tc>
        <w:tc>
          <w:tcPr>
            <w:tcW w:w="1530" w:type="dxa"/>
            <w:shd w:val="clear" w:color="auto" w:fill="auto"/>
            <w:vAlign w:val="center"/>
            <w:hideMark/>
          </w:tcPr>
          <w:p w:rsidRPr="000A402E" w:rsidR="00932789" w:rsidP="00A07617" w:rsidRDefault="00932789" w14:paraId="42B7F1DF" w14:textId="77777777">
            <w:pPr>
              <w:jc w:val="right"/>
              <w:rPr>
                <w:rFonts w:ascii="Palatino Linotype" w:hAnsi="Palatino Linotype"/>
              </w:rPr>
            </w:pPr>
            <w:r w:rsidRPr="000A402E">
              <w:rPr>
                <w:rFonts w:ascii="Palatino Linotype" w:hAnsi="Palatino Linotype"/>
              </w:rPr>
              <w:t xml:space="preserve"> $      702.02 </w:t>
            </w:r>
          </w:p>
        </w:tc>
        <w:tc>
          <w:tcPr>
            <w:tcW w:w="1620" w:type="dxa"/>
            <w:shd w:val="clear" w:color="auto" w:fill="auto"/>
            <w:vAlign w:val="center"/>
            <w:hideMark/>
          </w:tcPr>
          <w:p w:rsidRPr="000A402E" w:rsidR="00932789" w:rsidP="00A07617" w:rsidRDefault="00932789" w14:paraId="25C6CDBB" w14:textId="77777777">
            <w:pPr>
              <w:jc w:val="right"/>
              <w:rPr>
                <w:rFonts w:ascii="Palatino Linotype" w:hAnsi="Palatino Linotype"/>
              </w:rPr>
            </w:pPr>
            <w:r w:rsidRPr="000A402E">
              <w:rPr>
                <w:rFonts w:ascii="Palatino Linotype" w:hAnsi="Palatino Linotype"/>
              </w:rPr>
              <w:t xml:space="preserve"> $     7,731.53 </w:t>
            </w:r>
          </w:p>
        </w:tc>
      </w:tr>
      <w:tr w:rsidRPr="000A402E" w:rsidR="00932789" w:rsidTr="00A07617" w14:paraId="338B5E0A" w14:textId="77777777">
        <w:trPr>
          <w:trHeight w:val="375"/>
        </w:trPr>
        <w:tc>
          <w:tcPr>
            <w:tcW w:w="4220" w:type="dxa"/>
            <w:shd w:val="clear" w:color="auto" w:fill="auto"/>
            <w:vAlign w:val="center"/>
            <w:hideMark/>
          </w:tcPr>
          <w:p w:rsidRPr="000A402E" w:rsidR="00932789" w:rsidP="00A07617" w:rsidRDefault="00932789" w14:paraId="6A62830D" w14:textId="77777777">
            <w:pPr>
              <w:rPr>
                <w:rFonts w:ascii="Palatino Linotype" w:hAnsi="Palatino Linotype"/>
              </w:rPr>
            </w:pPr>
            <w:r w:rsidRPr="000A402E">
              <w:rPr>
                <w:rFonts w:ascii="Palatino Linotype" w:hAnsi="Palatino Linotype"/>
              </w:rPr>
              <w:t>New Cingular Wireless (U-3060-C)</w:t>
            </w:r>
          </w:p>
        </w:tc>
        <w:tc>
          <w:tcPr>
            <w:tcW w:w="1620" w:type="dxa"/>
            <w:shd w:val="clear" w:color="auto" w:fill="auto"/>
            <w:vAlign w:val="center"/>
            <w:hideMark/>
          </w:tcPr>
          <w:p w:rsidRPr="000A402E" w:rsidR="00932789" w:rsidP="00A07617" w:rsidRDefault="00932789" w14:paraId="604A69B4" w14:textId="77777777">
            <w:pPr>
              <w:jc w:val="right"/>
              <w:rPr>
                <w:rFonts w:ascii="Palatino Linotype" w:hAnsi="Palatino Linotype"/>
                <w:u w:val="single"/>
              </w:rPr>
            </w:pPr>
            <w:r w:rsidRPr="000A402E">
              <w:rPr>
                <w:rFonts w:ascii="Palatino Linotype" w:hAnsi="Palatino Linotype"/>
                <w:u w:val="single"/>
              </w:rPr>
              <w:t xml:space="preserve"> $ 526,283.05 </w:t>
            </w:r>
          </w:p>
        </w:tc>
        <w:tc>
          <w:tcPr>
            <w:tcW w:w="1530" w:type="dxa"/>
            <w:shd w:val="clear" w:color="auto" w:fill="auto"/>
            <w:vAlign w:val="center"/>
            <w:hideMark/>
          </w:tcPr>
          <w:p w:rsidRPr="000A402E" w:rsidR="00932789" w:rsidP="00A07617" w:rsidRDefault="00932789" w14:paraId="21C61262" w14:textId="77777777">
            <w:pPr>
              <w:jc w:val="right"/>
              <w:rPr>
                <w:rFonts w:ascii="Palatino Linotype" w:hAnsi="Palatino Linotype"/>
                <w:u w:val="single"/>
              </w:rPr>
            </w:pPr>
            <w:r w:rsidRPr="000A402E">
              <w:rPr>
                <w:rFonts w:ascii="Palatino Linotype" w:hAnsi="Palatino Linotype"/>
                <w:u w:val="single"/>
              </w:rPr>
              <w:t xml:space="preserve"> $ 52,260.83 </w:t>
            </w:r>
          </w:p>
        </w:tc>
        <w:tc>
          <w:tcPr>
            <w:tcW w:w="1620" w:type="dxa"/>
            <w:shd w:val="clear" w:color="auto" w:fill="auto"/>
            <w:vAlign w:val="center"/>
            <w:hideMark/>
          </w:tcPr>
          <w:p w:rsidRPr="000A402E" w:rsidR="00932789" w:rsidP="00A07617" w:rsidRDefault="00932789" w14:paraId="46BBF3F8" w14:textId="77777777">
            <w:pPr>
              <w:jc w:val="right"/>
              <w:rPr>
                <w:rFonts w:ascii="Palatino Linotype" w:hAnsi="Palatino Linotype"/>
                <w:u w:val="single"/>
              </w:rPr>
            </w:pPr>
            <w:r w:rsidRPr="000A402E">
              <w:rPr>
                <w:rFonts w:ascii="Palatino Linotype" w:hAnsi="Palatino Linotype"/>
                <w:u w:val="single"/>
              </w:rPr>
              <w:t xml:space="preserve"> $ 578,543.88 </w:t>
            </w:r>
          </w:p>
        </w:tc>
      </w:tr>
      <w:tr w:rsidRPr="006E2606" w:rsidR="00932789" w:rsidTr="00A07617" w14:paraId="1BA67D69" w14:textId="77777777">
        <w:trPr>
          <w:trHeight w:val="375"/>
        </w:trPr>
        <w:tc>
          <w:tcPr>
            <w:tcW w:w="4220" w:type="dxa"/>
            <w:shd w:val="clear" w:color="auto" w:fill="auto"/>
            <w:vAlign w:val="center"/>
            <w:hideMark/>
          </w:tcPr>
          <w:p w:rsidRPr="006E2606" w:rsidR="00932789" w:rsidP="00A07617" w:rsidRDefault="00932789" w14:paraId="04A38386" w14:textId="77777777">
            <w:pPr>
              <w:jc w:val="right"/>
              <w:rPr>
                <w:rFonts w:ascii="Palatino Linotype" w:hAnsi="Palatino Linotype"/>
                <w:b/>
                <w:bCs/>
              </w:rPr>
            </w:pPr>
            <w:r w:rsidRPr="006E2606">
              <w:rPr>
                <w:rFonts w:ascii="Palatino Linotype" w:hAnsi="Palatino Linotype"/>
                <w:b/>
                <w:bCs/>
              </w:rPr>
              <w:t>Total Refund</w:t>
            </w:r>
          </w:p>
        </w:tc>
        <w:tc>
          <w:tcPr>
            <w:tcW w:w="1620" w:type="dxa"/>
            <w:shd w:val="clear" w:color="auto" w:fill="auto"/>
            <w:vAlign w:val="center"/>
            <w:hideMark/>
          </w:tcPr>
          <w:p w:rsidRPr="006E2606" w:rsidR="00932789" w:rsidP="00A07617" w:rsidRDefault="00932789" w14:paraId="0FF94FA6" w14:textId="77777777">
            <w:pPr>
              <w:jc w:val="right"/>
              <w:rPr>
                <w:rFonts w:ascii="Palatino Linotype" w:hAnsi="Palatino Linotype"/>
                <w:b/>
                <w:bCs/>
              </w:rPr>
            </w:pPr>
            <w:r w:rsidRPr="006E2606">
              <w:rPr>
                <w:rFonts w:ascii="Palatino Linotype" w:hAnsi="Palatino Linotype"/>
                <w:b/>
                <w:bCs/>
              </w:rPr>
              <w:t xml:space="preserve"> $ 542,794.08 </w:t>
            </w:r>
          </w:p>
        </w:tc>
        <w:tc>
          <w:tcPr>
            <w:tcW w:w="1530" w:type="dxa"/>
            <w:shd w:val="clear" w:color="auto" w:fill="auto"/>
            <w:vAlign w:val="center"/>
            <w:hideMark/>
          </w:tcPr>
          <w:p w:rsidRPr="006E2606" w:rsidR="00932789" w:rsidP="00A07617" w:rsidRDefault="00932789" w14:paraId="6A714DF9" w14:textId="77777777">
            <w:pPr>
              <w:jc w:val="right"/>
              <w:rPr>
                <w:rFonts w:ascii="Palatino Linotype" w:hAnsi="Palatino Linotype"/>
                <w:b/>
                <w:bCs/>
              </w:rPr>
            </w:pPr>
            <w:r w:rsidRPr="006E2606">
              <w:rPr>
                <w:rFonts w:ascii="Palatino Linotype" w:hAnsi="Palatino Linotype"/>
                <w:b/>
                <w:bCs/>
              </w:rPr>
              <w:t xml:space="preserve"> $ 54,309.62 </w:t>
            </w:r>
          </w:p>
        </w:tc>
        <w:tc>
          <w:tcPr>
            <w:tcW w:w="1620" w:type="dxa"/>
            <w:shd w:val="clear" w:color="auto" w:fill="auto"/>
            <w:vAlign w:val="center"/>
            <w:hideMark/>
          </w:tcPr>
          <w:p w:rsidRPr="006E2606" w:rsidR="00932789" w:rsidP="00A07617" w:rsidRDefault="00932789" w14:paraId="17C92BEA" w14:textId="77777777">
            <w:pPr>
              <w:jc w:val="right"/>
              <w:rPr>
                <w:rFonts w:ascii="Palatino Linotype" w:hAnsi="Palatino Linotype"/>
                <w:b/>
                <w:bCs/>
              </w:rPr>
            </w:pPr>
            <w:r w:rsidRPr="006E2606">
              <w:rPr>
                <w:rFonts w:ascii="Palatino Linotype" w:hAnsi="Palatino Linotype"/>
                <w:b/>
                <w:bCs/>
              </w:rPr>
              <w:t xml:space="preserve"> $ 597,103.70 </w:t>
            </w:r>
          </w:p>
        </w:tc>
      </w:tr>
    </w:tbl>
    <w:p w:rsidRPr="000A402E" w:rsidR="00932789" w:rsidP="00932789" w:rsidRDefault="00932789" w14:paraId="5D25F0F8" w14:textId="77777777">
      <w:pPr>
        <w:jc w:val="center"/>
        <w:rPr>
          <w:rFonts w:ascii="Palatino Linotype" w:hAnsi="Palatino Linotype"/>
        </w:rPr>
      </w:pPr>
    </w:p>
    <w:p w:rsidR="00932789" w:rsidP="00932789" w:rsidRDefault="00932789" w14:paraId="139A5368" w14:textId="77777777">
      <w:pPr>
        <w:pStyle w:val="Default"/>
        <w:rPr>
          <w:rFonts w:ascii="Palatino Linotype" w:hAnsi="Palatino Linotype"/>
        </w:rPr>
      </w:pPr>
      <w:r>
        <w:rPr>
          <w:rFonts w:ascii="Palatino Linotype" w:hAnsi="Palatino Linotype"/>
        </w:rPr>
        <w:t xml:space="preserve">At the issuance of this Resolution, AT&amp;T Mobility has not paid the Commission the outstanding CASF interest accrued for November and December 2011 reporting periods. AT&amp;T Mobility asserted that there was no Commission order that authorizes a 10% late penalty for failure to report and remit on CASF surcharges.  The January 29 data request response submitted by AT&amp;T Mobility also reminded CD that in March 2019, and again in May 2019, it requested </w:t>
      </w:r>
      <w:r w:rsidRPr="00C06214">
        <w:rPr>
          <w:rFonts w:ascii="Palatino Linotype" w:hAnsi="Palatino Linotype"/>
        </w:rPr>
        <w:t xml:space="preserve">for consideration to </w:t>
      </w:r>
      <w:r>
        <w:rPr>
          <w:rFonts w:ascii="Palatino Linotype" w:hAnsi="Palatino Linotype"/>
        </w:rPr>
        <w:t>harmonize</w:t>
      </w:r>
      <w:r w:rsidRPr="00C06214">
        <w:rPr>
          <w:rFonts w:ascii="Palatino Linotype" w:hAnsi="Palatino Linotype"/>
        </w:rPr>
        <w:t xml:space="preserve"> existing </w:t>
      </w:r>
      <w:r>
        <w:rPr>
          <w:rFonts w:ascii="Palatino Linotype" w:hAnsi="Palatino Linotype"/>
        </w:rPr>
        <w:t xml:space="preserve">public purpose </w:t>
      </w:r>
      <w:r w:rsidRPr="00C06214">
        <w:rPr>
          <w:rFonts w:ascii="Palatino Linotype" w:hAnsi="Palatino Linotype"/>
        </w:rPr>
        <w:t xml:space="preserve">program rules </w:t>
      </w:r>
      <w:r>
        <w:rPr>
          <w:rFonts w:ascii="Palatino Linotype" w:hAnsi="Palatino Linotype"/>
        </w:rPr>
        <w:t>related to t</w:t>
      </w:r>
      <w:r w:rsidRPr="00C06214">
        <w:rPr>
          <w:rFonts w:ascii="Palatino Linotype" w:hAnsi="Palatino Linotype"/>
        </w:rPr>
        <w:t>he administrative aspects of the programs, e.g., company claims and payments, collection and remittance of program surcharges, program audits, etc.</w:t>
      </w:r>
      <w:r>
        <w:rPr>
          <w:rFonts w:ascii="Palatino Linotype" w:hAnsi="Palatino Linotype"/>
        </w:rPr>
        <w:t xml:space="preserve"> AT&amp;T Mobility recommended that their request could be achieved by issuing a Resolution for Commission consideration. </w:t>
      </w:r>
    </w:p>
    <w:p w:rsidR="00932789" w:rsidP="00932789" w:rsidRDefault="00932789" w14:paraId="227E732E" w14:textId="77777777">
      <w:pPr>
        <w:pStyle w:val="Default"/>
        <w:rPr>
          <w:rFonts w:ascii="Palatino Linotype" w:hAnsi="Palatino Linotype"/>
        </w:rPr>
      </w:pPr>
    </w:p>
    <w:p w:rsidR="00932789" w:rsidP="00932789" w:rsidRDefault="00932789" w14:paraId="6815809A" w14:textId="77777777">
      <w:pPr>
        <w:pStyle w:val="Default"/>
        <w:rPr>
          <w:rFonts w:ascii="Palatino Linotype" w:hAnsi="Palatino Linotype"/>
        </w:rPr>
      </w:pPr>
      <w:r>
        <w:rPr>
          <w:rFonts w:ascii="Palatino Linotype" w:hAnsi="Palatino Linotype"/>
        </w:rPr>
        <w:t>CD believes that it has applied the appropriate penalty structure for failure to report and remit on CASF surcharges. Also, if there were administrative program issues that required correction, the proposed issuance of a Resolution would only apply on a prospective basis. Staff informed AT&amp;T Mobility of the deficiency in 2018 for CASF reporting and remittance for November and December 2011 periods. Therefore, the requested Resolution cannot be applied retroactively. CD believes it is appropriate to recoup the money owed by deducting it from the amount of aforementioned refund. T</w:t>
      </w:r>
      <w:r w:rsidRPr="00834121">
        <w:rPr>
          <w:rFonts w:ascii="Palatino Linotype" w:hAnsi="Palatino Linotype"/>
        </w:rPr>
        <w:t xml:space="preserve">he total amount of outstanding CASF Interest accrued </w:t>
      </w:r>
      <w:r>
        <w:rPr>
          <w:rFonts w:ascii="Palatino Linotype" w:hAnsi="Palatino Linotype"/>
        </w:rPr>
        <w:t>and owed to the Commission is</w:t>
      </w:r>
      <w:r w:rsidRPr="00834121">
        <w:rPr>
          <w:rFonts w:ascii="Palatino Linotype" w:hAnsi="Palatino Linotype"/>
        </w:rPr>
        <w:t xml:space="preserve"> show</w:t>
      </w:r>
      <w:r>
        <w:rPr>
          <w:rFonts w:ascii="Palatino Linotype" w:hAnsi="Palatino Linotype"/>
        </w:rPr>
        <w:t>n</w:t>
      </w:r>
      <w:r w:rsidRPr="00834121">
        <w:rPr>
          <w:rFonts w:ascii="Palatino Linotype" w:hAnsi="Palatino Linotype"/>
        </w:rPr>
        <w:t xml:space="preserve"> in Table </w:t>
      </w:r>
      <w:r>
        <w:rPr>
          <w:rFonts w:ascii="Palatino Linotype" w:hAnsi="Palatino Linotype"/>
        </w:rPr>
        <w:t>7.</w:t>
      </w:r>
    </w:p>
    <w:p w:rsidR="00932789" w:rsidP="00932789" w:rsidRDefault="00932789" w14:paraId="1BF38C6F" w14:textId="77777777">
      <w:pPr>
        <w:jc w:val="center"/>
        <w:rPr>
          <w:rFonts w:ascii="Palatino Linotype" w:hAnsi="Palatino Linotype"/>
          <w:b/>
        </w:rPr>
      </w:pPr>
    </w:p>
    <w:p w:rsidRPr="00467F4B" w:rsidR="00932789" w:rsidP="00932789" w:rsidRDefault="00932789" w14:paraId="695F34CB" w14:textId="77777777">
      <w:pPr>
        <w:rPr>
          <w:rFonts w:ascii="Palatino Linotype" w:hAnsi="Palatino Linotype"/>
          <w:b/>
        </w:rPr>
      </w:pPr>
      <w:r w:rsidRPr="000A402E">
        <w:rPr>
          <w:rFonts w:ascii="Palatino Linotype" w:hAnsi="Palatino Linotype"/>
          <w:b/>
        </w:rPr>
        <w:t>Table</w:t>
      </w:r>
      <w:r>
        <w:rPr>
          <w:rFonts w:ascii="Palatino Linotype" w:hAnsi="Palatino Linotype"/>
          <w:b/>
        </w:rPr>
        <w:t xml:space="preserve"> 7</w:t>
      </w:r>
      <w:r w:rsidRPr="000A402E">
        <w:rPr>
          <w:rFonts w:ascii="Palatino Linotype" w:hAnsi="Palatino Linotype"/>
          <w:b/>
        </w:rPr>
        <w:t>: AT&amp;T Mobility Amount of Outstanding CASF Interest Accrued</w:t>
      </w:r>
      <w:r w:rsidRPr="00467F4B">
        <w:rPr>
          <w:rFonts w:ascii="Palatino Linotype" w:hAnsi="Palatino Linotype"/>
          <w:b/>
        </w:rPr>
        <w:t xml:space="preserve"> </w:t>
      </w:r>
    </w:p>
    <w:tbl>
      <w:tblPr>
        <w:tblW w:w="9450" w:type="dxa"/>
        <w:tblInd w:w="-10" w:type="dxa"/>
        <w:tblLook w:val="04A0" w:firstRow="1" w:lastRow="0" w:firstColumn="1" w:lastColumn="0" w:noHBand="0" w:noVBand="1"/>
      </w:tblPr>
      <w:tblGrid>
        <w:gridCol w:w="4050"/>
        <w:gridCol w:w="1940"/>
        <w:gridCol w:w="1750"/>
        <w:gridCol w:w="1710"/>
      </w:tblGrid>
      <w:tr w:rsidRPr="00467F4B" w:rsidR="00932789" w:rsidTr="00A07617" w14:paraId="555718D2" w14:textId="77777777">
        <w:trPr>
          <w:trHeight w:val="610"/>
        </w:trPr>
        <w:tc>
          <w:tcPr>
            <w:tcW w:w="4050" w:type="dxa"/>
            <w:vMerge w:val="restart"/>
            <w:tcBorders>
              <w:top w:val="single" w:color="auto" w:sz="8" w:space="0"/>
              <w:left w:val="single" w:color="auto" w:sz="8" w:space="0"/>
              <w:bottom w:val="single" w:color="000000" w:sz="8" w:space="0"/>
              <w:right w:val="nil"/>
            </w:tcBorders>
            <w:shd w:val="clear" w:color="auto" w:fill="auto"/>
            <w:vAlign w:val="center"/>
            <w:hideMark/>
          </w:tcPr>
          <w:p w:rsidRPr="00467F4B" w:rsidR="00932789" w:rsidP="00A07617" w:rsidRDefault="00932789" w14:paraId="047951FA" w14:textId="77777777">
            <w:pPr>
              <w:jc w:val="center"/>
              <w:rPr>
                <w:rFonts w:ascii="Palatino Linotype" w:hAnsi="Palatino Linotype"/>
                <w:b/>
                <w:bCs/>
              </w:rPr>
            </w:pPr>
            <w:r w:rsidRPr="00467F4B">
              <w:rPr>
                <w:rFonts w:ascii="Palatino Linotype" w:hAnsi="Palatino Linotype"/>
                <w:b/>
                <w:bCs/>
              </w:rPr>
              <w:t>Carrier</w:t>
            </w:r>
          </w:p>
        </w:tc>
        <w:tc>
          <w:tcPr>
            <w:tcW w:w="3690" w:type="dxa"/>
            <w:gridSpan w:val="2"/>
            <w:tcBorders>
              <w:top w:val="single" w:color="auto" w:sz="8" w:space="0"/>
              <w:left w:val="single" w:color="auto" w:sz="8" w:space="0"/>
              <w:bottom w:val="single" w:color="auto" w:sz="8" w:space="0"/>
              <w:right w:val="single" w:color="000000" w:sz="8" w:space="0"/>
            </w:tcBorders>
            <w:shd w:val="clear" w:color="auto" w:fill="auto"/>
            <w:vAlign w:val="bottom"/>
            <w:hideMark/>
          </w:tcPr>
          <w:p w:rsidRPr="00467F4B" w:rsidR="00932789" w:rsidP="00A07617" w:rsidRDefault="00932789" w14:paraId="3D4A8B75" w14:textId="77777777">
            <w:pPr>
              <w:jc w:val="center"/>
              <w:rPr>
                <w:rFonts w:ascii="Palatino Linotype" w:hAnsi="Palatino Linotype"/>
                <w:b/>
                <w:bCs/>
              </w:rPr>
            </w:pPr>
            <w:r w:rsidRPr="00467F4B">
              <w:rPr>
                <w:rFonts w:ascii="Palatino Linotype" w:hAnsi="Palatino Linotype"/>
                <w:b/>
                <w:bCs/>
              </w:rPr>
              <w:t>CASF Surcharge Interest for Late Payment</w:t>
            </w:r>
          </w:p>
        </w:tc>
        <w:tc>
          <w:tcPr>
            <w:tcW w:w="171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467F4B" w:rsidR="00932789" w:rsidP="00A07617" w:rsidRDefault="00932789" w14:paraId="6FD4E4B6" w14:textId="77777777">
            <w:pPr>
              <w:jc w:val="center"/>
              <w:rPr>
                <w:rFonts w:ascii="Palatino Linotype" w:hAnsi="Palatino Linotype"/>
                <w:b/>
                <w:bCs/>
              </w:rPr>
            </w:pPr>
            <w:r w:rsidRPr="00467F4B">
              <w:rPr>
                <w:rFonts w:ascii="Palatino Linotype" w:hAnsi="Palatino Linotype"/>
                <w:b/>
                <w:bCs/>
              </w:rPr>
              <w:t>Total Owed</w:t>
            </w:r>
          </w:p>
        </w:tc>
      </w:tr>
      <w:tr w:rsidRPr="00467F4B" w:rsidR="00932789" w:rsidTr="00A07617" w14:paraId="6AB32828" w14:textId="77777777">
        <w:trPr>
          <w:trHeight w:val="430"/>
        </w:trPr>
        <w:tc>
          <w:tcPr>
            <w:tcW w:w="4050" w:type="dxa"/>
            <w:vMerge/>
            <w:tcBorders>
              <w:top w:val="single" w:color="auto" w:sz="8" w:space="0"/>
              <w:left w:val="single" w:color="auto" w:sz="8" w:space="0"/>
              <w:bottom w:val="single" w:color="000000" w:sz="8" w:space="0"/>
              <w:right w:val="nil"/>
            </w:tcBorders>
            <w:vAlign w:val="center"/>
            <w:hideMark/>
          </w:tcPr>
          <w:p w:rsidRPr="00467F4B" w:rsidR="00932789" w:rsidP="00A07617" w:rsidRDefault="00932789" w14:paraId="09601020" w14:textId="77777777">
            <w:pPr>
              <w:rPr>
                <w:rFonts w:ascii="Palatino Linotype" w:hAnsi="Palatino Linotype"/>
              </w:rPr>
            </w:pPr>
          </w:p>
        </w:tc>
        <w:tc>
          <w:tcPr>
            <w:tcW w:w="1940" w:type="dxa"/>
            <w:tcBorders>
              <w:top w:val="nil"/>
              <w:left w:val="single" w:color="auto" w:sz="8" w:space="0"/>
              <w:bottom w:val="single" w:color="auto" w:sz="8" w:space="0"/>
              <w:right w:val="single" w:color="auto" w:sz="8" w:space="0"/>
            </w:tcBorders>
            <w:shd w:val="clear" w:color="auto" w:fill="auto"/>
            <w:vAlign w:val="bottom"/>
            <w:hideMark/>
          </w:tcPr>
          <w:p w:rsidRPr="00467F4B" w:rsidR="00932789" w:rsidP="00A07617" w:rsidRDefault="00932789" w14:paraId="45575B50" w14:textId="77777777">
            <w:pPr>
              <w:jc w:val="center"/>
              <w:rPr>
                <w:rFonts w:ascii="Palatino Linotype" w:hAnsi="Palatino Linotype"/>
                <w:b/>
                <w:bCs/>
              </w:rPr>
            </w:pPr>
            <w:r w:rsidRPr="00467F4B">
              <w:rPr>
                <w:rFonts w:ascii="Palatino Linotype" w:hAnsi="Palatino Linotype"/>
                <w:b/>
                <w:bCs/>
              </w:rPr>
              <w:t xml:space="preserve">Nov 2011 </w:t>
            </w:r>
          </w:p>
        </w:tc>
        <w:tc>
          <w:tcPr>
            <w:tcW w:w="1750" w:type="dxa"/>
            <w:tcBorders>
              <w:top w:val="nil"/>
              <w:left w:val="nil"/>
              <w:bottom w:val="single" w:color="auto" w:sz="8" w:space="0"/>
              <w:right w:val="single" w:color="auto" w:sz="8" w:space="0"/>
            </w:tcBorders>
            <w:shd w:val="clear" w:color="auto" w:fill="auto"/>
            <w:vAlign w:val="bottom"/>
            <w:hideMark/>
          </w:tcPr>
          <w:p w:rsidRPr="00467F4B" w:rsidR="00932789" w:rsidP="00A07617" w:rsidRDefault="00932789" w14:paraId="4356F50A" w14:textId="77777777">
            <w:pPr>
              <w:jc w:val="center"/>
              <w:rPr>
                <w:rFonts w:ascii="Palatino Linotype" w:hAnsi="Palatino Linotype"/>
                <w:b/>
                <w:bCs/>
              </w:rPr>
            </w:pPr>
            <w:r w:rsidRPr="00467F4B">
              <w:rPr>
                <w:rFonts w:ascii="Palatino Linotype" w:hAnsi="Palatino Linotype"/>
                <w:b/>
                <w:bCs/>
              </w:rPr>
              <w:t xml:space="preserve">Dec 2011 </w:t>
            </w:r>
          </w:p>
        </w:tc>
        <w:tc>
          <w:tcPr>
            <w:tcW w:w="1710" w:type="dxa"/>
            <w:vMerge/>
            <w:tcBorders>
              <w:top w:val="single" w:color="auto" w:sz="8" w:space="0"/>
              <w:left w:val="single" w:color="auto" w:sz="8" w:space="0"/>
              <w:bottom w:val="single" w:color="000000" w:sz="8" w:space="0"/>
              <w:right w:val="single" w:color="auto" w:sz="8" w:space="0"/>
            </w:tcBorders>
            <w:vAlign w:val="center"/>
            <w:hideMark/>
          </w:tcPr>
          <w:p w:rsidRPr="00467F4B" w:rsidR="00932789" w:rsidP="00A07617" w:rsidRDefault="00932789" w14:paraId="7A034676" w14:textId="77777777">
            <w:pPr>
              <w:rPr>
                <w:rFonts w:ascii="Palatino Linotype" w:hAnsi="Palatino Linotype"/>
              </w:rPr>
            </w:pPr>
          </w:p>
        </w:tc>
      </w:tr>
      <w:tr w:rsidRPr="00467F4B" w:rsidR="00932789" w:rsidTr="00A07617" w14:paraId="410F701F" w14:textId="77777777">
        <w:trPr>
          <w:trHeight w:val="375"/>
        </w:trPr>
        <w:tc>
          <w:tcPr>
            <w:tcW w:w="4050" w:type="dxa"/>
            <w:tcBorders>
              <w:top w:val="nil"/>
              <w:left w:val="single" w:color="auto" w:sz="8" w:space="0"/>
              <w:bottom w:val="single" w:color="auto" w:sz="8" w:space="0"/>
              <w:right w:val="nil"/>
            </w:tcBorders>
            <w:shd w:val="clear" w:color="auto" w:fill="auto"/>
            <w:vAlign w:val="center"/>
            <w:hideMark/>
          </w:tcPr>
          <w:p w:rsidRPr="00467F4B" w:rsidR="00932789" w:rsidP="00A07617" w:rsidRDefault="00932789" w14:paraId="76187A25" w14:textId="77777777">
            <w:pPr>
              <w:rPr>
                <w:rFonts w:ascii="Palatino Linotype" w:hAnsi="Palatino Linotype"/>
              </w:rPr>
            </w:pPr>
            <w:r w:rsidRPr="00467F4B">
              <w:rPr>
                <w:rFonts w:ascii="Palatino Linotype" w:hAnsi="Palatino Linotype"/>
              </w:rPr>
              <w:t>Santa Barbara Cellular (U-3015-C)</w:t>
            </w:r>
          </w:p>
        </w:tc>
        <w:tc>
          <w:tcPr>
            <w:tcW w:w="1940" w:type="dxa"/>
            <w:tcBorders>
              <w:top w:val="nil"/>
              <w:left w:val="single" w:color="auto" w:sz="8" w:space="0"/>
              <w:bottom w:val="single" w:color="auto" w:sz="8" w:space="0"/>
              <w:right w:val="single" w:color="auto" w:sz="8" w:space="0"/>
            </w:tcBorders>
            <w:shd w:val="clear" w:color="auto" w:fill="auto"/>
            <w:noWrap/>
            <w:vAlign w:val="bottom"/>
            <w:hideMark/>
          </w:tcPr>
          <w:p w:rsidRPr="00467F4B" w:rsidR="00932789" w:rsidP="00A07617" w:rsidRDefault="00932789" w14:paraId="2412C1B3" w14:textId="77777777">
            <w:pPr>
              <w:jc w:val="right"/>
              <w:rPr>
                <w:rFonts w:ascii="Palatino Linotype" w:hAnsi="Palatino Linotype"/>
              </w:rPr>
            </w:pPr>
            <w:r w:rsidRPr="00467F4B">
              <w:rPr>
                <w:rFonts w:ascii="Palatino Linotype" w:hAnsi="Palatino Linotype"/>
              </w:rPr>
              <w:t xml:space="preserve">   $     1,701.04 </w:t>
            </w:r>
          </w:p>
        </w:tc>
        <w:tc>
          <w:tcPr>
            <w:tcW w:w="1750" w:type="dxa"/>
            <w:tcBorders>
              <w:top w:val="nil"/>
              <w:left w:val="nil"/>
              <w:bottom w:val="single" w:color="auto" w:sz="8" w:space="0"/>
              <w:right w:val="single" w:color="auto" w:sz="8" w:space="0"/>
            </w:tcBorders>
            <w:shd w:val="clear" w:color="auto" w:fill="auto"/>
            <w:noWrap/>
            <w:vAlign w:val="bottom"/>
            <w:hideMark/>
          </w:tcPr>
          <w:p w:rsidRPr="00467F4B" w:rsidR="00932789" w:rsidP="00A07617" w:rsidRDefault="00932789" w14:paraId="7E9DA500" w14:textId="77777777">
            <w:pPr>
              <w:jc w:val="right"/>
              <w:rPr>
                <w:rFonts w:ascii="Palatino Linotype" w:hAnsi="Palatino Linotype"/>
              </w:rPr>
            </w:pPr>
            <w:r w:rsidRPr="00467F4B">
              <w:rPr>
                <w:rFonts w:ascii="Palatino Linotype" w:hAnsi="Palatino Linotype"/>
              </w:rPr>
              <w:t xml:space="preserve">$     1,692.78 </w:t>
            </w:r>
          </w:p>
        </w:tc>
        <w:tc>
          <w:tcPr>
            <w:tcW w:w="1710" w:type="dxa"/>
            <w:tcBorders>
              <w:top w:val="nil"/>
              <w:left w:val="nil"/>
              <w:bottom w:val="single" w:color="auto" w:sz="8" w:space="0"/>
              <w:right w:val="single" w:color="auto" w:sz="8" w:space="0"/>
            </w:tcBorders>
            <w:shd w:val="clear" w:color="auto" w:fill="auto"/>
            <w:noWrap/>
            <w:vAlign w:val="bottom"/>
            <w:hideMark/>
          </w:tcPr>
          <w:p w:rsidRPr="00467F4B" w:rsidR="00932789" w:rsidP="00A07617" w:rsidRDefault="00932789" w14:paraId="00CFDAF4" w14:textId="77777777">
            <w:pPr>
              <w:jc w:val="right"/>
              <w:rPr>
                <w:rFonts w:ascii="Palatino Linotype" w:hAnsi="Palatino Linotype"/>
              </w:rPr>
            </w:pPr>
            <w:r w:rsidRPr="00467F4B">
              <w:rPr>
                <w:rFonts w:ascii="Palatino Linotype" w:hAnsi="Palatino Linotype"/>
              </w:rPr>
              <w:t xml:space="preserve">$     3,393.82 </w:t>
            </w:r>
          </w:p>
        </w:tc>
      </w:tr>
      <w:tr w:rsidRPr="00467F4B" w:rsidR="00932789" w:rsidTr="00A07617" w14:paraId="32755D4A" w14:textId="77777777">
        <w:trPr>
          <w:trHeight w:val="375"/>
        </w:trPr>
        <w:tc>
          <w:tcPr>
            <w:tcW w:w="4050" w:type="dxa"/>
            <w:tcBorders>
              <w:top w:val="nil"/>
              <w:left w:val="single" w:color="auto" w:sz="8" w:space="0"/>
              <w:bottom w:val="nil"/>
              <w:right w:val="nil"/>
            </w:tcBorders>
            <w:shd w:val="clear" w:color="auto" w:fill="auto"/>
            <w:vAlign w:val="center"/>
            <w:hideMark/>
          </w:tcPr>
          <w:p w:rsidRPr="00467F4B" w:rsidR="00932789" w:rsidP="00A07617" w:rsidRDefault="00932789" w14:paraId="084D38EC" w14:textId="77777777">
            <w:pPr>
              <w:rPr>
                <w:rFonts w:ascii="Palatino Linotype" w:hAnsi="Palatino Linotype"/>
              </w:rPr>
            </w:pPr>
            <w:r w:rsidRPr="00467F4B">
              <w:rPr>
                <w:rFonts w:ascii="Palatino Linotype" w:hAnsi="Palatino Linotype"/>
              </w:rPr>
              <w:t>AT&amp;T Mobility Wireless (U-3021-C)</w:t>
            </w:r>
          </w:p>
        </w:tc>
        <w:tc>
          <w:tcPr>
            <w:tcW w:w="1940" w:type="dxa"/>
            <w:tcBorders>
              <w:top w:val="nil"/>
              <w:left w:val="single" w:color="auto" w:sz="8" w:space="0"/>
              <w:bottom w:val="nil"/>
              <w:right w:val="single" w:color="auto" w:sz="8" w:space="0"/>
            </w:tcBorders>
            <w:shd w:val="clear" w:color="auto" w:fill="auto"/>
            <w:noWrap/>
            <w:vAlign w:val="bottom"/>
            <w:hideMark/>
          </w:tcPr>
          <w:p w:rsidRPr="00467F4B" w:rsidR="00932789" w:rsidP="00A07617" w:rsidRDefault="00932789" w14:paraId="158D64A4" w14:textId="77777777">
            <w:pPr>
              <w:jc w:val="right"/>
              <w:rPr>
                <w:rFonts w:ascii="Palatino Linotype" w:hAnsi="Palatino Linotype"/>
              </w:rPr>
            </w:pPr>
            <w:r w:rsidRPr="00467F4B">
              <w:rPr>
                <w:rFonts w:ascii="Palatino Linotype" w:hAnsi="Palatino Linotype"/>
              </w:rPr>
              <w:t xml:space="preserve">$     3,458.28 </w:t>
            </w:r>
          </w:p>
        </w:tc>
        <w:tc>
          <w:tcPr>
            <w:tcW w:w="1750" w:type="dxa"/>
            <w:tcBorders>
              <w:top w:val="nil"/>
              <w:left w:val="nil"/>
              <w:bottom w:val="nil"/>
              <w:right w:val="single" w:color="auto" w:sz="8" w:space="0"/>
            </w:tcBorders>
            <w:shd w:val="clear" w:color="auto" w:fill="auto"/>
            <w:noWrap/>
            <w:vAlign w:val="bottom"/>
            <w:hideMark/>
          </w:tcPr>
          <w:p w:rsidRPr="00467F4B" w:rsidR="00932789" w:rsidP="00A07617" w:rsidRDefault="00932789" w14:paraId="6C5AB62D" w14:textId="77777777">
            <w:pPr>
              <w:jc w:val="right"/>
              <w:rPr>
                <w:rFonts w:ascii="Palatino Linotype" w:hAnsi="Palatino Linotype"/>
              </w:rPr>
            </w:pPr>
            <w:r w:rsidRPr="00467F4B">
              <w:rPr>
                <w:rFonts w:ascii="Palatino Linotype" w:hAnsi="Palatino Linotype"/>
              </w:rPr>
              <w:t xml:space="preserve">$     3,554.87 </w:t>
            </w:r>
          </w:p>
        </w:tc>
        <w:tc>
          <w:tcPr>
            <w:tcW w:w="1710" w:type="dxa"/>
            <w:tcBorders>
              <w:top w:val="nil"/>
              <w:left w:val="nil"/>
              <w:bottom w:val="nil"/>
              <w:right w:val="single" w:color="auto" w:sz="8" w:space="0"/>
            </w:tcBorders>
            <w:shd w:val="clear" w:color="auto" w:fill="auto"/>
            <w:noWrap/>
            <w:vAlign w:val="bottom"/>
            <w:hideMark/>
          </w:tcPr>
          <w:p w:rsidRPr="00467F4B" w:rsidR="00932789" w:rsidP="00A07617" w:rsidRDefault="00932789" w14:paraId="6F0BCAF0" w14:textId="77777777">
            <w:pPr>
              <w:jc w:val="right"/>
              <w:rPr>
                <w:rFonts w:ascii="Palatino Linotype" w:hAnsi="Palatino Linotype"/>
              </w:rPr>
            </w:pPr>
            <w:r w:rsidRPr="00467F4B">
              <w:rPr>
                <w:rFonts w:ascii="Palatino Linotype" w:hAnsi="Palatino Linotype"/>
              </w:rPr>
              <w:t xml:space="preserve">$     7,013.15 </w:t>
            </w:r>
          </w:p>
        </w:tc>
      </w:tr>
      <w:tr w:rsidRPr="00467F4B" w:rsidR="00932789" w:rsidTr="00A07617" w14:paraId="23039517" w14:textId="77777777">
        <w:trPr>
          <w:trHeight w:val="375"/>
        </w:trPr>
        <w:tc>
          <w:tcPr>
            <w:tcW w:w="4050" w:type="dxa"/>
            <w:tcBorders>
              <w:top w:val="single" w:color="auto" w:sz="8" w:space="0"/>
              <w:left w:val="single" w:color="auto" w:sz="8" w:space="0"/>
              <w:bottom w:val="single" w:color="auto" w:sz="8" w:space="0"/>
              <w:right w:val="nil"/>
            </w:tcBorders>
            <w:shd w:val="clear" w:color="auto" w:fill="auto"/>
            <w:vAlign w:val="center"/>
            <w:hideMark/>
          </w:tcPr>
          <w:p w:rsidRPr="00467F4B" w:rsidR="00932789" w:rsidP="00A07617" w:rsidRDefault="00932789" w14:paraId="5B889C59" w14:textId="77777777">
            <w:pPr>
              <w:rPr>
                <w:rFonts w:ascii="Palatino Linotype" w:hAnsi="Palatino Linotype"/>
              </w:rPr>
            </w:pPr>
            <w:r w:rsidRPr="00467F4B">
              <w:rPr>
                <w:rFonts w:ascii="Palatino Linotype" w:hAnsi="Palatino Linotype"/>
              </w:rPr>
              <w:t>New Cingular Wireless (U-3060-C)</w:t>
            </w:r>
          </w:p>
        </w:tc>
        <w:tc>
          <w:tcPr>
            <w:tcW w:w="1940" w:type="dxa"/>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467F4B" w:rsidR="00932789" w:rsidP="00A07617" w:rsidRDefault="00932789" w14:paraId="22E2F294" w14:textId="77777777">
            <w:pPr>
              <w:jc w:val="right"/>
              <w:rPr>
                <w:rFonts w:ascii="Palatino Linotype" w:hAnsi="Palatino Linotype"/>
                <w:u w:val="single"/>
              </w:rPr>
            </w:pPr>
            <w:r w:rsidRPr="00467F4B">
              <w:rPr>
                <w:rFonts w:ascii="Palatino Linotype" w:hAnsi="Palatino Linotype"/>
                <w:u w:val="single"/>
              </w:rPr>
              <w:t xml:space="preserve"> $ 157,623.10 </w:t>
            </w:r>
          </w:p>
        </w:tc>
        <w:tc>
          <w:tcPr>
            <w:tcW w:w="1750" w:type="dxa"/>
            <w:tcBorders>
              <w:top w:val="single" w:color="auto" w:sz="8" w:space="0"/>
              <w:left w:val="nil"/>
              <w:bottom w:val="single" w:color="auto" w:sz="8" w:space="0"/>
              <w:right w:val="single" w:color="auto" w:sz="8" w:space="0"/>
            </w:tcBorders>
            <w:shd w:val="clear" w:color="auto" w:fill="auto"/>
            <w:noWrap/>
            <w:vAlign w:val="bottom"/>
            <w:hideMark/>
          </w:tcPr>
          <w:p w:rsidRPr="00467F4B" w:rsidR="00932789" w:rsidP="00A07617" w:rsidRDefault="00932789" w14:paraId="7780CEFC" w14:textId="77777777">
            <w:pPr>
              <w:jc w:val="right"/>
              <w:rPr>
                <w:rFonts w:ascii="Palatino Linotype" w:hAnsi="Palatino Linotype"/>
                <w:u w:val="single"/>
              </w:rPr>
            </w:pPr>
            <w:r w:rsidRPr="00467F4B">
              <w:rPr>
                <w:rFonts w:ascii="Palatino Linotype" w:hAnsi="Palatino Linotype"/>
                <w:u w:val="single"/>
              </w:rPr>
              <w:t xml:space="preserve">$ 158,702.88 </w:t>
            </w:r>
          </w:p>
        </w:tc>
        <w:tc>
          <w:tcPr>
            <w:tcW w:w="1710" w:type="dxa"/>
            <w:tcBorders>
              <w:top w:val="single" w:color="auto" w:sz="8" w:space="0"/>
              <w:left w:val="nil"/>
              <w:bottom w:val="single" w:color="auto" w:sz="8" w:space="0"/>
              <w:right w:val="single" w:color="auto" w:sz="8" w:space="0"/>
            </w:tcBorders>
            <w:shd w:val="clear" w:color="auto" w:fill="auto"/>
            <w:noWrap/>
            <w:vAlign w:val="bottom"/>
            <w:hideMark/>
          </w:tcPr>
          <w:p w:rsidRPr="00467F4B" w:rsidR="00932789" w:rsidP="00A07617" w:rsidRDefault="00932789" w14:paraId="239194BB" w14:textId="77777777">
            <w:pPr>
              <w:jc w:val="right"/>
              <w:rPr>
                <w:rFonts w:ascii="Palatino Linotype" w:hAnsi="Palatino Linotype"/>
                <w:u w:val="single"/>
              </w:rPr>
            </w:pPr>
            <w:r w:rsidRPr="00467F4B">
              <w:rPr>
                <w:rFonts w:ascii="Palatino Linotype" w:hAnsi="Palatino Linotype"/>
                <w:u w:val="single"/>
              </w:rPr>
              <w:t xml:space="preserve">$ 316,325.98 </w:t>
            </w:r>
          </w:p>
        </w:tc>
      </w:tr>
      <w:tr w:rsidRPr="003F7B35" w:rsidR="00932789" w:rsidTr="00A07617" w14:paraId="1C48C1A6" w14:textId="77777777">
        <w:trPr>
          <w:trHeight w:val="375"/>
        </w:trPr>
        <w:tc>
          <w:tcPr>
            <w:tcW w:w="4050" w:type="dxa"/>
            <w:tcBorders>
              <w:top w:val="nil"/>
              <w:left w:val="single" w:color="auto" w:sz="8" w:space="0"/>
              <w:bottom w:val="single" w:color="auto" w:sz="8" w:space="0"/>
              <w:right w:val="nil"/>
            </w:tcBorders>
            <w:shd w:val="clear" w:color="auto" w:fill="auto"/>
            <w:noWrap/>
            <w:vAlign w:val="bottom"/>
            <w:hideMark/>
          </w:tcPr>
          <w:p w:rsidRPr="003F7B35" w:rsidR="00932789" w:rsidP="00A07617" w:rsidRDefault="00932789" w14:paraId="5B7B4DF3" w14:textId="77777777">
            <w:pPr>
              <w:jc w:val="right"/>
              <w:rPr>
                <w:rFonts w:ascii="Palatino Linotype" w:hAnsi="Palatino Linotype"/>
                <w:b/>
                <w:bCs/>
              </w:rPr>
            </w:pPr>
            <w:r w:rsidRPr="003F7B35">
              <w:rPr>
                <w:rFonts w:ascii="Palatino Linotype" w:hAnsi="Palatino Linotype"/>
                <w:b/>
                <w:bCs/>
              </w:rPr>
              <w:t>Total Owed</w:t>
            </w:r>
          </w:p>
        </w:tc>
        <w:tc>
          <w:tcPr>
            <w:tcW w:w="1940" w:type="dxa"/>
            <w:tcBorders>
              <w:top w:val="nil"/>
              <w:left w:val="single" w:color="auto" w:sz="8" w:space="0"/>
              <w:bottom w:val="single" w:color="auto" w:sz="8" w:space="0"/>
              <w:right w:val="single" w:color="auto" w:sz="8" w:space="0"/>
            </w:tcBorders>
            <w:shd w:val="clear" w:color="auto" w:fill="auto"/>
            <w:noWrap/>
            <w:vAlign w:val="bottom"/>
            <w:hideMark/>
          </w:tcPr>
          <w:p w:rsidRPr="003F7B35" w:rsidR="00932789" w:rsidP="00A07617" w:rsidRDefault="00932789" w14:paraId="246A3EC4" w14:textId="77777777">
            <w:pPr>
              <w:jc w:val="right"/>
              <w:rPr>
                <w:rFonts w:ascii="Palatino Linotype" w:hAnsi="Palatino Linotype"/>
                <w:b/>
                <w:bCs/>
              </w:rPr>
            </w:pPr>
            <w:r w:rsidRPr="003F7B35">
              <w:rPr>
                <w:rFonts w:ascii="Palatino Linotype" w:hAnsi="Palatino Linotype"/>
                <w:b/>
                <w:bCs/>
              </w:rPr>
              <w:t xml:space="preserve">$ 162,782.42 </w:t>
            </w:r>
          </w:p>
        </w:tc>
        <w:tc>
          <w:tcPr>
            <w:tcW w:w="1750" w:type="dxa"/>
            <w:tcBorders>
              <w:top w:val="nil"/>
              <w:left w:val="nil"/>
              <w:bottom w:val="single" w:color="auto" w:sz="8" w:space="0"/>
              <w:right w:val="single" w:color="auto" w:sz="8" w:space="0"/>
            </w:tcBorders>
            <w:shd w:val="clear" w:color="auto" w:fill="auto"/>
            <w:noWrap/>
            <w:vAlign w:val="bottom"/>
            <w:hideMark/>
          </w:tcPr>
          <w:p w:rsidRPr="003F7B35" w:rsidR="00932789" w:rsidP="00A07617" w:rsidRDefault="00932789" w14:paraId="1AF6B6BA" w14:textId="77777777">
            <w:pPr>
              <w:jc w:val="right"/>
              <w:rPr>
                <w:rFonts w:ascii="Palatino Linotype" w:hAnsi="Palatino Linotype"/>
                <w:b/>
                <w:bCs/>
              </w:rPr>
            </w:pPr>
            <w:r w:rsidRPr="003F7B35">
              <w:rPr>
                <w:rFonts w:ascii="Palatino Linotype" w:hAnsi="Palatino Linotype"/>
                <w:b/>
                <w:bCs/>
              </w:rPr>
              <w:t xml:space="preserve">$   </w:t>
            </w:r>
            <w:r>
              <w:rPr>
                <w:rFonts w:ascii="Palatino Linotype" w:hAnsi="Palatino Linotype"/>
                <w:b/>
                <w:bCs/>
              </w:rPr>
              <w:t>1</w:t>
            </w:r>
            <w:r w:rsidRPr="003F7B35">
              <w:rPr>
                <w:rFonts w:ascii="Palatino Linotype" w:hAnsi="Palatino Linotype"/>
                <w:b/>
                <w:bCs/>
              </w:rPr>
              <w:t xml:space="preserve">63,950.53 </w:t>
            </w:r>
          </w:p>
        </w:tc>
        <w:tc>
          <w:tcPr>
            <w:tcW w:w="1710" w:type="dxa"/>
            <w:tcBorders>
              <w:top w:val="nil"/>
              <w:left w:val="nil"/>
              <w:bottom w:val="single" w:color="auto" w:sz="8" w:space="0"/>
              <w:right w:val="single" w:color="auto" w:sz="8" w:space="0"/>
            </w:tcBorders>
            <w:shd w:val="clear" w:color="auto" w:fill="auto"/>
            <w:noWrap/>
            <w:vAlign w:val="bottom"/>
            <w:hideMark/>
          </w:tcPr>
          <w:p w:rsidRPr="003F7B35" w:rsidR="00932789" w:rsidP="00A07617" w:rsidRDefault="00932789" w14:paraId="05CCC907" w14:textId="77777777">
            <w:pPr>
              <w:jc w:val="right"/>
              <w:rPr>
                <w:rFonts w:ascii="Palatino Linotype" w:hAnsi="Palatino Linotype"/>
                <w:b/>
                <w:bCs/>
              </w:rPr>
            </w:pPr>
            <w:r w:rsidRPr="003F7B35">
              <w:rPr>
                <w:rFonts w:ascii="Palatino Linotype" w:hAnsi="Palatino Linotype"/>
                <w:b/>
                <w:bCs/>
              </w:rPr>
              <w:t xml:space="preserve">$ 326,732.95 </w:t>
            </w:r>
          </w:p>
        </w:tc>
      </w:tr>
    </w:tbl>
    <w:p w:rsidRPr="003F7B35" w:rsidR="00932789" w:rsidP="00932789" w:rsidRDefault="00932789" w14:paraId="2E39C84F" w14:textId="77777777">
      <w:pPr>
        <w:rPr>
          <w:rFonts w:ascii="Palatino Linotype" w:hAnsi="Palatino Linotype"/>
          <w:b/>
          <w:bCs/>
        </w:rPr>
      </w:pPr>
    </w:p>
    <w:p w:rsidR="00932789" w:rsidP="00932789" w:rsidRDefault="00932789" w14:paraId="79C651B7" w14:textId="47DAE65E">
      <w:pPr>
        <w:pStyle w:val="Title"/>
        <w:jc w:val="left"/>
        <w:rPr>
          <w:rFonts w:ascii="Palatino Linotype" w:hAnsi="Palatino Linotype"/>
          <w:b w:val="0"/>
          <w:szCs w:val="24"/>
        </w:rPr>
      </w:pPr>
      <w:r>
        <w:rPr>
          <w:rFonts w:ascii="Palatino Linotype" w:hAnsi="Palatino Linotype"/>
          <w:b w:val="0"/>
          <w:szCs w:val="24"/>
        </w:rPr>
        <w:t>Because AT&amp;T Mobility failed to pay the amounts owed to the Commission as directed by CD</w:t>
      </w:r>
      <w:r w:rsidR="00A07617">
        <w:rPr>
          <w:rFonts w:ascii="Palatino Linotype" w:hAnsi="Palatino Linotype"/>
          <w:b w:val="0"/>
          <w:szCs w:val="24"/>
        </w:rPr>
        <w:t xml:space="preserve"> </w:t>
      </w:r>
      <w:r>
        <w:rPr>
          <w:rFonts w:ascii="Palatino Linotype" w:hAnsi="Palatino Linotype"/>
          <w:b w:val="0"/>
          <w:szCs w:val="24"/>
        </w:rPr>
        <w:t xml:space="preserve">Deputy Director in June 2018, staff recommends that </w:t>
      </w:r>
      <w:r w:rsidRPr="00467F4B">
        <w:rPr>
          <w:rFonts w:ascii="Palatino Linotype" w:hAnsi="Palatino Linotype"/>
          <w:b w:val="0"/>
          <w:szCs w:val="24"/>
        </w:rPr>
        <w:t>the Commission</w:t>
      </w:r>
      <w:r>
        <w:rPr>
          <w:rFonts w:ascii="Palatino Linotype" w:hAnsi="Palatino Linotype"/>
          <w:b w:val="0"/>
          <w:szCs w:val="24"/>
        </w:rPr>
        <w:t xml:space="preserve"> </w:t>
      </w:r>
      <w:r w:rsidRPr="00467F4B">
        <w:rPr>
          <w:rFonts w:ascii="Palatino Linotype" w:hAnsi="Palatino Linotype"/>
          <w:b w:val="0"/>
          <w:szCs w:val="24"/>
        </w:rPr>
        <w:t>deduct</w:t>
      </w:r>
      <w:r>
        <w:rPr>
          <w:rFonts w:ascii="Palatino Linotype" w:hAnsi="Palatino Linotype"/>
          <w:b w:val="0"/>
          <w:szCs w:val="24"/>
        </w:rPr>
        <w:t xml:space="preserve"> </w:t>
      </w:r>
      <w:r w:rsidRPr="00467F4B">
        <w:rPr>
          <w:rFonts w:ascii="Palatino Linotype" w:hAnsi="Palatino Linotype"/>
          <w:b w:val="0"/>
          <w:szCs w:val="24"/>
        </w:rPr>
        <w:t xml:space="preserve">the amounts owed </w:t>
      </w:r>
      <w:r>
        <w:rPr>
          <w:rFonts w:ascii="Palatino Linotype" w:hAnsi="Palatino Linotype"/>
          <w:b w:val="0"/>
          <w:szCs w:val="24"/>
        </w:rPr>
        <w:t>from</w:t>
      </w:r>
      <w:r w:rsidRPr="00467F4B">
        <w:rPr>
          <w:rFonts w:ascii="Palatino Linotype" w:hAnsi="Palatino Linotype"/>
          <w:b w:val="0"/>
          <w:szCs w:val="24"/>
        </w:rPr>
        <w:t xml:space="preserve"> the total amount of </w:t>
      </w:r>
      <w:r>
        <w:rPr>
          <w:rFonts w:ascii="Palatino Linotype" w:hAnsi="Palatino Linotype"/>
          <w:b w:val="0"/>
          <w:szCs w:val="24"/>
        </w:rPr>
        <w:t>CPUC-</w:t>
      </w:r>
      <w:r w:rsidRPr="00467F4B">
        <w:rPr>
          <w:rFonts w:ascii="Palatino Linotype" w:hAnsi="Palatino Linotype"/>
          <w:b w:val="0"/>
          <w:szCs w:val="24"/>
        </w:rPr>
        <w:t xml:space="preserve">approved refund for AT&amp;T Mobility. </w:t>
      </w:r>
      <w:r>
        <w:rPr>
          <w:rFonts w:ascii="Palatino Linotype" w:hAnsi="Palatino Linotype"/>
          <w:b w:val="0"/>
          <w:szCs w:val="24"/>
        </w:rPr>
        <w:t>Therefore, t</w:t>
      </w:r>
      <w:r w:rsidRPr="00467F4B">
        <w:rPr>
          <w:rFonts w:ascii="Palatino Linotype" w:hAnsi="Palatino Linotype"/>
          <w:b w:val="0"/>
          <w:szCs w:val="24"/>
        </w:rPr>
        <w:t>he</w:t>
      </w:r>
      <w:r>
        <w:rPr>
          <w:rFonts w:ascii="Palatino Linotype" w:hAnsi="Palatino Linotype"/>
          <w:b w:val="0"/>
          <w:szCs w:val="24"/>
        </w:rPr>
        <w:t xml:space="preserve"> final</w:t>
      </w:r>
      <w:r w:rsidRPr="00467F4B">
        <w:rPr>
          <w:rFonts w:ascii="Palatino Linotype" w:hAnsi="Palatino Linotype"/>
          <w:b w:val="0"/>
          <w:szCs w:val="24"/>
        </w:rPr>
        <w:t xml:space="preserve"> total surcharges and user fees approved for refund by this Resolution is equal to $270,370.75</w:t>
      </w:r>
      <w:r>
        <w:rPr>
          <w:rFonts w:ascii="Palatino Linotype" w:hAnsi="Palatino Linotype"/>
          <w:b w:val="0"/>
          <w:szCs w:val="24"/>
        </w:rPr>
        <w:t xml:space="preserve"> as summarized in Table 1 of this resolution.</w:t>
      </w:r>
    </w:p>
    <w:p w:rsidR="00932789" w:rsidP="00932789" w:rsidRDefault="00932789" w14:paraId="4839E393" w14:textId="77777777">
      <w:pPr>
        <w:pStyle w:val="Title"/>
        <w:jc w:val="left"/>
        <w:rPr>
          <w:rFonts w:ascii="Palatino Linotype" w:hAnsi="Palatino Linotype"/>
          <w:b w:val="0"/>
          <w:szCs w:val="24"/>
        </w:rPr>
      </w:pPr>
    </w:p>
    <w:p w:rsidRPr="00467F4B" w:rsidR="00932789" w:rsidP="00932789" w:rsidRDefault="00932789" w14:paraId="6FDC4F3F" w14:textId="77777777">
      <w:pPr>
        <w:pStyle w:val="Title"/>
        <w:jc w:val="left"/>
        <w:rPr>
          <w:rFonts w:ascii="Palatino Linotype" w:hAnsi="Palatino Linotype"/>
          <w:b w:val="0"/>
          <w:szCs w:val="24"/>
        </w:rPr>
      </w:pPr>
      <w:r w:rsidRPr="00467F4B">
        <w:rPr>
          <w:rFonts w:ascii="Palatino Linotype" w:hAnsi="Palatino Linotype"/>
          <w:b w:val="0"/>
          <w:szCs w:val="24"/>
        </w:rPr>
        <w:t>The CPUC Administrative Service Division’s Fiscal Office</w:t>
      </w:r>
      <w:r w:rsidRPr="00467F4B" w:rsidDel="001702FD">
        <w:rPr>
          <w:rFonts w:ascii="Palatino Linotype" w:hAnsi="Palatino Linotype"/>
          <w:b w:val="0"/>
          <w:szCs w:val="24"/>
        </w:rPr>
        <w:t xml:space="preserve"> </w:t>
      </w:r>
      <w:r w:rsidRPr="00467F4B">
        <w:rPr>
          <w:rFonts w:ascii="Palatino Linotype" w:hAnsi="Palatino Linotype"/>
          <w:b w:val="0"/>
          <w:szCs w:val="24"/>
        </w:rPr>
        <w:t>shall undertake the necessary procedures to transmit the funds, subject to refund, to AT&amp;T Mobility</w:t>
      </w:r>
      <w:r>
        <w:rPr>
          <w:rFonts w:ascii="Palatino Linotype" w:hAnsi="Palatino Linotype"/>
          <w:b w:val="0"/>
          <w:szCs w:val="24"/>
        </w:rPr>
        <w:t xml:space="preserve"> and update the Commission’s records regarding the monies owed as identified in this resolution</w:t>
      </w:r>
      <w:r w:rsidRPr="00467F4B">
        <w:rPr>
          <w:rFonts w:ascii="Palatino Linotype" w:hAnsi="Palatino Linotype"/>
          <w:b w:val="0"/>
          <w:szCs w:val="24"/>
        </w:rPr>
        <w:t>.</w:t>
      </w:r>
    </w:p>
    <w:p w:rsidRPr="00467F4B" w:rsidR="00932789" w:rsidP="00932789" w:rsidRDefault="00932789" w14:paraId="71D923B6" w14:textId="77777777">
      <w:pPr>
        <w:pStyle w:val="ListParagraph"/>
        <w:rPr>
          <w:rFonts w:ascii="Palatino Linotype" w:hAnsi="Palatino Linotype"/>
        </w:rPr>
      </w:pPr>
    </w:p>
    <w:p w:rsidRPr="00467F4B" w:rsidR="00932789" w:rsidP="00932789" w:rsidRDefault="00932789" w14:paraId="323BF8D3" w14:textId="77777777">
      <w:pPr>
        <w:pStyle w:val="Title"/>
        <w:keepNext/>
        <w:jc w:val="left"/>
        <w:rPr>
          <w:rFonts w:ascii="Palatino Linotype" w:hAnsi="Palatino Linotype"/>
          <w:b w:val="0"/>
          <w:szCs w:val="24"/>
          <w:u w:val="single"/>
        </w:rPr>
      </w:pPr>
      <w:r w:rsidRPr="00467F4B">
        <w:rPr>
          <w:rFonts w:ascii="Palatino Linotype" w:hAnsi="Palatino Linotype"/>
          <w:b w:val="0"/>
          <w:szCs w:val="24"/>
          <w:u w:val="single"/>
        </w:rPr>
        <w:t>Safety Considerations</w:t>
      </w:r>
    </w:p>
    <w:p w:rsidRPr="00467F4B" w:rsidR="00932789" w:rsidP="00932789" w:rsidRDefault="00932789" w14:paraId="41C58C4C" w14:textId="77777777">
      <w:pPr>
        <w:pStyle w:val="Title"/>
        <w:keepNext/>
        <w:ind w:firstLine="720"/>
        <w:jc w:val="left"/>
        <w:rPr>
          <w:rFonts w:ascii="Palatino Linotype" w:hAnsi="Palatino Linotype"/>
          <w:b w:val="0"/>
          <w:szCs w:val="24"/>
          <w:u w:val="single"/>
        </w:rPr>
      </w:pPr>
    </w:p>
    <w:p w:rsidRPr="00467F4B" w:rsidR="00932789" w:rsidP="00932789" w:rsidRDefault="00932789" w14:paraId="52A40AB0" w14:textId="77777777">
      <w:pPr>
        <w:keepNext/>
        <w:rPr>
          <w:rFonts w:ascii="Palatino Linotype" w:hAnsi="Palatino Linotype"/>
          <w:bCs/>
        </w:rPr>
      </w:pPr>
      <w:r w:rsidRPr="00467F4B">
        <w:rPr>
          <w:rFonts w:ascii="Palatino Linotype" w:hAnsi="Palatino Linotype"/>
          <w:bCs/>
        </w:rPr>
        <w:t xml:space="preserve">There are no specific safety issues raised in this Resolution.  </w:t>
      </w:r>
    </w:p>
    <w:p w:rsidRPr="00467F4B" w:rsidR="00932789" w:rsidP="00932789" w:rsidRDefault="00932789" w14:paraId="7A3ADBEC" w14:textId="77777777">
      <w:pPr>
        <w:tabs>
          <w:tab w:val="left" w:pos="0"/>
          <w:tab w:val="left" w:pos="1080"/>
        </w:tabs>
        <w:rPr>
          <w:rFonts w:ascii="Palatino Linotype" w:hAnsi="Palatino Linotype"/>
          <w:b/>
        </w:rPr>
      </w:pPr>
    </w:p>
    <w:p w:rsidRPr="00467F4B" w:rsidR="00932789" w:rsidP="00932789" w:rsidRDefault="00932789" w14:paraId="3F13F2B5" w14:textId="77777777">
      <w:pPr>
        <w:rPr>
          <w:rFonts w:ascii="Palatino Linotype" w:hAnsi="Palatino Linotype"/>
          <w:b/>
          <w:bCs/>
        </w:rPr>
      </w:pPr>
      <w:r w:rsidRPr="00467F4B">
        <w:rPr>
          <w:rFonts w:ascii="Palatino Linotype" w:hAnsi="Palatino Linotype"/>
          <w:b/>
        </w:rPr>
        <w:t>COMMENTS ON PROPOSED RESOLUTION</w:t>
      </w:r>
    </w:p>
    <w:p w:rsidRPr="00467F4B" w:rsidR="00932789" w:rsidP="00932789" w:rsidRDefault="00932789" w14:paraId="7B52DAE6" w14:textId="77777777">
      <w:pPr>
        <w:tabs>
          <w:tab w:val="left" w:pos="0"/>
          <w:tab w:val="left" w:pos="1080"/>
        </w:tabs>
        <w:rPr>
          <w:rFonts w:ascii="Palatino Linotype" w:hAnsi="Palatino Linotype"/>
          <w:bCs/>
        </w:rPr>
      </w:pPr>
    </w:p>
    <w:p w:rsidR="00932789" w:rsidP="00932789" w:rsidRDefault="00932789" w14:paraId="34A49EE5" w14:textId="1DD14066">
      <w:pPr>
        <w:tabs>
          <w:tab w:val="left" w:pos="0"/>
          <w:tab w:val="left" w:pos="1080"/>
        </w:tabs>
        <w:rPr>
          <w:rFonts w:ascii="Palatino Linotype" w:hAnsi="Palatino Linotype"/>
          <w:bCs/>
        </w:rPr>
      </w:pPr>
      <w:r w:rsidRPr="00467F4B">
        <w:rPr>
          <w:rFonts w:ascii="Palatino Linotype" w:hAnsi="Palatino Linotype"/>
          <w:bCs/>
        </w:rPr>
        <w:t xml:space="preserve">In compliance with P.U. Code § 311(g), a notice letter was emailed on </w:t>
      </w:r>
      <w:r>
        <w:rPr>
          <w:rFonts w:ascii="Palatino Linotype" w:hAnsi="Palatino Linotype"/>
          <w:bCs/>
        </w:rPr>
        <w:t>April 2</w:t>
      </w:r>
      <w:r w:rsidR="002C20DD">
        <w:rPr>
          <w:rFonts w:ascii="Palatino Linotype" w:hAnsi="Palatino Linotype"/>
          <w:bCs/>
        </w:rPr>
        <w:t>7</w:t>
      </w:r>
      <w:r>
        <w:rPr>
          <w:rFonts w:ascii="Palatino Linotype" w:hAnsi="Palatino Linotype"/>
          <w:bCs/>
        </w:rPr>
        <w:t>, 2021</w:t>
      </w:r>
      <w:r w:rsidRPr="00467F4B">
        <w:rPr>
          <w:rFonts w:ascii="Palatino Linotype" w:hAnsi="Palatino Linotype"/>
          <w:bCs/>
        </w:rPr>
        <w:t xml:space="preserve"> informing interested parties of the availability of the draft of this Resolution for public </w:t>
      </w:r>
      <w:r w:rsidRPr="00467F4B">
        <w:rPr>
          <w:rFonts w:ascii="Palatino Linotype" w:hAnsi="Palatino Linotype"/>
          <w:bCs/>
        </w:rPr>
        <w:lastRenderedPageBreak/>
        <w:t xml:space="preserve">comments at the Commission’s website </w:t>
      </w:r>
      <w:hyperlink w:history="1" r:id="rId9">
        <w:r w:rsidRPr="00E562E7">
          <w:rPr>
            <w:rStyle w:val="Hyperlink"/>
            <w:rFonts w:ascii="Palatino Linotype" w:hAnsi="Palatino Linotype"/>
            <w:bCs/>
          </w:rPr>
          <w:t>http://www.cpuc.ca</w:t>
        </w:r>
        <w:r w:rsidRPr="00E562E7">
          <w:rPr>
            <w:rStyle w:val="Hyperlink"/>
            <w:rFonts w:ascii="Palatino Linotype" w:hAnsi="Palatino Linotype"/>
          </w:rPr>
          <w:t>.</w:t>
        </w:r>
        <w:r w:rsidRPr="00E562E7">
          <w:rPr>
            <w:rStyle w:val="Hyperlink"/>
            <w:rFonts w:ascii="Palatino Linotype" w:hAnsi="Palatino Linotype"/>
            <w:bCs/>
          </w:rPr>
          <w:t>gov</w:t>
        </w:r>
      </w:hyperlink>
      <w:r w:rsidRPr="00467F4B">
        <w:rPr>
          <w:rFonts w:ascii="Palatino Linotype" w:hAnsi="Palatino Linotype"/>
          <w:bCs/>
        </w:rPr>
        <w:t xml:space="preserve">.  This letter also informed parties that the final Resolution adopted by the Commission will be posted and will be available at the same website.  </w:t>
      </w:r>
    </w:p>
    <w:p w:rsidR="00932789" w:rsidP="00932789" w:rsidRDefault="00932789" w14:paraId="2A707C0D" w14:textId="77777777">
      <w:pPr>
        <w:tabs>
          <w:tab w:val="left" w:pos="0"/>
          <w:tab w:val="left" w:pos="1080"/>
        </w:tabs>
        <w:rPr>
          <w:rFonts w:ascii="Palatino Linotype" w:hAnsi="Palatino Linotype"/>
          <w:bCs/>
        </w:rPr>
      </w:pPr>
    </w:p>
    <w:p w:rsidRPr="00467F4B" w:rsidR="00932789" w:rsidP="00932789" w:rsidRDefault="00932789" w14:paraId="3853D5CA" w14:textId="77777777">
      <w:pPr>
        <w:pStyle w:val="Title"/>
        <w:keepNext/>
        <w:jc w:val="left"/>
        <w:rPr>
          <w:rFonts w:ascii="Palatino Linotype" w:hAnsi="Palatino Linotype"/>
          <w:szCs w:val="24"/>
        </w:rPr>
      </w:pPr>
      <w:r w:rsidRPr="00467F4B">
        <w:rPr>
          <w:rFonts w:ascii="Palatino Linotype" w:hAnsi="Palatino Linotype"/>
          <w:szCs w:val="24"/>
        </w:rPr>
        <w:t>CONCLUSION</w:t>
      </w:r>
    </w:p>
    <w:p w:rsidRPr="00467F4B" w:rsidR="00932789" w:rsidP="00932789" w:rsidRDefault="00932789" w14:paraId="033D82C6" w14:textId="77777777">
      <w:pPr>
        <w:pStyle w:val="Title"/>
        <w:keepNext/>
        <w:jc w:val="left"/>
        <w:rPr>
          <w:rFonts w:ascii="Palatino Linotype" w:hAnsi="Palatino Linotype"/>
          <w:b w:val="0"/>
          <w:szCs w:val="24"/>
        </w:rPr>
      </w:pPr>
    </w:p>
    <w:p w:rsidRPr="00467F4B" w:rsidR="00932789" w:rsidP="00932789" w:rsidRDefault="00932789" w14:paraId="69CE97FB" w14:textId="77777777">
      <w:pPr>
        <w:pStyle w:val="Title"/>
        <w:keepNext/>
        <w:jc w:val="left"/>
        <w:rPr>
          <w:rFonts w:ascii="Palatino Linotype" w:hAnsi="Palatino Linotype"/>
          <w:b w:val="0"/>
          <w:szCs w:val="24"/>
        </w:rPr>
      </w:pPr>
      <w:r w:rsidRPr="00467F4B">
        <w:rPr>
          <w:rFonts w:ascii="Palatino Linotype" w:hAnsi="Palatino Linotype"/>
          <w:b w:val="0"/>
          <w:szCs w:val="24"/>
        </w:rPr>
        <w:t xml:space="preserve">Staff recommends </w:t>
      </w:r>
      <w:r>
        <w:rPr>
          <w:rFonts w:ascii="Palatino Linotype" w:hAnsi="Palatino Linotype"/>
          <w:b w:val="0"/>
          <w:szCs w:val="24"/>
        </w:rPr>
        <w:t>that the Commission approve a partial</w:t>
      </w:r>
      <w:r w:rsidRPr="00467F4B">
        <w:rPr>
          <w:rFonts w:ascii="Palatino Linotype" w:hAnsi="Palatino Linotype"/>
          <w:b w:val="0"/>
          <w:szCs w:val="24"/>
        </w:rPr>
        <w:t xml:space="preserve"> refund of </w:t>
      </w:r>
      <w:r>
        <w:rPr>
          <w:rFonts w:ascii="Palatino Linotype" w:hAnsi="Palatino Linotype"/>
          <w:b w:val="0"/>
          <w:szCs w:val="24"/>
        </w:rPr>
        <w:t xml:space="preserve">surcharge and user fee overpayments to </w:t>
      </w:r>
      <w:r w:rsidRPr="00467F4B">
        <w:rPr>
          <w:rFonts w:ascii="Palatino Linotype" w:hAnsi="Palatino Linotype"/>
          <w:b w:val="0"/>
          <w:szCs w:val="24"/>
        </w:rPr>
        <w:t>AT&amp;T Mobility</w:t>
      </w:r>
      <w:r>
        <w:rPr>
          <w:rFonts w:ascii="Palatino Linotype" w:hAnsi="Palatino Linotype"/>
          <w:b w:val="0"/>
          <w:szCs w:val="24"/>
        </w:rPr>
        <w:t xml:space="preserve"> </w:t>
      </w:r>
      <w:r w:rsidRPr="00467F4B">
        <w:rPr>
          <w:rFonts w:ascii="Palatino Linotype" w:hAnsi="Palatino Linotype"/>
          <w:b w:val="0"/>
          <w:szCs w:val="24"/>
        </w:rPr>
        <w:t xml:space="preserve">resulting from </w:t>
      </w:r>
      <w:r>
        <w:rPr>
          <w:rFonts w:ascii="Palatino Linotype" w:hAnsi="Palatino Linotype"/>
          <w:b w:val="0"/>
          <w:szCs w:val="24"/>
        </w:rPr>
        <w:t>the</w:t>
      </w:r>
      <w:r w:rsidRPr="00467F4B">
        <w:rPr>
          <w:rFonts w:ascii="Palatino Linotype" w:hAnsi="Palatino Linotype"/>
          <w:b w:val="0"/>
          <w:szCs w:val="24"/>
        </w:rPr>
        <w:t xml:space="preserve"> erroneous inclusion of intrastate data revenue in its monthly reporting.  </w:t>
      </w:r>
      <w:r>
        <w:rPr>
          <w:rFonts w:ascii="Palatino Linotype" w:hAnsi="Palatino Linotype"/>
          <w:b w:val="0"/>
          <w:szCs w:val="24"/>
        </w:rPr>
        <w:t>Staff further recommends that the Commission require AT&amp;T Mobility to pay the outstanding amounts due to the Commission and authorize this amount to be deducted from the total approved refund amount.</w:t>
      </w:r>
    </w:p>
    <w:p w:rsidRPr="00467F4B" w:rsidR="00932789" w:rsidP="00932789" w:rsidRDefault="00932789" w14:paraId="35A95EEA" w14:textId="77777777">
      <w:pPr>
        <w:pStyle w:val="Title"/>
        <w:jc w:val="left"/>
        <w:rPr>
          <w:rFonts w:ascii="Palatino Linotype" w:hAnsi="Palatino Linotype"/>
          <w:b w:val="0"/>
          <w:szCs w:val="24"/>
        </w:rPr>
      </w:pPr>
    </w:p>
    <w:p w:rsidRPr="00467F4B" w:rsidR="00932789" w:rsidP="00932789" w:rsidRDefault="00932789" w14:paraId="3DAB029C" w14:textId="77777777">
      <w:pPr>
        <w:pStyle w:val="Title"/>
        <w:jc w:val="left"/>
        <w:rPr>
          <w:rFonts w:ascii="Palatino Linotype" w:hAnsi="Palatino Linotype"/>
          <w:b w:val="0"/>
          <w:szCs w:val="24"/>
        </w:rPr>
      </w:pPr>
      <w:r w:rsidRPr="00467F4B">
        <w:rPr>
          <w:rFonts w:ascii="Palatino Linotype" w:hAnsi="Palatino Linotype"/>
          <w:b w:val="0"/>
          <w:szCs w:val="24"/>
        </w:rPr>
        <w:t xml:space="preserve">Upon adoption of this Resolution, the Administrative Service Division’s Fiscal Office will undertake the necessary procedures to issue </w:t>
      </w:r>
      <w:r>
        <w:rPr>
          <w:rFonts w:ascii="Palatino Linotype" w:hAnsi="Palatino Linotype"/>
          <w:b w:val="0"/>
          <w:szCs w:val="24"/>
        </w:rPr>
        <w:t xml:space="preserve">the </w:t>
      </w:r>
      <w:r w:rsidRPr="00467F4B">
        <w:rPr>
          <w:rFonts w:ascii="Palatino Linotype" w:hAnsi="Palatino Linotype"/>
          <w:b w:val="0"/>
          <w:szCs w:val="24"/>
        </w:rPr>
        <w:t xml:space="preserve">refund </w:t>
      </w:r>
      <w:r>
        <w:rPr>
          <w:rFonts w:ascii="Palatino Linotype" w:hAnsi="Palatino Linotype"/>
          <w:b w:val="0"/>
          <w:szCs w:val="24"/>
        </w:rPr>
        <w:t xml:space="preserve">amount to </w:t>
      </w:r>
      <w:r w:rsidRPr="00467F4B">
        <w:rPr>
          <w:rFonts w:ascii="Palatino Linotype" w:hAnsi="Palatino Linotype"/>
          <w:b w:val="0"/>
          <w:szCs w:val="24"/>
        </w:rPr>
        <w:t>the respective AT&amp;T Mobility companies</w:t>
      </w:r>
      <w:r>
        <w:rPr>
          <w:rFonts w:ascii="Palatino Linotype" w:hAnsi="Palatino Linotype"/>
          <w:b w:val="0"/>
          <w:szCs w:val="24"/>
        </w:rPr>
        <w:t xml:space="preserve"> and update its records accordingly.</w:t>
      </w:r>
    </w:p>
    <w:p w:rsidRPr="00467F4B" w:rsidR="00932789" w:rsidP="00932789" w:rsidRDefault="00932789" w14:paraId="648FFF13" w14:textId="77777777">
      <w:pPr>
        <w:pStyle w:val="Title"/>
        <w:jc w:val="left"/>
        <w:rPr>
          <w:rFonts w:ascii="Palatino Linotype" w:hAnsi="Palatino Linotype"/>
          <w:b w:val="0"/>
          <w:szCs w:val="24"/>
        </w:rPr>
      </w:pPr>
    </w:p>
    <w:p w:rsidR="00932789" w:rsidP="00932789" w:rsidRDefault="00932789" w14:paraId="03396508" w14:textId="49A65F80">
      <w:pPr>
        <w:pStyle w:val="Title"/>
        <w:jc w:val="left"/>
        <w:rPr>
          <w:rFonts w:ascii="Palatino Linotype" w:hAnsi="Palatino Linotype"/>
          <w:b w:val="0"/>
          <w:szCs w:val="24"/>
        </w:rPr>
      </w:pPr>
      <w:r w:rsidRPr="00467F4B">
        <w:rPr>
          <w:rFonts w:ascii="Palatino Linotype" w:hAnsi="Palatino Linotype"/>
          <w:b w:val="0"/>
          <w:szCs w:val="24"/>
        </w:rPr>
        <w:t xml:space="preserve">Lastly, we remind AT&amp;T Mobility and all other carriers providing services in California to be mindful of </w:t>
      </w:r>
      <w:r>
        <w:rPr>
          <w:rFonts w:ascii="Palatino Linotype" w:hAnsi="Palatino Linotype"/>
          <w:b w:val="0"/>
          <w:szCs w:val="24"/>
        </w:rPr>
        <w:t>their</w:t>
      </w:r>
      <w:r w:rsidRPr="00467F4B">
        <w:rPr>
          <w:rFonts w:ascii="Palatino Linotype" w:hAnsi="Palatino Linotype"/>
          <w:b w:val="0"/>
          <w:szCs w:val="24"/>
        </w:rPr>
        <w:t xml:space="preserve"> responsibility </w:t>
      </w:r>
      <w:r>
        <w:rPr>
          <w:rFonts w:ascii="Palatino Linotype" w:hAnsi="Palatino Linotype"/>
          <w:b w:val="0"/>
          <w:szCs w:val="24"/>
        </w:rPr>
        <w:t>to</w:t>
      </w:r>
      <w:r w:rsidRPr="00467F4B">
        <w:rPr>
          <w:rFonts w:ascii="Palatino Linotype" w:hAnsi="Palatino Linotype"/>
          <w:b w:val="0"/>
          <w:szCs w:val="24"/>
        </w:rPr>
        <w:t xml:space="preserve"> timely and accurate</w:t>
      </w:r>
      <w:r>
        <w:rPr>
          <w:rFonts w:ascii="Palatino Linotype" w:hAnsi="Palatino Linotype"/>
          <w:b w:val="0"/>
          <w:szCs w:val="24"/>
        </w:rPr>
        <w:t>ly</w:t>
      </w:r>
      <w:r w:rsidRPr="00467F4B">
        <w:rPr>
          <w:rFonts w:ascii="Palatino Linotype" w:hAnsi="Palatino Linotype"/>
          <w:b w:val="0"/>
          <w:szCs w:val="24"/>
        </w:rPr>
        <w:t xml:space="preserve"> </w:t>
      </w:r>
      <w:r w:rsidR="00A07617">
        <w:rPr>
          <w:rFonts w:ascii="Palatino Linotype" w:hAnsi="Palatino Linotype"/>
          <w:b w:val="0"/>
          <w:szCs w:val="24"/>
        </w:rPr>
        <w:t xml:space="preserve">to report and remit </w:t>
      </w:r>
      <w:r w:rsidRPr="00467F4B">
        <w:rPr>
          <w:rFonts w:ascii="Palatino Linotype" w:hAnsi="Palatino Linotype"/>
          <w:b w:val="0"/>
          <w:szCs w:val="24"/>
        </w:rPr>
        <w:t xml:space="preserve">surcharges and </w:t>
      </w:r>
      <w:r>
        <w:rPr>
          <w:rFonts w:ascii="Palatino Linotype" w:hAnsi="Palatino Linotype"/>
          <w:b w:val="0"/>
          <w:szCs w:val="24"/>
        </w:rPr>
        <w:t>u</w:t>
      </w:r>
      <w:r w:rsidRPr="00467F4B">
        <w:rPr>
          <w:rFonts w:ascii="Palatino Linotype" w:hAnsi="Palatino Linotype"/>
          <w:b w:val="0"/>
          <w:szCs w:val="24"/>
        </w:rPr>
        <w:t xml:space="preserve">ser </w:t>
      </w:r>
      <w:r>
        <w:rPr>
          <w:rFonts w:ascii="Palatino Linotype" w:hAnsi="Palatino Linotype"/>
          <w:b w:val="0"/>
          <w:szCs w:val="24"/>
        </w:rPr>
        <w:t>f</w:t>
      </w:r>
      <w:r w:rsidRPr="00467F4B">
        <w:rPr>
          <w:rFonts w:ascii="Palatino Linotype" w:hAnsi="Palatino Linotype"/>
          <w:b w:val="0"/>
          <w:szCs w:val="24"/>
        </w:rPr>
        <w:t>ee</w:t>
      </w:r>
      <w:r>
        <w:rPr>
          <w:rFonts w:ascii="Palatino Linotype" w:hAnsi="Palatino Linotype"/>
          <w:b w:val="0"/>
          <w:szCs w:val="24"/>
        </w:rPr>
        <w:t>s</w:t>
      </w:r>
      <w:r w:rsidR="00A07617">
        <w:rPr>
          <w:rFonts w:ascii="Palatino Linotype" w:hAnsi="Palatino Linotype"/>
          <w:b w:val="0"/>
          <w:szCs w:val="24"/>
        </w:rPr>
        <w:t xml:space="preserve"> to the Commission</w:t>
      </w:r>
      <w:r w:rsidRPr="00467F4B">
        <w:rPr>
          <w:rFonts w:ascii="Palatino Linotype" w:hAnsi="Palatino Linotype"/>
          <w:b w:val="0"/>
          <w:szCs w:val="24"/>
        </w:rPr>
        <w:t xml:space="preserve">. We also note that each case involving overpayments and refunds of surcharges and user fees has its own set of facts.  Therefore, this </w:t>
      </w:r>
      <w:r>
        <w:rPr>
          <w:rFonts w:ascii="Palatino Linotype" w:hAnsi="Palatino Linotype"/>
          <w:b w:val="0"/>
          <w:szCs w:val="24"/>
        </w:rPr>
        <w:t>R</w:t>
      </w:r>
      <w:r w:rsidRPr="00467F4B">
        <w:rPr>
          <w:rFonts w:ascii="Palatino Linotype" w:hAnsi="Palatino Linotype"/>
          <w:b w:val="0"/>
          <w:szCs w:val="24"/>
        </w:rPr>
        <w:t xml:space="preserve">esolution </w:t>
      </w:r>
      <w:r>
        <w:rPr>
          <w:rFonts w:ascii="Palatino Linotype" w:hAnsi="Palatino Linotype"/>
          <w:b w:val="0"/>
          <w:szCs w:val="24"/>
        </w:rPr>
        <w:t>shall not serve a</w:t>
      </w:r>
      <w:r w:rsidRPr="00467F4B">
        <w:rPr>
          <w:rFonts w:ascii="Palatino Linotype" w:hAnsi="Palatino Linotype"/>
          <w:b w:val="0"/>
          <w:szCs w:val="24"/>
        </w:rPr>
        <w:t xml:space="preserve">s </w:t>
      </w:r>
      <w:r>
        <w:rPr>
          <w:rFonts w:ascii="Palatino Linotype" w:hAnsi="Palatino Linotype"/>
          <w:b w:val="0"/>
          <w:szCs w:val="24"/>
        </w:rPr>
        <w:t xml:space="preserve">a </w:t>
      </w:r>
      <w:r w:rsidRPr="00467F4B">
        <w:rPr>
          <w:rFonts w:ascii="Palatino Linotype" w:hAnsi="Palatino Linotype"/>
          <w:b w:val="0"/>
          <w:szCs w:val="24"/>
        </w:rPr>
        <w:t>precedent for other situations</w:t>
      </w:r>
      <w:r>
        <w:rPr>
          <w:rFonts w:ascii="Palatino Linotype" w:hAnsi="Palatino Linotype"/>
          <w:b w:val="0"/>
          <w:szCs w:val="24"/>
        </w:rPr>
        <w:t xml:space="preserve"> i</w:t>
      </w:r>
      <w:r w:rsidRPr="00467F4B">
        <w:rPr>
          <w:rFonts w:ascii="Palatino Linotype" w:hAnsi="Palatino Linotype"/>
          <w:b w:val="0"/>
          <w:szCs w:val="24"/>
        </w:rPr>
        <w:t>nvolv</w:t>
      </w:r>
      <w:r>
        <w:rPr>
          <w:rFonts w:ascii="Palatino Linotype" w:hAnsi="Palatino Linotype"/>
          <w:b w:val="0"/>
          <w:szCs w:val="24"/>
        </w:rPr>
        <w:t>ing</w:t>
      </w:r>
      <w:r w:rsidRPr="00467F4B">
        <w:rPr>
          <w:rFonts w:ascii="Palatino Linotype" w:hAnsi="Palatino Linotype"/>
          <w:b w:val="0"/>
          <w:szCs w:val="24"/>
        </w:rPr>
        <w:t xml:space="preserve"> overpayments of surcharges </w:t>
      </w:r>
      <w:r>
        <w:rPr>
          <w:rFonts w:ascii="Palatino Linotype" w:hAnsi="Palatino Linotype"/>
          <w:b w:val="0"/>
          <w:szCs w:val="24"/>
        </w:rPr>
        <w:t>and/</w:t>
      </w:r>
      <w:r w:rsidRPr="00467F4B">
        <w:rPr>
          <w:rFonts w:ascii="Palatino Linotype" w:hAnsi="Palatino Linotype"/>
          <w:b w:val="0"/>
          <w:szCs w:val="24"/>
        </w:rPr>
        <w:t xml:space="preserve">or user fees.    </w:t>
      </w:r>
    </w:p>
    <w:p w:rsidR="00932789" w:rsidP="00932789" w:rsidRDefault="00932789" w14:paraId="4BE59150" w14:textId="77777777">
      <w:pPr>
        <w:pStyle w:val="Title"/>
        <w:jc w:val="left"/>
        <w:rPr>
          <w:rFonts w:ascii="Palatino Linotype" w:hAnsi="Palatino Linotype"/>
          <w:b w:val="0"/>
          <w:szCs w:val="24"/>
        </w:rPr>
      </w:pPr>
    </w:p>
    <w:p w:rsidRPr="00467F4B" w:rsidR="00932789" w:rsidP="00932789" w:rsidRDefault="00932789" w14:paraId="410486C0" w14:textId="77777777">
      <w:pPr>
        <w:rPr>
          <w:rFonts w:ascii="Palatino Linotype" w:hAnsi="Palatino Linotype"/>
        </w:rPr>
      </w:pPr>
      <w:r w:rsidRPr="00467F4B">
        <w:rPr>
          <w:rFonts w:ascii="Palatino Linotype" w:hAnsi="Palatino Linotype"/>
        </w:rPr>
        <w:t xml:space="preserve">On March 24, 2020, </w:t>
      </w:r>
      <w:r w:rsidRPr="007F1A58">
        <w:rPr>
          <w:rFonts w:ascii="Palatino Linotype" w:hAnsi="Palatino Linotype"/>
        </w:rPr>
        <w:t xml:space="preserve">the CPUC Administrative Service Division’s Fiscal Office </w:t>
      </w:r>
      <w:r>
        <w:rPr>
          <w:rFonts w:ascii="Palatino Linotype" w:hAnsi="Palatino Linotype"/>
        </w:rPr>
        <w:t xml:space="preserve">staff </w:t>
      </w:r>
      <w:r w:rsidRPr="00467F4B">
        <w:rPr>
          <w:rFonts w:ascii="Palatino Linotype" w:hAnsi="Palatino Linotype"/>
        </w:rPr>
        <w:t xml:space="preserve">established and posted on </w:t>
      </w:r>
      <w:r>
        <w:rPr>
          <w:rFonts w:ascii="Palatino Linotype" w:hAnsi="Palatino Linotype"/>
        </w:rPr>
        <w:t>the Commission</w:t>
      </w:r>
      <w:r w:rsidRPr="00467F4B">
        <w:rPr>
          <w:rFonts w:ascii="Palatino Linotype" w:hAnsi="Palatino Linotype"/>
        </w:rPr>
        <w:t xml:space="preserve"> website a</w:t>
      </w:r>
      <w:r>
        <w:rPr>
          <w:rFonts w:ascii="Palatino Linotype" w:hAnsi="Palatino Linotype"/>
        </w:rPr>
        <w:t>n updated</w:t>
      </w:r>
      <w:r w:rsidRPr="00467F4B">
        <w:rPr>
          <w:rFonts w:ascii="Palatino Linotype" w:hAnsi="Palatino Linotype"/>
        </w:rPr>
        <w:t xml:space="preserve"> </w:t>
      </w:r>
      <w:r>
        <w:rPr>
          <w:rFonts w:ascii="Palatino Linotype" w:hAnsi="Palatino Linotype"/>
        </w:rPr>
        <w:t xml:space="preserve">guideline for internal </w:t>
      </w:r>
      <w:r w:rsidRPr="00467F4B">
        <w:rPr>
          <w:rFonts w:ascii="Palatino Linotype" w:hAnsi="Palatino Linotype"/>
        </w:rPr>
        <w:t>process</w:t>
      </w:r>
      <w:r>
        <w:rPr>
          <w:rFonts w:ascii="Palatino Linotype" w:hAnsi="Palatino Linotype"/>
        </w:rPr>
        <w:t>ing of</w:t>
      </w:r>
      <w:r w:rsidRPr="00467F4B">
        <w:rPr>
          <w:rFonts w:ascii="Palatino Linotype" w:hAnsi="Palatino Linotype"/>
        </w:rPr>
        <w:t xml:space="preserve"> surcharge and user fee-related refund claims.</w:t>
      </w:r>
      <w:r w:rsidRPr="00467F4B">
        <w:rPr>
          <w:rStyle w:val="FootnoteReference"/>
          <w:rFonts w:ascii="Palatino Linotype" w:hAnsi="Palatino Linotype"/>
        </w:rPr>
        <w:footnoteReference w:id="16"/>
      </w:r>
      <w:r w:rsidRPr="00467F4B">
        <w:rPr>
          <w:rFonts w:ascii="Palatino Linotype" w:hAnsi="Palatino Linotype"/>
        </w:rPr>
        <w:t xml:space="preserve"> Among other things, the updated guidance identified that </w:t>
      </w:r>
      <w:r w:rsidRPr="00A07617">
        <w:rPr>
          <w:rFonts w:ascii="Palatino Linotype" w:hAnsi="Palatino Linotype"/>
          <w:i/>
          <w:iCs/>
        </w:rPr>
        <w:t>“Claims are limited to reporting errors that occurred within 12 months prior to the date the carrier notifies the Commission by e-mail of the error.”</w:t>
      </w:r>
      <w:r w:rsidRPr="00467F4B">
        <w:rPr>
          <w:rFonts w:ascii="Palatino Linotype" w:hAnsi="Palatino Linotype"/>
        </w:rPr>
        <w:t xml:space="preserve"> </w:t>
      </w:r>
      <w:r>
        <w:rPr>
          <w:rFonts w:ascii="Palatino Linotype" w:hAnsi="Palatino Linotype"/>
        </w:rPr>
        <w:t xml:space="preserve"> </w:t>
      </w:r>
      <w:r w:rsidRPr="00467F4B">
        <w:rPr>
          <w:rFonts w:ascii="Palatino Linotype" w:hAnsi="Palatino Linotype"/>
        </w:rPr>
        <w:t xml:space="preserve">All future refunds must comply with the </w:t>
      </w:r>
      <w:r w:rsidRPr="00720900">
        <w:rPr>
          <w:rFonts w:ascii="Palatino Linotype" w:hAnsi="Palatino Linotype"/>
        </w:rPr>
        <w:t>internal process for surcharge and user fee-related refund claims</w:t>
      </w:r>
      <w:r w:rsidRPr="00467F4B">
        <w:rPr>
          <w:rFonts w:ascii="Palatino Linotype" w:hAnsi="Palatino Linotype"/>
        </w:rPr>
        <w:t xml:space="preserve"> established on March 24, 2020</w:t>
      </w:r>
      <w:r>
        <w:rPr>
          <w:rFonts w:ascii="Palatino Linotype" w:hAnsi="Palatino Linotype"/>
        </w:rPr>
        <w:t xml:space="preserve">. See Attachment B of this Resolution. </w:t>
      </w:r>
    </w:p>
    <w:p w:rsidRPr="00467F4B" w:rsidR="00932789" w:rsidP="00932789" w:rsidRDefault="00932789" w14:paraId="65B258AD" w14:textId="77777777">
      <w:pPr>
        <w:pStyle w:val="Title"/>
        <w:jc w:val="left"/>
        <w:rPr>
          <w:rFonts w:ascii="Palatino Linotype" w:hAnsi="Palatino Linotype"/>
          <w:b w:val="0"/>
          <w:szCs w:val="24"/>
          <w:u w:val="single"/>
        </w:rPr>
      </w:pPr>
    </w:p>
    <w:p w:rsidRPr="00467F4B" w:rsidR="00932789" w:rsidP="00932789" w:rsidRDefault="00932789" w14:paraId="0600D864" w14:textId="77777777">
      <w:pPr>
        <w:pStyle w:val="Title"/>
        <w:jc w:val="left"/>
        <w:rPr>
          <w:rFonts w:ascii="Palatino Linotype" w:hAnsi="Palatino Linotype"/>
          <w:szCs w:val="24"/>
        </w:rPr>
      </w:pPr>
      <w:r w:rsidRPr="00467F4B">
        <w:rPr>
          <w:rFonts w:ascii="Palatino Linotype" w:hAnsi="Palatino Linotype"/>
          <w:szCs w:val="24"/>
        </w:rPr>
        <w:t>FINDINGS</w:t>
      </w:r>
    </w:p>
    <w:p w:rsidRPr="00467F4B" w:rsidR="00932789" w:rsidP="00932789" w:rsidRDefault="00932789" w14:paraId="697A2B40" w14:textId="77777777">
      <w:pPr>
        <w:pStyle w:val="Title"/>
        <w:jc w:val="left"/>
        <w:rPr>
          <w:rFonts w:ascii="Palatino Linotype" w:hAnsi="Palatino Linotype"/>
          <w:b w:val="0"/>
          <w:szCs w:val="24"/>
        </w:rPr>
      </w:pPr>
    </w:p>
    <w:p w:rsidRPr="00467F4B" w:rsidR="00932789" w:rsidP="00932789" w:rsidRDefault="00932789" w14:paraId="0EDA1590" w14:textId="77777777">
      <w:pPr>
        <w:pStyle w:val="Title"/>
        <w:numPr>
          <w:ilvl w:val="0"/>
          <w:numId w:val="48"/>
        </w:numPr>
        <w:jc w:val="left"/>
        <w:rPr>
          <w:rFonts w:ascii="Palatino Linotype" w:hAnsi="Palatino Linotype"/>
          <w:b w:val="0"/>
          <w:szCs w:val="24"/>
        </w:rPr>
      </w:pPr>
      <w:r w:rsidRPr="00467F4B">
        <w:rPr>
          <w:rFonts w:ascii="Palatino Linotype" w:hAnsi="Palatino Linotype"/>
          <w:b w:val="0"/>
          <w:szCs w:val="24"/>
        </w:rPr>
        <w:t xml:space="preserve">On January 26, 2016, Santa Barbara Cellular Systems (U-3015-C), AT&amp;T Mobility Wireless Operations Holdings, Inc. (U-3021-C) and New Cingular Wireless PCS, LLC (U-3060-C), collectively referred to as AT&amp;T Mobility, notified the Commission’s </w:t>
      </w:r>
      <w:r>
        <w:rPr>
          <w:rFonts w:ascii="Palatino Linotype" w:hAnsi="Palatino Linotype"/>
          <w:b w:val="0"/>
          <w:szCs w:val="24"/>
        </w:rPr>
        <w:t>CD</w:t>
      </w:r>
      <w:r w:rsidRPr="00467F4B">
        <w:rPr>
          <w:rFonts w:ascii="Palatino Linotype" w:hAnsi="Palatino Linotype"/>
          <w:b w:val="0"/>
          <w:szCs w:val="24"/>
        </w:rPr>
        <w:t xml:space="preserve"> staff of its erroneous inclusion of prepaid Internet access (data) </w:t>
      </w:r>
      <w:r w:rsidRPr="00467F4B">
        <w:rPr>
          <w:rFonts w:ascii="Palatino Linotype" w:hAnsi="Palatino Linotype"/>
          <w:b w:val="0"/>
          <w:szCs w:val="24"/>
        </w:rPr>
        <w:lastRenderedPageBreak/>
        <w:t xml:space="preserve">services in its reported intrastate revenues from January 2013 through September 2015.  </w:t>
      </w:r>
      <w:r>
        <w:rPr>
          <w:rFonts w:ascii="Palatino Linotype" w:hAnsi="Palatino Linotype"/>
          <w:b w:val="0"/>
          <w:szCs w:val="24"/>
        </w:rPr>
        <w:t xml:space="preserve">AT&amp;T Mobility </w:t>
      </w:r>
      <w:r w:rsidRPr="00467F4B">
        <w:rPr>
          <w:rFonts w:ascii="Palatino Linotype" w:hAnsi="Palatino Linotype"/>
          <w:b w:val="0"/>
          <w:szCs w:val="24"/>
        </w:rPr>
        <w:t>claim</w:t>
      </w:r>
      <w:r>
        <w:rPr>
          <w:rFonts w:ascii="Palatino Linotype" w:hAnsi="Palatino Linotype"/>
          <w:b w:val="0"/>
          <w:szCs w:val="24"/>
        </w:rPr>
        <w:t>ed</w:t>
      </w:r>
      <w:r w:rsidRPr="00467F4B">
        <w:rPr>
          <w:rFonts w:ascii="Palatino Linotype" w:hAnsi="Palatino Linotype"/>
          <w:b w:val="0"/>
          <w:szCs w:val="24"/>
        </w:rPr>
        <w:t xml:space="preserve"> that this error resulted in overpayment</w:t>
      </w:r>
      <w:r>
        <w:rPr>
          <w:rFonts w:ascii="Palatino Linotype" w:hAnsi="Palatino Linotype"/>
          <w:b w:val="0"/>
          <w:szCs w:val="24"/>
        </w:rPr>
        <w:t xml:space="preserve"> of </w:t>
      </w:r>
      <w:r w:rsidRPr="00467F4B">
        <w:rPr>
          <w:rFonts w:ascii="Palatino Linotype" w:hAnsi="Palatino Linotype"/>
          <w:b w:val="0"/>
          <w:szCs w:val="24"/>
        </w:rPr>
        <w:t xml:space="preserve">surcharges and user fees for the period of January 2013 through September 2015. </w:t>
      </w:r>
    </w:p>
    <w:p w:rsidRPr="00467F4B" w:rsidR="00932789" w:rsidP="00932789" w:rsidRDefault="00932789" w14:paraId="5F79EA96" w14:textId="77777777">
      <w:pPr>
        <w:pStyle w:val="Title"/>
        <w:jc w:val="left"/>
        <w:rPr>
          <w:rFonts w:ascii="Palatino Linotype" w:hAnsi="Palatino Linotype"/>
          <w:b w:val="0"/>
          <w:szCs w:val="24"/>
        </w:rPr>
      </w:pPr>
    </w:p>
    <w:p w:rsidRPr="00467F4B" w:rsidR="00932789" w:rsidP="00932789" w:rsidRDefault="00932789" w14:paraId="63295BF3" w14:textId="50208BF3">
      <w:pPr>
        <w:pStyle w:val="Title"/>
        <w:numPr>
          <w:ilvl w:val="0"/>
          <w:numId w:val="48"/>
        </w:numPr>
        <w:jc w:val="left"/>
        <w:rPr>
          <w:rFonts w:ascii="Palatino Linotype" w:hAnsi="Palatino Linotype"/>
          <w:b w:val="0"/>
          <w:szCs w:val="24"/>
        </w:rPr>
      </w:pPr>
      <w:r w:rsidRPr="00467F4B">
        <w:rPr>
          <w:rFonts w:ascii="Palatino Linotype" w:hAnsi="Palatino Linotype"/>
          <w:b w:val="0"/>
          <w:szCs w:val="24"/>
        </w:rPr>
        <w:t xml:space="preserve">In February 2016, staff advised AT&amp;T Mobility to </w:t>
      </w:r>
      <w:r>
        <w:rPr>
          <w:rFonts w:ascii="Palatino Linotype" w:hAnsi="Palatino Linotype"/>
          <w:b w:val="0"/>
          <w:szCs w:val="24"/>
        </w:rPr>
        <w:t>submit a</w:t>
      </w:r>
      <w:r w:rsidRPr="00467F4B">
        <w:rPr>
          <w:rFonts w:ascii="Palatino Linotype" w:hAnsi="Palatino Linotype"/>
          <w:b w:val="0"/>
          <w:szCs w:val="24"/>
        </w:rPr>
        <w:t xml:space="preserve"> Tier </w:t>
      </w:r>
      <w:r w:rsidR="00A07617">
        <w:rPr>
          <w:rFonts w:ascii="Palatino Linotype" w:hAnsi="Palatino Linotype"/>
          <w:b w:val="0"/>
          <w:szCs w:val="24"/>
        </w:rPr>
        <w:t>III</w:t>
      </w:r>
      <w:r w:rsidRPr="00467F4B">
        <w:rPr>
          <w:rFonts w:ascii="Palatino Linotype" w:hAnsi="Palatino Linotype"/>
          <w:b w:val="0"/>
          <w:szCs w:val="24"/>
        </w:rPr>
        <w:t xml:space="preserve"> </w:t>
      </w:r>
      <w:r>
        <w:rPr>
          <w:rFonts w:ascii="Palatino Linotype" w:hAnsi="Palatino Linotype"/>
          <w:b w:val="0"/>
          <w:szCs w:val="24"/>
        </w:rPr>
        <w:t>AL</w:t>
      </w:r>
      <w:r w:rsidRPr="00467F4B">
        <w:rPr>
          <w:rFonts w:ascii="Palatino Linotype" w:hAnsi="Palatino Linotype"/>
          <w:b w:val="0"/>
          <w:szCs w:val="24"/>
        </w:rPr>
        <w:t xml:space="preserve"> to request a refund for any overpayment of surcharges and user fees.  Staff advised AT&amp;T Mobility that the recovery would be limited to a one-year period prior to the date on which AT&amp;T Mobility first reported the overpayments to the Commission.   </w:t>
      </w:r>
    </w:p>
    <w:p w:rsidRPr="00467F4B" w:rsidR="00932789" w:rsidP="00932789" w:rsidRDefault="00932789" w14:paraId="44B962DA" w14:textId="77777777">
      <w:pPr>
        <w:pStyle w:val="Title"/>
        <w:ind w:left="360"/>
        <w:jc w:val="left"/>
        <w:rPr>
          <w:rFonts w:ascii="Palatino Linotype" w:hAnsi="Palatino Linotype"/>
          <w:b w:val="0"/>
          <w:szCs w:val="24"/>
        </w:rPr>
      </w:pPr>
    </w:p>
    <w:p w:rsidRPr="00467F4B" w:rsidR="00932789" w:rsidP="00932789" w:rsidRDefault="00932789" w14:paraId="17121C6A" w14:textId="6E4F4765">
      <w:pPr>
        <w:pStyle w:val="Title"/>
        <w:numPr>
          <w:ilvl w:val="0"/>
          <w:numId w:val="48"/>
        </w:numPr>
        <w:jc w:val="left"/>
        <w:rPr>
          <w:rFonts w:ascii="Palatino Linotype" w:hAnsi="Palatino Linotype"/>
          <w:b w:val="0"/>
          <w:szCs w:val="24"/>
        </w:rPr>
      </w:pPr>
      <w:r w:rsidRPr="00467F4B">
        <w:rPr>
          <w:rFonts w:ascii="Palatino Linotype" w:hAnsi="Palatino Linotype"/>
          <w:b w:val="0"/>
          <w:szCs w:val="24"/>
        </w:rPr>
        <w:t xml:space="preserve">On August 15, 2016, AT&amp;T Mobility submitted </w:t>
      </w:r>
      <w:r w:rsidR="00A07617">
        <w:rPr>
          <w:rFonts w:ascii="Palatino Linotype" w:hAnsi="Palatino Linotype"/>
          <w:b w:val="0"/>
          <w:szCs w:val="24"/>
        </w:rPr>
        <w:t xml:space="preserve">Tier III </w:t>
      </w:r>
      <w:r w:rsidRPr="00467F4B">
        <w:rPr>
          <w:rFonts w:ascii="Palatino Linotype" w:hAnsi="Palatino Linotype"/>
          <w:b w:val="0"/>
          <w:szCs w:val="24"/>
        </w:rPr>
        <w:t>AL</w:t>
      </w:r>
      <w:r>
        <w:rPr>
          <w:rFonts w:ascii="Palatino Linotype" w:hAnsi="Palatino Linotype"/>
          <w:b w:val="0"/>
          <w:szCs w:val="24"/>
        </w:rPr>
        <w:t xml:space="preserve"> No. 1</w:t>
      </w:r>
      <w:r w:rsidRPr="00467F4B">
        <w:rPr>
          <w:rFonts w:ascii="Palatino Linotype" w:hAnsi="Palatino Linotype"/>
          <w:b w:val="0"/>
          <w:szCs w:val="24"/>
        </w:rPr>
        <w:t>66 (U-3015-C</w:t>
      </w:r>
      <w:r>
        <w:rPr>
          <w:rFonts w:ascii="Palatino Linotype" w:hAnsi="Palatino Linotype"/>
          <w:b w:val="0"/>
          <w:szCs w:val="24"/>
        </w:rPr>
        <w:t>,</w:t>
      </w:r>
      <w:r w:rsidRPr="00467F4B">
        <w:rPr>
          <w:rFonts w:ascii="Palatino Linotype" w:hAnsi="Palatino Linotype"/>
          <w:b w:val="0"/>
          <w:szCs w:val="24"/>
        </w:rPr>
        <w:t xml:space="preserve"> Santa Barbara Cellular Systems),</w:t>
      </w:r>
      <w:r>
        <w:rPr>
          <w:rFonts w:ascii="Palatino Linotype" w:hAnsi="Palatino Linotype"/>
          <w:b w:val="0"/>
          <w:szCs w:val="24"/>
        </w:rPr>
        <w:t xml:space="preserve"> AL no.</w:t>
      </w:r>
      <w:r w:rsidRPr="00467F4B">
        <w:rPr>
          <w:rFonts w:ascii="Palatino Linotype" w:hAnsi="Palatino Linotype"/>
          <w:b w:val="0"/>
          <w:szCs w:val="24"/>
        </w:rPr>
        <w:t xml:space="preserve"> 161 (U-3021-C</w:t>
      </w:r>
      <w:r>
        <w:rPr>
          <w:rFonts w:ascii="Palatino Linotype" w:hAnsi="Palatino Linotype"/>
          <w:b w:val="0"/>
          <w:szCs w:val="24"/>
        </w:rPr>
        <w:t xml:space="preserve">, </w:t>
      </w:r>
      <w:r w:rsidRPr="00467F4B">
        <w:rPr>
          <w:rFonts w:ascii="Palatino Linotype" w:hAnsi="Palatino Linotype"/>
          <w:b w:val="0"/>
          <w:szCs w:val="24"/>
        </w:rPr>
        <w:t xml:space="preserve">AT&amp;T Mobility Wireless Operations Holdings, Inc.), and </w:t>
      </w:r>
      <w:r>
        <w:rPr>
          <w:rFonts w:ascii="Palatino Linotype" w:hAnsi="Palatino Linotype"/>
          <w:b w:val="0"/>
          <w:szCs w:val="24"/>
        </w:rPr>
        <w:t xml:space="preserve">AL no. </w:t>
      </w:r>
      <w:r w:rsidRPr="00467F4B">
        <w:rPr>
          <w:rFonts w:ascii="Palatino Linotype" w:hAnsi="Palatino Linotype"/>
          <w:b w:val="0"/>
          <w:szCs w:val="24"/>
        </w:rPr>
        <w:t>8 (U-3060-C</w:t>
      </w:r>
      <w:r>
        <w:rPr>
          <w:rFonts w:ascii="Palatino Linotype" w:hAnsi="Palatino Linotype"/>
          <w:b w:val="0"/>
          <w:szCs w:val="24"/>
        </w:rPr>
        <w:t>,</w:t>
      </w:r>
      <w:r w:rsidRPr="00467F4B">
        <w:rPr>
          <w:rFonts w:ascii="Palatino Linotype" w:hAnsi="Palatino Linotype"/>
          <w:b w:val="0"/>
          <w:szCs w:val="24"/>
        </w:rPr>
        <w:t xml:space="preserve"> New Cingular Wireless PCS, LLC) to request for the recovery of overpaid surcharges and user fees of the said companies from January 2013 through September 2015. </w:t>
      </w:r>
    </w:p>
    <w:p w:rsidRPr="00467F4B" w:rsidR="00932789" w:rsidP="00932789" w:rsidRDefault="00932789" w14:paraId="2CD8D278" w14:textId="77777777">
      <w:pPr>
        <w:pStyle w:val="Title"/>
        <w:ind w:left="360"/>
        <w:jc w:val="left"/>
        <w:rPr>
          <w:rFonts w:ascii="Palatino Linotype" w:hAnsi="Palatino Linotype"/>
          <w:b w:val="0"/>
          <w:szCs w:val="24"/>
        </w:rPr>
      </w:pPr>
    </w:p>
    <w:p w:rsidRPr="00232A04" w:rsidR="00932789" w:rsidP="00932789" w:rsidRDefault="00932789" w14:paraId="150F15C5" w14:textId="77777777">
      <w:pPr>
        <w:pStyle w:val="Title"/>
        <w:numPr>
          <w:ilvl w:val="0"/>
          <w:numId w:val="48"/>
        </w:numPr>
        <w:jc w:val="left"/>
        <w:rPr>
          <w:rFonts w:ascii="Palatino Linotype" w:hAnsi="Palatino Linotype"/>
          <w:b w:val="0"/>
          <w:szCs w:val="24"/>
        </w:rPr>
      </w:pPr>
      <w:r w:rsidRPr="00232A04">
        <w:rPr>
          <w:rFonts w:ascii="Palatino Linotype" w:hAnsi="Palatino Linotype"/>
          <w:b w:val="0"/>
          <w:szCs w:val="24"/>
        </w:rPr>
        <w:t>All telephone corporations are subject to the Commission’s jurisdiction and are required to assess Telecommunications surcharges and user fees on California end-user intrastate service revenues</w:t>
      </w:r>
      <w:r>
        <w:rPr>
          <w:rFonts w:ascii="Palatino Linotype" w:hAnsi="Palatino Linotype"/>
          <w:b w:val="0"/>
          <w:szCs w:val="24"/>
        </w:rPr>
        <w:t>;</w:t>
      </w:r>
      <w:r w:rsidRPr="00232A04">
        <w:rPr>
          <w:rFonts w:ascii="Palatino Linotype" w:hAnsi="Palatino Linotype"/>
          <w:b w:val="0"/>
          <w:szCs w:val="24"/>
        </w:rPr>
        <w:t xml:space="preserve"> and </w:t>
      </w:r>
      <w:r>
        <w:rPr>
          <w:rFonts w:ascii="Palatino Linotype" w:hAnsi="Palatino Linotype"/>
          <w:b w:val="0"/>
          <w:szCs w:val="24"/>
        </w:rPr>
        <w:t xml:space="preserve">are responsible for </w:t>
      </w:r>
      <w:r w:rsidRPr="00232A04">
        <w:rPr>
          <w:rFonts w:ascii="Palatino Linotype" w:hAnsi="Palatino Linotype"/>
          <w:b w:val="0"/>
          <w:szCs w:val="24"/>
        </w:rPr>
        <w:t>timely and accurate report</w:t>
      </w:r>
      <w:r>
        <w:rPr>
          <w:rFonts w:ascii="Palatino Linotype" w:hAnsi="Palatino Linotype"/>
          <w:b w:val="0"/>
          <w:szCs w:val="24"/>
        </w:rPr>
        <w:t>ing</w:t>
      </w:r>
      <w:r w:rsidRPr="00232A04">
        <w:rPr>
          <w:rFonts w:ascii="Palatino Linotype" w:hAnsi="Palatino Linotype"/>
          <w:b w:val="0"/>
          <w:szCs w:val="24"/>
        </w:rPr>
        <w:t xml:space="preserve"> and remittance of surcharges and user fees. </w:t>
      </w:r>
    </w:p>
    <w:p w:rsidRPr="00467F4B" w:rsidR="00932789" w:rsidP="00932789" w:rsidRDefault="00932789" w14:paraId="7EC2E7AD" w14:textId="77777777">
      <w:pPr>
        <w:pStyle w:val="Title"/>
        <w:ind w:left="360"/>
        <w:jc w:val="left"/>
        <w:rPr>
          <w:rFonts w:ascii="Palatino Linotype" w:hAnsi="Palatino Linotype"/>
          <w:b w:val="0"/>
          <w:szCs w:val="24"/>
        </w:rPr>
      </w:pPr>
    </w:p>
    <w:p w:rsidR="00932789" w:rsidP="00932789" w:rsidRDefault="00932789" w14:paraId="163ED222" w14:textId="3592EF16">
      <w:pPr>
        <w:pStyle w:val="Title"/>
        <w:numPr>
          <w:ilvl w:val="0"/>
          <w:numId w:val="48"/>
        </w:numPr>
        <w:jc w:val="left"/>
        <w:rPr>
          <w:rFonts w:ascii="Palatino Linotype" w:hAnsi="Palatino Linotype"/>
          <w:b w:val="0"/>
          <w:szCs w:val="24"/>
        </w:rPr>
      </w:pPr>
      <w:r>
        <w:rPr>
          <w:rFonts w:ascii="Palatino Linotype" w:hAnsi="Palatino Linotype"/>
          <w:b w:val="0"/>
          <w:szCs w:val="24"/>
        </w:rPr>
        <w:t>The FCC has classified i</w:t>
      </w:r>
      <w:r w:rsidRPr="00467F4B">
        <w:rPr>
          <w:rFonts w:ascii="Palatino Linotype" w:hAnsi="Palatino Linotype"/>
          <w:b w:val="0"/>
          <w:szCs w:val="24"/>
        </w:rPr>
        <w:t xml:space="preserve">nternet access </w:t>
      </w:r>
      <w:r>
        <w:rPr>
          <w:rFonts w:ascii="Palatino Linotype" w:hAnsi="Palatino Linotype"/>
          <w:b w:val="0"/>
          <w:szCs w:val="24"/>
        </w:rPr>
        <w:t>and</w:t>
      </w:r>
      <w:r w:rsidRPr="00467F4B">
        <w:rPr>
          <w:rFonts w:ascii="Palatino Linotype" w:hAnsi="Palatino Linotype"/>
          <w:b w:val="0"/>
          <w:szCs w:val="24"/>
        </w:rPr>
        <w:t xml:space="preserve"> data services as interstate information services</w:t>
      </w:r>
      <w:r>
        <w:rPr>
          <w:rFonts w:ascii="Palatino Linotype" w:hAnsi="Palatino Linotype"/>
          <w:b w:val="0"/>
          <w:szCs w:val="24"/>
        </w:rPr>
        <w:t>,</w:t>
      </w:r>
      <w:r w:rsidRPr="00467F4B">
        <w:rPr>
          <w:rFonts w:ascii="Palatino Linotype" w:hAnsi="Palatino Linotype"/>
          <w:b w:val="0"/>
          <w:szCs w:val="24"/>
        </w:rPr>
        <w:t xml:space="preserve"> and </w:t>
      </w:r>
      <w:r>
        <w:rPr>
          <w:rFonts w:ascii="Palatino Linotype" w:hAnsi="Palatino Linotype"/>
          <w:b w:val="0"/>
          <w:szCs w:val="24"/>
        </w:rPr>
        <w:t xml:space="preserve">the Commission has </w:t>
      </w:r>
      <w:r w:rsidRPr="00467F4B">
        <w:rPr>
          <w:rFonts w:ascii="Palatino Linotype" w:hAnsi="Palatino Linotype"/>
          <w:b w:val="0"/>
          <w:szCs w:val="24"/>
        </w:rPr>
        <w:t xml:space="preserve">not </w:t>
      </w:r>
      <w:r>
        <w:rPr>
          <w:rFonts w:ascii="Palatino Linotype" w:hAnsi="Palatino Linotype"/>
          <w:b w:val="0"/>
          <w:szCs w:val="24"/>
        </w:rPr>
        <w:t xml:space="preserve">required collection and remittance of </w:t>
      </w:r>
      <w:r w:rsidRPr="00467F4B">
        <w:rPr>
          <w:rFonts w:ascii="Palatino Linotype" w:hAnsi="Palatino Linotype"/>
          <w:b w:val="0"/>
          <w:szCs w:val="24"/>
        </w:rPr>
        <w:t>surcharges and user fees</w:t>
      </w:r>
      <w:r>
        <w:rPr>
          <w:rFonts w:ascii="Palatino Linotype" w:hAnsi="Palatino Linotype"/>
          <w:b w:val="0"/>
          <w:szCs w:val="24"/>
        </w:rPr>
        <w:t xml:space="preserve"> from those services</w:t>
      </w:r>
      <w:r w:rsidRPr="00467F4B">
        <w:rPr>
          <w:rFonts w:ascii="Palatino Linotype" w:hAnsi="Palatino Linotype"/>
          <w:b w:val="0"/>
          <w:szCs w:val="24"/>
        </w:rPr>
        <w:t>.</w:t>
      </w:r>
      <w:r w:rsidR="00A07617">
        <w:rPr>
          <w:rFonts w:ascii="Palatino Linotype" w:hAnsi="Palatino Linotype"/>
          <w:b w:val="0"/>
          <w:szCs w:val="24"/>
        </w:rPr>
        <w:t xml:space="preserve"> T</w:t>
      </w:r>
      <w:r w:rsidRPr="00A07617" w:rsidR="00A07617">
        <w:rPr>
          <w:rFonts w:ascii="Palatino Linotype" w:hAnsi="Palatino Linotype"/>
          <w:b w:val="0"/>
          <w:szCs w:val="24"/>
        </w:rPr>
        <w:t>ext messaging revenues were subject to surcharges and user fees.</w:t>
      </w:r>
    </w:p>
    <w:p w:rsidR="00932789" w:rsidP="00932789" w:rsidRDefault="00932789" w14:paraId="0310269E" w14:textId="77777777">
      <w:pPr>
        <w:pStyle w:val="Title"/>
        <w:ind w:left="360"/>
        <w:jc w:val="left"/>
        <w:rPr>
          <w:rFonts w:ascii="Palatino Linotype" w:hAnsi="Palatino Linotype"/>
          <w:b w:val="0"/>
          <w:szCs w:val="24"/>
        </w:rPr>
      </w:pPr>
    </w:p>
    <w:p w:rsidR="00932789" w:rsidP="00932789" w:rsidRDefault="00932789" w14:paraId="1DA61AB9" w14:textId="77777777">
      <w:pPr>
        <w:pStyle w:val="Title"/>
        <w:numPr>
          <w:ilvl w:val="0"/>
          <w:numId w:val="48"/>
        </w:numPr>
        <w:jc w:val="left"/>
        <w:rPr>
          <w:rFonts w:ascii="Palatino Linotype" w:hAnsi="Palatino Linotype"/>
          <w:b w:val="0"/>
          <w:szCs w:val="24"/>
        </w:rPr>
      </w:pPr>
      <w:r w:rsidRPr="00232A04">
        <w:rPr>
          <w:rFonts w:ascii="Palatino Linotype" w:hAnsi="Palatino Linotype"/>
          <w:b w:val="0"/>
          <w:szCs w:val="24"/>
        </w:rPr>
        <w:t xml:space="preserve">AT&amp;T Mobility, </w:t>
      </w:r>
      <w:r>
        <w:rPr>
          <w:rFonts w:ascii="Palatino Linotype" w:hAnsi="Palatino Linotype"/>
          <w:b w:val="0"/>
          <w:szCs w:val="24"/>
        </w:rPr>
        <w:t xml:space="preserve">a </w:t>
      </w:r>
      <w:r w:rsidRPr="00232A04">
        <w:rPr>
          <w:rFonts w:ascii="Palatino Linotype" w:hAnsi="Palatino Linotype"/>
          <w:b w:val="0"/>
          <w:szCs w:val="24"/>
        </w:rPr>
        <w:t xml:space="preserve">registered cellular provider and telephone corporation in California, provides both prepaid and postpaid wireless telephone services in California.  </w:t>
      </w:r>
    </w:p>
    <w:p w:rsidR="00932789" w:rsidP="00932789" w:rsidRDefault="00932789" w14:paraId="085BDBD7" w14:textId="77777777">
      <w:pPr>
        <w:pStyle w:val="ListParagraph"/>
        <w:rPr>
          <w:rFonts w:ascii="Palatino Linotype" w:hAnsi="Palatino Linotype"/>
          <w:b/>
        </w:rPr>
      </w:pPr>
    </w:p>
    <w:p w:rsidRPr="00D409C0" w:rsidR="00932789" w:rsidP="00932789" w:rsidRDefault="00932789" w14:paraId="470D8D2A" w14:textId="77777777">
      <w:pPr>
        <w:pStyle w:val="Title"/>
        <w:numPr>
          <w:ilvl w:val="0"/>
          <w:numId w:val="48"/>
        </w:numPr>
        <w:jc w:val="left"/>
        <w:rPr>
          <w:rFonts w:ascii="Palatino Linotype" w:hAnsi="Palatino Linotype"/>
          <w:b w:val="0"/>
          <w:szCs w:val="24"/>
        </w:rPr>
      </w:pPr>
      <w:r w:rsidRPr="00D409C0">
        <w:rPr>
          <w:rFonts w:ascii="Palatino Linotype" w:hAnsi="Palatino Linotype"/>
          <w:b w:val="0"/>
          <w:szCs w:val="24"/>
        </w:rPr>
        <w:t xml:space="preserve">AT&amp;T Mobility states that surcharges and user fees were not collected from prepaid customers. AT&amp;T Mobility was unable to provide additional information due to the nature of prepaid transactions during the period requested. AT&amp;T Mobility states that prepaid surcharges were paid out of general prepaid revenue prior to January 2016, and not billed to customers as a specific line item. Therefore, a refund to prepaid customers is not necessary. </w:t>
      </w:r>
    </w:p>
    <w:p w:rsidRPr="00467F4B" w:rsidR="00932789" w:rsidP="00932789" w:rsidRDefault="00932789" w14:paraId="6DED57BA" w14:textId="77777777">
      <w:pPr>
        <w:pStyle w:val="Title"/>
        <w:ind w:left="360"/>
        <w:jc w:val="left"/>
        <w:rPr>
          <w:rFonts w:ascii="Palatino Linotype" w:hAnsi="Palatino Linotype"/>
          <w:b w:val="0"/>
          <w:szCs w:val="24"/>
        </w:rPr>
      </w:pPr>
    </w:p>
    <w:p w:rsidRPr="000F05BA" w:rsidR="00932789" w:rsidP="00932789" w:rsidRDefault="00932789" w14:paraId="454B61BF" w14:textId="77777777">
      <w:pPr>
        <w:pStyle w:val="Title"/>
        <w:numPr>
          <w:ilvl w:val="0"/>
          <w:numId w:val="48"/>
        </w:numPr>
        <w:jc w:val="left"/>
        <w:rPr>
          <w:rFonts w:ascii="Palatino Linotype" w:hAnsi="Palatino Linotype"/>
          <w:b w:val="0"/>
          <w:szCs w:val="24"/>
        </w:rPr>
      </w:pPr>
      <w:r w:rsidRPr="000F05BA">
        <w:rPr>
          <w:rFonts w:ascii="Palatino Linotype" w:hAnsi="Palatino Linotype"/>
          <w:b w:val="0"/>
          <w:szCs w:val="24"/>
        </w:rPr>
        <w:t xml:space="preserve">AT&amp;T Mobility states that it conducts quarterly traffic studies for jurisdictional allocation.  AT&amp;T Mobility provided the Commission with summarized results which are shown as percentage rates for the periods of January 2013 through March </w:t>
      </w:r>
      <w:r w:rsidRPr="000F05BA">
        <w:rPr>
          <w:rFonts w:ascii="Palatino Linotype" w:hAnsi="Palatino Linotype"/>
          <w:b w:val="0"/>
          <w:szCs w:val="24"/>
        </w:rPr>
        <w:lastRenderedPageBreak/>
        <w:t>2016.  AT&amp;T Mobility allocates its revenues between intrastate, interstate, and international jurisdictions according to these percentage rates.</w:t>
      </w:r>
    </w:p>
    <w:p w:rsidRPr="00467F4B" w:rsidR="00932789" w:rsidP="00932789" w:rsidRDefault="00932789" w14:paraId="77F1BADE" w14:textId="77777777">
      <w:pPr>
        <w:pStyle w:val="Title"/>
        <w:ind w:left="360"/>
        <w:jc w:val="left"/>
        <w:rPr>
          <w:rFonts w:ascii="Palatino Linotype" w:hAnsi="Palatino Linotype"/>
          <w:b w:val="0"/>
          <w:szCs w:val="24"/>
        </w:rPr>
      </w:pPr>
    </w:p>
    <w:p w:rsidRPr="00467F4B" w:rsidR="00932789" w:rsidP="00932789" w:rsidRDefault="00932789" w14:paraId="0F9AD8BA" w14:textId="77777777">
      <w:pPr>
        <w:pStyle w:val="Title"/>
        <w:numPr>
          <w:ilvl w:val="0"/>
          <w:numId w:val="48"/>
        </w:numPr>
        <w:jc w:val="left"/>
        <w:rPr>
          <w:rFonts w:ascii="Palatino Linotype" w:hAnsi="Palatino Linotype"/>
          <w:b w:val="0"/>
          <w:szCs w:val="24"/>
        </w:rPr>
      </w:pPr>
      <w:r w:rsidRPr="00467F4B">
        <w:rPr>
          <w:rFonts w:ascii="Palatino Linotype" w:hAnsi="Palatino Linotype"/>
          <w:b w:val="0"/>
          <w:szCs w:val="24"/>
        </w:rPr>
        <w:t xml:space="preserve">AT&amp;T Mobility states that it conducts quarterly market analysis for service allocation.  It provided the Commission with summarized results which are shown as percentage rates for the periods of January 2013 through March 2016. AT&amp;T Mobility allocates its revenues between voice, text, and data services, according to these percentage rates. </w:t>
      </w:r>
    </w:p>
    <w:p w:rsidRPr="00467F4B" w:rsidR="00932789" w:rsidP="00932789" w:rsidRDefault="00932789" w14:paraId="427917A2" w14:textId="77777777">
      <w:pPr>
        <w:pStyle w:val="Title"/>
        <w:ind w:left="360"/>
        <w:jc w:val="left"/>
        <w:rPr>
          <w:rFonts w:ascii="Palatino Linotype" w:hAnsi="Palatino Linotype"/>
          <w:b w:val="0"/>
          <w:szCs w:val="24"/>
        </w:rPr>
      </w:pPr>
    </w:p>
    <w:p w:rsidRPr="006F151D" w:rsidR="00932789" w:rsidP="00932789" w:rsidRDefault="00932789" w14:paraId="3A8C874E" w14:textId="77777777">
      <w:pPr>
        <w:pStyle w:val="Title"/>
        <w:numPr>
          <w:ilvl w:val="0"/>
          <w:numId w:val="48"/>
        </w:numPr>
        <w:jc w:val="left"/>
        <w:rPr>
          <w:rFonts w:ascii="Palatino Linotype" w:hAnsi="Palatino Linotype"/>
          <w:b w:val="0"/>
          <w:szCs w:val="24"/>
        </w:rPr>
      </w:pPr>
      <w:r w:rsidRPr="006F151D">
        <w:rPr>
          <w:rFonts w:ascii="Palatino Linotype" w:hAnsi="Palatino Linotype"/>
          <w:b w:val="0"/>
          <w:szCs w:val="24"/>
        </w:rPr>
        <w:t xml:space="preserve">AT&amp;T Mobility provided staff with spreadsheets illustrating their calculations of surcharge and user fee overpayments.  With the exception of service allocation rates utilized, staff deems AT&amp;T Mobility’s calculation methodology to be reasonable. </w:t>
      </w:r>
    </w:p>
    <w:p w:rsidRPr="006F151D" w:rsidR="00932789" w:rsidP="00932789" w:rsidRDefault="00932789" w14:paraId="3C2F92ED" w14:textId="77777777">
      <w:pPr>
        <w:pStyle w:val="Title"/>
        <w:ind w:left="360"/>
        <w:jc w:val="left"/>
        <w:rPr>
          <w:rFonts w:ascii="Palatino Linotype" w:hAnsi="Palatino Linotype"/>
          <w:b w:val="0"/>
          <w:szCs w:val="24"/>
        </w:rPr>
      </w:pPr>
    </w:p>
    <w:p w:rsidRPr="006F151D" w:rsidR="00932789" w:rsidP="00932789" w:rsidRDefault="00932789" w14:paraId="082474E7" w14:textId="77777777">
      <w:pPr>
        <w:pStyle w:val="Title"/>
        <w:numPr>
          <w:ilvl w:val="0"/>
          <w:numId w:val="48"/>
        </w:numPr>
        <w:jc w:val="left"/>
        <w:rPr>
          <w:rFonts w:ascii="Palatino Linotype" w:hAnsi="Palatino Linotype"/>
          <w:b w:val="0"/>
          <w:szCs w:val="24"/>
        </w:rPr>
      </w:pPr>
      <w:r w:rsidRPr="006F151D">
        <w:rPr>
          <w:rFonts w:ascii="Palatino Linotype" w:hAnsi="Palatino Linotype"/>
          <w:b w:val="0"/>
          <w:szCs w:val="24"/>
        </w:rPr>
        <w:t>Staff utilized service allocations based on the companies’ documented market study only.</w:t>
      </w:r>
    </w:p>
    <w:p w:rsidRPr="00467F4B" w:rsidR="00932789" w:rsidP="00932789" w:rsidRDefault="00932789" w14:paraId="79A57D7C" w14:textId="77777777">
      <w:pPr>
        <w:pStyle w:val="Title"/>
        <w:ind w:left="360"/>
        <w:jc w:val="left"/>
        <w:rPr>
          <w:rFonts w:ascii="Palatino Linotype" w:hAnsi="Palatino Linotype"/>
          <w:b w:val="0"/>
          <w:szCs w:val="24"/>
        </w:rPr>
      </w:pPr>
    </w:p>
    <w:p w:rsidRPr="00467F4B" w:rsidR="00932789" w:rsidP="00932789" w:rsidRDefault="00932789" w14:paraId="5CCBE765" w14:textId="77777777">
      <w:pPr>
        <w:pStyle w:val="ListParagraph"/>
        <w:numPr>
          <w:ilvl w:val="0"/>
          <w:numId w:val="48"/>
        </w:numPr>
        <w:rPr>
          <w:rFonts w:ascii="Palatino Linotype" w:hAnsi="Palatino Linotype"/>
        </w:rPr>
      </w:pPr>
      <w:r w:rsidRPr="00DE558C">
        <w:rPr>
          <w:rFonts w:ascii="Palatino Linotype" w:hAnsi="Palatino Linotype"/>
        </w:rPr>
        <w:t xml:space="preserve">Staff noted that AT&amp;T Mobility reported intrastate revenues differently for surcharge and user fee assessments, as was authorized </w:t>
      </w:r>
      <w:r>
        <w:rPr>
          <w:rFonts w:ascii="Palatino Linotype" w:hAnsi="Palatino Linotype"/>
        </w:rPr>
        <w:t>by the Commission during</w:t>
      </w:r>
      <w:r w:rsidRPr="00DE558C">
        <w:rPr>
          <w:rFonts w:ascii="Palatino Linotype" w:hAnsi="Palatino Linotype"/>
        </w:rPr>
        <w:t xml:space="preserve"> the period in question. Therefore, the allowed refund for user fees should be based on the actual reported revenue by AT&amp;T Mobility as reflected in their User Fee Statement instead of their reported revenue as reported in TUFFS. From</w:t>
      </w:r>
      <w:r w:rsidRPr="00467F4B">
        <w:rPr>
          <w:rFonts w:ascii="Palatino Linotype" w:hAnsi="Palatino Linotype"/>
        </w:rPr>
        <w:t xml:space="preserve"> this, Staff applied the calculation methodology to derive the revised intrastate revenue for user fee purposes.</w:t>
      </w:r>
    </w:p>
    <w:p w:rsidR="00932789" w:rsidP="00932789" w:rsidRDefault="00932789" w14:paraId="1578F685" w14:textId="77777777">
      <w:pPr>
        <w:pStyle w:val="ListParagraph"/>
        <w:rPr>
          <w:rFonts w:ascii="Palatino Linotype" w:hAnsi="Palatino Linotype"/>
          <w:b/>
          <w:bCs/>
        </w:rPr>
      </w:pPr>
    </w:p>
    <w:p w:rsidRPr="00467F4B" w:rsidR="00932789" w:rsidP="00932789" w:rsidRDefault="00932789" w14:paraId="5C960436" w14:textId="77777777">
      <w:pPr>
        <w:pStyle w:val="Title"/>
        <w:numPr>
          <w:ilvl w:val="0"/>
          <w:numId w:val="48"/>
        </w:numPr>
        <w:jc w:val="left"/>
        <w:rPr>
          <w:rFonts w:ascii="Palatino Linotype" w:hAnsi="Palatino Linotype"/>
          <w:b w:val="0"/>
          <w:szCs w:val="24"/>
        </w:rPr>
      </w:pPr>
      <w:r w:rsidRPr="00467F4B">
        <w:rPr>
          <w:rFonts w:ascii="Palatino Linotype" w:hAnsi="Palatino Linotype"/>
          <w:b w:val="0"/>
          <w:szCs w:val="24"/>
        </w:rPr>
        <w:t xml:space="preserve">In accordance with the Government Claims Act (See Gov. Code, § 911.2) refund claims must be submitted within one year of the claim accrual.  In this case, </w:t>
      </w:r>
      <w:r>
        <w:rPr>
          <w:rFonts w:ascii="Palatino Linotype" w:hAnsi="Palatino Linotype"/>
          <w:b w:val="0"/>
          <w:szCs w:val="24"/>
        </w:rPr>
        <w:t>the</w:t>
      </w:r>
      <w:r w:rsidRPr="00467F4B">
        <w:rPr>
          <w:rFonts w:ascii="Palatino Linotype" w:hAnsi="Palatino Linotype"/>
          <w:b w:val="0"/>
          <w:szCs w:val="24"/>
        </w:rPr>
        <w:t xml:space="preserve"> refund request </w:t>
      </w:r>
      <w:r>
        <w:rPr>
          <w:rFonts w:ascii="Palatino Linotype" w:hAnsi="Palatino Linotype"/>
          <w:b w:val="0"/>
          <w:szCs w:val="24"/>
        </w:rPr>
        <w:t xml:space="preserve">for surcharges </w:t>
      </w:r>
      <w:r w:rsidRPr="00467F4B">
        <w:rPr>
          <w:rFonts w:ascii="Palatino Linotype" w:hAnsi="Palatino Linotype"/>
          <w:b w:val="0"/>
          <w:szCs w:val="24"/>
        </w:rPr>
        <w:t>shall only apply to overpayments made from January 2015 through September 2015, consistent with the January 2016 date that AT&amp;T Mobility first notified the CPUC of the overpayment issue. </w:t>
      </w:r>
    </w:p>
    <w:p w:rsidRPr="00467F4B" w:rsidR="00932789" w:rsidP="00932789" w:rsidRDefault="00932789" w14:paraId="022C78CB" w14:textId="77777777">
      <w:pPr>
        <w:pStyle w:val="Title"/>
        <w:ind w:left="360"/>
        <w:jc w:val="left"/>
        <w:rPr>
          <w:rFonts w:ascii="Palatino Linotype" w:hAnsi="Palatino Linotype"/>
          <w:b w:val="0"/>
          <w:szCs w:val="24"/>
        </w:rPr>
      </w:pPr>
    </w:p>
    <w:p w:rsidRPr="00CA3C2A" w:rsidR="00932789" w:rsidP="00932789" w:rsidRDefault="00932789" w14:paraId="7F22A9CE" w14:textId="77777777">
      <w:pPr>
        <w:pStyle w:val="Title"/>
        <w:numPr>
          <w:ilvl w:val="0"/>
          <w:numId w:val="48"/>
        </w:numPr>
        <w:jc w:val="left"/>
        <w:rPr>
          <w:rFonts w:ascii="Palatino Linotype" w:hAnsi="Palatino Linotype"/>
          <w:b w:val="0"/>
          <w:szCs w:val="24"/>
        </w:rPr>
      </w:pPr>
      <w:r w:rsidRPr="00CA3C2A">
        <w:rPr>
          <w:rFonts w:ascii="Palatino Linotype" w:hAnsi="Palatino Linotype"/>
          <w:b w:val="0"/>
          <w:szCs w:val="24"/>
        </w:rPr>
        <w:t>The Commission has determined that AT&amp;T Mobility’s refund request for user fees shall be granted for all periods requested: January 2013 through September 2015.</w:t>
      </w:r>
    </w:p>
    <w:p w:rsidRPr="00232A04" w:rsidR="00932789" w:rsidP="00932789" w:rsidRDefault="00932789" w14:paraId="6FD94E87" w14:textId="77777777">
      <w:pPr>
        <w:pStyle w:val="ListParagraph"/>
        <w:rPr>
          <w:rFonts w:ascii="Palatino Linotype" w:hAnsi="Palatino Linotype"/>
        </w:rPr>
      </w:pPr>
    </w:p>
    <w:p w:rsidRPr="00FA5115" w:rsidR="00932789" w:rsidP="00932789" w:rsidRDefault="00932789" w14:paraId="7EA68A33" w14:textId="77777777">
      <w:pPr>
        <w:pStyle w:val="ListParagraph"/>
        <w:numPr>
          <w:ilvl w:val="0"/>
          <w:numId w:val="48"/>
        </w:numPr>
        <w:rPr>
          <w:rFonts w:ascii="Palatino Linotype" w:hAnsi="Palatino Linotype"/>
          <w:b/>
          <w:bCs/>
        </w:rPr>
      </w:pPr>
      <w:r w:rsidRPr="00FA5115">
        <w:rPr>
          <w:rFonts w:ascii="Palatino Linotype" w:hAnsi="Palatino Linotype"/>
        </w:rPr>
        <w:t xml:space="preserve">On June 15, 2018, the CD Deputy Director issued a letter to </w:t>
      </w:r>
      <w:r>
        <w:rPr>
          <w:rFonts w:ascii="Palatino Linotype" w:hAnsi="Palatino Linotype"/>
        </w:rPr>
        <w:t>AT&amp;T Mobility</w:t>
      </w:r>
      <w:r w:rsidRPr="00FA5115">
        <w:rPr>
          <w:rFonts w:ascii="Palatino Linotype" w:hAnsi="Palatino Linotype"/>
        </w:rPr>
        <w:t xml:space="preserve"> to remind the company of its responsibility to accurately report and remit surcharges. The letter </w:t>
      </w:r>
      <w:r>
        <w:rPr>
          <w:rFonts w:ascii="Palatino Linotype" w:hAnsi="Palatino Linotype"/>
        </w:rPr>
        <w:t>noted</w:t>
      </w:r>
      <w:r w:rsidRPr="00FA5115">
        <w:rPr>
          <w:rFonts w:ascii="Palatino Linotype" w:hAnsi="Palatino Linotype"/>
        </w:rPr>
        <w:t xml:space="preserve"> that AT&amp;T Mobility did not accurately report and remit CASF surcharges timely and resulted in accrued interest. </w:t>
      </w:r>
      <w:r w:rsidRPr="00084FDA">
        <w:rPr>
          <w:rFonts w:ascii="Palatino Linotype" w:hAnsi="Palatino Linotype"/>
        </w:rPr>
        <w:t>AT&amp;T Mobility addressed the remittances of the amounts due for the periods owed but it did not pay the accrued interest.</w:t>
      </w:r>
      <w:r w:rsidRPr="00FA5115">
        <w:rPr>
          <w:rFonts w:ascii="Palatino Linotype" w:hAnsi="Palatino Linotype"/>
        </w:rPr>
        <w:t xml:space="preserve"> AT&amp;T Mobility owed approximately $</w:t>
      </w:r>
      <w:r w:rsidRPr="00CC4845">
        <w:rPr>
          <w:rFonts w:ascii="Palatino Linotype" w:hAnsi="Palatino Linotype"/>
        </w:rPr>
        <w:t>326,732.95</w:t>
      </w:r>
      <w:r w:rsidRPr="003F7B35">
        <w:rPr>
          <w:rFonts w:ascii="Palatino Linotype" w:hAnsi="Palatino Linotype"/>
          <w:b/>
          <w:bCs/>
        </w:rPr>
        <w:t xml:space="preserve"> </w:t>
      </w:r>
      <w:r w:rsidRPr="00FA5115">
        <w:rPr>
          <w:rFonts w:ascii="Palatino Linotype" w:hAnsi="Palatino Linotype"/>
        </w:rPr>
        <w:t xml:space="preserve">in accrued interest and has not paid this amount </w:t>
      </w:r>
      <w:r>
        <w:rPr>
          <w:rFonts w:ascii="Palatino Linotype" w:hAnsi="Palatino Linotype"/>
        </w:rPr>
        <w:t>as of</w:t>
      </w:r>
      <w:r w:rsidRPr="00FA5115">
        <w:rPr>
          <w:rFonts w:ascii="Palatino Linotype" w:hAnsi="Palatino Linotype"/>
        </w:rPr>
        <w:t xml:space="preserve"> issuance of this Resolution.</w:t>
      </w:r>
    </w:p>
    <w:p w:rsidRPr="00720900" w:rsidR="00932789" w:rsidP="00932789" w:rsidRDefault="00932789" w14:paraId="5610BBCA" w14:textId="77777777">
      <w:pPr>
        <w:rPr>
          <w:rFonts w:ascii="Palatino Linotype" w:hAnsi="Palatino Linotype"/>
          <w:b/>
          <w:bCs/>
        </w:rPr>
      </w:pPr>
    </w:p>
    <w:p w:rsidRPr="00467F4B" w:rsidR="00932789" w:rsidP="00932789" w:rsidRDefault="00932789" w14:paraId="5B011890" w14:textId="77777777">
      <w:pPr>
        <w:pStyle w:val="Title"/>
        <w:numPr>
          <w:ilvl w:val="0"/>
          <w:numId w:val="48"/>
        </w:numPr>
        <w:jc w:val="left"/>
        <w:rPr>
          <w:rFonts w:ascii="Palatino Linotype" w:hAnsi="Palatino Linotype"/>
          <w:b w:val="0"/>
          <w:szCs w:val="24"/>
        </w:rPr>
      </w:pPr>
      <w:r w:rsidRPr="003D12AC">
        <w:rPr>
          <w:rFonts w:ascii="Palatino Linotype" w:hAnsi="Palatino Linotype"/>
          <w:b w:val="0"/>
          <w:bCs/>
          <w:szCs w:val="24"/>
        </w:rPr>
        <w:t>Staff recommends that</w:t>
      </w:r>
      <w:r w:rsidRPr="003D12AC">
        <w:rPr>
          <w:rFonts w:ascii="Palatino Linotype" w:hAnsi="Palatino Linotype"/>
          <w:b w:val="0"/>
          <w:bCs/>
        </w:rPr>
        <w:t xml:space="preserve"> $597,103.70 </w:t>
      </w:r>
      <w:r>
        <w:rPr>
          <w:rFonts w:ascii="Palatino Linotype" w:hAnsi="Palatino Linotype"/>
          <w:b w:val="0"/>
          <w:bCs/>
        </w:rPr>
        <w:t xml:space="preserve">is owed in </w:t>
      </w:r>
      <w:r w:rsidRPr="00467F4B">
        <w:rPr>
          <w:rFonts w:ascii="Palatino Linotype" w:hAnsi="Palatino Linotype"/>
          <w:b w:val="0"/>
          <w:szCs w:val="24"/>
        </w:rPr>
        <w:t>refund</w:t>
      </w:r>
      <w:r>
        <w:rPr>
          <w:rFonts w:ascii="Palatino Linotype" w:hAnsi="Palatino Linotype"/>
          <w:b w:val="0"/>
          <w:szCs w:val="24"/>
        </w:rPr>
        <w:t>s</w:t>
      </w:r>
      <w:r w:rsidRPr="00467F4B">
        <w:rPr>
          <w:rFonts w:ascii="Palatino Linotype" w:hAnsi="Palatino Linotype"/>
          <w:b w:val="0"/>
          <w:szCs w:val="24"/>
        </w:rPr>
        <w:t xml:space="preserve"> to AT&amp;T Mobility </w:t>
      </w:r>
      <w:r>
        <w:rPr>
          <w:rFonts w:ascii="Palatino Linotype" w:hAnsi="Palatino Linotype"/>
          <w:b w:val="0"/>
          <w:szCs w:val="24"/>
        </w:rPr>
        <w:t xml:space="preserve">and from which will be deducted the amount owed to the Commission of </w:t>
      </w:r>
      <w:r w:rsidRPr="00467F4B">
        <w:rPr>
          <w:rFonts w:ascii="Palatino Linotype" w:hAnsi="Palatino Linotype"/>
          <w:b w:val="0"/>
          <w:bCs/>
        </w:rPr>
        <w:t>$326,732.95</w:t>
      </w:r>
      <w:r>
        <w:rPr>
          <w:rFonts w:ascii="Palatino Linotype" w:hAnsi="Palatino Linotype"/>
          <w:b w:val="0"/>
          <w:bCs/>
        </w:rPr>
        <w:t xml:space="preserve">. The total amount of refund after deductions of accrued interest is </w:t>
      </w:r>
      <w:r w:rsidRPr="00467F4B">
        <w:rPr>
          <w:rFonts w:ascii="Palatino Linotype" w:hAnsi="Palatino Linotype"/>
          <w:b w:val="0"/>
          <w:szCs w:val="24"/>
        </w:rPr>
        <w:t>$270,370.75. The amounts applicable to each company are detailed in Table</w:t>
      </w:r>
      <w:r>
        <w:rPr>
          <w:rFonts w:ascii="Palatino Linotype" w:hAnsi="Palatino Linotype"/>
          <w:b w:val="0"/>
          <w:szCs w:val="24"/>
        </w:rPr>
        <w:t>s</w:t>
      </w:r>
      <w:r w:rsidRPr="00467F4B">
        <w:rPr>
          <w:rFonts w:ascii="Palatino Linotype" w:hAnsi="Palatino Linotype"/>
          <w:b w:val="0"/>
          <w:szCs w:val="24"/>
        </w:rPr>
        <w:t xml:space="preserve"> </w:t>
      </w:r>
      <w:r>
        <w:rPr>
          <w:rFonts w:ascii="Palatino Linotype" w:hAnsi="Palatino Linotype"/>
          <w:b w:val="0"/>
          <w:szCs w:val="24"/>
        </w:rPr>
        <w:t>1, 6 and 7</w:t>
      </w:r>
      <w:r w:rsidRPr="00467F4B">
        <w:rPr>
          <w:rFonts w:ascii="Palatino Linotype" w:hAnsi="Palatino Linotype"/>
          <w:b w:val="0"/>
          <w:szCs w:val="24"/>
        </w:rPr>
        <w:t xml:space="preserve"> of this Resolution. </w:t>
      </w:r>
    </w:p>
    <w:p w:rsidRPr="00467F4B" w:rsidR="00932789" w:rsidP="00932789" w:rsidRDefault="00932789" w14:paraId="54182088" w14:textId="77777777">
      <w:pPr>
        <w:pStyle w:val="Title"/>
        <w:ind w:left="360"/>
        <w:jc w:val="left"/>
        <w:rPr>
          <w:rFonts w:ascii="Palatino Linotype" w:hAnsi="Palatino Linotype"/>
          <w:b w:val="0"/>
          <w:szCs w:val="24"/>
        </w:rPr>
      </w:pPr>
    </w:p>
    <w:p w:rsidRPr="00CA3C2A" w:rsidR="00932789" w:rsidP="00932789" w:rsidRDefault="00932789" w14:paraId="3CA4E18A" w14:textId="77777777">
      <w:pPr>
        <w:pStyle w:val="Title"/>
        <w:numPr>
          <w:ilvl w:val="0"/>
          <w:numId w:val="48"/>
        </w:numPr>
        <w:jc w:val="left"/>
        <w:rPr>
          <w:rFonts w:ascii="Palatino Linotype" w:hAnsi="Palatino Linotype"/>
          <w:b w:val="0"/>
          <w:szCs w:val="24"/>
        </w:rPr>
      </w:pPr>
      <w:r w:rsidRPr="00CA3C2A">
        <w:rPr>
          <w:rFonts w:ascii="Palatino Linotype" w:hAnsi="Palatino Linotype"/>
          <w:b w:val="0"/>
          <w:szCs w:val="24"/>
        </w:rPr>
        <w:t xml:space="preserve">On March 24, 2020, the </w:t>
      </w:r>
      <w:r w:rsidRPr="00467F4B">
        <w:rPr>
          <w:rFonts w:ascii="Palatino Linotype" w:hAnsi="Palatino Linotype"/>
          <w:b w:val="0"/>
          <w:szCs w:val="24"/>
        </w:rPr>
        <w:t>Administrative Service Division’s Fiscal Office</w:t>
      </w:r>
      <w:r>
        <w:rPr>
          <w:rFonts w:ascii="Palatino Linotype" w:hAnsi="Palatino Linotype"/>
          <w:b w:val="0"/>
          <w:szCs w:val="24"/>
        </w:rPr>
        <w:t xml:space="preserve"> </w:t>
      </w:r>
      <w:r w:rsidRPr="00CA3C2A">
        <w:rPr>
          <w:rFonts w:ascii="Palatino Linotype" w:hAnsi="Palatino Linotype"/>
          <w:b w:val="0"/>
          <w:szCs w:val="24"/>
        </w:rPr>
        <w:t xml:space="preserve">staff established and posted on </w:t>
      </w:r>
      <w:r>
        <w:rPr>
          <w:rFonts w:ascii="Palatino Linotype" w:hAnsi="Palatino Linotype"/>
          <w:b w:val="0"/>
          <w:szCs w:val="24"/>
        </w:rPr>
        <w:t xml:space="preserve">the Commission’s </w:t>
      </w:r>
      <w:r w:rsidRPr="00CA3C2A">
        <w:rPr>
          <w:rFonts w:ascii="Palatino Linotype" w:hAnsi="Palatino Linotype"/>
          <w:b w:val="0"/>
          <w:szCs w:val="24"/>
        </w:rPr>
        <w:t xml:space="preserve">website </w:t>
      </w:r>
      <w:r>
        <w:rPr>
          <w:rFonts w:ascii="Palatino Linotype" w:hAnsi="Palatino Linotype"/>
          <w:b w:val="0"/>
          <w:szCs w:val="24"/>
        </w:rPr>
        <w:t xml:space="preserve">an updated guideline for </w:t>
      </w:r>
      <w:r w:rsidRPr="00CA3C2A">
        <w:rPr>
          <w:rFonts w:ascii="Palatino Linotype" w:hAnsi="Palatino Linotype"/>
          <w:b w:val="0"/>
          <w:szCs w:val="24"/>
        </w:rPr>
        <w:t>internal process</w:t>
      </w:r>
      <w:r>
        <w:rPr>
          <w:rFonts w:ascii="Palatino Linotype" w:hAnsi="Palatino Linotype"/>
          <w:b w:val="0"/>
          <w:szCs w:val="24"/>
        </w:rPr>
        <w:t>ing of</w:t>
      </w:r>
      <w:r w:rsidRPr="00CA3C2A">
        <w:rPr>
          <w:rFonts w:ascii="Palatino Linotype" w:hAnsi="Palatino Linotype"/>
          <w:b w:val="0"/>
          <w:szCs w:val="24"/>
        </w:rPr>
        <w:t xml:space="preserve"> surcharge and user fee-related refund claims. </w:t>
      </w:r>
    </w:p>
    <w:p w:rsidRPr="00467F4B" w:rsidR="00932789" w:rsidP="00932789" w:rsidRDefault="00932789" w14:paraId="1C6D46B3" w14:textId="77777777">
      <w:pPr>
        <w:pStyle w:val="ListParagraph"/>
        <w:rPr>
          <w:rFonts w:ascii="Palatino Linotype" w:hAnsi="Palatino Linotype"/>
          <w:b/>
        </w:rPr>
      </w:pPr>
    </w:p>
    <w:p w:rsidRPr="00467F4B" w:rsidR="00932789" w:rsidP="00932789" w:rsidRDefault="00932789" w14:paraId="273DF328" w14:textId="77777777">
      <w:pPr>
        <w:pStyle w:val="Title"/>
        <w:numPr>
          <w:ilvl w:val="0"/>
          <w:numId w:val="48"/>
        </w:numPr>
        <w:jc w:val="left"/>
        <w:rPr>
          <w:rFonts w:ascii="Palatino Linotype" w:hAnsi="Palatino Linotype"/>
          <w:b w:val="0"/>
          <w:szCs w:val="24"/>
        </w:rPr>
      </w:pPr>
      <w:r w:rsidRPr="00467F4B">
        <w:rPr>
          <w:rFonts w:ascii="Palatino Linotype" w:hAnsi="Palatino Linotype"/>
          <w:b w:val="0"/>
          <w:szCs w:val="24"/>
        </w:rPr>
        <w:t xml:space="preserve">The CPUC Administrative Service Division’s Fiscal Office will undertake the necessary procedures to issue AT&amp;T Mobility its respective refund amounts (via issuance of a check) </w:t>
      </w:r>
      <w:r>
        <w:rPr>
          <w:rFonts w:ascii="Palatino Linotype" w:hAnsi="Palatino Linotype"/>
          <w:b w:val="0"/>
          <w:szCs w:val="24"/>
        </w:rPr>
        <w:t>and update its records accordingly</w:t>
      </w:r>
      <w:r w:rsidRPr="00467F4B">
        <w:rPr>
          <w:rFonts w:ascii="Palatino Linotype" w:hAnsi="Palatino Linotype"/>
          <w:b w:val="0"/>
          <w:szCs w:val="24"/>
        </w:rPr>
        <w:t xml:space="preserve"> within </w:t>
      </w:r>
      <w:r>
        <w:rPr>
          <w:rFonts w:ascii="Palatino Linotype" w:hAnsi="Palatino Linotype"/>
          <w:b w:val="0"/>
          <w:szCs w:val="24"/>
        </w:rPr>
        <w:t>6</w:t>
      </w:r>
      <w:r w:rsidRPr="00467F4B">
        <w:rPr>
          <w:rFonts w:ascii="Palatino Linotype" w:hAnsi="Palatino Linotype"/>
          <w:b w:val="0"/>
          <w:szCs w:val="24"/>
        </w:rPr>
        <w:t>0 days upon adoption of this Resolution.</w:t>
      </w:r>
    </w:p>
    <w:p w:rsidRPr="00467F4B" w:rsidR="00932789" w:rsidP="00932789" w:rsidRDefault="00932789" w14:paraId="0EA60CDE" w14:textId="77777777">
      <w:pPr>
        <w:pStyle w:val="Title"/>
        <w:jc w:val="left"/>
        <w:rPr>
          <w:rFonts w:ascii="Palatino Linotype" w:hAnsi="Palatino Linotype"/>
          <w:b w:val="0"/>
          <w:szCs w:val="24"/>
        </w:rPr>
      </w:pPr>
    </w:p>
    <w:p w:rsidRPr="00467F4B" w:rsidR="00932789" w:rsidP="00932789" w:rsidRDefault="00932789" w14:paraId="13485121" w14:textId="77777777">
      <w:pPr>
        <w:rPr>
          <w:rFonts w:ascii="Palatino Linotype" w:hAnsi="Palatino Linotype"/>
          <w:b/>
        </w:rPr>
      </w:pPr>
      <w:r w:rsidRPr="00467F4B">
        <w:rPr>
          <w:rFonts w:ascii="Palatino Linotype" w:hAnsi="Palatino Linotype"/>
          <w:b/>
        </w:rPr>
        <w:t>THEREFORE, IT IS ORDERED that:</w:t>
      </w:r>
    </w:p>
    <w:p w:rsidRPr="00467F4B" w:rsidR="00932789" w:rsidP="00932789" w:rsidRDefault="00932789" w14:paraId="585D2678" w14:textId="77777777">
      <w:pPr>
        <w:pStyle w:val="ListParagraph"/>
        <w:ind w:left="0"/>
        <w:rPr>
          <w:rFonts w:ascii="Palatino Linotype" w:hAnsi="Palatino Linotype"/>
          <w:b/>
        </w:rPr>
      </w:pPr>
    </w:p>
    <w:p w:rsidRPr="00467F4B" w:rsidR="00932789" w:rsidP="00932789" w:rsidRDefault="00932789" w14:paraId="0899AE60" w14:textId="77777777">
      <w:pPr>
        <w:pStyle w:val="Title"/>
        <w:numPr>
          <w:ilvl w:val="0"/>
          <w:numId w:val="55"/>
        </w:numPr>
        <w:jc w:val="left"/>
        <w:rPr>
          <w:rFonts w:ascii="Palatino Linotype" w:hAnsi="Palatino Linotype"/>
          <w:b w:val="0"/>
          <w:szCs w:val="24"/>
        </w:rPr>
      </w:pPr>
      <w:r>
        <w:rPr>
          <w:rFonts w:ascii="Palatino Linotype" w:hAnsi="Palatino Linotype"/>
          <w:b w:val="0"/>
          <w:bCs/>
          <w:szCs w:val="24"/>
        </w:rPr>
        <w:t xml:space="preserve">The Commission approves in part the refund of </w:t>
      </w:r>
      <w:r w:rsidRPr="003D12AC">
        <w:rPr>
          <w:rFonts w:ascii="Palatino Linotype" w:hAnsi="Palatino Linotype"/>
          <w:b w:val="0"/>
          <w:bCs/>
        </w:rPr>
        <w:t xml:space="preserve">$597,103.70 </w:t>
      </w:r>
      <w:r>
        <w:rPr>
          <w:rFonts w:ascii="Palatino Linotype" w:hAnsi="Palatino Linotype"/>
          <w:b w:val="0"/>
          <w:bCs/>
        </w:rPr>
        <w:t xml:space="preserve">owed </w:t>
      </w:r>
      <w:r w:rsidRPr="00467F4B">
        <w:rPr>
          <w:rFonts w:ascii="Palatino Linotype" w:hAnsi="Palatino Linotype"/>
          <w:b w:val="0"/>
          <w:szCs w:val="24"/>
        </w:rPr>
        <w:t xml:space="preserve">to AT&amp;T Mobility </w:t>
      </w:r>
      <w:r>
        <w:rPr>
          <w:rFonts w:ascii="Palatino Linotype" w:hAnsi="Palatino Linotype"/>
          <w:b w:val="0"/>
          <w:szCs w:val="24"/>
        </w:rPr>
        <w:t xml:space="preserve">and from which shall be deducted the amount owed to the Commission of </w:t>
      </w:r>
      <w:r w:rsidRPr="00467F4B">
        <w:rPr>
          <w:rFonts w:ascii="Palatino Linotype" w:hAnsi="Palatino Linotype"/>
          <w:b w:val="0"/>
          <w:bCs/>
        </w:rPr>
        <w:t>$326,732.95</w:t>
      </w:r>
      <w:r>
        <w:rPr>
          <w:rFonts w:ascii="Palatino Linotype" w:hAnsi="Palatino Linotype"/>
          <w:b w:val="0"/>
          <w:bCs/>
        </w:rPr>
        <w:t xml:space="preserve">. The total amount of refund after deductions of accrued interest is </w:t>
      </w:r>
      <w:r w:rsidRPr="00467F4B">
        <w:rPr>
          <w:rFonts w:ascii="Palatino Linotype" w:hAnsi="Palatino Linotype"/>
          <w:b w:val="0"/>
          <w:szCs w:val="24"/>
        </w:rPr>
        <w:t xml:space="preserve">$270,370.75. </w:t>
      </w:r>
    </w:p>
    <w:p w:rsidR="00932789" w:rsidP="00932789" w:rsidRDefault="00932789" w14:paraId="0AC3581E" w14:textId="77777777">
      <w:pPr>
        <w:pStyle w:val="Title"/>
        <w:ind w:left="360"/>
        <w:jc w:val="left"/>
        <w:rPr>
          <w:rFonts w:ascii="Palatino Linotype" w:hAnsi="Palatino Linotype"/>
          <w:b w:val="0"/>
          <w:szCs w:val="24"/>
        </w:rPr>
      </w:pPr>
    </w:p>
    <w:p w:rsidR="00932789" w:rsidP="00932789" w:rsidRDefault="00932789" w14:paraId="03183611" w14:textId="77777777">
      <w:pPr>
        <w:pStyle w:val="Title"/>
        <w:numPr>
          <w:ilvl w:val="0"/>
          <w:numId w:val="55"/>
        </w:numPr>
        <w:jc w:val="left"/>
        <w:rPr>
          <w:rFonts w:ascii="Palatino Linotype" w:hAnsi="Palatino Linotype"/>
          <w:b w:val="0"/>
          <w:szCs w:val="24"/>
        </w:rPr>
      </w:pPr>
      <w:r w:rsidRPr="00467F4B">
        <w:rPr>
          <w:rFonts w:ascii="Palatino Linotype" w:hAnsi="Palatino Linotype"/>
          <w:b w:val="0"/>
          <w:szCs w:val="24"/>
        </w:rPr>
        <w:t xml:space="preserve">Within </w:t>
      </w:r>
      <w:r>
        <w:rPr>
          <w:rFonts w:ascii="Palatino Linotype" w:hAnsi="Palatino Linotype"/>
          <w:b w:val="0"/>
          <w:szCs w:val="24"/>
        </w:rPr>
        <w:t>60</w:t>
      </w:r>
      <w:r w:rsidRPr="00467F4B">
        <w:rPr>
          <w:rFonts w:ascii="Palatino Linotype" w:hAnsi="Palatino Linotype"/>
          <w:b w:val="0"/>
          <w:szCs w:val="24"/>
        </w:rPr>
        <w:t xml:space="preserve"> days from the date of adoption of this </w:t>
      </w:r>
      <w:r>
        <w:rPr>
          <w:rFonts w:ascii="Palatino Linotype" w:hAnsi="Palatino Linotype"/>
          <w:b w:val="0"/>
          <w:szCs w:val="24"/>
        </w:rPr>
        <w:t>R</w:t>
      </w:r>
      <w:r w:rsidRPr="00467F4B">
        <w:rPr>
          <w:rFonts w:ascii="Palatino Linotype" w:hAnsi="Palatino Linotype"/>
          <w:b w:val="0"/>
          <w:szCs w:val="24"/>
        </w:rPr>
        <w:t>esolution, CPUC Administrative Service Division’s Fiscal Office shall undertake the necessary procedures to</w:t>
      </w:r>
      <w:r>
        <w:rPr>
          <w:rFonts w:ascii="Palatino Linotype" w:hAnsi="Palatino Linotype"/>
          <w:b w:val="0"/>
          <w:szCs w:val="24"/>
        </w:rPr>
        <w:t xml:space="preserve"> update its records and</w:t>
      </w:r>
      <w:r w:rsidRPr="00467F4B">
        <w:rPr>
          <w:rFonts w:ascii="Palatino Linotype" w:hAnsi="Palatino Linotype"/>
          <w:b w:val="0"/>
          <w:szCs w:val="24"/>
        </w:rPr>
        <w:t xml:space="preserve"> issue a refund (via check) of </w:t>
      </w:r>
      <w:r w:rsidRPr="00957DC6">
        <w:rPr>
          <w:rFonts w:ascii="Palatino Linotype" w:hAnsi="Palatino Linotype" w:cs="Calibri"/>
          <w:b w:val="0"/>
          <w:bCs/>
          <w:color w:val="000000"/>
        </w:rPr>
        <w:t>$</w:t>
      </w:r>
      <w:r>
        <w:rPr>
          <w:rFonts w:ascii="Palatino Linotype" w:hAnsi="Palatino Linotype" w:cs="Calibri"/>
          <w:b w:val="0"/>
          <w:bCs/>
          <w:color w:val="000000"/>
        </w:rPr>
        <w:t>7,434.47</w:t>
      </w:r>
      <w:r w:rsidRPr="00957DC6">
        <w:rPr>
          <w:rFonts w:ascii="Palatino Linotype" w:hAnsi="Palatino Linotype" w:cs="Calibri"/>
          <w:b w:val="0"/>
          <w:bCs/>
          <w:color w:val="000000"/>
        </w:rPr>
        <w:t xml:space="preserve"> </w:t>
      </w:r>
      <w:r w:rsidRPr="00467F4B">
        <w:rPr>
          <w:rFonts w:ascii="Palatino Linotype" w:hAnsi="Palatino Linotype"/>
          <w:b w:val="0"/>
          <w:szCs w:val="24"/>
        </w:rPr>
        <w:t>to Santa Barbara Cellular Systems, LLC’s (U-3015-C) for overpaid surcharges from January through September 2015</w:t>
      </w:r>
      <w:r>
        <w:rPr>
          <w:rFonts w:ascii="Palatino Linotype" w:hAnsi="Palatino Linotype"/>
          <w:b w:val="0"/>
          <w:szCs w:val="24"/>
        </w:rPr>
        <w:t xml:space="preserve"> and user fees from January 2013 through September 2015.</w:t>
      </w:r>
    </w:p>
    <w:p w:rsidRPr="00467F4B" w:rsidR="00932789" w:rsidP="00932789" w:rsidRDefault="00932789" w14:paraId="52DEE25F" w14:textId="77777777">
      <w:pPr>
        <w:pStyle w:val="Title"/>
        <w:ind w:left="360"/>
        <w:jc w:val="left"/>
        <w:rPr>
          <w:rFonts w:ascii="Palatino Linotype" w:hAnsi="Palatino Linotype"/>
          <w:b w:val="0"/>
          <w:szCs w:val="24"/>
        </w:rPr>
      </w:pPr>
    </w:p>
    <w:p w:rsidR="00932789" w:rsidP="00932789" w:rsidRDefault="00932789" w14:paraId="4B9F3932" w14:textId="77777777">
      <w:pPr>
        <w:pStyle w:val="Title"/>
        <w:numPr>
          <w:ilvl w:val="0"/>
          <w:numId w:val="55"/>
        </w:numPr>
        <w:jc w:val="left"/>
        <w:rPr>
          <w:rFonts w:ascii="Palatino Linotype" w:hAnsi="Palatino Linotype"/>
          <w:b w:val="0"/>
          <w:szCs w:val="24"/>
        </w:rPr>
      </w:pPr>
      <w:r w:rsidRPr="00720900">
        <w:rPr>
          <w:rFonts w:ascii="Palatino Linotype" w:hAnsi="Palatino Linotype"/>
          <w:b w:val="0"/>
          <w:szCs w:val="24"/>
        </w:rPr>
        <w:t xml:space="preserve">Within </w:t>
      </w:r>
      <w:r>
        <w:rPr>
          <w:rFonts w:ascii="Palatino Linotype" w:hAnsi="Palatino Linotype"/>
          <w:b w:val="0"/>
          <w:szCs w:val="24"/>
        </w:rPr>
        <w:t>6</w:t>
      </w:r>
      <w:r w:rsidRPr="00720900">
        <w:rPr>
          <w:rFonts w:ascii="Palatino Linotype" w:hAnsi="Palatino Linotype"/>
          <w:b w:val="0"/>
          <w:szCs w:val="24"/>
        </w:rPr>
        <w:t xml:space="preserve">0 days from the date of adoption of this </w:t>
      </w:r>
      <w:r>
        <w:rPr>
          <w:rFonts w:ascii="Palatino Linotype" w:hAnsi="Palatino Linotype"/>
          <w:b w:val="0"/>
          <w:szCs w:val="24"/>
        </w:rPr>
        <w:t>R</w:t>
      </w:r>
      <w:r w:rsidRPr="00720900">
        <w:rPr>
          <w:rFonts w:ascii="Palatino Linotype" w:hAnsi="Palatino Linotype"/>
          <w:b w:val="0"/>
          <w:szCs w:val="24"/>
        </w:rPr>
        <w:t xml:space="preserve">esolution, CPUC Administrative Service Division’s Fiscal Office shall </w:t>
      </w:r>
      <w:r w:rsidRPr="00DC1DE4">
        <w:rPr>
          <w:rFonts w:ascii="Palatino Linotype" w:hAnsi="Palatino Linotype"/>
          <w:b w:val="0"/>
          <w:szCs w:val="24"/>
        </w:rPr>
        <w:t>undertake the necessary procedures to update its records and issue a refund (via check) of $</w:t>
      </w:r>
      <w:r w:rsidRPr="00DC1DE4">
        <w:rPr>
          <w:rFonts w:ascii="Palatino Linotype" w:hAnsi="Palatino Linotype" w:cs="Calibri"/>
          <w:b w:val="0"/>
          <w:color w:val="000000"/>
        </w:rPr>
        <w:t xml:space="preserve">718.38 </w:t>
      </w:r>
      <w:r w:rsidRPr="00DC1DE4">
        <w:rPr>
          <w:rFonts w:ascii="Palatino Linotype" w:hAnsi="Palatino Linotype"/>
          <w:b w:val="0"/>
          <w:szCs w:val="24"/>
        </w:rPr>
        <w:t>to A</w:t>
      </w:r>
      <w:r w:rsidRPr="00720900">
        <w:rPr>
          <w:rFonts w:ascii="Palatino Linotype" w:hAnsi="Palatino Linotype"/>
          <w:b w:val="0"/>
          <w:szCs w:val="24"/>
        </w:rPr>
        <w:t xml:space="preserve">T&amp;T Mobility Wireless Operations Holdings, Inc.’s (U-3021-C) </w:t>
      </w:r>
      <w:r w:rsidRPr="00467F4B">
        <w:rPr>
          <w:rFonts w:ascii="Palatino Linotype" w:hAnsi="Palatino Linotype"/>
          <w:b w:val="0"/>
          <w:szCs w:val="24"/>
        </w:rPr>
        <w:t>for overpaid surcharges from January through September 2015</w:t>
      </w:r>
      <w:r>
        <w:rPr>
          <w:rFonts w:ascii="Palatino Linotype" w:hAnsi="Palatino Linotype"/>
          <w:b w:val="0"/>
          <w:szCs w:val="24"/>
        </w:rPr>
        <w:t xml:space="preserve"> and user fees from January 2013 through September 2015.</w:t>
      </w:r>
    </w:p>
    <w:p w:rsidR="00932789" w:rsidP="00932789" w:rsidRDefault="00932789" w14:paraId="3662061C" w14:textId="77777777">
      <w:pPr>
        <w:pStyle w:val="ListParagraph"/>
        <w:rPr>
          <w:rFonts w:ascii="Palatino Linotype" w:hAnsi="Palatino Linotype"/>
          <w:b/>
        </w:rPr>
      </w:pPr>
    </w:p>
    <w:p w:rsidRPr="00467F4B" w:rsidR="00932789" w:rsidP="00932789" w:rsidRDefault="00932789" w14:paraId="69913CEE" w14:textId="77777777">
      <w:pPr>
        <w:pStyle w:val="Title"/>
        <w:numPr>
          <w:ilvl w:val="0"/>
          <w:numId w:val="55"/>
        </w:numPr>
        <w:jc w:val="left"/>
        <w:rPr>
          <w:rFonts w:ascii="Palatino Linotype" w:hAnsi="Palatino Linotype"/>
          <w:szCs w:val="24"/>
        </w:rPr>
      </w:pPr>
      <w:r w:rsidRPr="00467F4B">
        <w:rPr>
          <w:rFonts w:ascii="Palatino Linotype" w:hAnsi="Palatino Linotype"/>
          <w:b w:val="0"/>
          <w:szCs w:val="24"/>
        </w:rPr>
        <w:t xml:space="preserve">Within </w:t>
      </w:r>
      <w:r>
        <w:rPr>
          <w:rFonts w:ascii="Palatino Linotype" w:hAnsi="Palatino Linotype"/>
          <w:b w:val="0"/>
          <w:szCs w:val="24"/>
        </w:rPr>
        <w:t>6</w:t>
      </w:r>
      <w:r w:rsidRPr="00467F4B">
        <w:rPr>
          <w:rFonts w:ascii="Palatino Linotype" w:hAnsi="Palatino Linotype"/>
          <w:b w:val="0"/>
          <w:szCs w:val="24"/>
        </w:rPr>
        <w:t xml:space="preserve">0 days from the date of adoption of this </w:t>
      </w:r>
      <w:r>
        <w:rPr>
          <w:rFonts w:ascii="Palatino Linotype" w:hAnsi="Palatino Linotype"/>
          <w:b w:val="0"/>
          <w:szCs w:val="24"/>
        </w:rPr>
        <w:t>R</w:t>
      </w:r>
      <w:r w:rsidRPr="00467F4B">
        <w:rPr>
          <w:rFonts w:ascii="Palatino Linotype" w:hAnsi="Palatino Linotype"/>
          <w:b w:val="0"/>
          <w:szCs w:val="24"/>
        </w:rPr>
        <w:t xml:space="preserve">esolution, CPUC Administrative Service Division’s Fiscal Office shall undertake the necessary procedures to </w:t>
      </w:r>
      <w:r>
        <w:rPr>
          <w:rFonts w:ascii="Palatino Linotype" w:hAnsi="Palatino Linotype"/>
          <w:b w:val="0"/>
          <w:szCs w:val="24"/>
        </w:rPr>
        <w:t xml:space="preserve">update its records and </w:t>
      </w:r>
      <w:r w:rsidRPr="00467F4B">
        <w:rPr>
          <w:rFonts w:ascii="Palatino Linotype" w:hAnsi="Palatino Linotype"/>
          <w:b w:val="0"/>
          <w:szCs w:val="24"/>
        </w:rPr>
        <w:t xml:space="preserve">issue a refund (via check) of </w:t>
      </w:r>
      <w:r>
        <w:rPr>
          <w:rFonts w:ascii="Palatino Linotype" w:hAnsi="Palatino Linotype"/>
          <w:b w:val="0"/>
          <w:szCs w:val="24"/>
        </w:rPr>
        <w:t>$262,217.90</w:t>
      </w:r>
      <w:r w:rsidRPr="00467F4B">
        <w:rPr>
          <w:rFonts w:ascii="Palatino Linotype" w:hAnsi="Palatino Linotype"/>
          <w:b w:val="0"/>
          <w:szCs w:val="24"/>
        </w:rPr>
        <w:t xml:space="preserve"> to New Cingular Wireless PCS, LLC ‘s (U-3060-C) for overpaid surcharges from January through September 2015</w:t>
      </w:r>
      <w:r>
        <w:rPr>
          <w:rFonts w:ascii="Palatino Linotype" w:hAnsi="Palatino Linotype"/>
          <w:b w:val="0"/>
          <w:szCs w:val="24"/>
        </w:rPr>
        <w:t xml:space="preserve"> and user fees from January 2013 through September 2015.</w:t>
      </w:r>
    </w:p>
    <w:p w:rsidR="00932789" w:rsidP="00932789" w:rsidRDefault="00932789" w14:paraId="03DB71B9" w14:textId="77777777">
      <w:pPr>
        <w:rPr>
          <w:rFonts w:ascii="Palatino Linotype" w:hAnsi="Palatino Linotype"/>
          <w:b/>
        </w:rPr>
      </w:pPr>
    </w:p>
    <w:p w:rsidRPr="00467F4B" w:rsidR="00932789" w:rsidP="00E55E70" w:rsidRDefault="00932789" w14:paraId="4A9CAF8A" w14:textId="48B0D8D8">
      <w:pPr>
        <w:rPr>
          <w:rFonts w:ascii="Palatino Linotype" w:hAnsi="Palatino Linotype"/>
        </w:rPr>
      </w:pPr>
      <w:r w:rsidRPr="00467F4B">
        <w:rPr>
          <w:rFonts w:ascii="Palatino Linotype" w:hAnsi="Palatino Linotype"/>
        </w:rPr>
        <w:t xml:space="preserve">This Resolution is effective today. </w:t>
      </w:r>
    </w:p>
    <w:p w:rsidRPr="00467F4B" w:rsidR="00932789" w:rsidP="00932789" w:rsidRDefault="00932789" w14:paraId="78070F21" w14:textId="77777777">
      <w:pPr>
        <w:pStyle w:val="Title"/>
        <w:jc w:val="left"/>
        <w:rPr>
          <w:rFonts w:ascii="Palatino Linotype" w:hAnsi="Palatino Linotype"/>
          <w:b w:val="0"/>
          <w:szCs w:val="24"/>
        </w:rPr>
      </w:pPr>
    </w:p>
    <w:p w:rsidRPr="00467F4B" w:rsidR="00932789" w:rsidP="00932789" w:rsidRDefault="00932789" w14:paraId="41DC6890" w14:textId="77777777">
      <w:pPr>
        <w:pStyle w:val="Title"/>
        <w:jc w:val="left"/>
        <w:rPr>
          <w:rFonts w:ascii="Palatino Linotype" w:hAnsi="Palatino Linotype"/>
          <w:b w:val="0"/>
          <w:szCs w:val="24"/>
        </w:rPr>
      </w:pPr>
      <w:r w:rsidRPr="00467F4B">
        <w:rPr>
          <w:rFonts w:ascii="Palatino Linotype" w:hAnsi="Palatino Linotype"/>
          <w:b w:val="0"/>
          <w:szCs w:val="24"/>
        </w:rPr>
        <w:t>I hereby certify that the Public Utilities Commission adopted this Resolution at its regular meeting on _________________. The following Commissioners adopted it:</w:t>
      </w:r>
    </w:p>
    <w:p w:rsidRPr="00467F4B" w:rsidR="00932789" w:rsidP="00932789" w:rsidRDefault="00932789" w14:paraId="3FA434A7" w14:textId="77777777">
      <w:pPr>
        <w:pStyle w:val="Title"/>
        <w:jc w:val="left"/>
        <w:rPr>
          <w:rFonts w:ascii="Palatino Linotype" w:hAnsi="Palatino Linotype"/>
          <w:b w:val="0"/>
          <w:szCs w:val="24"/>
        </w:rPr>
      </w:pPr>
    </w:p>
    <w:p w:rsidRPr="00467F4B" w:rsidR="00932789" w:rsidP="00932789" w:rsidRDefault="00932789" w14:paraId="1984CA6E" w14:textId="77777777">
      <w:pPr>
        <w:pStyle w:val="Title"/>
        <w:tabs>
          <w:tab w:val="left" w:pos="8627"/>
        </w:tabs>
        <w:jc w:val="left"/>
        <w:rPr>
          <w:rFonts w:ascii="Palatino Linotype" w:hAnsi="Palatino Linotype"/>
          <w:b w:val="0"/>
          <w:szCs w:val="24"/>
        </w:rPr>
      </w:pPr>
      <w:r w:rsidRPr="00467F4B">
        <w:rPr>
          <w:rFonts w:ascii="Palatino Linotype" w:hAnsi="Palatino Linotype"/>
          <w:b w:val="0"/>
          <w:szCs w:val="24"/>
        </w:rPr>
        <w:tab/>
      </w:r>
    </w:p>
    <w:p w:rsidRPr="00467F4B" w:rsidR="00932789" w:rsidP="00932789" w:rsidRDefault="00932789" w14:paraId="165696AF" w14:textId="77777777">
      <w:pPr>
        <w:pStyle w:val="Title"/>
        <w:tabs>
          <w:tab w:val="left" w:pos="8627"/>
        </w:tabs>
        <w:jc w:val="left"/>
        <w:rPr>
          <w:rFonts w:ascii="Palatino Linotype" w:hAnsi="Palatino Linotype"/>
          <w:b w:val="0"/>
          <w:szCs w:val="24"/>
        </w:rPr>
      </w:pPr>
    </w:p>
    <w:p w:rsidRPr="00467F4B" w:rsidR="00932789" w:rsidP="00932789" w:rsidRDefault="00932789" w14:paraId="12DF7E4F" w14:textId="77777777">
      <w:pPr>
        <w:pStyle w:val="Title"/>
        <w:jc w:val="left"/>
        <w:rPr>
          <w:rFonts w:ascii="Palatino Linotype" w:hAnsi="Palatino Linotype"/>
          <w:b w:val="0"/>
          <w:szCs w:val="24"/>
        </w:rPr>
      </w:pPr>
    </w:p>
    <w:p w:rsidRPr="00467F4B" w:rsidR="00932789" w:rsidP="00932789" w:rsidRDefault="00932789" w14:paraId="22FD6229" w14:textId="77777777">
      <w:pPr>
        <w:pStyle w:val="Title"/>
        <w:jc w:val="left"/>
        <w:rPr>
          <w:rFonts w:ascii="Palatino Linotype" w:hAnsi="Palatino Linotype"/>
          <w:b w:val="0"/>
          <w:szCs w:val="24"/>
          <w:u w:val="single"/>
        </w:rPr>
      </w:pPr>
      <w:r w:rsidRPr="00467F4B">
        <w:rPr>
          <w:rFonts w:ascii="Palatino Linotype" w:hAnsi="Palatino Linotype"/>
          <w:b w:val="0"/>
          <w:szCs w:val="24"/>
        </w:rPr>
        <w:tab/>
      </w:r>
      <w:r w:rsidRPr="00467F4B">
        <w:rPr>
          <w:rFonts w:ascii="Palatino Linotype" w:hAnsi="Palatino Linotype"/>
          <w:b w:val="0"/>
          <w:szCs w:val="24"/>
        </w:rPr>
        <w:tab/>
      </w:r>
      <w:r w:rsidRPr="00467F4B">
        <w:rPr>
          <w:rFonts w:ascii="Palatino Linotype" w:hAnsi="Palatino Linotype"/>
          <w:b w:val="0"/>
          <w:szCs w:val="24"/>
        </w:rPr>
        <w:tab/>
      </w:r>
      <w:r w:rsidRPr="00467F4B">
        <w:rPr>
          <w:rFonts w:ascii="Palatino Linotype" w:hAnsi="Palatino Linotype"/>
          <w:b w:val="0"/>
          <w:szCs w:val="24"/>
        </w:rPr>
        <w:tab/>
      </w:r>
      <w:r w:rsidRPr="00467F4B">
        <w:rPr>
          <w:rFonts w:ascii="Palatino Linotype" w:hAnsi="Palatino Linotype"/>
          <w:b w:val="0"/>
          <w:szCs w:val="24"/>
        </w:rPr>
        <w:tab/>
      </w:r>
      <w:r w:rsidRPr="00467F4B">
        <w:rPr>
          <w:rFonts w:ascii="Palatino Linotype" w:hAnsi="Palatino Linotype"/>
          <w:b w:val="0"/>
          <w:szCs w:val="24"/>
        </w:rPr>
        <w:tab/>
        <w:t xml:space="preserve">                    </w:t>
      </w:r>
      <w:r w:rsidRPr="00467F4B">
        <w:rPr>
          <w:rFonts w:ascii="Palatino Linotype" w:hAnsi="Palatino Linotype"/>
          <w:b w:val="0"/>
          <w:szCs w:val="24"/>
          <w:u w:val="single"/>
        </w:rPr>
        <w:t xml:space="preserve">    ___________________________  </w:t>
      </w:r>
    </w:p>
    <w:p w:rsidRPr="00467F4B" w:rsidR="00932789" w:rsidP="00932789" w:rsidRDefault="00932789" w14:paraId="6DAB80FB" w14:textId="77777777">
      <w:pPr>
        <w:pStyle w:val="Title"/>
        <w:jc w:val="left"/>
        <w:rPr>
          <w:rFonts w:ascii="Palatino Linotype" w:hAnsi="Palatino Linotype"/>
          <w:b w:val="0"/>
          <w:szCs w:val="24"/>
        </w:rPr>
      </w:pPr>
      <w:r w:rsidRPr="00467F4B">
        <w:rPr>
          <w:rFonts w:ascii="Palatino Linotype" w:hAnsi="Palatino Linotype"/>
          <w:b w:val="0"/>
          <w:szCs w:val="24"/>
        </w:rPr>
        <w:tab/>
      </w:r>
      <w:r w:rsidRPr="00467F4B">
        <w:rPr>
          <w:rFonts w:ascii="Palatino Linotype" w:hAnsi="Palatino Linotype"/>
          <w:b w:val="0"/>
          <w:szCs w:val="24"/>
        </w:rPr>
        <w:tab/>
      </w:r>
      <w:r w:rsidRPr="00467F4B">
        <w:rPr>
          <w:rFonts w:ascii="Palatino Linotype" w:hAnsi="Palatino Linotype"/>
          <w:b w:val="0"/>
          <w:szCs w:val="24"/>
        </w:rPr>
        <w:tab/>
      </w:r>
      <w:r w:rsidRPr="00467F4B">
        <w:rPr>
          <w:rFonts w:ascii="Palatino Linotype" w:hAnsi="Palatino Linotype"/>
          <w:b w:val="0"/>
          <w:szCs w:val="24"/>
        </w:rPr>
        <w:tab/>
      </w:r>
      <w:r w:rsidRPr="00467F4B">
        <w:rPr>
          <w:rFonts w:ascii="Palatino Linotype" w:hAnsi="Palatino Linotype"/>
          <w:b w:val="0"/>
          <w:szCs w:val="24"/>
        </w:rPr>
        <w:tab/>
      </w:r>
      <w:r w:rsidRPr="00467F4B">
        <w:rPr>
          <w:rFonts w:ascii="Palatino Linotype" w:hAnsi="Palatino Linotype"/>
          <w:b w:val="0"/>
          <w:szCs w:val="24"/>
        </w:rPr>
        <w:tab/>
      </w:r>
      <w:r w:rsidRPr="00467F4B">
        <w:rPr>
          <w:rFonts w:ascii="Palatino Linotype" w:hAnsi="Palatino Linotype"/>
          <w:b w:val="0"/>
          <w:szCs w:val="24"/>
        </w:rPr>
        <w:tab/>
      </w:r>
      <w:r w:rsidRPr="00467F4B">
        <w:rPr>
          <w:rFonts w:ascii="Palatino Linotype" w:hAnsi="Palatino Linotype"/>
          <w:b w:val="0"/>
          <w:szCs w:val="24"/>
        </w:rPr>
        <w:tab/>
        <w:t xml:space="preserve">          </w:t>
      </w:r>
      <w:r>
        <w:rPr>
          <w:rFonts w:ascii="Palatino Linotype" w:hAnsi="Palatino Linotype"/>
          <w:b w:val="0"/>
          <w:szCs w:val="24"/>
        </w:rPr>
        <w:t>Rachel Peterson</w:t>
      </w:r>
    </w:p>
    <w:p w:rsidRPr="00467F4B" w:rsidR="00932789" w:rsidP="00932789" w:rsidRDefault="00932789" w14:paraId="677FFEF7" w14:textId="77777777">
      <w:pPr>
        <w:pStyle w:val="Title"/>
        <w:jc w:val="left"/>
        <w:rPr>
          <w:rFonts w:ascii="Palatino Linotype" w:hAnsi="Palatino Linotype"/>
          <w:b w:val="0"/>
          <w:szCs w:val="24"/>
        </w:rPr>
      </w:pPr>
      <w:r w:rsidRPr="00467F4B">
        <w:rPr>
          <w:rFonts w:ascii="Palatino Linotype" w:hAnsi="Palatino Linotype"/>
          <w:b w:val="0"/>
          <w:szCs w:val="24"/>
        </w:rPr>
        <w:tab/>
      </w:r>
      <w:r w:rsidRPr="00467F4B">
        <w:rPr>
          <w:rFonts w:ascii="Palatino Linotype" w:hAnsi="Palatino Linotype"/>
          <w:b w:val="0"/>
          <w:szCs w:val="24"/>
        </w:rPr>
        <w:tab/>
      </w:r>
      <w:r w:rsidRPr="00467F4B">
        <w:rPr>
          <w:rFonts w:ascii="Palatino Linotype" w:hAnsi="Palatino Linotype"/>
          <w:b w:val="0"/>
          <w:szCs w:val="24"/>
        </w:rPr>
        <w:tab/>
      </w:r>
      <w:r w:rsidRPr="00467F4B">
        <w:rPr>
          <w:rFonts w:ascii="Palatino Linotype" w:hAnsi="Palatino Linotype"/>
          <w:b w:val="0"/>
          <w:szCs w:val="24"/>
        </w:rPr>
        <w:tab/>
      </w:r>
      <w:r w:rsidRPr="00467F4B">
        <w:rPr>
          <w:rFonts w:ascii="Palatino Linotype" w:hAnsi="Palatino Linotype"/>
          <w:b w:val="0"/>
          <w:szCs w:val="24"/>
        </w:rPr>
        <w:tab/>
      </w:r>
      <w:r w:rsidRPr="00467F4B">
        <w:rPr>
          <w:rFonts w:ascii="Palatino Linotype" w:hAnsi="Palatino Linotype"/>
          <w:b w:val="0"/>
          <w:szCs w:val="24"/>
        </w:rPr>
        <w:tab/>
      </w:r>
      <w:r w:rsidRPr="00467F4B">
        <w:rPr>
          <w:rFonts w:ascii="Palatino Linotype" w:hAnsi="Palatino Linotype"/>
          <w:b w:val="0"/>
          <w:szCs w:val="24"/>
        </w:rPr>
        <w:tab/>
      </w:r>
      <w:r w:rsidRPr="00467F4B">
        <w:rPr>
          <w:rFonts w:ascii="Palatino Linotype" w:hAnsi="Palatino Linotype"/>
          <w:b w:val="0"/>
          <w:szCs w:val="24"/>
        </w:rPr>
        <w:tab/>
        <w:t xml:space="preserve">       Executive Director</w:t>
      </w:r>
    </w:p>
    <w:p w:rsidRPr="00467F4B" w:rsidR="00BC25D3" w:rsidP="00D35B31" w:rsidRDefault="00BC25D3" w14:paraId="4027319B" w14:textId="111D47EE">
      <w:pPr>
        <w:pStyle w:val="Title"/>
        <w:jc w:val="left"/>
        <w:rPr>
          <w:rFonts w:ascii="Palatino Linotype" w:hAnsi="Palatino Linotype"/>
          <w:b w:val="0"/>
          <w:szCs w:val="24"/>
        </w:rPr>
      </w:pPr>
    </w:p>
    <w:p w:rsidRPr="00467F4B" w:rsidR="007A500F" w:rsidP="00D35B31" w:rsidRDefault="007A500F" w14:paraId="2039C4AA" w14:textId="77777777">
      <w:pPr>
        <w:rPr>
          <w:rFonts w:ascii="Palatino Linotype" w:hAnsi="Palatino Linotype"/>
          <w:b/>
        </w:rPr>
      </w:pPr>
    </w:p>
    <w:p w:rsidRPr="00467F4B" w:rsidR="0014253E" w:rsidP="00D35B31" w:rsidRDefault="0014253E" w14:paraId="674BFB4E" w14:textId="77777777">
      <w:pPr>
        <w:rPr>
          <w:rFonts w:ascii="Palatino Linotype" w:hAnsi="Palatino Linotype"/>
          <w:b/>
          <w:u w:val="single"/>
        </w:rPr>
      </w:pPr>
    </w:p>
    <w:p w:rsidRPr="00467F4B" w:rsidR="006E1CF8" w:rsidP="00D35B31" w:rsidRDefault="006E1CF8" w14:paraId="1C4ADB28" w14:textId="77777777">
      <w:pPr>
        <w:rPr>
          <w:rFonts w:ascii="Palatino Linotype" w:hAnsi="Palatino Linotype"/>
          <w:b/>
          <w:u w:val="single"/>
        </w:rPr>
      </w:pPr>
    </w:p>
    <w:p w:rsidRPr="00467F4B" w:rsidR="006E1CF8" w:rsidP="00D35B31" w:rsidRDefault="006E1CF8" w14:paraId="1AFFEA21" w14:textId="77777777">
      <w:pPr>
        <w:rPr>
          <w:rFonts w:ascii="Palatino Linotype" w:hAnsi="Palatino Linotype"/>
          <w:b/>
          <w:u w:val="single"/>
        </w:rPr>
      </w:pPr>
    </w:p>
    <w:p w:rsidRPr="00467F4B" w:rsidR="006E1CF8" w:rsidP="00D35B31" w:rsidRDefault="006E1CF8" w14:paraId="48124DC4" w14:textId="77777777">
      <w:pPr>
        <w:rPr>
          <w:rFonts w:ascii="Palatino Linotype" w:hAnsi="Palatino Linotype"/>
          <w:b/>
          <w:u w:val="single"/>
        </w:rPr>
      </w:pPr>
    </w:p>
    <w:p w:rsidRPr="00467F4B" w:rsidR="006E1CF8" w:rsidP="00D35B31" w:rsidRDefault="006E1CF8" w14:paraId="477D7F6A" w14:textId="77777777">
      <w:pPr>
        <w:rPr>
          <w:rFonts w:ascii="Palatino Linotype" w:hAnsi="Palatino Linotype"/>
          <w:b/>
          <w:u w:val="single"/>
        </w:rPr>
      </w:pPr>
    </w:p>
    <w:p w:rsidRPr="00467F4B" w:rsidR="006E1CF8" w:rsidP="00D35B31" w:rsidRDefault="006E1CF8" w14:paraId="3FFDCAA5" w14:textId="77777777">
      <w:pPr>
        <w:rPr>
          <w:rFonts w:ascii="Palatino Linotype" w:hAnsi="Palatino Linotype"/>
          <w:b/>
          <w:u w:val="single"/>
        </w:rPr>
      </w:pPr>
    </w:p>
    <w:p w:rsidR="0070295A" w:rsidP="005D6A08" w:rsidRDefault="0070295A" w14:paraId="1F5B92D8" w14:textId="77777777">
      <w:pPr>
        <w:jc w:val="center"/>
        <w:rPr>
          <w:rFonts w:ascii="Palatino Linotype" w:hAnsi="Palatino Linotype"/>
          <w:b/>
          <w:u w:val="single"/>
        </w:rPr>
        <w:sectPr w:rsidR="0070295A" w:rsidSect="00AC35F6">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titlePg/>
          <w:docGrid w:linePitch="326"/>
        </w:sectPr>
      </w:pPr>
    </w:p>
    <w:p w:rsidRPr="006F7F6C" w:rsidR="005D6A08" w:rsidP="006F7F6C" w:rsidRDefault="005D6A08" w14:paraId="4B6C6BBA" w14:textId="178DF189">
      <w:pPr>
        <w:jc w:val="center"/>
        <w:rPr>
          <w:rFonts w:ascii="Palatino Linotype" w:hAnsi="Palatino Linotype"/>
          <w:b/>
          <w:u w:val="single"/>
        </w:rPr>
      </w:pPr>
      <w:r w:rsidRPr="006F7F6C">
        <w:rPr>
          <w:rFonts w:ascii="Palatino Linotype" w:hAnsi="Palatino Linotype"/>
          <w:b/>
          <w:u w:val="single"/>
        </w:rPr>
        <w:lastRenderedPageBreak/>
        <w:t>ATTACHMENT A</w:t>
      </w:r>
    </w:p>
    <w:p w:rsidR="00FA7B41" w:rsidP="006F7F6C" w:rsidRDefault="00FA7B41" w14:paraId="05B9F082" w14:textId="77777777">
      <w:pPr>
        <w:rPr>
          <w:rFonts w:ascii="Palatino Linotype" w:hAnsi="Palatino Linotype"/>
          <w:u w:val="single"/>
          <w:lang w:val="en"/>
        </w:rPr>
      </w:pPr>
    </w:p>
    <w:p w:rsidRPr="006F7F6C" w:rsidR="006F7F6C" w:rsidP="006F7F6C" w:rsidRDefault="006F7F6C" w14:paraId="66F669E1" w14:textId="21278F87">
      <w:pPr>
        <w:rPr>
          <w:rFonts w:ascii="Palatino Linotype" w:hAnsi="Palatino Linotype"/>
          <w:b/>
          <w:u w:val="single"/>
          <w:lang w:val="en"/>
        </w:rPr>
      </w:pPr>
      <w:r w:rsidRPr="006F7F6C">
        <w:rPr>
          <w:rFonts w:ascii="Palatino Linotype" w:hAnsi="Palatino Linotype"/>
          <w:u w:val="single"/>
          <w:lang w:val="en"/>
        </w:rPr>
        <w:t>Public Purpose Program Surcharges</w:t>
      </w:r>
    </w:p>
    <w:p w:rsidRPr="006F7F6C" w:rsidR="006F7F6C" w:rsidP="006F7F6C" w:rsidRDefault="006F7F6C" w14:paraId="1648DA9F" w14:textId="77777777">
      <w:pPr>
        <w:pStyle w:val="Title"/>
        <w:ind w:left="720" w:right="90"/>
        <w:jc w:val="left"/>
        <w:rPr>
          <w:rFonts w:ascii="Palatino Linotype" w:hAnsi="Palatino Linotype"/>
          <w:szCs w:val="24"/>
          <w:u w:val="single"/>
          <w:lang w:val="en"/>
        </w:rPr>
      </w:pPr>
    </w:p>
    <w:p w:rsidRPr="006F7F6C" w:rsidR="006F7F6C" w:rsidP="006F7F6C" w:rsidRDefault="006F7F6C" w14:paraId="03F7BF3C" w14:textId="4647D2EC">
      <w:pPr>
        <w:pStyle w:val="Title"/>
        <w:ind w:right="90"/>
        <w:jc w:val="left"/>
        <w:rPr>
          <w:rFonts w:ascii="Palatino Linotype" w:hAnsi="Palatino Linotype"/>
          <w:b w:val="0"/>
          <w:szCs w:val="24"/>
          <w:lang w:val="en"/>
        </w:rPr>
      </w:pPr>
      <w:r w:rsidRPr="006F7F6C">
        <w:rPr>
          <w:rFonts w:ascii="Palatino Linotype" w:hAnsi="Palatino Linotype"/>
          <w:b w:val="0"/>
          <w:szCs w:val="24"/>
          <w:lang w:val="en"/>
        </w:rPr>
        <w:t>The Public Purpose Program surcharges are assessed on revenues collected from end-use intrastate telecommunications services</w:t>
      </w:r>
      <w:r>
        <w:rPr>
          <w:rFonts w:ascii="Palatino Linotype" w:hAnsi="Palatino Linotype"/>
          <w:b w:val="0"/>
          <w:szCs w:val="24"/>
          <w:lang w:val="en"/>
        </w:rPr>
        <w:t>.</w:t>
      </w:r>
      <w:r w:rsidRPr="006F7F6C">
        <w:rPr>
          <w:rStyle w:val="FootnoteReference"/>
          <w:rFonts w:ascii="Palatino Linotype" w:hAnsi="Palatino Linotype"/>
          <w:b w:val="0"/>
          <w:szCs w:val="24"/>
          <w:lang w:val="en"/>
        </w:rPr>
        <w:footnoteReference w:id="17"/>
      </w:r>
      <w:r w:rsidRPr="006F7F6C">
        <w:rPr>
          <w:rFonts w:ascii="Palatino Linotype" w:hAnsi="Palatino Linotype"/>
          <w:b w:val="0"/>
          <w:szCs w:val="24"/>
          <w:lang w:val="en"/>
        </w:rPr>
        <w:t xml:space="preserve">  Carriers</w:t>
      </w:r>
      <w:r w:rsidR="00FD402E">
        <w:rPr>
          <w:rFonts w:ascii="Palatino Linotype" w:hAnsi="Palatino Linotype"/>
          <w:b w:val="0"/>
          <w:szCs w:val="24"/>
          <w:lang w:val="en"/>
        </w:rPr>
        <w:t>’</w:t>
      </w:r>
      <w:r w:rsidRPr="006F7F6C">
        <w:rPr>
          <w:rFonts w:ascii="Palatino Linotype" w:hAnsi="Palatino Linotype"/>
          <w:b w:val="0"/>
          <w:szCs w:val="24"/>
          <w:lang w:val="en"/>
        </w:rPr>
        <w:t xml:space="preserve"> report and remit the PPP surcharges revenues and user fees through the Commission’s proprietary Telecommunications User Fee Filing System (TUFFS).  The surcharges collected fund the six universal service funds administered by the Commission, set forth in Public Utilities Code Sections 275 through 281</w:t>
      </w:r>
      <w:r w:rsidR="00FF67CD">
        <w:rPr>
          <w:rFonts w:ascii="Palatino Linotype" w:hAnsi="Palatino Linotype"/>
          <w:b w:val="0"/>
          <w:szCs w:val="24"/>
          <w:lang w:val="en"/>
        </w:rPr>
        <w:t xml:space="preserve"> and 2881</w:t>
      </w:r>
      <w:r w:rsidRPr="006F7F6C">
        <w:rPr>
          <w:rFonts w:ascii="Palatino Linotype" w:hAnsi="Palatino Linotype"/>
          <w:b w:val="0"/>
          <w:szCs w:val="24"/>
          <w:lang w:val="en"/>
        </w:rPr>
        <w:t>. They are as follows:</w:t>
      </w:r>
    </w:p>
    <w:p w:rsidRPr="006F7F6C" w:rsidR="006F7F6C" w:rsidP="006F7F6C" w:rsidRDefault="006F7F6C" w14:paraId="5270207C" w14:textId="77777777">
      <w:pPr>
        <w:pStyle w:val="Title"/>
        <w:ind w:left="720" w:right="90"/>
        <w:jc w:val="left"/>
        <w:rPr>
          <w:rFonts w:ascii="Palatino Linotype" w:hAnsi="Palatino Linotype"/>
          <w:b w:val="0"/>
          <w:szCs w:val="24"/>
          <w:lang w:val="en"/>
        </w:rPr>
      </w:pPr>
    </w:p>
    <w:p w:rsidRPr="006F7F6C" w:rsidR="006F7F6C" w:rsidP="006F7F6C" w:rsidRDefault="006F7F6C" w14:paraId="329B1E06" w14:textId="77777777">
      <w:pPr>
        <w:pStyle w:val="Default"/>
        <w:numPr>
          <w:ilvl w:val="0"/>
          <w:numId w:val="50"/>
        </w:numPr>
        <w:ind w:left="1080"/>
        <w:rPr>
          <w:rFonts w:ascii="Palatino Linotype" w:hAnsi="Palatino Linotype" w:cs="Times New Roman"/>
          <w:color w:val="auto"/>
        </w:rPr>
      </w:pPr>
      <w:r w:rsidRPr="006F7F6C">
        <w:rPr>
          <w:rFonts w:ascii="Palatino Linotype" w:hAnsi="Palatino Linotype" w:cs="Times New Roman"/>
          <w:b/>
          <w:bCs/>
          <w:color w:val="auto"/>
        </w:rPr>
        <w:t xml:space="preserve">Universal Lifeline Telephone Service (ULTS): </w:t>
      </w:r>
      <w:r w:rsidRPr="006F7F6C">
        <w:rPr>
          <w:rFonts w:ascii="Palatino Linotype" w:hAnsi="Palatino Linotype" w:cs="Times New Roman"/>
          <w:color w:val="auto"/>
        </w:rPr>
        <w:t xml:space="preserve">provides discounted home phone and cellular phone services to qualifying low-income households. </w:t>
      </w:r>
    </w:p>
    <w:p w:rsidRPr="006F7F6C" w:rsidR="006F7F6C" w:rsidP="006F7F6C" w:rsidRDefault="006F7F6C" w14:paraId="03DB9204" w14:textId="77777777">
      <w:pPr>
        <w:pStyle w:val="Default"/>
        <w:numPr>
          <w:ilvl w:val="0"/>
          <w:numId w:val="50"/>
        </w:numPr>
        <w:ind w:left="1080"/>
        <w:rPr>
          <w:rFonts w:ascii="Palatino Linotype" w:hAnsi="Palatino Linotype" w:cs="Times New Roman"/>
          <w:color w:val="auto"/>
        </w:rPr>
      </w:pPr>
      <w:r w:rsidRPr="006F7F6C">
        <w:rPr>
          <w:rFonts w:ascii="Palatino Linotype" w:hAnsi="Palatino Linotype" w:cs="Times New Roman"/>
          <w:b/>
          <w:bCs/>
          <w:color w:val="auto"/>
        </w:rPr>
        <w:t xml:space="preserve">Deaf and Disabled Telecommunications Program (DDTP): </w:t>
      </w:r>
      <w:r w:rsidRPr="006F7F6C">
        <w:rPr>
          <w:rFonts w:ascii="Palatino Linotype" w:hAnsi="Palatino Linotype" w:cs="Times New Roman"/>
          <w:color w:val="auto"/>
        </w:rPr>
        <w:t xml:space="preserve">provides telecommunications devices to deaf or hearing-impaired consumers. </w:t>
      </w:r>
    </w:p>
    <w:p w:rsidRPr="006F7F6C" w:rsidR="006F7F6C" w:rsidP="006F7F6C" w:rsidRDefault="006F7F6C" w14:paraId="197D6205" w14:textId="77777777">
      <w:pPr>
        <w:pStyle w:val="Default"/>
        <w:numPr>
          <w:ilvl w:val="0"/>
          <w:numId w:val="50"/>
        </w:numPr>
        <w:ind w:left="1080"/>
        <w:rPr>
          <w:rFonts w:ascii="Palatino Linotype" w:hAnsi="Palatino Linotype" w:cs="Times New Roman"/>
          <w:color w:val="auto"/>
        </w:rPr>
      </w:pPr>
      <w:r w:rsidRPr="006F7F6C">
        <w:rPr>
          <w:rFonts w:ascii="Palatino Linotype" w:hAnsi="Palatino Linotype" w:cs="Times New Roman"/>
          <w:b/>
          <w:bCs/>
          <w:color w:val="auto"/>
        </w:rPr>
        <w:t xml:space="preserve">California High Cost Fund-A (CHCF-A): </w:t>
      </w:r>
      <w:r w:rsidRPr="006F7F6C">
        <w:rPr>
          <w:rFonts w:ascii="Palatino Linotype" w:hAnsi="Palatino Linotype" w:cs="Times New Roman"/>
          <w:color w:val="auto"/>
        </w:rPr>
        <w:t>provides subsidy to small local exchange carriers for providing telephone service to residential customers in rural high-cost areas.</w:t>
      </w:r>
    </w:p>
    <w:p w:rsidRPr="006F7F6C" w:rsidR="006F7F6C" w:rsidP="006F7F6C" w:rsidRDefault="006F7F6C" w14:paraId="7A2626FD" w14:textId="77777777">
      <w:pPr>
        <w:pStyle w:val="Default"/>
        <w:numPr>
          <w:ilvl w:val="0"/>
          <w:numId w:val="50"/>
        </w:numPr>
        <w:ind w:left="1080"/>
        <w:rPr>
          <w:rFonts w:ascii="Palatino Linotype" w:hAnsi="Palatino Linotype" w:cs="Times New Roman"/>
          <w:color w:val="auto"/>
        </w:rPr>
      </w:pPr>
      <w:r w:rsidRPr="006F7F6C">
        <w:rPr>
          <w:rFonts w:ascii="Palatino Linotype" w:hAnsi="Palatino Linotype" w:cs="Times New Roman"/>
          <w:b/>
          <w:bCs/>
          <w:color w:val="auto"/>
        </w:rPr>
        <w:t xml:space="preserve">California High Cost Fund-B (CHCF-B): </w:t>
      </w:r>
      <w:r w:rsidRPr="006F7F6C">
        <w:rPr>
          <w:rFonts w:ascii="Palatino Linotype" w:hAnsi="Palatino Linotype" w:cs="Times New Roman"/>
          <w:color w:val="auto"/>
        </w:rPr>
        <w:t xml:space="preserve">provides subsidy to carriers of last resort for providing telephone service to residential customers in rural high-cost areas. </w:t>
      </w:r>
    </w:p>
    <w:p w:rsidRPr="006F7F6C" w:rsidR="006F7F6C" w:rsidP="006F7F6C" w:rsidRDefault="006F7F6C" w14:paraId="24B2BB90" w14:textId="77777777">
      <w:pPr>
        <w:pStyle w:val="Default"/>
        <w:numPr>
          <w:ilvl w:val="0"/>
          <w:numId w:val="50"/>
        </w:numPr>
        <w:ind w:left="1080"/>
        <w:rPr>
          <w:rFonts w:ascii="Palatino Linotype" w:hAnsi="Palatino Linotype" w:cs="Times New Roman"/>
          <w:color w:val="auto"/>
        </w:rPr>
      </w:pPr>
      <w:r w:rsidRPr="006F7F6C">
        <w:rPr>
          <w:rFonts w:ascii="Palatino Linotype" w:hAnsi="Palatino Linotype" w:cs="Times New Roman"/>
          <w:b/>
          <w:bCs/>
          <w:color w:val="auto"/>
        </w:rPr>
        <w:t xml:space="preserve">California Teleconnect Fund (CTF): </w:t>
      </w:r>
      <w:r w:rsidRPr="006F7F6C">
        <w:rPr>
          <w:rFonts w:ascii="Palatino Linotype" w:hAnsi="Palatino Linotype" w:cs="Times New Roman"/>
          <w:color w:val="auto"/>
        </w:rPr>
        <w:t xml:space="preserve">provides a discount on select communications services to schools, libraries, hospitals, and other non-profit organizations. </w:t>
      </w:r>
    </w:p>
    <w:p w:rsidRPr="006F7F6C" w:rsidR="006F7F6C" w:rsidP="006F7F6C" w:rsidRDefault="006F7F6C" w14:paraId="77D23C54" w14:textId="77777777">
      <w:pPr>
        <w:pStyle w:val="Title"/>
        <w:numPr>
          <w:ilvl w:val="0"/>
          <w:numId w:val="50"/>
        </w:numPr>
        <w:ind w:left="1080" w:right="90"/>
        <w:jc w:val="left"/>
        <w:rPr>
          <w:rFonts w:ascii="Palatino Linotype" w:hAnsi="Palatino Linotype"/>
          <w:szCs w:val="24"/>
        </w:rPr>
      </w:pPr>
      <w:r w:rsidRPr="006F7F6C">
        <w:rPr>
          <w:rFonts w:ascii="Palatino Linotype" w:hAnsi="Palatino Linotype"/>
          <w:bCs/>
          <w:szCs w:val="24"/>
        </w:rPr>
        <w:t>California Advanced Services Fund (CASF)</w:t>
      </w:r>
      <w:r w:rsidRPr="006F7F6C">
        <w:rPr>
          <w:rFonts w:ascii="Palatino Linotype" w:hAnsi="Palatino Linotype"/>
          <w:b w:val="0"/>
          <w:bCs/>
          <w:szCs w:val="24"/>
        </w:rPr>
        <w:t xml:space="preserve">: </w:t>
      </w:r>
      <w:r w:rsidRPr="006F7F6C">
        <w:rPr>
          <w:rFonts w:ascii="Palatino Linotype" w:hAnsi="Palatino Linotype"/>
          <w:b w:val="0"/>
          <w:szCs w:val="24"/>
        </w:rPr>
        <w:t>supports the deployment of broadband facilities and broadband services adoption in unserved and underserved areas through project specific grant funding.</w:t>
      </w:r>
    </w:p>
    <w:p w:rsidRPr="006F7F6C" w:rsidR="006F7F6C" w:rsidP="006F7F6C" w:rsidRDefault="006F7F6C" w14:paraId="57616B7C" w14:textId="77777777">
      <w:pPr>
        <w:pStyle w:val="Title"/>
        <w:ind w:left="1080" w:right="90"/>
        <w:jc w:val="left"/>
        <w:rPr>
          <w:rFonts w:ascii="Palatino Linotype" w:hAnsi="Palatino Linotype"/>
          <w:szCs w:val="24"/>
        </w:rPr>
      </w:pPr>
    </w:p>
    <w:p w:rsidRPr="006F7F6C" w:rsidR="006F7F6C" w:rsidP="006F7F6C" w:rsidRDefault="006F7F6C" w14:paraId="4F654F62" w14:textId="77777777">
      <w:pPr>
        <w:pStyle w:val="Title"/>
        <w:ind w:right="90"/>
        <w:jc w:val="left"/>
        <w:rPr>
          <w:rFonts w:ascii="Palatino Linotype" w:hAnsi="Palatino Linotype"/>
          <w:b w:val="0"/>
          <w:szCs w:val="24"/>
          <w:lang w:val="en"/>
        </w:rPr>
      </w:pPr>
      <w:r w:rsidRPr="006F7F6C">
        <w:rPr>
          <w:rFonts w:ascii="Palatino Linotype" w:hAnsi="Palatino Linotype"/>
          <w:b w:val="0"/>
          <w:szCs w:val="24"/>
          <w:lang w:val="en"/>
        </w:rPr>
        <w:t>The surcharge rates vary for each program discussed above and are adjusted periodically based on forecasted budget.  The following table reflects the effective surcharge rates from January 1, 2013 through September 30, 2015.  The adjustments made for each rate are highlighted for reference.</w:t>
      </w:r>
    </w:p>
    <w:p w:rsidR="006F7F6C" w:rsidP="006F7F6C" w:rsidRDefault="006F7F6C" w14:paraId="7CA34C8C" w14:textId="10853D21">
      <w:pPr>
        <w:rPr>
          <w:rFonts w:ascii="Palatino Linotype" w:hAnsi="Palatino Linotype"/>
          <w:b/>
          <w:lang w:val="en"/>
        </w:rPr>
      </w:pPr>
      <w:r w:rsidRPr="006F7F6C">
        <w:rPr>
          <w:rFonts w:ascii="Palatino Linotype" w:hAnsi="Palatino Linotype"/>
          <w:b/>
          <w:lang w:val="en"/>
        </w:rPr>
        <w:br w:type="page"/>
      </w:r>
    </w:p>
    <w:p w:rsidRPr="006F7F6C" w:rsidR="00FA7B41" w:rsidP="006F7F6C" w:rsidRDefault="00FA7B41" w14:paraId="6286D0EF" w14:textId="3B62DD24">
      <w:pPr>
        <w:rPr>
          <w:rFonts w:ascii="Palatino Linotype" w:hAnsi="Palatino Linotype"/>
          <w:lang w:val="en"/>
        </w:rPr>
      </w:pPr>
      <w:r>
        <w:rPr>
          <w:rFonts w:ascii="Palatino Linotype" w:hAnsi="Palatino Linotype"/>
          <w:b/>
          <w:lang w:val="en"/>
        </w:rPr>
        <w:lastRenderedPageBreak/>
        <w:t>Table A-1: Public Purpose Program Surcharge Rates</w:t>
      </w:r>
    </w:p>
    <w:tbl>
      <w:tblPr>
        <w:tblStyle w:val="TableGrid"/>
        <w:tblW w:w="9272" w:type="dxa"/>
        <w:jc w:val="center"/>
        <w:tblLook w:val="04A0" w:firstRow="1" w:lastRow="0" w:firstColumn="1" w:lastColumn="0" w:noHBand="0" w:noVBand="1"/>
      </w:tblPr>
      <w:tblGrid>
        <w:gridCol w:w="1874"/>
        <w:gridCol w:w="1170"/>
        <w:gridCol w:w="1170"/>
        <w:gridCol w:w="1373"/>
        <w:gridCol w:w="1345"/>
        <w:gridCol w:w="1170"/>
        <w:gridCol w:w="1170"/>
      </w:tblGrid>
      <w:tr w:rsidRPr="006F7F6C" w:rsidR="006F7F6C" w:rsidTr="006F7F6C" w14:paraId="0BA2B1F7" w14:textId="77777777">
        <w:trPr>
          <w:jc w:val="center"/>
        </w:trPr>
        <w:tc>
          <w:tcPr>
            <w:tcW w:w="1874" w:type="dxa"/>
          </w:tcPr>
          <w:p w:rsidRPr="006F7F6C" w:rsidR="006F7F6C" w:rsidP="0098554E" w:rsidRDefault="006F7F6C" w14:paraId="1FBC90EB" w14:textId="77777777">
            <w:pPr>
              <w:pStyle w:val="Title"/>
              <w:ind w:right="90"/>
              <w:rPr>
                <w:rFonts w:ascii="Palatino Linotype" w:hAnsi="Palatino Linotype"/>
                <w:szCs w:val="24"/>
                <w:u w:val="single"/>
              </w:rPr>
            </w:pPr>
            <w:r w:rsidRPr="006F7F6C">
              <w:rPr>
                <w:rFonts w:ascii="Palatino Linotype" w:hAnsi="Palatino Linotype"/>
                <w:bCs/>
                <w:szCs w:val="24"/>
              </w:rPr>
              <w:t>Effective Date</w:t>
            </w:r>
          </w:p>
        </w:tc>
        <w:tc>
          <w:tcPr>
            <w:tcW w:w="1170" w:type="dxa"/>
          </w:tcPr>
          <w:p w:rsidRPr="006F7F6C" w:rsidR="006F7F6C" w:rsidP="0098554E" w:rsidRDefault="006F7F6C" w14:paraId="20105D2B" w14:textId="77777777">
            <w:pPr>
              <w:pStyle w:val="Title"/>
              <w:ind w:right="90"/>
              <w:rPr>
                <w:rFonts w:ascii="Palatino Linotype" w:hAnsi="Palatino Linotype"/>
                <w:szCs w:val="24"/>
                <w:u w:val="single"/>
              </w:rPr>
            </w:pPr>
            <w:r w:rsidRPr="006F7F6C">
              <w:rPr>
                <w:rFonts w:ascii="Palatino Linotype" w:hAnsi="Palatino Linotype"/>
                <w:bCs/>
                <w:szCs w:val="24"/>
              </w:rPr>
              <w:t>ULTS</w:t>
            </w:r>
          </w:p>
        </w:tc>
        <w:tc>
          <w:tcPr>
            <w:tcW w:w="1170" w:type="dxa"/>
          </w:tcPr>
          <w:p w:rsidRPr="006F7F6C" w:rsidR="006F7F6C" w:rsidP="0098554E" w:rsidRDefault="006F7F6C" w14:paraId="2ED2ED46" w14:textId="77777777">
            <w:pPr>
              <w:pStyle w:val="Title"/>
              <w:ind w:right="90"/>
              <w:rPr>
                <w:rFonts w:ascii="Palatino Linotype" w:hAnsi="Palatino Linotype"/>
                <w:szCs w:val="24"/>
                <w:u w:val="single"/>
              </w:rPr>
            </w:pPr>
            <w:r w:rsidRPr="006F7F6C">
              <w:rPr>
                <w:rFonts w:ascii="Palatino Linotype" w:hAnsi="Palatino Linotype"/>
                <w:bCs/>
                <w:szCs w:val="24"/>
              </w:rPr>
              <w:t>DDTP</w:t>
            </w:r>
          </w:p>
        </w:tc>
        <w:tc>
          <w:tcPr>
            <w:tcW w:w="1373" w:type="dxa"/>
          </w:tcPr>
          <w:p w:rsidRPr="006F7F6C" w:rsidR="006F7F6C" w:rsidP="0098554E" w:rsidRDefault="006F7F6C" w14:paraId="6CE5682D" w14:textId="77777777">
            <w:pPr>
              <w:pStyle w:val="Title"/>
              <w:ind w:right="90"/>
              <w:rPr>
                <w:rFonts w:ascii="Palatino Linotype" w:hAnsi="Palatino Linotype"/>
                <w:szCs w:val="24"/>
                <w:u w:val="single"/>
              </w:rPr>
            </w:pPr>
            <w:r w:rsidRPr="006F7F6C">
              <w:rPr>
                <w:rFonts w:ascii="Palatino Linotype" w:hAnsi="Palatino Linotype"/>
                <w:bCs/>
                <w:szCs w:val="24"/>
              </w:rPr>
              <w:t>CHCF-A</w:t>
            </w:r>
          </w:p>
        </w:tc>
        <w:tc>
          <w:tcPr>
            <w:tcW w:w="1345" w:type="dxa"/>
          </w:tcPr>
          <w:p w:rsidRPr="006F7F6C" w:rsidR="006F7F6C" w:rsidP="0098554E" w:rsidRDefault="006F7F6C" w14:paraId="37DA66B5" w14:textId="77777777">
            <w:pPr>
              <w:pStyle w:val="Title"/>
              <w:ind w:right="90"/>
              <w:rPr>
                <w:rFonts w:ascii="Palatino Linotype" w:hAnsi="Palatino Linotype"/>
                <w:szCs w:val="24"/>
                <w:u w:val="single"/>
              </w:rPr>
            </w:pPr>
            <w:r w:rsidRPr="006F7F6C">
              <w:rPr>
                <w:rFonts w:ascii="Palatino Linotype" w:hAnsi="Palatino Linotype"/>
                <w:bCs/>
                <w:szCs w:val="24"/>
              </w:rPr>
              <w:t>CHCF-B</w:t>
            </w:r>
          </w:p>
        </w:tc>
        <w:tc>
          <w:tcPr>
            <w:tcW w:w="1170" w:type="dxa"/>
          </w:tcPr>
          <w:p w:rsidRPr="006F7F6C" w:rsidR="006F7F6C" w:rsidP="0098554E" w:rsidRDefault="006F7F6C" w14:paraId="50A2F802" w14:textId="77777777">
            <w:pPr>
              <w:pStyle w:val="Title"/>
              <w:ind w:right="90"/>
              <w:rPr>
                <w:rFonts w:ascii="Palatino Linotype" w:hAnsi="Palatino Linotype"/>
                <w:szCs w:val="24"/>
                <w:u w:val="single"/>
              </w:rPr>
            </w:pPr>
            <w:r w:rsidRPr="006F7F6C">
              <w:rPr>
                <w:rFonts w:ascii="Palatino Linotype" w:hAnsi="Palatino Linotype"/>
                <w:bCs/>
                <w:szCs w:val="24"/>
              </w:rPr>
              <w:t>CTF</w:t>
            </w:r>
          </w:p>
        </w:tc>
        <w:tc>
          <w:tcPr>
            <w:tcW w:w="1170" w:type="dxa"/>
          </w:tcPr>
          <w:p w:rsidRPr="006F7F6C" w:rsidR="006F7F6C" w:rsidP="0098554E" w:rsidRDefault="006F7F6C" w14:paraId="17113ECB" w14:textId="77777777">
            <w:pPr>
              <w:pStyle w:val="Title"/>
              <w:ind w:right="90"/>
              <w:rPr>
                <w:rFonts w:ascii="Palatino Linotype" w:hAnsi="Palatino Linotype"/>
                <w:szCs w:val="24"/>
                <w:u w:val="single"/>
              </w:rPr>
            </w:pPr>
            <w:r w:rsidRPr="006F7F6C">
              <w:rPr>
                <w:rFonts w:ascii="Palatino Linotype" w:hAnsi="Palatino Linotype"/>
                <w:bCs/>
                <w:szCs w:val="24"/>
              </w:rPr>
              <w:t>CASF</w:t>
            </w:r>
          </w:p>
        </w:tc>
      </w:tr>
      <w:tr w:rsidRPr="006F7F6C" w:rsidR="006F7F6C" w:rsidTr="006F7F6C" w14:paraId="48A4A1E2" w14:textId="77777777">
        <w:trPr>
          <w:trHeight w:val="300"/>
          <w:jc w:val="center"/>
        </w:trPr>
        <w:tc>
          <w:tcPr>
            <w:tcW w:w="1874" w:type="dxa"/>
            <w:noWrap/>
            <w:hideMark/>
          </w:tcPr>
          <w:p w:rsidRPr="006F7F6C" w:rsidR="006F7F6C" w:rsidP="006F7F6C" w:rsidRDefault="006F7F6C" w14:paraId="7B91F764" w14:textId="77777777">
            <w:pPr>
              <w:jc w:val="center"/>
              <w:rPr>
                <w:rFonts w:ascii="Palatino Linotype" w:hAnsi="Palatino Linotype"/>
              </w:rPr>
            </w:pPr>
            <w:r w:rsidRPr="006F7F6C">
              <w:rPr>
                <w:rFonts w:ascii="Palatino Linotype" w:hAnsi="Palatino Linotype"/>
              </w:rPr>
              <w:t>12/01/12</w:t>
            </w:r>
          </w:p>
        </w:tc>
        <w:tc>
          <w:tcPr>
            <w:tcW w:w="1170" w:type="dxa"/>
            <w:noWrap/>
            <w:hideMark/>
          </w:tcPr>
          <w:p w:rsidRPr="006F7F6C" w:rsidR="006F7F6C" w:rsidP="0098554E" w:rsidRDefault="006F7F6C" w14:paraId="29CCAD0B" w14:textId="77777777">
            <w:pPr>
              <w:jc w:val="center"/>
              <w:rPr>
                <w:rFonts w:ascii="Palatino Linotype" w:hAnsi="Palatino Linotype"/>
              </w:rPr>
            </w:pPr>
            <w:r w:rsidRPr="006F7F6C">
              <w:rPr>
                <w:rFonts w:ascii="Palatino Linotype" w:hAnsi="Palatino Linotype"/>
              </w:rPr>
              <w:t>1.150%</w:t>
            </w:r>
          </w:p>
        </w:tc>
        <w:tc>
          <w:tcPr>
            <w:tcW w:w="1170" w:type="dxa"/>
            <w:noWrap/>
            <w:hideMark/>
          </w:tcPr>
          <w:p w:rsidRPr="006F7F6C" w:rsidR="006F7F6C" w:rsidP="0098554E" w:rsidRDefault="006F7F6C" w14:paraId="2C174043" w14:textId="77777777">
            <w:pPr>
              <w:jc w:val="center"/>
              <w:rPr>
                <w:rFonts w:ascii="Palatino Linotype" w:hAnsi="Palatino Linotype"/>
              </w:rPr>
            </w:pPr>
            <w:r w:rsidRPr="006F7F6C">
              <w:rPr>
                <w:rFonts w:ascii="Palatino Linotype" w:hAnsi="Palatino Linotype"/>
              </w:rPr>
              <w:t>0.200%</w:t>
            </w:r>
          </w:p>
        </w:tc>
        <w:tc>
          <w:tcPr>
            <w:tcW w:w="1373" w:type="dxa"/>
            <w:noWrap/>
            <w:hideMark/>
          </w:tcPr>
          <w:p w:rsidRPr="006F7F6C" w:rsidR="006F7F6C" w:rsidP="0098554E" w:rsidRDefault="006F7F6C" w14:paraId="130905D6" w14:textId="77777777">
            <w:pPr>
              <w:jc w:val="center"/>
              <w:rPr>
                <w:rFonts w:ascii="Palatino Linotype" w:hAnsi="Palatino Linotype"/>
              </w:rPr>
            </w:pPr>
            <w:r w:rsidRPr="006F7F6C">
              <w:rPr>
                <w:rFonts w:ascii="Palatino Linotype" w:hAnsi="Palatino Linotype"/>
              </w:rPr>
              <w:t>0.400%</w:t>
            </w:r>
          </w:p>
        </w:tc>
        <w:tc>
          <w:tcPr>
            <w:tcW w:w="1345" w:type="dxa"/>
            <w:noWrap/>
            <w:hideMark/>
          </w:tcPr>
          <w:p w:rsidRPr="006F7F6C" w:rsidR="006F7F6C" w:rsidP="0098554E" w:rsidRDefault="006F7F6C" w14:paraId="5C319EC2" w14:textId="77777777">
            <w:pPr>
              <w:jc w:val="center"/>
              <w:rPr>
                <w:rFonts w:ascii="Palatino Linotype" w:hAnsi="Palatino Linotype"/>
              </w:rPr>
            </w:pPr>
            <w:r w:rsidRPr="006F7F6C">
              <w:rPr>
                <w:rFonts w:ascii="Palatino Linotype" w:hAnsi="Palatino Linotype"/>
              </w:rPr>
              <w:t>0.300%</w:t>
            </w:r>
          </w:p>
        </w:tc>
        <w:tc>
          <w:tcPr>
            <w:tcW w:w="1170" w:type="dxa"/>
            <w:noWrap/>
            <w:hideMark/>
          </w:tcPr>
          <w:p w:rsidRPr="006F7F6C" w:rsidR="006F7F6C" w:rsidP="0098554E" w:rsidRDefault="006F7F6C" w14:paraId="76A46545" w14:textId="77777777">
            <w:pPr>
              <w:jc w:val="center"/>
              <w:rPr>
                <w:rFonts w:ascii="Palatino Linotype" w:hAnsi="Palatino Linotype"/>
              </w:rPr>
            </w:pPr>
            <w:r w:rsidRPr="006F7F6C">
              <w:rPr>
                <w:rFonts w:ascii="Palatino Linotype" w:hAnsi="Palatino Linotype"/>
              </w:rPr>
              <w:t>0.590%</w:t>
            </w:r>
          </w:p>
        </w:tc>
        <w:tc>
          <w:tcPr>
            <w:tcW w:w="1170" w:type="dxa"/>
            <w:shd w:val="clear" w:color="auto" w:fill="D9D9D9" w:themeFill="background1" w:themeFillShade="D9"/>
            <w:noWrap/>
            <w:hideMark/>
          </w:tcPr>
          <w:p w:rsidRPr="006F7F6C" w:rsidR="006F7F6C" w:rsidP="0098554E" w:rsidRDefault="006F7F6C" w14:paraId="1BCDFE61" w14:textId="77777777">
            <w:pPr>
              <w:jc w:val="center"/>
              <w:rPr>
                <w:rFonts w:ascii="Palatino Linotype" w:hAnsi="Palatino Linotype"/>
              </w:rPr>
            </w:pPr>
            <w:r w:rsidRPr="006F7F6C">
              <w:rPr>
                <w:rFonts w:ascii="Palatino Linotype" w:hAnsi="Palatino Linotype"/>
              </w:rPr>
              <w:t>0.140%</w:t>
            </w:r>
          </w:p>
        </w:tc>
      </w:tr>
      <w:tr w:rsidRPr="006F7F6C" w:rsidR="006F7F6C" w:rsidTr="006F7F6C" w14:paraId="65C61051" w14:textId="77777777">
        <w:trPr>
          <w:trHeight w:val="300"/>
          <w:jc w:val="center"/>
        </w:trPr>
        <w:tc>
          <w:tcPr>
            <w:tcW w:w="1874" w:type="dxa"/>
            <w:noWrap/>
            <w:hideMark/>
          </w:tcPr>
          <w:p w:rsidRPr="006F7F6C" w:rsidR="006F7F6C" w:rsidP="006F7F6C" w:rsidRDefault="006F7F6C" w14:paraId="6EE3425A" w14:textId="77777777">
            <w:pPr>
              <w:jc w:val="center"/>
              <w:rPr>
                <w:rFonts w:ascii="Palatino Linotype" w:hAnsi="Palatino Linotype"/>
              </w:rPr>
            </w:pPr>
            <w:r w:rsidRPr="006F7F6C">
              <w:rPr>
                <w:rFonts w:ascii="Palatino Linotype" w:hAnsi="Palatino Linotype"/>
              </w:rPr>
              <w:t>04/01/13</w:t>
            </w:r>
          </w:p>
        </w:tc>
        <w:tc>
          <w:tcPr>
            <w:tcW w:w="1170" w:type="dxa"/>
            <w:noWrap/>
            <w:hideMark/>
          </w:tcPr>
          <w:p w:rsidRPr="006F7F6C" w:rsidR="006F7F6C" w:rsidP="0098554E" w:rsidRDefault="006F7F6C" w14:paraId="1F755C13" w14:textId="77777777">
            <w:pPr>
              <w:jc w:val="center"/>
              <w:rPr>
                <w:rFonts w:ascii="Palatino Linotype" w:hAnsi="Palatino Linotype"/>
              </w:rPr>
            </w:pPr>
            <w:r w:rsidRPr="006F7F6C">
              <w:rPr>
                <w:rFonts w:ascii="Palatino Linotype" w:hAnsi="Palatino Linotype"/>
              </w:rPr>
              <w:t>1.150%</w:t>
            </w:r>
          </w:p>
        </w:tc>
        <w:tc>
          <w:tcPr>
            <w:tcW w:w="1170" w:type="dxa"/>
            <w:noWrap/>
            <w:hideMark/>
          </w:tcPr>
          <w:p w:rsidRPr="006F7F6C" w:rsidR="006F7F6C" w:rsidP="0098554E" w:rsidRDefault="006F7F6C" w14:paraId="745A1599" w14:textId="77777777">
            <w:pPr>
              <w:jc w:val="center"/>
              <w:rPr>
                <w:rFonts w:ascii="Palatino Linotype" w:hAnsi="Palatino Linotype"/>
              </w:rPr>
            </w:pPr>
            <w:r w:rsidRPr="006F7F6C">
              <w:rPr>
                <w:rFonts w:ascii="Palatino Linotype" w:hAnsi="Palatino Linotype"/>
              </w:rPr>
              <w:t>0.200%</w:t>
            </w:r>
          </w:p>
        </w:tc>
        <w:tc>
          <w:tcPr>
            <w:tcW w:w="1373" w:type="dxa"/>
            <w:noWrap/>
            <w:hideMark/>
          </w:tcPr>
          <w:p w:rsidRPr="006F7F6C" w:rsidR="006F7F6C" w:rsidP="0098554E" w:rsidRDefault="006F7F6C" w14:paraId="3EFB8079" w14:textId="77777777">
            <w:pPr>
              <w:jc w:val="center"/>
              <w:rPr>
                <w:rFonts w:ascii="Palatino Linotype" w:hAnsi="Palatino Linotype"/>
              </w:rPr>
            </w:pPr>
            <w:r w:rsidRPr="006F7F6C">
              <w:rPr>
                <w:rFonts w:ascii="Palatino Linotype" w:hAnsi="Palatino Linotype"/>
              </w:rPr>
              <w:t>0.400%</w:t>
            </w:r>
          </w:p>
        </w:tc>
        <w:tc>
          <w:tcPr>
            <w:tcW w:w="1345" w:type="dxa"/>
            <w:noWrap/>
            <w:hideMark/>
          </w:tcPr>
          <w:p w:rsidRPr="006F7F6C" w:rsidR="006F7F6C" w:rsidP="0098554E" w:rsidRDefault="006F7F6C" w14:paraId="517C7F64" w14:textId="77777777">
            <w:pPr>
              <w:jc w:val="center"/>
              <w:rPr>
                <w:rFonts w:ascii="Palatino Linotype" w:hAnsi="Palatino Linotype"/>
              </w:rPr>
            </w:pPr>
            <w:r w:rsidRPr="006F7F6C">
              <w:rPr>
                <w:rFonts w:ascii="Palatino Linotype" w:hAnsi="Palatino Linotype"/>
              </w:rPr>
              <w:t>0.300%</w:t>
            </w:r>
          </w:p>
        </w:tc>
        <w:tc>
          <w:tcPr>
            <w:tcW w:w="1170" w:type="dxa"/>
            <w:noWrap/>
            <w:hideMark/>
          </w:tcPr>
          <w:p w:rsidRPr="006F7F6C" w:rsidR="006F7F6C" w:rsidP="0098554E" w:rsidRDefault="006F7F6C" w14:paraId="30300C93" w14:textId="77777777">
            <w:pPr>
              <w:jc w:val="center"/>
              <w:rPr>
                <w:rFonts w:ascii="Palatino Linotype" w:hAnsi="Palatino Linotype"/>
              </w:rPr>
            </w:pPr>
            <w:r w:rsidRPr="006F7F6C">
              <w:rPr>
                <w:rFonts w:ascii="Palatino Linotype" w:hAnsi="Palatino Linotype"/>
              </w:rPr>
              <w:t>0.590%</w:t>
            </w:r>
          </w:p>
        </w:tc>
        <w:tc>
          <w:tcPr>
            <w:tcW w:w="1170" w:type="dxa"/>
            <w:shd w:val="clear" w:color="auto" w:fill="D9D9D9" w:themeFill="background1" w:themeFillShade="D9"/>
            <w:noWrap/>
            <w:hideMark/>
          </w:tcPr>
          <w:p w:rsidRPr="006F7F6C" w:rsidR="006F7F6C" w:rsidP="0098554E" w:rsidRDefault="006F7F6C" w14:paraId="3E5F36CC" w14:textId="77777777">
            <w:pPr>
              <w:jc w:val="center"/>
              <w:rPr>
                <w:rFonts w:ascii="Palatino Linotype" w:hAnsi="Palatino Linotype"/>
                <w:highlight w:val="lightGray"/>
              </w:rPr>
            </w:pPr>
            <w:r w:rsidRPr="006F7F6C">
              <w:rPr>
                <w:rFonts w:ascii="Palatino Linotype" w:hAnsi="Palatino Linotype"/>
              </w:rPr>
              <w:t>0.164%</w:t>
            </w:r>
          </w:p>
        </w:tc>
      </w:tr>
      <w:tr w:rsidRPr="006F7F6C" w:rsidR="006F7F6C" w:rsidTr="006F7F6C" w14:paraId="121BE0E1" w14:textId="77777777">
        <w:trPr>
          <w:trHeight w:val="300"/>
          <w:jc w:val="center"/>
        </w:trPr>
        <w:tc>
          <w:tcPr>
            <w:tcW w:w="1874" w:type="dxa"/>
            <w:noWrap/>
            <w:hideMark/>
          </w:tcPr>
          <w:p w:rsidRPr="006F7F6C" w:rsidR="006F7F6C" w:rsidP="006F7F6C" w:rsidRDefault="006F7F6C" w14:paraId="7A6CD5F4" w14:textId="77777777">
            <w:pPr>
              <w:jc w:val="center"/>
              <w:rPr>
                <w:rFonts w:ascii="Palatino Linotype" w:hAnsi="Palatino Linotype"/>
              </w:rPr>
            </w:pPr>
            <w:r w:rsidRPr="006F7F6C">
              <w:rPr>
                <w:rFonts w:ascii="Palatino Linotype" w:hAnsi="Palatino Linotype"/>
              </w:rPr>
              <w:t>10/01/13</w:t>
            </w:r>
          </w:p>
        </w:tc>
        <w:tc>
          <w:tcPr>
            <w:tcW w:w="1170" w:type="dxa"/>
            <w:noWrap/>
            <w:hideMark/>
          </w:tcPr>
          <w:p w:rsidRPr="006F7F6C" w:rsidR="006F7F6C" w:rsidP="0098554E" w:rsidRDefault="006F7F6C" w14:paraId="3C58EC60" w14:textId="77777777">
            <w:pPr>
              <w:jc w:val="center"/>
              <w:rPr>
                <w:rFonts w:ascii="Palatino Linotype" w:hAnsi="Palatino Linotype"/>
              </w:rPr>
            </w:pPr>
            <w:r w:rsidRPr="006F7F6C">
              <w:rPr>
                <w:rFonts w:ascii="Palatino Linotype" w:hAnsi="Palatino Linotype"/>
              </w:rPr>
              <w:t>1.150%</w:t>
            </w:r>
          </w:p>
        </w:tc>
        <w:tc>
          <w:tcPr>
            <w:tcW w:w="1170" w:type="dxa"/>
            <w:noWrap/>
            <w:hideMark/>
          </w:tcPr>
          <w:p w:rsidRPr="006F7F6C" w:rsidR="006F7F6C" w:rsidP="0098554E" w:rsidRDefault="006F7F6C" w14:paraId="3A70E6BB" w14:textId="77777777">
            <w:pPr>
              <w:jc w:val="center"/>
              <w:rPr>
                <w:rFonts w:ascii="Palatino Linotype" w:hAnsi="Palatino Linotype"/>
              </w:rPr>
            </w:pPr>
            <w:r w:rsidRPr="006F7F6C">
              <w:rPr>
                <w:rFonts w:ascii="Palatino Linotype" w:hAnsi="Palatino Linotype"/>
              </w:rPr>
              <w:t>0.200%</w:t>
            </w:r>
          </w:p>
        </w:tc>
        <w:tc>
          <w:tcPr>
            <w:tcW w:w="1373" w:type="dxa"/>
            <w:shd w:val="clear" w:color="auto" w:fill="D9D9D9" w:themeFill="background1" w:themeFillShade="D9"/>
            <w:noWrap/>
            <w:hideMark/>
          </w:tcPr>
          <w:p w:rsidRPr="006F7F6C" w:rsidR="006F7F6C" w:rsidP="0098554E" w:rsidRDefault="006F7F6C" w14:paraId="18507531" w14:textId="77777777">
            <w:pPr>
              <w:jc w:val="center"/>
              <w:rPr>
                <w:rFonts w:ascii="Palatino Linotype" w:hAnsi="Palatino Linotype"/>
              </w:rPr>
            </w:pPr>
            <w:r w:rsidRPr="006F7F6C">
              <w:rPr>
                <w:rFonts w:ascii="Palatino Linotype" w:hAnsi="Palatino Linotype"/>
              </w:rPr>
              <w:t>0.180%</w:t>
            </w:r>
          </w:p>
        </w:tc>
        <w:tc>
          <w:tcPr>
            <w:tcW w:w="1345" w:type="dxa"/>
            <w:noWrap/>
            <w:hideMark/>
          </w:tcPr>
          <w:p w:rsidRPr="006F7F6C" w:rsidR="006F7F6C" w:rsidP="0098554E" w:rsidRDefault="006F7F6C" w14:paraId="61ACA9CC" w14:textId="77777777">
            <w:pPr>
              <w:jc w:val="center"/>
              <w:rPr>
                <w:rFonts w:ascii="Palatino Linotype" w:hAnsi="Palatino Linotype"/>
              </w:rPr>
            </w:pPr>
            <w:r w:rsidRPr="006F7F6C">
              <w:rPr>
                <w:rFonts w:ascii="Palatino Linotype" w:hAnsi="Palatino Linotype"/>
              </w:rPr>
              <w:t>0.300%</w:t>
            </w:r>
          </w:p>
        </w:tc>
        <w:tc>
          <w:tcPr>
            <w:tcW w:w="1170" w:type="dxa"/>
            <w:noWrap/>
            <w:hideMark/>
          </w:tcPr>
          <w:p w:rsidRPr="006F7F6C" w:rsidR="006F7F6C" w:rsidP="0098554E" w:rsidRDefault="006F7F6C" w14:paraId="37FADE83" w14:textId="77777777">
            <w:pPr>
              <w:jc w:val="center"/>
              <w:rPr>
                <w:rFonts w:ascii="Palatino Linotype" w:hAnsi="Palatino Linotype"/>
              </w:rPr>
            </w:pPr>
            <w:r w:rsidRPr="006F7F6C">
              <w:rPr>
                <w:rFonts w:ascii="Palatino Linotype" w:hAnsi="Palatino Linotype"/>
              </w:rPr>
              <w:t>0.590%</w:t>
            </w:r>
          </w:p>
        </w:tc>
        <w:tc>
          <w:tcPr>
            <w:tcW w:w="1170" w:type="dxa"/>
            <w:noWrap/>
            <w:hideMark/>
          </w:tcPr>
          <w:p w:rsidRPr="006F7F6C" w:rsidR="006F7F6C" w:rsidP="0098554E" w:rsidRDefault="006F7F6C" w14:paraId="2E37148B" w14:textId="77777777">
            <w:pPr>
              <w:jc w:val="center"/>
              <w:rPr>
                <w:rFonts w:ascii="Palatino Linotype" w:hAnsi="Palatino Linotype"/>
              </w:rPr>
            </w:pPr>
            <w:r w:rsidRPr="006F7F6C">
              <w:rPr>
                <w:rFonts w:ascii="Palatino Linotype" w:hAnsi="Palatino Linotype"/>
              </w:rPr>
              <w:t>0.164%</w:t>
            </w:r>
          </w:p>
        </w:tc>
      </w:tr>
      <w:tr w:rsidRPr="006F7F6C" w:rsidR="006F7F6C" w:rsidTr="006F7F6C" w14:paraId="636F959D" w14:textId="77777777">
        <w:trPr>
          <w:trHeight w:val="300"/>
          <w:jc w:val="center"/>
        </w:trPr>
        <w:tc>
          <w:tcPr>
            <w:tcW w:w="1874" w:type="dxa"/>
            <w:noWrap/>
            <w:hideMark/>
          </w:tcPr>
          <w:p w:rsidRPr="006F7F6C" w:rsidR="006F7F6C" w:rsidP="006F7F6C" w:rsidRDefault="006F7F6C" w14:paraId="528EDD0C" w14:textId="77777777">
            <w:pPr>
              <w:jc w:val="center"/>
              <w:rPr>
                <w:rFonts w:ascii="Palatino Linotype" w:hAnsi="Palatino Linotype"/>
              </w:rPr>
            </w:pPr>
            <w:r w:rsidRPr="006F7F6C">
              <w:rPr>
                <w:rFonts w:ascii="Palatino Linotype" w:hAnsi="Palatino Linotype"/>
              </w:rPr>
              <w:t>02/01/14</w:t>
            </w:r>
          </w:p>
        </w:tc>
        <w:tc>
          <w:tcPr>
            <w:tcW w:w="1170" w:type="dxa"/>
            <w:noWrap/>
            <w:hideMark/>
          </w:tcPr>
          <w:p w:rsidRPr="006F7F6C" w:rsidR="006F7F6C" w:rsidP="0098554E" w:rsidRDefault="006F7F6C" w14:paraId="4DC2EFDF" w14:textId="77777777">
            <w:pPr>
              <w:jc w:val="center"/>
              <w:rPr>
                <w:rFonts w:ascii="Palatino Linotype" w:hAnsi="Palatino Linotype"/>
              </w:rPr>
            </w:pPr>
            <w:r w:rsidRPr="006F7F6C">
              <w:rPr>
                <w:rFonts w:ascii="Palatino Linotype" w:hAnsi="Palatino Linotype"/>
              </w:rPr>
              <w:t>1.150%</w:t>
            </w:r>
          </w:p>
        </w:tc>
        <w:tc>
          <w:tcPr>
            <w:tcW w:w="1170" w:type="dxa"/>
            <w:noWrap/>
            <w:hideMark/>
          </w:tcPr>
          <w:p w:rsidRPr="006F7F6C" w:rsidR="006F7F6C" w:rsidP="0098554E" w:rsidRDefault="006F7F6C" w14:paraId="4A792809" w14:textId="77777777">
            <w:pPr>
              <w:jc w:val="center"/>
              <w:rPr>
                <w:rFonts w:ascii="Palatino Linotype" w:hAnsi="Palatino Linotype"/>
              </w:rPr>
            </w:pPr>
            <w:r w:rsidRPr="006F7F6C">
              <w:rPr>
                <w:rFonts w:ascii="Palatino Linotype" w:hAnsi="Palatino Linotype"/>
              </w:rPr>
              <w:t>0.200%</w:t>
            </w:r>
          </w:p>
        </w:tc>
        <w:tc>
          <w:tcPr>
            <w:tcW w:w="1373" w:type="dxa"/>
            <w:noWrap/>
            <w:hideMark/>
          </w:tcPr>
          <w:p w:rsidRPr="006F7F6C" w:rsidR="006F7F6C" w:rsidP="0098554E" w:rsidRDefault="006F7F6C" w14:paraId="2501BBEF" w14:textId="77777777">
            <w:pPr>
              <w:jc w:val="center"/>
              <w:rPr>
                <w:rFonts w:ascii="Palatino Linotype" w:hAnsi="Palatino Linotype"/>
              </w:rPr>
            </w:pPr>
            <w:r w:rsidRPr="006F7F6C">
              <w:rPr>
                <w:rFonts w:ascii="Palatino Linotype" w:hAnsi="Palatino Linotype"/>
              </w:rPr>
              <w:t>0.180%</w:t>
            </w:r>
          </w:p>
        </w:tc>
        <w:tc>
          <w:tcPr>
            <w:tcW w:w="1345" w:type="dxa"/>
            <w:shd w:val="clear" w:color="auto" w:fill="D9D9D9" w:themeFill="background1" w:themeFillShade="D9"/>
            <w:noWrap/>
            <w:hideMark/>
          </w:tcPr>
          <w:p w:rsidRPr="006F7F6C" w:rsidR="006F7F6C" w:rsidP="0098554E" w:rsidRDefault="006F7F6C" w14:paraId="4E93916C" w14:textId="77777777">
            <w:pPr>
              <w:jc w:val="center"/>
              <w:rPr>
                <w:rFonts w:ascii="Palatino Linotype" w:hAnsi="Palatino Linotype"/>
              </w:rPr>
            </w:pPr>
            <w:r w:rsidRPr="006F7F6C">
              <w:rPr>
                <w:rFonts w:ascii="Palatino Linotype" w:hAnsi="Palatino Linotype"/>
              </w:rPr>
              <w:t>0.000%</w:t>
            </w:r>
          </w:p>
        </w:tc>
        <w:tc>
          <w:tcPr>
            <w:tcW w:w="1170" w:type="dxa"/>
            <w:noWrap/>
            <w:hideMark/>
          </w:tcPr>
          <w:p w:rsidRPr="006F7F6C" w:rsidR="006F7F6C" w:rsidP="0098554E" w:rsidRDefault="006F7F6C" w14:paraId="0E3EAEA9" w14:textId="77777777">
            <w:pPr>
              <w:jc w:val="center"/>
              <w:rPr>
                <w:rFonts w:ascii="Palatino Linotype" w:hAnsi="Palatino Linotype"/>
              </w:rPr>
            </w:pPr>
            <w:r w:rsidRPr="006F7F6C">
              <w:rPr>
                <w:rFonts w:ascii="Palatino Linotype" w:hAnsi="Palatino Linotype"/>
              </w:rPr>
              <w:t>0.590%</w:t>
            </w:r>
          </w:p>
        </w:tc>
        <w:tc>
          <w:tcPr>
            <w:tcW w:w="1170" w:type="dxa"/>
            <w:noWrap/>
            <w:hideMark/>
          </w:tcPr>
          <w:p w:rsidRPr="006F7F6C" w:rsidR="006F7F6C" w:rsidP="0098554E" w:rsidRDefault="006F7F6C" w14:paraId="15BF3561" w14:textId="77777777">
            <w:pPr>
              <w:jc w:val="center"/>
              <w:rPr>
                <w:rFonts w:ascii="Palatino Linotype" w:hAnsi="Palatino Linotype"/>
              </w:rPr>
            </w:pPr>
            <w:r w:rsidRPr="006F7F6C">
              <w:rPr>
                <w:rFonts w:ascii="Palatino Linotype" w:hAnsi="Palatino Linotype"/>
              </w:rPr>
              <w:t>0.164%</w:t>
            </w:r>
          </w:p>
        </w:tc>
      </w:tr>
      <w:tr w:rsidRPr="006F7F6C" w:rsidR="006F7F6C" w:rsidTr="006F7F6C" w14:paraId="7CE01D27" w14:textId="77777777">
        <w:trPr>
          <w:trHeight w:val="300"/>
          <w:jc w:val="center"/>
        </w:trPr>
        <w:tc>
          <w:tcPr>
            <w:tcW w:w="1874" w:type="dxa"/>
            <w:noWrap/>
            <w:hideMark/>
          </w:tcPr>
          <w:p w:rsidRPr="006F7F6C" w:rsidR="006F7F6C" w:rsidP="006F7F6C" w:rsidRDefault="006F7F6C" w14:paraId="4ACB9DE6" w14:textId="77777777">
            <w:pPr>
              <w:jc w:val="center"/>
              <w:rPr>
                <w:rFonts w:ascii="Palatino Linotype" w:hAnsi="Palatino Linotype"/>
              </w:rPr>
            </w:pPr>
            <w:r w:rsidRPr="006F7F6C">
              <w:rPr>
                <w:rFonts w:ascii="Palatino Linotype" w:hAnsi="Palatino Linotype"/>
              </w:rPr>
              <w:t>04/01/14</w:t>
            </w:r>
          </w:p>
        </w:tc>
        <w:tc>
          <w:tcPr>
            <w:tcW w:w="1170" w:type="dxa"/>
            <w:noWrap/>
            <w:hideMark/>
          </w:tcPr>
          <w:p w:rsidRPr="006F7F6C" w:rsidR="006F7F6C" w:rsidP="0098554E" w:rsidRDefault="006F7F6C" w14:paraId="00754FAF" w14:textId="77777777">
            <w:pPr>
              <w:jc w:val="center"/>
              <w:rPr>
                <w:rFonts w:ascii="Palatino Linotype" w:hAnsi="Palatino Linotype"/>
              </w:rPr>
            </w:pPr>
            <w:r w:rsidRPr="006F7F6C">
              <w:rPr>
                <w:rFonts w:ascii="Palatino Linotype" w:hAnsi="Palatino Linotype"/>
              </w:rPr>
              <w:t>1.150%</w:t>
            </w:r>
          </w:p>
        </w:tc>
        <w:tc>
          <w:tcPr>
            <w:tcW w:w="1170" w:type="dxa"/>
            <w:noWrap/>
            <w:hideMark/>
          </w:tcPr>
          <w:p w:rsidRPr="006F7F6C" w:rsidR="006F7F6C" w:rsidP="0098554E" w:rsidRDefault="006F7F6C" w14:paraId="2F7E98DC" w14:textId="77777777">
            <w:pPr>
              <w:jc w:val="center"/>
              <w:rPr>
                <w:rFonts w:ascii="Palatino Linotype" w:hAnsi="Palatino Linotype"/>
              </w:rPr>
            </w:pPr>
            <w:r w:rsidRPr="006F7F6C">
              <w:rPr>
                <w:rFonts w:ascii="Palatino Linotype" w:hAnsi="Palatino Linotype"/>
              </w:rPr>
              <w:t>0.200%</w:t>
            </w:r>
          </w:p>
        </w:tc>
        <w:tc>
          <w:tcPr>
            <w:tcW w:w="1373" w:type="dxa"/>
            <w:noWrap/>
            <w:hideMark/>
          </w:tcPr>
          <w:p w:rsidRPr="006F7F6C" w:rsidR="006F7F6C" w:rsidP="0098554E" w:rsidRDefault="006F7F6C" w14:paraId="26BAF0D0" w14:textId="77777777">
            <w:pPr>
              <w:jc w:val="center"/>
              <w:rPr>
                <w:rFonts w:ascii="Palatino Linotype" w:hAnsi="Palatino Linotype"/>
              </w:rPr>
            </w:pPr>
            <w:r w:rsidRPr="006F7F6C">
              <w:rPr>
                <w:rFonts w:ascii="Palatino Linotype" w:hAnsi="Palatino Linotype"/>
              </w:rPr>
              <w:t>0.180%</w:t>
            </w:r>
          </w:p>
        </w:tc>
        <w:tc>
          <w:tcPr>
            <w:tcW w:w="1345" w:type="dxa"/>
            <w:noWrap/>
            <w:hideMark/>
          </w:tcPr>
          <w:p w:rsidRPr="006F7F6C" w:rsidR="006F7F6C" w:rsidP="0098554E" w:rsidRDefault="006F7F6C" w14:paraId="6CB52614" w14:textId="77777777">
            <w:pPr>
              <w:jc w:val="center"/>
              <w:rPr>
                <w:rFonts w:ascii="Palatino Linotype" w:hAnsi="Palatino Linotype"/>
              </w:rPr>
            </w:pPr>
            <w:r w:rsidRPr="006F7F6C">
              <w:rPr>
                <w:rFonts w:ascii="Palatino Linotype" w:hAnsi="Palatino Linotype"/>
              </w:rPr>
              <w:t>0.000%</w:t>
            </w:r>
          </w:p>
        </w:tc>
        <w:tc>
          <w:tcPr>
            <w:tcW w:w="1170" w:type="dxa"/>
            <w:noWrap/>
            <w:hideMark/>
          </w:tcPr>
          <w:p w:rsidRPr="006F7F6C" w:rsidR="006F7F6C" w:rsidP="0098554E" w:rsidRDefault="006F7F6C" w14:paraId="7C82AC89" w14:textId="77777777">
            <w:pPr>
              <w:jc w:val="center"/>
              <w:rPr>
                <w:rFonts w:ascii="Palatino Linotype" w:hAnsi="Palatino Linotype"/>
              </w:rPr>
            </w:pPr>
            <w:r w:rsidRPr="006F7F6C">
              <w:rPr>
                <w:rFonts w:ascii="Palatino Linotype" w:hAnsi="Palatino Linotype"/>
              </w:rPr>
              <w:t>0.590%</w:t>
            </w:r>
          </w:p>
        </w:tc>
        <w:tc>
          <w:tcPr>
            <w:tcW w:w="1170" w:type="dxa"/>
            <w:shd w:val="clear" w:color="auto" w:fill="D9D9D9" w:themeFill="background1" w:themeFillShade="D9"/>
            <w:noWrap/>
            <w:hideMark/>
          </w:tcPr>
          <w:p w:rsidRPr="006F7F6C" w:rsidR="006F7F6C" w:rsidP="0098554E" w:rsidRDefault="006F7F6C" w14:paraId="3C21EF24" w14:textId="77777777">
            <w:pPr>
              <w:jc w:val="center"/>
              <w:rPr>
                <w:rFonts w:ascii="Palatino Linotype" w:hAnsi="Palatino Linotype"/>
              </w:rPr>
            </w:pPr>
            <w:r w:rsidRPr="006F7F6C">
              <w:rPr>
                <w:rFonts w:ascii="Palatino Linotype" w:hAnsi="Palatino Linotype"/>
              </w:rPr>
              <w:t>0.464%</w:t>
            </w:r>
          </w:p>
        </w:tc>
      </w:tr>
      <w:tr w:rsidRPr="006F7F6C" w:rsidR="006F7F6C" w:rsidTr="006F7F6C" w14:paraId="7C35F6E3" w14:textId="77777777">
        <w:trPr>
          <w:trHeight w:val="300"/>
          <w:jc w:val="center"/>
        </w:trPr>
        <w:tc>
          <w:tcPr>
            <w:tcW w:w="1874" w:type="dxa"/>
            <w:noWrap/>
            <w:hideMark/>
          </w:tcPr>
          <w:p w:rsidRPr="006F7F6C" w:rsidR="006F7F6C" w:rsidP="006F7F6C" w:rsidRDefault="006F7F6C" w14:paraId="3CCB62A5" w14:textId="77777777">
            <w:pPr>
              <w:jc w:val="center"/>
              <w:rPr>
                <w:rFonts w:ascii="Palatino Linotype" w:hAnsi="Palatino Linotype"/>
              </w:rPr>
            </w:pPr>
            <w:r w:rsidRPr="006F7F6C">
              <w:rPr>
                <w:rFonts w:ascii="Palatino Linotype" w:hAnsi="Palatino Linotype"/>
              </w:rPr>
              <w:t>10/01/14</w:t>
            </w:r>
          </w:p>
        </w:tc>
        <w:tc>
          <w:tcPr>
            <w:tcW w:w="1170" w:type="dxa"/>
            <w:noWrap/>
            <w:hideMark/>
          </w:tcPr>
          <w:p w:rsidRPr="006F7F6C" w:rsidR="006F7F6C" w:rsidP="0098554E" w:rsidRDefault="006F7F6C" w14:paraId="619428FC" w14:textId="77777777">
            <w:pPr>
              <w:jc w:val="center"/>
              <w:rPr>
                <w:rFonts w:ascii="Palatino Linotype" w:hAnsi="Palatino Linotype"/>
              </w:rPr>
            </w:pPr>
            <w:r w:rsidRPr="006F7F6C">
              <w:rPr>
                <w:rFonts w:ascii="Palatino Linotype" w:hAnsi="Palatino Linotype"/>
              </w:rPr>
              <w:t>1.150%</w:t>
            </w:r>
          </w:p>
        </w:tc>
        <w:tc>
          <w:tcPr>
            <w:tcW w:w="1170" w:type="dxa"/>
            <w:noWrap/>
            <w:hideMark/>
          </w:tcPr>
          <w:p w:rsidRPr="006F7F6C" w:rsidR="006F7F6C" w:rsidP="0098554E" w:rsidRDefault="006F7F6C" w14:paraId="0BF52B9C" w14:textId="77777777">
            <w:pPr>
              <w:jc w:val="center"/>
              <w:rPr>
                <w:rFonts w:ascii="Palatino Linotype" w:hAnsi="Palatino Linotype"/>
              </w:rPr>
            </w:pPr>
            <w:r w:rsidRPr="006F7F6C">
              <w:rPr>
                <w:rFonts w:ascii="Palatino Linotype" w:hAnsi="Palatino Linotype"/>
              </w:rPr>
              <w:t>0.200%</w:t>
            </w:r>
          </w:p>
        </w:tc>
        <w:tc>
          <w:tcPr>
            <w:tcW w:w="1373" w:type="dxa"/>
            <w:noWrap/>
            <w:hideMark/>
          </w:tcPr>
          <w:p w:rsidRPr="006F7F6C" w:rsidR="006F7F6C" w:rsidP="0098554E" w:rsidRDefault="006F7F6C" w14:paraId="5796ADE7" w14:textId="77777777">
            <w:pPr>
              <w:jc w:val="center"/>
              <w:rPr>
                <w:rFonts w:ascii="Palatino Linotype" w:hAnsi="Palatino Linotype"/>
              </w:rPr>
            </w:pPr>
            <w:r w:rsidRPr="006F7F6C">
              <w:rPr>
                <w:rFonts w:ascii="Palatino Linotype" w:hAnsi="Palatino Linotype"/>
              </w:rPr>
              <w:t>0.180%</w:t>
            </w:r>
          </w:p>
        </w:tc>
        <w:tc>
          <w:tcPr>
            <w:tcW w:w="1345" w:type="dxa"/>
            <w:noWrap/>
            <w:hideMark/>
          </w:tcPr>
          <w:p w:rsidRPr="006F7F6C" w:rsidR="006F7F6C" w:rsidP="0098554E" w:rsidRDefault="006F7F6C" w14:paraId="4A9A5387" w14:textId="77777777">
            <w:pPr>
              <w:jc w:val="center"/>
              <w:rPr>
                <w:rFonts w:ascii="Palatino Linotype" w:hAnsi="Palatino Linotype"/>
              </w:rPr>
            </w:pPr>
            <w:r w:rsidRPr="006F7F6C">
              <w:rPr>
                <w:rFonts w:ascii="Palatino Linotype" w:hAnsi="Palatino Linotype"/>
              </w:rPr>
              <w:t>0.000%</w:t>
            </w:r>
          </w:p>
        </w:tc>
        <w:tc>
          <w:tcPr>
            <w:tcW w:w="1170" w:type="dxa"/>
            <w:shd w:val="clear" w:color="auto" w:fill="D9D9D9" w:themeFill="background1" w:themeFillShade="D9"/>
            <w:noWrap/>
            <w:hideMark/>
          </w:tcPr>
          <w:p w:rsidRPr="006F7F6C" w:rsidR="006F7F6C" w:rsidP="0098554E" w:rsidRDefault="006F7F6C" w14:paraId="1D834F5E" w14:textId="77777777">
            <w:pPr>
              <w:jc w:val="center"/>
              <w:rPr>
                <w:rFonts w:ascii="Palatino Linotype" w:hAnsi="Palatino Linotype"/>
              </w:rPr>
            </w:pPr>
            <w:r w:rsidRPr="006F7F6C">
              <w:rPr>
                <w:rFonts w:ascii="Palatino Linotype" w:hAnsi="Palatino Linotype"/>
              </w:rPr>
              <w:t>0.930%</w:t>
            </w:r>
          </w:p>
        </w:tc>
        <w:tc>
          <w:tcPr>
            <w:tcW w:w="1170" w:type="dxa"/>
            <w:noWrap/>
            <w:hideMark/>
          </w:tcPr>
          <w:p w:rsidRPr="006F7F6C" w:rsidR="006F7F6C" w:rsidP="0098554E" w:rsidRDefault="006F7F6C" w14:paraId="51887D26" w14:textId="77777777">
            <w:pPr>
              <w:jc w:val="center"/>
              <w:rPr>
                <w:rFonts w:ascii="Palatino Linotype" w:hAnsi="Palatino Linotype"/>
              </w:rPr>
            </w:pPr>
            <w:r w:rsidRPr="006F7F6C">
              <w:rPr>
                <w:rFonts w:ascii="Palatino Linotype" w:hAnsi="Palatino Linotype"/>
              </w:rPr>
              <w:t>0.464%</w:t>
            </w:r>
          </w:p>
        </w:tc>
      </w:tr>
      <w:tr w:rsidRPr="006F7F6C" w:rsidR="006F7F6C" w:rsidTr="006F7F6C" w14:paraId="75A4C620" w14:textId="77777777">
        <w:trPr>
          <w:trHeight w:val="300"/>
          <w:jc w:val="center"/>
        </w:trPr>
        <w:tc>
          <w:tcPr>
            <w:tcW w:w="1874" w:type="dxa"/>
            <w:noWrap/>
            <w:hideMark/>
          </w:tcPr>
          <w:p w:rsidRPr="006F7F6C" w:rsidR="006F7F6C" w:rsidP="006F7F6C" w:rsidRDefault="006F7F6C" w14:paraId="3D4D6BBC" w14:textId="77777777">
            <w:pPr>
              <w:jc w:val="center"/>
              <w:rPr>
                <w:rFonts w:ascii="Palatino Linotype" w:hAnsi="Palatino Linotype"/>
              </w:rPr>
            </w:pPr>
            <w:r w:rsidRPr="006F7F6C">
              <w:rPr>
                <w:rFonts w:ascii="Palatino Linotype" w:hAnsi="Palatino Linotype"/>
              </w:rPr>
              <w:t>01/01/15</w:t>
            </w:r>
          </w:p>
        </w:tc>
        <w:tc>
          <w:tcPr>
            <w:tcW w:w="1170" w:type="dxa"/>
            <w:shd w:val="clear" w:color="auto" w:fill="D9D9D9" w:themeFill="background1" w:themeFillShade="D9"/>
            <w:noWrap/>
            <w:hideMark/>
          </w:tcPr>
          <w:p w:rsidRPr="006F7F6C" w:rsidR="006F7F6C" w:rsidP="0098554E" w:rsidRDefault="006F7F6C" w14:paraId="5E2ADC25" w14:textId="77777777">
            <w:pPr>
              <w:jc w:val="center"/>
              <w:rPr>
                <w:rFonts w:ascii="Palatino Linotype" w:hAnsi="Palatino Linotype"/>
              </w:rPr>
            </w:pPr>
            <w:r w:rsidRPr="006F7F6C">
              <w:rPr>
                <w:rFonts w:ascii="Palatino Linotype" w:hAnsi="Palatino Linotype"/>
              </w:rPr>
              <w:t>2.400%</w:t>
            </w:r>
          </w:p>
        </w:tc>
        <w:tc>
          <w:tcPr>
            <w:tcW w:w="1170" w:type="dxa"/>
            <w:noWrap/>
            <w:hideMark/>
          </w:tcPr>
          <w:p w:rsidRPr="006F7F6C" w:rsidR="006F7F6C" w:rsidP="0098554E" w:rsidRDefault="006F7F6C" w14:paraId="2D4C50E8" w14:textId="77777777">
            <w:pPr>
              <w:jc w:val="center"/>
              <w:rPr>
                <w:rFonts w:ascii="Palatino Linotype" w:hAnsi="Palatino Linotype"/>
              </w:rPr>
            </w:pPr>
            <w:r w:rsidRPr="006F7F6C">
              <w:rPr>
                <w:rFonts w:ascii="Palatino Linotype" w:hAnsi="Palatino Linotype"/>
              </w:rPr>
              <w:t>0.200%</w:t>
            </w:r>
          </w:p>
        </w:tc>
        <w:tc>
          <w:tcPr>
            <w:tcW w:w="1373" w:type="dxa"/>
            <w:shd w:val="clear" w:color="auto" w:fill="D9D9D9" w:themeFill="background1" w:themeFillShade="D9"/>
            <w:noWrap/>
            <w:hideMark/>
          </w:tcPr>
          <w:p w:rsidRPr="006F7F6C" w:rsidR="006F7F6C" w:rsidP="0098554E" w:rsidRDefault="006F7F6C" w14:paraId="63C8A979" w14:textId="77777777">
            <w:pPr>
              <w:jc w:val="center"/>
              <w:rPr>
                <w:rFonts w:ascii="Palatino Linotype" w:hAnsi="Palatino Linotype"/>
              </w:rPr>
            </w:pPr>
            <w:r w:rsidRPr="006F7F6C">
              <w:rPr>
                <w:rFonts w:ascii="Palatino Linotype" w:hAnsi="Palatino Linotype"/>
              </w:rPr>
              <w:t>0.350%</w:t>
            </w:r>
          </w:p>
        </w:tc>
        <w:tc>
          <w:tcPr>
            <w:tcW w:w="1345" w:type="dxa"/>
            <w:noWrap/>
            <w:hideMark/>
          </w:tcPr>
          <w:p w:rsidRPr="006F7F6C" w:rsidR="006F7F6C" w:rsidP="0098554E" w:rsidRDefault="006F7F6C" w14:paraId="241A74F4" w14:textId="77777777">
            <w:pPr>
              <w:jc w:val="center"/>
              <w:rPr>
                <w:rFonts w:ascii="Palatino Linotype" w:hAnsi="Palatino Linotype"/>
              </w:rPr>
            </w:pPr>
            <w:r w:rsidRPr="006F7F6C">
              <w:rPr>
                <w:rFonts w:ascii="Palatino Linotype" w:hAnsi="Palatino Linotype"/>
              </w:rPr>
              <w:t>0.000%</w:t>
            </w:r>
          </w:p>
        </w:tc>
        <w:tc>
          <w:tcPr>
            <w:tcW w:w="1170" w:type="dxa"/>
            <w:noWrap/>
            <w:hideMark/>
          </w:tcPr>
          <w:p w:rsidRPr="006F7F6C" w:rsidR="006F7F6C" w:rsidP="0098554E" w:rsidRDefault="006F7F6C" w14:paraId="260580FF" w14:textId="77777777">
            <w:pPr>
              <w:jc w:val="center"/>
              <w:rPr>
                <w:rFonts w:ascii="Palatino Linotype" w:hAnsi="Palatino Linotype"/>
              </w:rPr>
            </w:pPr>
            <w:r w:rsidRPr="006F7F6C">
              <w:rPr>
                <w:rFonts w:ascii="Palatino Linotype" w:hAnsi="Palatino Linotype"/>
              </w:rPr>
              <w:t>0.930%</w:t>
            </w:r>
          </w:p>
        </w:tc>
        <w:tc>
          <w:tcPr>
            <w:tcW w:w="1170" w:type="dxa"/>
            <w:noWrap/>
            <w:hideMark/>
          </w:tcPr>
          <w:p w:rsidRPr="006F7F6C" w:rsidR="006F7F6C" w:rsidP="0098554E" w:rsidRDefault="006F7F6C" w14:paraId="3C326DA2" w14:textId="77777777">
            <w:pPr>
              <w:jc w:val="center"/>
              <w:rPr>
                <w:rFonts w:ascii="Palatino Linotype" w:hAnsi="Palatino Linotype"/>
              </w:rPr>
            </w:pPr>
            <w:r w:rsidRPr="006F7F6C">
              <w:rPr>
                <w:rFonts w:ascii="Palatino Linotype" w:hAnsi="Palatino Linotype"/>
              </w:rPr>
              <w:t>0.464%</w:t>
            </w:r>
          </w:p>
        </w:tc>
      </w:tr>
      <w:tr w:rsidRPr="006F7F6C" w:rsidR="006F7F6C" w:rsidTr="006F7F6C" w14:paraId="3116E72E" w14:textId="77777777">
        <w:trPr>
          <w:trHeight w:val="300"/>
          <w:jc w:val="center"/>
        </w:trPr>
        <w:tc>
          <w:tcPr>
            <w:tcW w:w="1874" w:type="dxa"/>
            <w:noWrap/>
            <w:hideMark/>
          </w:tcPr>
          <w:p w:rsidRPr="006F7F6C" w:rsidR="006F7F6C" w:rsidP="006F7F6C" w:rsidRDefault="006F7F6C" w14:paraId="4D51B781" w14:textId="77777777">
            <w:pPr>
              <w:jc w:val="center"/>
              <w:rPr>
                <w:rFonts w:ascii="Palatino Linotype" w:hAnsi="Palatino Linotype"/>
              </w:rPr>
            </w:pPr>
            <w:r w:rsidRPr="006F7F6C">
              <w:rPr>
                <w:rFonts w:ascii="Palatino Linotype" w:hAnsi="Palatino Linotype"/>
              </w:rPr>
              <w:t>02/01/15</w:t>
            </w:r>
          </w:p>
        </w:tc>
        <w:tc>
          <w:tcPr>
            <w:tcW w:w="1170" w:type="dxa"/>
            <w:noWrap/>
            <w:hideMark/>
          </w:tcPr>
          <w:p w:rsidRPr="006F7F6C" w:rsidR="006F7F6C" w:rsidP="0098554E" w:rsidRDefault="006F7F6C" w14:paraId="52F9AFB2" w14:textId="77777777">
            <w:pPr>
              <w:jc w:val="center"/>
              <w:rPr>
                <w:rFonts w:ascii="Palatino Linotype" w:hAnsi="Palatino Linotype"/>
              </w:rPr>
            </w:pPr>
            <w:r w:rsidRPr="006F7F6C">
              <w:rPr>
                <w:rFonts w:ascii="Palatino Linotype" w:hAnsi="Palatino Linotype"/>
              </w:rPr>
              <w:t>2.400%</w:t>
            </w:r>
          </w:p>
        </w:tc>
        <w:tc>
          <w:tcPr>
            <w:tcW w:w="1170" w:type="dxa"/>
            <w:shd w:val="clear" w:color="auto" w:fill="D9D9D9" w:themeFill="background1" w:themeFillShade="D9"/>
            <w:noWrap/>
            <w:hideMark/>
          </w:tcPr>
          <w:p w:rsidRPr="006F7F6C" w:rsidR="006F7F6C" w:rsidP="0098554E" w:rsidRDefault="006F7F6C" w14:paraId="4FD625B7" w14:textId="77777777">
            <w:pPr>
              <w:jc w:val="center"/>
              <w:rPr>
                <w:rFonts w:ascii="Palatino Linotype" w:hAnsi="Palatino Linotype"/>
              </w:rPr>
            </w:pPr>
            <w:r w:rsidRPr="006F7F6C">
              <w:rPr>
                <w:rFonts w:ascii="Palatino Linotype" w:hAnsi="Palatino Linotype"/>
              </w:rPr>
              <w:t>0.500%</w:t>
            </w:r>
          </w:p>
        </w:tc>
        <w:tc>
          <w:tcPr>
            <w:tcW w:w="1373" w:type="dxa"/>
            <w:noWrap/>
            <w:hideMark/>
          </w:tcPr>
          <w:p w:rsidRPr="006F7F6C" w:rsidR="006F7F6C" w:rsidP="0098554E" w:rsidRDefault="006F7F6C" w14:paraId="6571C674" w14:textId="77777777">
            <w:pPr>
              <w:jc w:val="center"/>
              <w:rPr>
                <w:rFonts w:ascii="Palatino Linotype" w:hAnsi="Palatino Linotype"/>
              </w:rPr>
            </w:pPr>
            <w:r w:rsidRPr="006F7F6C">
              <w:rPr>
                <w:rFonts w:ascii="Palatino Linotype" w:hAnsi="Palatino Linotype"/>
              </w:rPr>
              <w:t>0.350%</w:t>
            </w:r>
          </w:p>
        </w:tc>
        <w:tc>
          <w:tcPr>
            <w:tcW w:w="1345" w:type="dxa"/>
            <w:noWrap/>
            <w:hideMark/>
          </w:tcPr>
          <w:p w:rsidRPr="006F7F6C" w:rsidR="006F7F6C" w:rsidP="0098554E" w:rsidRDefault="006F7F6C" w14:paraId="58D73C56" w14:textId="77777777">
            <w:pPr>
              <w:jc w:val="center"/>
              <w:rPr>
                <w:rFonts w:ascii="Palatino Linotype" w:hAnsi="Palatino Linotype"/>
              </w:rPr>
            </w:pPr>
            <w:r w:rsidRPr="006F7F6C">
              <w:rPr>
                <w:rFonts w:ascii="Palatino Linotype" w:hAnsi="Palatino Linotype"/>
              </w:rPr>
              <w:t>0.000%</w:t>
            </w:r>
          </w:p>
        </w:tc>
        <w:tc>
          <w:tcPr>
            <w:tcW w:w="1170" w:type="dxa"/>
            <w:noWrap/>
            <w:hideMark/>
          </w:tcPr>
          <w:p w:rsidRPr="006F7F6C" w:rsidR="006F7F6C" w:rsidP="0098554E" w:rsidRDefault="006F7F6C" w14:paraId="5432942B" w14:textId="77777777">
            <w:pPr>
              <w:jc w:val="center"/>
              <w:rPr>
                <w:rFonts w:ascii="Palatino Linotype" w:hAnsi="Palatino Linotype"/>
              </w:rPr>
            </w:pPr>
            <w:r w:rsidRPr="006F7F6C">
              <w:rPr>
                <w:rFonts w:ascii="Palatino Linotype" w:hAnsi="Palatino Linotype"/>
              </w:rPr>
              <w:t>0.930%</w:t>
            </w:r>
          </w:p>
        </w:tc>
        <w:tc>
          <w:tcPr>
            <w:tcW w:w="1170" w:type="dxa"/>
            <w:noWrap/>
            <w:hideMark/>
          </w:tcPr>
          <w:p w:rsidRPr="006F7F6C" w:rsidR="006F7F6C" w:rsidP="0098554E" w:rsidRDefault="006F7F6C" w14:paraId="336B2929" w14:textId="77777777">
            <w:pPr>
              <w:jc w:val="center"/>
              <w:rPr>
                <w:rFonts w:ascii="Palatino Linotype" w:hAnsi="Palatino Linotype"/>
              </w:rPr>
            </w:pPr>
            <w:r w:rsidRPr="006F7F6C">
              <w:rPr>
                <w:rFonts w:ascii="Palatino Linotype" w:hAnsi="Palatino Linotype"/>
              </w:rPr>
              <w:t>0.464%</w:t>
            </w:r>
          </w:p>
        </w:tc>
      </w:tr>
      <w:tr w:rsidRPr="006F7F6C" w:rsidR="006F7F6C" w:rsidTr="006F7F6C" w14:paraId="6EA3E85B" w14:textId="77777777">
        <w:trPr>
          <w:trHeight w:val="300"/>
          <w:jc w:val="center"/>
        </w:trPr>
        <w:tc>
          <w:tcPr>
            <w:tcW w:w="1874" w:type="dxa"/>
            <w:noWrap/>
            <w:hideMark/>
          </w:tcPr>
          <w:p w:rsidRPr="006F7F6C" w:rsidR="006F7F6C" w:rsidP="006F7F6C" w:rsidRDefault="006F7F6C" w14:paraId="56AFAF05" w14:textId="77777777">
            <w:pPr>
              <w:jc w:val="center"/>
              <w:rPr>
                <w:rFonts w:ascii="Palatino Linotype" w:hAnsi="Palatino Linotype"/>
              </w:rPr>
            </w:pPr>
            <w:r w:rsidRPr="006F7F6C">
              <w:rPr>
                <w:rFonts w:ascii="Palatino Linotype" w:hAnsi="Palatino Linotype"/>
              </w:rPr>
              <w:t>06/01/15</w:t>
            </w:r>
          </w:p>
        </w:tc>
        <w:tc>
          <w:tcPr>
            <w:tcW w:w="1170" w:type="dxa"/>
            <w:noWrap/>
            <w:hideMark/>
          </w:tcPr>
          <w:p w:rsidRPr="006F7F6C" w:rsidR="006F7F6C" w:rsidP="0098554E" w:rsidRDefault="006F7F6C" w14:paraId="2CDA2E75" w14:textId="77777777">
            <w:pPr>
              <w:jc w:val="center"/>
              <w:rPr>
                <w:rFonts w:ascii="Palatino Linotype" w:hAnsi="Palatino Linotype"/>
              </w:rPr>
            </w:pPr>
            <w:r w:rsidRPr="006F7F6C">
              <w:rPr>
                <w:rFonts w:ascii="Palatino Linotype" w:hAnsi="Palatino Linotype"/>
              </w:rPr>
              <w:t>2.400%</w:t>
            </w:r>
          </w:p>
        </w:tc>
        <w:tc>
          <w:tcPr>
            <w:tcW w:w="1170" w:type="dxa"/>
            <w:noWrap/>
            <w:hideMark/>
          </w:tcPr>
          <w:p w:rsidRPr="006F7F6C" w:rsidR="006F7F6C" w:rsidP="0098554E" w:rsidRDefault="006F7F6C" w14:paraId="4934F799" w14:textId="77777777">
            <w:pPr>
              <w:jc w:val="center"/>
              <w:rPr>
                <w:rFonts w:ascii="Palatino Linotype" w:hAnsi="Palatino Linotype"/>
              </w:rPr>
            </w:pPr>
            <w:r w:rsidRPr="006F7F6C">
              <w:rPr>
                <w:rFonts w:ascii="Palatino Linotype" w:hAnsi="Palatino Linotype"/>
              </w:rPr>
              <w:t>0.500%</w:t>
            </w:r>
          </w:p>
        </w:tc>
        <w:tc>
          <w:tcPr>
            <w:tcW w:w="1373" w:type="dxa"/>
            <w:noWrap/>
            <w:hideMark/>
          </w:tcPr>
          <w:p w:rsidRPr="006F7F6C" w:rsidR="006F7F6C" w:rsidP="0098554E" w:rsidRDefault="006F7F6C" w14:paraId="100B9229" w14:textId="77777777">
            <w:pPr>
              <w:jc w:val="center"/>
              <w:rPr>
                <w:rFonts w:ascii="Palatino Linotype" w:hAnsi="Palatino Linotype"/>
              </w:rPr>
            </w:pPr>
            <w:r w:rsidRPr="006F7F6C">
              <w:rPr>
                <w:rFonts w:ascii="Palatino Linotype" w:hAnsi="Palatino Linotype"/>
              </w:rPr>
              <w:t>0.350%</w:t>
            </w:r>
          </w:p>
        </w:tc>
        <w:tc>
          <w:tcPr>
            <w:tcW w:w="1345" w:type="dxa"/>
            <w:noWrap/>
            <w:hideMark/>
          </w:tcPr>
          <w:p w:rsidRPr="006F7F6C" w:rsidR="006F7F6C" w:rsidP="0098554E" w:rsidRDefault="006F7F6C" w14:paraId="26F2DFC0" w14:textId="77777777">
            <w:pPr>
              <w:jc w:val="center"/>
              <w:rPr>
                <w:rFonts w:ascii="Palatino Linotype" w:hAnsi="Palatino Linotype"/>
              </w:rPr>
            </w:pPr>
            <w:r w:rsidRPr="006F7F6C">
              <w:rPr>
                <w:rFonts w:ascii="Palatino Linotype" w:hAnsi="Palatino Linotype"/>
              </w:rPr>
              <w:t>0.000%</w:t>
            </w:r>
          </w:p>
        </w:tc>
        <w:tc>
          <w:tcPr>
            <w:tcW w:w="1170" w:type="dxa"/>
            <w:shd w:val="clear" w:color="auto" w:fill="D9D9D9" w:themeFill="background1" w:themeFillShade="D9"/>
            <w:noWrap/>
            <w:hideMark/>
          </w:tcPr>
          <w:p w:rsidRPr="006F7F6C" w:rsidR="006F7F6C" w:rsidP="0098554E" w:rsidRDefault="006F7F6C" w14:paraId="4E7E8CB6" w14:textId="77777777">
            <w:pPr>
              <w:jc w:val="center"/>
              <w:rPr>
                <w:rFonts w:ascii="Palatino Linotype" w:hAnsi="Palatino Linotype"/>
              </w:rPr>
            </w:pPr>
            <w:r w:rsidRPr="006F7F6C">
              <w:rPr>
                <w:rFonts w:ascii="Palatino Linotype" w:hAnsi="Palatino Linotype"/>
              </w:rPr>
              <w:t>1.080%</w:t>
            </w:r>
          </w:p>
        </w:tc>
        <w:tc>
          <w:tcPr>
            <w:tcW w:w="1170" w:type="dxa"/>
            <w:noWrap/>
            <w:hideMark/>
          </w:tcPr>
          <w:p w:rsidRPr="006F7F6C" w:rsidR="006F7F6C" w:rsidP="0098554E" w:rsidRDefault="006F7F6C" w14:paraId="67E8F24A" w14:textId="77777777">
            <w:pPr>
              <w:jc w:val="center"/>
              <w:rPr>
                <w:rFonts w:ascii="Palatino Linotype" w:hAnsi="Palatino Linotype"/>
              </w:rPr>
            </w:pPr>
            <w:r w:rsidRPr="006F7F6C">
              <w:rPr>
                <w:rFonts w:ascii="Palatino Linotype" w:hAnsi="Palatino Linotype"/>
              </w:rPr>
              <w:t>0.464%</w:t>
            </w:r>
          </w:p>
        </w:tc>
      </w:tr>
      <w:tr w:rsidRPr="006F7F6C" w:rsidR="006F7F6C" w:rsidTr="006F7F6C" w14:paraId="06FFC9FB" w14:textId="77777777">
        <w:trPr>
          <w:trHeight w:val="300"/>
          <w:jc w:val="center"/>
        </w:trPr>
        <w:tc>
          <w:tcPr>
            <w:tcW w:w="1874" w:type="dxa"/>
            <w:noWrap/>
            <w:hideMark/>
          </w:tcPr>
          <w:p w:rsidRPr="006F7F6C" w:rsidR="006F7F6C" w:rsidP="006F7F6C" w:rsidRDefault="006F7F6C" w14:paraId="2115E558" w14:textId="77777777">
            <w:pPr>
              <w:jc w:val="center"/>
              <w:rPr>
                <w:rFonts w:ascii="Palatino Linotype" w:hAnsi="Palatino Linotype"/>
              </w:rPr>
            </w:pPr>
            <w:r w:rsidRPr="006F7F6C">
              <w:rPr>
                <w:rFonts w:ascii="Palatino Linotype" w:hAnsi="Palatino Linotype"/>
              </w:rPr>
              <w:t>08/01/15</w:t>
            </w:r>
          </w:p>
        </w:tc>
        <w:tc>
          <w:tcPr>
            <w:tcW w:w="1170" w:type="dxa"/>
            <w:shd w:val="clear" w:color="auto" w:fill="D9D9D9" w:themeFill="background1" w:themeFillShade="D9"/>
            <w:noWrap/>
            <w:hideMark/>
          </w:tcPr>
          <w:p w:rsidRPr="006F7F6C" w:rsidR="006F7F6C" w:rsidP="0098554E" w:rsidRDefault="006F7F6C" w14:paraId="600C253A" w14:textId="77777777">
            <w:pPr>
              <w:jc w:val="center"/>
              <w:rPr>
                <w:rFonts w:ascii="Palatino Linotype" w:hAnsi="Palatino Linotype"/>
              </w:rPr>
            </w:pPr>
            <w:r w:rsidRPr="006F7F6C">
              <w:rPr>
                <w:rFonts w:ascii="Palatino Linotype" w:hAnsi="Palatino Linotype"/>
              </w:rPr>
              <w:t>3.800%</w:t>
            </w:r>
          </w:p>
        </w:tc>
        <w:tc>
          <w:tcPr>
            <w:tcW w:w="1170" w:type="dxa"/>
            <w:noWrap/>
            <w:hideMark/>
          </w:tcPr>
          <w:p w:rsidRPr="006F7F6C" w:rsidR="006F7F6C" w:rsidP="0098554E" w:rsidRDefault="006F7F6C" w14:paraId="4CFD0E1E" w14:textId="77777777">
            <w:pPr>
              <w:jc w:val="center"/>
              <w:rPr>
                <w:rFonts w:ascii="Palatino Linotype" w:hAnsi="Palatino Linotype"/>
              </w:rPr>
            </w:pPr>
            <w:r w:rsidRPr="006F7F6C">
              <w:rPr>
                <w:rFonts w:ascii="Palatino Linotype" w:hAnsi="Palatino Linotype"/>
              </w:rPr>
              <w:t>0.500%</w:t>
            </w:r>
          </w:p>
        </w:tc>
        <w:tc>
          <w:tcPr>
            <w:tcW w:w="1373" w:type="dxa"/>
            <w:noWrap/>
            <w:hideMark/>
          </w:tcPr>
          <w:p w:rsidRPr="006F7F6C" w:rsidR="006F7F6C" w:rsidP="0098554E" w:rsidRDefault="006F7F6C" w14:paraId="23136BE4" w14:textId="77777777">
            <w:pPr>
              <w:jc w:val="center"/>
              <w:rPr>
                <w:rFonts w:ascii="Palatino Linotype" w:hAnsi="Palatino Linotype"/>
              </w:rPr>
            </w:pPr>
            <w:r w:rsidRPr="006F7F6C">
              <w:rPr>
                <w:rFonts w:ascii="Palatino Linotype" w:hAnsi="Palatino Linotype"/>
              </w:rPr>
              <w:t>0.350%</w:t>
            </w:r>
          </w:p>
        </w:tc>
        <w:tc>
          <w:tcPr>
            <w:tcW w:w="1345" w:type="dxa"/>
            <w:noWrap/>
            <w:hideMark/>
          </w:tcPr>
          <w:p w:rsidRPr="006F7F6C" w:rsidR="006F7F6C" w:rsidP="0098554E" w:rsidRDefault="006F7F6C" w14:paraId="3B1EDF3F" w14:textId="77777777">
            <w:pPr>
              <w:jc w:val="center"/>
              <w:rPr>
                <w:rFonts w:ascii="Palatino Linotype" w:hAnsi="Palatino Linotype"/>
              </w:rPr>
            </w:pPr>
            <w:r w:rsidRPr="006F7F6C">
              <w:rPr>
                <w:rFonts w:ascii="Palatino Linotype" w:hAnsi="Palatino Linotype"/>
              </w:rPr>
              <w:t>0.000%</w:t>
            </w:r>
          </w:p>
        </w:tc>
        <w:tc>
          <w:tcPr>
            <w:tcW w:w="1170" w:type="dxa"/>
            <w:noWrap/>
            <w:hideMark/>
          </w:tcPr>
          <w:p w:rsidRPr="006F7F6C" w:rsidR="006F7F6C" w:rsidP="0098554E" w:rsidRDefault="006F7F6C" w14:paraId="2A67506D" w14:textId="77777777">
            <w:pPr>
              <w:jc w:val="center"/>
              <w:rPr>
                <w:rFonts w:ascii="Palatino Linotype" w:hAnsi="Palatino Linotype"/>
              </w:rPr>
            </w:pPr>
            <w:r w:rsidRPr="006F7F6C">
              <w:rPr>
                <w:rFonts w:ascii="Palatino Linotype" w:hAnsi="Palatino Linotype"/>
              </w:rPr>
              <w:t>1.080%</w:t>
            </w:r>
          </w:p>
        </w:tc>
        <w:tc>
          <w:tcPr>
            <w:tcW w:w="1170" w:type="dxa"/>
            <w:noWrap/>
            <w:hideMark/>
          </w:tcPr>
          <w:p w:rsidRPr="006F7F6C" w:rsidR="006F7F6C" w:rsidP="0098554E" w:rsidRDefault="006F7F6C" w14:paraId="58852596" w14:textId="77777777">
            <w:pPr>
              <w:jc w:val="center"/>
              <w:rPr>
                <w:rFonts w:ascii="Palatino Linotype" w:hAnsi="Palatino Linotype"/>
              </w:rPr>
            </w:pPr>
            <w:r w:rsidRPr="006F7F6C">
              <w:rPr>
                <w:rFonts w:ascii="Palatino Linotype" w:hAnsi="Palatino Linotype"/>
              </w:rPr>
              <w:t>0.464%</w:t>
            </w:r>
          </w:p>
        </w:tc>
      </w:tr>
    </w:tbl>
    <w:p w:rsidRPr="006F7F6C" w:rsidR="006F7F6C" w:rsidP="006F7F6C" w:rsidRDefault="006F7F6C" w14:paraId="41CEE2D5" w14:textId="77777777">
      <w:pPr>
        <w:pStyle w:val="Title"/>
        <w:ind w:right="90"/>
        <w:jc w:val="left"/>
        <w:rPr>
          <w:rFonts w:ascii="Palatino Linotype" w:hAnsi="Palatino Linotype"/>
          <w:b w:val="0"/>
          <w:szCs w:val="24"/>
        </w:rPr>
      </w:pPr>
      <w:r w:rsidRPr="006F7F6C">
        <w:rPr>
          <w:rFonts w:ascii="Palatino Linotype" w:hAnsi="Palatino Linotype"/>
          <w:b w:val="0"/>
          <w:szCs w:val="24"/>
        </w:rPr>
        <w:t>The surcharge rates on August 1, 2015 remained effective through September 2015.</w:t>
      </w:r>
    </w:p>
    <w:p w:rsidRPr="006F7F6C" w:rsidR="006F7F6C" w:rsidP="006F7F6C" w:rsidRDefault="006F7F6C" w14:paraId="38E0EAD5" w14:textId="77777777">
      <w:pPr>
        <w:pStyle w:val="Title"/>
        <w:ind w:left="720" w:right="90"/>
        <w:jc w:val="left"/>
        <w:rPr>
          <w:rFonts w:ascii="Palatino Linotype" w:hAnsi="Palatino Linotype"/>
          <w:b w:val="0"/>
          <w:szCs w:val="24"/>
          <w:u w:val="single"/>
        </w:rPr>
      </w:pPr>
    </w:p>
    <w:p w:rsidRPr="006F7F6C" w:rsidR="006F7F6C" w:rsidP="006F7F6C" w:rsidRDefault="006F7F6C" w14:paraId="279DC4F9" w14:textId="4C737B81">
      <w:pPr>
        <w:pStyle w:val="Title"/>
        <w:ind w:right="90"/>
        <w:jc w:val="left"/>
        <w:rPr>
          <w:rFonts w:ascii="Palatino Linotype" w:hAnsi="Palatino Linotype"/>
          <w:b w:val="0"/>
          <w:szCs w:val="24"/>
          <w:u w:val="single"/>
        </w:rPr>
      </w:pPr>
      <w:r w:rsidRPr="006F7F6C">
        <w:rPr>
          <w:rFonts w:ascii="Palatino Linotype" w:hAnsi="Palatino Linotype"/>
          <w:b w:val="0"/>
          <w:szCs w:val="24"/>
          <w:u w:val="single"/>
        </w:rPr>
        <w:t>CPUC User Fee</w:t>
      </w:r>
      <w:r w:rsidR="00FD402E">
        <w:rPr>
          <w:rFonts w:ascii="Palatino Linotype" w:hAnsi="Palatino Linotype"/>
          <w:b w:val="0"/>
          <w:szCs w:val="24"/>
          <w:u w:val="single"/>
        </w:rPr>
        <w:t>s</w:t>
      </w:r>
    </w:p>
    <w:p w:rsidRPr="006F7F6C" w:rsidR="006F7F6C" w:rsidP="006F7F6C" w:rsidRDefault="006F7F6C" w14:paraId="6A9A44E5" w14:textId="77777777">
      <w:pPr>
        <w:pStyle w:val="Title"/>
        <w:ind w:left="720" w:right="90"/>
        <w:jc w:val="left"/>
        <w:rPr>
          <w:rFonts w:ascii="Palatino Linotype" w:hAnsi="Palatino Linotype"/>
          <w:b w:val="0"/>
          <w:szCs w:val="24"/>
        </w:rPr>
      </w:pPr>
      <w:r w:rsidRPr="006F7F6C">
        <w:rPr>
          <w:rFonts w:ascii="Palatino Linotype" w:hAnsi="Palatino Linotype"/>
          <w:b w:val="0"/>
          <w:szCs w:val="24"/>
        </w:rPr>
        <w:t xml:space="preserve">  </w:t>
      </w:r>
    </w:p>
    <w:p w:rsidRPr="006F7F6C" w:rsidR="006F7F6C" w:rsidP="006F7F6C" w:rsidRDefault="006F7F6C" w14:paraId="3B51E720" w14:textId="77777777">
      <w:pPr>
        <w:shd w:val="clear" w:color="auto" w:fill="FFFFFF"/>
        <w:rPr>
          <w:rFonts w:ascii="Palatino Linotype" w:hAnsi="Palatino Linotype"/>
          <w:lang w:val="en"/>
        </w:rPr>
      </w:pPr>
      <w:r w:rsidRPr="006F7F6C">
        <w:rPr>
          <w:rFonts w:ascii="Palatino Linotype" w:hAnsi="Palatino Linotype"/>
          <w:lang w:val="en"/>
        </w:rPr>
        <w:t xml:space="preserve">Public Utilities Code Sections 431 through 435 sets forth the User Fee requirements. The monies collected as user fees are deposited into the Public Utilities Commission Utilities Reimbursement Account and finance the Commission's annual operating budget. </w:t>
      </w:r>
    </w:p>
    <w:p w:rsidRPr="006F7F6C" w:rsidR="006F7F6C" w:rsidP="006F7F6C" w:rsidRDefault="006F7F6C" w14:paraId="501C799C" w14:textId="77777777">
      <w:pPr>
        <w:shd w:val="clear" w:color="auto" w:fill="FFFFFF"/>
        <w:ind w:left="720"/>
        <w:rPr>
          <w:rFonts w:ascii="Palatino Linotype" w:hAnsi="Palatino Linotype"/>
          <w:lang w:val="en"/>
        </w:rPr>
      </w:pPr>
    </w:p>
    <w:p w:rsidRPr="006F7F6C" w:rsidR="006F7F6C" w:rsidP="006F7F6C" w:rsidRDefault="006F7F6C" w14:paraId="6F723E58" w14:textId="77777777">
      <w:pPr>
        <w:shd w:val="clear" w:color="auto" w:fill="FFFFFF"/>
        <w:rPr>
          <w:rFonts w:ascii="Palatino Linotype" w:hAnsi="Palatino Linotype"/>
          <w:lang w:val="en"/>
        </w:rPr>
      </w:pPr>
      <w:r w:rsidRPr="006F7F6C">
        <w:rPr>
          <w:rFonts w:ascii="Palatino Linotype" w:hAnsi="Palatino Linotype"/>
          <w:lang w:val="en"/>
        </w:rPr>
        <w:t xml:space="preserve">The Commission annually determines the User Fee rate which is to be assessed on all CPUC regulated entities. For telecommunication carriers, the fee is assessed on intrastate telecommunications revenues.  For </w:t>
      </w:r>
      <w:r w:rsidRPr="006F7F6C">
        <w:rPr>
          <w:rFonts w:ascii="Palatino Linotype" w:hAnsi="Palatino Linotype"/>
        </w:rPr>
        <w:t>carriers with reported</w:t>
      </w:r>
      <w:r w:rsidRPr="006F7F6C">
        <w:rPr>
          <w:rFonts w:ascii="Palatino Linotype" w:hAnsi="Palatino Linotype"/>
          <w:lang w:val="en"/>
        </w:rPr>
        <w:t xml:space="preserve"> annual intrastate revenues of $750,000 or more, the User Fee rate was .18% (.0018) from </w:t>
      </w:r>
      <w:r w:rsidRPr="006F7F6C">
        <w:rPr>
          <w:rFonts w:ascii="Palatino Linotype" w:hAnsi="Palatino Linotype"/>
        </w:rPr>
        <w:t xml:space="preserve">January 1, 2013 through September 30, 2015. </w:t>
      </w:r>
      <w:r w:rsidRPr="006F7F6C">
        <w:rPr>
          <w:rFonts w:ascii="Palatino Linotype" w:hAnsi="Palatino Linotype"/>
          <w:lang w:val="en"/>
        </w:rPr>
        <w:t>These carriers are required to remit user fees quarterly, by the 15th of January, April, July, and October.</w:t>
      </w:r>
      <w:r w:rsidRPr="006F7F6C">
        <w:rPr>
          <w:rStyle w:val="FootnoteReference"/>
          <w:rFonts w:ascii="Palatino Linotype" w:hAnsi="Palatino Linotype"/>
          <w:lang w:val="en"/>
        </w:rPr>
        <w:footnoteReference w:id="18"/>
      </w:r>
      <w:r w:rsidRPr="006F7F6C">
        <w:rPr>
          <w:rFonts w:ascii="Palatino Linotype" w:hAnsi="Palatino Linotype"/>
          <w:lang w:val="en"/>
        </w:rPr>
        <w:t xml:space="preserve"> </w:t>
      </w:r>
    </w:p>
    <w:p w:rsidRPr="006F7F6C" w:rsidR="006F7F6C" w:rsidP="006F7F6C" w:rsidRDefault="006F7F6C" w14:paraId="0CCEACA9" w14:textId="77777777">
      <w:pPr>
        <w:shd w:val="clear" w:color="auto" w:fill="FFFFFF"/>
        <w:ind w:left="720"/>
        <w:rPr>
          <w:rFonts w:ascii="Palatino Linotype" w:hAnsi="Palatino Linotype"/>
          <w:lang w:val="en"/>
        </w:rPr>
      </w:pPr>
    </w:p>
    <w:p w:rsidR="006F7F6C" w:rsidP="006F7F6C" w:rsidRDefault="006F7F6C" w14:paraId="6FC27814" w14:textId="0809D4F8">
      <w:pPr>
        <w:rPr>
          <w:rFonts w:ascii="Palatino Linotype" w:hAnsi="Palatino Linotype"/>
          <w:lang w:val="en"/>
        </w:rPr>
      </w:pPr>
      <w:r w:rsidRPr="006F7F6C">
        <w:rPr>
          <w:rFonts w:ascii="Palatino Linotype" w:hAnsi="Palatino Linotype"/>
          <w:lang w:val="en"/>
        </w:rPr>
        <w:t>Prior to January 1, 2016, carriers submitted hardcopy reports and actual checks to the Commission for User Fee payments. Upon receiving the documents, Commission staff recorded the revenues and tracked the payments through an electronic filing system which was decommissioned in December 2015.</w:t>
      </w:r>
      <w:r w:rsidRPr="006F7F6C">
        <w:rPr>
          <w:rStyle w:val="FootnoteReference"/>
          <w:rFonts w:ascii="Palatino Linotype" w:hAnsi="Palatino Linotype"/>
          <w:lang w:val="en"/>
        </w:rPr>
        <w:footnoteReference w:id="19"/>
      </w:r>
      <w:r w:rsidRPr="006F7F6C">
        <w:rPr>
          <w:rFonts w:ascii="Palatino Linotype" w:hAnsi="Palatino Linotype"/>
          <w:lang w:val="en"/>
        </w:rPr>
        <w:t xml:space="preserve">  As of January 2016, carriers submit revenue reports and user fee payments, along with surcharge revenue reports and payments, through the TUFFS database.  </w:t>
      </w:r>
    </w:p>
    <w:p w:rsidRPr="006F7F6C" w:rsidR="006F7F6C" w:rsidP="006F7F6C" w:rsidRDefault="006F7F6C" w14:paraId="7C3BD37B" w14:textId="77777777">
      <w:pPr>
        <w:rPr>
          <w:rFonts w:ascii="Palatino Linotype" w:hAnsi="Palatino Linotype"/>
          <w:u w:val="single"/>
        </w:rPr>
      </w:pPr>
    </w:p>
    <w:p w:rsidR="006F7F6C" w:rsidP="006F7F6C" w:rsidRDefault="006F7F6C" w14:paraId="4738A988" w14:textId="77777777">
      <w:pPr>
        <w:jc w:val="center"/>
        <w:rPr>
          <w:rFonts w:ascii="Palatino Linotype" w:hAnsi="Palatino Linotype"/>
          <w:b/>
          <w:u w:val="single"/>
        </w:rPr>
        <w:sectPr w:rsidR="006F7F6C" w:rsidSect="006D1CDA">
          <w:footerReference w:type="default" r:id="rId16"/>
          <w:pgSz w:w="12240" w:h="15840" w:code="1"/>
          <w:pgMar w:top="1440" w:right="1440" w:bottom="1440" w:left="1440" w:header="720" w:footer="392" w:gutter="0"/>
          <w:pgNumType w:start="1"/>
          <w:cols w:space="720"/>
          <w:docGrid w:linePitch="326"/>
        </w:sectPr>
      </w:pPr>
      <w:r>
        <w:rPr>
          <w:rFonts w:ascii="Palatino Linotype" w:hAnsi="Palatino Linotype"/>
          <w:b/>
          <w:u w:val="single"/>
        </w:rPr>
        <w:t>END OF ATTACHMENT A</w:t>
      </w:r>
    </w:p>
    <w:p w:rsidR="006F7F6C" w:rsidP="006F7F6C" w:rsidRDefault="006F7F6C" w14:paraId="09CD3230" w14:textId="738463F3">
      <w:pPr>
        <w:jc w:val="center"/>
        <w:rPr>
          <w:rFonts w:ascii="Palatino Linotype" w:hAnsi="Palatino Linotype"/>
          <w:b/>
          <w:u w:val="single"/>
        </w:rPr>
      </w:pPr>
      <w:r>
        <w:rPr>
          <w:rFonts w:ascii="Palatino Linotype" w:hAnsi="Palatino Linotype"/>
          <w:b/>
          <w:u w:val="single"/>
        </w:rPr>
        <w:lastRenderedPageBreak/>
        <w:t>ATTACHMENT B</w:t>
      </w:r>
    </w:p>
    <w:p w:rsidRPr="00720900" w:rsidR="005D6A08" w:rsidP="005D6A08" w:rsidRDefault="005D6A08" w14:paraId="3A3BABC1" w14:textId="3EF46148">
      <w:pPr>
        <w:jc w:val="center"/>
        <w:rPr>
          <w:rFonts w:ascii="Garamond" w:hAnsi="Garamond"/>
          <w:bCs/>
        </w:rPr>
      </w:pPr>
      <w:r w:rsidRPr="00720900">
        <w:rPr>
          <w:rFonts w:ascii="Garamond" w:hAnsi="Garamond"/>
          <w:bCs/>
        </w:rPr>
        <w:t xml:space="preserve">March 24, 2020 </w:t>
      </w:r>
      <w:r w:rsidR="00720900">
        <w:rPr>
          <w:rFonts w:ascii="Garamond" w:hAnsi="Garamond"/>
          <w:bCs/>
        </w:rPr>
        <w:t xml:space="preserve">CPUC </w:t>
      </w:r>
      <w:r w:rsidR="00720900">
        <w:rPr>
          <w:rFonts w:ascii="Garamond" w:hAnsi="Garamond" w:cs="Helvetica"/>
          <w:bCs/>
          <w:color w:val="333333"/>
          <w:lang w:val="en"/>
        </w:rPr>
        <w:t>I</w:t>
      </w:r>
      <w:r w:rsidRPr="00720900" w:rsidR="00720900">
        <w:rPr>
          <w:rFonts w:ascii="Garamond" w:hAnsi="Garamond" w:cs="Helvetica"/>
          <w:bCs/>
          <w:color w:val="333333"/>
          <w:lang w:val="en"/>
        </w:rPr>
        <w:t xml:space="preserve">nternal </w:t>
      </w:r>
      <w:r w:rsidR="00720900">
        <w:rPr>
          <w:rFonts w:ascii="Garamond" w:hAnsi="Garamond" w:cs="Helvetica"/>
          <w:bCs/>
          <w:color w:val="333333"/>
          <w:lang w:val="en"/>
        </w:rPr>
        <w:t>P</w:t>
      </w:r>
      <w:r w:rsidRPr="00720900" w:rsidR="00720900">
        <w:rPr>
          <w:rFonts w:ascii="Garamond" w:hAnsi="Garamond" w:cs="Helvetica"/>
          <w:bCs/>
          <w:color w:val="333333"/>
          <w:lang w:val="en"/>
        </w:rPr>
        <w:t xml:space="preserve">rocess for </w:t>
      </w:r>
      <w:r w:rsidR="00720900">
        <w:rPr>
          <w:rFonts w:ascii="Garamond" w:hAnsi="Garamond" w:cs="Helvetica"/>
          <w:bCs/>
          <w:color w:val="333333"/>
          <w:lang w:val="en"/>
        </w:rPr>
        <w:t>S</w:t>
      </w:r>
      <w:r w:rsidRPr="00720900" w:rsidR="00720900">
        <w:rPr>
          <w:rFonts w:ascii="Garamond" w:hAnsi="Garamond" w:cs="Helvetica"/>
          <w:bCs/>
          <w:color w:val="333333"/>
          <w:lang w:val="en"/>
        </w:rPr>
        <w:t xml:space="preserve">urcharge and </w:t>
      </w:r>
      <w:r w:rsidR="00720900">
        <w:rPr>
          <w:rFonts w:ascii="Garamond" w:hAnsi="Garamond" w:cs="Helvetica"/>
          <w:bCs/>
          <w:color w:val="333333"/>
          <w:lang w:val="en"/>
        </w:rPr>
        <w:t>U</w:t>
      </w:r>
      <w:r w:rsidRPr="00720900" w:rsidR="00720900">
        <w:rPr>
          <w:rFonts w:ascii="Garamond" w:hAnsi="Garamond" w:cs="Helvetica"/>
          <w:bCs/>
          <w:color w:val="333333"/>
          <w:lang w:val="en"/>
        </w:rPr>
        <w:t xml:space="preserve">ser </w:t>
      </w:r>
      <w:r w:rsidR="00720900">
        <w:rPr>
          <w:rFonts w:ascii="Garamond" w:hAnsi="Garamond" w:cs="Helvetica"/>
          <w:bCs/>
          <w:color w:val="333333"/>
          <w:lang w:val="en"/>
        </w:rPr>
        <w:t>F</w:t>
      </w:r>
      <w:r w:rsidRPr="00720900" w:rsidR="00720900">
        <w:rPr>
          <w:rFonts w:ascii="Garamond" w:hAnsi="Garamond" w:cs="Helvetica"/>
          <w:bCs/>
          <w:color w:val="333333"/>
          <w:lang w:val="en"/>
        </w:rPr>
        <w:t>ee-related refund claims</w:t>
      </w:r>
    </w:p>
    <w:p w:rsidRPr="00467F4B" w:rsidR="006E1CF8" w:rsidP="00720900" w:rsidRDefault="005D6A08" w14:paraId="0AF26CB7" w14:textId="49C2F296">
      <w:pPr>
        <w:jc w:val="center"/>
        <w:rPr>
          <w:rFonts w:ascii="Palatino Linotype" w:hAnsi="Palatino Linotype"/>
          <w:b/>
          <w:u w:val="single"/>
        </w:rPr>
      </w:pPr>
      <w:r w:rsidRPr="005D6A08">
        <w:rPr>
          <w:rFonts w:ascii="Palatino Linotype" w:hAnsi="Palatino Linotype"/>
          <w:b/>
          <w:noProof/>
        </w:rPr>
        <w:drawing>
          <wp:inline distT="0" distB="0" distL="0" distR="0" wp14:anchorId="490FD28B" wp14:editId="52AAE8A4">
            <wp:extent cx="5662634" cy="7328150"/>
            <wp:effectExtent l="152400" t="152400" r="357505" b="3683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62634" cy="7328150"/>
                    </a:xfrm>
                    <a:prstGeom prst="rect">
                      <a:avLst/>
                    </a:prstGeom>
                    <a:ln>
                      <a:noFill/>
                    </a:ln>
                    <a:effectLst>
                      <a:outerShdw blurRad="292100" dist="139700" dir="2700000" algn="tl" rotWithShape="0">
                        <a:srgbClr val="333333">
                          <a:alpha val="65000"/>
                        </a:srgbClr>
                      </a:outerShdw>
                    </a:effectLst>
                  </pic:spPr>
                </pic:pic>
              </a:graphicData>
            </a:graphic>
          </wp:inline>
        </w:drawing>
      </w:r>
    </w:p>
    <w:p w:rsidR="006E1CF8" w:rsidP="005D6A08" w:rsidRDefault="005D6A08" w14:paraId="1E1BD75F" w14:textId="582B4157">
      <w:pPr>
        <w:pStyle w:val="Title"/>
        <w:jc w:val="left"/>
        <w:rPr>
          <w:rFonts w:ascii="Palatino Linotype" w:hAnsi="Palatino Linotype"/>
          <w:szCs w:val="24"/>
          <w:u w:val="single"/>
        </w:rPr>
      </w:pPr>
      <w:r w:rsidRPr="005D6A08">
        <w:rPr>
          <w:rFonts w:ascii="Palatino Linotype" w:hAnsi="Palatino Linotype"/>
          <w:noProof/>
          <w:szCs w:val="24"/>
        </w:rPr>
        <w:lastRenderedPageBreak/>
        <w:drawing>
          <wp:inline distT="0" distB="0" distL="0" distR="0" wp14:anchorId="653FA63D" wp14:editId="644F7AEA">
            <wp:extent cx="5498158" cy="7115299"/>
            <wp:effectExtent l="152400" t="152400" r="369570" b="3524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517444" cy="7140258"/>
                    </a:xfrm>
                    <a:prstGeom prst="rect">
                      <a:avLst/>
                    </a:prstGeom>
                    <a:ln>
                      <a:noFill/>
                    </a:ln>
                    <a:effectLst>
                      <a:outerShdw blurRad="292100" dist="139700" dir="2700000" algn="tl" rotWithShape="0">
                        <a:srgbClr val="333333">
                          <a:alpha val="65000"/>
                        </a:srgbClr>
                      </a:outerShdw>
                    </a:effectLst>
                  </pic:spPr>
                </pic:pic>
              </a:graphicData>
            </a:graphic>
          </wp:inline>
        </w:drawing>
      </w:r>
    </w:p>
    <w:p w:rsidRPr="0070295A" w:rsidR="0070295A" w:rsidP="0070295A" w:rsidRDefault="0070295A" w14:paraId="0E769ABF" w14:textId="237F7632">
      <w:pPr>
        <w:pStyle w:val="Title"/>
        <w:rPr>
          <w:rFonts w:ascii="Palatino Linotype" w:hAnsi="Palatino Linotype"/>
          <w:szCs w:val="24"/>
        </w:rPr>
      </w:pPr>
      <w:r w:rsidRPr="0070295A">
        <w:rPr>
          <w:rFonts w:ascii="Palatino Linotype" w:hAnsi="Palatino Linotype"/>
          <w:szCs w:val="24"/>
        </w:rPr>
        <w:t xml:space="preserve">END OF ATTACHMENT </w:t>
      </w:r>
      <w:r w:rsidR="006F7F6C">
        <w:rPr>
          <w:rFonts w:ascii="Palatino Linotype" w:hAnsi="Palatino Linotype"/>
          <w:szCs w:val="24"/>
        </w:rPr>
        <w:t>B</w:t>
      </w:r>
    </w:p>
    <w:sectPr w:rsidRPr="0070295A" w:rsidR="0070295A" w:rsidSect="006D1CDA">
      <w:footerReference w:type="default" r:id="rId19"/>
      <w:pgSz w:w="12240" w:h="15840" w:code="1"/>
      <w:pgMar w:top="1440" w:right="1440" w:bottom="1440" w:left="1440" w:header="720" w:footer="39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D84E9" w14:textId="77777777" w:rsidR="00DF043E" w:rsidRDefault="00DF043E">
      <w:r>
        <w:separator/>
      </w:r>
    </w:p>
  </w:endnote>
  <w:endnote w:type="continuationSeparator" w:id="0">
    <w:p w14:paraId="7E756F74" w14:textId="77777777" w:rsidR="00DF043E" w:rsidRDefault="00DF043E">
      <w:r>
        <w:continuationSeparator/>
      </w:r>
    </w:p>
  </w:endnote>
  <w:endnote w:type="continuationNotice" w:id="1">
    <w:p w14:paraId="47A2AE06" w14:textId="77777777" w:rsidR="00DF043E" w:rsidRDefault="00DF04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7A93" w14:textId="77777777" w:rsidR="00CA382C" w:rsidRDefault="00CA3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0FA9" w14:textId="6357259F" w:rsidR="00A07617" w:rsidRPr="00CA4751" w:rsidRDefault="00A07617" w:rsidP="00AC35F6">
    <w:pPr>
      <w:pStyle w:val="Footer"/>
    </w:pPr>
    <w:r>
      <w:rPr>
        <w:sz w:val="20"/>
        <w:szCs w:val="20"/>
      </w:rPr>
      <w:tab/>
    </w:r>
    <w:sdt>
      <w:sdtPr>
        <w:id w:val="306672013"/>
        <w:docPartObj>
          <w:docPartGallery w:val="Page Numbers (Bottom of Page)"/>
          <w:docPartUnique/>
        </w:docPartObj>
      </w:sdtPr>
      <w:sdtEndPr>
        <w:rPr>
          <w:noProof/>
        </w:rPr>
      </w:sdtEndPr>
      <w:sdtContent>
        <w:r w:rsidRPr="006D1CDA">
          <w:fldChar w:fldCharType="begin"/>
        </w:r>
        <w:r w:rsidRPr="006D1CDA">
          <w:instrText xml:space="preserve"> PAGE   \* MERGEFORMAT </w:instrText>
        </w:r>
        <w:r w:rsidRPr="006D1CDA">
          <w:fldChar w:fldCharType="separate"/>
        </w:r>
        <w:r w:rsidRPr="006D1CDA">
          <w:rPr>
            <w:noProof/>
          </w:rPr>
          <w:t>2</w:t>
        </w:r>
        <w:r w:rsidRPr="006D1CDA">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FFA3" w14:textId="773FAF70" w:rsidR="00A07617" w:rsidRDefault="00A07617">
    <w:pPr>
      <w:pStyle w:val="Footer"/>
    </w:pPr>
    <w:r w:rsidRPr="00AC35F6">
      <w:rPr>
        <w:sz w:val="20"/>
        <w:szCs w:val="20"/>
      </w:rPr>
      <w:t>374802821</w:t>
    </w:r>
    <w:r>
      <w:rPr>
        <w:sz w:val="20"/>
        <w:szCs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7A59" w14:textId="3D4DFE94" w:rsidR="00A07617" w:rsidRPr="006D1CDA" w:rsidRDefault="00A07617" w:rsidP="006D1CDA">
    <w:pPr>
      <w:pStyle w:val="Footer"/>
      <w:jc w:val="center"/>
    </w:pPr>
    <w:r>
      <w:t>A-</w:t>
    </w:r>
    <w:sdt>
      <w:sdtPr>
        <w:id w:val="53514919"/>
        <w:docPartObj>
          <w:docPartGallery w:val="Page Numbers (Bottom of Page)"/>
          <w:docPartUnique/>
        </w:docPartObj>
      </w:sdtPr>
      <w:sdtEndPr>
        <w:rPr>
          <w:noProof/>
        </w:rPr>
      </w:sdtEndPr>
      <w:sdtContent>
        <w:r w:rsidRPr="006D1CDA">
          <w:fldChar w:fldCharType="begin"/>
        </w:r>
        <w:r w:rsidRPr="006D1CDA">
          <w:instrText xml:space="preserve"> PAGE   \* MERGEFORMAT </w:instrText>
        </w:r>
        <w:r w:rsidRPr="006D1CDA">
          <w:fldChar w:fldCharType="separate"/>
        </w:r>
        <w:r w:rsidRPr="006D1CDA">
          <w:rPr>
            <w:noProof/>
          </w:rPr>
          <w:t>2</w:t>
        </w:r>
        <w:r w:rsidRPr="006D1CDA">
          <w:rPr>
            <w:noProof/>
          </w:rPr>
          <w:fldChar w:fldCharType="end"/>
        </w:r>
      </w:sdtContent>
    </w:sdt>
  </w:p>
  <w:p w14:paraId="380E841F" w14:textId="77777777" w:rsidR="00A07617" w:rsidRPr="00CA4751" w:rsidRDefault="00A07617" w:rsidP="00CA4751">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E7E8" w14:textId="20B4B3E6" w:rsidR="00A07617" w:rsidRPr="006D1CDA" w:rsidRDefault="00A07617" w:rsidP="006D1CDA">
    <w:pPr>
      <w:pStyle w:val="Footer"/>
      <w:jc w:val="center"/>
    </w:pPr>
    <w:r>
      <w:t>B-</w:t>
    </w:r>
    <w:sdt>
      <w:sdtPr>
        <w:id w:val="-458338415"/>
        <w:docPartObj>
          <w:docPartGallery w:val="Page Numbers (Bottom of Page)"/>
          <w:docPartUnique/>
        </w:docPartObj>
      </w:sdtPr>
      <w:sdtEndPr>
        <w:rPr>
          <w:noProof/>
        </w:rPr>
      </w:sdtEndPr>
      <w:sdtContent>
        <w:r w:rsidRPr="006D1CDA">
          <w:fldChar w:fldCharType="begin"/>
        </w:r>
        <w:r w:rsidRPr="006D1CDA">
          <w:instrText xml:space="preserve"> PAGE   \* MERGEFORMAT </w:instrText>
        </w:r>
        <w:r w:rsidRPr="006D1CDA">
          <w:fldChar w:fldCharType="separate"/>
        </w:r>
        <w:r w:rsidRPr="006D1CDA">
          <w:rPr>
            <w:noProof/>
          </w:rPr>
          <w:t>2</w:t>
        </w:r>
        <w:r w:rsidRPr="006D1CDA">
          <w:rPr>
            <w:noProof/>
          </w:rPr>
          <w:fldChar w:fldCharType="end"/>
        </w:r>
      </w:sdtContent>
    </w:sdt>
  </w:p>
  <w:p w14:paraId="2F40A153" w14:textId="77777777" w:rsidR="00A07617" w:rsidRPr="00CA4751" w:rsidRDefault="00A07617" w:rsidP="00CA475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9DAB0" w14:textId="77777777" w:rsidR="00DF043E" w:rsidRDefault="00DF043E">
      <w:r>
        <w:separator/>
      </w:r>
    </w:p>
  </w:footnote>
  <w:footnote w:type="continuationSeparator" w:id="0">
    <w:p w14:paraId="2A556B3A" w14:textId="77777777" w:rsidR="00DF043E" w:rsidRDefault="00DF043E">
      <w:r>
        <w:continuationSeparator/>
      </w:r>
    </w:p>
  </w:footnote>
  <w:footnote w:type="continuationNotice" w:id="1">
    <w:p w14:paraId="44C5D5E1" w14:textId="77777777" w:rsidR="00DF043E" w:rsidRDefault="00DF043E"/>
  </w:footnote>
  <w:footnote w:id="2">
    <w:p w14:paraId="027B5E1B" w14:textId="77777777" w:rsidR="00A07617" w:rsidRPr="00F66EDA" w:rsidRDefault="00A07617" w:rsidP="00932789">
      <w:pPr>
        <w:pStyle w:val="FootnoteText"/>
      </w:pPr>
      <w:r w:rsidRPr="00F66EDA">
        <w:rPr>
          <w:rStyle w:val="FootnoteReference"/>
        </w:rPr>
        <w:footnoteRef/>
      </w:r>
      <w:r w:rsidRPr="00F66EDA">
        <w:t>The surcharges collected fund the six universal service funds administered by the Commission, set forth in Public Utilities Code Sections 275 through 281: California High-Cost Fund A (CHCF-A), California High Cost Fund B (CHCF-B), California Universal Lifeline Telephone Service (LifeLine or ULTS), California Teleconnect Fund (CTF), Deaf &amp; Disabled Telecommunication Program (DDTP), and California Advance Service Funds (CASF).</w:t>
      </w:r>
    </w:p>
  </w:footnote>
  <w:footnote w:id="3">
    <w:p w14:paraId="51D5E1E9" w14:textId="77777777" w:rsidR="00A07617" w:rsidRPr="00F66EDA" w:rsidRDefault="00A07617" w:rsidP="00932789">
      <w:pPr>
        <w:pStyle w:val="FootnoteText"/>
      </w:pPr>
      <w:r w:rsidRPr="00F66EDA">
        <w:rPr>
          <w:rStyle w:val="FootnoteReference"/>
        </w:rPr>
        <w:footnoteRef/>
      </w:r>
      <w:r w:rsidRPr="00F66EDA">
        <w:rPr>
          <w:lang w:val="en"/>
        </w:rPr>
        <w:t>Pu</w:t>
      </w:r>
      <w:r>
        <w:rPr>
          <w:lang w:val="en"/>
        </w:rPr>
        <w:t>blic</w:t>
      </w:r>
      <w:r w:rsidRPr="00F66EDA">
        <w:t xml:space="preserve"> Utilities Code Sections 431 through 435 sets forth the User Fee requirements.</w:t>
      </w:r>
    </w:p>
  </w:footnote>
  <w:footnote w:id="4">
    <w:p w14:paraId="15489904" w14:textId="77777777" w:rsidR="00A07617" w:rsidRPr="00F04508" w:rsidRDefault="00A07617" w:rsidP="00932789">
      <w:pPr>
        <w:pStyle w:val="FootnoteText"/>
      </w:pPr>
      <w:r w:rsidRPr="00F04508">
        <w:rPr>
          <w:rStyle w:val="FootnoteReference"/>
        </w:rPr>
        <w:footnoteRef/>
      </w:r>
      <w:r w:rsidRPr="00F04508">
        <w:t>FCC 1998 Stevens Report</w:t>
      </w:r>
      <w:r>
        <w:t>.</w:t>
      </w:r>
    </w:p>
  </w:footnote>
  <w:footnote w:id="5">
    <w:p w14:paraId="1D22F21E" w14:textId="77777777" w:rsidR="00A07617" w:rsidRDefault="00A07617" w:rsidP="00932789">
      <w:pPr>
        <w:pStyle w:val="FootnoteText"/>
      </w:pPr>
      <w:r>
        <w:rPr>
          <w:rStyle w:val="FootnoteReference"/>
        </w:rPr>
        <w:footnoteRef/>
      </w:r>
      <w:r>
        <w:t xml:space="preserve">On December 12, 2018, the FCC declared that wireless text messaging services were “information services.”  (FCC Declaratory Ruling, FCC 18-178, WC Docket No. 08-7 (Dec. 12, 2018).)  However, the surcharges and fees at issue here were imposed well before the FCC adopted its ruling.          </w:t>
      </w:r>
    </w:p>
  </w:footnote>
  <w:footnote w:id="6">
    <w:p w14:paraId="60AF1D32" w14:textId="77777777" w:rsidR="00A07617" w:rsidRDefault="00A07617" w:rsidP="00932789">
      <w:pPr>
        <w:pStyle w:val="FootnoteText"/>
      </w:pPr>
      <w:r>
        <w:rPr>
          <w:rStyle w:val="FootnoteReference"/>
        </w:rPr>
        <w:footnoteRef/>
      </w:r>
      <w:r>
        <w:t>On June 6, 2018, AT&amp;T sent an email providing a revised spreadsheet showing the prepaid revenue reconciliation for AT&amp;T Mobility. The email was identified by AT&amp;T as “</w:t>
      </w:r>
      <w:r w:rsidRPr="00FD4BF0">
        <w:t xml:space="preserve">Proprietary and confidential information under </w:t>
      </w:r>
      <w:r>
        <w:t>C</w:t>
      </w:r>
      <w:r w:rsidRPr="00FD4BF0">
        <w:t xml:space="preserve">alifornia </w:t>
      </w:r>
      <w:r>
        <w:t>G</w:t>
      </w:r>
      <w:r w:rsidRPr="00FD4BF0">
        <w:t xml:space="preserve">overnment </w:t>
      </w:r>
      <w:r>
        <w:t>C</w:t>
      </w:r>
      <w:r w:rsidRPr="00FD4BF0">
        <w:t>ode § 6254(k); 47 cfr 64.2001 et seq., the stored communications act, 18</w:t>
      </w:r>
      <w:r>
        <w:t xml:space="preserve"> U.S.C.</w:t>
      </w:r>
      <w:r w:rsidRPr="00FD4BF0">
        <w:t xml:space="preserve"> § 2701 et. Seq., </w:t>
      </w:r>
      <w:r>
        <w:t>C</w:t>
      </w:r>
      <w:r w:rsidRPr="00FD4BF0">
        <w:t xml:space="preserve">alifornia </w:t>
      </w:r>
      <w:r>
        <w:t>P</w:t>
      </w:r>
      <w:r w:rsidRPr="00FD4BF0">
        <w:t>ub. Util. Code sections 2891 and 2891.1; may not be disclosed pursuant to public utilities code section 583</w:t>
      </w:r>
      <w:r>
        <w:t>.”</w:t>
      </w:r>
    </w:p>
  </w:footnote>
  <w:footnote w:id="7">
    <w:p w14:paraId="38FFFF20" w14:textId="77777777" w:rsidR="00A07617" w:rsidRDefault="00A07617" w:rsidP="00932789">
      <w:pPr>
        <w:pStyle w:val="FootnoteText"/>
      </w:pPr>
      <w:r>
        <w:rPr>
          <w:rStyle w:val="FootnoteReference"/>
        </w:rPr>
        <w:footnoteRef/>
      </w:r>
      <w:r>
        <w:t xml:space="preserve"> June 15, 2018 letter to AT&amp;T Mobility from former CD Deputy Director Michael Amato stated that “</w:t>
      </w:r>
      <w:r w:rsidRPr="007F1A58">
        <w:rPr>
          <w:i/>
          <w:iCs/>
        </w:rPr>
        <w:t>Senate Bill 1193 established CASF to be subject to the conditions and restrictions applicable to the existing universal service funds while CPUC Decision 07-12-054 established CASF collection using the same surcharge mechanism as the CHCF-B. The TUFFS User Guide also clearly states that the late payments are charged 10% interest after the due date. In addition, along with the reasons stated in your letter, the 10% interest is set in place to deter carriers from incorrectly remitting surcharges.”</w:t>
      </w:r>
      <w:r>
        <w:t xml:space="preserve">  </w:t>
      </w:r>
    </w:p>
  </w:footnote>
  <w:footnote w:id="8">
    <w:p w14:paraId="4FEB410C" w14:textId="77777777" w:rsidR="00A07617" w:rsidRDefault="00A07617" w:rsidP="00932789">
      <w:pPr>
        <w:pStyle w:val="FootnoteText"/>
      </w:pPr>
      <w:r>
        <w:rPr>
          <w:rStyle w:val="FootnoteReference"/>
        </w:rPr>
        <w:footnoteRef/>
      </w:r>
      <w:r>
        <w:t xml:space="preserve">Commission records indicate that AT&amp;T Mobility paid the outstanding principal for CASF November and December 2011 report periods in April 2017. </w:t>
      </w:r>
    </w:p>
  </w:footnote>
  <w:footnote w:id="9">
    <w:p w14:paraId="0F2B3BB5" w14:textId="77777777" w:rsidR="00A07617" w:rsidRDefault="00A07617" w:rsidP="00932789">
      <w:pPr>
        <w:pStyle w:val="FootnoteText"/>
      </w:pPr>
      <w:r>
        <w:rPr>
          <w:rStyle w:val="FootnoteReference"/>
        </w:rPr>
        <w:footnoteRef/>
      </w:r>
      <w:r>
        <w:t xml:space="preserve"> I</w:t>
      </w:r>
      <w:r>
        <w:rPr>
          <w:rFonts w:ascii="Palatino Linotype" w:eastAsia="Calibri" w:hAnsi="Palatino Linotype"/>
          <w:spacing w:val="1"/>
        </w:rPr>
        <w:t xml:space="preserve">n June 2018, AT&amp;T’s response to CD staff Data Request identified that prepaid surcharges were paid out of general prepaid revenue prior to January 2016. </w:t>
      </w:r>
    </w:p>
  </w:footnote>
  <w:footnote w:id="10">
    <w:p w14:paraId="089E5A23" w14:textId="77777777" w:rsidR="00A07617" w:rsidRPr="001D5F95" w:rsidRDefault="00A07617" w:rsidP="00932789">
      <w:pPr>
        <w:pStyle w:val="FootnoteText"/>
      </w:pPr>
      <w:r w:rsidRPr="001D5F95">
        <w:rPr>
          <w:rStyle w:val="FootnoteReference"/>
        </w:rPr>
        <w:footnoteRef/>
      </w:r>
      <w:r w:rsidRPr="001D5F95">
        <w:t xml:space="preserve"> </w:t>
      </w:r>
      <w:r w:rsidRPr="001D5F95">
        <w:rPr>
          <w:szCs w:val="24"/>
        </w:rPr>
        <w:t>Based on the spreadsheets provided to staff, the analysis to update the marketing study took place on June 15, 2015.</w:t>
      </w:r>
    </w:p>
  </w:footnote>
  <w:footnote w:id="11">
    <w:p w14:paraId="3DF499DA" w14:textId="77777777" w:rsidR="00A07617" w:rsidRPr="001D5F95" w:rsidRDefault="00A07617" w:rsidP="00932789">
      <w:pPr>
        <w:pStyle w:val="FootnoteText"/>
      </w:pPr>
      <w:r w:rsidRPr="001D5F95">
        <w:rPr>
          <w:rStyle w:val="FootnoteReference"/>
        </w:rPr>
        <w:footnoteRef/>
      </w:r>
      <w:r w:rsidRPr="001D5F95">
        <w:t xml:space="preserve"> Staff deemed these tables as most appropriate for illustration purposes. AT&amp;T Mobility spreadsheets do not appear exactly as illustrated. </w:t>
      </w:r>
    </w:p>
  </w:footnote>
  <w:footnote w:id="12">
    <w:p w14:paraId="6BBF0F51" w14:textId="77777777" w:rsidR="00A07617" w:rsidRPr="001D5F95" w:rsidRDefault="00A07617" w:rsidP="00932789">
      <w:pPr>
        <w:pStyle w:val="FootnoteText"/>
      </w:pPr>
      <w:r w:rsidRPr="001D5F95">
        <w:rPr>
          <w:rStyle w:val="FootnoteReference"/>
        </w:rPr>
        <w:footnoteRef/>
      </w:r>
      <w:r w:rsidRPr="001D5F95">
        <w:t xml:space="preserve"> The total intrastate revenues include both postpaid and prepaid wireless revenues.</w:t>
      </w:r>
    </w:p>
  </w:footnote>
  <w:footnote w:id="13">
    <w:p w14:paraId="1BBB8F70" w14:textId="77777777" w:rsidR="00A07617" w:rsidRPr="001D5F95" w:rsidRDefault="00A07617" w:rsidP="00932789">
      <w:pPr>
        <w:pStyle w:val="FootnoteText"/>
      </w:pPr>
      <w:r w:rsidRPr="001D5F95">
        <w:rPr>
          <w:rStyle w:val="FootnoteReference"/>
        </w:rPr>
        <w:footnoteRef/>
      </w:r>
      <w:r w:rsidRPr="001D5F95">
        <w:t xml:space="preserve"> The total monthly prepaid revenues identified by AT&amp;T </w:t>
      </w:r>
      <w:r>
        <w:t xml:space="preserve">Mobility </w:t>
      </w:r>
      <w:r w:rsidRPr="001D5F95">
        <w:t xml:space="preserve">in </w:t>
      </w:r>
      <w:r>
        <w:t>its</w:t>
      </w:r>
      <w:r w:rsidRPr="001D5F95">
        <w:t xml:space="preserve"> spreadsheets encompass intrastate as well as interstate, and international services. Prior to 2016, prepaid revenues were not required to be separately reported from postpaid revenues.  Further, interstate, international and non-jurisdictional services are beyond the Commission’s jurisdiction.  Hence, the total monthly prepaid revenues are not available on TUFFS. </w:t>
      </w:r>
    </w:p>
  </w:footnote>
  <w:footnote w:id="14">
    <w:p w14:paraId="057A7CA7" w14:textId="77777777" w:rsidR="00A07617" w:rsidRPr="00F04508" w:rsidRDefault="00A07617" w:rsidP="00932789">
      <w:pPr>
        <w:pStyle w:val="FootnoteText"/>
      </w:pPr>
      <w:r w:rsidRPr="001D5F95">
        <w:rPr>
          <w:rStyle w:val="FootnoteReference"/>
        </w:rPr>
        <w:footnoteRef/>
      </w:r>
      <w:r w:rsidRPr="001D5F95">
        <w:t xml:space="preserve"> Percentage rates derived from AT&amp;T</w:t>
      </w:r>
      <w:r>
        <w:t xml:space="preserve"> Mobility</w:t>
      </w:r>
      <w:r w:rsidRPr="001D5F95">
        <w:t>’s marketing studies are illustrated using “%” symbols in the table.</w:t>
      </w:r>
    </w:p>
  </w:footnote>
  <w:footnote w:id="15">
    <w:p w14:paraId="470CD8A7" w14:textId="77777777" w:rsidR="00A07617" w:rsidRPr="001D5F95" w:rsidRDefault="00A07617" w:rsidP="00932789">
      <w:pPr>
        <w:pStyle w:val="FootnoteText"/>
      </w:pPr>
      <w:r w:rsidRPr="001D5F95">
        <w:rPr>
          <w:rStyle w:val="FootnoteReference"/>
        </w:rPr>
        <w:footnoteRef/>
      </w:r>
      <w:r w:rsidRPr="001D5F95">
        <w:t xml:space="preserve"> Staff believes that this marketing study can be appropriately applied to the 4</w:t>
      </w:r>
      <w:r w:rsidRPr="001D5F95">
        <w:rPr>
          <w:vertAlign w:val="superscript"/>
        </w:rPr>
        <w:t>th</w:t>
      </w:r>
      <w:r w:rsidRPr="001D5F95">
        <w:t xml:space="preserve"> quarter of 2013.</w:t>
      </w:r>
    </w:p>
  </w:footnote>
  <w:footnote w:id="16">
    <w:p w14:paraId="52E04B2B" w14:textId="77777777" w:rsidR="00A07617" w:rsidRDefault="00A07617" w:rsidP="00932789">
      <w:pPr>
        <w:pStyle w:val="FootnoteText"/>
      </w:pPr>
      <w:r>
        <w:rPr>
          <w:rStyle w:val="FootnoteReference"/>
        </w:rPr>
        <w:footnoteRef/>
      </w:r>
      <w:r>
        <w:t xml:space="preserve"> </w:t>
      </w:r>
      <w:r w:rsidRPr="00663348">
        <w:t>CPUC Internal Process: Refund Claims</w:t>
      </w:r>
      <w:r>
        <w:t xml:space="preserve"> is available at </w:t>
      </w:r>
      <w:r w:rsidRPr="00663348">
        <w:t>https://www.cpuc.ca.gov/uploadedFiles/CPUC_Public_Website/Content/Utilities_and_Industries/Communications_-_Telecommunications_and_Broadband/Refund%20Claims_CPUC%20Internal%20Process_03242020.pdf</w:t>
      </w:r>
    </w:p>
  </w:footnote>
  <w:footnote w:id="17">
    <w:p w14:paraId="1285894F" w14:textId="77777777" w:rsidR="00A07617" w:rsidRPr="00F04508" w:rsidRDefault="00A07617" w:rsidP="006F7F6C">
      <w:pPr>
        <w:pStyle w:val="FootnoteText"/>
      </w:pPr>
      <w:r w:rsidRPr="00F04508">
        <w:rPr>
          <w:rStyle w:val="FootnoteReference"/>
        </w:rPr>
        <w:footnoteRef/>
      </w:r>
      <w:r w:rsidRPr="00F04508">
        <w:t xml:space="preserve"> General Order 153; D. 96-10-066</w:t>
      </w:r>
    </w:p>
  </w:footnote>
  <w:footnote w:id="18">
    <w:p w14:paraId="27F160DC" w14:textId="77777777" w:rsidR="00A07617" w:rsidRPr="001D5F95" w:rsidRDefault="00A07617" w:rsidP="006F7F6C">
      <w:pPr>
        <w:pStyle w:val="FootnoteText"/>
      </w:pPr>
      <w:r w:rsidRPr="001D5F95">
        <w:rPr>
          <w:rStyle w:val="FootnoteReference"/>
        </w:rPr>
        <w:footnoteRef/>
      </w:r>
      <w:r w:rsidRPr="001D5F95">
        <w:t xml:space="preserve"> </w:t>
      </w:r>
      <w:r w:rsidRPr="001D5F95">
        <w:rPr>
          <w:color w:val="333333"/>
          <w:lang w:val="en"/>
        </w:rPr>
        <w:t xml:space="preserve">Carriers with reported intrastate revenues of less than $750,000 annually, referred to as de minimis, are required to pay a flat $100 annual fee on or before January 15 of each year.  </w:t>
      </w:r>
    </w:p>
  </w:footnote>
  <w:footnote w:id="19">
    <w:p w14:paraId="721DA47F" w14:textId="77777777" w:rsidR="00A07617" w:rsidRPr="001D5F95" w:rsidRDefault="00A07617" w:rsidP="006F7F6C">
      <w:pPr>
        <w:pStyle w:val="FootnoteText"/>
      </w:pPr>
      <w:r w:rsidRPr="001D5F95">
        <w:rPr>
          <w:rStyle w:val="FootnoteReference"/>
        </w:rPr>
        <w:footnoteRef/>
      </w:r>
      <w:r w:rsidRPr="001D5F95">
        <w:t xml:space="preserve"> The Commission continues to utilize the electronic system to track revenues and corresponding user fee information for periods prior to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372B7" w14:textId="77777777" w:rsidR="00CA382C" w:rsidRDefault="00CA3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E483C" w14:textId="7704E53D" w:rsidR="00A07617" w:rsidRDefault="00A07617" w:rsidP="002829F3">
    <w:pPr>
      <w:pStyle w:val="Header"/>
      <w:tabs>
        <w:tab w:val="clear" w:pos="8640"/>
        <w:tab w:val="right" w:pos="9360"/>
      </w:tabs>
    </w:pPr>
    <w:r>
      <w:t>Resolution T-17704</w:t>
    </w:r>
    <w:r>
      <w:tab/>
    </w:r>
    <w:r w:rsidRPr="0037152C">
      <w:t>DRAFT</w:t>
    </w:r>
    <w:r>
      <w:tab/>
      <w:t>June 3, 2021</w:t>
    </w:r>
  </w:p>
  <w:p w14:paraId="5C14D5B4" w14:textId="7488016C" w:rsidR="00A07617" w:rsidRDefault="00A07617">
    <w:pPr>
      <w:pStyle w:val="Header"/>
    </w:pPr>
    <w:r>
      <w:t>CD/LLT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9128" w14:textId="089EED6C" w:rsidR="00A07617" w:rsidRDefault="00A07617" w:rsidP="00FB7F8E">
    <w:pPr>
      <w:pStyle w:val="Header"/>
      <w:tabs>
        <w:tab w:val="clear" w:pos="8640"/>
        <w:tab w:val="right" w:pos="9360"/>
      </w:tabs>
    </w:pPr>
    <w:r>
      <w:t>Resolution T-17704</w:t>
    </w:r>
    <w:r>
      <w:tab/>
      <w:t>DRAFT</w:t>
    </w:r>
    <w:r>
      <w:tab/>
      <w:t>Agenda ID</w:t>
    </w:r>
    <w:r w:rsidR="009959AD">
      <w:t>#</w:t>
    </w:r>
    <w:r>
      <w:t xml:space="preserve"> </w:t>
    </w:r>
    <w:r w:rsidR="00CA382C" w:rsidRPr="00CA382C">
      <w:rPr>
        <w:b/>
        <w:bCs/>
      </w:rPr>
      <w:t>19444</w:t>
    </w:r>
  </w:p>
  <w:p w14:paraId="56EEA656" w14:textId="77777777" w:rsidR="00A07617" w:rsidRDefault="00A07617" w:rsidP="00FB7F8E">
    <w:pPr>
      <w:pStyle w:val="Header"/>
    </w:pPr>
    <w:r>
      <w:t>CD/LLT</w:t>
    </w:r>
  </w:p>
  <w:p w14:paraId="09AA2133" w14:textId="77777777" w:rsidR="00A07617" w:rsidRDefault="00A07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04A5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977EF"/>
    <w:multiLevelType w:val="hybridMultilevel"/>
    <w:tmpl w:val="3D2C41B8"/>
    <w:lvl w:ilvl="0" w:tplc="138C23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651C70"/>
    <w:multiLevelType w:val="hybridMultilevel"/>
    <w:tmpl w:val="93AE08D4"/>
    <w:lvl w:ilvl="0" w:tplc="FB86E6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4C52863"/>
    <w:multiLevelType w:val="hybridMultilevel"/>
    <w:tmpl w:val="461066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F964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68B45CF"/>
    <w:multiLevelType w:val="hybridMultilevel"/>
    <w:tmpl w:val="CECC053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211AEE"/>
    <w:multiLevelType w:val="hybridMultilevel"/>
    <w:tmpl w:val="D0CEE69C"/>
    <w:lvl w:ilvl="0" w:tplc="F44C94EC">
      <w:start w:val="1"/>
      <w:numFmt w:val="decimal"/>
      <w:lvlText w:val="%1."/>
      <w:lvlJc w:val="left"/>
      <w:pPr>
        <w:tabs>
          <w:tab w:val="num" w:pos="240"/>
        </w:tabs>
        <w:ind w:left="240" w:hanging="60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09FE7B16"/>
    <w:multiLevelType w:val="hybridMultilevel"/>
    <w:tmpl w:val="A3D0D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772636"/>
    <w:multiLevelType w:val="hybridMultilevel"/>
    <w:tmpl w:val="FBDE0CEE"/>
    <w:lvl w:ilvl="0" w:tplc="B1B03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435204"/>
    <w:multiLevelType w:val="hybridMultilevel"/>
    <w:tmpl w:val="FCA8854A"/>
    <w:lvl w:ilvl="0" w:tplc="4C76B9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921D8A"/>
    <w:multiLevelType w:val="hybridMultilevel"/>
    <w:tmpl w:val="DFB6F49E"/>
    <w:lvl w:ilvl="0" w:tplc="53DA3010">
      <w:start w:val="1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E26C9"/>
    <w:multiLevelType w:val="hybridMultilevel"/>
    <w:tmpl w:val="9904DEF6"/>
    <w:lvl w:ilvl="0" w:tplc="3C482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6101FB"/>
    <w:multiLevelType w:val="hybridMultilevel"/>
    <w:tmpl w:val="7340ECAE"/>
    <w:lvl w:ilvl="0" w:tplc="D24413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C710E6"/>
    <w:multiLevelType w:val="hybridMultilevel"/>
    <w:tmpl w:val="866C4CB6"/>
    <w:lvl w:ilvl="0" w:tplc="628C1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5D3520"/>
    <w:multiLevelType w:val="multilevel"/>
    <w:tmpl w:val="7C8EEF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26064B3"/>
    <w:multiLevelType w:val="hybridMultilevel"/>
    <w:tmpl w:val="5B82E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1D033B"/>
    <w:multiLevelType w:val="hybridMultilevel"/>
    <w:tmpl w:val="3D2C41B8"/>
    <w:lvl w:ilvl="0" w:tplc="138C23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740DA3"/>
    <w:multiLevelType w:val="hybridMultilevel"/>
    <w:tmpl w:val="CBAE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2F0185"/>
    <w:multiLevelType w:val="hybridMultilevel"/>
    <w:tmpl w:val="7B4EDC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EB31F0"/>
    <w:multiLevelType w:val="hybridMultilevel"/>
    <w:tmpl w:val="E3BE9E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D2AA7"/>
    <w:multiLevelType w:val="hybridMultilevel"/>
    <w:tmpl w:val="6D42E12A"/>
    <w:lvl w:ilvl="0" w:tplc="900A62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0776AB"/>
    <w:multiLevelType w:val="hybridMultilevel"/>
    <w:tmpl w:val="2D1C0D04"/>
    <w:lvl w:ilvl="0" w:tplc="900A3102">
      <w:start w:val="3"/>
      <w:numFmt w:val="decimal"/>
      <w:lvlText w:val="%1."/>
      <w:lvlJc w:val="left"/>
      <w:pPr>
        <w:ind w:left="17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DB5503"/>
    <w:multiLevelType w:val="hybridMultilevel"/>
    <w:tmpl w:val="3BA69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9213C8"/>
    <w:multiLevelType w:val="hybridMultilevel"/>
    <w:tmpl w:val="31EEC53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3DC03CB8"/>
    <w:multiLevelType w:val="hybridMultilevel"/>
    <w:tmpl w:val="CD48C986"/>
    <w:lvl w:ilvl="0" w:tplc="CCA2117A">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377945"/>
    <w:multiLevelType w:val="hybridMultilevel"/>
    <w:tmpl w:val="2BFE11B0"/>
    <w:lvl w:ilvl="0" w:tplc="9938A792">
      <w:start w:val="1"/>
      <w:numFmt w:val="decimal"/>
      <w:lvlText w:val="%1."/>
      <w:lvlJc w:val="left"/>
      <w:pPr>
        <w:tabs>
          <w:tab w:val="num" w:pos="240"/>
        </w:tabs>
        <w:ind w:left="240" w:hanging="60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15:restartNumberingAfterBreak="0">
    <w:nsid w:val="41947D60"/>
    <w:multiLevelType w:val="hybridMultilevel"/>
    <w:tmpl w:val="5C04A0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984787"/>
    <w:multiLevelType w:val="hybridMultilevel"/>
    <w:tmpl w:val="9CEA31CA"/>
    <w:lvl w:ilvl="0" w:tplc="10609BA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450767FB"/>
    <w:multiLevelType w:val="hybridMultilevel"/>
    <w:tmpl w:val="385685FC"/>
    <w:lvl w:ilvl="0" w:tplc="D95C379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9" w15:restartNumberingAfterBreak="0">
    <w:nsid w:val="4C4821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CAF1D4B"/>
    <w:multiLevelType w:val="hybridMultilevel"/>
    <w:tmpl w:val="5484A878"/>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E5610B6"/>
    <w:multiLevelType w:val="hybridMultilevel"/>
    <w:tmpl w:val="B71AF83A"/>
    <w:lvl w:ilvl="0" w:tplc="EBE2D8EA">
      <w:start w:val="1"/>
      <w:numFmt w:val="decimal"/>
      <w:lvlText w:val="%1."/>
      <w:lvlJc w:val="left"/>
      <w:pPr>
        <w:ind w:left="720" w:hanging="360"/>
      </w:pPr>
      <w:rPr>
        <w:rFonts w:ascii="Palatino Linotype" w:hAnsi="Palatino Linotype"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516C00"/>
    <w:multiLevelType w:val="hybridMultilevel"/>
    <w:tmpl w:val="866C4CB6"/>
    <w:lvl w:ilvl="0" w:tplc="628C1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65552B4"/>
    <w:multiLevelType w:val="hybridMultilevel"/>
    <w:tmpl w:val="EF145A44"/>
    <w:lvl w:ilvl="0" w:tplc="7548BE8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9C05636"/>
    <w:multiLevelType w:val="hybridMultilevel"/>
    <w:tmpl w:val="EFF049F0"/>
    <w:lvl w:ilvl="0" w:tplc="D59C49DC">
      <w:start w:val="1"/>
      <w:numFmt w:val="decimal"/>
      <w:lvlText w:val="%1."/>
      <w:lvlJc w:val="left"/>
      <w:pPr>
        <w:ind w:left="99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5C3D6198"/>
    <w:multiLevelType w:val="hybridMultilevel"/>
    <w:tmpl w:val="9EA22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D221C55"/>
    <w:multiLevelType w:val="hybridMultilevel"/>
    <w:tmpl w:val="1E2A93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14289F"/>
    <w:multiLevelType w:val="hybridMultilevel"/>
    <w:tmpl w:val="34ECB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7156B9"/>
    <w:multiLevelType w:val="hybridMultilevel"/>
    <w:tmpl w:val="A78C3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97089C"/>
    <w:multiLevelType w:val="hybridMultilevel"/>
    <w:tmpl w:val="0AA8365C"/>
    <w:lvl w:ilvl="0" w:tplc="7BF86FEA">
      <w:start w:val="1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806BD2"/>
    <w:multiLevelType w:val="hybridMultilevel"/>
    <w:tmpl w:val="F86034D8"/>
    <w:lvl w:ilvl="0" w:tplc="A5C06B34">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41B3B75"/>
    <w:multiLevelType w:val="hybridMultilevel"/>
    <w:tmpl w:val="7340ECAE"/>
    <w:lvl w:ilvl="0" w:tplc="D24413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77D6BE5"/>
    <w:multiLevelType w:val="hybridMultilevel"/>
    <w:tmpl w:val="EA3ED8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9233A1F"/>
    <w:multiLevelType w:val="hybridMultilevel"/>
    <w:tmpl w:val="034E48EE"/>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B4573A1"/>
    <w:multiLevelType w:val="hybridMultilevel"/>
    <w:tmpl w:val="58D427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BE87AD5"/>
    <w:multiLevelType w:val="hybridMultilevel"/>
    <w:tmpl w:val="4008C026"/>
    <w:lvl w:ilvl="0" w:tplc="D95C3798">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6" w15:restartNumberingAfterBreak="0">
    <w:nsid w:val="6E1B6297"/>
    <w:multiLevelType w:val="hybridMultilevel"/>
    <w:tmpl w:val="F8FC7242"/>
    <w:lvl w:ilvl="0" w:tplc="53DA3010">
      <w:start w:val="10"/>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C5482B"/>
    <w:multiLevelType w:val="hybridMultilevel"/>
    <w:tmpl w:val="C0B42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485E2D"/>
    <w:multiLevelType w:val="multilevel"/>
    <w:tmpl w:val="6318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05C3CF8"/>
    <w:multiLevelType w:val="hybridMultilevel"/>
    <w:tmpl w:val="4B92B8F2"/>
    <w:lvl w:ilvl="0" w:tplc="DDEC5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07A3AC8"/>
    <w:multiLevelType w:val="hybridMultilevel"/>
    <w:tmpl w:val="CB64705C"/>
    <w:lvl w:ilvl="0" w:tplc="F9C0C5DA">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10F2F09"/>
    <w:multiLevelType w:val="hybridMultilevel"/>
    <w:tmpl w:val="0C988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89782B"/>
    <w:multiLevelType w:val="hybridMultilevel"/>
    <w:tmpl w:val="D3EEEE12"/>
    <w:lvl w:ilvl="0" w:tplc="96F01390">
      <w:start w:val="12"/>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DB23B4"/>
    <w:multiLevelType w:val="hybridMultilevel"/>
    <w:tmpl w:val="8EE42E04"/>
    <w:lvl w:ilvl="0" w:tplc="9A9A93F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D173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4D7264D"/>
    <w:multiLevelType w:val="hybridMultilevel"/>
    <w:tmpl w:val="2FE25094"/>
    <w:lvl w:ilvl="0" w:tplc="138C236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6F2B23"/>
    <w:multiLevelType w:val="hybridMultilevel"/>
    <w:tmpl w:val="109C9E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92D1733"/>
    <w:multiLevelType w:val="hybridMultilevel"/>
    <w:tmpl w:val="EF145A44"/>
    <w:lvl w:ilvl="0" w:tplc="7548BE8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956334D"/>
    <w:multiLevelType w:val="hybridMultilevel"/>
    <w:tmpl w:val="100034C8"/>
    <w:lvl w:ilvl="0" w:tplc="D95C379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9" w15:restartNumberingAfterBreak="0">
    <w:nsid w:val="79C30BE9"/>
    <w:multiLevelType w:val="hybridMultilevel"/>
    <w:tmpl w:val="1F068D46"/>
    <w:lvl w:ilvl="0" w:tplc="53DA3010">
      <w:start w:val="10"/>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6"/>
  </w:num>
  <w:num w:numId="3">
    <w:abstractNumId w:val="27"/>
  </w:num>
  <w:num w:numId="4">
    <w:abstractNumId w:val="34"/>
  </w:num>
  <w:num w:numId="5">
    <w:abstractNumId w:val="20"/>
  </w:num>
  <w:num w:numId="6">
    <w:abstractNumId w:val="11"/>
  </w:num>
  <w:num w:numId="7">
    <w:abstractNumId w:val="16"/>
  </w:num>
  <w:num w:numId="8">
    <w:abstractNumId w:val="28"/>
  </w:num>
  <w:num w:numId="9">
    <w:abstractNumId w:val="3"/>
  </w:num>
  <w:num w:numId="10">
    <w:abstractNumId w:val="18"/>
  </w:num>
  <w:num w:numId="11">
    <w:abstractNumId w:val="58"/>
  </w:num>
  <w:num w:numId="12">
    <w:abstractNumId w:val="21"/>
  </w:num>
  <w:num w:numId="13">
    <w:abstractNumId w:val="19"/>
  </w:num>
  <w:num w:numId="14">
    <w:abstractNumId w:val="39"/>
  </w:num>
  <w:num w:numId="15">
    <w:abstractNumId w:val="30"/>
  </w:num>
  <w:num w:numId="16">
    <w:abstractNumId w:val="24"/>
  </w:num>
  <w:num w:numId="17">
    <w:abstractNumId w:val="52"/>
  </w:num>
  <w:num w:numId="18">
    <w:abstractNumId w:val="50"/>
  </w:num>
  <w:num w:numId="19">
    <w:abstractNumId w:val="51"/>
  </w:num>
  <w:num w:numId="20">
    <w:abstractNumId w:val="23"/>
  </w:num>
  <w:num w:numId="21">
    <w:abstractNumId w:val="44"/>
  </w:num>
  <w:num w:numId="22">
    <w:abstractNumId w:val="56"/>
  </w:num>
  <w:num w:numId="23">
    <w:abstractNumId w:val="1"/>
  </w:num>
  <w:num w:numId="24">
    <w:abstractNumId w:val="55"/>
  </w:num>
  <w:num w:numId="25">
    <w:abstractNumId w:val="10"/>
  </w:num>
  <w:num w:numId="26">
    <w:abstractNumId w:val="22"/>
  </w:num>
  <w:num w:numId="27">
    <w:abstractNumId w:val="46"/>
  </w:num>
  <w:num w:numId="28">
    <w:abstractNumId w:val="59"/>
  </w:num>
  <w:num w:numId="29">
    <w:abstractNumId w:val="54"/>
  </w:num>
  <w:num w:numId="30">
    <w:abstractNumId w:val="4"/>
  </w:num>
  <w:num w:numId="31">
    <w:abstractNumId w:val="29"/>
  </w:num>
  <w:num w:numId="32">
    <w:abstractNumId w:val="0"/>
  </w:num>
  <w:num w:numId="33">
    <w:abstractNumId w:val="41"/>
  </w:num>
  <w:num w:numId="34">
    <w:abstractNumId w:val="12"/>
  </w:num>
  <w:num w:numId="35">
    <w:abstractNumId w:val="47"/>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35"/>
  </w:num>
  <w:num w:numId="39">
    <w:abstractNumId w:val="37"/>
  </w:num>
  <w:num w:numId="40">
    <w:abstractNumId w:val="7"/>
  </w:num>
  <w:num w:numId="41">
    <w:abstractNumId w:val="26"/>
  </w:num>
  <w:num w:numId="42">
    <w:abstractNumId w:val="45"/>
  </w:num>
  <w:num w:numId="43">
    <w:abstractNumId w:val="31"/>
  </w:num>
  <w:num w:numId="44">
    <w:abstractNumId w:val="17"/>
  </w:num>
  <w:num w:numId="45">
    <w:abstractNumId w:val="14"/>
  </w:num>
  <w:num w:numId="46">
    <w:abstractNumId w:val="49"/>
  </w:num>
  <w:num w:numId="47">
    <w:abstractNumId w:val="43"/>
  </w:num>
  <w:num w:numId="48">
    <w:abstractNumId w:val="33"/>
  </w:num>
  <w:num w:numId="49">
    <w:abstractNumId w:val="2"/>
  </w:num>
  <w:num w:numId="50">
    <w:abstractNumId w:val="15"/>
  </w:num>
  <w:num w:numId="51">
    <w:abstractNumId w:val="42"/>
  </w:num>
  <w:num w:numId="52">
    <w:abstractNumId w:val="13"/>
  </w:num>
  <w:num w:numId="53">
    <w:abstractNumId w:val="38"/>
  </w:num>
  <w:num w:numId="54">
    <w:abstractNumId w:val="32"/>
  </w:num>
  <w:num w:numId="55">
    <w:abstractNumId w:val="57"/>
  </w:num>
  <w:num w:numId="56">
    <w:abstractNumId w:val="48"/>
  </w:num>
  <w:num w:numId="57">
    <w:abstractNumId w:val="53"/>
  </w:num>
  <w:num w:numId="58">
    <w:abstractNumId w:val="8"/>
  </w:num>
  <w:num w:numId="59">
    <w:abstractNumId w:val="5"/>
  </w:num>
  <w:num w:numId="60">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DBD"/>
    <w:rsid w:val="00000B4D"/>
    <w:rsid w:val="0000105D"/>
    <w:rsid w:val="00002676"/>
    <w:rsid w:val="00003B52"/>
    <w:rsid w:val="0000410B"/>
    <w:rsid w:val="000041B0"/>
    <w:rsid w:val="0000481D"/>
    <w:rsid w:val="00004855"/>
    <w:rsid w:val="000050DE"/>
    <w:rsid w:val="00005A55"/>
    <w:rsid w:val="000067C3"/>
    <w:rsid w:val="00007049"/>
    <w:rsid w:val="00012550"/>
    <w:rsid w:val="00013029"/>
    <w:rsid w:val="00013302"/>
    <w:rsid w:val="00013387"/>
    <w:rsid w:val="00013DE0"/>
    <w:rsid w:val="00013E33"/>
    <w:rsid w:val="000145EC"/>
    <w:rsid w:val="00014683"/>
    <w:rsid w:val="0001550D"/>
    <w:rsid w:val="000156EC"/>
    <w:rsid w:val="0001742D"/>
    <w:rsid w:val="000205B7"/>
    <w:rsid w:val="00021C9C"/>
    <w:rsid w:val="00021D1D"/>
    <w:rsid w:val="00022A57"/>
    <w:rsid w:val="00022B78"/>
    <w:rsid w:val="00023A7C"/>
    <w:rsid w:val="000246D1"/>
    <w:rsid w:val="000247A3"/>
    <w:rsid w:val="00024AFF"/>
    <w:rsid w:val="00025275"/>
    <w:rsid w:val="0002563F"/>
    <w:rsid w:val="00025A26"/>
    <w:rsid w:val="00025AAB"/>
    <w:rsid w:val="0002787C"/>
    <w:rsid w:val="000279D2"/>
    <w:rsid w:val="00027DD4"/>
    <w:rsid w:val="000308A3"/>
    <w:rsid w:val="00031FED"/>
    <w:rsid w:val="000320FC"/>
    <w:rsid w:val="00032FC6"/>
    <w:rsid w:val="00033467"/>
    <w:rsid w:val="00034876"/>
    <w:rsid w:val="000368B6"/>
    <w:rsid w:val="00037646"/>
    <w:rsid w:val="000405FD"/>
    <w:rsid w:val="000407B4"/>
    <w:rsid w:val="0004177E"/>
    <w:rsid w:val="00042335"/>
    <w:rsid w:val="0004403D"/>
    <w:rsid w:val="0004432A"/>
    <w:rsid w:val="000443CB"/>
    <w:rsid w:val="00044A51"/>
    <w:rsid w:val="00045062"/>
    <w:rsid w:val="00045928"/>
    <w:rsid w:val="000462B4"/>
    <w:rsid w:val="000500A5"/>
    <w:rsid w:val="000508A6"/>
    <w:rsid w:val="000520EA"/>
    <w:rsid w:val="00052344"/>
    <w:rsid w:val="00052EC7"/>
    <w:rsid w:val="00053167"/>
    <w:rsid w:val="00053247"/>
    <w:rsid w:val="00053630"/>
    <w:rsid w:val="0005486F"/>
    <w:rsid w:val="000557DC"/>
    <w:rsid w:val="000559CD"/>
    <w:rsid w:val="00055A75"/>
    <w:rsid w:val="000579E3"/>
    <w:rsid w:val="00057EC4"/>
    <w:rsid w:val="0006023A"/>
    <w:rsid w:val="000604A6"/>
    <w:rsid w:val="00060590"/>
    <w:rsid w:val="000613F9"/>
    <w:rsid w:val="000615AD"/>
    <w:rsid w:val="00061C68"/>
    <w:rsid w:val="00062D3F"/>
    <w:rsid w:val="0006338B"/>
    <w:rsid w:val="00063659"/>
    <w:rsid w:val="00063713"/>
    <w:rsid w:val="00064248"/>
    <w:rsid w:val="0006437D"/>
    <w:rsid w:val="00064FA8"/>
    <w:rsid w:val="00065CA3"/>
    <w:rsid w:val="00065EF4"/>
    <w:rsid w:val="00066471"/>
    <w:rsid w:val="0006651D"/>
    <w:rsid w:val="00066B61"/>
    <w:rsid w:val="00067039"/>
    <w:rsid w:val="00067103"/>
    <w:rsid w:val="00067388"/>
    <w:rsid w:val="000710ED"/>
    <w:rsid w:val="000726B7"/>
    <w:rsid w:val="00072DF8"/>
    <w:rsid w:val="0007379A"/>
    <w:rsid w:val="00073EC5"/>
    <w:rsid w:val="000740D2"/>
    <w:rsid w:val="00074436"/>
    <w:rsid w:val="00075B1E"/>
    <w:rsid w:val="00075FA1"/>
    <w:rsid w:val="00076162"/>
    <w:rsid w:val="00076B51"/>
    <w:rsid w:val="00077CEE"/>
    <w:rsid w:val="00077F9B"/>
    <w:rsid w:val="000800CC"/>
    <w:rsid w:val="00082101"/>
    <w:rsid w:val="000822EF"/>
    <w:rsid w:val="000827F0"/>
    <w:rsid w:val="00083DF2"/>
    <w:rsid w:val="00084C73"/>
    <w:rsid w:val="00084FDA"/>
    <w:rsid w:val="00085712"/>
    <w:rsid w:val="00085828"/>
    <w:rsid w:val="000859EC"/>
    <w:rsid w:val="0008647A"/>
    <w:rsid w:val="000864ED"/>
    <w:rsid w:val="00087431"/>
    <w:rsid w:val="00087814"/>
    <w:rsid w:val="00087AFA"/>
    <w:rsid w:val="00090440"/>
    <w:rsid w:val="00092868"/>
    <w:rsid w:val="00092F18"/>
    <w:rsid w:val="0009304E"/>
    <w:rsid w:val="0009308A"/>
    <w:rsid w:val="00093550"/>
    <w:rsid w:val="000935A2"/>
    <w:rsid w:val="00093796"/>
    <w:rsid w:val="00093C09"/>
    <w:rsid w:val="00094265"/>
    <w:rsid w:val="0009577E"/>
    <w:rsid w:val="00095A86"/>
    <w:rsid w:val="0009610A"/>
    <w:rsid w:val="00097AD7"/>
    <w:rsid w:val="000A059A"/>
    <w:rsid w:val="000A08C2"/>
    <w:rsid w:val="000A1D9F"/>
    <w:rsid w:val="000A21FD"/>
    <w:rsid w:val="000A2836"/>
    <w:rsid w:val="000A3421"/>
    <w:rsid w:val="000A3D14"/>
    <w:rsid w:val="000A402E"/>
    <w:rsid w:val="000A6796"/>
    <w:rsid w:val="000A6996"/>
    <w:rsid w:val="000A77DF"/>
    <w:rsid w:val="000B1576"/>
    <w:rsid w:val="000B18DB"/>
    <w:rsid w:val="000B1EDE"/>
    <w:rsid w:val="000B24FC"/>
    <w:rsid w:val="000B2F77"/>
    <w:rsid w:val="000B3913"/>
    <w:rsid w:val="000B3A77"/>
    <w:rsid w:val="000B4C06"/>
    <w:rsid w:val="000B4D28"/>
    <w:rsid w:val="000B57FA"/>
    <w:rsid w:val="000B5A0D"/>
    <w:rsid w:val="000B5CF5"/>
    <w:rsid w:val="000B7070"/>
    <w:rsid w:val="000B7614"/>
    <w:rsid w:val="000C0313"/>
    <w:rsid w:val="000C06B4"/>
    <w:rsid w:val="000C07FC"/>
    <w:rsid w:val="000C0B92"/>
    <w:rsid w:val="000C0BC3"/>
    <w:rsid w:val="000C110F"/>
    <w:rsid w:val="000C1324"/>
    <w:rsid w:val="000C2EB3"/>
    <w:rsid w:val="000C2FAB"/>
    <w:rsid w:val="000C2FCC"/>
    <w:rsid w:val="000C3488"/>
    <w:rsid w:val="000C405F"/>
    <w:rsid w:val="000C46F9"/>
    <w:rsid w:val="000C6055"/>
    <w:rsid w:val="000C66C2"/>
    <w:rsid w:val="000C6EBB"/>
    <w:rsid w:val="000C70EF"/>
    <w:rsid w:val="000C771B"/>
    <w:rsid w:val="000C7BCC"/>
    <w:rsid w:val="000D0470"/>
    <w:rsid w:val="000D07C2"/>
    <w:rsid w:val="000D0CEF"/>
    <w:rsid w:val="000D1240"/>
    <w:rsid w:val="000D1C66"/>
    <w:rsid w:val="000D1E6E"/>
    <w:rsid w:val="000D2598"/>
    <w:rsid w:val="000D2A53"/>
    <w:rsid w:val="000D467E"/>
    <w:rsid w:val="000D4A96"/>
    <w:rsid w:val="000D4FE5"/>
    <w:rsid w:val="000D50E9"/>
    <w:rsid w:val="000D53DD"/>
    <w:rsid w:val="000D55C3"/>
    <w:rsid w:val="000D622D"/>
    <w:rsid w:val="000D7621"/>
    <w:rsid w:val="000D77DC"/>
    <w:rsid w:val="000E0402"/>
    <w:rsid w:val="000E0614"/>
    <w:rsid w:val="000E0D57"/>
    <w:rsid w:val="000E16C1"/>
    <w:rsid w:val="000E331E"/>
    <w:rsid w:val="000E3EDA"/>
    <w:rsid w:val="000E411C"/>
    <w:rsid w:val="000E4644"/>
    <w:rsid w:val="000E47EE"/>
    <w:rsid w:val="000E531A"/>
    <w:rsid w:val="000E5635"/>
    <w:rsid w:val="000E614A"/>
    <w:rsid w:val="000E6210"/>
    <w:rsid w:val="000E66A0"/>
    <w:rsid w:val="000E75B5"/>
    <w:rsid w:val="000F0161"/>
    <w:rsid w:val="000F11B6"/>
    <w:rsid w:val="000F32F8"/>
    <w:rsid w:val="000F3497"/>
    <w:rsid w:val="000F358F"/>
    <w:rsid w:val="000F3D7C"/>
    <w:rsid w:val="000F55D2"/>
    <w:rsid w:val="000F5608"/>
    <w:rsid w:val="000F5E4C"/>
    <w:rsid w:val="000F67AF"/>
    <w:rsid w:val="0010018D"/>
    <w:rsid w:val="0010055A"/>
    <w:rsid w:val="00100C10"/>
    <w:rsid w:val="00100C5F"/>
    <w:rsid w:val="00101D6F"/>
    <w:rsid w:val="00102405"/>
    <w:rsid w:val="00102AAD"/>
    <w:rsid w:val="00103570"/>
    <w:rsid w:val="0010358E"/>
    <w:rsid w:val="00104186"/>
    <w:rsid w:val="00104628"/>
    <w:rsid w:val="00104F3E"/>
    <w:rsid w:val="00105081"/>
    <w:rsid w:val="00105943"/>
    <w:rsid w:val="0010608D"/>
    <w:rsid w:val="0010617D"/>
    <w:rsid w:val="001066CA"/>
    <w:rsid w:val="00106E4D"/>
    <w:rsid w:val="00107AEB"/>
    <w:rsid w:val="00107C61"/>
    <w:rsid w:val="00110237"/>
    <w:rsid w:val="00110B18"/>
    <w:rsid w:val="00110B51"/>
    <w:rsid w:val="00111092"/>
    <w:rsid w:val="00111A54"/>
    <w:rsid w:val="0011235A"/>
    <w:rsid w:val="001126F2"/>
    <w:rsid w:val="00112FC3"/>
    <w:rsid w:val="001137D9"/>
    <w:rsid w:val="00113B18"/>
    <w:rsid w:val="0011404B"/>
    <w:rsid w:val="001146D2"/>
    <w:rsid w:val="0011560C"/>
    <w:rsid w:val="00115E36"/>
    <w:rsid w:val="00116240"/>
    <w:rsid w:val="00116F74"/>
    <w:rsid w:val="00117B3E"/>
    <w:rsid w:val="00117ED0"/>
    <w:rsid w:val="0012016B"/>
    <w:rsid w:val="001201C6"/>
    <w:rsid w:val="001207B4"/>
    <w:rsid w:val="00120986"/>
    <w:rsid w:val="00121866"/>
    <w:rsid w:val="001222D7"/>
    <w:rsid w:val="0012275A"/>
    <w:rsid w:val="001229E3"/>
    <w:rsid w:val="00122E09"/>
    <w:rsid w:val="00123638"/>
    <w:rsid w:val="001266B7"/>
    <w:rsid w:val="001269A2"/>
    <w:rsid w:val="001269D6"/>
    <w:rsid w:val="00126B2F"/>
    <w:rsid w:val="00126EAF"/>
    <w:rsid w:val="00127074"/>
    <w:rsid w:val="001273CE"/>
    <w:rsid w:val="00127482"/>
    <w:rsid w:val="001276D7"/>
    <w:rsid w:val="001305B0"/>
    <w:rsid w:val="00131F8D"/>
    <w:rsid w:val="00132A83"/>
    <w:rsid w:val="00132E9B"/>
    <w:rsid w:val="001340FE"/>
    <w:rsid w:val="0013583E"/>
    <w:rsid w:val="00135FA2"/>
    <w:rsid w:val="00140253"/>
    <w:rsid w:val="00140B72"/>
    <w:rsid w:val="00140C45"/>
    <w:rsid w:val="00141C46"/>
    <w:rsid w:val="0014223F"/>
    <w:rsid w:val="0014253E"/>
    <w:rsid w:val="00142A99"/>
    <w:rsid w:val="00143642"/>
    <w:rsid w:val="00143BFA"/>
    <w:rsid w:val="00143D99"/>
    <w:rsid w:val="001461CA"/>
    <w:rsid w:val="0014671C"/>
    <w:rsid w:val="00146F8B"/>
    <w:rsid w:val="00150AC3"/>
    <w:rsid w:val="00150C27"/>
    <w:rsid w:val="00151932"/>
    <w:rsid w:val="00151AEF"/>
    <w:rsid w:val="0015328C"/>
    <w:rsid w:val="00153665"/>
    <w:rsid w:val="00153FD8"/>
    <w:rsid w:val="00154849"/>
    <w:rsid w:val="00155D1B"/>
    <w:rsid w:val="001566BE"/>
    <w:rsid w:val="0015670C"/>
    <w:rsid w:val="00156DB4"/>
    <w:rsid w:val="00161212"/>
    <w:rsid w:val="001618B7"/>
    <w:rsid w:val="00162B96"/>
    <w:rsid w:val="00163250"/>
    <w:rsid w:val="0016346D"/>
    <w:rsid w:val="0016402F"/>
    <w:rsid w:val="001640E9"/>
    <w:rsid w:val="00164681"/>
    <w:rsid w:val="00165B96"/>
    <w:rsid w:val="001662FB"/>
    <w:rsid w:val="001668B8"/>
    <w:rsid w:val="00167A40"/>
    <w:rsid w:val="00167FBB"/>
    <w:rsid w:val="001702FD"/>
    <w:rsid w:val="00170C5D"/>
    <w:rsid w:val="00171117"/>
    <w:rsid w:val="001711B5"/>
    <w:rsid w:val="00171D3E"/>
    <w:rsid w:val="001720B7"/>
    <w:rsid w:val="001721F2"/>
    <w:rsid w:val="00172269"/>
    <w:rsid w:val="001724F0"/>
    <w:rsid w:val="00173E50"/>
    <w:rsid w:val="00174733"/>
    <w:rsid w:val="00174A2A"/>
    <w:rsid w:val="001751B8"/>
    <w:rsid w:val="00175BB5"/>
    <w:rsid w:val="0017645B"/>
    <w:rsid w:val="001766F3"/>
    <w:rsid w:val="00177A0C"/>
    <w:rsid w:val="00181A67"/>
    <w:rsid w:val="00181A72"/>
    <w:rsid w:val="0018245E"/>
    <w:rsid w:val="0018248C"/>
    <w:rsid w:val="00182DB2"/>
    <w:rsid w:val="00182DE3"/>
    <w:rsid w:val="00182EBA"/>
    <w:rsid w:val="00184226"/>
    <w:rsid w:val="0018438A"/>
    <w:rsid w:val="00184691"/>
    <w:rsid w:val="00184806"/>
    <w:rsid w:val="00185A5C"/>
    <w:rsid w:val="00186525"/>
    <w:rsid w:val="00187662"/>
    <w:rsid w:val="00190228"/>
    <w:rsid w:val="00190401"/>
    <w:rsid w:val="00190B50"/>
    <w:rsid w:val="001918F8"/>
    <w:rsid w:val="00191FA3"/>
    <w:rsid w:val="001926E1"/>
    <w:rsid w:val="00192D5B"/>
    <w:rsid w:val="00193202"/>
    <w:rsid w:val="00193DB8"/>
    <w:rsid w:val="00193DF5"/>
    <w:rsid w:val="001945CD"/>
    <w:rsid w:val="001954CA"/>
    <w:rsid w:val="00196808"/>
    <w:rsid w:val="001971B6"/>
    <w:rsid w:val="00197324"/>
    <w:rsid w:val="001A06E6"/>
    <w:rsid w:val="001A1B03"/>
    <w:rsid w:val="001A1E18"/>
    <w:rsid w:val="001A2AB3"/>
    <w:rsid w:val="001A34CF"/>
    <w:rsid w:val="001A366D"/>
    <w:rsid w:val="001A3951"/>
    <w:rsid w:val="001A43F9"/>
    <w:rsid w:val="001A465E"/>
    <w:rsid w:val="001A4C0C"/>
    <w:rsid w:val="001A57F1"/>
    <w:rsid w:val="001A5FA0"/>
    <w:rsid w:val="001A62D9"/>
    <w:rsid w:val="001A6746"/>
    <w:rsid w:val="001A69CA"/>
    <w:rsid w:val="001A6DE6"/>
    <w:rsid w:val="001A782B"/>
    <w:rsid w:val="001B0E19"/>
    <w:rsid w:val="001B11E8"/>
    <w:rsid w:val="001B1367"/>
    <w:rsid w:val="001B2009"/>
    <w:rsid w:val="001B2154"/>
    <w:rsid w:val="001B2546"/>
    <w:rsid w:val="001B2CD3"/>
    <w:rsid w:val="001B2F83"/>
    <w:rsid w:val="001B3074"/>
    <w:rsid w:val="001B3E27"/>
    <w:rsid w:val="001B41DA"/>
    <w:rsid w:val="001B4E70"/>
    <w:rsid w:val="001B58A9"/>
    <w:rsid w:val="001B60C6"/>
    <w:rsid w:val="001B65F8"/>
    <w:rsid w:val="001B6A1E"/>
    <w:rsid w:val="001B6F0F"/>
    <w:rsid w:val="001B701B"/>
    <w:rsid w:val="001B7B74"/>
    <w:rsid w:val="001C2FEA"/>
    <w:rsid w:val="001C306E"/>
    <w:rsid w:val="001C334D"/>
    <w:rsid w:val="001C3A7C"/>
    <w:rsid w:val="001C44DB"/>
    <w:rsid w:val="001C4C7B"/>
    <w:rsid w:val="001C554C"/>
    <w:rsid w:val="001C666A"/>
    <w:rsid w:val="001D0707"/>
    <w:rsid w:val="001D1803"/>
    <w:rsid w:val="001D18CE"/>
    <w:rsid w:val="001D1AFD"/>
    <w:rsid w:val="001D3BCC"/>
    <w:rsid w:val="001D44F7"/>
    <w:rsid w:val="001D4A9D"/>
    <w:rsid w:val="001D4D97"/>
    <w:rsid w:val="001D5232"/>
    <w:rsid w:val="001D576F"/>
    <w:rsid w:val="001D58DC"/>
    <w:rsid w:val="001D5BF9"/>
    <w:rsid w:val="001D5F95"/>
    <w:rsid w:val="001D68DB"/>
    <w:rsid w:val="001D7FB7"/>
    <w:rsid w:val="001D7FD7"/>
    <w:rsid w:val="001E03B0"/>
    <w:rsid w:val="001E15CB"/>
    <w:rsid w:val="001E1FDA"/>
    <w:rsid w:val="001E2678"/>
    <w:rsid w:val="001E2A25"/>
    <w:rsid w:val="001E30FD"/>
    <w:rsid w:val="001E5083"/>
    <w:rsid w:val="001E5FED"/>
    <w:rsid w:val="001E62CD"/>
    <w:rsid w:val="001E6718"/>
    <w:rsid w:val="001E703C"/>
    <w:rsid w:val="001F00B5"/>
    <w:rsid w:val="001F069A"/>
    <w:rsid w:val="001F0C3A"/>
    <w:rsid w:val="001F0FE5"/>
    <w:rsid w:val="001F1101"/>
    <w:rsid w:val="001F1949"/>
    <w:rsid w:val="001F1A0F"/>
    <w:rsid w:val="001F2185"/>
    <w:rsid w:val="001F48E8"/>
    <w:rsid w:val="001F4AFC"/>
    <w:rsid w:val="001F5DF4"/>
    <w:rsid w:val="001F7176"/>
    <w:rsid w:val="001F77BB"/>
    <w:rsid w:val="001F77C1"/>
    <w:rsid w:val="001F7B8B"/>
    <w:rsid w:val="001F7CD7"/>
    <w:rsid w:val="001F7D54"/>
    <w:rsid w:val="00201274"/>
    <w:rsid w:val="002012B2"/>
    <w:rsid w:val="00201DE8"/>
    <w:rsid w:val="00202B68"/>
    <w:rsid w:val="00204ADE"/>
    <w:rsid w:val="00204AE9"/>
    <w:rsid w:val="0020535F"/>
    <w:rsid w:val="002059A1"/>
    <w:rsid w:val="00205D96"/>
    <w:rsid w:val="00206249"/>
    <w:rsid w:val="00207146"/>
    <w:rsid w:val="00207D6C"/>
    <w:rsid w:val="00207E5D"/>
    <w:rsid w:val="002103DF"/>
    <w:rsid w:val="00210FF3"/>
    <w:rsid w:val="00211DF2"/>
    <w:rsid w:val="00211F7E"/>
    <w:rsid w:val="002123F7"/>
    <w:rsid w:val="00213651"/>
    <w:rsid w:val="002143B4"/>
    <w:rsid w:val="002147D8"/>
    <w:rsid w:val="00214815"/>
    <w:rsid w:val="00214D4D"/>
    <w:rsid w:val="00214EE2"/>
    <w:rsid w:val="002152A0"/>
    <w:rsid w:val="002156E5"/>
    <w:rsid w:val="00216FE5"/>
    <w:rsid w:val="00217CA6"/>
    <w:rsid w:val="00217FDE"/>
    <w:rsid w:val="002200D7"/>
    <w:rsid w:val="002207C0"/>
    <w:rsid w:val="002207C2"/>
    <w:rsid w:val="002215CC"/>
    <w:rsid w:val="00222D33"/>
    <w:rsid w:val="00223908"/>
    <w:rsid w:val="002241A2"/>
    <w:rsid w:val="002241E8"/>
    <w:rsid w:val="0022519E"/>
    <w:rsid w:val="00225271"/>
    <w:rsid w:val="0022634C"/>
    <w:rsid w:val="0022674E"/>
    <w:rsid w:val="00226EED"/>
    <w:rsid w:val="00230C60"/>
    <w:rsid w:val="00230F36"/>
    <w:rsid w:val="0023175A"/>
    <w:rsid w:val="0023201E"/>
    <w:rsid w:val="00232130"/>
    <w:rsid w:val="00232764"/>
    <w:rsid w:val="00232A04"/>
    <w:rsid w:val="00232CF2"/>
    <w:rsid w:val="00232EB6"/>
    <w:rsid w:val="00234ECB"/>
    <w:rsid w:val="002358E1"/>
    <w:rsid w:val="00236F3C"/>
    <w:rsid w:val="00237413"/>
    <w:rsid w:val="00237742"/>
    <w:rsid w:val="00237A5B"/>
    <w:rsid w:val="00240089"/>
    <w:rsid w:val="002414CA"/>
    <w:rsid w:val="00241DC8"/>
    <w:rsid w:val="00241E52"/>
    <w:rsid w:val="00242C36"/>
    <w:rsid w:val="00244AAB"/>
    <w:rsid w:val="00244B94"/>
    <w:rsid w:val="002460B0"/>
    <w:rsid w:val="00247D33"/>
    <w:rsid w:val="00250242"/>
    <w:rsid w:val="00250D6E"/>
    <w:rsid w:val="002516C2"/>
    <w:rsid w:val="00251BF9"/>
    <w:rsid w:val="00251C41"/>
    <w:rsid w:val="00251F73"/>
    <w:rsid w:val="0025373B"/>
    <w:rsid w:val="0025387A"/>
    <w:rsid w:val="00253C67"/>
    <w:rsid w:val="00253F1A"/>
    <w:rsid w:val="00253FAC"/>
    <w:rsid w:val="00254DB7"/>
    <w:rsid w:val="00254E1A"/>
    <w:rsid w:val="002555DE"/>
    <w:rsid w:val="00255A75"/>
    <w:rsid w:val="0025650F"/>
    <w:rsid w:val="00256DF5"/>
    <w:rsid w:val="00256E8D"/>
    <w:rsid w:val="002579A2"/>
    <w:rsid w:val="002609CC"/>
    <w:rsid w:val="00261B80"/>
    <w:rsid w:val="0026237F"/>
    <w:rsid w:val="002629AA"/>
    <w:rsid w:val="00262AB2"/>
    <w:rsid w:val="002630D0"/>
    <w:rsid w:val="00263D93"/>
    <w:rsid w:val="00264221"/>
    <w:rsid w:val="00264E2F"/>
    <w:rsid w:val="0026554C"/>
    <w:rsid w:val="00265EC7"/>
    <w:rsid w:val="0026641C"/>
    <w:rsid w:val="00266D56"/>
    <w:rsid w:val="00267780"/>
    <w:rsid w:val="002677E7"/>
    <w:rsid w:val="00270284"/>
    <w:rsid w:val="00270458"/>
    <w:rsid w:val="00270E32"/>
    <w:rsid w:val="00271A1B"/>
    <w:rsid w:val="00272032"/>
    <w:rsid w:val="002726BE"/>
    <w:rsid w:val="00272CF9"/>
    <w:rsid w:val="00272E69"/>
    <w:rsid w:val="00273E29"/>
    <w:rsid w:val="00274665"/>
    <w:rsid w:val="002746A8"/>
    <w:rsid w:val="00274C32"/>
    <w:rsid w:val="002752C4"/>
    <w:rsid w:val="0027604B"/>
    <w:rsid w:val="0028078D"/>
    <w:rsid w:val="00280D67"/>
    <w:rsid w:val="00281059"/>
    <w:rsid w:val="002810E1"/>
    <w:rsid w:val="002817EA"/>
    <w:rsid w:val="00281AE4"/>
    <w:rsid w:val="00281BAC"/>
    <w:rsid w:val="00282263"/>
    <w:rsid w:val="002829F3"/>
    <w:rsid w:val="00282D23"/>
    <w:rsid w:val="00282F0B"/>
    <w:rsid w:val="00283BD6"/>
    <w:rsid w:val="00283CB9"/>
    <w:rsid w:val="00283F23"/>
    <w:rsid w:val="00284068"/>
    <w:rsid w:val="0028565F"/>
    <w:rsid w:val="00286096"/>
    <w:rsid w:val="00286874"/>
    <w:rsid w:val="00286954"/>
    <w:rsid w:val="00286995"/>
    <w:rsid w:val="00291E92"/>
    <w:rsid w:val="00292C0B"/>
    <w:rsid w:val="00292D25"/>
    <w:rsid w:val="00293446"/>
    <w:rsid w:val="00294495"/>
    <w:rsid w:val="00294E87"/>
    <w:rsid w:val="002965F6"/>
    <w:rsid w:val="0029660F"/>
    <w:rsid w:val="00296AA4"/>
    <w:rsid w:val="00296ACF"/>
    <w:rsid w:val="00296B11"/>
    <w:rsid w:val="00297CFA"/>
    <w:rsid w:val="002A0416"/>
    <w:rsid w:val="002A1AB4"/>
    <w:rsid w:val="002A1C8A"/>
    <w:rsid w:val="002A2154"/>
    <w:rsid w:val="002A25FF"/>
    <w:rsid w:val="002A2A4D"/>
    <w:rsid w:val="002A3B73"/>
    <w:rsid w:val="002A538F"/>
    <w:rsid w:val="002A59E5"/>
    <w:rsid w:val="002A60C0"/>
    <w:rsid w:val="002A6330"/>
    <w:rsid w:val="002A65FB"/>
    <w:rsid w:val="002A6A19"/>
    <w:rsid w:val="002A730E"/>
    <w:rsid w:val="002A77D8"/>
    <w:rsid w:val="002A7D53"/>
    <w:rsid w:val="002B0A85"/>
    <w:rsid w:val="002B0E96"/>
    <w:rsid w:val="002B1B55"/>
    <w:rsid w:val="002B1B8C"/>
    <w:rsid w:val="002B2724"/>
    <w:rsid w:val="002B2C72"/>
    <w:rsid w:val="002B344D"/>
    <w:rsid w:val="002B3DF5"/>
    <w:rsid w:val="002B42DD"/>
    <w:rsid w:val="002B4810"/>
    <w:rsid w:val="002B4E56"/>
    <w:rsid w:val="002B5E7C"/>
    <w:rsid w:val="002B6AD7"/>
    <w:rsid w:val="002B7833"/>
    <w:rsid w:val="002C051F"/>
    <w:rsid w:val="002C0619"/>
    <w:rsid w:val="002C0B60"/>
    <w:rsid w:val="002C0E37"/>
    <w:rsid w:val="002C14CE"/>
    <w:rsid w:val="002C1CB2"/>
    <w:rsid w:val="002C1EC3"/>
    <w:rsid w:val="002C20AA"/>
    <w:rsid w:val="002C20DD"/>
    <w:rsid w:val="002C22A2"/>
    <w:rsid w:val="002C249E"/>
    <w:rsid w:val="002C25DE"/>
    <w:rsid w:val="002C2D22"/>
    <w:rsid w:val="002C30BA"/>
    <w:rsid w:val="002C3563"/>
    <w:rsid w:val="002C386A"/>
    <w:rsid w:val="002C4017"/>
    <w:rsid w:val="002C480B"/>
    <w:rsid w:val="002C4C61"/>
    <w:rsid w:val="002C5C4D"/>
    <w:rsid w:val="002C5D79"/>
    <w:rsid w:val="002C6527"/>
    <w:rsid w:val="002C65AA"/>
    <w:rsid w:val="002C79A2"/>
    <w:rsid w:val="002C7A72"/>
    <w:rsid w:val="002C7B3E"/>
    <w:rsid w:val="002D09C6"/>
    <w:rsid w:val="002D10C7"/>
    <w:rsid w:val="002D1F69"/>
    <w:rsid w:val="002D2B12"/>
    <w:rsid w:val="002D2D87"/>
    <w:rsid w:val="002D3441"/>
    <w:rsid w:val="002D36D8"/>
    <w:rsid w:val="002D3B7D"/>
    <w:rsid w:val="002D4668"/>
    <w:rsid w:val="002D473A"/>
    <w:rsid w:val="002D47B4"/>
    <w:rsid w:val="002D488F"/>
    <w:rsid w:val="002D5B98"/>
    <w:rsid w:val="002D6D42"/>
    <w:rsid w:val="002D6FB4"/>
    <w:rsid w:val="002E0100"/>
    <w:rsid w:val="002E1C8A"/>
    <w:rsid w:val="002E3255"/>
    <w:rsid w:val="002E3409"/>
    <w:rsid w:val="002E40D9"/>
    <w:rsid w:val="002E4377"/>
    <w:rsid w:val="002E4890"/>
    <w:rsid w:val="002E4E07"/>
    <w:rsid w:val="002E52F7"/>
    <w:rsid w:val="002E56AD"/>
    <w:rsid w:val="002E600A"/>
    <w:rsid w:val="002E646A"/>
    <w:rsid w:val="002E669B"/>
    <w:rsid w:val="002E6B80"/>
    <w:rsid w:val="002E76AF"/>
    <w:rsid w:val="002F0054"/>
    <w:rsid w:val="002F01BA"/>
    <w:rsid w:val="002F0547"/>
    <w:rsid w:val="002F0E02"/>
    <w:rsid w:val="002F0E17"/>
    <w:rsid w:val="002F173E"/>
    <w:rsid w:val="002F25D6"/>
    <w:rsid w:val="002F2873"/>
    <w:rsid w:val="002F28FD"/>
    <w:rsid w:val="002F29A3"/>
    <w:rsid w:val="002F4305"/>
    <w:rsid w:val="002F59B4"/>
    <w:rsid w:val="002F6439"/>
    <w:rsid w:val="002F6CEC"/>
    <w:rsid w:val="002F7273"/>
    <w:rsid w:val="002F7682"/>
    <w:rsid w:val="0030008E"/>
    <w:rsid w:val="00300A9F"/>
    <w:rsid w:val="00301E14"/>
    <w:rsid w:val="00301E8A"/>
    <w:rsid w:val="00301F33"/>
    <w:rsid w:val="003023E9"/>
    <w:rsid w:val="00302528"/>
    <w:rsid w:val="00303307"/>
    <w:rsid w:val="00303598"/>
    <w:rsid w:val="00304386"/>
    <w:rsid w:val="003043D2"/>
    <w:rsid w:val="003044BB"/>
    <w:rsid w:val="003052F1"/>
    <w:rsid w:val="003053CF"/>
    <w:rsid w:val="003055C8"/>
    <w:rsid w:val="00305CEA"/>
    <w:rsid w:val="00307160"/>
    <w:rsid w:val="0030733F"/>
    <w:rsid w:val="00307C38"/>
    <w:rsid w:val="00310636"/>
    <w:rsid w:val="00310C3B"/>
    <w:rsid w:val="0031126B"/>
    <w:rsid w:val="0031182A"/>
    <w:rsid w:val="00311DE0"/>
    <w:rsid w:val="003121AE"/>
    <w:rsid w:val="00312305"/>
    <w:rsid w:val="003127B0"/>
    <w:rsid w:val="003131AA"/>
    <w:rsid w:val="00313465"/>
    <w:rsid w:val="003135A8"/>
    <w:rsid w:val="003136E1"/>
    <w:rsid w:val="003141C7"/>
    <w:rsid w:val="003145B2"/>
    <w:rsid w:val="0031478C"/>
    <w:rsid w:val="00314C76"/>
    <w:rsid w:val="00315411"/>
    <w:rsid w:val="0031609C"/>
    <w:rsid w:val="00316593"/>
    <w:rsid w:val="003172D3"/>
    <w:rsid w:val="00317E81"/>
    <w:rsid w:val="003200C0"/>
    <w:rsid w:val="0032025F"/>
    <w:rsid w:val="003203A6"/>
    <w:rsid w:val="00320E65"/>
    <w:rsid w:val="00320EE2"/>
    <w:rsid w:val="00320F01"/>
    <w:rsid w:val="0032230D"/>
    <w:rsid w:val="00323D7F"/>
    <w:rsid w:val="00324452"/>
    <w:rsid w:val="003253AC"/>
    <w:rsid w:val="00325D76"/>
    <w:rsid w:val="00326371"/>
    <w:rsid w:val="00326CCF"/>
    <w:rsid w:val="003272A2"/>
    <w:rsid w:val="00327EFC"/>
    <w:rsid w:val="003302AB"/>
    <w:rsid w:val="003302F1"/>
    <w:rsid w:val="00331959"/>
    <w:rsid w:val="00331CAD"/>
    <w:rsid w:val="00332E3F"/>
    <w:rsid w:val="003336A9"/>
    <w:rsid w:val="00333721"/>
    <w:rsid w:val="00333AC3"/>
    <w:rsid w:val="00334EFF"/>
    <w:rsid w:val="0033505A"/>
    <w:rsid w:val="003351B8"/>
    <w:rsid w:val="00335508"/>
    <w:rsid w:val="00335970"/>
    <w:rsid w:val="003365B9"/>
    <w:rsid w:val="00336B6E"/>
    <w:rsid w:val="0033784B"/>
    <w:rsid w:val="00337AAE"/>
    <w:rsid w:val="0034065E"/>
    <w:rsid w:val="00341BE9"/>
    <w:rsid w:val="003425B6"/>
    <w:rsid w:val="003428CF"/>
    <w:rsid w:val="00343764"/>
    <w:rsid w:val="00343BA7"/>
    <w:rsid w:val="00343F70"/>
    <w:rsid w:val="00346B5D"/>
    <w:rsid w:val="00347453"/>
    <w:rsid w:val="00347DB1"/>
    <w:rsid w:val="00352321"/>
    <w:rsid w:val="003529AA"/>
    <w:rsid w:val="00352A9E"/>
    <w:rsid w:val="0035331B"/>
    <w:rsid w:val="00353776"/>
    <w:rsid w:val="00354745"/>
    <w:rsid w:val="00354FCA"/>
    <w:rsid w:val="0035719D"/>
    <w:rsid w:val="00360162"/>
    <w:rsid w:val="003617FD"/>
    <w:rsid w:val="00361E85"/>
    <w:rsid w:val="00362EEB"/>
    <w:rsid w:val="0036307D"/>
    <w:rsid w:val="00363FCD"/>
    <w:rsid w:val="00364613"/>
    <w:rsid w:val="00364CDC"/>
    <w:rsid w:val="00365687"/>
    <w:rsid w:val="00365860"/>
    <w:rsid w:val="00365E36"/>
    <w:rsid w:val="00367637"/>
    <w:rsid w:val="00370966"/>
    <w:rsid w:val="00371354"/>
    <w:rsid w:val="0037152C"/>
    <w:rsid w:val="00373078"/>
    <w:rsid w:val="00373E22"/>
    <w:rsid w:val="00374305"/>
    <w:rsid w:val="003751AF"/>
    <w:rsid w:val="003751BA"/>
    <w:rsid w:val="00376D7C"/>
    <w:rsid w:val="00377493"/>
    <w:rsid w:val="00377A83"/>
    <w:rsid w:val="00377CE8"/>
    <w:rsid w:val="00381D61"/>
    <w:rsid w:val="00381DF2"/>
    <w:rsid w:val="0038353E"/>
    <w:rsid w:val="003841F1"/>
    <w:rsid w:val="00384E20"/>
    <w:rsid w:val="0038504D"/>
    <w:rsid w:val="003850B5"/>
    <w:rsid w:val="00385735"/>
    <w:rsid w:val="00386430"/>
    <w:rsid w:val="0038649F"/>
    <w:rsid w:val="00386C8A"/>
    <w:rsid w:val="00386CA5"/>
    <w:rsid w:val="00386D7B"/>
    <w:rsid w:val="003873E4"/>
    <w:rsid w:val="00387790"/>
    <w:rsid w:val="00387909"/>
    <w:rsid w:val="00387EFB"/>
    <w:rsid w:val="00391215"/>
    <w:rsid w:val="0039198B"/>
    <w:rsid w:val="00391FAA"/>
    <w:rsid w:val="00392B8A"/>
    <w:rsid w:val="00393248"/>
    <w:rsid w:val="00394ACC"/>
    <w:rsid w:val="00395413"/>
    <w:rsid w:val="00395972"/>
    <w:rsid w:val="00395EDD"/>
    <w:rsid w:val="00396379"/>
    <w:rsid w:val="0039669C"/>
    <w:rsid w:val="00397496"/>
    <w:rsid w:val="003A0878"/>
    <w:rsid w:val="003A0BC6"/>
    <w:rsid w:val="003A1AF8"/>
    <w:rsid w:val="003A2C41"/>
    <w:rsid w:val="003A31FD"/>
    <w:rsid w:val="003A3CF3"/>
    <w:rsid w:val="003A458A"/>
    <w:rsid w:val="003A4A78"/>
    <w:rsid w:val="003A5008"/>
    <w:rsid w:val="003A55F7"/>
    <w:rsid w:val="003A5CB0"/>
    <w:rsid w:val="003A6C2D"/>
    <w:rsid w:val="003A7213"/>
    <w:rsid w:val="003B0356"/>
    <w:rsid w:val="003B19E1"/>
    <w:rsid w:val="003B19EF"/>
    <w:rsid w:val="003B1C87"/>
    <w:rsid w:val="003B1DBD"/>
    <w:rsid w:val="003B2584"/>
    <w:rsid w:val="003B2A63"/>
    <w:rsid w:val="003B2E24"/>
    <w:rsid w:val="003B3285"/>
    <w:rsid w:val="003B32A2"/>
    <w:rsid w:val="003B40B5"/>
    <w:rsid w:val="003B4176"/>
    <w:rsid w:val="003B425C"/>
    <w:rsid w:val="003B48BB"/>
    <w:rsid w:val="003B4995"/>
    <w:rsid w:val="003B642F"/>
    <w:rsid w:val="003B69FE"/>
    <w:rsid w:val="003B7A80"/>
    <w:rsid w:val="003C3A44"/>
    <w:rsid w:val="003C4421"/>
    <w:rsid w:val="003C5B13"/>
    <w:rsid w:val="003C6FB3"/>
    <w:rsid w:val="003C78F1"/>
    <w:rsid w:val="003D08E5"/>
    <w:rsid w:val="003D0C8E"/>
    <w:rsid w:val="003D12AC"/>
    <w:rsid w:val="003D16A6"/>
    <w:rsid w:val="003D17C3"/>
    <w:rsid w:val="003D2E4A"/>
    <w:rsid w:val="003D332F"/>
    <w:rsid w:val="003D33FD"/>
    <w:rsid w:val="003D40D6"/>
    <w:rsid w:val="003D452D"/>
    <w:rsid w:val="003D519C"/>
    <w:rsid w:val="003D6CA2"/>
    <w:rsid w:val="003D7151"/>
    <w:rsid w:val="003D746C"/>
    <w:rsid w:val="003D7495"/>
    <w:rsid w:val="003D75AF"/>
    <w:rsid w:val="003D75E1"/>
    <w:rsid w:val="003D7FB4"/>
    <w:rsid w:val="003E0382"/>
    <w:rsid w:val="003E0A9C"/>
    <w:rsid w:val="003E17DC"/>
    <w:rsid w:val="003E2AC0"/>
    <w:rsid w:val="003E2D00"/>
    <w:rsid w:val="003E3266"/>
    <w:rsid w:val="003E3909"/>
    <w:rsid w:val="003E39A1"/>
    <w:rsid w:val="003E3F4C"/>
    <w:rsid w:val="003E5631"/>
    <w:rsid w:val="003E63D3"/>
    <w:rsid w:val="003E6CDC"/>
    <w:rsid w:val="003E6E62"/>
    <w:rsid w:val="003E75E1"/>
    <w:rsid w:val="003E7A0E"/>
    <w:rsid w:val="003F11C2"/>
    <w:rsid w:val="003F1B66"/>
    <w:rsid w:val="003F32B9"/>
    <w:rsid w:val="003F3506"/>
    <w:rsid w:val="003F3B6F"/>
    <w:rsid w:val="003F446E"/>
    <w:rsid w:val="003F45E9"/>
    <w:rsid w:val="003F4CA8"/>
    <w:rsid w:val="003F6369"/>
    <w:rsid w:val="003F6AFF"/>
    <w:rsid w:val="003F726F"/>
    <w:rsid w:val="003F7B35"/>
    <w:rsid w:val="003F7DC4"/>
    <w:rsid w:val="004004F0"/>
    <w:rsid w:val="00400E28"/>
    <w:rsid w:val="004013E2"/>
    <w:rsid w:val="0040185B"/>
    <w:rsid w:val="00401BE8"/>
    <w:rsid w:val="00401CF4"/>
    <w:rsid w:val="00402133"/>
    <w:rsid w:val="00403861"/>
    <w:rsid w:val="00403EA9"/>
    <w:rsid w:val="00403FB8"/>
    <w:rsid w:val="0040494B"/>
    <w:rsid w:val="004049C6"/>
    <w:rsid w:val="00404F6F"/>
    <w:rsid w:val="0040641C"/>
    <w:rsid w:val="0040671E"/>
    <w:rsid w:val="00406C85"/>
    <w:rsid w:val="0040798B"/>
    <w:rsid w:val="004105B1"/>
    <w:rsid w:val="00410CD8"/>
    <w:rsid w:val="004112BB"/>
    <w:rsid w:val="00411A7D"/>
    <w:rsid w:val="00412F0C"/>
    <w:rsid w:val="004136AD"/>
    <w:rsid w:val="00413F83"/>
    <w:rsid w:val="00414329"/>
    <w:rsid w:val="00414739"/>
    <w:rsid w:val="00414A7D"/>
    <w:rsid w:val="00414DD7"/>
    <w:rsid w:val="004151D4"/>
    <w:rsid w:val="004152CD"/>
    <w:rsid w:val="004156FF"/>
    <w:rsid w:val="00416BCE"/>
    <w:rsid w:val="00416C32"/>
    <w:rsid w:val="0041761F"/>
    <w:rsid w:val="0041774C"/>
    <w:rsid w:val="00417FE0"/>
    <w:rsid w:val="004208A4"/>
    <w:rsid w:val="00420FCC"/>
    <w:rsid w:val="004215AF"/>
    <w:rsid w:val="00422774"/>
    <w:rsid w:val="004227E1"/>
    <w:rsid w:val="00422943"/>
    <w:rsid w:val="00423A02"/>
    <w:rsid w:val="00426760"/>
    <w:rsid w:val="00426D1F"/>
    <w:rsid w:val="004307F6"/>
    <w:rsid w:val="00430EFA"/>
    <w:rsid w:val="00430F6B"/>
    <w:rsid w:val="004313BE"/>
    <w:rsid w:val="0043153B"/>
    <w:rsid w:val="00431E97"/>
    <w:rsid w:val="00432743"/>
    <w:rsid w:val="00432E27"/>
    <w:rsid w:val="00433DBE"/>
    <w:rsid w:val="00434416"/>
    <w:rsid w:val="00434F84"/>
    <w:rsid w:val="004374B6"/>
    <w:rsid w:val="004378B1"/>
    <w:rsid w:val="00437A54"/>
    <w:rsid w:val="004405C8"/>
    <w:rsid w:val="00441080"/>
    <w:rsid w:val="00441D02"/>
    <w:rsid w:val="004423F6"/>
    <w:rsid w:val="00443002"/>
    <w:rsid w:val="004431A4"/>
    <w:rsid w:val="004440AA"/>
    <w:rsid w:val="00444482"/>
    <w:rsid w:val="00444D96"/>
    <w:rsid w:val="00444E3D"/>
    <w:rsid w:val="004455B5"/>
    <w:rsid w:val="00445751"/>
    <w:rsid w:val="00445782"/>
    <w:rsid w:val="004459C0"/>
    <w:rsid w:val="0044632F"/>
    <w:rsid w:val="00446671"/>
    <w:rsid w:val="00447354"/>
    <w:rsid w:val="0044745E"/>
    <w:rsid w:val="00447757"/>
    <w:rsid w:val="00450AD6"/>
    <w:rsid w:val="00450F38"/>
    <w:rsid w:val="0045164C"/>
    <w:rsid w:val="004525D5"/>
    <w:rsid w:val="00454244"/>
    <w:rsid w:val="00454B4F"/>
    <w:rsid w:val="00454E53"/>
    <w:rsid w:val="004565FD"/>
    <w:rsid w:val="00456ACA"/>
    <w:rsid w:val="00456C0B"/>
    <w:rsid w:val="00457F7C"/>
    <w:rsid w:val="00460A96"/>
    <w:rsid w:val="00461ACC"/>
    <w:rsid w:val="00462024"/>
    <w:rsid w:val="00462724"/>
    <w:rsid w:val="004636E9"/>
    <w:rsid w:val="00463810"/>
    <w:rsid w:val="00463DE7"/>
    <w:rsid w:val="004643CA"/>
    <w:rsid w:val="00464AA3"/>
    <w:rsid w:val="00464B0B"/>
    <w:rsid w:val="00467F4B"/>
    <w:rsid w:val="00470B99"/>
    <w:rsid w:val="00471C19"/>
    <w:rsid w:val="00471D74"/>
    <w:rsid w:val="0047228D"/>
    <w:rsid w:val="00473483"/>
    <w:rsid w:val="004739E3"/>
    <w:rsid w:val="00474739"/>
    <w:rsid w:val="00474756"/>
    <w:rsid w:val="00475465"/>
    <w:rsid w:val="0047569B"/>
    <w:rsid w:val="004756A6"/>
    <w:rsid w:val="004764EE"/>
    <w:rsid w:val="00476DDF"/>
    <w:rsid w:val="004770A2"/>
    <w:rsid w:val="00477BBE"/>
    <w:rsid w:val="00480151"/>
    <w:rsid w:val="0048037C"/>
    <w:rsid w:val="0048045A"/>
    <w:rsid w:val="004804B2"/>
    <w:rsid w:val="00480C4B"/>
    <w:rsid w:val="00480DAB"/>
    <w:rsid w:val="00481BE0"/>
    <w:rsid w:val="00481EDA"/>
    <w:rsid w:val="00482D9B"/>
    <w:rsid w:val="0048393F"/>
    <w:rsid w:val="00483F58"/>
    <w:rsid w:val="004850E3"/>
    <w:rsid w:val="00485A3A"/>
    <w:rsid w:val="00487204"/>
    <w:rsid w:val="0048741E"/>
    <w:rsid w:val="00487964"/>
    <w:rsid w:val="00487C1A"/>
    <w:rsid w:val="0049085A"/>
    <w:rsid w:val="00491DF0"/>
    <w:rsid w:val="004924C4"/>
    <w:rsid w:val="004927F8"/>
    <w:rsid w:val="00493F9A"/>
    <w:rsid w:val="00494922"/>
    <w:rsid w:val="0049506C"/>
    <w:rsid w:val="004959F8"/>
    <w:rsid w:val="0049618F"/>
    <w:rsid w:val="0049644D"/>
    <w:rsid w:val="004968CD"/>
    <w:rsid w:val="00496A96"/>
    <w:rsid w:val="004970BB"/>
    <w:rsid w:val="00497803"/>
    <w:rsid w:val="00497DB0"/>
    <w:rsid w:val="00497EF8"/>
    <w:rsid w:val="00497FEB"/>
    <w:rsid w:val="004A06A9"/>
    <w:rsid w:val="004A1869"/>
    <w:rsid w:val="004A2457"/>
    <w:rsid w:val="004A4086"/>
    <w:rsid w:val="004A4304"/>
    <w:rsid w:val="004A47E5"/>
    <w:rsid w:val="004A4A27"/>
    <w:rsid w:val="004A4AC7"/>
    <w:rsid w:val="004A592E"/>
    <w:rsid w:val="004A61AF"/>
    <w:rsid w:val="004A6B60"/>
    <w:rsid w:val="004A70E7"/>
    <w:rsid w:val="004B0D49"/>
    <w:rsid w:val="004B0E48"/>
    <w:rsid w:val="004B2B01"/>
    <w:rsid w:val="004B2C64"/>
    <w:rsid w:val="004B301D"/>
    <w:rsid w:val="004B3623"/>
    <w:rsid w:val="004B36C5"/>
    <w:rsid w:val="004B45D3"/>
    <w:rsid w:val="004B4716"/>
    <w:rsid w:val="004B475B"/>
    <w:rsid w:val="004B518A"/>
    <w:rsid w:val="004B540E"/>
    <w:rsid w:val="004B5967"/>
    <w:rsid w:val="004B5E36"/>
    <w:rsid w:val="004B6198"/>
    <w:rsid w:val="004B6408"/>
    <w:rsid w:val="004B65A7"/>
    <w:rsid w:val="004B6A33"/>
    <w:rsid w:val="004B6BFE"/>
    <w:rsid w:val="004B6C4C"/>
    <w:rsid w:val="004B73AB"/>
    <w:rsid w:val="004C04FD"/>
    <w:rsid w:val="004C0EC6"/>
    <w:rsid w:val="004C1A08"/>
    <w:rsid w:val="004C1E71"/>
    <w:rsid w:val="004C2034"/>
    <w:rsid w:val="004C2098"/>
    <w:rsid w:val="004C2884"/>
    <w:rsid w:val="004C31A1"/>
    <w:rsid w:val="004C3543"/>
    <w:rsid w:val="004C38FB"/>
    <w:rsid w:val="004C3F3C"/>
    <w:rsid w:val="004C40C8"/>
    <w:rsid w:val="004C5502"/>
    <w:rsid w:val="004C55AA"/>
    <w:rsid w:val="004C5D85"/>
    <w:rsid w:val="004C76FF"/>
    <w:rsid w:val="004D0355"/>
    <w:rsid w:val="004D0C9F"/>
    <w:rsid w:val="004D0EA2"/>
    <w:rsid w:val="004D0EE9"/>
    <w:rsid w:val="004D17D7"/>
    <w:rsid w:val="004D28E7"/>
    <w:rsid w:val="004D2C88"/>
    <w:rsid w:val="004D3AA0"/>
    <w:rsid w:val="004D3B6B"/>
    <w:rsid w:val="004D4008"/>
    <w:rsid w:val="004D4CD4"/>
    <w:rsid w:val="004D5ACD"/>
    <w:rsid w:val="004D5D9E"/>
    <w:rsid w:val="004D5FE9"/>
    <w:rsid w:val="004D615F"/>
    <w:rsid w:val="004D71E5"/>
    <w:rsid w:val="004D7637"/>
    <w:rsid w:val="004D779D"/>
    <w:rsid w:val="004D77BC"/>
    <w:rsid w:val="004D7AAC"/>
    <w:rsid w:val="004E017C"/>
    <w:rsid w:val="004E092A"/>
    <w:rsid w:val="004E30D2"/>
    <w:rsid w:val="004E414F"/>
    <w:rsid w:val="004E459E"/>
    <w:rsid w:val="004E79F5"/>
    <w:rsid w:val="004E7AE5"/>
    <w:rsid w:val="004F0959"/>
    <w:rsid w:val="004F1172"/>
    <w:rsid w:val="004F19A7"/>
    <w:rsid w:val="004F1B47"/>
    <w:rsid w:val="004F210F"/>
    <w:rsid w:val="004F2673"/>
    <w:rsid w:val="004F41CA"/>
    <w:rsid w:val="004F5439"/>
    <w:rsid w:val="004F5BD8"/>
    <w:rsid w:val="004F61F0"/>
    <w:rsid w:val="004F63CB"/>
    <w:rsid w:val="004F7125"/>
    <w:rsid w:val="004F76D5"/>
    <w:rsid w:val="00501EC2"/>
    <w:rsid w:val="00502078"/>
    <w:rsid w:val="0050259F"/>
    <w:rsid w:val="00504A6A"/>
    <w:rsid w:val="00505E82"/>
    <w:rsid w:val="00506392"/>
    <w:rsid w:val="00506422"/>
    <w:rsid w:val="00507AEE"/>
    <w:rsid w:val="005101E4"/>
    <w:rsid w:val="005105A4"/>
    <w:rsid w:val="00510617"/>
    <w:rsid w:val="00510F98"/>
    <w:rsid w:val="005119D4"/>
    <w:rsid w:val="00511DA8"/>
    <w:rsid w:val="005125F9"/>
    <w:rsid w:val="00514A21"/>
    <w:rsid w:val="00514C74"/>
    <w:rsid w:val="00514DF6"/>
    <w:rsid w:val="005160A1"/>
    <w:rsid w:val="0051668E"/>
    <w:rsid w:val="00520C68"/>
    <w:rsid w:val="0052131E"/>
    <w:rsid w:val="00521356"/>
    <w:rsid w:val="005214D8"/>
    <w:rsid w:val="00521624"/>
    <w:rsid w:val="005216E0"/>
    <w:rsid w:val="00521D49"/>
    <w:rsid w:val="00522680"/>
    <w:rsid w:val="00523963"/>
    <w:rsid w:val="00524C71"/>
    <w:rsid w:val="00525A45"/>
    <w:rsid w:val="00526635"/>
    <w:rsid w:val="005275BA"/>
    <w:rsid w:val="00530433"/>
    <w:rsid w:val="00530884"/>
    <w:rsid w:val="00532479"/>
    <w:rsid w:val="00532A5E"/>
    <w:rsid w:val="00532A90"/>
    <w:rsid w:val="00536317"/>
    <w:rsid w:val="0053690B"/>
    <w:rsid w:val="00536E47"/>
    <w:rsid w:val="00537DAB"/>
    <w:rsid w:val="00537DD0"/>
    <w:rsid w:val="005402F4"/>
    <w:rsid w:val="0054085A"/>
    <w:rsid w:val="00542C8C"/>
    <w:rsid w:val="00542D44"/>
    <w:rsid w:val="00542E7F"/>
    <w:rsid w:val="00542FD4"/>
    <w:rsid w:val="00543266"/>
    <w:rsid w:val="00543591"/>
    <w:rsid w:val="00543AC6"/>
    <w:rsid w:val="005449CD"/>
    <w:rsid w:val="005457A7"/>
    <w:rsid w:val="005457E1"/>
    <w:rsid w:val="00545F99"/>
    <w:rsid w:val="005465B5"/>
    <w:rsid w:val="00547A31"/>
    <w:rsid w:val="00547C47"/>
    <w:rsid w:val="00547E93"/>
    <w:rsid w:val="005500D5"/>
    <w:rsid w:val="00550DBB"/>
    <w:rsid w:val="00552AAC"/>
    <w:rsid w:val="00553237"/>
    <w:rsid w:val="0055350B"/>
    <w:rsid w:val="005542E8"/>
    <w:rsid w:val="00554A0F"/>
    <w:rsid w:val="00555C5A"/>
    <w:rsid w:val="00557C93"/>
    <w:rsid w:val="005602C2"/>
    <w:rsid w:val="005604AF"/>
    <w:rsid w:val="00560555"/>
    <w:rsid w:val="005616D1"/>
    <w:rsid w:val="00561A34"/>
    <w:rsid w:val="00562094"/>
    <w:rsid w:val="00562506"/>
    <w:rsid w:val="00563E13"/>
    <w:rsid w:val="005640A4"/>
    <w:rsid w:val="00564785"/>
    <w:rsid w:val="00564858"/>
    <w:rsid w:val="005654DB"/>
    <w:rsid w:val="0056563B"/>
    <w:rsid w:val="005656CA"/>
    <w:rsid w:val="005659D8"/>
    <w:rsid w:val="005665AF"/>
    <w:rsid w:val="00566A90"/>
    <w:rsid w:val="00566F05"/>
    <w:rsid w:val="0056702C"/>
    <w:rsid w:val="00570A36"/>
    <w:rsid w:val="00570C06"/>
    <w:rsid w:val="00571827"/>
    <w:rsid w:val="0057223C"/>
    <w:rsid w:val="00572835"/>
    <w:rsid w:val="005728AE"/>
    <w:rsid w:val="0057339F"/>
    <w:rsid w:val="00575067"/>
    <w:rsid w:val="00575514"/>
    <w:rsid w:val="00575BC4"/>
    <w:rsid w:val="00575BED"/>
    <w:rsid w:val="00576D96"/>
    <w:rsid w:val="00576E17"/>
    <w:rsid w:val="0057732C"/>
    <w:rsid w:val="00577D25"/>
    <w:rsid w:val="0058004F"/>
    <w:rsid w:val="005806BD"/>
    <w:rsid w:val="00581324"/>
    <w:rsid w:val="0058176B"/>
    <w:rsid w:val="005819A0"/>
    <w:rsid w:val="00581A43"/>
    <w:rsid w:val="00581C97"/>
    <w:rsid w:val="00582907"/>
    <w:rsid w:val="00582AA5"/>
    <w:rsid w:val="00583768"/>
    <w:rsid w:val="00583885"/>
    <w:rsid w:val="00583DD9"/>
    <w:rsid w:val="005841B6"/>
    <w:rsid w:val="005853CC"/>
    <w:rsid w:val="005856F5"/>
    <w:rsid w:val="00586806"/>
    <w:rsid w:val="00586975"/>
    <w:rsid w:val="00586EE9"/>
    <w:rsid w:val="00587294"/>
    <w:rsid w:val="00587701"/>
    <w:rsid w:val="0059025D"/>
    <w:rsid w:val="005911BA"/>
    <w:rsid w:val="00591F34"/>
    <w:rsid w:val="005924F4"/>
    <w:rsid w:val="005925CB"/>
    <w:rsid w:val="00592A47"/>
    <w:rsid w:val="00592EF8"/>
    <w:rsid w:val="00592F54"/>
    <w:rsid w:val="00593E4C"/>
    <w:rsid w:val="00593F9B"/>
    <w:rsid w:val="00593FC9"/>
    <w:rsid w:val="00594DFB"/>
    <w:rsid w:val="005953D1"/>
    <w:rsid w:val="0059556A"/>
    <w:rsid w:val="005966E8"/>
    <w:rsid w:val="005968C2"/>
    <w:rsid w:val="005971A6"/>
    <w:rsid w:val="0059737B"/>
    <w:rsid w:val="0059792F"/>
    <w:rsid w:val="005A04F5"/>
    <w:rsid w:val="005A065C"/>
    <w:rsid w:val="005A0672"/>
    <w:rsid w:val="005A11DF"/>
    <w:rsid w:val="005A1749"/>
    <w:rsid w:val="005A200A"/>
    <w:rsid w:val="005A2607"/>
    <w:rsid w:val="005A26D4"/>
    <w:rsid w:val="005A2BB3"/>
    <w:rsid w:val="005A3CB1"/>
    <w:rsid w:val="005A447C"/>
    <w:rsid w:val="005A4649"/>
    <w:rsid w:val="005A480F"/>
    <w:rsid w:val="005A4A84"/>
    <w:rsid w:val="005A4DE9"/>
    <w:rsid w:val="005A4F78"/>
    <w:rsid w:val="005A5ED2"/>
    <w:rsid w:val="005A66F0"/>
    <w:rsid w:val="005A6B47"/>
    <w:rsid w:val="005A6E9B"/>
    <w:rsid w:val="005A6FC8"/>
    <w:rsid w:val="005A70A0"/>
    <w:rsid w:val="005B11C0"/>
    <w:rsid w:val="005B149E"/>
    <w:rsid w:val="005B1A4C"/>
    <w:rsid w:val="005B2DA1"/>
    <w:rsid w:val="005B2DF4"/>
    <w:rsid w:val="005B3335"/>
    <w:rsid w:val="005B33D8"/>
    <w:rsid w:val="005B345B"/>
    <w:rsid w:val="005B3BCE"/>
    <w:rsid w:val="005B4546"/>
    <w:rsid w:val="005B481A"/>
    <w:rsid w:val="005B798C"/>
    <w:rsid w:val="005C0244"/>
    <w:rsid w:val="005C08B9"/>
    <w:rsid w:val="005C14FC"/>
    <w:rsid w:val="005C1E5E"/>
    <w:rsid w:val="005C21A8"/>
    <w:rsid w:val="005C2F37"/>
    <w:rsid w:val="005C2FEA"/>
    <w:rsid w:val="005C3120"/>
    <w:rsid w:val="005C35D5"/>
    <w:rsid w:val="005C3633"/>
    <w:rsid w:val="005C3E36"/>
    <w:rsid w:val="005C424F"/>
    <w:rsid w:val="005C4590"/>
    <w:rsid w:val="005C6268"/>
    <w:rsid w:val="005C6667"/>
    <w:rsid w:val="005C66F1"/>
    <w:rsid w:val="005D0712"/>
    <w:rsid w:val="005D0CA2"/>
    <w:rsid w:val="005D1547"/>
    <w:rsid w:val="005D2409"/>
    <w:rsid w:val="005D3C49"/>
    <w:rsid w:val="005D49A2"/>
    <w:rsid w:val="005D4AC6"/>
    <w:rsid w:val="005D5790"/>
    <w:rsid w:val="005D5D73"/>
    <w:rsid w:val="005D68E2"/>
    <w:rsid w:val="005D6A08"/>
    <w:rsid w:val="005D70D6"/>
    <w:rsid w:val="005D7462"/>
    <w:rsid w:val="005D76DA"/>
    <w:rsid w:val="005D7EB9"/>
    <w:rsid w:val="005E03FB"/>
    <w:rsid w:val="005E06F3"/>
    <w:rsid w:val="005E0F3F"/>
    <w:rsid w:val="005E18AA"/>
    <w:rsid w:val="005E1A1A"/>
    <w:rsid w:val="005E1C2F"/>
    <w:rsid w:val="005E25BA"/>
    <w:rsid w:val="005E2630"/>
    <w:rsid w:val="005E3726"/>
    <w:rsid w:val="005E3E64"/>
    <w:rsid w:val="005E47DE"/>
    <w:rsid w:val="005E4895"/>
    <w:rsid w:val="005E5539"/>
    <w:rsid w:val="005E723F"/>
    <w:rsid w:val="005F1F5B"/>
    <w:rsid w:val="005F2A5C"/>
    <w:rsid w:val="005F3376"/>
    <w:rsid w:val="005F3508"/>
    <w:rsid w:val="005F3951"/>
    <w:rsid w:val="005F481B"/>
    <w:rsid w:val="005F53EC"/>
    <w:rsid w:val="005F56CC"/>
    <w:rsid w:val="005F586A"/>
    <w:rsid w:val="005F73CD"/>
    <w:rsid w:val="005F7C31"/>
    <w:rsid w:val="00600015"/>
    <w:rsid w:val="006000AA"/>
    <w:rsid w:val="006002E3"/>
    <w:rsid w:val="0060094B"/>
    <w:rsid w:val="00601112"/>
    <w:rsid w:val="006011D9"/>
    <w:rsid w:val="00601B7F"/>
    <w:rsid w:val="00602330"/>
    <w:rsid w:val="006023B8"/>
    <w:rsid w:val="0060266F"/>
    <w:rsid w:val="00602AD5"/>
    <w:rsid w:val="006039A7"/>
    <w:rsid w:val="0060441A"/>
    <w:rsid w:val="006047C8"/>
    <w:rsid w:val="00604C33"/>
    <w:rsid w:val="00604FD5"/>
    <w:rsid w:val="0060522F"/>
    <w:rsid w:val="00605680"/>
    <w:rsid w:val="006065A6"/>
    <w:rsid w:val="0060707B"/>
    <w:rsid w:val="0060749F"/>
    <w:rsid w:val="006079F3"/>
    <w:rsid w:val="006102BA"/>
    <w:rsid w:val="00610E4A"/>
    <w:rsid w:val="006112D2"/>
    <w:rsid w:val="00611B10"/>
    <w:rsid w:val="00612108"/>
    <w:rsid w:val="00612686"/>
    <w:rsid w:val="00613560"/>
    <w:rsid w:val="0061380A"/>
    <w:rsid w:val="00613BA2"/>
    <w:rsid w:val="00613DD6"/>
    <w:rsid w:val="00614E4B"/>
    <w:rsid w:val="006150A9"/>
    <w:rsid w:val="00615B1A"/>
    <w:rsid w:val="0061705D"/>
    <w:rsid w:val="0062042E"/>
    <w:rsid w:val="00620F54"/>
    <w:rsid w:val="0062255E"/>
    <w:rsid w:val="00622B7F"/>
    <w:rsid w:val="006230BA"/>
    <w:rsid w:val="00623EA6"/>
    <w:rsid w:val="00624BEF"/>
    <w:rsid w:val="00624EDA"/>
    <w:rsid w:val="00624F53"/>
    <w:rsid w:val="00625B87"/>
    <w:rsid w:val="00625DB3"/>
    <w:rsid w:val="006264FD"/>
    <w:rsid w:val="006265AF"/>
    <w:rsid w:val="0062706F"/>
    <w:rsid w:val="006277D5"/>
    <w:rsid w:val="0063092E"/>
    <w:rsid w:val="00630A13"/>
    <w:rsid w:val="0063145C"/>
    <w:rsid w:val="006319A8"/>
    <w:rsid w:val="00632A83"/>
    <w:rsid w:val="00632B48"/>
    <w:rsid w:val="00634567"/>
    <w:rsid w:val="0063634A"/>
    <w:rsid w:val="00636E51"/>
    <w:rsid w:val="0063728A"/>
    <w:rsid w:val="0063777D"/>
    <w:rsid w:val="006419DE"/>
    <w:rsid w:val="006420F3"/>
    <w:rsid w:val="00642199"/>
    <w:rsid w:val="00642A10"/>
    <w:rsid w:val="00644A51"/>
    <w:rsid w:val="00644B36"/>
    <w:rsid w:val="00644E50"/>
    <w:rsid w:val="00645788"/>
    <w:rsid w:val="0064661A"/>
    <w:rsid w:val="006471EB"/>
    <w:rsid w:val="006476D6"/>
    <w:rsid w:val="0064778E"/>
    <w:rsid w:val="006505AD"/>
    <w:rsid w:val="00651727"/>
    <w:rsid w:val="00651A20"/>
    <w:rsid w:val="00651DA5"/>
    <w:rsid w:val="00653237"/>
    <w:rsid w:val="00654010"/>
    <w:rsid w:val="0065407D"/>
    <w:rsid w:val="00655D56"/>
    <w:rsid w:val="00656CCC"/>
    <w:rsid w:val="0065708E"/>
    <w:rsid w:val="00657462"/>
    <w:rsid w:val="0066026F"/>
    <w:rsid w:val="006602E7"/>
    <w:rsid w:val="00661441"/>
    <w:rsid w:val="00661E9E"/>
    <w:rsid w:val="00662D96"/>
    <w:rsid w:val="00663348"/>
    <w:rsid w:val="00664D2F"/>
    <w:rsid w:val="00664D4B"/>
    <w:rsid w:val="00665907"/>
    <w:rsid w:val="0066600B"/>
    <w:rsid w:val="00667549"/>
    <w:rsid w:val="00667E8E"/>
    <w:rsid w:val="00671229"/>
    <w:rsid w:val="006717B0"/>
    <w:rsid w:val="00672AC1"/>
    <w:rsid w:val="00672F0A"/>
    <w:rsid w:val="00674060"/>
    <w:rsid w:val="0067414D"/>
    <w:rsid w:val="00674A6E"/>
    <w:rsid w:val="00674D89"/>
    <w:rsid w:val="00674DDA"/>
    <w:rsid w:val="00675476"/>
    <w:rsid w:val="0067550C"/>
    <w:rsid w:val="0067709F"/>
    <w:rsid w:val="006770F4"/>
    <w:rsid w:val="0067722C"/>
    <w:rsid w:val="0068148A"/>
    <w:rsid w:val="00682027"/>
    <w:rsid w:val="00684EAA"/>
    <w:rsid w:val="006858A9"/>
    <w:rsid w:val="00686BEF"/>
    <w:rsid w:val="00686C01"/>
    <w:rsid w:val="00686DE3"/>
    <w:rsid w:val="00690387"/>
    <w:rsid w:val="00690E20"/>
    <w:rsid w:val="00691D9D"/>
    <w:rsid w:val="006930FE"/>
    <w:rsid w:val="00693608"/>
    <w:rsid w:val="00693B4A"/>
    <w:rsid w:val="00695ECC"/>
    <w:rsid w:val="00695F7D"/>
    <w:rsid w:val="0069741F"/>
    <w:rsid w:val="006A073B"/>
    <w:rsid w:val="006A1282"/>
    <w:rsid w:val="006A21B1"/>
    <w:rsid w:val="006A2DC0"/>
    <w:rsid w:val="006A3F1C"/>
    <w:rsid w:val="006A4753"/>
    <w:rsid w:val="006A4F87"/>
    <w:rsid w:val="006A5156"/>
    <w:rsid w:val="006A5743"/>
    <w:rsid w:val="006A5A14"/>
    <w:rsid w:val="006A5A78"/>
    <w:rsid w:val="006A7D90"/>
    <w:rsid w:val="006B08AC"/>
    <w:rsid w:val="006B0B44"/>
    <w:rsid w:val="006B1060"/>
    <w:rsid w:val="006B182D"/>
    <w:rsid w:val="006B329B"/>
    <w:rsid w:val="006B386B"/>
    <w:rsid w:val="006B4C12"/>
    <w:rsid w:val="006B4D1C"/>
    <w:rsid w:val="006B4E21"/>
    <w:rsid w:val="006B4FE3"/>
    <w:rsid w:val="006B5441"/>
    <w:rsid w:val="006B56C7"/>
    <w:rsid w:val="006B74FF"/>
    <w:rsid w:val="006B7B58"/>
    <w:rsid w:val="006C03CE"/>
    <w:rsid w:val="006C0793"/>
    <w:rsid w:val="006C240B"/>
    <w:rsid w:val="006C243A"/>
    <w:rsid w:val="006C33AB"/>
    <w:rsid w:val="006C4293"/>
    <w:rsid w:val="006C4665"/>
    <w:rsid w:val="006C5269"/>
    <w:rsid w:val="006C56A9"/>
    <w:rsid w:val="006C58C3"/>
    <w:rsid w:val="006C6FDE"/>
    <w:rsid w:val="006C730B"/>
    <w:rsid w:val="006C76FE"/>
    <w:rsid w:val="006C7B18"/>
    <w:rsid w:val="006D0ECC"/>
    <w:rsid w:val="006D143F"/>
    <w:rsid w:val="006D1CDA"/>
    <w:rsid w:val="006D3834"/>
    <w:rsid w:val="006D3CAE"/>
    <w:rsid w:val="006D41A0"/>
    <w:rsid w:val="006D48AE"/>
    <w:rsid w:val="006D61C2"/>
    <w:rsid w:val="006D6ABA"/>
    <w:rsid w:val="006D7C7C"/>
    <w:rsid w:val="006E0A00"/>
    <w:rsid w:val="006E143C"/>
    <w:rsid w:val="006E19A9"/>
    <w:rsid w:val="006E1CF8"/>
    <w:rsid w:val="006E2206"/>
    <w:rsid w:val="006E2377"/>
    <w:rsid w:val="006E2522"/>
    <w:rsid w:val="006E2606"/>
    <w:rsid w:val="006E26EA"/>
    <w:rsid w:val="006E2BF6"/>
    <w:rsid w:val="006E2E6D"/>
    <w:rsid w:val="006E3152"/>
    <w:rsid w:val="006E3620"/>
    <w:rsid w:val="006E38C7"/>
    <w:rsid w:val="006E41AB"/>
    <w:rsid w:val="006E625B"/>
    <w:rsid w:val="006E62A6"/>
    <w:rsid w:val="006E78E0"/>
    <w:rsid w:val="006E7D21"/>
    <w:rsid w:val="006E7EA3"/>
    <w:rsid w:val="006F043A"/>
    <w:rsid w:val="006F05C2"/>
    <w:rsid w:val="006F0A30"/>
    <w:rsid w:val="006F21E8"/>
    <w:rsid w:val="006F261D"/>
    <w:rsid w:val="006F2FE5"/>
    <w:rsid w:val="006F36FE"/>
    <w:rsid w:val="006F3EE9"/>
    <w:rsid w:val="006F4599"/>
    <w:rsid w:val="006F49F6"/>
    <w:rsid w:val="006F4D57"/>
    <w:rsid w:val="006F52F1"/>
    <w:rsid w:val="006F5337"/>
    <w:rsid w:val="006F5EE5"/>
    <w:rsid w:val="006F6321"/>
    <w:rsid w:val="006F6835"/>
    <w:rsid w:val="006F6BC9"/>
    <w:rsid w:val="006F6D9D"/>
    <w:rsid w:val="006F7594"/>
    <w:rsid w:val="006F79EF"/>
    <w:rsid w:val="006F7AB8"/>
    <w:rsid w:val="006F7F6C"/>
    <w:rsid w:val="0070015F"/>
    <w:rsid w:val="00701550"/>
    <w:rsid w:val="00701E2F"/>
    <w:rsid w:val="00702436"/>
    <w:rsid w:val="0070295A"/>
    <w:rsid w:val="0070301C"/>
    <w:rsid w:val="0070351F"/>
    <w:rsid w:val="0070383A"/>
    <w:rsid w:val="00704901"/>
    <w:rsid w:val="00704A70"/>
    <w:rsid w:val="00706A85"/>
    <w:rsid w:val="00706FC5"/>
    <w:rsid w:val="00707083"/>
    <w:rsid w:val="00710CD1"/>
    <w:rsid w:val="007128C7"/>
    <w:rsid w:val="00714693"/>
    <w:rsid w:val="00714EB2"/>
    <w:rsid w:val="00714FA2"/>
    <w:rsid w:val="00715DF4"/>
    <w:rsid w:val="007175FE"/>
    <w:rsid w:val="00717889"/>
    <w:rsid w:val="00720432"/>
    <w:rsid w:val="00720900"/>
    <w:rsid w:val="00721555"/>
    <w:rsid w:val="007216DE"/>
    <w:rsid w:val="00722F91"/>
    <w:rsid w:val="00723302"/>
    <w:rsid w:val="00723905"/>
    <w:rsid w:val="00723E28"/>
    <w:rsid w:val="00726883"/>
    <w:rsid w:val="00727755"/>
    <w:rsid w:val="00731191"/>
    <w:rsid w:val="0073199A"/>
    <w:rsid w:val="00731A69"/>
    <w:rsid w:val="00732EAA"/>
    <w:rsid w:val="0073310E"/>
    <w:rsid w:val="007333CA"/>
    <w:rsid w:val="007349B8"/>
    <w:rsid w:val="00735684"/>
    <w:rsid w:val="007366AA"/>
    <w:rsid w:val="0074116E"/>
    <w:rsid w:val="00741AE5"/>
    <w:rsid w:val="00741D16"/>
    <w:rsid w:val="00743443"/>
    <w:rsid w:val="00745084"/>
    <w:rsid w:val="0074556C"/>
    <w:rsid w:val="00745B57"/>
    <w:rsid w:val="0074602E"/>
    <w:rsid w:val="007468A4"/>
    <w:rsid w:val="00746A96"/>
    <w:rsid w:val="00746D9D"/>
    <w:rsid w:val="00750CBA"/>
    <w:rsid w:val="00750D0C"/>
    <w:rsid w:val="0075100D"/>
    <w:rsid w:val="00751FA6"/>
    <w:rsid w:val="0075279F"/>
    <w:rsid w:val="00753ACA"/>
    <w:rsid w:val="00754D65"/>
    <w:rsid w:val="0075516F"/>
    <w:rsid w:val="00756409"/>
    <w:rsid w:val="007602F1"/>
    <w:rsid w:val="00760646"/>
    <w:rsid w:val="0076072D"/>
    <w:rsid w:val="007608EC"/>
    <w:rsid w:val="00761132"/>
    <w:rsid w:val="00761254"/>
    <w:rsid w:val="0076128D"/>
    <w:rsid w:val="007612DE"/>
    <w:rsid w:val="007627F3"/>
    <w:rsid w:val="00762859"/>
    <w:rsid w:val="00762884"/>
    <w:rsid w:val="00762D8B"/>
    <w:rsid w:val="00763184"/>
    <w:rsid w:val="007631E3"/>
    <w:rsid w:val="00763B2A"/>
    <w:rsid w:val="0076420D"/>
    <w:rsid w:val="007645CA"/>
    <w:rsid w:val="007645F4"/>
    <w:rsid w:val="0076513F"/>
    <w:rsid w:val="00765D92"/>
    <w:rsid w:val="00767241"/>
    <w:rsid w:val="00767CF4"/>
    <w:rsid w:val="007706CD"/>
    <w:rsid w:val="007710F5"/>
    <w:rsid w:val="00771A7A"/>
    <w:rsid w:val="00771F09"/>
    <w:rsid w:val="00772387"/>
    <w:rsid w:val="00774E0A"/>
    <w:rsid w:val="007758F1"/>
    <w:rsid w:val="00776993"/>
    <w:rsid w:val="00777763"/>
    <w:rsid w:val="007778BE"/>
    <w:rsid w:val="00780221"/>
    <w:rsid w:val="007813FC"/>
    <w:rsid w:val="00781C76"/>
    <w:rsid w:val="00783975"/>
    <w:rsid w:val="00784F5E"/>
    <w:rsid w:val="00784F92"/>
    <w:rsid w:val="007853F5"/>
    <w:rsid w:val="00785B06"/>
    <w:rsid w:val="00786C9E"/>
    <w:rsid w:val="00790229"/>
    <w:rsid w:val="00790C13"/>
    <w:rsid w:val="007911DA"/>
    <w:rsid w:val="00792928"/>
    <w:rsid w:val="0079326B"/>
    <w:rsid w:val="00793CFD"/>
    <w:rsid w:val="007947D9"/>
    <w:rsid w:val="00794A9F"/>
    <w:rsid w:val="007955D8"/>
    <w:rsid w:val="007972AA"/>
    <w:rsid w:val="007974E4"/>
    <w:rsid w:val="00797D10"/>
    <w:rsid w:val="007A1D04"/>
    <w:rsid w:val="007A212F"/>
    <w:rsid w:val="007A22B5"/>
    <w:rsid w:val="007A2E81"/>
    <w:rsid w:val="007A3659"/>
    <w:rsid w:val="007A3758"/>
    <w:rsid w:val="007A3D24"/>
    <w:rsid w:val="007A500F"/>
    <w:rsid w:val="007A56C4"/>
    <w:rsid w:val="007A65E9"/>
    <w:rsid w:val="007A6FE6"/>
    <w:rsid w:val="007A7030"/>
    <w:rsid w:val="007A71A0"/>
    <w:rsid w:val="007A7B37"/>
    <w:rsid w:val="007A7FFB"/>
    <w:rsid w:val="007B0279"/>
    <w:rsid w:val="007B0E4C"/>
    <w:rsid w:val="007B187C"/>
    <w:rsid w:val="007B1FB5"/>
    <w:rsid w:val="007B2243"/>
    <w:rsid w:val="007B35D4"/>
    <w:rsid w:val="007B36F7"/>
    <w:rsid w:val="007B36FF"/>
    <w:rsid w:val="007B41CE"/>
    <w:rsid w:val="007B43E9"/>
    <w:rsid w:val="007B4CCE"/>
    <w:rsid w:val="007B5CCE"/>
    <w:rsid w:val="007B5D39"/>
    <w:rsid w:val="007B6866"/>
    <w:rsid w:val="007B779A"/>
    <w:rsid w:val="007B7BEB"/>
    <w:rsid w:val="007C01E8"/>
    <w:rsid w:val="007C01F3"/>
    <w:rsid w:val="007C132B"/>
    <w:rsid w:val="007C170B"/>
    <w:rsid w:val="007C1B10"/>
    <w:rsid w:val="007C27A3"/>
    <w:rsid w:val="007C2985"/>
    <w:rsid w:val="007C29C1"/>
    <w:rsid w:val="007C345C"/>
    <w:rsid w:val="007C36C5"/>
    <w:rsid w:val="007C4BF1"/>
    <w:rsid w:val="007C4CEC"/>
    <w:rsid w:val="007C5062"/>
    <w:rsid w:val="007C514A"/>
    <w:rsid w:val="007C5272"/>
    <w:rsid w:val="007C52AB"/>
    <w:rsid w:val="007C558F"/>
    <w:rsid w:val="007C5669"/>
    <w:rsid w:val="007C5E6D"/>
    <w:rsid w:val="007C6432"/>
    <w:rsid w:val="007C67B9"/>
    <w:rsid w:val="007C7251"/>
    <w:rsid w:val="007C778E"/>
    <w:rsid w:val="007C7CAE"/>
    <w:rsid w:val="007C7E6E"/>
    <w:rsid w:val="007D08E2"/>
    <w:rsid w:val="007D0B1F"/>
    <w:rsid w:val="007D0B51"/>
    <w:rsid w:val="007D1282"/>
    <w:rsid w:val="007D1293"/>
    <w:rsid w:val="007D18BA"/>
    <w:rsid w:val="007D25B5"/>
    <w:rsid w:val="007D2C67"/>
    <w:rsid w:val="007D3920"/>
    <w:rsid w:val="007D3C37"/>
    <w:rsid w:val="007D464D"/>
    <w:rsid w:val="007D4B17"/>
    <w:rsid w:val="007D577C"/>
    <w:rsid w:val="007D5F19"/>
    <w:rsid w:val="007D61B2"/>
    <w:rsid w:val="007D6259"/>
    <w:rsid w:val="007D7341"/>
    <w:rsid w:val="007D7660"/>
    <w:rsid w:val="007D792D"/>
    <w:rsid w:val="007D7AD6"/>
    <w:rsid w:val="007D7F92"/>
    <w:rsid w:val="007E07ED"/>
    <w:rsid w:val="007E0E3E"/>
    <w:rsid w:val="007E2A4F"/>
    <w:rsid w:val="007E380E"/>
    <w:rsid w:val="007E5635"/>
    <w:rsid w:val="007E6666"/>
    <w:rsid w:val="007E6EFA"/>
    <w:rsid w:val="007E7088"/>
    <w:rsid w:val="007E7B8B"/>
    <w:rsid w:val="007E7CF3"/>
    <w:rsid w:val="007F02B3"/>
    <w:rsid w:val="007F080F"/>
    <w:rsid w:val="007F1349"/>
    <w:rsid w:val="007F1475"/>
    <w:rsid w:val="007F1BE4"/>
    <w:rsid w:val="007F24AC"/>
    <w:rsid w:val="007F3B32"/>
    <w:rsid w:val="007F3C09"/>
    <w:rsid w:val="007F591C"/>
    <w:rsid w:val="007F5E6D"/>
    <w:rsid w:val="007F611C"/>
    <w:rsid w:val="007F7485"/>
    <w:rsid w:val="007F77C6"/>
    <w:rsid w:val="007F7E06"/>
    <w:rsid w:val="007F7E46"/>
    <w:rsid w:val="007F7F69"/>
    <w:rsid w:val="008004CD"/>
    <w:rsid w:val="00801313"/>
    <w:rsid w:val="00801471"/>
    <w:rsid w:val="0080157F"/>
    <w:rsid w:val="008017D9"/>
    <w:rsid w:val="00801E8C"/>
    <w:rsid w:val="008021DB"/>
    <w:rsid w:val="00802221"/>
    <w:rsid w:val="00802D6B"/>
    <w:rsid w:val="00802F96"/>
    <w:rsid w:val="00803F26"/>
    <w:rsid w:val="0080435C"/>
    <w:rsid w:val="00804A0D"/>
    <w:rsid w:val="00804BD7"/>
    <w:rsid w:val="00804D5E"/>
    <w:rsid w:val="00805512"/>
    <w:rsid w:val="00806691"/>
    <w:rsid w:val="00806B11"/>
    <w:rsid w:val="00807BD6"/>
    <w:rsid w:val="00807D77"/>
    <w:rsid w:val="008102C2"/>
    <w:rsid w:val="0081031A"/>
    <w:rsid w:val="00810415"/>
    <w:rsid w:val="0081069A"/>
    <w:rsid w:val="00810C1F"/>
    <w:rsid w:val="00811300"/>
    <w:rsid w:val="00812FA8"/>
    <w:rsid w:val="00813DB1"/>
    <w:rsid w:val="00814701"/>
    <w:rsid w:val="00814DD7"/>
    <w:rsid w:val="00814E1E"/>
    <w:rsid w:val="00815068"/>
    <w:rsid w:val="00815AF0"/>
    <w:rsid w:val="00815F36"/>
    <w:rsid w:val="0081736B"/>
    <w:rsid w:val="00820E00"/>
    <w:rsid w:val="00821042"/>
    <w:rsid w:val="00823C7E"/>
    <w:rsid w:val="00823D04"/>
    <w:rsid w:val="00823D07"/>
    <w:rsid w:val="008240DE"/>
    <w:rsid w:val="00824D51"/>
    <w:rsid w:val="00825F49"/>
    <w:rsid w:val="008263E6"/>
    <w:rsid w:val="00826CB1"/>
    <w:rsid w:val="00827D02"/>
    <w:rsid w:val="00827D88"/>
    <w:rsid w:val="00827DDE"/>
    <w:rsid w:val="00827E33"/>
    <w:rsid w:val="00830034"/>
    <w:rsid w:val="00830BC1"/>
    <w:rsid w:val="00830F69"/>
    <w:rsid w:val="00831C64"/>
    <w:rsid w:val="00832108"/>
    <w:rsid w:val="00832DCE"/>
    <w:rsid w:val="00833E06"/>
    <w:rsid w:val="00834121"/>
    <w:rsid w:val="00834159"/>
    <w:rsid w:val="00834B16"/>
    <w:rsid w:val="00834C44"/>
    <w:rsid w:val="00834E99"/>
    <w:rsid w:val="00835641"/>
    <w:rsid w:val="00835A29"/>
    <w:rsid w:val="00836861"/>
    <w:rsid w:val="00836CE3"/>
    <w:rsid w:val="0083724E"/>
    <w:rsid w:val="00837605"/>
    <w:rsid w:val="00841B13"/>
    <w:rsid w:val="00841DC2"/>
    <w:rsid w:val="00842A16"/>
    <w:rsid w:val="0084416A"/>
    <w:rsid w:val="00844BD6"/>
    <w:rsid w:val="00844F72"/>
    <w:rsid w:val="008462F1"/>
    <w:rsid w:val="0084637C"/>
    <w:rsid w:val="008469D5"/>
    <w:rsid w:val="008472AE"/>
    <w:rsid w:val="0084745E"/>
    <w:rsid w:val="00847474"/>
    <w:rsid w:val="00847A12"/>
    <w:rsid w:val="008501BA"/>
    <w:rsid w:val="008505A1"/>
    <w:rsid w:val="00850847"/>
    <w:rsid w:val="00850B62"/>
    <w:rsid w:val="008523BB"/>
    <w:rsid w:val="008526F0"/>
    <w:rsid w:val="00854669"/>
    <w:rsid w:val="008548FC"/>
    <w:rsid w:val="00854BD2"/>
    <w:rsid w:val="0085504C"/>
    <w:rsid w:val="008552B4"/>
    <w:rsid w:val="008607AD"/>
    <w:rsid w:val="00862617"/>
    <w:rsid w:val="00863083"/>
    <w:rsid w:val="00864928"/>
    <w:rsid w:val="00864ADC"/>
    <w:rsid w:val="00865756"/>
    <w:rsid w:val="008659B5"/>
    <w:rsid w:val="00865D35"/>
    <w:rsid w:val="00866120"/>
    <w:rsid w:val="008673AB"/>
    <w:rsid w:val="008678EC"/>
    <w:rsid w:val="00870722"/>
    <w:rsid w:val="00870F31"/>
    <w:rsid w:val="0087174D"/>
    <w:rsid w:val="00871C9D"/>
    <w:rsid w:val="008722AB"/>
    <w:rsid w:val="00873891"/>
    <w:rsid w:val="00874149"/>
    <w:rsid w:val="0087606D"/>
    <w:rsid w:val="00876619"/>
    <w:rsid w:val="00877224"/>
    <w:rsid w:val="00877969"/>
    <w:rsid w:val="00877FB6"/>
    <w:rsid w:val="0088098E"/>
    <w:rsid w:val="008811DC"/>
    <w:rsid w:val="00881DAD"/>
    <w:rsid w:val="00881EA8"/>
    <w:rsid w:val="008828A7"/>
    <w:rsid w:val="00883F3C"/>
    <w:rsid w:val="008840D1"/>
    <w:rsid w:val="00884276"/>
    <w:rsid w:val="00884751"/>
    <w:rsid w:val="0088475C"/>
    <w:rsid w:val="00884AE3"/>
    <w:rsid w:val="00884BFC"/>
    <w:rsid w:val="00884EE3"/>
    <w:rsid w:val="00884F26"/>
    <w:rsid w:val="008855FD"/>
    <w:rsid w:val="008859B7"/>
    <w:rsid w:val="008861F6"/>
    <w:rsid w:val="00886625"/>
    <w:rsid w:val="00887A5F"/>
    <w:rsid w:val="00890C96"/>
    <w:rsid w:val="00891DAC"/>
    <w:rsid w:val="00893090"/>
    <w:rsid w:val="00893952"/>
    <w:rsid w:val="00893994"/>
    <w:rsid w:val="00893A65"/>
    <w:rsid w:val="00894BFD"/>
    <w:rsid w:val="00895099"/>
    <w:rsid w:val="00896044"/>
    <w:rsid w:val="00896066"/>
    <w:rsid w:val="00896127"/>
    <w:rsid w:val="008964F2"/>
    <w:rsid w:val="00896551"/>
    <w:rsid w:val="00897054"/>
    <w:rsid w:val="00897230"/>
    <w:rsid w:val="008A054F"/>
    <w:rsid w:val="008A0BE7"/>
    <w:rsid w:val="008A16B2"/>
    <w:rsid w:val="008A4A10"/>
    <w:rsid w:val="008A4A25"/>
    <w:rsid w:val="008A4BF1"/>
    <w:rsid w:val="008A5134"/>
    <w:rsid w:val="008A51CE"/>
    <w:rsid w:val="008A6419"/>
    <w:rsid w:val="008B1240"/>
    <w:rsid w:val="008B2095"/>
    <w:rsid w:val="008B3460"/>
    <w:rsid w:val="008B380B"/>
    <w:rsid w:val="008B3B27"/>
    <w:rsid w:val="008B3F4D"/>
    <w:rsid w:val="008B5956"/>
    <w:rsid w:val="008B6112"/>
    <w:rsid w:val="008B6A7C"/>
    <w:rsid w:val="008B7E67"/>
    <w:rsid w:val="008B7EB9"/>
    <w:rsid w:val="008C0659"/>
    <w:rsid w:val="008C1FA1"/>
    <w:rsid w:val="008C2670"/>
    <w:rsid w:val="008C278E"/>
    <w:rsid w:val="008C2F1E"/>
    <w:rsid w:val="008C3B07"/>
    <w:rsid w:val="008C3D98"/>
    <w:rsid w:val="008C437B"/>
    <w:rsid w:val="008C5AB7"/>
    <w:rsid w:val="008C5BA6"/>
    <w:rsid w:val="008C601A"/>
    <w:rsid w:val="008C6DE1"/>
    <w:rsid w:val="008C7435"/>
    <w:rsid w:val="008C786B"/>
    <w:rsid w:val="008D016C"/>
    <w:rsid w:val="008D0A04"/>
    <w:rsid w:val="008D1124"/>
    <w:rsid w:val="008D1410"/>
    <w:rsid w:val="008D1E4D"/>
    <w:rsid w:val="008D1FD1"/>
    <w:rsid w:val="008D2A9A"/>
    <w:rsid w:val="008D2AE9"/>
    <w:rsid w:val="008D2F68"/>
    <w:rsid w:val="008D4B99"/>
    <w:rsid w:val="008D5812"/>
    <w:rsid w:val="008D5A37"/>
    <w:rsid w:val="008D7A56"/>
    <w:rsid w:val="008E055C"/>
    <w:rsid w:val="008E0CDF"/>
    <w:rsid w:val="008E0FB9"/>
    <w:rsid w:val="008E1A9E"/>
    <w:rsid w:val="008E2E2C"/>
    <w:rsid w:val="008E30E0"/>
    <w:rsid w:val="008E30EC"/>
    <w:rsid w:val="008E374D"/>
    <w:rsid w:val="008E402E"/>
    <w:rsid w:val="008E44B5"/>
    <w:rsid w:val="008E4523"/>
    <w:rsid w:val="008E4A83"/>
    <w:rsid w:val="008E66DB"/>
    <w:rsid w:val="008E6E9A"/>
    <w:rsid w:val="008E6F07"/>
    <w:rsid w:val="008F01D0"/>
    <w:rsid w:val="008F086D"/>
    <w:rsid w:val="008F1316"/>
    <w:rsid w:val="008F1B10"/>
    <w:rsid w:val="008F235B"/>
    <w:rsid w:val="008F303C"/>
    <w:rsid w:val="008F3106"/>
    <w:rsid w:val="008F3678"/>
    <w:rsid w:val="008F3880"/>
    <w:rsid w:val="008F3E58"/>
    <w:rsid w:val="008F6104"/>
    <w:rsid w:val="008F6453"/>
    <w:rsid w:val="008F7740"/>
    <w:rsid w:val="008F7AF4"/>
    <w:rsid w:val="00901071"/>
    <w:rsid w:val="009010F3"/>
    <w:rsid w:val="00901220"/>
    <w:rsid w:val="0090137C"/>
    <w:rsid w:val="00901770"/>
    <w:rsid w:val="00902425"/>
    <w:rsid w:val="00902F09"/>
    <w:rsid w:val="00902F5B"/>
    <w:rsid w:val="009030CB"/>
    <w:rsid w:val="009036AC"/>
    <w:rsid w:val="009042BA"/>
    <w:rsid w:val="00904831"/>
    <w:rsid w:val="00904DF0"/>
    <w:rsid w:val="00905594"/>
    <w:rsid w:val="00905F9C"/>
    <w:rsid w:val="00906138"/>
    <w:rsid w:val="00907850"/>
    <w:rsid w:val="00910395"/>
    <w:rsid w:val="00910476"/>
    <w:rsid w:val="00911736"/>
    <w:rsid w:val="00911792"/>
    <w:rsid w:val="00912A93"/>
    <w:rsid w:val="009132F6"/>
    <w:rsid w:val="0091330C"/>
    <w:rsid w:val="00914425"/>
    <w:rsid w:val="0091451E"/>
    <w:rsid w:val="009145E2"/>
    <w:rsid w:val="00914AAF"/>
    <w:rsid w:val="00914E61"/>
    <w:rsid w:val="00914F1A"/>
    <w:rsid w:val="009152B2"/>
    <w:rsid w:val="00917373"/>
    <w:rsid w:val="00917C4A"/>
    <w:rsid w:val="00917C8A"/>
    <w:rsid w:val="00920520"/>
    <w:rsid w:val="009206CB"/>
    <w:rsid w:val="00920722"/>
    <w:rsid w:val="00920932"/>
    <w:rsid w:val="00921164"/>
    <w:rsid w:val="00921336"/>
    <w:rsid w:val="00922047"/>
    <w:rsid w:val="009221BC"/>
    <w:rsid w:val="00922633"/>
    <w:rsid w:val="00922C60"/>
    <w:rsid w:val="00922C8E"/>
    <w:rsid w:val="00922CB7"/>
    <w:rsid w:val="00922DD2"/>
    <w:rsid w:val="009262FF"/>
    <w:rsid w:val="009275F3"/>
    <w:rsid w:val="009276C8"/>
    <w:rsid w:val="009279C8"/>
    <w:rsid w:val="00930BA0"/>
    <w:rsid w:val="00930CA0"/>
    <w:rsid w:val="00930F1C"/>
    <w:rsid w:val="00930F93"/>
    <w:rsid w:val="00932789"/>
    <w:rsid w:val="00932D8C"/>
    <w:rsid w:val="00933608"/>
    <w:rsid w:val="009337D6"/>
    <w:rsid w:val="00933AE5"/>
    <w:rsid w:val="00933FC1"/>
    <w:rsid w:val="00934B9B"/>
    <w:rsid w:val="0093536C"/>
    <w:rsid w:val="00935572"/>
    <w:rsid w:val="009358B4"/>
    <w:rsid w:val="00935E50"/>
    <w:rsid w:val="009360B7"/>
    <w:rsid w:val="00936508"/>
    <w:rsid w:val="009367A2"/>
    <w:rsid w:val="00937D15"/>
    <w:rsid w:val="00940145"/>
    <w:rsid w:val="00940264"/>
    <w:rsid w:val="00941A31"/>
    <w:rsid w:val="00941A71"/>
    <w:rsid w:val="009430F7"/>
    <w:rsid w:val="00944152"/>
    <w:rsid w:val="0094449E"/>
    <w:rsid w:val="00944609"/>
    <w:rsid w:val="00944E91"/>
    <w:rsid w:val="00944FEA"/>
    <w:rsid w:val="00945345"/>
    <w:rsid w:val="009474C5"/>
    <w:rsid w:val="00947780"/>
    <w:rsid w:val="00947843"/>
    <w:rsid w:val="00947F70"/>
    <w:rsid w:val="009501A7"/>
    <w:rsid w:val="00950773"/>
    <w:rsid w:val="00950BBE"/>
    <w:rsid w:val="0095181D"/>
    <w:rsid w:val="00951BC6"/>
    <w:rsid w:val="0095266D"/>
    <w:rsid w:val="00952E44"/>
    <w:rsid w:val="009530D6"/>
    <w:rsid w:val="0095328A"/>
    <w:rsid w:val="00953511"/>
    <w:rsid w:val="00953594"/>
    <w:rsid w:val="00953596"/>
    <w:rsid w:val="00953E70"/>
    <w:rsid w:val="0095458F"/>
    <w:rsid w:val="00954A67"/>
    <w:rsid w:val="00954E74"/>
    <w:rsid w:val="00956000"/>
    <w:rsid w:val="00956129"/>
    <w:rsid w:val="009562B7"/>
    <w:rsid w:val="0095677D"/>
    <w:rsid w:val="00956990"/>
    <w:rsid w:val="00956C52"/>
    <w:rsid w:val="00957DC6"/>
    <w:rsid w:val="00960BF5"/>
    <w:rsid w:val="00960C7A"/>
    <w:rsid w:val="0096177F"/>
    <w:rsid w:val="00961B5C"/>
    <w:rsid w:val="00961D19"/>
    <w:rsid w:val="00962F7C"/>
    <w:rsid w:val="00963154"/>
    <w:rsid w:val="00964D03"/>
    <w:rsid w:val="009650D4"/>
    <w:rsid w:val="009652B3"/>
    <w:rsid w:val="0096688B"/>
    <w:rsid w:val="00966A5C"/>
    <w:rsid w:val="0096704B"/>
    <w:rsid w:val="0096772C"/>
    <w:rsid w:val="00967F33"/>
    <w:rsid w:val="0097053E"/>
    <w:rsid w:val="00970FAB"/>
    <w:rsid w:val="00971183"/>
    <w:rsid w:val="00972435"/>
    <w:rsid w:val="00972827"/>
    <w:rsid w:val="00972A11"/>
    <w:rsid w:val="00972DEE"/>
    <w:rsid w:val="00973BB0"/>
    <w:rsid w:val="00973DC8"/>
    <w:rsid w:val="00973F51"/>
    <w:rsid w:val="0097528D"/>
    <w:rsid w:val="00975ECF"/>
    <w:rsid w:val="00976B29"/>
    <w:rsid w:val="00977E18"/>
    <w:rsid w:val="0098152F"/>
    <w:rsid w:val="00982950"/>
    <w:rsid w:val="0098337A"/>
    <w:rsid w:val="009836CA"/>
    <w:rsid w:val="0098374E"/>
    <w:rsid w:val="0098554E"/>
    <w:rsid w:val="009874D3"/>
    <w:rsid w:val="00987E10"/>
    <w:rsid w:val="00990407"/>
    <w:rsid w:val="00990F01"/>
    <w:rsid w:val="0099212A"/>
    <w:rsid w:val="00992861"/>
    <w:rsid w:val="00992FC2"/>
    <w:rsid w:val="00994E11"/>
    <w:rsid w:val="00995455"/>
    <w:rsid w:val="00995975"/>
    <w:rsid w:val="009959AD"/>
    <w:rsid w:val="00996067"/>
    <w:rsid w:val="009979BA"/>
    <w:rsid w:val="009A05BB"/>
    <w:rsid w:val="009A0643"/>
    <w:rsid w:val="009A19CA"/>
    <w:rsid w:val="009A1D50"/>
    <w:rsid w:val="009A272C"/>
    <w:rsid w:val="009A2AE5"/>
    <w:rsid w:val="009A317A"/>
    <w:rsid w:val="009A31AD"/>
    <w:rsid w:val="009A3D15"/>
    <w:rsid w:val="009A5A71"/>
    <w:rsid w:val="009A68B6"/>
    <w:rsid w:val="009A69AD"/>
    <w:rsid w:val="009A6A5E"/>
    <w:rsid w:val="009A7D5C"/>
    <w:rsid w:val="009B01B9"/>
    <w:rsid w:val="009B066D"/>
    <w:rsid w:val="009B1BA5"/>
    <w:rsid w:val="009B1FAF"/>
    <w:rsid w:val="009B26A2"/>
    <w:rsid w:val="009B2C5D"/>
    <w:rsid w:val="009B3550"/>
    <w:rsid w:val="009B3577"/>
    <w:rsid w:val="009B38F3"/>
    <w:rsid w:val="009B4630"/>
    <w:rsid w:val="009B466C"/>
    <w:rsid w:val="009B48C8"/>
    <w:rsid w:val="009B4C8E"/>
    <w:rsid w:val="009B4EB5"/>
    <w:rsid w:val="009B5A32"/>
    <w:rsid w:val="009B6723"/>
    <w:rsid w:val="009B6873"/>
    <w:rsid w:val="009B6E52"/>
    <w:rsid w:val="009C0068"/>
    <w:rsid w:val="009C06DF"/>
    <w:rsid w:val="009C0A3E"/>
    <w:rsid w:val="009C1673"/>
    <w:rsid w:val="009C1E88"/>
    <w:rsid w:val="009C1F5C"/>
    <w:rsid w:val="009C2505"/>
    <w:rsid w:val="009C26AB"/>
    <w:rsid w:val="009C26D4"/>
    <w:rsid w:val="009C3D7C"/>
    <w:rsid w:val="009C4660"/>
    <w:rsid w:val="009C48E3"/>
    <w:rsid w:val="009C7B5C"/>
    <w:rsid w:val="009D054B"/>
    <w:rsid w:val="009D05E8"/>
    <w:rsid w:val="009D1008"/>
    <w:rsid w:val="009D1A18"/>
    <w:rsid w:val="009D1BDE"/>
    <w:rsid w:val="009D1C51"/>
    <w:rsid w:val="009D1D7D"/>
    <w:rsid w:val="009D23A8"/>
    <w:rsid w:val="009D2442"/>
    <w:rsid w:val="009D2719"/>
    <w:rsid w:val="009D2B72"/>
    <w:rsid w:val="009D3BF7"/>
    <w:rsid w:val="009D45B1"/>
    <w:rsid w:val="009D573D"/>
    <w:rsid w:val="009D62E7"/>
    <w:rsid w:val="009D7765"/>
    <w:rsid w:val="009D7C0B"/>
    <w:rsid w:val="009E0059"/>
    <w:rsid w:val="009E0332"/>
    <w:rsid w:val="009E0727"/>
    <w:rsid w:val="009E1427"/>
    <w:rsid w:val="009E26BF"/>
    <w:rsid w:val="009E30B4"/>
    <w:rsid w:val="009E36D7"/>
    <w:rsid w:val="009E5188"/>
    <w:rsid w:val="009E5238"/>
    <w:rsid w:val="009E6554"/>
    <w:rsid w:val="009E6C59"/>
    <w:rsid w:val="009F05B9"/>
    <w:rsid w:val="009F1684"/>
    <w:rsid w:val="009F1887"/>
    <w:rsid w:val="009F1A99"/>
    <w:rsid w:val="009F1BB8"/>
    <w:rsid w:val="009F22AA"/>
    <w:rsid w:val="009F342E"/>
    <w:rsid w:val="009F3B34"/>
    <w:rsid w:val="009F4E16"/>
    <w:rsid w:val="009F78AF"/>
    <w:rsid w:val="00A0009B"/>
    <w:rsid w:val="00A00765"/>
    <w:rsid w:val="00A01030"/>
    <w:rsid w:val="00A02644"/>
    <w:rsid w:val="00A0313D"/>
    <w:rsid w:val="00A0363B"/>
    <w:rsid w:val="00A066D9"/>
    <w:rsid w:val="00A06EA8"/>
    <w:rsid w:val="00A07617"/>
    <w:rsid w:val="00A10583"/>
    <w:rsid w:val="00A112B6"/>
    <w:rsid w:val="00A11A44"/>
    <w:rsid w:val="00A12088"/>
    <w:rsid w:val="00A1213F"/>
    <w:rsid w:val="00A124E3"/>
    <w:rsid w:val="00A12875"/>
    <w:rsid w:val="00A12BD7"/>
    <w:rsid w:val="00A13596"/>
    <w:rsid w:val="00A1451A"/>
    <w:rsid w:val="00A145DA"/>
    <w:rsid w:val="00A147D6"/>
    <w:rsid w:val="00A15058"/>
    <w:rsid w:val="00A15F89"/>
    <w:rsid w:val="00A16C01"/>
    <w:rsid w:val="00A17E79"/>
    <w:rsid w:val="00A17E90"/>
    <w:rsid w:val="00A17EC4"/>
    <w:rsid w:val="00A212D8"/>
    <w:rsid w:val="00A21468"/>
    <w:rsid w:val="00A21B66"/>
    <w:rsid w:val="00A22102"/>
    <w:rsid w:val="00A224EE"/>
    <w:rsid w:val="00A2286C"/>
    <w:rsid w:val="00A22C86"/>
    <w:rsid w:val="00A22DA8"/>
    <w:rsid w:val="00A22F0A"/>
    <w:rsid w:val="00A2416E"/>
    <w:rsid w:val="00A2433B"/>
    <w:rsid w:val="00A257FC"/>
    <w:rsid w:val="00A25AB6"/>
    <w:rsid w:val="00A25B04"/>
    <w:rsid w:val="00A304DB"/>
    <w:rsid w:val="00A308C0"/>
    <w:rsid w:val="00A3147E"/>
    <w:rsid w:val="00A319C4"/>
    <w:rsid w:val="00A326B0"/>
    <w:rsid w:val="00A334F4"/>
    <w:rsid w:val="00A3396C"/>
    <w:rsid w:val="00A34799"/>
    <w:rsid w:val="00A351B6"/>
    <w:rsid w:val="00A35255"/>
    <w:rsid w:val="00A354D8"/>
    <w:rsid w:val="00A35564"/>
    <w:rsid w:val="00A358A2"/>
    <w:rsid w:val="00A36435"/>
    <w:rsid w:val="00A3654D"/>
    <w:rsid w:val="00A366A5"/>
    <w:rsid w:val="00A36C7C"/>
    <w:rsid w:val="00A37945"/>
    <w:rsid w:val="00A37AFF"/>
    <w:rsid w:val="00A37C89"/>
    <w:rsid w:val="00A37CDD"/>
    <w:rsid w:val="00A40BDC"/>
    <w:rsid w:val="00A412A7"/>
    <w:rsid w:val="00A434DB"/>
    <w:rsid w:val="00A44B57"/>
    <w:rsid w:val="00A44CC9"/>
    <w:rsid w:val="00A45A4D"/>
    <w:rsid w:val="00A45DEE"/>
    <w:rsid w:val="00A472F1"/>
    <w:rsid w:val="00A5018C"/>
    <w:rsid w:val="00A5073A"/>
    <w:rsid w:val="00A50834"/>
    <w:rsid w:val="00A50961"/>
    <w:rsid w:val="00A50C6C"/>
    <w:rsid w:val="00A5131C"/>
    <w:rsid w:val="00A515AB"/>
    <w:rsid w:val="00A539C9"/>
    <w:rsid w:val="00A547B0"/>
    <w:rsid w:val="00A548F5"/>
    <w:rsid w:val="00A54EB5"/>
    <w:rsid w:val="00A54F67"/>
    <w:rsid w:val="00A55F07"/>
    <w:rsid w:val="00A569B4"/>
    <w:rsid w:val="00A56E34"/>
    <w:rsid w:val="00A60DC2"/>
    <w:rsid w:val="00A61631"/>
    <w:rsid w:val="00A616A3"/>
    <w:rsid w:val="00A61768"/>
    <w:rsid w:val="00A62C77"/>
    <w:rsid w:val="00A62F25"/>
    <w:rsid w:val="00A632DD"/>
    <w:rsid w:val="00A633DD"/>
    <w:rsid w:val="00A644F5"/>
    <w:rsid w:val="00A64A9C"/>
    <w:rsid w:val="00A6586D"/>
    <w:rsid w:val="00A65AB1"/>
    <w:rsid w:val="00A65D68"/>
    <w:rsid w:val="00A66A72"/>
    <w:rsid w:val="00A66FD9"/>
    <w:rsid w:val="00A70342"/>
    <w:rsid w:val="00A721C5"/>
    <w:rsid w:val="00A72743"/>
    <w:rsid w:val="00A72F66"/>
    <w:rsid w:val="00A743D9"/>
    <w:rsid w:val="00A74C1A"/>
    <w:rsid w:val="00A74DDB"/>
    <w:rsid w:val="00A750C8"/>
    <w:rsid w:val="00A7520A"/>
    <w:rsid w:val="00A75458"/>
    <w:rsid w:val="00A75E46"/>
    <w:rsid w:val="00A76E9E"/>
    <w:rsid w:val="00A8147E"/>
    <w:rsid w:val="00A8215B"/>
    <w:rsid w:val="00A83EBF"/>
    <w:rsid w:val="00A840AE"/>
    <w:rsid w:val="00A843E5"/>
    <w:rsid w:val="00A85AA4"/>
    <w:rsid w:val="00A8630E"/>
    <w:rsid w:val="00A8710A"/>
    <w:rsid w:val="00A877EE"/>
    <w:rsid w:val="00A87A39"/>
    <w:rsid w:val="00A901BC"/>
    <w:rsid w:val="00A90AFA"/>
    <w:rsid w:val="00A910BF"/>
    <w:rsid w:val="00A9178E"/>
    <w:rsid w:val="00A939A6"/>
    <w:rsid w:val="00A93FF1"/>
    <w:rsid w:val="00A94730"/>
    <w:rsid w:val="00A94E07"/>
    <w:rsid w:val="00A951A3"/>
    <w:rsid w:val="00A95450"/>
    <w:rsid w:val="00A95786"/>
    <w:rsid w:val="00A965AF"/>
    <w:rsid w:val="00A97712"/>
    <w:rsid w:val="00A97D4E"/>
    <w:rsid w:val="00AA0DB7"/>
    <w:rsid w:val="00AA0E7C"/>
    <w:rsid w:val="00AA1106"/>
    <w:rsid w:val="00AA2180"/>
    <w:rsid w:val="00AA2F4B"/>
    <w:rsid w:val="00AA3C2D"/>
    <w:rsid w:val="00AA3E81"/>
    <w:rsid w:val="00AA441E"/>
    <w:rsid w:val="00AA4653"/>
    <w:rsid w:val="00AA5753"/>
    <w:rsid w:val="00AA60C1"/>
    <w:rsid w:val="00AB1D9B"/>
    <w:rsid w:val="00AB2438"/>
    <w:rsid w:val="00AB3268"/>
    <w:rsid w:val="00AB34EC"/>
    <w:rsid w:val="00AB3838"/>
    <w:rsid w:val="00AB3C9D"/>
    <w:rsid w:val="00AB3EBA"/>
    <w:rsid w:val="00AB4D4E"/>
    <w:rsid w:val="00AB54A0"/>
    <w:rsid w:val="00AB5D3C"/>
    <w:rsid w:val="00AB66A9"/>
    <w:rsid w:val="00AC0976"/>
    <w:rsid w:val="00AC1090"/>
    <w:rsid w:val="00AC11B1"/>
    <w:rsid w:val="00AC2EAE"/>
    <w:rsid w:val="00AC2EEB"/>
    <w:rsid w:val="00AC35F6"/>
    <w:rsid w:val="00AC4B23"/>
    <w:rsid w:val="00AC4D0D"/>
    <w:rsid w:val="00AC4D3C"/>
    <w:rsid w:val="00AC5FF5"/>
    <w:rsid w:val="00AC65BD"/>
    <w:rsid w:val="00AC6F36"/>
    <w:rsid w:val="00AC719D"/>
    <w:rsid w:val="00AD01DB"/>
    <w:rsid w:val="00AD0C2B"/>
    <w:rsid w:val="00AD0F72"/>
    <w:rsid w:val="00AD10F8"/>
    <w:rsid w:val="00AD25FF"/>
    <w:rsid w:val="00AD29EB"/>
    <w:rsid w:val="00AD2DC9"/>
    <w:rsid w:val="00AD2FC1"/>
    <w:rsid w:val="00AD2FD9"/>
    <w:rsid w:val="00AD3119"/>
    <w:rsid w:val="00AD313E"/>
    <w:rsid w:val="00AD45D3"/>
    <w:rsid w:val="00AD4848"/>
    <w:rsid w:val="00AD48CC"/>
    <w:rsid w:val="00AD52DC"/>
    <w:rsid w:val="00AD79F2"/>
    <w:rsid w:val="00AE00DF"/>
    <w:rsid w:val="00AE0429"/>
    <w:rsid w:val="00AE2BC0"/>
    <w:rsid w:val="00AE301E"/>
    <w:rsid w:val="00AE3F78"/>
    <w:rsid w:val="00AE4CC2"/>
    <w:rsid w:val="00AE54F6"/>
    <w:rsid w:val="00AE5A90"/>
    <w:rsid w:val="00AE61FB"/>
    <w:rsid w:val="00AE628A"/>
    <w:rsid w:val="00AE6929"/>
    <w:rsid w:val="00AE69F6"/>
    <w:rsid w:val="00AE7954"/>
    <w:rsid w:val="00AE7F58"/>
    <w:rsid w:val="00AF064B"/>
    <w:rsid w:val="00AF0D51"/>
    <w:rsid w:val="00AF0F8E"/>
    <w:rsid w:val="00AF171E"/>
    <w:rsid w:val="00AF18A2"/>
    <w:rsid w:val="00AF259F"/>
    <w:rsid w:val="00AF2A72"/>
    <w:rsid w:val="00AF2B07"/>
    <w:rsid w:val="00AF58D0"/>
    <w:rsid w:val="00AF7658"/>
    <w:rsid w:val="00AF7AFD"/>
    <w:rsid w:val="00AF7D3B"/>
    <w:rsid w:val="00AF7F41"/>
    <w:rsid w:val="00B001E1"/>
    <w:rsid w:val="00B0090B"/>
    <w:rsid w:val="00B00D39"/>
    <w:rsid w:val="00B01586"/>
    <w:rsid w:val="00B02215"/>
    <w:rsid w:val="00B0225B"/>
    <w:rsid w:val="00B03420"/>
    <w:rsid w:val="00B03E3E"/>
    <w:rsid w:val="00B048CB"/>
    <w:rsid w:val="00B06285"/>
    <w:rsid w:val="00B0638C"/>
    <w:rsid w:val="00B06A37"/>
    <w:rsid w:val="00B100DE"/>
    <w:rsid w:val="00B10711"/>
    <w:rsid w:val="00B11D90"/>
    <w:rsid w:val="00B12241"/>
    <w:rsid w:val="00B13376"/>
    <w:rsid w:val="00B13E04"/>
    <w:rsid w:val="00B142D4"/>
    <w:rsid w:val="00B14342"/>
    <w:rsid w:val="00B159DC"/>
    <w:rsid w:val="00B15A42"/>
    <w:rsid w:val="00B164F5"/>
    <w:rsid w:val="00B16A1E"/>
    <w:rsid w:val="00B17D45"/>
    <w:rsid w:val="00B17FE8"/>
    <w:rsid w:val="00B207F1"/>
    <w:rsid w:val="00B2186D"/>
    <w:rsid w:val="00B21A86"/>
    <w:rsid w:val="00B22338"/>
    <w:rsid w:val="00B22643"/>
    <w:rsid w:val="00B23FCC"/>
    <w:rsid w:val="00B24396"/>
    <w:rsid w:val="00B24BD4"/>
    <w:rsid w:val="00B2568A"/>
    <w:rsid w:val="00B25A5F"/>
    <w:rsid w:val="00B25CA2"/>
    <w:rsid w:val="00B25EFF"/>
    <w:rsid w:val="00B26F68"/>
    <w:rsid w:val="00B31029"/>
    <w:rsid w:val="00B31088"/>
    <w:rsid w:val="00B33B61"/>
    <w:rsid w:val="00B33F21"/>
    <w:rsid w:val="00B340C9"/>
    <w:rsid w:val="00B340D5"/>
    <w:rsid w:val="00B3446D"/>
    <w:rsid w:val="00B34B17"/>
    <w:rsid w:val="00B34B5D"/>
    <w:rsid w:val="00B34C03"/>
    <w:rsid w:val="00B35B3A"/>
    <w:rsid w:val="00B36491"/>
    <w:rsid w:val="00B410CC"/>
    <w:rsid w:val="00B414F8"/>
    <w:rsid w:val="00B417D8"/>
    <w:rsid w:val="00B41A0A"/>
    <w:rsid w:val="00B4202B"/>
    <w:rsid w:val="00B4268A"/>
    <w:rsid w:val="00B431B3"/>
    <w:rsid w:val="00B43377"/>
    <w:rsid w:val="00B435C6"/>
    <w:rsid w:val="00B43E05"/>
    <w:rsid w:val="00B43EA3"/>
    <w:rsid w:val="00B45172"/>
    <w:rsid w:val="00B470CC"/>
    <w:rsid w:val="00B47571"/>
    <w:rsid w:val="00B475F5"/>
    <w:rsid w:val="00B47808"/>
    <w:rsid w:val="00B4783F"/>
    <w:rsid w:val="00B479CE"/>
    <w:rsid w:val="00B47ADD"/>
    <w:rsid w:val="00B5016F"/>
    <w:rsid w:val="00B5052D"/>
    <w:rsid w:val="00B51684"/>
    <w:rsid w:val="00B520F5"/>
    <w:rsid w:val="00B53483"/>
    <w:rsid w:val="00B5368A"/>
    <w:rsid w:val="00B5379E"/>
    <w:rsid w:val="00B54130"/>
    <w:rsid w:val="00B55727"/>
    <w:rsid w:val="00B55FF7"/>
    <w:rsid w:val="00B56C70"/>
    <w:rsid w:val="00B57446"/>
    <w:rsid w:val="00B61C31"/>
    <w:rsid w:val="00B62AA2"/>
    <w:rsid w:val="00B62DC6"/>
    <w:rsid w:val="00B639CD"/>
    <w:rsid w:val="00B6401F"/>
    <w:rsid w:val="00B6402E"/>
    <w:rsid w:val="00B64AF2"/>
    <w:rsid w:val="00B64F13"/>
    <w:rsid w:val="00B65C76"/>
    <w:rsid w:val="00B65D45"/>
    <w:rsid w:val="00B6658C"/>
    <w:rsid w:val="00B669A8"/>
    <w:rsid w:val="00B66F91"/>
    <w:rsid w:val="00B6739A"/>
    <w:rsid w:val="00B67B0D"/>
    <w:rsid w:val="00B67E97"/>
    <w:rsid w:val="00B7143E"/>
    <w:rsid w:val="00B71B53"/>
    <w:rsid w:val="00B72F1B"/>
    <w:rsid w:val="00B74DE6"/>
    <w:rsid w:val="00B751F8"/>
    <w:rsid w:val="00B75490"/>
    <w:rsid w:val="00B7583E"/>
    <w:rsid w:val="00B762B2"/>
    <w:rsid w:val="00B76929"/>
    <w:rsid w:val="00B76E08"/>
    <w:rsid w:val="00B773B9"/>
    <w:rsid w:val="00B77A52"/>
    <w:rsid w:val="00B77B88"/>
    <w:rsid w:val="00B8211C"/>
    <w:rsid w:val="00B8217E"/>
    <w:rsid w:val="00B82A8F"/>
    <w:rsid w:val="00B82E9B"/>
    <w:rsid w:val="00B833B0"/>
    <w:rsid w:val="00B835BE"/>
    <w:rsid w:val="00B836FA"/>
    <w:rsid w:val="00B8413D"/>
    <w:rsid w:val="00B8448D"/>
    <w:rsid w:val="00B86788"/>
    <w:rsid w:val="00B8684C"/>
    <w:rsid w:val="00B87FA8"/>
    <w:rsid w:val="00B90CC6"/>
    <w:rsid w:val="00B919D5"/>
    <w:rsid w:val="00B924E4"/>
    <w:rsid w:val="00B92F45"/>
    <w:rsid w:val="00B94DAD"/>
    <w:rsid w:val="00B958C9"/>
    <w:rsid w:val="00B95D21"/>
    <w:rsid w:val="00B96F07"/>
    <w:rsid w:val="00B97E53"/>
    <w:rsid w:val="00BA0025"/>
    <w:rsid w:val="00BA0793"/>
    <w:rsid w:val="00BA23A3"/>
    <w:rsid w:val="00BA2905"/>
    <w:rsid w:val="00BA2927"/>
    <w:rsid w:val="00BA2DD7"/>
    <w:rsid w:val="00BA3A33"/>
    <w:rsid w:val="00BA508B"/>
    <w:rsid w:val="00BA54BA"/>
    <w:rsid w:val="00BA5A02"/>
    <w:rsid w:val="00BA62B5"/>
    <w:rsid w:val="00BA6453"/>
    <w:rsid w:val="00BA6457"/>
    <w:rsid w:val="00BB0AC5"/>
    <w:rsid w:val="00BB0C66"/>
    <w:rsid w:val="00BB1C2A"/>
    <w:rsid w:val="00BB5AC5"/>
    <w:rsid w:val="00BB6D8A"/>
    <w:rsid w:val="00BB7B2E"/>
    <w:rsid w:val="00BC093B"/>
    <w:rsid w:val="00BC0DDA"/>
    <w:rsid w:val="00BC1339"/>
    <w:rsid w:val="00BC151D"/>
    <w:rsid w:val="00BC1550"/>
    <w:rsid w:val="00BC19C1"/>
    <w:rsid w:val="00BC1E3D"/>
    <w:rsid w:val="00BC25D3"/>
    <w:rsid w:val="00BC3A63"/>
    <w:rsid w:val="00BC4417"/>
    <w:rsid w:val="00BC4ADD"/>
    <w:rsid w:val="00BC4EB8"/>
    <w:rsid w:val="00BC5AD2"/>
    <w:rsid w:val="00BC5E3F"/>
    <w:rsid w:val="00BC6C4D"/>
    <w:rsid w:val="00BC716E"/>
    <w:rsid w:val="00BC7397"/>
    <w:rsid w:val="00BC74F5"/>
    <w:rsid w:val="00BC7A95"/>
    <w:rsid w:val="00BD0B12"/>
    <w:rsid w:val="00BD10B4"/>
    <w:rsid w:val="00BD11A3"/>
    <w:rsid w:val="00BD2616"/>
    <w:rsid w:val="00BD29D6"/>
    <w:rsid w:val="00BD3055"/>
    <w:rsid w:val="00BD3059"/>
    <w:rsid w:val="00BD3468"/>
    <w:rsid w:val="00BD39C3"/>
    <w:rsid w:val="00BD4E6C"/>
    <w:rsid w:val="00BD5688"/>
    <w:rsid w:val="00BD5B72"/>
    <w:rsid w:val="00BD65FE"/>
    <w:rsid w:val="00BD6BB9"/>
    <w:rsid w:val="00BD7D96"/>
    <w:rsid w:val="00BE070D"/>
    <w:rsid w:val="00BE1399"/>
    <w:rsid w:val="00BE139B"/>
    <w:rsid w:val="00BE17B1"/>
    <w:rsid w:val="00BE1AC4"/>
    <w:rsid w:val="00BE26BA"/>
    <w:rsid w:val="00BE2932"/>
    <w:rsid w:val="00BE29BB"/>
    <w:rsid w:val="00BE2A3F"/>
    <w:rsid w:val="00BE33E3"/>
    <w:rsid w:val="00BE348A"/>
    <w:rsid w:val="00BE3889"/>
    <w:rsid w:val="00BE4846"/>
    <w:rsid w:val="00BE557B"/>
    <w:rsid w:val="00BE64FE"/>
    <w:rsid w:val="00BE6751"/>
    <w:rsid w:val="00BE6D93"/>
    <w:rsid w:val="00BF068E"/>
    <w:rsid w:val="00BF0840"/>
    <w:rsid w:val="00BF13CB"/>
    <w:rsid w:val="00BF1827"/>
    <w:rsid w:val="00BF1CE0"/>
    <w:rsid w:val="00BF27C9"/>
    <w:rsid w:val="00BF28A8"/>
    <w:rsid w:val="00BF326B"/>
    <w:rsid w:val="00BF4300"/>
    <w:rsid w:val="00BF51B2"/>
    <w:rsid w:val="00BF5275"/>
    <w:rsid w:val="00BF59FD"/>
    <w:rsid w:val="00BF5FC5"/>
    <w:rsid w:val="00BF672B"/>
    <w:rsid w:val="00BF71E4"/>
    <w:rsid w:val="00BF7BE3"/>
    <w:rsid w:val="00C0032C"/>
    <w:rsid w:val="00C007CC"/>
    <w:rsid w:val="00C0283F"/>
    <w:rsid w:val="00C02D98"/>
    <w:rsid w:val="00C035BF"/>
    <w:rsid w:val="00C04625"/>
    <w:rsid w:val="00C053D7"/>
    <w:rsid w:val="00C06214"/>
    <w:rsid w:val="00C06ED2"/>
    <w:rsid w:val="00C07BE2"/>
    <w:rsid w:val="00C10069"/>
    <w:rsid w:val="00C10684"/>
    <w:rsid w:val="00C11734"/>
    <w:rsid w:val="00C12290"/>
    <w:rsid w:val="00C12478"/>
    <w:rsid w:val="00C1249A"/>
    <w:rsid w:val="00C125BE"/>
    <w:rsid w:val="00C12E09"/>
    <w:rsid w:val="00C13190"/>
    <w:rsid w:val="00C1328E"/>
    <w:rsid w:val="00C14127"/>
    <w:rsid w:val="00C14CD7"/>
    <w:rsid w:val="00C15B7D"/>
    <w:rsid w:val="00C1601C"/>
    <w:rsid w:val="00C17559"/>
    <w:rsid w:val="00C17678"/>
    <w:rsid w:val="00C17959"/>
    <w:rsid w:val="00C21B6B"/>
    <w:rsid w:val="00C2226E"/>
    <w:rsid w:val="00C227B0"/>
    <w:rsid w:val="00C2281D"/>
    <w:rsid w:val="00C23A69"/>
    <w:rsid w:val="00C24388"/>
    <w:rsid w:val="00C248FC"/>
    <w:rsid w:val="00C261DB"/>
    <w:rsid w:val="00C263F0"/>
    <w:rsid w:val="00C272CA"/>
    <w:rsid w:val="00C2780C"/>
    <w:rsid w:val="00C27827"/>
    <w:rsid w:val="00C27D07"/>
    <w:rsid w:val="00C27FFA"/>
    <w:rsid w:val="00C30B56"/>
    <w:rsid w:val="00C30B5C"/>
    <w:rsid w:val="00C30C62"/>
    <w:rsid w:val="00C31108"/>
    <w:rsid w:val="00C31598"/>
    <w:rsid w:val="00C3222D"/>
    <w:rsid w:val="00C32416"/>
    <w:rsid w:val="00C32B8B"/>
    <w:rsid w:val="00C32E57"/>
    <w:rsid w:val="00C335D9"/>
    <w:rsid w:val="00C33D3F"/>
    <w:rsid w:val="00C34B9C"/>
    <w:rsid w:val="00C34C23"/>
    <w:rsid w:val="00C35D87"/>
    <w:rsid w:val="00C35DD0"/>
    <w:rsid w:val="00C364ED"/>
    <w:rsid w:val="00C369F2"/>
    <w:rsid w:val="00C3774B"/>
    <w:rsid w:val="00C3796B"/>
    <w:rsid w:val="00C407B9"/>
    <w:rsid w:val="00C40C29"/>
    <w:rsid w:val="00C437C0"/>
    <w:rsid w:val="00C439CB"/>
    <w:rsid w:val="00C43EA5"/>
    <w:rsid w:val="00C441A2"/>
    <w:rsid w:val="00C44B27"/>
    <w:rsid w:val="00C455CF"/>
    <w:rsid w:val="00C45B92"/>
    <w:rsid w:val="00C46EBE"/>
    <w:rsid w:val="00C506DD"/>
    <w:rsid w:val="00C51752"/>
    <w:rsid w:val="00C51CF9"/>
    <w:rsid w:val="00C53700"/>
    <w:rsid w:val="00C54D23"/>
    <w:rsid w:val="00C554E5"/>
    <w:rsid w:val="00C559A1"/>
    <w:rsid w:val="00C56731"/>
    <w:rsid w:val="00C57159"/>
    <w:rsid w:val="00C57230"/>
    <w:rsid w:val="00C579D6"/>
    <w:rsid w:val="00C57B11"/>
    <w:rsid w:val="00C62333"/>
    <w:rsid w:val="00C62631"/>
    <w:rsid w:val="00C6289E"/>
    <w:rsid w:val="00C629F4"/>
    <w:rsid w:val="00C63FD7"/>
    <w:rsid w:val="00C642A6"/>
    <w:rsid w:val="00C64656"/>
    <w:rsid w:val="00C64846"/>
    <w:rsid w:val="00C653F6"/>
    <w:rsid w:val="00C65E06"/>
    <w:rsid w:val="00C66C79"/>
    <w:rsid w:val="00C6793F"/>
    <w:rsid w:val="00C67977"/>
    <w:rsid w:val="00C70A4E"/>
    <w:rsid w:val="00C70D56"/>
    <w:rsid w:val="00C70DA2"/>
    <w:rsid w:val="00C71333"/>
    <w:rsid w:val="00C714D1"/>
    <w:rsid w:val="00C720C2"/>
    <w:rsid w:val="00C72C8D"/>
    <w:rsid w:val="00C72D7F"/>
    <w:rsid w:val="00C73B10"/>
    <w:rsid w:val="00C74532"/>
    <w:rsid w:val="00C7475A"/>
    <w:rsid w:val="00C75555"/>
    <w:rsid w:val="00C75764"/>
    <w:rsid w:val="00C75935"/>
    <w:rsid w:val="00C76466"/>
    <w:rsid w:val="00C76874"/>
    <w:rsid w:val="00C76B58"/>
    <w:rsid w:val="00C77022"/>
    <w:rsid w:val="00C77DA7"/>
    <w:rsid w:val="00C80C03"/>
    <w:rsid w:val="00C8105D"/>
    <w:rsid w:val="00C8321C"/>
    <w:rsid w:val="00C844BC"/>
    <w:rsid w:val="00C859A5"/>
    <w:rsid w:val="00C85E2B"/>
    <w:rsid w:val="00C86583"/>
    <w:rsid w:val="00C8699E"/>
    <w:rsid w:val="00C86C1C"/>
    <w:rsid w:val="00C86C65"/>
    <w:rsid w:val="00C86F49"/>
    <w:rsid w:val="00C87049"/>
    <w:rsid w:val="00C87A8B"/>
    <w:rsid w:val="00C90225"/>
    <w:rsid w:val="00C917EF"/>
    <w:rsid w:val="00C91C6E"/>
    <w:rsid w:val="00C930EC"/>
    <w:rsid w:val="00C93390"/>
    <w:rsid w:val="00C93D78"/>
    <w:rsid w:val="00C94972"/>
    <w:rsid w:val="00C950EA"/>
    <w:rsid w:val="00C9583A"/>
    <w:rsid w:val="00C95F48"/>
    <w:rsid w:val="00C96FFA"/>
    <w:rsid w:val="00CA0FEA"/>
    <w:rsid w:val="00CA2659"/>
    <w:rsid w:val="00CA27BF"/>
    <w:rsid w:val="00CA2AE4"/>
    <w:rsid w:val="00CA3675"/>
    <w:rsid w:val="00CA382C"/>
    <w:rsid w:val="00CA3A6F"/>
    <w:rsid w:val="00CA3F75"/>
    <w:rsid w:val="00CA43A4"/>
    <w:rsid w:val="00CA4751"/>
    <w:rsid w:val="00CA4A10"/>
    <w:rsid w:val="00CA5375"/>
    <w:rsid w:val="00CA54E4"/>
    <w:rsid w:val="00CA7B4F"/>
    <w:rsid w:val="00CA7DE3"/>
    <w:rsid w:val="00CB08B2"/>
    <w:rsid w:val="00CB0B46"/>
    <w:rsid w:val="00CB2D71"/>
    <w:rsid w:val="00CB2EDF"/>
    <w:rsid w:val="00CB364A"/>
    <w:rsid w:val="00CB36EC"/>
    <w:rsid w:val="00CB5DEC"/>
    <w:rsid w:val="00CB6550"/>
    <w:rsid w:val="00CB678D"/>
    <w:rsid w:val="00CB7109"/>
    <w:rsid w:val="00CB7206"/>
    <w:rsid w:val="00CB75C0"/>
    <w:rsid w:val="00CB77AE"/>
    <w:rsid w:val="00CB7813"/>
    <w:rsid w:val="00CC0209"/>
    <w:rsid w:val="00CC05BF"/>
    <w:rsid w:val="00CC110C"/>
    <w:rsid w:val="00CC1A57"/>
    <w:rsid w:val="00CC1BC4"/>
    <w:rsid w:val="00CC1CD5"/>
    <w:rsid w:val="00CC1F11"/>
    <w:rsid w:val="00CC23D2"/>
    <w:rsid w:val="00CC2A2E"/>
    <w:rsid w:val="00CC2DE2"/>
    <w:rsid w:val="00CC336F"/>
    <w:rsid w:val="00CC3D1E"/>
    <w:rsid w:val="00CC3EF6"/>
    <w:rsid w:val="00CC43DF"/>
    <w:rsid w:val="00CC4845"/>
    <w:rsid w:val="00CC4974"/>
    <w:rsid w:val="00CC50D5"/>
    <w:rsid w:val="00CC5F1B"/>
    <w:rsid w:val="00CC68C7"/>
    <w:rsid w:val="00CC6CC2"/>
    <w:rsid w:val="00CC7369"/>
    <w:rsid w:val="00CC73C9"/>
    <w:rsid w:val="00CC7781"/>
    <w:rsid w:val="00CD08BF"/>
    <w:rsid w:val="00CD0CCE"/>
    <w:rsid w:val="00CD1FD3"/>
    <w:rsid w:val="00CD2481"/>
    <w:rsid w:val="00CD2A77"/>
    <w:rsid w:val="00CD2DF4"/>
    <w:rsid w:val="00CD2FE3"/>
    <w:rsid w:val="00CD3C65"/>
    <w:rsid w:val="00CD41AE"/>
    <w:rsid w:val="00CD4499"/>
    <w:rsid w:val="00CD4572"/>
    <w:rsid w:val="00CD464D"/>
    <w:rsid w:val="00CD47A1"/>
    <w:rsid w:val="00CD49AF"/>
    <w:rsid w:val="00CD51DF"/>
    <w:rsid w:val="00CD5F1C"/>
    <w:rsid w:val="00CD5F98"/>
    <w:rsid w:val="00CD6165"/>
    <w:rsid w:val="00CD6B24"/>
    <w:rsid w:val="00CD6CB3"/>
    <w:rsid w:val="00CD7401"/>
    <w:rsid w:val="00CD78FD"/>
    <w:rsid w:val="00CD7E73"/>
    <w:rsid w:val="00CE0D43"/>
    <w:rsid w:val="00CE1585"/>
    <w:rsid w:val="00CE2327"/>
    <w:rsid w:val="00CE24EF"/>
    <w:rsid w:val="00CE2ABD"/>
    <w:rsid w:val="00CE3438"/>
    <w:rsid w:val="00CE39E2"/>
    <w:rsid w:val="00CE466F"/>
    <w:rsid w:val="00CE4D3A"/>
    <w:rsid w:val="00CE538F"/>
    <w:rsid w:val="00CE53E9"/>
    <w:rsid w:val="00CE550B"/>
    <w:rsid w:val="00CE568D"/>
    <w:rsid w:val="00CE5C17"/>
    <w:rsid w:val="00CE688B"/>
    <w:rsid w:val="00CE6DE8"/>
    <w:rsid w:val="00CE70F9"/>
    <w:rsid w:val="00CE7654"/>
    <w:rsid w:val="00CE7678"/>
    <w:rsid w:val="00CE7A7F"/>
    <w:rsid w:val="00CF008F"/>
    <w:rsid w:val="00CF0C48"/>
    <w:rsid w:val="00CF0ECD"/>
    <w:rsid w:val="00CF1173"/>
    <w:rsid w:val="00CF149D"/>
    <w:rsid w:val="00CF1974"/>
    <w:rsid w:val="00CF1C49"/>
    <w:rsid w:val="00CF1C65"/>
    <w:rsid w:val="00CF1E96"/>
    <w:rsid w:val="00CF422D"/>
    <w:rsid w:val="00CF4FC8"/>
    <w:rsid w:val="00CF7C06"/>
    <w:rsid w:val="00D0027E"/>
    <w:rsid w:val="00D00979"/>
    <w:rsid w:val="00D0158A"/>
    <w:rsid w:val="00D0215D"/>
    <w:rsid w:val="00D02736"/>
    <w:rsid w:val="00D03C8D"/>
    <w:rsid w:val="00D03DB9"/>
    <w:rsid w:val="00D04088"/>
    <w:rsid w:val="00D04695"/>
    <w:rsid w:val="00D05035"/>
    <w:rsid w:val="00D060A5"/>
    <w:rsid w:val="00D066D8"/>
    <w:rsid w:val="00D0727C"/>
    <w:rsid w:val="00D12D0F"/>
    <w:rsid w:val="00D1364A"/>
    <w:rsid w:val="00D14514"/>
    <w:rsid w:val="00D149D4"/>
    <w:rsid w:val="00D15098"/>
    <w:rsid w:val="00D16CC2"/>
    <w:rsid w:val="00D1775C"/>
    <w:rsid w:val="00D20298"/>
    <w:rsid w:val="00D207ED"/>
    <w:rsid w:val="00D20C40"/>
    <w:rsid w:val="00D216C1"/>
    <w:rsid w:val="00D2345C"/>
    <w:rsid w:val="00D23A75"/>
    <w:rsid w:val="00D24146"/>
    <w:rsid w:val="00D2467D"/>
    <w:rsid w:val="00D247A3"/>
    <w:rsid w:val="00D24D67"/>
    <w:rsid w:val="00D25179"/>
    <w:rsid w:val="00D261C3"/>
    <w:rsid w:val="00D264EC"/>
    <w:rsid w:val="00D26708"/>
    <w:rsid w:val="00D26C41"/>
    <w:rsid w:val="00D26D12"/>
    <w:rsid w:val="00D275F4"/>
    <w:rsid w:val="00D27A3A"/>
    <w:rsid w:val="00D3013D"/>
    <w:rsid w:val="00D30160"/>
    <w:rsid w:val="00D303AB"/>
    <w:rsid w:val="00D30537"/>
    <w:rsid w:val="00D309D2"/>
    <w:rsid w:val="00D31AE6"/>
    <w:rsid w:val="00D320D6"/>
    <w:rsid w:val="00D3222E"/>
    <w:rsid w:val="00D32DCA"/>
    <w:rsid w:val="00D32EB2"/>
    <w:rsid w:val="00D33EF1"/>
    <w:rsid w:val="00D341DE"/>
    <w:rsid w:val="00D34E77"/>
    <w:rsid w:val="00D34ED3"/>
    <w:rsid w:val="00D35633"/>
    <w:rsid w:val="00D35B31"/>
    <w:rsid w:val="00D3639F"/>
    <w:rsid w:val="00D36723"/>
    <w:rsid w:val="00D36A81"/>
    <w:rsid w:val="00D370AE"/>
    <w:rsid w:val="00D40243"/>
    <w:rsid w:val="00D405AC"/>
    <w:rsid w:val="00D4145B"/>
    <w:rsid w:val="00D414B8"/>
    <w:rsid w:val="00D423F9"/>
    <w:rsid w:val="00D42D65"/>
    <w:rsid w:val="00D438A2"/>
    <w:rsid w:val="00D444E0"/>
    <w:rsid w:val="00D44ECB"/>
    <w:rsid w:val="00D45639"/>
    <w:rsid w:val="00D4579A"/>
    <w:rsid w:val="00D45963"/>
    <w:rsid w:val="00D469C7"/>
    <w:rsid w:val="00D46DF8"/>
    <w:rsid w:val="00D477D1"/>
    <w:rsid w:val="00D504A1"/>
    <w:rsid w:val="00D5091E"/>
    <w:rsid w:val="00D50F9C"/>
    <w:rsid w:val="00D51A00"/>
    <w:rsid w:val="00D525BD"/>
    <w:rsid w:val="00D52645"/>
    <w:rsid w:val="00D528CB"/>
    <w:rsid w:val="00D537AC"/>
    <w:rsid w:val="00D53805"/>
    <w:rsid w:val="00D539D9"/>
    <w:rsid w:val="00D53DFF"/>
    <w:rsid w:val="00D5482B"/>
    <w:rsid w:val="00D54FAC"/>
    <w:rsid w:val="00D56174"/>
    <w:rsid w:val="00D564BD"/>
    <w:rsid w:val="00D567EE"/>
    <w:rsid w:val="00D571F6"/>
    <w:rsid w:val="00D579B0"/>
    <w:rsid w:val="00D60446"/>
    <w:rsid w:val="00D6212A"/>
    <w:rsid w:val="00D6240A"/>
    <w:rsid w:val="00D632D3"/>
    <w:rsid w:val="00D63652"/>
    <w:rsid w:val="00D657C4"/>
    <w:rsid w:val="00D659B9"/>
    <w:rsid w:val="00D65FA8"/>
    <w:rsid w:val="00D66957"/>
    <w:rsid w:val="00D700A7"/>
    <w:rsid w:val="00D71ABC"/>
    <w:rsid w:val="00D71F27"/>
    <w:rsid w:val="00D735A1"/>
    <w:rsid w:val="00D74908"/>
    <w:rsid w:val="00D752D5"/>
    <w:rsid w:val="00D75C91"/>
    <w:rsid w:val="00D75CD2"/>
    <w:rsid w:val="00D75D46"/>
    <w:rsid w:val="00D76086"/>
    <w:rsid w:val="00D76196"/>
    <w:rsid w:val="00D7633C"/>
    <w:rsid w:val="00D766C2"/>
    <w:rsid w:val="00D80D62"/>
    <w:rsid w:val="00D80F1C"/>
    <w:rsid w:val="00D81047"/>
    <w:rsid w:val="00D8156C"/>
    <w:rsid w:val="00D82D2D"/>
    <w:rsid w:val="00D83781"/>
    <w:rsid w:val="00D83EE6"/>
    <w:rsid w:val="00D840C3"/>
    <w:rsid w:val="00D846F5"/>
    <w:rsid w:val="00D8487B"/>
    <w:rsid w:val="00D851B2"/>
    <w:rsid w:val="00D863D3"/>
    <w:rsid w:val="00D873FC"/>
    <w:rsid w:val="00D90311"/>
    <w:rsid w:val="00D928EE"/>
    <w:rsid w:val="00D92910"/>
    <w:rsid w:val="00D93A70"/>
    <w:rsid w:val="00D96183"/>
    <w:rsid w:val="00D96B5A"/>
    <w:rsid w:val="00D96DF6"/>
    <w:rsid w:val="00D96F63"/>
    <w:rsid w:val="00D9705E"/>
    <w:rsid w:val="00D97E4A"/>
    <w:rsid w:val="00DA0211"/>
    <w:rsid w:val="00DA229B"/>
    <w:rsid w:val="00DA2745"/>
    <w:rsid w:val="00DA34FC"/>
    <w:rsid w:val="00DA41E9"/>
    <w:rsid w:val="00DA4F31"/>
    <w:rsid w:val="00DA6C03"/>
    <w:rsid w:val="00DA7FCC"/>
    <w:rsid w:val="00DB128F"/>
    <w:rsid w:val="00DB1D12"/>
    <w:rsid w:val="00DB20C3"/>
    <w:rsid w:val="00DB303E"/>
    <w:rsid w:val="00DB36A0"/>
    <w:rsid w:val="00DB39CA"/>
    <w:rsid w:val="00DB4E25"/>
    <w:rsid w:val="00DB5AC7"/>
    <w:rsid w:val="00DB5B20"/>
    <w:rsid w:val="00DB5DB0"/>
    <w:rsid w:val="00DB6661"/>
    <w:rsid w:val="00DB68DF"/>
    <w:rsid w:val="00DC03FA"/>
    <w:rsid w:val="00DC081C"/>
    <w:rsid w:val="00DC0C03"/>
    <w:rsid w:val="00DC1CFE"/>
    <w:rsid w:val="00DC1DE4"/>
    <w:rsid w:val="00DC219E"/>
    <w:rsid w:val="00DC2712"/>
    <w:rsid w:val="00DC2946"/>
    <w:rsid w:val="00DC2B68"/>
    <w:rsid w:val="00DC2CB8"/>
    <w:rsid w:val="00DC3338"/>
    <w:rsid w:val="00DC354A"/>
    <w:rsid w:val="00DC3970"/>
    <w:rsid w:val="00DC3BBC"/>
    <w:rsid w:val="00DC3D85"/>
    <w:rsid w:val="00DC4011"/>
    <w:rsid w:val="00DC440D"/>
    <w:rsid w:val="00DC514B"/>
    <w:rsid w:val="00DC51CF"/>
    <w:rsid w:val="00DC55DA"/>
    <w:rsid w:val="00DC649D"/>
    <w:rsid w:val="00DC7C8C"/>
    <w:rsid w:val="00DD0252"/>
    <w:rsid w:val="00DD056F"/>
    <w:rsid w:val="00DD0908"/>
    <w:rsid w:val="00DD1BDD"/>
    <w:rsid w:val="00DD1E1F"/>
    <w:rsid w:val="00DD25F8"/>
    <w:rsid w:val="00DD2B50"/>
    <w:rsid w:val="00DD3076"/>
    <w:rsid w:val="00DD364A"/>
    <w:rsid w:val="00DD39C2"/>
    <w:rsid w:val="00DD3CEF"/>
    <w:rsid w:val="00DD3F7C"/>
    <w:rsid w:val="00DD439B"/>
    <w:rsid w:val="00DD481F"/>
    <w:rsid w:val="00DD56F2"/>
    <w:rsid w:val="00DD571C"/>
    <w:rsid w:val="00DD5C2C"/>
    <w:rsid w:val="00DD6296"/>
    <w:rsid w:val="00DD6BAA"/>
    <w:rsid w:val="00DD7DDF"/>
    <w:rsid w:val="00DE04F0"/>
    <w:rsid w:val="00DE0C6C"/>
    <w:rsid w:val="00DE1074"/>
    <w:rsid w:val="00DE1A4E"/>
    <w:rsid w:val="00DE31DE"/>
    <w:rsid w:val="00DE32B5"/>
    <w:rsid w:val="00DE38E0"/>
    <w:rsid w:val="00DE3E1D"/>
    <w:rsid w:val="00DE3EB0"/>
    <w:rsid w:val="00DE571E"/>
    <w:rsid w:val="00DE597F"/>
    <w:rsid w:val="00DE5987"/>
    <w:rsid w:val="00DE7119"/>
    <w:rsid w:val="00DE7CEE"/>
    <w:rsid w:val="00DF043E"/>
    <w:rsid w:val="00DF074E"/>
    <w:rsid w:val="00DF0EDD"/>
    <w:rsid w:val="00DF2219"/>
    <w:rsid w:val="00DF2628"/>
    <w:rsid w:val="00DF2B46"/>
    <w:rsid w:val="00DF37D8"/>
    <w:rsid w:val="00DF3D56"/>
    <w:rsid w:val="00DF45F1"/>
    <w:rsid w:val="00DF491C"/>
    <w:rsid w:val="00DF7FAA"/>
    <w:rsid w:val="00E00960"/>
    <w:rsid w:val="00E01277"/>
    <w:rsid w:val="00E0438E"/>
    <w:rsid w:val="00E05662"/>
    <w:rsid w:val="00E057BC"/>
    <w:rsid w:val="00E06623"/>
    <w:rsid w:val="00E066B1"/>
    <w:rsid w:val="00E06901"/>
    <w:rsid w:val="00E06B66"/>
    <w:rsid w:val="00E06E9D"/>
    <w:rsid w:val="00E07BA8"/>
    <w:rsid w:val="00E07E18"/>
    <w:rsid w:val="00E07F03"/>
    <w:rsid w:val="00E10F7A"/>
    <w:rsid w:val="00E113E7"/>
    <w:rsid w:val="00E12E4B"/>
    <w:rsid w:val="00E133F8"/>
    <w:rsid w:val="00E1473F"/>
    <w:rsid w:val="00E1474E"/>
    <w:rsid w:val="00E1509B"/>
    <w:rsid w:val="00E158B5"/>
    <w:rsid w:val="00E1621B"/>
    <w:rsid w:val="00E1631B"/>
    <w:rsid w:val="00E16696"/>
    <w:rsid w:val="00E17123"/>
    <w:rsid w:val="00E1764E"/>
    <w:rsid w:val="00E1771A"/>
    <w:rsid w:val="00E177B0"/>
    <w:rsid w:val="00E2059B"/>
    <w:rsid w:val="00E209A5"/>
    <w:rsid w:val="00E21A4E"/>
    <w:rsid w:val="00E21F8A"/>
    <w:rsid w:val="00E22E65"/>
    <w:rsid w:val="00E23DE9"/>
    <w:rsid w:val="00E25072"/>
    <w:rsid w:val="00E25403"/>
    <w:rsid w:val="00E2551A"/>
    <w:rsid w:val="00E27533"/>
    <w:rsid w:val="00E2784C"/>
    <w:rsid w:val="00E27FE9"/>
    <w:rsid w:val="00E30BBE"/>
    <w:rsid w:val="00E31FC0"/>
    <w:rsid w:val="00E32273"/>
    <w:rsid w:val="00E32788"/>
    <w:rsid w:val="00E33039"/>
    <w:rsid w:val="00E330A5"/>
    <w:rsid w:val="00E343F0"/>
    <w:rsid w:val="00E35180"/>
    <w:rsid w:val="00E3628A"/>
    <w:rsid w:val="00E3642B"/>
    <w:rsid w:val="00E36624"/>
    <w:rsid w:val="00E36732"/>
    <w:rsid w:val="00E36EEC"/>
    <w:rsid w:val="00E36F8D"/>
    <w:rsid w:val="00E40950"/>
    <w:rsid w:val="00E411EC"/>
    <w:rsid w:val="00E41EA1"/>
    <w:rsid w:val="00E42C2C"/>
    <w:rsid w:val="00E42E07"/>
    <w:rsid w:val="00E43879"/>
    <w:rsid w:val="00E45037"/>
    <w:rsid w:val="00E459D4"/>
    <w:rsid w:val="00E46CCD"/>
    <w:rsid w:val="00E50C0D"/>
    <w:rsid w:val="00E50C7C"/>
    <w:rsid w:val="00E51FCE"/>
    <w:rsid w:val="00E5303C"/>
    <w:rsid w:val="00E5309B"/>
    <w:rsid w:val="00E5315F"/>
    <w:rsid w:val="00E53B7B"/>
    <w:rsid w:val="00E542D7"/>
    <w:rsid w:val="00E548A3"/>
    <w:rsid w:val="00E55E70"/>
    <w:rsid w:val="00E561AC"/>
    <w:rsid w:val="00E56397"/>
    <w:rsid w:val="00E56810"/>
    <w:rsid w:val="00E5693B"/>
    <w:rsid w:val="00E56AB2"/>
    <w:rsid w:val="00E56D9F"/>
    <w:rsid w:val="00E56F71"/>
    <w:rsid w:val="00E57DCB"/>
    <w:rsid w:val="00E60124"/>
    <w:rsid w:val="00E606A5"/>
    <w:rsid w:val="00E607B2"/>
    <w:rsid w:val="00E60D83"/>
    <w:rsid w:val="00E6165A"/>
    <w:rsid w:val="00E6180F"/>
    <w:rsid w:val="00E61F90"/>
    <w:rsid w:val="00E623EA"/>
    <w:rsid w:val="00E646FE"/>
    <w:rsid w:val="00E6506B"/>
    <w:rsid w:val="00E65AC9"/>
    <w:rsid w:val="00E67A7D"/>
    <w:rsid w:val="00E67CE7"/>
    <w:rsid w:val="00E70EB7"/>
    <w:rsid w:val="00E71BA4"/>
    <w:rsid w:val="00E7230B"/>
    <w:rsid w:val="00E730F0"/>
    <w:rsid w:val="00E7326C"/>
    <w:rsid w:val="00E73A34"/>
    <w:rsid w:val="00E73DF4"/>
    <w:rsid w:val="00E74909"/>
    <w:rsid w:val="00E75305"/>
    <w:rsid w:val="00E753DF"/>
    <w:rsid w:val="00E76F0E"/>
    <w:rsid w:val="00E77CE7"/>
    <w:rsid w:val="00E77E37"/>
    <w:rsid w:val="00E80E08"/>
    <w:rsid w:val="00E81021"/>
    <w:rsid w:val="00E8168B"/>
    <w:rsid w:val="00E826A2"/>
    <w:rsid w:val="00E82B8B"/>
    <w:rsid w:val="00E82EDC"/>
    <w:rsid w:val="00E831CB"/>
    <w:rsid w:val="00E840DF"/>
    <w:rsid w:val="00E8416F"/>
    <w:rsid w:val="00E84176"/>
    <w:rsid w:val="00E844FF"/>
    <w:rsid w:val="00E8462A"/>
    <w:rsid w:val="00E84B06"/>
    <w:rsid w:val="00E853E2"/>
    <w:rsid w:val="00E8646E"/>
    <w:rsid w:val="00E86BB3"/>
    <w:rsid w:val="00E86F6E"/>
    <w:rsid w:val="00E87D00"/>
    <w:rsid w:val="00E87D5E"/>
    <w:rsid w:val="00E9093B"/>
    <w:rsid w:val="00E9093D"/>
    <w:rsid w:val="00E91AB8"/>
    <w:rsid w:val="00E92796"/>
    <w:rsid w:val="00E92997"/>
    <w:rsid w:val="00E934E1"/>
    <w:rsid w:val="00E93723"/>
    <w:rsid w:val="00E93B63"/>
    <w:rsid w:val="00E93CF8"/>
    <w:rsid w:val="00E946CE"/>
    <w:rsid w:val="00E948F3"/>
    <w:rsid w:val="00E95008"/>
    <w:rsid w:val="00E9531D"/>
    <w:rsid w:val="00E95F10"/>
    <w:rsid w:val="00E96355"/>
    <w:rsid w:val="00E96BBF"/>
    <w:rsid w:val="00E97285"/>
    <w:rsid w:val="00EA0225"/>
    <w:rsid w:val="00EA0E89"/>
    <w:rsid w:val="00EA0F20"/>
    <w:rsid w:val="00EA2627"/>
    <w:rsid w:val="00EA30C5"/>
    <w:rsid w:val="00EA34BA"/>
    <w:rsid w:val="00EA3ADB"/>
    <w:rsid w:val="00EA4CC7"/>
    <w:rsid w:val="00EA50AF"/>
    <w:rsid w:val="00EA52CF"/>
    <w:rsid w:val="00EA5B59"/>
    <w:rsid w:val="00EA6DD8"/>
    <w:rsid w:val="00EA6ED1"/>
    <w:rsid w:val="00EA76B5"/>
    <w:rsid w:val="00EA79D4"/>
    <w:rsid w:val="00EB02FA"/>
    <w:rsid w:val="00EB033A"/>
    <w:rsid w:val="00EB1F50"/>
    <w:rsid w:val="00EB20F0"/>
    <w:rsid w:val="00EB26DB"/>
    <w:rsid w:val="00EB327A"/>
    <w:rsid w:val="00EB4182"/>
    <w:rsid w:val="00EB486C"/>
    <w:rsid w:val="00EB49EA"/>
    <w:rsid w:val="00EB5B64"/>
    <w:rsid w:val="00EB5EDF"/>
    <w:rsid w:val="00EB68D5"/>
    <w:rsid w:val="00EB6ABE"/>
    <w:rsid w:val="00EB6B6C"/>
    <w:rsid w:val="00EB7503"/>
    <w:rsid w:val="00EB7DD4"/>
    <w:rsid w:val="00EC00BC"/>
    <w:rsid w:val="00EC0DBD"/>
    <w:rsid w:val="00EC119F"/>
    <w:rsid w:val="00EC22C6"/>
    <w:rsid w:val="00EC295B"/>
    <w:rsid w:val="00EC353B"/>
    <w:rsid w:val="00EC381A"/>
    <w:rsid w:val="00EC46D4"/>
    <w:rsid w:val="00EC55B1"/>
    <w:rsid w:val="00EC5906"/>
    <w:rsid w:val="00EC59AF"/>
    <w:rsid w:val="00EC66E8"/>
    <w:rsid w:val="00EC6B1D"/>
    <w:rsid w:val="00EC6F2C"/>
    <w:rsid w:val="00EC7B5B"/>
    <w:rsid w:val="00EC7EDA"/>
    <w:rsid w:val="00ED0159"/>
    <w:rsid w:val="00ED06B9"/>
    <w:rsid w:val="00ED0969"/>
    <w:rsid w:val="00ED33F9"/>
    <w:rsid w:val="00ED3DBD"/>
    <w:rsid w:val="00ED3E2D"/>
    <w:rsid w:val="00ED42A8"/>
    <w:rsid w:val="00ED4A32"/>
    <w:rsid w:val="00ED5423"/>
    <w:rsid w:val="00ED5A94"/>
    <w:rsid w:val="00ED5E0D"/>
    <w:rsid w:val="00ED65D0"/>
    <w:rsid w:val="00ED7D95"/>
    <w:rsid w:val="00EE01A1"/>
    <w:rsid w:val="00EE05A2"/>
    <w:rsid w:val="00EE1612"/>
    <w:rsid w:val="00EE3DDF"/>
    <w:rsid w:val="00EE40D9"/>
    <w:rsid w:val="00EE4556"/>
    <w:rsid w:val="00EE4966"/>
    <w:rsid w:val="00EE59B7"/>
    <w:rsid w:val="00EE5D64"/>
    <w:rsid w:val="00EE6185"/>
    <w:rsid w:val="00EE64EC"/>
    <w:rsid w:val="00EE6798"/>
    <w:rsid w:val="00EE7715"/>
    <w:rsid w:val="00EF058B"/>
    <w:rsid w:val="00EF1812"/>
    <w:rsid w:val="00EF1A99"/>
    <w:rsid w:val="00EF206A"/>
    <w:rsid w:val="00EF20B5"/>
    <w:rsid w:val="00EF2189"/>
    <w:rsid w:val="00EF23A8"/>
    <w:rsid w:val="00EF2F1C"/>
    <w:rsid w:val="00EF3F6C"/>
    <w:rsid w:val="00EF4640"/>
    <w:rsid w:val="00EF564C"/>
    <w:rsid w:val="00EF5812"/>
    <w:rsid w:val="00EF5A12"/>
    <w:rsid w:val="00EF6B0D"/>
    <w:rsid w:val="00EF71AC"/>
    <w:rsid w:val="00EF7317"/>
    <w:rsid w:val="00EF75FF"/>
    <w:rsid w:val="00F0029F"/>
    <w:rsid w:val="00F00736"/>
    <w:rsid w:val="00F00ABA"/>
    <w:rsid w:val="00F0157E"/>
    <w:rsid w:val="00F019F3"/>
    <w:rsid w:val="00F0232C"/>
    <w:rsid w:val="00F03434"/>
    <w:rsid w:val="00F03620"/>
    <w:rsid w:val="00F038E4"/>
    <w:rsid w:val="00F04508"/>
    <w:rsid w:val="00F046D9"/>
    <w:rsid w:val="00F0482E"/>
    <w:rsid w:val="00F04BDE"/>
    <w:rsid w:val="00F064A4"/>
    <w:rsid w:val="00F06F93"/>
    <w:rsid w:val="00F07939"/>
    <w:rsid w:val="00F11094"/>
    <w:rsid w:val="00F1223A"/>
    <w:rsid w:val="00F130B8"/>
    <w:rsid w:val="00F13599"/>
    <w:rsid w:val="00F13F39"/>
    <w:rsid w:val="00F13FBE"/>
    <w:rsid w:val="00F1546E"/>
    <w:rsid w:val="00F15B97"/>
    <w:rsid w:val="00F15FC7"/>
    <w:rsid w:val="00F16642"/>
    <w:rsid w:val="00F168D4"/>
    <w:rsid w:val="00F172F9"/>
    <w:rsid w:val="00F17737"/>
    <w:rsid w:val="00F178FF"/>
    <w:rsid w:val="00F17ECF"/>
    <w:rsid w:val="00F20310"/>
    <w:rsid w:val="00F223A5"/>
    <w:rsid w:val="00F22557"/>
    <w:rsid w:val="00F229D3"/>
    <w:rsid w:val="00F22C30"/>
    <w:rsid w:val="00F25014"/>
    <w:rsid w:val="00F25375"/>
    <w:rsid w:val="00F2590A"/>
    <w:rsid w:val="00F259BF"/>
    <w:rsid w:val="00F25D8F"/>
    <w:rsid w:val="00F261B3"/>
    <w:rsid w:val="00F269EC"/>
    <w:rsid w:val="00F26BDC"/>
    <w:rsid w:val="00F2747F"/>
    <w:rsid w:val="00F30825"/>
    <w:rsid w:val="00F3099B"/>
    <w:rsid w:val="00F309A8"/>
    <w:rsid w:val="00F3235B"/>
    <w:rsid w:val="00F32930"/>
    <w:rsid w:val="00F33034"/>
    <w:rsid w:val="00F331A7"/>
    <w:rsid w:val="00F3392C"/>
    <w:rsid w:val="00F3608F"/>
    <w:rsid w:val="00F36882"/>
    <w:rsid w:val="00F379E3"/>
    <w:rsid w:val="00F40843"/>
    <w:rsid w:val="00F42234"/>
    <w:rsid w:val="00F42B69"/>
    <w:rsid w:val="00F43D76"/>
    <w:rsid w:val="00F43DEC"/>
    <w:rsid w:val="00F43EA8"/>
    <w:rsid w:val="00F4434C"/>
    <w:rsid w:val="00F4465C"/>
    <w:rsid w:val="00F45197"/>
    <w:rsid w:val="00F45897"/>
    <w:rsid w:val="00F46AEE"/>
    <w:rsid w:val="00F47278"/>
    <w:rsid w:val="00F478E4"/>
    <w:rsid w:val="00F508DF"/>
    <w:rsid w:val="00F50B9D"/>
    <w:rsid w:val="00F521A2"/>
    <w:rsid w:val="00F52736"/>
    <w:rsid w:val="00F53775"/>
    <w:rsid w:val="00F54F34"/>
    <w:rsid w:val="00F55345"/>
    <w:rsid w:val="00F558D8"/>
    <w:rsid w:val="00F565F2"/>
    <w:rsid w:val="00F56A14"/>
    <w:rsid w:val="00F5700A"/>
    <w:rsid w:val="00F57454"/>
    <w:rsid w:val="00F579F8"/>
    <w:rsid w:val="00F60047"/>
    <w:rsid w:val="00F61362"/>
    <w:rsid w:val="00F616A7"/>
    <w:rsid w:val="00F61F3C"/>
    <w:rsid w:val="00F62444"/>
    <w:rsid w:val="00F629D9"/>
    <w:rsid w:val="00F62CF4"/>
    <w:rsid w:val="00F62F0F"/>
    <w:rsid w:val="00F62F3D"/>
    <w:rsid w:val="00F63B01"/>
    <w:rsid w:val="00F63DAF"/>
    <w:rsid w:val="00F641B8"/>
    <w:rsid w:val="00F64824"/>
    <w:rsid w:val="00F6501F"/>
    <w:rsid w:val="00F6531E"/>
    <w:rsid w:val="00F656C9"/>
    <w:rsid w:val="00F65C88"/>
    <w:rsid w:val="00F667C0"/>
    <w:rsid w:val="00F66933"/>
    <w:rsid w:val="00F66971"/>
    <w:rsid w:val="00F66A7D"/>
    <w:rsid w:val="00F66AB2"/>
    <w:rsid w:val="00F66EDA"/>
    <w:rsid w:val="00F67459"/>
    <w:rsid w:val="00F6773A"/>
    <w:rsid w:val="00F67779"/>
    <w:rsid w:val="00F67A3B"/>
    <w:rsid w:val="00F67E95"/>
    <w:rsid w:val="00F70086"/>
    <w:rsid w:val="00F7035C"/>
    <w:rsid w:val="00F70D7F"/>
    <w:rsid w:val="00F70F27"/>
    <w:rsid w:val="00F711ED"/>
    <w:rsid w:val="00F71C94"/>
    <w:rsid w:val="00F71DB0"/>
    <w:rsid w:val="00F72729"/>
    <w:rsid w:val="00F73828"/>
    <w:rsid w:val="00F74B00"/>
    <w:rsid w:val="00F74FEC"/>
    <w:rsid w:val="00F7501E"/>
    <w:rsid w:val="00F763B5"/>
    <w:rsid w:val="00F76B3A"/>
    <w:rsid w:val="00F76BBE"/>
    <w:rsid w:val="00F7758B"/>
    <w:rsid w:val="00F779AD"/>
    <w:rsid w:val="00F80426"/>
    <w:rsid w:val="00F80633"/>
    <w:rsid w:val="00F8074A"/>
    <w:rsid w:val="00F811B8"/>
    <w:rsid w:val="00F8156D"/>
    <w:rsid w:val="00F81E63"/>
    <w:rsid w:val="00F828D6"/>
    <w:rsid w:val="00F82ADB"/>
    <w:rsid w:val="00F84656"/>
    <w:rsid w:val="00F84732"/>
    <w:rsid w:val="00F85A53"/>
    <w:rsid w:val="00F85A91"/>
    <w:rsid w:val="00F864FF"/>
    <w:rsid w:val="00F86BED"/>
    <w:rsid w:val="00F86C98"/>
    <w:rsid w:val="00F86E96"/>
    <w:rsid w:val="00F87AC5"/>
    <w:rsid w:val="00F90839"/>
    <w:rsid w:val="00F91676"/>
    <w:rsid w:val="00F92BBC"/>
    <w:rsid w:val="00F92F57"/>
    <w:rsid w:val="00F954C5"/>
    <w:rsid w:val="00F95C7B"/>
    <w:rsid w:val="00F96FCA"/>
    <w:rsid w:val="00F97097"/>
    <w:rsid w:val="00F9714B"/>
    <w:rsid w:val="00F97890"/>
    <w:rsid w:val="00FA0FEE"/>
    <w:rsid w:val="00FA31E1"/>
    <w:rsid w:val="00FA3534"/>
    <w:rsid w:val="00FA48EF"/>
    <w:rsid w:val="00FA498D"/>
    <w:rsid w:val="00FA4A50"/>
    <w:rsid w:val="00FA4B80"/>
    <w:rsid w:val="00FA5115"/>
    <w:rsid w:val="00FA5203"/>
    <w:rsid w:val="00FA5585"/>
    <w:rsid w:val="00FA67C4"/>
    <w:rsid w:val="00FA6954"/>
    <w:rsid w:val="00FA7192"/>
    <w:rsid w:val="00FA72BC"/>
    <w:rsid w:val="00FA7446"/>
    <w:rsid w:val="00FA7B41"/>
    <w:rsid w:val="00FB0BDD"/>
    <w:rsid w:val="00FB1B64"/>
    <w:rsid w:val="00FB28AD"/>
    <w:rsid w:val="00FB2EAC"/>
    <w:rsid w:val="00FB2F1F"/>
    <w:rsid w:val="00FB2F7A"/>
    <w:rsid w:val="00FB2FFC"/>
    <w:rsid w:val="00FB5517"/>
    <w:rsid w:val="00FB5572"/>
    <w:rsid w:val="00FB63F1"/>
    <w:rsid w:val="00FB754E"/>
    <w:rsid w:val="00FB7789"/>
    <w:rsid w:val="00FB7880"/>
    <w:rsid w:val="00FB7A50"/>
    <w:rsid w:val="00FB7D84"/>
    <w:rsid w:val="00FB7F8E"/>
    <w:rsid w:val="00FC0931"/>
    <w:rsid w:val="00FC11F2"/>
    <w:rsid w:val="00FC1226"/>
    <w:rsid w:val="00FC19E3"/>
    <w:rsid w:val="00FC1F7A"/>
    <w:rsid w:val="00FC25F0"/>
    <w:rsid w:val="00FC3380"/>
    <w:rsid w:val="00FC3895"/>
    <w:rsid w:val="00FC4344"/>
    <w:rsid w:val="00FC4A99"/>
    <w:rsid w:val="00FC5AE4"/>
    <w:rsid w:val="00FC6AE0"/>
    <w:rsid w:val="00FC6B1F"/>
    <w:rsid w:val="00FC7AB3"/>
    <w:rsid w:val="00FC7DF4"/>
    <w:rsid w:val="00FC7F07"/>
    <w:rsid w:val="00FD0DE3"/>
    <w:rsid w:val="00FD0E76"/>
    <w:rsid w:val="00FD0EB3"/>
    <w:rsid w:val="00FD26C8"/>
    <w:rsid w:val="00FD37D8"/>
    <w:rsid w:val="00FD402E"/>
    <w:rsid w:val="00FD4BF0"/>
    <w:rsid w:val="00FD6250"/>
    <w:rsid w:val="00FD6727"/>
    <w:rsid w:val="00FD7C6E"/>
    <w:rsid w:val="00FD7FBC"/>
    <w:rsid w:val="00FE0384"/>
    <w:rsid w:val="00FE0ACE"/>
    <w:rsid w:val="00FE17E6"/>
    <w:rsid w:val="00FE2C17"/>
    <w:rsid w:val="00FE2C45"/>
    <w:rsid w:val="00FE3A1B"/>
    <w:rsid w:val="00FE42D0"/>
    <w:rsid w:val="00FE4D6A"/>
    <w:rsid w:val="00FE4EF8"/>
    <w:rsid w:val="00FE512A"/>
    <w:rsid w:val="00FE5A5D"/>
    <w:rsid w:val="00FE5EC0"/>
    <w:rsid w:val="00FE6450"/>
    <w:rsid w:val="00FE72D0"/>
    <w:rsid w:val="00FE7712"/>
    <w:rsid w:val="00FE7A8D"/>
    <w:rsid w:val="00FF10D4"/>
    <w:rsid w:val="00FF18C8"/>
    <w:rsid w:val="00FF2680"/>
    <w:rsid w:val="00FF31A4"/>
    <w:rsid w:val="00FF429E"/>
    <w:rsid w:val="00FF44EA"/>
    <w:rsid w:val="00FF47F8"/>
    <w:rsid w:val="00FF5205"/>
    <w:rsid w:val="00FF583F"/>
    <w:rsid w:val="00FF5D97"/>
    <w:rsid w:val="00FF6345"/>
    <w:rsid w:val="00FF67CD"/>
    <w:rsid w:val="37A13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34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1DBD"/>
    <w:rPr>
      <w:sz w:val="24"/>
      <w:szCs w:val="24"/>
    </w:rPr>
  </w:style>
  <w:style w:type="paragraph" w:styleId="Heading1">
    <w:name w:val="heading 1"/>
    <w:basedOn w:val="Normal"/>
    <w:link w:val="Heading1Char"/>
    <w:uiPriority w:val="9"/>
    <w:qFormat/>
    <w:rsid w:val="00CA4A10"/>
    <w:pPr>
      <w:spacing w:before="161" w:after="161"/>
      <w:outlineLvl w:val="0"/>
    </w:pPr>
    <w:rPr>
      <w:rFonts w:ascii="inherit" w:hAnsi="inherit"/>
      <w:color w:val="CC6600"/>
      <w:kern w:val="36"/>
      <w:sz w:val="44"/>
      <w:szCs w:val="44"/>
    </w:rPr>
  </w:style>
  <w:style w:type="paragraph" w:styleId="Heading2">
    <w:name w:val="heading 2"/>
    <w:basedOn w:val="Normal"/>
    <w:next w:val="Normal"/>
    <w:link w:val="Heading2Char"/>
    <w:uiPriority w:val="9"/>
    <w:semiHidden/>
    <w:unhideWhenUsed/>
    <w:qFormat/>
    <w:rsid w:val="006B56C7"/>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B56C7"/>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B56C7"/>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B56C7"/>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B56C7"/>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6B56C7"/>
    <w:pPr>
      <w:tabs>
        <w:tab w:val="num" w:pos="5040"/>
      </w:tabs>
      <w:spacing w:before="240" w:after="60"/>
      <w:ind w:left="5040" w:hanging="72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6B56C7"/>
    <w:pPr>
      <w:tabs>
        <w:tab w:val="num" w:pos="5760"/>
      </w:tabs>
      <w:spacing w:before="240" w:after="60"/>
      <w:ind w:left="5760" w:hanging="72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6B56C7"/>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1DBD"/>
    <w:pPr>
      <w:tabs>
        <w:tab w:val="center" w:pos="4320"/>
        <w:tab w:val="right" w:pos="8640"/>
      </w:tabs>
    </w:pPr>
  </w:style>
  <w:style w:type="paragraph" w:styleId="Title">
    <w:name w:val="Title"/>
    <w:basedOn w:val="Normal"/>
    <w:link w:val="TitleChar"/>
    <w:qFormat/>
    <w:rsid w:val="003B1DBD"/>
    <w:pPr>
      <w:jc w:val="center"/>
    </w:pPr>
    <w:rPr>
      <w:rFonts w:ascii="Helvetica" w:hAnsi="Helvetica"/>
      <w:b/>
      <w:szCs w:val="20"/>
    </w:rPr>
  </w:style>
  <w:style w:type="paragraph" w:styleId="Footer">
    <w:name w:val="footer"/>
    <w:basedOn w:val="Normal"/>
    <w:link w:val="FooterChar"/>
    <w:uiPriority w:val="99"/>
    <w:rsid w:val="003B1DBD"/>
    <w:pPr>
      <w:tabs>
        <w:tab w:val="center" w:pos="4320"/>
        <w:tab w:val="right" w:pos="8640"/>
      </w:tabs>
    </w:pPr>
  </w:style>
  <w:style w:type="character" w:styleId="PageNumber">
    <w:name w:val="page number"/>
    <w:basedOn w:val="DefaultParagraphFont"/>
    <w:rsid w:val="003B1DBD"/>
  </w:style>
  <w:style w:type="character" w:customStyle="1" w:styleId="FooterChar">
    <w:name w:val="Footer Char"/>
    <w:link w:val="Footer"/>
    <w:uiPriority w:val="99"/>
    <w:rsid w:val="0081069A"/>
    <w:rPr>
      <w:sz w:val="24"/>
      <w:szCs w:val="24"/>
    </w:rPr>
  </w:style>
  <w:style w:type="paragraph" w:styleId="FootnoteText">
    <w:name w:val="footnote text"/>
    <w:basedOn w:val="Normal"/>
    <w:link w:val="FootnoteTextChar"/>
    <w:rsid w:val="00651A20"/>
    <w:rPr>
      <w:sz w:val="20"/>
      <w:szCs w:val="20"/>
    </w:rPr>
  </w:style>
  <w:style w:type="character" w:customStyle="1" w:styleId="FootnoteTextChar">
    <w:name w:val="Footnote Text Char"/>
    <w:basedOn w:val="DefaultParagraphFont"/>
    <w:link w:val="FootnoteText"/>
    <w:rsid w:val="00651A20"/>
  </w:style>
  <w:style w:type="character" w:styleId="FootnoteReference">
    <w:name w:val="footnote reference"/>
    <w:rsid w:val="00651A20"/>
    <w:rPr>
      <w:vertAlign w:val="superscript"/>
    </w:rPr>
  </w:style>
  <w:style w:type="paragraph" w:styleId="BalloonText">
    <w:name w:val="Balloon Text"/>
    <w:basedOn w:val="Normal"/>
    <w:link w:val="BalloonTextChar"/>
    <w:rsid w:val="00A15058"/>
    <w:rPr>
      <w:rFonts w:ascii="Tahoma" w:hAnsi="Tahoma" w:cs="Tahoma"/>
      <w:sz w:val="16"/>
      <w:szCs w:val="16"/>
    </w:rPr>
  </w:style>
  <w:style w:type="character" w:customStyle="1" w:styleId="BalloonTextChar">
    <w:name w:val="Balloon Text Char"/>
    <w:link w:val="BalloonText"/>
    <w:rsid w:val="00A15058"/>
    <w:rPr>
      <w:rFonts w:ascii="Tahoma" w:hAnsi="Tahoma" w:cs="Tahoma"/>
      <w:sz w:val="16"/>
      <w:szCs w:val="16"/>
    </w:rPr>
  </w:style>
  <w:style w:type="paragraph" w:styleId="ListParagraph">
    <w:name w:val="List Paragraph"/>
    <w:basedOn w:val="Normal"/>
    <w:uiPriority w:val="34"/>
    <w:qFormat/>
    <w:rsid w:val="00E86F6E"/>
    <w:pPr>
      <w:ind w:left="720"/>
    </w:pPr>
  </w:style>
  <w:style w:type="table" w:styleId="TableGrid">
    <w:name w:val="Table Grid"/>
    <w:basedOn w:val="TableNormal"/>
    <w:rsid w:val="00693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8102C2"/>
    <w:rPr>
      <w:rFonts w:ascii="Helvetica" w:hAnsi="Helvetica"/>
      <w:b/>
      <w:sz w:val="24"/>
    </w:rPr>
  </w:style>
  <w:style w:type="character" w:styleId="CommentReference">
    <w:name w:val="annotation reference"/>
    <w:rsid w:val="008B380B"/>
    <w:rPr>
      <w:sz w:val="16"/>
      <w:szCs w:val="16"/>
    </w:rPr>
  </w:style>
  <w:style w:type="paragraph" w:styleId="CommentText">
    <w:name w:val="annotation text"/>
    <w:basedOn w:val="Normal"/>
    <w:link w:val="CommentTextChar"/>
    <w:rsid w:val="008B380B"/>
    <w:rPr>
      <w:sz w:val="20"/>
      <w:szCs w:val="20"/>
    </w:rPr>
  </w:style>
  <w:style w:type="character" w:customStyle="1" w:styleId="CommentTextChar">
    <w:name w:val="Comment Text Char"/>
    <w:basedOn w:val="DefaultParagraphFont"/>
    <w:link w:val="CommentText"/>
    <w:rsid w:val="008B380B"/>
  </w:style>
  <w:style w:type="paragraph" w:styleId="CommentSubject">
    <w:name w:val="annotation subject"/>
    <w:basedOn w:val="CommentText"/>
    <w:next w:val="CommentText"/>
    <w:link w:val="CommentSubjectChar"/>
    <w:rsid w:val="008B380B"/>
    <w:rPr>
      <w:b/>
      <w:bCs/>
    </w:rPr>
  </w:style>
  <w:style w:type="character" w:customStyle="1" w:styleId="CommentSubjectChar">
    <w:name w:val="Comment Subject Char"/>
    <w:link w:val="CommentSubject"/>
    <w:rsid w:val="008B380B"/>
    <w:rPr>
      <w:b/>
      <w:bCs/>
    </w:rPr>
  </w:style>
  <w:style w:type="character" w:customStyle="1" w:styleId="HeaderChar">
    <w:name w:val="Header Char"/>
    <w:link w:val="Header"/>
    <w:uiPriority w:val="99"/>
    <w:rsid w:val="00A21B66"/>
    <w:rPr>
      <w:sz w:val="24"/>
      <w:szCs w:val="24"/>
    </w:rPr>
  </w:style>
  <w:style w:type="paragraph" w:customStyle="1" w:styleId="Default">
    <w:name w:val="Default"/>
    <w:rsid w:val="00395972"/>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unhideWhenUsed/>
    <w:rsid w:val="00E6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607B2"/>
    <w:rPr>
      <w:rFonts w:ascii="Courier New" w:hAnsi="Courier New" w:cs="Courier New"/>
    </w:rPr>
  </w:style>
  <w:style w:type="paragraph" w:styleId="ListBullet">
    <w:name w:val="List Bullet"/>
    <w:basedOn w:val="Normal"/>
    <w:rsid w:val="00ED33F9"/>
    <w:pPr>
      <w:numPr>
        <w:numId w:val="32"/>
      </w:numPr>
      <w:contextualSpacing/>
    </w:pPr>
  </w:style>
  <w:style w:type="character" w:styleId="Hyperlink">
    <w:name w:val="Hyperlink"/>
    <w:basedOn w:val="DefaultParagraphFont"/>
    <w:uiPriority w:val="99"/>
    <w:unhideWhenUsed/>
    <w:rsid w:val="00547C47"/>
    <w:rPr>
      <w:color w:val="0000FF"/>
      <w:u w:val="single"/>
    </w:rPr>
  </w:style>
  <w:style w:type="paragraph" w:styleId="Revision">
    <w:name w:val="Revision"/>
    <w:hidden/>
    <w:uiPriority w:val="99"/>
    <w:semiHidden/>
    <w:rsid w:val="00CE3438"/>
    <w:rPr>
      <w:sz w:val="24"/>
      <w:szCs w:val="24"/>
    </w:rPr>
  </w:style>
  <w:style w:type="character" w:customStyle="1" w:styleId="Heading1Char">
    <w:name w:val="Heading 1 Char"/>
    <w:basedOn w:val="DefaultParagraphFont"/>
    <w:link w:val="Heading1"/>
    <w:uiPriority w:val="9"/>
    <w:rsid w:val="00CA4A10"/>
    <w:rPr>
      <w:rFonts w:ascii="inherit" w:hAnsi="inherit"/>
      <w:color w:val="CC6600"/>
      <w:kern w:val="36"/>
      <w:sz w:val="44"/>
      <w:szCs w:val="44"/>
    </w:rPr>
  </w:style>
  <w:style w:type="character" w:styleId="Strong">
    <w:name w:val="Strong"/>
    <w:basedOn w:val="DefaultParagraphFont"/>
    <w:uiPriority w:val="22"/>
    <w:qFormat/>
    <w:rsid w:val="00CA4A10"/>
    <w:rPr>
      <w:b/>
      <w:bCs/>
    </w:rPr>
  </w:style>
  <w:style w:type="paragraph" w:styleId="NormalWeb">
    <w:name w:val="Normal (Web)"/>
    <w:basedOn w:val="Normal"/>
    <w:uiPriority w:val="99"/>
    <w:unhideWhenUsed/>
    <w:rsid w:val="00CA4A10"/>
    <w:pPr>
      <w:spacing w:after="158"/>
    </w:pPr>
  </w:style>
  <w:style w:type="character" w:styleId="Emphasis">
    <w:name w:val="Emphasis"/>
    <w:basedOn w:val="DefaultParagraphFont"/>
    <w:uiPriority w:val="20"/>
    <w:qFormat/>
    <w:rsid w:val="00CA4A10"/>
    <w:rPr>
      <w:i/>
      <w:iCs/>
    </w:rPr>
  </w:style>
  <w:style w:type="character" w:customStyle="1" w:styleId="Heading2Char">
    <w:name w:val="Heading 2 Char"/>
    <w:basedOn w:val="DefaultParagraphFont"/>
    <w:link w:val="Heading2"/>
    <w:uiPriority w:val="9"/>
    <w:semiHidden/>
    <w:rsid w:val="006B56C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B56C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B56C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B56C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6B56C7"/>
    <w:rPr>
      <w:b/>
      <w:bCs/>
      <w:sz w:val="22"/>
      <w:szCs w:val="22"/>
    </w:rPr>
  </w:style>
  <w:style w:type="character" w:customStyle="1" w:styleId="Heading7Char">
    <w:name w:val="Heading 7 Char"/>
    <w:basedOn w:val="DefaultParagraphFont"/>
    <w:link w:val="Heading7"/>
    <w:uiPriority w:val="9"/>
    <w:semiHidden/>
    <w:rsid w:val="006B56C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B56C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B56C7"/>
    <w:rPr>
      <w:rFonts w:asciiTheme="majorHAnsi" w:eastAsiaTheme="majorEastAsia" w:hAnsiTheme="majorHAnsi" w:cstheme="majorBidi"/>
      <w:sz w:val="22"/>
      <w:szCs w:val="22"/>
    </w:rPr>
  </w:style>
  <w:style w:type="character" w:styleId="UnresolvedMention">
    <w:name w:val="Unresolved Mention"/>
    <w:basedOn w:val="DefaultParagraphFont"/>
    <w:uiPriority w:val="99"/>
    <w:semiHidden/>
    <w:unhideWhenUsed/>
    <w:rsid w:val="002C4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2990">
      <w:bodyDiv w:val="1"/>
      <w:marLeft w:val="0"/>
      <w:marRight w:val="0"/>
      <w:marTop w:val="0"/>
      <w:marBottom w:val="0"/>
      <w:divBdr>
        <w:top w:val="none" w:sz="0" w:space="0" w:color="auto"/>
        <w:left w:val="none" w:sz="0" w:space="0" w:color="auto"/>
        <w:bottom w:val="none" w:sz="0" w:space="0" w:color="auto"/>
        <w:right w:val="none" w:sz="0" w:space="0" w:color="auto"/>
      </w:divBdr>
    </w:div>
    <w:div w:id="24910751">
      <w:bodyDiv w:val="1"/>
      <w:marLeft w:val="0"/>
      <w:marRight w:val="0"/>
      <w:marTop w:val="0"/>
      <w:marBottom w:val="0"/>
      <w:divBdr>
        <w:top w:val="none" w:sz="0" w:space="0" w:color="auto"/>
        <w:left w:val="none" w:sz="0" w:space="0" w:color="auto"/>
        <w:bottom w:val="none" w:sz="0" w:space="0" w:color="auto"/>
        <w:right w:val="none" w:sz="0" w:space="0" w:color="auto"/>
      </w:divBdr>
    </w:div>
    <w:div w:id="47344264">
      <w:bodyDiv w:val="1"/>
      <w:marLeft w:val="0"/>
      <w:marRight w:val="0"/>
      <w:marTop w:val="0"/>
      <w:marBottom w:val="0"/>
      <w:divBdr>
        <w:top w:val="none" w:sz="0" w:space="0" w:color="auto"/>
        <w:left w:val="none" w:sz="0" w:space="0" w:color="auto"/>
        <w:bottom w:val="none" w:sz="0" w:space="0" w:color="auto"/>
        <w:right w:val="none" w:sz="0" w:space="0" w:color="auto"/>
      </w:divBdr>
    </w:div>
    <w:div w:id="154222076">
      <w:bodyDiv w:val="1"/>
      <w:marLeft w:val="0"/>
      <w:marRight w:val="0"/>
      <w:marTop w:val="0"/>
      <w:marBottom w:val="0"/>
      <w:divBdr>
        <w:top w:val="none" w:sz="0" w:space="0" w:color="auto"/>
        <w:left w:val="none" w:sz="0" w:space="0" w:color="auto"/>
        <w:bottom w:val="none" w:sz="0" w:space="0" w:color="auto"/>
        <w:right w:val="none" w:sz="0" w:space="0" w:color="auto"/>
      </w:divBdr>
    </w:div>
    <w:div w:id="167405900">
      <w:bodyDiv w:val="1"/>
      <w:marLeft w:val="0"/>
      <w:marRight w:val="0"/>
      <w:marTop w:val="0"/>
      <w:marBottom w:val="0"/>
      <w:divBdr>
        <w:top w:val="none" w:sz="0" w:space="0" w:color="auto"/>
        <w:left w:val="none" w:sz="0" w:space="0" w:color="auto"/>
        <w:bottom w:val="none" w:sz="0" w:space="0" w:color="auto"/>
        <w:right w:val="none" w:sz="0" w:space="0" w:color="auto"/>
      </w:divBdr>
    </w:div>
    <w:div w:id="204803293">
      <w:bodyDiv w:val="1"/>
      <w:marLeft w:val="0"/>
      <w:marRight w:val="0"/>
      <w:marTop w:val="0"/>
      <w:marBottom w:val="0"/>
      <w:divBdr>
        <w:top w:val="none" w:sz="0" w:space="0" w:color="auto"/>
        <w:left w:val="none" w:sz="0" w:space="0" w:color="auto"/>
        <w:bottom w:val="none" w:sz="0" w:space="0" w:color="auto"/>
        <w:right w:val="none" w:sz="0" w:space="0" w:color="auto"/>
      </w:divBdr>
    </w:div>
    <w:div w:id="222834284">
      <w:bodyDiv w:val="1"/>
      <w:marLeft w:val="0"/>
      <w:marRight w:val="0"/>
      <w:marTop w:val="0"/>
      <w:marBottom w:val="0"/>
      <w:divBdr>
        <w:top w:val="none" w:sz="0" w:space="0" w:color="auto"/>
        <w:left w:val="none" w:sz="0" w:space="0" w:color="auto"/>
        <w:bottom w:val="none" w:sz="0" w:space="0" w:color="auto"/>
        <w:right w:val="none" w:sz="0" w:space="0" w:color="auto"/>
      </w:divBdr>
    </w:div>
    <w:div w:id="228465615">
      <w:bodyDiv w:val="1"/>
      <w:marLeft w:val="0"/>
      <w:marRight w:val="0"/>
      <w:marTop w:val="0"/>
      <w:marBottom w:val="0"/>
      <w:divBdr>
        <w:top w:val="none" w:sz="0" w:space="0" w:color="auto"/>
        <w:left w:val="none" w:sz="0" w:space="0" w:color="auto"/>
        <w:bottom w:val="none" w:sz="0" w:space="0" w:color="auto"/>
        <w:right w:val="none" w:sz="0" w:space="0" w:color="auto"/>
      </w:divBdr>
    </w:div>
    <w:div w:id="233008350">
      <w:bodyDiv w:val="1"/>
      <w:marLeft w:val="0"/>
      <w:marRight w:val="0"/>
      <w:marTop w:val="0"/>
      <w:marBottom w:val="0"/>
      <w:divBdr>
        <w:top w:val="none" w:sz="0" w:space="0" w:color="auto"/>
        <w:left w:val="none" w:sz="0" w:space="0" w:color="auto"/>
        <w:bottom w:val="none" w:sz="0" w:space="0" w:color="auto"/>
        <w:right w:val="none" w:sz="0" w:space="0" w:color="auto"/>
      </w:divBdr>
    </w:div>
    <w:div w:id="284698752">
      <w:bodyDiv w:val="1"/>
      <w:marLeft w:val="0"/>
      <w:marRight w:val="0"/>
      <w:marTop w:val="0"/>
      <w:marBottom w:val="0"/>
      <w:divBdr>
        <w:top w:val="none" w:sz="0" w:space="0" w:color="auto"/>
        <w:left w:val="none" w:sz="0" w:space="0" w:color="auto"/>
        <w:bottom w:val="none" w:sz="0" w:space="0" w:color="auto"/>
        <w:right w:val="none" w:sz="0" w:space="0" w:color="auto"/>
      </w:divBdr>
    </w:div>
    <w:div w:id="322784367">
      <w:bodyDiv w:val="1"/>
      <w:marLeft w:val="0"/>
      <w:marRight w:val="0"/>
      <w:marTop w:val="0"/>
      <w:marBottom w:val="0"/>
      <w:divBdr>
        <w:top w:val="none" w:sz="0" w:space="0" w:color="auto"/>
        <w:left w:val="none" w:sz="0" w:space="0" w:color="auto"/>
        <w:bottom w:val="none" w:sz="0" w:space="0" w:color="auto"/>
        <w:right w:val="none" w:sz="0" w:space="0" w:color="auto"/>
      </w:divBdr>
    </w:div>
    <w:div w:id="329678404">
      <w:bodyDiv w:val="1"/>
      <w:marLeft w:val="0"/>
      <w:marRight w:val="0"/>
      <w:marTop w:val="0"/>
      <w:marBottom w:val="0"/>
      <w:divBdr>
        <w:top w:val="none" w:sz="0" w:space="0" w:color="auto"/>
        <w:left w:val="none" w:sz="0" w:space="0" w:color="auto"/>
        <w:bottom w:val="none" w:sz="0" w:space="0" w:color="auto"/>
        <w:right w:val="none" w:sz="0" w:space="0" w:color="auto"/>
      </w:divBdr>
    </w:div>
    <w:div w:id="491675263">
      <w:bodyDiv w:val="1"/>
      <w:marLeft w:val="0"/>
      <w:marRight w:val="0"/>
      <w:marTop w:val="0"/>
      <w:marBottom w:val="0"/>
      <w:divBdr>
        <w:top w:val="none" w:sz="0" w:space="0" w:color="auto"/>
        <w:left w:val="none" w:sz="0" w:space="0" w:color="auto"/>
        <w:bottom w:val="none" w:sz="0" w:space="0" w:color="auto"/>
        <w:right w:val="none" w:sz="0" w:space="0" w:color="auto"/>
      </w:divBdr>
    </w:div>
    <w:div w:id="502092222">
      <w:bodyDiv w:val="1"/>
      <w:marLeft w:val="0"/>
      <w:marRight w:val="0"/>
      <w:marTop w:val="0"/>
      <w:marBottom w:val="0"/>
      <w:divBdr>
        <w:top w:val="none" w:sz="0" w:space="0" w:color="auto"/>
        <w:left w:val="none" w:sz="0" w:space="0" w:color="auto"/>
        <w:bottom w:val="none" w:sz="0" w:space="0" w:color="auto"/>
        <w:right w:val="none" w:sz="0" w:space="0" w:color="auto"/>
      </w:divBdr>
    </w:div>
    <w:div w:id="573509695">
      <w:bodyDiv w:val="1"/>
      <w:marLeft w:val="0"/>
      <w:marRight w:val="0"/>
      <w:marTop w:val="0"/>
      <w:marBottom w:val="0"/>
      <w:divBdr>
        <w:top w:val="none" w:sz="0" w:space="0" w:color="auto"/>
        <w:left w:val="none" w:sz="0" w:space="0" w:color="auto"/>
        <w:bottom w:val="none" w:sz="0" w:space="0" w:color="auto"/>
        <w:right w:val="none" w:sz="0" w:space="0" w:color="auto"/>
      </w:divBdr>
    </w:div>
    <w:div w:id="652952237">
      <w:bodyDiv w:val="1"/>
      <w:marLeft w:val="0"/>
      <w:marRight w:val="0"/>
      <w:marTop w:val="0"/>
      <w:marBottom w:val="0"/>
      <w:divBdr>
        <w:top w:val="none" w:sz="0" w:space="0" w:color="auto"/>
        <w:left w:val="none" w:sz="0" w:space="0" w:color="auto"/>
        <w:bottom w:val="none" w:sz="0" w:space="0" w:color="auto"/>
        <w:right w:val="none" w:sz="0" w:space="0" w:color="auto"/>
      </w:divBdr>
    </w:div>
    <w:div w:id="672490558">
      <w:bodyDiv w:val="1"/>
      <w:marLeft w:val="0"/>
      <w:marRight w:val="0"/>
      <w:marTop w:val="0"/>
      <w:marBottom w:val="0"/>
      <w:divBdr>
        <w:top w:val="none" w:sz="0" w:space="0" w:color="auto"/>
        <w:left w:val="none" w:sz="0" w:space="0" w:color="auto"/>
        <w:bottom w:val="none" w:sz="0" w:space="0" w:color="auto"/>
        <w:right w:val="none" w:sz="0" w:space="0" w:color="auto"/>
      </w:divBdr>
    </w:div>
    <w:div w:id="682588461">
      <w:bodyDiv w:val="1"/>
      <w:marLeft w:val="0"/>
      <w:marRight w:val="0"/>
      <w:marTop w:val="0"/>
      <w:marBottom w:val="0"/>
      <w:divBdr>
        <w:top w:val="none" w:sz="0" w:space="0" w:color="auto"/>
        <w:left w:val="none" w:sz="0" w:space="0" w:color="auto"/>
        <w:bottom w:val="none" w:sz="0" w:space="0" w:color="auto"/>
        <w:right w:val="none" w:sz="0" w:space="0" w:color="auto"/>
      </w:divBdr>
    </w:div>
    <w:div w:id="721906673">
      <w:bodyDiv w:val="1"/>
      <w:marLeft w:val="0"/>
      <w:marRight w:val="0"/>
      <w:marTop w:val="0"/>
      <w:marBottom w:val="0"/>
      <w:divBdr>
        <w:top w:val="none" w:sz="0" w:space="0" w:color="auto"/>
        <w:left w:val="none" w:sz="0" w:space="0" w:color="auto"/>
        <w:bottom w:val="none" w:sz="0" w:space="0" w:color="auto"/>
        <w:right w:val="none" w:sz="0" w:space="0" w:color="auto"/>
      </w:divBdr>
    </w:div>
    <w:div w:id="733283070">
      <w:bodyDiv w:val="1"/>
      <w:marLeft w:val="0"/>
      <w:marRight w:val="0"/>
      <w:marTop w:val="0"/>
      <w:marBottom w:val="0"/>
      <w:divBdr>
        <w:top w:val="none" w:sz="0" w:space="0" w:color="auto"/>
        <w:left w:val="none" w:sz="0" w:space="0" w:color="auto"/>
        <w:bottom w:val="none" w:sz="0" w:space="0" w:color="auto"/>
        <w:right w:val="none" w:sz="0" w:space="0" w:color="auto"/>
      </w:divBdr>
    </w:div>
    <w:div w:id="783311607">
      <w:bodyDiv w:val="1"/>
      <w:marLeft w:val="0"/>
      <w:marRight w:val="0"/>
      <w:marTop w:val="0"/>
      <w:marBottom w:val="0"/>
      <w:divBdr>
        <w:top w:val="none" w:sz="0" w:space="0" w:color="auto"/>
        <w:left w:val="none" w:sz="0" w:space="0" w:color="auto"/>
        <w:bottom w:val="none" w:sz="0" w:space="0" w:color="auto"/>
        <w:right w:val="none" w:sz="0" w:space="0" w:color="auto"/>
      </w:divBdr>
    </w:div>
    <w:div w:id="809058335">
      <w:bodyDiv w:val="1"/>
      <w:marLeft w:val="0"/>
      <w:marRight w:val="0"/>
      <w:marTop w:val="0"/>
      <w:marBottom w:val="0"/>
      <w:divBdr>
        <w:top w:val="none" w:sz="0" w:space="0" w:color="auto"/>
        <w:left w:val="none" w:sz="0" w:space="0" w:color="auto"/>
        <w:bottom w:val="none" w:sz="0" w:space="0" w:color="auto"/>
        <w:right w:val="none" w:sz="0" w:space="0" w:color="auto"/>
      </w:divBdr>
    </w:div>
    <w:div w:id="811099047">
      <w:bodyDiv w:val="1"/>
      <w:marLeft w:val="0"/>
      <w:marRight w:val="0"/>
      <w:marTop w:val="0"/>
      <w:marBottom w:val="0"/>
      <w:divBdr>
        <w:top w:val="none" w:sz="0" w:space="0" w:color="auto"/>
        <w:left w:val="none" w:sz="0" w:space="0" w:color="auto"/>
        <w:bottom w:val="none" w:sz="0" w:space="0" w:color="auto"/>
        <w:right w:val="none" w:sz="0" w:space="0" w:color="auto"/>
      </w:divBdr>
    </w:div>
    <w:div w:id="835613428">
      <w:bodyDiv w:val="1"/>
      <w:marLeft w:val="0"/>
      <w:marRight w:val="0"/>
      <w:marTop w:val="0"/>
      <w:marBottom w:val="0"/>
      <w:divBdr>
        <w:top w:val="none" w:sz="0" w:space="0" w:color="auto"/>
        <w:left w:val="none" w:sz="0" w:space="0" w:color="auto"/>
        <w:bottom w:val="none" w:sz="0" w:space="0" w:color="auto"/>
        <w:right w:val="none" w:sz="0" w:space="0" w:color="auto"/>
      </w:divBdr>
    </w:div>
    <w:div w:id="902717285">
      <w:bodyDiv w:val="1"/>
      <w:marLeft w:val="0"/>
      <w:marRight w:val="0"/>
      <w:marTop w:val="0"/>
      <w:marBottom w:val="0"/>
      <w:divBdr>
        <w:top w:val="none" w:sz="0" w:space="0" w:color="auto"/>
        <w:left w:val="none" w:sz="0" w:space="0" w:color="auto"/>
        <w:bottom w:val="none" w:sz="0" w:space="0" w:color="auto"/>
        <w:right w:val="none" w:sz="0" w:space="0" w:color="auto"/>
      </w:divBdr>
    </w:div>
    <w:div w:id="1053846616">
      <w:bodyDiv w:val="1"/>
      <w:marLeft w:val="0"/>
      <w:marRight w:val="0"/>
      <w:marTop w:val="0"/>
      <w:marBottom w:val="0"/>
      <w:divBdr>
        <w:top w:val="none" w:sz="0" w:space="0" w:color="auto"/>
        <w:left w:val="none" w:sz="0" w:space="0" w:color="auto"/>
        <w:bottom w:val="none" w:sz="0" w:space="0" w:color="auto"/>
        <w:right w:val="none" w:sz="0" w:space="0" w:color="auto"/>
      </w:divBdr>
    </w:div>
    <w:div w:id="1076822485">
      <w:bodyDiv w:val="1"/>
      <w:marLeft w:val="0"/>
      <w:marRight w:val="0"/>
      <w:marTop w:val="0"/>
      <w:marBottom w:val="0"/>
      <w:divBdr>
        <w:top w:val="none" w:sz="0" w:space="0" w:color="auto"/>
        <w:left w:val="none" w:sz="0" w:space="0" w:color="auto"/>
        <w:bottom w:val="none" w:sz="0" w:space="0" w:color="auto"/>
        <w:right w:val="none" w:sz="0" w:space="0" w:color="auto"/>
      </w:divBdr>
    </w:div>
    <w:div w:id="1123304758">
      <w:bodyDiv w:val="1"/>
      <w:marLeft w:val="0"/>
      <w:marRight w:val="0"/>
      <w:marTop w:val="0"/>
      <w:marBottom w:val="0"/>
      <w:divBdr>
        <w:top w:val="none" w:sz="0" w:space="0" w:color="auto"/>
        <w:left w:val="none" w:sz="0" w:space="0" w:color="auto"/>
        <w:bottom w:val="none" w:sz="0" w:space="0" w:color="auto"/>
        <w:right w:val="none" w:sz="0" w:space="0" w:color="auto"/>
      </w:divBdr>
    </w:div>
    <w:div w:id="1123890387">
      <w:bodyDiv w:val="1"/>
      <w:marLeft w:val="0"/>
      <w:marRight w:val="0"/>
      <w:marTop w:val="0"/>
      <w:marBottom w:val="0"/>
      <w:divBdr>
        <w:top w:val="none" w:sz="0" w:space="0" w:color="auto"/>
        <w:left w:val="none" w:sz="0" w:space="0" w:color="auto"/>
        <w:bottom w:val="none" w:sz="0" w:space="0" w:color="auto"/>
        <w:right w:val="none" w:sz="0" w:space="0" w:color="auto"/>
      </w:divBdr>
    </w:div>
    <w:div w:id="1215658071">
      <w:bodyDiv w:val="1"/>
      <w:marLeft w:val="0"/>
      <w:marRight w:val="0"/>
      <w:marTop w:val="0"/>
      <w:marBottom w:val="0"/>
      <w:divBdr>
        <w:top w:val="none" w:sz="0" w:space="0" w:color="auto"/>
        <w:left w:val="none" w:sz="0" w:space="0" w:color="auto"/>
        <w:bottom w:val="none" w:sz="0" w:space="0" w:color="auto"/>
        <w:right w:val="none" w:sz="0" w:space="0" w:color="auto"/>
      </w:divBdr>
    </w:div>
    <w:div w:id="1229850616">
      <w:bodyDiv w:val="1"/>
      <w:marLeft w:val="0"/>
      <w:marRight w:val="0"/>
      <w:marTop w:val="0"/>
      <w:marBottom w:val="0"/>
      <w:divBdr>
        <w:top w:val="none" w:sz="0" w:space="0" w:color="auto"/>
        <w:left w:val="none" w:sz="0" w:space="0" w:color="auto"/>
        <w:bottom w:val="none" w:sz="0" w:space="0" w:color="auto"/>
        <w:right w:val="none" w:sz="0" w:space="0" w:color="auto"/>
      </w:divBdr>
    </w:div>
    <w:div w:id="1238201386">
      <w:bodyDiv w:val="1"/>
      <w:marLeft w:val="0"/>
      <w:marRight w:val="0"/>
      <w:marTop w:val="0"/>
      <w:marBottom w:val="0"/>
      <w:divBdr>
        <w:top w:val="none" w:sz="0" w:space="0" w:color="auto"/>
        <w:left w:val="none" w:sz="0" w:space="0" w:color="auto"/>
        <w:bottom w:val="none" w:sz="0" w:space="0" w:color="auto"/>
        <w:right w:val="none" w:sz="0" w:space="0" w:color="auto"/>
      </w:divBdr>
    </w:div>
    <w:div w:id="1418331263">
      <w:bodyDiv w:val="1"/>
      <w:marLeft w:val="0"/>
      <w:marRight w:val="0"/>
      <w:marTop w:val="0"/>
      <w:marBottom w:val="0"/>
      <w:divBdr>
        <w:top w:val="none" w:sz="0" w:space="0" w:color="auto"/>
        <w:left w:val="none" w:sz="0" w:space="0" w:color="auto"/>
        <w:bottom w:val="none" w:sz="0" w:space="0" w:color="auto"/>
        <w:right w:val="none" w:sz="0" w:space="0" w:color="auto"/>
      </w:divBdr>
    </w:div>
    <w:div w:id="1465923734">
      <w:bodyDiv w:val="1"/>
      <w:marLeft w:val="0"/>
      <w:marRight w:val="0"/>
      <w:marTop w:val="0"/>
      <w:marBottom w:val="0"/>
      <w:divBdr>
        <w:top w:val="none" w:sz="0" w:space="0" w:color="auto"/>
        <w:left w:val="none" w:sz="0" w:space="0" w:color="auto"/>
        <w:bottom w:val="none" w:sz="0" w:space="0" w:color="auto"/>
        <w:right w:val="none" w:sz="0" w:space="0" w:color="auto"/>
      </w:divBdr>
    </w:div>
    <w:div w:id="1472675268">
      <w:bodyDiv w:val="1"/>
      <w:marLeft w:val="0"/>
      <w:marRight w:val="0"/>
      <w:marTop w:val="0"/>
      <w:marBottom w:val="0"/>
      <w:divBdr>
        <w:top w:val="none" w:sz="0" w:space="0" w:color="auto"/>
        <w:left w:val="none" w:sz="0" w:space="0" w:color="auto"/>
        <w:bottom w:val="none" w:sz="0" w:space="0" w:color="auto"/>
        <w:right w:val="none" w:sz="0" w:space="0" w:color="auto"/>
      </w:divBdr>
    </w:div>
    <w:div w:id="1498573030">
      <w:bodyDiv w:val="1"/>
      <w:marLeft w:val="0"/>
      <w:marRight w:val="0"/>
      <w:marTop w:val="0"/>
      <w:marBottom w:val="0"/>
      <w:divBdr>
        <w:top w:val="none" w:sz="0" w:space="0" w:color="auto"/>
        <w:left w:val="none" w:sz="0" w:space="0" w:color="auto"/>
        <w:bottom w:val="none" w:sz="0" w:space="0" w:color="auto"/>
        <w:right w:val="none" w:sz="0" w:space="0" w:color="auto"/>
      </w:divBdr>
    </w:div>
    <w:div w:id="1510216264">
      <w:bodyDiv w:val="1"/>
      <w:marLeft w:val="0"/>
      <w:marRight w:val="0"/>
      <w:marTop w:val="0"/>
      <w:marBottom w:val="0"/>
      <w:divBdr>
        <w:top w:val="none" w:sz="0" w:space="0" w:color="auto"/>
        <w:left w:val="none" w:sz="0" w:space="0" w:color="auto"/>
        <w:bottom w:val="none" w:sz="0" w:space="0" w:color="auto"/>
        <w:right w:val="none" w:sz="0" w:space="0" w:color="auto"/>
      </w:divBdr>
      <w:divsChild>
        <w:div w:id="1085955588">
          <w:marLeft w:val="0"/>
          <w:marRight w:val="0"/>
          <w:marTop w:val="0"/>
          <w:marBottom w:val="0"/>
          <w:divBdr>
            <w:top w:val="none" w:sz="0" w:space="0" w:color="auto"/>
            <w:left w:val="single" w:sz="48" w:space="0" w:color="07537B"/>
            <w:bottom w:val="none" w:sz="0" w:space="0" w:color="auto"/>
            <w:right w:val="single" w:sz="48" w:space="0" w:color="07537B"/>
          </w:divBdr>
          <w:divsChild>
            <w:div w:id="248470653">
              <w:marLeft w:val="-225"/>
              <w:marRight w:val="-225"/>
              <w:marTop w:val="0"/>
              <w:marBottom w:val="0"/>
              <w:divBdr>
                <w:top w:val="none" w:sz="0" w:space="0" w:color="auto"/>
                <w:left w:val="none" w:sz="0" w:space="0" w:color="auto"/>
                <w:bottom w:val="none" w:sz="0" w:space="0" w:color="auto"/>
                <w:right w:val="none" w:sz="0" w:space="0" w:color="auto"/>
              </w:divBdr>
              <w:divsChild>
                <w:div w:id="146692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733950">
      <w:bodyDiv w:val="1"/>
      <w:marLeft w:val="0"/>
      <w:marRight w:val="0"/>
      <w:marTop w:val="0"/>
      <w:marBottom w:val="0"/>
      <w:divBdr>
        <w:top w:val="none" w:sz="0" w:space="0" w:color="auto"/>
        <w:left w:val="none" w:sz="0" w:space="0" w:color="auto"/>
        <w:bottom w:val="none" w:sz="0" w:space="0" w:color="auto"/>
        <w:right w:val="none" w:sz="0" w:space="0" w:color="auto"/>
      </w:divBdr>
    </w:div>
    <w:div w:id="1556117709">
      <w:bodyDiv w:val="1"/>
      <w:marLeft w:val="0"/>
      <w:marRight w:val="0"/>
      <w:marTop w:val="0"/>
      <w:marBottom w:val="0"/>
      <w:divBdr>
        <w:top w:val="none" w:sz="0" w:space="0" w:color="auto"/>
        <w:left w:val="none" w:sz="0" w:space="0" w:color="auto"/>
        <w:bottom w:val="none" w:sz="0" w:space="0" w:color="auto"/>
        <w:right w:val="none" w:sz="0" w:space="0" w:color="auto"/>
      </w:divBdr>
      <w:divsChild>
        <w:div w:id="1916016487">
          <w:marLeft w:val="0"/>
          <w:marRight w:val="0"/>
          <w:marTop w:val="0"/>
          <w:marBottom w:val="0"/>
          <w:divBdr>
            <w:top w:val="none" w:sz="0" w:space="0" w:color="auto"/>
            <w:left w:val="single" w:sz="48" w:space="0" w:color="07537B"/>
            <w:bottom w:val="none" w:sz="0" w:space="0" w:color="auto"/>
            <w:right w:val="single" w:sz="48" w:space="0" w:color="07537B"/>
          </w:divBdr>
          <w:divsChild>
            <w:div w:id="832136909">
              <w:marLeft w:val="-225"/>
              <w:marRight w:val="-225"/>
              <w:marTop w:val="0"/>
              <w:marBottom w:val="0"/>
              <w:divBdr>
                <w:top w:val="none" w:sz="0" w:space="0" w:color="auto"/>
                <w:left w:val="none" w:sz="0" w:space="0" w:color="auto"/>
                <w:bottom w:val="none" w:sz="0" w:space="0" w:color="auto"/>
                <w:right w:val="none" w:sz="0" w:space="0" w:color="auto"/>
              </w:divBdr>
              <w:divsChild>
                <w:div w:id="2132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67898">
      <w:bodyDiv w:val="1"/>
      <w:marLeft w:val="0"/>
      <w:marRight w:val="0"/>
      <w:marTop w:val="0"/>
      <w:marBottom w:val="0"/>
      <w:divBdr>
        <w:top w:val="none" w:sz="0" w:space="0" w:color="auto"/>
        <w:left w:val="none" w:sz="0" w:space="0" w:color="auto"/>
        <w:bottom w:val="none" w:sz="0" w:space="0" w:color="auto"/>
        <w:right w:val="none" w:sz="0" w:space="0" w:color="auto"/>
      </w:divBdr>
    </w:div>
    <w:div w:id="1570076444">
      <w:bodyDiv w:val="1"/>
      <w:marLeft w:val="0"/>
      <w:marRight w:val="0"/>
      <w:marTop w:val="0"/>
      <w:marBottom w:val="0"/>
      <w:divBdr>
        <w:top w:val="none" w:sz="0" w:space="0" w:color="auto"/>
        <w:left w:val="none" w:sz="0" w:space="0" w:color="auto"/>
        <w:bottom w:val="none" w:sz="0" w:space="0" w:color="auto"/>
        <w:right w:val="none" w:sz="0" w:space="0" w:color="auto"/>
      </w:divBdr>
    </w:div>
    <w:div w:id="1588881688">
      <w:bodyDiv w:val="1"/>
      <w:marLeft w:val="0"/>
      <w:marRight w:val="0"/>
      <w:marTop w:val="0"/>
      <w:marBottom w:val="0"/>
      <w:divBdr>
        <w:top w:val="none" w:sz="0" w:space="0" w:color="auto"/>
        <w:left w:val="none" w:sz="0" w:space="0" w:color="auto"/>
        <w:bottom w:val="none" w:sz="0" w:space="0" w:color="auto"/>
        <w:right w:val="none" w:sz="0" w:space="0" w:color="auto"/>
      </w:divBdr>
    </w:div>
    <w:div w:id="1662152143">
      <w:bodyDiv w:val="1"/>
      <w:marLeft w:val="0"/>
      <w:marRight w:val="0"/>
      <w:marTop w:val="0"/>
      <w:marBottom w:val="0"/>
      <w:divBdr>
        <w:top w:val="none" w:sz="0" w:space="0" w:color="auto"/>
        <w:left w:val="none" w:sz="0" w:space="0" w:color="auto"/>
        <w:bottom w:val="none" w:sz="0" w:space="0" w:color="auto"/>
        <w:right w:val="none" w:sz="0" w:space="0" w:color="auto"/>
      </w:divBdr>
    </w:div>
    <w:div w:id="1714191462">
      <w:bodyDiv w:val="1"/>
      <w:marLeft w:val="0"/>
      <w:marRight w:val="0"/>
      <w:marTop w:val="0"/>
      <w:marBottom w:val="0"/>
      <w:divBdr>
        <w:top w:val="none" w:sz="0" w:space="0" w:color="auto"/>
        <w:left w:val="none" w:sz="0" w:space="0" w:color="auto"/>
        <w:bottom w:val="none" w:sz="0" w:space="0" w:color="auto"/>
        <w:right w:val="none" w:sz="0" w:space="0" w:color="auto"/>
      </w:divBdr>
      <w:divsChild>
        <w:div w:id="972179410">
          <w:marLeft w:val="0"/>
          <w:marRight w:val="0"/>
          <w:marTop w:val="0"/>
          <w:marBottom w:val="0"/>
          <w:divBdr>
            <w:top w:val="none" w:sz="0" w:space="0" w:color="auto"/>
            <w:left w:val="single" w:sz="48" w:space="0" w:color="07537B"/>
            <w:bottom w:val="none" w:sz="0" w:space="0" w:color="auto"/>
            <w:right w:val="single" w:sz="48" w:space="0" w:color="07537B"/>
          </w:divBdr>
          <w:divsChild>
            <w:div w:id="1680546366">
              <w:marLeft w:val="-225"/>
              <w:marRight w:val="-225"/>
              <w:marTop w:val="0"/>
              <w:marBottom w:val="0"/>
              <w:divBdr>
                <w:top w:val="none" w:sz="0" w:space="0" w:color="auto"/>
                <w:left w:val="none" w:sz="0" w:space="0" w:color="auto"/>
                <w:bottom w:val="none" w:sz="0" w:space="0" w:color="auto"/>
                <w:right w:val="none" w:sz="0" w:space="0" w:color="auto"/>
              </w:divBdr>
              <w:divsChild>
                <w:div w:id="4276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20576">
      <w:bodyDiv w:val="1"/>
      <w:marLeft w:val="0"/>
      <w:marRight w:val="0"/>
      <w:marTop w:val="0"/>
      <w:marBottom w:val="0"/>
      <w:divBdr>
        <w:top w:val="none" w:sz="0" w:space="0" w:color="auto"/>
        <w:left w:val="none" w:sz="0" w:space="0" w:color="auto"/>
        <w:bottom w:val="none" w:sz="0" w:space="0" w:color="auto"/>
        <w:right w:val="none" w:sz="0" w:space="0" w:color="auto"/>
      </w:divBdr>
    </w:div>
    <w:div w:id="1816798540">
      <w:bodyDiv w:val="1"/>
      <w:marLeft w:val="0"/>
      <w:marRight w:val="0"/>
      <w:marTop w:val="0"/>
      <w:marBottom w:val="0"/>
      <w:divBdr>
        <w:top w:val="none" w:sz="0" w:space="0" w:color="auto"/>
        <w:left w:val="none" w:sz="0" w:space="0" w:color="auto"/>
        <w:bottom w:val="none" w:sz="0" w:space="0" w:color="auto"/>
        <w:right w:val="none" w:sz="0" w:space="0" w:color="auto"/>
      </w:divBdr>
    </w:div>
    <w:div w:id="1874804978">
      <w:bodyDiv w:val="1"/>
      <w:marLeft w:val="0"/>
      <w:marRight w:val="0"/>
      <w:marTop w:val="0"/>
      <w:marBottom w:val="0"/>
      <w:divBdr>
        <w:top w:val="none" w:sz="0" w:space="0" w:color="auto"/>
        <w:left w:val="none" w:sz="0" w:space="0" w:color="auto"/>
        <w:bottom w:val="none" w:sz="0" w:space="0" w:color="auto"/>
        <w:right w:val="none" w:sz="0" w:space="0" w:color="auto"/>
      </w:divBdr>
    </w:div>
    <w:div w:id="1892226666">
      <w:bodyDiv w:val="1"/>
      <w:marLeft w:val="0"/>
      <w:marRight w:val="0"/>
      <w:marTop w:val="0"/>
      <w:marBottom w:val="0"/>
      <w:divBdr>
        <w:top w:val="none" w:sz="0" w:space="0" w:color="auto"/>
        <w:left w:val="none" w:sz="0" w:space="0" w:color="auto"/>
        <w:bottom w:val="none" w:sz="0" w:space="0" w:color="auto"/>
        <w:right w:val="none" w:sz="0" w:space="0" w:color="auto"/>
      </w:divBdr>
    </w:div>
    <w:div w:id="1917933085">
      <w:bodyDiv w:val="1"/>
      <w:marLeft w:val="0"/>
      <w:marRight w:val="0"/>
      <w:marTop w:val="0"/>
      <w:marBottom w:val="0"/>
      <w:divBdr>
        <w:top w:val="none" w:sz="0" w:space="0" w:color="auto"/>
        <w:left w:val="none" w:sz="0" w:space="0" w:color="auto"/>
        <w:bottom w:val="none" w:sz="0" w:space="0" w:color="auto"/>
        <w:right w:val="none" w:sz="0" w:space="0" w:color="auto"/>
      </w:divBdr>
    </w:div>
    <w:div w:id="2013750706">
      <w:bodyDiv w:val="1"/>
      <w:marLeft w:val="0"/>
      <w:marRight w:val="0"/>
      <w:marTop w:val="0"/>
      <w:marBottom w:val="0"/>
      <w:divBdr>
        <w:top w:val="none" w:sz="0" w:space="0" w:color="auto"/>
        <w:left w:val="none" w:sz="0" w:space="0" w:color="auto"/>
        <w:bottom w:val="none" w:sz="0" w:space="0" w:color="auto"/>
        <w:right w:val="none" w:sz="0" w:space="0" w:color="auto"/>
      </w:divBdr>
    </w:div>
    <w:div w:id="2053263539">
      <w:bodyDiv w:val="1"/>
      <w:marLeft w:val="0"/>
      <w:marRight w:val="0"/>
      <w:marTop w:val="0"/>
      <w:marBottom w:val="0"/>
      <w:divBdr>
        <w:top w:val="none" w:sz="0" w:space="0" w:color="auto"/>
        <w:left w:val="none" w:sz="0" w:space="0" w:color="auto"/>
        <w:bottom w:val="none" w:sz="0" w:space="0" w:color="auto"/>
        <w:right w:val="none" w:sz="0" w:space="0" w:color="auto"/>
      </w:divBdr>
    </w:div>
    <w:div w:id="212907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image" Target="media/image3.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cpuc.c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06134-B381-4693-978B-E18029F8A85E}">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19</ap:Pages>
  <ap:Words>5107</ap:Words>
  <ap:Characters>29437</ap:Characters>
  <ap:Application>Microsoft Office Word</ap:Application>
  <ap:DocSecurity>0</ap:DocSecurity>
  <ap:Lines>245</ap:Lines>
  <ap:Paragraphs>68</ap:Paragraphs>
  <ap:ScaleCrop>false</ap:ScaleCrop>
  <ap:HeadingPairs>
    <vt:vector baseType="variant" size="2">
      <vt:variant>
        <vt:lpstr>Title</vt:lpstr>
      </vt:variant>
      <vt:variant>
        <vt:i4>1</vt:i4>
      </vt:variant>
    </vt:vector>
  </ap:HeadingPairs>
  <ap:TitlesOfParts>
    <vt:vector baseType="lpstr" size="1">
      <vt:lpstr>_</vt:lpstr>
    </vt:vector>
  </ap:TitlesOfParts>
  <ap:LinksUpToDate>false</ap:LinksUpToDate>
  <ap:CharactersWithSpaces>34476</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2013-08-21T16:27:00Z</cp:lastPrinted>
  <dcterms:created xsi:type="dcterms:W3CDTF">2021-04-27T12:29:01Z</dcterms:created>
  <dcterms:modified xsi:type="dcterms:W3CDTF">2021-04-27T12:29:01Z</dcterms:modified>
</cp:coreProperties>
</file>