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17DE" w:rsidRDefault="00CF17DE" w14:paraId="70BEAF91" w14:textId="4DE62F79">
      <w:pPr>
        <w:pStyle w:val="titlebar"/>
        <w:rPr>
          <w:sz w:val="24"/>
        </w:rPr>
      </w:pPr>
      <w:r>
        <w:rPr>
          <w:sz w:val="24"/>
        </w:rPr>
        <w:t>PUBLIC UTILITIES COMMISSION OF THE STATE OF CALIFORNIA</w:t>
      </w:r>
    </w:p>
    <w:p w:rsidR="00CF17DE" w:rsidRDefault="00CF17DE" w14:paraId="5E624470" w14:textId="77777777">
      <w:pPr>
        <w:suppressAutoHyphens/>
      </w:pPr>
    </w:p>
    <w:p w:rsidR="000C3FE7" w:rsidP="00EF56FD" w:rsidRDefault="00593807" w14:paraId="70CAD7A3" w14:textId="18DB2ADE">
      <w:pPr>
        <w:tabs>
          <w:tab w:val="left" w:pos="6480"/>
        </w:tabs>
        <w:rPr>
          <w:b/>
          <w:bCs/>
          <w:sz w:val="24"/>
          <w:szCs w:val="24"/>
        </w:rPr>
      </w:pPr>
      <w:r w:rsidRPr="59E1FB5A">
        <w:rPr>
          <w:b/>
          <w:bCs/>
          <w:sz w:val="24"/>
          <w:szCs w:val="24"/>
        </w:rPr>
        <w:t>ENERGY DIVISION</w:t>
      </w:r>
      <w:r w:rsidR="00EF56FD">
        <w:rPr>
          <w:b/>
          <w:bCs/>
          <w:sz w:val="24"/>
          <w:szCs w:val="24"/>
        </w:rPr>
        <w:tab/>
      </w:r>
      <w:r w:rsidR="000C3FE7">
        <w:rPr>
          <w:b/>
          <w:bCs/>
          <w:sz w:val="24"/>
          <w:szCs w:val="24"/>
        </w:rPr>
        <w:t>Agenda ID:</w:t>
      </w:r>
      <w:r w:rsidRPr="008F1E2F" w:rsidR="008F1E2F">
        <w:t xml:space="preserve"> </w:t>
      </w:r>
      <w:r w:rsidRPr="008F1E2F" w:rsidR="008F1E2F">
        <w:rPr>
          <w:b/>
          <w:bCs/>
          <w:sz w:val="24"/>
          <w:szCs w:val="24"/>
        </w:rPr>
        <w:t>19403</w:t>
      </w:r>
      <w:r w:rsidR="000C3FE7">
        <w:rPr>
          <w:b/>
          <w:bCs/>
          <w:sz w:val="24"/>
          <w:szCs w:val="24"/>
        </w:rPr>
        <w:t xml:space="preserve"> </w:t>
      </w:r>
    </w:p>
    <w:p w:rsidR="00593807" w:rsidP="00EF56FD" w:rsidRDefault="000C3FE7" w14:paraId="70A0797C" w14:textId="30BF8319">
      <w:pPr>
        <w:tabs>
          <w:tab w:val="left" w:pos="6480"/>
        </w:tabs>
        <w:rPr>
          <w:b/>
          <w:bCs/>
          <w:sz w:val="24"/>
          <w:szCs w:val="24"/>
        </w:rPr>
      </w:pPr>
      <w:r>
        <w:rPr>
          <w:b/>
          <w:bCs/>
          <w:sz w:val="24"/>
          <w:szCs w:val="24"/>
        </w:rPr>
        <w:tab/>
      </w:r>
      <w:r w:rsidRPr="59E1FB5A" w:rsidR="00CF17DE">
        <w:rPr>
          <w:b/>
          <w:bCs/>
          <w:sz w:val="24"/>
          <w:szCs w:val="24"/>
        </w:rPr>
        <w:t xml:space="preserve">RESOLUTION </w:t>
      </w:r>
      <w:r w:rsidR="00453DC4">
        <w:rPr>
          <w:b/>
          <w:bCs/>
          <w:sz w:val="24"/>
          <w:szCs w:val="24"/>
        </w:rPr>
        <w:t>E-5146</w:t>
      </w:r>
    </w:p>
    <w:p w:rsidR="67E52684" w:rsidP="000C3FE7" w:rsidRDefault="000C3FE7" w14:paraId="09D618D9" w14:textId="76853F4A">
      <w:pPr>
        <w:tabs>
          <w:tab w:val="left" w:pos="6480"/>
        </w:tabs>
        <w:spacing w:line="259" w:lineRule="auto"/>
      </w:pPr>
      <w:r>
        <w:rPr>
          <w:b/>
          <w:bCs/>
          <w:sz w:val="24"/>
          <w:szCs w:val="24"/>
        </w:rPr>
        <w:tab/>
      </w:r>
      <w:r w:rsidRPr="59E1FB5A" w:rsidR="67E52684">
        <w:rPr>
          <w:b/>
          <w:bCs/>
          <w:sz w:val="24"/>
          <w:szCs w:val="24"/>
        </w:rPr>
        <w:t>May 20, 2021</w:t>
      </w:r>
    </w:p>
    <w:p w:rsidR="00CF17DE" w:rsidP="00EF56FD" w:rsidRDefault="00CF17DE" w14:paraId="061A7957" w14:textId="77777777">
      <w:pPr>
        <w:tabs>
          <w:tab w:val="left" w:pos="6480"/>
          <w:tab w:val="right" w:pos="8910"/>
        </w:tabs>
        <w:ind w:left="1440" w:firstLine="720"/>
        <w:rPr>
          <w:b/>
          <w:sz w:val="24"/>
        </w:rPr>
      </w:pPr>
    </w:p>
    <w:p w:rsidR="00CF17DE" w:rsidRDefault="00CF17DE" w14:paraId="40ADBA19" w14:textId="77777777">
      <w:pPr>
        <w:pStyle w:val="mainex"/>
        <w:rPr>
          <w:u w:val="single"/>
        </w:rPr>
      </w:pPr>
      <w:bookmarkStart w:name="_Ref404993683" w:id="0"/>
      <w:r>
        <w:rPr>
          <w:u w:val="single"/>
        </w:rPr>
        <w:t>RESOLUTION</w:t>
      </w:r>
    </w:p>
    <w:p w:rsidR="00CF17DE" w:rsidRDefault="00CF17DE" w14:paraId="63C93376" w14:textId="77777777"/>
    <w:p w:rsidR="00B927B5" w:rsidP="00B927B5" w:rsidRDefault="00B927B5" w14:paraId="38C822AA" w14:textId="0E881B15">
      <w:pPr>
        <w:pStyle w:val="Res-Caption"/>
      </w:pPr>
      <w:r>
        <w:t xml:space="preserve">Resolution </w:t>
      </w:r>
      <w:r w:rsidR="00453DC4">
        <w:t>E-5146.</w:t>
      </w:r>
      <w:r>
        <w:t xml:space="preserve">  </w:t>
      </w:r>
      <w:r w:rsidR="031F1854">
        <w:t>Request by Pacific Gas and Electric Company to Revise Appendix E of its 2014 Conformed Bundled Procurement Plan.</w:t>
      </w:r>
    </w:p>
    <w:p w:rsidR="00801D70" w:rsidP="00F12F6E" w:rsidRDefault="00801D70" w14:paraId="70E6A3B4" w14:textId="77777777">
      <w:pPr>
        <w:pStyle w:val="Res-Caption"/>
        <w:ind w:left="0"/>
      </w:pPr>
    </w:p>
    <w:p w:rsidR="00DF35CC" w:rsidP="00DF35CC" w:rsidRDefault="00801D70" w14:paraId="5B232953" w14:textId="77777777">
      <w:pPr>
        <w:pStyle w:val="Res-Caption"/>
        <w:rPr>
          <w:rFonts w:ascii="Palatino Linotype" w:hAnsi="Palatino Linotype"/>
        </w:rPr>
      </w:pPr>
      <w:r w:rsidRPr="006B05EE">
        <w:t>PROPOSED OUTCOME</w:t>
      </w:r>
      <w:r>
        <w:rPr>
          <w:rFonts w:ascii="Palatino Linotype" w:hAnsi="Palatino Linotype"/>
        </w:rPr>
        <w:t>:</w:t>
      </w:r>
      <w:r w:rsidR="00142FB8">
        <w:rPr>
          <w:rFonts w:ascii="Palatino Linotype" w:hAnsi="Palatino Linotype"/>
        </w:rPr>
        <w:t xml:space="preserve"> </w:t>
      </w:r>
    </w:p>
    <w:p w:rsidR="00F12F6E" w:rsidP="00F12F6E" w:rsidRDefault="00F12F6E" w14:paraId="7D9F699C" w14:textId="77777777">
      <w:pPr>
        <w:pStyle w:val="Res-Caption"/>
        <w:numPr>
          <w:ilvl w:val="0"/>
          <w:numId w:val="14"/>
        </w:numPr>
      </w:pPr>
      <w:r>
        <w:t>This Resolution approves changes to Appendix E (Electric Portfolio Hedging Plan) of Pacific Gas and Electric Company’s (PG&amp;E) 2014 Conformed Bundled Procurement Plan.</w:t>
      </w:r>
    </w:p>
    <w:p w:rsidR="59E1FB5A" w:rsidP="59E1FB5A" w:rsidRDefault="59E1FB5A" w14:paraId="3120ED36" w14:textId="10D35528">
      <w:pPr>
        <w:pStyle w:val="Res-Caption"/>
      </w:pPr>
    </w:p>
    <w:p w:rsidR="00F51F8B" w:rsidRDefault="00F51F8B" w14:paraId="5348E825" w14:textId="7925C869">
      <w:pPr>
        <w:pStyle w:val="Res-Caption"/>
      </w:pPr>
      <w:r>
        <w:t>SAFETY CONSIDERATIONS:</w:t>
      </w:r>
    </w:p>
    <w:p w:rsidR="006A7B21" w:rsidP="59E1FB5A" w:rsidRDefault="006A7B21" w14:paraId="6E731612" w14:textId="7024CDB4">
      <w:pPr>
        <w:pStyle w:val="xres-caption"/>
        <w:numPr>
          <w:ilvl w:val="0"/>
          <w:numId w:val="7"/>
        </w:numPr>
        <w:shd w:val="clear" w:color="auto" w:fill="FFFFFF" w:themeFill="background1"/>
        <w:spacing w:before="0" w:beforeAutospacing="0" w:after="0" w:afterAutospacing="0"/>
        <w:ind w:right="720"/>
        <w:rPr>
          <w:rFonts w:ascii="Palatino" w:hAnsi="Palatino" w:cs="Segoe UI"/>
          <w:color w:val="201F1E"/>
          <w:sz w:val="26"/>
          <w:szCs w:val="26"/>
        </w:rPr>
      </w:pPr>
      <w:r>
        <w:rPr>
          <w:rFonts w:ascii="Palatino" w:hAnsi="Palatino" w:cs="Segoe UI"/>
          <w:color w:val="201F1E"/>
          <w:sz w:val="26"/>
          <w:szCs w:val="26"/>
        </w:rPr>
        <w:t>There are no safety considerations associated with this Resolution.</w:t>
      </w:r>
    </w:p>
    <w:p w:rsidR="00801D70" w:rsidRDefault="00801D70" w14:paraId="664CBB61" w14:textId="77777777">
      <w:pPr>
        <w:pStyle w:val="Res-Caption"/>
        <w:rPr>
          <w:rFonts w:ascii="Palatino Linotype" w:hAnsi="Palatino Linotype"/>
        </w:rPr>
      </w:pPr>
    </w:p>
    <w:p w:rsidR="00801D70" w:rsidRDefault="00801D70" w14:paraId="28BD615D" w14:textId="77777777">
      <w:pPr>
        <w:pStyle w:val="Res-Caption"/>
        <w:rPr>
          <w:rFonts w:ascii="Palatino Linotype" w:hAnsi="Palatino Linotype"/>
        </w:rPr>
      </w:pPr>
      <w:r>
        <w:t>ESTIMATED COST</w:t>
      </w:r>
      <w:r w:rsidRPr="59E1FB5A">
        <w:rPr>
          <w:rFonts w:ascii="Palatino Linotype" w:hAnsi="Palatino Linotype"/>
        </w:rPr>
        <w:t xml:space="preserve">:  </w:t>
      </w:r>
    </w:p>
    <w:p w:rsidRPr="006A7B21" w:rsidR="00F12F6E" w:rsidP="00F12F6E" w:rsidRDefault="00F12F6E" w14:paraId="30DF0F47" w14:textId="77777777">
      <w:pPr>
        <w:pStyle w:val="xres-caption"/>
        <w:numPr>
          <w:ilvl w:val="0"/>
          <w:numId w:val="7"/>
        </w:numPr>
        <w:shd w:val="clear" w:color="auto" w:fill="FFFFFF" w:themeFill="background1"/>
        <w:spacing w:before="0" w:beforeAutospacing="0" w:after="0" w:afterAutospacing="0"/>
        <w:ind w:right="720"/>
        <w:rPr>
          <w:rFonts w:ascii="Palatino" w:hAnsi="Palatino" w:cs="Segoe UI"/>
          <w:color w:val="201F1E"/>
          <w:sz w:val="26"/>
          <w:szCs w:val="26"/>
        </w:rPr>
      </w:pPr>
      <w:r>
        <w:rPr>
          <w:rFonts w:ascii="Palatino" w:hAnsi="Palatino" w:cs="Segoe UI"/>
          <w:color w:val="201F1E"/>
          <w:sz w:val="26"/>
          <w:szCs w:val="26"/>
        </w:rPr>
        <w:t>There are no estimated costs associated with this Resolution.</w:t>
      </w:r>
    </w:p>
    <w:p w:rsidR="00CF17DE" w:rsidRDefault="00CF17DE" w14:paraId="414B5F5B" w14:textId="77777777">
      <w:pPr>
        <w:pStyle w:val="Res-Caption"/>
      </w:pPr>
    </w:p>
    <w:p w:rsidR="00CF17DE" w:rsidRDefault="00CF17DE" w14:paraId="0395FC4E" w14:textId="66B006FA">
      <w:pPr>
        <w:pStyle w:val="Res-Caption"/>
      </w:pPr>
      <w:r>
        <w:t xml:space="preserve">By Advice Letter </w:t>
      </w:r>
      <w:r w:rsidR="455EF4D4">
        <w:t>6051-E</w:t>
      </w:r>
      <w:r w:rsidR="003F6E5A">
        <w:t>,</w:t>
      </w:r>
      <w:r>
        <w:t xml:space="preserve"> Filed on </w:t>
      </w:r>
      <w:r w:rsidR="68FEC684">
        <w:t>January 8, 2021</w:t>
      </w:r>
      <w:r>
        <w:t xml:space="preserve">. </w:t>
      </w:r>
    </w:p>
    <w:p w:rsidR="00CF17DE" w:rsidRDefault="00CF17DE" w14:paraId="2BFCF270" w14:textId="77777777">
      <w:pPr>
        <w:jc w:val="center"/>
      </w:pPr>
      <w:r>
        <w:t>__________________________________________________________</w:t>
      </w:r>
    </w:p>
    <w:p w:rsidR="00CF17DE" w:rsidRDefault="00CF17DE" w14:paraId="21ED6BB6" w14:textId="77777777">
      <w:pPr>
        <w:rPr>
          <w:b/>
        </w:rPr>
      </w:pPr>
    </w:p>
    <w:p w:rsidR="00CF17DE" w:rsidRDefault="00CF17DE" w14:paraId="2C49E15C" w14:textId="77777777">
      <w:pPr>
        <w:pStyle w:val="Heading1"/>
      </w:pPr>
      <w:r>
        <w:t>Summary</w:t>
      </w:r>
      <w:bookmarkEnd w:id="0"/>
    </w:p>
    <w:p w:rsidR="18EA2325" w:rsidRDefault="18EA2325" w14:paraId="647EB67E" w14:textId="7AD93DDC">
      <w:r>
        <w:t xml:space="preserve">This Resolution approves </w:t>
      </w:r>
      <w:r w:rsidR="78278F84">
        <w:t xml:space="preserve">revisions </w:t>
      </w:r>
      <w:r>
        <w:t>to Appendix E (Electric Portfolio Hedging Plan) of Pacific Gas and Electric Company’s</w:t>
      </w:r>
      <w:r w:rsidR="578F0856">
        <w:t xml:space="preserve"> </w:t>
      </w:r>
      <w:r>
        <w:t>2014 Conformed Bundled Procurement Plan</w:t>
      </w:r>
      <w:r w:rsidR="0921BB99">
        <w:t>.</w:t>
      </w:r>
      <w:r w:rsidR="0C8C2246">
        <w:t xml:space="preserve"> </w:t>
      </w:r>
      <w:r w:rsidR="4DE73D14">
        <w:t xml:space="preserve">The Resolution finds that </w:t>
      </w:r>
      <w:r w:rsidR="63C2FCC3">
        <w:t>Pacific Gas</w:t>
      </w:r>
      <w:r w:rsidR="4DE73D14">
        <w:t xml:space="preserve"> </w:t>
      </w:r>
      <w:r w:rsidR="63C2FCC3">
        <w:t xml:space="preserve">and Electric Company’s </w:t>
      </w:r>
      <w:r w:rsidR="4DE73D14">
        <w:t xml:space="preserve">proposed </w:t>
      </w:r>
      <w:r w:rsidR="62853862">
        <w:t xml:space="preserve">revisions </w:t>
      </w:r>
      <w:r w:rsidR="4DE73D14">
        <w:t xml:space="preserve">are reasonable and does not </w:t>
      </w:r>
      <w:r w:rsidR="01BA548E">
        <w:t xml:space="preserve">modify </w:t>
      </w:r>
      <w:r w:rsidR="53A36158">
        <w:t>the</w:t>
      </w:r>
      <w:r w:rsidR="7B96CB83">
        <w:t xml:space="preserve"> request.</w:t>
      </w:r>
    </w:p>
    <w:p w:rsidR="59E1FB5A" w:rsidP="59E1FB5A" w:rsidRDefault="59E1FB5A" w14:paraId="02FB471A" w14:textId="4C01B1C7"/>
    <w:p w:rsidR="00CF17DE" w:rsidRDefault="00CF17DE" w14:paraId="0BFDDE4C" w14:textId="77777777">
      <w:pPr>
        <w:pStyle w:val="Heading1"/>
      </w:pPr>
      <w:r>
        <w:t>Background</w:t>
      </w:r>
    </w:p>
    <w:p w:rsidR="5532952A" w:rsidP="59E1FB5A" w:rsidRDefault="5532952A" w14:paraId="1DF2E9B9" w14:textId="40E8B4A2">
      <w:r>
        <w:t>The Commission approved Pacific Gas and Electric Company’s (PG&amp;E) 2014 Bundled Procurement Plan</w:t>
      </w:r>
      <w:r w:rsidR="293AECE1">
        <w:t>, with modifications,</w:t>
      </w:r>
      <w:r>
        <w:t xml:space="preserve"> in Decision (D.) 15-</w:t>
      </w:r>
      <w:r w:rsidR="3A7CD57D">
        <w:t xml:space="preserve">10-031. Appendix E of PG&amp;E’s 2014 </w:t>
      </w:r>
      <w:r w:rsidR="3BEA7DEB">
        <w:t xml:space="preserve">Conformed </w:t>
      </w:r>
      <w:r w:rsidR="3A7CD57D">
        <w:t>B</w:t>
      </w:r>
      <w:r w:rsidR="06461970">
        <w:t xml:space="preserve">undled </w:t>
      </w:r>
      <w:r w:rsidR="3A7CD57D">
        <w:t>P</w:t>
      </w:r>
      <w:r w:rsidR="4BB69522">
        <w:t xml:space="preserve">rocurement </w:t>
      </w:r>
      <w:r w:rsidR="3A7CD57D">
        <w:t>P</w:t>
      </w:r>
      <w:r w:rsidR="7B0059FB">
        <w:t>lan (“2014 BPP”)</w:t>
      </w:r>
      <w:r w:rsidR="3A7CD57D">
        <w:t xml:space="preserve"> </w:t>
      </w:r>
      <w:r w:rsidR="3A7CD57D">
        <w:lastRenderedPageBreak/>
        <w:t xml:space="preserve">governs the procedures PG&amp;E will use to </w:t>
      </w:r>
      <w:r w:rsidR="1C774499">
        <w:t>manage commodity price risk in its electric portfolio</w:t>
      </w:r>
      <w:r w:rsidR="699E5849">
        <w:t xml:space="preserve"> and, in turn, to mitigate potential financial impacts for PG&amp;E’s bundled ratepayers.</w:t>
      </w:r>
    </w:p>
    <w:p w:rsidR="59E1FB5A" w:rsidP="59E1FB5A" w:rsidRDefault="59E1FB5A" w14:paraId="68B7162D" w14:textId="1EA16752"/>
    <w:p w:rsidR="253316F8" w:rsidP="59E1FB5A" w:rsidRDefault="253316F8" w14:paraId="7D89F01C" w14:textId="7C8736E8">
      <w:r>
        <w:t xml:space="preserve">On May 1, 2018, PG&amp;E filed Advice Letter (AL) 5282-E, which informed </w:t>
      </w:r>
      <w:r w:rsidR="10CE8437">
        <w:t xml:space="preserve">the Commission that PG&amp;E would make certain temporary changes to its </w:t>
      </w:r>
      <w:r w:rsidR="227CE15B">
        <w:t>h</w:t>
      </w:r>
      <w:r w:rsidR="10CE8437">
        <w:t>edging activities</w:t>
      </w:r>
      <w:r w:rsidR="79FEEF18">
        <w:t>, considering its then-current long position and regulatory uncertainty regarding the Power Charge Indifference Adjustment proceeding.</w:t>
      </w:r>
      <w:r w:rsidRPr="59E1FB5A">
        <w:rPr>
          <w:rStyle w:val="FootnoteReference"/>
        </w:rPr>
        <w:footnoteReference w:id="2"/>
      </w:r>
      <w:r w:rsidR="10CE8437">
        <w:t xml:space="preserve"> </w:t>
      </w:r>
      <w:r w:rsidR="009667DE">
        <w:t xml:space="preserve">PG&amp;E intended to operate under these changes </w:t>
      </w:r>
      <w:r w:rsidR="10CE8437">
        <w:t>“</w:t>
      </w:r>
      <w:r w:rsidR="6A3E928D">
        <w:t xml:space="preserve">until a date no later than December 31, 2019, at which time PG&amp;E will have filed, if necessary to address pertinent portfolio, market and regulatory conditions, </w:t>
      </w:r>
      <w:r w:rsidR="5C398DC0">
        <w:t>a Tier 3 advice letter with revisions to its Hedging Plan.”</w:t>
      </w:r>
      <w:r w:rsidRPr="59E1FB5A">
        <w:rPr>
          <w:rStyle w:val="FootnoteReference"/>
        </w:rPr>
        <w:footnoteReference w:id="3"/>
      </w:r>
      <w:r w:rsidR="009667DE">
        <w:t xml:space="preserve"> </w:t>
      </w:r>
      <w:r w:rsidR="74E37B27">
        <w:t xml:space="preserve">As a Tier 1 advice letter, AL 5282-E became effective on May 1, 2018. PG&amp;E subsequently filed AL 5469-E (effective </w:t>
      </w:r>
      <w:r w:rsidR="23F40E49">
        <w:t xml:space="preserve">January 16, 2019), AL 5507-E (effective April 1, 2019), </w:t>
      </w:r>
      <w:r w:rsidR="006D6F38">
        <w:t xml:space="preserve">and </w:t>
      </w:r>
      <w:r w:rsidR="23F40E49">
        <w:t xml:space="preserve">AL </w:t>
      </w:r>
      <w:r w:rsidR="1470ABE4">
        <w:t>5704-E (effective December 9, 2019)</w:t>
      </w:r>
      <w:r w:rsidR="02218FF0">
        <w:t>, all of which advised the Commission of continued temporary management.</w:t>
      </w:r>
      <w:r w:rsidR="61740288">
        <w:t xml:space="preserve"> </w:t>
      </w:r>
      <w:r w:rsidR="07EB3B26">
        <w:t xml:space="preserve">AL 5704-E also </w:t>
      </w:r>
      <w:r w:rsidR="2E6CF3B5">
        <w:t xml:space="preserve">extended the </w:t>
      </w:r>
      <w:r w:rsidR="006D6F38">
        <w:t>deadline</w:t>
      </w:r>
      <w:r w:rsidR="2E6CF3B5">
        <w:t xml:space="preserve"> </w:t>
      </w:r>
      <w:r w:rsidR="07EB3B26">
        <w:t xml:space="preserve">for an advice letter that would </w:t>
      </w:r>
      <w:r w:rsidR="00EA7B77">
        <w:t xml:space="preserve">either </w:t>
      </w:r>
      <w:r w:rsidR="605A1596">
        <w:t xml:space="preserve">continue or </w:t>
      </w:r>
      <w:r w:rsidR="07EB3B26">
        <w:t>revise the Hedging Plan</w:t>
      </w:r>
      <w:r w:rsidR="63CFBE39">
        <w:t xml:space="preserve"> until December 31, 2020.</w:t>
      </w:r>
      <w:r w:rsidRPr="59E1FB5A">
        <w:rPr>
          <w:rStyle w:val="FootnoteReference"/>
        </w:rPr>
        <w:footnoteReference w:id="4"/>
      </w:r>
      <w:r w:rsidR="63CFBE39">
        <w:t xml:space="preserve"> </w:t>
      </w:r>
      <w:r w:rsidR="61740288">
        <w:t>In AL 6024-E</w:t>
      </w:r>
      <w:r w:rsidR="1A9E4366">
        <w:t xml:space="preserve"> (effective December 11, 2020)</w:t>
      </w:r>
      <w:r w:rsidR="61740288">
        <w:t xml:space="preserve">, PG&amp;E similarly informed the Commission </w:t>
      </w:r>
      <w:r w:rsidR="6CBBC948">
        <w:t>that it “will continue temporarily managing the electric portfolio outside the established targets, limits, constraints, conditions, and rules in Appendix E</w:t>
      </w:r>
      <w:r w:rsidR="5EBDCCEB">
        <w:t xml:space="preserve"> of the BPP for certain delivery periods”</w:t>
      </w:r>
      <w:r w:rsidRPr="59E1FB5A">
        <w:rPr>
          <w:rStyle w:val="FootnoteReference"/>
        </w:rPr>
        <w:footnoteReference w:id="5"/>
      </w:r>
      <w:r w:rsidR="5EBDCCEB">
        <w:t xml:space="preserve"> but noted that it would take certain actions to “allow for a transition to PG&amp;E Hedgin</w:t>
      </w:r>
      <w:r w:rsidR="16FC1BB9">
        <w:t>g Plan proposed revisions, which PG&amp;E will separately submit for approval via a Tier 3 Advice Letter.”</w:t>
      </w:r>
      <w:r w:rsidRPr="59E1FB5A">
        <w:rPr>
          <w:rStyle w:val="FootnoteReference"/>
        </w:rPr>
        <w:footnoteReference w:id="6"/>
      </w:r>
    </w:p>
    <w:p w:rsidR="59E1FB5A" w:rsidP="59E1FB5A" w:rsidRDefault="59E1FB5A" w14:paraId="3F1868FF" w14:textId="73178E31"/>
    <w:p w:rsidR="2A906E75" w:rsidP="59E1FB5A" w:rsidRDefault="2A906E75" w14:paraId="46662529" w14:textId="40F8ED88">
      <w:pPr>
        <w:rPr>
          <w:rFonts w:eastAsia="Palatino" w:cs="Palatino"/>
          <w:szCs w:val="26"/>
        </w:rPr>
      </w:pPr>
      <w:r w:rsidRPr="59E1FB5A">
        <w:rPr>
          <w:rFonts w:eastAsia="Palatino" w:cs="Palatino"/>
          <w:szCs w:val="26"/>
        </w:rPr>
        <w:t xml:space="preserve">PG&amp;E filed Tier 3 AL 6051-E, the subject of this Resolution, on January 8, 2021. </w:t>
      </w:r>
      <w:r w:rsidRPr="59E1FB5A" w:rsidR="3BD002EF">
        <w:rPr>
          <w:rFonts w:eastAsia="Palatino" w:cs="Palatino"/>
          <w:szCs w:val="26"/>
        </w:rPr>
        <w:t xml:space="preserve">In AL 6051-E, PG&amp;E requests </w:t>
      </w:r>
      <w:r w:rsidRPr="59E1FB5A" w:rsidR="43D9EABA">
        <w:rPr>
          <w:rFonts w:eastAsia="Palatino" w:cs="Palatino"/>
          <w:szCs w:val="26"/>
        </w:rPr>
        <w:t>modifications to its Hedging Plan that “</w:t>
      </w:r>
      <w:r w:rsidRPr="59E1FB5A" w:rsidR="2BCC2790">
        <w:rPr>
          <w:rFonts w:eastAsia="Palatino" w:cs="Palatino"/>
          <w:szCs w:val="26"/>
        </w:rPr>
        <w:t xml:space="preserve">are designed </w:t>
      </w:r>
      <w:r w:rsidRPr="59E1FB5A" w:rsidR="2BCC2790">
        <w:rPr>
          <w:rFonts w:eastAsia="Palatino" w:cs="Palatino"/>
          <w:szCs w:val="26"/>
        </w:rPr>
        <w:lastRenderedPageBreak/>
        <w:t>to allow PG&amp;E to manage commodity price risk for customers given current conditions and future portfolio uncertainties.”</w:t>
      </w:r>
      <w:r w:rsidRPr="59E1FB5A">
        <w:rPr>
          <w:rStyle w:val="FootnoteReference"/>
          <w:rFonts w:eastAsia="Palatino" w:cs="Palatino"/>
          <w:szCs w:val="26"/>
        </w:rPr>
        <w:footnoteReference w:id="7"/>
      </w:r>
      <w:r w:rsidRPr="59E1FB5A" w:rsidR="2BCC2790">
        <w:rPr>
          <w:rFonts w:eastAsia="Palatino" w:cs="Palatino"/>
          <w:szCs w:val="26"/>
        </w:rPr>
        <w:t xml:space="preserve"> PG&amp;E also states that: </w:t>
      </w:r>
    </w:p>
    <w:p w:rsidR="59E1FB5A" w:rsidP="59E1FB5A" w:rsidRDefault="59E1FB5A" w14:paraId="084A13BC" w14:textId="747B3D49">
      <w:pPr>
        <w:ind w:left="720"/>
        <w:rPr>
          <w:rFonts w:eastAsia="Palatino" w:cs="Palatino"/>
          <w:szCs w:val="26"/>
        </w:rPr>
      </w:pPr>
    </w:p>
    <w:p w:rsidR="2BCC2790" w:rsidP="59E1FB5A" w:rsidRDefault="2BCC2790" w14:paraId="13A04FB3" w14:textId="3F058D0C">
      <w:pPr>
        <w:ind w:left="720"/>
        <w:rPr>
          <w:rFonts w:eastAsia="Palatino" w:cs="Palatino"/>
          <w:szCs w:val="26"/>
        </w:rPr>
      </w:pPr>
      <w:r w:rsidRPr="59E1FB5A">
        <w:rPr>
          <w:rFonts w:eastAsia="Palatino" w:cs="Palatino"/>
          <w:szCs w:val="26"/>
        </w:rPr>
        <w:t>PG&amp;E’s future resource portfolio is expected to undergo significant change in the coming years, with the retirement of Diablo Canyon and the end of numerous tolling purchased power agreements. Future resource procurement is envisioned but unknown at this time, creating uncertainty with respect to the future composition of PG&amp;E’s supply portfolio. Potential changes in PG&amp;E’s bundled electric load could significantly alter its hedged position. Additionally, PG&amp;E’s recent emergence from bankruptcy and its non-investment grade credit rating impact the collateral requirements needed to engage in energy procurement, including hedging transactions.</w:t>
      </w:r>
      <w:r w:rsidRPr="59E1FB5A">
        <w:rPr>
          <w:rStyle w:val="FootnoteReference"/>
          <w:rFonts w:eastAsia="Palatino" w:cs="Palatino"/>
          <w:szCs w:val="26"/>
        </w:rPr>
        <w:footnoteReference w:id="8"/>
      </w:r>
      <w:r w:rsidRPr="59E1FB5A">
        <w:rPr>
          <w:rFonts w:eastAsia="Palatino" w:cs="Palatino"/>
          <w:szCs w:val="26"/>
        </w:rPr>
        <w:t xml:space="preserve"> </w:t>
      </w:r>
    </w:p>
    <w:p w:rsidR="2BCC2790" w:rsidRDefault="2BCC2790" w14:paraId="2E169554" w14:textId="233B7CE1"/>
    <w:p w:rsidR="7FFF4BE1" w:rsidP="59E1FB5A" w:rsidRDefault="7FFF4BE1" w14:paraId="412F3EDA" w14:textId="6BA10E01">
      <w:pPr>
        <w:rPr>
          <w:rFonts w:eastAsia="Palatino" w:cs="Palatino"/>
          <w:szCs w:val="26"/>
        </w:rPr>
      </w:pPr>
      <w:r w:rsidRPr="59E1FB5A">
        <w:rPr>
          <w:rFonts w:eastAsia="Palatino" w:cs="Palatino"/>
          <w:szCs w:val="26"/>
        </w:rPr>
        <w:t>PG&amp;E notes that its proposed modifications are “</w:t>
      </w:r>
      <w:r w:rsidRPr="59E1FB5A" w:rsidR="4D265F92">
        <w:rPr>
          <w:rFonts w:eastAsia="Palatino" w:cs="Palatino"/>
          <w:szCs w:val="26"/>
        </w:rPr>
        <w:t xml:space="preserve">are </w:t>
      </w:r>
      <w:r w:rsidRPr="59E1FB5A">
        <w:rPr>
          <w:rFonts w:eastAsia="Palatino" w:cs="Palatino"/>
          <w:szCs w:val="26"/>
        </w:rPr>
        <w:t xml:space="preserve">consistent with the Commission’s directives” and </w:t>
      </w:r>
      <w:r w:rsidRPr="59E1FB5A" w:rsidR="5C311861">
        <w:rPr>
          <w:rFonts w:eastAsia="Palatino" w:cs="Palatino"/>
          <w:szCs w:val="26"/>
        </w:rPr>
        <w:t xml:space="preserve">that </w:t>
      </w:r>
      <w:r w:rsidR="00F0764D">
        <w:rPr>
          <w:rFonts w:eastAsia="Palatino" w:cs="Palatino"/>
          <w:szCs w:val="26"/>
        </w:rPr>
        <w:t>in accordance</w:t>
      </w:r>
      <w:r w:rsidRPr="59E1FB5A" w:rsidR="5C311861">
        <w:rPr>
          <w:rFonts w:eastAsia="Palatino" w:cs="Palatino"/>
          <w:szCs w:val="26"/>
        </w:rPr>
        <w:t xml:space="preserve"> with its AL 5440-E, “</w:t>
      </w:r>
      <w:r w:rsidRPr="59E1FB5A" w:rsidR="6067AB79">
        <w:rPr>
          <w:rFonts w:eastAsia="Palatino" w:cs="Palatino"/>
          <w:szCs w:val="26"/>
        </w:rPr>
        <w:t>any utility hedging costs and benefits would be recorded in the Energy Resource Recovery Account balancing account for allocation only to bundled electric customers.”</w:t>
      </w:r>
      <w:r w:rsidRPr="59E1FB5A">
        <w:rPr>
          <w:rStyle w:val="FootnoteReference"/>
          <w:rFonts w:eastAsia="Palatino" w:cs="Palatino"/>
          <w:szCs w:val="26"/>
        </w:rPr>
        <w:footnoteReference w:id="9"/>
      </w:r>
    </w:p>
    <w:p w:rsidR="59E1FB5A" w:rsidP="59E1FB5A" w:rsidRDefault="59E1FB5A" w14:paraId="4398ADAD" w14:textId="1095087C"/>
    <w:p w:rsidR="00CF17DE" w:rsidRDefault="00394B3A" w14:paraId="66788129" w14:textId="77777777">
      <w:pPr>
        <w:pStyle w:val="Heading1"/>
      </w:pPr>
      <w:r>
        <w:t>Notice</w:t>
      </w:r>
    </w:p>
    <w:p w:rsidR="00CF17DE" w:rsidRDefault="00CF17DE" w14:paraId="37FFE207" w14:textId="3DE5BCCB">
      <w:r>
        <w:t xml:space="preserve">Notice of AL </w:t>
      </w:r>
      <w:r w:rsidR="7DB2AD19">
        <w:t>6051-E</w:t>
      </w:r>
      <w:r>
        <w:t xml:space="preserve"> was made by publication in the Commission’s Daily Calendar.  </w:t>
      </w:r>
      <w:r w:rsidR="4E82F133">
        <w:t xml:space="preserve">Pacific Gas and Electric Company </w:t>
      </w:r>
      <w:r>
        <w:t>states that a copy of the Advice Letter was mailed and distributed in accordance with Sec</w:t>
      </w:r>
      <w:r w:rsidR="00A1526C">
        <w:t xml:space="preserve">tion </w:t>
      </w:r>
      <w:r w:rsidR="0069631C">
        <w:t>4</w:t>
      </w:r>
      <w:r w:rsidR="00E928CF">
        <w:t xml:space="preserve"> of General Order 96-B</w:t>
      </w:r>
      <w:r>
        <w:t>.</w:t>
      </w:r>
    </w:p>
    <w:p w:rsidR="00CF17DE" w:rsidRDefault="00CF17DE" w14:paraId="6E8F021A" w14:textId="77777777"/>
    <w:p w:rsidR="00CF17DE" w:rsidRDefault="00CF17DE" w14:paraId="7F509E4C" w14:textId="77777777">
      <w:pPr>
        <w:pStyle w:val="Heading1"/>
      </w:pPr>
      <w:r>
        <w:t>Protests</w:t>
      </w:r>
    </w:p>
    <w:p w:rsidR="00CF17DE" w:rsidRDefault="00CF17DE" w14:paraId="52D5B761" w14:textId="6E706471">
      <w:r>
        <w:t xml:space="preserve">Advice Letter </w:t>
      </w:r>
      <w:r w:rsidR="774C16B5">
        <w:t>6051-E</w:t>
      </w:r>
      <w:r>
        <w:t xml:space="preserve"> was </w:t>
      </w:r>
      <w:r w:rsidR="4BE40947">
        <w:t xml:space="preserve">not </w:t>
      </w:r>
      <w:r>
        <w:t xml:space="preserve">protested.  </w:t>
      </w:r>
    </w:p>
    <w:p w:rsidR="00CF17DE" w:rsidP="59E1FB5A" w:rsidRDefault="00CF17DE" w14:paraId="30C5808A" w14:textId="4102D695"/>
    <w:p w:rsidR="00CF17DE" w:rsidRDefault="00CF17DE" w14:paraId="23E10AE5" w14:textId="77777777">
      <w:pPr>
        <w:pStyle w:val="Heading1"/>
      </w:pPr>
      <w:r>
        <w:lastRenderedPageBreak/>
        <w:t>Discussion</w:t>
      </w:r>
    </w:p>
    <w:p w:rsidR="00A32525" w:rsidP="59E1FB5A" w:rsidRDefault="00A32525" w14:paraId="5A63C470" w14:textId="73FC55BD">
      <w:pPr>
        <w:spacing w:line="259" w:lineRule="auto"/>
      </w:pPr>
      <w:r>
        <w:t>The Commission</w:t>
      </w:r>
      <w:r w:rsidR="00CF17DE">
        <w:t xml:space="preserve"> has reviewed</w:t>
      </w:r>
      <w:r>
        <w:t xml:space="preserve"> the Advice Letter</w:t>
      </w:r>
      <w:r w:rsidR="1D1785B0">
        <w:t xml:space="preserve"> and finds that PG&amp;E’s </w:t>
      </w:r>
      <w:r w:rsidR="35F983A5">
        <w:t xml:space="preserve">proposed </w:t>
      </w:r>
      <w:r w:rsidR="1D1785B0">
        <w:t xml:space="preserve">modifications to its 2014 BPP </w:t>
      </w:r>
      <w:r w:rsidR="0082594A">
        <w:t xml:space="preserve">strike an appropriate balance between protecting </w:t>
      </w:r>
      <w:r w:rsidR="6ED27051">
        <w:t>PG&amp;E’s bundled ratepayers</w:t>
      </w:r>
      <w:r w:rsidR="0082594A">
        <w:t xml:space="preserve"> through prudent hedging activities</w:t>
      </w:r>
      <w:r w:rsidR="6ED27051">
        <w:t xml:space="preserve"> </w:t>
      </w:r>
      <w:r w:rsidR="00F54DA4">
        <w:t xml:space="preserve">and </w:t>
      </w:r>
      <w:r w:rsidR="0082594A">
        <w:t>not overpaying for this protection</w:t>
      </w:r>
      <w:r w:rsidR="0822DEA2">
        <w:t>.</w:t>
      </w:r>
      <w:r w:rsidR="49357974">
        <w:t xml:space="preserve"> We note that PG&amp;E’s 2014</w:t>
      </w:r>
      <w:r w:rsidR="324922DE">
        <w:t xml:space="preserve"> BPP</w:t>
      </w:r>
      <w:r w:rsidR="49357974">
        <w:t xml:space="preserve"> remains in effect until we </w:t>
      </w:r>
      <w:r w:rsidR="467EA469">
        <w:t xml:space="preserve">undertake a comprehensive revision or replacement of the </w:t>
      </w:r>
      <w:r w:rsidR="240C6843">
        <w:t>investor-owned utilities’ 2014 Bundled Procurement Plans</w:t>
      </w:r>
      <w:r w:rsidR="467EA469">
        <w:t>.</w:t>
      </w:r>
      <w:r w:rsidR="38AFB942">
        <w:t xml:space="preserve"> We also note that we have authorized the investor-owned utilities to revise their </w:t>
      </w:r>
      <w:r w:rsidR="35755183">
        <w:t>Bundled Procurement Plans between review cycles via the advice letter process.</w:t>
      </w:r>
      <w:r w:rsidRPr="59E1FB5A">
        <w:rPr>
          <w:rStyle w:val="FootnoteReference"/>
        </w:rPr>
        <w:footnoteReference w:id="10"/>
      </w:r>
    </w:p>
    <w:p w:rsidR="59E1FB5A" w:rsidP="59E1FB5A" w:rsidRDefault="59E1FB5A" w14:paraId="7671A84C" w14:textId="79A989D3"/>
    <w:p w:rsidR="00CF17DE" w:rsidRDefault="00CF17DE" w14:paraId="16A82360" w14:textId="77777777">
      <w:pPr>
        <w:pStyle w:val="Heading1"/>
      </w:pPr>
      <w:r>
        <w:t>Comments</w:t>
      </w:r>
    </w:p>
    <w:p w:rsidR="0024459D" w:rsidP="0024459D" w:rsidRDefault="0024459D" w14:paraId="61C6517C" w14:textId="3157679D">
      <w:r>
        <w:t xml:space="preserve">Public Utilities Code section 311(g)(1) provides that this resolution must be served on all parties and subject to at least 30 days public review.  Please note that comments are due 20 days from the mailing date of this resolution. Section 311(g)(2) provides that this 30-day review period and 20-day comment period may be reduced or waived upon the stipulation of all parties in the proceeding. </w:t>
      </w:r>
    </w:p>
    <w:p w:rsidR="0024459D" w:rsidP="0024459D" w:rsidRDefault="0024459D" w14:paraId="1030F211" w14:textId="77777777"/>
    <w:p w:rsidR="0024459D" w:rsidP="0024459D" w:rsidRDefault="0024459D" w14:paraId="40C33EDB" w14:textId="660EED2D">
      <w:r>
        <w:t>The 30-day review and 20-day comment period for the draft of this resolution was neither waived nor reduced.  Accordingly, this draft resolution was mailed to parties for comments, and will be placed on the Commission's agenda no earlier than 30 days from today.</w:t>
      </w:r>
    </w:p>
    <w:p w:rsidR="0024459D" w:rsidP="0024459D" w:rsidRDefault="0024459D" w14:paraId="2A500E66" w14:textId="77777777"/>
    <w:p w:rsidR="00CF17DE" w:rsidRDefault="00CF17DE" w14:paraId="07618DBE" w14:textId="77777777">
      <w:pPr>
        <w:pStyle w:val="Heading1"/>
      </w:pPr>
      <w:bookmarkStart w:name="_Hlk943272" w:id="1"/>
      <w:bookmarkEnd w:id="1"/>
      <w:r>
        <w:t>Findings</w:t>
      </w:r>
    </w:p>
    <w:p w:rsidR="7B86053D" w:rsidP="59E1FB5A" w:rsidRDefault="7B86053D" w14:paraId="24AC0E21" w14:textId="3272251A">
      <w:pPr>
        <w:numPr>
          <w:ilvl w:val="0"/>
          <w:numId w:val="1"/>
        </w:numPr>
        <w:spacing w:line="259" w:lineRule="auto"/>
        <w:ind w:left="420" w:hanging="420"/>
        <w:rPr>
          <w:rFonts w:eastAsia="Palatino" w:cs="Palatino"/>
          <w:szCs w:val="26"/>
        </w:rPr>
      </w:pPr>
      <w:r>
        <w:t xml:space="preserve">Pacific Gas and Electric Company’s proposed </w:t>
      </w:r>
      <w:r w:rsidR="39F0B990">
        <w:t xml:space="preserve">modifications to its 2014 Conformed Bundled Procurement Plan </w:t>
      </w:r>
      <w:r w:rsidR="00F54DA4">
        <w:t>strike an appropriate balance between protecting Pacific Gas and Electric Company’s bundled ratepayers through prudent hedging activities and not overpaying for this protection</w:t>
      </w:r>
      <w:r w:rsidR="39F0B990">
        <w:t>.</w:t>
      </w:r>
    </w:p>
    <w:p w:rsidR="59E1FB5A" w:rsidP="59E1FB5A" w:rsidRDefault="59E1FB5A" w14:paraId="4D2457A3" w14:textId="7B60469B">
      <w:pPr>
        <w:spacing w:line="259" w:lineRule="auto"/>
      </w:pPr>
    </w:p>
    <w:p w:rsidR="39F0B990" w:rsidP="59E1FB5A" w:rsidRDefault="39F0B990" w14:paraId="3AF1B60B" w14:textId="5227A789">
      <w:pPr>
        <w:numPr>
          <w:ilvl w:val="0"/>
          <w:numId w:val="1"/>
        </w:numPr>
        <w:spacing w:line="259" w:lineRule="auto"/>
        <w:ind w:left="420" w:hanging="420"/>
        <w:rPr>
          <w:szCs w:val="26"/>
        </w:rPr>
      </w:pPr>
      <w:r>
        <w:lastRenderedPageBreak/>
        <w:t xml:space="preserve">Pacific Gas and Electric Company’s 2014 Conformed Bundled Procurement Plan remains in effect until </w:t>
      </w:r>
      <w:r w:rsidR="00366C0C">
        <w:t>the Commission</w:t>
      </w:r>
      <w:r>
        <w:t xml:space="preserve"> undertake</w:t>
      </w:r>
      <w:r w:rsidR="00366C0C">
        <w:t>s</w:t>
      </w:r>
      <w:r>
        <w:t xml:space="preserve"> a comprehensive revision or replacement of the investor-owned utilities’ 2014 Bundled Procurement Plans.</w:t>
      </w:r>
    </w:p>
    <w:p w:rsidR="59E1FB5A" w:rsidP="59E1FB5A" w:rsidRDefault="59E1FB5A" w14:paraId="597E2737" w14:textId="59A119B0">
      <w:pPr>
        <w:spacing w:line="259" w:lineRule="auto"/>
      </w:pPr>
    </w:p>
    <w:p w:rsidR="5A42085B" w:rsidP="59E1FB5A" w:rsidRDefault="5A42085B" w14:paraId="380A1F3C" w14:textId="7C09CF4C">
      <w:pPr>
        <w:numPr>
          <w:ilvl w:val="0"/>
          <w:numId w:val="1"/>
        </w:numPr>
        <w:spacing w:line="259" w:lineRule="auto"/>
        <w:ind w:left="420" w:hanging="420"/>
        <w:rPr>
          <w:szCs w:val="26"/>
        </w:rPr>
      </w:pPr>
      <w:r>
        <w:t>The Commission has authorized the investor-owned utilities to revise their Bundled Procurement Plans between review cycles via the advice letter process.</w:t>
      </w:r>
    </w:p>
    <w:p w:rsidR="00CF17DE" w:rsidRDefault="00CF17DE" w14:paraId="18C97720" w14:textId="77777777">
      <w:pPr>
        <w:rPr>
          <w:b/>
        </w:rPr>
      </w:pPr>
    </w:p>
    <w:p w:rsidR="00CF17DE" w:rsidRDefault="00CF17DE" w14:paraId="03EBB768" w14:textId="77777777">
      <w:pPr>
        <w:pStyle w:val="Heading1"/>
      </w:pPr>
      <w:r>
        <w:t>Therefore it is ordered that:</w:t>
      </w:r>
    </w:p>
    <w:p w:rsidR="00CF17DE" w:rsidRDefault="00CF17DE" w14:paraId="04E7CDC7" w14:textId="3A27244B">
      <w:pPr>
        <w:numPr>
          <w:ilvl w:val="0"/>
          <w:numId w:val="6"/>
        </w:numPr>
        <w:rPr>
          <w:snapToGrid w:val="0"/>
        </w:rPr>
      </w:pPr>
      <w:r>
        <w:rPr>
          <w:snapToGrid w:val="0"/>
        </w:rPr>
        <w:t xml:space="preserve">The request of the </w:t>
      </w:r>
      <w:r w:rsidR="24C11F89">
        <w:rPr>
          <w:snapToGrid w:val="0"/>
        </w:rPr>
        <w:t>Pacific Gas and Electric Company</w:t>
      </w:r>
      <w:r>
        <w:rPr>
          <w:snapToGrid w:val="0"/>
        </w:rPr>
        <w:t xml:space="preserve"> to</w:t>
      </w:r>
      <w:r w:rsidR="4843BC8A">
        <w:rPr>
          <w:snapToGrid w:val="0"/>
        </w:rPr>
        <w:t xml:space="preserve"> modify Appendix E of its 2014 Conformed Bundled Procurement Plan,</w:t>
      </w:r>
      <w:r>
        <w:rPr>
          <w:snapToGrid w:val="0"/>
        </w:rPr>
        <w:t xml:space="preserve"> as requested in Advice Letter </w:t>
      </w:r>
      <w:r w:rsidR="1EDEBB47">
        <w:t>6051-E,</w:t>
      </w:r>
      <w:r>
        <w:t xml:space="preserve"> </w:t>
      </w:r>
      <w:r>
        <w:rPr>
          <w:snapToGrid w:val="0"/>
        </w:rPr>
        <w:t>is approve</w:t>
      </w:r>
      <w:r w:rsidR="1DAA01D0">
        <w:rPr>
          <w:snapToGrid w:val="0"/>
        </w:rPr>
        <w:t>d.</w:t>
      </w:r>
    </w:p>
    <w:p w:rsidR="00CF17DE" w:rsidRDefault="00CF17DE" w14:paraId="4BCDF939" w14:textId="77777777">
      <w:pPr>
        <w:tabs>
          <w:tab w:val="left" w:pos="720"/>
          <w:tab w:val="left" w:pos="1296"/>
          <w:tab w:val="left" w:pos="2016"/>
          <w:tab w:val="left" w:pos="2736"/>
          <w:tab w:val="left" w:pos="3456"/>
          <w:tab w:val="left" w:pos="4176"/>
          <w:tab w:val="left" w:pos="5760"/>
        </w:tabs>
      </w:pPr>
    </w:p>
    <w:p w:rsidR="00CF17DE" w:rsidRDefault="00CF17DE" w14:paraId="37DEE6CF" w14:textId="77777777">
      <w:pPr>
        <w:tabs>
          <w:tab w:val="left" w:pos="720"/>
          <w:tab w:val="left" w:pos="1296"/>
          <w:tab w:val="left" w:pos="2016"/>
          <w:tab w:val="left" w:pos="2736"/>
          <w:tab w:val="left" w:pos="3456"/>
          <w:tab w:val="left" w:pos="4176"/>
          <w:tab w:val="left" w:pos="5760"/>
        </w:tabs>
      </w:pPr>
      <w:r>
        <w:t>This Resolution is effective today.</w:t>
      </w:r>
    </w:p>
    <w:p w:rsidR="00CB42C3" w:rsidRDefault="00CB42C3" w14:paraId="7D496AA3" w14:textId="77777777">
      <w:pPr>
        <w:tabs>
          <w:tab w:val="left" w:pos="720"/>
          <w:tab w:val="left" w:pos="1296"/>
          <w:tab w:val="left" w:pos="2016"/>
          <w:tab w:val="left" w:pos="2736"/>
          <w:tab w:val="left" w:pos="3456"/>
          <w:tab w:val="left" w:pos="4176"/>
          <w:tab w:val="left" w:pos="5760"/>
        </w:tabs>
      </w:pPr>
    </w:p>
    <w:p w:rsidR="00CF17DE" w:rsidRDefault="00CF17DE" w14:paraId="048CEE72" w14:textId="0BB534EB">
      <w:r>
        <w:rPr>
          <w:snapToGrid w:val="0"/>
        </w:rPr>
        <w:t xml:space="preserve">I certify that the foregoing resolution was duly introduced, passed and adopted at a conference of the Public Utilities Commission of the State of California held on </w:t>
      </w:r>
      <w:r w:rsidR="53E7A564">
        <w:rPr>
          <w:snapToGrid w:val="0"/>
        </w:rPr>
        <w:t>May 20, 2021</w:t>
      </w:r>
      <w:r>
        <w:rPr>
          <w:snapToGrid w:val="0"/>
        </w:rPr>
        <w:t>; the following Commissioners voting favorably thereon:</w:t>
      </w:r>
    </w:p>
    <w:p w:rsidR="00CF17DE" w:rsidRDefault="00CF17DE" w14:paraId="2DA44F60" w14:textId="77777777">
      <w:pPr>
        <w:tabs>
          <w:tab w:val="left" w:pos="720"/>
          <w:tab w:val="left" w:pos="1152"/>
          <w:tab w:val="left" w:pos="1728"/>
          <w:tab w:val="left" w:pos="3168"/>
          <w:tab w:val="left" w:pos="5040"/>
        </w:tabs>
        <w:ind w:right="144"/>
      </w:pPr>
    </w:p>
    <w:p w:rsidR="00CF17DE" w:rsidRDefault="00CF17DE" w14:paraId="1385E60D" w14:textId="77777777">
      <w:pPr>
        <w:tabs>
          <w:tab w:val="left" w:pos="720"/>
          <w:tab w:val="left" w:pos="1152"/>
          <w:tab w:val="left" w:pos="1728"/>
          <w:tab w:val="left" w:pos="3168"/>
          <w:tab w:val="left" w:pos="5040"/>
        </w:tabs>
        <w:ind w:right="144"/>
      </w:pPr>
    </w:p>
    <w:p w:rsidR="00CF17DE" w:rsidRDefault="00CF17DE" w14:paraId="12D741D7" w14:textId="77777777">
      <w:pPr>
        <w:tabs>
          <w:tab w:val="left" w:pos="720"/>
          <w:tab w:val="left" w:pos="1152"/>
          <w:tab w:val="left" w:pos="1728"/>
          <w:tab w:val="left" w:pos="3168"/>
          <w:tab w:val="left" w:pos="5040"/>
        </w:tabs>
        <w:ind w:right="144"/>
      </w:pPr>
    </w:p>
    <w:p w:rsidR="00CF17DE" w:rsidRDefault="00CF17DE" w14:paraId="670582A9" w14:textId="77777777">
      <w:pPr>
        <w:tabs>
          <w:tab w:val="left" w:pos="720"/>
          <w:tab w:val="left" w:pos="1152"/>
          <w:tab w:val="left" w:pos="1728"/>
          <w:tab w:val="left" w:pos="3168"/>
          <w:tab w:val="left" w:pos="5040"/>
        </w:tabs>
        <w:ind w:right="144"/>
      </w:pPr>
    </w:p>
    <w:p w:rsidR="00CF17DE" w:rsidRDefault="00CF17DE" w14:paraId="59727804" w14:textId="77777777">
      <w:pPr>
        <w:tabs>
          <w:tab w:val="left" w:pos="720"/>
          <w:tab w:val="left" w:pos="1152"/>
          <w:tab w:val="left" w:pos="1728"/>
          <w:tab w:val="left" w:pos="3168"/>
          <w:tab w:val="left" w:pos="5040"/>
        </w:tabs>
        <w:ind w:right="144"/>
      </w:pPr>
      <w:r>
        <w:tab/>
      </w:r>
      <w:r>
        <w:tab/>
      </w:r>
      <w:r>
        <w:tab/>
      </w:r>
      <w:r>
        <w:tab/>
      </w:r>
      <w:r>
        <w:tab/>
      </w:r>
      <w:r>
        <w:tab/>
        <w:t>_______________</w:t>
      </w:r>
      <w:r w:rsidR="008E6797">
        <w:t>______</w:t>
      </w:r>
    </w:p>
    <w:p w:rsidR="00CF17DE" w:rsidRDefault="00CF17DE" w14:paraId="17731D81" w14:textId="66308528">
      <w:r>
        <w:tab/>
      </w:r>
      <w:r>
        <w:tab/>
      </w:r>
      <w:r>
        <w:tab/>
      </w:r>
      <w:r>
        <w:tab/>
      </w:r>
      <w:r>
        <w:tab/>
      </w:r>
      <w:r>
        <w:tab/>
      </w:r>
      <w:r>
        <w:tab/>
      </w:r>
      <w:r>
        <w:tab/>
      </w:r>
      <w:r w:rsidR="00FC2DE4">
        <w:t>Rachel Peterson</w:t>
      </w:r>
    </w:p>
    <w:p w:rsidR="00CF17DE" w:rsidRDefault="00CF17DE" w14:paraId="363F8E7E" w14:textId="77777777">
      <w:r>
        <w:tab/>
      </w:r>
      <w:r>
        <w:tab/>
      </w:r>
      <w:r>
        <w:tab/>
      </w:r>
      <w:r>
        <w:tab/>
      </w:r>
      <w:r>
        <w:tab/>
      </w:r>
      <w:r>
        <w:tab/>
      </w:r>
      <w:r>
        <w:tab/>
      </w:r>
      <w:r>
        <w:tab/>
        <w:t>Executive Director</w:t>
      </w:r>
    </w:p>
    <w:sectPr w:rsidR="00CF17DE">
      <w:headerReference w:type="default" r:id="rId7"/>
      <w:footerReference w:type="default" r:id="rId8"/>
      <w:headerReference w:type="first" r:id="rId9"/>
      <w:footerReference w:type="first" r:id="rId10"/>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7D622" w14:textId="77777777" w:rsidR="006F2491" w:rsidRDefault="006F2491">
      <w:r>
        <w:separator/>
      </w:r>
    </w:p>
  </w:endnote>
  <w:endnote w:type="continuationSeparator" w:id="0">
    <w:p w14:paraId="086FD938" w14:textId="77777777" w:rsidR="006F2491" w:rsidRDefault="006F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charset w:val="00"/>
    <w:family w:val="auto"/>
    <w:pitch w:val="variable"/>
    <w:sig w:usb0="A00002FF" w:usb1="7800205A" w:usb2="14600000" w:usb3="00000000" w:csb0="00000197"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2D11B" w14:textId="77777777" w:rsidR="00CF17DE" w:rsidRDefault="00CF17DE">
    <w:pPr>
      <w:pStyle w:val="Footer"/>
    </w:pPr>
    <w:r>
      <w:rPr>
        <w:rStyle w:val="PageNumber"/>
      </w:rPr>
      <w:fldChar w:fldCharType="begin"/>
    </w:r>
    <w:r>
      <w:rPr>
        <w:rStyle w:val="PageNumber"/>
      </w:rPr>
      <w:instrText xml:space="preserve"> PAGE </w:instrText>
    </w:r>
    <w:r>
      <w:rPr>
        <w:rStyle w:val="PageNumber"/>
      </w:rPr>
      <w:fldChar w:fldCharType="separate"/>
    </w:r>
    <w:r w:rsidR="00946E2C">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43D63" w14:textId="0FA56CD8" w:rsidR="00CF17DE" w:rsidRDefault="00B42DFE" w:rsidP="00B42DFE">
    <w:pPr>
      <w:pStyle w:val="Footer"/>
      <w:tabs>
        <w:tab w:val="clear" w:pos="4320"/>
        <w:tab w:val="left" w:pos="270"/>
        <w:tab w:val="center" w:pos="4680"/>
      </w:tabs>
      <w:jc w:val="left"/>
    </w:pPr>
    <w:r>
      <w:rPr>
        <w:rStyle w:val="PageNumber"/>
      </w:rPr>
      <w:tab/>
    </w:r>
    <w:r w:rsidRPr="00B42DFE">
      <w:rPr>
        <w:rStyle w:val="PageNumber"/>
      </w:rPr>
      <w:t>377750437</w:t>
    </w:r>
    <w:r>
      <w:rPr>
        <w:rStyle w:val="PageNumber"/>
      </w:rPr>
      <w:tab/>
    </w:r>
    <w:r w:rsidR="00CF17DE">
      <w:rPr>
        <w:rStyle w:val="PageNumber"/>
      </w:rPr>
      <w:fldChar w:fldCharType="begin"/>
    </w:r>
    <w:r w:rsidR="00CF17DE">
      <w:rPr>
        <w:rStyle w:val="PageNumber"/>
      </w:rPr>
      <w:instrText xml:space="preserve"> PAGE </w:instrText>
    </w:r>
    <w:r w:rsidR="00CF17DE">
      <w:rPr>
        <w:rStyle w:val="PageNumber"/>
      </w:rPr>
      <w:fldChar w:fldCharType="separate"/>
    </w:r>
    <w:r w:rsidR="00946E2C">
      <w:rPr>
        <w:rStyle w:val="PageNumber"/>
        <w:noProof/>
      </w:rPr>
      <w:t>1</w:t>
    </w:r>
    <w:r w:rsidR="00CF17DE">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E9CD1" w14:textId="77777777" w:rsidR="006F2491" w:rsidRDefault="006F2491">
      <w:r>
        <w:separator/>
      </w:r>
    </w:p>
  </w:footnote>
  <w:footnote w:type="continuationSeparator" w:id="0">
    <w:p w14:paraId="57CE1C5B" w14:textId="77777777" w:rsidR="006F2491" w:rsidRDefault="006F2491">
      <w:r>
        <w:continuationSeparator/>
      </w:r>
    </w:p>
  </w:footnote>
  <w:footnote w:type="continuationNotice" w:id="1">
    <w:p w14:paraId="656246EF" w14:textId="77777777" w:rsidR="006F2491" w:rsidRDefault="006F2491">
      <w:pPr>
        <w:rPr>
          <w:sz w:val="22"/>
        </w:rPr>
      </w:pPr>
    </w:p>
    <w:p w14:paraId="064839B6" w14:textId="77777777" w:rsidR="006F2491" w:rsidRDefault="006F2491">
      <w:pPr>
        <w:jc w:val="right"/>
        <w:rPr>
          <w:sz w:val="22"/>
        </w:rPr>
      </w:pPr>
      <w:r>
        <w:rPr>
          <w:i/>
          <w:sz w:val="22"/>
        </w:rPr>
        <w:t>Footnote continued on next page</w:t>
      </w:r>
    </w:p>
  </w:footnote>
  <w:footnote w:id="2">
    <w:p w14:paraId="6F399221" w14:textId="3EAAAD00" w:rsidR="59E1FB5A" w:rsidRDefault="59E1FB5A" w:rsidP="59E1FB5A">
      <w:pPr>
        <w:pStyle w:val="FootnoteText"/>
        <w:numPr>
          <w:ilvl w:val="0"/>
          <w:numId w:val="0"/>
        </w:numPr>
      </w:pPr>
      <w:r w:rsidRPr="59E1FB5A">
        <w:rPr>
          <w:rStyle w:val="FootnoteReference"/>
        </w:rPr>
        <w:footnoteRef/>
      </w:r>
      <w:r>
        <w:t xml:space="preserve"> AL 5282-E at p. 2.</w:t>
      </w:r>
    </w:p>
  </w:footnote>
  <w:footnote w:id="3">
    <w:p w14:paraId="15DE0593" w14:textId="6F60DCAC" w:rsidR="59E1FB5A" w:rsidRDefault="59E1FB5A" w:rsidP="59E1FB5A">
      <w:pPr>
        <w:pStyle w:val="FootnoteText"/>
        <w:numPr>
          <w:ilvl w:val="0"/>
          <w:numId w:val="0"/>
        </w:numPr>
      </w:pPr>
      <w:r w:rsidRPr="59E1FB5A">
        <w:rPr>
          <w:rStyle w:val="FootnoteReference"/>
        </w:rPr>
        <w:footnoteRef/>
      </w:r>
      <w:r>
        <w:t xml:space="preserve"> </w:t>
      </w:r>
      <w:r w:rsidRPr="59E1FB5A">
        <w:rPr>
          <w:i/>
          <w:iCs/>
        </w:rPr>
        <w:t>Ibid.</w:t>
      </w:r>
      <w:r>
        <w:t xml:space="preserve"> at p. 2.</w:t>
      </w:r>
    </w:p>
  </w:footnote>
  <w:footnote w:id="4">
    <w:p w14:paraId="02E11E26" w14:textId="075EA509" w:rsidR="59E1FB5A" w:rsidRDefault="59E1FB5A" w:rsidP="59E1FB5A">
      <w:pPr>
        <w:pStyle w:val="FootnoteText"/>
        <w:numPr>
          <w:ilvl w:val="0"/>
          <w:numId w:val="0"/>
        </w:numPr>
      </w:pPr>
      <w:r w:rsidRPr="59E1FB5A">
        <w:rPr>
          <w:rStyle w:val="FootnoteReference"/>
        </w:rPr>
        <w:footnoteRef/>
      </w:r>
      <w:r>
        <w:t xml:space="preserve"> AL 5704-E at Attachment 2, p. 3.</w:t>
      </w:r>
    </w:p>
  </w:footnote>
  <w:footnote w:id="5">
    <w:p w14:paraId="2411CB62" w14:textId="2C8C894B" w:rsidR="59E1FB5A" w:rsidRDefault="59E1FB5A" w:rsidP="59E1FB5A">
      <w:pPr>
        <w:pStyle w:val="FootnoteText"/>
        <w:numPr>
          <w:ilvl w:val="0"/>
          <w:numId w:val="0"/>
        </w:numPr>
      </w:pPr>
      <w:r w:rsidRPr="59E1FB5A">
        <w:rPr>
          <w:rStyle w:val="FootnoteReference"/>
        </w:rPr>
        <w:footnoteRef/>
      </w:r>
      <w:r>
        <w:t xml:space="preserve"> AL 6024-E at p. 2.</w:t>
      </w:r>
    </w:p>
  </w:footnote>
  <w:footnote w:id="6">
    <w:p w14:paraId="1D92F1EA" w14:textId="53274BAE" w:rsidR="59E1FB5A" w:rsidRDefault="59E1FB5A" w:rsidP="59E1FB5A">
      <w:pPr>
        <w:pStyle w:val="FootnoteText"/>
        <w:numPr>
          <w:ilvl w:val="0"/>
          <w:numId w:val="0"/>
        </w:numPr>
      </w:pPr>
      <w:r w:rsidRPr="59E1FB5A">
        <w:rPr>
          <w:rStyle w:val="FootnoteReference"/>
        </w:rPr>
        <w:footnoteRef/>
      </w:r>
      <w:r>
        <w:t xml:space="preserve"> </w:t>
      </w:r>
      <w:r w:rsidRPr="59E1FB5A">
        <w:rPr>
          <w:i/>
          <w:iCs/>
        </w:rPr>
        <w:t>Ibid.</w:t>
      </w:r>
      <w:r w:rsidRPr="59E1FB5A">
        <w:t xml:space="preserve"> at p. 3.</w:t>
      </w:r>
    </w:p>
  </w:footnote>
  <w:footnote w:id="7">
    <w:p w14:paraId="13404B2C" w14:textId="6C6E8768" w:rsidR="59E1FB5A" w:rsidRDefault="59E1FB5A" w:rsidP="59E1FB5A">
      <w:pPr>
        <w:pStyle w:val="FootnoteText"/>
        <w:numPr>
          <w:ilvl w:val="0"/>
          <w:numId w:val="0"/>
        </w:numPr>
      </w:pPr>
      <w:r w:rsidRPr="59E1FB5A">
        <w:rPr>
          <w:rStyle w:val="FootnoteReference"/>
        </w:rPr>
        <w:footnoteRef/>
      </w:r>
      <w:r>
        <w:t xml:space="preserve"> AL 6051-E at p. 2.</w:t>
      </w:r>
    </w:p>
  </w:footnote>
  <w:footnote w:id="8">
    <w:p w14:paraId="17CE0738" w14:textId="0EC87B62" w:rsidR="59E1FB5A" w:rsidRDefault="59E1FB5A" w:rsidP="59E1FB5A">
      <w:pPr>
        <w:pStyle w:val="FootnoteText"/>
        <w:numPr>
          <w:ilvl w:val="0"/>
          <w:numId w:val="0"/>
        </w:numPr>
      </w:pPr>
      <w:r w:rsidRPr="59E1FB5A">
        <w:rPr>
          <w:rStyle w:val="FootnoteReference"/>
        </w:rPr>
        <w:footnoteRef/>
      </w:r>
      <w:r>
        <w:t xml:space="preserve"> </w:t>
      </w:r>
      <w:r w:rsidRPr="59E1FB5A">
        <w:rPr>
          <w:i/>
          <w:iCs/>
        </w:rPr>
        <w:t>Ibid.</w:t>
      </w:r>
      <w:r w:rsidRPr="59E1FB5A">
        <w:t xml:space="preserve"> at p. 2.</w:t>
      </w:r>
    </w:p>
  </w:footnote>
  <w:footnote w:id="9">
    <w:p w14:paraId="391C6FCC" w14:textId="6798A30B" w:rsidR="59E1FB5A" w:rsidRDefault="59E1FB5A" w:rsidP="59E1FB5A">
      <w:pPr>
        <w:pStyle w:val="FootnoteText"/>
        <w:numPr>
          <w:ilvl w:val="0"/>
          <w:numId w:val="0"/>
        </w:numPr>
      </w:pPr>
      <w:r w:rsidRPr="59E1FB5A">
        <w:rPr>
          <w:rStyle w:val="FootnoteReference"/>
        </w:rPr>
        <w:footnoteRef/>
      </w:r>
      <w:r>
        <w:t xml:space="preserve"> </w:t>
      </w:r>
      <w:r w:rsidRPr="59E1FB5A">
        <w:rPr>
          <w:i/>
          <w:iCs/>
        </w:rPr>
        <w:t>Ibid.</w:t>
      </w:r>
      <w:r w:rsidRPr="59E1FB5A">
        <w:t xml:space="preserve"> at p. 2.</w:t>
      </w:r>
    </w:p>
  </w:footnote>
  <w:footnote w:id="10">
    <w:p w14:paraId="4EE961F1" w14:textId="6E8A2777" w:rsidR="59E1FB5A" w:rsidRDefault="59E1FB5A" w:rsidP="59E1FB5A">
      <w:pPr>
        <w:pStyle w:val="FootnoteText"/>
        <w:numPr>
          <w:ilvl w:val="0"/>
          <w:numId w:val="0"/>
        </w:numPr>
      </w:pPr>
      <w:r w:rsidRPr="59E1FB5A">
        <w:rPr>
          <w:rStyle w:val="FootnoteReference"/>
        </w:rPr>
        <w:footnoteRef/>
      </w:r>
      <w:r>
        <w:t xml:space="preserve"> See D.04-12-048 at FOF 106, D.07-12-052 at OP 26, D.12-01-033 at 44-45, PG&amp;E’s 2014 BPP at Sheet 36, and Resolution E-4828 at OP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7D56C" w14:textId="59767F19" w:rsidR="59E1FB5A" w:rsidRDefault="59E1FB5A" w:rsidP="59E1FB5A">
    <w:pPr>
      <w:pStyle w:val="Header"/>
      <w:tabs>
        <w:tab w:val="clear" w:pos="4320"/>
        <w:tab w:val="clear" w:pos="8640"/>
        <w:tab w:val="center" w:pos="4680"/>
        <w:tab w:val="right" w:pos="9180"/>
      </w:tabs>
      <w:spacing w:line="259" w:lineRule="auto"/>
    </w:pPr>
    <w:r>
      <w:t xml:space="preserve">Resolution </w:t>
    </w:r>
    <w:r w:rsidR="00997DF4">
      <w:t>E-5146</w:t>
    </w:r>
    <w:r>
      <w:tab/>
      <w:t xml:space="preserve"> DRAFT</w:t>
    </w:r>
    <w:r>
      <w:tab/>
      <w:t xml:space="preserve"> May 20, 2021</w:t>
    </w:r>
  </w:p>
  <w:p w14:paraId="2169D766" w14:textId="57945907" w:rsidR="59E1FB5A" w:rsidRDefault="59E1FB5A" w:rsidP="59E1FB5A">
    <w:pPr>
      <w:pStyle w:val="Header"/>
      <w:tabs>
        <w:tab w:val="clear" w:pos="4320"/>
        <w:tab w:val="clear" w:pos="8640"/>
        <w:tab w:val="center" w:pos="4680"/>
        <w:tab w:val="right" w:pos="9180"/>
      </w:tabs>
      <w:spacing w:line="259" w:lineRule="auto"/>
    </w:pPr>
    <w:r>
      <w:t>Pacific Gas and Electric Company AL 6051-E/ND2</w:t>
    </w:r>
  </w:p>
  <w:p w14:paraId="013F4CD4" w14:textId="77777777" w:rsidR="00CF17DE" w:rsidRDefault="00CF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1F806" w14:textId="77777777" w:rsidR="00CF17DE" w:rsidRPr="008E6797" w:rsidRDefault="00CF17DE" w:rsidP="003F6E5A">
    <w:pPr>
      <w:pStyle w:val="Header"/>
      <w:jc w:val="center"/>
      <w:rPr>
        <w:rFonts w:ascii="Helvetica" w:hAnsi="Helvetica"/>
        <w:sz w:val="28"/>
      </w:rPr>
    </w:pPr>
    <w:r w:rsidRPr="008E6797">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15:restartNumberingAfterBreak="0">
    <w:nsid w:val="0BDB7819"/>
    <w:multiLevelType w:val="multilevel"/>
    <w:tmpl w:val="0409000F"/>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480B1D"/>
    <w:multiLevelType w:val="multilevel"/>
    <w:tmpl w:val="88443944"/>
    <w:lvl w:ilvl="0">
      <w:start w:val="1"/>
      <w:numFmt w:val="decimal"/>
      <w:pStyle w:val="FootnoteText"/>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D34417"/>
    <w:multiLevelType w:val="multilevel"/>
    <w:tmpl w:val="A008ED54"/>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55FE43B3"/>
    <w:multiLevelType w:val="hybridMultilevel"/>
    <w:tmpl w:val="EE0A8470"/>
    <w:lvl w:ilvl="0" w:tplc="373E9830">
      <w:start w:val="1"/>
      <w:numFmt w:val="decimal"/>
      <w:lvlText w:val="%1."/>
      <w:lvlJc w:val="left"/>
      <w:pPr>
        <w:ind w:left="720" w:hanging="360"/>
      </w:pPr>
    </w:lvl>
    <w:lvl w:ilvl="1" w:tplc="166482EC">
      <w:start w:val="1"/>
      <w:numFmt w:val="lowerLetter"/>
      <w:lvlText w:val="%2."/>
      <w:lvlJc w:val="left"/>
      <w:pPr>
        <w:ind w:left="1440" w:hanging="360"/>
      </w:pPr>
    </w:lvl>
    <w:lvl w:ilvl="2" w:tplc="02CCBCA8">
      <w:start w:val="1"/>
      <w:numFmt w:val="lowerRoman"/>
      <w:lvlText w:val="%3."/>
      <w:lvlJc w:val="right"/>
      <w:pPr>
        <w:ind w:left="2160" w:hanging="180"/>
      </w:pPr>
    </w:lvl>
    <w:lvl w:ilvl="3" w:tplc="FDD20E0C">
      <w:start w:val="1"/>
      <w:numFmt w:val="decimal"/>
      <w:lvlText w:val="%4."/>
      <w:lvlJc w:val="left"/>
      <w:pPr>
        <w:ind w:left="2880" w:hanging="360"/>
      </w:pPr>
    </w:lvl>
    <w:lvl w:ilvl="4" w:tplc="530AF9C4">
      <w:start w:val="1"/>
      <w:numFmt w:val="lowerLetter"/>
      <w:lvlText w:val="%5."/>
      <w:lvlJc w:val="left"/>
      <w:pPr>
        <w:ind w:left="3600" w:hanging="360"/>
      </w:pPr>
    </w:lvl>
    <w:lvl w:ilvl="5" w:tplc="794CD700">
      <w:start w:val="1"/>
      <w:numFmt w:val="lowerRoman"/>
      <w:lvlText w:val="%6."/>
      <w:lvlJc w:val="right"/>
      <w:pPr>
        <w:ind w:left="4320" w:hanging="180"/>
      </w:pPr>
    </w:lvl>
    <w:lvl w:ilvl="6" w:tplc="C5D06D9C">
      <w:start w:val="1"/>
      <w:numFmt w:val="decimal"/>
      <w:lvlText w:val="%7."/>
      <w:lvlJc w:val="left"/>
      <w:pPr>
        <w:ind w:left="5040" w:hanging="360"/>
      </w:pPr>
    </w:lvl>
    <w:lvl w:ilvl="7" w:tplc="827AF308">
      <w:start w:val="1"/>
      <w:numFmt w:val="lowerLetter"/>
      <w:lvlText w:val="%8."/>
      <w:lvlJc w:val="left"/>
      <w:pPr>
        <w:ind w:left="5760" w:hanging="360"/>
      </w:pPr>
    </w:lvl>
    <w:lvl w:ilvl="8" w:tplc="259C1ED2">
      <w:start w:val="1"/>
      <w:numFmt w:val="lowerRoman"/>
      <w:lvlText w:val="%9."/>
      <w:lvlJc w:val="right"/>
      <w:pPr>
        <w:ind w:left="6480" w:hanging="180"/>
      </w:pPr>
    </w:lvl>
  </w:abstractNum>
  <w:abstractNum w:abstractNumId="8" w15:restartNumberingAfterBreak="0">
    <w:nsid w:val="572565C7"/>
    <w:multiLevelType w:val="hybridMultilevel"/>
    <w:tmpl w:val="B4D29030"/>
    <w:lvl w:ilvl="0" w:tplc="79180A76">
      <w:start w:val="1"/>
      <w:numFmt w:val="decimal"/>
      <w:lvlText w:val="%1."/>
      <w:lvlJc w:val="left"/>
      <w:pPr>
        <w:tabs>
          <w:tab w:val="num" w:pos="420"/>
        </w:tabs>
        <w:ind w:left="420" w:hanging="420"/>
      </w:pPr>
      <w:rPr>
        <w:rFonts w:hint="default"/>
      </w:rPr>
    </w:lvl>
    <w:lvl w:ilvl="1" w:tplc="8F30A596">
      <w:numFmt w:val="decimal"/>
      <w:lvlText w:val=""/>
      <w:lvlJc w:val="left"/>
    </w:lvl>
    <w:lvl w:ilvl="2" w:tplc="DF28897A">
      <w:numFmt w:val="decimal"/>
      <w:lvlText w:val=""/>
      <w:lvlJc w:val="left"/>
    </w:lvl>
    <w:lvl w:ilvl="3" w:tplc="A76C76E0">
      <w:numFmt w:val="decimal"/>
      <w:lvlText w:val=""/>
      <w:lvlJc w:val="left"/>
    </w:lvl>
    <w:lvl w:ilvl="4" w:tplc="D0E6B648">
      <w:numFmt w:val="decimal"/>
      <w:lvlText w:val=""/>
      <w:lvlJc w:val="left"/>
    </w:lvl>
    <w:lvl w:ilvl="5" w:tplc="967EDC18">
      <w:numFmt w:val="decimal"/>
      <w:lvlText w:val=""/>
      <w:lvlJc w:val="left"/>
    </w:lvl>
    <w:lvl w:ilvl="6" w:tplc="2B3AD010">
      <w:numFmt w:val="decimal"/>
      <w:lvlText w:val=""/>
      <w:lvlJc w:val="left"/>
    </w:lvl>
    <w:lvl w:ilvl="7" w:tplc="A524E616">
      <w:numFmt w:val="decimal"/>
      <w:lvlText w:val=""/>
      <w:lvlJc w:val="left"/>
    </w:lvl>
    <w:lvl w:ilvl="8" w:tplc="92322C20">
      <w:numFmt w:val="decimal"/>
      <w:lvlText w:val=""/>
      <w:lvlJc w:val="left"/>
    </w:lvl>
  </w:abstractNum>
  <w:abstractNum w:abstractNumId="9"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A206FD"/>
    <w:multiLevelType w:val="hybridMultilevel"/>
    <w:tmpl w:val="89E0FF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91F248C"/>
    <w:multiLevelType w:val="hybridMultilevel"/>
    <w:tmpl w:val="80967DCA"/>
    <w:lvl w:ilvl="0" w:tplc="B28643E6">
      <w:start w:val="1"/>
      <w:numFmt w:val="bullet"/>
      <w:lvlText w:val=""/>
      <w:lvlJc w:val="left"/>
      <w:pPr>
        <w:tabs>
          <w:tab w:val="num" w:pos="720"/>
        </w:tabs>
        <w:ind w:left="720" w:hanging="360"/>
      </w:pPr>
      <w:rPr>
        <w:rFonts w:ascii="Symbol" w:hAnsi="Symbol" w:hint="default"/>
        <w:sz w:val="20"/>
      </w:rPr>
    </w:lvl>
    <w:lvl w:ilvl="1" w:tplc="571671C8" w:tentative="1">
      <w:start w:val="1"/>
      <w:numFmt w:val="bullet"/>
      <w:lvlText w:val=""/>
      <w:lvlJc w:val="left"/>
      <w:pPr>
        <w:tabs>
          <w:tab w:val="num" w:pos="1440"/>
        </w:tabs>
        <w:ind w:left="1440" w:hanging="360"/>
      </w:pPr>
      <w:rPr>
        <w:rFonts w:ascii="Symbol" w:hAnsi="Symbol" w:hint="default"/>
        <w:sz w:val="20"/>
      </w:rPr>
    </w:lvl>
    <w:lvl w:ilvl="2" w:tplc="7D709584" w:tentative="1">
      <w:start w:val="1"/>
      <w:numFmt w:val="bullet"/>
      <w:lvlText w:val=""/>
      <w:lvlJc w:val="left"/>
      <w:pPr>
        <w:tabs>
          <w:tab w:val="num" w:pos="2160"/>
        </w:tabs>
        <w:ind w:left="2160" w:hanging="360"/>
      </w:pPr>
      <w:rPr>
        <w:rFonts w:ascii="Symbol" w:hAnsi="Symbol" w:hint="default"/>
        <w:sz w:val="20"/>
      </w:rPr>
    </w:lvl>
    <w:lvl w:ilvl="3" w:tplc="6D0A7D5E" w:tentative="1">
      <w:start w:val="1"/>
      <w:numFmt w:val="bullet"/>
      <w:lvlText w:val=""/>
      <w:lvlJc w:val="left"/>
      <w:pPr>
        <w:tabs>
          <w:tab w:val="num" w:pos="2880"/>
        </w:tabs>
        <w:ind w:left="2880" w:hanging="360"/>
      </w:pPr>
      <w:rPr>
        <w:rFonts w:ascii="Symbol" w:hAnsi="Symbol" w:hint="default"/>
        <w:sz w:val="20"/>
      </w:rPr>
    </w:lvl>
    <w:lvl w:ilvl="4" w:tplc="19401402" w:tentative="1">
      <w:start w:val="1"/>
      <w:numFmt w:val="bullet"/>
      <w:lvlText w:val=""/>
      <w:lvlJc w:val="left"/>
      <w:pPr>
        <w:tabs>
          <w:tab w:val="num" w:pos="3600"/>
        </w:tabs>
        <w:ind w:left="3600" w:hanging="360"/>
      </w:pPr>
      <w:rPr>
        <w:rFonts w:ascii="Symbol" w:hAnsi="Symbol" w:hint="default"/>
        <w:sz w:val="20"/>
      </w:rPr>
    </w:lvl>
    <w:lvl w:ilvl="5" w:tplc="D0DAE160" w:tentative="1">
      <w:start w:val="1"/>
      <w:numFmt w:val="bullet"/>
      <w:lvlText w:val=""/>
      <w:lvlJc w:val="left"/>
      <w:pPr>
        <w:tabs>
          <w:tab w:val="num" w:pos="4320"/>
        </w:tabs>
        <w:ind w:left="4320" w:hanging="360"/>
      </w:pPr>
      <w:rPr>
        <w:rFonts w:ascii="Symbol" w:hAnsi="Symbol" w:hint="default"/>
        <w:sz w:val="20"/>
      </w:rPr>
    </w:lvl>
    <w:lvl w:ilvl="6" w:tplc="DD56E3EA" w:tentative="1">
      <w:start w:val="1"/>
      <w:numFmt w:val="bullet"/>
      <w:lvlText w:val=""/>
      <w:lvlJc w:val="left"/>
      <w:pPr>
        <w:tabs>
          <w:tab w:val="num" w:pos="5040"/>
        </w:tabs>
        <w:ind w:left="5040" w:hanging="360"/>
      </w:pPr>
      <w:rPr>
        <w:rFonts w:ascii="Symbol" w:hAnsi="Symbol" w:hint="default"/>
        <w:sz w:val="20"/>
      </w:rPr>
    </w:lvl>
    <w:lvl w:ilvl="7" w:tplc="09289014" w:tentative="1">
      <w:start w:val="1"/>
      <w:numFmt w:val="bullet"/>
      <w:lvlText w:val=""/>
      <w:lvlJc w:val="left"/>
      <w:pPr>
        <w:tabs>
          <w:tab w:val="num" w:pos="5760"/>
        </w:tabs>
        <w:ind w:left="5760" w:hanging="360"/>
      </w:pPr>
      <w:rPr>
        <w:rFonts w:ascii="Symbol" w:hAnsi="Symbol" w:hint="default"/>
        <w:sz w:val="20"/>
      </w:rPr>
    </w:lvl>
    <w:lvl w:ilvl="8" w:tplc="BAD8A340"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8"/>
  </w:num>
  <w:num w:numId="6">
    <w:abstractNumId w:val="2"/>
  </w:num>
  <w:num w:numId="7">
    <w:abstractNumId w:val="5"/>
  </w:num>
  <w:num w:numId="8">
    <w:abstractNumId w:val="12"/>
  </w:num>
  <w:num w:numId="9">
    <w:abstractNumId w:val="13"/>
  </w:num>
  <w:num w:numId="10">
    <w:abstractNumId w:val="3"/>
  </w:num>
  <w:num w:numId="11">
    <w:abstractNumId w:val="9"/>
  </w:num>
  <w:num w:numId="12">
    <w:abstractNumId w:val="0"/>
  </w:num>
  <w:num w:numId="13">
    <w:abstractNumId w:val="11"/>
  </w:num>
  <w:num w:numId="14">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12D45"/>
    <w:rsid w:val="00024C89"/>
    <w:rsid w:val="00025975"/>
    <w:rsid w:val="00055467"/>
    <w:rsid w:val="000B5D11"/>
    <w:rsid w:val="000C3FE7"/>
    <w:rsid w:val="000D3A75"/>
    <w:rsid w:val="000D7A82"/>
    <w:rsid w:val="000E1C4C"/>
    <w:rsid w:val="00142FB8"/>
    <w:rsid w:val="00165280"/>
    <w:rsid w:val="001F5325"/>
    <w:rsid w:val="002297E8"/>
    <w:rsid w:val="0024459D"/>
    <w:rsid w:val="00282D87"/>
    <w:rsid w:val="002F0F80"/>
    <w:rsid w:val="002F3200"/>
    <w:rsid w:val="002F63EA"/>
    <w:rsid w:val="00366C0C"/>
    <w:rsid w:val="00394B3A"/>
    <w:rsid w:val="003B1839"/>
    <w:rsid w:val="003B28DC"/>
    <w:rsid w:val="003F6E5A"/>
    <w:rsid w:val="00400F6B"/>
    <w:rsid w:val="00411D6C"/>
    <w:rsid w:val="00431BF6"/>
    <w:rsid w:val="00440AB7"/>
    <w:rsid w:val="00453DC4"/>
    <w:rsid w:val="00467956"/>
    <w:rsid w:val="0046ACC0"/>
    <w:rsid w:val="00470B9B"/>
    <w:rsid w:val="004905D3"/>
    <w:rsid w:val="004D3212"/>
    <w:rsid w:val="004E7CE5"/>
    <w:rsid w:val="0057398B"/>
    <w:rsid w:val="005805BF"/>
    <w:rsid w:val="00593807"/>
    <w:rsid w:val="005C6433"/>
    <w:rsid w:val="005F1942"/>
    <w:rsid w:val="00613C9A"/>
    <w:rsid w:val="0069631C"/>
    <w:rsid w:val="006A7B21"/>
    <w:rsid w:val="006B05EE"/>
    <w:rsid w:val="006B1608"/>
    <w:rsid w:val="006C7C15"/>
    <w:rsid w:val="006D0218"/>
    <w:rsid w:val="006D6F38"/>
    <w:rsid w:val="006F2491"/>
    <w:rsid w:val="00707A86"/>
    <w:rsid w:val="00766D11"/>
    <w:rsid w:val="007A281A"/>
    <w:rsid w:val="007D578F"/>
    <w:rsid w:val="007D67CA"/>
    <w:rsid w:val="007F185C"/>
    <w:rsid w:val="00801D70"/>
    <w:rsid w:val="00811C45"/>
    <w:rsid w:val="00822061"/>
    <w:rsid w:val="0082594A"/>
    <w:rsid w:val="008C4E16"/>
    <w:rsid w:val="008E6797"/>
    <w:rsid w:val="008F1E2F"/>
    <w:rsid w:val="008F707A"/>
    <w:rsid w:val="00946E2C"/>
    <w:rsid w:val="009667DE"/>
    <w:rsid w:val="00966821"/>
    <w:rsid w:val="009809B1"/>
    <w:rsid w:val="00997DF4"/>
    <w:rsid w:val="009A24A8"/>
    <w:rsid w:val="009A50E0"/>
    <w:rsid w:val="009B5CA7"/>
    <w:rsid w:val="009D22B2"/>
    <w:rsid w:val="009D63EA"/>
    <w:rsid w:val="009D7160"/>
    <w:rsid w:val="00A1526C"/>
    <w:rsid w:val="00A218B6"/>
    <w:rsid w:val="00A32525"/>
    <w:rsid w:val="00A60201"/>
    <w:rsid w:val="00AE664C"/>
    <w:rsid w:val="00AF1DF6"/>
    <w:rsid w:val="00B061C7"/>
    <w:rsid w:val="00B15637"/>
    <w:rsid w:val="00B20AB3"/>
    <w:rsid w:val="00B42DFE"/>
    <w:rsid w:val="00B53268"/>
    <w:rsid w:val="00B61034"/>
    <w:rsid w:val="00B927B5"/>
    <w:rsid w:val="00BD6FF5"/>
    <w:rsid w:val="00C034B7"/>
    <w:rsid w:val="00CA25DC"/>
    <w:rsid w:val="00CA28A1"/>
    <w:rsid w:val="00CB42C3"/>
    <w:rsid w:val="00CF17DE"/>
    <w:rsid w:val="00D0484A"/>
    <w:rsid w:val="00D06B8C"/>
    <w:rsid w:val="00D137B9"/>
    <w:rsid w:val="00D20F6C"/>
    <w:rsid w:val="00D340E3"/>
    <w:rsid w:val="00D515F8"/>
    <w:rsid w:val="00D52F2C"/>
    <w:rsid w:val="00D822FD"/>
    <w:rsid w:val="00DA6B3E"/>
    <w:rsid w:val="00DB08CE"/>
    <w:rsid w:val="00DB619F"/>
    <w:rsid w:val="00DB6F2C"/>
    <w:rsid w:val="00DF35CC"/>
    <w:rsid w:val="00DF62F4"/>
    <w:rsid w:val="00E02127"/>
    <w:rsid w:val="00E058F0"/>
    <w:rsid w:val="00E070FA"/>
    <w:rsid w:val="00E106E5"/>
    <w:rsid w:val="00E12330"/>
    <w:rsid w:val="00E423DB"/>
    <w:rsid w:val="00E46169"/>
    <w:rsid w:val="00E56EE2"/>
    <w:rsid w:val="00E928CF"/>
    <w:rsid w:val="00EA127B"/>
    <w:rsid w:val="00EA7B77"/>
    <w:rsid w:val="00ED1176"/>
    <w:rsid w:val="00EE601F"/>
    <w:rsid w:val="00EE690F"/>
    <w:rsid w:val="00EF4A31"/>
    <w:rsid w:val="00EF56FD"/>
    <w:rsid w:val="00F0764D"/>
    <w:rsid w:val="00F12F6E"/>
    <w:rsid w:val="00F24996"/>
    <w:rsid w:val="00F24AC2"/>
    <w:rsid w:val="00F51F8B"/>
    <w:rsid w:val="00F54DA4"/>
    <w:rsid w:val="00F67A6A"/>
    <w:rsid w:val="00FC2DE4"/>
    <w:rsid w:val="00FD436F"/>
    <w:rsid w:val="00FE6C44"/>
    <w:rsid w:val="00FE6CAC"/>
    <w:rsid w:val="00FF4AFC"/>
    <w:rsid w:val="014E076F"/>
    <w:rsid w:val="01BA548E"/>
    <w:rsid w:val="01BE6849"/>
    <w:rsid w:val="02218FF0"/>
    <w:rsid w:val="031F1854"/>
    <w:rsid w:val="042600E1"/>
    <w:rsid w:val="05E0190B"/>
    <w:rsid w:val="06217892"/>
    <w:rsid w:val="06461970"/>
    <w:rsid w:val="06CF791B"/>
    <w:rsid w:val="07EB3B26"/>
    <w:rsid w:val="0822DEA2"/>
    <w:rsid w:val="09015F8A"/>
    <w:rsid w:val="0921BB99"/>
    <w:rsid w:val="096FEF64"/>
    <w:rsid w:val="0AC8299C"/>
    <w:rsid w:val="0B782490"/>
    <w:rsid w:val="0C39004C"/>
    <w:rsid w:val="0C8C2246"/>
    <w:rsid w:val="0D443BD0"/>
    <w:rsid w:val="0ED9CE77"/>
    <w:rsid w:val="10096BE3"/>
    <w:rsid w:val="1036F645"/>
    <w:rsid w:val="10CE8437"/>
    <w:rsid w:val="10E5683A"/>
    <w:rsid w:val="110C716F"/>
    <w:rsid w:val="112C7EA5"/>
    <w:rsid w:val="1307E920"/>
    <w:rsid w:val="1316D1AA"/>
    <w:rsid w:val="135E08D8"/>
    <w:rsid w:val="14190255"/>
    <w:rsid w:val="1470ABE4"/>
    <w:rsid w:val="14CD7578"/>
    <w:rsid w:val="166AC63F"/>
    <w:rsid w:val="16FC1BB9"/>
    <w:rsid w:val="1712BC9B"/>
    <w:rsid w:val="17D03F62"/>
    <w:rsid w:val="18D751C2"/>
    <w:rsid w:val="18EA2325"/>
    <w:rsid w:val="1A9E4366"/>
    <w:rsid w:val="1AC10D4F"/>
    <w:rsid w:val="1AD5FD93"/>
    <w:rsid w:val="1B2C043F"/>
    <w:rsid w:val="1BADFB81"/>
    <w:rsid w:val="1C774499"/>
    <w:rsid w:val="1D1785B0"/>
    <w:rsid w:val="1DAA01D0"/>
    <w:rsid w:val="1DC57346"/>
    <w:rsid w:val="1E04B351"/>
    <w:rsid w:val="1EDEBB47"/>
    <w:rsid w:val="1F2F4DF7"/>
    <w:rsid w:val="1FA083B2"/>
    <w:rsid w:val="20C7DFA4"/>
    <w:rsid w:val="227CE15B"/>
    <w:rsid w:val="232A2855"/>
    <w:rsid w:val="237C1A28"/>
    <w:rsid w:val="23F40E49"/>
    <w:rsid w:val="240C6843"/>
    <w:rsid w:val="2469085A"/>
    <w:rsid w:val="24C11F89"/>
    <w:rsid w:val="2517EA89"/>
    <w:rsid w:val="253316F8"/>
    <w:rsid w:val="2554DDC7"/>
    <w:rsid w:val="25ADA03E"/>
    <w:rsid w:val="260FC536"/>
    <w:rsid w:val="269975AB"/>
    <w:rsid w:val="26D0A0F2"/>
    <w:rsid w:val="27585929"/>
    <w:rsid w:val="279F9057"/>
    <w:rsid w:val="28E377BF"/>
    <w:rsid w:val="293AECE1"/>
    <w:rsid w:val="2955A1DA"/>
    <w:rsid w:val="2A79EE24"/>
    <w:rsid w:val="2A906E75"/>
    <w:rsid w:val="2AF1723B"/>
    <w:rsid w:val="2BCC2790"/>
    <w:rsid w:val="2E6CF3B5"/>
    <w:rsid w:val="2F4D5F47"/>
    <w:rsid w:val="3097906E"/>
    <w:rsid w:val="30E61312"/>
    <w:rsid w:val="315277DD"/>
    <w:rsid w:val="324922DE"/>
    <w:rsid w:val="326BD7AC"/>
    <w:rsid w:val="33AF23FA"/>
    <w:rsid w:val="35755183"/>
    <w:rsid w:val="357B02DF"/>
    <w:rsid w:val="35AA9BAB"/>
    <w:rsid w:val="35F983A5"/>
    <w:rsid w:val="3653898D"/>
    <w:rsid w:val="37C9A6E7"/>
    <w:rsid w:val="38AFB942"/>
    <w:rsid w:val="38DB1930"/>
    <w:rsid w:val="3938098C"/>
    <w:rsid w:val="394049AB"/>
    <w:rsid w:val="39F0B990"/>
    <w:rsid w:val="3A382458"/>
    <w:rsid w:val="3A44824B"/>
    <w:rsid w:val="3A7CD57D"/>
    <w:rsid w:val="3B8AE8B0"/>
    <w:rsid w:val="3BD002EF"/>
    <w:rsid w:val="3BEA7DEB"/>
    <w:rsid w:val="3E70AB2A"/>
    <w:rsid w:val="411820C5"/>
    <w:rsid w:val="41684198"/>
    <w:rsid w:val="431D3A56"/>
    <w:rsid w:val="43B40CED"/>
    <w:rsid w:val="43D9EABA"/>
    <w:rsid w:val="44A829EF"/>
    <w:rsid w:val="44ED2BDA"/>
    <w:rsid w:val="455EF4D4"/>
    <w:rsid w:val="45BE6D28"/>
    <w:rsid w:val="461ECCB3"/>
    <w:rsid w:val="463BB2BB"/>
    <w:rsid w:val="467EA469"/>
    <w:rsid w:val="4803847F"/>
    <w:rsid w:val="4843BC8A"/>
    <w:rsid w:val="484612F6"/>
    <w:rsid w:val="48F60DEA"/>
    <w:rsid w:val="49357974"/>
    <w:rsid w:val="497B9B12"/>
    <w:rsid w:val="49BF6311"/>
    <w:rsid w:val="49ED400C"/>
    <w:rsid w:val="4AAB387E"/>
    <w:rsid w:val="4B6C143A"/>
    <w:rsid w:val="4BB69522"/>
    <w:rsid w:val="4BDF2C08"/>
    <w:rsid w:val="4BE40947"/>
    <w:rsid w:val="4D037852"/>
    <w:rsid w:val="4D265F92"/>
    <w:rsid w:val="4DE73D14"/>
    <w:rsid w:val="4E82F133"/>
    <w:rsid w:val="50157C38"/>
    <w:rsid w:val="50423C51"/>
    <w:rsid w:val="524CA81F"/>
    <w:rsid w:val="53A36158"/>
    <w:rsid w:val="53E7A564"/>
    <w:rsid w:val="53F52A68"/>
    <w:rsid w:val="5532952A"/>
    <w:rsid w:val="5598E84F"/>
    <w:rsid w:val="5729CC35"/>
    <w:rsid w:val="578F0856"/>
    <w:rsid w:val="59E1FB5A"/>
    <w:rsid w:val="5A42085B"/>
    <w:rsid w:val="5C311861"/>
    <w:rsid w:val="5C398DC0"/>
    <w:rsid w:val="5EBD5A03"/>
    <w:rsid w:val="5EBDCCEB"/>
    <w:rsid w:val="5F1B0CE7"/>
    <w:rsid w:val="605A1596"/>
    <w:rsid w:val="6067AB79"/>
    <w:rsid w:val="60ADD32B"/>
    <w:rsid w:val="61740288"/>
    <w:rsid w:val="62853862"/>
    <w:rsid w:val="62E0D032"/>
    <w:rsid w:val="63C2FCC3"/>
    <w:rsid w:val="63CFBE39"/>
    <w:rsid w:val="6517DF73"/>
    <w:rsid w:val="666FE7D5"/>
    <w:rsid w:val="67E52684"/>
    <w:rsid w:val="68FEC684"/>
    <w:rsid w:val="699E5849"/>
    <w:rsid w:val="6A3E928D"/>
    <w:rsid w:val="6CBBC948"/>
    <w:rsid w:val="6CF2025F"/>
    <w:rsid w:val="6D69A31C"/>
    <w:rsid w:val="6D9CDDE7"/>
    <w:rsid w:val="6ED27051"/>
    <w:rsid w:val="6ED84EBD"/>
    <w:rsid w:val="70786BF1"/>
    <w:rsid w:val="70FC9E13"/>
    <w:rsid w:val="720FEF7F"/>
    <w:rsid w:val="72704F0A"/>
    <w:rsid w:val="736829B7"/>
    <w:rsid w:val="73815214"/>
    <w:rsid w:val="74E37B27"/>
    <w:rsid w:val="7538A7B7"/>
    <w:rsid w:val="75479041"/>
    <w:rsid w:val="76D47818"/>
    <w:rsid w:val="774C16B5"/>
    <w:rsid w:val="78178602"/>
    <w:rsid w:val="78278F84"/>
    <w:rsid w:val="78704879"/>
    <w:rsid w:val="79403E95"/>
    <w:rsid w:val="795C1DE6"/>
    <w:rsid w:val="79D76B3B"/>
    <w:rsid w:val="79FEEF18"/>
    <w:rsid w:val="7B0059FB"/>
    <w:rsid w:val="7B74434E"/>
    <w:rsid w:val="7B86053D"/>
    <w:rsid w:val="7B96CB83"/>
    <w:rsid w:val="7BB6D1C5"/>
    <w:rsid w:val="7C897ED5"/>
    <w:rsid w:val="7CE14432"/>
    <w:rsid w:val="7DB2AD19"/>
    <w:rsid w:val="7E286BCC"/>
    <w:rsid w:val="7EABE410"/>
    <w:rsid w:val="7FB2370D"/>
    <w:rsid w:val="7FFF4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C7BF"/>
  <w15:docId w15:val="{C6A26DC5-328E-461A-83C4-71E7296FCDCD}"/>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4"/>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numPr>
        <w:numId w:val="4"/>
      </w:num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2"/>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3"/>
      </w:numPr>
      <w:ind w:left="1080"/>
    </w:pPr>
  </w:style>
  <w:style w:type="character" w:styleId="FootnoteReference">
    <w:name w:val="footnote reference"/>
    <w:semiHidden/>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Palatino" w:hAnsi="Palatino"/>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82594A"/>
    <w:rPr>
      <w:b/>
      <w:bCs/>
    </w:rPr>
  </w:style>
  <w:style w:type="character" w:customStyle="1" w:styleId="CommentSubjectChar">
    <w:name w:val="Comment Subject Char"/>
    <w:basedOn w:val="CommentTextChar"/>
    <w:link w:val="CommentSubject"/>
    <w:semiHidden/>
    <w:rsid w:val="0082594A"/>
    <w:rPr>
      <w:rFonts w:ascii="Palatino" w:hAnsi="Palatino"/>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1042</ap:Words>
  <ap:Characters>5940</ap:Characters>
  <ap:Application>Microsoft Office Word</ap:Application>
  <ap:DocSecurity>0</ap:DocSecurity>
  <ap:Lines>49</ap:Lines>
  <ap:Paragraphs>13</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6969</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2019-02-28T22:11:00Z</cp:lastPrinted>
  <dcterms:created xsi:type="dcterms:W3CDTF">2021-04-13T10:59:29Z</dcterms:created>
  <dcterms:modified xsi:type="dcterms:W3CDTF">2021-04-13T10:59:29Z</dcterms:modified>
</cp:coreProperties>
</file>