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C204D" w:rsidR="001507CE" w:rsidP="001507CE" w:rsidRDefault="001507CE" w14:paraId="37FA4A2D" w14:textId="77777777">
      <w:pPr>
        <w:pStyle w:val="titlebar"/>
        <w:rPr>
          <w:sz w:val="24"/>
        </w:rPr>
      </w:pPr>
      <w:r w:rsidRPr="008C204D">
        <w:rPr>
          <w:sz w:val="24"/>
        </w:rPr>
        <w:t>PUBLIC UTILITIES COMMISSION OF THE STATE OF CALIFORNIA</w:t>
      </w:r>
    </w:p>
    <w:p w:rsidR="00E5735F" w:rsidP="00E5735F" w:rsidRDefault="00E5735F" w14:paraId="444A42D8" w14:textId="77777777">
      <w:pPr>
        <w:suppressAutoHyphens/>
        <w:spacing w:after="0" w:line="240" w:lineRule="auto"/>
        <w:ind w:left="6480"/>
        <w:rPr>
          <w:rFonts w:ascii="Palatino Linotype" w:hAnsi="Palatino Linotype" w:eastAsia="Times New Roman" w:cs="Times New Roman"/>
          <w:b/>
          <w:bCs/>
          <w:sz w:val="26"/>
          <w:szCs w:val="20"/>
        </w:rPr>
      </w:pPr>
    </w:p>
    <w:p w:rsidRPr="00E5735F" w:rsidR="00E5735F" w:rsidP="00E5735F" w:rsidRDefault="00E5735F" w14:paraId="2F00589B" w14:textId="109ACD06">
      <w:pPr>
        <w:suppressAutoHyphens/>
        <w:spacing w:after="0" w:line="240" w:lineRule="auto"/>
        <w:ind w:left="6480"/>
        <w:rPr>
          <w:rFonts w:ascii="Palatino Linotype" w:hAnsi="Palatino Linotype" w:eastAsia="Times New Roman" w:cs="Times New Roman"/>
          <w:b/>
          <w:bCs/>
          <w:sz w:val="24"/>
          <w:szCs w:val="24"/>
        </w:rPr>
      </w:pPr>
      <w:r w:rsidRPr="00E5735F">
        <w:rPr>
          <w:rFonts w:ascii="Palatino Linotype" w:hAnsi="Palatino Linotype" w:eastAsia="Times New Roman" w:cs="Times New Roman"/>
          <w:b/>
          <w:bCs/>
          <w:sz w:val="24"/>
          <w:szCs w:val="24"/>
        </w:rPr>
        <w:t>Agenda ID:</w:t>
      </w:r>
      <w:r w:rsidRPr="004E1F49" w:rsidR="004E1F49">
        <w:t xml:space="preserve"> </w:t>
      </w:r>
      <w:r w:rsidRPr="004E1F49" w:rsidR="004E1F49">
        <w:rPr>
          <w:rFonts w:ascii="Palatino Linotype" w:hAnsi="Palatino Linotype" w:eastAsia="Times New Roman" w:cs="Times New Roman"/>
          <w:b/>
          <w:bCs/>
          <w:sz w:val="24"/>
          <w:szCs w:val="24"/>
        </w:rPr>
        <w:t>19406</w:t>
      </w:r>
    </w:p>
    <w:p w:rsidRPr="00E5735F" w:rsidR="00E5735F" w:rsidP="00E5735F" w:rsidRDefault="00E5735F" w14:paraId="3B53F465" w14:textId="5E2BC5E6">
      <w:pPr>
        <w:spacing w:after="0" w:line="240" w:lineRule="auto"/>
        <w:rPr>
          <w:rFonts w:ascii="Palatino" w:hAnsi="Palatino" w:eastAsia="Times New Roman" w:cs="Times New Roman"/>
          <w:b/>
          <w:sz w:val="24"/>
          <w:szCs w:val="20"/>
        </w:rPr>
      </w:pPr>
      <w:r w:rsidRPr="00E5735F">
        <w:rPr>
          <w:rFonts w:ascii="Palatino" w:hAnsi="Palatino" w:eastAsia="Times New Roman" w:cs="Times New Roman"/>
          <w:b/>
          <w:sz w:val="24"/>
          <w:szCs w:val="20"/>
        </w:rPr>
        <w:t>ENERGY DIVISION</w:t>
      </w:r>
      <w:r w:rsidRPr="00E5735F">
        <w:rPr>
          <w:rFonts w:ascii="Palatino" w:hAnsi="Palatino" w:eastAsia="Times New Roman" w:cs="Times New Roman"/>
          <w:b/>
          <w:sz w:val="24"/>
          <w:szCs w:val="20"/>
        </w:rPr>
        <w:tab/>
      </w:r>
      <w:r w:rsidRPr="00E5735F">
        <w:rPr>
          <w:rFonts w:ascii="Palatino" w:hAnsi="Palatino" w:eastAsia="Times New Roman" w:cs="Times New Roman"/>
          <w:b/>
          <w:sz w:val="24"/>
          <w:szCs w:val="20"/>
        </w:rPr>
        <w:tab/>
      </w:r>
      <w:r w:rsidRPr="00E5735F">
        <w:rPr>
          <w:rFonts w:ascii="Palatino" w:hAnsi="Palatino" w:eastAsia="Times New Roman" w:cs="Times New Roman"/>
          <w:b/>
          <w:sz w:val="24"/>
          <w:szCs w:val="20"/>
        </w:rPr>
        <w:tab/>
      </w:r>
      <w:r w:rsidRPr="00E5735F">
        <w:rPr>
          <w:rFonts w:ascii="Palatino" w:hAnsi="Palatino" w:eastAsia="Times New Roman" w:cs="Times New Roman"/>
          <w:b/>
          <w:sz w:val="24"/>
          <w:szCs w:val="20"/>
        </w:rPr>
        <w:tab/>
      </w:r>
      <w:r w:rsidRPr="00E5735F">
        <w:rPr>
          <w:rFonts w:ascii="Palatino" w:hAnsi="Palatino" w:eastAsia="Times New Roman" w:cs="Times New Roman"/>
          <w:b/>
          <w:sz w:val="24"/>
          <w:szCs w:val="20"/>
        </w:rPr>
        <w:tab/>
      </w:r>
      <w:r w:rsidRPr="00E5735F">
        <w:rPr>
          <w:rFonts w:ascii="Palatino" w:hAnsi="Palatino" w:eastAsia="Times New Roman" w:cs="Times New Roman"/>
          <w:b/>
          <w:sz w:val="24"/>
          <w:szCs w:val="20"/>
        </w:rPr>
        <w:tab/>
        <w:t>RESOLUTION E-514</w:t>
      </w:r>
      <w:r>
        <w:rPr>
          <w:rFonts w:ascii="Palatino" w:hAnsi="Palatino" w:eastAsia="Times New Roman" w:cs="Times New Roman"/>
          <w:b/>
          <w:sz w:val="24"/>
          <w:szCs w:val="20"/>
        </w:rPr>
        <w:t>7</w:t>
      </w:r>
    </w:p>
    <w:p w:rsidRPr="00E5735F" w:rsidR="00E5735F" w:rsidP="00E5735F" w:rsidRDefault="00E5735F" w14:paraId="1ED3A87A" w14:textId="77777777">
      <w:pPr>
        <w:tabs>
          <w:tab w:val="right" w:pos="8910"/>
        </w:tabs>
        <w:spacing w:after="0" w:line="240" w:lineRule="auto"/>
        <w:rPr>
          <w:rFonts w:ascii="Palatino" w:hAnsi="Palatino" w:eastAsia="Times New Roman" w:cs="Times New Roman"/>
          <w:b/>
          <w:sz w:val="24"/>
          <w:szCs w:val="20"/>
        </w:rPr>
      </w:pPr>
      <w:r w:rsidRPr="00E5735F">
        <w:rPr>
          <w:rFonts w:ascii="Palatino" w:hAnsi="Palatino" w:eastAsia="Times New Roman" w:cs="Times New Roman"/>
          <w:b/>
          <w:sz w:val="24"/>
          <w:szCs w:val="20"/>
        </w:rPr>
        <w:t xml:space="preserve">                                                                                                            May 20, 2021</w:t>
      </w:r>
    </w:p>
    <w:p w:rsidRPr="008C204D" w:rsidR="001507CE" w:rsidP="001507CE" w:rsidRDefault="001507CE" w14:paraId="0C56D4CF" w14:textId="77777777">
      <w:pPr>
        <w:tabs>
          <w:tab w:val="right" w:pos="8910"/>
        </w:tabs>
        <w:ind w:left="1440" w:firstLine="720"/>
        <w:rPr>
          <w:b/>
          <w:sz w:val="24"/>
        </w:rPr>
      </w:pPr>
    </w:p>
    <w:p w:rsidRPr="008C204D" w:rsidR="001507CE" w:rsidP="001507CE" w:rsidRDefault="001507CE" w14:paraId="7A2EBC86" w14:textId="77777777">
      <w:pPr>
        <w:pStyle w:val="mainex"/>
        <w:rPr>
          <w:u w:val="single"/>
        </w:rPr>
      </w:pPr>
      <w:r w:rsidRPr="008C204D">
        <w:rPr>
          <w:u w:val="single"/>
        </w:rPr>
        <w:t>RESOLUTION</w:t>
      </w:r>
    </w:p>
    <w:p w:rsidRPr="0026099A" w:rsidR="001507CE" w:rsidP="001507CE" w:rsidRDefault="001507CE" w14:paraId="6E034AC7" w14:textId="77777777">
      <w:pPr>
        <w:rPr>
          <w:sz w:val="24"/>
          <w:szCs w:val="24"/>
        </w:rPr>
      </w:pPr>
    </w:p>
    <w:p w:rsidR="001507CE" w:rsidP="001507CE" w:rsidRDefault="001507CE" w14:paraId="0F5895EE" w14:textId="3D7A7293">
      <w:pPr>
        <w:pStyle w:val="Res-Caption"/>
        <w:rPr>
          <w:rFonts w:ascii="Palatino Linotype" w:hAnsi="Palatino Linotype"/>
        </w:rPr>
      </w:pPr>
      <w:bookmarkStart w:name="_Hlk69306426" w:id="0"/>
      <w:r w:rsidRPr="00181CC0">
        <w:rPr>
          <w:rFonts w:ascii="Palatino Linotype" w:hAnsi="Palatino Linotype"/>
        </w:rPr>
        <w:t xml:space="preserve">Resolution </w:t>
      </w:r>
      <w:r w:rsidRPr="005A0B5E">
        <w:rPr>
          <w:rFonts w:ascii="Palatino Linotype" w:hAnsi="Palatino Linotype"/>
        </w:rPr>
        <w:t>E-</w:t>
      </w:r>
      <w:r w:rsidR="00960D5B">
        <w:rPr>
          <w:rFonts w:ascii="Palatino Linotype" w:hAnsi="Palatino Linotype"/>
        </w:rPr>
        <w:t>514</w:t>
      </w:r>
      <w:r w:rsidR="00173E8B">
        <w:rPr>
          <w:rFonts w:ascii="Palatino Linotype" w:hAnsi="Palatino Linotype"/>
        </w:rPr>
        <w:t>7</w:t>
      </w:r>
      <w:r w:rsidRPr="00181CC0">
        <w:rPr>
          <w:rFonts w:ascii="Palatino Linotype" w:hAnsi="Palatino Linotype"/>
        </w:rPr>
        <w:t xml:space="preserve"> </w:t>
      </w:r>
      <w:r w:rsidR="00D102FF">
        <w:rPr>
          <w:rFonts w:ascii="Palatino Linotype" w:hAnsi="Palatino Linotype"/>
        </w:rPr>
        <w:t xml:space="preserve">Pacific Gas &amp; Electric, </w:t>
      </w:r>
      <w:r w:rsidR="005A3FE5">
        <w:rPr>
          <w:rFonts w:ascii="Palatino Linotype" w:hAnsi="Palatino Linotype"/>
        </w:rPr>
        <w:t xml:space="preserve">Southern California Edison and </w:t>
      </w:r>
      <w:r>
        <w:rPr>
          <w:rFonts w:ascii="Palatino Linotype" w:hAnsi="Palatino Linotype"/>
        </w:rPr>
        <w:t xml:space="preserve">San Diego Gas &amp; Electric request approval </w:t>
      </w:r>
      <w:r w:rsidR="00FC6296">
        <w:rPr>
          <w:rFonts w:ascii="Palatino Linotype" w:hAnsi="Palatino Linotype"/>
        </w:rPr>
        <w:t>for site-host ownership rebate amounts</w:t>
      </w:r>
      <w:r>
        <w:rPr>
          <w:rFonts w:ascii="Palatino Linotype" w:hAnsi="Palatino Linotype"/>
        </w:rPr>
        <w:t xml:space="preserve"> to compl</w:t>
      </w:r>
      <w:r w:rsidR="0077647F">
        <w:rPr>
          <w:rFonts w:ascii="Palatino Linotype" w:hAnsi="Palatino Linotype"/>
        </w:rPr>
        <w:t>y</w:t>
      </w:r>
      <w:r>
        <w:rPr>
          <w:rFonts w:ascii="Palatino Linotype" w:hAnsi="Palatino Linotype"/>
        </w:rPr>
        <w:t xml:space="preserve"> with Decision 19-11-017 and </w:t>
      </w:r>
      <w:r w:rsidR="00C552CA">
        <w:rPr>
          <w:rFonts w:ascii="Palatino Linotype" w:hAnsi="Palatino Linotype"/>
        </w:rPr>
        <w:t>A</w:t>
      </w:r>
      <w:r>
        <w:rPr>
          <w:rFonts w:ascii="Palatino Linotype" w:hAnsi="Palatino Linotype"/>
        </w:rPr>
        <w:t>ssembly Bill 1082</w:t>
      </w:r>
      <w:r w:rsidRPr="00181CC0">
        <w:rPr>
          <w:rFonts w:ascii="Palatino Linotype" w:hAnsi="Palatino Linotype"/>
        </w:rPr>
        <w:t xml:space="preserve">. </w:t>
      </w:r>
    </w:p>
    <w:p w:rsidR="001507CE" w:rsidP="001507CE" w:rsidRDefault="001507CE" w14:paraId="4D37DD4C" w14:textId="77777777">
      <w:pPr>
        <w:pStyle w:val="Res-Caption"/>
        <w:rPr>
          <w:rFonts w:ascii="Palatino Linotype" w:hAnsi="Palatino Linotype"/>
        </w:rPr>
      </w:pPr>
    </w:p>
    <w:p w:rsidRPr="00181CC0" w:rsidR="001507CE" w:rsidP="001507CE" w:rsidRDefault="001507CE" w14:paraId="11B5EA53" w14:textId="77777777">
      <w:pPr>
        <w:pStyle w:val="Res-Caption"/>
        <w:rPr>
          <w:rFonts w:ascii="Palatino Linotype" w:hAnsi="Palatino Linotype"/>
        </w:rPr>
      </w:pPr>
      <w:r w:rsidRPr="00181CC0">
        <w:rPr>
          <w:rFonts w:ascii="Palatino Linotype" w:hAnsi="Palatino Linotype"/>
        </w:rPr>
        <w:t>PROPOSED OUTCOME:</w:t>
      </w:r>
    </w:p>
    <w:p w:rsidR="001507CE" w:rsidP="001507CE" w:rsidRDefault="001507CE" w14:paraId="2DACDC36" w14:textId="5885B779">
      <w:pPr>
        <w:pStyle w:val="Res-Caption"/>
        <w:numPr>
          <w:ilvl w:val="0"/>
          <w:numId w:val="4"/>
        </w:numPr>
        <w:rPr>
          <w:rFonts w:ascii="Palatino Linotype" w:hAnsi="Palatino Linotype"/>
        </w:rPr>
      </w:pPr>
      <w:r w:rsidRPr="00181CC0">
        <w:rPr>
          <w:rFonts w:ascii="Palatino Linotype" w:hAnsi="Palatino Linotype"/>
        </w:rPr>
        <w:t xml:space="preserve">This resolution finds that </w:t>
      </w:r>
      <w:r w:rsidR="00D102FF">
        <w:rPr>
          <w:rFonts w:ascii="Palatino Linotype" w:hAnsi="Palatino Linotype"/>
        </w:rPr>
        <w:t xml:space="preserve">Pacific Gas and Electric’s, </w:t>
      </w:r>
      <w:r w:rsidR="005A3FE5">
        <w:rPr>
          <w:rFonts w:ascii="Palatino Linotype" w:hAnsi="Palatino Linotype"/>
        </w:rPr>
        <w:t xml:space="preserve">Southern California Edison’s and </w:t>
      </w:r>
      <w:r>
        <w:rPr>
          <w:rFonts w:ascii="Palatino Linotype" w:hAnsi="Palatino Linotype"/>
        </w:rPr>
        <w:t xml:space="preserve">San Diego Gas &amp; Electric’s </w:t>
      </w:r>
      <w:r w:rsidR="00FC6296">
        <w:rPr>
          <w:rFonts w:ascii="Palatino Linotype" w:hAnsi="Palatino Linotype"/>
        </w:rPr>
        <w:t>proposed site-host ownership rebate amounts are</w:t>
      </w:r>
      <w:r>
        <w:rPr>
          <w:rFonts w:ascii="Palatino Linotype" w:hAnsi="Palatino Linotype"/>
        </w:rPr>
        <w:t xml:space="preserve"> reasonable</w:t>
      </w:r>
      <w:r w:rsidR="008F08FA">
        <w:rPr>
          <w:rFonts w:ascii="Palatino Linotype" w:hAnsi="Palatino Linotype"/>
        </w:rPr>
        <w:t>, with modifications,</w:t>
      </w:r>
      <w:r>
        <w:rPr>
          <w:rFonts w:ascii="Palatino Linotype" w:hAnsi="Palatino Linotype"/>
        </w:rPr>
        <w:t xml:space="preserve"> and </w:t>
      </w:r>
      <w:r w:rsidR="00DF3534">
        <w:rPr>
          <w:rFonts w:ascii="Palatino Linotype" w:hAnsi="Palatino Linotype"/>
        </w:rPr>
        <w:t>are</w:t>
      </w:r>
      <w:r>
        <w:rPr>
          <w:rFonts w:ascii="Palatino Linotype" w:hAnsi="Palatino Linotype"/>
        </w:rPr>
        <w:t xml:space="preserve"> in compliance with Decision 19-11-017.</w:t>
      </w:r>
    </w:p>
    <w:p w:rsidRPr="00181CC0" w:rsidR="001507CE" w:rsidP="001507CE" w:rsidRDefault="001507CE" w14:paraId="7DD257D5" w14:textId="7C78499C">
      <w:pPr>
        <w:pStyle w:val="Res-Caption"/>
        <w:ind w:left="1575"/>
        <w:rPr>
          <w:rFonts w:ascii="Palatino Linotype" w:hAnsi="Palatino Linotype"/>
        </w:rPr>
      </w:pPr>
      <w:r w:rsidRPr="00181CC0">
        <w:rPr>
          <w:rFonts w:ascii="Palatino Linotype" w:hAnsi="Palatino Linotype"/>
        </w:rPr>
        <w:t xml:space="preserve"> </w:t>
      </w:r>
    </w:p>
    <w:p w:rsidRPr="00E97795" w:rsidR="001507CE" w:rsidP="001507CE" w:rsidRDefault="001507CE" w14:paraId="098086A9" w14:textId="77777777">
      <w:pPr>
        <w:autoSpaceDE w:val="0"/>
        <w:autoSpaceDN w:val="0"/>
        <w:ind w:left="720" w:right="720"/>
        <w:rPr>
          <w:rFonts w:ascii="Palatino Linotype" w:hAnsi="Palatino Linotype" w:eastAsia="Times New Roman" w:cs="Times New Roman"/>
          <w:sz w:val="26"/>
          <w:szCs w:val="20"/>
        </w:rPr>
      </w:pPr>
      <w:r w:rsidRPr="006C0FDA">
        <w:rPr>
          <w:rFonts w:ascii="Palatino Linotype" w:hAnsi="Palatino Linotype" w:eastAsia="Times New Roman" w:cs="Times New Roman"/>
          <w:sz w:val="26"/>
          <w:szCs w:val="20"/>
        </w:rPr>
        <w:t>SAFETY CONSIDERATIONS:</w:t>
      </w:r>
    </w:p>
    <w:p w:rsidRPr="006C0FDA" w:rsidR="006C0FDA" w:rsidP="006C0FDA" w:rsidRDefault="006C0FDA" w14:paraId="014848BA" w14:textId="77777777">
      <w:pPr>
        <w:pStyle w:val="Res-Caption"/>
        <w:numPr>
          <w:ilvl w:val="0"/>
          <w:numId w:val="4"/>
        </w:numPr>
        <w:rPr>
          <w:rFonts w:ascii="Palatino Linotype" w:hAnsi="Palatino Linotype"/>
        </w:rPr>
      </w:pPr>
      <w:r w:rsidRPr="006C0FDA">
        <w:rPr>
          <w:rFonts w:ascii="Palatino Linotype" w:hAnsi="Palatino Linotype"/>
        </w:rPr>
        <w:t>There are no safety considerations associated with this resolution.</w:t>
      </w:r>
    </w:p>
    <w:p w:rsidRPr="00181CC0" w:rsidR="001507CE" w:rsidP="001507CE" w:rsidRDefault="006C0FDA" w14:paraId="6F8BA2C0" w14:textId="22314062">
      <w:pPr>
        <w:pStyle w:val="Res-Caption"/>
        <w:rPr>
          <w:rFonts w:ascii="Palatino Linotype" w:hAnsi="Palatino Linotype"/>
        </w:rPr>
      </w:pPr>
      <w:r w:rsidRPr="00D30FF1" w:rsidDel="006C0FDA">
        <w:rPr>
          <w:rFonts w:ascii="Palatino Linotype" w:hAnsi="Palatino Linotype"/>
        </w:rPr>
        <w:t xml:space="preserve"> </w:t>
      </w:r>
    </w:p>
    <w:p w:rsidRPr="00181CC0" w:rsidR="001507CE" w:rsidP="001507CE" w:rsidRDefault="001507CE" w14:paraId="5AEF94B6" w14:textId="77777777">
      <w:pPr>
        <w:pStyle w:val="Res-Caption"/>
        <w:rPr>
          <w:rFonts w:ascii="Palatino Linotype" w:hAnsi="Palatino Linotype"/>
        </w:rPr>
      </w:pPr>
      <w:r w:rsidRPr="00181CC0">
        <w:rPr>
          <w:rFonts w:ascii="Palatino Linotype" w:hAnsi="Palatino Linotype"/>
        </w:rPr>
        <w:t>ESTIMATED COST:</w:t>
      </w:r>
    </w:p>
    <w:p w:rsidRPr="00181CC0" w:rsidR="001507CE" w:rsidP="001507CE" w:rsidRDefault="005A3FE5" w14:paraId="3428F8CA" w14:textId="0A7162E3">
      <w:pPr>
        <w:pStyle w:val="Res-Caption"/>
        <w:numPr>
          <w:ilvl w:val="0"/>
          <w:numId w:val="4"/>
        </w:numPr>
        <w:rPr>
          <w:rFonts w:ascii="Palatino Linotype" w:hAnsi="Palatino Linotype" w:cs="Arial"/>
        </w:rPr>
      </w:pPr>
      <w:r>
        <w:rPr>
          <w:rFonts w:ascii="Palatino Linotype" w:hAnsi="Palatino Linotype"/>
        </w:rPr>
        <w:t>There are no cost</w:t>
      </w:r>
      <w:r w:rsidR="00892984">
        <w:rPr>
          <w:rFonts w:ascii="Palatino Linotype" w:hAnsi="Palatino Linotype"/>
        </w:rPr>
        <w:t>s</w:t>
      </w:r>
      <w:r w:rsidR="008F08FA">
        <w:rPr>
          <w:rFonts w:ascii="Palatino Linotype" w:hAnsi="Palatino Linotype"/>
        </w:rPr>
        <w:t xml:space="preserve"> impacts</w:t>
      </w:r>
      <w:r w:rsidR="00892984">
        <w:rPr>
          <w:rFonts w:ascii="Palatino Linotype" w:hAnsi="Palatino Linotype"/>
        </w:rPr>
        <w:t xml:space="preserve"> associated with this resolution</w:t>
      </w:r>
      <w:r w:rsidR="008F08FA">
        <w:rPr>
          <w:rFonts w:ascii="Palatino Linotype" w:hAnsi="Palatino Linotype"/>
        </w:rPr>
        <w:t>.</w:t>
      </w:r>
      <w:r w:rsidR="00CD46D0">
        <w:rPr>
          <w:rFonts w:ascii="Palatino Linotype" w:hAnsi="Palatino Linotype"/>
        </w:rPr>
        <w:t xml:space="preserve"> </w:t>
      </w:r>
    </w:p>
    <w:p w:rsidRPr="00D30FF1" w:rsidR="001507CE" w:rsidP="00D30FF1" w:rsidRDefault="001507CE" w14:paraId="22DD1BBA" w14:textId="77777777">
      <w:pPr>
        <w:autoSpaceDE w:val="0"/>
        <w:autoSpaceDN w:val="0"/>
        <w:ind w:left="720" w:right="720"/>
        <w:rPr>
          <w:rFonts w:ascii="Palatino Linotype" w:hAnsi="Palatino Linotype" w:eastAsia="Times New Roman" w:cs="Times New Roman"/>
          <w:sz w:val="26"/>
          <w:szCs w:val="20"/>
        </w:rPr>
      </w:pPr>
    </w:p>
    <w:p w:rsidRPr="00D30FF1" w:rsidR="001507CE" w:rsidP="00D30FF1" w:rsidRDefault="001507CE" w14:paraId="177D66D8" w14:textId="16D33709">
      <w:pPr>
        <w:autoSpaceDE w:val="0"/>
        <w:autoSpaceDN w:val="0"/>
        <w:ind w:left="720" w:right="720"/>
        <w:rPr>
          <w:rFonts w:ascii="Palatino Linotype" w:hAnsi="Palatino Linotype" w:eastAsia="Times New Roman" w:cs="Times New Roman"/>
          <w:sz w:val="26"/>
          <w:szCs w:val="20"/>
        </w:rPr>
      </w:pPr>
      <w:r w:rsidRPr="00D30FF1">
        <w:rPr>
          <w:rFonts w:ascii="Palatino Linotype" w:hAnsi="Palatino Linotype" w:eastAsia="Times New Roman" w:cs="Times New Roman"/>
          <w:sz w:val="26"/>
          <w:szCs w:val="20"/>
        </w:rPr>
        <w:t xml:space="preserve">By Advice Letter </w:t>
      </w:r>
      <w:r w:rsidR="00FC6296">
        <w:rPr>
          <w:rFonts w:ascii="Palatino Linotype" w:hAnsi="Palatino Linotype" w:eastAsia="Times New Roman" w:cs="Times New Roman"/>
          <w:sz w:val="26"/>
          <w:szCs w:val="20"/>
        </w:rPr>
        <w:t>3551</w:t>
      </w:r>
      <w:r w:rsidRPr="00D30FF1">
        <w:rPr>
          <w:rFonts w:ascii="Palatino Linotype" w:hAnsi="Palatino Linotype" w:eastAsia="Times New Roman" w:cs="Times New Roman"/>
          <w:sz w:val="26"/>
          <w:szCs w:val="20"/>
        </w:rPr>
        <w:t>-E filed on J</w:t>
      </w:r>
      <w:r w:rsidR="00FC6296">
        <w:rPr>
          <w:rFonts w:ascii="Palatino Linotype" w:hAnsi="Palatino Linotype" w:eastAsia="Times New Roman" w:cs="Times New Roman"/>
          <w:sz w:val="26"/>
          <w:szCs w:val="20"/>
        </w:rPr>
        <w:t>une</w:t>
      </w:r>
      <w:r w:rsidRPr="00D30FF1">
        <w:rPr>
          <w:rFonts w:ascii="Palatino Linotype" w:hAnsi="Palatino Linotype" w:eastAsia="Times New Roman" w:cs="Times New Roman"/>
          <w:sz w:val="26"/>
          <w:szCs w:val="20"/>
        </w:rPr>
        <w:t xml:space="preserve"> </w:t>
      </w:r>
      <w:r w:rsidR="00FC6296">
        <w:rPr>
          <w:rFonts w:ascii="Palatino Linotype" w:hAnsi="Palatino Linotype" w:eastAsia="Times New Roman" w:cs="Times New Roman"/>
          <w:sz w:val="26"/>
          <w:szCs w:val="20"/>
        </w:rPr>
        <w:t>17</w:t>
      </w:r>
      <w:r w:rsidRPr="00D30FF1">
        <w:rPr>
          <w:rFonts w:ascii="Palatino Linotype" w:hAnsi="Palatino Linotype" w:eastAsia="Times New Roman" w:cs="Times New Roman"/>
          <w:sz w:val="26"/>
          <w:szCs w:val="20"/>
        </w:rPr>
        <w:t>, 2020</w:t>
      </w:r>
      <w:r w:rsidR="00D102FF">
        <w:rPr>
          <w:rFonts w:ascii="Palatino Linotype" w:hAnsi="Palatino Linotype" w:eastAsia="Times New Roman" w:cs="Times New Roman"/>
          <w:sz w:val="26"/>
          <w:szCs w:val="20"/>
        </w:rPr>
        <w:t>,</w:t>
      </w:r>
      <w:r w:rsidR="005A3FE5">
        <w:rPr>
          <w:rFonts w:ascii="Palatino Linotype" w:hAnsi="Palatino Linotype" w:eastAsia="Times New Roman" w:cs="Times New Roman"/>
          <w:sz w:val="26"/>
          <w:szCs w:val="20"/>
        </w:rPr>
        <w:t xml:space="preserve"> Advice Letter 4286-E filed September 9, 2020</w:t>
      </w:r>
      <w:r w:rsidR="00D102FF">
        <w:rPr>
          <w:rFonts w:ascii="Palatino Linotype" w:hAnsi="Palatino Linotype" w:eastAsia="Times New Roman" w:cs="Times New Roman"/>
          <w:sz w:val="26"/>
          <w:szCs w:val="20"/>
        </w:rPr>
        <w:t>, and Advice Letter 5993-E filed November 5,</w:t>
      </w:r>
      <w:r w:rsidR="00F91D5B">
        <w:rPr>
          <w:rFonts w:ascii="Palatino Linotype" w:hAnsi="Palatino Linotype" w:eastAsia="Times New Roman" w:cs="Times New Roman"/>
          <w:sz w:val="26"/>
          <w:szCs w:val="20"/>
        </w:rPr>
        <w:t xml:space="preserve"> </w:t>
      </w:r>
      <w:r w:rsidR="00D102FF">
        <w:rPr>
          <w:rFonts w:ascii="Palatino Linotype" w:hAnsi="Palatino Linotype" w:eastAsia="Times New Roman" w:cs="Times New Roman"/>
          <w:sz w:val="26"/>
          <w:szCs w:val="20"/>
        </w:rPr>
        <w:t>2020</w:t>
      </w:r>
      <w:r w:rsidRPr="00D30FF1">
        <w:rPr>
          <w:rFonts w:ascii="Palatino Linotype" w:hAnsi="Palatino Linotype" w:eastAsia="Times New Roman" w:cs="Times New Roman"/>
          <w:sz w:val="26"/>
          <w:szCs w:val="20"/>
        </w:rPr>
        <w:t xml:space="preserve">. </w:t>
      </w:r>
    </w:p>
    <w:p w:rsidRPr="00181CC0" w:rsidR="001507CE" w:rsidP="001507CE" w:rsidRDefault="001507CE" w14:paraId="5CDFD331" w14:textId="77777777">
      <w:pPr>
        <w:pStyle w:val="Res-Caption"/>
        <w:pBdr>
          <w:bottom w:val="single" w:color="auto" w:sz="12" w:space="1"/>
        </w:pBdr>
        <w:rPr>
          <w:rFonts w:ascii="Palatino Linotype" w:hAnsi="Palatino Linotype"/>
        </w:rPr>
      </w:pPr>
    </w:p>
    <w:bookmarkEnd w:id="0"/>
    <w:p w:rsidRPr="00181CC0" w:rsidR="00DF3534" w:rsidP="00DF3534" w:rsidRDefault="00DF3534" w14:paraId="34BA4F52" w14:textId="77777777">
      <w:pPr>
        <w:pStyle w:val="Heading1"/>
        <w:jc w:val="both"/>
        <w:rPr>
          <w:rFonts w:ascii="Palatino Linotype" w:hAnsi="Palatino Linotype" w:cs="Helvetica"/>
        </w:rPr>
      </w:pPr>
      <w:r w:rsidRPr="00181CC0">
        <w:rPr>
          <w:rFonts w:ascii="Palatino Linotype" w:hAnsi="Palatino Linotype" w:cs="Helvetica"/>
        </w:rPr>
        <w:t>Summary</w:t>
      </w:r>
    </w:p>
    <w:p w:rsidR="00DF3534" w:rsidP="00DF3534" w:rsidRDefault="00D102FF" w14:paraId="6A81CA43" w14:textId="2050F6BC">
      <w:pPr>
        <w:autoSpaceDE w:val="0"/>
        <w:autoSpaceDN w:val="0"/>
        <w:rPr>
          <w:rFonts w:ascii="Palatino Linotype" w:hAnsi="Palatino Linotype"/>
          <w:b/>
          <w:bCs/>
        </w:rPr>
      </w:pPr>
      <w:r>
        <w:rPr>
          <w:rFonts w:ascii="Palatino Linotype" w:hAnsi="Palatino Linotype"/>
          <w:b/>
          <w:bCs/>
        </w:rPr>
        <w:t xml:space="preserve">Pacific Gas and Electric’s, </w:t>
      </w:r>
      <w:r w:rsidR="005A3FE5">
        <w:rPr>
          <w:rFonts w:ascii="Palatino Linotype" w:hAnsi="Palatino Linotype"/>
          <w:b/>
          <w:bCs/>
        </w:rPr>
        <w:t xml:space="preserve">Southern California Edison’s and </w:t>
      </w:r>
      <w:r w:rsidRPr="54996069" w:rsidR="00DF3534">
        <w:rPr>
          <w:rFonts w:ascii="Palatino Linotype" w:hAnsi="Palatino Linotype"/>
          <w:b/>
          <w:bCs/>
        </w:rPr>
        <w:t xml:space="preserve">San Diego Gas &amp; Electric’s </w:t>
      </w:r>
      <w:r w:rsidR="005679E6">
        <w:rPr>
          <w:rFonts w:ascii="Palatino Linotype" w:hAnsi="Palatino Linotype"/>
          <w:b/>
          <w:bCs/>
        </w:rPr>
        <w:t xml:space="preserve">requested </w:t>
      </w:r>
      <w:r w:rsidRPr="54996069" w:rsidR="00DF3534">
        <w:rPr>
          <w:rFonts w:ascii="Palatino Linotype" w:hAnsi="Palatino Linotype"/>
          <w:b/>
          <w:bCs/>
        </w:rPr>
        <w:t>site-host ownership</w:t>
      </w:r>
      <w:r w:rsidR="006D5980">
        <w:rPr>
          <w:rFonts w:ascii="Palatino Linotype" w:hAnsi="Palatino Linotype"/>
          <w:b/>
          <w:bCs/>
        </w:rPr>
        <w:t xml:space="preserve"> rebate</w:t>
      </w:r>
      <w:r w:rsidRPr="54996069" w:rsidR="00DF3534">
        <w:rPr>
          <w:rFonts w:ascii="Palatino Linotype" w:hAnsi="Palatino Linotype"/>
          <w:b/>
          <w:bCs/>
        </w:rPr>
        <w:t xml:space="preserve"> model</w:t>
      </w:r>
      <w:r w:rsidR="002E100E">
        <w:rPr>
          <w:rFonts w:ascii="Palatino Linotype" w:hAnsi="Palatino Linotype"/>
          <w:b/>
          <w:bCs/>
        </w:rPr>
        <w:t>s</w:t>
      </w:r>
      <w:r w:rsidRPr="54996069" w:rsidR="00DF3534">
        <w:rPr>
          <w:rFonts w:ascii="Palatino Linotype" w:hAnsi="Palatino Linotype"/>
          <w:b/>
          <w:bCs/>
        </w:rPr>
        <w:t xml:space="preserve"> </w:t>
      </w:r>
      <w:r w:rsidR="006D5980">
        <w:rPr>
          <w:rFonts w:ascii="Palatino Linotype" w:hAnsi="Palatino Linotype"/>
          <w:b/>
          <w:bCs/>
        </w:rPr>
        <w:t>for</w:t>
      </w:r>
      <w:r w:rsidRPr="54996069" w:rsidR="00DF3534">
        <w:rPr>
          <w:rFonts w:ascii="Palatino Linotype" w:hAnsi="Palatino Linotype"/>
          <w:b/>
          <w:bCs/>
        </w:rPr>
        <w:t xml:space="preserve"> </w:t>
      </w:r>
      <w:r w:rsidRPr="009F40D5" w:rsidR="00DF3534">
        <w:rPr>
          <w:rFonts w:ascii="Palatino Linotype" w:hAnsi="Palatino Linotype"/>
          <w:b/>
          <w:bCs/>
        </w:rPr>
        <w:t>their</w:t>
      </w:r>
      <w:r w:rsidRPr="009F40D5" w:rsidR="00C827A6">
        <w:rPr>
          <w:rFonts w:ascii="Palatino Linotype" w:hAnsi="Palatino Linotype"/>
          <w:b/>
          <w:bCs/>
        </w:rPr>
        <w:t xml:space="preserve"> School Pilot Program</w:t>
      </w:r>
      <w:r w:rsidR="005A3FE5">
        <w:rPr>
          <w:rFonts w:ascii="Palatino Linotype" w:hAnsi="Palatino Linotype"/>
          <w:b/>
          <w:bCs/>
        </w:rPr>
        <w:t>s</w:t>
      </w:r>
      <w:r w:rsidRPr="009F40D5" w:rsidR="00C827A6">
        <w:rPr>
          <w:rFonts w:ascii="Palatino Linotype" w:hAnsi="Palatino Linotype"/>
          <w:b/>
          <w:bCs/>
        </w:rPr>
        <w:t xml:space="preserve"> </w:t>
      </w:r>
      <w:r w:rsidRPr="009F40D5" w:rsidR="00DF3534">
        <w:rPr>
          <w:rFonts w:ascii="Palatino Linotype" w:hAnsi="Palatino Linotype"/>
          <w:b/>
          <w:bCs/>
        </w:rPr>
        <w:t>are</w:t>
      </w:r>
      <w:r w:rsidRPr="54996069" w:rsidR="00DF3534">
        <w:rPr>
          <w:rFonts w:ascii="Palatino Linotype" w:hAnsi="Palatino Linotype"/>
          <w:b/>
          <w:bCs/>
        </w:rPr>
        <w:t xml:space="preserve"> reasonable</w:t>
      </w:r>
      <w:r w:rsidR="009B4363">
        <w:rPr>
          <w:rFonts w:ascii="Palatino Linotype" w:hAnsi="Palatino Linotype"/>
          <w:b/>
          <w:bCs/>
        </w:rPr>
        <w:t>,</w:t>
      </w:r>
      <w:r w:rsidRPr="54996069" w:rsidR="00DF3534">
        <w:rPr>
          <w:rFonts w:ascii="Palatino Linotype" w:hAnsi="Palatino Linotype"/>
          <w:b/>
          <w:bCs/>
        </w:rPr>
        <w:t xml:space="preserve"> </w:t>
      </w:r>
      <w:r w:rsidRPr="54996069" w:rsidR="00DF3534">
        <w:rPr>
          <w:rFonts w:ascii="Palatino Linotype" w:hAnsi="Palatino Linotype"/>
          <w:b/>
          <w:bCs/>
        </w:rPr>
        <w:lastRenderedPageBreak/>
        <w:t xml:space="preserve">comply with the requirements established in D.19-11-017 </w:t>
      </w:r>
      <w:r w:rsidR="00C827A6">
        <w:rPr>
          <w:rFonts w:ascii="Palatino Linotype" w:hAnsi="Palatino Linotype"/>
          <w:b/>
          <w:bCs/>
        </w:rPr>
        <w:t>a</w:t>
      </w:r>
      <w:r w:rsidRPr="54996069" w:rsidR="00DF3534">
        <w:rPr>
          <w:rFonts w:ascii="Palatino Linotype" w:hAnsi="Palatino Linotype"/>
          <w:b/>
          <w:bCs/>
        </w:rPr>
        <w:t xml:space="preserve">nd </w:t>
      </w:r>
      <w:r w:rsidR="00E97795">
        <w:rPr>
          <w:rFonts w:ascii="Palatino Linotype" w:hAnsi="Palatino Linotype"/>
          <w:b/>
          <w:bCs/>
        </w:rPr>
        <w:t>are</w:t>
      </w:r>
      <w:r w:rsidRPr="54996069" w:rsidR="00E97795">
        <w:rPr>
          <w:rFonts w:ascii="Palatino Linotype" w:hAnsi="Palatino Linotype"/>
          <w:b/>
          <w:bCs/>
        </w:rPr>
        <w:t xml:space="preserve"> </w:t>
      </w:r>
      <w:r w:rsidRPr="54996069" w:rsidR="00DF3534">
        <w:rPr>
          <w:rFonts w:ascii="Palatino Linotype" w:hAnsi="Palatino Linotype"/>
          <w:b/>
          <w:bCs/>
        </w:rPr>
        <w:t>approved</w:t>
      </w:r>
      <w:r w:rsidR="006D5980">
        <w:rPr>
          <w:rFonts w:ascii="Palatino Linotype" w:hAnsi="Palatino Linotype"/>
          <w:b/>
          <w:bCs/>
        </w:rPr>
        <w:t xml:space="preserve"> with modifications</w:t>
      </w:r>
      <w:r w:rsidRPr="54996069" w:rsidR="00DF3534">
        <w:rPr>
          <w:rFonts w:ascii="Palatino Linotype" w:hAnsi="Palatino Linotype"/>
          <w:b/>
          <w:bCs/>
        </w:rPr>
        <w:t xml:space="preserve">. </w:t>
      </w:r>
    </w:p>
    <w:p w:rsidR="00DF3534" w:rsidP="00DF3534" w:rsidRDefault="00D102FF" w14:paraId="10396581" w14:textId="0FA297D2">
      <w:pPr>
        <w:autoSpaceDE w:val="0"/>
        <w:autoSpaceDN w:val="0"/>
        <w:rPr>
          <w:rFonts w:ascii="Palatino Linotype" w:hAnsi="Palatino Linotype"/>
        </w:rPr>
      </w:pPr>
      <w:r>
        <w:rPr>
          <w:rFonts w:ascii="Palatino Linotype" w:hAnsi="Palatino Linotype"/>
        </w:rPr>
        <w:t xml:space="preserve">On November 5, 2020, Pacific Gas and Electric (PG&amp;E) filed Advice Letter (AL) 5993-E, while </w:t>
      </w:r>
      <w:r w:rsidR="005A3FE5">
        <w:rPr>
          <w:rFonts w:ascii="Palatino Linotype" w:hAnsi="Palatino Linotype"/>
        </w:rPr>
        <w:t xml:space="preserve">Southern California Edison (SCE) filed Advice Letter (AL) 4286-E on September 9, 2020, </w:t>
      </w:r>
      <w:r>
        <w:rPr>
          <w:rFonts w:ascii="Palatino Linotype" w:hAnsi="Palatino Linotype"/>
        </w:rPr>
        <w:t>and</w:t>
      </w:r>
      <w:r w:rsidR="005A3FE5">
        <w:rPr>
          <w:rFonts w:ascii="Palatino Linotype" w:hAnsi="Palatino Linotype"/>
        </w:rPr>
        <w:t xml:space="preserve"> </w:t>
      </w:r>
      <w:r w:rsidRPr="54996069" w:rsidR="00DF3534">
        <w:rPr>
          <w:rFonts w:ascii="Palatino Linotype" w:hAnsi="Palatino Linotype"/>
        </w:rPr>
        <w:t>S</w:t>
      </w:r>
      <w:r w:rsidR="005A3FE5">
        <w:rPr>
          <w:rFonts w:ascii="Palatino Linotype" w:hAnsi="Palatino Linotype"/>
        </w:rPr>
        <w:t xml:space="preserve">an </w:t>
      </w:r>
      <w:r w:rsidRPr="54996069" w:rsidR="00DF3534">
        <w:rPr>
          <w:rFonts w:ascii="Palatino Linotype" w:hAnsi="Palatino Linotype"/>
        </w:rPr>
        <w:t>D</w:t>
      </w:r>
      <w:r w:rsidR="005A3FE5">
        <w:rPr>
          <w:rFonts w:ascii="Palatino Linotype" w:hAnsi="Palatino Linotype"/>
        </w:rPr>
        <w:t xml:space="preserve">iego </w:t>
      </w:r>
      <w:r w:rsidRPr="54996069" w:rsidR="00DF3534">
        <w:rPr>
          <w:rFonts w:ascii="Palatino Linotype" w:hAnsi="Palatino Linotype"/>
        </w:rPr>
        <w:t>G</w:t>
      </w:r>
      <w:r w:rsidR="005A3FE5">
        <w:rPr>
          <w:rFonts w:ascii="Palatino Linotype" w:hAnsi="Palatino Linotype"/>
        </w:rPr>
        <w:t xml:space="preserve">as </w:t>
      </w:r>
      <w:r w:rsidRPr="54996069" w:rsidR="00DF3534">
        <w:rPr>
          <w:rFonts w:ascii="Palatino Linotype" w:hAnsi="Palatino Linotype"/>
        </w:rPr>
        <w:t>&amp;</w:t>
      </w:r>
      <w:r w:rsidR="005A3FE5">
        <w:rPr>
          <w:rFonts w:ascii="Palatino Linotype" w:hAnsi="Palatino Linotype"/>
        </w:rPr>
        <w:t xml:space="preserve"> </w:t>
      </w:r>
      <w:r w:rsidRPr="54996069" w:rsidR="00DF3534">
        <w:rPr>
          <w:rFonts w:ascii="Palatino Linotype" w:hAnsi="Palatino Linotype"/>
        </w:rPr>
        <w:t>E</w:t>
      </w:r>
      <w:r w:rsidR="005A3FE5">
        <w:rPr>
          <w:rFonts w:ascii="Palatino Linotype" w:hAnsi="Palatino Linotype"/>
        </w:rPr>
        <w:t>lectric (SDG&amp;E)</w:t>
      </w:r>
      <w:r w:rsidRPr="54996069" w:rsidR="00DF3534">
        <w:rPr>
          <w:rFonts w:ascii="Palatino Linotype" w:hAnsi="Palatino Linotype"/>
        </w:rPr>
        <w:t xml:space="preserve"> filed AL 3</w:t>
      </w:r>
      <w:r w:rsidR="006D5980">
        <w:rPr>
          <w:rFonts w:ascii="Palatino Linotype" w:hAnsi="Palatino Linotype"/>
        </w:rPr>
        <w:t>551</w:t>
      </w:r>
      <w:r w:rsidRPr="54996069" w:rsidR="00DF3534">
        <w:rPr>
          <w:rFonts w:ascii="Palatino Linotype" w:hAnsi="Palatino Linotype"/>
        </w:rPr>
        <w:t>-E on J</w:t>
      </w:r>
      <w:r w:rsidR="006D5980">
        <w:rPr>
          <w:rFonts w:ascii="Palatino Linotype" w:hAnsi="Palatino Linotype"/>
        </w:rPr>
        <w:t>une</w:t>
      </w:r>
      <w:r w:rsidRPr="54996069" w:rsidR="00DF3534">
        <w:rPr>
          <w:rFonts w:ascii="Palatino Linotype" w:hAnsi="Palatino Linotype"/>
        </w:rPr>
        <w:t xml:space="preserve"> </w:t>
      </w:r>
      <w:r w:rsidR="006D5980">
        <w:rPr>
          <w:rFonts w:ascii="Palatino Linotype" w:hAnsi="Palatino Linotype"/>
        </w:rPr>
        <w:t>27</w:t>
      </w:r>
      <w:r w:rsidRPr="54996069" w:rsidR="00DF3534">
        <w:rPr>
          <w:rFonts w:ascii="Palatino Linotype" w:hAnsi="Palatino Linotype"/>
        </w:rPr>
        <w:t>, 2020</w:t>
      </w:r>
      <w:r w:rsidR="005A3FE5">
        <w:rPr>
          <w:rFonts w:ascii="Palatino Linotype" w:hAnsi="Palatino Linotype"/>
        </w:rPr>
        <w:t xml:space="preserve">, </w:t>
      </w:r>
      <w:r w:rsidRPr="54996069" w:rsidR="00DF3534">
        <w:rPr>
          <w:rFonts w:ascii="Palatino Linotype" w:hAnsi="Palatino Linotype"/>
        </w:rPr>
        <w:t xml:space="preserve">requesting approval </w:t>
      </w:r>
      <w:r w:rsidR="006C4CB1">
        <w:rPr>
          <w:rFonts w:ascii="Palatino Linotype" w:hAnsi="Palatino Linotype"/>
        </w:rPr>
        <w:t>of the</w:t>
      </w:r>
      <w:r w:rsidR="00781E38">
        <w:rPr>
          <w:rFonts w:ascii="Palatino Linotype" w:hAnsi="Palatino Linotype"/>
        </w:rPr>
        <w:t>ir</w:t>
      </w:r>
      <w:r w:rsidR="006C4CB1">
        <w:rPr>
          <w:rFonts w:ascii="Palatino Linotype" w:hAnsi="Palatino Linotype"/>
        </w:rPr>
        <w:t xml:space="preserve"> School Pilot Program’s (AB 1082 program) site-host </w:t>
      </w:r>
      <w:r w:rsidR="008F08FA">
        <w:rPr>
          <w:rFonts w:ascii="Palatino Linotype" w:hAnsi="Palatino Linotype"/>
        </w:rPr>
        <w:t xml:space="preserve">Electric Vehicle Supply Equipment (EVSE) </w:t>
      </w:r>
      <w:r w:rsidR="006C4CB1">
        <w:rPr>
          <w:rFonts w:ascii="Palatino Linotype" w:hAnsi="Palatino Linotype"/>
        </w:rPr>
        <w:t xml:space="preserve">ownership rebate design and amount, </w:t>
      </w:r>
      <w:r w:rsidRPr="54996069" w:rsidR="00DF3534">
        <w:rPr>
          <w:rFonts w:ascii="Palatino Linotype" w:hAnsi="Palatino Linotype"/>
        </w:rPr>
        <w:t xml:space="preserve">pursuant to Ordering Paragraph (OP) </w:t>
      </w:r>
      <w:r w:rsidR="006D5980">
        <w:rPr>
          <w:rFonts w:ascii="Palatino Linotype" w:hAnsi="Palatino Linotype"/>
        </w:rPr>
        <w:t>26</w:t>
      </w:r>
      <w:r w:rsidRPr="54996069" w:rsidR="00DF3534">
        <w:rPr>
          <w:rFonts w:ascii="Palatino Linotype" w:hAnsi="Palatino Linotype"/>
        </w:rPr>
        <w:t xml:space="preserve"> of Decision (D.) 19-11-017. </w:t>
      </w:r>
      <w:r w:rsidR="00F33826">
        <w:rPr>
          <w:rFonts w:ascii="Palatino Linotype" w:hAnsi="Palatino Linotype"/>
        </w:rPr>
        <w:t xml:space="preserve">This decision </w:t>
      </w:r>
      <w:r w:rsidRPr="54996069" w:rsidR="00DF3534">
        <w:rPr>
          <w:rFonts w:ascii="Palatino Linotype" w:hAnsi="Palatino Linotype"/>
        </w:rPr>
        <w:t xml:space="preserve">approved </w:t>
      </w:r>
      <w:r>
        <w:rPr>
          <w:rFonts w:ascii="Palatino Linotype" w:hAnsi="Palatino Linotype"/>
        </w:rPr>
        <w:t xml:space="preserve">PG&amp;E’s, </w:t>
      </w:r>
      <w:r w:rsidR="005A3FE5">
        <w:rPr>
          <w:rFonts w:ascii="Palatino Linotype" w:hAnsi="Palatino Linotype"/>
        </w:rPr>
        <w:t xml:space="preserve">SCE’s and </w:t>
      </w:r>
      <w:r w:rsidRPr="54996069" w:rsidR="00DF3534">
        <w:rPr>
          <w:rFonts w:ascii="Palatino Linotype" w:hAnsi="Palatino Linotype"/>
        </w:rPr>
        <w:t>SDG&amp;E’s</w:t>
      </w:r>
      <w:r w:rsidR="00CE09B7">
        <w:rPr>
          <w:rFonts w:ascii="Palatino Linotype" w:hAnsi="Palatino Linotype"/>
        </w:rPr>
        <w:t xml:space="preserve"> (</w:t>
      </w:r>
      <w:r w:rsidR="00CE09B7">
        <w:rPr>
          <w:rFonts w:ascii="Palatino Linotype" w:hAnsi="Palatino Linotype"/>
          <w:i/>
          <w:iCs/>
        </w:rPr>
        <w:t xml:space="preserve">collectively, </w:t>
      </w:r>
      <w:r w:rsidR="00CE09B7">
        <w:rPr>
          <w:rFonts w:ascii="Palatino Linotype" w:hAnsi="Palatino Linotype"/>
        </w:rPr>
        <w:t>the IOUs)</w:t>
      </w:r>
      <w:r w:rsidRPr="54996069" w:rsidR="00DF3534">
        <w:rPr>
          <w:rFonts w:ascii="Palatino Linotype" w:hAnsi="Palatino Linotype"/>
        </w:rPr>
        <w:t xml:space="preserve"> </w:t>
      </w:r>
      <w:r w:rsidR="00211CEB">
        <w:rPr>
          <w:rFonts w:ascii="Palatino Linotype" w:hAnsi="Palatino Linotype"/>
        </w:rPr>
        <w:t>transportation electrification pilot programs</w:t>
      </w:r>
      <w:r w:rsidRPr="54996069" w:rsidR="00211CEB">
        <w:rPr>
          <w:rFonts w:ascii="Palatino Linotype" w:hAnsi="Palatino Linotype"/>
        </w:rPr>
        <w:t xml:space="preserve"> </w:t>
      </w:r>
      <w:r w:rsidRPr="54996069" w:rsidR="00DF3534">
        <w:rPr>
          <w:rFonts w:ascii="Palatino Linotype" w:hAnsi="Palatino Linotype"/>
        </w:rPr>
        <w:t>pursuant to Assembly Bill</w:t>
      </w:r>
      <w:r w:rsidR="009B4363">
        <w:rPr>
          <w:rFonts w:ascii="Palatino Linotype" w:hAnsi="Palatino Linotype"/>
        </w:rPr>
        <w:t>s</w:t>
      </w:r>
      <w:r w:rsidRPr="54996069" w:rsidR="00DF3534">
        <w:rPr>
          <w:rFonts w:ascii="Palatino Linotype" w:hAnsi="Palatino Linotype"/>
        </w:rPr>
        <w:t xml:space="preserve"> (AB) 1082 and AB 1083</w:t>
      </w:r>
      <w:r w:rsidR="00781E38">
        <w:rPr>
          <w:rFonts w:ascii="Palatino Linotype" w:hAnsi="Palatino Linotype"/>
        </w:rPr>
        <w:t xml:space="preserve"> (Burke, 2017)</w:t>
      </w:r>
      <w:r w:rsidRPr="54996069" w:rsidR="00DF3534">
        <w:rPr>
          <w:rFonts w:ascii="Palatino Linotype" w:hAnsi="Palatino Linotype"/>
        </w:rPr>
        <w:t>.</w:t>
      </w:r>
      <w:r w:rsidR="006C4CB1">
        <w:rPr>
          <w:rFonts w:ascii="Palatino Linotype" w:hAnsi="Palatino Linotype"/>
        </w:rPr>
        <w:t xml:space="preserve"> </w:t>
      </w:r>
      <w:r w:rsidR="00BE6D09">
        <w:rPr>
          <w:rFonts w:ascii="Palatino Linotype" w:hAnsi="Palatino Linotype"/>
        </w:rPr>
        <w:t>Th</w:t>
      </w:r>
      <w:r w:rsidR="00606F18">
        <w:rPr>
          <w:rFonts w:ascii="Palatino Linotype" w:hAnsi="Palatino Linotype"/>
        </w:rPr>
        <w:t>rough th</w:t>
      </w:r>
      <w:r w:rsidR="00BE6D09">
        <w:rPr>
          <w:rFonts w:ascii="Palatino Linotype" w:hAnsi="Palatino Linotype"/>
        </w:rPr>
        <w:t>e</w:t>
      </w:r>
      <w:r w:rsidR="009B1D90">
        <w:rPr>
          <w:rFonts w:ascii="Palatino Linotype" w:hAnsi="Palatino Linotype"/>
        </w:rPr>
        <w:t>se pilots</w:t>
      </w:r>
      <w:r w:rsidR="00606F18">
        <w:rPr>
          <w:rFonts w:ascii="Palatino Linotype" w:hAnsi="Palatino Linotype"/>
        </w:rPr>
        <w:t>,</w:t>
      </w:r>
      <w:r w:rsidR="009B1D90">
        <w:rPr>
          <w:rFonts w:ascii="Palatino Linotype" w:hAnsi="Palatino Linotype"/>
        </w:rPr>
        <w:t xml:space="preserve"> </w:t>
      </w:r>
      <w:r w:rsidR="00243DD0">
        <w:rPr>
          <w:rFonts w:ascii="Palatino Linotype" w:hAnsi="Palatino Linotype"/>
        </w:rPr>
        <w:t xml:space="preserve">the </w:t>
      </w:r>
      <w:r w:rsidR="009B1D90">
        <w:rPr>
          <w:rFonts w:ascii="Palatino Linotype" w:hAnsi="Palatino Linotype"/>
        </w:rPr>
        <w:t>IOU</w:t>
      </w:r>
      <w:r w:rsidR="00124EF6">
        <w:rPr>
          <w:rFonts w:ascii="Palatino Linotype" w:hAnsi="Palatino Linotype"/>
        </w:rPr>
        <w:t>s</w:t>
      </w:r>
      <w:r w:rsidR="009F40D5">
        <w:rPr>
          <w:rFonts w:ascii="Palatino Linotype" w:hAnsi="Palatino Linotype"/>
        </w:rPr>
        <w:t xml:space="preserve"> </w:t>
      </w:r>
      <w:r w:rsidR="00606F18">
        <w:rPr>
          <w:rFonts w:ascii="Palatino Linotype" w:hAnsi="Palatino Linotype"/>
        </w:rPr>
        <w:t>will</w:t>
      </w:r>
      <w:r w:rsidR="009B1D90">
        <w:rPr>
          <w:rFonts w:ascii="Palatino Linotype" w:hAnsi="Palatino Linotype"/>
        </w:rPr>
        <w:t xml:space="preserve"> install </w:t>
      </w:r>
      <w:r w:rsidR="00243DD0">
        <w:rPr>
          <w:rFonts w:ascii="Palatino Linotype" w:hAnsi="Palatino Linotype"/>
        </w:rPr>
        <w:t>electric vehicle (EV)</w:t>
      </w:r>
      <w:r w:rsidR="009B1D90">
        <w:rPr>
          <w:rFonts w:ascii="Palatino Linotype" w:hAnsi="Palatino Linotype"/>
        </w:rPr>
        <w:t xml:space="preserve"> charging infrastructure at schools,</w:t>
      </w:r>
      <w:r w:rsidR="00193B91">
        <w:rPr>
          <w:rFonts w:ascii="Palatino Linotype" w:hAnsi="Palatino Linotype"/>
        </w:rPr>
        <w:t xml:space="preserve"> and</w:t>
      </w:r>
      <w:r w:rsidR="009B1D90">
        <w:rPr>
          <w:rFonts w:ascii="Palatino Linotype" w:hAnsi="Palatino Linotype"/>
        </w:rPr>
        <w:t xml:space="preserve"> state parks and beaches. </w:t>
      </w:r>
      <w:r w:rsidR="00CE09B7">
        <w:rPr>
          <w:rFonts w:ascii="Palatino Linotype" w:hAnsi="Palatino Linotype"/>
        </w:rPr>
        <w:t>Th</w:t>
      </w:r>
      <w:r w:rsidR="006600E2">
        <w:rPr>
          <w:rFonts w:ascii="Palatino Linotype" w:hAnsi="Palatino Linotype"/>
        </w:rPr>
        <w:t xml:space="preserve">e pilot programs </w:t>
      </w:r>
      <w:r w:rsidR="009B729B">
        <w:rPr>
          <w:rFonts w:ascii="Palatino Linotype" w:hAnsi="Palatino Linotype"/>
        </w:rPr>
        <w:t>will</w:t>
      </w:r>
      <w:r w:rsidR="006600E2">
        <w:rPr>
          <w:rFonts w:ascii="Palatino Linotype" w:hAnsi="Palatino Linotype"/>
        </w:rPr>
        <w:t xml:space="preserve"> provide information regarding site-host</w:t>
      </w:r>
      <w:r w:rsidR="001D118B">
        <w:rPr>
          <w:rFonts w:ascii="Palatino Linotype" w:hAnsi="Palatino Linotype"/>
        </w:rPr>
        <w:t>s</w:t>
      </w:r>
      <w:r w:rsidR="00781E38">
        <w:rPr>
          <w:rFonts w:ascii="Palatino Linotype" w:hAnsi="Palatino Linotype"/>
        </w:rPr>
        <w:t>’</w:t>
      </w:r>
      <w:r w:rsidR="006600E2">
        <w:rPr>
          <w:rFonts w:ascii="Palatino Linotype" w:hAnsi="Palatino Linotype"/>
        </w:rPr>
        <w:t xml:space="preserve"> preference</w:t>
      </w:r>
      <w:r w:rsidR="001D118B">
        <w:rPr>
          <w:rFonts w:ascii="Palatino Linotype" w:hAnsi="Palatino Linotype"/>
        </w:rPr>
        <w:t>s</w:t>
      </w:r>
      <w:r w:rsidR="006600E2">
        <w:rPr>
          <w:rFonts w:ascii="Palatino Linotype" w:hAnsi="Palatino Linotype"/>
        </w:rPr>
        <w:t xml:space="preserve"> for ownership of the </w:t>
      </w:r>
      <w:r w:rsidR="004C6CD8">
        <w:rPr>
          <w:rFonts w:ascii="Palatino Linotype" w:hAnsi="Palatino Linotype"/>
        </w:rPr>
        <w:t>EVSE</w:t>
      </w:r>
      <w:r w:rsidR="006600E2">
        <w:rPr>
          <w:rFonts w:ascii="Palatino Linotype" w:hAnsi="Palatino Linotype"/>
        </w:rPr>
        <w:t xml:space="preserve">. </w:t>
      </w:r>
      <w:r w:rsidR="006C4CB1">
        <w:rPr>
          <w:rFonts w:ascii="Palatino Linotype" w:hAnsi="Palatino Linotype"/>
        </w:rPr>
        <w:t xml:space="preserve">Through D.19-11-017, the CPUC authorized </w:t>
      </w:r>
      <w:r>
        <w:rPr>
          <w:rFonts w:ascii="Palatino Linotype" w:hAnsi="Palatino Linotype"/>
        </w:rPr>
        <w:t xml:space="preserve">PG&amp;E, </w:t>
      </w:r>
      <w:r w:rsidR="005A3FE5">
        <w:rPr>
          <w:rFonts w:ascii="Palatino Linotype" w:hAnsi="Palatino Linotype"/>
        </w:rPr>
        <w:t>SCE</w:t>
      </w:r>
      <w:r>
        <w:rPr>
          <w:rFonts w:ascii="Palatino Linotype" w:hAnsi="Palatino Linotype"/>
        </w:rPr>
        <w:t>,</w:t>
      </w:r>
      <w:r w:rsidR="005A3FE5">
        <w:rPr>
          <w:rFonts w:ascii="Palatino Linotype" w:hAnsi="Palatino Linotype"/>
        </w:rPr>
        <w:t xml:space="preserve"> and </w:t>
      </w:r>
      <w:r w:rsidR="006C4CB1">
        <w:rPr>
          <w:rFonts w:ascii="Palatino Linotype" w:hAnsi="Palatino Linotype"/>
        </w:rPr>
        <w:t xml:space="preserve">SDG&amp;E to </w:t>
      </w:r>
      <w:r w:rsidR="00031800">
        <w:rPr>
          <w:rFonts w:ascii="Palatino Linotype" w:hAnsi="Palatino Linotype"/>
        </w:rPr>
        <w:t xml:space="preserve">offer customers the </w:t>
      </w:r>
      <w:r w:rsidR="008F08FA">
        <w:rPr>
          <w:rFonts w:ascii="Palatino Linotype" w:hAnsi="Palatino Linotype"/>
        </w:rPr>
        <w:t xml:space="preserve">unbiased </w:t>
      </w:r>
      <w:r w:rsidR="00031800">
        <w:rPr>
          <w:rFonts w:ascii="Palatino Linotype" w:hAnsi="Palatino Linotype"/>
        </w:rPr>
        <w:t>choice of</w:t>
      </w:r>
      <w:r w:rsidR="006C4CB1">
        <w:rPr>
          <w:rFonts w:ascii="Palatino Linotype" w:hAnsi="Palatino Linotype"/>
        </w:rPr>
        <w:t xml:space="preserve"> two EVSE ownership options,</w:t>
      </w:r>
      <w:r w:rsidR="004717C7">
        <w:rPr>
          <w:rFonts w:ascii="Palatino Linotype" w:hAnsi="Palatino Linotype"/>
        </w:rPr>
        <w:t xml:space="preserve"> 1)</w:t>
      </w:r>
      <w:r w:rsidR="006C4CB1">
        <w:rPr>
          <w:rFonts w:ascii="Palatino Linotype" w:hAnsi="Palatino Linotype"/>
        </w:rPr>
        <w:t xml:space="preserve"> site-host ownership</w:t>
      </w:r>
      <w:r w:rsidR="004717C7">
        <w:rPr>
          <w:rFonts w:ascii="Palatino Linotype" w:hAnsi="Palatino Linotype"/>
        </w:rPr>
        <w:t>,</w:t>
      </w:r>
      <w:r w:rsidR="006C4CB1">
        <w:rPr>
          <w:rFonts w:ascii="Palatino Linotype" w:hAnsi="Palatino Linotype"/>
        </w:rPr>
        <w:t xml:space="preserve"> and </w:t>
      </w:r>
      <w:r w:rsidR="004717C7">
        <w:rPr>
          <w:rFonts w:ascii="Palatino Linotype" w:hAnsi="Palatino Linotype"/>
        </w:rPr>
        <w:t xml:space="preserve">2) </w:t>
      </w:r>
      <w:r w:rsidR="006C4CB1">
        <w:rPr>
          <w:rFonts w:ascii="Palatino Linotype" w:hAnsi="Palatino Linotype"/>
        </w:rPr>
        <w:t>utility-ownership</w:t>
      </w:r>
      <w:r w:rsidRPr="54996069" w:rsidR="00DF3534">
        <w:rPr>
          <w:rFonts w:ascii="Palatino Linotype" w:hAnsi="Palatino Linotype"/>
        </w:rPr>
        <w:t>.</w:t>
      </w:r>
      <w:r w:rsidR="006C4CB1">
        <w:rPr>
          <w:rFonts w:ascii="Palatino Linotype" w:hAnsi="Palatino Linotype"/>
        </w:rPr>
        <w:t xml:space="preserve"> </w:t>
      </w:r>
    </w:p>
    <w:p w:rsidR="00781E38" w:rsidP="00DF3534" w:rsidRDefault="00DF3534" w14:paraId="7DA61A63" w14:textId="3D233DFF">
      <w:pPr>
        <w:autoSpaceDE w:val="0"/>
        <w:autoSpaceDN w:val="0"/>
        <w:rPr>
          <w:rFonts w:ascii="Palatino Linotype" w:hAnsi="Palatino Linotype"/>
        </w:rPr>
      </w:pPr>
      <w:r w:rsidRPr="54996069">
        <w:rPr>
          <w:rFonts w:ascii="Palatino Linotype" w:hAnsi="Palatino Linotype"/>
        </w:rPr>
        <w:t>This resolution approves</w:t>
      </w:r>
      <w:r w:rsidR="00193B91">
        <w:rPr>
          <w:rFonts w:ascii="Palatino Linotype" w:hAnsi="Palatino Linotype"/>
        </w:rPr>
        <w:t>, with</w:t>
      </w:r>
      <w:r w:rsidRPr="54996069">
        <w:rPr>
          <w:rFonts w:ascii="Palatino Linotype" w:hAnsi="Palatino Linotype"/>
        </w:rPr>
        <w:t xml:space="preserve"> modification</w:t>
      </w:r>
      <w:r w:rsidR="005679E6">
        <w:rPr>
          <w:rFonts w:ascii="Palatino Linotype" w:hAnsi="Palatino Linotype"/>
        </w:rPr>
        <w:t>s</w:t>
      </w:r>
      <w:r w:rsidR="00193B91">
        <w:rPr>
          <w:rFonts w:ascii="Palatino Linotype" w:hAnsi="Palatino Linotype"/>
        </w:rPr>
        <w:t xml:space="preserve">, </w:t>
      </w:r>
      <w:r w:rsidR="00D102FF">
        <w:rPr>
          <w:rFonts w:ascii="Palatino Linotype" w:hAnsi="Palatino Linotype"/>
        </w:rPr>
        <w:t xml:space="preserve">PG&amp;E’s, </w:t>
      </w:r>
      <w:r w:rsidR="005A3FE5">
        <w:rPr>
          <w:rFonts w:ascii="Palatino Linotype" w:hAnsi="Palatino Linotype"/>
        </w:rPr>
        <w:t xml:space="preserve">SCE’s and </w:t>
      </w:r>
      <w:r w:rsidR="00193B91">
        <w:rPr>
          <w:rFonts w:ascii="Palatino Linotype" w:hAnsi="Palatino Linotype"/>
        </w:rPr>
        <w:t>SDG&amp;E’s proposed site-host ownership EVSE rebate design</w:t>
      </w:r>
      <w:r w:rsidR="001D118B">
        <w:rPr>
          <w:rFonts w:ascii="Palatino Linotype" w:hAnsi="Palatino Linotype"/>
        </w:rPr>
        <w:t>s</w:t>
      </w:r>
      <w:r w:rsidR="00193B91">
        <w:rPr>
          <w:rFonts w:ascii="Palatino Linotype" w:hAnsi="Palatino Linotype"/>
        </w:rPr>
        <w:t xml:space="preserve"> and amount</w:t>
      </w:r>
      <w:r w:rsidR="001D118B">
        <w:rPr>
          <w:rFonts w:ascii="Palatino Linotype" w:hAnsi="Palatino Linotype"/>
        </w:rPr>
        <w:t>s</w:t>
      </w:r>
      <w:r w:rsidRPr="54996069">
        <w:rPr>
          <w:rFonts w:ascii="Palatino Linotype" w:hAnsi="Palatino Linotype"/>
        </w:rPr>
        <w:t xml:space="preserve">. </w:t>
      </w:r>
      <w:r w:rsidR="00166015">
        <w:rPr>
          <w:rFonts w:ascii="Palatino Linotype" w:hAnsi="Palatino Linotype"/>
        </w:rPr>
        <w:t xml:space="preserve">The proposed rebates will provide customers participating in the IOUs’ School Pilot Programs with a non-biased option for utility or </w:t>
      </w:r>
      <w:r w:rsidR="00C60453">
        <w:rPr>
          <w:rFonts w:ascii="Palatino Linotype" w:hAnsi="Palatino Linotype"/>
        </w:rPr>
        <w:t xml:space="preserve">site-host </w:t>
      </w:r>
      <w:r w:rsidR="00166015">
        <w:rPr>
          <w:rFonts w:ascii="Palatino Linotype" w:hAnsi="Palatino Linotype"/>
        </w:rPr>
        <w:t xml:space="preserve">EVSE ownership. </w:t>
      </w:r>
      <w:r w:rsidR="00781E38">
        <w:rPr>
          <w:rFonts w:ascii="Palatino Linotype" w:hAnsi="Palatino Linotype"/>
        </w:rPr>
        <w:t xml:space="preserve">The modifications required by this Resolution include: 1) </w:t>
      </w:r>
      <w:r w:rsidR="00C8568D">
        <w:rPr>
          <w:rFonts w:ascii="Palatino Linotype" w:hAnsi="Palatino Linotype"/>
        </w:rPr>
        <w:t>t</w:t>
      </w:r>
      <w:r w:rsidR="00CE09B7">
        <w:rPr>
          <w:rFonts w:ascii="Palatino Linotype" w:hAnsi="Palatino Linotype"/>
        </w:rPr>
        <w:t xml:space="preserve">he IOUs must require site-hosts receiving a rebate to agree </w:t>
      </w:r>
      <w:r w:rsidR="00781E38">
        <w:rPr>
          <w:rFonts w:ascii="Palatino Linotype" w:hAnsi="Palatino Linotype"/>
        </w:rPr>
        <w:t xml:space="preserve">to </w:t>
      </w:r>
      <w:r w:rsidR="00CE09B7">
        <w:rPr>
          <w:rFonts w:ascii="Palatino Linotype" w:hAnsi="Palatino Linotype"/>
        </w:rPr>
        <w:t xml:space="preserve">submit the initial and </w:t>
      </w:r>
      <w:r w:rsidR="00B62EFD">
        <w:rPr>
          <w:rFonts w:ascii="Palatino Linotype" w:hAnsi="Palatino Linotype"/>
        </w:rPr>
        <w:t xml:space="preserve">any </w:t>
      </w:r>
      <w:r w:rsidR="00CE09B7">
        <w:rPr>
          <w:rFonts w:ascii="Palatino Linotype" w:hAnsi="Palatino Linotype"/>
        </w:rPr>
        <w:t>subsequent</w:t>
      </w:r>
      <w:r w:rsidR="00BD7EA7">
        <w:rPr>
          <w:rFonts w:ascii="Palatino Linotype" w:hAnsi="Palatino Linotype"/>
        </w:rPr>
        <w:t>ly</w:t>
      </w:r>
      <w:r w:rsidR="00CE09B7">
        <w:rPr>
          <w:rFonts w:ascii="Palatino Linotype" w:hAnsi="Palatino Linotype"/>
        </w:rPr>
        <w:t xml:space="preserve"> </w:t>
      </w:r>
      <w:r w:rsidR="00C8568D">
        <w:rPr>
          <w:rFonts w:ascii="Palatino Linotype" w:hAnsi="Palatino Linotype"/>
        </w:rPr>
        <w:t>paid invoice or sales receipt</w:t>
      </w:r>
      <w:r w:rsidR="00CE09B7">
        <w:rPr>
          <w:rFonts w:ascii="Palatino Linotype" w:hAnsi="Palatino Linotype"/>
        </w:rPr>
        <w:t xml:space="preserve"> as they are signed</w:t>
      </w:r>
      <w:r w:rsidR="004F5F55">
        <w:rPr>
          <w:rFonts w:ascii="Palatino Linotype" w:hAnsi="Palatino Linotype"/>
        </w:rPr>
        <w:t xml:space="preserve"> to the utility</w:t>
      </w:r>
      <w:r w:rsidR="00CE09B7">
        <w:rPr>
          <w:rFonts w:ascii="Palatino Linotype" w:hAnsi="Palatino Linotype"/>
        </w:rPr>
        <w:t xml:space="preserve">, </w:t>
      </w:r>
      <w:r w:rsidR="004F5F55">
        <w:rPr>
          <w:rFonts w:ascii="Palatino Linotype" w:hAnsi="Palatino Linotype"/>
        </w:rPr>
        <w:t xml:space="preserve">2) </w:t>
      </w:r>
      <w:r w:rsidR="000D7BA9">
        <w:rPr>
          <w:rFonts w:ascii="Palatino Linotype" w:hAnsi="Palatino Linotype"/>
        </w:rPr>
        <w:t xml:space="preserve">the IOUs </w:t>
      </w:r>
      <w:r w:rsidR="000D7BA9">
        <w:rPr>
          <w:rFonts w:ascii="Palatino Linotype" w:hAnsi="Palatino Linotype" w:cs="Calibri"/>
        </w:rPr>
        <w:t>must notify all qualified Electric Vehicle Service Providers that if instances of price manipulation are suspected, the Commission’s Energy Division will review the submitted paid invoices and sale receipts from participating site-hosts that opt for Electric Vehicle Supply Equipment ownership, and</w:t>
      </w:r>
      <w:r w:rsidR="00F91D5B">
        <w:rPr>
          <w:rFonts w:ascii="Palatino Linotype" w:hAnsi="Palatino Linotype"/>
        </w:rPr>
        <w:t xml:space="preserve"> </w:t>
      </w:r>
      <w:r w:rsidR="004F5F55">
        <w:rPr>
          <w:rFonts w:ascii="Palatino Linotype" w:hAnsi="Palatino Linotype"/>
        </w:rPr>
        <w:t>3</w:t>
      </w:r>
      <w:r w:rsidR="00781E38">
        <w:rPr>
          <w:rFonts w:ascii="Palatino Linotype" w:hAnsi="Palatino Linotype"/>
        </w:rPr>
        <w:t xml:space="preserve">) </w:t>
      </w:r>
      <w:r w:rsidR="00F91D5B">
        <w:rPr>
          <w:rFonts w:ascii="Palatino Linotype" w:hAnsi="Palatino Linotype"/>
        </w:rPr>
        <w:t xml:space="preserve">SDG&amp;E must also </w:t>
      </w:r>
      <w:r w:rsidR="00C760DB">
        <w:rPr>
          <w:rFonts w:ascii="Palatino Linotype" w:hAnsi="Palatino Linotype"/>
        </w:rPr>
        <w:t xml:space="preserve">cap the rebate at the amount </w:t>
      </w:r>
      <w:r w:rsidR="00781E38">
        <w:rPr>
          <w:rFonts w:ascii="Palatino Linotype" w:hAnsi="Palatino Linotype"/>
        </w:rPr>
        <w:t xml:space="preserve">approved in this Resolution </w:t>
      </w:r>
      <w:r w:rsidR="00C760DB">
        <w:rPr>
          <w:rFonts w:ascii="Palatino Linotype" w:hAnsi="Palatino Linotype"/>
        </w:rPr>
        <w:t xml:space="preserve">and </w:t>
      </w:r>
      <w:r w:rsidR="00F91D5B">
        <w:rPr>
          <w:rFonts w:ascii="Palatino Linotype" w:hAnsi="Palatino Linotype"/>
        </w:rPr>
        <w:t xml:space="preserve">modify their customer agreement language to certify that the rebate will not exceed 100 percent of the equipment and ongoing services cost. </w:t>
      </w:r>
      <w:r w:rsidR="00CE09B7">
        <w:rPr>
          <w:rFonts w:ascii="Palatino Linotype" w:hAnsi="Palatino Linotype"/>
        </w:rPr>
        <w:t xml:space="preserve"> </w:t>
      </w:r>
    </w:p>
    <w:p w:rsidRPr="007268E3" w:rsidR="00DF3534" w:rsidP="00DF3534" w:rsidRDefault="00DF3534" w14:paraId="2CE7834A" w14:textId="76142396">
      <w:pPr>
        <w:autoSpaceDE w:val="0"/>
        <w:autoSpaceDN w:val="0"/>
        <w:rPr>
          <w:rFonts w:ascii="Palatino Linotype" w:hAnsi="Palatino Linotype"/>
        </w:rPr>
      </w:pPr>
      <w:r w:rsidRPr="54996069">
        <w:rPr>
          <w:rFonts w:ascii="Palatino Linotype" w:hAnsi="Palatino Linotype"/>
        </w:rPr>
        <w:t xml:space="preserve">Approval of this resolution </w:t>
      </w:r>
      <w:r w:rsidR="00A424E2">
        <w:rPr>
          <w:rFonts w:ascii="Palatino Linotype" w:hAnsi="Palatino Linotype"/>
        </w:rPr>
        <w:t xml:space="preserve">permits </w:t>
      </w:r>
      <w:r w:rsidR="00D102FF">
        <w:rPr>
          <w:rFonts w:ascii="Palatino Linotype" w:hAnsi="Palatino Linotype"/>
        </w:rPr>
        <w:t xml:space="preserve">PG&amp;E, </w:t>
      </w:r>
      <w:r w:rsidR="005A3FE5">
        <w:rPr>
          <w:rFonts w:ascii="Palatino Linotype" w:hAnsi="Palatino Linotype"/>
        </w:rPr>
        <w:t>SCE</w:t>
      </w:r>
      <w:r w:rsidR="00D102FF">
        <w:rPr>
          <w:rFonts w:ascii="Palatino Linotype" w:hAnsi="Palatino Linotype"/>
        </w:rPr>
        <w:t>,</w:t>
      </w:r>
      <w:r w:rsidR="005A3FE5">
        <w:rPr>
          <w:rFonts w:ascii="Palatino Linotype" w:hAnsi="Palatino Linotype"/>
        </w:rPr>
        <w:t xml:space="preserve"> and </w:t>
      </w:r>
      <w:r w:rsidR="00A424E2">
        <w:rPr>
          <w:rFonts w:ascii="Palatino Linotype" w:hAnsi="Palatino Linotype"/>
        </w:rPr>
        <w:t xml:space="preserve">SDG&amp;E to </w:t>
      </w:r>
      <w:r w:rsidR="0032732A">
        <w:rPr>
          <w:rFonts w:ascii="Palatino Linotype" w:hAnsi="Palatino Linotype"/>
        </w:rPr>
        <w:t>offer participating site-hosts the option to own the EVSE</w:t>
      </w:r>
      <w:r w:rsidR="00A424E2">
        <w:rPr>
          <w:rFonts w:ascii="Palatino Linotype" w:hAnsi="Palatino Linotype"/>
        </w:rPr>
        <w:t xml:space="preserve"> </w:t>
      </w:r>
      <w:r w:rsidR="0032732A">
        <w:rPr>
          <w:rFonts w:ascii="Palatino Linotype" w:hAnsi="Palatino Linotype"/>
        </w:rPr>
        <w:t xml:space="preserve">in the </w:t>
      </w:r>
      <w:r w:rsidR="008F08FA">
        <w:rPr>
          <w:rFonts w:ascii="Palatino Linotype" w:hAnsi="Palatino Linotype"/>
        </w:rPr>
        <w:t>utilities’</w:t>
      </w:r>
      <w:r w:rsidR="00A419E9">
        <w:rPr>
          <w:rFonts w:ascii="Palatino Linotype" w:hAnsi="Palatino Linotype"/>
        </w:rPr>
        <w:t xml:space="preserve"> School Pilot Programs</w:t>
      </w:r>
      <w:r w:rsidR="006600E2">
        <w:rPr>
          <w:rFonts w:ascii="Palatino Linotype" w:hAnsi="Palatino Linotype"/>
        </w:rPr>
        <w:t>.</w:t>
      </w:r>
      <w:r w:rsidRPr="54996069" w:rsidR="006600E2">
        <w:rPr>
          <w:rFonts w:ascii="Palatino Linotype" w:hAnsi="Palatino Linotype"/>
        </w:rPr>
        <w:t xml:space="preserve"> </w:t>
      </w:r>
      <w:r w:rsidR="004233A8">
        <w:rPr>
          <w:rFonts w:ascii="Palatino Linotype" w:hAnsi="Palatino Linotype"/>
        </w:rPr>
        <w:t xml:space="preserve"> </w:t>
      </w:r>
    </w:p>
    <w:p w:rsidRPr="00236FCF" w:rsidR="00DF3534" w:rsidP="00DF3534" w:rsidRDefault="00DF3534" w14:paraId="48A47F41" w14:textId="77777777">
      <w:pPr>
        <w:autoSpaceDE w:val="0"/>
        <w:autoSpaceDN w:val="0"/>
        <w:rPr>
          <w:rFonts w:ascii="Palatino Linotype" w:hAnsi="Palatino Linotype" w:eastAsia="Times New Roman" w:cs="Helvetica"/>
          <w:b/>
          <w:caps/>
          <w:kern w:val="28"/>
          <w:sz w:val="26"/>
          <w:szCs w:val="20"/>
          <w:u w:val="single"/>
        </w:rPr>
      </w:pPr>
      <w:r w:rsidRPr="00236FCF">
        <w:rPr>
          <w:rFonts w:ascii="Palatino Linotype" w:hAnsi="Palatino Linotype" w:eastAsia="Times New Roman" w:cs="Helvetica"/>
          <w:b/>
          <w:caps/>
          <w:kern w:val="28"/>
          <w:sz w:val="26"/>
          <w:szCs w:val="20"/>
          <w:u w:val="single"/>
        </w:rPr>
        <w:t>Background</w:t>
      </w:r>
    </w:p>
    <w:p w:rsidR="00DF3534" w:rsidP="00DF3534" w:rsidRDefault="00DF3534" w14:paraId="69B2C47E" w14:textId="13EE1F9A">
      <w:pPr>
        <w:rPr>
          <w:rFonts w:ascii="Palatino Linotype" w:hAnsi="Palatino Linotype"/>
          <w:bCs/>
        </w:rPr>
      </w:pPr>
      <w:r w:rsidRPr="00236FCF">
        <w:rPr>
          <w:rFonts w:ascii="Palatino Linotype" w:hAnsi="Palatino Linotype"/>
          <w:bCs/>
        </w:rPr>
        <w:t>AB 1082</w:t>
      </w:r>
      <w:r w:rsidR="002B79F6">
        <w:rPr>
          <w:rFonts w:ascii="Palatino Linotype" w:hAnsi="Palatino Linotype"/>
          <w:bCs/>
        </w:rPr>
        <w:t xml:space="preserve"> </w:t>
      </w:r>
      <w:r w:rsidR="009A278F">
        <w:rPr>
          <w:rFonts w:ascii="Palatino Linotype" w:hAnsi="Palatino Linotype"/>
          <w:bCs/>
        </w:rPr>
        <w:t xml:space="preserve">authorized California’s </w:t>
      </w:r>
      <w:r w:rsidR="008F08FA">
        <w:rPr>
          <w:rFonts w:ascii="Palatino Linotype" w:hAnsi="Palatino Linotype"/>
          <w:bCs/>
        </w:rPr>
        <w:t>investor</w:t>
      </w:r>
      <w:r w:rsidR="00F938AF">
        <w:rPr>
          <w:rFonts w:ascii="Palatino Linotype" w:hAnsi="Palatino Linotype"/>
          <w:bCs/>
        </w:rPr>
        <w:t>-</w:t>
      </w:r>
      <w:r w:rsidR="008F08FA">
        <w:rPr>
          <w:rFonts w:ascii="Palatino Linotype" w:hAnsi="Palatino Linotype"/>
          <w:bCs/>
        </w:rPr>
        <w:t xml:space="preserve">owned </w:t>
      </w:r>
      <w:r w:rsidR="009A278F">
        <w:rPr>
          <w:rFonts w:ascii="Palatino Linotype" w:hAnsi="Palatino Linotype"/>
          <w:bCs/>
        </w:rPr>
        <w:t>utilities</w:t>
      </w:r>
      <w:r w:rsidR="008F08FA">
        <w:rPr>
          <w:rFonts w:ascii="Palatino Linotype" w:hAnsi="Palatino Linotype"/>
          <w:bCs/>
        </w:rPr>
        <w:t xml:space="preserve"> (IOU)</w:t>
      </w:r>
      <w:r w:rsidR="009A278F">
        <w:rPr>
          <w:rFonts w:ascii="Palatino Linotype" w:hAnsi="Palatino Linotype"/>
          <w:bCs/>
        </w:rPr>
        <w:t xml:space="preserve"> to file pilot program proposals with the CPUC to install electric vehicle charging infrastructure at schools</w:t>
      </w:r>
      <w:r w:rsidR="00CE09B7">
        <w:rPr>
          <w:rFonts w:ascii="Palatino Linotype" w:hAnsi="Palatino Linotype"/>
          <w:bCs/>
        </w:rPr>
        <w:t xml:space="preserve"> and educational facilities</w:t>
      </w:r>
      <w:r w:rsidR="009A278F">
        <w:rPr>
          <w:rFonts w:ascii="Palatino Linotype" w:hAnsi="Palatino Linotype"/>
          <w:bCs/>
        </w:rPr>
        <w:t xml:space="preserve">. </w:t>
      </w:r>
      <w:r w:rsidR="002B79F6">
        <w:rPr>
          <w:rFonts w:ascii="Palatino Linotype" w:hAnsi="Palatino Linotype"/>
          <w:bCs/>
        </w:rPr>
        <w:t>T</w:t>
      </w:r>
      <w:r>
        <w:rPr>
          <w:rFonts w:ascii="Palatino Linotype" w:hAnsi="Palatino Linotype"/>
          <w:bCs/>
        </w:rPr>
        <w:t xml:space="preserve">he </w:t>
      </w:r>
      <w:r w:rsidR="009A278F">
        <w:rPr>
          <w:rFonts w:ascii="Palatino Linotype" w:hAnsi="Palatino Linotype"/>
          <w:bCs/>
        </w:rPr>
        <w:t xml:space="preserve">CPUC authorized </w:t>
      </w:r>
      <w:r w:rsidR="00D102FF">
        <w:rPr>
          <w:rFonts w:ascii="Palatino Linotype" w:hAnsi="Palatino Linotype"/>
          <w:bCs/>
        </w:rPr>
        <w:t>PG&amp;E,</w:t>
      </w:r>
      <w:r w:rsidR="00F71C75">
        <w:rPr>
          <w:rFonts w:ascii="Palatino Linotype" w:hAnsi="Palatino Linotype"/>
          <w:bCs/>
        </w:rPr>
        <w:t xml:space="preserve"> </w:t>
      </w:r>
      <w:r w:rsidR="00765C10">
        <w:rPr>
          <w:rFonts w:ascii="Palatino Linotype" w:hAnsi="Palatino Linotype"/>
          <w:bCs/>
        </w:rPr>
        <w:t xml:space="preserve">SCE </w:t>
      </w:r>
      <w:r w:rsidR="00F7611E">
        <w:rPr>
          <w:rFonts w:ascii="Palatino Linotype" w:hAnsi="Palatino Linotype"/>
          <w:bCs/>
        </w:rPr>
        <w:t xml:space="preserve">and </w:t>
      </w:r>
      <w:r w:rsidR="009A278F">
        <w:rPr>
          <w:rFonts w:ascii="Palatino Linotype" w:hAnsi="Palatino Linotype"/>
          <w:bCs/>
        </w:rPr>
        <w:t xml:space="preserve">SDG&amp;E to implement pilots pursuant to AB 1082 through </w:t>
      </w:r>
      <w:r>
        <w:rPr>
          <w:rFonts w:ascii="Palatino Linotype" w:hAnsi="Palatino Linotype"/>
          <w:bCs/>
        </w:rPr>
        <w:t>D.19-11-017, which</w:t>
      </w:r>
      <w:r w:rsidR="002F56DA">
        <w:rPr>
          <w:rFonts w:ascii="Palatino Linotype" w:hAnsi="Palatino Linotype"/>
          <w:bCs/>
        </w:rPr>
        <w:t xml:space="preserve"> </w:t>
      </w:r>
      <w:r>
        <w:rPr>
          <w:rFonts w:ascii="Palatino Linotype" w:hAnsi="Palatino Linotype"/>
          <w:bCs/>
        </w:rPr>
        <w:t xml:space="preserve">approved </w:t>
      </w:r>
      <w:r w:rsidR="00AE7A10">
        <w:rPr>
          <w:rFonts w:ascii="Palatino Linotype" w:hAnsi="Palatino Linotype"/>
          <w:bCs/>
        </w:rPr>
        <w:t>$5.76</w:t>
      </w:r>
      <w:r w:rsidR="00FE058B">
        <w:rPr>
          <w:rFonts w:ascii="Palatino Linotype" w:hAnsi="Palatino Linotype"/>
          <w:bCs/>
        </w:rPr>
        <w:t xml:space="preserve"> </w:t>
      </w:r>
      <w:r w:rsidR="00AE7A10">
        <w:rPr>
          <w:rFonts w:ascii="Palatino Linotype" w:hAnsi="Palatino Linotype"/>
          <w:bCs/>
        </w:rPr>
        <w:t xml:space="preserve">million, </w:t>
      </w:r>
      <w:r w:rsidR="00DB5E85">
        <w:rPr>
          <w:rFonts w:ascii="Palatino Linotype" w:hAnsi="Palatino Linotype"/>
          <w:bCs/>
        </w:rPr>
        <w:t>$9.89 million</w:t>
      </w:r>
      <w:r w:rsidR="00AE7A10">
        <w:rPr>
          <w:rFonts w:ascii="Palatino Linotype" w:hAnsi="Palatino Linotype"/>
          <w:bCs/>
        </w:rPr>
        <w:t>,</w:t>
      </w:r>
      <w:r w:rsidR="00DB5E85">
        <w:rPr>
          <w:rFonts w:ascii="Palatino Linotype" w:hAnsi="Palatino Linotype"/>
          <w:bCs/>
        </w:rPr>
        <w:t xml:space="preserve"> and </w:t>
      </w:r>
      <w:r>
        <w:rPr>
          <w:rFonts w:ascii="Palatino Linotype" w:hAnsi="Palatino Linotype"/>
          <w:bCs/>
        </w:rPr>
        <w:t>$9.9 million</w:t>
      </w:r>
      <w:r w:rsidR="00AE7A10">
        <w:rPr>
          <w:rFonts w:ascii="Palatino Linotype" w:hAnsi="Palatino Linotype"/>
          <w:bCs/>
        </w:rPr>
        <w:t>,</w:t>
      </w:r>
      <w:r>
        <w:rPr>
          <w:rFonts w:ascii="Palatino Linotype" w:hAnsi="Palatino Linotype"/>
          <w:bCs/>
        </w:rPr>
        <w:t xml:space="preserve"> for </w:t>
      </w:r>
      <w:r w:rsidR="00AE7A10">
        <w:rPr>
          <w:rFonts w:ascii="Palatino Linotype" w:hAnsi="Palatino Linotype"/>
          <w:bCs/>
        </w:rPr>
        <w:t xml:space="preserve">PG&amp;E, </w:t>
      </w:r>
      <w:r w:rsidR="00DB5E85">
        <w:rPr>
          <w:rFonts w:ascii="Palatino Linotype" w:hAnsi="Palatino Linotype"/>
          <w:bCs/>
        </w:rPr>
        <w:t xml:space="preserve">SCE and </w:t>
      </w:r>
      <w:r>
        <w:rPr>
          <w:rFonts w:ascii="Palatino Linotype" w:hAnsi="Palatino Linotype"/>
          <w:bCs/>
        </w:rPr>
        <w:t xml:space="preserve">SDG&amp;E to install EV </w:t>
      </w:r>
      <w:r w:rsidR="00217B68">
        <w:rPr>
          <w:rFonts w:ascii="Palatino Linotype" w:hAnsi="Palatino Linotype"/>
          <w:bCs/>
        </w:rPr>
        <w:t xml:space="preserve">charging </w:t>
      </w:r>
      <w:r>
        <w:rPr>
          <w:rFonts w:ascii="Palatino Linotype" w:hAnsi="Palatino Linotype"/>
          <w:bCs/>
        </w:rPr>
        <w:t xml:space="preserve">infrastructure at schools and educational </w:t>
      </w:r>
      <w:r>
        <w:rPr>
          <w:rFonts w:ascii="Palatino Linotype" w:hAnsi="Palatino Linotype"/>
          <w:bCs/>
        </w:rPr>
        <w:lastRenderedPageBreak/>
        <w:t>facilities</w:t>
      </w:r>
      <w:r w:rsidR="00CE09B7">
        <w:rPr>
          <w:rFonts w:ascii="Palatino Linotype" w:hAnsi="Palatino Linotype"/>
          <w:bCs/>
        </w:rPr>
        <w:t>.</w:t>
      </w:r>
      <w:r w:rsidR="005A6DBD">
        <w:rPr>
          <w:rStyle w:val="FootnoteReference"/>
          <w:rFonts w:ascii="Palatino Linotype" w:hAnsi="Palatino Linotype"/>
          <w:bCs/>
        </w:rPr>
        <w:footnoteReference w:id="1"/>
      </w:r>
      <w:r>
        <w:rPr>
          <w:rFonts w:ascii="Palatino Linotype" w:hAnsi="Palatino Linotype"/>
          <w:bCs/>
        </w:rPr>
        <w:t xml:space="preserve"> </w:t>
      </w:r>
      <w:r w:rsidR="00AE7A10">
        <w:rPr>
          <w:rFonts w:ascii="Palatino Linotype" w:hAnsi="Palatino Linotype"/>
          <w:bCs/>
        </w:rPr>
        <w:t xml:space="preserve">PG&amp;E received approval to install up to 132 L2 level two charge ports at 22 public school campuses, </w:t>
      </w:r>
      <w:r w:rsidR="00F10162">
        <w:rPr>
          <w:rFonts w:ascii="Palatino Linotype" w:hAnsi="Palatino Linotype"/>
          <w:bCs/>
        </w:rPr>
        <w:t xml:space="preserve">SCE was authorized to install up to 250 level </w:t>
      </w:r>
      <w:r w:rsidRPr="001A7089" w:rsidR="00F10162">
        <w:rPr>
          <w:rFonts w:ascii="Palatino Linotype" w:hAnsi="Palatino Linotype"/>
          <w:bCs/>
        </w:rPr>
        <w:t xml:space="preserve">one (L1) and L2 </w:t>
      </w:r>
      <w:r w:rsidRPr="001A7089" w:rsidR="001177D5">
        <w:rPr>
          <w:rFonts w:ascii="Palatino Linotype" w:hAnsi="Palatino Linotype"/>
          <w:bCs/>
        </w:rPr>
        <w:t xml:space="preserve">charge ports at </w:t>
      </w:r>
      <w:r w:rsidRPr="001A7089" w:rsidR="000B3620">
        <w:rPr>
          <w:rFonts w:ascii="Palatino Linotype" w:hAnsi="Palatino Linotype"/>
          <w:bCs/>
        </w:rPr>
        <w:t xml:space="preserve">40 K-12 schools, </w:t>
      </w:r>
      <w:r w:rsidR="00781E38">
        <w:rPr>
          <w:rFonts w:ascii="Palatino Linotype" w:hAnsi="Palatino Linotype"/>
          <w:bCs/>
        </w:rPr>
        <w:t>and</w:t>
      </w:r>
      <w:r w:rsidRPr="001A7089" w:rsidR="00781E38">
        <w:rPr>
          <w:rFonts w:ascii="Palatino Linotype" w:hAnsi="Palatino Linotype"/>
          <w:bCs/>
        </w:rPr>
        <w:t xml:space="preserve"> </w:t>
      </w:r>
      <w:r w:rsidRPr="001A7089">
        <w:rPr>
          <w:rFonts w:ascii="Palatino Linotype" w:hAnsi="Palatino Linotype"/>
          <w:bCs/>
        </w:rPr>
        <w:t xml:space="preserve">SDG&amp;E </w:t>
      </w:r>
      <w:r w:rsidRPr="001A7089" w:rsidR="000B3620">
        <w:rPr>
          <w:rFonts w:ascii="Palatino Linotype" w:hAnsi="Palatino Linotype"/>
          <w:bCs/>
        </w:rPr>
        <w:t>was autho</w:t>
      </w:r>
      <w:r w:rsidRPr="001A7089" w:rsidR="001A7089">
        <w:rPr>
          <w:rFonts w:ascii="Palatino Linotype" w:hAnsi="Palatino Linotype"/>
          <w:bCs/>
        </w:rPr>
        <w:t xml:space="preserve">rized to </w:t>
      </w:r>
      <w:r w:rsidRPr="001A7089" w:rsidR="00396168">
        <w:rPr>
          <w:rFonts w:ascii="Palatino Linotype" w:hAnsi="Palatino Linotype"/>
          <w:bCs/>
        </w:rPr>
        <w:t xml:space="preserve">install </w:t>
      </w:r>
      <w:r w:rsidRPr="001A7089">
        <w:rPr>
          <w:rFonts w:ascii="Palatino Linotype" w:hAnsi="Palatino Linotype"/>
          <w:bCs/>
        </w:rPr>
        <w:t xml:space="preserve">184 L2 </w:t>
      </w:r>
      <w:r w:rsidRPr="001A7089" w:rsidR="001A7089">
        <w:rPr>
          <w:rFonts w:ascii="Palatino Linotype" w:hAnsi="Palatino Linotype"/>
          <w:bCs/>
        </w:rPr>
        <w:t>charge ports</w:t>
      </w:r>
      <w:r w:rsidRPr="001A7089">
        <w:rPr>
          <w:rFonts w:ascii="Palatino Linotype" w:hAnsi="Palatino Linotype"/>
          <w:bCs/>
        </w:rPr>
        <w:t xml:space="preserve"> and 12 DC Fast Chargers (DCFC) across 30 Educational Institutions.</w:t>
      </w:r>
    </w:p>
    <w:p w:rsidR="00DF3534" w:rsidP="00CE09B7" w:rsidRDefault="00E87F33" w14:paraId="6038034D" w14:textId="6B0D66ED">
      <w:pPr>
        <w:rPr>
          <w:rFonts w:ascii="Palatino Linotype" w:hAnsi="Palatino Linotype"/>
          <w:i/>
          <w:iCs/>
        </w:rPr>
      </w:pPr>
      <w:r>
        <w:rPr>
          <w:rFonts w:ascii="Palatino Linotype" w:hAnsi="Palatino Linotype"/>
        </w:rPr>
        <w:t xml:space="preserve">While </w:t>
      </w:r>
      <w:r w:rsidR="003C5C17">
        <w:rPr>
          <w:rFonts w:ascii="Palatino Linotype" w:hAnsi="Palatino Linotype"/>
        </w:rPr>
        <w:t xml:space="preserve">PG&amp;E’s and </w:t>
      </w:r>
      <w:r>
        <w:rPr>
          <w:rFonts w:ascii="Palatino Linotype" w:hAnsi="Palatino Linotype"/>
        </w:rPr>
        <w:t>SCE</w:t>
      </w:r>
      <w:r w:rsidR="00115109">
        <w:rPr>
          <w:rFonts w:ascii="Palatino Linotype" w:hAnsi="Palatino Linotype"/>
        </w:rPr>
        <w:t>’s application</w:t>
      </w:r>
      <w:r w:rsidR="00F938AF">
        <w:rPr>
          <w:rFonts w:ascii="Palatino Linotype" w:hAnsi="Palatino Linotype"/>
        </w:rPr>
        <w:t>s</w:t>
      </w:r>
      <w:r w:rsidR="00115109">
        <w:rPr>
          <w:rFonts w:ascii="Palatino Linotype" w:hAnsi="Palatino Linotype"/>
        </w:rPr>
        <w:t xml:space="preserve"> </w:t>
      </w:r>
      <w:r w:rsidR="00CE09B7">
        <w:rPr>
          <w:rFonts w:ascii="Palatino Linotype" w:hAnsi="Palatino Linotype"/>
        </w:rPr>
        <w:t xml:space="preserve">offered customers </w:t>
      </w:r>
      <w:r w:rsidR="00115109">
        <w:rPr>
          <w:rFonts w:ascii="Palatino Linotype" w:hAnsi="Palatino Linotype"/>
        </w:rPr>
        <w:t>the choice between site-host and utility ownership of the EVSE, SDG&amp;E</w:t>
      </w:r>
      <w:r w:rsidR="00A7180F">
        <w:rPr>
          <w:rFonts w:ascii="Palatino Linotype" w:hAnsi="Palatino Linotype"/>
        </w:rPr>
        <w:t xml:space="preserve"> </w:t>
      </w:r>
      <w:r w:rsidR="00A424E2">
        <w:rPr>
          <w:rFonts w:ascii="Palatino Linotype" w:hAnsi="Palatino Linotype"/>
        </w:rPr>
        <w:t xml:space="preserve">requested </w:t>
      </w:r>
      <w:r w:rsidR="00F938AF">
        <w:rPr>
          <w:rFonts w:ascii="Palatino Linotype" w:hAnsi="Palatino Linotype"/>
        </w:rPr>
        <w:t>to</w:t>
      </w:r>
      <w:r w:rsidR="00115109">
        <w:rPr>
          <w:rFonts w:ascii="Palatino Linotype" w:hAnsi="Palatino Linotype"/>
        </w:rPr>
        <w:t xml:space="preserve"> own</w:t>
      </w:r>
      <w:r w:rsidR="00A7180F">
        <w:rPr>
          <w:rFonts w:ascii="Palatino Linotype" w:hAnsi="Palatino Linotype"/>
        </w:rPr>
        <w:t xml:space="preserve"> all of the EVSE</w:t>
      </w:r>
      <w:r w:rsidR="00C306AE">
        <w:rPr>
          <w:rFonts w:ascii="Palatino Linotype" w:hAnsi="Palatino Linotype"/>
        </w:rPr>
        <w:t xml:space="preserve"> </w:t>
      </w:r>
      <w:r w:rsidR="00115109">
        <w:rPr>
          <w:rFonts w:ascii="Palatino Linotype" w:hAnsi="Palatino Linotype"/>
        </w:rPr>
        <w:t>installed</w:t>
      </w:r>
      <w:r w:rsidRPr="54996069" w:rsidR="00DF3534">
        <w:rPr>
          <w:rFonts w:ascii="Palatino Linotype" w:hAnsi="Palatino Linotype"/>
        </w:rPr>
        <w:t xml:space="preserve">. </w:t>
      </w:r>
      <w:r w:rsidR="00F938AF">
        <w:rPr>
          <w:rFonts w:ascii="Palatino Linotype" w:hAnsi="Palatino Linotype"/>
        </w:rPr>
        <w:t xml:space="preserve">The CPUC ultimately required </w:t>
      </w:r>
      <w:r w:rsidR="00DA261C">
        <w:rPr>
          <w:rFonts w:ascii="Palatino Linotype" w:hAnsi="Palatino Linotype"/>
        </w:rPr>
        <w:t xml:space="preserve">SDG&amp;E to also offer a site-host ownership option, </w:t>
      </w:r>
      <w:r w:rsidR="00F938AF">
        <w:rPr>
          <w:rFonts w:ascii="Palatino Linotype" w:hAnsi="Palatino Linotype"/>
        </w:rPr>
        <w:t>consistent with party recommendations in the proceeding</w:t>
      </w:r>
      <w:r w:rsidR="00DA261C">
        <w:rPr>
          <w:rFonts w:ascii="Palatino Linotype" w:hAnsi="Palatino Linotype"/>
        </w:rPr>
        <w:t xml:space="preserve">. </w:t>
      </w:r>
    </w:p>
    <w:p w:rsidR="008C2BD2" w:rsidP="008C2BD2" w:rsidRDefault="00CE09B7" w14:paraId="49DF6415" w14:textId="4633AA66">
      <w:pPr>
        <w:rPr>
          <w:rFonts w:ascii="Palatino Linotype" w:hAnsi="Palatino Linotype"/>
        </w:rPr>
      </w:pPr>
      <w:r>
        <w:rPr>
          <w:rFonts w:ascii="Palatino Linotype" w:hAnsi="Palatino Linotype"/>
        </w:rPr>
        <w:t xml:space="preserve">Parties raised concerns that the IOUs’ proposed rebate did not provide an equal value to IOU ownership of the EVSE, resulting in a structural bias to customer’s selecting IOU ownership. </w:t>
      </w:r>
      <w:r w:rsidR="00C04922">
        <w:rPr>
          <w:rFonts w:ascii="Palatino Linotype" w:hAnsi="Palatino Linotype"/>
        </w:rPr>
        <w:t>T</w:t>
      </w:r>
      <w:r>
        <w:rPr>
          <w:rFonts w:ascii="Palatino Linotype" w:hAnsi="Palatino Linotype"/>
        </w:rPr>
        <w:t xml:space="preserve">he </w:t>
      </w:r>
      <w:r w:rsidR="00C04922">
        <w:rPr>
          <w:rFonts w:ascii="Palatino Linotype" w:hAnsi="Palatino Linotype"/>
        </w:rPr>
        <w:t>U</w:t>
      </w:r>
      <w:r>
        <w:rPr>
          <w:rFonts w:ascii="Palatino Linotype" w:hAnsi="Palatino Linotype"/>
        </w:rPr>
        <w:t xml:space="preserve">tility </w:t>
      </w:r>
      <w:r w:rsidR="00C04922">
        <w:rPr>
          <w:rFonts w:ascii="Palatino Linotype" w:hAnsi="Palatino Linotype"/>
        </w:rPr>
        <w:t>R</w:t>
      </w:r>
      <w:r>
        <w:rPr>
          <w:rFonts w:ascii="Palatino Linotype" w:hAnsi="Palatino Linotype"/>
        </w:rPr>
        <w:t xml:space="preserve">eform </w:t>
      </w:r>
      <w:r w:rsidR="00C04922">
        <w:rPr>
          <w:rFonts w:ascii="Palatino Linotype" w:hAnsi="Palatino Linotype"/>
        </w:rPr>
        <w:t>N</w:t>
      </w:r>
      <w:r>
        <w:rPr>
          <w:rFonts w:ascii="Palatino Linotype" w:hAnsi="Palatino Linotype"/>
        </w:rPr>
        <w:t xml:space="preserve">etwork (TURN) </w:t>
      </w:r>
      <w:r w:rsidR="00C04922">
        <w:rPr>
          <w:rFonts w:ascii="Palatino Linotype" w:hAnsi="Palatino Linotype"/>
        </w:rPr>
        <w:t>identifie</w:t>
      </w:r>
      <w:r w:rsidR="009A5148">
        <w:rPr>
          <w:rFonts w:ascii="Palatino Linotype" w:hAnsi="Palatino Linotype"/>
        </w:rPr>
        <w:t>d</w:t>
      </w:r>
      <w:r>
        <w:rPr>
          <w:rFonts w:ascii="Palatino Linotype" w:hAnsi="Palatino Linotype"/>
        </w:rPr>
        <w:t xml:space="preserve"> in their Opening Briefs</w:t>
      </w:r>
      <w:r w:rsidR="009A5148">
        <w:rPr>
          <w:rFonts w:ascii="Palatino Linotype" w:hAnsi="Palatino Linotype"/>
        </w:rPr>
        <w:t xml:space="preserve"> </w:t>
      </w:r>
      <w:r w:rsidR="0046183B">
        <w:rPr>
          <w:rFonts w:ascii="Palatino Linotype" w:hAnsi="Palatino Linotype"/>
        </w:rPr>
        <w:t xml:space="preserve">that the </w:t>
      </w:r>
      <w:r w:rsidR="00B76137">
        <w:rPr>
          <w:rFonts w:ascii="Palatino Linotype" w:hAnsi="Palatino Linotype"/>
        </w:rPr>
        <w:t>cause of the</w:t>
      </w:r>
      <w:r w:rsidR="009A5148">
        <w:rPr>
          <w:rFonts w:ascii="Palatino Linotype" w:hAnsi="Palatino Linotype"/>
        </w:rPr>
        <w:t xml:space="preserve"> </w:t>
      </w:r>
      <w:r>
        <w:rPr>
          <w:rFonts w:ascii="Palatino Linotype" w:hAnsi="Palatino Linotype"/>
        </w:rPr>
        <w:t>structural bias was the costs of</w:t>
      </w:r>
      <w:r w:rsidR="00B76137">
        <w:rPr>
          <w:rFonts w:ascii="Palatino Linotype" w:hAnsi="Palatino Linotype"/>
        </w:rPr>
        <w:t xml:space="preserve"> maintenance and networking fees</w:t>
      </w:r>
      <w:r>
        <w:rPr>
          <w:rFonts w:ascii="Palatino Linotype" w:hAnsi="Palatino Linotype"/>
        </w:rPr>
        <w:t xml:space="preserve"> being included in IOU ownership but not in the site-host ownership rebate</w:t>
      </w:r>
      <w:r w:rsidR="009A5148">
        <w:rPr>
          <w:rFonts w:ascii="Palatino Linotype" w:hAnsi="Palatino Linotype"/>
        </w:rPr>
        <w:t xml:space="preserve">. </w:t>
      </w:r>
      <w:r>
        <w:rPr>
          <w:rFonts w:ascii="Palatino Linotype" w:hAnsi="Palatino Linotype"/>
        </w:rPr>
        <w:t xml:space="preserve">Using </w:t>
      </w:r>
      <w:r w:rsidR="009A5148">
        <w:rPr>
          <w:rFonts w:ascii="Palatino Linotype" w:hAnsi="Palatino Linotype"/>
        </w:rPr>
        <w:t>SCE</w:t>
      </w:r>
      <w:r>
        <w:rPr>
          <w:rFonts w:ascii="Palatino Linotype" w:hAnsi="Palatino Linotype"/>
        </w:rPr>
        <w:t>’s cost breakdown that compares</w:t>
      </w:r>
      <w:r w:rsidR="009A5148">
        <w:rPr>
          <w:rFonts w:ascii="Palatino Linotype" w:hAnsi="Palatino Linotype"/>
        </w:rPr>
        <w:t xml:space="preserve"> ownership to customer ownership, which is presented in Table 1</w:t>
      </w:r>
      <w:r>
        <w:rPr>
          <w:rFonts w:ascii="Palatino Linotype" w:hAnsi="Palatino Linotype"/>
        </w:rPr>
        <w:t>,</w:t>
      </w:r>
      <w:r w:rsidR="00B76137">
        <w:rPr>
          <w:rFonts w:ascii="Palatino Linotype" w:hAnsi="Palatino Linotype"/>
        </w:rPr>
        <w:t xml:space="preserve"> </w:t>
      </w:r>
      <w:r>
        <w:rPr>
          <w:rFonts w:ascii="Palatino Linotype" w:hAnsi="Palatino Linotype"/>
        </w:rPr>
        <w:t xml:space="preserve">TURN showed that </w:t>
      </w:r>
      <w:r w:rsidR="00A74DC9">
        <w:rPr>
          <w:rFonts w:ascii="Palatino Linotype" w:hAnsi="Palatino Linotype"/>
        </w:rPr>
        <w:t xml:space="preserve">the </w:t>
      </w:r>
      <w:r w:rsidR="00A04B93">
        <w:rPr>
          <w:rFonts w:ascii="Palatino Linotype" w:hAnsi="Palatino Linotype"/>
        </w:rPr>
        <w:t>up-front</w:t>
      </w:r>
      <w:r w:rsidR="00A74DC9">
        <w:rPr>
          <w:rFonts w:ascii="Palatino Linotype" w:hAnsi="Palatino Linotype"/>
        </w:rPr>
        <w:t xml:space="preserve"> value of </w:t>
      </w:r>
      <w:r w:rsidR="00930716">
        <w:rPr>
          <w:rFonts w:ascii="Palatino Linotype" w:hAnsi="Palatino Linotype"/>
        </w:rPr>
        <w:t>customer</w:t>
      </w:r>
      <w:r w:rsidR="00A74DC9">
        <w:rPr>
          <w:rFonts w:ascii="Palatino Linotype" w:hAnsi="Palatino Linotype"/>
        </w:rPr>
        <w:t xml:space="preserve"> ownership is </w:t>
      </w:r>
      <w:r w:rsidR="00DA4839">
        <w:rPr>
          <w:rFonts w:ascii="Palatino Linotype" w:hAnsi="Palatino Linotype"/>
        </w:rPr>
        <w:t xml:space="preserve">$1,109 </w:t>
      </w:r>
      <w:r w:rsidR="00930716">
        <w:rPr>
          <w:rFonts w:ascii="Palatino Linotype" w:hAnsi="Palatino Linotype"/>
        </w:rPr>
        <w:t>more</w:t>
      </w:r>
      <w:r w:rsidR="00DA4839">
        <w:rPr>
          <w:rFonts w:ascii="Palatino Linotype" w:hAnsi="Palatino Linotype"/>
        </w:rPr>
        <w:t xml:space="preserve"> expensive </w:t>
      </w:r>
      <w:r w:rsidR="00A74DC9">
        <w:rPr>
          <w:rFonts w:ascii="Palatino Linotype" w:hAnsi="Palatino Linotype"/>
        </w:rPr>
        <w:t xml:space="preserve">than </w:t>
      </w:r>
      <w:r w:rsidR="00930716">
        <w:rPr>
          <w:rFonts w:ascii="Palatino Linotype" w:hAnsi="Palatino Linotype"/>
        </w:rPr>
        <w:t>IOU</w:t>
      </w:r>
      <w:r w:rsidR="00A74DC9">
        <w:rPr>
          <w:rFonts w:ascii="Palatino Linotype" w:hAnsi="Palatino Linotype"/>
        </w:rPr>
        <w:t xml:space="preserve"> ownership, which is</w:t>
      </w:r>
      <w:r w:rsidR="00DA4839">
        <w:rPr>
          <w:rFonts w:ascii="Palatino Linotype" w:hAnsi="Palatino Linotype"/>
        </w:rPr>
        <w:t xml:space="preserve"> then</w:t>
      </w:r>
      <w:r w:rsidR="00A74DC9">
        <w:rPr>
          <w:rFonts w:ascii="Palatino Linotype" w:hAnsi="Palatino Linotype"/>
        </w:rPr>
        <w:t xml:space="preserve"> further exacerbated once the annual maintenance and networking fees are applied throughout the expected life of the EVSE</w:t>
      </w:r>
      <w:r w:rsidR="00BD7EA7">
        <w:rPr>
          <w:rFonts w:ascii="Palatino Linotype" w:hAnsi="Palatino Linotype"/>
        </w:rPr>
        <w:t>.</w:t>
      </w:r>
      <w:r w:rsidR="00A74DC9">
        <w:rPr>
          <w:rStyle w:val="FootnoteReference"/>
          <w:rFonts w:ascii="Palatino Linotype" w:hAnsi="Palatino Linotype"/>
        </w:rPr>
        <w:footnoteReference w:id="2"/>
      </w:r>
      <w:r w:rsidR="003A3895">
        <w:rPr>
          <w:rFonts w:ascii="Palatino Linotype" w:hAnsi="Palatino Linotype"/>
        </w:rPr>
        <w:t xml:space="preserve"> E</w:t>
      </w:r>
      <w:r w:rsidR="00A74DC9">
        <w:rPr>
          <w:rFonts w:ascii="Palatino Linotype" w:hAnsi="Palatino Linotype"/>
        </w:rPr>
        <w:t>ach site-host opt</w:t>
      </w:r>
      <w:r w:rsidR="003A3895">
        <w:rPr>
          <w:rFonts w:ascii="Palatino Linotype" w:hAnsi="Palatino Linotype"/>
        </w:rPr>
        <w:t>ing to own the EVSE would have to pay an additional $17,728</w:t>
      </w:r>
      <w:r w:rsidR="003A3895">
        <w:rPr>
          <w:rStyle w:val="FootnoteReference"/>
          <w:rFonts w:ascii="Palatino Linotype" w:hAnsi="Palatino Linotype"/>
        </w:rPr>
        <w:footnoteReference w:id="3"/>
      </w:r>
      <w:r w:rsidR="003A3895">
        <w:rPr>
          <w:rFonts w:ascii="Palatino Linotype" w:hAnsi="Palatino Linotype"/>
        </w:rPr>
        <w:t xml:space="preserve"> in fees compared to the one-time $3,636 participation fee</w:t>
      </w:r>
      <w:r w:rsidR="003A3895">
        <w:rPr>
          <w:rStyle w:val="FootnoteReference"/>
          <w:rFonts w:ascii="Palatino Linotype" w:hAnsi="Palatino Linotype"/>
        </w:rPr>
        <w:footnoteReference w:id="4"/>
      </w:r>
      <w:r w:rsidR="003A3895">
        <w:rPr>
          <w:rFonts w:ascii="Palatino Linotype" w:hAnsi="Palatino Linotype"/>
        </w:rPr>
        <w:t xml:space="preserve"> for SCE ownership.</w:t>
      </w:r>
    </w:p>
    <w:p w:rsidRPr="00CE09B7" w:rsidR="00B76137" w:rsidP="00B76137" w:rsidRDefault="00B76137" w14:paraId="54F567C3" w14:textId="7456D047">
      <w:pPr>
        <w:pStyle w:val="Caption"/>
        <w:keepNext/>
        <w:rPr>
          <w:b/>
          <w:bCs/>
          <w:sz w:val="22"/>
          <w:szCs w:val="22"/>
        </w:rPr>
      </w:pPr>
      <w:bookmarkStart w:name="_Ref57714367" w:id="1"/>
      <w:r w:rsidRPr="00CE09B7">
        <w:rPr>
          <w:b/>
          <w:bCs/>
          <w:sz w:val="22"/>
          <w:szCs w:val="22"/>
        </w:rPr>
        <w:t xml:space="preserve">Table </w:t>
      </w:r>
      <w:r w:rsidRPr="00CE09B7" w:rsidR="0084194C">
        <w:rPr>
          <w:b/>
          <w:bCs/>
          <w:sz w:val="22"/>
          <w:szCs w:val="22"/>
        </w:rPr>
        <w:fldChar w:fldCharType="begin"/>
      </w:r>
      <w:r w:rsidRPr="00CE09B7" w:rsidR="0084194C">
        <w:rPr>
          <w:b/>
          <w:bCs/>
          <w:sz w:val="22"/>
          <w:szCs w:val="22"/>
        </w:rPr>
        <w:instrText xml:space="preserve"> SEQ Table \* ARABIC </w:instrText>
      </w:r>
      <w:r w:rsidRPr="00CE09B7" w:rsidR="0084194C">
        <w:rPr>
          <w:b/>
          <w:bCs/>
          <w:sz w:val="22"/>
          <w:szCs w:val="22"/>
        </w:rPr>
        <w:fldChar w:fldCharType="separate"/>
      </w:r>
      <w:r w:rsidR="00FF0700">
        <w:rPr>
          <w:b/>
          <w:bCs/>
          <w:noProof/>
          <w:sz w:val="22"/>
          <w:szCs w:val="22"/>
        </w:rPr>
        <w:t>1</w:t>
      </w:r>
      <w:r w:rsidRPr="00CE09B7" w:rsidR="0084194C">
        <w:rPr>
          <w:b/>
          <w:bCs/>
          <w:noProof/>
          <w:sz w:val="22"/>
          <w:szCs w:val="22"/>
        </w:rPr>
        <w:fldChar w:fldCharType="end"/>
      </w:r>
      <w:bookmarkEnd w:id="1"/>
      <w:r w:rsidRPr="00CE09B7">
        <w:rPr>
          <w:b/>
          <w:bCs/>
          <w:sz w:val="22"/>
          <w:szCs w:val="22"/>
        </w:rPr>
        <w:t>: SCE</w:t>
      </w:r>
      <w:r w:rsidR="00F91D5B">
        <w:rPr>
          <w:b/>
          <w:bCs/>
          <w:sz w:val="22"/>
          <w:szCs w:val="22"/>
        </w:rPr>
        <w:t>’</w:t>
      </w:r>
      <w:r w:rsidRPr="00CE09B7">
        <w:rPr>
          <w:b/>
          <w:bCs/>
          <w:sz w:val="22"/>
          <w:szCs w:val="22"/>
        </w:rPr>
        <w:t>s AB 1082 EVSE Ownership Cost Comparison</w:t>
      </w:r>
    </w:p>
    <w:tbl>
      <w:tblPr>
        <w:tblStyle w:val="TableGrid"/>
        <w:tblW w:w="0" w:type="auto"/>
        <w:tblLook w:val="04A0" w:firstRow="1" w:lastRow="0" w:firstColumn="1" w:lastColumn="0" w:noHBand="0" w:noVBand="1"/>
      </w:tblPr>
      <w:tblGrid>
        <w:gridCol w:w="3116"/>
        <w:gridCol w:w="3117"/>
        <w:gridCol w:w="3117"/>
      </w:tblGrid>
      <w:tr w:rsidR="009A5148" w:rsidTr="009A5148" w14:paraId="16EB007C" w14:textId="77777777">
        <w:tc>
          <w:tcPr>
            <w:tcW w:w="3116" w:type="dxa"/>
          </w:tcPr>
          <w:p w:rsidR="009A5148" w:rsidP="008C2BD2" w:rsidRDefault="009A5148" w14:paraId="22991124" w14:textId="77777777">
            <w:pPr>
              <w:rPr>
                <w:rFonts w:ascii="Palatino Linotype" w:hAnsi="Palatino Linotype"/>
              </w:rPr>
            </w:pPr>
          </w:p>
        </w:tc>
        <w:tc>
          <w:tcPr>
            <w:tcW w:w="3117" w:type="dxa"/>
          </w:tcPr>
          <w:p w:rsidR="009A5148" w:rsidP="008C2BD2" w:rsidRDefault="009A5148" w14:paraId="1EEEB58B" w14:textId="77777777">
            <w:pPr>
              <w:rPr>
                <w:rFonts w:ascii="Palatino Linotype" w:hAnsi="Palatino Linotype"/>
              </w:rPr>
            </w:pPr>
            <w:r>
              <w:rPr>
                <w:rFonts w:ascii="Palatino Linotype" w:hAnsi="Palatino Linotype"/>
              </w:rPr>
              <w:t>Customer Cost per Port</w:t>
            </w:r>
          </w:p>
          <w:p w:rsidR="009A5148" w:rsidP="008C2BD2" w:rsidRDefault="009A5148" w14:paraId="653353DD" w14:textId="6D3AE033">
            <w:pPr>
              <w:rPr>
                <w:rFonts w:ascii="Palatino Linotype" w:hAnsi="Palatino Linotype"/>
              </w:rPr>
            </w:pPr>
            <w:r>
              <w:rPr>
                <w:rFonts w:ascii="Palatino Linotype" w:hAnsi="Palatino Linotype"/>
              </w:rPr>
              <w:t>(SCE Ownership)</w:t>
            </w:r>
          </w:p>
        </w:tc>
        <w:tc>
          <w:tcPr>
            <w:tcW w:w="3117" w:type="dxa"/>
          </w:tcPr>
          <w:p w:rsidR="009A5148" w:rsidP="008C2BD2" w:rsidRDefault="009A5148" w14:paraId="4068F6F5" w14:textId="77777777">
            <w:pPr>
              <w:rPr>
                <w:rFonts w:ascii="Palatino Linotype" w:hAnsi="Palatino Linotype"/>
              </w:rPr>
            </w:pPr>
            <w:r>
              <w:rPr>
                <w:rFonts w:ascii="Palatino Linotype" w:hAnsi="Palatino Linotype"/>
              </w:rPr>
              <w:t>Customer Cost per Port</w:t>
            </w:r>
          </w:p>
          <w:p w:rsidR="009A5148" w:rsidP="008C2BD2" w:rsidRDefault="009A5148" w14:paraId="7D25318E" w14:textId="3277BE35">
            <w:pPr>
              <w:rPr>
                <w:rFonts w:ascii="Palatino Linotype" w:hAnsi="Palatino Linotype"/>
              </w:rPr>
            </w:pPr>
            <w:r>
              <w:rPr>
                <w:rFonts w:ascii="Palatino Linotype" w:hAnsi="Palatino Linotype"/>
              </w:rPr>
              <w:t>(Customer Ownership</w:t>
            </w:r>
            <w:r w:rsidR="00FD3C15">
              <w:rPr>
                <w:rFonts w:ascii="Palatino Linotype" w:hAnsi="Palatino Linotype"/>
              </w:rPr>
              <w:t>)</w:t>
            </w:r>
          </w:p>
        </w:tc>
      </w:tr>
      <w:tr w:rsidR="009A5148" w:rsidTr="009A5148" w14:paraId="5599909D" w14:textId="77777777">
        <w:tc>
          <w:tcPr>
            <w:tcW w:w="3116" w:type="dxa"/>
          </w:tcPr>
          <w:p w:rsidR="009A5148" w:rsidP="008C2BD2" w:rsidRDefault="009A5148" w14:paraId="507E5E1A" w14:textId="5147656B">
            <w:pPr>
              <w:rPr>
                <w:rFonts w:ascii="Palatino Linotype" w:hAnsi="Palatino Linotype"/>
              </w:rPr>
            </w:pPr>
            <w:r>
              <w:rPr>
                <w:rFonts w:ascii="Palatino Linotype" w:hAnsi="Palatino Linotype"/>
              </w:rPr>
              <w:t>Charging Station Cost</w:t>
            </w:r>
          </w:p>
        </w:tc>
        <w:tc>
          <w:tcPr>
            <w:tcW w:w="3117" w:type="dxa"/>
          </w:tcPr>
          <w:p w:rsidR="009A5148" w:rsidP="008C2BD2" w:rsidRDefault="009A5148" w14:paraId="1AECE91C" w14:textId="05B10BF1">
            <w:pPr>
              <w:rPr>
                <w:rFonts w:ascii="Palatino Linotype" w:hAnsi="Palatino Linotype"/>
              </w:rPr>
            </w:pPr>
            <w:r>
              <w:rPr>
                <w:rFonts w:ascii="Palatino Linotype" w:hAnsi="Palatino Linotype"/>
              </w:rPr>
              <w:t>N/A</w:t>
            </w:r>
          </w:p>
        </w:tc>
        <w:tc>
          <w:tcPr>
            <w:tcW w:w="3117" w:type="dxa"/>
          </w:tcPr>
          <w:p w:rsidR="009A5148" w:rsidP="008C2BD2" w:rsidRDefault="009A5148" w14:paraId="0DB78C99" w14:textId="673A7B0B">
            <w:pPr>
              <w:rPr>
                <w:rFonts w:ascii="Palatino Linotype" w:hAnsi="Palatino Linotype"/>
              </w:rPr>
            </w:pPr>
            <w:r>
              <w:rPr>
                <w:rFonts w:ascii="Palatino Linotype" w:hAnsi="Palatino Linotype"/>
              </w:rPr>
              <w:t>$3,304</w:t>
            </w:r>
          </w:p>
        </w:tc>
      </w:tr>
      <w:tr w:rsidR="009A5148" w:rsidTr="009A5148" w14:paraId="1755C3FF" w14:textId="77777777">
        <w:tc>
          <w:tcPr>
            <w:tcW w:w="3116" w:type="dxa"/>
          </w:tcPr>
          <w:p w:rsidR="009A5148" w:rsidP="008C2BD2" w:rsidRDefault="009A5148" w14:paraId="7F4DB85D" w14:textId="5E141626">
            <w:pPr>
              <w:rPr>
                <w:rFonts w:ascii="Palatino Linotype" w:hAnsi="Palatino Linotype"/>
              </w:rPr>
            </w:pPr>
            <w:r>
              <w:rPr>
                <w:rFonts w:ascii="Palatino Linotype" w:hAnsi="Palatino Linotype"/>
              </w:rPr>
              <w:t>Charging Station Installation</w:t>
            </w:r>
          </w:p>
        </w:tc>
        <w:tc>
          <w:tcPr>
            <w:tcW w:w="3117" w:type="dxa"/>
          </w:tcPr>
          <w:p w:rsidR="009A5148" w:rsidP="008C2BD2" w:rsidRDefault="009A5148" w14:paraId="63A6C61D" w14:textId="6A543CF2">
            <w:pPr>
              <w:rPr>
                <w:rFonts w:ascii="Palatino Linotype" w:hAnsi="Palatino Linotype"/>
              </w:rPr>
            </w:pPr>
            <w:r>
              <w:rPr>
                <w:rFonts w:ascii="Palatino Linotype" w:hAnsi="Palatino Linotype"/>
              </w:rPr>
              <w:t>N/A</w:t>
            </w:r>
          </w:p>
        </w:tc>
        <w:tc>
          <w:tcPr>
            <w:tcW w:w="3117" w:type="dxa"/>
          </w:tcPr>
          <w:p w:rsidR="009A5148" w:rsidP="008C2BD2" w:rsidRDefault="009A5148" w14:paraId="100B29F8" w14:textId="4538B416">
            <w:pPr>
              <w:rPr>
                <w:rFonts w:ascii="Palatino Linotype" w:hAnsi="Palatino Linotype"/>
              </w:rPr>
            </w:pPr>
            <w:r>
              <w:rPr>
                <w:rFonts w:ascii="Palatino Linotype" w:hAnsi="Palatino Linotype"/>
              </w:rPr>
              <w:t>$514</w:t>
            </w:r>
          </w:p>
        </w:tc>
      </w:tr>
      <w:tr w:rsidR="009A5148" w:rsidTr="009A5148" w14:paraId="77D0E1E7" w14:textId="77777777">
        <w:tc>
          <w:tcPr>
            <w:tcW w:w="3116" w:type="dxa"/>
          </w:tcPr>
          <w:p w:rsidR="009A5148" w:rsidP="008C2BD2" w:rsidRDefault="009A5148" w14:paraId="504CCA41" w14:textId="70307F35">
            <w:pPr>
              <w:rPr>
                <w:rFonts w:ascii="Palatino Linotype" w:hAnsi="Palatino Linotype"/>
              </w:rPr>
            </w:pPr>
            <w:r>
              <w:rPr>
                <w:rFonts w:ascii="Palatino Linotype" w:hAnsi="Palatino Linotype"/>
              </w:rPr>
              <w:t>Charging Station Rebate</w:t>
            </w:r>
          </w:p>
        </w:tc>
        <w:tc>
          <w:tcPr>
            <w:tcW w:w="3117" w:type="dxa"/>
          </w:tcPr>
          <w:p w:rsidR="009A5148" w:rsidP="008C2BD2" w:rsidRDefault="009A5148" w14:paraId="2CF7F76E" w14:textId="14D6E3E6">
            <w:pPr>
              <w:rPr>
                <w:rFonts w:ascii="Palatino Linotype" w:hAnsi="Palatino Linotype"/>
              </w:rPr>
            </w:pPr>
            <w:r>
              <w:rPr>
                <w:rFonts w:ascii="Palatino Linotype" w:hAnsi="Palatino Linotype"/>
              </w:rPr>
              <w:t>N/A</w:t>
            </w:r>
          </w:p>
        </w:tc>
        <w:tc>
          <w:tcPr>
            <w:tcW w:w="3117" w:type="dxa"/>
          </w:tcPr>
          <w:p w:rsidR="009A5148" w:rsidP="008C2BD2" w:rsidRDefault="009A5148" w14:paraId="3FDC0C4E" w14:textId="6DE87B25">
            <w:pPr>
              <w:rPr>
                <w:rFonts w:ascii="Palatino Linotype" w:hAnsi="Palatino Linotype"/>
              </w:rPr>
            </w:pPr>
            <w:r>
              <w:rPr>
                <w:rFonts w:ascii="Palatino Linotype" w:hAnsi="Palatino Linotype"/>
              </w:rPr>
              <w:t>up to $2,000</w:t>
            </w:r>
          </w:p>
        </w:tc>
      </w:tr>
      <w:tr w:rsidR="009A5148" w:rsidTr="009A5148" w14:paraId="0712CA4C" w14:textId="77777777">
        <w:tc>
          <w:tcPr>
            <w:tcW w:w="3116" w:type="dxa"/>
          </w:tcPr>
          <w:p w:rsidR="009A5148" w:rsidP="008C2BD2" w:rsidRDefault="009A5148" w14:paraId="23774565" w14:textId="108977F5">
            <w:pPr>
              <w:rPr>
                <w:rFonts w:ascii="Palatino Linotype" w:hAnsi="Palatino Linotype"/>
              </w:rPr>
            </w:pPr>
            <w:r>
              <w:rPr>
                <w:rFonts w:ascii="Palatino Linotype" w:hAnsi="Palatino Linotype"/>
              </w:rPr>
              <w:t>Participation Payment</w:t>
            </w:r>
          </w:p>
        </w:tc>
        <w:tc>
          <w:tcPr>
            <w:tcW w:w="3117" w:type="dxa"/>
          </w:tcPr>
          <w:p w:rsidR="009A5148" w:rsidP="008C2BD2" w:rsidRDefault="009A5148" w14:paraId="31ADEB84" w14:textId="471CDAB4">
            <w:pPr>
              <w:rPr>
                <w:rFonts w:ascii="Palatino Linotype" w:hAnsi="Palatino Linotype"/>
              </w:rPr>
            </w:pPr>
            <w:r>
              <w:rPr>
                <w:rFonts w:ascii="Palatino Linotype" w:hAnsi="Palatino Linotype"/>
              </w:rPr>
              <w:t>$1,818 (</w:t>
            </w:r>
            <w:r w:rsidR="00A74DC9">
              <w:rPr>
                <w:rFonts w:ascii="Palatino Linotype" w:hAnsi="Palatino Linotype"/>
              </w:rPr>
              <w:t>one</w:t>
            </w:r>
            <w:r w:rsidR="00473F2F">
              <w:rPr>
                <w:rFonts w:ascii="Palatino Linotype" w:hAnsi="Palatino Linotype"/>
              </w:rPr>
              <w:t>-</w:t>
            </w:r>
            <w:r w:rsidR="00A74DC9">
              <w:rPr>
                <w:rFonts w:ascii="Palatino Linotype" w:hAnsi="Palatino Linotype"/>
              </w:rPr>
              <w:t>time fee)</w:t>
            </w:r>
          </w:p>
        </w:tc>
        <w:tc>
          <w:tcPr>
            <w:tcW w:w="3117" w:type="dxa"/>
          </w:tcPr>
          <w:p w:rsidR="009A5148" w:rsidP="008C2BD2" w:rsidRDefault="009A5148" w14:paraId="7830E6CA" w14:textId="4D54E6F3">
            <w:pPr>
              <w:rPr>
                <w:rFonts w:ascii="Palatino Linotype" w:hAnsi="Palatino Linotype"/>
              </w:rPr>
            </w:pPr>
            <w:r>
              <w:rPr>
                <w:rFonts w:ascii="Palatino Linotype" w:hAnsi="Palatino Linotype"/>
              </w:rPr>
              <w:t>N/A</w:t>
            </w:r>
          </w:p>
        </w:tc>
      </w:tr>
      <w:tr w:rsidR="009A5148" w:rsidTr="009A5148" w14:paraId="14FE245A" w14:textId="77777777">
        <w:tc>
          <w:tcPr>
            <w:tcW w:w="3116" w:type="dxa"/>
          </w:tcPr>
          <w:p w:rsidRPr="009A5148" w:rsidR="009A5148" w:rsidP="008C2BD2" w:rsidRDefault="009A5148" w14:paraId="76E78346" w14:textId="456A79E7">
            <w:pPr>
              <w:rPr>
                <w:rFonts w:ascii="Palatino Linotype" w:hAnsi="Palatino Linotype"/>
                <w:b/>
                <w:bCs/>
              </w:rPr>
            </w:pPr>
            <w:r w:rsidRPr="009A5148">
              <w:rPr>
                <w:rFonts w:ascii="Palatino Linotype" w:hAnsi="Palatino Linotype"/>
                <w:b/>
                <w:bCs/>
              </w:rPr>
              <w:t>Charging Station Subtotal</w:t>
            </w:r>
          </w:p>
        </w:tc>
        <w:tc>
          <w:tcPr>
            <w:tcW w:w="3117" w:type="dxa"/>
          </w:tcPr>
          <w:p w:rsidRPr="009A5148" w:rsidR="009A5148" w:rsidP="008C2BD2" w:rsidRDefault="009A5148" w14:paraId="2AA40114" w14:textId="46E6E8B7">
            <w:pPr>
              <w:rPr>
                <w:rFonts w:ascii="Palatino Linotype" w:hAnsi="Palatino Linotype"/>
                <w:b/>
                <w:bCs/>
              </w:rPr>
            </w:pPr>
            <w:r w:rsidRPr="009A5148">
              <w:rPr>
                <w:rFonts w:ascii="Palatino Linotype" w:hAnsi="Palatino Linotype"/>
                <w:b/>
                <w:bCs/>
              </w:rPr>
              <w:t>$1,818</w:t>
            </w:r>
          </w:p>
        </w:tc>
        <w:tc>
          <w:tcPr>
            <w:tcW w:w="3117" w:type="dxa"/>
          </w:tcPr>
          <w:p w:rsidRPr="009A5148" w:rsidR="009A5148" w:rsidP="008C2BD2" w:rsidRDefault="009A5148" w14:paraId="70CA1E6D" w14:textId="34757775">
            <w:pPr>
              <w:rPr>
                <w:rFonts w:ascii="Palatino Linotype" w:hAnsi="Palatino Linotype"/>
                <w:b/>
                <w:bCs/>
              </w:rPr>
            </w:pPr>
            <w:r w:rsidRPr="009A5148">
              <w:rPr>
                <w:rFonts w:ascii="Palatino Linotype" w:hAnsi="Palatino Linotype"/>
                <w:b/>
                <w:bCs/>
              </w:rPr>
              <w:t>$1,818</w:t>
            </w:r>
          </w:p>
        </w:tc>
      </w:tr>
      <w:tr w:rsidR="009A5148" w:rsidTr="009A5148" w14:paraId="1209A9B7" w14:textId="77777777">
        <w:tc>
          <w:tcPr>
            <w:tcW w:w="3116" w:type="dxa"/>
          </w:tcPr>
          <w:p w:rsidR="009A5148" w:rsidP="008C2BD2" w:rsidRDefault="009A5148" w14:paraId="74C541C5" w14:textId="45644235">
            <w:pPr>
              <w:rPr>
                <w:rFonts w:ascii="Palatino Linotype" w:hAnsi="Palatino Linotype"/>
              </w:rPr>
            </w:pPr>
            <w:r>
              <w:rPr>
                <w:rFonts w:ascii="Palatino Linotype" w:hAnsi="Palatino Linotype"/>
              </w:rPr>
              <w:t>Software</w:t>
            </w:r>
          </w:p>
        </w:tc>
        <w:tc>
          <w:tcPr>
            <w:tcW w:w="3117" w:type="dxa"/>
          </w:tcPr>
          <w:p w:rsidR="009A5148" w:rsidP="008C2BD2" w:rsidRDefault="009A5148" w14:paraId="4E7921CB" w14:textId="02B83C98">
            <w:pPr>
              <w:rPr>
                <w:rFonts w:ascii="Palatino Linotype" w:hAnsi="Palatino Linotype"/>
              </w:rPr>
            </w:pPr>
            <w:r>
              <w:rPr>
                <w:rFonts w:ascii="Palatino Linotype" w:hAnsi="Palatino Linotype"/>
              </w:rPr>
              <w:t>N/A</w:t>
            </w:r>
          </w:p>
        </w:tc>
        <w:tc>
          <w:tcPr>
            <w:tcW w:w="3117" w:type="dxa"/>
          </w:tcPr>
          <w:p w:rsidR="009A5148" w:rsidP="008C2BD2" w:rsidRDefault="009A5148" w14:paraId="18125312" w14:textId="537161A9">
            <w:pPr>
              <w:rPr>
                <w:rFonts w:ascii="Palatino Linotype" w:hAnsi="Palatino Linotype"/>
              </w:rPr>
            </w:pPr>
            <w:r>
              <w:rPr>
                <w:rFonts w:ascii="Palatino Linotype" w:hAnsi="Palatino Linotype"/>
              </w:rPr>
              <w:t>$440</w:t>
            </w:r>
          </w:p>
        </w:tc>
      </w:tr>
      <w:tr w:rsidR="009A5148" w:rsidTr="009A5148" w14:paraId="1EFF414B" w14:textId="77777777">
        <w:tc>
          <w:tcPr>
            <w:tcW w:w="3116" w:type="dxa"/>
          </w:tcPr>
          <w:p w:rsidR="009A5148" w:rsidP="008C2BD2" w:rsidRDefault="009A5148" w14:paraId="17C09299" w14:textId="00DFEF7F">
            <w:pPr>
              <w:rPr>
                <w:rFonts w:ascii="Palatino Linotype" w:hAnsi="Palatino Linotype"/>
              </w:rPr>
            </w:pPr>
            <w:proofErr w:type="gramStart"/>
            <w:r>
              <w:rPr>
                <w:rFonts w:ascii="Palatino Linotype" w:hAnsi="Palatino Linotype"/>
              </w:rPr>
              <w:t>Full Service</w:t>
            </w:r>
            <w:proofErr w:type="gramEnd"/>
            <w:r>
              <w:rPr>
                <w:rFonts w:ascii="Palatino Linotype" w:hAnsi="Palatino Linotype"/>
              </w:rPr>
              <w:t xml:space="preserve"> Operation</w:t>
            </w:r>
          </w:p>
        </w:tc>
        <w:tc>
          <w:tcPr>
            <w:tcW w:w="3117" w:type="dxa"/>
          </w:tcPr>
          <w:p w:rsidR="009A5148" w:rsidP="008C2BD2" w:rsidRDefault="009A5148" w14:paraId="51C4A523" w14:textId="7B1A3AAF">
            <w:pPr>
              <w:rPr>
                <w:rFonts w:ascii="Palatino Linotype" w:hAnsi="Palatino Linotype"/>
              </w:rPr>
            </w:pPr>
            <w:r>
              <w:rPr>
                <w:rFonts w:ascii="Palatino Linotype" w:hAnsi="Palatino Linotype"/>
              </w:rPr>
              <w:t>N/A</w:t>
            </w:r>
          </w:p>
        </w:tc>
        <w:tc>
          <w:tcPr>
            <w:tcW w:w="3117" w:type="dxa"/>
          </w:tcPr>
          <w:p w:rsidR="009A5148" w:rsidP="008C2BD2" w:rsidRDefault="009A5148" w14:paraId="00001A58" w14:textId="310A613A">
            <w:pPr>
              <w:rPr>
                <w:rFonts w:ascii="Palatino Linotype" w:hAnsi="Palatino Linotype"/>
              </w:rPr>
            </w:pPr>
            <w:r>
              <w:rPr>
                <w:rFonts w:ascii="Palatino Linotype" w:hAnsi="Palatino Linotype"/>
              </w:rPr>
              <w:t>$268</w:t>
            </w:r>
          </w:p>
        </w:tc>
      </w:tr>
      <w:tr w:rsidR="009A5148" w:rsidTr="009A5148" w14:paraId="18AD2A6A" w14:textId="77777777">
        <w:tc>
          <w:tcPr>
            <w:tcW w:w="3116" w:type="dxa"/>
          </w:tcPr>
          <w:p w:rsidR="009A5148" w:rsidP="008C2BD2" w:rsidRDefault="009A5148" w14:paraId="625AB2AB" w14:textId="4E47673E">
            <w:pPr>
              <w:rPr>
                <w:rFonts w:ascii="Palatino Linotype" w:hAnsi="Palatino Linotype"/>
              </w:rPr>
            </w:pPr>
            <w:r>
              <w:rPr>
                <w:rFonts w:ascii="Palatino Linotype" w:hAnsi="Palatino Linotype"/>
              </w:rPr>
              <w:t>Cellular</w:t>
            </w:r>
          </w:p>
        </w:tc>
        <w:tc>
          <w:tcPr>
            <w:tcW w:w="3117" w:type="dxa"/>
          </w:tcPr>
          <w:p w:rsidR="009A5148" w:rsidP="008C2BD2" w:rsidRDefault="009A5148" w14:paraId="4C854288" w14:textId="3D878796">
            <w:pPr>
              <w:rPr>
                <w:rFonts w:ascii="Palatino Linotype" w:hAnsi="Palatino Linotype"/>
              </w:rPr>
            </w:pPr>
            <w:r>
              <w:rPr>
                <w:rFonts w:ascii="Palatino Linotype" w:hAnsi="Palatino Linotype"/>
              </w:rPr>
              <w:t>N/A</w:t>
            </w:r>
          </w:p>
        </w:tc>
        <w:tc>
          <w:tcPr>
            <w:tcW w:w="3117" w:type="dxa"/>
          </w:tcPr>
          <w:p w:rsidR="009A5148" w:rsidP="008C2BD2" w:rsidRDefault="009A5148" w14:paraId="2F563147" w14:textId="57D53DBF">
            <w:pPr>
              <w:rPr>
                <w:rFonts w:ascii="Palatino Linotype" w:hAnsi="Palatino Linotype"/>
              </w:rPr>
            </w:pPr>
            <w:r>
              <w:rPr>
                <w:rFonts w:ascii="Palatino Linotype" w:hAnsi="Palatino Linotype"/>
              </w:rPr>
              <w:t>$27</w:t>
            </w:r>
          </w:p>
        </w:tc>
      </w:tr>
      <w:tr w:rsidR="009A5148" w:rsidTr="009A5148" w14:paraId="3245B069" w14:textId="77777777">
        <w:tc>
          <w:tcPr>
            <w:tcW w:w="3116" w:type="dxa"/>
          </w:tcPr>
          <w:p w:rsidR="009A5148" w:rsidP="008C2BD2" w:rsidRDefault="009A5148" w14:paraId="13BC1668" w14:textId="31DCE07A">
            <w:pPr>
              <w:rPr>
                <w:rFonts w:ascii="Palatino Linotype" w:hAnsi="Palatino Linotype"/>
              </w:rPr>
            </w:pPr>
            <w:r>
              <w:rPr>
                <w:rFonts w:ascii="Palatino Linotype" w:hAnsi="Palatino Linotype"/>
              </w:rPr>
              <w:t>Maintenance</w:t>
            </w:r>
          </w:p>
        </w:tc>
        <w:tc>
          <w:tcPr>
            <w:tcW w:w="3117" w:type="dxa"/>
          </w:tcPr>
          <w:p w:rsidR="009A5148" w:rsidP="008C2BD2" w:rsidRDefault="009A5148" w14:paraId="31B43FEA" w14:textId="37CAC601">
            <w:pPr>
              <w:rPr>
                <w:rFonts w:ascii="Palatino Linotype" w:hAnsi="Palatino Linotype"/>
              </w:rPr>
            </w:pPr>
            <w:r>
              <w:rPr>
                <w:rFonts w:ascii="Palatino Linotype" w:hAnsi="Palatino Linotype"/>
              </w:rPr>
              <w:t>N/A</w:t>
            </w:r>
          </w:p>
        </w:tc>
        <w:tc>
          <w:tcPr>
            <w:tcW w:w="3117" w:type="dxa"/>
          </w:tcPr>
          <w:p w:rsidR="009A5148" w:rsidP="008C2BD2" w:rsidRDefault="009A5148" w14:paraId="6B04CD52" w14:textId="72FC21E9">
            <w:pPr>
              <w:rPr>
                <w:rFonts w:ascii="Palatino Linotype" w:hAnsi="Palatino Linotype"/>
              </w:rPr>
            </w:pPr>
            <w:r>
              <w:rPr>
                <w:rFonts w:ascii="Palatino Linotype" w:hAnsi="Palatino Linotype"/>
              </w:rPr>
              <w:t>$200</w:t>
            </w:r>
          </w:p>
        </w:tc>
      </w:tr>
      <w:tr w:rsidR="009A5148" w:rsidTr="009A5148" w14:paraId="750730AB" w14:textId="77777777">
        <w:tc>
          <w:tcPr>
            <w:tcW w:w="3116" w:type="dxa"/>
          </w:tcPr>
          <w:p w:rsidR="009A5148" w:rsidP="008C2BD2" w:rsidRDefault="009A5148" w14:paraId="02F85ED6" w14:textId="2C26E0DB">
            <w:pPr>
              <w:rPr>
                <w:rFonts w:ascii="Palatino Linotype" w:hAnsi="Palatino Linotype"/>
              </w:rPr>
            </w:pPr>
            <w:r>
              <w:rPr>
                <w:rFonts w:ascii="Palatino Linotype" w:hAnsi="Palatino Linotype"/>
              </w:rPr>
              <w:t>Transactions</w:t>
            </w:r>
          </w:p>
        </w:tc>
        <w:tc>
          <w:tcPr>
            <w:tcW w:w="3117" w:type="dxa"/>
          </w:tcPr>
          <w:p w:rsidR="009A5148" w:rsidP="008C2BD2" w:rsidRDefault="009A5148" w14:paraId="0D5AE899" w14:textId="27AB4712">
            <w:pPr>
              <w:rPr>
                <w:rFonts w:ascii="Palatino Linotype" w:hAnsi="Palatino Linotype"/>
              </w:rPr>
            </w:pPr>
            <w:r>
              <w:rPr>
                <w:rFonts w:ascii="Palatino Linotype" w:hAnsi="Palatino Linotype"/>
              </w:rPr>
              <w:t>N/A</w:t>
            </w:r>
          </w:p>
        </w:tc>
        <w:tc>
          <w:tcPr>
            <w:tcW w:w="3117" w:type="dxa"/>
          </w:tcPr>
          <w:p w:rsidR="009A5148" w:rsidP="008C2BD2" w:rsidRDefault="009A5148" w14:paraId="7399F98B" w14:textId="1A62AB01">
            <w:pPr>
              <w:rPr>
                <w:rFonts w:ascii="Palatino Linotype" w:hAnsi="Palatino Linotype"/>
              </w:rPr>
            </w:pPr>
            <w:r>
              <w:rPr>
                <w:rFonts w:ascii="Palatino Linotype" w:hAnsi="Palatino Linotype"/>
              </w:rPr>
              <w:t>$173</w:t>
            </w:r>
          </w:p>
        </w:tc>
      </w:tr>
      <w:tr w:rsidR="009A5148" w:rsidTr="009A5148" w14:paraId="1DB6EFB4" w14:textId="77777777">
        <w:tc>
          <w:tcPr>
            <w:tcW w:w="3116" w:type="dxa"/>
          </w:tcPr>
          <w:p w:rsidRPr="00B76137" w:rsidR="009A5148" w:rsidP="008C2BD2" w:rsidRDefault="009A5148" w14:paraId="55DA5258" w14:textId="0F7328B4">
            <w:pPr>
              <w:rPr>
                <w:rFonts w:ascii="Palatino Linotype" w:hAnsi="Palatino Linotype"/>
                <w:b/>
                <w:bCs/>
              </w:rPr>
            </w:pPr>
            <w:r w:rsidRPr="00B76137">
              <w:rPr>
                <w:rFonts w:ascii="Palatino Linotype" w:hAnsi="Palatino Linotype"/>
                <w:b/>
                <w:bCs/>
              </w:rPr>
              <w:lastRenderedPageBreak/>
              <w:t>O&amp;M Subtotal per port per Year</w:t>
            </w:r>
          </w:p>
        </w:tc>
        <w:tc>
          <w:tcPr>
            <w:tcW w:w="3117" w:type="dxa"/>
          </w:tcPr>
          <w:p w:rsidRPr="00B76137" w:rsidR="009A5148" w:rsidP="008C2BD2" w:rsidRDefault="009A5148" w14:paraId="3395DBD4" w14:textId="5B88032C">
            <w:pPr>
              <w:rPr>
                <w:rFonts w:ascii="Palatino Linotype" w:hAnsi="Palatino Linotype"/>
                <w:b/>
                <w:bCs/>
              </w:rPr>
            </w:pPr>
            <w:r w:rsidRPr="00B76137">
              <w:rPr>
                <w:rFonts w:ascii="Palatino Linotype" w:hAnsi="Palatino Linotype"/>
                <w:b/>
                <w:bCs/>
              </w:rPr>
              <w:t>N/A</w:t>
            </w:r>
          </w:p>
        </w:tc>
        <w:tc>
          <w:tcPr>
            <w:tcW w:w="3117" w:type="dxa"/>
          </w:tcPr>
          <w:p w:rsidRPr="00B76137" w:rsidR="009A5148" w:rsidP="008C2BD2" w:rsidRDefault="009A5148" w14:paraId="171F1009" w14:textId="1BFB28A5">
            <w:pPr>
              <w:rPr>
                <w:rFonts w:ascii="Palatino Linotype" w:hAnsi="Palatino Linotype"/>
                <w:b/>
                <w:bCs/>
              </w:rPr>
            </w:pPr>
            <w:r w:rsidRPr="00B76137">
              <w:rPr>
                <w:rFonts w:ascii="Palatino Linotype" w:hAnsi="Palatino Linotype"/>
                <w:b/>
                <w:bCs/>
              </w:rPr>
              <w:t>$1,108</w:t>
            </w:r>
          </w:p>
        </w:tc>
      </w:tr>
      <w:tr w:rsidR="009A5148" w:rsidTr="009A5148" w14:paraId="52491634" w14:textId="77777777">
        <w:tc>
          <w:tcPr>
            <w:tcW w:w="3116" w:type="dxa"/>
          </w:tcPr>
          <w:p w:rsidRPr="00B76137" w:rsidR="009A5148" w:rsidP="008C2BD2" w:rsidRDefault="009A5148" w14:paraId="6F8B4195" w14:textId="4FDA4D56">
            <w:pPr>
              <w:rPr>
                <w:rFonts w:ascii="Palatino Linotype" w:hAnsi="Palatino Linotype"/>
                <w:b/>
                <w:bCs/>
              </w:rPr>
            </w:pPr>
            <w:r w:rsidRPr="00B76137">
              <w:rPr>
                <w:rFonts w:ascii="Palatino Linotype" w:hAnsi="Palatino Linotype"/>
                <w:b/>
                <w:bCs/>
              </w:rPr>
              <w:t>Total Cost Year 1</w:t>
            </w:r>
          </w:p>
        </w:tc>
        <w:tc>
          <w:tcPr>
            <w:tcW w:w="3117" w:type="dxa"/>
          </w:tcPr>
          <w:p w:rsidRPr="00B76137" w:rsidR="009A5148" w:rsidP="008C2BD2" w:rsidRDefault="009A5148" w14:paraId="4C5FE1AC" w14:textId="2C710039">
            <w:pPr>
              <w:rPr>
                <w:rFonts w:ascii="Palatino Linotype" w:hAnsi="Palatino Linotype"/>
                <w:b/>
                <w:bCs/>
              </w:rPr>
            </w:pPr>
            <w:r w:rsidRPr="00B76137">
              <w:rPr>
                <w:rFonts w:ascii="Palatino Linotype" w:hAnsi="Palatino Linotype"/>
                <w:b/>
                <w:bCs/>
              </w:rPr>
              <w:t>$1,818</w:t>
            </w:r>
          </w:p>
        </w:tc>
        <w:tc>
          <w:tcPr>
            <w:tcW w:w="3117" w:type="dxa"/>
          </w:tcPr>
          <w:p w:rsidRPr="00B76137" w:rsidR="009A5148" w:rsidP="008C2BD2" w:rsidRDefault="009A5148" w14:paraId="156156BC" w14:textId="6E5C32D3">
            <w:pPr>
              <w:rPr>
                <w:rFonts w:ascii="Palatino Linotype" w:hAnsi="Palatino Linotype"/>
                <w:b/>
                <w:bCs/>
              </w:rPr>
            </w:pPr>
            <w:r w:rsidRPr="00B76137">
              <w:rPr>
                <w:rFonts w:ascii="Palatino Linotype" w:hAnsi="Palatino Linotype"/>
                <w:b/>
                <w:bCs/>
              </w:rPr>
              <w:t>$2,9</w:t>
            </w:r>
            <w:r w:rsidRPr="00B76137" w:rsidR="00B76137">
              <w:rPr>
                <w:rFonts w:ascii="Palatino Linotype" w:hAnsi="Palatino Linotype"/>
                <w:b/>
                <w:bCs/>
              </w:rPr>
              <w:t>27</w:t>
            </w:r>
          </w:p>
        </w:tc>
      </w:tr>
    </w:tbl>
    <w:p w:rsidRPr="00C04922" w:rsidR="009A5148" w:rsidP="008C2BD2" w:rsidRDefault="009A5148" w14:paraId="44BD1710" w14:textId="77777777">
      <w:pPr>
        <w:rPr>
          <w:rFonts w:ascii="Palatino Linotype" w:hAnsi="Palatino Linotype"/>
        </w:rPr>
      </w:pPr>
    </w:p>
    <w:p w:rsidR="003A3895" w:rsidP="00DF3534" w:rsidRDefault="004C150B" w14:paraId="1823468D" w14:textId="6E93EDED">
      <w:pPr>
        <w:rPr>
          <w:rFonts w:ascii="Palatino Linotype" w:hAnsi="Palatino Linotype"/>
        </w:rPr>
      </w:pPr>
      <w:r>
        <w:rPr>
          <w:rFonts w:ascii="Palatino Linotype" w:hAnsi="Palatino Linotype"/>
        </w:rPr>
        <w:t xml:space="preserve">PG&amp;E’s </w:t>
      </w:r>
      <w:r w:rsidR="00FD4573">
        <w:rPr>
          <w:rFonts w:ascii="Palatino Linotype" w:hAnsi="Palatino Linotype"/>
        </w:rPr>
        <w:t xml:space="preserve">proposed </w:t>
      </w:r>
      <w:r>
        <w:rPr>
          <w:rFonts w:ascii="Palatino Linotype" w:hAnsi="Palatino Linotype"/>
        </w:rPr>
        <w:t>rebate design was similar to SCE’s. Their proposal offered a rebate to cover the base cost of a L2 charger but required the site-host</w:t>
      </w:r>
      <w:r w:rsidR="007314F6">
        <w:rPr>
          <w:rFonts w:ascii="Palatino Linotype" w:hAnsi="Palatino Linotype"/>
        </w:rPr>
        <w:t xml:space="preserve"> to be</w:t>
      </w:r>
      <w:r>
        <w:rPr>
          <w:rFonts w:ascii="Palatino Linotype" w:hAnsi="Palatino Linotype"/>
        </w:rPr>
        <w:t xml:space="preserve"> fully responsible for the cost of maintenance and networking fees</w:t>
      </w:r>
      <w:r w:rsidR="00473F2F">
        <w:rPr>
          <w:rFonts w:ascii="Palatino Linotype" w:hAnsi="Palatino Linotype"/>
        </w:rPr>
        <w:t>.</w:t>
      </w:r>
      <w:r>
        <w:rPr>
          <w:rStyle w:val="FootnoteReference"/>
          <w:rFonts w:ascii="Palatino Linotype" w:hAnsi="Palatino Linotype"/>
        </w:rPr>
        <w:footnoteReference w:id="5"/>
      </w:r>
      <w:r>
        <w:rPr>
          <w:rFonts w:ascii="Palatino Linotype" w:hAnsi="Palatino Linotype"/>
        </w:rPr>
        <w:t xml:space="preserve"> A site-host opting to let PG&amp;E own the EVSE </w:t>
      </w:r>
      <w:r w:rsidR="007314F6">
        <w:rPr>
          <w:rFonts w:ascii="Palatino Linotype" w:hAnsi="Palatino Linotype"/>
        </w:rPr>
        <w:t>will be responsible for a one-time per port participation payment equal to the difference between the cost of the purchased EVSE less the base cost of the EVSE as calculated by PG&amp;E.</w:t>
      </w:r>
      <w:r w:rsidR="007314F6">
        <w:rPr>
          <w:rStyle w:val="FootnoteReference"/>
          <w:rFonts w:ascii="Palatino Linotype" w:hAnsi="Palatino Linotype"/>
        </w:rPr>
        <w:footnoteReference w:id="6"/>
      </w:r>
      <w:r w:rsidR="007314F6">
        <w:rPr>
          <w:rFonts w:ascii="Palatino Linotype" w:hAnsi="Palatino Linotype"/>
        </w:rPr>
        <w:t xml:space="preserve"> </w:t>
      </w:r>
    </w:p>
    <w:p w:rsidR="00CE09B7" w:rsidP="00DF3534" w:rsidRDefault="00CE09B7" w14:paraId="0DC1C598" w14:textId="2A1E141B">
      <w:pPr>
        <w:rPr>
          <w:rFonts w:ascii="Palatino Linotype" w:hAnsi="Palatino Linotype"/>
        </w:rPr>
      </w:pPr>
      <w:r>
        <w:rPr>
          <w:rFonts w:ascii="Palatino Linotype" w:hAnsi="Palatino Linotype"/>
        </w:rPr>
        <w:t xml:space="preserve">The Commission agreed with </w:t>
      </w:r>
      <w:r w:rsidR="00782102">
        <w:rPr>
          <w:rFonts w:ascii="Palatino Linotype" w:hAnsi="Palatino Linotype"/>
        </w:rPr>
        <w:t>part</w:t>
      </w:r>
      <w:r w:rsidR="00C760DB">
        <w:rPr>
          <w:rFonts w:ascii="Palatino Linotype" w:hAnsi="Palatino Linotype"/>
        </w:rPr>
        <w:t>ies’</w:t>
      </w:r>
      <w:r w:rsidR="00782102">
        <w:rPr>
          <w:rFonts w:ascii="Palatino Linotype" w:hAnsi="Palatino Linotype"/>
        </w:rPr>
        <w:t xml:space="preserve"> </w:t>
      </w:r>
      <w:r w:rsidR="00C760DB">
        <w:rPr>
          <w:rFonts w:ascii="Palatino Linotype" w:hAnsi="Palatino Linotype"/>
        </w:rPr>
        <w:t>arguments</w:t>
      </w:r>
      <w:r w:rsidR="00782102">
        <w:rPr>
          <w:rFonts w:ascii="Palatino Linotype" w:hAnsi="Palatino Linotype"/>
        </w:rPr>
        <w:t xml:space="preserve"> </w:t>
      </w:r>
      <w:r>
        <w:rPr>
          <w:rFonts w:ascii="Palatino Linotype" w:hAnsi="Palatino Linotype"/>
        </w:rPr>
        <w:t xml:space="preserve">that the IOUs’ EVSE ownership options created an anticompetitive </w:t>
      </w:r>
      <w:r w:rsidR="00782102">
        <w:rPr>
          <w:rFonts w:ascii="Palatino Linotype" w:hAnsi="Palatino Linotype"/>
        </w:rPr>
        <w:t>atmosphere that discriminates against both participants that prefer the site-host ownership option as well as suppliers seeking to supply the site-host owners</w:t>
      </w:r>
      <w:r>
        <w:rPr>
          <w:rFonts w:ascii="Palatino Linotype" w:hAnsi="Palatino Linotype"/>
        </w:rPr>
        <w:t>. To resolve this biased choice, the CPUC required the</w:t>
      </w:r>
      <w:r w:rsidR="00782102">
        <w:rPr>
          <w:rFonts w:ascii="Palatino Linotype" w:hAnsi="Palatino Linotype"/>
        </w:rPr>
        <w:t xml:space="preserve"> IOUs to offer an</w:t>
      </w:r>
      <w:r>
        <w:rPr>
          <w:rFonts w:ascii="Palatino Linotype" w:hAnsi="Palatino Linotype"/>
        </w:rPr>
        <w:t xml:space="preserve"> EVSE rebate t</w:t>
      </w:r>
      <w:r w:rsidR="00782102">
        <w:rPr>
          <w:rFonts w:ascii="Palatino Linotype" w:hAnsi="Palatino Linotype"/>
        </w:rPr>
        <w:t>hat</w:t>
      </w:r>
      <w:r>
        <w:rPr>
          <w:rFonts w:ascii="Palatino Linotype" w:hAnsi="Palatino Linotype"/>
        </w:rPr>
        <w:t xml:space="preserve"> include</w:t>
      </w:r>
      <w:r w:rsidR="00782102">
        <w:rPr>
          <w:rFonts w:ascii="Palatino Linotype" w:hAnsi="Palatino Linotype"/>
        </w:rPr>
        <w:t>d the full costs of the equipment, plus all</w:t>
      </w:r>
      <w:r>
        <w:rPr>
          <w:rFonts w:ascii="Palatino Linotype" w:hAnsi="Palatino Linotype"/>
        </w:rPr>
        <w:t xml:space="preserve"> </w:t>
      </w:r>
      <w:r w:rsidRPr="54996069">
        <w:rPr>
          <w:rFonts w:ascii="Palatino Linotype" w:hAnsi="Palatino Linotype"/>
        </w:rPr>
        <w:t>ongoing networking and maintenance fees</w:t>
      </w:r>
      <w:r>
        <w:rPr>
          <w:rFonts w:ascii="Palatino Linotype" w:hAnsi="Palatino Linotype"/>
        </w:rPr>
        <w:t xml:space="preserve"> to align with the ratepayer funded services included under the IOU ownership option.</w:t>
      </w:r>
      <w:r w:rsidR="008D4D23">
        <w:rPr>
          <w:rStyle w:val="FootnoteReference"/>
          <w:rFonts w:ascii="Palatino Linotype" w:hAnsi="Palatino Linotype"/>
        </w:rPr>
        <w:footnoteReference w:id="7"/>
      </w:r>
    </w:p>
    <w:p w:rsidR="00DF3534" w:rsidP="00DF3534" w:rsidRDefault="00C65A62" w14:paraId="5FE37B09" w14:textId="3C1B7DC1">
      <w:pPr>
        <w:rPr>
          <w:rFonts w:ascii="Palatino Linotype" w:hAnsi="Palatino Linotype"/>
        </w:rPr>
      </w:pPr>
      <w:r>
        <w:rPr>
          <w:rFonts w:ascii="Palatino Linotype" w:hAnsi="Palatino Linotype"/>
        </w:rPr>
        <w:t xml:space="preserve">The </w:t>
      </w:r>
      <w:r w:rsidR="006721A2">
        <w:rPr>
          <w:rFonts w:ascii="Palatino Linotype" w:hAnsi="Palatino Linotype"/>
        </w:rPr>
        <w:t xml:space="preserve">CPUC directed the </w:t>
      </w:r>
      <w:r>
        <w:rPr>
          <w:rFonts w:ascii="Palatino Linotype" w:hAnsi="Palatino Linotype"/>
        </w:rPr>
        <w:t xml:space="preserve">IOUs to consult with their Program Advisory Councils (PAC) to design their </w:t>
      </w:r>
      <w:r w:rsidR="00FD4573">
        <w:rPr>
          <w:rFonts w:ascii="Palatino Linotype" w:hAnsi="Palatino Linotype"/>
        </w:rPr>
        <w:t xml:space="preserve">non-biased </w:t>
      </w:r>
      <w:r>
        <w:rPr>
          <w:rFonts w:ascii="Palatino Linotype" w:hAnsi="Palatino Linotype"/>
        </w:rPr>
        <w:t xml:space="preserve">rebates. Once their PACs were consulted, the IOUs were </w:t>
      </w:r>
      <w:r w:rsidR="0050529B">
        <w:rPr>
          <w:rFonts w:ascii="Palatino Linotype" w:hAnsi="Palatino Linotype"/>
        </w:rPr>
        <w:t>required</w:t>
      </w:r>
      <w:r w:rsidRPr="54996069" w:rsidR="00DF3534">
        <w:rPr>
          <w:rFonts w:ascii="Palatino Linotype" w:hAnsi="Palatino Linotype"/>
        </w:rPr>
        <w:t xml:space="preserve"> to file Tier 3 AL</w:t>
      </w:r>
      <w:r w:rsidR="001E561E">
        <w:rPr>
          <w:rFonts w:ascii="Palatino Linotype" w:hAnsi="Palatino Linotype"/>
        </w:rPr>
        <w:t>s</w:t>
      </w:r>
      <w:r>
        <w:rPr>
          <w:rFonts w:ascii="Palatino Linotype" w:hAnsi="Palatino Linotype"/>
        </w:rPr>
        <w:t xml:space="preserve"> prior to implement</w:t>
      </w:r>
      <w:r w:rsidR="00017F58">
        <w:rPr>
          <w:rFonts w:ascii="Palatino Linotype" w:hAnsi="Palatino Linotype"/>
        </w:rPr>
        <w:t>ing</w:t>
      </w:r>
      <w:r>
        <w:rPr>
          <w:rFonts w:ascii="Palatino Linotype" w:hAnsi="Palatino Linotype"/>
        </w:rPr>
        <w:t xml:space="preserve"> the</w:t>
      </w:r>
      <w:r w:rsidR="001E561E">
        <w:rPr>
          <w:rFonts w:ascii="Palatino Linotype" w:hAnsi="Palatino Linotype"/>
        </w:rPr>
        <w:t>ir</w:t>
      </w:r>
      <w:r>
        <w:rPr>
          <w:rFonts w:ascii="Palatino Linotype" w:hAnsi="Palatino Linotype"/>
        </w:rPr>
        <w:t xml:space="preserve"> program</w:t>
      </w:r>
      <w:r w:rsidR="001E561E">
        <w:rPr>
          <w:rFonts w:ascii="Palatino Linotype" w:hAnsi="Palatino Linotype"/>
        </w:rPr>
        <w:t>s</w:t>
      </w:r>
      <w:r w:rsidRPr="54996069" w:rsidR="00DF3534">
        <w:rPr>
          <w:rFonts w:ascii="Palatino Linotype" w:hAnsi="Palatino Linotype"/>
        </w:rPr>
        <w:t xml:space="preserve"> to </w:t>
      </w:r>
      <w:r>
        <w:rPr>
          <w:rFonts w:ascii="Palatino Linotype" w:hAnsi="Palatino Linotype"/>
        </w:rPr>
        <w:t>set their site-host rebate amount</w:t>
      </w:r>
      <w:r w:rsidRPr="54996069" w:rsidR="00DF3534">
        <w:rPr>
          <w:rFonts w:ascii="Palatino Linotype" w:hAnsi="Palatino Linotype"/>
        </w:rPr>
        <w:t>.</w:t>
      </w:r>
      <w:r w:rsidR="0050529B">
        <w:rPr>
          <w:rStyle w:val="FootnoteReference"/>
          <w:rFonts w:ascii="Palatino Linotype" w:hAnsi="Palatino Linotype"/>
        </w:rPr>
        <w:footnoteReference w:id="8"/>
      </w:r>
      <w:r>
        <w:rPr>
          <w:rFonts w:ascii="Palatino Linotype" w:hAnsi="Palatino Linotype"/>
        </w:rPr>
        <w:t xml:space="preserve"> </w:t>
      </w:r>
      <w:r w:rsidR="00226302">
        <w:rPr>
          <w:rFonts w:ascii="Palatino Linotype" w:hAnsi="Palatino Linotype"/>
        </w:rPr>
        <w:t xml:space="preserve">At a minimum, the </w:t>
      </w:r>
      <w:r w:rsidR="00FD4573">
        <w:rPr>
          <w:rFonts w:ascii="Palatino Linotype" w:hAnsi="Palatino Linotype"/>
        </w:rPr>
        <w:t xml:space="preserve">IOUs were required to include in the </w:t>
      </w:r>
      <w:r w:rsidR="00226302">
        <w:rPr>
          <w:rFonts w:ascii="Palatino Linotype" w:hAnsi="Palatino Linotype"/>
        </w:rPr>
        <w:t>AL</w:t>
      </w:r>
      <w:r w:rsidR="001E561E">
        <w:rPr>
          <w:rFonts w:ascii="Palatino Linotype" w:hAnsi="Palatino Linotype"/>
        </w:rPr>
        <w:t>s:</w:t>
      </w:r>
      <w:r w:rsidR="00226302">
        <w:rPr>
          <w:rFonts w:ascii="Palatino Linotype" w:hAnsi="Palatino Linotype"/>
        </w:rPr>
        <w:t xml:space="preserve"> 1) the costs for the EVSE and the associated maintenance</w:t>
      </w:r>
      <w:r w:rsidR="00930716">
        <w:rPr>
          <w:rFonts w:ascii="Palatino Linotype" w:hAnsi="Palatino Linotype"/>
        </w:rPr>
        <w:t xml:space="preserve"> and</w:t>
      </w:r>
      <w:r w:rsidR="00226302">
        <w:rPr>
          <w:rFonts w:ascii="Palatino Linotype" w:hAnsi="Palatino Linotype"/>
        </w:rPr>
        <w:t xml:space="preserve"> network fees, 2) terms for how the rebate will be issued, including the frequency of reoccurring payment, 3) how the costs will be tracked, 4) how the rebate will be distributed, and 5) </w:t>
      </w:r>
      <w:r w:rsidR="001E561E">
        <w:rPr>
          <w:rFonts w:ascii="Palatino Linotype" w:hAnsi="Palatino Linotype"/>
        </w:rPr>
        <w:t xml:space="preserve">the </w:t>
      </w:r>
      <w:r w:rsidR="00226302">
        <w:rPr>
          <w:rFonts w:ascii="Palatino Linotype" w:hAnsi="Palatino Linotype"/>
        </w:rPr>
        <w:t xml:space="preserve">feasibility of scaling the rebate system for a larger program. </w:t>
      </w:r>
    </w:p>
    <w:p w:rsidR="00DF3534" w:rsidP="00DF3534" w:rsidRDefault="003C5C17" w14:paraId="34F3EED9" w14:textId="05B43B3F">
      <w:pPr>
        <w:rPr>
          <w:rFonts w:ascii="Palatino Linotype" w:hAnsi="Palatino Linotype"/>
          <w:bCs/>
        </w:rPr>
      </w:pPr>
      <w:r>
        <w:rPr>
          <w:rFonts w:ascii="Palatino Linotype" w:hAnsi="Palatino Linotype"/>
          <w:bCs/>
        </w:rPr>
        <w:t>PG&amp;E presented the rebate design and amount with its PAC on January 29, 2020</w:t>
      </w:r>
      <w:r w:rsidR="001E561E">
        <w:rPr>
          <w:rFonts w:ascii="Palatino Linotype" w:hAnsi="Palatino Linotype"/>
          <w:bCs/>
        </w:rPr>
        <w:t>,</w:t>
      </w:r>
      <w:r>
        <w:rPr>
          <w:rFonts w:ascii="Palatino Linotype" w:hAnsi="Palatino Linotype"/>
          <w:bCs/>
        </w:rPr>
        <w:t xml:space="preserve"> and again on October 28, 2020. </w:t>
      </w:r>
      <w:r w:rsidR="004B35D2">
        <w:rPr>
          <w:rFonts w:ascii="Palatino Linotype" w:hAnsi="Palatino Linotype"/>
          <w:bCs/>
        </w:rPr>
        <w:t>SCE presented its proposed</w:t>
      </w:r>
      <w:r w:rsidR="00930716">
        <w:rPr>
          <w:rFonts w:ascii="Palatino Linotype" w:hAnsi="Palatino Linotype"/>
          <w:bCs/>
        </w:rPr>
        <w:t xml:space="preserve"> rebate</w:t>
      </w:r>
      <w:r w:rsidR="004B35D2">
        <w:rPr>
          <w:rFonts w:ascii="Palatino Linotype" w:hAnsi="Palatino Linotype"/>
          <w:bCs/>
        </w:rPr>
        <w:t xml:space="preserve"> approach to its PAC o</w:t>
      </w:r>
      <w:r w:rsidR="00DF3534">
        <w:rPr>
          <w:rFonts w:ascii="Palatino Linotype" w:hAnsi="Palatino Linotype"/>
          <w:bCs/>
        </w:rPr>
        <w:t>n</w:t>
      </w:r>
      <w:r w:rsidR="00446685">
        <w:rPr>
          <w:rFonts w:ascii="Palatino Linotype" w:hAnsi="Palatino Linotype"/>
          <w:bCs/>
        </w:rPr>
        <w:t xml:space="preserve"> December 13, 2019</w:t>
      </w:r>
      <w:r w:rsidR="004B35D2">
        <w:rPr>
          <w:rFonts w:ascii="Palatino Linotype" w:hAnsi="Palatino Linotype"/>
          <w:bCs/>
        </w:rPr>
        <w:t xml:space="preserve">, </w:t>
      </w:r>
      <w:r w:rsidR="004D1055">
        <w:rPr>
          <w:rFonts w:ascii="Palatino Linotype" w:hAnsi="Palatino Linotype"/>
          <w:bCs/>
        </w:rPr>
        <w:t>and February 6, 2020</w:t>
      </w:r>
      <w:r w:rsidR="00F06F6A">
        <w:rPr>
          <w:rFonts w:ascii="Palatino Linotype" w:hAnsi="Palatino Linotype"/>
          <w:bCs/>
        </w:rPr>
        <w:t xml:space="preserve">. SDG&amp;E consulted their PAC </w:t>
      </w:r>
      <w:r w:rsidR="00022E90">
        <w:rPr>
          <w:rFonts w:ascii="Palatino Linotype" w:hAnsi="Palatino Linotype"/>
          <w:bCs/>
        </w:rPr>
        <w:t xml:space="preserve">on the proposed rebate structure </w:t>
      </w:r>
      <w:r w:rsidR="00F06F6A">
        <w:rPr>
          <w:rFonts w:ascii="Palatino Linotype" w:hAnsi="Palatino Linotype"/>
          <w:bCs/>
        </w:rPr>
        <w:t>on</w:t>
      </w:r>
      <w:r w:rsidR="00DF3534">
        <w:rPr>
          <w:rFonts w:ascii="Palatino Linotype" w:hAnsi="Palatino Linotype"/>
          <w:bCs/>
        </w:rPr>
        <w:t xml:space="preserve"> </w:t>
      </w:r>
      <w:r w:rsidR="00BC6FBF">
        <w:rPr>
          <w:rFonts w:ascii="Palatino Linotype" w:hAnsi="Palatino Linotype"/>
          <w:bCs/>
        </w:rPr>
        <w:t>April</w:t>
      </w:r>
      <w:r w:rsidR="00DF3534">
        <w:rPr>
          <w:rFonts w:ascii="Palatino Linotype" w:hAnsi="Palatino Linotype"/>
          <w:bCs/>
        </w:rPr>
        <w:t xml:space="preserve"> </w:t>
      </w:r>
      <w:r w:rsidR="00BC6FBF">
        <w:rPr>
          <w:rFonts w:ascii="Palatino Linotype" w:hAnsi="Palatino Linotype"/>
          <w:bCs/>
        </w:rPr>
        <w:t>7</w:t>
      </w:r>
      <w:r w:rsidR="00DF3534">
        <w:rPr>
          <w:rFonts w:ascii="Palatino Linotype" w:hAnsi="Palatino Linotype"/>
          <w:bCs/>
        </w:rPr>
        <w:t>, 2020</w:t>
      </w:r>
      <w:r w:rsidR="00F06F6A">
        <w:rPr>
          <w:rFonts w:ascii="Palatino Linotype" w:hAnsi="Palatino Linotype"/>
          <w:bCs/>
        </w:rPr>
        <w:t xml:space="preserve">. </w:t>
      </w:r>
      <w:r w:rsidR="00022E90">
        <w:rPr>
          <w:rFonts w:ascii="Palatino Linotype" w:hAnsi="Palatino Linotype"/>
          <w:bCs/>
        </w:rPr>
        <w:t>SDG&amp;E’s</w:t>
      </w:r>
      <w:r w:rsidR="00303402">
        <w:rPr>
          <w:rFonts w:ascii="Palatino Linotype" w:hAnsi="Palatino Linotype"/>
          <w:bCs/>
        </w:rPr>
        <w:t xml:space="preserve"> meeting was held while </w:t>
      </w:r>
      <w:r w:rsidR="00022E90">
        <w:rPr>
          <w:rFonts w:ascii="Palatino Linotype" w:hAnsi="Palatino Linotype"/>
          <w:bCs/>
        </w:rPr>
        <w:t>their</w:t>
      </w:r>
      <w:r w:rsidR="00303402">
        <w:rPr>
          <w:rFonts w:ascii="Palatino Linotype" w:hAnsi="Palatino Linotype"/>
          <w:bCs/>
        </w:rPr>
        <w:t xml:space="preserve"> Request for </w:t>
      </w:r>
      <w:r w:rsidR="00FD3C15">
        <w:rPr>
          <w:rFonts w:ascii="Palatino Linotype" w:hAnsi="Palatino Linotype"/>
          <w:bCs/>
        </w:rPr>
        <w:t>Qualification</w:t>
      </w:r>
      <w:r w:rsidR="00303402">
        <w:rPr>
          <w:rFonts w:ascii="Palatino Linotype" w:hAnsi="Palatino Linotype"/>
          <w:bCs/>
        </w:rPr>
        <w:t xml:space="preserve"> (RF</w:t>
      </w:r>
      <w:r w:rsidR="00FD3C15">
        <w:rPr>
          <w:rFonts w:ascii="Palatino Linotype" w:hAnsi="Palatino Linotype"/>
          <w:bCs/>
        </w:rPr>
        <w:t>Q</w:t>
      </w:r>
      <w:r w:rsidR="00303402">
        <w:rPr>
          <w:rFonts w:ascii="Palatino Linotype" w:hAnsi="Palatino Linotype"/>
          <w:bCs/>
        </w:rPr>
        <w:t>) was still ongoing</w:t>
      </w:r>
      <w:r w:rsidR="001E561E">
        <w:rPr>
          <w:rFonts w:ascii="Palatino Linotype" w:hAnsi="Palatino Linotype"/>
          <w:bCs/>
        </w:rPr>
        <w:t>,</w:t>
      </w:r>
      <w:r w:rsidR="00FD3C15">
        <w:rPr>
          <w:rStyle w:val="FootnoteReference"/>
          <w:rFonts w:ascii="Palatino Linotype" w:hAnsi="Palatino Linotype"/>
          <w:bCs/>
        </w:rPr>
        <w:footnoteReference w:id="9"/>
      </w:r>
      <w:r w:rsidR="00303402">
        <w:rPr>
          <w:rFonts w:ascii="Palatino Linotype" w:hAnsi="Palatino Linotype"/>
          <w:bCs/>
        </w:rPr>
        <w:t xml:space="preserve"> which prevented the PAC from discussing specific </w:t>
      </w:r>
      <w:r w:rsidR="00FD3C15">
        <w:rPr>
          <w:rFonts w:ascii="Palatino Linotype" w:hAnsi="Palatino Linotype"/>
          <w:bCs/>
        </w:rPr>
        <w:t xml:space="preserve">rebate </w:t>
      </w:r>
      <w:r w:rsidR="003B196D">
        <w:rPr>
          <w:rFonts w:ascii="Palatino Linotype" w:hAnsi="Palatino Linotype"/>
          <w:bCs/>
        </w:rPr>
        <w:t>amounts</w:t>
      </w:r>
      <w:r w:rsidR="00303402">
        <w:rPr>
          <w:rFonts w:ascii="Palatino Linotype" w:hAnsi="Palatino Linotype"/>
          <w:bCs/>
        </w:rPr>
        <w:t xml:space="preserve">. However, SDG&amp;E introduced how they </w:t>
      </w:r>
      <w:r w:rsidR="00FD4573">
        <w:rPr>
          <w:rFonts w:ascii="Palatino Linotype" w:hAnsi="Palatino Linotype"/>
          <w:bCs/>
        </w:rPr>
        <w:t xml:space="preserve">would </w:t>
      </w:r>
      <w:r w:rsidR="00303402">
        <w:rPr>
          <w:rFonts w:ascii="Palatino Linotype" w:hAnsi="Palatino Linotype"/>
          <w:bCs/>
        </w:rPr>
        <w:t xml:space="preserve">calculate the rebate amount, the frequency of payments, how they </w:t>
      </w:r>
      <w:r w:rsidR="00FD4573">
        <w:rPr>
          <w:rFonts w:ascii="Palatino Linotype" w:hAnsi="Palatino Linotype"/>
          <w:bCs/>
        </w:rPr>
        <w:t xml:space="preserve">would </w:t>
      </w:r>
      <w:r w:rsidR="00303402">
        <w:rPr>
          <w:rFonts w:ascii="Palatino Linotype" w:hAnsi="Palatino Linotype"/>
          <w:bCs/>
        </w:rPr>
        <w:t xml:space="preserve">distribute the rebate, and the feasibility of scaling the rebate for a larger program. </w:t>
      </w:r>
    </w:p>
    <w:p w:rsidR="00FD3C15" w:rsidP="00DF3534" w:rsidRDefault="00FD3C15" w14:paraId="591C37FD" w14:textId="776027B1">
      <w:pPr>
        <w:rPr>
          <w:rFonts w:ascii="Palatino Linotype" w:hAnsi="Palatino Linotype"/>
          <w:bCs/>
        </w:rPr>
      </w:pPr>
      <w:r>
        <w:rPr>
          <w:rFonts w:ascii="Palatino Linotype" w:hAnsi="Palatino Linotype"/>
          <w:bCs/>
        </w:rPr>
        <w:lastRenderedPageBreak/>
        <w:t>On June 17,</w:t>
      </w:r>
      <w:r w:rsidR="00031754">
        <w:rPr>
          <w:rFonts w:ascii="Palatino Linotype" w:hAnsi="Palatino Linotype"/>
          <w:bCs/>
        </w:rPr>
        <w:t xml:space="preserve"> 2020</w:t>
      </w:r>
      <w:r w:rsidR="00540EF4">
        <w:rPr>
          <w:rFonts w:ascii="Palatino Linotype" w:hAnsi="Palatino Linotype"/>
          <w:bCs/>
        </w:rPr>
        <w:t>,</w:t>
      </w:r>
      <w:r>
        <w:rPr>
          <w:rFonts w:ascii="Palatino Linotype" w:hAnsi="Palatino Linotype"/>
          <w:bCs/>
        </w:rPr>
        <w:t xml:space="preserve"> SDG&amp;E filed AL 3551-E requesting the Commission’s approval of the proposed EVSE rebate. </w:t>
      </w:r>
      <w:r w:rsidR="00031754">
        <w:rPr>
          <w:rFonts w:ascii="Palatino Linotype" w:hAnsi="Palatino Linotype"/>
          <w:bCs/>
        </w:rPr>
        <w:t>SCE fil</w:t>
      </w:r>
      <w:r w:rsidR="001E561E">
        <w:rPr>
          <w:rFonts w:ascii="Palatino Linotype" w:hAnsi="Palatino Linotype"/>
          <w:bCs/>
        </w:rPr>
        <w:t>ed</w:t>
      </w:r>
      <w:r w:rsidR="00031754">
        <w:rPr>
          <w:rFonts w:ascii="Palatino Linotype" w:hAnsi="Palatino Linotype"/>
          <w:bCs/>
        </w:rPr>
        <w:t xml:space="preserve"> AL 4286-E on September 7, 2020</w:t>
      </w:r>
      <w:r w:rsidR="001E561E">
        <w:rPr>
          <w:rFonts w:ascii="Palatino Linotype" w:hAnsi="Palatino Linotype"/>
          <w:bCs/>
        </w:rPr>
        <w:t>, and</w:t>
      </w:r>
      <w:r w:rsidR="00633584">
        <w:rPr>
          <w:rFonts w:ascii="Palatino Linotype" w:hAnsi="Palatino Linotype"/>
          <w:bCs/>
        </w:rPr>
        <w:t xml:space="preserve"> PG&amp;E filed</w:t>
      </w:r>
      <w:r w:rsidR="00D57E66">
        <w:rPr>
          <w:rFonts w:ascii="Palatino Linotype" w:hAnsi="Palatino Linotype"/>
          <w:bCs/>
        </w:rPr>
        <w:t xml:space="preserve"> AL 5993</w:t>
      </w:r>
      <w:r w:rsidR="00930716">
        <w:rPr>
          <w:rFonts w:ascii="Palatino Linotype" w:hAnsi="Palatino Linotype"/>
          <w:bCs/>
        </w:rPr>
        <w:t>-E</w:t>
      </w:r>
      <w:r w:rsidR="00D57E66">
        <w:rPr>
          <w:rFonts w:ascii="Palatino Linotype" w:hAnsi="Palatino Linotype"/>
          <w:bCs/>
        </w:rPr>
        <w:t xml:space="preserve"> on November 5, 2020</w:t>
      </w:r>
      <w:r w:rsidR="001E561E">
        <w:rPr>
          <w:rFonts w:ascii="Palatino Linotype" w:hAnsi="Palatino Linotype"/>
          <w:bCs/>
        </w:rPr>
        <w:t>,</w:t>
      </w:r>
      <w:r w:rsidR="00D57E66">
        <w:rPr>
          <w:rFonts w:ascii="Palatino Linotype" w:hAnsi="Palatino Linotype"/>
          <w:bCs/>
        </w:rPr>
        <w:t xml:space="preserve"> to propose their rebate design</w:t>
      </w:r>
      <w:r w:rsidR="001E561E">
        <w:rPr>
          <w:rFonts w:ascii="Palatino Linotype" w:hAnsi="Palatino Linotype"/>
          <w:bCs/>
        </w:rPr>
        <w:t>s</w:t>
      </w:r>
      <w:r w:rsidR="00D57E66">
        <w:rPr>
          <w:rFonts w:ascii="Palatino Linotype" w:hAnsi="Palatino Linotype"/>
          <w:bCs/>
        </w:rPr>
        <w:t xml:space="preserve"> and amount</w:t>
      </w:r>
      <w:r w:rsidR="001E561E">
        <w:rPr>
          <w:rFonts w:ascii="Palatino Linotype" w:hAnsi="Palatino Linotype"/>
          <w:bCs/>
        </w:rPr>
        <w:t>s</w:t>
      </w:r>
      <w:r w:rsidR="00D57E66">
        <w:rPr>
          <w:rFonts w:ascii="Palatino Linotype" w:hAnsi="Palatino Linotype"/>
          <w:bCs/>
        </w:rPr>
        <w:t>.</w:t>
      </w:r>
    </w:p>
    <w:p w:rsidRPr="003256D0" w:rsidR="003256D0" w:rsidP="003256D0" w:rsidRDefault="003256D0" w14:paraId="35ECF3B7" w14:textId="77777777">
      <w:pPr>
        <w:rPr>
          <w:rFonts w:ascii="Palatino Linotype" w:hAnsi="Palatino Linotype"/>
          <w:bCs/>
        </w:rPr>
      </w:pPr>
    </w:p>
    <w:p w:rsidRPr="00181CC0" w:rsidR="00DF3534" w:rsidP="00DF3534" w:rsidRDefault="00DF3534" w14:paraId="603B4B04" w14:textId="3032216B">
      <w:pPr>
        <w:pStyle w:val="Heading1"/>
        <w:jc w:val="both"/>
        <w:rPr>
          <w:rFonts w:ascii="Palatino Linotype" w:hAnsi="Palatino Linotype"/>
        </w:rPr>
      </w:pPr>
      <w:r w:rsidRPr="00181CC0">
        <w:rPr>
          <w:rFonts w:ascii="Palatino Linotype" w:hAnsi="Palatino Linotype" w:cs="Helvetica"/>
        </w:rPr>
        <w:t>NOTICE</w:t>
      </w:r>
    </w:p>
    <w:p w:rsidR="00DF3534" w:rsidP="00DF3534" w:rsidRDefault="00DF3534" w14:paraId="5DB9D309" w14:textId="0E7C4A79">
      <w:pPr>
        <w:spacing w:after="120"/>
        <w:rPr>
          <w:rFonts w:ascii="Palatino Linotype" w:hAnsi="Palatino Linotype"/>
          <w:szCs w:val="26"/>
        </w:rPr>
      </w:pPr>
      <w:r w:rsidRPr="00181CC0">
        <w:rPr>
          <w:rFonts w:ascii="Palatino Linotype" w:hAnsi="Palatino Linotype"/>
          <w:szCs w:val="26"/>
        </w:rPr>
        <w:t xml:space="preserve">Notice of </w:t>
      </w:r>
      <w:r w:rsidR="001E561E">
        <w:rPr>
          <w:rFonts w:ascii="Palatino Linotype" w:hAnsi="Palatino Linotype"/>
          <w:szCs w:val="26"/>
        </w:rPr>
        <w:t xml:space="preserve">PG&amp;E’s </w:t>
      </w:r>
      <w:r w:rsidR="00D57E66">
        <w:rPr>
          <w:rFonts w:ascii="Palatino Linotype" w:hAnsi="Palatino Linotype"/>
          <w:szCs w:val="26"/>
        </w:rPr>
        <w:t>AL 5993</w:t>
      </w:r>
      <w:r w:rsidR="00930716">
        <w:rPr>
          <w:rFonts w:ascii="Palatino Linotype" w:hAnsi="Palatino Linotype"/>
          <w:szCs w:val="26"/>
        </w:rPr>
        <w:t>-E</w:t>
      </w:r>
      <w:r w:rsidR="00D57E66">
        <w:rPr>
          <w:rFonts w:ascii="Palatino Linotype" w:hAnsi="Palatino Linotype"/>
          <w:szCs w:val="26"/>
        </w:rPr>
        <w:t xml:space="preserve">, </w:t>
      </w:r>
      <w:r w:rsidR="001E561E">
        <w:rPr>
          <w:rFonts w:ascii="Palatino Linotype" w:hAnsi="Palatino Linotype"/>
          <w:szCs w:val="26"/>
        </w:rPr>
        <w:t xml:space="preserve">SDG&amp;E’s </w:t>
      </w:r>
      <w:r w:rsidRPr="00181CC0">
        <w:rPr>
          <w:rFonts w:ascii="Palatino Linotype" w:hAnsi="Palatino Linotype"/>
          <w:szCs w:val="26"/>
        </w:rPr>
        <w:t xml:space="preserve">AL </w:t>
      </w:r>
      <w:r>
        <w:rPr>
          <w:rFonts w:ascii="Palatino Linotype" w:hAnsi="Palatino Linotype"/>
          <w:szCs w:val="26"/>
        </w:rPr>
        <w:t>3</w:t>
      </w:r>
      <w:r w:rsidR="00A831AD">
        <w:rPr>
          <w:rFonts w:ascii="Palatino Linotype" w:hAnsi="Palatino Linotype"/>
          <w:szCs w:val="26"/>
        </w:rPr>
        <w:t>551</w:t>
      </w:r>
      <w:r>
        <w:rPr>
          <w:rFonts w:ascii="Palatino Linotype" w:hAnsi="Palatino Linotype"/>
          <w:szCs w:val="26"/>
        </w:rPr>
        <w:t>-E</w:t>
      </w:r>
      <w:r w:rsidR="00D57E66">
        <w:rPr>
          <w:rFonts w:ascii="Palatino Linotype" w:hAnsi="Palatino Linotype"/>
          <w:szCs w:val="26"/>
        </w:rPr>
        <w:t>,</w:t>
      </w:r>
      <w:r w:rsidRPr="00181CC0">
        <w:rPr>
          <w:rFonts w:ascii="Palatino Linotype" w:hAnsi="Palatino Linotype"/>
          <w:szCs w:val="26"/>
        </w:rPr>
        <w:t xml:space="preserve"> </w:t>
      </w:r>
      <w:r w:rsidR="00562C0B">
        <w:rPr>
          <w:rFonts w:ascii="Palatino Linotype" w:hAnsi="Palatino Linotype"/>
          <w:szCs w:val="26"/>
        </w:rPr>
        <w:t xml:space="preserve">and </w:t>
      </w:r>
      <w:r w:rsidR="001E561E">
        <w:rPr>
          <w:rFonts w:ascii="Palatino Linotype" w:hAnsi="Palatino Linotype"/>
          <w:szCs w:val="26"/>
        </w:rPr>
        <w:t xml:space="preserve">SCE’s </w:t>
      </w:r>
      <w:r w:rsidR="00562C0B">
        <w:rPr>
          <w:rFonts w:ascii="Palatino Linotype" w:hAnsi="Palatino Linotype"/>
          <w:szCs w:val="26"/>
        </w:rPr>
        <w:t xml:space="preserve">AL 4286-E </w:t>
      </w:r>
      <w:r w:rsidRPr="00181CC0">
        <w:rPr>
          <w:rFonts w:ascii="Palatino Linotype" w:hAnsi="Palatino Linotype"/>
          <w:szCs w:val="26"/>
        </w:rPr>
        <w:t>w</w:t>
      </w:r>
      <w:r w:rsidR="00562C0B">
        <w:rPr>
          <w:rFonts w:ascii="Palatino Linotype" w:hAnsi="Palatino Linotype"/>
          <w:szCs w:val="26"/>
        </w:rPr>
        <w:t>ere</w:t>
      </w:r>
      <w:r w:rsidRPr="00181CC0">
        <w:rPr>
          <w:rFonts w:ascii="Palatino Linotype" w:hAnsi="Palatino Linotype"/>
          <w:szCs w:val="26"/>
        </w:rPr>
        <w:t xml:space="preserve"> made by publication in the Commission’s Daily Calendar. </w:t>
      </w:r>
      <w:r w:rsidR="00D57E66">
        <w:rPr>
          <w:rFonts w:ascii="Palatino Linotype" w:hAnsi="Palatino Linotype"/>
          <w:szCs w:val="26"/>
        </w:rPr>
        <w:t xml:space="preserve">PG&amp;E, </w:t>
      </w:r>
      <w:r w:rsidR="00562C0B">
        <w:rPr>
          <w:rFonts w:ascii="Palatino Linotype" w:hAnsi="Palatino Linotype"/>
          <w:szCs w:val="26"/>
        </w:rPr>
        <w:t xml:space="preserve">SCE and </w:t>
      </w:r>
      <w:r>
        <w:rPr>
          <w:rFonts w:ascii="Palatino Linotype" w:hAnsi="Palatino Linotype"/>
          <w:szCs w:val="26"/>
        </w:rPr>
        <w:t>SDG&amp;E</w:t>
      </w:r>
      <w:r w:rsidRPr="00181CC0">
        <w:rPr>
          <w:rFonts w:ascii="Palatino Linotype" w:hAnsi="Palatino Linotype"/>
          <w:szCs w:val="26"/>
        </w:rPr>
        <w:t xml:space="preserve"> state that a copy of the AL was mailed and distributed in accordance with Section 4 of General Order 96-B.</w:t>
      </w:r>
    </w:p>
    <w:p w:rsidRPr="00181CC0" w:rsidR="00DF3534" w:rsidP="00DF3534" w:rsidRDefault="00DF3534" w14:paraId="3CE1E067" w14:textId="77777777">
      <w:pPr>
        <w:spacing w:after="120"/>
        <w:rPr>
          <w:rFonts w:ascii="Palatino Linotype" w:hAnsi="Palatino Linotype"/>
          <w:szCs w:val="26"/>
        </w:rPr>
      </w:pPr>
    </w:p>
    <w:p w:rsidRPr="00181CC0" w:rsidR="00DF3534" w:rsidP="00DF3534" w:rsidRDefault="00DF3534" w14:paraId="406AAAFB" w14:textId="77777777">
      <w:pPr>
        <w:pStyle w:val="Heading1"/>
        <w:jc w:val="both"/>
        <w:rPr>
          <w:rFonts w:ascii="Palatino Linotype" w:hAnsi="Palatino Linotype" w:cs="Helvetica"/>
        </w:rPr>
      </w:pPr>
      <w:r w:rsidRPr="00181CC0">
        <w:rPr>
          <w:rFonts w:ascii="Palatino Linotype" w:hAnsi="Palatino Linotype" w:cs="Helvetica"/>
        </w:rPr>
        <w:t>PROTESTS</w:t>
      </w:r>
    </w:p>
    <w:p w:rsidR="00DF3534" w:rsidP="00DF3534" w:rsidRDefault="00A831AD" w14:paraId="227321F5" w14:textId="3D4B067D">
      <w:pPr>
        <w:rPr>
          <w:rFonts w:ascii="Palatino Linotype" w:hAnsi="Palatino Linotype"/>
        </w:rPr>
      </w:pPr>
      <w:r>
        <w:rPr>
          <w:rFonts w:ascii="Palatino Linotype" w:hAnsi="Palatino Linotype"/>
        </w:rPr>
        <w:t>There were no protest</w:t>
      </w:r>
      <w:r w:rsidR="00136B5C">
        <w:rPr>
          <w:rFonts w:ascii="Palatino Linotype" w:hAnsi="Palatino Linotype"/>
        </w:rPr>
        <w:t>s</w:t>
      </w:r>
      <w:r>
        <w:rPr>
          <w:rFonts w:ascii="Palatino Linotype" w:hAnsi="Palatino Linotype"/>
        </w:rPr>
        <w:t xml:space="preserve"> on </w:t>
      </w:r>
      <w:r w:rsidR="00D57E66">
        <w:rPr>
          <w:rFonts w:ascii="Palatino Linotype" w:hAnsi="Palatino Linotype"/>
        </w:rPr>
        <w:t xml:space="preserve">PG&amp;E’s AL 5993-E, </w:t>
      </w:r>
      <w:r w:rsidR="00562C0B">
        <w:rPr>
          <w:rFonts w:ascii="Palatino Linotype" w:hAnsi="Palatino Linotype"/>
        </w:rPr>
        <w:t>SCE’s AL 4286-E</w:t>
      </w:r>
      <w:r w:rsidR="00D57E66">
        <w:rPr>
          <w:rFonts w:ascii="Palatino Linotype" w:hAnsi="Palatino Linotype"/>
        </w:rPr>
        <w:t>,</w:t>
      </w:r>
      <w:r w:rsidR="00562C0B">
        <w:rPr>
          <w:rFonts w:ascii="Palatino Linotype" w:hAnsi="Palatino Linotype"/>
        </w:rPr>
        <w:t xml:space="preserve"> or </w:t>
      </w:r>
      <w:r>
        <w:rPr>
          <w:rFonts w:ascii="Palatino Linotype" w:hAnsi="Palatino Linotype"/>
        </w:rPr>
        <w:t>SDG&amp;E’s AL 3551-E</w:t>
      </w:r>
      <w:r w:rsidR="00562C0B">
        <w:rPr>
          <w:rFonts w:ascii="Palatino Linotype" w:hAnsi="Palatino Linotype"/>
        </w:rPr>
        <w:t>.</w:t>
      </w:r>
    </w:p>
    <w:p w:rsidR="00FD3C15" w:rsidP="00DF3534" w:rsidRDefault="00FD3C15" w14:paraId="704BBD20" w14:textId="77777777">
      <w:pPr>
        <w:pStyle w:val="Heading1"/>
        <w:jc w:val="both"/>
        <w:rPr>
          <w:rFonts w:ascii="Palatino Linotype" w:hAnsi="Palatino Linotype" w:cs="Helvetica"/>
        </w:rPr>
      </w:pPr>
    </w:p>
    <w:p w:rsidR="00DF3534" w:rsidP="00DF3534" w:rsidRDefault="00DF3534" w14:paraId="4A7787BD" w14:textId="14C8A417">
      <w:pPr>
        <w:pStyle w:val="Heading1"/>
        <w:jc w:val="both"/>
        <w:rPr>
          <w:rFonts w:ascii="Palatino Linotype" w:hAnsi="Palatino Linotype" w:cs="Helvetica"/>
        </w:rPr>
      </w:pPr>
      <w:r w:rsidRPr="00181CC0">
        <w:rPr>
          <w:rFonts w:ascii="Palatino Linotype" w:hAnsi="Palatino Linotype" w:cs="Helvetica"/>
        </w:rPr>
        <w:t>DISCUSSION</w:t>
      </w:r>
    </w:p>
    <w:p w:rsidR="00BD6C69" w:rsidP="00BD6C69" w:rsidRDefault="00BD6C69" w14:paraId="1A0AB908" w14:textId="3F6DC79A">
      <w:pPr>
        <w:rPr>
          <w:rFonts w:ascii="Palatino Linotype" w:hAnsi="Palatino Linotype"/>
          <w:b/>
        </w:rPr>
      </w:pPr>
      <w:r w:rsidRPr="00EF392D">
        <w:rPr>
          <w:rFonts w:ascii="Palatino Linotype" w:hAnsi="Palatino Linotype"/>
          <w:b/>
        </w:rPr>
        <w:t>Energy Division evaluated</w:t>
      </w:r>
      <w:r w:rsidR="0000005A">
        <w:rPr>
          <w:rFonts w:ascii="Palatino Linotype" w:hAnsi="Palatino Linotype"/>
          <w:b/>
        </w:rPr>
        <w:t xml:space="preserve"> </w:t>
      </w:r>
      <w:r w:rsidR="00D57E66">
        <w:rPr>
          <w:rFonts w:ascii="Palatino Linotype" w:hAnsi="Palatino Linotype"/>
          <w:b/>
        </w:rPr>
        <w:t xml:space="preserve">PG&amp;E’s, </w:t>
      </w:r>
      <w:r w:rsidR="0000005A">
        <w:rPr>
          <w:rFonts w:ascii="Palatino Linotype" w:hAnsi="Palatino Linotype"/>
          <w:b/>
        </w:rPr>
        <w:t>SCE’s and</w:t>
      </w:r>
      <w:r w:rsidRPr="00EF392D">
        <w:rPr>
          <w:rFonts w:ascii="Palatino Linotype" w:hAnsi="Palatino Linotype"/>
          <w:b/>
        </w:rPr>
        <w:t xml:space="preserve"> SDG&amp;E’s propos</w:t>
      </w:r>
      <w:r w:rsidR="00FD3C15">
        <w:rPr>
          <w:rFonts w:ascii="Palatino Linotype" w:hAnsi="Palatino Linotype"/>
          <w:b/>
        </w:rPr>
        <w:t>ed rebate</w:t>
      </w:r>
      <w:r w:rsidR="003B196D">
        <w:rPr>
          <w:rFonts w:ascii="Palatino Linotype" w:hAnsi="Palatino Linotype"/>
          <w:b/>
        </w:rPr>
        <w:t>s</w:t>
      </w:r>
      <w:r w:rsidRPr="00EF392D">
        <w:rPr>
          <w:rFonts w:ascii="Palatino Linotype" w:hAnsi="Palatino Linotype"/>
          <w:b/>
        </w:rPr>
        <w:t xml:space="preserve"> and determined th</w:t>
      </w:r>
      <w:r w:rsidR="00FD3C15">
        <w:rPr>
          <w:rFonts w:ascii="Palatino Linotype" w:hAnsi="Palatino Linotype"/>
          <w:b/>
        </w:rPr>
        <w:t>at, with modifications, the</w:t>
      </w:r>
      <w:r w:rsidRPr="00EF392D">
        <w:rPr>
          <w:rFonts w:ascii="Palatino Linotype" w:hAnsi="Palatino Linotype"/>
          <w:b/>
        </w:rPr>
        <w:t xml:space="preserve"> </w:t>
      </w:r>
      <w:r w:rsidR="00FD3C15">
        <w:rPr>
          <w:rFonts w:ascii="Palatino Linotype" w:hAnsi="Palatino Linotype"/>
          <w:b/>
        </w:rPr>
        <w:t>proposal</w:t>
      </w:r>
      <w:r w:rsidR="00136B5C">
        <w:rPr>
          <w:rFonts w:ascii="Palatino Linotype" w:hAnsi="Palatino Linotype"/>
          <w:b/>
        </w:rPr>
        <w:t>s are</w:t>
      </w:r>
      <w:r w:rsidR="00FD3C15">
        <w:rPr>
          <w:rFonts w:ascii="Palatino Linotype" w:hAnsi="Palatino Linotype"/>
          <w:b/>
        </w:rPr>
        <w:t xml:space="preserve"> reasonable</w:t>
      </w:r>
      <w:r w:rsidRPr="00EF392D">
        <w:rPr>
          <w:rFonts w:ascii="Palatino Linotype" w:hAnsi="Palatino Linotype"/>
          <w:b/>
        </w:rPr>
        <w:t xml:space="preserve">. </w:t>
      </w:r>
    </w:p>
    <w:p w:rsidR="00E676CC" w:rsidP="002B1EEA" w:rsidRDefault="00F91D5B" w14:paraId="25DD43FC" w14:textId="5141C332">
      <w:pPr>
        <w:rPr>
          <w:rFonts w:ascii="Palatino Linotype" w:hAnsi="Palatino Linotype"/>
        </w:rPr>
      </w:pPr>
      <w:r>
        <w:rPr>
          <w:rFonts w:ascii="Palatino Linotype" w:hAnsi="Palatino Linotype"/>
        </w:rPr>
        <w:t xml:space="preserve">The IOUs’ proposed Schools Pilot Program rebate designs are presented in Tables 2-4. All three IOUs categorize the EVSE rebate by the different power levels (L2 vs DCFC), and the number of charge ports (one vs two). Each IOU also lists the capped rebate amount for the equipment, maintenance, and network service. While SDG&amp;E’s proposal combines the maintenance and warranty costs into one </w:t>
      </w:r>
      <w:r w:rsidR="00C760DB">
        <w:rPr>
          <w:rFonts w:ascii="Palatino Linotype" w:hAnsi="Palatino Linotype"/>
        </w:rPr>
        <w:t>category</w:t>
      </w:r>
      <w:r>
        <w:rPr>
          <w:rFonts w:ascii="Palatino Linotype" w:hAnsi="Palatino Linotype"/>
        </w:rPr>
        <w:t>, PG&amp;E’s and SCE’s proposal</w:t>
      </w:r>
      <w:r w:rsidR="00C760DB">
        <w:rPr>
          <w:rFonts w:ascii="Palatino Linotype" w:hAnsi="Palatino Linotype"/>
        </w:rPr>
        <w:t>s</w:t>
      </w:r>
      <w:r>
        <w:rPr>
          <w:rFonts w:ascii="Palatino Linotype" w:hAnsi="Palatino Linotype"/>
        </w:rPr>
        <w:t xml:space="preserve"> separate the equipment maintenance and warranty costs into two </w:t>
      </w:r>
      <w:r w:rsidR="00C760DB">
        <w:rPr>
          <w:rFonts w:ascii="Palatino Linotype" w:hAnsi="Palatino Linotype"/>
        </w:rPr>
        <w:t>categories</w:t>
      </w:r>
      <w:r>
        <w:rPr>
          <w:rFonts w:ascii="Palatino Linotype" w:hAnsi="Palatino Linotype"/>
        </w:rPr>
        <w:t xml:space="preserve">. SCE’s proposal also separately identifies the costs associated with the equipment delivery and operation training, while PG&amp;E and SDG&amp;E include these costs in the </w:t>
      </w:r>
      <w:r w:rsidRPr="00C760DB" w:rsidR="00C760DB">
        <w:rPr>
          <w:rFonts w:ascii="Palatino Linotype" w:hAnsi="Palatino Linotype"/>
          <w:i/>
          <w:iCs/>
        </w:rPr>
        <w:t>e</w:t>
      </w:r>
      <w:r w:rsidRPr="00C760DB">
        <w:rPr>
          <w:rFonts w:ascii="Palatino Linotype" w:hAnsi="Palatino Linotype"/>
          <w:i/>
          <w:iCs/>
        </w:rPr>
        <w:t>quipment</w:t>
      </w:r>
      <w:r>
        <w:rPr>
          <w:rFonts w:ascii="Palatino Linotype" w:hAnsi="Palatino Linotype"/>
        </w:rPr>
        <w:t xml:space="preserve"> </w:t>
      </w:r>
      <w:r w:rsidR="00C760DB">
        <w:rPr>
          <w:rFonts w:ascii="Palatino Linotype" w:hAnsi="Palatino Linotype"/>
        </w:rPr>
        <w:t>category</w:t>
      </w:r>
      <w:r>
        <w:rPr>
          <w:rFonts w:ascii="Palatino Linotype" w:hAnsi="Palatino Linotype"/>
        </w:rPr>
        <w:t>. PG&amp;E and SCE state that the</w:t>
      </w:r>
      <w:r w:rsidR="008D4D23">
        <w:rPr>
          <w:rFonts w:ascii="Palatino Linotype" w:hAnsi="Palatino Linotype"/>
        </w:rPr>
        <w:t xml:space="preserve"> </w:t>
      </w:r>
      <w:r>
        <w:rPr>
          <w:rFonts w:ascii="Palatino Linotype" w:hAnsi="Palatino Linotype"/>
        </w:rPr>
        <w:t xml:space="preserve">rebates </w:t>
      </w:r>
      <w:r w:rsidR="00844F73">
        <w:rPr>
          <w:rFonts w:ascii="Palatino Linotype" w:hAnsi="Palatino Linotype"/>
        </w:rPr>
        <w:t xml:space="preserve">they pay to customers </w:t>
      </w:r>
      <w:r>
        <w:rPr>
          <w:rFonts w:ascii="Palatino Linotype" w:hAnsi="Palatino Linotype"/>
        </w:rPr>
        <w:t xml:space="preserve">will not exceed the </w:t>
      </w:r>
      <w:r w:rsidR="00844F73">
        <w:rPr>
          <w:rFonts w:ascii="Palatino Linotype" w:hAnsi="Palatino Linotype"/>
        </w:rPr>
        <w:t xml:space="preserve">actual </w:t>
      </w:r>
      <w:r>
        <w:rPr>
          <w:rFonts w:ascii="Palatino Linotype" w:hAnsi="Palatino Linotype"/>
        </w:rPr>
        <w:t>costs of the equipment and are capped at the amount listed in Tables 2 and 3. SDG&amp;E states that the proposed rebate amounts listed in Table 4 are fixed</w:t>
      </w:r>
      <w:r w:rsidR="00981A43">
        <w:rPr>
          <w:rFonts w:ascii="Palatino Linotype" w:hAnsi="Palatino Linotype"/>
        </w:rPr>
        <w:t xml:space="preserve"> (i.e.</w:t>
      </w:r>
      <w:r w:rsidR="001E561E">
        <w:rPr>
          <w:rFonts w:ascii="Palatino Linotype" w:hAnsi="Palatino Linotype"/>
        </w:rPr>
        <w:t>,</w:t>
      </w:r>
      <w:r w:rsidR="00981A43">
        <w:rPr>
          <w:rFonts w:ascii="Palatino Linotype" w:hAnsi="Palatino Linotype"/>
        </w:rPr>
        <w:t xml:space="preserve"> the same rebate amount will be paid per port)</w:t>
      </w:r>
      <w:r>
        <w:rPr>
          <w:rFonts w:ascii="Palatino Linotype" w:hAnsi="Palatino Linotype"/>
        </w:rPr>
        <w:t xml:space="preserve">. </w:t>
      </w:r>
    </w:p>
    <w:p w:rsidRPr="00CE09B7" w:rsidR="00473742" w:rsidP="00473742" w:rsidRDefault="00473742" w14:paraId="1544E74D" w14:textId="43A60B2D">
      <w:pPr>
        <w:pStyle w:val="Caption"/>
        <w:keepNext/>
        <w:rPr>
          <w:b/>
          <w:bCs/>
          <w:sz w:val="22"/>
          <w:szCs w:val="22"/>
        </w:rPr>
      </w:pPr>
      <w:bookmarkStart w:name="_Ref57649998" w:id="2"/>
      <w:r w:rsidRPr="00CE09B7">
        <w:rPr>
          <w:b/>
          <w:bCs/>
          <w:sz w:val="22"/>
          <w:szCs w:val="22"/>
        </w:rPr>
        <w:lastRenderedPageBreak/>
        <w:t xml:space="preserve">Table </w:t>
      </w:r>
      <w:r w:rsidRPr="00CE09B7" w:rsidR="0084194C">
        <w:rPr>
          <w:b/>
          <w:bCs/>
          <w:sz w:val="22"/>
          <w:szCs w:val="22"/>
        </w:rPr>
        <w:fldChar w:fldCharType="begin"/>
      </w:r>
      <w:r w:rsidRPr="00CE09B7" w:rsidR="0084194C">
        <w:rPr>
          <w:b/>
          <w:bCs/>
          <w:sz w:val="22"/>
          <w:szCs w:val="22"/>
        </w:rPr>
        <w:instrText xml:space="preserve"> SEQ Table \* ARABIC </w:instrText>
      </w:r>
      <w:r w:rsidRPr="00CE09B7" w:rsidR="0084194C">
        <w:rPr>
          <w:b/>
          <w:bCs/>
          <w:sz w:val="22"/>
          <w:szCs w:val="22"/>
        </w:rPr>
        <w:fldChar w:fldCharType="separate"/>
      </w:r>
      <w:r w:rsidR="00FF0700">
        <w:rPr>
          <w:b/>
          <w:bCs/>
          <w:noProof/>
          <w:sz w:val="22"/>
          <w:szCs w:val="22"/>
        </w:rPr>
        <w:t>2</w:t>
      </w:r>
      <w:r w:rsidRPr="00CE09B7" w:rsidR="0084194C">
        <w:rPr>
          <w:b/>
          <w:bCs/>
          <w:sz w:val="22"/>
          <w:szCs w:val="22"/>
        </w:rPr>
        <w:fldChar w:fldCharType="end"/>
      </w:r>
      <w:bookmarkEnd w:id="2"/>
      <w:r w:rsidRPr="00CE09B7">
        <w:rPr>
          <w:b/>
          <w:bCs/>
          <w:sz w:val="22"/>
          <w:szCs w:val="22"/>
        </w:rPr>
        <w:t xml:space="preserve"> PG&amp;E</w:t>
      </w:r>
      <w:r w:rsidR="00F91D5B">
        <w:rPr>
          <w:b/>
          <w:bCs/>
          <w:sz w:val="22"/>
          <w:szCs w:val="22"/>
        </w:rPr>
        <w:t>’</w:t>
      </w:r>
      <w:r w:rsidRPr="00CE09B7">
        <w:rPr>
          <w:b/>
          <w:bCs/>
          <w:sz w:val="22"/>
          <w:szCs w:val="22"/>
        </w:rPr>
        <w:t>s Schools Pilot Program Rebate Value</w:t>
      </w:r>
    </w:p>
    <w:tbl>
      <w:tblPr>
        <w:tblStyle w:val="TableGrid"/>
        <w:tblW w:w="0" w:type="auto"/>
        <w:tblLook w:val="04A0" w:firstRow="1" w:lastRow="0" w:firstColumn="1" w:lastColumn="0" w:noHBand="0" w:noVBand="1"/>
      </w:tblPr>
      <w:tblGrid>
        <w:gridCol w:w="1947"/>
        <w:gridCol w:w="1339"/>
        <w:gridCol w:w="1513"/>
        <w:gridCol w:w="1545"/>
        <w:gridCol w:w="1848"/>
        <w:gridCol w:w="1158"/>
      </w:tblGrid>
      <w:tr w:rsidR="00473742" w:rsidTr="00CE09B7" w14:paraId="6A5B3AEA" w14:textId="77777777">
        <w:tc>
          <w:tcPr>
            <w:tcW w:w="1975" w:type="dxa"/>
          </w:tcPr>
          <w:p w:rsidRPr="00473742" w:rsidR="00473742" w:rsidP="009A5578" w:rsidRDefault="00473742" w14:paraId="129EF3E2" w14:textId="636F7AD6">
            <w:pPr>
              <w:pStyle w:val="Caption"/>
              <w:keepNext/>
              <w:rPr>
                <w:rFonts w:ascii="Palatino Linotype" w:hAnsi="Palatino Linotype"/>
                <w:b/>
                <w:bCs/>
                <w:i w:val="0"/>
                <w:iCs w:val="0"/>
                <w:color w:val="000000" w:themeColor="text1"/>
                <w:sz w:val="22"/>
                <w:szCs w:val="22"/>
              </w:rPr>
            </w:pPr>
            <w:bookmarkStart w:name="_Ref54190620" w:id="3"/>
            <w:r w:rsidRPr="00473742">
              <w:rPr>
                <w:rFonts w:ascii="Palatino Linotype" w:hAnsi="Palatino Linotype"/>
                <w:b/>
                <w:bCs/>
                <w:i w:val="0"/>
                <w:iCs w:val="0"/>
                <w:color w:val="000000" w:themeColor="text1"/>
                <w:sz w:val="22"/>
                <w:szCs w:val="22"/>
              </w:rPr>
              <w:t>Equipment Type</w:t>
            </w:r>
          </w:p>
        </w:tc>
        <w:tc>
          <w:tcPr>
            <w:tcW w:w="1260" w:type="dxa"/>
          </w:tcPr>
          <w:p w:rsidRPr="00473742" w:rsidR="00473742" w:rsidP="009A5578" w:rsidRDefault="00473742" w14:paraId="76FED4FA" w14:textId="6F5A0343">
            <w:pPr>
              <w:pStyle w:val="Caption"/>
              <w:keepNext/>
              <w:rPr>
                <w:rFonts w:ascii="Palatino Linotype" w:hAnsi="Palatino Linotype"/>
                <w:b/>
                <w:bCs/>
                <w:i w:val="0"/>
                <w:iCs w:val="0"/>
                <w:color w:val="000000" w:themeColor="text1"/>
                <w:sz w:val="22"/>
                <w:szCs w:val="22"/>
              </w:rPr>
            </w:pPr>
            <w:r w:rsidRPr="00473742">
              <w:rPr>
                <w:rFonts w:ascii="Palatino Linotype" w:hAnsi="Palatino Linotype"/>
                <w:b/>
                <w:bCs/>
                <w:i w:val="0"/>
                <w:iCs w:val="0"/>
                <w:color w:val="000000" w:themeColor="text1"/>
                <w:sz w:val="22"/>
                <w:szCs w:val="22"/>
              </w:rPr>
              <w:t>Equipment</w:t>
            </w:r>
          </w:p>
        </w:tc>
        <w:tc>
          <w:tcPr>
            <w:tcW w:w="1529" w:type="dxa"/>
          </w:tcPr>
          <w:p w:rsidRPr="00473742" w:rsidR="00473742" w:rsidP="009A5578" w:rsidRDefault="00473742" w14:paraId="293D7DA6" w14:textId="629ACC7E">
            <w:pPr>
              <w:pStyle w:val="Caption"/>
              <w:keepNext/>
              <w:rPr>
                <w:rFonts w:ascii="Palatino Linotype" w:hAnsi="Palatino Linotype"/>
                <w:b/>
                <w:bCs/>
                <w:i w:val="0"/>
                <w:iCs w:val="0"/>
                <w:color w:val="000000" w:themeColor="text1"/>
                <w:sz w:val="22"/>
                <w:szCs w:val="22"/>
              </w:rPr>
            </w:pPr>
            <w:r w:rsidRPr="00473742">
              <w:rPr>
                <w:rFonts w:ascii="Palatino Linotype" w:hAnsi="Palatino Linotype"/>
                <w:b/>
                <w:bCs/>
                <w:i w:val="0"/>
                <w:iCs w:val="0"/>
                <w:color w:val="000000" w:themeColor="text1"/>
                <w:sz w:val="22"/>
                <w:szCs w:val="22"/>
              </w:rPr>
              <w:t>Warranty</w:t>
            </w:r>
          </w:p>
        </w:tc>
        <w:tc>
          <w:tcPr>
            <w:tcW w:w="1546" w:type="dxa"/>
          </w:tcPr>
          <w:p w:rsidRPr="00473742" w:rsidR="00473742" w:rsidP="009A5578" w:rsidRDefault="00473742" w14:paraId="370A027A" w14:textId="3015B511">
            <w:pPr>
              <w:pStyle w:val="Caption"/>
              <w:keepNext/>
              <w:rPr>
                <w:rFonts w:ascii="Palatino Linotype" w:hAnsi="Palatino Linotype"/>
                <w:b/>
                <w:bCs/>
                <w:i w:val="0"/>
                <w:iCs w:val="0"/>
                <w:color w:val="000000" w:themeColor="text1"/>
                <w:sz w:val="22"/>
                <w:szCs w:val="22"/>
              </w:rPr>
            </w:pPr>
            <w:r w:rsidRPr="00473742">
              <w:rPr>
                <w:rFonts w:ascii="Palatino Linotype" w:hAnsi="Palatino Linotype"/>
                <w:b/>
                <w:bCs/>
                <w:i w:val="0"/>
                <w:iCs w:val="0"/>
                <w:color w:val="000000" w:themeColor="text1"/>
                <w:sz w:val="22"/>
                <w:szCs w:val="22"/>
              </w:rPr>
              <w:t>Maintenance</w:t>
            </w:r>
          </w:p>
        </w:tc>
        <w:tc>
          <w:tcPr>
            <w:tcW w:w="1882" w:type="dxa"/>
          </w:tcPr>
          <w:p w:rsidRPr="00473742" w:rsidR="00473742" w:rsidP="009A5578" w:rsidRDefault="00473742" w14:paraId="160DCC81" w14:textId="4F473DEF">
            <w:pPr>
              <w:pStyle w:val="Caption"/>
              <w:keepNext/>
              <w:rPr>
                <w:rFonts w:ascii="Palatino Linotype" w:hAnsi="Palatino Linotype"/>
                <w:b/>
                <w:bCs/>
                <w:i w:val="0"/>
                <w:iCs w:val="0"/>
                <w:color w:val="000000" w:themeColor="text1"/>
                <w:sz w:val="22"/>
                <w:szCs w:val="22"/>
              </w:rPr>
            </w:pPr>
            <w:r w:rsidRPr="00473742">
              <w:rPr>
                <w:rFonts w:ascii="Palatino Linotype" w:hAnsi="Palatino Linotype"/>
                <w:b/>
                <w:bCs/>
                <w:i w:val="0"/>
                <w:iCs w:val="0"/>
                <w:color w:val="000000" w:themeColor="text1"/>
                <w:sz w:val="22"/>
                <w:szCs w:val="22"/>
              </w:rPr>
              <w:t>Network Service</w:t>
            </w:r>
          </w:p>
        </w:tc>
        <w:tc>
          <w:tcPr>
            <w:tcW w:w="1158" w:type="dxa"/>
          </w:tcPr>
          <w:p w:rsidRPr="00473742" w:rsidR="00473742" w:rsidP="009A5578" w:rsidRDefault="00473742" w14:paraId="2A6B1D99" w14:textId="2954150E">
            <w:pPr>
              <w:pStyle w:val="Caption"/>
              <w:keepNext/>
              <w:rPr>
                <w:rFonts w:ascii="Palatino Linotype" w:hAnsi="Palatino Linotype"/>
                <w:b/>
                <w:bCs/>
                <w:i w:val="0"/>
                <w:iCs w:val="0"/>
                <w:color w:val="000000" w:themeColor="text1"/>
                <w:sz w:val="22"/>
                <w:szCs w:val="22"/>
              </w:rPr>
            </w:pPr>
            <w:r w:rsidRPr="00473742">
              <w:rPr>
                <w:rFonts w:ascii="Palatino Linotype" w:hAnsi="Palatino Linotype"/>
                <w:b/>
                <w:bCs/>
                <w:i w:val="0"/>
                <w:iCs w:val="0"/>
                <w:color w:val="000000" w:themeColor="text1"/>
                <w:sz w:val="22"/>
                <w:szCs w:val="22"/>
              </w:rPr>
              <w:t>Proposed Rebate</w:t>
            </w:r>
          </w:p>
        </w:tc>
      </w:tr>
      <w:tr w:rsidR="00473742" w:rsidTr="00CE09B7" w14:paraId="1CAC3D56" w14:textId="77777777">
        <w:tc>
          <w:tcPr>
            <w:tcW w:w="1975" w:type="dxa"/>
          </w:tcPr>
          <w:p w:rsidRPr="00473742" w:rsidR="00473742" w:rsidP="009A5578" w:rsidRDefault="00473742" w14:paraId="48F01606" w14:textId="2F2F4C5C">
            <w:pPr>
              <w:pStyle w:val="Caption"/>
              <w:keepNext/>
              <w:rPr>
                <w:rFonts w:ascii="Palatino Linotype" w:hAnsi="Palatino Linotype"/>
                <w:i w:val="0"/>
                <w:iCs w:val="0"/>
                <w:color w:val="000000" w:themeColor="text1"/>
                <w:sz w:val="22"/>
                <w:szCs w:val="22"/>
              </w:rPr>
            </w:pPr>
            <w:r w:rsidRPr="00473742">
              <w:rPr>
                <w:rFonts w:ascii="Palatino Linotype" w:hAnsi="Palatino Linotype"/>
                <w:i w:val="0"/>
                <w:iCs w:val="0"/>
                <w:color w:val="000000" w:themeColor="text1"/>
                <w:sz w:val="22"/>
                <w:szCs w:val="22"/>
              </w:rPr>
              <w:t>L2 (single</w:t>
            </w:r>
            <w:r w:rsidRPr="00473742" w:rsidR="00F91D5B">
              <w:rPr>
                <w:rFonts w:ascii="Palatino Linotype" w:hAnsi="Palatino Linotype"/>
                <w:i w:val="0"/>
                <w:iCs w:val="0"/>
                <w:color w:val="000000" w:themeColor="text1"/>
                <w:sz w:val="22"/>
                <w:szCs w:val="22"/>
              </w:rPr>
              <w:t xml:space="preserve"> </w:t>
            </w:r>
            <w:r w:rsidRPr="00473742">
              <w:rPr>
                <w:rFonts w:ascii="Palatino Linotype" w:hAnsi="Palatino Linotype"/>
                <w:i w:val="0"/>
                <w:iCs w:val="0"/>
                <w:color w:val="000000" w:themeColor="text1"/>
                <w:sz w:val="22"/>
                <w:szCs w:val="22"/>
              </w:rPr>
              <w:t>port)</w:t>
            </w:r>
          </w:p>
        </w:tc>
        <w:tc>
          <w:tcPr>
            <w:tcW w:w="1260" w:type="dxa"/>
          </w:tcPr>
          <w:p w:rsidRPr="00473742" w:rsidR="00473742" w:rsidP="009A5578" w:rsidRDefault="00473742" w14:paraId="3D89B70D" w14:textId="15BFEB23">
            <w:pPr>
              <w:pStyle w:val="Caption"/>
              <w:keepNext/>
              <w:rPr>
                <w:rFonts w:ascii="Palatino Linotype" w:hAnsi="Palatino Linotype"/>
                <w:i w:val="0"/>
                <w:iCs w:val="0"/>
                <w:color w:val="000000" w:themeColor="text1"/>
                <w:sz w:val="22"/>
                <w:szCs w:val="22"/>
              </w:rPr>
            </w:pPr>
            <w:r w:rsidRPr="00473742">
              <w:rPr>
                <w:rFonts w:ascii="Palatino Linotype" w:hAnsi="Palatino Linotype"/>
                <w:i w:val="0"/>
                <w:iCs w:val="0"/>
                <w:color w:val="000000" w:themeColor="text1"/>
                <w:sz w:val="22"/>
                <w:szCs w:val="22"/>
              </w:rPr>
              <w:t>$4,000</w:t>
            </w:r>
          </w:p>
        </w:tc>
        <w:tc>
          <w:tcPr>
            <w:tcW w:w="1529" w:type="dxa"/>
          </w:tcPr>
          <w:p w:rsidRPr="00473742" w:rsidR="00473742" w:rsidP="009A5578" w:rsidRDefault="00473742" w14:paraId="67404383" w14:textId="66F7E3E9">
            <w:pPr>
              <w:pStyle w:val="Caption"/>
              <w:keepNext/>
              <w:rPr>
                <w:rFonts w:ascii="Palatino Linotype" w:hAnsi="Palatino Linotype"/>
                <w:i w:val="0"/>
                <w:iCs w:val="0"/>
                <w:color w:val="000000" w:themeColor="text1"/>
                <w:sz w:val="22"/>
                <w:szCs w:val="22"/>
              </w:rPr>
            </w:pPr>
            <w:r w:rsidRPr="00473742">
              <w:rPr>
                <w:rFonts w:ascii="Palatino Linotype" w:hAnsi="Palatino Linotype"/>
                <w:i w:val="0"/>
                <w:iCs w:val="0"/>
                <w:color w:val="000000" w:themeColor="text1"/>
                <w:sz w:val="22"/>
                <w:szCs w:val="22"/>
              </w:rPr>
              <w:t>$1,500</w:t>
            </w:r>
          </w:p>
        </w:tc>
        <w:tc>
          <w:tcPr>
            <w:tcW w:w="1546" w:type="dxa"/>
          </w:tcPr>
          <w:p w:rsidRPr="00473742" w:rsidR="00473742" w:rsidP="009A5578" w:rsidRDefault="00473742" w14:paraId="276AF7F8" w14:textId="26973850">
            <w:pPr>
              <w:pStyle w:val="Caption"/>
              <w:keepNext/>
              <w:rPr>
                <w:rFonts w:ascii="Palatino Linotype" w:hAnsi="Palatino Linotype"/>
                <w:i w:val="0"/>
                <w:iCs w:val="0"/>
                <w:color w:val="000000" w:themeColor="text1"/>
                <w:sz w:val="22"/>
                <w:szCs w:val="22"/>
              </w:rPr>
            </w:pPr>
            <w:r w:rsidRPr="00473742">
              <w:rPr>
                <w:rFonts w:ascii="Palatino Linotype" w:hAnsi="Palatino Linotype"/>
                <w:i w:val="0"/>
                <w:iCs w:val="0"/>
                <w:color w:val="000000" w:themeColor="text1"/>
                <w:sz w:val="22"/>
                <w:szCs w:val="22"/>
              </w:rPr>
              <w:t>$3,500</w:t>
            </w:r>
          </w:p>
        </w:tc>
        <w:tc>
          <w:tcPr>
            <w:tcW w:w="1882" w:type="dxa"/>
          </w:tcPr>
          <w:p w:rsidRPr="00473742" w:rsidR="00473742" w:rsidP="009A5578" w:rsidRDefault="00473742" w14:paraId="4DB7B6D7" w14:textId="0C42508C">
            <w:pPr>
              <w:pStyle w:val="Caption"/>
              <w:keepNext/>
              <w:rPr>
                <w:rFonts w:ascii="Palatino Linotype" w:hAnsi="Palatino Linotype"/>
                <w:i w:val="0"/>
                <w:iCs w:val="0"/>
                <w:color w:val="000000" w:themeColor="text1"/>
                <w:sz w:val="22"/>
                <w:szCs w:val="22"/>
              </w:rPr>
            </w:pPr>
            <w:r w:rsidRPr="00473742">
              <w:rPr>
                <w:rFonts w:ascii="Palatino Linotype" w:hAnsi="Palatino Linotype"/>
                <w:i w:val="0"/>
                <w:iCs w:val="0"/>
                <w:color w:val="000000" w:themeColor="text1"/>
                <w:sz w:val="22"/>
                <w:szCs w:val="22"/>
              </w:rPr>
              <w:t>$2,500</w:t>
            </w:r>
          </w:p>
        </w:tc>
        <w:tc>
          <w:tcPr>
            <w:tcW w:w="1158" w:type="dxa"/>
          </w:tcPr>
          <w:p w:rsidRPr="00473742" w:rsidR="00473742" w:rsidP="009A5578" w:rsidRDefault="00473742" w14:paraId="1BEE3677" w14:textId="433696BD">
            <w:pPr>
              <w:pStyle w:val="Caption"/>
              <w:keepNext/>
              <w:rPr>
                <w:rFonts w:ascii="Palatino Linotype" w:hAnsi="Palatino Linotype"/>
                <w:b/>
                <w:bCs/>
                <w:i w:val="0"/>
                <w:iCs w:val="0"/>
                <w:color w:val="000000" w:themeColor="text1"/>
                <w:sz w:val="22"/>
                <w:szCs w:val="22"/>
              </w:rPr>
            </w:pPr>
            <w:r w:rsidRPr="00473742">
              <w:rPr>
                <w:rFonts w:ascii="Palatino Linotype" w:hAnsi="Palatino Linotype"/>
                <w:b/>
                <w:bCs/>
                <w:i w:val="0"/>
                <w:iCs w:val="0"/>
                <w:color w:val="000000" w:themeColor="text1"/>
                <w:sz w:val="22"/>
                <w:szCs w:val="22"/>
              </w:rPr>
              <w:t>$11,500</w:t>
            </w:r>
          </w:p>
        </w:tc>
      </w:tr>
      <w:tr w:rsidR="00473742" w:rsidTr="00CE09B7" w14:paraId="3E97D470" w14:textId="77777777">
        <w:tc>
          <w:tcPr>
            <w:tcW w:w="1975" w:type="dxa"/>
          </w:tcPr>
          <w:p w:rsidRPr="00473742" w:rsidR="00473742" w:rsidP="009A5578" w:rsidRDefault="00473742" w14:paraId="16B9D85F" w14:textId="33A557BC">
            <w:pPr>
              <w:pStyle w:val="Caption"/>
              <w:keepNext/>
              <w:rPr>
                <w:rFonts w:ascii="Palatino Linotype" w:hAnsi="Palatino Linotype"/>
                <w:i w:val="0"/>
                <w:iCs w:val="0"/>
                <w:color w:val="000000" w:themeColor="text1"/>
                <w:sz w:val="22"/>
                <w:szCs w:val="22"/>
              </w:rPr>
            </w:pPr>
            <w:r w:rsidRPr="00473742">
              <w:rPr>
                <w:rFonts w:ascii="Palatino Linotype" w:hAnsi="Palatino Linotype"/>
                <w:i w:val="0"/>
                <w:iCs w:val="0"/>
                <w:color w:val="000000" w:themeColor="text1"/>
                <w:sz w:val="22"/>
                <w:szCs w:val="22"/>
              </w:rPr>
              <w:t>L2 (dual port)</w:t>
            </w:r>
          </w:p>
        </w:tc>
        <w:tc>
          <w:tcPr>
            <w:tcW w:w="1260" w:type="dxa"/>
          </w:tcPr>
          <w:p w:rsidRPr="00473742" w:rsidR="00473742" w:rsidP="009A5578" w:rsidRDefault="00473742" w14:paraId="72AE7CF7" w14:textId="53C4482A">
            <w:pPr>
              <w:pStyle w:val="Caption"/>
              <w:keepNext/>
              <w:rPr>
                <w:rFonts w:ascii="Palatino Linotype" w:hAnsi="Palatino Linotype"/>
                <w:i w:val="0"/>
                <w:iCs w:val="0"/>
                <w:color w:val="000000" w:themeColor="text1"/>
                <w:sz w:val="22"/>
                <w:szCs w:val="22"/>
              </w:rPr>
            </w:pPr>
            <w:r w:rsidRPr="00473742">
              <w:rPr>
                <w:rFonts w:ascii="Palatino Linotype" w:hAnsi="Palatino Linotype"/>
                <w:i w:val="0"/>
                <w:iCs w:val="0"/>
                <w:color w:val="000000" w:themeColor="text1"/>
                <w:sz w:val="22"/>
                <w:szCs w:val="22"/>
              </w:rPr>
              <w:t>$6,00</w:t>
            </w:r>
            <w:r w:rsidR="00FA5078">
              <w:rPr>
                <w:rFonts w:ascii="Palatino Linotype" w:hAnsi="Palatino Linotype"/>
                <w:i w:val="0"/>
                <w:iCs w:val="0"/>
                <w:color w:val="000000" w:themeColor="text1"/>
                <w:sz w:val="22"/>
                <w:szCs w:val="22"/>
              </w:rPr>
              <w:t>0</w:t>
            </w:r>
          </w:p>
        </w:tc>
        <w:tc>
          <w:tcPr>
            <w:tcW w:w="1529" w:type="dxa"/>
          </w:tcPr>
          <w:p w:rsidRPr="00473742" w:rsidR="00473742" w:rsidP="009A5578" w:rsidRDefault="00473742" w14:paraId="2AFD025F" w14:textId="657C111A">
            <w:pPr>
              <w:pStyle w:val="Caption"/>
              <w:keepNext/>
              <w:rPr>
                <w:rFonts w:ascii="Palatino Linotype" w:hAnsi="Palatino Linotype"/>
                <w:i w:val="0"/>
                <w:iCs w:val="0"/>
                <w:color w:val="000000" w:themeColor="text1"/>
                <w:sz w:val="22"/>
                <w:szCs w:val="22"/>
              </w:rPr>
            </w:pPr>
            <w:r w:rsidRPr="00473742">
              <w:rPr>
                <w:rFonts w:ascii="Palatino Linotype" w:hAnsi="Palatino Linotype"/>
                <w:i w:val="0"/>
                <w:iCs w:val="0"/>
                <w:color w:val="000000" w:themeColor="text1"/>
                <w:sz w:val="22"/>
                <w:szCs w:val="22"/>
              </w:rPr>
              <w:t>$1,500</w:t>
            </w:r>
          </w:p>
        </w:tc>
        <w:tc>
          <w:tcPr>
            <w:tcW w:w="1546" w:type="dxa"/>
          </w:tcPr>
          <w:p w:rsidRPr="00473742" w:rsidR="00473742" w:rsidP="009A5578" w:rsidRDefault="00473742" w14:paraId="4750CD0E" w14:textId="40A54F6C">
            <w:pPr>
              <w:pStyle w:val="Caption"/>
              <w:keepNext/>
              <w:rPr>
                <w:rFonts w:ascii="Palatino Linotype" w:hAnsi="Palatino Linotype"/>
                <w:i w:val="0"/>
                <w:iCs w:val="0"/>
                <w:color w:val="000000" w:themeColor="text1"/>
                <w:sz w:val="22"/>
                <w:szCs w:val="22"/>
              </w:rPr>
            </w:pPr>
            <w:r w:rsidRPr="00473742">
              <w:rPr>
                <w:rFonts w:ascii="Palatino Linotype" w:hAnsi="Palatino Linotype"/>
                <w:i w:val="0"/>
                <w:iCs w:val="0"/>
                <w:color w:val="000000" w:themeColor="text1"/>
                <w:sz w:val="22"/>
                <w:szCs w:val="22"/>
              </w:rPr>
              <w:t>$4,000</w:t>
            </w:r>
          </w:p>
        </w:tc>
        <w:tc>
          <w:tcPr>
            <w:tcW w:w="1882" w:type="dxa"/>
          </w:tcPr>
          <w:p w:rsidRPr="00473742" w:rsidR="00473742" w:rsidP="009A5578" w:rsidRDefault="00473742" w14:paraId="01D76410" w14:textId="61657FAB">
            <w:pPr>
              <w:pStyle w:val="Caption"/>
              <w:keepNext/>
              <w:rPr>
                <w:rFonts w:ascii="Palatino Linotype" w:hAnsi="Palatino Linotype"/>
                <w:i w:val="0"/>
                <w:iCs w:val="0"/>
                <w:color w:val="000000" w:themeColor="text1"/>
                <w:sz w:val="22"/>
                <w:szCs w:val="22"/>
              </w:rPr>
            </w:pPr>
            <w:r w:rsidRPr="00473742">
              <w:rPr>
                <w:rFonts w:ascii="Palatino Linotype" w:hAnsi="Palatino Linotype"/>
                <w:i w:val="0"/>
                <w:iCs w:val="0"/>
                <w:color w:val="000000" w:themeColor="text1"/>
                <w:sz w:val="22"/>
                <w:szCs w:val="22"/>
              </w:rPr>
              <w:t>$4,000</w:t>
            </w:r>
          </w:p>
        </w:tc>
        <w:tc>
          <w:tcPr>
            <w:tcW w:w="1158" w:type="dxa"/>
          </w:tcPr>
          <w:p w:rsidRPr="00473742" w:rsidR="00473742" w:rsidP="009A5578" w:rsidRDefault="00473742" w14:paraId="3F266259" w14:textId="40B250A9">
            <w:pPr>
              <w:pStyle w:val="Caption"/>
              <w:keepNext/>
              <w:rPr>
                <w:rFonts w:ascii="Palatino Linotype" w:hAnsi="Palatino Linotype"/>
                <w:b/>
                <w:bCs/>
                <w:i w:val="0"/>
                <w:iCs w:val="0"/>
                <w:color w:val="000000" w:themeColor="text1"/>
                <w:sz w:val="22"/>
                <w:szCs w:val="22"/>
              </w:rPr>
            </w:pPr>
            <w:r w:rsidRPr="00473742">
              <w:rPr>
                <w:rFonts w:ascii="Palatino Linotype" w:hAnsi="Palatino Linotype"/>
                <w:b/>
                <w:bCs/>
                <w:i w:val="0"/>
                <w:iCs w:val="0"/>
                <w:color w:val="000000" w:themeColor="text1"/>
                <w:sz w:val="22"/>
                <w:szCs w:val="22"/>
              </w:rPr>
              <w:t>$15,500</w:t>
            </w:r>
          </w:p>
        </w:tc>
      </w:tr>
      <w:tr w:rsidR="00473742" w:rsidTr="00CE09B7" w14:paraId="3B0D50E6" w14:textId="77777777">
        <w:tc>
          <w:tcPr>
            <w:tcW w:w="1975" w:type="dxa"/>
          </w:tcPr>
          <w:p w:rsidRPr="00473742" w:rsidR="00473742" w:rsidP="009A5578" w:rsidRDefault="00473742" w14:paraId="61BDB0F1" w14:textId="0A7E0193">
            <w:pPr>
              <w:pStyle w:val="Caption"/>
              <w:keepNext/>
              <w:rPr>
                <w:rFonts w:ascii="Palatino Linotype" w:hAnsi="Palatino Linotype"/>
                <w:i w:val="0"/>
                <w:iCs w:val="0"/>
                <w:color w:val="000000" w:themeColor="text1"/>
                <w:sz w:val="22"/>
                <w:szCs w:val="22"/>
              </w:rPr>
            </w:pPr>
            <w:r w:rsidRPr="00473742">
              <w:rPr>
                <w:rFonts w:ascii="Palatino Linotype" w:hAnsi="Palatino Linotype"/>
                <w:i w:val="0"/>
                <w:iCs w:val="0"/>
                <w:color w:val="000000" w:themeColor="text1"/>
                <w:sz w:val="22"/>
                <w:szCs w:val="22"/>
              </w:rPr>
              <w:t>DCFC</w:t>
            </w:r>
          </w:p>
        </w:tc>
        <w:tc>
          <w:tcPr>
            <w:tcW w:w="1260" w:type="dxa"/>
          </w:tcPr>
          <w:p w:rsidRPr="00473742" w:rsidR="00473742" w:rsidP="009A5578" w:rsidRDefault="00473742" w14:paraId="4539E8BD" w14:textId="2AD7911C">
            <w:pPr>
              <w:pStyle w:val="Caption"/>
              <w:keepNext/>
              <w:rPr>
                <w:rFonts w:ascii="Palatino Linotype" w:hAnsi="Palatino Linotype"/>
                <w:i w:val="0"/>
                <w:iCs w:val="0"/>
                <w:color w:val="000000" w:themeColor="text1"/>
                <w:sz w:val="22"/>
                <w:szCs w:val="22"/>
              </w:rPr>
            </w:pPr>
            <w:r w:rsidRPr="00473742">
              <w:rPr>
                <w:rFonts w:ascii="Palatino Linotype" w:hAnsi="Palatino Linotype"/>
                <w:i w:val="0"/>
                <w:iCs w:val="0"/>
                <w:color w:val="000000" w:themeColor="text1"/>
                <w:sz w:val="22"/>
                <w:szCs w:val="22"/>
              </w:rPr>
              <w:t>$45,000</w:t>
            </w:r>
          </w:p>
        </w:tc>
        <w:tc>
          <w:tcPr>
            <w:tcW w:w="1529" w:type="dxa"/>
          </w:tcPr>
          <w:p w:rsidRPr="00473742" w:rsidR="00473742" w:rsidP="009A5578" w:rsidRDefault="00473742" w14:paraId="59A276AC" w14:textId="246EAEB2">
            <w:pPr>
              <w:pStyle w:val="Caption"/>
              <w:keepNext/>
              <w:rPr>
                <w:rFonts w:ascii="Palatino Linotype" w:hAnsi="Palatino Linotype"/>
                <w:i w:val="0"/>
                <w:iCs w:val="0"/>
                <w:color w:val="000000" w:themeColor="text1"/>
                <w:sz w:val="22"/>
                <w:szCs w:val="22"/>
              </w:rPr>
            </w:pPr>
            <w:r w:rsidRPr="00473742">
              <w:rPr>
                <w:rFonts w:ascii="Palatino Linotype" w:hAnsi="Palatino Linotype"/>
                <w:i w:val="0"/>
                <w:iCs w:val="0"/>
                <w:color w:val="000000" w:themeColor="text1"/>
                <w:sz w:val="22"/>
                <w:szCs w:val="22"/>
              </w:rPr>
              <w:t>$7,000</w:t>
            </w:r>
          </w:p>
        </w:tc>
        <w:tc>
          <w:tcPr>
            <w:tcW w:w="1546" w:type="dxa"/>
          </w:tcPr>
          <w:p w:rsidRPr="00473742" w:rsidR="00473742" w:rsidP="009A5578" w:rsidRDefault="00473742" w14:paraId="48AF806C" w14:textId="2DD459BD">
            <w:pPr>
              <w:pStyle w:val="Caption"/>
              <w:keepNext/>
              <w:rPr>
                <w:rFonts w:ascii="Palatino Linotype" w:hAnsi="Palatino Linotype"/>
                <w:i w:val="0"/>
                <w:iCs w:val="0"/>
                <w:color w:val="000000" w:themeColor="text1"/>
                <w:sz w:val="22"/>
                <w:szCs w:val="22"/>
              </w:rPr>
            </w:pPr>
            <w:r w:rsidRPr="00473742">
              <w:rPr>
                <w:rFonts w:ascii="Palatino Linotype" w:hAnsi="Palatino Linotype"/>
                <w:i w:val="0"/>
                <w:iCs w:val="0"/>
                <w:color w:val="000000" w:themeColor="text1"/>
                <w:sz w:val="22"/>
                <w:szCs w:val="22"/>
              </w:rPr>
              <w:t>$20,000</w:t>
            </w:r>
          </w:p>
        </w:tc>
        <w:tc>
          <w:tcPr>
            <w:tcW w:w="1882" w:type="dxa"/>
          </w:tcPr>
          <w:p w:rsidRPr="00473742" w:rsidR="00473742" w:rsidP="009A5578" w:rsidRDefault="00473742" w14:paraId="0FDE8435" w14:textId="09EA65B6">
            <w:pPr>
              <w:pStyle w:val="Caption"/>
              <w:keepNext/>
              <w:rPr>
                <w:rFonts w:ascii="Palatino Linotype" w:hAnsi="Palatino Linotype"/>
                <w:i w:val="0"/>
                <w:iCs w:val="0"/>
                <w:color w:val="000000" w:themeColor="text1"/>
                <w:sz w:val="22"/>
                <w:szCs w:val="22"/>
              </w:rPr>
            </w:pPr>
            <w:r w:rsidRPr="00473742">
              <w:rPr>
                <w:rFonts w:ascii="Palatino Linotype" w:hAnsi="Palatino Linotype"/>
                <w:i w:val="0"/>
                <w:iCs w:val="0"/>
                <w:color w:val="000000" w:themeColor="text1"/>
                <w:sz w:val="22"/>
                <w:szCs w:val="22"/>
              </w:rPr>
              <w:t>$8,000</w:t>
            </w:r>
          </w:p>
        </w:tc>
        <w:tc>
          <w:tcPr>
            <w:tcW w:w="1158" w:type="dxa"/>
          </w:tcPr>
          <w:p w:rsidRPr="00473742" w:rsidR="00473742" w:rsidP="009A5578" w:rsidRDefault="00473742" w14:paraId="668297FA" w14:textId="68F99CBE">
            <w:pPr>
              <w:pStyle w:val="Caption"/>
              <w:keepNext/>
              <w:rPr>
                <w:rFonts w:ascii="Palatino Linotype" w:hAnsi="Palatino Linotype"/>
                <w:b/>
                <w:bCs/>
                <w:i w:val="0"/>
                <w:iCs w:val="0"/>
                <w:color w:val="000000" w:themeColor="text1"/>
                <w:sz w:val="22"/>
                <w:szCs w:val="22"/>
              </w:rPr>
            </w:pPr>
            <w:r w:rsidRPr="00473742">
              <w:rPr>
                <w:rFonts w:ascii="Palatino Linotype" w:hAnsi="Palatino Linotype"/>
                <w:b/>
                <w:bCs/>
                <w:i w:val="0"/>
                <w:iCs w:val="0"/>
                <w:color w:val="000000" w:themeColor="text1"/>
                <w:sz w:val="22"/>
                <w:szCs w:val="22"/>
              </w:rPr>
              <w:t>$80,000</w:t>
            </w:r>
          </w:p>
        </w:tc>
      </w:tr>
    </w:tbl>
    <w:p w:rsidR="00473742" w:rsidP="009A5578" w:rsidRDefault="00473742" w14:paraId="3B0AFBB2" w14:textId="7BBE8E14">
      <w:pPr>
        <w:pStyle w:val="Caption"/>
        <w:keepNext/>
      </w:pPr>
    </w:p>
    <w:p w:rsidRPr="00CE09B7" w:rsidR="00CE09B7" w:rsidP="00CE09B7" w:rsidRDefault="00CE09B7" w14:paraId="2E0DF2D8" w14:textId="05155C6D">
      <w:pPr>
        <w:pStyle w:val="Caption"/>
        <w:keepNext/>
        <w:rPr>
          <w:b/>
          <w:bCs/>
          <w:sz w:val="22"/>
          <w:szCs w:val="22"/>
        </w:rPr>
      </w:pPr>
      <w:r w:rsidRPr="00CE09B7">
        <w:rPr>
          <w:b/>
          <w:bCs/>
          <w:sz w:val="22"/>
          <w:szCs w:val="22"/>
        </w:rPr>
        <w:t xml:space="preserve">Table </w:t>
      </w:r>
      <w:r w:rsidRPr="00CE09B7">
        <w:rPr>
          <w:b/>
          <w:bCs/>
          <w:sz w:val="22"/>
          <w:szCs w:val="22"/>
        </w:rPr>
        <w:fldChar w:fldCharType="begin"/>
      </w:r>
      <w:r w:rsidRPr="00CE09B7">
        <w:rPr>
          <w:b/>
          <w:bCs/>
          <w:sz w:val="22"/>
          <w:szCs w:val="22"/>
        </w:rPr>
        <w:instrText xml:space="preserve"> SEQ Table \* ARABIC </w:instrText>
      </w:r>
      <w:r w:rsidRPr="00CE09B7">
        <w:rPr>
          <w:b/>
          <w:bCs/>
          <w:sz w:val="22"/>
          <w:szCs w:val="22"/>
        </w:rPr>
        <w:fldChar w:fldCharType="separate"/>
      </w:r>
      <w:r w:rsidR="00FF0700">
        <w:rPr>
          <w:b/>
          <w:bCs/>
          <w:noProof/>
          <w:sz w:val="22"/>
          <w:szCs w:val="22"/>
        </w:rPr>
        <w:t>3</w:t>
      </w:r>
      <w:r w:rsidRPr="00CE09B7">
        <w:rPr>
          <w:b/>
          <w:bCs/>
          <w:sz w:val="22"/>
          <w:szCs w:val="22"/>
        </w:rPr>
        <w:fldChar w:fldCharType="end"/>
      </w:r>
      <w:r w:rsidRPr="00CE09B7">
        <w:rPr>
          <w:b/>
          <w:bCs/>
          <w:sz w:val="22"/>
          <w:szCs w:val="22"/>
        </w:rPr>
        <w:t xml:space="preserve"> SCE</w:t>
      </w:r>
      <w:r w:rsidR="00F91D5B">
        <w:rPr>
          <w:b/>
          <w:bCs/>
          <w:sz w:val="22"/>
          <w:szCs w:val="22"/>
        </w:rPr>
        <w:t>’</w:t>
      </w:r>
      <w:r w:rsidRPr="00CE09B7">
        <w:rPr>
          <w:b/>
          <w:bCs/>
          <w:sz w:val="22"/>
          <w:szCs w:val="22"/>
        </w:rPr>
        <w:t>s Schools Pilot Program Rebate Value</w:t>
      </w:r>
    </w:p>
    <w:tbl>
      <w:tblPr>
        <w:tblStyle w:val="TableGrid"/>
        <w:tblW w:w="9445" w:type="dxa"/>
        <w:tblLook w:val="04A0" w:firstRow="1" w:lastRow="0" w:firstColumn="1" w:lastColumn="0" w:noHBand="0" w:noVBand="1"/>
      </w:tblPr>
      <w:tblGrid>
        <w:gridCol w:w="1542"/>
        <w:gridCol w:w="1339"/>
        <w:gridCol w:w="1202"/>
        <w:gridCol w:w="1524"/>
        <w:gridCol w:w="1439"/>
        <w:gridCol w:w="1148"/>
        <w:gridCol w:w="1251"/>
      </w:tblGrid>
      <w:tr w:rsidR="00CE09B7" w:rsidTr="00CE09B7" w14:paraId="58C60AFE" w14:textId="77777777">
        <w:trPr>
          <w:trHeight w:val="629"/>
        </w:trPr>
        <w:tc>
          <w:tcPr>
            <w:tcW w:w="1719" w:type="dxa"/>
          </w:tcPr>
          <w:p w:rsidRPr="00C306AE" w:rsidR="00CE09B7" w:rsidP="00CE09B7" w:rsidRDefault="00CE09B7" w14:paraId="1261AE7A" w14:textId="45A949C9">
            <w:pPr>
              <w:rPr>
                <w:rFonts w:ascii="Palatino Linotype" w:hAnsi="Palatino Linotype"/>
                <w:b/>
                <w:bCs/>
              </w:rPr>
            </w:pPr>
            <w:r w:rsidRPr="00C306AE">
              <w:rPr>
                <w:rFonts w:ascii="Palatino Linotype" w:hAnsi="Palatino Linotype"/>
                <w:b/>
                <w:bCs/>
              </w:rPr>
              <w:t>Equipment Type</w:t>
            </w:r>
          </w:p>
        </w:tc>
        <w:tc>
          <w:tcPr>
            <w:tcW w:w="1216" w:type="dxa"/>
          </w:tcPr>
          <w:p w:rsidRPr="00C306AE" w:rsidR="00CE09B7" w:rsidP="00CE09B7" w:rsidRDefault="00CE09B7" w14:paraId="486F3C49" w14:textId="31E561CC">
            <w:pPr>
              <w:rPr>
                <w:rFonts w:ascii="Palatino Linotype" w:hAnsi="Palatino Linotype"/>
                <w:b/>
                <w:bCs/>
              </w:rPr>
            </w:pPr>
            <w:r w:rsidRPr="00C306AE">
              <w:rPr>
                <w:rFonts w:ascii="Palatino Linotype" w:hAnsi="Palatino Linotype"/>
                <w:b/>
                <w:bCs/>
              </w:rPr>
              <w:t>Equipment</w:t>
            </w:r>
          </w:p>
        </w:tc>
        <w:tc>
          <w:tcPr>
            <w:tcW w:w="1240" w:type="dxa"/>
          </w:tcPr>
          <w:p w:rsidRPr="00C306AE" w:rsidR="00CE09B7" w:rsidP="00CE09B7" w:rsidRDefault="00CE09B7" w14:paraId="6E689EAC" w14:textId="4EFE6B47">
            <w:pPr>
              <w:rPr>
                <w:rFonts w:ascii="Palatino Linotype" w:hAnsi="Palatino Linotype"/>
                <w:b/>
                <w:bCs/>
              </w:rPr>
            </w:pPr>
            <w:r w:rsidRPr="00C306AE">
              <w:rPr>
                <w:rFonts w:ascii="Palatino Linotype" w:hAnsi="Palatino Linotype"/>
                <w:b/>
                <w:bCs/>
              </w:rPr>
              <w:t xml:space="preserve">Warranty </w:t>
            </w:r>
          </w:p>
        </w:tc>
        <w:tc>
          <w:tcPr>
            <w:tcW w:w="1424" w:type="dxa"/>
          </w:tcPr>
          <w:p w:rsidRPr="00C306AE" w:rsidR="00CE09B7" w:rsidP="00CE09B7" w:rsidRDefault="00CE09B7" w14:paraId="3E9C2ABD" w14:textId="6DC81F59">
            <w:pPr>
              <w:rPr>
                <w:rFonts w:ascii="Palatino Linotype" w:hAnsi="Palatino Linotype"/>
                <w:b/>
                <w:bCs/>
              </w:rPr>
            </w:pPr>
            <w:r w:rsidRPr="00C306AE">
              <w:rPr>
                <w:rFonts w:ascii="Palatino Linotype" w:hAnsi="Palatino Linotype"/>
                <w:b/>
                <w:bCs/>
              </w:rPr>
              <w:t>Maintenance</w:t>
            </w:r>
          </w:p>
        </w:tc>
        <w:tc>
          <w:tcPr>
            <w:tcW w:w="1319" w:type="dxa"/>
          </w:tcPr>
          <w:p w:rsidRPr="00C306AE" w:rsidR="00CE09B7" w:rsidP="00CE09B7" w:rsidRDefault="00CE09B7" w14:paraId="0820710D" w14:textId="72379B07">
            <w:pPr>
              <w:rPr>
                <w:rFonts w:ascii="Palatino Linotype" w:hAnsi="Palatino Linotype"/>
                <w:b/>
                <w:bCs/>
              </w:rPr>
            </w:pPr>
            <w:r w:rsidRPr="00C306AE">
              <w:rPr>
                <w:rFonts w:ascii="Palatino Linotype" w:hAnsi="Palatino Linotype"/>
                <w:b/>
                <w:bCs/>
              </w:rPr>
              <w:t>Networking</w:t>
            </w:r>
          </w:p>
        </w:tc>
        <w:tc>
          <w:tcPr>
            <w:tcW w:w="1194" w:type="dxa"/>
          </w:tcPr>
          <w:p w:rsidRPr="00C306AE" w:rsidR="00CE09B7" w:rsidP="00CE09B7" w:rsidRDefault="00CE09B7" w14:paraId="5F9DB1C6" w14:textId="56CC033D">
            <w:pPr>
              <w:rPr>
                <w:rFonts w:ascii="Palatino Linotype" w:hAnsi="Palatino Linotype"/>
                <w:b/>
                <w:bCs/>
              </w:rPr>
            </w:pPr>
            <w:r w:rsidRPr="00C306AE">
              <w:rPr>
                <w:rFonts w:ascii="Palatino Linotype" w:hAnsi="Palatino Linotype"/>
                <w:b/>
                <w:bCs/>
              </w:rPr>
              <w:t>Delivery &amp; Training</w:t>
            </w:r>
          </w:p>
        </w:tc>
        <w:tc>
          <w:tcPr>
            <w:tcW w:w="1333" w:type="dxa"/>
          </w:tcPr>
          <w:p w:rsidRPr="00C306AE" w:rsidR="00CE09B7" w:rsidP="00CE09B7" w:rsidRDefault="00CE09B7" w14:paraId="3FB9DFA8" w14:textId="7EA6A713">
            <w:pPr>
              <w:rPr>
                <w:rFonts w:ascii="Palatino Linotype" w:hAnsi="Palatino Linotype"/>
                <w:b/>
                <w:bCs/>
              </w:rPr>
            </w:pPr>
            <w:r w:rsidRPr="00C306AE">
              <w:rPr>
                <w:rFonts w:ascii="Palatino Linotype" w:hAnsi="Palatino Linotype"/>
                <w:b/>
                <w:bCs/>
              </w:rPr>
              <w:t>Proposed Rebate</w:t>
            </w:r>
          </w:p>
        </w:tc>
      </w:tr>
      <w:tr w:rsidR="00CE09B7" w:rsidTr="00CE09B7" w14:paraId="3E847002" w14:textId="77777777">
        <w:trPr>
          <w:trHeight w:val="440"/>
        </w:trPr>
        <w:tc>
          <w:tcPr>
            <w:tcW w:w="1719" w:type="dxa"/>
          </w:tcPr>
          <w:p w:rsidRPr="00C306AE" w:rsidR="00CE09B7" w:rsidP="00CE09B7" w:rsidRDefault="00CE09B7" w14:paraId="40A09FBE" w14:textId="10FCD43A">
            <w:pPr>
              <w:rPr>
                <w:rFonts w:ascii="Palatino Linotype" w:hAnsi="Palatino Linotype"/>
              </w:rPr>
            </w:pPr>
            <w:r w:rsidRPr="00C306AE">
              <w:rPr>
                <w:rFonts w:ascii="Palatino Linotype" w:hAnsi="Palatino Linotype"/>
              </w:rPr>
              <w:t>L2 (single port)</w:t>
            </w:r>
          </w:p>
        </w:tc>
        <w:tc>
          <w:tcPr>
            <w:tcW w:w="1216" w:type="dxa"/>
          </w:tcPr>
          <w:p w:rsidRPr="00C306AE" w:rsidR="00CE09B7" w:rsidP="00CE09B7" w:rsidRDefault="00CE09B7" w14:paraId="6D1D2452" w14:textId="16F61371">
            <w:pPr>
              <w:rPr>
                <w:rFonts w:ascii="Palatino Linotype" w:hAnsi="Palatino Linotype"/>
              </w:rPr>
            </w:pPr>
            <w:r w:rsidRPr="00C306AE">
              <w:rPr>
                <w:rFonts w:ascii="Palatino Linotype" w:hAnsi="Palatino Linotype"/>
              </w:rPr>
              <w:t>$3,550</w:t>
            </w:r>
          </w:p>
        </w:tc>
        <w:tc>
          <w:tcPr>
            <w:tcW w:w="1240" w:type="dxa"/>
          </w:tcPr>
          <w:p w:rsidRPr="00C306AE" w:rsidR="00CE09B7" w:rsidP="00CE09B7" w:rsidRDefault="00CE09B7" w14:paraId="12075800" w14:textId="363BA9DF">
            <w:pPr>
              <w:rPr>
                <w:rFonts w:ascii="Palatino Linotype" w:hAnsi="Palatino Linotype"/>
              </w:rPr>
            </w:pPr>
            <w:r w:rsidRPr="00C306AE">
              <w:rPr>
                <w:rFonts w:ascii="Palatino Linotype" w:hAnsi="Palatino Linotype"/>
              </w:rPr>
              <w:t>$1,250</w:t>
            </w:r>
          </w:p>
        </w:tc>
        <w:tc>
          <w:tcPr>
            <w:tcW w:w="1424" w:type="dxa"/>
          </w:tcPr>
          <w:p w:rsidRPr="00C306AE" w:rsidR="00CE09B7" w:rsidP="00CE09B7" w:rsidRDefault="00CE09B7" w14:paraId="3EC7B55E" w14:textId="5E101CE3">
            <w:pPr>
              <w:rPr>
                <w:rFonts w:ascii="Palatino Linotype" w:hAnsi="Palatino Linotype"/>
              </w:rPr>
            </w:pPr>
            <w:r w:rsidRPr="00C306AE">
              <w:rPr>
                <w:rFonts w:ascii="Palatino Linotype" w:hAnsi="Palatino Linotype"/>
              </w:rPr>
              <w:t>$3,000</w:t>
            </w:r>
          </w:p>
        </w:tc>
        <w:tc>
          <w:tcPr>
            <w:tcW w:w="1319" w:type="dxa"/>
          </w:tcPr>
          <w:p w:rsidRPr="00C306AE" w:rsidR="00CE09B7" w:rsidP="00CE09B7" w:rsidRDefault="00CE09B7" w14:paraId="0E85A7ED" w14:textId="103AA992">
            <w:pPr>
              <w:rPr>
                <w:rFonts w:ascii="Palatino Linotype" w:hAnsi="Palatino Linotype"/>
              </w:rPr>
            </w:pPr>
            <w:r w:rsidRPr="00C306AE">
              <w:rPr>
                <w:rFonts w:ascii="Palatino Linotype" w:hAnsi="Palatino Linotype"/>
              </w:rPr>
              <w:t>$2,200</w:t>
            </w:r>
          </w:p>
        </w:tc>
        <w:tc>
          <w:tcPr>
            <w:tcW w:w="1194" w:type="dxa"/>
          </w:tcPr>
          <w:p w:rsidRPr="00C306AE" w:rsidR="00CE09B7" w:rsidP="00CE09B7" w:rsidRDefault="00CE09B7" w14:paraId="3887DB3B" w14:textId="57566899">
            <w:pPr>
              <w:rPr>
                <w:rFonts w:ascii="Palatino Linotype" w:hAnsi="Palatino Linotype"/>
              </w:rPr>
            </w:pPr>
            <w:r w:rsidRPr="00C306AE">
              <w:rPr>
                <w:rFonts w:ascii="Palatino Linotype" w:hAnsi="Palatino Linotype"/>
              </w:rPr>
              <w:t>$600</w:t>
            </w:r>
          </w:p>
        </w:tc>
        <w:tc>
          <w:tcPr>
            <w:tcW w:w="1333" w:type="dxa"/>
          </w:tcPr>
          <w:p w:rsidRPr="00C306AE" w:rsidR="00CE09B7" w:rsidP="00CE09B7" w:rsidRDefault="00CE09B7" w14:paraId="4EF23FBF" w14:textId="705B6811">
            <w:pPr>
              <w:rPr>
                <w:rFonts w:ascii="Palatino Linotype" w:hAnsi="Palatino Linotype"/>
              </w:rPr>
            </w:pPr>
            <w:r w:rsidRPr="00C306AE">
              <w:rPr>
                <w:rFonts w:ascii="Palatino Linotype" w:hAnsi="Palatino Linotype"/>
              </w:rPr>
              <w:t>$10,600</w:t>
            </w:r>
          </w:p>
        </w:tc>
      </w:tr>
      <w:tr w:rsidR="00CE09B7" w:rsidTr="00CE09B7" w14:paraId="6B7CB22C" w14:textId="77777777">
        <w:trPr>
          <w:trHeight w:val="530"/>
        </w:trPr>
        <w:tc>
          <w:tcPr>
            <w:tcW w:w="1719" w:type="dxa"/>
          </w:tcPr>
          <w:p w:rsidRPr="00C306AE" w:rsidR="00CE09B7" w:rsidP="00CE09B7" w:rsidRDefault="00CE09B7" w14:paraId="79C9CC99" w14:textId="528B942D">
            <w:pPr>
              <w:rPr>
                <w:rFonts w:ascii="Palatino Linotype" w:hAnsi="Palatino Linotype"/>
              </w:rPr>
            </w:pPr>
            <w:r w:rsidRPr="00C306AE">
              <w:rPr>
                <w:rFonts w:ascii="Palatino Linotype" w:hAnsi="Palatino Linotype"/>
              </w:rPr>
              <w:t>L2 (dual port)</w:t>
            </w:r>
          </w:p>
        </w:tc>
        <w:tc>
          <w:tcPr>
            <w:tcW w:w="1216" w:type="dxa"/>
          </w:tcPr>
          <w:p w:rsidRPr="00C306AE" w:rsidR="00CE09B7" w:rsidP="00CE09B7" w:rsidRDefault="00CE09B7" w14:paraId="4DBAFB8C" w14:textId="74EB9747">
            <w:pPr>
              <w:rPr>
                <w:rFonts w:ascii="Palatino Linotype" w:hAnsi="Palatino Linotype"/>
              </w:rPr>
            </w:pPr>
            <w:r w:rsidRPr="00C306AE">
              <w:rPr>
                <w:rFonts w:ascii="Palatino Linotype" w:hAnsi="Palatino Linotype"/>
              </w:rPr>
              <w:t>$3,900</w:t>
            </w:r>
          </w:p>
        </w:tc>
        <w:tc>
          <w:tcPr>
            <w:tcW w:w="1240" w:type="dxa"/>
          </w:tcPr>
          <w:p w:rsidRPr="00C306AE" w:rsidR="00CE09B7" w:rsidP="00CE09B7" w:rsidRDefault="00CE09B7" w14:paraId="19510E57" w14:textId="6DE35C75">
            <w:pPr>
              <w:rPr>
                <w:rFonts w:ascii="Palatino Linotype" w:hAnsi="Palatino Linotype"/>
              </w:rPr>
            </w:pPr>
            <w:r w:rsidRPr="00C306AE">
              <w:rPr>
                <w:rFonts w:ascii="Palatino Linotype" w:hAnsi="Palatino Linotype"/>
              </w:rPr>
              <w:t>$1,350</w:t>
            </w:r>
          </w:p>
        </w:tc>
        <w:tc>
          <w:tcPr>
            <w:tcW w:w="1424" w:type="dxa"/>
          </w:tcPr>
          <w:p w:rsidRPr="00C306AE" w:rsidR="00CE09B7" w:rsidP="00CE09B7" w:rsidRDefault="00CE09B7" w14:paraId="559FE955" w14:textId="7D848741">
            <w:pPr>
              <w:rPr>
                <w:rFonts w:ascii="Palatino Linotype" w:hAnsi="Palatino Linotype"/>
              </w:rPr>
            </w:pPr>
            <w:r w:rsidRPr="00C306AE">
              <w:rPr>
                <w:rFonts w:ascii="Palatino Linotype" w:hAnsi="Palatino Linotype"/>
              </w:rPr>
              <w:t>$3,350</w:t>
            </w:r>
          </w:p>
        </w:tc>
        <w:tc>
          <w:tcPr>
            <w:tcW w:w="1319" w:type="dxa"/>
          </w:tcPr>
          <w:p w:rsidRPr="00C306AE" w:rsidR="00CE09B7" w:rsidP="00CE09B7" w:rsidRDefault="00CE09B7" w14:paraId="72C757E3" w14:textId="52DE1B12">
            <w:pPr>
              <w:rPr>
                <w:rFonts w:ascii="Palatino Linotype" w:hAnsi="Palatino Linotype"/>
              </w:rPr>
            </w:pPr>
            <w:r w:rsidRPr="00C306AE">
              <w:rPr>
                <w:rFonts w:ascii="Palatino Linotype" w:hAnsi="Palatino Linotype"/>
              </w:rPr>
              <w:t>$4,400</w:t>
            </w:r>
          </w:p>
        </w:tc>
        <w:tc>
          <w:tcPr>
            <w:tcW w:w="1194" w:type="dxa"/>
          </w:tcPr>
          <w:p w:rsidRPr="00C306AE" w:rsidR="00CE09B7" w:rsidP="00CE09B7" w:rsidRDefault="00CE09B7" w14:paraId="6483A2E3" w14:textId="554BF6BE">
            <w:pPr>
              <w:rPr>
                <w:rFonts w:ascii="Palatino Linotype" w:hAnsi="Palatino Linotype"/>
              </w:rPr>
            </w:pPr>
            <w:r w:rsidRPr="00C306AE">
              <w:rPr>
                <w:rFonts w:ascii="Palatino Linotype" w:hAnsi="Palatino Linotype"/>
              </w:rPr>
              <w:t>$600</w:t>
            </w:r>
          </w:p>
        </w:tc>
        <w:tc>
          <w:tcPr>
            <w:tcW w:w="1333" w:type="dxa"/>
          </w:tcPr>
          <w:p w:rsidRPr="00C306AE" w:rsidR="00CE09B7" w:rsidP="00CE09B7" w:rsidRDefault="00CE09B7" w14:paraId="290CCF62" w14:textId="680EEDD3">
            <w:pPr>
              <w:rPr>
                <w:rFonts w:ascii="Palatino Linotype" w:hAnsi="Palatino Linotype"/>
              </w:rPr>
            </w:pPr>
            <w:r w:rsidRPr="00C306AE">
              <w:rPr>
                <w:rFonts w:ascii="Palatino Linotype" w:hAnsi="Palatino Linotype"/>
              </w:rPr>
              <w:t>$13,600</w:t>
            </w:r>
          </w:p>
        </w:tc>
      </w:tr>
    </w:tbl>
    <w:p w:rsidR="005D30F8" w:rsidP="00FD3C15" w:rsidRDefault="005D30F8" w14:paraId="4E43E5D5" w14:textId="77777777">
      <w:pPr>
        <w:pStyle w:val="Caption"/>
        <w:keepNext/>
      </w:pPr>
      <w:bookmarkStart w:name="_Ref48752918" w:id="4"/>
      <w:bookmarkStart w:name="_Ref48752880" w:id="5"/>
      <w:bookmarkEnd w:id="3"/>
    </w:p>
    <w:p w:rsidRPr="00CE09B7" w:rsidR="00FD3C15" w:rsidP="00FD3C15" w:rsidRDefault="00FD3C15" w14:paraId="0A9CED76" w14:textId="3DE776DA">
      <w:pPr>
        <w:pStyle w:val="Caption"/>
        <w:keepNext/>
        <w:rPr>
          <w:b/>
          <w:bCs/>
          <w:sz w:val="22"/>
          <w:szCs w:val="22"/>
        </w:rPr>
      </w:pPr>
      <w:bookmarkStart w:name="_Ref54190637" w:id="6"/>
      <w:bookmarkStart w:name="_Ref57649089" w:id="7"/>
      <w:r w:rsidRPr="00CE09B7">
        <w:rPr>
          <w:b/>
          <w:bCs/>
          <w:sz w:val="22"/>
          <w:szCs w:val="22"/>
        </w:rPr>
        <w:t xml:space="preserve">Table </w:t>
      </w:r>
      <w:r w:rsidRPr="00CE09B7" w:rsidR="0084194C">
        <w:rPr>
          <w:b/>
          <w:bCs/>
          <w:sz w:val="22"/>
          <w:szCs w:val="22"/>
        </w:rPr>
        <w:fldChar w:fldCharType="begin"/>
      </w:r>
      <w:r w:rsidRPr="00CE09B7" w:rsidR="0084194C">
        <w:rPr>
          <w:b/>
          <w:bCs/>
          <w:sz w:val="22"/>
          <w:szCs w:val="22"/>
        </w:rPr>
        <w:instrText xml:space="preserve"> SEQ Table \* ARABIC </w:instrText>
      </w:r>
      <w:r w:rsidRPr="00CE09B7" w:rsidR="0084194C">
        <w:rPr>
          <w:b/>
          <w:bCs/>
          <w:sz w:val="22"/>
          <w:szCs w:val="22"/>
        </w:rPr>
        <w:fldChar w:fldCharType="separate"/>
      </w:r>
      <w:r w:rsidR="00FF0700">
        <w:rPr>
          <w:b/>
          <w:bCs/>
          <w:noProof/>
          <w:sz w:val="22"/>
          <w:szCs w:val="22"/>
        </w:rPr>
        <w:t>4</w:t>
      </w:r>
      <w:r w:rsidRPr="00CE09B7" w:rsidR="0084194C">
        <w:rPr>
          <w:b/>
          <w:bCs/>
          <w:sz w:val="22"/>
          <w:szCs w:val="22"/>
        </w:rPr>
        <w:fldChar w:fldCharType="end"/>
      </w:r>
      <w:bookmarkEnd w:id="4"/>
      <w:bookmarkEnd w:id="6"/>
      <w:r w:rsidRPr="00CE09B7">
        <w:rPr>
          <w:b/>
          <w:bCs/>
          <w:sz w:val="22"/>
          <w:szCs w:val="22"/>
        </w:rPr>
        <w:t>:</w:t>
      </w:r>
      <w:r w:rsidRPr="00CE09B7" w:rsidR="0097550D">
        <w:rPr>
          <w:b/>
          <w:bCs/>
          <w:sz w:val="22"/>
          <w:szCs w:val="22"/>
        </w:rPr>
        <w:t xml:space="preserve"> </w:t>
      </w:r>
      <w:r w:rsidRPr="00CE09B7" w:rsidR="00BD75C3">
        <w:rPr>
          <w:b/>
          <w:bCs/>
          <w:sz w:val="22"/>
          <w:szCs w:val="22"/>
        </w:rPr>
        <w:t xml:space="preserve">SDG&amp;E’s </w:t>
      </w:r>
      <w:r w:rsidRPr="00CE09B7">
        <w:rPr>
          <w:b/>
          <w:bCs/>
          <w:sz w:val="22"/>
          <w:szCs w:val="22"/>
        </w:rPr>
        <w:t>Schools Pilot Program Rebate Value</w:t>
      </w:r>
      <w:bookmarkEnd w:id="5"/>
      <w:bookmarkEnd w:id="7"/>
    </w:p>
    <w:tbl>
      <w:tblPr>
        <w:tblStyle w:val="TableGrid"/>
        <w:tblW w:w="0" w:type="auto"/>
        <w:tblLook w:val="04A0" w:firstRow="1" w:lastRow="0" w:firstColumn="1" w:lastColumn="0" w:noHBand="0" w:noVBand="1"/>
      </w:tblPr>
      <w:tblGrid>
        <w:gridCol w:w="1870"/>
        <w:gridCol w:w="1870"/>
        <w:gridCol w:w="1870"/>
        <w:gridCol w:w="1870"/>
        <w:gridCol w:w="1870"/>
      </w:tblGrid>
      <w:tr w:rsidR="00FD3C15" w:rsidTr="00FD3C15" w14:paraId="6C8EE623" w14:textId="77777777">
        <w:tc>
          <w:tcPr>
            <w:tcW w:w="1870" w:type="dxa"/>
          </w:tcPr>
          <w:p w:rsidRPr="00DB5D63" w:rsidR="00FD3C15" w:rsidP="002B1EEA" w:rsidRDefault="00FD3C15" w14:paraId="4CEC5581" w14:textId="2F38A9A5">
            <w:pPr>
              <w:rPr>
                <w:rFonts w:ascii="Palatino Linotype" w:hAnsi="Palatino Linotype"/>
                <w:b/>
                <w:bCs/>
              </w:rPr>
            </w:pPr>
            <w:r w:rsidRPr="00DB5D63">
              <w:rPr>
                <w:rFonts w:ascii="Palatino Linotype" w:hAnsi="Palatino Linotype"/>
                <w:b/>
                <w:bCs/>
              </w:rPr>
              <w:t>Equipment Type</w:t>
            </w:r>
          </w:p>
        </w:tc>
        <w:tc>
          <w:tcPr>
            <w:tcW w:w="1870" w:type="dxa"/>
          </w:tcPr>
          <w:p w:rsidRPr="00DB5D63" w:rsidR="00FD3C15" w:rsidP="002B1EEA" w:rsidRDefault="00FD3C15" w14:paraId="2199116E" w14:textId="0A6BB27F">
            <w:pPr>
              <w:rPr>
                <w:rFonts w:ascii="Palatino Linotype" w:hAnsi="Palatino Linotype"/>
                <w:b/>
                <w:bCs/>
              </w:rPr>
            </w:pPr>
            <w:r w:rsidRPr="00DB5D63">
              <w:rPr>
                <w:rFonts w:ascii="Palatino Linotype" w:hAnsi="Palatino Linotype"/>
                <w:b/>
                <w:bCs/>
              </w:rPr>
              <w:t>Equipment</w:t>
            </w:r>
          </w:p>
        </w:tc>
        <w:tc>
          <w:tcPr>
            <w:tcW w:w="1870" w:type="dxa"/>
          </w:tcPr>
          <w:p w:rsidRPr="00DB5D63" w:rsidR="00FD3C15" w:rsidP="002B1EEA" w:rsidRDefault="00FD3C15" w14:paraId="083E5B17" w14:textId="30EFE2BE">
            <w:pPr>
              <w:rPr>
                <w:rFonts w:ascii="Palatino Linotype" w:hAnsi="Palatino Linotype"/>
                <w:b/>
                <w:bCs/>
              </w:rPr>
            </w:pPr>
            <w:r w:rsidRPr="00DB5D63">
              <w:rPr>
                <w:rFonts w:ascii="Palatino Linotype" w:hAnsi="Palatino Linotype"/>
                <w:b/>
                <w:bCs/>
              </w:rPr>
              <w:t>Network Service</w:t>
            </w:r>
          </w:p>
        </w:tc>
        <w:tc>
          <w:tcPr>
            <w:tcW w:w="1870" w:type="dxa"/>
          </w:tcPr>
          <w:p w:rsidRPr="00DB5D63" w:rsidR="00FD3C15" w:rsidP="002B1EEA" w:rsidRDefault="00FD3C15" w14:paraId="5B3948B0" w14:textId="565F5997">
            <w:pPr>
              <w:rPr>
                <w:rFonts w:ascii="Palatino Linotype" w:hAnsi="Palatino Linotype"/>
                <w:b/>
                <w:bCs/>
              </w:rPr>
            </w:pPr>
            <w:r w:rsidRPr="00DB5D63">
              <w:rPr>
                <w:rFonts w:ascii="Palatino Linotype" w:hAnsi="Palatino Linotype"/>
                <w:b/>
                <w:bCs/>
              </w:rPr>
              <w:t>Maintenance</w:t>
            </w:r>
          </w:p>
        </w:tc>
        <w:tc>
          <w:tcPr>
            <w:tcW w:w="1870" w:type="dxa"/>
          </w:tcPr>
          <w:p w:rsidRPr="00DB5D63" w:rsidR="00FD3C15" w:rsidP="002B1EEA" w:rsidRDefault="005D730F" w14:paraId="3FA65EC8" w14:textId="7F0168FD">
            <w:pPr>
              <w:rPr>
                <w:rFonts w:ascii="Palatino Linotype" w:hAnsi="Palatino Linotype"/>
                <w:b/>
                <w:bCs/>
              </w:rPr>
            </w:pPr>
            <w:r>
              <w:rPr>
                <w:rFonts w:ascii="Palatino Linotype" w:hAnsi="Palatino Linotype"/>
                <w:b/>
                <w:bCs/>
              </w:rPr>
              <w:t>Proposed Rebate</w:t>
            </w:r>
          </w:p>
        </w:tc>
      </w:tr>
      <w:tr w:rsidR="00FD3C15" w:rsidTr="00FD3C15" w14:paraId="79706E2C" w14:textId="77777777">
        <w:tc>
          <w:tcPr>
            <w:tcW w:w="1870" w:type="dxa"/>
          </w:tcPr>
          <w:p w:rsidR="00FD3C15" w:rsidP="002B1EEA" w:rsidRDefault="00FD3C15" w14:paraId="411FB17E" w14:textId="5FA78C50">
            <w:pPr>
              <w:rPr>
                <w:rFonts w:ascii="Palatino Linotype" w:hAnsi="Palatino Linotype"/>
              </w:rPr>
            </w:pPr>
            <w:r>
              <w:rPr>
                <w:rFonts w:ascii="Palatino Linotype" w:hAnsi="Palatino Linotype"/>
              </w:rPr>
              <w:t xml:space="preserve">L2 </w:t>
            </w:r>
            <w:r w:rsidR="00A83978">
              <w:rPr>
                <w:rFonts w:ascii="Palatino Linotype" w:hAnsi="Palatino Linotype"/>
              </w:rPr>
              <w:t>(s</w:t>
            </w:r>
            <w:r>
              <w:rPr>
                <w:rFonts w:ascii="Palatino Linotype" w:hAnsi="Palatino Linotype"/>
              </w:rPr>
              <w:t xml:space="preserve">ingle </w:t>
            </w:r>
            <w:r w:rsidR="00A83978">
              <w:rPr>
                <w:rFonts w:ascii="Palatino Linotype" w:hAnsi="Palatino Linotype"/>
              </w:rPr>
              <w:t>p</w:t>
            </w:r>
            <w:r>
              <w:rPr>
                <w:rFonts w:ascii="Palatino Linotype" w:hAnsi="Palatino Linotype"/>
              </w:rPr>
              <w:t>ort</w:t>
            </w:r>
            <w:r w:rsidR="00A83978">
              <w:rPr>
                <w:rFonts w:ascii="Palatino Linotype" w:hAnsi="Palatino Linotype"/>
              </w:rPr>
              <w:t>)</w:t>
            </w:r>
          </w:p>
        </w:tc>
        <w:tc>
          <w:tcPr>
            <w:tcW w:w="1870" w:type="dxa"/>
          </w:tcPr>
          <w:p w:rsidR="00FD3C15" w:rsidP="002B1EEA" w:rsidRDefault="00FD3C15" w14:paraId="77E91473" w14:textId="653688DD">
            <w:pPr>
              <w:rPr>
                <w:rFonts w:ascii="Palatino Linotype" w:hAnsi="Palatino Linotype"/>
              </w:rPr>
            </w:pPr>
            <w:r>
              <w:rPr>
                <w:rFonts w:ascii="Palatino Linotype" w:hAnsi="Palatino Linotype"/>
              </w:rPr>
              <w:t>$5,000</w:t>
            </w:r>
          </w:p>
        </w:tc>
        <w:tc>
          <w:tcPr>
            <w:tcW w:w="1870" w:type="dxa"/>
          </w:tcPr>
          <w:p w:rsidR="00FD3C15" w:rsidP="002B1EEA" w:rsidRDefault="00FD3C15" w14:paraId="43C26C46" w14:textId="782D74A7">
            <w:pPr>
              <w:rPr>
                <w:rFonts w:ascii="Palatino Linotype" w:hAnsi="Palatino Linotype"/>
              </w:rPr>
            </w:pPr>
            <w:r>
              <w:rPr>
                <w:rFonts w:ascii="Palatino Linotype" w:hAnsi="Palatino Linotype"/>
              </w:rPr>
              <w:t>$2,000</w:t>
            </w:r>
          </w:p>
        </w:tc>
        <w:tc>
          <w:tcPr>
            <w:tcW w:w="1870" w:type="dxa"/>
          </w:tcPr>
          <w:p w:rsidR="00FD3C15" w:rsidP="002B1EEA" w:rsidRDefault="00FD3C15" w14:paraId="14C093DF" w14:textId="02E119DE">
            <w:pPr>
              <w:rPr>
                <w:rFonts w:ascii="Palatino Linotype" w:hAnsi="Palatino Linotype"/>
              </w:rPr>
            </w:pPr>
            <w:r>
              <w:rPr>
                <w:rFonts w:ascii="Palatino Linotype" w:hAnsi="Palatino Linotype"/>
              </w:rPr>
              <w:t>$4,000</w:t>
            </w:r>
          </w:p>
        </w:tc>
        <w:tc>
          <w:tcPr>
            <w:tcW w:w="1870" w:type="dxa"/>
          </w:tcPr>
          <w:p w:rsidR="00FD3C15" w:rsidP="002B1EEA" w:rsidRDefault="00FD3C15" w14:paraId="3AF58EB4" w14:textId="10A9FC0B">
            <w:pPr>
              <w:rPr>
                <w:rFonts w:ascii="Palatino Linotype" w:hAnsi="Palatino Linotype"/>
              </w:rPr>
            </w:pPr>
            <w:r>
              <w:rPr>
                <w:rFonts w:ascii="Palatino Linotype" w:hAnsi="Palatino Linotype"/>
              </w:rPr>
              <w:t>$11,000</w:t>
            </w:r>
          </w:p>
        </w:tc>
      </w:tr>
      <w:tr w:rsidR="00FD3C15" w:rsidTr="00FD3C15" w14:paraId="484DC934" w14:textId="77777777">
        <w:tc>
          <w:tcPr>
            <w:tcW w:w="1870" w:type="dxa"/>
          </w:tcPr>
          <w:p w:rsidR="00FD3C15" w:rsidP="002B1EEA" w:rsidRDefault="00FD3C15" w14:paraId="693F8591" w14:textId="3047C186">
            <w:pPr>
              <w:rPr>
                <w:rFonts w:ascii="Palatino Linotype" w:hAnsi="Palatino Linotype"/>
              </w:rPr>
            </w:pPr>
            <w:r>
              <w:rPr>
                <w:rFonts w:ascii="Palatino Linotype" w:hAnsi="Palatino Linotype"/>
              </w:rPr>
              <w:t xml:space="preserve">L2 </w:t>
            </w:r>
            <w:r w:rsidR="00A83978">
              <w:rPr>
                <w:rFonts w:ascii="Palatino Linotype" w:hAnsi="Palatino Linotype"/>
              </w:rPr>
              <w:t>(d</w:t>
            </w:r>
            <w:r>
              <w:rPr>
                <w:rFonts w:ascii="Palatino Linotype" w:hAnsi="Palatino Linotype"/>
              </w:rPr>
              <w:t xml:space="preserve">ual </w:t>
            </w:r>
            <w:r w:rsidR="00A83978">
              <w:rPr>
                <w:rFonts w:ascii="Palatino Linotype" w:hAnsi="Palatino Linotype"/>
              </w:rPr>
              <w:t>p</w:t>
            </w:r>
            <w:r>
              <w:rPr>
                <w:rFonts w:ascii="Palatino Linotype" w:hAnsi="Palatino Linotype"/>
              </w:rPr>
              <w:t>ort</w:t>
            </w:r>
            <w:r w:rsidR="00A83978">
              <w:rPr>
                <w:rFonts w:ascii="Palatino Linotype" w:hAnsi="Palatino Linotype"/>
              </w:rPr>
              <w:t>)</w:t>
            </w:r>
          </w:p>
        </w:tc>
        <w:tc>
          <w:tcPr>
            <w:tcW w:w="1870" w:type="dxa"/>
          </w:tcPr>
          <w:p w:rsidR="00FD3C15" w:rsidP="002B1EEA" w:rsidRDefault="00FD3C15" w14:paraId="44F407FB" w14:textId="6436F3C9">
            <w:pPr>
              <w:rPr>
                <w:rFonts w:ascii="Palatino Linotype" w:hAnsi="Palatino Linotype"/>
              </w:rPr>
            </w:pPr>
            <w:r>
              <w:rPr>
                <w:rFonts w:ascii="Palatino Linotype" w:hAnsi="Palatino Linotype"/>
              </w:rPr>
              <w:t>$7,000</w:t>
            </w:r>
          </w:p>
        </w:tc>
        <w:tc>
          <w:tcPr>
            <w:tcW w:w="1870" w:type="dxa"/>
          </w:tcPr>
          <w:p w:rsidR="00FD3C15" w:rsidP="002B1EEA" w:rsidRDefault="00FD3C15" w14:paraId="60E30F22" w14:textId="2B3342EF">
            <w:pPr>
              <w:rPr>
                <w:rFonts w:ascii="Palatino Linotype" w:hAnsi="Palatino Linotype"/>
              </w:rPr>
            </w:pPr>
            <w:r>
              <w:rPr>
                <w:rFonts w:ascii="Palatino Linotype" w:hAnsi="Palatino Linotype"/>
              </w:rPr>
              <w:t>$4,000</w:t>
            </w:r>
          </w:p>
        </w:tc>
        <w:tc>
          <w:tcPr>
            <w:tcW w:w="1870" w:type="dxa"/>
          </w:tcPr>
          <w:p w:rsidR="00FD3C15" w:rsidP="002B1EEA" w:rsidRDefault="00FD3C15" w14:paraId="01C87B39" w14:textId="689B874A">
            <w:pPr>
              <w:rPr>
                <w:rFonts w:ascii="Palatino Linotype" w:hAnsi="Palatino Linotype"/>
              </w:rPr>
            </w:pPr>
            <w:r>
              <w:rPr>
                <w:rFonts w:ascii="Palatino Linotype" w:hAnsi="Palatino Linotype"/>
              </w:rPr>
              <w:t>$4,000</w:t>
            </w:r>
          </w:p>
        </w:tc>
        <w:tc>
          <w:tcPr>
            <w:tcW w:w="1870" w:type="dxa"/>
          </w:tcPr>
          <w:p w:rsidR="00FD3C15" w:rsidP="002B1EEA" w:rsidRDefault="00FD3C15" w14:paraId="032BF474" w14:textId="31A21220">
            <w:pPr>
              <w:rPr>
                <w:rFonts w:ascii="Palatino Linotype" w:hAnsi="Palatino Linotype"/>
              </w:rPr>
            </w:pPr>
            <w:r>
              <w:rPr>
                <w:rFonts w:ascii="Palatino Linotype" w:hAnsi="Palatino Linotype"/>
              </w:rPr>
              <w:t>$15,000</w:t>
            </w:r>
          </w:p>
        </w:tc>
      </w:tr>
      <w:tr w:rsidR="00FD3C15" w:rsidTr="00FD3C15" w14:paraId="2DA2F8EC" w14:textId="77777777">
        <w:tc>
          <w:tcPr>
            <w:tcW w:w="1870" w:type="dxa"/>
          </w:tcPr>
          <w:p w:rsidR="00FD3C15" w:rsidP="002B1EEA" w:rsidRDefault="00FD3C15" w14:paraId="6B2CB02B" w14:textId="004EC291">
            <w:pPr>
              <w:rPr>
                <w:rFonts w:ascii="Palatino Linotype" w:hAnsi="Palatino Linotype"/>
              </w:rPr>
            </w:pPr>
            <w:r>
              <w:rPr>
                <w:rFonts w:ascii="Palatino Linotype" w:hAnsi="Palatino Linotype"/>
              </w:rPr>
              <w:t xml:space="preserve">DCFC </w:t>
            </w:r>
          </w:p>
        </w:tc>
        <w:tc>
          <w:tcPr>
            <w:tcW w:w="1870" w:type="dxa"/>
          </w:tcPr>
          <w:p w:rsidR="00FD3C15" w:rsidP="002B1EEA" w:rsidRDefault="00FD3C15" w14:paraId="2C6F437B" w14:textId="319E3336">
            <w:pPr>
              <w:rPr>
                <w:rFonts w:ascii="Palatino Linotype" w:hAnsi="Palatino Linotype"/>
              </w:rPr>
            </w:pPr>
            <w:r>
              <w:rPr>
                <w:rFonts w:ascii="Palatino Linotype" w:hAnsi="Palatino Linotype"/>
              </w:rPr>
              <w:t>$42,000</w:t>
            </w:r>
          </w:p>
        </w:tc>
        <w:tc>
          <w:tcPr>
            <w:tcW w:w="1870" w:type="dxa"/>
          </w:tcPr>
          <w:p w:rsidR="00FD3C15" w:rsidP="002B1EEA" w:rsidRDefault="00FD3C15" w14:paraId="437C81DA" w14:textId="1D1F7370">
            <w:pPr>
              <w:rPr>
                <w:rFonts w:ascii="Palatino Linotype" w:hAnsi="Palatino Linotype"/>
              </w:rPr>
            </w:pPr>
            <w:r>
              <w:rPr>
                <w:rFonts w:ascii="Palatino Linotype" w:hAnsi="Palatino Linotype"/>
              </w:rPr>
              <w:t>$8,000</w:t>
            </w:r>
          </w:p>
        </w:tc>
        <w:tc>
          <w:tcPr>
            <w:tcW w:w="1870" w:type="dxa"/>
          </w:tcPr>
          <w:p w:rsidR="00FD3C15" w:rsidP="002B1EEA" w:rsidRDefault="00FD3C15" w14:paraId="1A8E5C91" w14:textId="5A9C5AD7">
            <w:pPr>
              <w:rPr>
                <w:rFonts w:ascii="Palatino Linotype" w:hAnsi="Palatino Linotype"/>
              </w:rPr>
            </w:pPr>
            <w:r>
              <w:rPr>
                <w:rFonts w:ascii="Palatino Linotype" w:hAnsi="Palatino Linotype"/>
              </w:rPr>
              <w:t>$25,000</w:t>
            </w:r>
          </w:p>
        </w:tc>
        <w:tc>
          <w:tcPr>
            <w:tcW w:w="1870" w:type="dxa"/>
          </w:tcPr>
          <w:p w:rsidR="00FD3C15" w:rsidP="002B1EEA" w:rsidRDefault="00FD3C15" w14:paraId="6281EE61" w14:textId="3B55CB10">
            <w:pPr>
              <w:rPr>
                <w:rFonts w:ascii="Palatino Linotype" w:hAnsi="Palatino Linotype"/>
              </w:rPr>
            </w:pPr>
            <w:r>
              <w:rPr>
                <w:rFonts w:ascii="Palatino Linotype" w:hAnsi="Palatino Linotype"/>
              </w:rPr>
              <w:t>$75,000</w:t>
            </w:r>
          </w:p>
        </w:tc>
      </w:tr>
    </w:tbl>
    <w:p w:rsidR="00FD3C15" w:rsidP="002B1EEA" w:rsidRDefault="00FD3C15" w14:paraId="6ABB9540" w14:textId="3BABA362">
      <w:pPr>
        <w:rPr>
          <w:rFonts w:ascii="Palatino Linotype" w:hAnsi="Palatino Linotype"/>
        </w:rPr>
      </w:pPr>
    </w:p>
    <w:p w:rsidR="00F91D5B" w:rsidP="00F91D5B" w:rsidRDefault="00F91D5B" w14:paraId="210E6B32" w14:textId="51ED479B">
      <w:pPr>
        <w:rPr>
          <w:rFonts w:ascii="Palatino Linotype" w:hAnsi="Palatino Linotype"/>
        </w:rPr>
      </w:pPr>
      <w:r>
        <w:rPr>
          <w:rFonts w:ascii="Palatino Linotype" w:hAnsi="Palatino Linotype"/>
        </w:rPr>
        <w:t xml:space="preserve">In preparation to file their advice letters, PG&amp;E, SCE and SDG&amp;E conducted Requests for Qualification (RFQ) to qualify </w:t>
      </w:r>
      <w:r w:rsidR="008D4D23">
        <w:rPr>
          <w:rFonts w:ascii="Palatino Linotype" w:hAnsi="Palatino Linotype"/>
        </w:rPr>
        <w:t xml:space="preserve">utility-owned and customer-owned </w:t>
      </w:r>
      <w:r>
        <w:rPr>
          <w:rFonts w:ascii="Palatino Linotype" w:hAnsi="Palatino Linotype"/>
        </w:rPr>
        <w:t xml:space="preserve">EVSEs for the Schools Pilot Programs. During this process, PG&amp;E, SCE, and SDG&amp;E collected information that included the base costs of EVSE, the annual and lifetime costs of the network service fees and maintenances charges, and a manufacturer warranty. Each IOU states that </w:t>
      </w:r>
      <w:r w:rsidR="001E561E">
        <w:rPr>
          <w:rFonts w:ascii="Palatino Linotype" w:hAnsi="Palatino Linotype"/>
        </w:rPr>
        <w:t>it</w:t>
      </w:r>
      <w:r>
        <w:rPr>
          <w:rFonts w:ascii="Palatino Linotype" w:hAnsi="Palatino Linotype"/>
        </w:rPr>
        <w:t xml:space="preserve"> compared the RFQ pricing information with the internal costs from the IOU</w:t>
      </w:r>
      <w:r w:rsidR="001E561E">
        <w:rPr>
          <w:rFonts w:ascii="Palatino Linotype" w:hAnsi="Palatino Linotype"/>
        </w:rPr>
        <w:t>’</w:t>
      </w:r>
      <w:r>
        <w:rPr>
          <w:rFonts w:ascii="Palatino Linotype" w:hAnsi="Palatino Linotype"/>
        </w:rPr>
        <w:t xml:space="preserve">s other approved EV programs to ensure pricing consistency. </w:t>
      </w:r>
      <w:r w:rsidR="00A23409">
        <w:rPr>
          <w:rFonts w:ascii="Palatino Linotype" w:hAnsi="Palatino Linotype"/>
        </w:rPr>
        <w:t xml:space="preserve">The IOUs based their proposed rebate on this data. </w:t>
      </w:r>
      <w:r>
        <w:rPr>
          <w:rFonts w:ascii="Palatino Linotype" w:hAnsi="Palatino Linotype"/>
        </w:rPr>
        <w:t xml:space="preserve">In order to offer a simplified rebate, PG&amp;E rounded their rebate to the nearest hundred, SDG&amp;E decided to round all costs to the nearest thousand, and SCE rounded to the nearest fifty.  </w:t>
      </w:r>
    </w:p>
    <w:p w:rsidRPr="00FF0700" w:rsidR="00FF0700" w:rsidP="00F91D5B" w:rsidRDefault="00F91D5B" w14:paraId="2BA499D1" w14:textId="77777777">
      <w:pPr>
        <w:rPr>
          <w:rFonts w:ascii="Palatino Linotype" w:hAnsi="Palatino Linotype"/>
        </w:rPr>
      </w:pPr>
      <w:r>
        <w:rPr>
          <w:rFonts w:ascii="Palatino Linotype" w:hAnsi="Palatino Linotype"/>
        </w:rPr>
        <w:t>Based on the RFQ and internal review of pricing, PG&amp;E</w:t>
      </w:r>
      <w:r w:rsidR="00C760DB">
        <w:rPr>
          <w:rFonts w:ascii="Palatino Linotype" w:hAnsi="Palatino Linotype"/>
        </w:rPr>
        <w:t xml:space="preserve"> and </w:t>
      </w:r>
      <w:r>
        <w:rPr>
          <w:rFonts w:ascii="Palatino Linotype" w:hAnsi="Palatino Linotype"/>
        </w:rPr>
        <w:t xml:space="preserve">SCE </w:t>
      </w:r>
      <w:r w:rsidR="00C760DB">
        <w:rPr>
          <w:rFonts w:ascii="Palatino Linotype" w:hAnsi="Palatino Linotype"/>
        </w:rPr>
        <w:t xml:space="preserve">developed the rebate caps identified in </w:t>
      </w:r>
      <w:r w:rsidRPr="00976A51">
        <w:rPr>
          <w:rFonts w:ascii="Palatino Linotype" w:hAnsi="Palatino Linotype"/>
        </w:rPr>
        <w:fldChar w:fldCharType="begin"/>
      </w:r>
      <w:r w:rsidRPr="00DB5D63">
        <w:rPr>
          <w:rFonts w:ascii="Palatino Linotype" w:hAnsi="Palatino Linotype"/>
        </w:rPr>
        <w:instrText xml:space="preserve"> REF _Ref54190620 \h </w:instrText>
      </w:r>
      <w:r>
        <w:rPr>
          <w:rFonts w:ascii="Palatino Linotype" w:hAnsi="Palatino Linotype"/>
        </w:rPr>
        <w:instrText xml:space="preserve"> \* MERGEFORMAT </w:instrText>
      </w:r>
      <w:r w:rsidRPr="00976A51">
        <w:rPr>
          <w:rFonts w:ascii="Palatino Linotype" w:hAnsi="Palatino Linotype"/>
        </w:rPr>
      </w:r>
      <w:r w:rsidRPr="00976A51">
        <w:rPr>
          <w:rFonts w:ascii="Palatino Linotype" w:hAnsi="Palatino Linotype"/>
        </w:rPr>
        <w:fldChar w:fldCharType="separate"/>
      </w:r>
    </w:p>
    <w:tbl>
      <w:tblPr>
        <w:tblStyle w:val="TableGrid"/>
        <w:tblW w:w="0" w:type="auto"/>
        <w:tblLook w:val="04A0" w:firstRow="1" w:lastRow="0" w:firstColumn="1" w:lastColumn="0" w:noHBand="0" w:noVBand="1"/>
      </w:tblPr>
      <w:tblGrid>
        <w:gridCol w:w="1947"/>
        <w:gridCol w:w="1339"/>
        <w:gridCol w:w="1513"/>
        <w:gridCol w:w="1545"/>
        <w:gridCol w:w="1848"/>
        <w:gridCol w:w="1158"/>
      </w:tblGrid>
      <w:tr w:rsidR="00FF0700" w:rsidTr="00CE09B7" w14:paraId="61F1DF62" w14:textId="77777777">
        <w:tc>
          <w:tcPr>
            <w:tcW w:w="1975" w:type="dxa"/>
          </w:tcPr>
          <w:p w:rsidRPr="00473742" w:rsidR="00FF0700" w:rsidP="00FF0700" w:rsidRDefault="00FF0700" w14:paraId="2D6E9542" w14:textId="34729AAC">
            <w:pPr>
              <w:rPr>
                <w:rFonts w:ascii="Palatino Linotype" w:hAnsi="Palatino Linotype"/>
                <w:b/>
                <w:bCs/>
                <w:i/>
                <w:iCs/>
                <w:color w:val="000000" w:themeColor="text1"/>
              </w:rPr>
            </w:pPr>
            <w:r w:rsidRPr="00473742">
              <w:rPr>
                <w:rFonts w:ascii="Palatino Linotype" w:hAnsi="Palatino Linotype"/>
                <w:b/>
                <w:bCs/>
                <w:color w:val="000000" w:themeColor="text1"/>
              </w:rPr>
              <w:lastRenderedPageBreak/>
              <w:t>Equipment Type</w:t>
            </w:r>
          </w:p>
        </w:tc>
        <w:tc>
          <w:tcPr>
            <w:tcW w:w="1260" w:type="dxa"/>
          </w:tcPr>
          <w:p w:rsidRPr="00473742" w:rsidR="00FF0700" w:rsidP="009A5578" w:rsidRDefault="00FF0700" w14:paraId="0660C079" w14:textId="77777777">
            <w:pPr>
              <w:pStyle w:val="Caption"/>
              <w:keepNext/>
              <w:rPr>
                <w:rFonts w:ascii="Palatino Linotype" w:hAnsi="Palatino Linotype"/>
                <w:b/>
                <w:bCs/>
                <w:i w:val="0"/>
                <w:iCs w:val="0"/>
                <w:color w:val="000000" w:themeColor="text1"/>
                <w:sz w:val="22"/>
                <w:szCs w:val="22"/>
              </w:rPr>
            </w:pPr>
            <w:r w:rsidRPr="00473742">
              <w:rPr>
                <w:rFonts w:ascii="Palatino Linotype" w:hAnsi="Palatino Linotype"/>
                <w:b/>
                <w:bCs/>
                <w:i w:val="0"/>
                <w:iCs w:val="0"/>
                <w:color w:val="000000" w:themeColor="text1"/>
                <w:sz w:val="22"/>
                <w:szCs w:val="22"/>
              </w:rPr>
              <w:t>Equipment</w:t>
            </w:r>
          </w:p>
        </w:tc>
        <w:tc>
          <w:tcPr>
            <w:tcW w:w="1529" w:type="dxa"/>
          </w:tcPr>
          <w:p w:rsidRPr="00473742" w:rsidR="00FF0700" w:rsidP="009A5578" w:rsidRDefault="00FF0700" w14:paraId="48C49DF9" w14:textId="77777777">
            <w:pPr>
              <w:pStyle w:val="Caption"/>
              <w:keepNext/>
              <w:rPr>
                <w:rFonts w:ascii="Palatino Linotype" w:hAnsi="Palatino Linotype"/>
                <w:b/>
                <w:bCs/>
                <w:i w:val="0"/>
                <w:iCs w:val="0"/>
                <w:color w:val="000000" w:themeColor="text1"/>
                <w:sz w:val="22"/>
                <w:szCs w:val="22"/>
              </w:rPr>
            </w:pPr>
            <w:r w:rsidRPr="00473742">
              <w:rPr>
                <w:rFonts w:ascii="Palatino Linotype" w:hAnsi="Palatino Linotype"/>
                <w:b/>
                <w:bCs/>
                <w:i w:val="0"/>
                <w:iCs w:val="0"/>
                <w:color w:val="000000" w:themeColor="text1"/>
                <w:sz w:val="22"/>
                <w:szCs w:val="22"/>
              </w:rPr>
              <w:t>Warranty</w:t>
            </w:r>
          </w:p>
        </w:tc>
        <w:tc>
          <w:tcPr>
            <w:tcW w:w="1546" w:type="dxa"/>
          </w:tcPr>
          <w:p w:rsidRPr="00473742" w:rsidR="00FF0700" w:rsidP="009A5578" w:rsidRDefault="00FF0700" w14:paraId="39ED4641" w14:textId="77777777">
            <w:pPr>
              <w:pStyle w:val="Caption"/>
              <w:keepNext/>
              <w:rPr>
                <w:rFonts w:ascii="Palatino Linotype" w:hAnsi="Palatino Linotype"/>
                <w:b/>
                <w:bCs/>
                <w:i w:val="0"/>
                <w:iCs w:val="0"/>
                <w:color w:val="000000" w:themeColor="text1"/>
                <w:sz w:val="22"/>
                <w:szCs w:val="22"/>
              </w:rPr>
            </w:pPr>
            <w:r w:rsidRPr="00473742">
              <w:rPr>
                <w:rFonts w:ascii="Palatino Linotype" w:hAnsi="Palatino Linotype"/>
                <w:b/>
                <w:bCs/>
                <w:i w:val="0"/>
                <w:iCs w:val="0"/>
                <w:color w:val="000000" w:themeColor="text1"/>
                <w:sz w:val="22"/>
                <w:szCs w:val="22"/>
              </w:rPr>
              <w:t>Maintenance</w:t>
            </w:r>
          </w:p>
        </w:tc>
        <w:tc>
          <w:tcPr>
            <w:tcW w:w="1882" w:type="dxa"/>
          </w:tcPr>
          <w:p w:rsidRPr="00473742" w:rsidR="00FF0700" w:rsidP="009A5578" w:rsidRDefault="00FF0700" w14:paraId="5EACFB8F" w14:textId="77777777">
            <w:pPr>
              <w:pStyle w:val="Caption"/>
              <w:keepNext/>
              <w:rPr>
                <w:rFonts w:ascii="Palatino Linotype" w:hAnsi="Palatino Linotype"/>
                <w:b/>
                <w:bCs/>
                <w:i w:val="0"/>
                <w:iCs w:val="0"/>
                <w:color w:val="000000" w:themeColor="text1"/>
                <w:sz w:val="22"/>
                <w:szCs w:val="22"/>
              </w:rPr>
            </w:pPr>
            <w:r w:rsidRPr="00473742">
              <w:rPr>
                <w:rFonts w:ascii="Palatino Linotype" w:hAnsi="Palatino Linotype"/>
                <w:b/>
                <w:bCs/>
                <w:i w:val="0"/>
                <w:iCs w:val="0"/>
                <w:color w:val="000000" w:themeColor="text1"/>
                <w:sz w:val="22"/>
                <w:szCs w:val="22"/>
              </w:rPr>
              <w:t>Network Service</w:t>
            </w:r>
          </w:p>
        </w:tc>
        <w:tc>
          <w:tcPr>
            <w:tcW w:w="1158" w:type="dxa"/>
          </w:tcPr>
          <w:p w:rsidRPr="00473742" w:rsidR="00FF0700" w:rsidP="009A5578" w:rsidRDefault="00FF0700" w14:paraId="2D3B95E3" w14:textId="77777777">
            <w:pPr>
              <w:pStyle w:val="Caption"/>
              <w:keepNext/>
              <w:rPr>
                <w:rFonts w:ascii="Palatino Linotype" w:hAnsi="Palatino Linotype"/>
                <w:b/>
                <w:bCs/>
                <w:i w:val="0"/>
                <w:iCs w:val="0"/>
                <w:color w:val="000000" w:themeColor="text1"/>
                <w:sz w:val="22"/>
                <w:szCs w:val="22"/>
              </w:rPr>
            </w:pPr>
            <w:r w:rsidRPr="00473742">
              <w:rPr>
                <w:rFonts w:ascii="Palatino Linotype" w:hAnsi="Palatino Linotype"/>
                <w:b/>
                <w:bCs/>
                <w:i w:val="0"/>
                <w:iCs w:val="0"/>
                <w:color w:val="000000" w:themeColor="text1"/>
                <w:sz w:val="22"/>
                <w:szCs w:val="22"/>
              </w:rPr>
              <w:t>Proposed Rebate</w:t>
            </w:r>
          </w:p>
        </w:tc>
      </w:tr>
      <w:tr w:rsidR="00FF0700" w:rsidTr="00CE09B7" w14:paraId="4D7D6F90" w14:textId="77777777">
        <w:tc>
          <w:tcPr>
            <w:tcW w:w="1975" w:type="dxa"/>
          </w:tcPr>
          <w:p w:rsidRPr="00473742" w:rsidR="00FF0700" w:rsidP="009A5578" w:rsidRDefault="00FF0700" w14:paraId="17139C1A" w14:textId="77777777">
            <w:pPr>
              <w:pStyle w:val="Caption"/>
              <w:keepNext/>
              <w:rPr>
                <w:rFonts w:ascii="Palatino Linotype" w:hAnsi="Palatino Linotype"/>
                <w:i w:val="0"/>
                <w:iCs w:val="0"/>
                <w:color w:val="000000" w:themeColor="text1"/>
                <w:sz w:val="22"/>
                <w:szCs w:val="22"/>
              </w:rPr>
            </w:pPr>
            <w:r w:rsidRPr="00473742">
              <w:rPr>
                <w:rFonts w:ascii="Palatino Linotype" w:hAnsi="Palatino Linotype"/>
                <w:i w:val="0"/>
                <w:iCs w:val="0"/>
                <w:color w:val="000000" w:themeColor="text1"/>
                <w:sz w:val="22"/>
                <w:szCs w:val="22"/>
              </w:rPr>
              <w:t>L2 (single port)</w:t>
            </w:r>
          </w:p>
        </w:tc>
        <w:tc>
          <w:tcPr>
            <w:tcW w:w="1260" w:type="dxa"/>
          </w:tcPr>
          <w:p w:rsidRPr="00473742" w:rsidR="00FF0700" w:rsidP="009A5578" w:rsidRDefault="00FF0700" w14:paraId="665861B1" w14:textId="77777777">
            <w:pPr>
              <w:pStyle w:val="Caption"/>
              <w:keepNext/>
              <w:rPr>
                <w:rFonts w:ascii="Palatino Linotype" w:hAnsi="Palatino Linotype"/>
                <w:i w:val="0"/>
                <w:iCs w:val="0"/>
                <w:color w:val="000000" w:themeColor="text1"/>
                <w:sz w:val="22"/>
                <w:szCs w:val="22"/>
              </w:rPr>
            </w:pPr>
            <w:r w:rsidRPr="00473742">
              <w:rPr>
                <w:rFonts w:ascii="Palatino Linotype" w:hAnsi="Palatino Linotype"/>
                <w:i w:val="0"/>
                <w:iCs w:val="0"/>
                <w:color w:val="000000" w:themeColor="text1"/>
                <w:sz w:val="22"/>
                <w:szCs w:val="22"/>
              </w:rPr>
              <w:t>$4,000</w:t>
            </w:r>
          </w:p>
        </w:tc>
        <w:tc>
          <w:tcPr>
            <w:tcW w:w="1529" w:type="dxa"/>
          </w:tcPr>
          <w:p w:rsidRPr="00473742" w:rsidR="00FF0700" w:rsidP="009A5578" w:rsidRDefault="00FF0700" w14:paraId="67A8B1BE" w14:textId="77777777">
            <w:pPr>
              <w:pStyle w:val="Caption"/>
              <w:keepNext/>
              <w:rPr>
                <w:rFonts w:ascii="Palatino Linotype" w:hAnsi="Palatino Linotype"/>
                <w:i w:val="0"/>
                <w:iCs w:val="0"/>
                <w:color w:val="000000" w:themeColor="text1"/>
                <w:sz w:val="22"/>
                <w:szCs w:val="22"/>
              </w:rPr>
            </w:pPr>
            <w:r w:rsidRPr="00473742">
              <w:rPr>
                <w:rFonts w:ascii="Palatino Linotype" w:hAnsi="Palatino Linotype"/>
                <w:i w:val="0"/>
                <w:iCs w:val="0"/>
                <w:color w:val="000000" w:themeColor="text1"/>
                <w:sz w:val="22"/>
                <w:szCs w:val="22"/>
              </w:rPr>
              <w:t>$1,500</w:t>
            </w:r>
          </w:p>
        </w:tc>
        <w:tc>
          <w:tcPr>
            <w:tcW w:w="1546" w:type="dxa"/>
          </w:tcPr>
          <w:p w:rsidRPr="00473742" w:rsidR="00FF0700" w:rsidP="009A5578" w:rsidRDefault="00FF0700" w14:paraId="4DB7BC2F" w14:textId="77777777">
            <w:pPr>
              <w:pStyle w:val="Caption"/>
              <w:keepNext/>
              <w:rPr>
                <w:rFonts w:ascii="Palatino Linotype" w:hAnsi="Palatino Linotype"/>
                <w:i w:val="0"/>
                <w:iCs w:val="0"/>
                <w:color w:val="000000" w:themeColor="text1"/>
                <w:sz w:val="22"/>
                <w:szCs w:val="22"/>
              </w:rPr>
            </w:pPr>
            <w:r w:rsidRPr="00473742">
              <w:rPr>
                <w:rFonts w:ascii="Palatino Linotype" w:hAnsi="Palatino Linotype"/>
                <w:i w:val="0"/>
                <w:iCs w:val="0"/>
                <w:color w:val="000000" w:themeColor="text1"/>
                <w:sz w:val="22"/>
                <w:szCs w:val="22"/>
              </w:rPr>
              <w:t>$3,500</w:t>
            </w:r>
          </w:p>
        </w:tc>
        <w:tc>
          <w:tcPr>
            <w:tcW w:w="1882" w:type="dxa"/>
          </w:tcPr>
          <w:p w:rsidRPr="00473742" w:rsidR="00FF0700" w:rsidP="009A5578" w:rsidRDefault="00FF0700" w14:paraId="1CBB4213" w14:textId="77777777">
            <w:pPr>
              <w:pStyle w:val="Caption"/>
              <w:keepNext/>
              <w:rPr>
                <w:rFonts w:ascii="Palatino Linotype" w:hAnsi="Palatino Linotype"/>
                <w:i w:val="0"/>
                <w:iCs w:val="0"/>
                <w:color w:val="000000" w:themeColor="text1"/>
                <w:sz w:val="22"/>
                <w:szCs w:val="22"/>
              </w:rPr>
            </w:pPr>
            <w:r w:rsidRPr="00473742">
              <w:rPr>
                <w:rFonts w:ascii="Palatino Linotype" w:hAnsi="Palatino Linotype"/>
                <w:i w:val="0"/>
                <w:iCs w:val="0"/>
                <w:color w:val="000000" w:themeColor="text1"/>
                <w:sz w:val="22"/>
                <w:szCs w:val="22"/>
              </w:rPr>
              <w:t>$2,500</w:t>
            </w:r>
          </w:p>
        </w:tc>
        <w:tc>
          <w:tcPr>
            <w:tcW w:w="1158" w:type="dxa"/>
          </w:tcPr>
          <w:p w:rsidRPr="00473742" w:rsidR="00FF0700" w:rsidP="009A5578" w:rsidRDefault="00FF0700" w14:paraId="56E29510" w14:textId="77777777">
            <w:pPr>
              <w:pStyle w:val="Caption"/>
              <w:keepNext/>
              <w:rPr>
                <w:rFonts w:ascii="Palatino Linotype" w:hAnsi="Palatino Linotype"/>
                <w:b/>
                <w:bCs/>
                <w:i w:val="0"/>
                <w:iCs w:val="0"/>
                <w:color w:val="000000" w:themeColor="text1"/>
                <w:sz w:val="22"/>
                <w:szCs w:val="22"/>
              </w:rPr>
            </w:pPr>
            <w:r w:rsidRPr="00473742">
              <w:rPr>
                <w:rFonts w:ascii="Palatino Linotype" w:hAnsi="Palatino Linotype"/>
                <w:b/>
                <w:bCs/>
                <w:i w:val="0"/>
                <w:iCs w:val="0"/>
                <w:color w:val="000000" w:themeColor="text1"/>
                <w:sz w:val="22"/>
                <w:szCs w:val="22"/>
              </w:rPr>
              <w:t>$11,500</w:t>
            </w:r>
          </w:p>
        </w:tc>
      </w:tr>
      <w:tr w:rsidR="00FF0700" w:rsidTr="00CE09B7" w14:paraId="51BC0FCD" w14:textId="77777777">
        <w:tc>
          <w:tcPr>
            <w:tcW w:w="1975" w:type="dxa"/>
          </w:tcPr>
          <w:p w:rsidRPr="00473742" w:rsidR="00FF0700" w:rsidP="009A5578" w:rsidRDefault="00FF0700" w14:paraId="602DBE9A" w14:textId="77777777">
            <w:pPr>
              <w:pStyle w:val="Caption"/>
              <w:keepNext/>
              <w:rPr>
                <w:rFonts w:ascii="Palatino Linotype" w:hAnsi="Palatino Linotype"/>
                <w:i w:val="0"/>
                <w:iCs w:val="0"/>
                <w:color w:val="000000" w:themeColor="text1"/>
                <w:sz w:val="22"/>
                <w:szCs w:val="22"/>
              </w:rPr>
            </w:pPr>
            <w:r w:rsidRPr="00473742">
              <w:rPr>
                <w:rFonts w:ascii="Palatino Linotype" w:hAnsi="Palatino Linotype"/>
                <w:i w:val="0"/>
                <w:iCs w:val="0"/>
                <w:color w:val="000000" w:themeColor="text1"/>
                <w:sz w:val="22"/>
                <w:szCs w:val="22"/>
              </w:rPr>
              <w:t>L2 (dual port)</w:t>
            </w:r>
          </w:p>
        </w:tc>
        <w:tc>
          <w:tcPr>
            <w:tcW w:w="1260" w:type="dxa"/>
          </w:tcPr>
          <w:p w:rsidRPr="00473742" w:rsidR="00FF0700" w:rsidP="009A5578" w:rsidRDefault="00FF0700" w14:paraId="55F60B3C" w14:textId="77777777">
            <w:pPr>
              <w:pStyle w:val="Caption"/>
              <w:keepNext/>
              <w:rPr>
                <w:rFonts w:ascii="Palatino Linotype" w:hAnsi="Palatino Linotype"/>
                <w:i w:val="0"/>
                <w:iCs w:val="0"/>
                <w:color w:val="000000" w:themeColor="text1"/>
                <w:sz w:val="22"/>
                <w:szCs w:val="22"/>
              </w:rPr>
            </w:pPr>
            <w:r w:rsidRPr="00473742">
              <w:rPr>
                <w:rFonts w:ascii="Palatino Linotype" w:hAnsi="Palatino Linotype"/>
                <w:i w:val="0"/>
                <w:iCs w:val="0"/>
                <w:color w:val="000000" w:themeColor="text1"/>
                <w:sz w:val="22"/>
                <w:szCs w:val="22"/>
              </w:rPr>
              <w:t>$6,00</w:t>
            </w:r>
            <w:r>
              <w:rPr>
                <w:rFonts w:ascii="Palatino Linotype" w:hAnsi="Palatino Linotype"/>
                <w:i w:val="0"/>
                <w:iCs w:val="0"/>
                <w:color w:val="000000" w:themeColor="text1"/>
                <w:sz w:val="22"/>
                <w:szCs w:val="22"/>
              </w:rPr>
              <w:t>0</w:t>
            </w:r>
          </w:p>
        </w:tc>
        <w:tc>
          <w:tcPr>
            <w:tcW w:w="1529" w:type="dxa"/>
          </w:tcPr>
          <w:p w:rsidRPr="00473742" w:rsidR="00FF0700" w:rsidP="009A5578" w:rsidRDefault="00FF0700" w14:paraId="5B19EF36" w14:textId="77777777">
            <w:pPr>
              <w:pStyle w:val="Caption"/>
              <w:keepNext/>
              <w:rPr>
                <w:rFonts w:ascii="Palatino Linotype" w:hAnsi="Palatino Linotype"/>
                <w:i w:val="0"/>
                <w:iCs w:val="0"/>
                <w:color w:val="000000" w:themeColor="text1"/>
                <w:sz w:val="22"/>
                <w:szCs w:val="22"/>
              </w:rPr>
            </w:pPr>
            <w:r w:rsidRPr="00473742">
              <w:rPr>
                <w:rFonts w:ascii="Palatino Linotype" w:hAnsi="Palatino Linotype"/>
                <w:i w:val="0"/>
                <w:iCs w:val="0"/>
                <w:color w:val="000000" w:themeColor="text1"/>
                <w:sz w:val="22"/>
                <w:szCs w:val="22"/>
              </w:rPr>
              <w:t>$1,500</w:t>
            </w:r>
          </w:p>
        </w:tc>
        <w:tc>
          <w:tcPr>
            <w:tcW w:w="1546" w:type="dxa"/>
          </w:tcPr>
          <w:p w:rsidRPr="00473742" w:rsidR="00FF0700" w:rsidP="009A5578" w:rsidRDefault="00FF0700" w14:paraId="0CFAD279" w14:textId="77777777">
            <w:pPr>
              <w:pStyle w:val="Caption"/>
              <w:keepNext/>
              <w:rPr>
                <w:rFonts w:ascii="Palatino Linotype" w:hAnsi="Palatino Linotype"/>
                <w:i w:val="0"/>
                <w:iCs w:val="0"/>
                <w:color w:val="000000" w:themeColor="text1"/>
                <w:sz w:val="22"/>
                <w:szCs w:val="22"/>
              </w:rPr>
            </w:pPr>
            <w:r w:rsidRPr="00473742">
              <w:rPr>
                <w:rFonts w:ascii="Palatino Linotype" w:hAnsi="Palatino Linotype"/>
                <w:i w:val="0"/>
                <w:iCs w:val="0"/>
                <w:color w:val="000000" w:themeColor="text1"/>
                <w:sz w:val="22"/>
                <w:szCs w:val="22"/>
              </w:rPr>
              <w:t>$4,000</w:t>
            </w:r>
          </w:p>
        </w:tc>
        <w:tc>
          <w:tcPr>
            <w:tcW w:w="1882" w:type="dxa"/>
          </w:tcPr>
          <w:p w:rsidRPr="00473742" w:rsidR="00FF0700" w:rsidP="009A5578" w:rsidRDefault="00FF0700" w14:paraId="0D6915FF" w14:textId="77777777">
            <w:pPr>
              <w:pStyle w:val="Caption"/>
              <w:keepNext/>
              <w:rPr>
                <w:rFonts w:ascii="Palatino Linotype" w:hAnsi="Palatino Linotype"/>
                <w:i w:val="0"/>
                <w:iCs w:val="0"/>
                <w:color w:val="000000" w:themeColor="text1"/>
                <w:sz w:val="22"/>
                <w:szCs w:val="22"/>
              </w:rPr>
            </w:pPr>
            <w:r w:rsidRPr="00473742">
              <w:rPr>
                <w:rFonts w:ascii="Palatino Linotype" w:hAnsi="Palatino Linotype"/>
                <w:i w:val="0"/>
                <w:iCs w:val="0"/>
                <w:color w:val="000000" w:themeColor="text1"/>
                <w:sz w:val="22"/>
                <w:szCs w:val="22"/>
              </w:rPr>
              <w:t>$4,000</w:t>
            </w:r>
          </w:p>
        </w:tc>
        <w:tc>
          <w:tcPr>
            <w:tcW w:w="1158" w:type="dxa"/>
          </w:tcPr>
          <w:p w:rsidRPr="00473742" w:rsidR="00FF0700" w:rsidP="009A5578" w:rsidRDefault="00FF0700" w14:paraId="137D874B" w14:textId="77777777">
            <w:pPr>
              <w:pStyle w:val="Caption"/>
              <w:keepNext/>
              <w:rPr>
                <w:rFonts w:ascii="Palatino Linotype" w:hAnsi="Palatino Linotype"/>
                <w:b/>
                <w:bCs/>
                <w:i w:val="0"/>
                <w:iCs w:val="0"/>
                <w:color w:val="000000" w:themeColor="text1"/>
                <w:sz w:val="22"/>
                <w:szCs w:val="22"/>
              </w:rPr>
            </w:pPr>
            <w:r w:rsidRPr="00473742">
              <w:rPr>
                <w:rFonts w:ascii="Palatino Linotype" w:hAnsi="Palatino Linotype"/>
                <w:b/>
                <w:bCs/>
                <w:i w:val="0"/>
                <w:iCs w:val="0"/>
                <w:color w:val="000000" w:themeColor="text1"/>
                <w:sz w:val="22"/>
                <w:szCs w:val="22"/>
              </w:rPr>
              <w:t>$15,500</w:t>
            </w:r>
          </w:p>
        </w:tc>
      </w:tr>
      <w:tr w:rsidR="00FF0700" w:rsidTr="00CE09B7" w14:paraId="22F2F20D" w14:textId="77777777">
        <w:tc>
          <w:tcPr>
            <w:tcW w:w="1975" w:type="dxa"/>
          </w:tcPr>
          <w:p w:rsidRPr="00473742" w:rsidR="00FF0700" w:rsidP="009A5578" w:rsidRDefault="00FF0700" w14:paraId="36B71738" w14:textId="77777777">
            <w:pPr>
              <w:pStyle w:val="Caption"/>
              <w:keepNext/>
              <w:rPr>
                <w:rFonts w:ascii="Palatino Linotype" w:hAnsi="Palatino Linotype"/>
                <w:i w:val="0"/>
                <w:iCs w:val="0"/>
                <w:color w:val="000000" w:themeColor="text1"/>
                <w:sz w:val="22"/>
                <w:szCs w:val="22"/>
              </w:rPr>
            </w:pPr>
            <w:r w:rsidRPr="00473742">
              <w:rPr>
                <w:rFonts w:ascii="Palatino Linotype" w:hAnsi="Palatino Linotype"/>
                <w:i w:val="0"/>
                <w:iCs w:val="0"/>
                <w:color w:val="000000" w:themeColor="text1"/>
                <w:sz w:val="22"/>
                <w:szCs w:val="22"/>
              </w:rPr>
              <w:t>DCFC</w:t>
            </w:r>
          </w:p>
        </w:tc>
        <w:tc>
          <w:tcPr>
            <w:tcW w:w="1260" w:type="dxa"/>
          </w:tcPr>
          <w:p w:rsidRPr="00473742" w:rsidR="00FF0700" w:rsidP="009A5578" w:rsidRDefault="00FF0700" w14:paraId="2902A0D4" w14:textId="77777777">
            <w:pPr>
              <w:pStyle w:val="Caption"/>
              <w:keepNext/>
              <w:rPr>
                <w:rFonts w:ascii="Palatino Linotype" w:hAnsi="Palatino Linotype"/>
                <w:i w:val="0"/>
                <w:iCs w:val="0"/>
                <w:color w:val="000000" w:themeColor="text1"/>
                <w:sz w:val="22"/>
                <w:szCs w:val="22"/>
              </w:rPr>
            </w:pPr>
            <w:r w:rsidRPr="00473742">
              <w:rPr>
                <w:rFonts w:ascii="Palatino Linotype" w:hAnsi="Palatino Linotype"/>
                <w:i w:val="0"/>
                <w:iCs w:val="0"/>
                <w:color w:val="000000" w:themeColor="text1"/>
                <w:sz w:val="22"/>
                <w:szCs w:val="22"/>
              </w:rPr>
              <w:t>$45,000</w:t>
            </w:r>
          </w:p>
        </w:tc>
        <w:tc>
          <w:tcPr>
            <w:tcW w:w="1529" w:type="dxa"/>
          </w:tcPr>
          <w:p w:rsidRPr="00473742" w:rsidR="00FF0700" w:rsidP="009A5578" w:rsidRDefault="00FF0700" w14:paraId="64E0A48E" w14:textId="77777777">
            <w:pPr>
              <w:pStyle w:val="Caption"/>
              <w:keepNext/>
              <w:rPr>
                <w:rFonts w:ascii="Palatino Linotype" w:hAnsi="Palatino Linotype"/>
                <w:i w:val="0"/>
                <w:iCs w:val="0"/>
                <w:color w:val="000000" w:themeColor="text1"/>
                <w:sz w:val="22"/>
                <w:szCs w:val="22"/>
              </w:rPr>
            </w:pPr>
            <w:r w:rsidRPr="00473742">
              <w:rPr>
                <w:rFonts w:ascii="Palatino Linotype" w:hAnsi="Palatino Linotype"/>
                <w:i w:val="0"/>
                <w:iCs w:val="0"/>
                <w:color w:val="000000" w:themeColor="text1"/>
                <w:sz w:val="22"/>
                <w:szCs w:val="22"/>
              </w:rPr>
              <w:t>$7,000</w:t>
            </w:r>
          </w:p>
        </w:tc>
        <w:tc>
          <w:tcPr>
            <w:tcW w:w="1546" w:type="dxa"/>
          </w:tcPr>
          <w:p w:rsidRPr="00473742" w:rsidR="00FF0700" w:rsidP="009A5578" w:rsidRDefault="00FF0700" w14:paraId="1915B6A0" w14:textId="77777777">
            <w:pPr>
              <w:pStyle w:val="Caption"/>
              <w:keepNext/>
              <w:rPr>
                <w:rFonts w:ascii="Palatino Linotype" w:hAnsi="Palatino Linotype"/>
                <w:i w:val="0"/>
                <w:iCs w:val="0"/>
                <w:color w:val="000000" w:themeColor="text1"/>
                <w:sz w:val="22"/>
                <w:szCs w:val="22"/>
              </w:rPr>
            </w:pPr>
            <w:r w:rsidRPr="00473742">
              <w:rPr>
                <w:rFonts w:ascii="Palatino Linotype" w:hAnsi="Palatino Linotype"/>
                <w:i w:val="0"/>
                <w:iCs w:val="0"/>
                <w:color w:val="000000" w:themeColor="text1"/>
                <w:sz w:val="22"/>
                <w:szCs w:val="22"/>
              </w:rPr>
              <w:t>$20,000</w:t>
            </w:r>
          </w:p>
        </w:tc>
        <w:tc>
          <w:tcPr>
            <w:tcW w:w="1882" w:type="dxa"/>
          </w:tcPr>
          <w:p w:rsidRPr="00473742" w:rsidR="00FF0700" w:rsidP="009A5578" w:rsidRDefault="00FF0700" w14:paraId="710BE633" w14:textId="77777777">
            <w:pPr>
              <w:pStyle w:val="Caption"/>
              <w:keepNext/>
              <w:rPr>
                <w:rFonts w:ascii="Palatino Linotype" w:hAnsi="Palatino Linotype"/>
                <w:i w:val="0"/>
                <w:iCs w:val="0"/>
                <w:color w:val="000000" w:themeColor="text1"/>
                <w:sz w:val="22"/>
                <w:szCs w:val="22"/>
              </w:rPr>
            </w:pPr>
            <w:r w:rsidRPr="00473742">
              <w:rPr>
                <w:rFonts w:ascii="Palatino Linotype" w:hAnsi="Palatino Linotype"/>
                <w:i w:val="0"/>
                <w:iCs w:val="0"/>
                <w:color w:val="000000" w:themeColor="text1"/>
                <w:sz w:val="22"/>
                <w:szCs w:val="22"/>
              </w:rPr>
              <w:t>$8,000</w:t>
            </w:r>
          </w:p>
        </w:tc>
        <w:tc>
          <w:tcPr>
            <w:tcW w:w="1158" w:type="dxa"/>
          </w:tcPr>
          <w:p w:rsidRPr="00473742" w:rsidR="00FF0700" w:rsidP="009A5578" w:rsidRDefault="00FF0700" w14:paraId="708B16B4" w14:textId="77777777">
            <w:pPr>
              <w:pStyle w:val="Caption"/>
              <w:keepNext/>
              <w:rPr>
                <w:rFonts w:ascii="Palatino Linotype" w:hAnsi="Palatino Linotype"/>
                <w:b/>
                <w:bCs/>
                <w:i w:val="0"/>
                <w:iCs w:val="0"/>
                <w:color w:val="000000" w:themeColor="text1"/>
                <w:sz w:val="22"/>
                <w:szCs w:val="22"/>
              </w:rPr>
            </w:pPr>
            <w:r w:rsidRPr="00473742">
              <w:rPr>
                <w:rFonts w:ascii="Palatino Linotype" w:hAnsi="Palatino Linotype"/>
                <w:b/>
                <w:bCs/>
                <w:i w:val="0"/>
                <w:iCs w:val="0"/>
                <w:color w:val="000000" w:themeColor="text1"/>
                <w:sz w:val="22"/>
                <w:szCs w:val="22"/>
              </w:rPr>
              <w:t>$80,000</w:t>
            </w:r>
          </w:p>
        </w:tc>
      </w:tr>
    </w:tbl>
    <w:p w:rsidR="00FF0700" w:rsidP="009A5578" w:rsidRDefault="00FF0700" w14:paraId="5D3C9D89" w14:textId="77777777">
      <w:pPr>
        <w:pStyle w:val="Caption"/>
        <w:keepNext/>
      </w:pPr>
    </w:p>
    <w:p w:rsidRPr="00CE09B7" w:rsidR="00FF0700" w:rsidP="00CE09B7" w:rsidRDefault="00FF0700" w14:paraId="79746F2D" w14:textId="77777777">
      <w:pPr>
        <w:pStyle w:val="Caption"/>
        <w:keepNext/>
        <w:rPr>
          <w:b/>
          <w:bCs/>
          <w:sz w:val="22"/>
          <w:szCs w:val="22"/>
        </w:rPr>
      </w:pPr>
      <w:r w:rsidRPr="00CE09B7">
        <w:rPr>
          <w:b/>
          <w:bCs/>
          <w:sz w:val="22"/>
          <w:szCs w:val="22"/>
        </w:rPr>
        <w:t xml:space="preserve">Table </w:t>
      </w:r>
      <w:r>
        <w:rPr>
          <w:b/>
          <w:bCs/>
          <w:noProof/>
          <w:sz w:val="22"/>
          <w:szCs w:val="22"/>
        </w:rPr>
        <w:t>3</w:t>
      </w:r>
      <w:r w:rsidRPr="00CE09B7">
        <w:rPr>
          <w:b/>
          <w:bCs/>
          <w:sz w:val="22"/>
          <w:szCs w:val="22"/>
        </w:rPr>
        <w:t xml:space="preserve"> SCE</w:t>
      </w:r>
      <w:r>
        <w:rPr>
          <w:b/>
          <w:bCs/>
          <w:sz w:val="22"/>
          <w:szCs w:val="22"/>
        </w:rPr>
        <w:t>’</w:t>
      </w:r>
      <w:r w:rsidRPr="00CE09B7">
        <w:rPr>
          <w:b/>
          <w:bCs/>
          <w:sz w:val="22"/>
          <w:szCs w:val="22"/>
        </w:rPr>
        <w:t>s Schools Pilot Program Rebate Value</w:t>
      </w:r>
    </w:p>
    <w:tbl>
      <w:tblPr>
        <w:tblStyle w:val="TableGrid"/>
        <w:tblW w:w="9445" w:type="dxa"/>
        <w:tblLook w:val="04A0" w:firstRow="1" w:lastRow="0" w:firstColumn="1" w:lastColumn="0" w:noHBand="0" w:noVBand="1"/>
      </w:tblPr>
      <w:tblGrid>
        <w:gridCol w:w="1542"/>
        <w:gridCol w:w="1339"/>
        <w:gridCol w:w="1202"/>
        <w:gridCol w:w="1524"/>
        <w:gridCol w:w="1439"/>
        <w:gridCol w:w="1148"/>
        <w:gridCol w:w="1251"/>
      </w:tblGrid>
      <w:tr w:rsidR="00FF0700" w:rsidTr="00CE09B7" w14:paraId="5182DC23" w14:textId="77777777">
        <w:trPr>
          <w:trHeight w:val="629"/>
        </w:trPr>
        <w:tc>
          <w:tcPr>
            <w:tcW w:w="1719" w:type="dxa"/>
          </w:tcPr>
          <w:p w:rsidRPr="00C306AE" w:rsidR="00FF0700" w:rsidP="00CE09B7" w:rsidRDefault="00FF0700" w14:paraId="02DA0C75" w14:textId="77777777">
            <w:pPr>
              <w:rPr>
                <w:rFonts w:ascii="Palatino Linotype" w:hAnsi="Palatino Linotype"/>
                <w:b/>
                <w:bCs/>
              </w:rPr>
            </w:pPr>
            <w:r w:rsidRPr="00C306AE">
              <w:rPr>
                <w:rFonts w:ascii="Palatino Linotype" w:hAnsi="Palatino Linotype"/>
                <w:b/>
                <w:bCs/>
              </w:rPr>
              <w:t>Equipment Type</w:t>
            </w:r>
          </w:p>
        </w:tc>
        <w:tc>
          <w:tcPr>
            <w:tcW w:w="1216" w:type="dxa"/>
          </w:tcPr>
          <w:p w:rsidRPr="00C306AE" w:rsidR="00FF0700" w:rsidP="00CE09B7" w:rsidRDefault="00FF0700" w14:paraId="021CA8C5" w14:textId="77777777">
            <w:pPr>
              <w:rPr>
                <w:rFonts w:ascii="Palatino Linotype" w:hAnsi="Palatino Linotype"/>
                <w:b/>
                <w:bCs/>
              </w:rPr>
            </w:pPr>
            <w:r w:rsidRPr="00C306AE">
              <w:rPr>
                <w:rFonts w:ascii="Palatino Linotype" w:hAnsi="Palatino Linotype"/>
                <w:b/>
                <w:bCs/>
              </w:rPr>
              <w:t>Equipment</w:t>
            </w:r>
          </w:p>
        </w:tc>
        <w:tc>
          <w:tcPr>
            <w:tcW w:w="1240" w:type="dxa"/>
          </w:tcPr>
          <w:p w:rsidRPr="00C306AE" w:rsidR="00FF0700" w:rsidP="00CE09B7" w:rsidRDefault="00FF0700" w14:paraId="20832CE4" w14:textId="77777777">
            <w:pPr>
              <w:rPr>
                <w:rFonts w:ascii="Palatino Linotype" w:hAnsi="Palatino Linotype"/>
                <w:b/>
                <w:bCs/>
              </w:rPr>
            </w:pPr>
            <w:r w:rsidRPr="00C306AE">
              <w:rPr>
                <w:rFonts w:ascii="Palatino Linotype" w:hAnsi="Palatino Linotype"/>
                <w:b/>
                <w:bCs/>
              </w:rPr>
              <w:t xml:space="preserve">Warranty </w:t>
            </w:r>
          </w:p>
        </w:tc>
        <w:tc>
          <w:tcPr>
            <w:tcW w:w="1424" w:type="dxa"/>
          </w:tcPr>
          <w:p w:rsidRPr="00C306AE" w:rsidR="00FF0700" w:rsidP="00CE09B7" w:rsidRDefault="00FF0700" w14:paraId="635DEE74" w14:textId="77777777">
            <w:pPr>
              <w:rPr>
                <w:rFonts w:ascii="Palatino Linotype" w:hAnsi="Palatino Linotype"/>
                <w:b/>
                <w:bCs/>
              </w:rPr>
            </w:pPr>
            <w:r w:rsidRPr="00C306AE">
              <w:rPr>
                <w:rFonts w:ascii="Palatino Linotype" w:hAnsi="Palatino Linotype"/>
                <w:b/>
                <w:bCs/>
              </w:rPr>
              <w:t>Maintenance</w:t>
            </w:r>
          </w:p>
        </w:tc>
        <w:tc>
          <w:tcPr>
            <w:tcW w:w="1319" w:type="dxa"/>
          </w:tcPr>
          <w:p w:rsidRPr="00C306AE" w:rsidR="00FF0700" w:rsidP="00CE09B7" w:rsidRDefault="00FF0700" w14:paraId="2591C337" w14:textId="77777777">
            <w:pPr>
              <w:rPr>
                <w:rFonts w:ascii="Palatino Linotype" w:hAnsi="Palatino Linotype"/>
                <w:b/>
                <w:bCs/>
              </w:rPr>
            </w:pPr>
            <w:r w:rsidRPr="00C306AE">
              <w:rPr>
                <w:rFonts w:ascii="Palatino Linotype" w:hAnsi="Palatino Linotype"/>
                <w:b/>
                <w:bCs/>
              </w:rPr>
              <w:t>Networking</w:t>
            </w:r>
          </w:p>
        </w:tc>
        <w:tc>
          <w:tcPr>
            <w:tcW w:w="1194" w:type="dxa"/>
          </w:tcPr>
          <w:p w:rsidRPr="00C306AE" w:rsidR="00FF0700" w:rsidP="00CE09B7" w:rsidRDefault="00FF0700" w14:paraId="63FADE1C" w14:textId="77777777">
            <w:pPr>
              <w:rPr>
                <w:rFonts w:ascii="Palatino Linotype" w:hAnsi="Palatino Linotype"/>
                <w:b/>
                <w:bCs/>
              </w:rPr>
            </w:pPr>
            <w:r w:rsidRPr="00C306AE">
              <w:rPr>
                <w:rFonts w:ascii="Palatino Linotype" w:hAnsi="Palatino Linotype"/>
                <w:b/>
                <w:bCs/>
              </w:rPr>
              <w:t>Delivery &amp; Training</w:t>
            </w:r>
          </w:p>
        </w:tc>
        <w:tc>
          <w:tcPr>
            <w:tcW w:w="1333" w:type="dxa"/>
          </w:tcPr>
          <w:p w:rsidRPr="00C306AE" w:rsidR="00FF0700" w:rsidP="00CE09B7" w:rsidRDefault="00FF0700" w14:paraId="2A27BCCD" w14:textId="77777777">
            <w:pPr>
              <w:rPr>
                <w:rFonts w:ascii="Palatino Linotype" w:hAnsi="Palatino Linotype"/>
                <w:b/>
                <w:bCs/>
              </w:rPr>
            </w:pPr>
            <w:r w:rsidRPr="00C306AE">
              <w:rPr>
                <w:rFonts w:ascii="Palatino Linotype" w:hAnsi="Palatino Linotype"/>
                <w:b/>
                <w:bCs/>
              </w:rPr>
              <w:t>Proposed Rebate</w:t>
            </w:r>
          </w:p>
        </w:tc>
      </w:tr>
      <w:tr w:rsidR="00FF0700" w:rsidTr="00CE09B7" w14:paraId="54360C99" w14:textId="77777777">
        <w:trPr>
          <w:trHeight w:val="440"/>
        </w:trPr>
        <w:tc>
          <w:tcPr>
            <w:tcW w:w="1719" w:type="dxa"/>
          </w:tcPr>
          <w:p w:rsidRPr="00C306AE" w:rsidR="00FF0700" w:rsidP="00CE09B7" w:rsidRDefault="00FF0700" w14:paraId="2444187D" w14:textId="77777777">
            <w:pPr>
              <w:rPr>
                <w:rFonts w:ascii="Palatino Linotype" w:hAnsi="Palatino Linotype"/>
              </w:rPr>
            </w:pPr>
            <w:r w:rsidRPr="00C306AE">
              <w:rPr>
                <w:rFonts w:ascii="Palatino Linotype" w:hAnsi="Palatino Linotype"/>
              </w:rPr>
              <w:t>L2 (single port)</w:t>
            </w:r>
          </w:p>
        </w:tc>
        <w:tc>
          <w:tcPr>
            <w:tcW w:w="1216" w:type="dxa"/>
          </w:tcPr>
          <w:p w:rsidRPr="00C306AE" w:rsidR="00FF0700" w:rsidP="00CE09B7" w:rsidRDefault="00FF0700" w14:paraId="636C2ADB" w14:textId="77777777">
            <w:pPr>
              <w:rPr>
                <w:rFonts w:ascii="Palatino Linotype" w:hAnsi="Palatino Linotype"/>
              </w:rPr>
            </w:pPr>
            <w:r w:rsidRPr="00C306AE">
              <w:rPr>
                <w:rFonts w:ascii="Palatino Linotype" w:hAnsi="Palatino Linotype"/>
              </w:rPr>
              <w:t>$3,550</w:t>
            </w:r>
          </w:p>
        </w:tc>
        <w:tc>
          <w:tcPr>
            <w:tcW w:w="1240" w:type="dxa"/>
          </w:tcPr>
          <w:p w:rsidRPr="00C306AE" w:rsidR="00FF0700" w:rsidP="00CE09B7" w:rsidRDefault="00FF0700" w14:paraId="47B4FD48" w14:textId="77777777">
            <w:pPr>
              <w:rPr>
                <w:rFonts w:ascii="Palatino Linotype" w:hAnsi="Palatino Linotype"/>
              </w:rPr>
            </w:pPr>
            <w:r w:rsidRPr="00C306AE">
              <w:rPr>
                <w:rFonts w:ascii="Palatino Linotype" w:hAnsi="Palatino Linotype"/>
              </w:rPr>
              <w:t>$1,250</w:t>
            </w:r>
          </w:p>
        </w:tc>
        <w:tc>
          <w:tcPr>
            <w:tcW w:w="1424" w:type="dxa"/>
          </w:tcPr>
          <w:p w:rsidRPr="00C306AE" w:rsidR="00FF0700" w:rsidP="00CE09B7" w:rsidRDefault="00FF0700" w14:paraId="05659850" w14:textId="77777777">
            <w:pPr>
              <w:rPr>
                <w:rFonts w:ascii="Palatino Linotype" w:hAnsi="Palatino Linotype"/>
              </w:rPr>
            </w:pPr>
            <w:r w:rsidRPr="00C306AE">
              <w:rPr>
                <w:rFonts w:ascii="Palatino Linotype" w:hAnsi="Palatino Linotype"/>
              </w:rPr>
              <w:t>$3,000</w:t>
            </w:r>
          </w:p>
        </w:tc>
        <w:tc>
          <w:tcPr>
            <w:tcW w:w="1319" w:type="dxa"/>
          </w:tcPr>
          <w:p w:rsidRPr="00C306AE" w:rsidR="00FF0700" w:rsidP="00CE09B7" w:rsidRDefault="00FF0700" w14:paraId="2590F0C8" w14:textId="77777777">
            <w:pPr>
              <w:rPr>
                <w:rFonts w:ascii="Palatino Linotype" w:hAnsi="Palatino Linotype"/>
              </w:rPr>
            </w:pPr>
            <w:r w:rsidRPr="00C306AE">
              <w:rPr>
                <w:rFonts w:ascii="Palatino Linotype" w:hAnsi="Palatino Linotype"/>
              </w:rPr>
              <w:t>$2,200</w:t>
            </w:r>
          </w:p>
        </w:tc>
        <w:tc>
          <w:tcPr>
            <w:tcW w:w="1194" w:type="dxa"/>
          </w:tcPr>
          <w:p w:rsidRPr="00C306AE" w:rsidR="00FF0700" w:rsidP="00CE09B7" w:rsidRDefault="00FF0700" w14:paraId="4471F994" w14:textId="77777777">
            <w:pPr>
              <w:rPr>
                <w:rFonts w:ascii="Palatino Linotype" w:hAnsi="Palatino Linotype"/>
              </w:rPr>
            </w:pPr>
            <w:r w:rsidRPr="00C306AE">
              <w:rPr>
                <w:rFonts w:ascii="Palatino Linotype" w:hAnsi="Palatino Linotype"/>
              </w:rPr>
              <w:t>$600</w:t>
            </w:r>
          </w:p>
        </w:tc>
        <w:tc>
          <w:tcPr>
            <w:tcW w:w="1333" w:type="dxa"/>
          </w:tcPr>
          <w:p w:rsidRPr="00C306AE" w:rsidR="00FF0700" w:rsidP="00CE09B7" w:rsidRDefault="00FF0700" w14:paraId="63808332" w14:textId="77777777">
            <w:pPr>
              <w:rPr>
                <w:rFonts w:ascii="Palatino Linotype" w:hAnsi="Palatino Linotype"/>
              </w:rPr>
            </w:pPr>
            <w:r w:rsidRPr="00C306AE">
              <w:rPr>
                <w:rFonts w:ascii="Palatino Linotype" w:hAnsi="Palatino Linotype"/>
              </w:rPr>
              <w:t>$10,600</w:t>
            </w:r>
          </w:p>
        </w:tc>
      </w:tr>
      <w:tr w:rsidR="00FF0700" w:rsidTr="00CE09B7" w14:paraId="334E7E32" w14:textId="77777777">
        <w:trPr>
          <w:trHeight w:val="530"/>
        </w:trPr>
        <w:tc>
          <w:tcPr>
            <w:tcW w:w="1719" w:type="dxa"/>
          </w:tcPr>
          <w:p w:rsidRPr="00C306AE" w:rsidR="00FF0700" w:rsidP="00CE09B7" w:rsidRDefault="00FF0700" w14:paraId="388E37F4" w14:textId="77777777">
            <w:pPr>
              <w:rPr>
                <w:rFonts w:ascii="Palatino Linotype" w:hAnsi="Palatino Linotype"/>
              </w:rPr>
            </w:pPr>
            <w:r w:rsidRPr="00C306AE">
              <w:rPr>
                <w:rFonts w:ascii="Palatino Linotype" w:hAnsi="Palatino Linotype"/>
              </w:rPr>
              <w:t>L2 (dual port)</w:t>
            </w:r>
          </w:p>
        </w:tc>
        <w:tc>
          <w:tcPr>
            <w:tcW w:w="1216" w:type="dxa"/>
          </w:tcPr>
          <w:p w:rsidRPr="00C306AE" w:rsidR="00FF0700" w:rsidP="00CE09B7" w:rsidRDefault="00FF0700" w14:paraId="43055479" w14:textId="77777777">
            <w:pPr>
              <w:rPr>
                <w:rFonts w:ascii="Palatino Linotype" w:hAnsi="Palatino Linotype"/>
              </w:rPr>
            </w:pPr>
            <w:r w:rsidRPr="00C306AE">
              <w:rPr>
                <w:rFonts w:ascii="Palatino Linotype" w:hAnsi="Palatino Linotype"/>
              </w:rPr>
              <w:t>$3,900</w:t>
            </w:r>
          </w:p>
        </w:tc>
        <w:tc>
          <w:tcPr>
            <w:tcW w:w="1240" w:type="dxa"/>
          </w:tcPr>
          <w:p w:rsidRPr="00C306AE" w:rsidR="00FF0700" w:rsidP="00CE09B7" w:rsidRDefault="00FF0700" w14:paraId="3E866EB6" w14:textId="77777777">
            <w:pPr>
              <w:rPr>
                <w:rFonts w:ascii="Palatino Linotype" w:hAnsi="Palatino Linotype"/>
              </w:rPr>
            </w:pPr>
            <w:r w:rsidRPr="00C306AE">
              <w:rPr>
                <w:rFonts w:ascii="Palatino Linotype" w:hAnsi="Palatino Linotype"/>
              </w:rPr>
              <w:t>$1,350</w:t>
            </w:r>
          </w:p>
        </w:tc>
        <w:tc>
          <w:tcPr>
            <w:tcW w:w="1424" w:type="dxa"/>
          </w:tcPr>
          <w:p w:rsidRPr="00C306AE" w:rsidR="00FF0700" w:rsidP="00CE09B7" w:rsidRDefault="00FF0700" w14:paraId="46522444" w14:textId="77777777">
            <w:pPr>
              <w:rPr>
                <w:rFonts w:ascii="Palatino Linotype" w:hAnsi="Palatino Linotype"/>
              </w:rPr>
            </w:pPr>
            <w:r w:rsidRPr="00C306AE">
              <w:rPr>
                <w:rFonts w:ascii="Palatino Linotype" w:hAnsi="Palatino Linotype"/>
              </w:rPr>
              <w:t>$3,350</w:t>
            </w:r>
          </w:p>
        </w:tc>
        <w:tc>
          <w:tcPr>
            <w:tcW w:w="1319" w:type="dxa"/>
          </w:tcPr>
          <w:p w:rsidRPr="00C306AE" w:rsidR="00FF0700" w:rsidP="00CE09B7" w:rsidRDefault="00FF0700" w14:paraId="584630F9" w14:textId="77777777">
            <w:pPr>
              <w:rPr>
                <w:rFonts w:ascii="Palatino Linotype" w:hAnsi="Palatino Linotype"/>
              </w:rPr>
            </w:pPr>
            <w:r w:rsidRPr="00C306AE">
              <w:rPr>
                <w:rFonts w:ascii="Palatino Linotype" w:hAnsi="Palatino Linotype"/>
              </w:rPr>
              <w:t>$4,400</w:t>
            </w:r>
          </w:p>
        </w:tc>
        <w:tc>
          <w:tcPr>
            <w:tcW w:w="1194" w:type="dxa"/>
          </w:tcPr>
          <w:p w:rsidRPr="00C306AE" w:rsidR="00FF0700" w:rsidP="00CE09B7" w:rsidRDefault="00FF0700" w14:paraId="17D1AC5B" w14:textId="77777777">
            <w:pPr>
              <w:rPr>
                <w:rFonts w:ascii="Palatino Linotype" w:hAnsi="Palatino Linotype"/>
              </w:rPr>
            </w:pPr>
            <w:r w:rsidRPr="00C306AE">
              <w:rPr>
                <w:rFonts w:ascii="Palatino Linotype" w:hAnsi="Palatino Linotype"/>
              </w:rPr>
              <w:t>$600</w:t>
            </w:r>
          </w:p>
        </w:tc>
        <w:tc>
          <w:tcPr>
            <w:tcW w:w="1333" w:type="dxa"/>
          </w:tcPr>
          <w:p w:rsidRPr="00C306AE" w:rsidR="00FF0700" w:rsidP="00CE09B7" w:rsidRDefault="00FF0700" w14:paraId="61CDE81D" w14:textId="77777777">
            <w:pPr>
              <w:rPr>
                <w:rFonts w:ascii="Palatino Linotype" w:hAnsi="Palatino Linotype"/>
              </w:rPr>
            </w:pPr>
            <w:r w:rsidRPr="00C306AE">
              <w:rPr>
                <w:rFonts w:ascii="Palatino Linotype" w:hAnsi="Palatino Linotype"/>
              </w:rPr>
              <w:t>$13,600</w:t>
            </w:r>
          </w:p>
        </w:tc>
      </w:tr>
    </w:tbl>
    <w:p w:rsidR="00F91D5B" w:rsidP="00F91D5B" w:rsidRDefault="00F91D5B" w14:paraId="41332F23" w14:textId="6CE50DA7">
      <w:pPr>
        <w:rPr>
          <w:rFonts w:ascii="Palatino Linotype" w:hAnsi="Palatino Linotype"/>
        </w:rPr>
      </w:pPr>
      <w:r w:rsidRPr="00976A51">
        <w:rPr>
          <w:rFonts w:ascii="Palatino Linotype" w:hAnsi="Palatino Linotype"/>
        </w:rPr>
        <w:fldChar w:fldCharType="end"/>
      </w:r>
      <w:r w:rsidR="00C760DB">
        <w:rPr>
          <w:rFonts w:ascii="Palatino Linotype" w:hAnsi="Palatino Linotype"/>
        </w:rPr>
        <w:t xml:space="preserve"> and</w:t>
      </w:r>
      <w:r w:rsidRPr="00976A51">
        <w:rPr>
          <w:rFonts w:ascii="Palatino Linotype" w:hAnsi="Palatino Linotype"/>
        </w:rPr>
        <w:t xml:space="preserve"> </w:t>
      </w:r>
      <w:r w:rsidRPr="00976A51">
        <w:rPr>
          <w:rFonts w:ascii="Palatino Linotype" w:hAnsi="Palatino Linotype"/>
        </w:rPr>
        <w:fldChar w:fldCharType="begin"/>
      </w:r>
      <w:r w:rsidRPr="00DB5D63">
        <w:rPr>
          <w:rFonts w:ascii="Palatino Linotype" w:hAnsi="Palatino Linotype"/>
        </w:rPr>
        <w:instrText xml:space="preserve"> REF _Ref54190637 \h </w:instrText>
      </w:r>
      <w:r>
        <w:rPr>
          <w:rFonts w:ascii="Palatino Linotype" w:hAnsi="Palatino Linotype"/>
        </w:rPr>
        <w:instrText xml:space="preserve"> \* MERGEFORMAT </w:instrText>
      </w:r>
      <w:r w:rsidRPr="00976A51">
        <w:rPr>
          <w:rFonts w:ascii="Palatino Linotype" w:hAnsi="Palatino Linotype"/>
        </w:rPr>
      </w:r>
      <w:r w:rsidRPr="00976A51">
        <w:rPr>
          <w:rFonts w:ascii="Palatino Linotype" w:hAnsi="Palatino Linotype"/>
        </w:rPr>
        <w:fldChar w:fldCharType="separate"/>
      </w:r>
      <w:r w:rsidRPr="00FF0700" w:rsidR="00FF0700">
        <w:rPr>
          <w:rFonts w:ascii="Palatino Linotype" w:hAnsi="Palatino Linotype"/>
        </w:rPr>
        <w:t xml:space="preserve">Table </w:t>
      </w:r>
      <w:r w:rsidRPr="00FF0700" w:rsidR="00FF0700">
        <w:rPr>
          <w:rFonts w:ascii="Palatino Linotype" w:hAnsi="Palatino Linotype"/>
          <w:noProof/>
        </w:rPr>
        <w:t>4</w:t>
      </w:r>
      <w:r w:rsidRPr="00976A51">
        <w:rPr>
          <w:rFonts w:ascii="Palatino Linotype" w:hAnsi="Palatino Linotype"/>
        </w:rPr>
        <w:fldChar w:fldCharType="end"/>
      </w:r>
      <w:r w:rsidRPr="00976A51">
        <w:rPr>
          <w:rFonts w:ascii="Palatino Linotype" w:hAnsi="Palatino Linotype"/>
        </w:rPr>
        <w:t xml:space="preserve">, </w:t>
      </w:r>
      <w:r w:rsidR="00C760DB">
        <w:rPr>
          <w:rFonts w:ascii="Palatino Linotype" w:hAnsi="Palatino Linotype"/>
        </w:rPr>
        <w:t xml:space="preserve">while SDG&amp;E developed the EVSE rebate amount listed </w:t>
      </w:r>
      <w:r w:rsidRPr="00976A51" w:rsidR="00C760DB">
        <w:rPr>
          <w:rFonts w:ascii="Palatino Linotype" w:hAnsi="Palatino Linotype"/>
        </w:rPr>
        <w:t>in</w:t>
      </w:r>
      <w:r w:rsidRPr="00976A51">
        <w:rPr>
          <w:rFonts w:ascii="Palatino Linotype" w:hAnsi="Palatino Linotype"/>
        </w:rPr>
        <w:t xml:space="preserve"> </w:t>
      </w:r>
      <w:r w:rsidRPr="00976A51">
        <w:rPr>
          <w:rFonts w:ascii="Palatino Linotype" w:hAnsi="Palatino Linotype"/>
        </w:rPr>
        <w:fldChar w:fldCharType="begin"/>
      </w:r>
      <w:r w:rsidRPr="00DB5D63">
        <w:rPr>
          <w:rFonts w:ascii="Palatino Linotype" w:hAnsi="Palatino Linotype"/>
        </w:rPr>
        <w:instrText xml:space="preserve"> REF _Ref54190637 \h </w:instrText>
      </w:r>
      <w:r>
        <w:rPr>
          <w:rFonts w:ascii="Palatino Linotype" w:hAnsi="Palatino Linotype"/>
        </w:rPr>
        <w:instrText xml:space="preserve"> \* MERGEFORMAT </w:instrText>
      </w:r>
      <w:r w:rsidRPr="00976A51">
        <w:rPr>
          <w:rFonts w:ascii="Palatino Linotype" w:hAnsi="Palatino Linotype"/>
        </w:rPr>
      </w:r>
      <w:r w:rsidRPr="00976A51">
        <w:rPr>
          <w:rFonts w:ascii="Palatino Linotype" w:hAnsi="Palatino Linotype"/>
        </w:rPr>
        <w:fldChar w:fldCharType="separate"/>
      </w:r>
      <w:r w:rsidRPr="00FF0700" w:rsidR="00FF0700">
        <w:rPr>
          <w:rFonts w:ascii="Palatino Linotype" w:hAnsi="Palatino Linotype"/>
        </w:rPr>
        <w:t xml:space="preserve">Table </w:t>
      </w:r>
      <w:r w:rsidRPr="00FF0700" w:rsidR="00FF0700">
        <w:rPr>
          <w:rFonts w:ascii="Palatino Linotype" w:hAnsi="Palatino Linotype"/>
          <w:noProof/>
        </w:rPr>
        <w:t>4</w:t>
      </w:r>
      <w:r w:rsidRPr="00976A51">
        <w:rPr>
          <w:rFonts w:ascii="Palatino Linotype" w:hAnsi="Palatino Linotype"/>
        </w:rPr>
        <w:fldChar w:fldCharType="end"/>
      </w:r>
      <w:r w:rsidRPr="00976A51">
        <w:rPr>
          <w:rFonts w:ascii="Palatino Linotype" w:hAnsi="Palatino Linotype"/>
        </w:rPr>
        <w:t xml:space="preserve">. </w:t>
      </w:r>
      <w:r>
        <w:rPr>
          <w:rFonts w:ascii="Palatino Linotype" w:hAnsi="Palatino Linotype"/>
        </w:rPr>
        <w:t xml:space="preserve">While </w:t>
      </w:r>
      <w:r w:rsidR="00A23409">
        <w:rPr>
          <w:rFonts w:ascii="Palatino Linotype" w:hAnsi="Palatino Linotype"/>
        </w:rPr>
        <w:t xml:space="preserve">the electric vehicle service providers (EVSPs) </w:t>
      </w:r>
      <w:r>
        <w:rPr>
          <w:rFonts w:ascii="Palatino Linotype" w:hAnsi="Palatino Linotype"/>
        </w:rPr>
        <w:t>provid</w:t>
      </w:r>
      <w:r w:rsidR="00A23409">
        <w:rPr>
          <w:rFonts w:ascii="Palatino Linotype" w:hAnsi="Palatino Linotype"/>
        </w:rPr>
        <w:t>ed</w:t>
      </w:r>
      <w:r>
        <w:rPr>
          <w:rFonts w:ascii="Palatino Linotype" w:hAnsi="Palatino Linotype"/>
        </w:rPr>
        <w:t xml:space="preserve"> cost data for IOU</w:t>
      </w:r>
      <w:r w:rsidR="008D4D23">
        <w:rPr>
          <w:rFonts w:ascii="Palatino Linotype" w:hAnsi="Palatino Linotype"/>
        </w:rPr>
        <w:t xml:space="preserve"> </w:t>
      </w:r>
      <w:r>
        <w:rPr>
          <w:rFonts w:ascii="Palatino Linotype" w:hAnsi="Palatino Linotype"/>
        </w:rPr>
        <w:t xml:space="preserve">ownership </w:t>
      </w:r>
      <w:r w:rsidR="00A23409">
        <w:rPr>
          <w:rFonts w:ascii="Palatino Linotype" w:hAnsi="Palatino Linotype"/>
        </w:rPr>
        <w:t xml:space="preserve">of EVSE </w:t>
      </w:r>
      <w:r>
        <w:rPr>
          <w:rFonts w:ascii="Palatino Linotype" w:hAnsi="Palatino Linotype"/>
        </w:rPr>
        <w:t>in the RFQ, the EVSPs have been reluctant to share the maintenance fees for site-host owned equipment.</w:t>
      </w:r>
      <w:r>
        <w:rPr>
          <w:rStyle w:val="FootnoteReference"/>
          <w:rFonts w:ascii="Palatino Linotype" w:hAnsi="Palatino Linotype"/>
        </w:rPr>
        <w:footnoteReference w:id="10"/>
      </w:r>
      <w:r>
        <w:rPr>
          <w:rFonts w:ascii="Palatino Linotype" w:hAnsi="Palatino Linotype"/>
        </w:rPr>
        <w:t xml:space="preserve"> However, the network service fees proposed by PG&amp;E, SCE and SDG&amp;E are consistent with the costs in previous CPUC authorized IOU TE programs and </w:t>
      </w:r>
      <w:r w:rsidR="006043B2">
        <w:rPr>
          <w:rFonts w:ascii="Palatino Linotype" w:hAnsi="Palatino Linotype"/>
        </w:rPr>
        <w:t xml:space="preserve">in </w:t>
      </w:r>
      <w:r>
        <w:rPr>
          <w:rFonts w:ascii="Palatino Linotype" w:hAnsi="Palatino Linotype"/>
        </w:rPr>
        <w:t>the California Energy Commission’s (CEC) California Electric Vehicle Incentive Program (</w:t>
      </w:r>
      <w:proofErr w:type="spellStart"/>
      <w:r>
        <w:rPr>
          <w:rFonts w:ascii="Palatino Linotype" w:hAnsi="Palatino Linotype"/>
        </w:rPr>
        <w:t>CALeVIP</w:t>
      </w:r>
      <w:proofErr w:type="spellEnd"/>
      <w:r>
        <w:rPr>
          <w:rFonts w:ascii="Palatino Linotype" w:hAnsi="Palatino Linotype"/>
        </w:rPr>
        <w:t xml:space="preserve">). </w:t>
      </w:r>
    </w:p>
    <w:p w:rsidR="00FD3C15" w:rsidP="002B1EEA" w:rsidRDefault="00FD3C15" w14:paraId="42A7B188" w14:textId="119EB13E">
      <w:pPr>
        <w:rPr>
          <w:rFonts w:ascii="Palatino Linotype" w:hAnsi="Palatino Linotype"/>
        </w:rPr>
      </w:pPr>
      <w:r>
        <w:rPr>
          <w:rFonts w:ascii="Palatino Linotype" w:hAnsi="Palatino Linotype"/>
        </w:rPr>
        <w:t xml:space="preserve">While reviewing these proposals, </w:t>
      </w:r>
      <w:r w:rsidR="003875F3">
        <w:rPr>
          <w:rFonts w:ascii="Palatino Linotype" w:hAnsi="Palatino Linotype"/>
        </w:rPr>
        <w:t>staff</w:t>
      </w:r>
      <w:r>
        <w:rPr>
          <w:rFonts w:ascii="Palatino Linotype" w:hAnsi="Palatino Linotype"/>
        </w:rPr>
        <w:t xml:space="preserve"> considered the reasonableness of the </w:t>
      </w:r>
      <w:r w:rsidR="00FE46AB">
        <w:rPr>
          <w:rFonts w:ascii="Palatino Linotype" w:hAnsi="Palatino Linotype"/>
        </w:rPr>
        <w:t xml:space="preserve">methodology </w:t>
      </w:r>
      <w:r w:rsidR="00051112">
        <w:rPr>
          <w:rFonts w:ascii="Palatino Linotype" w:hAnsi="Palatino Linotype"/>
        </w:rPr>
        <w:t xml:space="preserve">each IOU </w:t>
      </w:r>
      <w:r w:rsidR="00FE46AB">
        <w:rPr>
          <w:rFonts w:ascii="Palatino Linotype" w:hAnsi="Palatino Linotype"/>
        </w:rPr>
        <w:t>used to design the</w:t>
      </w:r>
      <w:r w:rsidR="00051112">
        <w:rPr>
          <w:rFonts w:ascii="Palatino Linotype" w:hAnsi="Palatino Linotype"/>
        </w:rPr>
        <w:t>ir</w:t>
      </w:r>
      <w:r w:rsidR="00FE46AB">
        <w:rPr>
          <w:rFonts w:ascii="Palatino Linotype" w:hAnsi="Palatino Linotype"/>
        </w:rPr>
        <w:t xml:space="preserve"> </w:t>
      </w:r>
      <w:r>
        <w:rPr>
          <w:rFonts w:ascii="Palatino Linotype" w:hAnsi="Palatino Linotype"/>
        </w:rPr>
        <w:t>rebate</w:t>
      </w:r>
      <w:r w:rsidR="00051112">
        <w:rPr>
          <w:rFonts w:ascii="Palatino Linotype" w:hAnsi="Palatino Linotype"/>
        </w:rPr>
        <w:t>s</w:t>
      </w:r>
      <w:r w:rsidR="00FE46AB">
        <w:rPr>
          <w:rFonts w:ascii="Palatino Linotype" w:hAnsi="Palatino Linotype"/>
        </w:rPr>
        <w:t>.</w:t>
      </w:r>
      <w:r>
        <w:rPr>
          <w:rFonts w:ascii="Palatino Linotype" w:hAnsi="Palatino Linotype"/>
        </w:rPr>
        <w:t xml:space="preserve"> First, for the rebate design, </w:t>
      </w:r>
      <w:r w:rsidR="005D7B80">
        <w:rPr>
          <w:rFonts w:ascii="Palatino Linotype" w:hAnsi="Palatino Linotype"/>
        </w:rPr>
        <w:t xml:space="preserve">PG&amp;E, </w:t>
      </w:r>
      <w:r w:rsidR="005156AA">
        <w:rPr>
          <w:rFonts w:ascii="Palatino Linotype" w:hAnsi="Palatino Linotype"/>
        </w:rPr>
        <w:t xml:space="preserve">SCE and </w:t>
      </w:r>
      <w:r>
        <w:rPr>
          <w:rFonts w:ascii="Palatino Linotype" w:hAnsi="Palatino Linotype"/>
        </w:rPr>
        <w:t xml:space="preserve">SDG&amp;E </w:t>
      </w:r>
      <w:r w:rsidR="005156AA">
        <w:rPr>
          <w:rFonts w:ascii="Palatino Linotype" w:hAnsi="Palatino Linotype"/>
        </w:rPr>
        <w:t>determined</w:t>
      </w:r>
      <w:r>
        <w:rPr>
          <w:rFonts w:ascii="Palatino Linotype" w:hAnsi="Palatino Linotype"/>
        </w:rPr>
        <w:t xml:space="preserve"> the rebate should include all ongoing costs for eight years and set all rebates at a fixed </w:t>
      </w:r>
      <w:r w:rsidR="00360D0E">
        <w:rPr>
          <w:rFonts w:ascii="Palatino Linotype" w:hAnsi="Palatino Linotype"/>
        </w:rPr>
        <w:t>amount</w:t>
      </w:r>
      <w:r w:rsidR="00E4299A">
        <w:rPr>
          <w:rFonts w:ascii="Palatino Linotype" w:hAnsi="Palatino Linotype"/>
        </w:rPr>
        <w:t xml:space="preserve"> for that time period</w:t>
      </w:r>
      <w:r>
        <w:rPr>
          <w:rFonts w:ascii="Palatino Linotype" w:hAnsi="Palatino Linotype"/>
        </w:rPr>
        <w:t xml:space="preserve">. Regarding the eight-year time period, the </w:t>
      </w:r>
      <w:r w:rsidR="00FE46AB">
        <w:rPr>
          <w:rFonts w:ascii="Palatino Linotype" w:hAnsi="Palatino Linotype"/>
        </w:rPr>
        <w:t xml:space="preserve">IOUs estimate that an EVSE </w:t>
      </w:r>
      <w:r>
        <w:rPr>
          <w:rFonts w:ascii="Palatino Linotype" w:hAnsi="Palatino Linotype"/>
        </w:rPr>
        <w:t>ha</w:t>
      </w:r>
      <w:r w:rsidR="00FE46AB">
        <w:rPr>
          <w:rFonts w:ascii="Palatino Linotype" w:hAnsi="Palatino Linotype"/>
        </w:rPr>
        <w:t>s</w:t>
      </w:r>
      <w:r>
        <w:rPr>
          <w:rFonts w:ascii="Palatino Linotype" w:hAnsi="Palatino Linotype"/>
        </w:rPr>
        <w:t xml:space="preserve"> a useful life of eight to ten years, with parties generally supporting this claim. Throughout </w:t>
      </w:r>
      <w:r w:rsidR="005D7B80">
        <w:rPr>
          <w:rFonts w:ascii="Palatino Linotype" w:hAnsi="Palatino Linotype"/>
        </w:rPr>
        <w:t>recent</w:t>
      </w:r>
      <w:r>
        <w:rPr>
          <w:rFonts w:ascii="Palatino Linotype" w:hAnsi="Palatino Linotype"/>
        </w:rPr>
        <w:t xml:space="preserve"> CPUC authorized light-duty TE programs, the IOUs have required all site-host</w:t>
      </w:r>
      <w:r w:rsidR="002C0B48">
        <w:rPr>
          <w:rFonts w:ascii="Palatino Linotype" w:hAnsi="Palatino Linotype"/>
        </w:rPr>
        <w:t>s</w:t>
      </w:r>
      <w:r>
        <w:rPr>
          <w:rFonts w:ascii="Palatino Linotype" w:hAnsi="Palatino Linotype"/>
        </w:rPr>
        <w:t xml:space="preserve"> to agree to keep the EVSE on the property and operational for a minimum of eight years before removing the equipment. With </w:t>
      </w:r>
      <w:r w:rsidR="005D7B80">
        <w:rPr>
          <w:rFonts w:ascii="Palatino Linotype" w:hAnsi="Palatino Linotype"/>
        </w:rPr>
        <w:t xml:space="preserve">PG&amp;E, </w:t>
      </w:r>
      <w:r w:rsidR="00D83671">
        <w:rPr>
          <w:rFonts w:ascii="Palatino Linotype" w:hAnsi="Palatino Linotype"/>
        </w:rPr>
        <w:t xml:space="preserve">SCE and </w:t>
      </w:r>
      <w:r>
        <w:rPr>
          <w:rFonts w:ascii="Palatino Linotype" w:hAnsi="Palatino Linotype"/>
        </w:rPr>
        <w:t>SDG&amp;E explicitly requiring the site-host</w:t>
      </w:r>
      <w:r w:rsidR="00D83671">
        <w:rPr>
          <w:rFonts w:ascii="Palatino Linotype" w:hAnsi="Palatino Linotype"/>
        </w:rPr>
        <w:t>s</w:t>
      </w:r>
      <w:r>
        <w:rPr>
          <w:rFonts w:ascii="Palatino Linotype" w:hAnsi="Palatino Linotype"/>
        </w:rPr>
        <w:t xml:space="preserve"> to keep the EVSE installed and accessible in the</w:t>
      </w:r>
      <w:r w:rsidR="005D7B80">
        <w:rPr>
          <w:rFonts w:ascii="Palatino Linotype" w:hAnsi="Palatino Linotype"/>
        </w:rPr>
        <w:t>ir</w:t>
      </w:r>
      <w:r>
        <w:rPr>
          <w:rFonts w:ascii="Palatino Linotype" w:hAnsi="Palatino Linotype"/>
        </w:rPr>
        <w:t xml:space="preserve"> Schools Pilot Program</w:t>
      </w:r>
      <w:r w:rsidR="005D7B80">
        <w:rPr>
          <w:rFonts w:ascii="Palatino Linotype" w:hAnsi="Palatino Linotype"/>
        </w:rPr>
        <w:t>s</w:t>
      </w:r>
      <w:r>
        <w:rPr>
          <w:rFonts w:ascii="Palatino Linotype" w:hAnsi="Palatino Linotype"/>
        </w:rPr>
        <w:t xml:space="preserve">, and with the general belief that the equipment has an eight-year lifespan, staff </w:t>
      </w:r>
      <w:r w:rsidR="00F91D5B">
        <w:rPr>
          <w:rFonts w:ascii="Palatino Linotype" w:hAnsi="Palatino Linotype"/>
        </w:rPr>
        <w:t xml:space="preserve">agrees with the IOUs that </w:t>
      </w:r>
      <w:r>
        <w:rPr>
          <w:rFonts w:ascii="Palatino Linotype" w:hAnsi="Palatino Linotype"/>
        </w:rPr>
        <w:t>the rebate covering all ongoing costs over an eight-year period is appropriate.</w:t>
      </w:r>
    </w:p>
    <w:p w:rsidR="005D7B80" w:rsidP="002B1EEA" w:rsidRDefault="005D7B80" w14:paraId="583B96F6" w14:textId="6DE0D81E">
      <w:pPr>
        <w:rPr>
          <w:rFonts w:ascii="Palatino Linotype" w:hAnsi="Palatino Linotype"/>
        </w:rPr>
      </w:pPr>
      <w:r>
        <w:rPr>
          <w:rFonts w:ascii="Palatino Linotype" w:hAnsi="Palatino Linotype"/>
        </w:rPr>
        <w:t>PG&amp;E</w:t>
      </w:r>
      <w:r w:rsidR="00F91D5B">
        <w:rPr>
          <w:rFonts w:ascii="Palatino Linotype" w:hAnsi="Palatino Linotype"/>
        </w:rPr>
        <w:t xml:space="preserve"> states that their </w:t>
      </w:r>
      <w:r>
        <w:rPr>
          <w:rFonts w:ascii="Palatino Linotype" w:hAnsi="Palatino Linotype"/>
        </w:rPr>
        <w:t>propos</w:t>
      </w:r>
      <w:r w:rsidR="001C33C8">
        <w:rPr>
          <w:rFonts w:ascii="Palatino Linotype" w:hAnsi="Palatino Linotype"/>
        </w:rPr>
        <w:t>ed rebate</w:t>
      </w:r>
      <w:r w:rsidR="00C760DB">
        <w:rPr>
          <w:rFonts w:ascii="Palatino Linotype" w:hAnsi="Palatino Linotype"/>
        </w:rPr>
        <w:t xml:space="preserve"> cap</w:t>
      </w:r>
      <w:r w:rsidR="0022401D">
        <w:rPr>
          <w:rFonts w:ascii="Palatino Linotype" w:hAnsi="Palatino Linotype"/>
        </w:rPr>
        <w:t>s</w:t>
      </w:r>
      <w:r w:rsidR="001C33C8">
        <w:rPr>
          <w:rFonts w:ascii="Palatino Linotype" w:hAnsi="Palatino Linotype"/>
        </w:rPr>
        <w:t xml:space="preserve"> are </w:t>
      </w:r>
      <w:r w:rsidR="00F91D5B">
        <w:rPr>
          <w:rFonts w:ascii="Palatino Linotype" w:hAnsi="Palatino Linotype"/>
        </w:rPr>
        <w:t>based on</w:t>
      </w:r>
      <w:r w:rsidR="001C33C8">
        <w:rPr>
          <w:rFonts w:ascii="Palatino Linotype" w:hAnsi="Palatino Linotype"/>
        </w:rPr>
        <w:t xml:space="preserve"> the one-time equipment </w:t>
      </w:r>
      <w:r w:rsidR="00F91D5B">
        <w:rPr>
          <w:rFonts w:ascii="Palatino Linotype" w:hAnsi="Palatino Linotype"/>
        </w:rPr>
        <w:t xml:space="preserve">costs </w:t>
      </w:r>
      <w:r w:rsidR="001C33C8">
        <w:rPr>
          <w:rFonts w:ascii="Palatino Linotype" w:hAnsi="Palatino Linotype"/>
        </w:rPr>
        <w:t xml:space="preserve">of </w:t>
      </w:r>
      <w:r w:rsidR="00F91D5B">
        <w:rPr>
          <w:rFonts w:ascii="Palatino Linotype" w:hAnsi="Palatino Linotype"/>
        </w:rPr>
        <w:t>purchasing the EVSE,</w:t>
      </w:r>
      <w:r w:rsidR="001C33C8">
        <w:rPr>
          <w:rFonts w:ascii="Palatino Linotype" w:hAnsi="Palatino Linotype"/>
        </w:rPr>
        <w:t xml:space="preserve"> commissioning, and installation fees, </w:t>
      </w:r>
      <w:r w:rsidR="00F91D5B">
        <w:rPr>
          <w:rFonts w:ascii="Palatino Linotype" w:hAnsi="Palatino Linotype"/>
        </w:rPr>
        <w:t xml:space="preserve">while the </w:t>
      </w:r>
      <w:r w:rsidR="001C33C8">
        <w:rPr>
          <w:rFonts w:ascii="Palatino Linotype" w:hAnsi="Palatino Linotype"/>
        </w:rPr>
        <w:t xml:space="preserve">ongoing costs, including </w:t>
      </w:r>
      <w:r w:rsidR="001C33C8">
        <w:rPr>
          <w:rFonts w:ascii="Palatino Linotype" w:hAnsi="Palatino Linotype"/>
        </w:rPr>
        <w:lastRenderedPageBreak/>
        <w:t>warranty, maintenance, and networking fees</w:t>
      </w:r>
      <w:r w:rsidR="00F91D5B">
        <w:rPr>
          <w:rFonts w:ascii="Palatino Linotype" w:hAnsi="Palatino Linotype"/>
        </w:rPr>
        <w:t xml:space="preserve"> are approximates</w:t>
      </w:r>
      <w:r w:rsidR="001C33C8">
        <w:rPr>
          <w:rFonts w:ascii="Palatino Linotype" w:hAnsi="Palatino Linotype"/>
        </w:rPr>
        <w:t xml:space="preserve"> </w:t>
      </w:r>
      <w:r w:rsidR="00F91D5B">
        <w:rPr>
          <w:rFonts w:ascii="Palatino Linotype" w:hAnsi="Palatino Linotype"/>
        </w:rPr>
        <w:t xml:space="preserve">informed by the ongoing costs provided through the RFQ factored </w:t>
      </w:r>
      <w:r w:rsidR="001C33C8">
        <w:rPr>
          <w:rFonts w:ascii="Palatino Linotype" w:hAnsi="Palatino Linotype"/>
        </w:rPr>
        <w:t xml:space="preserve">over </w:t>
      </w:r>
      <w:r w:rsidR="00F91D5B">
        <w:rPr>
          <w:rFonts w:ascii="Palatino Linotype" w:hAnsi="Palatino Linotype"/>
        </w:rPr>
        <w:t xml:space="preserve">an </w:t>
      </w:r>
      <w:r w:rsidR="001C33C8">
        <w:rPr>
          <w:rFonts w:ascii="Palatino Linotype" w:hAnsi="Palatino Linotype"/>
        </w:rPr>
        <w:t xml:space="preserve">eight-year period. PG&amp;E states that the rebate </w:t>
      </w:r>
      <w:r w:rsidR="00C760DB">
        <w:rPr>
          <w:rFonts w:ascii="Palatino Linotype" w:hAnsi="Palatino Linotype"/>
        </w:rPr>
        <w:t xml:space="preserve">cap </w:t>
      </w:r>
      <w:r w:rsidR="001C33C8">
        <w:rPr>
          <w:rFonts w:ascii="Palatino Linotype" w:hAnsi="Palatino Linotype"/>
        </w:rPr>
        <w:t>is equal to or exceeds the costs for most of the program’s qualified equipmen</w:t>
      </w:r>
      <w:r w:rsidR="00F91D5B">
        <w:rPr>
          <w:rFonts w:ascii="Palatino Linotype" w:hAnsi="Palatino Linotype"/>
        </w:rPr>
        <w:t xml:space="preserve">t. PG&amp;E will limit the </w:t>
      </w:r>
      <w:r w:rsidR="001C33C8">
        <w:rPr>
          <w:rFonts w:ascii="Palatino Linotype" w:hAnsi="Palatino Linotype"/>
        </w:rPr>
        <w:t xml:space="preserve">rebate </w:t>
      </w:r>
      <w:r w:rsidR="00F91D5B">
        <w:rPr>
          <w:rFonts w:ascii="Palatino Linotype" w:hAnsi="Palatino Linotype"/>
        </w:rPr>
        <w:t xml:space="preserve">to </w:t>
      </w:r>
      <w:r w:rsidR="001C33C8">
        <w:rPr>
          <w:rFonts w:ascii="Palatino Linotype" w:hAnsi="Palatino Linotype"/>
        </w:rPr>
        <w:t>pay up 100</w:t>
      </w:r>
      <w:r w:rsidR="00F02E43">
        <w:rPr>
          <w:rFonts w:ascii="Palatino Linotype" w:hAnsi="Palatino Linotype"/>
        </w:rPr>
        <w:t xml:space="preserve"> percent</w:t>
      </w:r>
      <w:r w:rsidR="001C33C8">
        <w:rPr>
          <w:rFonts w:ascii="Palatino Linotype" w:hAnsi="Palatino Linotype"/>
        </w:rPr>
        <w:t xml:space="preserve"> of the equipment </w:t>
      </w:r>
      <w:r w:rsidR="00F91D5B">
        <w:rPr>
          <w:rFonts w:ascii="Palatino Linotype" w:hAnsi="Palatino Linotype"/>
        </w:rPr>
        <w:t xml:space="preserve">selected by the customer </w:t>
      </w:r>
      <w:r w:rsidR="001C33C8">
        <w:rPr>
          <w:rFonts w:ascii="Palatino Linotype" w:hAnsi="Palatino Linotype"/>
        </w:rPr>
        <w:t>and</w:t>
      </w:r>
      <w:r w:rsidR="00F91D5B">
        <w:rPr>
          <w:rFonts w:ascii="Palatino Linotype" w:hAnsi="Palatino Linotype"/>
        </w:rPr>
        <w:t xml:space="preserve"> all</w:t>
      </w:r>
      <w:r w:rsidR="001C33C8">
        <w:rPr>
          <w:rFonts w:ascii="Palatino Linotype" w:hAnsi="Palatino Linotype"/>
        </w:rPr>
        <w:t xml:space="preserve"> ongoing costs,</w:t>
      </w:r>
      <w:r w:rsidR="00F91D5B">
        <w:rPr>
          <w:rFonts w:ascii="Palatino Linotype" w:hAnsi="Palatino Linotype"/>
        </w:rPr>
        <w:t xml:space="preserve"> not exceeding the amount proposed in Table 2. </w:t>
      </w:r>
      <w:r w:rsidR="001C33C8">
        <w:rPr>
          <w:rFonts w:ascii="Palatino Linotype" w:hAnsi="Palatino Linotype"/>
        </w:rPr>
        <w:t xml:space="preserve">PG&amp;E </w:t>
      </w:r>
      <w:r w:rsidR="00A31DD5">
        <w:rPr>
          <w:rFonts w:ascii="Palatino Linotype" w:hAnsi="Palatino Linotype"/>
        </w:rPr>
        <w:t xml:space="preserve">notes that they reserve the right to adjust the rebate amounts to reflect future market pricing conditions, changes in technology, and/or budgetary constraints. </w:t>
      </w:r>
      <w:r w:rsidR="00D44642">
        <w:rPr>
          <w:rFonts w:ascii="Palatino Linotype" w:hAnsi="Palatino Linotype"/>
        </w:rPr>
        <w:t>Staff finds</w:t>
      </w:r>
      <w:r w:rsidR="00A31DD5">
        <w:rPr>
          <w:rFonts w:ascii="Palatino Linotype" w:hAnsi="Palatino Linotype"/>
        </w:rPr>
        <w:t xml:space="preserve"> that PG&amp;E’s proposal to provide a rebate that covers up to 100% of the EVSE upfront and ongoing costs is </w:t>
      </w:r>
      <w:r w:rsidR="00D44642">
        <w:rPr>
          <w:rFonts w:ascii="Palatino Linotype" w:hAnsi="Palatino Linotype"/>
        </w:rPr>
        <w:t>reasonable</w:t>
      </w:r>
      <w:r w:rsidR="00A31DD5">
        <w:rPr>
          <w:rFonts w:ascii="Palatino Linotype" w:hAnsi="Palatino Linotype"/>
        </w:rPr>
        <w:t xml:space="preserve">. </w:t>
      </w:r>
      <w:r w:rsidR="00D44642">
        <w:rPr>
          <w:rFonts w:ascii="Palatino Linotype" w:hAnsi="Palatino Linotype"/>
        </w:rPr>
        <w:t>PG&amp;E’s request for</w:t>
      </w:r>
      <w:r w:rsidR="00A31DD5">
        <w:rPr>
          <w:rFonts w:ascii="Palatino Linotype" w:hAnsi="Palatino Linotype"/>
        </w:rPr>
        <w:t xml:space="preserve"> flexibility to modify the rebate value based on future market pricing and changes in technology</w:t>
      </w:r>
      <w:r w:rsidR="00D44642">
        <w:rPr>
          <w:rFonts w:ascii="Palatino Linotype" w:hAnsi="Palatino Linotype"/>
        </w:rPr>
        <w:t xml:space="preserve"> is also reasonable</w:t>
      </w:r>
      <w:r w:rsidR="00A31DD5">
        <w:rPr>
          <w:rFonts w:ascii="Palatino Linotype" w:hAnsi="Palatino Linotype"/>
        </w:rPr>
        <w:t xml:space="preserve">. However, PG&amp;E’s request to adjust the rebate to reflect budgetary constraints </w:t>
      </w:r>
      <w:r w:rsidR="00617726">
        <w:rPr>
          <w:rFonts w:ascii="Palatino Linotype" w:hAnsi="Palatino Linotype"/>
        </w:rPr>
        <w:t>conflicts with D.19-11-017, which directed the IOUs to offer an EVSE rebate equal to the value of IOU EVSE ownership</w:t>
      </w:r>
      <w:r w:rsidR="00A31DD5">
        <w:rPr>
          <w:rFonts w:ascii="Palatino Linotype" w:hAnsi="Palatino Linotype"/>
        </w:rPr>
        <w:t xml:space="preserve">. If </w:t>
      </w:r>
      <w:r w:rsidR="00617726">
        <w:rPr>
          <w:rFonts w:ascii="Palatino Linotype" w:hAnsi="Palatino Linotype"/>
        </w:rPr>
        <w:t>PG&amp;E</w:t>
      </w:r>
      <w:r w:rsidR="00A31DD5">
        <w:rPr>
          <w:rFonts w:ascii="Palatino Linotype" w:hAnsi="Palatino Linotype"/>
        </w:rPr>
        <w:t xml:space="preserve"> </w:t>
      </w:r>
      <w:r w:rsidR="00617726">
        <w:rPr>
          <w:rFonts w:ascii="Palatino Linotype" w:hAnsi="Palatino Linotype"/>
        </w:rPr>
        <w:t>has</w:t>
      </w:r>
      <w:r w:rsidR="00A31DD5">
        <w:rPr>
          <w:rFonts w:ascii="Palatino Linotype" w:hAnsi="Palatino Linotype"/>
        </w:rPr>
        <w:t xml:space="preserve"> budgetary issues, </w:t>
      </w:r>
      <w:r w:rsidR="00960D5B">
        <w:rPr>
          <w:rFonts w:ascii="Palatino Linotype" w:hAnsi="Palatino Linotype"/>
        </w:rPr>
        <w:t xml:space="preserve">they must not adjust the rebate to reflect budgetary </w:t>
      </w:r>
      <w:r w:rsidR="00EE266A">
        <w:rPr>
          <w:rFonts w:ascii="Palatino Linotype" w:hAnsi="Palatino Linotype"/>
        </w:rPr>
        <w:t>constraints</w:t>
      </w:r>
      <w:r w:rsidR="00960D5B">
        <w:rPr>
          <w:rFonts w:ascii="Palatino Linotype" w:hAnsi="Palatino Linotype"/>
        </w:rPr>
        <w:t xml:space="preserve">. </w:t>
      </w:r>
    </w:p>
    <w:p w:rsidR="00316551" w:rsidP="002B1EEA" w:rsidRDefault="00316551" w14:paraId="1CE3128C" w14:textId="4CD3FDA0">
      <w:pPr>
        <w:rPr>
          <w:rFonts w:ascii="Palatino Linotype" w:hAnsi="Palatino Linotype"/>
        </w:rPr>
      </w:pPr>
      <w:r>
        <w:rPr>
          <w:rFonts w:ascii="Palatino Linotype" w:hAnsi="Palatino Linotype"/>
        </w:rPr>
        <w:t>SCE’s</w:t>
      </w:r>
      <w:r w:rsidR="00C1283D">
        <w:rPr>
          <w:rFonts w:ascii="Palatino Linotype" w:hAnsi="Palatino Linotype"/>
        </w:rPr>
        <w:t xml:space="preserve"> proposed</w:t>
      </w:r>
      <w:r>
        <w:rPr>
          <w:rFonts w:ascii="Palatino Linotype" w:hAnsi="Palatino Linotype"/>
        </w:rPr>
        <w:t xml:space="preserve"> rebate</w:t>
      </w:r>
      <w:r w:rsidR="00F91D5B">
        <w:rPr>
          <w:rFonts w:ascii="Palatino Linotype" w:hAnsi="Palatino Linotype"/>
        </w:rPr>
        <w:t xml:space="preserve"> caps presented in Table 3</w:t>
      </w:r>
      <w:r>
        <w:rPr>
          <w:rFonts w:ascii="Palatino Linotype" w:hAnsi="Palatino Linotype"/>
        </w:rPr>
        <w:t xml:space="preserve"> </w:t>
      </w:r>
      <w:r w:rsidR="0022401D">
        <w:rPr>
          <w:rFonts w:ascii="Palatino Linotype" w:hAnsi="Palatino Linotype"/>
        </w:rPr>
        <w:t xml:space="preserve">are </w:t>
      </w:r>
      <w:r>
        <w:rPr>
          <w:rFonts w:ascii="Palatino Linotype" w:hAnsi="Palatino Linotype"/>
        </w:rPr>
        <w:t>equal to the highest costs of the vendors bidding into the</w:t>
      </w:r>
      <w:r w:rsidR="00051112">
        <w:rPr>
          <w:rFonts w:ascii="Palatino Linotype" w:hAnsi="Palatino Linotype"/>
        </w:rPr>
        <w:t>ir</w:t>
      </w:r>
      <w:r>
        <w:rPr>
          <w:rFonts w:ascii="Palatino Linotype" w:hAnsi="Palatino Linotype"/>
        </w:rPr>
        <w:t xml:space="preserve"> RFQ</w:t>
      </w:r>
      <w:r w:rsidR="00860420">
        <w:rPr>
          <w:rFonts w:ascii="Palatino Linotype" w:hAnsi="Palatino Linotype"/>
        </w:rPr>
        <w:t xml:space="preserve">. </w:t>
      </w:r>
      <w:r w:rsidR="00F91D5B">
        <w:rPr>
          <w:rFonts w:ascii="Palatino Linotype" w:hAnsi="Palatino Linotype"/>
        </w:rPr>
        <w:t xml:space="preserve">Each customer selecting customer-ownership will receive a rebate covering the full costs of the equipment and all ongoing costs, up to the caps presented in Table 3. </w:t>
      </w:r>
      <w:r w:rsidR="00860420">
        <w:rPr>
          <w:rFonts w:ascii="Palatino Linotype" w:hAnsi="Palatino Linotype"/>
        </w:rPr>
        <w:t>SCE asserts that establishing a rebate ceiling at the highest</w:t>
      </w:r>
      <w:r w:rsidR="00A24414">
        <w:rPr>
          <w:rFonts w:ascii="Palatino Linotype" w:hAnsi="Palatino Linotype"/>
        </w:rPr>
        <w:t xml:space="preserve"> bid will allow site-hosts the option to select from any of the qualified vendor</w:t>
      </w:r>
      <w:r w:rsidR="00B038D5">
        <w:rPr>
          <w:rFonts w:ascii="Palatino Linotype" w:hAnsi="Palatino Linotype"/>
        </w:rPr>
        <w:t>s</w:t>
      </w:r>
      <w:r w:rsidR="00A24414">
        <w:rPr>
          <w:rFonts w:ascii="Palatino Linotype" w:hAnsi="Palatino Linotype"/>
        </w:rPr>
        <w:t xml:space="preserve"> without </w:t>
      </w:r>
      <w:r w:rsidR="00BE1AF8">
        <w:rPr>
          <w:rFonts w:ascii="Palatino Linotype" w:hAnsi="Palatino Linotype"/>
        </w:rPr>
        <w:t xml:space="preserve">precluding </w:t>
      </w:r>
      <w:r w:rsidR="00360459">
        <w:rPr>
          <w:rFonts w:ascii="Palatino Linotype" w:hAnsi="Palatino Linotype"/>
        </w:rPr>
        <w:t xml:space="preserve">any vendor. </w:t>
      </w:r>
      <w:r w:rsidR="00B038D5">
        <w:rPr>
          <w:rFonts w:ascii="Palatino Linotype" w:hAnsi="Palatino Linotype"/>
        </w:rPr>
        <w:t>Staff finds</w:t>
      </w:r>
      <w:r w:rsidR="00B32E18">
        <w:rPr>
          <w:rFonts w:ascii="Palatino Linotype" w:hAnsi="Palatino Linotype"/>
        </w:rPr>
        <w:t xml:space="preserve"> SCE’s </w:t>
      </w:r>
      <w:r w:rsidR="00D96D0B">
        <w:rPr>
          <w:rFonts w:ascii="Palatino Linotype" w:hAnsi="Palatino Linotype"/>
        </w:rPr>
        <w:t xml:space="preserve">proposal to provide a rebate </w:t>
      </w:r>
      <w:r w:rsidR="000649FF">
        <w:rPr>
          <w:rFonts w:ascii="Palatino Linotype" w:hAnsi="Palatino Linotype"/>
        </w:rPr>
        <w:t>up to</w:t>
      </w:r>
      <w:r w:rsidR="00D96D0B">
        <w:rPr>
          <w:rFonts w:ascii="Palatino Linotype" w:hAnsi="Palatino Linotype"/>
        </w:rPr>
        <w:t xml:space="preserve"> 100</w:t>
      </w:r>
      <w:r w:rsidR="00F02E43">
        <w:rPr>
          <w:rFonts w:ascii="Palatino Linotype" w:hAnsi="Palatino Linotype"/>
        </w:rPr>
        <w:t xml:space="preserve"> percent</w:t>
      </w:r>
      <w:r w:rsidR="00D96D0B">
        <w:rPr>
          <w:rFonts w:ascii="Palatino Linotype" w:hAnsi="Palatino Linotype"/>
        </w:rPr>
        <w:t xml:space="preserve"> of the cost of the equipment is </w:t>
      </w:r>
      <w:r w:rsidR="00B038D5">
        <w:rPr>
          <w:rFonts w:ascii="Palatino Linotype" w:hAnsi="Palatino Linotype"/>
        </w:rPr>
        <w:t>reasonable</w:t>
      </w:r>
      <w:r w:rsidR="00397083">
        <w:rPr>
          <w:rFonts w:ascii="Palatino Linotype" w:hAnsi="Palatino Linotype"/>
        </w:rPr>
        <w:t xml:space="preserve">. </w:t>
      </w:r>
    </w:p>
    <w:p w:rsidR="002F1CD6" w:rsidP="002B1EEA" w:rsidRDefault="00FD3C15" w14:paraId="05472C4C" w14:textId="16E0F22F">
      <w:pPr>
        <w:rPr>
          <w:rFonts w:ascii="Palatino Linotype" w:hAnsi="Palatino Linotype"/>
        </w:rPr>
      </w:pPr>
      <w:r>
        <w:rPr>
          <w:rFonts w:ascii="Palatino Linotype" w:hAnsi="Palatino Linotype"/>
        </w:rPr>
        <w:t xml:space="preserve">SDG&amp;E proposes to offer a fixed </w:t>
      </w:r>
      <w:r w:rsidR="003B196D">
        <w:rPr>
          <w:rFonts w:ascii="Palatino Linotype" w:hAnsi="Palatino Linotype"/>
        </w:rPr>
        <w:t xml:space="preserve">rebate </w:t>
      </w:r>
      <w:r>
        <w:rPr>
          <w:rFonts w:ascii="Palatino Linotype" w:hAnsi="Palatino Linotype"/>
        </w:rPr>
        <w:t>for different</w:t>
      </w:r>
      <w:r w:rsidR="00A109F9">
        <w:rPr>
          <w:rFonts w:ascii="Palatino Linotype" w:hAnsi="Palatino Linotype"/>
        </w:rPr>
        <w:t xml:space="preserve"> charging</w:t>
      </w:r>
      <w:r>
        <w:rPr>
          <w:rFonts w:ascii="Palatino Linotype" w:hAnsi="Palatino Linotype"/>
        </w:rPr>
        <w:t xml:space="preserve"> equipment types: $5,000 for a L2 single port EVSE, $7,000 for a L2 dual port EVSE, and $42,000 for a DCFC. </w:t>
      </w:r>
      <w:r w:rsidR="002F1CD6">
        <w:rPr>
          <w:rFonts w:ascii="Palatino Linotype" w:hAnsi="Palatino Linotype"/>
        </w:rPr>
        <w:t>While SDG&amp;E</w:t>
      </w:r>
      <w:r w:rsidR="007A6430">
        <w:rPr>
          <w:rFonts w:ascii="Palatino Linotype" w:hAnsi="Palatino Linotype"/>
        </w:rPr>
        <w:t xml:space="preserve"> asserts that their</w:t>
      </w:r>
      <w:r w:rsidR="002F1CD6">
        <w:rPr>
          <w:rFonts w:ascii="Palatino Linotype" w:hAnsi="Palatino Linotype"/>
        </w:rPr>
        <w:t xml:space="preserve"> rebate was based the results of their R</w:t>
      </w:r>
      <w:r w:rsidR="00CE09B7">
        <w:rPr>
          <w:rFonts w:ascii="Palatino Linotype" w:hAnsi="Palatino Linotype"/>
        </w:rPr>
        <w:t xml:space="preserve">equest </w:t>
      </w:r>
      <w:r w:rsidR="00EE266A">
        <w:rPr>
          <w:rFonts w:ascii="Palatino Linotype" w:hAnsi="Palatino Linotype"/>
        </w:rPr>
        <w:t>f</w:t>
      </w:r>
      <w:r w:rsidR="00CE09B7">
        <w:rPr>
          <w:rFonts w:ascii="Palatino Linotype" w:hAnsi="Palatino Linotype"/>
        </w:rPr>
        <w:t xml:space="preserve">or </w:t>
      </w:r>
      <w:r w:rsidR="002F1CD6">
        <w:rPr>
          <w:rFonts w:ascii="Palatino Linotype" w:hAnsi="Palatino Linotype"/>
        </w:rPr>
        <w:t>I</w:t>
      </w:r>
      <w:r w:rsidR="00CE09B7">
        <w:rPr>
          <w:rFonts w:ascii="Palatino Linotype" w:hAnsi="Palatino Linotype"/>
        </w:rPr>
        <w:t>nformation (RFI)</w:t>
      </w:r>
      <w:r w:rsidR="002F1CD6">
        <w:rPr>
          <w:rFonts w:ascii="Palatino Linotype" w:hAnsi="Palatino Linotype"/>
        </w:rPr>
        <w:t xml:space="preserve"> and is align</w:t>
      </w:r>
      <w:r w:rsidR="007A6430">
        <w:rPr>
          <w:rFonts w:ascii="Palatino Linotype" w:hAnsi="Palatino Linotype"/>
        </w:rPr>
        <w:t>ed</w:t>
      </w:r>
      <w:r w:rsidR="002F1CD6">
        <w:rPr>
          <w:rFonts w:ascii="Palatino Linotype" w:hAnsi="Palatino Linotype"/>
        </w:rPr>
        <w:t xml:space="preserve"> with similar EVSE rebates offered throughout California</w:t>
      </w:r>
      <w:r w:rsidR="00C479BF">
        <w:rPr>
          <w:rFonts w:ascii="Palatino Linotype" w:hAnsi="Palatino Linotype"/>
        </w:rPr>
        <w:t>,</w:t>
      </w:r>
      <w:r w:rsidR="002F1CD6">
        <w:rPr>
          <w:rStyle w:val="FootnoteReference"/>
          <w:rFonts w:ascii="Palatino Linotype" w:hAnsi="Palatino Linotype"/>
        </w:rPr>
        <w:footnoteReference w:id="11"/>
      </w:r>
      <w:r w:rsidR="002F1CD6">
        <w:rPr>
          <w:rFonts w:ascii="Palatino Linotype" w:hAnsi="Palatino Linotype"/>
        </w:rPr>
        <w:t xml:space="preserve"> Energy Division staff </w:t>
      </w:r>
      <w:r w:rsidR="00A9587C">
        <w:rPr>
          <w:rFonts w:ascii="Palatino Linotype" w:hAnsi="Palatino Linotype"/>
        </w:rPr>
        <w:t>has</w:t>
      </w:r>
      <w:r w:rsidR="002F1CD6">
        <w:rPr>
          <w:rFonts w:ascii="Palatino Linotype" w:hAnsi="Palatino Linotype"/>
        </w:rPr>
        <w:t xml:space="preserve"> concerns with the absence of language limiting the rebate to the actual cost of the EVSE purchased by the customer. The current phrasing of the rebate implies that customers who purchase a L2 single port EVSE will receive a fixed rebate of $11,000 regardless of the costs </w:t>
      </w:r>
      <w:r w:rsidR="00B2789F">
        <w:rPr>
          <w:rFonts w:ascii="Palatino Linotype" w:hAnsi="Palatino Linotype"/>
        </w:rPr>
        <w:t>that the customer pays for</w:t>
      </w:r>
      <w:r w:rsidR="002F1CD6">
        <w:rPr>
          <w:rFonts w:ascii="Palatino Linotype" w:hAnsi="Palatino Linotype"/>
        </w:rPr>
        <w:t xml:space="preserve"> the EVSE. To eliminate any uncertainty concerning the ratepayer funded equipment rebate, </w:t>
      </w:r>
      <w:r w:rsidR="007A6430">
        <w:rPr>
          <w:rFonts w:ascii="Palatino Linotype" w:hAnsi="Palatino Linotype"/>
        </w:rPr>
        <w:t xml:space="preserve">it </w:t>
      </w:r>
      <w:r w:rsidR="00B2789F">
        <w:rPr>
          <w:rFonts w:ascii="Palatino Linotype" w:hAnsi="Palatino Linotype"/>
        </w:rPr>
        <w:t xml:space="preserve">is </w:t>
      </w:r>
      <w:r w:rsidR="007A6430">
        <w:rPr>
          <w:rFonts w:ascii="Palatino Linotype" w:hAnsi="Palatino Linotype"/>
        </w:rPr>
        <w:t xml:space="preserve">reasonable to require SDG&amp;E to </w:t>
      </w:r>
      <w:r w:rsidR="002F1CD6">
        <w:rPr>
          <w:rFonts w:ascii="Palatino Linotype" w:hAnsi="Palatino Linotype"/>
        </w:rPr>
        <w:t>add the following qualification language</w:t>
      </w:r>
      <w:r w:rsidR="00CE09B7">
        <w:rPr>
          <w:rFonts w:ascii="Palatino Linotype" w:hAnsi="Palatino Linotype"/>
        </w:rPr>
        <w:t xml:space="preserve"> to the customer EVSE-ownership agreement form(s)</w:t>
      </w:r>
      <w:r w:rsidR="002F1CD6">
        <w:rPr>
          <w:rFonts w:ascii="Palatino Linotype" w:hAnsi="Palatino Linotype"/>
        </w:rPr>
        <w:t>:</w:t>
      </w:r>
    </w:p>
    <w:p w:rsidR="002F1CD6" w:rsidP="002B1EEA" w:rsidRDefault="002F1CD6" w14:paraId="6C255B25" w14:textId="4760BEEC">
      <w:pPr>
        <w:rPr>
          <w:rFonts w:ascii="Palatino Linotype" w:hAnsi="Palatino Linotype"/>
        </w:rPr>
      </w:pPr>
      <w:r>
        <w:rPr>
          <w:rFonts w:ascii="Palatino Linotype" w:hAnsi="Palatino Linotype"/>
        </w:rPr>
        <w:t>“</w:t>
      </w:r>
      <w:r>
        <w:rPr>
          <w:rFonts w:ascii="Palatino Linotype" w:hAnsi="Palatino Linotype"/>
          <w:i/>
          <w:iCs/>
        </w:rPr>
        <w:t xml:space="preserve">Rebate amounts for </w:t>
      </w:r>
      <w:r w:rsidR="00994801">
        <w:rPr>
          <w:rFonts w:ascii="Palatino Linotype" w:hAnsi="Palatino Linotype"/>
          <w:i/>
          <w:iCs/>
        </w:rPr>
        <w:t xml:space="preserve">EVSE Equipment, </w:t>
      </w:r>
      <w:r>
        <w:rPr>
          <w:rFonts w:ascii="Palatino Linotype" w:hAnsi="Palatino Linotype"/>
          <w:i/>
          <w:iCs/>
        </w:rPr>
        <w:t xml:space="preserve">Network Service and Maintenance fees are </w:t>
      </w:r>
      <w:r w:rsidR="0017407A">
        <w:rPr>
          <w:rFonts w:ascii="Palatino Linotype" w:hAnsi="Palatino Linotype"/>
          <w:i/>
          <w:iCs/>
        </w:rPr>
        <w:t xml:space="preserve">not to exceed the values proposed in </w:t>
      </w:r>
      <w:r w:rsidR="00F02E43">
        <w:rPr>
          <w:rFonts w:ascii="Palatino Linotype" w:hAnsi="Palatino Linotype"/>
          <w:i/>
          <w:iCs/>
        </w:rPr>
        <w:t xml:space="preserve">Table </w:t>
      </w:r>
      <w:proofErr w:type="gramStart"/>
      <w:r w:rsidR="00F02E43">
        <w:rPr>
          <w:rFonts w:ascii="Palatino Linotype" w:hAnsi="Palatino Linotype"/>
          <w:i/>
          <w:iCs/>
        </w:rPr>
        <w:t>4</w:t>
      </w:r>
      <w:r w:rsidR="0017407A">
        <w:rPr>
          <w:rFonts w:ascii="Palatino Linotype" w:hAnsi="Palatino Linotype"/>
          <w:i/>
          <w:iCs/>
        </w:rPr>
        <w:t>, and</w:t>
      </w:r>
      <w:proofErr w:type="gramEnd"/>
      <w:r w:rsidR="0017407A">
        <w:rPr>
          <w:rFonts w:ascii="Palatino Linotype" w:hAnsi="Palatino Linotype"/>
          <w:i/>
          <w:iCs/>
        </w:rPr>
        <w:t xml:space="preserve"> are </w:t>
      </w:r>
      <w:r>
        <w:rPr>
          <w:rFonts w:ascii="Palatino Linotype" w:hAnsi="Palatino Linotype"/>
          <w:i/>
          <w:iCs/>
        </w:rPr>
        <w:t>to b</w:t>
      </w:r>
      <w:r w:rsidR="0017407A">
        <w:rPr>
          <w:rFonts w:ascii="Palatino Linotype" w:hAnsi="Palatino Linotype"/>
          <w:i/>
          <w:iCs/>
        </w:rPr>
        <w:t>e</w:t>
      </w:r>
      <w:r>
        <w:rPr>
          <w:rFonts w:ascii="Palatino Linotype" w:hAnsi="Palatino Linotype"/>
          <w:i/>
          <w:iCs/>
        </w:rPr>
        <w:t xml:space="preserve"> limited to 100</w:t>
      </w:r>
      <w:r w:rsidR="00F02E43">
        <w:rPr>
          <w:rFonts w:ascii="Palatino Linotype" w:hAnsi="Palatino Linotype"/>
          <w:i/>
          <w:iCs/>
        </w:rPr>
        <w:t xml:space="preserve"> percent</w:t>
      </w:r>
      <w:r>
        <w:rPr>
          <w:rFonts w:ascii="Palatino Linotype" w:hAnsi="Palatino Linotype"/>
          <w:i/>
          <w:iCs/>
        </w:rPr>
        <w:t xml:space="preserve"> of the actual cost of the equipment purchased</w:t>
      </w:r>
      <w:r w:rsidR="00CA21AA">
        <w:rPr>
          <w:rFonts w:ascii="Palatino Linotype" w:hAnsi="Palatino Linotype"/>
          <w:i/>
          <w:iCs/>
        </w:rPr>
        <w:t xml:space="preserve"> and Netwo</w:t>
      </w:r>
      <w:r w:rsidR="000A5C66">
        <w:rPr>
          <w:rFonts w:ascii="Palatino Linotype" w:hAnsi="Palatino Linotype"/>
          <w:i/>
          <w:iCs/>
        </w:rPr>
        <w:t>r</w:t>
      </w:r>
      <w:r w:rsidR="00CA21AA">
        <w:rPr>
          <w:rFonts w:ascii="Palatino Linotype" w:hAnsi="Palatino Linotype"/>
          <w:i/>
          <w:iCs/>
        </w:rPr>
        <w:t>k Service Agreement signed</w:t>
      </w:r>
      <w:r>
        <w:rPr>
          <w:rFonts w:ascii="Palatino Linotype" w:hAnsi="Palatino Linotype"/>
          <w:i/>
          <w:iCs/>
        </w:rPr>
        <w:t xml:space="preserve"> by the customer</w:t>
      </w:r>
      <w:r w:rsidR="000A5C66">
        <w:rPr>
          <w:rFonts w:ascii="Palatino Linotype" w:hAnsi="Palatino Linotype"/>
          <w:i/>
          <w:iCs/>
        </w:rPr>
        <w:t>.</w:t>
      </w:r>
      <w:r>
        <w:rPr>
          <w:rFonts w:ascii="Palatino Linotype" w:hAnsi="Palatino Linotype"/>
        </w:rPr>
        <w:t xml:space="preserve"> </w:t>
      </w:r>
    </w:p>
    <w:p w:rsidR="00FD3C15" w:rsidP="002B1EEA" w:rsidRDefault="002F1CD6" w14:paraId="3FE328F8" w14:textId="233965C4">
      <w:pPr>
        <w:rPr>
          <w:rFonts w:ascii="Palatino Linotype" w:hAnsi="Palatino Linotype"/>
        </w:rPr>
      </w:pPr>
      <w:r>
        <w:rPr>
          <w:rFonts w:ascii="Palatino Linotype" w:hAnsi="Palatino Linotype"/>
        </w:rPr>
        <w:t xml:space="preserve">With </w:t>
      </w:r>
      <w:r w:rsidR="00604BF1">
        <w:rPr>
          <w:rFonts w:ascii="Palatino Linotype" w:hAnsi="Palatino Linotype"/>
        </w:rPr>
        <w:t>this modification</w:t>
      </w:r>
      <w:r>
        <w:rPr>
          <w:rFonts w:ascii="Palatino Linotype" w:hAnsi="Palatino Linotype"/>
        </w:rPr>
        <w:t xml:space="preserve">, SDG&amp;E’s proposed rebate value is consistent with the directives of OP 26 and ensures </w:t>
      </w:r>
      <w:r w:rsidR="00B629C8">
        <w:rPr>
          <w:rFonts w:ascii="Palatino Linotype" w:hAnsi="Palatino Linotype"/>
        </w:rPr>
        <w:t xml:space="preserve">ratepayer funds are used appropriately. </w:t>
      </w:r>
    </w:p>
    <w:p w:rsidR="003F1D6D" w:rsidP="002B1EEA" w:rsidRDefault="003F1D6D" w14:paraId="6C01DA4E" w14:textId="195E5E73">
      <w:pPr>
        <w:rPr>
          <w:rFonts w:ascii="Palatino Linotype" w:hAnsi="Palatino Linotype"/>
        </w:rPr>
      </w:pPr>
      <w:r>
        <w:rPr>
          <w:rFonts w:ascii="Palatino Linotype" w:hAnsi="Palatino Linotype"/>
        </w:rPr>
        <w:lastRenderedPageBreak/>
        <w:t>During the IOUs’ PAC discussions to present their rebate proposals, a number of participating EVSPs mentioned that a typical EVSP-customer agreement lasts two years, with no EVSP offering service agreements longer than five years. Additionally, as the EVSPs are constantly updating their services through hardware and software updates, they are unable to provide a reasonable cost estimate for an eight-year service agreement. Because of the frequency of renewing EVSP-customer serv</w:t>
      </w:r>
      <w:r w:rsidR="0099526C">
        <w:rPr>
          <w:rFonts w:ascii="Palatino Linotype" w:hAnsi="Palatino Linotype"/>
        </w:rPr>
        <w:t>ic</w:t>
      </w:r>
      <w:r>
        <w:rPr>
          <w:rFonts w:ascii="Palatino Linotype" w:hAnsi="Palatino Linotype"/>
        </w:rPr>
        <w:t>e agreements and the difficulty in determining the eight-year ongoing costs, the IOUs factored the ongoing costs provided in the RFQ over an eight-year period to determine the ongoing costs rebate cap.</w:t>
      </w:r>
    </w:p>
    <w:p w:rsidR="00AE2C77" w:rsidP="005B3149" w:rsidRDefault="005B3149" w14:paraId="43DA3F03" w14:textId="3BC15309">
      <w:pPr>
        <w:rPr>
          <w:rFonts w:ascii="Palatino Linotype" w:hAnsi="Palatino Linotype"/>
        </w:rPr>
      </w:pPr>
      <w:r>
        <w:rPr>
          <w:rFonts w:ascii="Palatino Linotype" w:hAnsi="Palatino Linotype"/>
        </w:rPr>
        <w:t>As proposed,</w:t>
      </w:r>
      <w:r w:rsidR="00A109F9">
        <w:rPr>
          <w:rFonts w:ascii="Palatino Linotype" w:hAnsi="Palatino Linotype"/>
        </w:rPr>
        <w:t xml:space="preserve"> all three IOUs </w:t>
      </w:r>
      <w:r w:rsidR="00F91D5B">
        <w:rPr>
          <w:rFonts w:ascii="Palatino Linotype" w:hAnsi="Palatino Linotype"/>
        </w:rPr>
        <w:t xml:space="preserve">estimate </w:t>
      </w:r>
      <w:r>
        <w:rPr>
          <w:rFonts w:ascii="Palatino Linotype" w:hAnsi="Palatino Linotype"/>
        </w:rPr>
        <w:t xml:space="preserve">the </w:t>
      </w:r>
      <w:r w:rsidR="00F91D5B">
        <w:rPr>
          <w:rFonts w:ascii="Palatino Linotype" w:hAnsi="Palatino Linotype"/>
        </w:rPr>
        <w:t xml:space="preserve">eight-year </w:t>
      </w:r>
      <w:r>
        <w:rPr>
          <w:rFonts w:ascii="Palatino Linotype" w:hAnsi="Palatino Linotype"/>
        </w:rPr>
        <w:t xml:space="preserve">ongoing costs (maintenance, networking, warranty) </w:t>
      </w:r>
      <w:r w:rsidR="00F91D5B">
        <w:rPr>
          <w:rFonts w:ascii="Palatino Linotype" w:hAnsi="Palatino Linotype"/>
        </w:rPr>
        <w:t xml:space="preserve">rebate by factoring </w:t>
      </w:r>
      <w:r>
        <w:rPr>
          <w:rFonts w:ascii="Palatino Linotype" w:hAnsi="Palatino Linotype"/>
        </w:rPr>
        <w:t>the results of the RFQ</w:t>
      </w:r>
      <w:r w:rsidR="00F91D5B">
        <w:rPr>
          <w:rFonts w:ascii="Palatino Linotype" w:hAnsi="Palatino Linotype"/>
        </w:rPr>
        <w:t xml:space="preserve"> </w:t>
      </w:r>
      <w:r w:rsidR="00AE2C77">
        <w:rPr>
          <w:rFonts w:ascii="Palatino Linotype" w:hAnsi="Palatino Linotype"/>
        </w:rPr>
        <w:t>process</w:t>
      </w:r>
      <w:r w:rsidR="00F91D5B">
        <w:rPr>
          <w:rFonts w:ascii="Palatino Linotype" w:hAnsi="Palatino Linotype"/>
        </w:rPr>
        <w:t xml:space="preserve"> over eight-years</w:t>
      </w:r>
      <w:r>
        <w:rPr>
          <w:rFonts w:ascii="Palatino Linotype" w:hAnsi="Palatino Linotype"/>
        </w:rPr>
        <w:t>.</w:t>
      </w:r>
      <w:r w:rsidR="00AE2C77">
        <w:rPr>
          <w:rFonts w:ascii="Palatino Linotype" w:hAnsi="Palatino Linotype"/>
        </w:rPr>
        <w:t xml:space="preserve"> </w:t>
      </w:r>
      <w:r w:rsidR="00F91D5B">
        <w:rPr>
          <w:rFonts w:ascii="Palatino Linotype" w:hAnsi="Palatino Linotype"/>
        </w:rPr>
        <w:t xml:space="preserve">The IOUs </w:t>
      </w:r>
      <w:r w:rsidR="00132196">
        <w:rPr>
          <w:rFonts w:ascii="Palatino Linotype" w:hAnsi="Palatino Linotype"/>
        </w:rPr>
        <w:t xml:space="preserve">asserted it is necessary to </w:t>
      </w:r>
      <w:r w:rsidR="00F91D5B">
        <w:rPr>
          <w:rFonts w:ascii="Palatino Linotype" w:hAnsi="Palatino Linotype"/>
        </w:rPr>
        <w:t>estimat</w:t>
      </w:r>
      <w:r w:rsidR="002F6E98">
        <w:rPr>
          <w:rFonts w:ascii="Palatino Linotype" w:hAnsi="Palatino Linotype"/>
        </w:rPr>
        <w:t>e</w:t>
      </w:r>
      <w:r w:rsidR="00F91D5B">
        <w:rPr>
          <w:rFonts w:ascii="Palatino Linotype" w:hAnsi="Palatino Linotype"/>
        </w:rPr>
        <w:t xml:space="preserve"> the ongoing costs</w:t>
      </w:r>
      <w:r w:rsidR="003767BA">
        <w:rPr>
          <w:rFonts w:ascii="Palatino Linotype" w:hAnsi="Palatino Linotype"/>
        </w:rPr>
        <w:t xml:space="preserve"> </w:t>
      </w:r>
      <w:r w:rsidR="002F6E98">
        <w:rPr>
          <w:rFonts w:ascii="Palatino Linotype" w:hAnsi="Palatino Linotype"/>
        </w:rPr>
        <w:t>because</w:t>
      </w:r>
      <w:r w:rsidR="00F91D5B">
        <w:rPr>
          <w:rFonts w:ascii="Palatino Linotype" w:hAnsi="Palatino Linotype"/>
        </w:rPr>
        <w:t xml:space="preserve"> the </w:t>
      </w:r>
      <w:r w:rsidR="00C760DB">
        <w:rPr>
          <w:rFonts w:ascii="Palatino Linotype" w:hAnsi="Palatino Linotype"/>
        </w:rPr>
        <w:t>EVSPs</w:t>
      </w:r>
      <w:r w:rsidR="00F91D5B">
        <w:rPr>
          <w:rFonts w:ascii="Palatino Linotype" w:hAnsi="Palatino Linotype"/>
        </w:rPr>
        <w:t xml:space="preserve"> typical</w:t>
      </w:r>
      <w:r w:rsidR="002F6E98">
        <w:rPr>
          <w:rFonts w:ascii="Palatino Linotype" w:hAnsi="Palatino Linotype"/>
        </w:rPr>
        <w:t>ly</w:t>
      </w:r>
      <w:r w:rsidR="00C760DB">
        <w:rPr>
          <w:rFonts w:ascii="Palatino Linotype" w:hAnsi="Palatino Linotype"/>
        </w:rPr>
        <w:t xml:space="preserve"> offer</w:t>
      </w:r>
      <w:r w:rsidR="00F91D5B">
        <w:rPr>
          <w:rFonts w:ascii="Palatino Linotype" w:hAnsi="Palatino Linotype"/>
        </w:rPr>
        <w:t xml:space="preserve"> two-year EVSP-customer service agreement</w:t>
      </w:r>
      <w:r w:rsidR="00132196">
        <w:rPr>
          <w:rFonts w:ascii="Palatino Linotype" w:hAnsi="Palatino Linotype"/>
        </w:rPr>
        <w:t>s</w:t>
      </w:r>
      <w:r w:rsidR="00C760DB">
        <w:rPr>
          <w:rFonts w:ascii="Palatino Linotype" w:hAnsi="Palatino Linotype"/>
        </w:rPr>
        <w:t>,</w:t>
      </w:r>
      <w:r w:rsidR="00F91D5B">
        <w:rPr>
          <w:rFonts w:ascii="Palatino Linotype" w:hAnsi="Palatino Linotype"/>
        </w:rPr>
        <w:t xml:space="preserve"> and </w:t>
      </w:r>
      <w:r w:rsidR="002F6E98">
        <w:rPr>
          <w:rFonts w:ascii="Palatino Linotype" w:hAnsi="Palatino Linotype"/>
        </w:rPr>
        <w:t>EVSPs claim it is</w:t>
      </w:r>
      <w:r w:rsidR="00F91D5B">
        <w:rPr>
          <w:rFonts w:ascii="Palatino Linotype" w:hAnsi="Palatino Linotype"/>
        </w:rPr>
        <w:t xml:space="preserve"> difficult for the</w:t>
      </w:r>
      <w:r w:rsidR="002F6E98">
        <w:rPr>
          <w:rFonts w:ascii="Palatino Linotype" w:hAnsi="Palatino Linotype"/>
        </w:rPr>
        <w:t>m</w:t>
      </w:r>
      <w:r w:rsidR="00F91D5B">
        <w:rPr>
          <w:rFonts w:ascii="Palatino Linotype" w:hAnsi="Palatino Linotype"/>
        </w:rPr>
        <w:t xml:space="preserve"> to </w:t>
      </w:r>
      <w:r w:rsidR="000649FF">
        <w:rPr>
          <w:rFonts w:ascii="Palatino Linotype" w:hAnsi="Palatino Linotype"/>
        </w:rPr>
        <w:t xml:space="preserve">provide a reasonable estimate of </w:t>
      </w:r>
      <w:r w:rsidR="00F91D5B">
        <w:rPr>
          <w:rFonts w:ascii="Palatino Linotype" w:hAnsi="Palatino Linotype"/>
        </w:rPr>
        <w:t xml:space="preserve">the long-term ongoing costs. </w:t>
      </w:r>
      <w:r w:rsidR="00AE2C77">
        <w:rPr>
          <w:rFonts w:ascii="Palatino Linotype" w:hAnsi="Palatino Linotype"/>
        </w:rPr>
        <w:t xml:space="preserve">However, </w:t>
      </w:r>
      <w:r w:rsidR="00F91D5B">
        <w:rPr>
          <w:rFonts w:ascii="Palatino Linotype" w:hAnsi="Palatino Linotype"/>
        </w:rPr>
        <w:t xml:space="preserve">Energy Division staff has concerns with approving an ongoing cost rebate </w:t>
      </w:r>
      <w:r w:rsidR="00C760DB">
        <w:rPr>
          <w:rFonts w:ascii="Palatino Linotype" w:hAnsi="Palatino Linotype"/>
        </w:rPr>
        <w:t>amount for still undetermined costs</w:t>
      </w:r>
      <w:r w:rsidR="00F91D5B">
        <w:rPr>
          <w:rFonts w:ascii="Palatino Linotype" w:hAnsi="Palatino Linotype"/>
        </w:rPr>
        <w:t xml:space="preserve">, since this could potentially allow </w:t>
      </w:r>
      <w:r w:rsidR="00AE2C77">
        <w:rPr>
          <w:rFonts w:ascii="Palatino Linotype" w:hAnsi="Palatino Linotype"/>
        </w:rPr>
        <w:t xml:space="preserve">qualified EVSPs </w:t>
      </w:r>
      <w:r w:rsidR="00F91D5B">
        <w:rPr>
          <w:rFonts w:ascii="Palatino Linotype" w:hAnsi="Palatino Linotype"/>
        </w:rPr>
        <w:t>to</w:t>
      </w:r>
      <w:r w:rsidR="00725EEA">
        <w:rPr>
          <w:rFonts w:ascii="Palatino Linotype" w:hAnsi="Palatino Linotype"/>
        </w:rPr>
        <w:t xml:space="preserve"> </w:t>
      </w:r>
      <w:r w:rsidR="00AE2C77">
        <w:rPr>
          <w:rFonts w:ascii="Palatino Linotype" w:hAnsi="Palatino Linotype"/>
        </w:rPr>
        <w:t xml:space="preserve">rationally seek to maximize their profits by readjusting their ongoing service costs to match the </w:t>
      </w:r>
      <w:r w:rsidR="00AD7B25">
        <w:rPr>
          <w:rFonts w:ascii="Palatino Linotype" w:hAnsi="Palatino Linotype"/>
        </w:rPr>
        <w:t xml:space="preserve">full </w:t>
      </w:r>
      <w:r w:rsidR="00AE2C77">
        <w:rPr>
          <w:rFonts w:ascii="Palatino Linotype" w:hAnsi="Palatino Linotype"/>
        </w:rPr>
        <w:t>value of the rebate</w:t>
      </w:r>
      <w:r w:rsidR="00725EEA">
        <w:rPr>
          <w:rFonts w:ascii="Palatino Linotype" w:hAnsi="Palatino Linotype"/>
        </w:rPr>
        <w:t xml:space="preserve"> even if th</w:t>
      </w:r>
      <w:r w:rsidR="00DC1CE2">
        <w:rPr>
          <w:rFonts w:ascii="Palatino Linotype" w:hAnsi="Palatino Linotype"/>
        </w:rPr>
        <w:t>ey would otherwise be open to renegotiating a lower contract price</w:t>
      </w:r>
      <w:r w:rsidR="00AE2C77">
        <w:rPr>
          <w:rFonts w:ascii="Palatino Linotype" w:hAnsi="Palatino Linotype"/>
        </w:rPr>
        <w:t xml:space="preserve">. </w:t>
      </w:r>
    </w:p>
    <w:p w:rsidR="00AD7B25" w:rsidP="005B3149" w:rsidRDefault="00AD7B25" w14:paraId="5525D596" w14:textId="46F6601B">
      <w:pPr>
        <w:rPr>
          <w:rFonts w:ascii="Palatino Linotype" w:hAnsi="Palatino Linotype"/>
        </w:rPr>
      </w:pPr>
      <w:r>
        <w:rPr>
          <w:rFonts w:ascii="Palatino Linotype" w:hAnsi="Palatino Linotype"/>
        </w:rPr>
        <w:t>To avoid this potential issue,</w:t>
      </w:r>
      <w:r w:rsidR="00F50822">
        <w:rPr>
          <w:rFonts w:ascii="Palatino Linotype" w:hAnsi="Palatino Linotype"/>
        </w:rPr>
        <w:t xml:space="preserve"> </w:t>
      </w:r>
      <w:r>
        <w:rPr>
          <w:rFonts w:ascii="Palatino Linotype" w:hAnsi="Palatino Linotype"/>
        </w:rPr>
        <w:t xml:space="preserve">the IOUs </w:t>
      </w:r>
      <w:r w:rsidR="00F91D5B">
        <w:rPr>
          <w:rFonts w:ascii="Palatino Linotype" w:hAnsi="Palatino Linotype"/>
        </w:rPr>
        <w:t xml:space="preserve">must </w:t>
      </w:r>
      <w:r>
        <w:rPr>
          <w:rFonts w:ascii="Palatino Linotype" w:hAnsi="Palatino Linotype"/>
        </w:rPr>
        <w:t xml:space="preserve">require all </w:t>
      </w:r>
      <w:r w:rsidR="00892984">
        <w:rPr>
          <w:rFonts w:ascii="Palatino Linotype" w:hAnsi="Palatino Linotype"/>
        </w:rPr>
        <w:t>participating</w:t>
      </w:r>
      <w:r>
        <w:rPr>
          <w:rFonts w:ascii="Palatino Linotype" w:hAnsi="Palatino Linotype"/>
        </w:rPr>
        <w:t xml:space="preserve"> customers</w:t>
      </w:r>
      <w:r w:rsidR="00892984">
        <w:rPr>
          <w:rFonts w:ascii="Palatino Linotype" w:hAnsi="Palatino Linotype"/>
        </w:rPr>
        <w:t xml:space="preserve"> </w:t>
      </w:r>
      <w:r>
        <w:rPr>
          <w:rFonts w:ascii="Palatino Linotype" w:hAnsi="Palatino Linotype"/>
        </w:rPr>
        <w:t>within their Schools Pilot Program</w:t>
      </w:r>
      <w:r w:rsidR="00892984">
        <w:rPr>
          <w:rFonts w:ascii="Palatino Linotype" w:hAnsi="Palatino Linotype"/>
        </w:rPr>
        <w:t xml:space="preserve"> that opt to own the EVSE,</w:t>
      </w:r>
      <w:r>
        <w:rPr>
          <w:rFonts w:ascii="Palatino Linotype" w:hAnsi="Palatino Linotype"/>
        </w:rPr>
        <w:t xml:space="preserve"> to</w:t>
      </w:r>
      <w:r w:rsidR="00892984">
        <w:rPr>
          <w:rFonts w:ascii="Palatino Linotype" w:hAnsi="Palatino Linotype"/>
        </w:rPr>
        <w:t xml:space="preserve"> agree </w:t>
      </w:r>
      <w:r w:rsidR="00261B8B">
        <w:rPr>
          <w:rFonts w:ascii="Palatino Linotype" w:hAnsi="Palatino Linotype"/>
        </w:rPr>
        <w:t>to</w:t>
      </w:r>
      <w:r w:rsidR="00892984">
        <w:rPr>
          <w:rFonts w:ascii="Palatino Linotype" w:hAnsi="Palatino Linotype"/>
        </w:rPr>
        <w:t xml:space="preserve"> </w:t>
      </w:r>
      <w:r>
        <w:rPr>
          <w:rFonts w:ascii="Palatino Linotype" w:hAnsi="Palatino Linotype"/>
        </w:rPr>
        <w:t>share</w:t>
      </w:r>
      <w:r w:rsidR="00132196">
        <w:rPr>
          <w:rFonts w:ascii="Palatino Linotype" w:hAnsi="Palatino Linotype"/>
        </w:rPr>
        <w:t xml:space="preserve"> with the IO</w:t>
      </w:r>
      <w:r w:rsidR="001A6D4D">
        <w:rPr>
          <w:rFonts w:ascii="Palatino Linotype" w:hAnsi="Palatino Linotype"/>
        </w:rPr>
        <w:t>U</w:t>
      </w:r>
      <w:r w:rsidR="00D94B2D">
        <w:rPr>
          <w:rFonts w:ascii="Palatino Linotype" w:hAnsi="Palatino Linotype"/>
        </w:rPr>
        <w:t>, at a minimum,</w:t>
      </w:r>
      <w:r>
        <w:rPr>
          <w:rFonts w:ascii="Palatino Linotype" w:hAnsi="Palatino Linotype"/>
        </w:rPr>
        <w:t xml:space="preserve"> the following data at least biannually:</w:t>
      </w:r>
    </w:p>
    <w:p w:rsidR="00AD7B25" w:rsidP="00AD7B25" w:rsidRDefault="00AD7B25" w14:paraId="78AF3DAA" w14:textId="02B33D51">
      <w:pPr>
        <w:pStyle w:val="ListParagraph"/>
        <w:numPr>
          <w:ilvl w:val="0"/>
          <w:numId w:val="12"/>
        </w:numPr>
        <w:rPr>
          <w:rFonts w:ascii="Palatino Linotype" w:hAnsi="Palatino Linotype"/>
        </w:rPr>
      </w:pPr>
      <w:r>
        <w:rPr>
          <w:rFonts w:ascii="Palatino Linotype" w:hAnsi="Palatino Linotype"/>
        </w:rPr>
        <w:t xml:space="preserve">The maintenance, networking, and warranty </w:t>
      </w:r>
      <w:r w:rsidR="00F91D5B">
        <w:rPr>
          <w:rFonts w:ascii="Palatino Linotype" w:hAnsi="Palatino Linotype"/>
        </w:rPr>
        <w:t xml:space="preserve">price </w:t>
      </w:r>
      <w:r w:rsidR="00132196">
        <w:rPr>
          <w:rFonts w:ascii="Palatino Linotype" w:hAnsi="Palatino Linotype"/>
        </w:rPr>
        <w:t xml:space="preserve">charged </w:t>
      </w:r>
      <w:r>
        <w:rPr>
          <w:rFonts w:ascii="Palatino Linotype" w:hAnsi="Palatino Linotype"/>
        </w:rPr>
        <w:t xml:space="preserve">for </w:t>
      </w:r>
      <w:r w:rsidR="00450EE0">
        <w:rPr>
          <w:rFonts w:ascii="Palatino Linotype" w:hAnsi="Palatino Linotype"/>
        </w:rPr>
        <w:t>all new EVSP customer agreement contracts</w:t>
      </w:r>
      <w:r>
        <w:rPr>
          <w:rFonts w:ascii="Palatino Linotype" w:hAnsi="Palatino Linotype"/>
        </w:rPr>
        <w:t>;</w:t>
      </w:r>
      <w:r w:rsidR="00C479BF">
        <w:rPr>
          <w:rFonts w:ascii="Palatino Linotype" w:hAnsi="Palatino Linotype"/>
        </w:rPr>
        <w:t xml:space="preserve"> and</w:t>
      </w:r>
    </w:p>
    <w:p w:rsidR="00AD7B25" w:rsidP="00AD7B25" w:rsidRDefault="00AD7B25" w14:paraId="5711CFD5" w14:textId="314404A0">
      <w:pPr>
        <w:pStyle w:val="ListParagraph"/>
        <w:numPr>
          <w:ilvl w:val="0"/>
          <w:numId w:val="12"/>
        </w:numPr>
        <w:rPr>
          <w:rFonts w:ascii="Palatino Linotype" w:hAnsi="Palatino Linotype"/>
        </w:rPr>
      </w:pPr>
      <w:r>
        <w:rPr>
          <w:rFonts w:ascii="Palatino Linotype" w:hAnsi="Palatino Linotype"/>
        </w:rPr>
        <w:t xml:space="preserve">The duration of </w:t>
      </w:r>
      <w:r w:rsidR="00AF3966">
        <w:rPr>
          <w:rFonts w:ascii="Palatino Linotype" w:hAnsi="Palatino Linotype"/>
        </w:rPr>
        <w:t xml:space="preserve">each of </w:t>
      </w:r>
      <w:r>
        <w:rPr>
          <w:rFonts w:ascii="Palatino Linotype" w:hAnsi="Palatino Linotype"/>
        </w:rPr>
        <w:t xml:space="preserve">the individual </w:t>
      </w:r>
      <w:r w:rsidR="00D94B2D">
        <w:rPr>
          <w:rFonts w:ascii="Palatino Linotype" w:hAnsi="Palatino Linotype"/>
        </w:rPr>
        <w:t>EVSP-customer</w:t>
      </w:r>
      <w:r>
        <w:rPr>
          <w:rFonts w:ascii="Palatino Linotype" w:hAnsi="Palatino Linotype"/>
        </w:rPr>
        <w:t xml:space="preserve"> </w:t>
      </w:r>
      <w:proofErr w:type="gramStart"/>
      <w:r w:rsidR="00D94B2D">
        <w:rPr>
          <w:rFonts w:ascii="Palatino Linotype" w:hAnsi="Palatino Linotype"/>
        </w:rPr>
        <w:t>contract</w:t>
      </w:r>
      <w:r w:rsidR="00C479BF">
        <w:rPr>
          <w:rFonts w:ascii="Palatino Linotype" w:hAnsi="Palatino Linotype"/>
        </w:rPr>
        <w:t>s</w:t>
      </w:r>
      <w:r w:rsidR="00D94B2D">
        <w:rPr>
          <w:rFonts w:ascii="Palatino Linotype" w:hAnsi="Palatino Linotype"/>
        </w:rPr>
        <w:t>;</w:t>
      </w:r>
      <w:proofErr w:type="gramEnd"/>
    </w:p>
    <w:p w:rsidR="00F50822" w:rsidP="002B1EEA" w:rsidRDefault="00F50822" w14:paraId="1058EE12" w14:textId="70F0DAD8">
      <w:pPr>
        <w:rPr>
          <w:rFonts w:ascii="Palatino Linotype" w:hAnsi="Palatino Linotype"/>
        </w:rPr>
      </w:pPr>
      <w:r>
        <w:rPr>
          <w:rFonts w:ascii="Palatino Linotype" w:hAnsi="Palatino Linotype"/>
        </w:rPr>
        <w:t xml:space="preserve">The IOUs </w:t>
      </w:r>
      <w:r w:rsidR="00F91D5B">
        <w:rPr>
          <w:rFonts w:ascii="Palatino Linotype" w:hAnsi="Palatino Linotype"/>
        </w:rPr>
        <w:t xml:space="preserve">must </w:t>
      </w:r>
      <w:r>
        <w:rPr>
          <w:rFonts w:ascii="Palatino Linotype" w:hAnsi="Palatino Linotype"/>
        </w:rPr>
        <w:t xml:space="preserve">also </w:t>
      </w:r>
      <w:r w:rsidR="00E763CA">
        <w:rPr>
          <w:rFonts w:ascii="Palatino Linotype" w:hAnsi="Palatino Linotype"/>
        </w:rPr>
        <w:t xml:space="preserve">notify </w:t>
      </w:r>
      <w:r w:rsidR="00A349FE">
        <w:rPr>
          <w:rFonts w:ascii="Palatino Linotype" w:hAnsi="Palatino Linotype"/>
        </w:rPr>
        <w:t>qualified EVSPs</w:t>
      </w:r>
      <w:r w:rsidR="00E763CA">
        <w:rPr>
          <w:rFonts w:ascii="Palatino Linotype" w:hAnsi="Palatino Linotype"/>
        </w:rPr>
        <w:t xml:space="preserve"> </w:t>
      </w:r>
      <w:r w:rsidR="00A349FE">
        <w:rPr>
          <w:rFonts w:ascii="Palatino Linotype" w:hAnsi="Palatino Linotype"/>
        </w:rPr>
        <w:t xml:space="preserve">that </w:t>
      </w:r>
      <w:r w:rsidR="00E763CA">
        <w:rPr>
          <w:rFonts w:ascii="Palatino Linotype" w:hAnsi="Palatino Linotype"/>
        </w:rPr>
        <w:t>the Commission</w:t>
      </w:r>
      <w:r w:rsidR="00196C24">
        <w:rPr>
          <w:rFonts w:ascii="Palatino Linotype" w:hAnsi="Palatino Linotype"/>
        </w:rPr>
        <w:t xml:space="preserve">’s Energy Division </w:t>
      </w:r>
      <w:r w:rsidR="00E763CA">
        <w:rPr>
          <w:rFonts w:ascii="Palatino Linotype" w:hAnsi="Palatino Linotype"/>
        </w:rPr>
        <w:t xml:space="preserve">may </w:t>
      </w:r>
      <w:proofErr w:type="gramStart"/>
      <w:r w:rsidR="00742C48">
        <w:rPr>
          <w:rFonts w:ascii="Palatino Linotype" w:hAnsi="Palatino Linotype"/>
        </w:rPr>
        <w:t>request</w:t>
      </w:r>
      <w:proofErr w:type="gramEnd"/>
      <w:r w:rsidR="00742C48">
        <w:rPr>
          <w:rFonts w:ascii="Palatino Linotype" w:hAnsi="Palatino Linotype"/>
        </w:rPr>
        <w:t xml:space="preserve"> </w:t>
      </w:r>
      <w:r w:rsidR="00A349FE">
        <w:rPr>
          <w:rFonts w:ascii="Palatino Linotype" w:hAnsi="Palatino Linotype"/>
        </w:rPr>
        <w:t xml:space="preserve">and </w:t>
      </w:r>
      <w:r w:rsidR="00196C24">
        <w:rPr>
          <w:rFonts w:ascii="Palatino Linotype" w:hAnsi="Palatino Linotype"/>
        </w:rPr>
        <w:t>review</w:t>
      </w:r>
      <w:r w:rsidR="00E763CA">
        <w:rPr>
          <w:rFonts w:ascii="Palatino Linotype" w:hAnsi="Palatino Linotype"/>
        </w:rPr>
        <w:t xml:space="preserve"> </w:t>
      </w:r>
      <w:r w:rsidR="00A349FE">
        <w:rPr>
          <w:rFonts w:ascii="Palatino Linotype" w:hAnsi="Palatino Linotype"/>
        </w:rPr>
        <w:t xml:space="preserve">site-host submitted paid invoices and sales receipts if </w:t>
      </w:r>
      <w:r w:rsidR="00E763CA">
        <w:rPr>
          <w:rFonts w:ascii="Palatino Linotype" w:hAnsi="Palatino Linotype"/>
        </w:rPr>
        <w:t xml:space="preserve">concerns of </w:t>
      </w:r>
      <w:r w:rsidR="00F91D5B">
        <w:rPr>
          <w:rFonts w:ascii="Palatino Linotype" w:hAnsi="Palatino Linotype"/>
        </w:rPr>
        <w:t xml:space="preserve">potential </w:t>
      </w:r>
      <w:r w:rsidR="00A770CE">
        <w:rPr>
          <w:rFonts w:ascii="Palatino Linotype" w:hAnsi="Palatino Linotype"/>
        </w:rPr>
        <w:t>EVSP ongoing cost</w:t>
      </w:r>
      <w:r w:rsidR="00E763CA">
        <w:rPr>
          <w:rFonts w:ascii="Palatino Linotype" w:hAnsi="Palatino Linotype"/>
        </w:rPr>
        <w:t xml:space="preserve"> </w:t>
      </w:r>
      <w:r w:rsidR="00A770CE">
        <w:rPr>
          <w:rFonts w:ascii="Palatino Linotype" w:hAnsi="Palatino Linotype"/>
        </w:rPr>
        <w:t xml:space="preserve">price </w:t>
      </w:r>
      <w:r w:rsidR="00E763CA">
        <w:rPr>
          <w:rFonts w:ascii="Palatino Linotype" w:hAnsi="Palatino Linotype"/>
        </w:rPr>
        <w:t>manipulation are</w:t>
      </w:r>
      <w:r w:rsidR="00A770CE">
        <w:rPr>
          <w:rFonts w:ascii="Palatino Linotype" w:hAnsi="Palatino Linotype"/>
        </w:rPr>
        <w:t xml:space="preserve"> </w:t>
      </w:r>
      <w:r w:rsidR="001A126A">
        <w:rPr>
          <w:rFonts w:ascii="Palatino Linotype" w:hAnsi="Palatino Linotype"/>
        </w:rPr>
        <w:t>raised</w:t>
      </w:r>
      <w:r w:rsidR="00A770CE">
        <w:rPr>
          <w:rFonts w:ascii="Palatino Linotype" w:hAnsi="Palatino Linotype"/>
        </w:rPr>
        <w:t xml:space="preserve">. </w:t>
      </w:r>
    </w:p>
    <w:p w:rsidRPr="00A109F9" w:rsidR="005B3149" w:rsidP="002B1EEA" w:rsidRDefault="005600AA" w14:paraId="48444466" w14:textId="394EE3C4">
      <w:pPr>
        <w:rPr>
          <w:rFonts w:ascii="Palatino Linotype" w:hAnsi="Palatino Linotype"/>
        </w:rPr>
      </w:pPr>
      <w:r>
        <w:rPr>
          <w:rFonts w:ascii="Palatino Linotype" w:hAnsi="Palatino Linotype"/>
        </w:rPr>
        <w:t xml:space="preserve">With the programs being approved as pilots intended to collect information to inform how to address enabling transportation electrification at schools, </w:t>
      </w:r>
      <w:r w:rsidR="00977028">
        <w:rPr>
          <w:rFonts w:ascii="Palatino Linotype" w:hAnsi="Palatino Linotype"/>
        </w:rPr>
        <w:t>Energy Division believe</w:t>
      </w:r>
      <w:r w:rsidR="001A126A">
        <w:rPr>
          <w:rFonts w:ascii="Palatino Linotype" w:hAnsi="Palatino Linotype"/>
        </w:rPr>
        <w:t>s</w:t>
      </w:r>
      <w:r>
        <w:rPr>
          <w:rFonts w:ascii="Palatino Linotype" w:hAnsi="Palatino Linotype"/>
        </w:rPr>
        <w:t xml:space="preserve"> this is an opportune time to seek the data above.</w:t>
      </w:r>
      <w:r w:rsidR="001A126A">
        <w:rPr>
          <w:rFonts w:ascii="Palatino Linotype" w:hAnsi="Palatino Linotype"/>
        </w:rPr>
        <w:t xml:space="preserve"> </w:t>
      </w:r>
      <w:r w:rsidR="00D94B2D">
        <w:rPr>
          <w:rFonts w:ascii="Palatino Linotype" w:hAnsi="Palatino Linotype"/>
        </w:rPr>
        <w:t>The IOU</w:t>
      </w:r>
      <w:r w:rsidR="00EF1CC4">
        <w:rPr>
          <w:rFonts w:ascii="Palatino Linotype" w:hAnsi="Palatino Linotype"/>
        </w:rPr>
        <w:t xml:space="preserve">s should include the requested data within their Schools Pilot Programs </w:t>
      </w:r>
      <w:r w:rsidR="00D94B2D">
        <w:rPr>
          <w:rFonts w:ascii="Palatino Linotype" w:hAnsi="Palatino Linotype"/>
        </w:rPr>
        <w:t>data collection and evaluation efforts</w:t>
      </w:r>
      <w:r w:rsidR="00EF1CC4">
        <w:rPr>
          <w:rFonts w:ascii="Palatino Linotype" w:hAnsi="Palatino Linotype"/>
        </w:rPr>
        <w:t xml:space="preserve"> and use</w:t>
      </w:r>
      <w:r w:rsidR="001A126A">
        <w:rPr>
          <w:rFonts w:ascii="Palatino Linotype" w:hAnsi="Palatino Linotype"/>
        </w:rPr>
        <w:t xml:space="preserve"> the information</w:t>
      </w:r>
      <w:r w:rsidR="00EF1CC4">
        <w:rPr>
          <w:rFonts w:ascii="Palatino Linotype" w:hAnsi="Palatino Linotype"/>
        </w:rPr>
        <w:t xml:space="preserve"> to inform the necessary steps for future programs that </w:t>
      </w:r>
      <w:r w:rsidR="00977028">
        <w:rPr>
          <w:rFonts w:ascii="Palatino Linotype" w:hAnsi="Palatino Linotype"/>
        </w:rPr>
        <w:t>seek to scale this rebate model.</w:t>
      </w:r>
    </w:p>
    <w:p w:rsidR="00FD3C15" w:rsidP="002B1EEA" w:rsidRDefault="00F91D5B" w14:paraId="1F065D9E" w14:textId="1E09ABC0">
      <w:pPr>
        <w:rPr>
          <w:rFonts w:ascii="Palatino Linotype" w:hAnsi="Palatino Linotype"/>
          <w:b/>
          <w:bCs/>
        </w:rPr>
      </w:pPr>
      <w:r>
        <w:rPr>
          <w:rFonts w:ascii="Palatino Linotype" w:hAnsi="Palatino Linotype"/>
          <w:b/>
          <w:bCs/>
        </w:rPr>
        <w:t xml:space="preserve">While </w:t>
      </w:r>
      <w:r w:rsidR="00343FF4">
        <w:rPr>
          <w:rFonts w:ascii="Palatino Linotype" w:hAnsi="Palatino Linotype"/>
          <w:b/>
          <w:bCs/>
        </w:rPr>
        <w:t xml:space="preserve">it is reasonable to </w:t>
      </w:r>
      <w:r>
        <w:rPr>
          <w:rFonts w:ascii="Palatino Linotype" w:hAnsi="Palatino Linotype"/>
          <w:b/>
          <w:bCs/>
        </w:rPr>
        <w:t>approv</w:t>
      </w:r>
      <w:r w:rsidR="00343FF4">
        <w:rPr>
          <w:rFonts w:ascii="Palatino Linotype" w:hAnsi="Palatino Linotype"/>
          <w:b/>
          <w:bCs/>
        </w:rPr>
        <w:t>e</w:t>
      </w:r>
      <w:r>
        <w:rPr>
          <w:rFonts w:ascii="Palatino Linotype" w:hAnsi="Palatino Linotype"/>
          <w:b/>
          <w:bCs/>
        </w:rPr>
        <w:t xml:space="preserve"> the IOUs’ proposed process to issue the rebate, </w:t>
      </w:r>
      <w:r w:rsidR="00467C35">
        <w:rPr>
          <w:rFonts w:ascii="Palatino Linotype" w:hAnsi="Palatino Linotype"/>
          <w:b/>
          <w:bCs/>
        </w:rPr>
        <w:t>the Commission finds it reasonable to</w:t>
      </w:r>
      <w:r w:rsidR="001A6D4D">
        <w:rPr>
          <w:rFonts w:ascii="Palatino Linotype" w:hAnsi="Palatino Linotype"/>
          <w:b/>
          <w:bCs/>
        </w:rPr>
        <w:t xml:space="preserve"> make</w:t>
      </w:r>
      <w:r w:rsidR="00467C35">
        <w:rPr>
          <w:rFonts w:ascii="Palatino Linotype" w:hAnsi="Palatino Linotype"/>
          <w:b/>
          <w:bCs/>
        </w:rPr>
        <w:t xml:space="preserve"> </w:t>
      </w:r>
      <w:r w:rsidRPr="00B629C8" w:rsidR="00B629C8">
        <w:rPr>
          <w:rFonts w:ascii="Palatino Linotype" w:hAnsi="Palatino Linotype"/>
          <w:b/>
          <w:bCs/>
        </w:rPr>
        <w:t xml:space="preserve">modifications to ensure the program does not </w:t>
      </w:r>
      <w:r w:rsidR="00343FF4">
        <w:rPr>
          <w:rFonts w:ascii="Palatino Linotype" w:hAnsi="Palatino Linotype"/>
          <w:b/>
          <w:bCs/>
        </w:rPr>
        <w:t xml:space="preserve">negatively </w:t>
      </w:r>
      <w:r w:rsidRPr="00B629C8" w:rsidR="00B629C8">
        <w:rPr>
          <w:rFonts w:ascii="Palatino Linotype" w:hAnsi="Palatino Linotype"/>
          <w:b/>
          <w:bCs/>
        </w:rPr>
        <w:t xml:space="preserve">impact market competition. </w:t>
      </w:r>
    </w:p>
    <w:p w:rsidRPr="001A6D4D" w:rsidR="001A6D4D" w:rsidP="002B1EEA" w:rsidRDefault="001A6D4D" w14:paraId="740EADBA" w14:textId="5DA9DE38">
      <w:pPr>
        <w:rPr>
          <w:rFonts w:ascii="Palatino Linotype" w:hAnsi="Palatino Linotype"/>
          <w:u w:val="single"/>
        </w:rPr>
      </w:pPr>
      <w:r>
        <w:rPr>
          <w:rFonts w:ascii="Palatino Linotype" w:hAnsi="Palatino Linotype"/>
          <w:u w:val="single"/>
        </w:rPr>
        <w:t>The IOUs’ proposal to issue the rebate is reasonable.</w:t>
      </w:r>
    </w:p>
    <w:p w:rsidR="00977028" w:rsidP="00B629C8" w:rsidRDefault="003B1DB1" w14:paraId="29E8F476" w14:textId="4EFC0DD7">
      <w:pPr>
        <w:rPr>
          <w:rFonts w:ascii="Palatino Linotype" w:hAnsi="Palatino Linotype"/>
        </w:rPr>
      </w:pPr>
      <w:r>
        <w:rPr>
          <w:rFonts w:ascii="Palatino Linotype" w:hAnsi="Palatino Linotype"/>
        </w:rPr>
        <w:lastRenderedPageBreak/>
        <w:t>To</w:t>
      </w:r>
      <w:r w:rsidR="00977028">
        <w:rPr>
          <w:rFonts w:ascii="Palatino Linotype" w:hAnsi="Palatino Linotype"/>
        </w:rPr>
        <w:t xml:space="preserve"> issu</w:t>
      </w:r>
      <w:r>
        <w:rPr>
          <w:rFonts w:ascii="Palatino Linotype" w:hAnsi="Palatino Linotype"/>
        </w:rPr>
        <w:t>e</w:t>
      </w:r>
      <w:r w:rsidR="00977028">
        <w:rPr>
          <w:rFonts w:ascii="Palatino Linotype" w:hAnsi="Palatino Linotype"/>
        </w:rPr>
        <w:t xml:space="preserve"> the rebate, PG&amp;E proposes that a site host mus</w:t>
      </w:r>
      <w:r w:rsidR="00D45948">
        <w:rPr>
          <w:rFonts w:ascii="Palatino Linotype" w:hAnsi="Palatino Linotype"/>
        </w:rPr>
        <w:t>t</w:t>
      </w:r>
      <w:r w:rsidR="00977028">
        <w:rPr>
          <w:rFonts w:ascii="Palatino Linotype" w:hAnsi="Palatino Linotype"/>
        </w:rPr>
        <w:t xml:space="preserve"> </w:t>
      </w:r>
      <w:r w:rsidR="00C479BF">
        <w:rPr>
          <w:rFonts w:ascii="Palatino Linotype" w:hAnsi="Palatino Linotype"/>
        </w:rPr>
        <w:t>complete</w:t>
      </w:r>
      <w:r w:rsidR="00977028">
        <w:rPr>
          <w:rFonts w:ascii="Palatino Linotype" w:hAnsi="Palatino Linotype"/>
        </w:rPr>
        <w:t xml:space="preserve"> the following steps. First, the site host must notify the IOU of their preference to own and operate the EVSE. Next, the site-host must purchase the EVSE from one of the qualified vendors. Finally, the site-host must provide the IOU with the proof of purchase,</w:t>
      </w:r>
      <w:r>
        <w:rPr>
          <w:rFonts w:ascii="Palatino Linotype" w:hAnsi="Palatino Linotype"/>
        </w:rPr>
        <w:t xml:space="preserve"> including</w:t>
      </w:r>
      <w:r w:rsidR="00977028">
        <w:rPr>
          <w:rFonts w:ascii="Palatino Linotype" w:hAnsi="Palatino Linotype"/>
        </w:rPr>
        <w:t xml:space="preserve"> the purchase date</w:t>
      </w:r>
      <w:r w:rsidR="00C479BF">
        <w:rPr>
          <w:rFonts w:ascii="Palatino Linotype" w:hAnsi="Palatino Linotype"/>
        </w:rPr>
        <w:t>;</w:t>
      </w:r>
      <w:r w:rsidR="00977028">
        <w:rPr>
          <w:rFonts w:ascii="Palatino Linotype" w:hAnsi="Palatino Linotype"/>
        </w:rPr>
        <w:t xml:space="preserve"> the make, model, and serial numbers of the EVSE and individual unit pricing</w:t>
      </w:r>
      <w:r w:rsidR="00C479BF">
        <w:rPr>
          <w:rFonts w:ascii="Palatino Linotype" w:hAnsi="Palatino Linotype"/>
        </w:rPr>
        <w:t>;</w:t>
      </w:r>
      <w:r w:rsidR="00977028">
        <w:rPr>
          <w:rFonts w:ascii="Palatino Linotype" w:hAnsi="Palatino Linotype"/>
        </w:rPr>
        <w:t xml:space="preserve"> and a separate list of the networking fees, warranty costs, and maintenance contract pricing. The site-host must also provide PG&amp;E with a copy of the </w:t>
      </w:r>
      <w:r w:rsidR="00D45948">
        <w:rPr>
          <w:rFonts w:ascii="Palatino Linotype" w:hAnsi="Palatino Linotype"/>
        </w:rPr>
        <w:t>n</w:t>
      </w:r>
      <w:r w:rsidR="00977028">
        <w:rPr>
          <w:rFonts w:ascii="Palatino Linotype" w:hAnsi="Palatino Linotype"/>
        </w:rPr>
        <w:t xml:space="preserve">etwork </w:t>
      </w:r>
      <w:r w:rsidR="00D45948">
        <w:rPr>
          <w:rFonts w:ascii="Palatino Linotype" w:hAnsi="Palatino Linotype"/>
        </w:rPr>
        <w:t>s</w:t>
      </w:r>
      <w:r w:rsidR="00977028">
        <w:rPr>
          <w:rFonts w:ascii="Palatino Linotype" w:hAnsi="Palatino Linotype"/>
        </w:rPr>
        <w:t xml:space="preserve">ervice </w:t>
      </w:r>
      <w:r w:rsidR="00D45948">
        <w:rPr>
          <w:rFonts w:ascii="Palatino Linotype" w:hAnsi="Palatino Linotype"/>
        </w:rPr>
        <w:t>a</w:t>
      </w:r>
      <w:r w:rsidR="00977028">
        <w:rPr>
          <w:rFonts w:ascii="Palatino Linotype" w:hAnsi="Palatino Linotype"/>
        </w:rPr>
        <w:t xml:space="preserve">greement and a copy of their W-9 form with the appropriate Tax ID information. </w:t>
      </w:r>
    </w:p>
    <w:p w:rsidR="00F06DB3" w:rsidP="00B629C8" w:rsidRDefault="00F06DB3" w14:paraId="0BC29363" w14:textId="295AB2EB">
      <w:pPr>
        <w:rPr>
          <w:rFonts w:ascii="Palatino Linotype" w:hAnsi="Palatino Linotype"/>
        </w:rPr>
      </w:pPr>
      <w:r>
        <w:rPr>
          <w:rFonts w:ascii="Palatino Linotype" w:hAnsi="Palatino Linotype"/>
        </w:rPr>
        <w:t>SCE’s proposal</w:t>
      </w:r>
      <w:r w:rsidR="008B6E4C">
        <w:rPr>
          <w:rFonts w:ascii="Palatino Linotype" w:hAnsi="Palatino Linotype"/>
        </w:rPr>
        <w:t xml:space="preserve"> </w:t>
      </w:r>
      <w:r w:rsidR="00051C25">
        <w:rPr>
          <w:rFonts w:ascii="Palatino Linotype" w:hAnsi="Palatino Linotype"/>
        </w:rPr>
        <w:t xml:space="preserve">establishes a five-step process for how a rebate will be processed. First, the </w:t>
      </w:r>
      <w:r w:rsidR="00173DE5">
        <w:rPr>
          <w:rFonts w:ascii="Palatino Linotype" w:hAnsi="Palatino Linotype"/>
        </w:rPr>
        <w:t xml:space="preserve">site-host </w:t>
      </w:r>
      <w:r w:rsidR="009F61AF">
        <w:rPr>
          <w:rFonts w:ascii="Palatino Linotype" w:hAnsi="Palatino Linotype"/>
        </w:rPr>
        <w:t>must purchase equipment from the qualified vendor list and</w:t>
      </w:r>
      <w:r w:rsidR="00173DE5">
        <w:rPr>
          <w:rFonts w:ascii="Palatino Linotype" w:hAnsi="Palatino Linotype"/>
        </w:rPr>
        <w:t xml:space="preserve"> submit a copy of the paid invoice </w:t>
      </w:r>
      <w:r w:rsidR="00863A00">
        <w:rPr>
          <w:rFonts w:ascii="Palatino Linotype" w:hAnsi="Palatino Linotype"/>
        </w:rPr>
        <w:t>or sales receipt for the charging equipment, with an itemized listing of the EVSE purchase price</w:t>
      </w:r>
      <w:r w:rsidR="00C4563F">
        <w:rPr>
          <w:rFonts w:ascii="Palatino Linotype" w:hAnsi="Palatino Linotype"/>
        </w:rPr>
        <w:t xml:space="preserve"> and delivery charge, and, at a minimum, include the following 1) purchase date, 2) </w:t>
      </w:r>
      <w:r w:rsidR="0074655B">
        <w:rPr>
          <w:rFonts w:ascii="Palatino Linotype" w:hAnsi="Palatino Linotype"/>
        </w:rPr>
        <w:t>equipment make, 3) equipment model, 4) equipment serial number,</w:t>
      </w:r>
      <w:r w:rsidR="00CA0DAB">
        <w:rPr>
          <w:rFonts w:ascii="Palatino Linotype" w:hAnsi="Palatino Linotype"/>
        </w:rPr>
        <w:t xml:space="preserve"> 5) individual unit price</w:t>
      </w:r>
      <w:r w:rsidR="000C05EE">
        <w:rPr>
          <w:rFonts w:ascii="Palatino Linotype" w:hAnsi="Palatino Linotype"/>
        </w:rPr>
        <w:t xml:space="preserve">, 6) training costs (if applicable), </w:t>
      </w:r>
      <w:r w:rsidR="00631FE8">
        <w:rPr>
          <w:rFonts w:ascii="Palatino Linotype" w:hAnsi="Palatino Linotype"/>
        </w:rPr>
        <w:t xml:space="preserve">7) networking fees, 8) warranty costs, and 9) maintenance contract pricing.  </w:t>
      </w:r>
      <w:r w:rsidR="00E25E07">
        <w:rPr>
          <w:rFonts w:ascii="Palatino Linotype" w:hAnsi="Palatino Linotype"/>
        </w:rPr>
        <w:t>Then</w:t>
      </w:r>
      <w:r w:rsidR="00836F4F">
        <w:rPr>
          <w:rFonts w:ascii="Palatino Linotype" w:hAnsi="Palatino Linotype"/>
        </w:rPr>
        <w:t xml:space="preserve">, the site-host will submit a copy of the SCE </w:t>
      </w:r>
      <w:r w:rsidR="001C0294">
        <w:rPr>
          <w:rFonts w:ascii="Palatino Linotype" w:hAnsi="Palatino Linotype"/>
        </w:rPr>
        <w:t>Rebate Assignment Form</w:t>
      </w:r>
      <w:r w:rsidR="00E25E07">
        <w:rPr>
          <w:rFonts w:ascii="Palatino Linotype" w:hAnsi="Palatino Linotype"/>
        </w:rPr>
        <w:t xml:space="preserve">, </w:t>
      </w:r>
      <w:r w:rsidR="001C0294">
        <w:rPr>
          <w:rFonts w:ascii="Palatino Linotype" w:hAnsi="Palatino Linotype"/>
        </w:rPr>
        <w:t xml:space="preserve">the </w:t>
      </w:r>
      <w:r w:rsidR="003B1DB1">
        <w:rPr>
          <w:rFonts w:ascii="Palatino Linotype" w:hAnsi="Palatino Linotype"/>
        </w:rPr>
        <w:t>n</w:t>
      </w:r>
      <w:r w:rsidR="001C0294">
        <w:rPr>
          <w:rFonts w:ascii="Palatino Linotype" w:hAnsi="Palatino Linotype"/>
        </w:rPr>
        <w:t xml:space="preserve">etwork </w:t>
      </w:r>
      <w:r w:rsidR="003B1DB1">
        <w:rPr>
          <w:rFonts w:ascii="Palatino Linotype" w:hAnsi="Palatino Linotype"/>
        </w:rPr>
        <w:t>s</w:t>
      </w:r>
      <w:r w:rsidR="001C0294">
        <w:rPr>
          <w:rFonts w:ascii="Palatino Linotype" w:hAnsi="Palatino Linotype"/>
        </w:rPr>
        <w:t xml:space="preserve">ervice </w:t>
      </w:r>
      <w:r w:rsidR="003B1DB1">
        <w:rPr>
          <w:rFonts w:ascii="Palatino Linotype" w:hAnsi="Palatino Linotype"/>
        </w:rPr>
        <w:t>a</w:t>
      </w:r>
      <w:r w:rsidR="001C0294">
        <w:rPr>
          <w:rFonts w:ascii="Palatino Linotype" w:hAnsi="Palatino Linotype"/>
        </w:rPr>
        <w:t>greement</w:t>
      </w:r>
      <w:r w:rsidR="00E25E07">
        <w:rPr>
          <w:rFonts w:ascii="Palatino Linotype" w:hAnsi="Palatino Linotype"/>
        </w:rPr>
        <w:t xml:space="preserve">, and </w:t>
      </w:r>
      <w:r w:rsidR="007B6188">
        <w:rPr>
          <w:rFonts w:ascii="Palatino Linotype" w:hAnsi="Palatino Linotype"/>
        </w:rPr>
        <w:t>all completed inspections and close out of Division of State Architect permits. Finally,</w:t>
      </w:r>
      <w:r w:rsidR="00F91D5B">
        <w:rPr>
          <w:rFonts w:ascii="Palatino Linotype" w:hAnsi="Palatino Linotype"/>
        </w:rPr>
        <w:t xml:space="preserve"> the site-host will </w:t>
      </w:r>
      <w:r w:rsidR="000B5CCB">
        <w:rPr>
          <w:rFonts w:ascii="Palatino Linotype" w:hAnsi="Palatino Linotype"/>
        </w:rPr>
        <w:t>subm</w:t>
      </w:r>
      <w:r w:rsidR="00F91D5B">
        <w:rPr>
          <w:rFonts w:ascii="Palatino Linotype" w:hAnsi="Palatino Linotype"/>
        </w:rPr>
        <w:t>it</w:t>
      </w:r>
      <w:r w:rsidR="000B5CCB">
        <w:rPr>
          <w:rFonts w:ascii="Palatino Linotype" w:hAnsi="Palatino Linotype"/>
        </w:rPr>
        <w:t xml:space="preserve"> of a copy of the EVSE Commissioning Report to confirm EVSE activation. </w:t>
      </w:r>
    </w:p>
    <w:p w:rsidR="00B629C8" w:rsidP="00B629C8" w:rsidRDefault="00B629C8" w14:paraId="242380B2" w14:textId="78AF2AE9">
      <w:pPr>
        <w:rPr>
          <w:rFonts w:ascii="Palatino Linotype" w:hAnsi="Palatino Linotype"/>
        </w:rPr>
      </w:pPr>
      <w:r>
        <w:rPr>
          <w:rFonts w:ascii="Palatino Linotype" w:hAnsi="Palatino Linotype"/>
        </w:rPr>
        <w:t xml:space="preserve">SDG&amp;E’s proposal establishes three requirements for the site-host to be eligible and receive their EVSE rebate. First, the site-host must select an EVSE that is listed on the Approved Product List (APL). Second, the site-host needs to complete the Rebate Assignment Form and submit it to SDG&amp;E for processing. Next, the site-host provides SDG&amp;E with a proof of purchase for the EVSE. Finally, the customer </w:t>
      </w:r>
      <w:r w:rsidR="00C479BF">
        <w:rPr>
          <w:rFonts w:ascii="Palatino Linotype" w:hAnsi="Palatino Linotype"/>
        </w:rPr>
        <w:t>must</w:t>
      </w:r>
      <w:r>
        <w:rPr>
          <w:rFonts w:ascii="Palatino Linotype" w:hAnsi="Palatino Linotype"/>
        </w:rPr>
        <w:t xml:space="preserve"> confirm the EVSE has been installed and is operational. Energy Division staff believes th</w:t>
      </w:r>
      <w:r w:rsidR="002D27F7">
        <w:rPr>
          <w:rFonts w:ascii="Palatino Linotype" w:hAnsi="Palatino Linotype"/>
        </w:rPr>
        <w:t>e</w:t>
      </w:r>
      <w:r w:rsidR="00316D2F">
        <w:rPr>
          <w:rFonts w:ascii="Palatino Linotype" w:hAnsi="Palatino Linotype"/>
        </w:rPr>
        <w:t xml:space="preserve"> terms </w:t>
      </w:r>
      <w:r w:rsidR="00C479BF">
        <w:rPr>
          <w:rFonts w:ascii="Palatino Linotype" w:hAnsi="Palatino Linotype"/>
        </w:rPr>
        <w:t>to</w:t>
      </w:r>
      <w:r w:rsidR="00316D2F">
        <w:rPr>
          <w:rFonts w:ascii="Palatino Linotype" w:hAnsi="Palatino Linotype"/>
        </w:rPr>
        <w:t xml:space="preserve"> process a rebate</w:t>
      </w:r>
      <w:r>
        <w:rPr>
          <w:rFonts w:ascii="Palatino Linotype" w:hAnsi="Palatino Linotype"/>
        </w:rPr>
        <w:t xml:space="preserve"> </w:t>
      </w:r>
      <w:r w:rsidR="002D27F7">
        <w:rPr>
          <w:rFonts w:ascii="Palatino Linotype" w:hAnsi="Palatino Linotype"/>
        </w:rPr>
        <w:t>proposed by</w:t>
      </w:r>
      <w:r w:rsidR="003B1DB1">
        <w:rPr>
          <w:rFonts w:ascii="Palatino Linotype" w:hAnsi="Palatino Linotype"/>
        </w:rPr>
        <w:t xml:space="preserve"> PG&amp;E,</w:t>
      </w:r>
      <w:r w:rsidR="002D27F7">
        <w:rPr>
          <w:rFonts w:ascii="Palatino Linotype" w:hAnsi="Palatino Linotype"/>
        </w:rPr>
        <w:t xml:space="preserve"> SCE</w:t>
      </w:r>
      <w:r w:rsidR="003B1DB1">
        <w:rPr>
          <w:rFonts w:ascii="Palatino Linotype" w:hAnsi="Palatino Linotype"/>
        </w:rPr>
        <w:t>,</w:t>
      </w:r>
      <w:r w:rsidR="002D27F7">
        <w:rPr>
          <w:rFonts w:ascii="Palatino Linotype" w:hAnsi="Palatino Linotype"/>
        </w:rPr>
        <w:t xml:space="preserve"> and SDG&amp;E</w:t>
      </w:r>
      <w:r>
        <w:rPr>
          <w:rFonts w:ascii="Palatino Linotype" w:hAnsi="Palatino Linotype"/>
        </w:rPr>
        <w:t xml:space="preserve"> </w:t>
      </w:r>
      <w:r w:rsidR="002D27F7">
        <w:rPr>
          <w:rFonts w:ascii="Palatino Linotype" w:hAnsi="Palatino Linotype"/>
        </w:rPr>
        <w:t>are</w:t>
      </w:r>
      <w:r>
        <w:rPr>
          <w:rFonts w:ascii="Palatino Linotype" w:hAnsi="Palatino Linotype"/>
        </w:rPr>
        <w:t xml:space="preserve"> reasonable.</w:t>
      </w:r>
    </w:p>
    <w:p w:rsidRPr="001A6D4D" w:rsidR="001A6D4D" w:rsidP="00B629C8" w:rsidRDefault="001A6D4D" w14:paraId="2DAF3779" w14:textId="643A6286">
      <w:pPr>
        <w:rPr>
          <w:rFonts w:ascii="Palatino Linotype" w:hAnsi="Palatino Linotype"/>
          <w:u w:val="single"/>
        </w:rPr>
      </w:pPr>
      <w:r>
        <w:rPr>
          <w:rFonts w:ascii="Palatino Linotype" w:hAnsi="Palatino Linotype"/>
          <w:u w:val="single"/>
        </w:rPr>
        <w:t xml:space="preserve">As proposed, </w:t>
      </w:r>
      <w:r w:rsidR="001564C1">
        <w:rPr>
          <w:rFonts w:ascii="Palatino Linotype" w:hAnsi="Palatino Linotype"/>
          <w:u w:val="single"/>
        </w:rPr>
        <w:t xml:space="preserve">a one-time </w:t>
      </w:r>
      <w:r>
        <w:rPr>
          <w:rFonts w:ascii="Palatino Linotype" w:hAnsi="Palatino Linotype"/>
          <w:u w:val="single"/>
        </w:rPr>
        <w:t>rebate</w:t>
      </w:r>
      <w:r w:rsidR="001564C1">
        <w:rPr>
          <w:rFonts w:ascii="Palatino Linotype" w:hAnsi="Palatino Linotype"/>
          <w:u w:val="single"/>
        </w:rPr>
        <w:t xml:space="preserve"> to cover unknown ongoing costs</w:t>
      </w:r>
      <w:r>
        <w:rPr>
          <w:rFonts w:ascii="Palatino Linotype" w:hAnsi="Palatino Linotype"/>
          <w:u w:val="single"/>
        </w:rPr>
        <w:t xml:space="preserve"> could negatively impact the EV charging market, justifying modifications to ensure pricing transparency.</w:t>
      </w:r>
    </w:p>
    <w:p w:rsidR="00B629C8" w:rsidP="00B629C8" w:rsidRDefault="00B629C8" w14:paraId="33E4CAC2" w14:textId="730E182A">
      <w:pPr>
        <w:rPr>
          <w:rFonts w:ascii="Palatino Linotype" w:hAnsi="Palatino Linotype"/>
        </w:rPr>
      </w:pPr>
      <w:r>
        <w:rPr>
          <w:rFonts w:ascii="Palatino Linotype" w:hAnsi="Palatino Linotype"/>
        </w:rPr>
        <w:t>As proposed,</w:t>
      </w:r>
      <w:r w:rsidR="003E6EF6">
        <w:rPr>
          <w:rFonts w:ascii="Palatino Linotype" w:hAnsi="Palatino Linotype"/>
        </w:rPr>
        <w:t xml:space="preserve"> </w:t>
      </w:r>
      <w:r w:rsidR="00977028">
        <w:rPr>
          <w:rFonts w:ascii="Palatino Linotype" w:hAnsi="Palatino Linotype"/>
        </w:rPr>
        <w:t xml:space="preserve">PG&amp;E, </w:t>
      </w:r>
      <w:r w:rsidR="003E6EF6">
        <w:rPr>
          <w:rFonts w:ascii="Palatino Linotype" w:hAnsi="Palatino Linotype"/>
        </w:rPr>
        <w:t>SCE and</w:t>
      </w:r>
      <w:r>
        <w:rPr>
          <w:rFonts w:ascii="Palatino Linotype" w:hAnsi="Palatino Linotype"/>
        </w:rPr>
        <w:t xml:space="preserve"> SDG&amp;E will provide customers with a one-time rebate payment that include</w:t>
      </w:r>
      <w:r w:rsidR="00D0064E">
        <w:rPr>
          <w:rFonts w:ascii="Palatino Linotype" w:hAnsi="Palatino Linotype"/>
        </w:rPr>
        <w:t>s</w:t>
      </w:r>
      <w:r>
        <w:rPr>
          <w:rFonts w:ascii="Palatino Linotype" w:hAnsi="Palatino Linotype"/>
        </w:rPr>
        <w:t xml:space="preserve"> the full costs of the EVSE, plus eight years of </w:t>
      </w:r>
      <w:r w:rsidR="004F6430">
        <w:rPr>
          <w:rFonts w:ascii="Palatino Linotype" w:hAnsi="Palatino Linotype"/>
        </w:rPr>
        <w:t xml:space="preserve">estimated </w:t>
      </w:r>
      <w:r>
        <w:rPr>
          <w:rFonts w:ascii="Palatino Linotype" w:hAnsi="Palatino Linotype"/>
        </w:rPr>
        <w:t xml:space="preserve">maintenance and networking fees. SDG&amp;E asserts that a one-time fixed rebate is less administratively burdensome compared to processing and accounting for periodic payments, for both, the IOU and the site-hosts. SDG&amp;E also contends that a one-time rebate offers additional benefits, including making the site-host whole upfront, gaining access to funds at once, </w:t>
      </w:r>
      <w:r w:rsidR="00E25E07">
        <w:rPr>
          <w:rFonts w:ascii="Palatino Linotype" w:hAnsi="Palatino Linotype"/>
        </w:rPr>
        <w:t xml:space="preserve">and </w:t>
      </w:r>
      <w:r>
        <w:rPr>
          <w:rFonts w:ascii="Palatino Linotype" w:hAnsi="Palatino Linotype"/>
        </w:rPr>
        <w:t>minimizing financial tracking</w:t>
      </w:r>
      <w:r w:rsidR="00E25E07">
        <w:rPr>
          <w:rFonts w:ascii="Palatino Linotype" w:hAnsi="Palatino Linotype"/>
        </w:rPr>
        <w:t>. It also</w:t>
      </w:r>
      <w:r>
        <w:rPr>
          <w:rFonts w:ascii="Palatino Linotype" w:hAnsi="Palatino Linotype"/>
        </w:rPr>
        <w:t xml:space="preserve"> </w:t>
      </w:r>
      <w:r w:rsidR="00E25E07">
        <w:rPr>
          <w:rFonts w:ascii="Palatino Linotype" w:hAnsi="Palatino Linotype"/>
        </w:rPr>
        <w:t>is a</w:t>
      </w:r>
      <w:r>
        <w:rPr>
          <w:rFonts w:ascii="Palatino Linotype" w:hAnsi="Palatino Linotype"/>
        </w:rPr>
        <w:t xml:space="preserve"> quicker </w:t>
      </w:r>
      <w:r w:rsidR="00E25E07">
        <w:rPr>
          <w:rFonts w:ascii="Palatino Linotype" w:hAnsi="Palatino Linotype"/>
        </w:rPr>
        <w:t xml:space="preserve">way for SDG&amp;E </w:t>
      </w:r>
      <w:r>
        <w:rPr>
          <w:rFonts w:ascii="Palatino Linotype" w:hAnsi="Palatino Linotype"/>
        </w:rPr>
        <w:t xml:space="preserve">to process rebates. </w:t>
      </w:r>
      <w:r w:rsidR="00D47C05">
        <w:rPr>
          <w:rFonts w:ascii="Palatino Linotype" w:hAnsi="Palatino Linotype"/>
        </w:rPr>
        <w:t xml:space="preserve">SCE mirrored SDG&amp;E’s claims, </w:t>
      </w:r>
      <w:r w:rsidR="00954BB8">
        <w:rPr>
          <w:rFonts w:ascii="Palatino Linotype" w:hAnsi="Palatino Linotype"/>
        </w:rPr>
        <w:t xml:space="preserve">by stating a one-time rebate will provide </w:t>
      </w:r>
      <w:r w:rsidR="00607853">
        <w:rPr>
          <w:rFonts w:ascii="Palatino Linotype" w:hAnsi="Palatino Linotype"/>
        </w:rPr>
        <w:t>an opportunity to “more expeditiously reimburse schools and reduce administrative complexity</w:t>
      </w:r>
      <w:r w:rsidR="00C479BF">
        <w:rPr>
          <w:rFonts w:ascii="Palatino Linotype" w:hAnsi="Palatino Linotype"/>
        </w:rPr>
        <w:t>.</w:t>
      </w:r>
      <w:r w:rsidR="00607853">
        <w:rPr>
          <w:rFonts w:ascii="Palatino Linotype" w:hAnsi="Palatino Linotype"/>
        </w:rPr>
        <w:t>”</w:t>
      </w:r>
      <w:r w:rsidR="00607853">
        <w:rPr>
          <w:rStyle w:val="FootnoteReference"/>
          <w:rFonts w:ascii="Palatino Linotype" w:hAnsi="Palatino Linotype"/>
        </w:rPr>
        <w:footnoteReference w:id="12"/>
      </w:r>
      <w:r w:rsidR="00607853">
        <w:rPr>
          <w:rFonts w:ascii="Palatino Linotype" w:hAnsi="Palatino Linotype"/>
        </w:rPr>
        <w:t xml:space="preserve"> </w:t>
      </w:r>
      <w:r w:rsidR="00BF7C5C">
        <w:rPr>
          <w:rFonts w:ascii="Palatino Linotype" w:hAnsi="Palatino Linotype"/>
        </w:rPr>
        <w:t>While u</w:t>
      </w:r>
      <w:r w:rsidR="00F71A00">
        <w:rPr>
          <w:rFonts w:ascii="Palatino Linotype" w:hAnsi="Palatino Linotype"/>
        </w:rPr>
        <w:t xml:space="preserve">nderstanding </w:t>
      </w:r>
      <w:r w:rsidR="00F71A00">
        <w:rPr>
          <w:rFonts w:ascii="Palatino Linotype" w:hAnsi="Palatino Linotype"/>
        </w:rPr>
        <w:lastRenderedPageBreak/>
        <w:t xml:space="preserve">the IOUs’ </w:t>
      </w:r>
      <w:r w:rsidR="00FE2F1F">
        <w:rPr>
          <w:rFonts w:ascii="Palatino Linotype" w:hAnsi="Palatino Linotype"/>
        </w:rPr>
        <w:t>assertion</w:t>
      </w:r>
      <w:r w:rsidR="00E25E07">
        <w:rPr>
          <w:rFonts w:ascii="Palatino Linotype" w:hAnsi="Palatino Linotype"/>
        </w:rPr>
        <w:t>s</w:t>
      </w:r>
      <w:r w:rsidR="00FE2F1F">
        <w:rPr>
          <w:rFonts w:ascii="Palatino Linotype" w:hAnsi="Palatino Linotype"/>
        </w:rPr>
        <w:t xml:space="preserve"> that a </w:t>
      </w:r>
      <w:r w:rsidR="00BF7C5C">
        <w:rPr>
          <w:rFonts w:ascii="Palatino Linotype" w:hAnsi="Palatino Linotype"/>
        </w:rPr>
        <w:t>one-time</w:t>
      </w:r>
      <w:r w:rsidR="00711055">
        <w:rPr>
          <w:rFonts w:ascii="Palatino Linotype" w:hAnsi="Palatino Linotype"/>
        </w:rPr>
        <w:t>, upfront</w:t>
      </w:r>
      <w:r w:rsidR="00BF7C5C">
        <w:rPr>
          <w:rFonts w:ascii="Palatino Linotype" w:hAnsi="Palatino Linotype"/>
        </w:rPr>
        <w:t xml:space="preserve"> </w:t>
      </w:r>
      <w:r w:rsidR="00711055">
        <w:rPr>
          <w:rFonts w:ascii="Palatino Linotype" w:hAnsi="Palatino Linotype"/>
        </w:rPr>
        <w:t>rebate</w:t>
      </w:r>
      <w:r w:rsidR="00FE2F1F">
        <w:rPr>
          <w:rFonts w:ascii="Palatino Linotype" w:hAnsi="Palatino Linotype"/>
        </w:rPr>
        <w:t xml:space="preserve"> is administratively preferable and more customer friendly, </w:t>
      </w:r>
      <w:r>
        <w:rPr>
          <w:rFonts w:ascii="Palatino Linotype" w:hAnsi="Palatino Linotype"/>
        </w:rPr>
        <w:t xml:space="preserve">providing a fixed, upfront rebate could cause </w:t>
      </w:r>
      <w:r w:rsidR="003F799C">
        <w:rPr>
          <w:rFonts w:ascii="Palatino Linotype" w:hAnsi="Palatino Linotype"/>
        </w:rPr>
        <w:t>the</w:t>
      </w:r>
      <w:r w:rsidR="00F91D5B">
        <w:rPr>
          <w:rFonts w:ascii="Palatino Linotype" w:hAnsi="Palatino Linotype"/>
        </w:rPr>
        <w:t xml:space="preserve"> total ratepayer funded rebate to be higher than it would be if reoccurring rebates based on the actual costs of the renewed </w:t>
      </w:r>
      <w:r w:rsidR="00C27656">
        <w:rPr>
          <w:rFonts w:ascii="Palatino Linotype" w:hAnsi="Palatino Linotype"/>
        </w:rPr>
        <w:t>paid invoice or service receipt</w:t>
      </w:r>
      <w:r w:rsidR="00F91D5B">
        <w:rPr>
          <w:rFonts w:ascii="Palatino Linotype" w:hAnsi="Palatino Linotype"/>
        </w:rPr>
        <w:t>. The act of establishing a rebate cap for unknown future costs could potentially</w:t>
      </w:r>
      <w:r w:rsidR="003F799C">
        <w:rPr>
          <w:rFonts w:ascii="Palatino Linotype" w:hAnsi="Palatino Linotype"/>
        </w:rPr>
        <w:t xml:space="preserve"> establis</w:t>
      </w:r>
      <w:r w:rsidR="00F91D5B">
        <w:rPr>
          <w:rFonts w:ascii="Palatino Linotype" w:hAnsi="Palatino Linotype"/>
        </w:rPr>
        <w:t>h</w:t>
      </w:r>
      <w:r>
        <w:rPr>
          <w:rFonts w:ascii="Palatino Linotype" w:hAnsi="Palatino Linotype"/>
        </w:rPr>
        <w:t xml:space="preserve"> a price floor for the networking and maintenance fees charged by the EVSPs. </w:t>
      </w:r>
    </w:p>
    <w:p w:rsidR="007A7CB7" w:rsidP="007A7CB7" w:rsidRDefault="00C760DB" w14:paraId="03D7DACA" w14:textId="2F8A31A9">
      <w:pPr>
        <w:pStyle w:val="NormalWeb"/>
        <w:spacing w:before="0" w:beforeAutospacing="0" w:after="160" w:afterAutospacing="0"/>
        <w:rPr>
          <w:rFonts w:ascii="Palatino Linotype" w:hAnsi="Palatino Linotype" w:cs="Calibri"/>
          <w:sz w:val="22"/>
          <w:szCs w:val="22"/>
        </w:rPr>
      </w:pPr>
      <w:r>
        <w:rPr>
          <w:rFonts w:ascii="Palatino Linotype" w:hAnsi="Palatino Linotype" w:cs="Calibri"/>
          <w:sz w:val="22"/>
          <w:szCs w:val="22"/>
        </w:rPr>
        <w:t>R</w:t>
      </w:r>
      <w:r w:rsidR="007A7CB7">
        <w:rPr>
          <w:rFonts w:ascii="Palatino Linotype" w:hAnsi="Palatino Linotype" w:cs="Calibri"/>
          <w:sz w:val="22"/>
          <w:szCs w:val="22"/>
        </w:rPr>
        <w:t xml:space="preserve">ecognizing the difficulty of accurately estimating the costs of networking services and maintenance fees across eight years, </w:t>
      </w:r>
      <w:r w:rsidR="003F799C">
        <w:rPr>
          <w:rFonts w:ascii="Palatino Linotype" w:hAnsi="Palatino Linotype" w:cs="Calibri"/>
          <w:sz w:val="22"/>
          <w:szCs w:val="22"/>
        </w:rPr>
        <w:t xml:space="preserve">PG&amp;E, </w:t>
      </w:r>
      <w:r w:rsidR="007A7CB7">
        <w:rPr>
          <w:rFonts w:ascii="Palatino Linotype" w:hAnsi="Palatino Linotype" w:cs="Calibri"/>
          <w:sz w:val="22"/>
          <w:szCs w:val="22"/>
        </w:rPr>
        <w:t>S</w:t>
      </w:r>
      <w:r w:rsidR="00A06DB6">
        <w:rPr>
          <w:rFonts w:ascii="Palatino Linotype" w:hAnsi="Palatino Linotype" w:cs="Calibri"/>
          <w:sz w:val="22"/>
          <w:szCs w:val="22"/>
        </w:rPr>
        <w:t>CE and S</w:t>
      </w:r>
      <w:r w:rsidR="007A7CB7">
        <w:rPr>
          <w:rFonts w:ascii="Palatino Linotype" w:hAnsi="Palatino Linotype" w:cs="Calibri"/>
          <w:sz w:val="22"/>
          <w:szCs w:val="22"/>
        </w:rPr>
        <w:t xml:space="preserve">DG&amp;E </w:t>
      </w:r>
      <w:r>
        <w:rPr>
          <w:rFonts w:ascii="Palatino Linotype" w:hAnsi="Palatino Linotype" w:cs="Calibri"/>
          <w:sz w:val="22"/>
          <w:szCs w:val="22"/>
        </w:rPr>
        <w:t>must</w:t>
      </w:r>
      <w:r w:rsidR="007A7CB7">
        <w:rPr>
          <w:rFonts w:ascii="Palatino Linotype" w:hAnsi="Palatino Linotype" w:cs="Calibri"/>
          <w:sz w:val="22"/>
          <w:szCs w:val="22"/>
        </w:rPr>
        <w:t xml:space="preserve"> make the modifications below o</w:t>
      </w:r>
      <w:r w:rsidR="00A06DB6">
        <w:rPr>
          <w:rFonts w:ascii="Palatino Linotype" w:hAnsi="Palatino Linotype" w:cs="Calibri"/>
          <w:sz w:val="22"/>
          <w:szCs w:val="22"/>
        </w:rPr>
        <w:t>n</w:t>
      </w:r>
      <w:r w:rsidR="007A7CB7">
        <w:rPr>
          <w:rFonts w:ascii="Palatino Linotype" w:hAnsi="Palatino Linotype" w:cs="Calibri"/>
          <w:sz w:val="22"/>
          <w:szCs w:val="22"/>
        </w:rPr>
        <w:t xml:space="preserve"> how the rebate will be processed</w:t>
      </w:r>
      <w:r w:rsidR="002D2BAE">
        <w:rPr>
          <w:rFonts w:ascii="Palatino Linotype" w:hAnsi="Palatino Linotype" w:cs="Calibri"/>
          <w:sz w:val="22"/>
          <w:szCs w:val="22"/>
        </w:rPr>
        <w:t xml:space="preserve">. </w:t>
      </w:r>
      <w:r w:rsidR="00CF271E">
        <w:rPr>
          <w:rFonts w:ascii="Palatino Linotype" w:hAnsi="Palatino Linotype" w:cs="Calibri"/>
          <w:sz w:val="22"/>
          <w:szCs w:val="22"/>
        </w:rPr>
        <w:t>T</w:t>
      </w:r>
      <w:r w:rsidR="003F799C">
        <w:rPr>
          <w:rFonts w:ascii="Palatino Linotype" w:hAnsi="Palatino Linotype" w:cs="Calibri"/>
          <w:sz w:val="22"/>
          <w:szCs w:val="22"/>
        </w:rPr>
        <w:t xml:space="preserve">hese steps will prevent unnecessary ratepayer expenses for inflated ongoing maintenance, networking, and warranty costs. </w:t>
      </w:r>
    </w:p>
    <w:p w:rsidR="007A7CB7" w:rsidP="007A7CB7" w:rsidRDefault="007A7CB7" w14:paraId="0AF12D09" w14:textId="0D882722">
      <w:pPr>
        <w:pStyle w:val="NormalWeb"/>
        <w:spacing w:before="0" w:beforeAutospacing="0" w:after="160" w:afterAutospacing="0"/>
        <w:rPr>
          <w:rFonts w:ascii="Calibri" w:hAnsi="Calibri" w:cs="Calibri"/>
          <w:sz w:val="22"/>
          <w:szCs w:val="22"/>
        </w:rPr>
      </w:pPr>
      <w:r>
        <w:rPr>
          <w:rFonts w:ascii="Palatino Linotype" w:hAnsi="Palatino Linotype" w:cs="Calibri"/>
          <w:sz w:val="22"/>
          <w:szCs w:val="22"/>
        </w:rPr>
        <w:t xml:space="preserve">First, </w:t>
      </w:r>
      <w:r w:rsidR="00BB2984">
        <w:rPr>
          <w:rFonts w:ascii="Palatino Linotype" w:hAnsi="Palatino Linotype" w:cs="Calibri"/>
          <w:sz w:val="22"/>
          <w:szCs w:val="22"/>
        </w:rPr>
        <w:t xml:space="preserve">as included in PG&amp;E’s and SCE’s rebate proposal, </w:t>
      </w:r>
      <w:r w:rsidR="00E34C5B">
        <w:rPr>
          <w:rFonts w:ascii="Palatino Linotype" w:hAnsi="Palatino Linotype" w:cs="Calibri"/>
          <w:sz w:val="22"/>
          <w:szCs w:val="22"/>
        </w:rPr>
        <w:t xml:space="preserve">SDG&amp;E should cap </w:t>
      </w:r>
      <w:r>
        <w:rPr>
          <w:rFonts w:ascii="Palatino Linotype" w:hAnsi="Palatino Linotype" w:cs="Calibri"/>
          <w:sz w:val="22"/>
          <w:szCs w:val="22"/>
        </w:rPr>
        <w:t>the</w:t>
      </w:r>
      <w:r w:rsidR="00CE09B7">
        <w:rPr>
          <w:rFonts w:ascii="Palatino Linotype" w:hAnsi="Palatino Linotype" w:cs="Calibri"/>
          <w:sz w:val="22"/>
          <w:szCs w:val="22"/>
        </w:rPr>
        <w:t xml:space="preserve"> value of the maintenance and network service fee</w:t>
      </w:r>
      <w:r>
        <w:rPr>
          <w:rFonts w:ascii="Palatino Linotype" w:hAnsi="Palatino Linotype" w:cs="Calibri"/>
          <w:sz w:val="22"/>
          <w:szCs w:val="22"/>
        </w:rPr>
        <w:t xml:space="preserve"> at the amounts seen </w:t>
      </w:r>
      <w:r w:rsidR="003F799C">
        <w:rPr>
          <w:rFonts w:ascii="Calibri" w:hAnsi="Calibri" w:cs="Calibri"/>
          <w:sz w:val="22"/>
          <w:szCs w:val="22"/>
        </w:rPr>
        <w:fldChar w:fldCharType="begin"/>
      </w:r>
      <w:r w:rsidR="003F799C">
        <w:rPr>
          <w:rFonts w:ascii="Calibri" w:hAnsi="Calibri" w:cs="Calibri"/>
          <w:sz w:val="22"/>
          <w:szCs w:val="22"/>
        </w:rPr>
        <w:instrText xml:space="preserve"> REF _Ref54190637 \h </w:instrText>
      </w:r>
      <w:r w:rsidR="003F799C">
        <w:rPr>
          <w:rFonts w:ascii="Calibri" w:hAnsi="Calibri" w:cs="Calibri"/>
          <w:sz w:val="22"/>
          <w:szCs w:val="22"/>
        </w:rPr>
      </w:r>
      <w:r w:rsidR="003F799C">
        <w:rPr>
          <w:rFonts w:ascii="Calibri" w:hAnsi="Calibri" w:cs="Calibri"/>
          <w:sz w:val="22"/>
          <w:szCs w:val="22"/>
        </w:rPr>
        <w:fldChar w:fldCharType="separate"/>
      </w:r>
      <w:r w:rsidRPr="00CE09B7" w:rsidR="00FF0700">
        <w:rPr>
          <w:b/>
          <w:bCs/>
          <w:sz w:val="22"/>
          <w:szCs w:val="22"/>
        </w:rPr>
        <w:t xml:space="preserve">Table </w:t>
      </w:r>
      <w:r w:rsidR="00FF0700">
        <w:rPr>
          <w:b/>
          <w:bCs/>
          <w:noProof/>
          <w:sz w:val="22"/>
          <w:szCs w:val="22"/>
        </w:rPr>
        <w:t>4</w:t>
      </w:r>
      <w:r w:rsidR="003F799C">
        <w:rPr>
          <w:rFonts w:ascii="Calibri" w:hAnsi="Calibri" w:cs="Calibri"/>
          <w:sz w:val="22"/>
          <w:szCs w:val="22"/>
        </w:rPr>
        <w:fldChar w:fldCharType="end"/>
      </w:r>
      <w:r>
        <w:rPr>
          <w:rFonts w:ascii="Palatino Linotype" w:hAnsi="Palatino Linotype" w:cs="Calibri"/>
          <w:sz w:val="22"/>
          <w:szCs w:val="22"/>
        </w:rPr>
        <w:t xml:space="preserve">. </w:t>
      </w:r>
      <w:r w:rsidR="002D2BAE">
        <w:rPr>
          <w:rFonts w:ascii="Palatino Linotype" w:hAnsi="Palatino Linotype" w:cs="Calibri"/>
          <w:sz w:val="22"/>
          <w:szCs w:val="22"/>
        </w:rPr>
        <w:t>The IOUs’</w:t>
      </w:r>
      <w:r>
        <w:rPr>
          <w:rFonts w:ascii="Palatino Linotype" w:hAnsi="Palatino Linotype" w:cs="Calibri"/>
          <w:sz w:val="22"/>
          <w:szCs w:val="22"/>
        </w:rPr>
        <w:t xml:space="preserve"> efforts to develop the proposed rebate value required </w:t>
      </w:r>
      <w:r w:rsidR="001A09F6">
        <w:rPr>
          <w:rFonts w:ascii="Palatino Linotype" w:hAnsi="Palatino Linotype" w:cs="Calibri"/>
          <w:sz w:val="22"/>
          <w:szCs w:val="22"/>
        </w:rPr>
        <w:t>them</w:t>
      </w:r>
      <w:r>
        <w:rPr>
          <w:rFonts w:ascii="Palatino Linotype" w:hAnsi="Palatino Linotype" w:cs="Calibri"/>
          <w:sz w:val="22"/>
          <w:szCs w:val="22"/>
        </w:rPr>
        <w:t xml:space="preserve"> to conduct a thorough assessment of the maintenance and networking fees offered by the EVSPs. Capping the total rebate value of the maintenance and network service fees at the proposed levels will protect ratepayers against unexpected higher costs. The </w:t>
      </w:r>
      <w:r w:rsidR="00C27656">
        <w:rPr>
          <w:rFonts w:ascii="Palatino Linotype" w:hAnsi="Palatino Linotype" w:cs="Calibri"/>
          <w:sz w:val="22"/>
          <w:szCs w:val="22"/>
        </w:rPr>
        <w:t>IOUs</w:t>
      </w:r>
      <w:r w:rsidR="00B16EE7">
        <w:rPr>
          <w:rFonts w:ascii="Palatino Linotype" w:hAnsi="Palatino Linotype" w:cs="Calibri"/>
          <w:sz w:val="22"/>
          <w:szCs w:val="22"/>
        </w:rPr>
        <w:t xml:space="preserve"> </w:t>
      </w:r>
      <w:r>
        <w:rPr>
          <w:rFonts w:ascii="Palatino Linotype" w:hAnsi="Palatino Linotype" w:cs="Calibri"/>
          <w:sz w:val="22"/>
          <w:szCs w:val="22"/>
        </w:rPr>
        <w:t>should market the rebate option as a maximum rebate value, instead of how much each customer will receive.</w:t>
      </w:r>
    </w:p>
    <w:p w:rsidR="007A7CB7" w:rsidP="007A7CB7" w:rsidRDefault="007A7CB7" w14:paraId="615967D7" w14:textId="0724E228">
      <w:pPr>
        <w:pStyle w:val="NormalWeb"/>
        <w:spacing w:before="0" w:beforeAutospacing="0" w:after="160" w:afterAutospacing="0"/>
        <w:rPr>
          <w:rFonts w:ascii="Palatino Linotype" w:hAnsi="Palatino Linotype" w:cs="Calibri"/>
          <w:sz w:val="22"/>
          <w:szCs w:val="22"/>
        </w:rPr>
      </w:pPr>
      <w:r>
        <w:rPr>
          <w:rFonts w:ascii="Palatino Linotype" w:hAnsi="Palatino Linotype" w:cs="Calibri"/>
          <w:sz w:val="22"/>
          <w:szCs w:val="22"/>
        </w:rPr>
        <w:t xml:space="preserve">Second, </w:t>
      </w:r>
      <w:r w:rsidR="003F799C">
        <w:rPr>
          <w:rFonts w:ascii="Palatino Linotype" w:hAnsi="Palatino Linotype" w:cs="Calibri"/>
          <w:sz w:val="22"/>
          <w:szCs w:val="22"/>
        </w:rPr>
        <w:t xml:space="preserve">PG&amp;E, </w:t>
      </w:r>
      <w:r>
        <w:rPr>
          <w:rFonts w:ascii="Palatino Linotype" w:hAnsi="Palatino Linotype" w:cs="Calibri"/>
          <w:sz w:val="22"/>
          <w:szCs w:val="22"/>
        </w:rPr>
        <w:t>S</w:t>
      </w:r>
      <w:r w:rsidR="00847C36">
        <w:rPr>
          <w:rFonts w:ascii="Palatino Linotype" w:hAnsi="Palatino Linotype" w:cs="Calibri"/>
          <w:sz w:val="22"/>
          <w:szCs w:val="22"/>
        </w:rPr>
        <w:t>CE and S</w:t>
      </w:r>
      <w:r>
        <w:rPr>
          <w:rFonts w:ascii="Palatino Linotype" w:hAnsi="Palatino Linotype" w:cs="Calibri"/>
          <w:sz w:val="22"/>
          <w:szCs w:val="22"/>
        </w:rPr>
        <w:t>DG&amp;E should confirm the site-host</w:t>
      </w:r>
      <w:r w:rsidR="00E34C5B">
        <w:rPr>
          <w:rFonts w:ascii="Palatino Linotype" w:hAnsi="Palatino Linotype" w:cs="Calibri"/>
          <w:sz w:val="22"/>
          <w:szCs w:val="22"/>
        </w:rPr>
        <w:t>’</w:t>
      </w:r>
      <w:r>
        <w:rPr>
          <w:rFonts w:ascii="Palatino Linotype" w:hAnsi="Palatino Linotype" w:cs="Calibri"/>
          <w:sz w:val="22"/>
          <w:szCs w:val="22"/>
        </w:rPr>
        <w:t xml:space="preserve">s maintenance and network service fee costs </w:t>
      </w:r>
      <w:r w:rsidR="00B12290">
        <w:rPr>
          <w:rFonts w:ascii="Palatino Linotype" w:hAnsi="Palatino Linotype" w:cs="Calibri"/>
          <w:sz w:val="22"/>
          <w:szCs w:val="22"/>
        </w:rPr>
        <w:t xml:space="preserve">in </w:t>
      </w:r>
      <w:r>
        <w:rPr>
          <w:rFonts w:ascii="Palatino Linotype" w:hAnsi="Palatino Linotype" w:cs="Calibri"/>
          <w:sz w:val="22"/>
          <w:szCs w:val="22"/>
        </w:rPr>
        <w:t>the customer</w:t>
      </w:r>
      <w:r w:rsidR="00E34C5B">
        <w:rPr>
          <w:rFonts w:ascii="Palatino Linotype" w:hAnsi="Palatino Linotype" w:cs="Calibri"/>
          <w:sz w:val="22"/>
          <w:szCs w:val="22"/>
        </w:rPr>
        <w:t>’</w:t>
      </w:r>
      <w:r w:rsidR="00B12290">
        <w:rPr>
          <w:rFonts w:ascii="Palatino Linotype" w:hAnsi="Palatino Linotype" w:cs="Calibri"/>
          <w:sz w:val="22"/>
          <w:szCs w:val="22"/>
        </w:rPr>
        <w:t>s</w:t>
      </w:r>
      <w:r>
        <w:rPr>
          <w:rFonts w:ascii="Palatino Linotype" w:hAnsi="Palatino Linotype" w:cs="Calibri"/>
          <w:sz w:val="22"/>
          <w:szCs w:val="22"/>
        </w:rPr>
        <w:t xml:space="preserve"> first </w:t>
      </w:r>
      <w:r w:rsidR="00C27656">
        <w:rPr>
          <w:rFonts w:ascii="Palatino Linotype" w:hAnsi="Palatino Linotype" w:cs="Calibri"/>
          <w:sz w:val="22"/>
          <w:szCs w:val="22"/>
        </w:rPr>
        <w:t>paid invoice or service receipt</w:t>
      </w:r>
      <w:r>
        <w:rPr>
          <w:rFonts w:ascii="Palatino Linotype" w:hAnsi="Palatino Linotype" w:cs="Calibri"/>
          <w:sz w:val="22"/>
          <w:szCs w:val="22"/>
        </w:rPr>
        <w:t xml:space="preserve"> when the site-host provides proof of purchase of the EVSE</w:t>
      </w:r>
      <w:r w:rsidR="0082600E">
        <w:rPr>
          <w:rFonts w:ascii="Palatino Linotype" w:hAnsi="Palatino Linotype" w:cs="Calibri"/>
          <w:sz w:val="22"/>
          <w:szCs w:val="22"/>
        </w:rPr>
        <w:t xml:space="preserve"> to the IOUs</w:t>
      </w:r>
      <w:r>
        <w:rPr>
          <w:rFonts w:ascii="Palatino Linotype" w:hAnsi="Palatino Linotype" w:cs="Calibri"/>
          <w:sz w:val="22"/>
          <w:szCs w:val="22"/>
        </w:rPr>
        <w:t>. Th</w:t>
      </w:r>
      <w:r w:rsidR="0082600E">
        <w:rPr>
          <w:rFonts w:ascii="Palatino Linotype" w:hAnsi="Palatino Linotype" w:cs="Calibri"/>
          <w:sz w:val="22"/>
          <w:szCs w:val="22"/>
        </w:rPr>
        <w:t xml:space="preserve">e IOUs </w:t>
      </w:r>
      <w:r>
        <w:rPr>
          <w:rFonts w:ascii="Palatino Linotype" w:hAnsi="Palatino Linotype" w:cs="Calibri"/>
          <w:sz w:val="22"/>
          <w:szCs w:val="22"/>
        </w:rPr>
        <w:t xml:space="preserve">should </w:t>
      </w:r>
      <w:r w:rsidR="0082600E">
        <w:rPr>
          <w:rFonts w:ascii="Palatino Linotype" w:hAnsi="Palatino Linotype" w:cs="Calibri"/>
          <w:sz w:val="22"/>
          <w:szCs w:val="22"/>
        </w:rPr>
        <w:t xml:space="preserve">value the rebate for the ongoing costs by </w:t>
      </w:r>
      <w:r w:rsidR="002C7B31">
        <w:rPr>
          <w:rFonts w:ascii="Palatino Linotype" w:hAnsi="Palatino Linotype" w:cs="Calibri"/>
          <w:sz w:val="22"/>
          <w:szCs w:val="22"/>
        </w:rPr>
        <w:t>factor</w:t>
      </w:r>
      <w:r w:rsidR="0082600E">
        <w:rPr>
          <w:rFonts w:ascii="Palatino Linotype" w:hAnsi="Palatino Linotype" w:cs="Calibri"/>
          <w:sz w:val="22"/>
          <w:szCs w:val="22"/>
        </w:rPr>
        <w:t>ing the customer’s maintenance, network service, and warranty costs</w:t>
      </w:r>
      <w:r w:rsidR="002C7B31">
        <w:rPr>
          <w:rFonts w:ascii="Palatino Linotype" w:hAnsi="Palatino Linotype" w:cs="Calibri"/>
          <w:sz w:val="22"/>
          <w:szCs w:val="22"/>
        </w:rPr>
        <w:t xml:space="preserve"> across an eight-year period</w:t>
      </w:r>
      <w:r>
        <w:rPr>
          <w:rFonts w:ascii="Palatino Linotype" w:hAnsi="Palatino Linotype" w:cs="Calibri"/>
          <w:sz w:val="22"/>
          <w:szCs w:val="22"/>
        </w:rPr>
        <w:t>.</w:t>
      </w:r>
    </w:p>
    <w:p w:rsidR="007A7CB7" w:rsidP="007A7CB7" w:rsidRDefault="0082600E" w14:paraId="795807C6" w14:textId="0B5C885D">
      <w:pPr>
        <w:pStyle w:val="NormalWeb"/>
        <w:spacing w:before="0" w:beforeAutospacing="0" w:after="160" w:afterAutospacing="0"/>
        <w:rPr>
          <w:rFonts w:ascii="Palatino Linotype" w:hAnsi="Palatino Linotype" w:cs="Calibri"/>
          <w:sz w:val="22"/>
          <w:szCs w:val="22"/>
        </w:rPr>
      </w:pPr>
      <w:r>
        <w:rPr>
          <w:rFonts w:ascii="Palatino Linotype" w:hAnsi="Palatino Linotype" w:cs="Calibri"/>
          <w:sz w:val="22"/>
          <w:szCs w:val="22"/>
        </w:rPr>
        <w:t>Third</w:t>
      </w:r>
      <w:r w:rsidR="007A7CB7">
        <w:rPr>
          <w:rFonts w:ascii="Palatino Linotype" w:hAnsi="Palatino Linotype" w:cs="Calibri"/>
          <w:sz w:val="22"/>
          <w:szCs w:val="22"/>
        </w:rPr>
        <w:t>,</w:t>
      </w:r>
      <w:r>
        <w:rPr>
          <w:rFonts w:ascii="Palatino Linotype" w:hAnsi="Palatino Linotype" w:cs="Calibri"/>
          <w:sz w:val="22"/>
          <w:szCs w:val="22"/>
        </w:rPr>
        <w:t xml:space="preserve"> as directed in the </w:t>
      </w:r>
      <w:r w:rsidR="001564C1">
        <w:rPr>
          <w:rFonts w:ascii="Palatino Linotype" w:hAnsi="Palatino Linotype" w:cs="Calibri"/>
          <w:sz w:val="22"/>
          <w:szCs w:val="22"/>
        </w:rPr>
        <w:t xml:space="preserve">previous </w:t>
      </w:r>
      <w:r>
        <w:rPr>
          <w:rFonts w:ascii="Palatino Linotype" w:hAnsi="Palatino Linotype" w:cs="Calibri"/>
          <w:sz w:val="22"/>
          <w:szCs w:val="22"/>
        </w:rPr>
        <w:t xml:space="preserve">section </w:t>
      </w:r>
      <w:r w:rsidR="00467C35">
        <w:rPr>
          <w:rFonts w:ascii="Palatino Linotype" w:hAnsi="Palatino Linotype" w:cs="Calibri"/>
          <w:sz w:val="22"/>
          <w:szCs w:val="22"/>
        </w:rPr>
        <w:t>concerning the IOUs’ proposed costs for the EVSE and ongoing services</w:t>
      </w:r>
      <w:r>
        <w:rPr>
          <w:rFonts w:ascii="Palatino Linotype" w:hAnsi="Palatino Linotype" w:cs="Calibri"/>
          <w:sz w:val="22"/>
          <w:szCs w:val="22"/>
        </w:rPr>
        <w:t>,</w:t>
      </w:r>
      <w:r w:rsidR="007A7CB7">
        <w:rPr>
          <w:rFonts w:ascii="Palatino Linotype" w:hAnsi="Palatino Linotype" w:cs="Calibri"/>
          <w:sz w:val="22"/>
          <w:szCs w:val="22"/>
        </w:rPr>
        <w:t xml:space="preserve"> the IOUs </w:t>
      </w:r>
      <w:r w:rsidR="00F91D5B">
        <w:rPr>
          <w:rFonts w:ascii="Palatino Linotype" w:hAnsi="Palatino Linotype" w:cs="Calibri"/>
          <w:sz w:val="22"/>
          <w:szCs w:val="22"/>
        </w:rPr>
        <w:t xml:space="preserve">must </w:t>
      </w:r>
      <w:r w:rsidR="007A7CB7">
        <w:rPr>
          <w:rFonts w:ascii="Palatino Linotype" w:hAnsi="Palatino Linotype" w:cs="Calibri"/>
          <w:sz w:val="22"/>
          <w:szCs w:val="22"/>
        </w:rPr>
        <w:t xml:space="preserve">require all participating </w:t>
      </w:r>
      <w:r w:rsidR="00450EE0">
        <w:rPr>
          <w:rFonts w:ascii="Palatino Linotype" w:hAnsi="Palatino Linotype" w:cs="Calibri"/>
          <w:sz w:val="22"/>
          <w:szCs w:val="22"/>
        </w:rPr>
        <w:t>customers</w:t>
      </w:r>
      <w:r w:rsidR="007A7CB7">
        <w:rPr>
          <w:rFonts w:ascii="Palatino Linotype" w:hAnsi="Palatino Linotype" w:cs="Calibri"/>
          <w:sz w:val="22"/>
          <w:szCs w:val="22"/>
        </w:rPr>
        <w:t xml:space="preserve"> to submit </w:t>
      </w:r>
      <w:r w:rsidR="00467C35">
        <w:rPr>
          <w:rFonts w:ascii="Palatino Linotype" w:hAnsi="Palatino Linotype" w:cs="Calibri"/>
          <w:sz w:val="22"/>
          <w:szCs w:val="22"/>
        </w:rPr>
        <w:t>the initial and subsequent</w:t>
      </w:r>
      <w:r w:rsidR="00C479BF">
        <w:rPr>
          <w:rFonts w:ascii="Palatino Linotype" w:hAnsi="Palatino Linotype" w:cs="Calibri"/>
          <w:sz w:val="22"/>
          <w:szCs w:val="22"/>
        </w:rPr>
        <w:t>ly</w:t>
      </w:r>
      <w:r w:rsidR="00C27656">
        <w:rPr>
          <w:rFonts w:ascii="Palatino Linotype" w:hAnsi="Palatino Linotype" w:cs="Calibri"/>
          <w:sz w:val="22"/>
          <w:szCs w:val="22"/>
        </w:rPr>
        <w:t xml:space="preserve"> paid invoices or service receipts</w:t>
      </w:r>
      <w:r w:rsidR="00450EE0">
        <w:rPr>
          <w:rFonts w:ascii="Palatino Linotype" w:hAnsi="Palatino Linotype" w:cs="Calibri"/>
          <w:sz w:val="22"/>
          <w:szCs w:val="22"/>
        </w:rPr>
        <w:t>, with the updated ongoing costs and provided services</w:t>
      </w:r>
      <w:r>
        <w:rPr>
          <w:rFonts w:ascii="Palatino Linotype" w:hAnsi="Palatino Linotype" w:cs="Calibri"/>
          <w:sz w:val="22"/>
          <w:szCs w:val="22"/>
        </w:rPr>
        <w:t xml:space="preserve">. </w:t>
      </w:r>
      <w:r w:rsidR="007A7CB7">
        <w:rPr>
          <w:rFonts w:ascii="Palatino Linotype" w:hAnsi="Palatino Linotype" w:cs="Calibri"/>
          <w:sz w:val="22"/>
          <w:szCs w:val="22"/>
        </w:rPr>
        <w:t xml:space="preserve">This </w:t>
      </w:r>
      <w:r>
        <w:rPr>
          <w:rFonts w:ascii="Palatino Linotype" w:hAnsi="Palatino Linotype" w:cs="Calibri"/>
          <w:sz w:val="22"/>
          <w:szCs w:val="22"/>
        </w:rPr>
        <w:t xml:space="preserve">data sharing </w:t>
      </w:r>
      <w:r w:rsidR="007A7CB7">
        <w:rPr>
          <w:rFonts w:ascii="Palatino Linotype" w:hAnsi="Palatino Linotype" w:cs="Calibri"/>
          <w:sz w:val="22"/>
          <w:szCs w:val="22"/>
        </w:rPr>
        <w:t>requirement will ensure the EVSPs are not inflating cost for this ratepayer-funded program</w:t>
      </w:r>
      <w:r w:rsidR="00F8596B">
        <w:rPr>
          <w:rFonts w:ascii="Palatino Linotype" w:hAnsi="Palatino Linotype" w:cs="Calibri"/>
          <w:sz w:val="22"/>
          <w:szCs w:val="22"/>
        </w:rPr>
        <w:t xml:space="preserve">. </w:t>
      </w:r>
      <w:r>
        <w:rPr>
          <w:rFonts w:ascii="Palatino Linotype" w:hAnsi="Palatino Linotype" w:cs="Calibri"/>
          <w:sz w:val="22"/>
          <w:szCs w:val="22"/>
        </w:rPr>
        <w:t xml:space="preserve"> </w:t>
      </w:r>
    </w:p>
    <w:p w:rsidR="00B629C8" w:rsidP="00DF3534" w:rsidRDefault="00E34C5B" w14:paraId="28154A5A" w14:textId="11E77D98">
      <w:pPr>
        <w:rPr>
          <w:rFonts w:ascii="Palatino Linotype" w:hAnsi="Palatino Linotype"/>
        </w:rPr>
      </w:pPr>
      <w:r>
        <w:rPr>
          <w:rFonts w:ascii="Palatino Linotype" w:hAnsi="Palatino Linotype"/>
        </w:rPr>
        <w:t>T</w:t>
      </w:r>
      <w:r w:rsidR="00B629C8">
        <w:rPr>
          <w:rFonts w:ascii="Palatino Linotype" w:hAnsi="Palatino Linotype"/>
        </w:rPr>
        <w:t>hese modifications will</w:t>
      </w:r>
      <w:r w:rsidR="00450EE0">
        <w:rPr>
          <w:rFonts w:ascii="Palatino Linotype" w:hAnsi="Palatino Linotype"/>
        </w:rPr>
        <w:t xml:space="preserve"> provide an appropriate level of transparency regarding the ongoing EVSE service costs to</w:t>
      </w:r>
      <w:r w:rsidR="00B629C8">
        <w:rPr>
          <w:rFonts w:ascii="Palatino Linotype" w:hAnsi="Palatino Linotype"/>
        </w:rPr>
        <w:t xml:space="preserve"> ensure the rebates issued in the Schools Pilot program are prudently distributed at the appropriate value, and do not create any conditions that could lead to market manipulation. </w:t>
      </w:r>
    </w:p>
    <w:p w:rsidRPr="00B629C8" w:rsidR="00F8596B" w:rsidP="00DF3534" w:rsidRDefault="00F8596B" w14:paraId="725B5112" w14:textId="77777777">
      <w:pPr>
        <w:rPr>
          <w:rFonts w:ascii="Palatino Linotype" w:hAnsi="Palatino Linotype"/>
        </w:rPr>
      </w:pPr>
    </w:p>
    <w:p w:rsidRPr="00B629C8" w:rsidR="00B629C8" w:rsidP="00DF3534" w:rsidRDefault="00F8596B" w14:paraId="3E6EA3E1" w14:textId="78C9E830">
      <w:pPr>
        <w:rPr>
          <w:rFonts w:ascii="Palatino Linotype" w:hAnsi="Palatino Linotype"/>
          <w:b/>
          <w:bCs/>
        </w:rPr>
      </w:pPr>
      <w:r>
        <w:rPr>
          <w:rFonts w:ascii="Palatino Linotype" w:hAnsi="Palatino Linotype"/>
          <w:b/>
          <w:bCs/>
        </w:rPr>
        <w:t xml:space="preserve">PG&amp;E’s, </w:t>
      </w:r>
      <w:r w:rsidR="00F61F0B">
        <w:rPr>
          <w:rFonts w:ascii="Palatino Linotype" w:hAnsi="Palatino Linotype"/>
          <w:b/>
          <w:bCs/>
        </w:rPr>
        <w:t xml:space="preserve">SCE’s and </w:t>
      </w:r>
      <w:r w:rsidRPr="00B629C8" w:rsidR="00B629C8">
        <w:rPr>
          <w:rFonts w:ascii="Palatino Linotype" w:hAnsi="Palatino Linotype"/>
          <w:b/>
          <w:bCs/>
        </w:rPr>
        <w:t>SDG&amp;E’s proposal</w:t>
      </w:r>
      <w:r w:rsidR="00E34C5B">
        <w:rPr>
          <w:rFonts w:ascii="Palatino Linotype" w:hAnsi="Palatino Linotype"/>
          <w:b/>
          <w:bCs/>
        </w:rPr>
        <w:t>s</w:t>
      </w:r>
      <w:r w:rsidRPr="00B629C8" w:rsidR="00B629C8">
        <w:rPr>
          <w:rFonts w:ascii="Palatino Linotype" w:hAnsi="Palatino Linotype"/>
          <w:b/>
          <w:bCs/>
        </w:rPr>
        <w:t xml:space="preserve"> to track costs </w:t>
      </w:r>
      <w:r w:rsidR="00E34C5B">
        <w:rPr>
          <w:rFonts w:ascii="Palatino Linotype" w:hAnsi="Palatino Linotype"/>
          <w:b/>
          <w:bCs/>
        </w:rPr>
        <w:t>are</w:t>
      </w:r>
      <w:r w:rsidRPr="00B629C8" w:rsidR="00E34C5B">
        <w:rPr>
          <w:rFonts w:ascii="Palatino Linotype" w:hAnsi="Palatino Linotype"/>
          <w:b/>
          <w:bCs/>
        </w:rPr>
        <w:t xml:space="preserve"> </w:t>
      </w:r>
      <w:r w:rsidRPr="00B629C8" w:rsidR="00B629C8">
        <w:rPr>
          <w:rFonts w:ascii="Palatino Linotype" w:hAnsi="Palatino Linotype"/>
          <w:b/>
          <w:bCs/>
        </w:rPr>
        <w:t>reasonable.</w:t>
      </w:r>
    </w:p>
    <w:p w:rsidR="00F8596B" w:rsidP="00DF3534" w:rsidRDefault="00F8596B" w14:paraId="6F3E74E4" w14:textId="15AAFF95">
      <w:pPr>
        <w:rPr>
          <w:rFonts w:ascii="Palatino Linotype" w:hAnsi="Palatino Linotype"/>
        </w:rPr>
      </w:pPr>
      <w:r>
        <w:rPr>
          <w:rFonts w:ascii="Palatino Linotype" w:hAnsi="Palatino Linotype"/>
        </w:rPr>
        <w:t xml:space="preserve">PG&amp;E </w:t>
      </w:r>
      <w:r w:rsidR="00D020B4">
        <w:rPr>
          <w:rFonts w:ascii="Palatino Linotype" w:hAnsi="Palatino Linotype"/>
        </w:rPr>
        <w:t>proposes to</w:t>
      </w:r>
      <w:r>
        <w:rPr>
          <w:rFonts w:ascii="Palatino Linotype" w:hAnsi="Palatino Linotype"/>
        </w:rPr>
        <w:t xml:space="preserve"> record all authorized revenue requirements and incremental implementation costs associated with the Schools Pilot Program in a one-way balancing account </w:t>
      </w:r>
      <w:r w:rsidR="003B1DB1">
        <w:rPr>
          <w:rFonts w:ascii="Palatino Linotype" w:hAnsi="Palatino Linotype"/>
        </w:rPr>
        <w:t xml:space="preserve">that was </w:t>
      </w:r>
      <w:r>
        <w:rPr>
          <w:rFonts w:ascii="Palatino Linotype" w:hAnsi="Palatino Linotype"/>
        </w:rPr>
        <w:t xml:space="preserve">established with the approval of </w:t>
      </w:r>
      <w:r w:rsidR="006B047B">
        <w:rPr>
          <w:rFonts w:ascii="Palatino Linotype" w:hAnsi="Palatino Linotype"/>
        </w:rPr>
        <w:t xml:space="preserve">PG&amp;E’s </w:t>
      </w:r>
      <w:r>
        <w:rPr>
          <w:rFonts w:ascii="Palatino Linotype" w:hAnsi="Palatino Linotype"/>
        </w:rPr>
        <w:t xml:space="preserve">AL 5698-E. PG&amp;E will also develop a rebate tracking mechanism to track site specific rebate costs.  </w:t>
      </w:r>
    </w:p>
    <w:p w:rsidR="00A42129" w:rsidP="00DF3534" w:rsidRDefault="00F61F0B" w14:paraId="503B556E" w14:textId="3FF32E27">
      <w:pPr>
        <w:rPr>
          <w:rFonts w:ascii="Palatino Linotype" w:hAnsi="Palatino Linotype"/>
        </w:rPr>
      </w:pPr>
      <w:r>
        <w:rPr>
          <w:rFonts w:ascii="Palatino Linotype" w:hAnsi="Palatino Linotype"/>
        </w:rPr>
        <w:lastRenderedPageBreak/>
        <w:t xml:space="preserve">SCE proposes to separately record the pilot’s incremental </w:t>
      </w:r>
      <w:r w:rsidR="007754F2">
        <w:rPr>
          <w:rFonts w:ascii="Palatino Linotype" w:hAnsi="Palatino Linotype"/>
        </w:rPr>
        <w:t>revenue requirements in its existing Charge Ready Program Balancing Account</w:t>
      </w:r>
      <w:r w:rsidR="00EF6E3E">
        <w:rPr>
          <w:rFonts w:ascii="Palatino Linotype" w:hAnsi="Palatino Linotype"/>
        </w:rPr>
        <w:t xml:space="preserve"> (CRPBA)</w:t>
      </w:r>
      <w:r w:rsidR="007754F2">
        <w:rPr>
          <w:rFonts w:ascii="Palatino Linotype" w:hAnsi="Palatino Linotype"/>
        </w:rPr>
        <w:t xml:space="preserve"> to provide for the recovery of the rebate </w:t>
      </w:r>
      <w:r w:rsidR="003C55F0">
        <w:rPr>
          <w:rFonts w:ascii="Palatino Linotype" w:hAnsi="Palatino Linotype"/>
        </w:rPr>
        <w:t>and other pilot expenses. They will use the same Back Office System (BOS) used for the Charge Ready Pilot and B</w:t>
      </w:r>
      <w:r w:rsidR="001046A2">
        <w:rPr>
          <w:rFonts w:ascii="Palatino Linotype" w:hAnsi="Palatino Linotype"/>
        </w:rPr>
        <w:t>r</w:t>
      </w:r>
      <w:r w:rsidR="003C55F0">
        <w:rPr>
          <w:rFonts w:ascii="Palatino Linotype" w:hAnsi="Palatino Linotype"/>
        </w:rPr>
        <w:t>idge program</w:t>
      </w:r>
      <w:r w:rsidR="00E63951">
        <w:rPr>
          <w:rFonts w:ascii="Palatino Linotype" w:hAnsi="Palatino Linotype"/>
        </w:rPr>
        <w:t xml:space="preserve"> to track the individual site-specific rebates. </w:t>
      </w:r>
      <w:r w:rsidR="0052420B">
        <w:rPr>
          <w:rFonts w:ascii="Palatino Linotype" w:hAnsi="Palatino Linotype"/>
        </w:rPr>
        <w:t xml:space="preserve">Once paid, SCE will record the </w:t>
      </w:r>
      <w:r w:rsidR="00925775">
        <w:rPr>
          <w:rFonts w:ascii="Palatino Linotype" w:hAnsi="Palatino Linotype"/>
        </w:rPr>
        <w:t>rebate costs in the IOU’s accounting system of record</w:t>
      </w:r>
      <w:r w:rsidR="00014F75">
        <w:rPr>
          <w:rFonts w:ascii="Palatino Linotype" w:hAnsi="Palatino Linotype"/>
        </w:rPr>
        <w:t xml:space="preserve"> to ensure the costs are recor</w:t>
      </w:r>
      <w:r w:rsidR="004D2340">
        <w:rPr>
          <w:rFonts w:ascii="Palatino Linotype" w:hAnsi="Palatino Linotype"/>
        </w:rPr>
        <w:t>d</w:t>
      </w:r>
      <w:r w:rsidR="00014F75">
        <w:rPr>
          <w:rFonts w:ascii="Palatino Linotype" w:hAnsi="Palatino Linotype"/>
        </w:rPr>
        <w:t xml:space="preserve">ed in the </w:t>
      </w:r>
      <w:r w:rsidR="00EF6E3E">
        <w:rPr>
          <w:rFonts w:ascii="Palatino Linotype" w:hAnsi="Palatino Linotype"/>
        </w:rPr>
        <w:t>CRPBA</w:t>
      </w:r>
      <w:r w:rsidR="00014F75">
        <w:rPr>
          <w:rFonts w:ascii="Palatino Linotype" w:hAnsi="Palatino Linotype"/>
        </w:rPr>
        <w:t xml:space="preserve">. </w:t>
      </w:r>
      <w:r w:rsidR="00EF6E3E">
        <w:rPr>
          <w:rFonts w:ascii="Palatino Linotype" w:hAnsi="Palatino Linotype"/>
        </w:rPr>
        <w:t xml:space="preserve">At the end of each year, all </w:t>
      </w:r>
      <w:r w:rsidR="00AC7517">
        <w:rPr>
          <w:rFonts w:ascii="Palatino Linotype" w:hAnsi="Palatino Linotype"/>
        </w:rPr>
        <w:t>revenue requirements</w:t>
      </w:r>
      <w:r w:rsidR="00EF6E3E">
        <w:rPr>
          <w:rFonts w:ascii="Palatino Linotype" w:hAnsi="Palatino Linotype"/>
        </w:rPr>
        <w:t xml:space="preserve"> recorded in the CRPBA will be </w:t>
      </w:r>
      <w:r w:rsidR="00AC7517">
        <w:rPr>
          <w:rFonts w:ascii="Palatino Linotype" w:hAnsi="Palatino Linotype"/>
        </w:rPr>
        <w:t xml:space="preserve">distributed to subaccounts </w:t>
      </w:r>
      <w:r w:rsidR="004D2340">
        <w:rPr>
          <w:rFonts w:ascii="Palatino Linotype" w:hAnsi="Palatino Linotype"/>
        </w:rPr>
        <w:t xml:space="preserve">of the Base Revenue Requirement Balancing Account. </w:t>
      </w:r>
    </w:p>
    <w:p w:rsidR="00B629C8" w:rsidP="00DF3534" w:rsidRDefault="00B629C8" w14:paraId="092CC303" w14:textId="755DF93D">
      <w:pPr>
        <w:rPr>
          <w:rFonts w:ascii="Palatino Linotype" w:hAnsi="Palatino Linotype"/>
        </w:rPr>
      </w:pPr>
      <w:r>
        <w:rPr>
          <w:rFonts w:ascii="Palatino Linotype" w:hAnsi="Palatino Linotype"/>
        </w:rPr>
        <w:t>SDG&amp;E proposes to develop a customize</w:t>
      </w:r>
      <w:r w:rsidR="00D020B4">
        <w:rPr>
          <w:rFonts w:ascii="Palatino Linotype" w:hAnsi="Palatino Linotype"/>
        </w:rPr>
        <w:t>d</w:t>
      </w:r>
      <w:r>
        <w:rPr>
          <w:rFonts w:ascii="Palatino Linotype" w:hAnsi="Palatino Linotype"/>
        </w:rPr>
        <w:t xml:space="preserve"> module of its Energy Efficiency Collaboration platform (EECP) to track the costs of the proposed rebates. SDG&amp;E asserts that the EECP </w:t>
      </w:r>
      <w:r w:rsidR="00E34C5B">
        <w:rPr>
          <w:rFonts w:ascii="Palatino Linotype" w:hAnsi="Palatino Linotype"/>
        </w:rPr>
        <w:t xml:space="preserve">is </w:t>
      </w:r>
      <w:r>
        <w:rPr>
          <w:rFonts w:ascii="Palatino Linotype" w:hAnsi="Palatino Linotype"/>
        </w:rPr>
        <w:t xml:space="preserve">able to track rebate progress via system </w:t>
      </w:r>
      <w:proofErr w:type="gramStart"/>
      <w:r>
        <w:rPr>
          <w:rFonts w:ascii="Palatino Linotype" w:hAnsi="Palatino Linotype"/>
        </w:rPr>
        <w:t>reporting, and</w:t>
      </w:r>
      <w:proofErr w:type="gramEnd"/>
      <w:r>
        <w:rPr>
          <w:rFonts w:ascii="Palatino Linotype" w:hAnsi="Palatino Linotype"/>
        </w:rPr>
        <w:t xml:space="preserve"> can export and run ad-hoc reports such as invoice status, check number, posting date, rebate amount, and program code. </w:t>
      </w:r>
    </w:p>
    <w:p w:rsidR="00B629C8" w:rsidP="00DF3534" w:rsidRDefault="00F8596B" w14:paraId="1AE2E30C" w14:textId="6DC18F38">
      <w:pPr>
        <w:rPr>
          <w:rFonts w:ascii="Palatino Linotype" w:hAnsi="Palatino Linotype"/>
        </w:rPr>
      </w:pPr>
      <w:r>
        <w:rPr>
          <w:rFonts w:ascii="Palatino Linotype" w:hAnsi="Palatino Linotype"/>
        </w:rPr>
        <w:t xml:space="preserve">PG&amp;E’s </w:t>
      </w:r>
      <w:r w:rsidR="00E853F8">
        <w:rPr>
          <w:rFonts w:ascii="Palatino Linotype" w:hAnsi="Palatino Linotype"/>
        </w:rPr>
        <w:t>SCE’s and SDG&amp;E’s</w:t>
      </w:r>
      <w:r w:rsidR="00B629C8">
        <w:rPr>
          <w:rFonts w:ascii="Palatino Linotype" w:hAnsi="Palatino Linotype"/>
        </w:rPr>
        <w:t xml:space="preserve"> proposal</w:t>
      </w:r>
      <w:r w:rsidR="00A42129">
        <w:rPr>
          <w:rFonts w:ascii="Palatino Linotype" w:hAnsi="Palatino Linotype"/>
        </w:rPr>
        <w:t>s</w:t>
      </w:r>
      <w:r w:rsidR="00B629C8">
        <w:rPr>
          <w:rFonts w:ascii="Palatino Linotype" w:hAnsi="Palatino Linotype"/>
        </w:rPr>
        <w:t xml:space="preserve"> </w:t>
      </w:r>
      <w:r w:rsidR="00E853F8">
        <w:rPr>
          <w:rFonts w:ascii="Palatino Linotype" w:hAnsi="Palatino Linotype"/>
        </w:rPr>
        <w:t xml:space="preserve">for </w:t>
      </w:r>
      <w:r w:rsidR="00C73D6A">
        <w:rPr>
          <w:rFonts w:ascii="Palatino Linotype" w:hAnsi="Palatino Linotype"/>
        </w:rPr>
        <w:t xml:space="preserve">how rebate costs will be tracked </w:t>
      </w:r>
      <w:r w:rsidR="0079276F">
        <w:rPr>
          <w:rFonts w:ascii="Palatino Linotype" w:hAnsi="Palatino Linotype"/>
        </w:rPr>
        <w:t xml:space="preserve">are </w:t>
      </w:r>
      <w:r w:rsidR="00B629C8">
        <w:rPr>
          <w:rFonts w:ascii="Palatino Linotype" w:hAnsi="Palatino Linotype"/>
        </w:rPr>
        <w:t>reasonable as th</w:t>
      </w:r>
      <w:r w:rsidR="00A42129">
        <w:rPr>
          <w:rFonts w:ascii="Palatino Linotype" w:hAnsi="Palatino Linotype"/>
        </w:rPr>
        <w:t>e IOUs will leverage</w:t>
      </w:r>
      <w:r w:rsidR="00B629C8">
        <w:rPr>
          <w:rFonts w:ascii="Palatino Linotype" w:hAnsi="Palatino Linotype"/>
        </w:rPr>
        <w:t xml:space="preserve"> already developed platforms </w:t>
      </w:r>
      <w:r w:rsidR="008D618C">
        <w:rPr>
          <w:rFonts w:ascii="Palatino Linotype" w:hAnsi="Palatino Linotype"/>
        </w:rPr>
        <w:t xml:space="preserve">that </w:t>
      </w:r>
      <w:r w:rsidR="00B629C8">
        <w:rPr>
          <w:rFonts w:ascii="Palatino Linotype" w:hAnsi="Palatino Linotype"/>
        </w:rPr>
        <w:t xml:space="preserve">have demonstrated </w:t>
      </w:r>
      <w:r w:rsidR="008D618C">
        <w:rPr>
          <w:rFonts w:ascii="Palatino Linotype" w:hAnsi="Palatino Linotype"/>
        </w:rPr>
        <w:t>an</w:t>
      </w:r>
      <w:r w:rsidR="00B629C8">
        <w:rPr>
          <w:rFonts w:ascii="Palatino Linotype" w:hAnsi="Palatino Linotype"/>
        </w:rPr>
        <w:t xml:space="preserve"> ability to process customer rebates. </w:t>
      </w:r>
    </w:p>
    <w:p w:rsidR="00742C48" w:rsidP="00DF3534" w:rsidRDefault="00742C48" w14:paraId="362D52EF" w14:textId="77777777">
      <w:pPr>
        <w:rPr>
          <w:rFonts w:ascii="Palatino Linotype" w:hAnsi="Palatino Linotype"/>
        </w:rPr>
      </w:pPr>
    </w:p>
    <w:p w:rsidRPr="00B629C8" w:rsidR="00B629C8" w:rsidP="00DF3534" w:rsidRDefault="00F8596B" w14:paraId="07F119D1" w14:textId="62273D98">
      <w:pPr>
        <w:rPr>
          <w:rFonts w:ascii="Palatino Linotype" w:hAnsi="Palatino Linotype"/>
          <w:b/>
          <w:bCs/>
        </w:rPr>
      </w:pPr>
      <w:r>
        <w:rPr>
          <w:rFonts w:ascii="Palatino Linotype" w:hAnsi="Palatino Linotype"/>
          <w:b/>
          <w:bCs/>
        </w:rPr>
        <w:t xml:space="preserve">PG&amp;E’s, </w:t>
      </w:r>
      <w:r w:rsidR="00697BEC">
        <w:rPr>
          <w:rFonts w:ascii="Palatino Linotype" w:hAnsi="Palatino Linotype"/>
          <w:b/>
          <w:bCs/>
        </w:rPr>
        <w:t xml:space="preserve">SCE’s and </w:t>
      </w:r>
      <w:r w:rsidRPr="00B629C8" w:rsidR="00B629C8">
        <w:rPr>
          <w:rFonts w:ascii="Palatino Linotype" w:hAnsi="Palatino Linotype"/>
          <w:b/>
          <w:bCs/>
        </w:rPr>
        <w:t>SDG&amp;E’s proposed process to distribute the rebate complies with the directives ordered in D.19-11-017</w:t>
      </w:r>
    </w:p>
    <w:p w:rsidR="00B629C8" w:rsidP="00DF3534" w:rsidRDefault="00F8596B" w14:paraId="7C50F66B" w14:textId="6145FEE2">
      <w:pPr>
        <w:rPr>
          <w:rFonts w:ascii="Palatino Linotype" w:hAnsi="Palatino Linotype"/>
        </w:rPr>
      </w:pPr>
      <w:r>
        <w:rPr>
          <w:rFonts w:ascii="Palatino Linotype" w:hAnsi="Palatino Linotype"/>
        </w:rPr>
        <w:t xml:space="preserve">PG&amp;E, </w:t>
      </w:r>
      <w:r w:rsidR="00C6665A">
        <w:rPr>
          <w:rFonts w:ascii="Palatino Linotype" w:hAnsi="Palatino Linotype"/>
        </w:rPr>
        <w:t>SCE</w:t>
      </w:r>
      <w:r>
        <w:rPr>
          <w:rFonts w:ascii="Palatino Linotype" w:hAnsi="Palatino Linotype"/>
        </w:rPr>
        <w:t>,</w:t>
      </w:r>
      <w:r w:rsidR="00C6665A">
        <w:rPr>
          <w:rFonts w:ascii="Palatino Linotype" w:hAnsi="Palatino Linotype"/>
        </w:rPr>
        <w:t xml:space="preserve"> and </w:t>
      </w:r>
      <w:r w:rsidR="00B629C8">
        <w:rPr>
          <w:rFonts w:ascii="Palatino Linotype" w:hAnsi="Palatino Linotype"/>
        </w:rPr>
        <w:t>SDG&amp;E state</w:t>
      </w:r>
      <w:r w:rsidR="00C6665A">
        <w:rPr>
          <w:rFonts w:ascii="Palatino Linotype" w:hAnsi="Palatino Linotype"/>
        </w:rPr>
        <w:t xml:space="preserve"> that</w:t>
      </w:r>
      <w:r w:rsidR="00B629C8">
        <w:rPr>
          <w:rFonts w:ascii="Palatino Linotype" w:hAnsi="Palatino Linotype"/>
        </w:rPr>
        <w:t xml:space="preserve"> they will track the </w:t>
      </w:r>
      <w:r w:rsidR="00CE09B7">
        <w:rPr>
          <w:rFonts w:ascii="Palatino Linotype" w:hAnsi="Palatino Linotype"/>
        </w:rPr>
        <w:t xml:space="preserve">distribution and redemption </w:t>
      </w:r>
      <w:r w:rsidR="00B629C8">
        <w:rPr>
          <w:rFonts w:ascii="Palatino Linotype" w:hAnsi="Palatino Linotype"/>
        </w:rPr>
        <w:t xml:space="preserve">of the rebate within the </w:t>
      </w:r>
      <w:r w:rsidR="00C6665A">
        <w:rPr>
          <w:rFonts w:ascii="Palatino Linotype" w:hAnsi="Palatino Linotype"/>
        </w:rPr>
        <w:t xml:space="preserve">appropriate </w:t>
      </w:r>
      <w:r>
        <w:rPr>
          <w:rFonts w:ascii="Palatino Linotype" w:hAnsi="Palatino Linotype"/>
        </w:rPr>
        <w:t xml:space="preserve">cost-tracking </w:t>
      </w:r>
      <w:r w:rsidR="00C6665A">
        <w:rPr>
          <w:rFonts w:ascii="Palatino Linotype" w:hAnsi="Palatino Linotype"/>
        </w:rPr>
        <w:t>accounts</w:t>
      </w:r>
      <w:r>
        <w:rPr>
          <w:rFonts w:ascii="Palatino Linotype" w:hAnsi="Palatino Linotype"/>
        </w:rPr>
        <w:t xml:space="preserve">. </w:t>
      </w:r>
      <w:r w:rsidR="00B629C8">
        <w:rPr>
          <w:rFonts w:ascii="Palatino Linotype" w:hAnsi="Palatino Linotype"/>
        </w:rPr>
        <w:t>Rebates will not be distributed to customers until all the requirements proposed by</w:t>
      </w:r>
      <w:r w:rsidR="005E21F6">
        <w:rPr>
          <w:rFonts w:ascii="Palatino Linotype" w:hAnsi="Palatino Linotype"/>
        </w:rPr>
        <w:t xml:space="preserve"> </w:t>
      </w:r>
      <w:r>
        <w:rPr>
          <w:rFonts w:ascii="Palatino Linotype" w:hAnsi="Palatino Linotype"/>
        </w:rPr>
        <w:t xml:space="preserve">PG&amp;E, </w:t>
      </w:r>
      <w:r w:rsidR="005E21F6">
        <w:rPr>
          <w:rFonts w:ascii="Palatino Linotype" w:hAnsi="Palatino Linotype"/>
        </w:rPr>
        <w:t>SCE and</w:t>
      </w:r>
      <w:r w:rsidR="00B629C8">
        <w:rPr>
          <w:rFonts w:ascii="Palatino Linotype" w:hAnsi="Palatino Linotype"/>
        </w:rPr>
        <w:t xml:space="preserve"> SDG&amp;E are met. </w:t>
      </w:r>
      <w:r>
        <w:rPr>
          <w:rFonts w:ascii="Palatino Linotype" w:hAnsi="Palatino Linotype"/>
        </w:rPr>
        <w:t xml:space="preserve">PG&amp;E’s, </w:t>
      </w:r>
      <w:r w:rsidR="00C342CC">
        <w:rPr>
          <w:rFonts w:ascii="Palatino Linotype" w:hAnsi="Palatino Linotype"/>
        </w:rPr>
        <w:t>SCE’s</w:t>
      </w:r>
      <w:r>
        <w:rPr>
          <w:rFonts w:ascii="Palatino Linotype" w:hAnsi="Palatino Linotype"/>
        </w:rPr>
        <w:t>,</w:t>
      </w:r>
      <w:r w:rsidR="00C342CC">
        <w:rPr>
          <w:rFonts w:ascii="Palatino Linotype" w:hAnsi="Palatino Linotype"/>
        </w:rPr>
        <w:t xml:space="preserve"> and SDG&amp;E’s proposed process</w:t>
      </w:r>
      <w:r w:rsidR="004F6430">
        <w:rPr>
          <w:rFonts w:ascii="Palatino Linotype" w:hAnsi="Palatino Linotype"/>
        </w:rPr>
        <w:t>es</w:t>
      </w:r>
      <w:r w:rsidR="00C342CC">
        <w:rPr>
          <w:rFonts w:ascii="Palatino Linotype" w:hAnsi="Palatino Linotype"/>
        </w:rPr>
        <w:t xml:space="preserve"> to distribute the rebate</w:t>
      </w:r>
      <w:r w:rsidR="004F6430">
        <w:rPr>
          <w:rFonts w:ascii="Palatino Linotype" w:hAnsi="Palatino Linotype"/>
        </w:rPr>
        <w:t>s</w:t>
      </w:r>
      <w:r w:rsidR="00C342CC">
        <w:rPr>
          <w:rFonts w:ascii="Palatino Linotype" w:hAnsi="Palatino Linotype"/>
        </w:rPr>
        <w:t xml:space="preserve"> </w:t>
      </w:r>
      <w:r w:rsidR="004F6430">
        <w:rPr>
          <w:rFonts w:ascii="Palatino Linotype" w:hAnsi="Palatino Linotype"/>
        </w:rPr>
        <w:t xml:space="preserve">are </w:t>
      </w:r>
      <w:r w:rsidR="00C342CC">
        <w:rPr>
          <w:rFonts w:ascii="Palatino Linotype" w:hAnsi="Palatino Linotype"/>
        </w:rPr>
        <w:t>reasonable</w:t>
      </w:r>
      <w:r w:rsidR="00993E66">
        <w:rPr>
          <w:rFonts w:ascii="Palatino Linotype" w:hAnsi="Palatino Linotype"/>
        </w:rPr>
        <w:t>.</w:t>
      </w:r>
    </w:p>
    <w:p w:rsidR="00B629C8" w:rsidP="00DF3534" w:rsidRDefault="00B629C8" w14:paraId="26872FF5" w14:textId="77777777">
      <w:pPr>
        <w:rPr>
          <w:rFonts w:ascii="Palatino Linotype" w:hAnsi="Palatino Linotype"/>
        </w:rPr>
      </w:pPr>
    </w:p>
    <w:p w:rsidRPr="00B629C8" w:rsidR="00B629C8" w:rsidP="00DF3534" w:rsidRDefault="007F6B84" w14:paraId="2C9772E1" w14:textId="70ED5EDA">
      <w:pPr>
        <w:rPr>
          <w:rFonts w:ascii="Palatino Linotype" w:hAnsi="Palatino Linotype"/>
          <w:b/>
          <w:bCs/>
        </w:rPr>
      </w:pPr>
      <w:r>
        <w:rPr>
          <w:rFonts w:ascii="Palatino Linotype" w:hAnsi="Palatino Linotype"/>
          <w:b/>
          <w:bCs/>
        </w:rPr>
        <w:t xml:space="preserve">PG&amp;E, </w:t>
      </w:r>
      <w:r w:rsidR="00B605AB">
        <w:rPr>
          <w:rFonts w:ascii="Palatino Linotype" w:hAnsi="Palatino Linotype"/>
          <w:b/>
          <w:bCs/>
        </w:rPr>
        <w:t xml:space="preserve">SCE and </w:t>
      </w:r>
      <w:r w:rsidRPr="00B629C8" w:rsidR="00B629C8">
        <w:rPr>
          <w:rFonts w:ascii="Palatino Linotype" w:hAnsi="Palatino Linotype"/>
          <w:b/>
          <w:bCs/>
        </w:rPr>
        <w:t xml:space="preserve">SDG&amp;E </w:t>
      </w:r>
      <w:r w:rsidR="00B605AB">
        <w:rPr>
          <w:rFonts w:ascii="Palatino Linotype" w:hAnsi="Palatino Linotype"/>
          <w:b/>
          <w:bCs/>
        </w:rPr>
        <w:t>are</w:t>
      </w:r>
      <w:r w:rsidRPr="00B629C8" w:rsidR="00B629C8">
        <w:rPr>
          <w:rFonts w:ascii="Palatino Linotype" w:hAnsi="Palatino Linotype"/>
          <w:b/>
          <w:bCs/>
        </w:rPr>
        <w:t xml:space="preserve"> unable to guarantee the scalability of proposed rebate system at this time.</w:t>
      </w:r>
    </w:p>
    <w:p w:rsidR="00B629C8" w:rsidP="00DF3534" w:rsidRDefault="00D546A1" w14:paraId="1AAD278E" w14:textId="650F21B9">
      <w:pPr>
        <w:rPr>
          <w:rFonts w:ascii="Palatino Linotype" w:hAnsi="Palatino Linotype"/>
        </w:rPr>
      </w:pPr>
      <w:r>
        <w:rPr>
          <w:rFonts w:ascii="Palatino Linotype" w:hAnsi="Palatino Linotype"/>
        </w:rPr>
        <w:t xml:space="preserve">PG&amp;E and </w:t>
      </w:r>
      <w:r w:rsidR="00446EF5">
        <w:rPr>
          <w:rFonts w:ascii="Palatino Linotype" w:hAnsi="Palatino Linotype"/>
        </w:rPr>
        <w:t xml:space="preserve">SCE </w:t>
      </w:r>
      <w:r w:rsidR="0079276F">
        <w:rPr>
          <w:rFonts w:ascii="Palatino Linotype" w:hAnsi="Palatino Linotype"/>
        </w:rPr>
        <w:t xml:space="preserve">state that they </w:t>
      </w:r>
      <w:r w:rsidR="00446EF5">
        <w:rPr>
          <w:rFonts w:ascii="Palatino Linotype" w:hAnsi="Palatino Linotype"/>
        </w:rPr>
        <w:t>believe</w:t>
      </w:r>
      <w:r w:rsidR="00B10F4E">
        <w:rPr>
          <w:rFonts w:ascii="Palatino Linotype" w:hAnsi="Palatino Linotype"/>
        </w:rPr>
        <w:t xml:space="preserve"> it </w:t>
      </w:r>
      <w:r w:rsidR="003B1DB1">
        <w:rPr>
          <w:rFonts w:ascii="Palatino Linotype" w:hAnsi="Palatino Linotype"/>
        </w:rPr>
        <w:t>is</w:t>
      </w:r>
      <w:r w:rsidR="00B10F4E">
        <w:rPr>
          <w:rFonts w:ascii="Palatino Linotype" w:hAnsi="Palatino Linotype"/>
        </w:rPr>
        <w:t xml:space="preserve"> possible</w:t>
      </w:r>
      <w:r w:rsidR="00DC07FC">
        <w:rPr>
          <w:rFonts w:ascii="Palatino Linotype" w:hAnsi="Palatino Linotype"/>
        </w:rPr>
        <w:t xml:space="preserve"> to scale </w:t>
      </w:r>
      <w:r w:rsidR="00203E69">
        <w:rPr>
          <w:rFonts w:ascii="Palatino Linotype" w:hAnsi="Palatino Linotype"/>
        </w:rPr>
        <w:t>the proposed rebate</w:t>
      </w:r>
      <w:r w:rsidR="0079276F">
        <w:rPr>
          <w:rFonts w:ascii="Palatino Linotype" w:hAnsi="Palatino Linotype"/>
        </w:rPr>
        <w:t>s</w:t>
      </w:r>
      <w:r w:rsidR="00771862">
        <w:rPr>
          <w:rFonts w:ascii="Palatino Linotype" w:hAnsi="Palatino Linotype"/>
        </w:rPr>
        <w:t xml:space="preserve">, but caution against </w:t>
      </w:r>
      <w:r w:rsidR="00AF7434">
        <w:rPr>
          <w:rFonts w:ascii="Palatino Linotype" w:hAnsi="Palatino Linotype"/>
        </w:rPr>
        <w:t xml:space="preserve">including costs other than the EVSE in a </w:t>
      </w:r>
      <w:r w:rsidR="004F6430">
        <w:rPr>
          <w:rFonts w:ascii="Palatino Linotype" w:hAnsi="Palatino Linotype"/>
        </w:rPr>
        <w:t xml:space="preserve">future </w:t>
      </w:r>
      <w:r w:rsidR="00AF7434">
        <w:rPr>
          <w:rFonts w:ascii="Palatino Linotype" w:hAnsi="Palatino Linotype"/>
        </w:rPr>
        <w:t>rebate</w:t>
      </w:r>
      <w:r w:rsidR="00172666">
        <w:rPr>
          <w:rFonts w:ascii="Palatino Linotype" w:hAnsi="Palatino Linotype"/>
        </w:rPr>
        <w:t xml:space="preserve"> as </w:t>
      </w:r>
      <w:r w:rsidR="00371F4D">
        <w:rPr>
          <w:rFonts w:ascii="Palatino Linotype" w:hAnsi="Palatino Linotype"/>
        </w:rPr>
        <w:t>these will add significant costs to a larger program.</w:t>
      </w:r>
      <w:r>
        <w:rPr>
          <w:rFonts w:ascii="Palatino Linotype" w:hAnsi="Palatino Linotype"/>
        </w:rPr>
        <w:t xml:space="preserve"> Specifically, PG&amp;E cautions that scaling certain elements of the rebate system, such as paying up front for costs not yet incurred for networking fees and ongoing operation and maintenance costs, is not feasible because these costs are usually paid </w:t>
      </w:r>
      <w:r w:rsidR="00467C35">
        <w:rPr>
          <w:rFonts w:ascii="Palatino Linotype" w:hAnsi="Palatino Linotype"/>
        </w:rPr>
        <w:t>for over the course of the program</w:t>
      </w:r>
      <w:r w:rsidR="00CE09B7">
        <w:rPr>
          <w:rFonts w:ascii="Palatino Linotype" w:hAnsi="Palatino Linotype"/>
        </w:rPr>
        <w:t>, which is not the case for a customer receiving a single, upfront rebate for the ongoing costs</w:t>
      </w:r>
      <w:r>
        <w:rPr>
          <w:rFonts w:ascii="Palatino Linotype" w:hAnsi="Palatino Linotype"/>
        </w:rPr>
        <w:t>.</w:t>
      </w:r>
      <w:r w:rsidR="00B10F4E">
        <w:rPr>
          <w:rFonts w:ascii="Palatino Linotype" w:hAnsi="Palatino Linotype"/>
        </w:rPr>
        <w:t xml:space="preserve"> </w:t>
      </w:r>
      <w:r w:rsidR="00B629C8">
        <w:rPr>
          <w:rFonts w:ascii="Palatino Linotype" w:hAnsi="Palatino Linotype"/>
        </w:rPr>
        <w:t>SDG&amp;E states that the IOU has ongoing efforts to develop a similar rebate system for their recently approved EV Medium Duty/Heavy Duty program.</w:t>
      </w:r>
      <w:r w:rsidR="00B629C8">
        <w:rPr>
          <w:rStyle w:val="FootnoteReference"/>
          <w:rFonts w:ascii="Palatino Linotype" w:hAnsi="Palatino Linotype"/>
        </w:rPr>
        <w:footnoteReference w:id="13"/>
      </w:r>
      <w:r w:rsidR="00B629C8">
        <w:rPr>
          <w:rFonts w:ascii="Palatino Linotype" w:hAnsi="Palatino Linotype"/>
        </w:rPr>
        <w:t xml:space="preserve"> SDG&amp;E will need </w:t>
      </w:r>
      <w:r w:rsidR="00B629C8">
        <w:rPr>
          <w:rFonts w:ascii="Palatino Linotype" w:hAnsi="Palatino Linotype"/>
        </w:rPr>
        <w:lastRenderedPageBreak/>
        <w:t xml:space="preserve">to continue assessing the rebate, to ensure proper safeguards, customer satisfaction, and ease of use, but does believe the proposed rebate process can be leveraged for future SDG&amp;E programs. </w:t>
      </w:r>
    </w:p>
    <w:p w:rsidRPr="005A0B5E" w:rsidR="00143A2E" w:rsidP="00DF3534" w:rsidRDefault="00990A0E" w14:paraId="0B6C3ADC" w14:textId="7EC1F645">
      <w:pPr>
        <w:rPr>
          <w:rFonts w:ascii="Palatino Linotype" w:hAnsi="Palatino Linotype"/>
        </w:rPr>
      </w:pPr>
      <w:r>
        <w:rPr>
          <w:rFonts w:ascii="Palatino Linotype" w:hAnsi="Palatino Linotype"/>
        </w:rPr>
        <w:t xml:space="preserve">While the Commission </w:t>
      </w:r>
      <w:r w:rsidR="000E55DA">
        <w:rPr>
          <w:rFonts w:ascii="Palatino Linotype" w:hAnsi="Palatino Linotype"/>
        </w:rPr>
        <w:t xml:space="preserve">recognizes </w:t>
      </w:r>
      <w:r w:rsidR="00147E33">
        <w:rPr>
          <w:rFonts w:ascii="Palatino Linotype" w:hAnsi="Palatino Linotype"/>
        </w:rPr>
        <w:t xml:space="preserve">the IOUs’ concerns </w:t>
      </w:r>
      <w:r w:rsidR="003139B3">
        <w:rPr>
          <w:rFonts w:ascii="Palatino Linotype" w:hAnsi="Palatino Linotype"/>
        </w:rPr>
        <w:t>with scaling the rebate for a larger program</w:t>
      </w:r>
      <w:r>
        <w:rPr>
          <w:rFonts w:ascii="Palatino Linotype" w:hAnsi="Palatino Linotype"/>
        </w:rPr>
        <w:t>,</w:t>
      </w:r>
      <w:r w:rsidR="00CE09B7">
        <w:rPr>
          <w:rFonts w:ascii="Palatino Linotype" w:hAnsi="Palatino Linotype"/>
        </w:rPr>
        <w:t xml:space="preserve"> </w:t>
      </w:r>
      <w:r>
        <w:rPr>
          <w:rFonts w:ascii="Palatino Linotype" w:hAnsi="Palatino Linotype"/>
        </w:rPr>
        <w:t>the</w:t>
      </w:r>
      <w:r w:rsidR="00CE09B7">
        <w:rPr>
          <w:rFonts w:ascii="Palatino Linotype" w:hAnsi="Palatino Linotype"/>
        </w:rPr>
        <w:t xml:space="preserve"> IOUs’ Schools Pilot Programs offer the opportunity to provide valuable information on the rebate design that can help inform a potential scaled program.</w:t>
      </w:r>
    </w:p>
    <w:p w:rsidRPr="002D79AF" w:rsidR="002D79AF" w:rsidP="00DF3534" w:rsidRDefault="002D79AF" w14:paraId="0322490A" w14:textId="77777777">
      <w:pPr>
        <w:rPr>
          <w:rFonts w:ascii="Palatino Linotype" w:hAnsi="Palatino Linotype"/>
          <w:bCs/>
        </w:rPr>
      </w:pPr>
    </w:p>
    <w:p w:rsidRPr="00181CC0" w:rsidR="00DF3534" w:rsidP="00DF3534" w:rsidRDefault="00DF3534" w14:paraId="50A923BB" w14:textId="77777777">
      <w:pPr>
        <w:autoSpaceDE w:val="0"/>
        <w:autoSpaceDN w:val="0"/>
        <w:adjustRightInd w:val="0"/>
        <w:spacing w:after="120"/>
        <w:jc w:val="both"/>
        <w:rPr>
          <w:rFonts w:ascii="Palatino Linotype" w:hAnsi="Palatino Linotype" w:cs="BookAntiqua"/>
          <w:b/>
          <w:szCs w:val="26"/>
        </w:rPr>
      </w:pPr>
      <w:r w:rsidRPr="00181CC0">
        <w:rPr>
          <w:rFonts w:ascii="Palatino Linotype" w:hAnsi="Palatino Linotype" w:cs="BookAntiqua"/>
          <w:b/>
          <w:szCs w:val="26"/>
        </w:rPr>
        <w:t>Safety Considerations</w:t>
      </w:r>
    </w:p>
    <w:p w:rsidRPr="00181CC0" w:rsidR="00DF3534" w:rsidP="00DF3534" w:rsidRDefault="000831F6" w14:paraId="03CC9175" w14:textId="30FA8E00">
      <w:pPr>
        <w:autoSpaceDE w:val="0"/>
        <w:autoSpaceDN w:val="0"/>
        <w:rPr>
          <w:rFonts w:ascii="Palatino Linotype" w:hAnsi="Palatino Linotype" w:eastAsia="Calibri" w:cs="Arial"/>
          <w:bCs/>
          <w:szCs w:val="25"/>
        </w:rPr>
      </w:pPr>
      <w:r>
        <w:rPr>
          <w:rFonts w:ascii="Palatino Linotype" w:hAnsi="Palatino Linotype" w:eastAsia="Calibri" w:cs="Arial"/>
          <w:bCs/>
          <w:szCs w:val="25"/>
        </w:rPr>
        <w:t xml:space="preserve">This resolution approves </w:t>
      </w:r>
      <w:r w:rsidR="00910B9B">
        <w:rPr>
          <w:rFonts w:ascii="Palatino Linotype" w:hAnsi="Palatino Linotype" w:eastAsia="Calibri" w:cs="Arial"/>
          <w:bCs/>
          <w:szCs w:val="25"/>
        </w:rPr>
        <w:t xml:space="preserve">PG&amp;E’s, SCE’s, and </w:t>
      </w:r>
      <w:r>
        <w:rPr>
          <w:rFonts w:ascii="Palatino Linotype" w:hAnsi="Palatino Linotype" w:eastAsia="Calibri" w:cs="Arial"/>
          <w:bCs/>
          <w:szCs w:val="25"/>
        </w:rPr>
        <w:t xml:space="preserve">SDG&amp;E’s </w:t>
      </w:r>
      <w:r w:rsidR="00B629C8">
        <w:rPr>
          <w:rFonts w:ascii="Palatino Linotype" w:hAnsi="Palatino Linotype" w:eastAsia="Calibri" w:cs="Arial"/>
          <w:bCs/>
          <w:szCs w:val="25"/>
        </w:rPr>
        <w:t>proposed rebate value</w:t>
      </w:r>
      <w:r w:rsidR="006B047B">
        <w:rPr>
          <w:rFonts w:ascii="Palatino Linotype" w:hAnsi="Palatino Linotype" w:eastAsia="Calibri" w:cs="Arial"/>
          <w:bCs/>
          <w:szCs w:val="25"/>
        </w:rPr>
        <w:t>s</w:t>
      </w:r>
      <w:r w:rsidR="00B629C8">
        <w:rPr>
          <w:rFonts w:ascii="Palatino Linotype" w:hAnsi="Palatino Linotype" w:eastAsia="Calibri" w:cs="Arial"/>
          <w:bCs/>
          <w:szCs w:val="25"/>
        </w:rPr>
        <w:t xml:space="preserve"> and design</w:t>
      </w:r>
      <w:r w:rsidR="006B047B">
        <w:rPr>
          <w:rFonts w:ascii="Palatino Linotype" w:hAnsi="Palatino Linotype" w:eastAsia="Calibri" w:cs="Arial"/>
          <w:bCs/>
          <w:szCs w:val="25"/>
        </w:rPr>
        <w:t>s</w:t>
      </w:r>
      <w:r w:rsidR="00B629C8">
        <w:rPr>
          <w:rFonts w:ascii="Palatino Linotype" w:hAnsi="Palatino Linotype" w:eastAsia="Calibri" w:cs="Arial"/>
          <w:bCs/>
          <w:szCs w:val="25"/>
        </w:rPr>
        <w:t xml:space="preserve"> for their Schools Pilot Program</w:t>
      </w:r>
      <w:r w:rsidR="006B047B">
        <w:rPr>
          <w:rFonts w:ascii="Palatino Linotype" w:hAnsi="Palatino Linotype" w:eastAsia="Calibri" w:cs="Arial"/>
          <w:bCs/>
          <w:szCs w:val="25"/>
        </w:rPr>
        <w:t>s</w:t>
      </w:r>
      <w:r>
        <w:rPr>
          <w:rFonts w:ascii="Palatino Linotype" w:hAnsi="Palatino Linotype" w:eastAsia="Calibri" w:cs="Arial"/>
          <w:bCs/>
          <w:szCs w:val="25"/>
        </w:rPr>
        <w:t xml:space="preserve">. Because this resolution only </w:t>
      </w:r>
      <w:r w:rsidR="00B629C8">
        <w:rPr>
          <w:rFonts w:ascii="Palatino Linotype" w:hAnsi="Palatino Linotype" w:eastAsia="Calibri" w:cs="Arial"/>
          <w:bCs/>
          <w:szCs w:val="25"/>
        </w:rPr>
        <w:t>approves the rebate structure and value</w:t>
      </w:r>
      <w:r>
        <w:rPr>
          <w:rFonts w:ascii="Palatino Linotype" w:hAnsi="Palatino Linotype" w:eastAsia="Calibri" w:cs="Arial"/>
          <w:bCs/>
          <w:szCs w:val="25"/>
        </w:rPr>
        <w:t>, n</w:t>
      </w:r>
      <w:r w:rsidR="00086F05">
        <w:rPr>
          <w:rFonts w:ascii="Palatino Linotype" w:hAnsi="Palatino Linotype" w:eastAsia="Calibri" w:cs="Arial"/>
          <w:bCs/>
          <w:szCs w:val="25"/>
        </w:rPr>
        <w:t xml:space="preserve">o </w:t>
      </w:r>
      <w:r>
        <w:rPr>
          <w:rFonts w:ascii="Palatino Linotype" w:hAnsi="Palatino Linotype" w:eastAsia="Calibri" w:cs="Arial"/>
          <w:bCs/>
          <w:szCs w:val="25"/>
        </w:rPr>
        <w:t>incremental</w:t>
      </w:r>
      <w:r w:rsidR="00086F05">
        <w:rPr>
          <w:rFonts w:ascii="Palatino Linotype" w:hAnsi="Palatino Linotype" w:eastAsia="Calibri" w:cs="Arial"/>
          <w:bCs/>
          <w:szCs w:val="25"/>
        </w:rPr>
        <w:t xml:space="preserve"> safety </w:t>
      </w:r>
      <w:r>
        <w:rPr>
          <w:rFonts w:ascii="Palatino Linotype" w:hAnsi="Palatino Linotype" w:eastAsia="Calibri" w:cs="Arial"/>
          <w:bCs/>
          <w:szCs w:val="25"/>
        </w:rPr>
        <w:t>implications associated with approval of this resolution are expected</w:t>
      </w:r>
      <w:r w:rsidR="00086F05">
        <w:rPr>
          <w:rFonts w:ascii="Palatino Linotype" w:hAnsi="Palatino Linotype" w:eastAsia="Calibri" w:cs="Arial"/>
          <w:bCs/>
          <w:szCs w:val="25"/>
        </w:rPr>
        <w:t>.</w:t>
      </w:r>
    </w:p>
    <w:p w:rsidR="00DA6419" w:rsidP="00DF3534" w:rsidRDefault="00DA6419" w14:paraId="40DF82E4" w14:textId="77777777">
      <w:pPr>
        <w:pStyle w:val="Heading1"/>
        <w:spacing w:before="0" w:after="0"/>
        <w:jc w:val="both"/>
        <w:rPr>
          <w:rFonts w:ascii="Palatino Linotype" w:hAnsi="Palatino Linotype"/>
        </w:rPr>
      </w:pPr>
    </w:p>
    <w:p w:rsidRPr="00D7139C" w:rsidR="00DF3534" w:rsidP="00DF3534" w:rsidRDefault="00DF3534" w14:paraId="59F4E4C8" w14:textId="69857B7E">
      <w:pPr>
        <w:pStyle w:val="Heading1"/>
        <w:spacing w:before="0" w:after="0"/>
        <w:jc w:val="both"/>
        <w:rPr>
          <w:rFonts w:ascii="Palatino Linotype" w:hAnsi="Palatino Linotype"/>
        </w:rPr>
      </w:pPr>
      <w:r w:rsidRPr="00D7139C">
        <w:rPr>
          <w:rFonts w:ascii="Palatino Linotype" w:hAnsi="Palatino Linotype"/>
        </w:rPr>
        <w:t>Comments</w:t>
      </w:r>
    </w:p>
    <w:p w:rsidRPr="00D7139C" w:rsidR="00DF3534" w:rsidP="00DF3534" w:rsidRDefault="00DF3534" w14:paraId="22F9BE1A" w14:textId="77777777">
      <w:pPr>
        <w:rPr>
          <w:rFonts w:ascii="Palatino Linotype" w:hAnsi="Palatino Linotype"/>
        </w:rPr>
      </w:pPr>
    </w:p>
    <w:p w:rsidR="00DF3534" w:rsidP="00DF3534" w:rsidRDefault="00DF3534" w14:paraId="61FE9F12" w14:textId="77777777">
      <w:pPr>
        <w:rPr>
          <w:rFonts w:ascii="Palatino Linotype" w:hAnsi="Palatino Linotype"/>
        </w:rPr>
      </w:pPr>
      <w:r w:rsidRPr="00D7139C">
        <w:rPr>
          <w:rFonts w:ascii="Palatino Linotype" w:hAnsi="Palatino Linotype"/>
        </w:rPr>
        <w:t>Public Utilities Code section 311(g)(1) provides that this resolution must be served on all parties and subject to at least 30 days public review and comment prior to a vote of the Commission.  Section 311(g)(2) provides that this 30-day period may be reduced or waived upon the stipulation of all parties in the proceeding.</w:t>
      </w:r>
    </w:p>
    <w:p w:rsidR="00DF3534" w:rsidP="00DF3534" w:rsidRDefault="00DF3534" w14:paraId="00295527" w14:textId="620D3827">
      <w:pPr>
        <w:rPr>
          <w:rFonts w:ascii="Palatino Linotype" w:hAnsi="Palatino Linotype"/>
        </w:rPr>
      </w:pPr>
      <w:r w:rsidRPr="002039A5">
        <w:rPr>
          <w:rFonts w:ascii="Palatino Linotype" w:hAnsi="Palatino Linotype"/>
        </w:rPr>
        <w:t xml:space="preserve">The 30-day comment period for the draft of this resolution was neither waived nor reduced.  Accordingly, this draft resolution was mailed to parties for comments, and will be placed on the Commission's agenda no earlier than </w:t>
      </w:r>
      <w:r w:rsidR="009B3550">
        <w:rPr>
          <w:rFonts w:ascii="Palatino Linotype" w:hAnsi="Palatino Linotype"/>
        </w:rPr>
        <w:t>May 20, 2021</w:t>
      </w:r>
      <w:r>
        <w:rPr>
          <w:rFonts w:ascii="Palatino Linotype" w:hAnsi="Palatino Linotype"/>
        </w:rPr>
        <w:t>.</w:t>
      </w:r>
    </w:p>
    <w:p w:rsidRPr="00D7139C" w:rsidR="00DF3534" w:rsidP="00DF3534" w:rsidRDefault="00DF3534" w14:paraId="4CB463F4" w14:textId="77777777"/>
    <w:p w:rsidR="00DF3534" w:rsidP="00DF3534" w:rsidRDefault="00DF3534" w14:paraId="3F6B569E" w14:textId="77777777">
      <w:pPr>
        <w:pStyle w:val="Heading1"/>
        <w:spacing w:before="0" w:after="0"/>
        <w:jc w:val="both"/>
        <w:rPr>
          <w:rFonts w:ascii="Palatino Linotype" w:hAnsi="Palatino Linotype"/>
        </w:rPr>
      </w:pPr>
      <w:r w:rsidRPr="00181CC0">
        <w:rPr>
          <w:rFonts w:ascii="Palatino Linotype" w:hAnsi="Palatino Linotype"/>
        </w:rPr>
        <w:t>Findings</w:t>
      </w:r>
    </w:p>
    <w:p w:rsidR="00DF3534" w:rsidP="00DF3534" w:rsidRDefault="00DF3534" w14:paraId="13E6BE7F" w14:textId="77777777"/>
    <w:p w:rsidRPr="00B77DB1" w:rsidR="00DF3534" w:rsidP="00B77DB1" w:rsidRDefault="00322C81" w14:paraId="1626D279" w14:textId="087EF867">
      <w:pPr>
        <w:pStyle w:val="ListParagraph"/>
        <w:numPr>
          <w:ilvl w:val="0"/>
          <w:numId w:val="11"/>
        </w:numPr>
        <w:rPr>
          <w:rFonts w:ascii="Palatino Linotype" w:hAnsi="Palatino Linotype"/>
        </w:rPr>
      </w:pPr>
      <w:r w:rsidRPr="00B77DB1">
        <w:rPr>
          <w:rFonts w:ascii="Palatino Linotype" w:hAnsi="Palatino Linotype"/>
        </w:rPr>
        <w:t xml:space="preserve">Decision 19-11-017 requires </w:t>
      </w:r>
      <w:r w:rsidR="00910B9B">
        <w:rPr>
          <w:rFonts w:ascii="Palatino Linotype" w:hAnsi="Palatino Linotype"/>
        </w:rPr>
        <w:t xml:space="preserve">Pacific Gas and Electric, </w:t>
      </w:r>
      <w:r w:rsidR="00D8096B">
        <w:rPr>
          <w:rFonts w:ascii="Palatino Linotype" w:hAnsi="Palatino Linotype"/>
        </w:rPr>
        <w:t xml:space="preserve">Southern California Edison and </w:t>
      </w:r>
      <w:r w:rsidRPr="00B77DB1">
        <w:rPr>
          <w:rFonts w:ascii="Palatino Linotype" w:hAnsi="Palatino Linotype"/>
        </w:rPr>
        <w:t>S</w:t>
      </w:r>
      <w:r w:rsidRPr="00B77DB1" w:rsidR="00497F7C">
        <w:rPr>
          <w:rFonts w:ascii="Palatino Linotype" w:hAnsi="Palatino Linotype"/>
        </w:rPr>
        <w:t xml:space="preserve">an </w:t>
      </w:r>
      <w:r w:rsidRPr="00B77DB1">
        <w:rPr>
          <w:rFonts w:ascii="Palatino Linotype" w:hAnsi="Palatino Linotype"/>
        </w:rPr>
        <w:t>D</w:t>
      </w:r>
      <w:r w:rsidRPr="00B77DB1" w:rsidR="00497F7C">
        <w:rPr>
          <w:rFonts w:ascii="Palatino Linotype" w:hAnsi="Palatino Linotype"/>
        </w:rPr>
        <w:t xml:space="preserve">iego </w:t>
      </w:r>
      <w:r w:rsidRPr="00B77DB1">
        <w:rPr>
          <w:rFonts w:ascii="Palatino Linotype" w:hAnsi="Palatino Linotype"/>
        </w:rPr>
        <w:t>G</w:t>
      </w:r>
      <w:r w:rsidRPr="00B77DB1" w:rsidR="00497F7C">
        <w:rPr>
          <w:rFonts w:ascii="Palatino Linotype" w:hAnsi="Palatino Linotype"/>
        </w:rPr>
        <w:t xml:space="preserve">as </w:t>
      </w:r>
      <w:r w:rsidRPr="00B77DB1">
        <w:rPr>
          <w:rFonts w:ascii="Palatino Linotype" w:hAnsi="Palatino Linotype"/>
        </w:rPr>
        <w:t>&amp;</w:t>
      </w:r>
      <w:r w:rsidRPr="00B77DB1" w:rsidR="00497F7C">
        <w:rPr>
          <w:rFonts w:ascii="Palatino Linotype" w:hAnsi="Palatino Linotype"/>
        </w:rPr>
        <w:t xml:space="preserve"> </w:t>
      </w:r>
      <w:r w:rsidRPr="00B77DB1">
        <w:rPr>
          <w:rFonts w:ascii="Palatino Linotype" w:hAnsi="Palatino Linotype"/>
        </w:rPr>
        <w:t>E</w:t>
      </w:r>
      <w:r w:rsidRPr="00B77DB1" w:rsidR="00497F7C">
        <w:rPr>
          <w:rFonts w:ascii="Palatino Linotype" w:hAnsi="Palatino Linotype"/>
        </w:rPr>
        <w:t>lectric</w:t>
      </w:r>
      <w:r w:rsidRPr="00B77DB1">
        <w:rPr>
          <w:rFonts w:ascii="Palatino Linotype" w:hAnsi="Palatino Linotype"/>
        </w:rPr>
        <w:t xml:space="preserve"> to file a Tier 3 Advice Letter </w:t>
      </w:r>
      <w:r w:rsidR="0045746A">
        <w:rPr>
          <w:rFonts w:ascii="Palatino Linotype" w:hAnsi="Palatino Linotype"/>
        </w:rPr>
        <w:t xml:space="preserve">prior to </w:t>
      </w:r>
      <w:r w:rsidR="00D5706D">
        <w:rPr>
          <w:rFonts w:ascii="Palatino Linotype" w:hAnsi="Palatino Linotype"/>
        </w:rPr>
        <w:t xml:space="preserve">the utilities’ </w:t>
      </w:r>
      <w:r w:rsidR="00FA7691">
        <w:rPr>
          <w:rFonts w:ascii="Palatino Linotype" w:hAnsi="Palatino Linotype"/>
        </w:rPr>
        <w:t>Schools Pilot Program</w:t>
      </w:r>
      <w:r w:rsidR="00D5706D">
        <w:rPr>
          <w:rFonts w:ascii="Palatino Linotype" w:hAnsi="Palatino Linotype"/>
        </w:rPr>
        <w:t xml:space="preserve"> implementation,</w:t>
      </w:r>
      <w:r w:rsidR="0045746A">
        <w:rPr>
          <w:rFonts w:ascii="Palatino Linotype" w:hAnsi="Palatino Linotype"/>
        </w:rPr>
        <w:t xml:space="preserve"> </w:t>
      </w:r>
      <w:r w:rsidRPr="00B77DB1" w:rsidR="00286E46">
        <w:rPr>
          <w:rFonts w:ascii="Palatino Linotype" w:hAnsi="Palatino Linotype"/>
        </w:rPr>
        <w:t xml:space="preserve">to </w:t>
      </w:r>
      <w:r w:rsidR="001C5FB2">
        <w:rPr>
          <w:rFonts w:ascii="Palatino Linotype" w:hAnsi="Palatino Linotype"/>
        </w:rPr>
        <w:t>set their site-host ownership rebate amount.</w:t>
      </w:r>
    </w:p>
    <w:p w:rsidRPr="00DB4797" w:rsidR="000831F6" w:rsidP="00DB4797" w:rsidRDefault="00910B9B" w14:paraId="115B61BD" w14:textId="68D0FA8C">
      <w:pPr>
        <w:pStyle w:val="ListParagraph"/>
        <w:numPr>
          <w:ilvl w:val="0"/>
          <w:numId w:val="11"/>
        </w:numPr>
        <w:rPr>
          <w:rFonts w:ascii="Palatino Linotype" w:hAnsi="Palatino Linotype"/>
        </w:rPr>
      </w:pPr>
      <w:r>
        <w:rPr>
          <w:rFonts w:ascii="Palatino Linotype" w:hAnsi="Palatino Linotype"/>
        </w:rPr>
        <w:t xml:space="preserve">Pacific Gas and Electric’s Advice Letter 5993-E, </w:t>
      </w:r>
      <w:r w:rsidR="001C5FB2">
        <w:rPr>
          <w:rFonts w:ascii="Palatino Linotype" w:hAnsi="Palatino Linotype"/>
        </w:rPr>
        <w:t>Southern California Edison</w:t>
      </w:r>
      <w:r w:rsidR="00DB4797">
        <w:rPr>
          <w:rFonts w:ascii="Palatino Linotype" w:hAnsi="Palatino Linotype"/>
        </w:rPr>
        <w:t>’s</w:t>
      </w:r>
      <w:r w:rsidR="005D00B6">
        <w:rPr>
          <w:rFonts w:ascii="Palatino Linotype" w:hAnsi="Palatino Linotype"/>
        </w:rPr>
        <w:t xml:space="preserve"> Advice Letter 4286-E</w:t>
      </w:r>
      <w:r w:rsidR="00DB4797">
        <w:rPr>
          <w:rFonts w:ascii="Palatino Linotype" w:hAnsi="Palatino Linotype"/>
        </w:rPr>
        <w:t xml:space="preserve"> and </w:t>
      </w:r>
      <w:r w:rsidRPr="00DB4797" w:rsidR="000831F6">
        <w:rPr>
          <w:rFonts w:ascii="Palatino Linotype" w:hAnsi="Palatino Linotype"/>
        </w:rPr>
        <w:t>S</w:t>
      </w:r>
      <w:r w:rsidRPr="00DB4797" w:rsidR="00497F7C">
        <w:rPr>
          <w:rFonts w:ascii="Palatino Linotype" w:hAnsi="Palatino Linotype"/>
        </w:rPr>
        <w:t>an Diego Gas &amp; Electric</w:t>
      </w:r>
      <w:r w:rsidR="00DB4797">
        <w:rPr>
          <w:rFonts w:ascii="Palatino Linotype" w:hAnsi="Palatino Linotype"/>
        </w:rPr>
        <w:t xml:space="preserve">’s </w:t>
      </w:r>
      <w:r w:rsidRPr="00DB4797" w:rsidR="005D00B6">
        <w:rPr>
          <w:rFonts w:ascii="Palatino Linotype" w:hAnsi="Palatino Linotype"/>
        </w:rPr>
        <w:t xml:space="preserve">Advice Letter </w:t>
      </w:r>
      <w:r w:rsidRPr="00DB4797" w:rsidR="000831F6">
        <w:rPr>
          <w:rFonts w:ascii="Palatino Linotype" w:hAnsi="Palatino Linotype"/>
        </w:rPr>
        <w:t>3490-E</w:t>
      </w:r>
      <w:r w:rsidR="00DB4797">
        <w:rPr>
          <w:rFonts w:ascii="Palatino Linotype" w:hAnsi="Palatino Linotype"/>
        </w:rPr>
        <w:t xml:space="preserve"> were timely filed.</w:t>
      </w:r>
    </w:p>
    <w:p w:rsidRPr="00B77DB1" w:rsidR="00394B3B" w:rsidP="00B77DB1" w:rsidRDefault="00910B9B" w14:paraId="6E759D18" w14:textId="34BF15D2">
      <w:pPr>
        <w:pStyle w:val="ListParagraph"/>
        <w:numPr>
          <w:ilvl w:val="0"/>
          <w:numId w:val="11"/>
        </w:numPr>
        <w:rPr>
          <w:rFonts w:ascii="Palatino Linotype" w:hAnsi="Palatino Linotype"/>
        </w:rPr>
      </w:pPr>
      <w:r>
        <w:rPr>
          <w:rFonts w:ascii="Palatino Linotype" w:hAnsi="Palatino Linotype"/>
        </w:rPr>
        <w:t xml:space="preserve">Pacific Gas and Electric’s, </w:t>
      </w:r>
      <w:r w:rsidR="005D00B6">
        <w:rPr>
          <w:rFonts w:ascii="Palatino Linotype" w:hAnsi="Palatino Linotype"/>
        </w:rPr>
        <w:t xml:space="preserve">Southern California Edison’s and </w:t>
      </w:r>
      <w:r w:rsidRPr="00B77DB1" w:rsidR="00394B3B">
        <w:rPr>
          <w:rFonts w:ascii="Palatino Linotype" w:hAnsi="Palatino Linotype"/>
        </w:rPr>
        <w:t>San Diego Gas &amp; Electric’s proposed</w:t>
      </w:r>
      <w:r w:rsidR="006730B4">
        <w:rPr>
          <w:rFonts w:ascii="Palatino Linotype" w:hAnsi="Palatino Linotype"/>
        </w:rPr>
        <w:t xml:space="preserve"> site-host ownership</w:t>
      </w:r>
      <w:r w:rsidRPr="00B77DB1" w:rsidR="00394B3B">
        <w:rPr>
          <w:rFonts w:ascii="Palatino Linotype" w:hAnsi="Palatino Linotype"/>
        </w:rPr>
        <w:t xml:space="preserve"> </w:t>
      </w:r>
      <w:r w:rsidR="005D00B6">
        <w:rPr>
          <w:rFonts w:ascii="Palatino Linotype" w:hAnsi="Palatino Linotype"/>
        </w:rPr>
        <w:t>rebate value</w:t>
      </w:r>
      <w:r w:rsidR="006730B4">
        <w:rPr>
          <w:rFonts w:ascii="Palatino Linotype" w:hAnsi="Palatino Linotype"/>
        </w:rPr>
        <w:t>s</w:t>
      </w:r>
      <w:r w:rsidRPr="00B77DB1" w:rsidR="00394B3B">
        <w:rPr>
          <w:rFonts w:ascii="Palatino Linotype" w:hAnsi="Palatino Linotype"/>
        </w:rPr>
        <w:t xml:space="preserve"> were based on </w:t>
      </w:r>
      <w:r w:rsidR="006730B4">
        <w:rPr>
          <w:rFonts w:ascii="Palatino Linotype" w:hAnsi="Palatino Linotype"/>
        </w:rPr>
        <w:t xml:space="preserve">cost data received through the utilities’ Request </w:t>
      </w:r>
      <w:r w:rsidR="00A818CF">
        <w:rPr>
          <w:rFonts w:ascii="Palatino Linotype" w:hAnsi="Palatino Linotype"/>
        </w:rPr>
        <w:t xml:space="preserve">for Qualification </w:t>
      </w:r>
      <w:r w:rsidR="00230A4C">
        <w:rPr>
          <w:rFonts w:ascii="Palatino Linotype" w:hAnsi="Palatino Linotype"/>
        </w:rPr>
        <w:t>process.</w:t>
      </w:r>
    </w:p>
    <w:p w:rsidR="00211797" w:rsidP="002B2B89" w:rsidRDefault="00910B9B" w14:paraId="5AC4750D" w14:textId="6A1DEAC3">
      <w:pPr>
        <w:pStyle w:val="ListParagraph"/>
        <w:numPr>
          <w:ilvl w:val="0"/>
          <w:numId w:val="11"/>
        </w:numPr>
        <w:rPr>
          <w:rFonts w:ascii="Palatino Linotype" w:hAnsi="Palatino Linotype"/>
        </w:rPr>
      </w:pPr>
      <w:r>
        <w:rPr>
          <w:rFonts w:ascii="Palatino Linotype" w:hAnsi="Palatino Linotype"/>
        </w:rPr>
        <w:lastRenderedPageBreak/>
        <w:t xml:space="preserve">Pacific Gas and Electric, </w:t>
      </w:r>
      <w:r w:rsidR="008A7260">
        <w:rPr>
          <w:rFonts w:ascii="Palatino Linotype" w:hAnsi="Palatino Linotype"/>
        </w:rPr>
        <w:t xml:space="preserve">Southern California Edison </w:t>
      </w:r>
      <w:r w:rsidR="00C22721">
        <w:rPr>
          <w:rFonts w:ascii="Palatino Linotype" w:hAnsi="Palatino Linotype"/>
        </w:rPr>
        <w:t xml:space="preserve">and San Diego Gas &amp; Electric adequately responded to the five </w:t>
      </w:r>
      <w:r w:rsidR="006C6EE2">
        <w:rPr>
          <w:rFonts w:ascii="Palatino Linotype" w:hAnsi="Palatino Linotype"/>
        </w:rPr>
        <w:t>requirements outlined in Ordering Paragraph 26 of Decision 19-11-017 to be included in the Advice Letter.</w:t>
      </w:r>
    </w:p>
    <w:p w:rsidR="00C6524F" w:rsidP="002B2B89" w:rsidRDefault="00C6524F" w14:paraId="18C43114" w14:textId="4BC25108">
      <w:pPr>
        <w:pStyle w:val="ListParagraph"/>
        <w:numPr>
          <w:ilvl w:val="0"/>
          <w:numId w:val="11"/>
        </w:numPr>
        <w:rPr>
          <w:rFonts w:ascii="Palatino Linotype" w:hAnsi="Palatino Linotype"/>
        </w:rPr>
      </w:pPr>
      <w:r>
        <w:rPr>
          <w:rFonts w:ascii="Palatino Linotype" w:hAnsi="Palatino Linotype"/>
        </w:rPr>
        <w:t>Decision 19-11-017 does not provide the option for Pacific Gas and Electric, Southern California Edison, and San Diego Gas &amp; Electric to modify the rebate amounts if a budget shortfall were to arise as a result of the site-hosts opting to own the Electric Vehicle Supply Equipment.</w:t>
      </w:r>
    </w:p>
    <w:p w:rsidR="00C6524F" w:rsidP="002B2B89" w:rsidRDefault="00C6524F" w14:paraId="78AB8D13" w14:textId="29AE05CA">
      <w:pPr>
        <w:pStyle w:val="ListParagraph"/>
        <w:numPr>
          <w:ilvl w:val="0"/>
          <w:numId w:val="11"/>
        </w:numPr>
        <w:rPr>
          <w:rFonts w:ascii="Palatino Linotype" w:hAnsi="Palatino Linotype"/>
        </w:rPr>
      </w:pPr>
      <w:r>
        <w:rPr>
          <w:rFonts w:ascii="Palatino Linotype" w:hAnsi="Palatino Linotype"/>
        </w:rPr>
        <w:t>San Diego Gas &amp; Electric’s Advice Letter 3490-E does not explicitly limit the proposed rebate to no more than 100 percent of the Electric Vehicle Supply Equipment cost.</w:t>
      </w:r>
    </w:p>
    <w:p w:rsidR="00C6524F" w:rsidP="002B2B89" w:rsidRDefault="00C6524F" w14:paraId="1420EECD" w14:textId="14E38786">
      <w:pPr>
        <w:pStyle w:val="ListParagraph"/>
        <w:numPr>
          <w:ilvl w:val="0"/>
          <w:numId w:val="11"/>
        </w:numPr>
        <w:rPr>
          <w:rFonts w:ascii="Palatino Linotype" w:hAnsi="Palatino Linotype"/>
        </w:rPr>
      </w:pPr>
      <w:r>
        <w:rPr>
          <w:rFonts w:ascii="Palatino Linotype" w:hAnsi="Palatino Linotype"/>
        </w:rPr>
        <w:t>San Diego Gas &amp; Electric’s Advice Letter 3490-E does not explicitly limit the</w:t>
      </w:r>
      <w:r w:rsidR="00F647F6">
        <w:rPr>
          <w:rFonts w:ascii="Palatino Linotype" w:hAnsi="Palatino Linotype"/>
        </w:rPr>
        <w:t xml:space="preserve"> </w:t>
      </w:r>
      <w:r>
        <w:rPr>
          <w:rFonts w:ascii="Palatino Linotype" w:hAnsi="Palatino Linotype"/>
        </w:rPr>
        <w:t>proposed rebate to</w:t>
      </w:r>
      <w:r w:rsidR="00F647F6">
        <w:rPr>
          <w:rFonts w:ascii="Palatino Linotype" w:hAnsi="Palatino Linotype"/>
        </w:rPr>
        <w:t xml:space="preserve"> cover up to</w:t>
      </w:r>
      <w:r>
        <w:rPr>
          <w:rFonts w:ascii="Palatino Linotype" w:hAnsi="Palatino Linotype"/>
        </w:rPr>
        <w:t xml:space="preserve"> the proposed </w:t>
      </w:r>
      <w:r w:rsidR="00F647F6">
        <w:rPr>
          <w:rFonts w:ascii="Palatino Linotype" w:hAnsi="Palatino Linotype"/>
        </w:rPr>
        <w:t xml:space="preserve">equipment and ongoing </w:t>
      </w:r>
      <w:r>
        <w:rPr>
          <w:rFonts w:ascii="Palatino Linotype" w:hAnsi="Palatino Linotype"/>
        </w:rPr>
        <w:t>cost amounts.</w:t>
      </w:r>
    </w:p>
    <w:p w:rsidR="001564C1" w:rsidP="002B2B89" w:rsidRDefault="001564C1" w14:paraId="46B64C01" w14:textId="7211AE5F">
      <w:pPr>
        <w:pStyle w:val="ListParagraph"/>
        <w:numPr>
          <w:ilvl w:val="0"/>
          <w:numId w:val="11"/>
        </w:numPr>
        <w:rPr>
          <w:rFonts w:ascii="Palatino Linotype" w:hAnsi="Palatino Linotype"/>
        </w:rPr>
      </w:pPr>
      <w:r>
        <w:rPr>
          <w:rFonts w:ascii="Palatino Linotype" w:hAnsi="Palatino Linotype"/>
        </w:rPr>
        <w:t>The useful life of an Electric Vehicle Supply Equipment is at least eight</w:t>
      </w:r>
      <w:r w:rsidR="006B047B">
        <w:rPr>
          <w:rFonts w:ascii="Palatino Linotype" w:hAnsi="Palatino Linotype"/>
        </w:rPr>
        <w:t xml:space="preserve"> </w:t>
      </w:r>
      <w:r>
        <w:rPr>
          <w:rFonts w:ascii="Palatino Linotype" w:hAnsi="Palatino Linotype"/>
        </w:rPr>
        <w:t>years.</w:t>
      </w:r>
    </w:p>
    <w:p w:rsidR="00C6524F" w:rsidP="002B2B89" w:rsidRDefault="001564C1" w14:paraId="259B94C1" w14:textId="366F6106">
      <w:pPr>
        <w:pStyle w:val="ListParagraph"/>
        <w:numPr>
          <w:ilvl w:val="0"/>
          <w:numId w:val="11"/>
        </w:numPr>
        <w:rPr>
          <w:rFonts w:ascii="Palatino Linotype" w:hAnsi="Palatino Linotype"/>
        </w:rPr>
      </w:pPr>
      <w:r>
        <w:rPr>
          <w:rFonts w:ascii="Palatino Linotype" w:hAnsi="Palatino Linotype"/>
        </w:rPr>
        <w:t>The Electric Vehicle Service Providers do not offer eight-year ongoing maintenance and networking service plans.</w:t>
      </w:r>
    </w:p>
    <w:p w:rsidR="008211CA" w:rsidP="002B2B89" w:rsidRDefault="008211CA" w14:paraId="47905506" w14:textId="2B5B75B6">
      <w:pPr>
        <w:pStyle w:val="ListParagraph"/>
        <w:numPr>
          <w:ilvl w:val="0"/>
          <w:numId w:val="11"/>
        </w:numPr>
        <w:rPr>
          <w:rFonts w:ascii="Palatino Linotype" w:hAnsi="Palatino Linotype"/>
        </w:rPr>
      </w:pPr>
      <w:r>
        <w:rPr>
          <w:rFonts w:ascii="Palatino Linotype" w:hAnsi="Palatino Linotype"/>
        </w:rPr>
        <w:t>The Electric Vehicle Service Providers’ typical maintenance and networking service plan covers a duration of two</w:t>
      </w:r>
      <w:r w:rsidR="006B047B">
        <w:rPr>
          <w:rFonts w:ascii="Palatino Linotype" w:hAnsi="Palatino Linotype"/>
        </w:rPr>
        <w:t xml:space="preserve"> </w:t>
      </w:r>
      <w:r>
        <w:rPr>
          <w:rFonts w:ascii="Palatino Linotype" w:hAnsi="Palatino Linotype"/>
        </w:rPr>
        <w:t xml:space="preserve">years. </w:t>
      </w:r>
    </w:p>
    <w:p w:rsidR="00FC1D3A" w:rsidP="002B2B89" w:rsidRDefault="00FC1D3A" w14:paraId="7F5C6897" w14:textId="0C6E691E">
      <w:pPr>
        <w:pStyle w:val="ListParagraph"/>
        <w:numPr>
          <w:ilvl w:val="0"/>
          <w:numId w:val="11"/>
        </w:numPr>
        <w:rPr>
          <w:rFonts w:ascii="Palatino Linotype" w:hAnsi="Palatino Linotype"/>
        </w:rPr>
      </w:pPr>
      <w:r>
        <w:rPr>
          <w:rFonts w:ascii="Palatino Linotype" w:hAnsi="Palatino Linotype"/>
        </w:rPr>
        <w:t>It is reasonable for Pacific Gas and Electric, Southern California Edison, and San Diego Gas &amp; Electric to require site-hosts opting to own the Electric Vehicle Supply Equipment to submit updated paid invoices and sales receipts biannually to verify the amount charged for ongoing costs.</w:t>
      </w:r>
    </w:p>
    <w:p w:rsidRPr="002B2B89" w:rsidR="008211CA" w:rsidP="002B2B89" w:rsidRDefault="000206AE" w14:paraId="4904918E" w14:textId="40D6978E">
      <w:pPr>
        <w:pStyle w:val="ListParagraph"/>
        <w:numPr>
          <w:ilvl w:val="0"/>
          <w:numId w:val="11"/>
        </w:numPr>
        <w:rPr>
          <w:rFonts w:ascii="Palatino Linotype" w:hAnsi="Palatino Linotype"/>
        </w:rPr>
      </w:pPr>
      <w:r>
        <w:rPr>
          <w:rFonts w:ascii="Palatino Linotype" w:hAnsi="Palatino Linotype"/>
        </w:rPr>
        <w:t xml:space="preserve">It is reasonable for </w:t>
      </w:r>
      <w:r w:rsidR="002754DB">
        <w:rPr>
          <w:rFonts w:ascii="Palatino Linotype" w:hAnsi="Palatino Linotype"/>
        </w:rPr>
        <w:t xml:space="preserve">the </w:t>
      </w:r>
      <w:r w:rsidR="008211CA">
        <w:rPr>
          <w:rFonts w:ascii="Palatino Linotype" w:hAnsi="Palatino Linotype"/>
        </w:rPr>
        <w:t xml:space="preserve">Commission’s Energy Division to review </w:t>
      </w:r>
      <w:r w:rsidR="00F647F6">
        <w:rPr>
          <w:rFonts w:ascii="Palatino Linotype" w:hAnsi="Palatino Linotype"/>
        </w:rPr>
        <w:t>customer submitted paid invoices and sales receipts</w:t>
      </w:r>
      <w:r w:rsidR="00451E7D">
        <w:rPr>
          <w:rFonts w:ascii="Palatino Linotype" w:hAnsi="Palatino Linotype"/>
        </w:rPr>
        <w:t xml:space="preserve"> for ongoing</w:t>
      </w:r>
      <w:r w:rsidR="002754DB">
        <w:rPr>
          <w:rFonts w:ascii="Palatino Linotype" w:hAnsi="Palatino Linotype"/>
        </w:rPr>
        <w:t xml:space="preserve"> electric vehicle service provider-customer service agreements</w:t>
      </w:r>
      <w:r w:rsidR="000D7BA9">
        <w:rPr>
          <w:rFonts w:ascii="Palatino Linotype" w:hAnsi="Palatino Linotype"/>
        </w:rPr>
        <w:t xml:space="preserve"> if concerns of price manipulation are raised</w:t>
      </w:r>
      <w:r w:rsidR="008211CA">
        <w:rPr>
          <w:rFonts w:ascii="Palatino Linotype" w:hAnsi="Palatino Linotype"/>
        </w:rPr>
        <w:t xml:space="preserve">.  </w:t>
      </w:r>
    </w:p>
    <w:p w:rsidRPr="00B77DB1" w:rsidR="000831F6" w:rsidP="000831F6" w:rsidRDefault="000831F6" w14:paraId="3D9598AC" w14:textId="756DC247">
      <w:pPr>
        <w:rPr>
          <w:rFonts w:ascii="Palatino Linotype" w:hAnsi="Palatino Linotype"/>
        </w:rPr>
      </w:pPr>
      <w:proofErr w:type="gramStart"/>
      <w:r w:rsidRPr="00B77DB1">
        <w:rPr>
          <w:rFonts w:ascii="Palatino Linotype" w:hAnsi="Palatino Linotype"/>
        </w:rPr>
        <w:t>THEREFORE</w:t>
      </w:r>
      <w:proofErr w:type="gramEnd"/>
      <w:r w:rsidRPr="00B77DB1">
        <w:rPr>
          <w:rFonts w:ascii="Palatino Linotype" w:hAnsi="Palatino Linotype"/>
        </w:rPr>
        <w:t xml:space="preserve"> IT IS ORDERED THAT:</w:t>
      </w:r>
    </w:p>
    <w:p w:rsidRPr="00803CEF" w:rsidR="00515283" w:rsidP="00803CEF" w:rsidRDefault="00910B9B" w14:paraId="7A703907" w14:textId="2E1B5064">
      <w:pPr>
        <w:pStyle w:val="ListParagraph"/>
        <w:numPr>
          <w:ilvl w:val="0"/>
          <w:numId w:val="7"/>
        </w:numPr>
        <w:rPr>
          <w:rFonts w:ascii="Palatino Linotype" w:hAnsi="Palatino Linotype"/>
        </w:rPr>
      </w:pPr>
      <w:r>
        <w:rPr>
          <w:rFonts w:ascii="Palatino Linotype" w:hAnsi="Palatino Linotype"/>
        </w:rPr>
        <w:t xml:space="preserve">Pacific Gas and Electric’s Advice Letter 5993-E, </w:t>
      </w:r>
      <w:r w:rsidR="00CF6699">
        <w:rPr>
          <w:rFonts w:ascii="Palatino Linotype" w:hAnsi="Palatino Linotype"/>
        </w:rPr>
        <w:t xml:space="preserve">Southern California Edison’s Advice Letter </w:t>
      </w:r>
      <w:r w:rsidR="00147A22">
        <w:rPr>
          <w:rFonts w:ascii="Palatino Linotype" w:hAnsi="Palatino Linotype"/>
        </w:rPr>
        <w:t xml:space="preserve">4286-E </w:t>
      </w:r>
      <w:r w:rsidR="00515283">
        <w:rPr>
          <w:rFonts w:ascii="Palatino Linotype" w:hAnsi="Palatino Linotype"/>
        </w:rPr>
        <w:t xml:space="preserve">and </w:t>
      </w:r>
      <w:r w:rsidRPr="00B77DB1" w:rsidR="00515283">
        <w:rPr>
          <w:rFonts w:ascii="Palatino Linotype" w:hAnsi="Palatino Linotype"/>
        </w:rPr>
        <w:t xml:space="preserve">San Diego Gas &amp; Electric’s Advice Letter 3490-E </w:t>
      </w:r>
      <w:r w:rsidR="000040B4">
        <w:rPr>
          <w:rFonts w:ascii="Palatino Linotype" w:hAnsi="Palatino Linotype"/>
        </w:rPr>
        <w:t>are</w:t>
      </w:r>
      <w:r w:rsidRPr="00803CEF" w:rsidR="00147A22">
        <w:rPr>
          <w:rFonts w:ascii="Palatino Linotype" w:hAnsi="Palatino Linotype"/>
        </w:rPr>
        <w:t xml:space="preserve"> approved</w:t>
      </w:r>
      <w:r w:rsidRPr="00803CEF" w:rsidR="00414299">
        <w:rPr>
          <w:rFonts w:ascii="Palatino Linotype" w:hAnsi="Palatino Linotype"/>
        </w:rPr>
        <w:t xml:space="preserve"> with modifications</w:t>
      </w:r>
      <w:r w:rsidRPr="00803CEF" w:rsidR="006720FA">
        <w:rPr>
          <w:rFonts w:ascii="Palatino Linotype" w:hAnsi="Palatino Linotype"/>
        </w:rPr>
        <w:t>.</w:t>
      </w:r>
    </w:p>
    <w:p w:rsidR="00F02E43" w:rsidP="000831F6" w:rsidRDefault="00F02E43" w14:paraId="3A961CB1" w14:textId="70C282DC">
      <w:pPr>
        <w:pStyle w:val="ListParagraph"/>
        <w:numPr>
          <w:ilvl w:val="0"/>
          <w:numId w:val="7"/>
        </w:numPr>
        <w:rPr>
          <w:rFonts w:ascii="Palatino Linotype" w:hAnsi="Palatino Linotype"/>
        </w:rPr>
      </w:pPr>
      <w:r>
        <w:rPr>
          <w:rFonts w:ascii="Palatino Linotype" w:hAnsi="Palatino Linotype"/>
        </w:rPr>
        <w:t xml:space="preserve">If budget </w:t>
      </w:r>
      <w:r w:rsidR="00CE09B7">
        <w:rPr>
          <w:rFonts w:ascii="Palatino Linotype" w:hAnsi="Palatino Linotype"/>
        </w:rPr>
        <w:t xml:space="preserve">shortfalls </w:t>
      </w:r>
      <w:r>
        <w:rPr>
          <w:rFonts w:ascii="Palatino Linotype" w:hAnsi="Palatino Linotype"/>
        </w:rPr>
        <w:t xml:space="preserve">arise as a result of site-hosts opting to own the </w:t>
      </w:r>
      <w:r w:rsidR="00C6524F">
        <w:rPr>
          <w:rFonts w:ascii="Palatino Linotype" w:hAnsi="Palatino Linotype"/>
        </w:rPr>
        <w:t>Electric Vehicle Supply Equipment</w:t>
      </w:r>
      <w:r>
        <w:rPr>
          <w:rFonts w:ascii="Palatino Linotype" w:hAnsi="Palatino Linotype"/>
        </w:rPr>
        <w:t xml:space="preserve">, Pacific Gas and Electric </w:t>
      </w:r>
      <w:r w:rsidR="00F91D5B">
        <w:rPr>
          <w:rFonts w:ascii="Palatino Linotype" w:hAnsi="Palatino Linotype"/>
        </w:rPr>
        <w:t xml:space="preserve">must </w:t>
      </w:r>
      <w:r w:rsidR="00051112">
        <w:rPr>
          <w:rFonts w:ascii="Palatino Linotype" w:hAnsi="Palatino Linotype"/>
        </w:rPr>
        <w:t>not modify their rebate amounts</w:t>
      </w:r>
      <w:r w:rsidR="000206AE">
        <w:rPr>
          <w:rFonts w:ascii="Palatino Linotype" w:hAnsi="Palatino Linotype"/>
        </w:rPr>
        <w:t>.</w:t>
      </w:r>
    </w:p>
    <w:p w:rsidR="000040B4" w:rsidP="000831F6" w:rsidRDefault="000040B4" w14:paraId="2344F37E" w14:textId="69818A93">
      <w:pPr>
        <w:pStyle w:val="ListParagraph"/>
        <w:numPr>
          <w:ilvl w:val="0"/>
          <w:numId w:val="7"/>
        </w:numPr>
        <w:rPr>
          <w:rFonts w:ascii="Palatino Linotype" w:hAnsi="Palatino Linotype"/>
        </w:rPr>
      </w:pPr>
      <w:r>
        <w:rPr>
          <w:rFonts w:ascii="Palatino Linotype" w:hAnsi="Palatino Linotype"/>
        </w:rPr>
        <w:t>San Diego Gas &amp; Electric</w:t>
      </w:r>
      <w:r w:rsidR="00166015">
        <w:rPr>
          <w:rFonts w:ascii="Palatino Linotype" w:hAnsi="Palatino Linotype"/>
        </w:rPr>
        <w:t>’s rebate</w:t>
      </w:r>
      <w:r>
        <w:rPr>
          <w:rFonts w:ascii="Palatino Linotype" w:hAnsi="Palatino Linotype"/>
        </w:rPr>
        <w:t xml:space="preserve"> </w:t>
      </w:r>
      <w:r w:rsidR="00F91D5B">
        <w:rPr>
          <w:rFonts w:ascii="Palatino Linotype" w:hAnsi="Palatino Linotype"/>
        </w:rPr>
        <w:t xml:space="preserve">must </w:t>
      </w:r>
      <w:r>
        <w:rPr>
          <w:rFonts w:ascii="Palatino Linotype" w:hAnsi="Palatino Linotype"/>
        </w:rPr>
        <w:t xml:space="preserve">not cover more than 100 percent of the Electric Vehicle </w:t>
      </w:r>
      <w:r w:rsidR="00C6524F">
        <w:rPr>
          <w:rFonts w:ascii="Palatino Linotype" w:hAnsi="Palatino Linotype"/>
        </w:rPr>
        <w:t xml:space="preserve">Supply </w:t>
      </w:r>
      <w:r>
        <w:rPr>
          <w:rFonts w:ascii="Palatino Linotype" w:hAnsi="Palatino Linotype"/>
        </w:rPr>
        <w:t>Equipment cost.</w:t>
      </w:r>
    </w:p>
    <w:p w:rsidRPr="006B047B" w:rsidR="00B16EE7" w:rsidP="00B16EE7" w:rsidRDefault="00B16EE7" w14:paraId="18C9E895" w14:textId="07ECB28D">
      <w:pPr>
        <w:pStyle w:val="ListParagraph"/>
        <w:numPr>
          <w:ilvl w:val="0"/>
          <w:numId w:val="7"/>
        </w:numPr>
        <w:rPr>
          <w:rFonts w:ascii="Palatino Linotype" w:hAnsi="Palatino Linotype"/>
        </w:rPr>
      </w:pPr>
      <w:r>
        <w:rPr>
          <w:rFonts w:ascii="Palatino Linotype" w:hAnsi="Palatino Linotype"/>
        </w:rPr>
        <w:t xml:space="preserve">San Diego Gas &amp; Electric </w:t>
      </w:r>
      <w:r w:rsidR="00F91D5B">
        <w:rPr>
          <w:rFonts w:ascii="Palatino Linotype" w:hAnsi="Palatino Linotype"/>
        </w:rPr>
        <w:t xml:space="preserve">must </w:t>
      </w:r>
      <w:r>
        <w:rPr>
          <w:rFonts w:ascii="Palatino Linotype" w:hAnsi="Palatino Linotype"/>
        </w:rPr>
        <w:t xml:space="preserve">cap rebates at the costs </w:t>
      </w:r>
      <w:r w:rsidRPr="006B047B">
        <w:rPr>
          <w:rFonts w:ascii="Palatino Linotype" w:hAnsi="Palatino Linotype"/>
        </w:rPr>
        <w:t xml:space="preserve">outlined in </w:t>
      </w:r>
      <w:r w:rsidRPr="00737B9B">
        <w:rPr>
          <w:rFonts w:ascii="Palatino Linotype" w:hAnsi="Palatino Linotype"/>
        </w:rPr>
        <w:fldChar w:fldCharType="begin"/>
      </w:r>
      <w:r w:rsidRPr="006B047B">
        <w:rPr>
          <w:rFonts w:ascii="Palatino Linotype" w:hAnsi="Palatino Linotype"/>
        </w:rPr>
        <w:instrText xml:space="preserve"> REF _Ref54190637 \h </w:instrText>
      </w:r>
      <w:r w:rsidR="006B047B">
        <w:rPr>
          <w:rFonts w:ascii="Palatino Linotype" w:hAnsi="Palatino Linotype"/>
        </w:rPr>
        <w:instrText xml:space="preserve"> \* MERGEFORMAT </w:instrText>
      </w:r>
      <w:r w:rsidRPr="00737B9B">
        <w:rPr>
          <w:rFonts w:ascii="Palatino Linotype" w:hAnsi="Palatino Linotype"/>
        </w:rPr>
      </w:r>
      <w:r w:rsidRPr="00737B9B">
        <w:rPr>
          <w:rFonts w:ascii="Palatino Linotype" w:hAnsi="Palatino Linotype"/>
        </w:rPr>
        <w:fldChar w:fldCharType="separate"/>
      </w:r>
      <w:r w:rsidRPr="00FF0700" w:rsidR="00FF0700">
        <w:rPr>
          <w:rFonts w:ascii="Palatino Linotype" w:hAnsi="Palatino Linotype"/>
        </w:rPr>
        <w:t xml:space="preserve">Table </w:t>
      </w:r>
      <w:r w:rsidRPr="00FF0700" w:rsidR="00FF0700">
        <w:rPr>
          <w:rFonts w:ascii="Palatino Linotype" w:hAnsi="Palatino Linotype"/>
          <w:noProof/>
        </w:rPr>
        <w:t>4</w:t>
      </w:r>
      <w:r w:rsidRPr="00737B9B">
        <w:rPr>
          <w:rFonts w:ascii="Palatino Linotype" w:hAnsi="Palatino Linotype"/>
        </w:rPr>
        <w:fldChar w:fldCharType="end"/>
      </w:r>
      <w:r w:rsidRPr="006B047B">
        <w:rPr>
          <w:rFonts w:ascii="Palatino Linotype" w:hAnsi="Palatino Linotype"/>
        </w:rPr>
        <w:t>.</w:t>
      </w:r>
    </w:p>
    <w:p w:rsidR="00CF6699" w:rsidP="000831F6" w:rsidRDefault="00910B9B" w14:paraId="1A0136A9" w14:textId="7C57D580">
      <w:pPr>
        <w:pStyle w:val="ListParagraph"/>
        <w:numPr>
          <w:ilvl w:val="0"/>
          <w:numId w:val="7"/>
        </w:numPr>
        <w:rPr>
          <w:rFonts w:ascii="Palatino Linotype" w:hAnsi="Palatino Linotype"/>
        </w:rPr>
      </w:pPr>
      <w:r>
        <w:rPr>
          <w:rFonts w:ascii="Palatino Linotype" w:hAnsi="Palatino Linotype"/>
        </w:rPr>
        <w:t xml:space="preserve">Pacific Gas and Electric, </w:t>
      </w:r>
      <w:r w:rsidR="00F933A6">
        <w:rPr>
          <w:rFonts w:ascii="Palatino Linotype" w:hAnsi="Palatino Linotype"/>
        </w:rPr>
        <w:t xml:space="preserve">Southern California Edison </w:t>
      </w:r>
      <w:r w:rsidR="00E9147E">
        <w:rPr>
          <w:rFonts w:ascii="Palatino Linotype" w:hAnsi="Palatino Linotype"/>
        </w:rPr>
        <w:t xml:space="preserve">and San Diego Gas &amp; Electric </w:t>
      </w:r>
      <w:r w:rsidR="00F91D5B">
        <w:rPr>
          <w:rFonts w:ascii="Palatino Linotype" w:hAnsi="Palatino Linotype"/>
        </w:rPr>
        <w:t xml:space="preserve">must </w:t>
      </w:r>
      <w:r w:rsidR="005B7A09">
        <w:rPr>
          <w:rFonts w:ascii="Palatino Linotype" w:hAnsi="Palatino Linotype"/>
        </w:rPr>
        <w:t>require customers opting for site-host ownership of the</w:t>
      </w:r>
      <w:r w:rsidR="00166015">
        <w:rPr>
          <w:rFonts w:ascii="Palatino Linotype" w:hAnsi="Palatino Linotype"/>
        </w:rPr>
        <w:t xml:space="preserve"> Electric Vehicle </w:t>
      </w:r>
      <w:r w:rsidR="00C60453">
        <w:rPr>
          <w:rFonts w:ascii="Palatino Linotype" w:hAnsi="Palatino Linotype"/>
        </w:rPr>
        <w:t>Supply</w:t>
      </w:r>
      <w:r w:rsidR="00166015">
        <w:rPr>
          <w:rFonts w:ascii="Palatino Linotype" w:hAnsi="Palatino Linotype"/>
        </w:rPr>
        <w:t xml:space="preserve"> Equipment </w:t>
      </w:r>
      <w:r w:rsidR="005B7A09">
        <w:rPr>
          <w:rFonts w:ascii="Palatino Linotype" w:hAnsi="Palatino Linotype"/>
        </w:rPr>
        <w:t xml:space="preserve">to submit </w:t>
      </w:r>
      <w:r w:rsidR="00AA019D">
        <w:rPr>
          <w:rFonts w:ascii="Palatino Linotype" w:hAnsi="Palatino Linotype"/>
        </w:rPr>
        <w:t>a copy of the</w:t>
      </w:r>
      <w:r w:rsidR="00C6524F">
        <w:rPr>
          <w:rFonts w:ascii="Palatino Linotype" w:hAnsi="Palatino Linotype"/>
        </w:rPr>
        <w:t xml:space="preserve"> </w:t>
      </w:r>
      <w:r w:rsidR="00C27656">
        <w:rPr>
          <w:rFonts w:ascii="Palatino Linotype" w:hAnsi="Palatino Linotype"/>
        </w:rPr>
        <w:t>paid</w:t>
      </w:r>
      <w:r w:rsidR="00AA019D">
        <w:rPr>
          <w:rFonts w:ascii="Palatino Linotype" w:hAnsi="Palatino Linotype"/>
        </w:rPr>
        <w:t xml:space="preserve"> </w:t>
      </w:r>
      <w:r w:rsidR="00ED256A">
        <w:rPr>
          <w:rFonts w:ascii="Palatino Linotype" w:hAnsi="Palatino Linotype"/>
        </w:rPr>
        <w:t>invoice</w:t>
      </w:r>
      <w:r w:rsidR="00C27656">
        <w:rPr>
          <w:rFonts w:ascii="Palatino Linotype" w:hAnsi="Palatino Linotype"/>
        </w:rPr>
        <w:t xml:space="preserve"> or service receipt</w:t>
      </w:r>
      <w:r w:rsidR="00ED256A">
        <w:rPr>
          <w:rFonts w:ascii="Palatino Linotype" w:hAnsi="Palatino Linotype"/>
        </w:rPr>
        <w:t xml:space="preserve">. The invoice </w:t>
      </w:r>
      <w:r w:rsidR="00C27656">
        <w:rPr>
          <w:rFonts w:ascii="Palatino Linotype" w:hAnsi="Palatino Linotype"/>
        </w:rPr>
        <w:t xml:space="preserve">or receipt </w:t>
      </w:r>
      <w:r w:rsidR="00ED256A">
        <w:rPr>
          <w:rFonts w:ascii="Palatino Linotype" w:hAnsi="Palatino Linotype"/>
        </w:rPr>
        <w:t>must</w:t>
      </w:r>
      <w:r w:rsidR="00AA019D">
        <w:rPr>
          <w:rFonts w:ascii="Palatino Linotype" w:hAnsi="Palatino Linotype"/>
        </w:rPr>
        <w:t xml:space="preserve"> outlin</w:t>
      </w:r>
      <w:r w:rsidR="00ED256A">
        <w:rPr>
          <w:rFonts w:ascii="Palatino Linotype" w:hAnsi="Palatino Linotype"/>
        </w:rPr>
        <w:t>e</w:t>
      </w:r>
      <w:r w:rsidR="00AA019D">
        <w:rPr>
          <w:rFonts w:ascii="Palatino Linotype" w:hAnsi="Palatino Linotype"/>
        </w:rPr>
        <w:t xml:space="preserve"> all maintenance and network service fees for the duration of the initial customer contract</w:t>
      </w:r>
      <w:r w:rsidR="007E770F">
        <w:rPr>
          <w:rFonts w:ascii="Palatino Linotype" w:hAnsi="Palatino Linotype"/>
        </w:rPr>
        <w:t xml:space="preserve"> to determine the initial rebate value for the maintenance and networking fees.</w:t>
      </w:r>
    </w:p>
    <w:p w:rsidRPr="004E7AF6" w:rsidR="007E770F" w:rsidP="000831F6" w:rsidRDefault="003275A9" w14:paraId="473B93C6" w14:textId="141B8E9A">
      <w:pPr>
        <w:pStyle w:val="ListParagraph"/>
        <w:numPr>
          <w:ilvl w:val="0"/>
          <w:numId w:val="7"/>
        </w:numPr>
        <w:rPr>
          <w:rFonts w:ascii="Palatino Linotype" w:hAnsi="Palatino Linotype"/>
        </w:rPr>
      </w:pPr>
      <w:r>
        <w:rPr>
          <w:rFonts w:ascii="Palatino Linotype" w:hAnsi="Palatino Linotype"/>
        </w:rPr>
        <w:lastRenderedPageBreak/>
        <w:t xml:space="preserve">Pacific Gas and Electric, </w:t>
      </w:r>
      <w:r w:rsidR="007E770F">
        <w:rPr>
          <w:rFonts w:ascii="Palatino Linotype" w:hAnsi="Palatino Linotype"/>
        </w:rPr>
        <w:t>Southern California Edison</w:t>
      </w:r>
      <w:r w:rsidR="00E9147E">
        <w:rPr>
          <w:rFonts w:ascii="Palatino Linotype" w:hAnsi="Palatino Linotype"/>
        </w:rPr>
        <w:t xml:space="preserve"> and San Diego Gas &amp; Electric</w:t>
      </w:r>
      <w:r w:rsidR="007E770F">
        <w:rPr>
          <w:rFonts w:ascii="Palatino Linotype" w:hAnsi="Palatino Linotype"/>
        </w:rPr>
        <w:t xml:space="preserve"> </w:t>
      </w:r>
      <w:r w:rsidR="00F91D5B">
        <w:rPr>
          <w:rFonts w:ascii="Palatino Linotype" w:hAnsi="Palatino Linotype"/>
        </w:rPr>
        <w:t xml:space="preserve">must </w:t>
      </w:r>
      <w:r w:rsidR="000040B4">
        <w:rPr>
          <w:rFonts w:ascii="Palatino Linotype" w:hAnsi="Palatino Linotype" w:cs="Calibri"/>
        </w:rPr>
        <w:t>modify their customer agreement</w:t>
      </w:r>
      <w:r w:rsidR="00AD14DB">
        <w:rPr>
          <w:rFonts w:ascii="Palatino Linotype" w:hAnsi="Palatino Linotype" w:cs="Calibri"/>
        </w:rPr>
        <w:t>s</w:t>
      </w:r>
      <w:r w:rsidR="000040B4">
        <w:rPr>
          <w:rFonts w:ascii="Palatino Linotype" w:hAnsi="Palatino Linotype" w:cs="Calibri"/>
        </w:rPr>
        <w:t xml:space="preserve"> to require all customers opting for ownership of the </w:t>
      </w:r>
      <w:r w:rsidR="007C2DA1">
        <w:rPr>
          <w:rFonts w:ascii="Palatino Linotype" w:hAnsi="Palatino Linotype" w:cs="Calibri"/>
        </w:rPr>
        <w:t>E</w:t>
      </w:r>
      <w:r w:rsidR="000040B4">
        <w:rPr>
          <w:rFonts w:ascii="Palatino Linotype" w:hAnsi="Palatino Linotype" w:cs="Calibri"/>
        </w:rPr>
        <w:t xml:space="preserve">lectric </w:t>
      </w:r>
      <w:r w:rsidR="007C2DA1">
        <w:rPr>
          <w:rFonts w:ascii="Palatino Linotype" w:hAnsi="Palatino Linotype" w:cs="Calibri"/>
        </w:rPr>
        <w:t>V</w:t>
      </w:r>
      <w:r w:rsidR="000040B4">
        <w:rPr>
          <w:rFonts w:ascii="Palatino Linotype" w:hAnsi="Palatino Linotype" w:cs="Calibri"/>
        </w:rPr>
        <w:t xml:space="preserve">ehicle </w:t>
      </w:r>
      <w:r w:rsidR="007C2DA1">
        <w:rPr>
          <w:rFonts w:ascii="Palatino Linotype" w:hAnsi="Palatino Linotype" w:cs="Calibri"/>
        </w:rPr>
        <w:t>Supply E</w:t>
      </w:r>
      <w:r w:rsidR="000040B4">
        <w:rPr>
          <w:rFonts w:ascii="Palatino Linotype" w:hAnsi="Palatino Linotype" w:cs="Calibri"/>
        </w:rPr>
        <w:t>quipment to submit</w:t>
      </w:r>
      <w:r w:rsidR="007C2DA1">
        <w:rPr>
          <w:rFonts w:ascii="Palatino Linotype" w:hAnsi="Palatino Linotype" w:cs="Calibri"/>
        </w:rPr>
        <w:t xml:space="preserve"> </w:t>
      </w:r>
      <w:r w:rsidR="007413E2">
        <w:rPr>
          <w:rFonts w:ascii="Palatino Linotype" w:hAnsi="Palatino Linotype" w:cs="Calibri"/>
        </w:rPr>
        <w:t>a</w:t>
      </w:r>
      <w:r w:rsidR="000040B4">
        <w:rPr>
          <w:rFonts w:ascii="Palatino Linotype" w:hAnsi="Palatino Linotype" w:cs="Calibri"/>
        </w:rPr>
        <w:t xml:space="preserve"> </w:t>
      </w:r>
      <w:r w:rsidR="00C27656">
        <w:rPr>
          <w:rFonts w:ascii="Palatino Linotype" w:hAnsi="Palatino Linotype" w:cs="Calibri"/>
        </w:rPr>
        <w:t>paid invoice or service receipt</w:t>
      </w:r>
      <w:r w:rsidR="004E7AF6">
        <w:rPr>
          <w:rFonts w:ascii="Palatino Linotype" w:hAnsi="Palatino Linotype" w:cs="Calibri"/>
        </w:rPr>
        <w:t xml:space="preserve"> for ongoing maintenance and networking costs</w:t>
      </w:r>
      <w:r w:rsidR="0017541D">
        <w:rPr>
          <w:rFonts w:ascii="Palatino Linotype" w:hAnsi="Palatino Linotype" w:cs="Calibri"/>
        </w:rPr>
        <w:t>,</w:t>
      </w:r>
      <w:r w:rsidR="007413E2">
        <w:rPr>
          <w:rFonts w:ascii="Palatino Linotype" w:hAnsi="Palatino Linotype" w:cs="Calibri"/>
        </w:rPr>
        <w:t xml:space="preserve"> biannually</w:t>
      </w:r>
      <w:r w:rsidR="0017541D">
        <w:rPr>
          <w:rFonts w:ascii="Palatino Linotype" w:hAnsi="Palatino Linotype" w:cs="Calibri"/>
        </w:rPr>
        <w:t>,</w:t>
      </w:r>
      <w:r w:rsidR="004E7AF6">
        <w:rPr>
          <w:rFonts w:ascii="Palatino Linotype" w:hAnsi="Palatino Linotype" w:cs="Calibri"/>
        </w:rPr>
        <w:t xml:space="preserve"> </w:t>
      </w:r>
      <w:r w:rsidR="00A770CE">
        <w:rPr>
          <w:rFonts w:ascii="Palatino Linotype" w:hAnsi="Palatino Linotype" w:cs="Calibri"/>
        </w:rPr>
        <w:t>throughout the duration of the pilot</w:t>
      </w:r>
      <w:r w:rsidR="004E7AF6">
        <w:rPr>
          <w:rFonts w:ascii="Palatino Linotype" w:hAnsi="Palatino Linotype" w:cs="Calibri"/>
        </w:rPr>
        <w:t>.</w:t>
      </w:r>
    </w:p>
    <w:p w:rsidRPr="003B1DB1" w:rsidR="000831F6" w:rsidP="000831F6" w:rsidRDefault="003275A9" w14:paraId="3D2EBB0D" w14:textId="4678C907">
      <w:pPr>
        <w:pStyle w:val="ListParagraph"/>
        <w:numPr>
          <w:ilvl w:val="0"/>
          <w:numId w:val="7"/>
        </w:numPr>
        <w:rPr>
          <w:rFonts w:ascii="Palatino Linotype" w:hAnsi="Palatino Linotype"/>
        </w:rPr>
      </w:pPr>
      <w:r>
        <w:rPr>
          <w:rFonts w:ascii="Palatino Linotype" w:hAnsi="Palatino Linotype" w:cs="Calibri"/>
        </w:rPr>
        <w:t xml:space="preserve">Pacific Gas and Electric, </w:t>
      </w:r>
      <w:r w:rsidR="004E7AF6">
        <w:rPr>
          <w:rFonts w:ascii="Palatino Linotype" w:hAnsi="Palatino Linotype" w:cs="Calibri"/>
        </w:rPr>
        <w:t xml:space="preserve">Southern California Edison </w:t>
      </w:r>
      <w:r w:rsidR="00E9147E">
        <w:rPr>
          <w:rFonts w:ascii="Palatino Linotype" w:hAnsi="Palatino Linotype" w:cs="Calibri"/>
        </w:rPr>
        <w:t xml:space="preserve">and San Diego Gas &amp; Electric </w:t>
      </w:r>
      <w:r w:rsidR="001564C1">
        <w:rPr>
          <w:rFonts w:ascii="Palatino Linotype" w:hAnsi="Palatino Linotype" w:cs="Calibri"/>
        </w:rPr>
        <w:t xml:space="preserve">must </w:t>
      </w:r>
      <w:r w:rsidR="002754DB">
        <w:rPr>
          <w:rFonts w:ascii="Palatino Linotype" w:hAnsi="Palatino Linotype" w:cs="Calibri"/>
        </w:rPr>
        <w:t xml:space="preserve">notify </w:t>
      </w:r>
      <w:r w:rsidR="00C6524F">
        <w:rPr>
          <w:rFonts w:ascii="Palatino Linotype" w:hAnsi="Palatino Linotype" w:cs="Calibri"/>
        </w:rPr>
        <w:t>all</w:t>
      </w:r>
      <w:r w:rsidR="00F91D5B">
        <w:rPr>
          <w:rFonts w:ascii="Palatino Linotype" w:hAnsi="Palatino Linotype" w:cs="Calibri"/>
        </w:rPr>
        <w:t xml:space="preserve"> </w:t>
      </w:r>
      <w:r w:rsidR="002754DB">
        <w:rPr>
          <w:rFonts w:ascii="Palatino Linotype" w:hAnsi="Palatino Linotype" w:cs="Calibri"/>
        </w:rPr>
        <w:t xml:space="preserve">qualified Electric Vehicle Service Providers that if instances of price manipulation are suspected, the Commission’s Energy Division will review the submitted paid invoices and sale receipts from </w:t>
      </w:r>
      <w:r w:rsidR="00A770CE">
        <w:rPr>
          <w:rFonts w:ascii="Palatino Linotype" w:hAnsi="Palatino Linotype" w:cs="Calibri"/>
        </w:rPr>
        <w:t xml:space="preserve">participating site-hosts that opt for </w:t>
      </w:r>
      <w:r w:rsidR="007C2DA1">
        <w:rPr>
          <w:rFonts w:ascii="Palatino Linotype" w:hAnsi="Palatino Linotype" w:cs="Calibri"/>
        </w:rPr>
        <w:t>E</w:t>
      </w:r>
      <w:r w:rsidR="00A770CE">
        <w:rPr>
          <w:rFonts w:ascii="Palatino Linotype" w:hAnsi="Palatino Linotype" w:cs="Calibri"/>
        </w:rPr>
        <w:t xml:space="preserve">lectric </w:t>
      </w:r>
      <w:r w:rsidR="007C2DA1">
        <w:rPr>
          <w:rFonts w:ascii="Palatino Linotype" w:hAnsi="Palatino Linotype" w:cs="Calibri"/>
        </w:rPr>
        <w:t>V</w:t>
      </w:r>
      <w:r w:rsidR="00A770CE">
        <w:rPr>
          <w:rFonts w:ascii="Palatino Linotype" w:hAnsi="Palatino Linotype" w:cs="Calibri"/>
        </w:rPr>
        <w:t xml:space="preserve">ehicle </w:t>
      </w:r>
      <w:r w:rsidR="007C2DA1">
        <w:rPr>
          <w:rFonts w:ascii="Palatino Linotype" w:hAnsi="Palatino Linotype" w:cs="Calibri"/>
        </w:rPr>
        <w:t>Supply E</w:t>
      </w:r>
      <w:r w:rsidR="00A770CE">
        <w:rPr>
          <w:rFonts w:ascii="Palatino Linotype" w:hAnsi="Palatino Linotype" w:cs="Calibri"/>
        </w:rPr>
        <w:t>quipment ownership</w:t>
      </w:r>
      <w:r w:rsidR="00131552">
        <w:rPr>
          <w:rFonts w:ascii="Palatino Linotype" w:hAnsi="Palatino Linotype" w:cs="Calibri"/>
        </w:rPr>
        <w:t>.</w:t>
      </w:r>
    </w:p>
    <w:p w:rsidRPr="003B1DB1" w:rsidR="003B1DB1" w:rsidP="003B1DB1" w:rsidRDefault="003B1DB1" w14:paraId="02407E11" w14:textId="77777777">
      <w:pPr>
        <w:pStyle w:val="ListParagraph"/>
        <w:ind w:left="360"/>
        <w:rPr>
          <w:rFonts w:ascii="Palatino Linotype" w:hAnsi="Palatino Linotype"/>
        </w:rPr>
      </w:pPr>
    </w:p>
    <w:p w:rsidR="00E5735F" w:rsidP="000831F6" w:rsidRDefault="00E5735F" w14:paraId="502CC8F9" w14:textId="77777777">
      <w:pPr>
        <w:rPr>
          <w:rFonts w:ascii="Palatino Linotype" w:hAnsi="Palatino Linotype"/>
        </w:rPr>
      </w:pPr>
    </w:p>
    <w:p w:rsidR="00E5735F" w:rsidP="000831F6" w:rsidRDefault="00E5735F" w14:paraId="2B8F0610" w14:textId="77777777">
      <w:pPr>
        <w:rPr>
          <w:rFonts w:ascii="Palatino Linotype" w:hAnsi="Palatino Linotype"/>
        </w:rPr>
      </w:pPr>
    </w:p>
    <w:p w:rsidR="00E5735F" w:rsidP="000831F6" w:rsidRDefault="00E5735F" w14:paraId="77FFCE9F" w14:textId="77777777">
      <w:pPr>
        <w:rPr>
          <w:rFonts w:ascii="Palatino Linotype" w:hAnsi="Palatino Linotype"/>
        </w:rPr>
      </w:pPr>
    </w:p>
    <w:p w:rsidR="00E5735F" w:rsidP="000831F6" w:rsidRDefault="00E5735F" w14:paraId="32496C45" w14:textId="77777777">
      <w:pPr>
        <w:rPr>
          <w:rFonts w:ascii="Palatino Linotype" w:hAnsi="Palatino Linotype"/>
        </w:rPr>
      </w:pPr>
    </w:p>
    <w:p w:rsidR="00E5735F" w:rsidP="000831F6" w:rsidRDefault="00E5735F" w14:paraId="28826D6E" w14:textId="77777777">
      <w:pPr>
        <w:rPr>
          <w:rFonts w:ascii="Palatino Linotype" w:hAnsi="Palatino Linotype"/>
        </w:rPr>
      </w:pPr>
    </w:p>
    <w:p w:rsidR="00E5735F" w:rsidP="000831F6" w:rsidRDefault="00E5735F" w14:paraId="36E2933B" w14:textId="77777777">
      <w:pPr>
        <w:rPr>
          <w:rFonts w:ascii="Palatino Linotype" w:hAnsi="Palatino Linotype"/>
        </w:rPr>
      </w:pPr>
    </w:p>
    <w:p w:rsidRPr="00B77DB1" w:rsidR="000831F6" w:rsidP="000831F6" w:rsidRDefault="000831F6" w14:paraId="593B7818" w14:textId="2EACD134">
      <w:pPr>
        <w:rPr>
          <w:rFonts w:ascii="Palatino Linotype" w:hAnsi="Palatino Linotype"/>
        </w:rPr>
      </w:pPr>
      <w:r w:rsidRPr="00B77DB1">
        <w:rPr>
          <w:rFonts w:ascii="Palatino Linotype" w:hAnsi="Palatino Linotype"/>
        </w:rPr>
        <w:t>This Resolution is effective today.</w:t>
      </w:r>
    </w:p>
    <w:p w:rsidR="000831F6" w:rsidP="000831F6" w:rsidRDefault="000831F6" w14:paraId="5FF36B4C" w14:textId="4B99F18E">
      <w:pPr>
        <w:rPr>
          <w:rFonts w:ascii="Palatino Linotype" w:hAnsi="Palatino Linotype"/>
        </w:rPr>
      </w:pPr>
      <w:r w:rsidRPr="00B77DB1">
        <w:rPr>
          <w:rFonts w:ascii="Palatino Linotype" w:hAnsi="Palatino Linotype"/>
        </w:rPr>
        <w:t xml:space="preserve">I certify that the foregoing resolution was duly introduced, passed, and adopted at a conference of the Public Utilities Commission of the State of California held on </w:t>
      </w:r>
      <w:r w:rsidR="00B43844">
        <w:rPr>
          <w:rFonts w:ascii="Palatino Linotype" w:hAnsi="Palatino Linotype"/>
          <w:b/>
          <w:bCs/>
        </w:rPr>
        <w:t>May 20, 2021</w:t>
      </w:r>
      <w:r w:rsidRPr="00B77DB1" w:rsidR="00B43844">
        <w:rPr>
          <w:rFonts w:ascii="Palatino Linotype" w:hAnsi="Palatino Linotype"/>
        </w:rPr>
        <w:t xml:space="preserve"> </w:t>
      </w:r>
      <w:r w:rsidRPr="00B77DB1">
        <w:rPr>
          <w:rFonts w:ascii="Palatino Linotype" w:hAnsi="Palatino Linotype"/>
        </w:rPr>
        <w:t>the following Commissioners voting favorably thereon:</w:t>
      </w:r>
    </w:p>
    <w:p w:rsidR="00940632" w:rsidP="000831F6" w:rsidRDefault="00940632" w14:paraId="0AB5FE39" w14:textId="02E6865C">
      <w:pPr>
        <w:rPr>
          <w:rFonts w:ascii="Palatino Linotype" w:hAnsi="Palatino Linotype"/>
        </w:rPr>
      </w:pPr>
    </w:p>
    <w:p w:rsidR="00940632" w:rsidP="000831F6" w:rsidRDefault="00940632" w14:paraId="60BD2CFE" w14:textId="5474079B">
      <w:pPr>
        <w:rPr>
          <w:rFonts w:ascii="Palatino Linotype" w:hAnsi="Palatino Linotype"/>
        </w:rPr>
      </w:pPr>
    </w:p>
    <w:p w:rsidR="00940632" w:rsidP="000831F6" w:rsidRDefault="00940632" w14:paraId="0254B568" w14:textId="06C00012">
      <w:pPr>
        <w:rPr>
          <w:rFonts w:ascii="Palatino Linotype" w:hAnsi="Palatino Linotype"/>
        </w:rPr>
      </w:pPr>
    </w:p>
    <w:p w:rsidR="00940632" w:rsidP="00940632" w:rsidRDefault="00940632" w14:paraId="402E1B80" w14:textId="77777777">
      <w:pPr>
        <w:tabs>
          <w:tab w:val="left" w:pos="720"/>
          <w:tab w:val="left" w:pos="1152"/>
          <w:tab w:val="left" w:pos="1728"/>
          <w:tab w:val="left" w:pos="3168"/>
          <w:tab w:val="left" w:pos="5040"/>
        </w:tabs>
        <w:ind w:right="144"/>
        <w:rPr>
          <w:rFonts w:ascii="Palatino Linotype" w:hAnsi="Palatino Linotype"/>
          <w:sz w:val="26"/>
          <w:szCs w:val="26"/>
        </w:rPr>
      </w:pPr>
      <w:r>
        <w:rPr>
          <w:rFonts w:ascii="Palatino Linotype" w:hAnsi="Palatino Linotype"/>
          <w:sz w:val="26"/>
          <w:szCs w:val="26"/>
        </w:rPr>
        <w:tab/>
      </w:r>
      <w:r>
        <w:rPr>
          <w:rFonts w:ascii="Palatino Linotype" w:hAnsi="Palatino Linotype"/>
          <w:sz w:val="26"/>
          <w:szCs w:val="26"/>
        </w:rPr>
        <w:tab/>
      </w:r>
      <w:r>
        <w:rPr>
          <w:rFonts w:ascii="Palatino Linotype" w:hAnsi="Palatino Linotype"/>
          <w:sz w:val="26"/>
          <w:szCs w:val="26"/>
        </w:rPr>
        <w:tab/>
      </w:r>
    </w:p>
    <w:p w:rsidRPr="000353F5" w:rsidR="000353F5" w:rsidP="000353F5" w:rsidRDefault="00940632" w14:paraId="59CCAA5B" w14:textId="51FDB169">
      <w:pPr>
        <w:tabs>
          <w:tab w:val="left" w:pos="720"/>
          <w:tab w:val="left" w:pos="1152"/>
          <w:tab w:val="left" w:pos="1728"/>
          <w:tab w:val="left" w:pos="3168"/>
          <w:tab w:val="left" w:pos="5040"/>
        </w:tabs>
        <w:ind w:right="144"/>
        <w:rPr>
          <w:rFonts w:ascii="Palatino Linotype" w:hAnsi="Palatino Linotype" w:eastAsia="Times New Roman" w:cs="Times New Roman"/>
          <w:sz w:val="26"/>
          <w:szCs w:val="26"/>
        </w:rPr>
      </w:pPr>
      <w:r>
        <w:rPr>
          <w:rFonts w:ascii="Palatino Linotype" w:hAnsi="Palatino Linotype"/>
          <w:sz w:val="26"/>
          <w:szCs w:val="26"/>
        </w:rPr>
        <w:tab/>
      </w:r>
      <w:r>
        <w:rPr>
          <w:rFonts w:ascii="Palatino Linotype" w:hAnsi="Palatino Linotype"/>
          <w:sz w:val="26"/>
          <w:szCs w:val="26"/>
        </w:rPr>
        <w:tab/>
      </w:r>
      <w:r>
        <w:rPr>
          <w:rFonts w:ascii="Palatino Linotype" w:hAnsi="Palatino Linotype"/>
          <w:sz w:val="26"/>
          <w:szCs w:val="26"/>
        </w:rPr>
        <w:tab/>
      </w:r>
      <w:r w:rsidR="00397D98">
        <w:rPr>
          <w:rFonts w:ascii="Palatino Linotype" w:hAnsi="Palatino Linotype"/>
          <w:sz w:val="26"/>
          <w:szCs w:val="26"/>
        </w:rPr>
        <w:t xml:space="preserve">                                                          </w:t>
      </w:r>
      <w:r w:rsidRPr="000353F5" w:rsidR="000353F5">
        <w:rPr>
          <w:rFonts w:ascii="Palatino Linotype" w:hAnsi="Palatino Linotype" w:eastAsia="Times New Roman" w:cs="Times New Roman"/>
          <w:sz w:val="26"/>
          <w:szCs w:val="26"/>
        </w:rPr>
        <w:t>_____________________</w:t>
      </w:r>
    </w:p>
    <w:p w:rsidRPr="000353F5" w:rsidR="000353F5" w:rsidP="000353F5" w:rsidRDefault="000353F5" w14:paraId="1BB0468B" w14:textId="7379599C">
      <w:pPr>
        <w:spacing w:after="0" w:line="240" w:lineRule="auto"/>
        <w:rPr>
          <w:rFonts w:ascii="Palatino Linotype" w:hAnsi="Palatino Linotype" w:eastAsia="Times New Roman" w:cs="Times New Roman"/>
          <w:sz w:val="26"/>
          <w:szCs w:val="26"/>
        </w:rPr>
      </w:pPr>
      <w:r w:rsidRPr="000353F5">
        <w:rPr>
          <w:rFonts w:ascii="Palatino Linotype" w:hAnsi="Palatino Linotype" w:eastAsia="Times New Roman" w:cs="Times New Roman"/>
          <w:sz w:val="26"/>
          <w:szCs w:val="26"/>
        </w:rPr>
        <w:tab/>
      </w:r>
      <w:r w:rsidRPr="000353F5">
        <w:rPr>
          <w:rFonts w:ascii="Palatino Linotype" w:hAnsi="Palatino Linotype" w:eastAsia="Times New Roman" w:cs="Times New Roman"/>
          <w:sz w:val="26"/>
          <w:szCs w:val="26"/>
        </w:rPr>
        <w:tab/>
      </w:r>
      <w:r w:rsidRPr="000353F5">
        <w:rPr>
          <w:rFonts w:ascii="Palatino Linotype" w:hAnsi="Palatino Linotype" w:eastAsia="Times New Roman" w:cs="Times New Roman"/>
          <w:sz w:val="26"/>
          <w:szCs w:val="26"/>
        </w:rPr>
        <w:tab/>
      </w:r>
      <w:r w:rsidRPr="000353F5">
        <w:rPr>
          <w:rFonts w:ascii="Palatino Linotype" w:hAnsi="Palatino Linotype" w:eastAsia="Times New Roman" w:cs="Times New Roman"/>
          <w:sz w:val="26"/>
          <w:szCs w:val="26"/>
        </w:rPr>
        <w:tab/>
      </w:r>
      <w:r w:rsidRPr="000353F5">
        <w:rPr>
          <w:rFonts w:ascii="Palatino Linotype" w:hAnsi="Palatino Linotype" w:eastAsia="Times New Roman" w:cs="Times New Roman"/>
          <w:sz w:val="26"/>
          <w:szCs w:val="26"/>
        </w:rPr>
        <w:tab/>
      </w:r>
      <w:r w:rsidRPr="000353F5">
        <w:rPr>
          <w:rFonts w:ascii="Palatino Linotype" w:hAnsi="Palatino Linotype" w:eastAsia="Times New Roman" w:cs="Times New Roman"/>
          <w:sz w:val="26"/>
          <w:szCs w:val="26"/>
        </w:rPr>
        <w:tab/>
      </w:r>
      <w:r w:rsidRPr="000353F5">
        <w:rPr>
          <w:rFonts w:ascii="Palatino Linotype" w:hAnsi="Palatino Linotype" w:eastAsia="Times New Roman" w:cs="Times New Roman"/>
          <w:sz w:val="26"/>
          <w:szCs w:val="26"/>
        </w:rPr>
        <w:tab/>
      </w:r>
      <w:r w:rsidRPr="000353F5">
        <w:rPr>
          <w:rFonts w:ascii="Palatino Linotype" w:hAnsi="Palatino Linotype" w:eastAsia="Times New Roman" w:cs="Times New Roman"/>
          <w:sz w:val="26"/>
          <w:szCs w:val="26"/>
        </w:rPr>
        <w:tab/>
      </w:r>
      <w:r w:rsidR="00C634AF">
        <w:rPr>
          <w:rFonts w:ascii="Palatino Linotype" w:hAnsi="Palatino Linotype" w:eastAsia="Times New Roman" w:cs="Times New Roman"/>
          <w:sz w:val="26"/>
          <w:szCs w:val="26"/>
        </w:rPr>
        <w:t>Rachel Peterson</w:t>
      </w:r>
    </w:p>
    <w:p w:rsidRPr="00B77DB1" w:rsidR="00940632" w:rsidP="00742C48" w:rsidRDefault="000353F5" w14:paraId="4F3E7FA3" w14:textId="6EBFA30D">
      <w:pPr>
        <w:spacing w:after="0" w:line="240" w:lineRule="auto"/>
        <w:rPr>
          <w:rFonts w:ascii="Palatino Linotype" w:hAnsi="Palatino Linotype"/>
        </w:rPr>
      </w:pPr>
      <w:r w:rsidRPr="000353F5">
        <w:rPr>
          <w:rFonts w:ascii="Palatino Linotype" w:hAnsi="Palatino Linotype" w:eastAsia="Times New Roman" w:cs="Times New Roman"/>
          <w:sz w:val="26"/>
          <w:szCs w:val="26"/>
        </w:rPr>
        <w:tab/>
      </w:r>
      <w:r w:rsidRPr="000353F5">
        <w:rPr>
          <w:rFonts w:ascii="Palatino Linotype" w:hAnsi="Palatino Linotype" w:eastAsia="Times New Roman" w:cs="Times New Roman"/>
          <w:sz w:val="26"/>
          <w:szCs w:val="26"/>
        </w:rPr>
        <w:tab/>
      </w:r>
      <w:r w:rsidRPr="000353F5">
        <w:rPr>
          <w:rFonts w:ascii="Palatino Linotype" w:hAnsi="Palatino Linotype" w:eastAsia="Times New Roman" w:cs="Times New Roman"/>
          <w:sz w:val="26"/>
          <w:szCs w:val="26"/>
        </w:rPr>
        <w:tab/>
      </w:r>
      <w:r w:rsidRPr="000353F5">
        <w:rPr>
          <w:rFonts w:ascii="Palatino Linotype" w:hAnsi="Palatino Linotype" w:eastAsia="Times New Roman" w:cs="Times New Roman"/>
          <w:sz w:val="26"/>
          <w:szCs w:val="26"/>
        </w:rPr>
        <w:tab/>
      </w:r>
      <w:r w:rsidRPr="000353F5">
        <w:rPr>
          <w:rFonts w:ascii="Palatino Linotype" w:hAnsi="Palatino Linotype" w:eastAsia="Times New Roman" w:cs="Times New Roman"/>
          <w:sz w:val="26"/>
          <w:szCs w:val="26"/>
        </w:rPr>
        <w:tab/>
      </w:r>
      <w:r w:rsidRPr="000353F5">
        <w:rPr>
          <w:rFonts w:ascii="Palatino Linotype" w:hAnsi="Palatino Linotype" w:eastAsia="Times New Roman" w:cs="Times New Roman"/>
          <w:sz w:val="26"/>
          <w:szCs w:val="26"/>
        </w:rPr>
        <w:tab/>
      </w:r>
      <w:r w:rsidRPr="000353F5">
        <w:rPr>
          <w:rFonts w:ascii="Palatino Linotype" w:hAnsi="Palatino Linotype" w:eastAsia="Times New Roman" w:cs="Times New Roman"/>
          <w:sz w:val="26"/>
          <w:szCs w:val="26"/>
        </w:rPr>
        <w:tab/>
      </w:r>
      <w:r w:rsidRPr="000353F5">
        <w:rPr>
          <w:rFonts w:ascii="Palatino Linotype" w:hAnsi="Palatino Linotype" w:eastAsia="Times New Roman" w:cs="Times New Roman"/>
          <w:sz w:val="26"/>
          <w:szCs w:val="26"/>
        </w:rPr>
        <w:tab/>
      </w:r>
      <w:r w:rsidRPr="00960D5B">
        <w:rPr>
          <w:rFonts w:ascii="Palatino Linotype" w:hAnsi="Palatino Linotype" w:eastAsia="Times New Roman" w:cs="Times New Roman"/>
          <w:sz w:val="26"/>
          <w:szCs w:val="26"/>
        </w:rPr>
        <w:t>Executive Directo</w:t>
      </w:r>
      <w:r w:rsidRPr="00960D5B" w:rsidR="00F05E66">
        <w:rPr>
          <w:rFonts w:ascii="Palatino Linotype" w:hAnsi="Palatino Linotype" w:eastAsia="Times New Roman" w:cs="Times New Roman"/>
          <w:sz w:val="26"/>
          <w:szCs w:val="26"/>
        </w:rPr>
        <w:t>r</w:t>
      </w:r>
    </w:p>
    <w:sectPr w:rsidRPr="00B77DB1" w:rsidR="00940632" w:rsidSect="00475C0E">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0CE7F" w14:textId="77777777" w:rsidR="006E6B51" w:rsidRDefault="006E6B51" w:rsidP="00CA4AB6">
      <w:pPr>
        <w:spacing w:after="0" w:line="240" w:lineRule="auto"/>
      </w:pPr>
      <w:r>
        <w:separator/>
      </w:r>
    </w:p>
  </w:endnote>
  <w:endnote w:type="continuationSeparator" w:id="0">
    <w:p w14:paraId="431FE7B4" w14:textId="77777777" w:rsidR="006E6B51" w:rsidRDefault="006E6B51" w:rsidP="00CA4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ook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293328"/>
      <w:docPartObj>
        <w:docPartGallery w:val="Page Numbers (Bottom of Page)"/>
        <w:docPartUnique/>
      </w:docPartObj>
    </w:sdtPr>
    <w:sdtEndPr>
      <w:rPr>
        <w:noProof/>
      </w:rPr>
    </w:sdtEndPr>
    <w:sdtContent>
      <w:p w14:paraId="687C6635" w14:textId="06B9915B" w:rsidR="00475C0E" w:rsidRDefault="00475C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E94805" w14:textId="1FBB1E0C" w:rsidR="00475C0E" w:rsidRDefault="00475C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BA41" w14:textId="3452E103" w:rsidR="00475C0E" w:rsidRDefault="00A656B1">
    <w:pPr>
      <w:pStyle w:val="Footer"/>
    </w:pPr>
    <w:r w:rsidRPr="00A656B1">
      <w:rPr>
        <w:rFonts w:ascii="Palatino Linotype" w:hAnsi="Palatino Linotype"/>
      </w:rPr>
      <w:t>378034411</w:t>
    </w:r>
    <w:r w:rsidR="00475C0E">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7E47B" w14:textId="77777777" w:rsidR="006E6B51" w:rsidRDefault="006E6B51" w:rsidP="00CA4AB6">
      <w:pPr>
        <w:spacing w:after="0" w:line="240" w:lineRule="auto"/>
      </w:pPr>
      <w:r>
        <w:separator/>
      </w:r>
    </w:p>
  </w:footnote>
  <w:footnote w:type="continuationSeparator" w:id="0">
    <w:p w14:paraId="3253856C" w14:textId="77777777" w:rsidR="006E6B51" w:rsidRDefault="006E6B51" w:rsidP="00CA4AB6">
      <w:pPr>
        <w:spacing w:after="0" w:line="240" w:lineRule="auto"/>
      </w:pPr>
      <w:r>
        <w:continuationSeparator/>
      </w:r>
    </w:p>
  </w:footnote>
  <w:footnote w:id="1">
    <w:p w14:paraId="5CAEB870" w14:textId="15EF7D2B" w:rsidR="00C60453" w:rsidRDefault="00C60453" w:rsidP="005A6DBD">
      <w:pPr>
        <w:pStyle w:val="FootnoteText"/>
      </w:pPr>
      <w:r>
        <w:rPr>
          <w:rStyle w:val="FootnoteReference"/>
        </w:rPr>
        <w:footnoteRef/>
      </w:r>
      <w:r>
        <w:t xml:space="preserve"> D.19-11-017 approved a total of $54.5 million for PG&amp;E, SCE, SDG&amp;E, and Liberty to implement similar TE pilot programs in pursuant to AB 1082 (schools) and AB 1083 (parks).  </w:t>
      </w:r>
    </w:p>
  </w:footnote>
  <w:footnote w:id="2">
    <w:p w14:paraId="44F652CB" w14:textId="38FF0874" w:rsidR="00C60453" w:rsidRDefault="00C60453">
      <w:pPr>
        <w:pStyle w:val="FootnoteText"/>
      </w:pPr>
      <w:r>
        <w:rPr>
          <w:rStyle w:val="FootnoteReference"/>
        </w:rPr>
        <w:footnoteRef/>
      </w:r>
      <w:r>
        <w:t xml:space="preserve"> </w:t>
      </w:r>
      <w:r w:rsidR="00BD7EA7">
        <w:t>The analysis assumed the expected life of EVSE is e</w:t>
      </w:r>
      <w:r>
        <w:t>ight years</w:t>
      </w:r>
      <w:r w:rsidR="00BD7EA7">
        <w:t>.</w:t>
      </w:r>
    </w:p>
  </w:footnote>
  <w:footnote w:id="3">
    <w:p w14:paraId="00D1C48E" w14:textId="3EEA785F" w:rsidR="00C60453" w:rsidRDefault="00C60453">
      <w:pPr>
        <w:pStyle w:val="FootnoteText"/>
      </w:pPr>
      <w:r>
        <w:rPr>
          <w:rStyle w:val="FootnoteReference"/>
        </w:rPr>
        <w:footnoteRef/>
      </w:r>
      <w:r>
        <w:t xml:space="preserve"> Assuming the average site has two EVSE ports installed, as D.19-11-017 encouraged the IOUs to install at least two ports per site. </w:t>
      </w:r>
    </w:p>
  </w:footnote>
  <w:footnote w:id="4">
    <w:p w14:paraId="30CE0225" w14:textId="2AF4148C" w:rsidR="00C60453" w:rsidRDefault="00C60453">
      <w:pPr>
        <w:pStyle w:val="FootnoteText"/>
      </w:pPr>
      <w:r>
        <w:rPr>
          <w:rStyle w:val="FootnoteReference"/>
        </w:rPr>
        <w:footnoteRef/>
      </w:r>
      <w:r>
        <w:t xml:space="preserve"> </w:t>
      </w:r>
      <w:r w:rsidR="00473F2F">
        <w:t xml:space="preserve">The participation fee assumed a cost of </w:t>
      </w:r>
      <w:r>
        <w:t>$1,818 per port</w:t>
      </w:r>
      <w:r w:rsidR="00473F2F">
        <w:t xml:space="preserve"> and a</w:t>
      </w:r>
      <w:r>
        <w:t xml:space="preserve"> minimum</w:t>
      </w:r>
      <w:r w:rsidR="00473F2F">
        <w:t xml:space="preserve"> of</w:t>
      </w:r>
      <w:r>
        <w:t xml:space="preserve"> two ports per site.</w:t>
      </w:r>
    </w:p>
  </w:footnote>
  <w:footnote w:id="5">
    <w:p w14:paraId="5F432B61" w14:textId="205EBDF8" w:rsidR="00C60453" w:rsidRDefault="00C60453">
      <w:pPr>
        <w:pStyle w:val="FootnoteText"/>
      </w:pPr>
      <w:r>
        <w:rPr>
          <w:rStyle w:val="FootnoteReference"/>
        </w:rPr>
        <w:footnoteRef/>
      </w:r>
      <w:r>
        <w:t xml:space="preserve"> From PG&amp;E’s AB 1082 program workpapers, the estimate cost for maintenance and networking fees is $542 per port per year. </w:t>
      </w:r>
    </w:p>
  </w:footnote>
  <w:footnote w:id="6">
    <w:p w14:paraId="17A8EF25" w14:textId="2DAF5B74" w:rsidR="00C60453" w:rsidRDefault="00C60453">
      <w:pPr>
        <w:pStyle w:val="FootnoteText"/>
      </w:pPr>
      <w:r>
        <w:rPr>
          <w:rStyle w:val="FootnoteReference"/>
        </w:rPr>
        <w:footnoteRef/>
      </w:r>
      <w:r>
        <w:t xml:space="preserve"> PG&amp;E Testimony at 27-30</w:t>
      </w:r>
      <w:r w:rsidR="00473F2F">
        <w:t>.</w:t>
      </w:r>
    </w:p>
  </w:footnote>
  <w:footnote w:id="7">
    <w:p w14:paraId="1A8AD2B9" w14:textId="3B544D4E" w:rsidR="00C60453" w:rsidRDefault="00C60453">
      <w:pPr>
        <w:pStyle w:val="FootnoteText"/>
      </w:pPr>
      <w:r>
        <w:rPr>
          <w:rStyle w:val="FootnoteReference"/>
        </w:rPr>
        <w:footnoteRef/>
      </w:r>
      <w:r>
        <w:t xml:space="preserve"> See D.19-11-017 at 46</w:t>
      </w:r>
      <w:r w:rsidR="00473F2F">
        <w:t>.</w:t>
      </w:r>
    </w:p>
  </w:footnote>
  <w:footnote w:id="8">
    <w:p w14:paraId="3A4AD15B" w14:textId="2C266CD9" w:rsidR="00C60453" w:rsidRDefault="00C60453">
      <w:pPr>
        <w:pStyle w:val="FootnoteText"/>
      </w:pPr>
      <w:r>
        <w:rPr>
          <w:rStyle w:val="FootnoteReference"/>
        </w:rPr>
        <w:footnoteRef/>
      </w:r>
      <w:r>
        <w:t xml:space="preserve"> See </w:t>
      </w:r>
      <w:r w:rsidRPr="00473F2F">
        <w:t xml:space="preserve">OP 26, </w:t>
      </w:r>
      <w:r w:rsidRPr="00742C48">
        <w:rPr>
          <w:bCs/>
        </w:rPr>
        <w:t>D.19-11-017</w:t>
      </w:r>
      <w:r w:rsidR="00473F2F" w:rsidRPr="00742C48">
        <w:rPr>
          <w:bCs/>
        </w:rPr>
        <w:t>.</w:t>
      </w:r>
    </w:p>
  </w:footnote>
  <w:footnote w:id="9">
    <w:p w14:paraId="6F24ECD0" w14:textId="4DAF7773" w:rsidR="00C60453" w:rsidRDefault="00C60453">
      <w:pPr>
        <w:pStyle w:val="FootnoteText"/>
      </w:pPr>
      <w:r>
        <w:rPr>
          <w:rStyle w:val="FootnoteReference"/>
        </w:rPr>
        <w:footnoteRef/>
      </w:r>
      <w:r>
        <w:t xml:space="preserve"> SDG&amp;E launched their RFQ to qualify EVSEs for its Schools Pilot Program and Parks Pilot Program in March 2020. The RFQ sought to obtain market pricing to inform SDG&amp;E’s design of the EVSE rebate value.</w:t>
      </w:r>
    </w:p>
  </w:footnote>
  <w:footnote w:id="10">
    <w:p w14:paraId="0E6CEA40" w14:textId="77777777" w:rsidR="00C60453" w:rsidRDefault="00C60453" w:rsidP="00F91D5B">
      <w:pPr>
        <w:pStyle w:val="FootnoteText"/>
      </w:pPr>
      <w:r>
        <w:rPr>
          <w:rStyle w:val="FootnoteReference"/>
        </w:rPr>
        <w:footnoteRef/>
      </w:r>
      <w:r>
        <w:t xml:space="preserve"> EVSPs have not shared maintenance fee costs for customer owned equipment with the CPUC, CEC, or IOUs. They assert the information that goes into developing these costs are proprietary and publicly sharing the inputs that determine the costs could risk sharing privacy information important to the EVSPs business information.</w:t>
      </w:r>
    </w:p>
  </w:footnote>
  <w:footnote w:id="11">
    <w:p w14:paraId="1310B947" w14:textId="6723B29B" w:rsidR="00C60453" w:rsidRDefault="00C60453">
      <w:pPr>
        <w:pStyle w:val="FootnoteText"/>
      </w:pPr>
      <w:r>
        <w:rPr>
          <w:rStyle w:val="FootnoteReference"/>
        </w:rPr>
        <w:footnoteRef/>
      </w:r>
      <w:r>
        <w:t xml:space="preserve"> The California Energy Commission’s </w:t>
      </w:r>
      <w:proofErr w:type="spellStart"/>
      <w:r>
        <w:t>CALeVIP</w:t>
      </w:r>
      <w:proofErr w:type="spellEnd"/>
      <w:r>
        <w:t xml:space="preserve"> program supports local efforts to install EV charging infrastructure. These </w:t>
      </w:r>
      <w:proofErr w:type="spellStart"/>
      <w:r>
        <w:t>CALeVIP</w:t>
      </w:r>
      <w:proofErr w:type="spellEnd"/>
      <w:r>
        <w:t xml:space="preserve"> supported projects provides rebates of between $5,000-$7,500 for a L2 port and up to $80,000 for DCFC. More information on the </w:t>
      </w:r>
      <w:proofErr w:type="spellStart"/>
      <w:r>
        <w:t>CALeVIP</w:t>
      </w:r>
      <w:proofErr w:type="spellEnd"/>
      <w:r>
        <w:t xml:space="preserve"> supported projects can be found at </w:t>
      </w:r>
      <w:hyperlink r:id="rId1" w:history="1">
        <w:r w:rsidRPr="00A9463C">
          <w:rPr>
            <w:rStyle w:val="Hyperlink"/>
          </w:rPr>
          <w:t>https://calevip.org/find-project</w:t>
        </w:r>
      </w:hyperlink>
      <w:r w:rsidR="00C479BF">
        <w:rPr>
          <w:rStyle w:val="Hyperlink"/>
        </w:rPr>
        <w:t>.</w:t>
      </w:r>
      <w:r>
        <w:t xml:space="preserve"> </w:t>
      </w:r>
    </w:p>
  </w:footnote>
  <w:footnote w:id="12">
    <w:p w14:paraId="2817F227" w14:textId="339D6354" w:rsidR="00C60453" w:rsidRDefault="00C60453">
      <w:pPr>
        <w:pStyle w:val="FootnoteText"/>
      </w:pPr>
      <w:r>
        <w:rPr>
          <w:rStyle w:val="FootnoteReference"/>
        </w:rPr>
        <w:footnoteRef/>
      </w:r>
      <w:r>
        <w:t xml:space="preserve"> See SCE AL 4286-E at 4</w:t>
      </w:r>
      <w:r w:rsidR="00C479BF">
        <w:t>.</w:t>
      </w:r>
    </w:p>
  </w:footnote>
  <w:footnote w:id="13">
    <w:p w14:paraId="72B04CD6" w14:textId="1726517F" w:rsidR="00C60453" w:rsidRDefault="00C60453">
      <w:pPr>
        <w:pStyle w:val="FootnoteText"/>
      </w:pPr>
      <w:r>
        <w:rPr>
          <w:rStyle w:val="FootnoteReference"/>
        </w:rPr>
        <w:footnoteRef/>
      </w:r>
      <w:r>
        <w:t xml:space="preserve"> D.19-08-026</w:t>
      </w:r>
      <w:r w:rsidR="006B047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4342" w14:textId="0CC0DB78" w:rsidR="00C60453" w:rsidRPr="0003738D" w:rsidRDefault="00C60453" w:rsidP="0003738D">
    <w:pPr>
      <w:pStyle w:val="Header"/>
      <w:rPr>
        <w:rFonts w:ascii="Palatino Linotype" w:hAnsi="Palatino Linotype"/>
        <w:sz w:val="24"/>
        <w:szCs w:val="24"/>
      </w:rPr>
    </w:pPr>
    <w:r w:rsidRPr="0003738D">
      <w:rPr>
        <w:rFonts w:ascii="Palatino Linotype" w:hAnsi="Palatino Linotype"/>
        <w:sz w:val="24"/>
        <w:szCs w:val="24"/>
      </w:rPr>
      <w:t>Resolution E-</w:t>
    </w:r>
    <w:r>
      <w:rPr>
        <w:rFonts w:ascii="Palatino Linotype" w:hAnsi="Palatino Linotype"/>
        <w:sz w:val="24"/>
        <w:szCs w:val="24"/>
      </w:rPr>
      <w:t>5</w:t>
    </w:r>
    <w:r w:rsidR="00173E8B">
      <w:rPr>
        <w:rFonts w:ascii="Palatino Linotype" w:hAnsi="Palatino Linotype"/>
        <w:sz w:val="24"/>
        <w:szCs w:val="24"/>
      </w:rPr>
      <w:t>147</w:t>
    </w:r>
    <w:r w:rsidRPr="0003738D">
      <w:rPr>
        <w:rFonts w:ascii="Palatino Linotype" w:hAnsi="Palatino Linotype"/>
        <w:sz w:val="24"/>
        <w:szCs w:val="24"/>
      </w:rPr>
      <w:tab/>
    </w:r>
    <w:bookmarkStart w:id="8" w:name="_Hlk69372717"/>
    <w:r w:rsidRPr="0003738D">
      <w:rPr>
        <w:rFonts w:ascii="Palatino Linotype" w:hAnsi="Palatino Linotype"/>
        <w:sz w:val="24"/>
        <w:szCs w:val="24"/>
      </w:rPr>
      <w:t>DRAFT</w:t>
    </w:r>
    <w:bookmarkEnd w:id="8"/>
    <w:r w:rsidRPr="0003738D">
      <w:rPr>
        <w:rFonts w:ascii="Palatino Linotype" w:hAnsi="Palatino Linotype"/>
        <w:sz w:val="24"/>
        <w:szCs w:val="24"/>
      </w:rPr>
      <w:tab/>
    </w:r>
    <w:r w:rsidR="00E5735F">
      <w:rPr>
        <w:rFonts w:ascii="Palatino Linotype" w:hAnsi="Palatino Linotype"/>
        <w:sz w:val="24"/>
        <w:szCs w:val="24"/>
      </w:rPr>
      <w:t>May 20, 2021</w:t>
    </w:r>
  </w:p>
  <w:p w14:paraId="2AA41A5D" w14:textId="6465469D" w:rsidR="00C60453" w:rsidRPr="0003738D" w:rsidRDefault="00173E8B" w:rsidP="0003738D">
    <w:pPr>
      <w:pStyle w:val="Header"/>
      <w:rPr>
        <w:rFonts w:ascii="Palatino Linotype" w:hAnsi="Palatino Linotype"/>
        <w:sz w:val="24"/>
        <w:szCs w:val="24"/>
      </w:rPr>
    </w:pPr>
    <w:r>
      <w:rPr>
        <w:rFonts w:ascii="Palatino Linotype" w:hAnsi="Palatino Linotype"/>
        <w:sz w:val="24"/>
        <w:szCs w:val="24"/>
      </w:rPr>
      <w:t xml:space="preserve">PG&amp;E AL 5993-E, SCE AL 4286-E, and </w:t>
    </w:r>
    <w:r w:rsidR="00C60453" w:rsidRPr="0003738D">
      <w:rPr>
        <w:rFonts w:ascii="Palatino Linotype" w:hAnsi="Palatino Linotype"/>
        <w:sz w:val="24"/>
        <w:szCs w:val="24"/>
      </w:rPr>
      <w:t xml:space="preserve">SDG&amp;E AL </w:t>
    </w:r>
    <w:r w:rsidR="00E5735F">
      <w:rPr>
        <w:rFonts w:ascii="Palatino Linotype" w:hAnsi="Palatino Linotype"/>
        <w:sz w:val="24"/>
        <w:szCs w:val="24"/>
      </w:rPr>
      <w:t>3551</w:t>
    </w:r>
    <w:r w:rsidR="00C60453" w:rsidRPr="0003738D">
      <w:rPr>
        <w:rFonts w:ascii="Palatino Linotype" w:hAnsi="Palatino Linotype"/>
        <w:sz w:val="24"/>
        <w:szCs w:val="24"/>
      </w:rPr>
      <w:t>-E</w:t>
    </w:r>
  </w:p>
  <w:p w14:paraId="36A38A47" w14:textId="77777777" w:rsidR="00C60453" w:rsidRDefault="00C604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A5E59" w14:textId="26A09111" w:rsidR="00475C0E" w:rsidRDefault="00475C0E">
    <w:pPr>
      <w:pStyle w:val="Header"/>
    </w:pPr>
    <w:r>
      <w:tab/>
    </w:r>
    <w:r w:rsidR="00FF0700" w:rsidRPr="0003738D">
      <w:rPr>
        <w:rFonts w:ascii="Palatino Linotype" w:hAnsi="Palatino Linotype"/>
        <w:sz w:val="24"/>
        <w:szCs w:val="24"/>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8A3"/>
    <w:multiLevelType w:val="hybridMultilevel"/>
    <w:tmpl w:val="5976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C0397"/>
    <w:multiLevelType w:val="hybridMultilevel"/>
    <w:tmpl w:val="00B2ED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F8414F"/>
    <w:multiLevelType w:val="hybridMultilevel"/>
    <w:tmpl w:val="A19EBC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9DE51BA"/>
    <w:multiLevelType w:val="hybridMultilevel"/>
    <w:tmpl w:val="13A03D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D47994"/>
    <w:multiLevelType w:val="hybridMultilevel"/>
    <w:tmpl w:val="0C824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24836"/>
    <w:multiLevelType w:val="hybridMultilevel"/>
    <w:tmpl w:val="1976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01583"/>
    <w:multiLevelType w:val="hybridMultilevel"/>
    <w:tmpl w:val="B06CA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36DD6"/>
    <w:multiLevelType w:val="hybridMultilevel"/>
    <w:tmpl w:val="D61CAC00"/>
    <w:lvl w:ilvl="0" w:tplc="8C0882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66334"/>
    <w:multiLevelType w:val="hybridMultilevel"/>
    <w:tmpl w:val="67DA7100"/>
    <w:lvl w:ilvl="0" w:tplc="04090005">
      <w:start w:val="1"/>
      <w:numFmt w:val="bullet"/>
      <w:lvlText w:val=""/>
      <w:lvlJc w:val="left"/>
      <w:pPr>
        <w:ind w:left="1575" w:hanging="360"/>
      </w:pPr>
      <w:rPr>
        <w:rFonts w:ascii="Wingdings" w:hAnsi="Wingdings"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9" w15:restartNumberingAfterBreak="0">
    <w:nsid w:val="65FA6537"/>
    <w:multiLevelType w:val="hybridMultilevel"/>
    <w:tmpl w:val="954E4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EF7B22"/>
    <w:multiLevelType w:val="hybridMultilevel"/>
    <w:tmpl w:val="51AA5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DC4F65"/>
    <w:multiLevelType w:val="hybridMultilevel"/>
    <w:tmpl w:val="32EA9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8"/>
  </w:num>
  <w:num w:numId="5">
    <w:abstractNumId w:val="9"/>
  </w:num>
  <w:num w:numId="6">
    <w:abstractNumId w:val="6"/>
  </w:num>
  <w:num w:numId="7">
    <w:abstractNumId w:val="3"/>
  </w:num>
  <w:num w:numId="8">
    <w:abstractNumId w:val="2"/>
  </w:num>
  <w:num w:numId="9">
    <w:abstractNumId w:val="7"/>
  </w:num>
  <w:num w:numId="10">
    <w:abstractNumId w:val="4"/>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lang="en-US" w:vendorID="64" w:dllVersion="4096" w:nlCheck="1" w:checkStyle="0" w:appName="MSWord"/>
  <w:activeWritingStyle w:lang="en-US" w:vendorID="64" w:dllVersion="0" w:nlCheck="1" w:checkStyle="0" w:appName="MSWor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797"/>
    <w:rsid w:val="0000005A"/>
    <w:rsid w:val="00000EA3"/>
    <w:rsid w:val="00001B2A"/>
    <w:rsid w:val="000040B4"/>
    <w:rsid w:val="00010DD7"/>
    <w:rsid w:val="00012538"/>
    <w:rsid w:val="00014F75"/>
    <w:rsid w:val="00017F58"/>
    <w:rsid w:val="000206AE"/>
    <w:rsid w:val="00021473"/>
    <w:rsid w:val="00022E90"/>
    <w:rsid w:val="00031754"/>
    <w:rsid w:val="00031800"/>
    <w:rsid w:val="00034311"/>
    <w:rsid w:val="000353F5"/>
    <w:rsid w:val="0003738D"/>
    <w:rsid w:val="00042B72"/>
    <w:rsid w:val="000473E1"/>
    <w:rsid w:val="00051112"/>
    <w:rsid w:val="00051C25"/>
    <w:rsid w:val="00056803"/>
    <w:rsid w:val="000604B6"/>
    <w:rsid w:val="000649FF"/>
    <w:rsid w:val="000749D9"/>
    <w:rsid w:val="000805C7"/>
    <w:rsid w:val="00082FDC"/>
    <w:rsid w:val="000831F6"/>
    <w:rsid w:val="000864E8"/>
    <w:rsid w:val="00086F05"/>
    <w:rsid w:val="00092AF1"/>
    <w:rsid w:val="00095960"/>
    <w:rsid w:val="000A2B8A"/>
    <w:rsid w:val="000A2FB3"/>
    <w:rsid w:val="000A5C66"/>
    <w:rsid w:val="000A61FA"/>
    <w:rsid w:val="000B3620"/>
    <w:rsid w:val="000B5CCB"/>
    <w:rsid w:val="000C05EE"/>
    <w:rsid w:val="000C4FDE"/>
    <w:rsid w:val="000D6B53"/>
    <w:rsid w:val="000D7BA9"/>
    <w:rsid w:val="000E3F98"/>
    <w:rsid w:val="000E55DA"/>
    <w:rsid w:val="000F169F"/>
    <w:rsid w:val="00102C70"/>
    <w:rsid w:val="001035F5"/>
    <w:rsid w:val="00103948"/>
    <w:rsid w:val="001046A2"/>
    <w:rsid w:val="00104721"/>
    <w:rsid w:val="00107ED3"/>
    <w:rsid w:val="001145F1"/>
    <w:rsid w:val="00115109"/>
    <w:rsid w:val="001177D5"/>
    <w:rsid w:val="00124EF6"/>
    <w:rsid w:val="00127559"/>
    <w:rsid w:val="00131552"/>
    <w:rsid w:val="00132196"/>
    <w:rsid w:val="00136B5C"/>
    <w:rsid w:val="001371DB"/>
    <w:rsid w:val="0014091E"/>
    <w:rsid w:val="00141BDB"/>
    <w:rsid w:val="00143620"/>
    <w:rsid w:val="00143A2E"/>
    <w:rsid w:val="00146371"/>
    <w:rsid w:val="001473B8"/>
    <w:rsid w:val="001476D4"/>
    <w:rsid w:val="00147A22"/>
    <w:rsid w:val="00147E33"/>
    <w:rsid w:val="001507CE"/>
    <w:rsid w:val="001519E1"/>
    <w:rsid w:val="00155969"/>
    <w:rsid w:val="001564C1"/>
    <w:rsid w:val="001639C4"/>
    <w:rsid w:val="00165C26"/>
    <w:rsid w:val="00166015"/>
    <w:rsid w:val="001702A4"/>
    <w:rsid w:val="00172666"/>
    <w:rsid w:val="00173DE5"/>
    <w:rsid w:val="00173E8B"/>
    <w:rsid w:val="0017407A"/>
    <w:rsid w:val="0017541D"/>
    <w:rsid w:val="00175C91"/>
    <w:rsid w:val="0018176D"/>
    <w:rsid w:val="001875F0"/>
    <w:rsid w:val="00192DC1"/>
    <w:rsid w:val="00193B91"/>
    <w:rsid w:val="00196A3E"/>
    <w:rsid w:val="00196C24"/>
    <w:rsid w:val="001A09F6"/>
    <w:rsid w:val="001A126A"/>
    <w:rsid w:val="001A6B1A"/>
    <w:rsid w:val="001A6D4D"/>
    <w:rsid w:val="001A7089"/>
    <w:rsid w:val="001B08B8"/>
    <w:rsid w:val="001B7E6D"/>
    <w:rsid w:val="001C0294"/>
    <w:rsid w:val="001C33C8"/>
    <w:rsid w:val="001C519B"/>
    <w:rsid w:val="001C5FB2"/>
    <w:rsid w:val="001D118B"/>
    <w:rsid w:val="001D4236"/>
    <w:rsid w:val="001D50F2"/>
    <w:rsid w:val="001D6E0C"/>
    <w:rsid w:val="001E0E4E"/>
    <w:rsid w:val="001E561E"/>
    <w:rsid w:val="001F2805"/>
    <w:rsid w:val="001F74E3"/>
    <w:rsid w:val="001F7783"/>
    <w:rsid w:val="00202ADD"/>
    <w:rsid w:val="00203E69"/>
    <w:rsid w:val="0021171F"/>
    <w:rsid w:val="00211797"/>
    <w:rsid w:val="00211CEB"/>
    <w:rsid w:val="00214B79"/>
    <w:rsid w:val="00217805"/>
    <w:rsid w:val="00217B68"/>
    <w:rsid w:val="0022401D"/>
    <w:rsid w:val="0022443B"/>
    <w:rsid w:val="00226302"/>
    <w:rsid w:val="00227C00"/>
    <w:rsid w:val="00227CE3"/>
    <w:rsid w:val="00230A4C"/>
    <w:rsid w:val="00236FCF"/>
    <w:rsid w:val="00243478"/>
    <w:rsid w:val="00243DD0"/>
    <w:rsid w:val="002478B9"/>
    <w:rsid w:val="00260CE1"/>
    <w:rsid w:val="00261B8B"/>
    <w:rsid w:val="00262BEA"/>
    <w:rsid w:val="002754DB"/>
    <w:rsid w:val="00284468"/>
    <w:rsid w:val="00286E46"/>
    <w:rsid w:val="00292961"/>
    <w:rsid w:val="002931EE"/>
    <w:rsid w:val="00295F59"/>
    <w:rsid w:val="002A49A2"/>
    <w:rsid w:val="002A740F"/>
    <w:rsid w:val="002B1EEA"/>
    <w:rsid w:val="002B2B89"/>
    <w:rsid w:val="002B5E9E"/>
    <w:rsid w:val="002B79F6"/>
    <w:rsid w:val="002C0B48"/>
    <w:rsid w:val="002C3016"/>
    <w:rsid w:val="002C4FE7"/>
    <w:rsid w:val="002C7B31"/>
    <w:rsid w:val="002C7F06"/>
    <w:rsid w:val="002D27F7"/>
    <w:rsid w:val="002D2BAE"/>
    <w:rsid w:val="002D3A33"/>
    <w:rsid w:val="002D5684"/>
    <w:rsid w:val="002D6890"/>
    <w:rsid w:val="002D79AF"/>
    <w:rsid w:val="002D7B44"/>
    <w:rsid w:val="002E100E"/>
    <w:rsid w:val="002E1DC5"/>
    <w:rsid w:val="002E296D"/>
    <w:rsid w:val="002E7649"/>
    <w:rsid w:val="002F1CD6"/>
    <w:rsid w:val="002F3340"/>
    <w:rsid w:val="002F56DA"/>
    <w:rsid w:val="002F64D2"/>
    <w:rsid w:val="002F6E98"/>
    <w:rsid w:val="00303402"/>
    <w:rsid w:val="00303F35"/>
    <w:rsid w:val="003139B3"/>
    <w:rsid w:val="003141FF"/>
    <w:rsid w:val="00316551"/>
    <w:rsid w:val="00316D2F"/>
    <w:rsid w:val="0031719C"/>
    <w:rsid w:val="003211E6"/>
    <w:rsid w:val="00322C81"/>
    <w:rsid w:val="00322FCB"/>
    <w:rsid w:val="003256D0"/>
    <w:rsid w:val="00326844"/>
    <w:rsid w:val="0032732A"/>
    <w:rsid w:val="003275A9"/>
    <w:rsid w:val="003360D3"/>
    <w:rsid w:val="00340876"/>
    <w:rsid w:val="00343FF4"/>
    <w:rsid w:val="003513C1"/>
    <w:rsid w:val="00351589"/>
    <w:rsid w:val="0035639A"/>
    <w:rsid w:val="00360459"/>
    <w:rsid w:val="00360D0E"/>
    <w:rsid w:val="00362861"/>
    <w:rsid w:val="003629B7"/>
    <w:rsid w:val="00371F4D"/>
    <w:rsid w:val="00372189"/>
    <w:rsid w:val="00374D81"/>
    <w:rsid w:val="003767BA"/>
    <w:rsid w:val="00383D33"/>
    <w:rsid w:val="00386DA7"/>
    <w:rsid w:val="003875F3"/>
    <w:rsid w:val="00394B3B"/>
    <w:rsid w:val="00396168"/>
    <w:rsid w:val="00396585"/>
    <w:rsid w:val="00397083"/>
    <w:rsid w:val="00397D98"/>
    <w:rsid w:val="003A17E6"/>
    <w:rsid w:val="003A3895"/>
    <w:rsid w:val="003B196D"/>
    <w:rsid w:val="003B1DB1"/>
    <w:rsid w:val="003B3BD7"/>
    <w:rsid w:val="003C1F54"/>
    <w:rsid w:val="003C2792"/>
    <w:rsid w:val="003C55F0"/>
    <w:rsid w:val="003C5648"/>
    <w:rsid w:val="003C5C17"/>
    <w:rsid w:val="003C641B"/>
    <w:rsid w:val="003D2CCB"/>
    <w:rsid w:val="003D694B"/>
    <w:rsid w:val="003D759F"/>
    <w:rsid w:val="003E14D5"/>
    <w:rsid w:val="003E6EF6"/>
    <w:rsid w:val="003F17A9"/>
    <w:rsid w:val="003F1D6D"/>
    <w:rsid w:val="003F219F"/>
    <w:rsid w:val="003F5110"/>
    <w:rsid w:val="003F799C"/>
    <w:rsid w:val="00404EB7"/>
    <w:rsid w:val="00413275"/>
    <w:rsid w:val="00414299"/>
    <w:rsid w:val="00417114"/>
    <w:rsid w:val="004204EF"/>
    <w:rsid w:val="004233A8"/>
    <w:rsid w:val="00430D21"/>
    <w:rsid w:val="0043376B"/>
    <w:rsid w:val="00443A05"/>
    <w:rsid w:val="00445C96"/>
    <w:rsid w:val="00446685"/>
    <w:rsid w:val="00446EBA"/>
    <w:rsid w:val="00446EF5"/>
    <w:rsid w:val="00450EE0"/>
    <w:rsid w:val="00451E7D"/>
    <w:rsid w:val="00452300"/>
    <w:rsid w:val="00456358"/>
    <w:rsid w:val="0045746A"/>
    <w:rsid w:val="0046183B"/>
    <w:rsid w:val="00462FF8"/>
    <w:rsid w:val="00467C35"/>
    <w:rsid w:val="00470B0C"/>
    <w:rsid w:val="0047103B"/>
    <w:rsid w:val="00471663"/>
    <w:rsid w:val="004717C7"/>
    <w:rsid w:val="00472506"/>
    <w:rsid w:val="004725DA"/>
    <w:rsid w:val="00473742"/>
    <w:rsid w:val="00473F2F"/>
    <w:rsid w:val="00473FFF"/>
    <w:rsid w:val="0047451D"/>
    <w:rsid w:val="00475C0E"/>
    <w:rsid w:val="004961A0"/>
    <w:rsid w:val="00496CB3"/>
    <w:rsid w:val="00497F7C"/>
    <w:rsid w:val="004A0C13"/>
    <w:rsid w:val="004B35D2"/>
    <w:rsid w:val="004B392A"/>
    <w:rsid w:val="004C150B"/>
    <w:rsid w:val="004C1AF7"/>
    <w:rsid w:val="004C4D29"/>
    <w:rsid w:val="004C6CD8"/>
    <w:rsid w:val="004C6FF0"/>
    <w:rsid w:val="004C70C9"/>
    <w:rsid w:val="004D1055"/>
    <w:rsid w:val="004D2340"/>
    <w:rsid w:val="004E1F49"/>
    <w:rsid w:val="004E210A"/>
    <w:rsid w:val="004E25CC"/>
    <w:rsid w:val="004E6438"/>
    <w:rsid w:val="004E7AF6"/>
    <w:rsid w:val="004F45B3"/>
    <w:rsid w:val="004F5F55"/>
    <w:rsid w:val="004F61F2"/>
    <w:rsid w:val="004F6430"/>
    <w:rsid w:val="004F66E3"/>
    <w:rsid w:val="00502DDA"/>
    <w:rsid w:val="00504F8C"/>
    <w:rsid w:val="0050529B"/>
    <w:rsid w:val="00506CE6"/>
    <w:rsid w:val="0050735B"/>
    <w:rsid w:val="00515283"/>
    <w:rsid w:val="005156AA"/>
    <w:rsid w:val="005206EF"/>
    <w:rsid w:val="005216CA"/>
    <w:rsid w:val="00521753"/>
    <w:rsid w:val="0052420B"/>
    <w:rsid w:val="00540EF4"/>
    <w:rsid w:val="00543A39"/>
    <w:rsid w:val="00545C39"/>
    <w:rsid w:val="005469ED"/>
    <w:rsid w:val="00556621"/>
    <w:rsid w:val="005600AA"/>
    <w:rsid w:val="00560709"/>
    <w:rsid w:val="00562C0B"/>
    <w:rsid w:val="00563DA3"/>
    <w:rsid w:val="005679E6"/>
    <w:rsid w:val="00574685"/>
    <w:rsid w:val="00575524"/>
    <w:rsid w:val="00575CFD"/>
    <w:rsid w:val="0057744F"/>
    <w:rsid w:val="005805D3"/>
    <w:rsid w:val="005854A2"/>
    <w:rsid w:val="00593C85"/>
    <w:rsid w:val="005A0B5E"/>
    <w:rsid w:val="005A18CB"/>
    <w:rsid w:val="005A25FC"/>
    <w:rsid w:val="005A3FE5"/>
    <w:rsid w:val="005A6DBD"/>
    <w:rsid w:val="005B1B5A"/>
    <w:rsid w:val="005B3149"/>
    <w:rsid w:val="005B5FCC"/>
    <w:rsid w:val="005B7A09"/>
    <w:rsid w:val="005C01AF"/>
    <w:rsid w:val="005C1259"/>
    <w:rsid w:val="005C358E"/>
    <w:rsid w:val="005C5E33"/>
    <w:rsid w:val="005C65A3"/>
    <w:rsid w:val="005D00B6"/>
    <w:rsid w:val="005D30F8"/>
    <w:rsid w:val="005D672B"/>
    <w:rsid w:val="005D730F"/>
    <w:rsid w:val="005D7B80"/>
    <w:rsid w:val="005E21F6"/>
    <w:rsid w:val="005E4A6A"/>
    <w:rsid w:val="005E4EB6"/>
    <w:rsid w:val="00600CB4"/>
    <w:rsid w:val="006043B2"/>
    <w:rsid w:val="00604BF1"/>
    <w:rsid w:val="00606F18"/>
    <w:rsid w:val="00607853"/>
    <w:rsid w:val="00613999"/>
    <w:rsid w:val="00616130"/>
    <w:rsid w:val="006165B1"/>
    <w:rsid w:val="00617726"/>
    <w:rsid w:val="006213E7"/>
    <w:rsid w:val="00621C5E"/>
    <w:rsid w:val="00631FE8"/>
    <w:rsid w:val="00633584"/>
    <w:rsid w:val="006338E1"/>
    <w:rsid w:val="00636848"/>
    <w:rsid w:val="00637C6F"/>
    <w:rsid w:val="00641FB5"/>
    <w:rsid w:val="00647166"/>
    <w:rsid w:val="0064726B"/>
    <w:rsid w:val="006524D3"/>
    <w:rsid w:val="006574B8"/>
    <w:rsid w:val="006600E2"/>
    <w:rsid w:val="0066299A"/>
    <w:rsid w:val="006720FA"/>
    <w:rsid w:val="006721A2"/>
    <w:rsid w:val="006730B4"/>
    <w:rsid w:val="00675A4C"/>
    <w:rsid w:val="00676E2D"/>
    <w:rsid w:val="00682BB9"/>
    <w:rsid w:val="006840B6"/>
    <w:rsid w:val="00694682"/>
    <w:rsid w:val="00697BEC"/>
    <w:rsid w:val="006B047B"/>
    <w:rsid w:val="006B3521"/>
    <w:rsid w:val="006B6BA9"/>
    <w:rsid w:val="006C0FDA"/>
    <w:rsid w:val="006C4CB1"/>
    <w:rsid w:val="006C6EE2"/>
    <w:rsid w:val="006C75A4"/>
    <w:rsid w:val="006D178D"/>
    <w:rsid w:val="006D48A8"/>
    <w:rsid w:val="006D5980"/>
    <w:rsid w:val="006E6B51"/>
    <w:rsid w:val="00703B2F"/>
    <w:rsid w:val="007041B2"/>
    <w:rsid w:val="0070492A"/>
    <w:rsid w:val="00711055"/>
    <w:rsid w:val="00711B00"/>
    <w:rsid w:val="00713AA7"/>
    <w:rsid w:val="00713D42"/>
    <w:rsid w:val="00725EEA"/>
    <w:rsid w:val="007268E3"/>
    <w:rsid w:val="007275A6"/>
    <w:rsid w:val="00727D10"/>
    <w:rsid w:val="00730CDC"/>
    <w:rsid w:val="007314F6"/>
    <w:rsid w:val="00731E8D"/>
    <w:rsid w:val="007332C8"/>
    <w:rsid w:val="00736CB3"/>
    <w:rsid w:val="00737941"/>
    <w:rsid w:val="00737B9B"/>
    <w:rsid w:val="007413E2"/>
    <w:rsid w:val="00742C48"/>
    <w:rsid w:val="0074655B"/>
    <w:rsid w:val="007477EE"/>
    <w:rsid w:val="00753E1F"/>
    <w:rsid w:val="0076337D"/>
    <w:rsid w:val="00765C10"/>
    <w:rsid w:val="00767C2C"/>
    <w:rsid w:val="00771862"/>
    <w:rsid w:val="00772850"/>
    <w:rsid w:val="00772C92"/>
    <w:rsid w:val="00773167"/>
    <w:rsid w:val="00774460"/>
    <w:rsid w:val="007754F2"/>
    <w:rsid w:val="0077647F"/>
    <w:rsid w:val="007777E9"/>
    <w:rsid w:val="00781E38"/>
    <w:rsid w:val="00782102"/>
    <w:rsid w:val="00782CD4"/>
    <w:rsid w:val="00783BA8"/>
    <w:rsid w:val="00784EE3"/>
    <w:rsid w:val="00786185"/>
    <w:rsid w:val="00787177"/>
    <w:rsid w:val="007914C3"/>
    <w:rsid w:val="0079276F"/>
    <w:rsid w:val="00794B05"/>
    <w:rsid w:val="0079570D"/>
    <w:rsid w:val="00795EAE"/>
    <w:rsid w:val="00797192"/>
    <w:rsid w:val="007A1D58"/>
    <w:rsid w:val="007A6430"/>
    <w:rsid w:val="007A7613"/>
    <w:rsid w:val="007A7CB7"/>
    <w:rsid w:val="007B6188"/>
    <w:rsid w:val="007C2DA1"/>
    <w:rsid w:val="007C2E23"/>
    <w:rsid w:val="007D2C30"/>
    <w:rsid w:val="007D792B"/>
    <w:rsid w:val="007E0E93"/>
    <w:rsid w:val="007E1774"/>
    <w:rsid w:val="007E1CD0"/>
    <w:rsid w:val="007E30AE"/>
    <w:rsid w:val="007E770F"/>
    <w:rsid w:val="007F6B84"/>
    <w:rsid w:val="0080050B"/>
    <w:rsid w:val="00802B3F"/>
    <w:rsid w:val="00803CEF"/>
    <w:rsid w:val="00807329"/>
    <w:rsid w:val="008118C8"/>
    <w:rsid w:val="008135BC"/>
    <w:rsid w:val="008211CA"/>
    <w:rsid w:val="0082197F"/>
    <w:rsid w:val="0082246A"/>
    <w:rsid w:val="00825DA4"/>
    <w:rsid w:val="0082600E"/>
    <w:rsid w:val="00836F4F"/>
    <w:rsid w:val="0084194C"/>
    <w:rsid w:val="00844F73"/>
    <w:rsid w:val="00847C36"/>
    <w:rsid w:val="0085127A"/>
    <w:rsid w:val="00851563"/>
    <w:rsid w:val="00860420"/>
    <w:rsid w:val="00863A00"/>
    <w:rsid w:val="0087064C"/>
    <w:rsid w:val="008801C7"/>
    <w:rsid w:val="008828C1"/>
    <w:rsid w:val="00892984"/>
    <w:rsid w:val="00892FAC"/>
    <w:rsid w:val="00895BE2"/>
    <w:rsid w:val="008A0D6D"/>
    <w:rsid w:val="008A30CB"/>
    <w:rsid w:val="008A7260"/>
    <w:rsid w:val="008B6466"/>
    <w:rsid w:val="008B6771"/>
    <w:rsid w:val="008B6E4C"/>
    <w:rsid w:val="008C1FF6"/>
    <w:rsid w:val="008C2BD2"/>
    <w:rsid w:val="008C5113"/>
    <w:rsid w:val="008C59D2"/>
    <w:rsid w:val="008C6D09"/>
    <w:rsid w:val="008D4D23"/>
    <w:rsid w:val="008D5E9A"/>
    <w:rsid w:val="008D618C"/>
    <w:rsid w:val="008E0016"/>
    <w:rsid w:val="008E2A8F"/>
    <w:rsid w:val="008E5644"/>
    <w:rsid w:val="008F08FA"/>
    <w:rsid w:val="008F72E8"/>
    <w:rsid w:val="009017E0"/>
    <w:rsid w:val="00905478"/>
    <w:rsid w:val="00910B9B"/>
    <w:rsid w:val="00913868"/>
    <w:rsid w:val="00916193"/>
    <w:rsid w:val="00924CAB"/>
    <w:rsid w:val="00925775"/>
    <w:rsid w:val="00930716"/>
    <w:rsid w:val="00931F92"/>
    <w:rsid w:val="00932CCB"/>
    <w:rsid w:val="009331F4"/>
    <w:rsid w:val="00936CB2"/>
    <w:rsid w:val="00940632"/>
    <w:rsid w:val="00940939"/>
    <w:rsid w:val="00942293"/>
    <w:rsid w:val="00943C78"/>
    <w:rsid w:val="00947D50"/>
    <w:rsid w:val="0095181B"/>
    <w:rsid w:val="00953E44"/>
    <w:rsid w:val="00954BB8"/>
    <w:rsid w:val="00960D5B"/>
    <w:rsid w:val="00964ED8"/>
    <w:rsid w:val="0097387A"/>
    <w:rsid w:val="0097550D"/>
    <w:rsid w:val="00976A51"/>
    <w:rsid w:val="00977028"/>
    <w:rsid w:val="00981A43"/>
    <w:rsid w:val="0098747A"/>
    <w:rsid w:val="00990A0E"/>
    <w:rsid w:val="00992646"/>
    <w:rsid w:val="00993E66"/>
    <w:rsid w:val="00994801"/>
    <w:rsid w:val="00994883"/>
    <w:rsid w:val="0099526C"/>
    <w:rsid w:val="009952E0"/>
    <w:rsid w:val="009A278F"/>
    <w:rsid w:val="009A5148"/>
    <w:rsid w:val="009A5578"/>
    <w:rsid w:val="009B1D90"/>
    <w:rsid w:val="009B3550"/>
    <w:rsid w:val="009B4363"/>
    <w:rsid w:val="009B6798"/>
    <w:rsid w:val="009B729B"/>
    <w:rsid w:val="009C5974"/>
    <w:rsid w:val="009C7CC6"/>
    <w:rsid w:val="009D4121"/>
    <w:rsid w:val="009E3C7C"/>
    <w:rsid w:val="009F04AA"/>
    <w:rsid w:val="009F2BC2"/>
    <w:rsid w:val="009F40D5"/>
    <w:rsid w:val="009F61AF"/>
    <w:rsid w:val="00A04B93"/>
    <w:rsid w:val="00A06DB6"/>
    <w:rsid w:val="00A073F4"/>
    <w:rsid w:val="00A0799A"/>
    <w:rsid w:val="00A07E32"/>
    <w:rsid w:val="00A109F9"/>
    <w:rsid w:val="00A11F90"/>
    <w:rsid w:val="00A23409"/>
    <w:rsid w:val="00A24414"/>
    <w:rsid w:val="00A268EE"/>
    <w:rsid w:val="00A31DD5"/>
    <w:rsid w:val="00A349FE"/>
    <w:rsid w:val="00A419E9"/>
    <w:rsid w:val="00A42129"/>
    <w:rsid w:val="00A424E2"/>
    <w:rsid w:val="00A4326F"/>
    <w:rsid w:val="00A53DBE"/>
    <w:rsid w:val="00A5476B"/>
    <w:rsid w:val="00A57C6E"/>
    <w:rsid w:val="00A611DB"/>
    <w:rsid w:val="00A62FAD"/>
    <w:rsid w:val="00A636C6"/>
    <w:rsid w:val="00A656B1"/>
    <w:rsid w:val="00A7180F"/>
    <w:rsid w:val="00A74DC9"/>
    <w:rsid w:val="00A770CE"/>
    <w:rsid w:val="00A80B63"/>
    <w:rsid w:val="00A818CF"/>
    <w:rsid w:val="00A82E00"/>
    <w:rsid w:val="00A831AD"/>
    <w:rsid w:val="00A83978"/>
    <w:rsid w:val="00A86A57"/>
    <w:rsid w:val="00A92F2F"/>
    <w:rsid w:val="00A94146"/>
    <w:rsid w:val="00A9587C"/>
    <w:rsid w:val="00AA019D"/>
    <w:rsid w:val="00AA0AAA"/>
    <w:rsid w:val="00AA386F"/>
    <w:rsid w:val="00AB3A68"/>
    <w:rsid w:val="00AB4488"/>
    <w:rsid w:val="00AB6E81"/>
    <w:rsid w:val="00AC43F6"/>
    <w:rsid w:val="00AC567B"/>
    <w:rsid w:val="00AC7517"/>
    <w:rsid w:val="00AD14DB"/>
    <w:rsid w:val="00AD22FB"/>
    <w:rsid w:val="00AD7B25"/>
    <w:rsid w:val="00AE2C77"/>
    <w:rsid w:val="00AE7A10"/>
    <w:rsid w:val="00AF2C02"/>
    <w:rsid w:val="00AF3200"/>
    <w:rsid w:val="00AF3966"/>
    <w:rsid w:val="00AF5A1D"/>
    <w:rsid w:val="00AF60E8"/>
    <w:rsid w:val="00AF7434"/>
    <w:rsid w:val="00B01D07"/>
    <w:rsid w:val="00B038B4"/>
    <w:rsid w:val="00B038D5"/>
    <w:rsid w:val="00B049D0"/>
    <w:rsid w:val="00B0628B"/>
    <w:rsid w:val="00B10F4E"/>
    <w:rsid w:val="00B12290"/>
    <w:rsid w:val="00B16EE7"/>
    <w:rsid w:val="00B22087"/>
    <w:rsid w:val="00B23422"/>
    <w:rsid w:val="00B2789F"/>
    <w:rsid w:val="00B30FAC"/>
    <w:rsid w:val="00B3106B"/>
    <w:rsid w:val="00B32E18"/>
    <w:rsid w:val="00B37981"/>
    <w:rsid w:val="00B43844"/>
    <w:rsid w:val="00B54A0C"/>
    <w:rsid w:val="00B60328"/>
    <w:rsid w:val="00B605AB"/>
    <w:rsid w:val="00B629C8"/>
    <w:rsid w:val="00B62EFD"/>
    <w:rsid w:val="00B66FCE"/>
    <w:rsid w:val="00B729BA"/>
    <w:rsid w:val="00B74259"/>
    <w:rsid w:val="00B76137"/>
    <w:rsid w:val="00B763C3"/>
    <w:rsid w:val="00B77DB1"/>
    <w:rsid w:val="00B8324B"/>
    <w:rsid w:val="00B914C2"/>
    <w:rsid w:val="00B928B1"/>
    <w:rsid w:val="00BA15FE"/>
    <w:rsid w:val="00BA2BF6"/>
    <w:rsid w:val="00BB2984"/>
    <w:rsid w:val="00BC34A9"/>
    <w:rsid w:val="00BC6FBF"/>
    <w:rsid w:val="00BD41DA"/>
    <w:rsid w:val="00BD4AF6"/>
    <w:rsid w:val="00BD6C69"/>
    <w:rsid w:val="00BD75C3"/>
    <w:rsid w:val="00BD7EA7"/>
    <w:rsid w:val="00BE16FC"/>
    <w:rsid w:val="00BE17F3"/>
    <w:rsid w:val="00BE1AF8"/>
    <w:rsid w:val="00BE6D09"/>
    <w:rsid w:val="00BF14CE"/>
    <w:rsid w:val="00BF7C5C"/>
    <w:rsid w:val="00C00E7A"/>
    <w:rsid w:val="00C011C4"/>
    <w:rsid w:val="00C02B3C"/>
    <w:rsid w:val="00C03742"/>
    <w:rsid w:val="00C04922"/>
    <w:rsid w:val="00C054EF"/>
    <w:rsid w:val="00C06B7C"/>
    <w:rsid w:val="00C07ACD"/>
    <w:rsid w:val="00C1283D"/>
    <w:rsid w:val="00C14662"/>
    <w:rsid w:val="00C16308"/>
    <w:rsid w:val="00C17051"/>
    <w:rsid w:val="00C20732"/>
    <w:rsid w:val="00C22721"/>
    <w:rsid w:val="00C27656"/>
    <w:rsid w:val="00C2783B"/>
    <w:rsid w:val="00C306AE"/>
    <w:rsid w:val="00C30AE8"/>
    <w:rsid w:val="00C3207E"/>
    <w:rsid w:val="00C342CC"/>
    <w:rsid w:val="00C4563F"/>
    <w:rsid w:val="00C479BF"/>
    <w:rsid w:val="00C50F7E"/>
    <w:rsid w:val="00C53ACA"/>
    <w:rsid w:val="00C552CA"/>
    <w:rsid w:val="00C5540F"/>
    <w:rsid w:val="00C5678F"/>
    <w:rsid w:val="00C60453"/>
    <w:rsid w:val="00C634AF"/>
    <w:rsid w:val="00C65212"/>
    <w:rsid w:val="00C6524F"/>
    <w:rsid w:val="00C65A62"/>
    <w:rsid w:val="00C6665A"/>
    <w:rsid w:val="00C72BA9"/>
    <w:rsid w:val="00C73D6A"/>
    <w:rsid w:val="00C760DB"/>
    <w:rsid w:val="00C807C1"/>
    <w:rsid w:val="00C827A6"/>
    <w:rsid w:val="00C8568D"/>
    <w:rsid w:val="00C86047"/>
    <w:rsid w:val="00C87276"/>
    <w:rsid w:val="00C93299"/>
    <w:rsid w:val="00C93BB2"/>
    <w:rsid w:val="00C943DF"/>
    <w:rsid w:val="00C96CEE"/>
    <w:rsid w:val="00C972DF"/>
    <w:rsid w:val="00CA0DAB"/>
    <w:rsid w:val="00CA21AA"/>
    <w:rsid w:val="00CA4AB6"/>
    <w:rsid w:val="00CB6573"/>
    <w:rsid w:val="00CC2594"/>
    <w:rsid w:val="00CD2506"/>
    <w:rsid w:val="00CD46D0"/>
    <w:rsid w:val="00CD56B0"/>
    <w:rsid w:val="00CE09B7"/>
    <w:rsid w:val="00CE09E3"/>
    <w:rsid w:val="00CE11B4"/>
    <w:rsid w:val="00CE3384"/>
    <w:rsid w:val="00CF2027"/>
    <w:rsid w:val="00CF2687"/>
    <w:rsid w:val="00CF271E"/>
    <w:rsid w:val="00CF6699"/>
    <w:rsid w:val="00D0064E"/>
    <w:rsid w:val="00D00DBA"/>
    <w:rsid w:val="00D020B4"/>
    <w:rsid w:val="00D06CE8"/>
    <w:rsid w:val="00D102FF"/>
    <w:rsid w:val="00D15628"/>
    <w:rsid w:val="00D16D1C"/>
    <w:rsid w:val="00D20CC7"/>
    <w:rsid w:val="00D2213A"/>
    <w:rsid w:val="00D26EF4"/>
    <w:rsid w:val="00D30FF1"/>
    <w:rsid w:val="00D32CE3"/>
    <w:rsid w:val="00D36DBF"/>
    <w:rsid w:val="00D425B2"/>
    <w:rsid w:val="00D44642"/>
    <w:rsid w:val="00D45948"/>
    <w:rsid w:val="00D473DB"/>
    <w:rsid w:val="00D47C05"/>
    <w:rsid w:val="00D50689"/>
    <w:rsid w:val="00D51327"/>
    <w:rsid w:val="00D51839"/>
    <w:rsid w:val="00D546A1"/>
    <w:rsid w:val="00D5706D"/>
    <w:rsid w:val="00D57E66"/>
    <w:rsid w:val="00D661C4"/>
    <w:rsid w:val="00D71464"/>
    <w:rsid w:val="00D771A3"/>
    <w:rsid w:val="00D8096B"/>
    <w:rsid w:val="00D828BE"/>
    <w:rsid w:val="00D83671"/>
    <w:rsid w:val="00D90009"/>
    <w:rsid w:val="00D91FCE"/>
    <w:rsid w:val="00D920D3"/>
    <w:rsid w:val="00D92951"/>
    <w:rsid w:val="00D94B2D"/>
    <w:rsid w:val="00D955F0"/>
    <w:rsid w:val="00D96D0B"/>
    <w:rsid w:val="00DA0424"/>
    <w:rsid w:val="00DA261C"/>
    <w:rsid w:val="00DA4839"/>
    <w:rsid w:val="00DA532A"/>
    <w:rsid w:val="00DA6419"/>
    <w:rsid w:val="00DB3072"/>
    <w:rsid w:val="00DB4797"/>
    <w:rsid w:val="00DB5550"/>
    <w:rsid w:val="00DB5D63"/>
    <w:rsid w:val="00DB5E85"/>
    <w:rsid w:val="00DC07FC"/>
    <w:rsid w:val="00DC1CE2"/>
    <w:rsid w:val="00DC41A8"/>
    <w:rsid w:val="00DC7F5B"/>
    <w:rsid w:val="00DD3AB1"/>
    <w:rsid w:val="00DD421D"/>
    <w:rsid w:val="00DD628E"/>
    <w:rsid w:val="00DE3708"/>
    <w:rsid w:val="00DE4083"/>
    <w:rsid w:val="00DE5089"/>
    <w:rsid w:val="00DF2A7C"/>
    <w:rsid w:val="00DF3534"/>
    <w:rsid w:val="00E104C4"/>
    <w:rsid w:val="00E138F6"/>
    <w:rsid w:val="00E242AC"/>
    <w:rsid w:val="00E25E07"/>
    <w:rsid w:val="00E30547"/>
    <w:rsid w:val="00E34C5B"/>
    <w:rsid w:val="00E4299A"/>
    <w:rsid w:val="00E53B47"/>
    <w:rsid w:val="00E545BC"/>
    <w:rsid w:val="00E55814"/>
    <w:rsid w:val="00E5735F"/>
    <w:rsid w:val="00E61B3D"/>
    <w:rsid w:val="00E63951"/>
    <w:rsid w:val="00E6485C"/>
    <w:rsid w:val="00E6743E"/>
    <w:rsid w:val="00E676CC"/>
    <w:rsid w:val="00E72353"/>
    <w:rsid w:val="00E73912"/>
    <w:rsid w:val="00E73BB0"/>
    <w:rsid w:val="00E763CA"/>
    <w:rsid w:val="00E824DC"/>
    <w:rsid w:val="00E853F8"/>
    <w:rsid w:val="00E856F4"/>
    <w:rsid w:val="00E87F33"/>
    <w:rsid w:val="00E9147E"/>
    <w:rsid w:val="00E97795"/>
    <w:rsid w:val="00EA0565"/>
    <w:rsid w:val="00EA6FD9"/>
    <w:rsid w:val="00EA7BC5"/>
    <w:rsid w:val="00ED0D15"/>
    <w:rsid w:val="00ED256A"/>
    <w:rsid w:val="00EE04F4"/>
    <w:rsid w:val="00EE266A"/>
    <w:rsid w:val="00EE2B23"/>
    <w:rsid w:val="00EF0BD4"/>
    <w:rsid w:val="00EF11EC"/>
    <w:rsid w:val="00EF1CC4"/>
    <w:rsid w:val="00EF392D"/>
    <w:rsid w:val="00EF6E3E"/>
    <w:rsid w:val="00F02E43"/>
    <w:rsid w:val="00F05E66"/>
    <w:rsid w:val="00F0638E"/>
    <w:rsid w:val="00F065CD"/>
    <w:rsid w:val="00F06DB3"/>
    <w:rsid w:val="00F06F6A"/>
    <w:rsid w:val="00F10162"/>
    <w:rsid w:val="00F15813"/>
    <w:rsid w:val="00F33826"/>
    <w:rsid w:val="00F344A1"/>
    <w:rsid w:val="00F371EF"/>
    <w:rsid w:val="00F50822"/>
    <w:rsid w:val="00F52798"/>
    <w:rsid w:val="00F61F0B"/>
    <w:rsid w:val="00F647F6"/>
    <w:rsid w:val="00F659E6"/>
    <w:rsid w:val="00F66EF6"/>
    <w:rsid w:val="00F71A00"/>
    <w:rsid w:val="00F71C75"/>
    <w:rsid w:val="00F7310F"/>
    <w:rsid w:val="00F74546"/>
    <w:rsid w:val="00F75653"/>
    <w:rsid w:val="00F7611E"/>
    <w:rsid w:val="00F77EB4"/>
    <w:rsid w:val="00F8596B"/>
    <w:rsid w:val="00F9197B"/>
    <w:rsid w:val="00F91D5B"/>
    <w:rsid w:val="00F933A6"/>
    <w:rsid w:val="00F938AF"/>
    <w:rsid w:val="00F94D7D"/>
    <w:rsid w:val="00F963D3"/>
    <w:rsid w:val="00FA1EA4"/>
    <w:rsid w:val="00FA2C07"/>
    <w:rsid w:val="00FA3EFC"/>
    <w:rsid w:val="00FA5078"/>
    <w:rsid w:val="00FA7691"/>
    <w:rsid w:val="00FB1139"/>
    <w:rsid w:val="00FB2617"/>
    <w:rsid w:val="00FB2971"/>
    <w:rsid w:val="00FB4A75"/>
    <w:rsid w:val="00FC1D3A"/>
    <w:rsid w:val="00FC5C8B"/>
    <w:rsid w:val="00FC6296"/>
    <w:rsid w:val="00FD3B14"/>
    <w:rsid w:val="00FD3C15"/>
    <w:rsid w:val="00FD4573"/>
    <w:rsid w:val="00FD54C4"/>
    <w:rsid w:val="00FD7DD2"/>
    <w:rsid w:val="00FE058B"/>
    <w:rsid w:val="00FE0F84"/>
    <w:rsid w:val="00FE1582"/>
    <w:rsid w:val="00FE2F1F"/>
    <w:rsid w:val="00FE46AB"/>
    <w:rsid w:val="00FE63E6"/>
    <w:rsid w:val="00FF00CE"/>
    <w:rsid w:val="00FF0700"/>
    <w:rsid w:val="00FF6732"/>
    <w:rsid w:val="00FF72FC"/>
    <w:rsid w:val="022EF145"/>
    <w:rsid w:val="07117151"/>
    <w:rsid w:val="0CA1EC9D"/>
    <w:rsid w:val="0E82D3D0"/>
    <w:rsid w:val="0EEF5C23"/>
    <w:rsid w:val="139AED34"/>
    <w:rsid w:val="13C00B00"/>
    <w:rsid w:val="168AB1E8"/>
    <w:rsid w:val="1A050CCF"/>
    <w:rsid w:val="1C5250C9"/>
    <w:rsid w:val="25110A91"/>
    <w:rsid w:val="25379127"/>
    <w:rsid w:val="2BAA71E0"/>
    <w:rsid w:val="3125414F"/>
    <w:rsid w:val="3586F8E2"/>
    <w:rsid w:val="366CA466"/>
    <w:rsid w:val="38E52781"/>
    <w:rsid w:val="38F88B89"/>
    <w:rsid w:val="399E5CC5"/>
    <w:rsid w:val="3A6E7C26"/>
    <w:rsid w:val="3C165990"/>
    <w:rsid w:val="41EE0A54"/>
    <w:rsid w:val="427CF811"/>
    <w:rsid w:val="43B38C0D"/>
    <w:rsid w:val="445604AC"/>
    <w:rsid w:val="44CA11C7"/>
    <w:rsid w:val="457C0673"/>
    <w:rsid w:val="4A0EC59B"/>
    <w:rsid w:val="5308D0F9"/>
    <w:rsid w:val="57AEEE76"/>
    <w:rsid w:val="58310013"/>
    <w:rsid w:val="593775B3"/>
    <w:rsid w:val="5D0C0A1C"/>
    <w:rsid w:val="60C37876"/>
    <w:rsid w:val="61EFCDB1"/>
    <w:rsid w:val="6C96E266"/>
    <w:rsid w:val="6D73B4E1"/>
    <w:rsid w:val="6F52F669"/>
    <w:rsid w:val="6FC1B25A"/>
    <w:rsid w:val="75DC21FA"/>
    <w:rsid w:val="771F163F"/>
    <w:rsid w:val="7DBBABFC"/>
    <w:rsid w:val="7FBAE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076D6"/>
  <w15:chartTrackingRefBased/>
  <w15:docId w15:val="{A5B31497-11E4-AA4B-9632-B6FD67154475}"/>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C65A3"/>
    <w:pPr>
      <w:keepNext/>
      <w:spacing w:before="120" w:after="240" w:line="240" w:lineRule="auto"/>
      <w:outlineLvl w:val="0"/>
    </w:pPr>
    <w:rPr>
      <w:rFonts w:ascii="Helvetica" w:eastAsia="Times New Roman" w:hAnsi="Helvetica" w:cs="Times New Roman"/>
      <w:b/>
      <w:caps/>
      <w:kern w:val="28"/>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797"/>
    <w:rPr>
      <w:rFonts w:ascii="Segoe UI" w:hAnsi="Segoe UI" w:cs="Segoe UI"/>
      <w:sz w:val="18"/>
      <w:szCs w:val="18"/>
    </w:rPr>
  </w:style>
  <w:style w:type="paragraph" w:styleId="ListParagraph">
    <w:name w:val="List Paragraph"/>
    <w:basedOn w:val="Normal"/>
    <w:uiPriority w:val="34"/>
    <w:qFormat/>
    <w:rsid w:val="00211797"/>
    <w:pPr>
      <w:ind w:left="720"/>
      <w:contextualSpacing/>
    </w:pPr>
  </w:style>
  <w:style w:type="paragraph" w:customStyle="1" w:styleId="mainex">
    <w:name w:val="mainex"/>
    <w:basedOn w:val="Normal"/>
    <w:rsid w:val="001507CE"/>
    <w:pPr>
      <w:keepNext/>
      <w:spacing w:after="0" w:line="240" w:lineRule="auto"/>
      <w:jc w:val="center"/>
    </w:pPr>
    <w:rPr>
      <w:rFonts w:ascii="Helvetica" w:eastAsia="Times New Roman" w:hAnsi="Helvetica" w:cs="Times New Roman"/>
      <w:b/>
      <w:spacing w:val="120"/>
      <w:sz w:val="26"/>
      <w:szCs w:val="20"/>
    </w:rPr>
  </w:style>
  <w:style w:type="paragraph" w:customStyle="1" w:styleId="titlebar">
    <w:name w:val="title bar"/>
    <w:basedOn w:val="Normal"/>
    <w:rsid w:val="001507CE"/>
    <w:pPr>
      <w:keepNext/>
      <w:suppressAutoHyphens/>
      <w:spacing w:after="0" w:line="240" w:lineRule="auto"/>
      <w:jc w:val="center"/>
    </w:pPr>
    <w:rPr>
      <w:rFonts w:ascii="Helvetica" w:eastAsia="Times New Roman" w:hAnsi="Helvetica" w:cs="Times New Roman"/>
      <w:b/>
      <w:sz w:val="26"/>
      <w:szCs w:val="20"/>
    </w:rPr>
  </w:style>
  <w:style w:type="paragraph" w:customStyle="1" w:styleId="Res-Caption">
    <w:name w:val="Res-Caption"/>
    <w:basedOn w:val="Normal"/>
    <w:rsid w:val="001507CE"/>
    <w:pPr>
      <w:spacing w:after="0" w:line="240" w:lineRule="auto"/>
      <w:ind w:left="720" w:right="720"/>
    </w:pPr>
    <w:rPr>
      <w:rFonts w:ascii="Palatino" w:eastAsia="Times New Roman" w:hAnsi="Palatino" w:cs="Times New Roman"/>
      <w:sz w:val="26"/>
      <w:szCs w:val="20"/>
    </w:rPr>
  </w:style>
  <w:style w:type="character" w:customStyle="1" w:styleId="Heading1Char">
    <w:name w:val="Heading 1 Char"/>
    <w:basedOn w:val="DefaultParagraphFont"/>
    <w:link w:val="Heading1"/>
    <w:rsid w:val="005C65A3"/>
    <w:rPr>
      <w:rFonts w:ascii="Helvetica" w:eastAsia="Times New Roman" w:hAnsi="Helvetica" w:cs="Times New Roman"/>
      <w:b/>
      <w:caps/>
      <w:kern w:val="28"/>
      <w:sz w:val="26"/>
      <w:szCs w:val="20"/>
      <w:u w:val="single"/>
    </w:rPr>
  </w:style>
  <w:style w:type="paragraph" w:styleId="FootnoteText">
    <w:name w:val="footnote text"/>
    <w:basedOn w:val="Normal"/>
    <w:link w:val="FootnoteTextChar"/>
    <w:uiPriority w:val="99"/>
    <w:semiHidden/>
    <w:unhideWhenUsed/>
    <w:rsid w:val="00CA4A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AB6"/>
    <w:rPr>
      <w:sz w:val="20"/>
      <w:szCs w:val="20"/>
    </w:rPr>
  </w:style>
  <w:style w:type="character" w:styleId="FootnoteReference">
    <w:name w:val="footnote reference"/>
    <w:basedOn w:val="DefaultParagraphFont"/>
    <w:uiPriority w:val="99"/>
    <w:semiHidden/>
    <w:unhideWhenUsed/>
    <w:rsid w:val="00CA4AB6"/>
    <w:rPr>
      <w:vertAlign w:val="superscript"/>
    </w:rPr>
  </w:style>
  <w:style w:type="paragraph" w:styleId="Caption">
    <w:name w:val="caption"/>
    <w:basedOn w:val="Normal"/>
    <w:next w:val="Normal"/>
    <w:uiPriority w:val="35"/>
    <w:unhideWhenUsed/>
    <w:qFormat/>
    <w:rsid w:val="00372189"/>
    <w:pPr>
      <w:spacing w:after="200" w:line="240" w:lineRule="auto"/>
    </w:pPr>
    <w:rPr>
      <w:i/>
      <w:iCs/>
      <w:color w:val="44546A" w:themeColor="text2"/>
      <w:sz w:val="18"/>
      <w:szCs w:val="18"/>
    </w:rPr>
  </w:style>
  <w:style w:type="paragraph" w:styleId="Header">
    <w:name w:val="header"/>
    <w:basedOn w:val="Normal"/>
    <w:link w:val="HeaderChar"/>
    <w:uiPriority w:val="99"/>
    <w:unhideWhenUsed/>
    <w:rsid w:val="00037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38D"/>
  </w:style>
  <w:style w:type="paragraph" w:styleId="Footer">
    <w:name w:val="footer"/>
    <w:basedOn w:val="Normal"/>
    <w:link w:val="FooterChar"/>
    <w:uiPriority w:val="99"/>
    <w:unhideWhenUsed/>
    <w:rsid w:val="00037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38D"/>
  </w:style>
  <w:style w:type="character" w:styleId="CommentReference">
    <w:name w:val="annotation reference"/>
    <w:basedOn w:val="DefaultParagraphFont"/>
    <w:uiPriority w:val="99"/>
    <w:semiHidden/>
    <w:unhideWhenUsed/>
    <w:rsid w:val="006C0FDA"/>
    <w:rPr>
      <w:sz w:val="16"/>
      <w:szCs w:val="16"/>
    </w:rPr>
  </w:style>
  <w:style w:type="paragraph" w:styleId="CommentText">
    <w:name w:val="annotation text"/>
    <w:basedOn w:val="Normal"/>
    <w:link w:val="CommentTextChar"/>
    <w:uiPriority w:val="99"/>
    <w:unhideWhenUsed/>
    <w:rsid w:val="006C0FDA"/>
    <w:pPr>
      <w:spacing w:line="240" w:lineRule="auto"/>
    </w:pPr>
    <w:rPr>
      <w:sz w:val="20"/>
      <w:szCs w:val="20"/>
    </w:rPr>
  </w:style>
  <w:style w:type="character" w:customStyle="1" w:styleId="CommentTextChar">
    <w:name w:val="Comment Text Char"/>
    <w:basedOn w:val="DefaultParagraphFont"/>
    <w:link w:val="CommentText"/>
    <w:uiPriority w:val="99"/>
    <w:rsid w:val="006C0FDA"/>
    <w:rPr>
      <w:sz w:val="20"/>
      <w:szCs w:val="20"/>
    </w:rPr>
  </w:style>
  <w:style w:type="paragraph" w:styleId="CommentSubject">
    <w:name w:val="annotation subject"/>
    <w:basedOn w:val="CommentText"/>
    <w:next w:val="CommentText"/>
    <w:link w:val="CommentSubjectChar"/>
    <w:uiPriority w:val="99"/>
    <w:semiHidden/>
    <w:unhideWhenUsed/>
    <w:rsid w:val="006C0FDA"/>
    <w:rPr>
      <w:b/>
      <w:bCs/>
    </w:rPr>
  </w:style>
  <w:style w:type="character" w:customStyle="1" w:styleId="CommentSubjectChar">
    <w:name w:val="Comment Subject Char"/>
    <w:basedOn w:val="CommentTextChar"/>
    <w:link w:val="CommentSubject"/>
    <w:uiPriority w:val="99"/>
    <w:semiHidden/>
    <w:rsid w:val="006C0FDA"/>
    <w:rPr>
      <w:b/>
      <w:bCs/>
      <w:sz w:val="20"/>
      <w:szCs w:val="20"/>
    </w:rPr>
  </w:style>
  <w:style w:type="character" w:styleId="Hyperlink">
    <w:name w:val="Hyperlink"/>
    <w:basedOn w:val="DefaultParagraphFont"/>
    <w:uiPriority w:val="99"/>
    <w:unhideWhenUsed/>
    <w:rsid w:val="00E73912"/>
    <w:rPr>
      <w:color w:val="0563C1" w:themeColor="hyperlink"/>
      <w:u w:val="single"/>
    </w:rPr>
  </w:style>
  <w:style w:type="character" w:styleId="UnresolvedMention">
    <w:name w:val="Unresolved Mention"/>
    <w:basedOn w:val="DefaultParagraphFont"/>
    <w:uiPriority w:val="99"/>
    <w:semiHidden/>
    <w:unhideWhenUsed/>
    <w:rsid w:val="00E73912"/>
    <w:rPr>
      <w:color w:val="605E5C"/>
      <w:shd w:val="clear" w:color="auto" w:fill="E1DFDD"/>
    </w:rPr>
  </w:style>
  <w:style w:type="paragraph" w:styleId="Revision">
    <w:name w:val="Revision"/>
    <w:hidden/>
    <w:uiPriority w:val="99"/>
    <w:semiHidden/>
    <w:rsid w:val="00C72BA9"/>
    <w:pPr>
      <w:spacing w:after="0" w:line="240" w:lineRule="auto"/>
    </w:pPr>
  </w:style>
  <w:style w:type="character" w:styleId="PageNumber">
    <w:name w:val="page number"/>
    <w:basedOn w:val="DefaultParagraphFont"/>
    <w:rsid w:val="000353F5"/>
  </w:style>
  <w:style w:type="table" w:styleId="TableGrid">
    <w:name w:val="Table Grid"/>
    <w:basedOn w:val="TableNormal"/>
    <w:uiPriority w:val="39"/>
    <w:rsid w:val="009A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7C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95530">
      <w:bodyDiv w:val="1"/>
      <w:marLeft w:val="0"/>
      <w:marRight w:val="0"/>
      <w:marTop w:val="0"/>
      <w:marBottom w:val="0"/>
      <w:divBdr>
        <w:top w:val="none" w:sz="0" w:space="0" w:color="auto"/>
        <w:left w:val="none" w:sz="0" w:space="0" w:color="auto"/>
        <w:bottom w:val="none" w:sz="0" w:space="0" w:color="auto"/>
        <w:right w:val="none" w:sz="0" w:space="0" w:color="auto"/>
      </w:divBdr>
    </w:div>
    <w:div w:id="281114334">
      <w:bodyDiv w:val="1"/>
      <w:marLeft w:val="0"/>
      <w:marRight w:val="0"/>
      <w:marTop w:val="0"/>
      <w:marBottom w:val="0"/>
      <w:divBdr>
        <w:top w:val="none" w:sz="0" w:space="0" w:color="auto"/>
        <w:left w:val="none" w:sz="0" w:space="0" w:color="auto"/>
        <w:bottom w:val="none" w:sz="0" w:space="0" w:color="auto"/>
        <w:right w:val="none" w:sz="0" w:space="0" w:color="auto"/>
      </w:divBdr>
    </w:div>
    <w:div w:id="972439266">
      <w:bodyDiv w:val="1"/>
      <w:marLeft w:val="0"/>
      <w:marRight w:val="0"/>
      <w:marTop w:val="0"/>
      <w:marBottom w:val="0"/>
      <w:divBdr>
        <w:top w:val="none" w:sz="0" w:space="0" w:color="auto"/>
        <w:left w:val="none" w:sz="0" w:space="0" w:color="auto"/>
        <w:bottom w:val="none" w:sz="0" w:space="0" w:color="auto"/>
        <w:right w:val="none" w:sz="0" w:space="0" w:color="auto"/>
      </w:divBdr>
    </w:div>
    <w:div w:id="1012683141">
      <w:bodyDiv w:val="1"/>
      <w:marLeft w:val="0"/>
      <w:marRight w:val="0"/>
      <w:marTop w:val="0"/>
      <w:marBottom w:val="0"/>
      <w:divBdr>
        <w:top w:val="none" w:sz="0" w:space="0" w:color="auto"/>
        <w:left w:val="none" w:sz="0" w:space="0" w:color="auto"/>
        <w:bottom w:val="none" w:sz="0" w:space="0" w:color="auto"/>
        <w:right w:val="none" w:sz="0" w:space="0" w:color="auto"/>
      </w:divBdr>
    </w:div>
    <w:div w:id="1129086245">
      <w:bodyDiv w:val="1"/>
      <w:marLeft w:val="0"/>
      <w:marRight w:val="0"/>
      <w:marTop w:val="0"/>
      <w:marBottom w:val="0"/>
      <w:divBdr>
        <w:top w:val="none" w:sz="0" w:space="0" w:color="auto"/>
        <w:left w:val="none" w:sz="0" w:space="0" w:color="auto"/>
        <w:bottom w:val="none" w:sz="0" w:space="0" w:color="auto"/>
        <w:right w:val="none" w:sz="0" w:space="0" w:color="auto"/>
      </w:divBdr>
    </w:div>
    <w:div w:id="1131436420">
      <w:bodyDiv w:val="1"/>
      <w:marLeft w:val="0"/>
      <w:marRight w:val="0"/>
      <w:marTop w:val="0"/>
      <w:marBottom w:val="0"/>
      <w:divBdr>
        <w:top w:val="none" w:sz="0" w:space="0" w:color="auto"/>
        <w:left w:val="none" w:sz="0" w:space="0" w:color="auto"/>
        <w:bottom w:val="none" w:sz="0" w:space="0" w:color="auto"/>
        <w:right w:val="none" w:sz="0" w:space="0" w:color="auto"/>
      </w:divBdr>
    </w:div>
    <w:div w:id="1168015231">
      <w:bodyDiv w:val="1"/>
      <w:marLeft w:val="0"/>
      <w:marRight w:val="0"/>
      <w:marTop w:val="0"/>
      <w:marBottom w:val="0"/>
      <w:divBdr>
        <w:top w:val="none" w:sz="0" w:space="0" w:color="auto"/>
        <w:left w:val="none" w:sz="0" w:space="0" w:color="auto"/>
        <w:bottom w:val="none" w:sz="0" w:space="0" w:color="auto"/>
        <w:right w:val="none" w:sz="0" w:space="0" w:color="auto"/>
      </w:divBdr>
    </w:div>
    <w:div w:id="1280255440">
      <w:bodyDiv w:val="1"/>
      <w:marLeft w:val="0"/>
      <w:marRight w:val="0"/>
      <w:marTop w:val="0"/>
      <w:marBottom w:val="0"/>
      <w:divBdr>
        <w:top w:val="none" w:sz="0" w:space="0" w:color="auto"/>
        <w:left w:val="none" w:sz="0" w:space="0" w:color="auto"/>
        <w:bottom w:val="none" w:sz="0" w:space="0" w:color="auto"/>
        <w:right w:val="none" w:sz="0" w:space="0" w:color="auto"/>
      </w:divBdr>
    </w:div>
    <w:div w:id="203766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calevip.org/find-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32C8BED6CF3548BF8333AE401CD8C8" ma:contentTypeVersion="12" ma:contentTypeDescription="Create a new document." ma:contentTypeScope="" ma:versionID="68943819a1656b960083b9b093039d7a">
  <xsd:schema xmlns:xsd="http://www.w3.org/2001/XMLSchema" xmlns:xs="http://www.w3.org/2001/XMLSchema" xmlns:p="http://schemas.microsoft.com/office/2006/metadata/properties" xmlns:ns3="b68f4fe1-3a55-4bcc-9c2a-17f3e71cc75b" xmlns:ns4="939e3009-1176-41fd-a24b-ed27b0027fde" targetNamespace="http://schemas.microsoft.com/office/2006/metadata/properties" ma:root="true" ma:fieldsID="112ca5a50018b9c1f946fe8308963e07" ns3:_="" ns4:_="">
    <xsd:import namespace="b68f4fe1-3a55-4bcc-9c2a-17f3e71cc75b"/>
    <xsd:import namespace="939e3009-1176-41fd-a24b-ed27b0027f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f4fe1-3a55-4bcc-9c2a-17f3e71cc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9e3009-1176-41fd-a24b-ed27b0027f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D9D2F6-A7D4-774A-AE4D-94B806B179CF}">
  <ds:schemaRefs>
    <ds:schemaRef ds:uri="http://schemas.openxmlformats.org/officeDocument/2006/bibliography"/>
  </ds:schemaRefs>
</ds:datastoreItem>
</file>

<file path=customXml/itemProps2.xml><?xml version="1.0" encoding="utf-8"?>
<ds:datastoreItem xmlns:ds="http://schemas.openxmlformats.org/officeDocument/2006/customXml" ds:itemID="{0B3DD195-1C30-4552-A3AC-1D9FA78F3AB4}">
  <ds:schemaRefs>
    <ds:schemaRef ds:uri="http://schemas.microsoft.com/sharepoint/v3/contenttype/forms"/>
  </ds:schemaRefs>
</ds:datastoreItem>
</file>

<file path=customXml/itemProps3.xml><?xml version="1.0" encoding="utf-8"?>
<ds:datastoreItem xmlns:ds="http://schemas.openxmlformats.org/officeDocument/2006/customXml" ds:itemID="{6BEF4708-1D23-4820-B836-BF3B637A7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f4fe1-3a55-4bcc-9c2a-17f3e71cc75b"/>
    <ds:schemaRef ds:uri="939e3009-1176-41fd-a24b-ed27b0027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568D7D-9408-4DD6-9EC4-8C5D5782268B}">
  <ds:schemaRefs>
    <ds:schemaRef ds:uri="http://schemas.microsoft.com/office/2006/metadata/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15</ap:Pages>
  <ap:Words>5149</ap:Words>
  <ap:Characters>29355</ap:Characters>
  <ap:Application>Microsoft Office Word</ap:Application>
  <ap:DocSecurity>0</ap:DocSecurity>
  <ap:Lines>244</ap:Lines>
  <ap:Paragraphs>68</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34436</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2021-04-15T09:58:58Z</dcterms:created>
  <dcterms:modified xsi:type="dcterms:W3CDTF">2021-04-15T09:58:58Z</dcterms:modified>
</cp:coreProperties>
</file>