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67E3" w:rsidR="00BD6C3F" w:rsidP="00B83EAA" w:rsidRDefault="00BD6C3F" w14:paraId="36E8DCE8" w14:textId="435CC6B6">
      <w:pPr>
        <w:pBdr>
          <w:top w:val="double" w:color="auto" w:sz="6" w:space="1"/>
        </w:pBdr>
        <w:jc w:val="both"/>
        <w:rPr>
          <w:b/>
          <w:i/>
        </w:rPr>
      </w:pPr>
      <w:bookmarkStart w:name="_Hlk35420093" w:id="0"/>
    </w:p>
    <w:p w:rsidRPr="00C567E3" w:rsidR="00BD6C3F" w:rsidRDefault="00F91FB5" w14:paraId="1E6F8C98" w14:textId="77777777">
      <w:pPr>
        <w:jc w:val="center"/>
        <w:rPr>
          <w:b/>
          <w:i/>
        </w:rPr>
      </w:pPr>
      <w:r>
        <w:rPr>
          <w:noProof/>
        </w:rPr>
        <mc:AlternateContent>
          <mc:Choice Requires="wps">
            <w:drawing>
              <wp:anchor distT="0" distB="0" distL="114300" distR="114300" simplePos="0" relativeHeight="251657216" behindDoc="0" locked="0" layoutInCell="0" allowOverlap="1" wp14:editId="6241D0B7" wp14:anchorId="35E30BA0">
                <wp:simplePos x="0" y="0"/>
                <wp:positionH relativeFrom="margin">
                  <wp:align>center</wp:align>
                </wp:positionH>
                <wp:positionV relativeFrom="paragraph">
                  <wp:posOffset>58420</wp:posOffset>
                </wp:positionV>
                <wp:extent cx="2195195" cy="274320"/>
                <wp:effectExtent l="19050" t="20320" r="1460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320"/>
                        </a:xfrm>
                        <a:prstGeom prst="rect">
                          <a:avLst/>
                        </a:prstGeom>
                        <a:solidFill>
                          <a:srgbClr val="CCCCCC"/>
                        </a:solidFill>
                        <a:ln w="25400">
                          <a:solidFill>
                            <a:srgbClr val="000000"/>
                          </a:solidFill>
                          <a:miter lim="800000"/>
                          <a:headEnd/>
                          <a:tailEnd/>
                        </a:ln>
                      </wps:spPr>
                      <wps:txbx>
                        <w:txbxContent>
                          <w:p w:rsidR="006A0B79" w:rsidRDefault="006A0B79" w14:paraId="6F6EB8B2" w14:textId="2D67A04A">
                            <w:pPr>
                              <w:jc w:val="center"/>
                              <w:rPr>
                                <w:rFonts w:ascii="Arial" w:hAnsi="Arial"/>
                                <w:sz w:val="28"/>
                              </w:rPr>
                            </w:pPr>
                            <w:r>
                              <w:rPr>
                                <w:rFonts w:ascii="Arial" w:hAnsi="Arial"/>
                                <w:sz w:val="28"/>
                              </w:rPr>
                              <w:t xml:space="preserve">Closed to the </w:t>
                            </w:r>
                            <w:r w:rsidR="004A455E">
                              <w:rPr>
                                <w:rFonts w:ascii="Arial" w:hAnsi="Arial"/>
                                <w:sz w:val="28"/>
                              </w:rPr>
                              <w:t>Public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4.6pt;width:172.85pt;height:21.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color="#ccc" strokeweight="2pt" w14:anchorId="35E30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">
                <v:textbox inset="1pt,1pt,1pt,1pt">
                  <w:txbxContent>
                    <w:p w:rsidR="006A0B79" w:rsidRDefault="006A0B79" w14:paraId="6F6EB8B2" w14:textId="2D67A04A">
                      <w:pPr>
                        <w:jc w:val="center"/>
                        <w:rPr>
                          <w:rFonts w:ascii="Arial" w:hAnsi="Arial"/>
                          <w:sz w:val="28"/>
                        </w:rPr>
                      </w:pPr>
                      <w:r>
                        <w:rPr>
                          <w:rFonts w:ascii="Arial" w:hAnsi="Arial"/>
                          <w:sz w:val="28"/>
                        </w:rPr>
                        <w:t xml:space="preserve">Closed to the </w:t>
                      </w:r>
                      <w:r w:rsidR="004A455E">
                        <w:rPr>
                          <w:rFonts w:ascii="Arial" w:hAnsi="Arial"/>
                          <w:sz w:val="28"/>
                        </w:rPr>
                        <w:t>Public</w:t>
                      </w:r>
                    </w:p>
                  </w:txbxContent>
                </v:textbox>
                <w10:wrap anchorx="margin"/>
              </v:rect>
            </w:pict>
          </mc:Fallback>
        </mc:AlternateContent>
      </w:r>
    </w:p>
    <w:p w:rsidRPr="00C567E3" w:rsidR="00BD6C3F" w:rsidRDefault="00BD6C3F" w14:paraId="387174AB" w14:textId="77777777">
      <w:pPr>
        <w:jc w:val="both"/>
        <w:rPr>
          <w:b/>
          <w:i/>
        </w:rPr>
      </w:pPr>
    </w:p>
    <w:p w:rsidRPr="00C567E3" w:rsidR="00BD6C3F" w:rsidRDefault="00BD6C3F" w14:paraId="7395889A" w14:textId="77777777">
      <w:pPr>
        <w:jc w:val="center"/>
        <w:rPr>
          <w:b/>
          <w:i/>
        </w:rPr>
      </w:pPr>
    </w:p>
    <w:p w:rsidRPr="00B83EAA" w:rsidR="00BD6C3F" w:rsidRDefault="00BD6C3F" w14:paraId="4AA67CE6" w14:textId="77777777">
      <w:pPr>
        <w:jc w:val="center"/>
        <w:rPr>
          <w:b/>
          <w:i/>
          <w:sz w:val="28"/>
        </w:rPr>
      </w:pPr>
      <w:r w:rsidRPr="00B83EAA">
        <w:rPr>
          <w:b/>
          <w:i/>
          <w:sz w:val="28"/>
        </w:rPr>
        <w:t>Public Utilities Commission of the State of California</w:t>
      </w:r>
    </w:p>
    <w:p w:rsidRPr="00C567E3" w:rsidR="00BD6C3F" w:rsidRDefault="00BD6C3F" w14:paraId="70124E41" w14:textId="77777777">
      <w:pPr>
        <w:jc w:val="center"/>
        <w:rPr>
          <w:b/>
          <w:i/>
        </w:rPr>
      </w:pPr>
    </w:p>
    <w:p w:rsidRPr="0089231D" w:rsidR="00BD6C3F" w:rsidRDefault="00BD6C3F" w14:paraId="0951177E" w14:textId="0539FA70">
      <w:pPr>
        <w:jc w:val="center"/>
        <w:rPr>
          <w:b/>
          <w:i/>
          <w:sz w:val="28"/>
          <w:szCs w:val="28"/>
        </w:rPr>
      </w:pPr>
      <w:r w:rsidRPr="0089231D">
        <w:rPr>
          <w:b/>
          <w:i/>
          <w:sz w:val="28"/>
          <w:szCs w:val="28"/>
        </w:rPr>
        <w:t xml:space="preserve">Ratesetting Deliberative Meeting Agenda No. </w:t>
      </w:r>
      <w:r w:rsidR="007852F3">
        <w:rPr>
          <w:b/>
          <w:i/>
          <w:sz w:val="28"/>
          <w:szCs w:val="28"/>
        </w:rPr>
        <w:t>1</w:t>
      </w:r>
      <w:r w:rsidR="00BD6C8F">
        <w:rPr>
          <w:b/>
          <w:i/>
          <w:sz w:val="28"/>
          <w:szCs w:val="28"/>
        </w:rPr>
        <w:t>4</w:t>
      </w:r>
      <w:r w:rsidR="004A455E">
        <w:rPr>
          <w:b/>
          <w:i/>
          <w:sz w:val="28"/>
          <w:szCs w:val="28"/>
        </w:rPr>
        <w:t>1</w:t>
      </w:r>
    </w:p>
    <w:p w:rsidR="00BD6C3F" w:rsidRDefault="002107A3" w14:paraId="06FEE444" w14:textId="2EA94152">
      <w:pPr>
        <w:jc w:val="center"/>
        <w:rPr>
          <w:b/>
          <w:i/>
          <w:sz w:val="28"/>
          <w:szCs w:val="28"/>
        </w:rPr>
      </w:pPr>
      <w:r>
        <w:rPr>
          <w:b/>
          <w:i/>
          <w:sz w:val="28"/>
          <w:szCs w:val="28"/>
        </w:rPr>
        <w:t>Monday</w:t>
      </w:r>
      <w:r w:rsidRPr="0089231D" w:rsidR="00BD6C3F">
        <w:rPr>
          <w:b/>
          <w:i/>
          <w:sz w:val="28"/>
          <w:szCs w:val="28"/>
        </w:rPr>
        <w:t>,</w:t>
      </w:r>
      <w:r w:rsidR="00775D95">
        <w:rPr>
          <w:b/>
          <w:i/>
          <w:sz w:val="28"/>
          <w:szCs w:val="28"/>
        </w:rPr>
        <w:t xml:space="preserve"> </w:t>
      </w:r>
      <w:r w:rsidR="004A455E">
        <w:rPr>
          <w:b/>
          <w:i/>
          <w:sz w:val="28"/>
          <w:szCs w:val="28"/>
        </w:rPr>
        <w:t>April</w:t>
      </w:r>
      <w:r w:rsidR="00A56A47">
        <w:rPr>
          <w:b/>
          <w:i/>
          <w:sz w:val="28"/>
          <w:szCs w:val="28"/>
        </w:rPr>
        <w:t xml:space="preserve"> </w:t>
      </w:r>
      <w:r w:rsidR="004A455E">
        <w:rPr>
          <w:b/>
          <w:i/>
          <w:sz w:val="28"/>
          <w:szCs w:val="28"/>
        </w:rPr>
        <w:t>19</w:t>
      </w:r>
      <w:r w:rsidR="00A56A47">
        <w:rPr>
          <w:b/>
          <w:i/>
          <w:sz w:val="28"/>
          <w:szCs w:val="28"/>
        </w:rPr>
        <w:t>, 2021,</w:t>
      </w:r>
      <w:r w:rsidRPr="0089231D" w:rsidR="0089231D">
        <w:rPr>
          <w:b/>
          <w:i/>
          <w:sz w:val="28"/>
          <w:szCs w:val="28"/>
        </w:rPr>
        <w:t xml:space="preserve"> </w:t>
      </w:r>
      <w:r w:rsidR="004A455E">
        <w:rPr>
          <w:b/>
          <w:i/>
          <w:sz w:val="28"/>
          <w:szCs w:val="28"/>
        </w:rPr>
        <w:t>10</w:t>
      </w:r>
      <w:r w:rsidRPr="0089231D" w:rsidR="00BD6C3F">
        <w:rPr>
          <w:b/>
          <w:i/>
          <w:sz w:val="28"/>
          <w:szCs w:val="28"/>
        </w:rPr>
        <w:t>:</w:t>
      </w:r>
      <w:r w:rsidR="004A455E">
        <w:rPr>
          <w:b/>
          <w:i/>
          <w:sz w:val="28"/>
          <w:szCs w:val="28"/>
        </w:rPr>
        <w:t>0</w:t>
      </w:r>
      <w:r w:rsidRPr="0089231D" w:rsidR="000E491C">
        <w:rPr>
          <w:b/>
          <w:i/>
          <w:sz w:val="28"/>
          <w:szCs w:val="28"/>
        </w:rPr>
        <w:t>0</w:t>
      </w:r>
      <w:r w:rsidR="00F918E8">
        <w:rPr>
          <w:b/>
          <w:i/>
          <w:sz w:val="28"/>
          <w:szCs w:val="28"/>
        </w:rPr>
        <w:t xml:space="preserve"> </w:t>
      </w:r>
      <w:r w:rsidR="00522ED2">
        <w:rPr>
          <w:b/>
          <w:i/>
          <w:sz w:val="28"/>
          <w:szCs w:val="28"/>
        </w:rPr>
        <w:t>a</w:t>
      </w:r>
      <w:r w:rsidRPr="0089231D" w:rsidR="00BD6C3F">
        <w:rPr>
          <w:b/>
          <w:i/>
          <w:sz w:val="28"/>
          <w:szCs w:val="28"/>
        </w:rPr>
        <w:t>.m</w:t>
      </w:r>
      <w:r w:rsidRPr="0089231D" w:rsidR="00740B49">
        <w:rPr>
          <w:b/>
          <w:i/>
          <w:sz w:val="28"/>
          <w:szCs w:val="28"/>
        </w:rPr>
        <w:t>.</w:t>
      </w:r>
    </w:p>
    <w:p w:rsidRPr="0089231D" w:rsidR="00BD6C3F" w:rsidRDefault="007C30DB" w14:paraId="7B87AD9C" w14:textId="40AC98B3">
      <w:pPr>
        <w:jc w:val="center"/>
        <w:rPr>
          <w:b/>
          <w:i/>
          <w:sz w:val="28"/>
          <w:szCs w:val="28"/>
        </w:rPr>
      </w:pPr>
      <w:r>
        <w:rPr>
          <w:b/>
          <w:i/>
          <w:sz w:val="28"/>
          <w:szCs w:val="28"/>
        </w:rPr>
        <w:t>Remotely</w:t>
      </w:r>
    </w:p>
    <w:p w:rsidR="00BD6C3F" w:rsidRDefault="00BD6C3F" w14:paraId="1F1C409F" w14:textId="77777777">
      <w:pPr>
        <w:jc w:val="center"/>
        <w:rPr>
          <w:b/>
          <w:i/>
        </w:rPr>
      </w:pPr>
    </w:p>
    <w:p w:rsidRPr="00C567E3" w:rsidR="00D01779" w:rsidRDefault="00D01779" w14:paraId="19E7CC7C" w14:textId="77777777">
      <w:pPr>
        <w:jc w:val="center"/>
        <w:rPr>
          <w:b/>
          <w:i/>
        </w:rPr>
      </w:pPr>
    </w:p>
    <w:p w:rsidRPr="005D7BD0" w:rsidR="00BD6C3F" w:rsidRDefault="00BD6C3F" w14:paraId="6C9C77C7" w14:textId="3A21E521">
      <w:pPr>
        <w:jc w:val="center"/>
        <w:rPr>
          <w:b/>
          <w:u w:val="single"/>
        </w:rPr>
      </w:pPr>
      <w:r w:rsidRPr="005D7BD0">
        <w:rPr>
          <w:b/>
          <w:u w:val="single"/>
        </w:rPr>
        <w:t>Commissioners</w:t>
      </w:r>
    </w:p>
    <w:p w:rsidRPr="00C567E3" w:rsidR="007C30DB" w:rsidRDefault="007C30DB" w14:paraId="415FF69C" w14:textId="77777777">
      <w:pPr>
        <w:jc w:val="center"/>
        <w:rPr>
          <w:b/>
        </w:rPr>
      </w:pPr>
    </w:p>
    <w:p w:rsidRPr="00C567E3" w:rsidR="00BD6C3F" w:rsidRDefault="00294431" w14:paraId="49ABF91D" w14:textId="6B392080">
      <w:pPr>
        <w:jc w:val="center"/>
        <w:rPr>
          <w:b/>
        </w:rPr>
      </w:pPr>
      <w:r>
        <w:rPr>
          <w:b/>
        </w:rPr>
        <w:t>Marybel Batjer</w:t>
      </w:r>
      <w:r w:rsidRPr="00C567E3" w:rsidR="00BD6C3F">
        <w:rPr>
          <w:b/>
        </w:rPr>
        <w:t>, President</w:t>
      </w:r>
    </w:p>
    <w:p w:rsidRPr="005D7BD0" w:rsidR="00BD6C3F" w:rsidRDefault="004C4FD2" w14:paraId="6580B60F" w14:textId="77777777">
      <w:pPr>
        <w:jc w:val="center"/>
      </w:pPr>
      <w:r>
        <w:rPr>
          <w:b/>
        </w:rPr>
        <w:t>Martha Guzman Aceves</w:t>
      </w:r>
    </w:p>
    <w:p w:rsidR="00BD6C3F" w:rsidRDefault="004C4FD2" w14:paraId="4F00E837" w14:textId="7D3119EC">
      <w:pPr>
        <w:jc w:val="center"/>
        <w:rPr>
          <w:b/>
        </w:rPr>
      </w:pPr>
      <w:r>
        <w:rPr>
          <w:b/>
        </w:rPr>
        <w:t>Clifford Rechtschaffen</w:t>
      </w:r>
    </w:p>
    <w:p w:rsidR="00294431" w:rsidRDefault="00294431" w14:paraId="5FBC7E2D" w14:textId="0E4A88DC">
      <w:pPr>
        <w:jc w:val="center"/>
        <w:rPr>
          <w:b/>
        </w:rPr>
      </w:pPr>
      <w:r w:rsidRPr="0094227C">
        <w:rPr>
          <w:b/>
        </w:rPr>
        <w:t>Genevieve Shiroma</w:t>
      </w:r>
    </w:p>
    <w:p w:rsidR="00A56A47" w:rsidRDefault="00A56A47" w14:paraId="5C710E3A" w14:textId="5C331494">
      <w:pPr>
        <w:jc w:val="center"/>
        <w:rPr>
          <w:b/>
        </w:rPr>
      </w:pPr>
      <w:r>
        <w:rPr>
          <w:b/>
        </w:rPr>
        <w:t>Darcie L. Houck</w:t>
      </w:r>
    </w:p>
    <w:p w:rsidR="00BD6C3F" w:rsidRDefault="00BD6C3F" w14:paraId="70D97865" w14:textId="6E7DFEB4">
      <w:pPr>
        <w:rPr>
          <w:b/>
        </w:rPr>
      </w:pPr>
    </w:p>
    <w:p w:rsidR="00301BC8" w:rsidP="00301BC8" w:rsidRDefault="00301BC8" w14:paraId="2198C8FD" w14:textId="77777777">
      <w:pPr>
        <w:autoSpaceDE w:val="0"/>
        <w:autoSpaceDN w:val="0"/>
        <w:adjustRightInd w:val="0"/>
        <w:jc w:val="center"/>
        <w:rPr>
          <w:rFonts w:ascii="TimesNewRoman" w:hAnsi="TimesNewRoman" w:cs="TimesNewRoman"/>
        </w:rPr>
      </w:pPr>
      <w:r>
        <w:rPr>
          <w:rFonts w:ascii="TimesNewRoman" w:hAnsi="TimesNewRoman" w:cs="TimesNewRoman"/>
        </w:rPr>
        <w:t>Pursuant to Executive Order N-29-20, paragraph 3, that was issued on March 17, 2020, Commissioners may participate remotely from teleconferencing locations</w:t>
      </w:r>
    </w:p>
    <w:p w:rsidRPr="0019248B" w:rsidR="0019248B" w:rsidP="0019248B" w:rsidRDefault="0019248B" w14:paraId="36AAFBF1" w14:textId="77777777">
      <w:pPr>
        <w:jc w:val="center"/>
        <w:rPr>
          <w:rFonts w:eastAsia="Calibri"/>
        </w:rPr>
      </w:pPr>
    </w:p>
    <w:p w:rsidRPr="0019248B" w:rsidR="0019248B" w:rsidP="0019248B" w:rsidRDefault="0019248B" w14:paraId="589017C7" w14:textId="2381FE4D">
      <w:pPr>
        <w:jc w:val="center"/>
        <w:rPr>
          <w:rFonts w:eastAsia="Calibri"/>
        </w:rPr>
      </w:pPr>
      <w:r w:rsidRPr="0019248B">
        <w:rPr>
          <w:rFonts w:eastAsia="Calibri"/>
        </w:rPr>
        <w:t>Link to Executive Order N-2</w:t>
      </w:r>
      <w:r w:rsidR="00EB79E4">
        <w:rPr>
          <w:rFonts w:eastAsia="Calibri"/>
        </w:rPr>
        <w:t>9</w:t>
      </w:r>
      <w:r w:rsidRPr="0019248B">
        <w:rPr>
          <w:rFonts w:eastAsia="Calibri"/>
        </w:rPr>
        <w:t>-20:</w:t>
      </w:r>
    </w:p>
    <w:p w:rsidRPr="0019248B" w:rsidR="0019248B" w:rsidP="0019248B" w:rsidRDefault="0026551F" w14:paraId="6453DCB5" w14:textId="047CD571">
      <w:pPr>
        <w:jc w:val="center"/>
      </w:pPr>
      <w:hyperlink w:history="1" r:id="rId8">
        <w:r w:rsidRPr="00EB79E4" w:rsidR="00EB79E4">
          <w:rPr>
            <w:rStyle w:val="Hyperlink"/>
          </w:rPr>
          <w:t>https://www.gov.ca.gov/wp-content/uploads/2020/03/3.17.20-N-29-20-EO.pdf</w:t>
        </w:r>
      </w:hyperlink>
    </w:p>
    <w:p w:rsidRPr="00C567E3" w:rsidR="0019248B" w:rsidRDefault="0019248B" w14:paraId="72A12AFC" w14:textId="77777777">
      <w:pPr>
        <w:rPr>
          <w:b/>
        </w:rPr>
      </w:pPr>
    </w:p>
    <w:p w:rsidR="00BD6C3F" w:rsidP="00B83EAA" w:rsidRDefault="00BD6C3F" w14:paraId="4E247F0B" w14:textId="6A07A94F">
      <w:pPr>
        <w:jc w:val="center"/>
        <w:rPr>
          <w:i/>
        </w:rPr>
      </w:pPr>
      <w:r w:rsidRPr="00C567E3">
        <w:rPr>
          <w:i/>
        </w:rPr>
        <w:t xml:space="preserve">This Ratesetting Deliberative Meeting will commence at the above date and time and may be continued from day to day up to the convening of the </w:t>
      </w:r>
      <w:r w:rsidR="004A455E">
        <w:rPr>
          <w:i/>
        </w:rPr>
        <w:t>April</w:t>
      </w:r>
      <w:r w:rsidR="00A56A47">
        <w:rPr>
          <w:i/>
        </w:rPr>
        <w:t xml:space="preserve"> </w:t>
      </w:r>
      <w:r w:rsidR="004A455E">
        <w:rPr>
          <w:i/>
        </w:rPr>
        <w:t>22</w:t>
      </w:r>
      <w:r w:rsidR="00A56A47">
        <w:rPr>
          <w:i/>
        </w:rPr>
        <w:t>, 2021</w:t>
      </w:r>
      <w:r w:rsidRPr="00C567E3">
        <w:rPr>
          <w:i/>
        </w:rPr>
        <w:t xml:space="preserve"> Business Meeting.</w:t>
      </w:r>
    </w:p>
    <w:p w:rsidRPr="00C567E3" w:rsidR="002E7043" w:rsidP="00B83EAA" w:rsidRDefault="002E7043" w14:paraId="692AACF3" w14:textId="77777777">
      <w:pPr>
        <w:jc w:val="center"/>
        <w:rPr>
          <w:i/>
        </w:rPr>
      </w:pPr>
      <w:r w:rsidRPr="002E7043">
        <w:rPr>
          <w:i/>
        </w:rPr>
        <w:t>This Ratesetting Deliberative Meeting is being held pursuant to Pub. Util. Code § 1701.3(h)(6).</w:t>
      </w:r>
    </w:p>
    <w:p w:rsidRPr="00C567E3" w:rsidR="00BD6C3F" w:rsidRDefault="00BD6C3F" w14:paraId="2539CBF5" w14:textId="77777777">
      <w:pPr>
        <w:rPr>
          <w:i/>
        </w:rPr>
      </w:pPr>
    </w:p>
    <w:p w:rsidR="00BD6C3F" w:rsidRDefault="00BD6C3F" w14:paraId="35523C23" w14:textId="78CF751F">
      <w:pPr>
        <w:pBdr>
          <w:bottom w:val="double" w:color="auto" w:sz="6" w:space="1"/>
        </w:pBdr>
        <w:jc w:val="center"/>
        <w:rPr>
          <w:i/>
        </w:rPr>
      </w:pPr>
      <w:r w:rsidRPr="00C567E3">
        <w:rPr>
          <w:i/>
        </w:rPr>
        <w:t xml:space="preserve">Website:  </w:t>
      </w:r>
      <w:hyperlink w:history="1" r:id="rId9">
        <w:r w:rsidRPr="00767F35" w:rsidR="002C6125">
          <w:rPr>
            <w:rStyle w:val="Hyperlink"/>
            <w:i/>
          </w:rPr>
          <w:t>http://www.cpuc.ca.gov</w:t>
        </w:r>
      </w:hyperlink>
    </w:p>
    <w:p w:rsidRPr="00C567E3" w:rsidR="00BD6C3F" w:rsidRDefault="00BD6C3F" w14:paraId="2ED9E528" w14:textId="77777777">
      <w:pPr>
        <w:jc w:val="center"/>
      </w:pPr>
    </w:p>
    <w:p w:rsidRPr="00C567E3" w:rsidR="00BD6C3F" w:rsidRDefault="00BD6C3F" w14:paraId="3ACB257E" w14:textId="77777777">
      <w:pPr>
        <w:jc w:val="center"/>
      </w:pPr>
    </w:p>
    <w:p w:rsidRPr="00C567E3" w:rsidR="00BD6C3F" w:rsidRDefault="00BD6C3F" w14:paraId="1E6A2413" w14:textId="77777777">
      <w:pPr>
        <w:jc w:val="center"/>
      </w:pPr>
      <w:r w:rsidRPr="00C567E3">
        <w:t>Ratesetting Deliberative Meeting</w:t>
      </w:r>
    </w:p>
    <w:p w:rsidRPr="00C567E3" w:rsidR="00BD6C3F" w:rsidRDefault="004A455E" w14:paraId="68F6A373" w14:textId="77B8B95C">
      <w:pPr>
        <w:jc w:val="center"/>
      </w:pPr>
      <w:r>
        <w:t>10</w:t>
      </w:r>
      <w:r w:rsidRPr="00C567E3" w:rsidR="00B3196E">
        <w:t>:</w:t>
      </w:r>
      <w:r>
        <w:t>0</w:t>
      </w:r>
      <w:r w:rsidRPr="00C567E3" w:rsidR="000E491C">
        <w:t>0</w:t>
      </w:r>
      <w:r w:rsidR="00566CCC">
        <w:t xml:space="preserve"> </w:t>
      </w:r>
      <w:r w:rsidR="00522ED2">
        <w:t>a</w:t>
      </w:r>
      <w:r w:rsidRPr="00C567E3" w:rsidR="00BD6C3F">
        <w:t>.m.</w:t>
      </w:r>
    </w:p>
    <w:p w:rsidR="008B347B" w:rsidP="00294431" w:rsidRDefault="007C30DB" w14:paraId="5375FDCF" w14:textId="0F846BFB">
      <w:pPr>
        <w:jc w:val="center"/>
      </w:pPr>
      <w:r>
        <w:t>Remotely</w:t>
      </w:r>
    </w:p>
    <w:p w:rsidR="007C30DB" w:rsidP="00294431" w:rsidRDefault="007C30DB" w14:paraId="662F2817" w14:textId="77777777">
      <w:pPr>
        <w:jc w:val="center"/>
      </w:pPr>
    </w:p>
    <w:p w:rsidRPr="00C567E3" w:rsidR="00D865FC" w:rsidP="00D865FC" w:rsidRDefault="00D865FC" w14:paraId="7096C304" w14:textId="77777777">
      <w:pPr>
        <w:jc w:val="center"/>
      </w:pPr>
    </w:p>
    <w:p w:rsidRPr="00C567E3" w:rsidR="00BD6C3F" w:rsidRDefault="00F91FB5" w14:paraId="62C461F8" w14:textId="77777777">
      <w:r>
        <w:rPr>
          <w:noProof/>
        </w:rPr>
        <mc:AlternateContent>
          <mc:Choice Requires="wps">
            <w:drawing>
              <wp:anchor distT="0" distB="0" distL="114300" distR="114300" simplePos="0" relativeHeight="251658240" behindDoc="0" locked="0" layoutInCell="0" allowOverlap="1" wp14:editId="614C2316" wp14:anchorId="11F0E349">
                <wp:simplePos x="0" y="0"/>
                <wp:positionH relativeFrom="margin">
                  <wp:align>center</wp:align>
                </wp:positionH>
                <wp:positionV relativeFrom="paragraph">
                  <wp:posOffset>-7620</wp:posOffset>
                </wp:positionV>
                <wp:extent cx="4846955" cy="458470"/>
                <wp:effectExtent l="19050" t="20955" r="20320" b="158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458470"/>
                        </a:xfrm>
                        <a:prstGeom prst="rect">
                          <a:avLst/>
                        </a:prstGeom>
                        <a:solidFill>
                          <a:srgbClr val="CCCCCC"/>
                        </a:solidFill>
                        <a:ln w="25400">
                          <a:solidFill>
                            <a:srgbClr val="000000"/>
                          </a:solidFill>
                          <a:miter lim="800000"/>
                          <a:headEnd/>
                          <a:tailEnd/>
                        </a:ln>
                      </wps:spPr>
                      <wps:txbx>
                        <w:txbxContent>
                          <w:p w:rsidRPr="00D01779" w:rsidR="006A0B79" w:rsidP="001F4B5D" w:rsidRDefault="006A0B79" w14:paraId="60A98199" w14:textId="77777777">
                            <w:pPr>
                              <w:tabs>
                                <w:tab w:val="left" w:pos="1350"/>
                              </w:tabs>
                              <w:spacing w:after="60"/>
                              <w:jc w:val="center"/>
                              <w:rPr>
                                <w:sz w:val="22"/>
                              </w:rPr>
                            </w:pPr>
                            <w:r w:rsidRPr="00D01779">
                              <w:rPr>
                                <w:sz w:val="22"/>
                              </w:rPr>
                              <w:t>For further information contact the Public Advisor</w:t>
                            </w:r>
                          </w:p>
                          <w:p w:rsidRPr="00D01779" w:rsidR="006A0B79" w:rsidRDefault="006A0B79" w14:paraId="61DDC59D" w14:textId="68B1E304">
                            <w:pPr>
                              <w:tabs>
                                <w:tab w:val="left" w:pos="1350"/>
                              </w:tabs>
                              <w:jc w:val="center"/>
                              <w:rPr>
                                <w:sz w:val="22"/>
                              </w:rPr>
                            </w:pPr>
                            <w:r w:rsidRPr="00D01779">
                              <w:rPr>
                                <w:sz w:val="22"/>
                              </w:rPr>
                              <w:t xml:space="preserve">Phone: (415) 703-2074   </w:t>
                            </w:r>
                            <w:r w:rsidR="00294431">
                              <w:rPr>
                                <w:sz w:val="22"/>
                              </w:rPr>
                              <w:t>-</w:t>
                            </w:r>
                            <w:r w:rsidRPr="00D01779">
                              <w:rPr>
                                <w:sz w:val="22"/>
                              </w:rPr>
                              <w:t xml:space="preserve">   E-mail: </w:t>
                            </w:r>
                            <w:hyperlink w:history="1" r:id="rId10">
                              <w:r w:rsidRPr="00D01779" w:rsidR="002C6125">
                                <w:rPr>
                                  <w:rStyle w:val="Hyperlink"/>
                                  <w:sz w:val="22"/>
                                </w:rPr>
                                <w:t>public.advisor@cpuc.ca.gov</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6pt;width:381.65pt;height:3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o:allowincell="f" fillcolor="#ccc" strokeweight="2pt" w14:anchorId="11F0E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">
                <v:textbox inset="1pt,1pt,1pt,1pt">
                  <w:txbxContent>
                    <w:p w:rsidRPr="00D01779" w:rsidR="006A0B79" w:rsidP="001F4B5D" w:rsidRDefault="006A0B79" w14:paraId="60A98199" w14:textId="77777777">
                      <w:pPr>
                        <w:tabs>
                          <w:tab w:val="left" w:pos="1350"/>
                        </w:tabs>
                        <w:spacing w:after="60"/>
                        <w:jc w:val="center"/>
                        <w:rPr>
                          <w:sz w:val="22"/>
                        </w:rPr>
                      </w:pPr>
                      <w:r w:rsidRPr="00D01779">
                        <w:rPr>
                          <w:sz w:val="22"/>
                        </w:rPr>
                        <w:t>For further information contact the Public Advisor</w:t>
                      </w:r>
                    </w:p>
                    <w:p w:rsidRPr="00D01779" w:rsidR="006A0B79" w:rsidRDefault="006A0B79" w14:paraId="61DDC59D" w14:textId="68B1E304">
                      <w:pPr>
                        <w:tabs>
                          <w:tab w:val="left" w:pos="1350"/>
                        </w:tabs>
                        <w:jc w:val="center"/>
                        <w:rPr>
                          <w:sz w:val="22"/>
                        </w:rPr>
                      </w:pPr>
                      <w:r w:rsidRPr="00D01779">
                        <w:rPr>
                          <w:sz w:val="22"/>
                        </w:rPr>
                        <w:t xml:space="preserve">Phone: (415) 703-2074   </w:t>
                      </w:r>
                      <w:r w:rsidR="00294431">
                        <w:rPr>
                          <w:sz w:val="22"/>
                        </w:rPr>
                        <w:t>-</w:t>
                      </w:r>
                      <w:r w:rsidRPr="00D01779">
                        <w:rPr>
                          <w:sz w:val="22"/>
                        </w:rPr>
                        <w:t xml:space="preserve">   E-mail: </w:t>
                      </w:r>
                      <w:hyperlink w:history="1" r:id="rId11">
                        <w:r w:rsidRPr="00D01779" w:rsidR="002C6125">
                          <w:rPr>
                            <w:rStyle w:val="Hyperlink"/>
                            <w:sz w:val="22"/>
                          </w:rPr>
                          <w:t>public.advisor@cpuc.ca.gov</w:t>
                        </w:r>
                      </w:hyperlink>
                    </w:p>
                  </w:txbxContent>
                </v:textbox>
                <w10:wrap anchorx="margin"/>
              </v:rect>
            </w:pict>
          </mc:Fallback>
        </mc:AlternateContent>
      </w:r>
    </w:p>
    <w:p w:rsidRPr="00501A9C" w:rsidR="008B347B" w:rsidP="00501A9C" w:rsidRDefault="008B347B" w14:paraId="603EDFBE" w14:textId="77777777">
      <w:pPr>
        <w:sectPr w:rsidRPr="00501A9C" w:rsidR="008B347B" w:rsidSect="00B83EAA">
          <w:footerReference w:type="default" r:id="rId12"/>
          <w:pgSz w:w="12240" w:h="15840" w:code="1"/>
          <w:pgMar w:top="1440" w:right="1440" w:bottom="1440" w:left="1440" w:header="720" w:footer="720" w:gutter="0"/>
          <w:cols w:space="720"/>
          <w:titlePg/>
        </w:sectPr>
      </w:pPr>
    </w:p>
    <w:p w:rsidR="00EB4AA6" w:rsidP="00395577" w:rsidRDefault="001552C4" w14:paraId="25C064CA" w14:textId="47884E8A">
      <w:pPr>
        <w:pStyle w:val="Heading1"/>
        <w:rPr>
          <w:rFonts w:ascii="Arial" w:hAnsi="Arial" w:cs="Arial"/>
          <w:sz w:val="20"/>
          <w:szCs w:val="20"/>
        </w:rPr>
      </w:pPr>
      <w:r w:rsidRPr="00395577">
        <w:rPr>
          <w:rFonts w:ascii="Arial" w:hAnsi="Arial" w:cs="Arial"/>
          <w:sz w:val="20"/>
          <w:szCs w:val="20"/>
        </w:rPr>
        <w:lastRenderedPageBreak/>
        <w:t>AGENDA</w:t>
      </w:r>
    </w:p>
    <w:p w:rsidRPr="00395577" w:rsidR="00395577" w:rsidP="00395577" w:rsidRDefault="00395577" w14:paraId="5339DAC0" w14:textId="77777777"/>
    <w:p w:rsidR="002672F1" w:rsidP="003C668E" w:rsidRDefault="001552C4" w14:paraId="2D1DFD9A" w14:textId="3CB06FEF">
      <w:pPr>
        <w:jc w:val="center"/>
        <w:rPr>
          <w:rFonts w:ascii="Arial" w:hAnsi="Arial" w:cs="Arial"/>
          <w:i/>
          <w:sz w:val="20"/>
          <w:szCs w:val="20"/>
        </w:rPr>
      </w:pPr>
      <w:r w:rsidRPr="00395577">
        <w:rPr>
          <w:rFonts w:ascii="Arial" w:hAnsi="Arial" w:cs="Arial"/>
          <w:i/>
          <w:sz w:val="20"/>
          <w:szCs w:val="20"/>
        </w:rPr>
        <w:t>(Agenda ID number correspond</w:t>
      </w:r>
      <w:r w:rsidRPr="00395577" w:rsidR="0049391D">
        <w:rPr>
          <w:rFonts w:ascii="Arial" w:hAnsi="Arial" w:cs="Arial"/>
          <w:i/>
          <w:sz w:val="20"/>
          <w:szCs w:val="20"/>
        </w:rPr>
        <w:t>s</w:t>
      </w:r>
      <w:r w:rsidRPr="00395577">
        <w:rPr>
          <w:rFonts w:ascii="Arial" w:hAnsi="Arial" w:cs="Arial"/>
          <w:i/>
          <w:sz w:val="20"/>
          <w:szCs w:val="20"/>
        </w:rPr>
        <w:t xml:space="preserve"> to the </w:t>
      </w:r>
      <w:r w:rsidRPr="00395577" w:rsidR="004A455E">
        <w:rPr>
          <w:rFonts w:ascii="Arial" w:hAnsi="Arial" w:cs="Arial"/>
          <w:i/>
          <w:sz w:val="20"/>
          <w:szCs w:val="20"/>
        </w:rPr>
        <w:t>April</w:t>
      </w:r>
      <w:r w:rsidRPr="00395577" w:rsidR="00A56A47">
        <w:rPr>
          <w:rFonts w:ascii="Arial" w:hAnsi="Arial" w:cs="Arial"/>
          <w:i/>
          <w:sz w:val="20"/>
          <w:szCs w:val="20"/>
        </w:rPr>
        <w:t xml:space="preserve"> </w:t>
      </w:r>
      <w:r w:rsidRPr="00395577" w:rsidR="00BD6C8F">
        <w:rPr>
          <w:rFonts w:ascii="Arial" w:hAnsi="Arial" w:cs="Arial"/>
          <w:i/>
          <w:sz w:val="20"/>
          <w:szCs w:val="20"/>
        </w:rPr>
        <w:t>2</w:t>
      </w:r>
      <w:r w:rsidRPr="00395577" w:rsidR="004A455E">
        <w:rPr>
          <w:rFonts w:ascii="Arial" w:hAnsi="Arial" w:cs="Arial"/>
          <w:i/>
          <w:sz w:val="20"/>
          <w:szCs w:val="20"/>
        </w:rPr>
        <w:t>2</w:t>
      </w:r>
      <w:r w:rsidRPr="00395577" w:rsidR="00A56A47">
        <w:rPr>
          <w:rFonts w:ascii="Arial" w:hAnsi="Arial" w:cs="Arial"/>
          <w:i/>
          <w:sz w:val="20"/>
          <w:szCs w:val="20"/>
        </w:rPr>
        <w:t>, 2021</w:t>
      </w:r>
      <w:r w:rsidRPr="00395577">
        <w:rPr>
          <w:rFonts w:ascii="Arial" w:hAnsi="Arial" w:cs="Arial"/>
          <w:i/>
          <w:sz w:val="20"/>
          <w:szCs w:val="20"/>
        </w:rPr>
        <w:t xml:space="preserve"> Business Meeting Agenda)</w:t>
      </w:r>
    </w:p>
    <w:p w:rsidR="002672F1" w:rsidP="003C668E" w:rsidRDefault="002672F1" w14:paraId="1AB008C3" w14:textId="77777777">
      <w:pPr>
        <w:jc w:val="center"/>
        <w:rPr>
          <w:rFonts w:ascii="Arial" w:hAnsi="Arial" w:cs="Arial"/>
          <w:i/>
          <w:sz w:val="20"/>
          <w:szCs w:val="20"/>
        </w:rPr>
      </w:pPr>
    </w:p>
    <w:tbl>
      <w:tblPr>
        <w:tblW w:w="4985" w:type="pct"/>
        <w:tblLook w:val="0000" w:firstRow="0" w:lastRow="0" w:firstColumn="0" w:lastColumn="0" w:noHBand="0" w:noVBand="0"/>
      </w:tblPr>
      <w:tblGrid>
        <w:gridCol w:w="1017"/>
        <w:gridCol w:w="8315"/>
      </w:tblGrid>
      <w:tr w:rsidRPr="00395577" w:rsidR="002672F1" w:rsidTr="002672F1" w14:paraId="7C8A67B0" w14:textId="77777777">
        <w:trPr>
          <w:trHeight w:val="1458"/>
        </w:trPr>
        <w:tc>
          <w:tcPr>
            <w:tcW w:w="545" w:type="pct"/>
          </w:tcPr>
          <w:p w:rsidRPr="00395577" w:rsidR="002672F1" w:rsidP="008E234A" w:rsidRDefault="002672F1" w14:paraId="41034DBC" w14:textId="77777777">
            <w:pPr>
              <w:rPr>
                <w:rFonts w:ascii="Arial" w:hAnsi="Arial" w:cs="Arial"/>
                <w:b/>
                <w:sz w:val="20"/>
                <w:szCs w:val="20"/>
              </w:rPr>
            </w:pPr>
            <w:r w:rsidRPr="00395577">
              <w:rPr>
                <w:rFonts w:ascii="Arial" w:hAnsi="Arial" w:cs="Arial"/>
                <w:b/>
                <w:sz w:val="20"/>
                <w:szCs w:val="20"/>
              </w:rPr>
              <w:t>NOTE:</w:t>
            </w:r>
          </w:p>
        </w:tc>
        <w:tc>
          <w:tcPr>
            <w:tcW w:w="4455" w:type="pct"/>
          </w:tcPr>
          <w:p w:rsidRPr="002672F1" w:rsidR="002672F1" w:rsidP="002672F1" w:rsidRDefault="002672F1" w14:paraId="36C9F35F" w14:textId="33B48524">
            <w:pPr>
              <w:pStyle w:val="Default"/>
              <w:rPr>
                <w:b/>
                <w:bCs/>
                <w:sz w:val="20"/>
                <w:szCs w:val="20"/>
              </w:rPr>
            </w:pPr>
            <w:r w:rsidRPr="00395577">
              <w:rPr>
                <w:b/>
                <w:bCs/>
                <w:sz w:val="20"/>
                <w:szCs w:val="20"/>
              </w:rPr>
              <w:t xml:space="preserve">Ex </w:t>
            </w:r>
            <w:proofErr w:type="spellStart"/>
            <w:r w:rsidRPr="00395577">
              <w:rPr>
                <w:b/>
                <w:bCs/>
                <w:sz w:val="20"/>
                <w:szCs w:val="20"/>
              </w:rPr>
              <w:t>Parte</w:t>
            </w:r>
            <w:proofErr w:type="spellEnd"/>
            <w:r w:rsidRPr="00395577">
              <w:rPr>
                <w:b/>
                <w:bCs/>
                <w:sz w:val="20"/>
                <w:szCs w:val="20"/>
              </w:rPr>
              <w:t xml:space="preserve"> communications are prohibited on Agenda ID Number 19315 from the day of the Ratesetting Deliberative Meeting through the conclusion of the Business Meeting, at which a vote on the Proposed Decision is scheduled. Rule 8.2(c)(4)</w:t>
            </w:r>
            <w:r>
              <w:rPr>
                <w:b/>
                <w:bCs/>
                <w:sz w:val="20"/>
                <w:szCs w:val="20"/>
              </w:rPr>
              <w:t>.</w:t>
            </w:r>
          </w:p>
        </w:tc>
      </w:tr>
      <w:tr w:rsidRPr="00395577" w:rsidR="006F7509" w:rsidTr="002672F1" w14:paraId="548BDE56" w14:textId="77777777">
        <w:trPr>
          <w:trHeight w:val="144"/>
        </w:trPr>
        <w:tc>
          <w:tcPr>
            <w:tcW w:w="545" w:type="pct"/>
          </w:tcPr>
          <w:p w:rsidRPr="00395577" w:rsidR="006F7509" w:rsidP="000B24D0" w:rsidRDefault="006F7509" w14:paraId="49C97BA5" w14:textId="5D8FA5E4">
            <w:pPr>
              <w:rPr>
                <w:rFonts w:ascii="Arial" w:hAnsi="Arial" w:cs="Arial"/>
                <w:b/>
                <w:sz w:val="20"/>
                <w:szCs w:val="20"/>
              </w:rPr>
            </w:pPr>
            <w:bookmarkStart w:name="_Hlk48816911" w:id="1"/>
            <w:bookmarkEnd w:id="0"/>
            <w:r w:rsidRPr="00395577">
              <w:rPr>
                <w:rFonts w:ascii="Arial" w:hAnsi="Arial" w:cs="Arial"/>
                <w:b/>
                <w:sz w:val="20"/>
                <w:szCs w:val="20"/>
              </w:rPr>
              <w:t>[1</w:t>
            </w:r>
            <w:r w:rsidRPr="00395577" w:rsidR="00522ED2">
              <w:rPr>
                <w:rFonts w:ascii="Arial" w:hAnsi="Arial" w:cs="Arial"/>
                <w:b/>
                <w:sz w:val="20"/>
                <w:szCs w:val="20"/>
              </w:rPr>
              <w:t>9</w:t>
            </w:r>
            <w:r w:rsidRPr="00395577" w:rsidR="004A455E">
              <w:rPr>
                <w:rFonts w:ascii="Arial" w:hAnsi="Arial" w:cs="Arial"/>
                <w:b/>
                <w:sz w:val="20"/>
                <w:szCs w:val="20"/>
              </w:rPr>
              <w:t>315</w:t>
            </w:r>
            <w:r w:rsidRPr="00395577">
              <w:rPr>
                <w:rFonts w:ascii="Arial" w:hAnsi="Arial" w:cs="Arial"/>
                <w:b/>
                <w:sz w:val="20"/>
                <w:szCs w:val="20"/>
              </w:rPr>
              <w:t>]</w:t>
            </w:r>
          </w:p>
        </w:tc>
        <w:tc>
          <w:tcPr>
            <w:tcW w:w="4455" w:type="pct"/>
          </w:tcPr>
          <w:p w:rsidRPr="00395577" w:rsidR="00BD6C8F" w:rsidP="004A455E" w:rsidRDefault="004A455E" w14:paraId="0D34BDF5" w14:textId="627397EA">
            <w:pPr>
              <w:autoSpaceDE w:val="0"/>
              <w:autoSpaceDN w:val="0"/>
              <w:adjustRightInd w:val="0"/>
              <w:rPr>
                <w:rFonts w:ascii="Arial" w:hAnsi="Arial" w:cs="Arial"/>
                <w:b/>
                <w:bCs/>
                <w:sz w:val="20"/>
                <w:szCs w:val="20"/>
              </w:rPr>
            </w:pPr>
            <w:r w:rsidRPr="00395577">
              <w:rPr>
                <w:rFonts w:ascii="Arial" w:hAnsi="Arial" w:cs="Arial"/>
                <w:b/>
                <w:bCs/>
                <w:sz w:val="20"/>
                <w:szCs w:val="20"/>
              </w:rPr>
              <w:t>Pacific Gas &amp; Electric Company's Application of Stress Test Methodology</w:t>
            </w:r>
          </w:p>
          <w:p w:rsidRPr="00395577" w:rsidR="004A455E" w:rsidP="004A455E" w:rsidRDefault="004A455E" w14:paraId="32E28D06" w14:textId="77777777">
            <w:pPr>
              <w:autoSpaceDE w:val="0"/>
              <w:autoSpaceDN w:val="0"/>
              <w:adjustRightInd w:val="0"/>
              <w:rPr>
                <w:rFonts w:ascii="Arial" w:hAnsi="Arial" w:cs="Arial"/>
                <w:b/>
                <w:bCs/>
                <w:sz w:val="20"/>
                <w:szCs w:val="20"/>
              </w:rPr>
            </w:pPr>
          </w:p>
          <w:p w:rsidRPr="00395577" w:rsidR="004A455E" w:rsidP="00BD6C8F" w:rsidRDefault="004A455E" w14:paraId="35DBE926" w14:textId="77777777">
            <w:pPr>
              <w:autoSpaceDE w:val="0"/>
              <w:autoSpaceDN w:val="0"/>
              <w:adjustRightInd w:val="0"/>
              <w:rPr>
                <w:rFonts w:ascii="Arial" w:hAnsi="Arial" w:cs="Arial"/>
                <w:sz w:val="20"/>
                <w:szCs w:val="20"/>
              </w:rPr>
            </w:pPr>
            <w:r w:rsidRPr="00395577">
              <w:rPr>
                <w:rFonts w:ascii="Arial" w:hAnsi="Arial" w:cs="Arial"/>
                <w:sz w:val="20"/>
                <w:szCs w:val="20"/>
              </w:rPr>
              <w:t>A.20-04-023</w:t>
            </w:r>
          </w:p>
          <w:p w:rsidRPr="00395577" w:rsidR="00A56A47" w:rsidP="00BD6C8F" w:rsidRDefault="004A455E" w14:paraId="1BD26D2C" w14:textId="2A71B1F7">
            <w:pPr>
              <w:autoSpaceDE w:val="0"/>
              <w:autoSpaceDN w:val="0"/>
              <w:adjustRightInd w:val="0"/>
              <w:rPr>
                <w:rFonts w:ascii="Arial" w:hAnsi="Arial" w:cs="Arial"/>
                <w:sz w:val="20"/>
                <w:szCs w:val="20"/>
              </w:rPr>
            </w:pPr>
            <w:r w:rsidRPr="00395577">
              <w:rPr>
                <w:rFonts w:ascii="Arial" w:hAnsi="Arial" w:cs="Arial"/>
                <w:sz w:val="20"/>
                <w:szCs w:val="20"/>
              </w:rPr>
              <w:t>In the Matter of the Application of Pacific Gas and Electric Company for (1) Administration of Stress Test Methodology Developed Pursuant to Public Utilities Code Section 451.2(b) and (2) Determination That $7.5 Billion of 2017 Catastrophic Wildfire Costs and Expenses Are Stress Test Costs That May Be Financed Through Issuance of Recovery Bonds Pursuant to Section 451.2(c) and Section 850 et seq</w:t>
            </w:r>
            <w:r w:rsidRPr="00395577" w:rsidR="00BD6C8F">
              <w:rPr>
                <w:rFonts w:ascii="Arial" w:hAnsi="Arial" w:cs="Arial"/>
                <w:sz w:val="20"/>
                <w:szCs w:val="20"/>
              </w:rPr>
              <w:t>.</w:t>
            </w:r>
          </w:p>
          <w:p w:rsidRPr="00395577" w:rsidR="00BD6C8F" w:rsidP="00BD6C8F" w:rsidRDefault="00BD6C8F" w14:paraId="5A8A10B8" w14:textId="77777777">
            <w:pPr>
              <w:autoSpaceDE w:val="0"/>
              <w:autoSpaceDN w:val="0"/>
              <w:adjustRightInd w:val="0"/>
              <w:rPr>
                <w:rFonts w:ascii="Arial" w:hAnsi="Arial" w:cs="Arial"/>
                <w:iCs/>
                <w:sz w:val="20"/>
                <w:szCs w:val="20"/>
              </w:rPr>
            </w:pPr>
          </w:p>
          <w:p w:rsidRPr="00395577" w:rsidR="00F918E8" w:rsidP="00F918E8" w:rsidRDefault="00F918E8" w14:paraId="0697D892" w14:textId="25D86AAD">
            <w:pPr>
              <w:autoSpaceDE w:val="0"/>
              <w:autoSpaceDN w:val="0"/>
              <w:adjustRightInd w:val="0"/>
              <w:rPr>
                <w:rFonts w:ascii="Arial" w:hAnsi="Arial" w:cs="Arial"/>
                <w:b/>
                <w:bCs/>
                <w:sz w:val="20"/>
                <w:szCs w:val="20"/>
              </w:rPr>
            </w:pPr>
            <w:r w:rsidRPr="00395577">
              <w:rPr>
                <w:rFonts w:ascii="Arial" w:hAnsi="Arial" w:cs="Arial"/>
                <w:b/>
                <w:bCs/>
                <w:sz w:val="20"/>
                <w:szCs w:val="20"/>
              </w:rPr>
              <w:t>PROPOSED OUTCOME:</w:t>
            </w:r>
            <w:r w:rsidRPr="00395577" w:rsidR="00146CB4">
              <w:rPr>
                <w:rFonts w:ascii="Arial" w:hAnsi="Arial" w:cs="Arial"/>
                <w:b/>
                <w:bCs/>
                <w:sz w:val="20"/>
                <w:szCs w:val="20"/>
              </w:rPr>
              <w:br/>
            </w:r>
          </w:p>
          <w:p w:rsidRPr="004A455E" w:rsidR="004A455E" w:rsidP="00FC1A1E" w:rsidRDefault="004A455E" w14:paraId="01882B70" w14:textId="278EA698">
            <w:pPr>
              <w:pStyle w:val="ListParagraph"/>
              <w:numPr>
                <w:ilvl w:val="0"/>
                <w:numId w:val="35"/>
              </w:numPr>
              <w:rPr>
                <w:rFonts w:ascii="Arial" w:hAnsi="Arial" w:cs="Arial"/>
                <w:sz w:val="20"/>
                <w:szCs w:val="20"/>
              </w:rPr>
            </w:pPr>
            <w:r w:rsidRPr="004A455E">
              <w:rPr>
                <w:rFonts w:ascii="Arial" w:hAnsi="Arial" w:cs="Arial"/>
                <w:sz w:val="20"/>
                <w:szCs w:val="20"/>
              </w:rPr>
              <w:t>Determines Pacific Gas &amp; Electric Company (PG&amp;E) satisfies the Stress Test</w:t>
            </w:r>
            <w:r w:rsidRPr="00395577">
              <w:rPr>
                <w:rFonts w:ascii="Arial" w:hAnsi="Arial" w:cs="Arial"/>
                <w:sz w:val="20"/>
                <w:szCs w:val="20"/>
              </w:rPr>
              <w:t xml:space="preserve"> </w:t>
            </w:r>
            <w:r w:rsidRPr="004A455E">
              <w:rPr>
                <w:rFonts w:ascii="Arial" w:hAnsi="Arial" w:cs="Arial"/>
                <w:sz w:val="20"/>
                <w:szCs w:val="20"/>
              </w:rPr>
              <w:t>Methodology created pursuant to Public Utilities Code Section 451.2(b) and that</w:t>
            </w:r>
            <w:r w:rsidRPr="00395577">
              <w:rPr>
                <w:rFonts w:ascii="Arial" w:hAnsi="Arial" w:cs="Arial"/>
                <w:sz w:val="20"/>
                <w:szCs w:val="20"/>
              </w:rPr>
              <w:t xml:space="preserve"> </w:t>
            </w:r>
            <w:r w:rsidRPr="004A455E">
              <w:rPr>
                <w:rFonts w:ascii="Arial" w:hAnsi="Arial" w:cs="Arial"/>
                <w:sz w:val="20"/>
                <w:szCs w:val="20"/>
              </w:rPr>
              <w:t>$7.5 billion of 2017 catastrophic wildfire costs and expenses are Stress Test Costs</w:t>
            </w:r>
            <w:r w:rsidRPr="00395577">
              <w:rPr>
                <w:rFonts w:ascii="Arial" w:hAnsi="Arial" w:cs="Arial"/>
                <w:sz w:val="20"/>
                <w:szCs w:val="20"/>
              </w:rPr>
              <w:t xml:space="preserve"> </w:t>
            </w:r>
            <w:r w:rsidRPr="004A455E">
              <w:rPr>
                <w:rFonts w:ascii="Arial" w:hAnsi="Arial" w:cs="Arial"/>
                <w:sz w:val="20"/>
                <w:szCs w:val="20"/>
              </w:rPr>
              <w:t>that may be financed through the issuance of recovery bonds pursuant to Public</w:t>
            </w:r>
            <w:r w:rsidRPr="00395577">
              <w:rPr>
                <w:rFonts w:ascii="Arial" w:hAnsi="Arial" w:cs="Arial"/>
                <w:sz w:val="20"/>
                <w:szCs w:val="20"/>
              </w:rPr>
              <w:t xml:space="preserve"> </w:t>
            </w:r>
            <w:r w:rsidRPr="004A455E">
              <w:rPr>
                <w:rFonts w:ascii="Arial" w:hAnsi="Arial" w:cs="Arial"/>
                <w:sz w:val="20"/>
                <w:szCs w:val="20"/>
              </w:rPr>
              <w:t xml:space="preserve">Utilities Code Sections 850 </w:t>
            </w:r>
            <w:r w:rsidRPr="004A455E">
              <w:rPr>
                <w:rFonts w:ascii="Arial" w:hAnsi="Arial" w:cs="Arial"/>
                <w:i/>
                <w:iCs/>
                <w:sz w:val="20"/>
                <w:szCs w:val="20"/>
              </w:rPr>
              <w:t>et. seq</w:t>
            </w:r>
            <w:r w:rsidRPr="004A455E">
              <w:rPr>
                <w:rFonts w:ascii="Arial" w:hAnsi="Arial" w:cs="Arial"/>
                <w:sz w:val="20"/>
                <w:szCs w:val="20"/>
              </w:rPr>
              <w:t>.</w:t>
            </w:r>
          </w:p>
          <w:p w:rsidRPr="00395577" w:rsidR="004A455E" w:rsidP="007F09BB" w:rsidRDefault="004A455E" w14:paraId="714DC5A4" w14:textId="145136E1">
            <w:pPr>
              <w:pStyle w:val="ListParagraph"/>
              <w:numPr>
                <w:ilvl w:val="0"/>
                <w:numId w:val="35"/>
              </w:numPr>
              <w:rPr>
                <w:rFonts w:ascii="Arial" w:hAnsi="Arial" w:cs="Arial"/>
                <w:sz w:val="20"/>
                <w:szCs w:val="20"/>
              </w:rPr>
            </w:pPr>
            <w:r w:rsidRPr="004A455E">
              <w:rPr>
                <w:rFonts w:ascii="Arial" w:hAnsi="Arial" w:cs="Arial"/>
                <w:sz w:val="20"/>
                <w:szCs w:val="20"/>
              </w:rPr>
              <w:t>Authorizes PG&amp;E to establish a Customer Credit Trust, funded by PG&amp;E</w:t>
            </w:r>
            <w:r w:rsidRPr="00395577" w:rsidR="00395577">
              <w:rPr>
                <w:rFonts w:ascii="Arial" w:hAnsi="Arial" w:cs="Arial"/>
                <w:sz w:val="20"/>
                <w:szCs w:val="20"/>
              </w:rPr>
              <w:t xml:space="preserve"> </w:t>
            </w:r>
            <w:r w:rsidRPr="004A455E">
              <w:rPr>
                <w:rFonts w:ascii="Arial" w:hAnsi="Arial" w:cs="Arial"/>
                <w:sz w:val="20"/>
                <w:szCs w:val="20"/>
              </w:rPr>
              <w:t>shareholders, that will provide a monthly Customer Credit to ratepayers to offset the</w:t>
            </w:r>
            <w:r w:rsidRPr="00395577">
              <w:rPr>
                <w:rFonts w:ascii="Arial" w:hAnsi="Arial" w:cs="Arial"/>
                <w:sz w:val="20"/>
                <w:szCs w:val="20"/>
              </w:rPr>
              <w:t xml:space="preserve"> </w:t>
            </w:r>
            <w:r w:rsidRPr="004A455E">
              <w:rPr>
                <w:rFonts w:ascii="Arial" w:hAnsi="Arial" w:cs="Arial"/>
                <w:sz w:val="20"/>
                <w:szCs w:val="20"/>
              </w:rPr>
              <w:t>Fixed Recovery Charge that may be created to pay the costs and expenses of the</w:t>
            </w:r>
            <w:r w:rsidRPr="00395577">
              <w:rPr>
                <w:rFonts w:ascii="Arial" w:hAnsi="Arial" w:cs="Arial"/>
                <w:sz w:val="20"/>
                <w:szCs w:val="20"/>
              </w:rPr>
              <w:t xml:space="preserve"> </w:t>
            </w:r>
            <w:r w:rsidRPr="004A455E">
              <w:rPr>
                <w:rFonts w:ascii="Arial" w:hAnsi="Arial" w:cs="Arial"/>
                <w:sz w:val="20"/>
                <w:szCs w:val="20"/>
              </w:rPr>
              <w:t xml:space="preserve">recovery bonds </w:t>
            </w:r>
            <w:proofErr w:type="gramStart"/>
            <w:r w:rsidRPr="004A455E">
              <w:rPr>
                <w:rFonts w:ascii="Arial" w:hAnsi="Arial" w:cs="Arial"/>
                <w:sz w:val="20"/>
                <w:szCs w:val="20"/>
              </w:rPr>
              <w:t>in order to</w:t>
            </w:r>
            <w:proofErr w:type="gramEnd"/>
            <w:r w:rsidRPr="004A455E">
              <w:rPr>
                <w:rFonts w:ascii="Arial" w:hAnsi="Arial" w:cs="Arial"/>
                <w:sz w:val="20"/>
                <w:szCs w:val="20"/>
              </w:rPr>
              <w:t xml:space="preserve"> achieve a ratepayer neutral result.</w:t>
            </w:r>
          </w:p>
          <w:p w:rsidRPr="00395577" w:rsidR="004A455E" w:rsidP="00813E61" w:rsidRDefault="004A455E" w14:paraId="2119CF02" w14:textId="54C89F97">
            <w:pPr>
              <w:pStyle w:val="ListParagraph"/>
              <w:numPr>
                <w:ilvl w:val="0"/>
                <w:numId w:val="35"/>
              </w:numPr>
              <w:rPr>
                <w:rFonts w:ascii="Arial" w:hAnsi="Arial" w:cs="Arial"/>
                <w:sz w:val="20"/>
                <w:szCs w:val="20"/>
              </w:rPr>
            </w:pPr>
            <w:r w:rsidRPr="00395577">
              <w:rPr>
                <w:rFonts w:ascii="Arial" w:hAnsi="Arial" w:cs="Arial"/>
                <w:sz w:val="20"/>
                <w:szCs w:val="20"/>
              </w:rPr>
              <w:t>Closes the proceeding.</w:t>
            </w:r>
          </w:p>
          <w:p w:rsidRPr="00395577" w:rsidR="004A455E" w:rsidP="004A455E" w:rsidRDefault="004A455E" w14:paraId="2FA6ABE1" w14:textId="77777777">
            <w:pPr>
              <w:pStyle w:val="ListParagraph"/>
              <w:autoSpaceDE w:val="0"/>
              <w:autoSpaceDN w:val="0"/>
              <w:adjustRightInd w:val="0"/>
              <w:ind w:left="1440"/>
              <w:rPr>
                <w:rFonts w:ascii="Arial" w:hAnsi="Arial" w:cs="Arial"/>
                <w:sz w:val="20"/>
                <w:szCs w:val="20"/>
              </w:rPr>
            </w:pPr>
          </w:p>
          <w:p w:rsidRPr="00395577" w:rsidR="00F918E8" w:rsidP="00F918E8" w:rsidRDefault="00F918E8" w14:paraId="2D03E31D" w14:textId="771A7547">
            <w:pPr>
              <w:autoSpaceDE w:val="0"/>
              <w:autoSpaceDN w:val="0"/>
              <w:adjustRightInd w:val="0"/>
              <w:rPr>
                <w:rFonts w:ascii="Arial" w:hAnsi="Arial" w:cs="Arial"/>
                <w:b/>
                <w:bCs/>
                <w:sz w:val="20"/>
                <w:szCs w:val="20"/>
              </w:rPr>
            </w:pPr>
            <w:r w:rsidRPr="00395577">
              <w:rPr>
                <w:rFonts w:ascii="Arial" w:hAnsi="Arial" w:cs="Arial"/>
                <w:b/>
                <w:bCs/>
                <w:sz w:val="20"/>
                <w:szCs w:val="20"/>
              </w:rPr>
              <w:t>SAFETY CONSIDERATIONS:</w:t>
            </w:r>
            <w:r w:rsidRPr="00395577" w:rsidR="00146CB4">
              <w:rPr>
                <w:rFonts w:ascii="Arial" w:hAnsi="Arial" w:cs="Arial"/>
                <w:b/>
                <w:bCs/>
                <w:sz w:val="20"/>
                <w:szCs w:val="20"/>
              </w:rPr>
              <w:br/>
            </w:r>
          </w:p>
          <w:p w:rsidRPr="00395577" w:rsidR="00A56A47" w:rsidP="003A2BA8" w:rsidRDefault="00395577" w14:paraId="44DCD03D" w14:textId="61E18730">
            <w:pPr>
              <w:pStyle w:val="ListParagraph"/>
              <w:numPr>
                <w:ilvl w:val="0"/>
                <w:numId w:val="36"/>
              </w:numPr>
              <w:autoSpaceDE w:val="0"/>
              <w:autoSpaceDN w:val="0"/>
              <w:adjustRightInd w:val="0"/>
              <w:rPr>
                <w:rFonts w:ascii="Arial" w:hAnsi="Arial" w:cs="Arial"/>
                <w:sz w:val="20"/>
                <w:szCs w:val="20"/>
              </w:rPr>
            </w:pPr>
            <w:r w:rsidRPr="00395577">
              <w:rPr>
                <w:rFonts w:ascii="Arial" w:hAnsi="Arial" w:cs="Arial"/>
                <w:sz w:val="20"/>
                <w:szCs w:val="20"/>
              </w:rPr>
              <w:t>Application of the Stress Test methodology examines PG&amp;E's financial status and is intended to provide predictable and clear financial outputs, minimize negative ratepayer impacts, and incentivize utilities to carefully manage their risks to achieve the level of care, competence, and safety expected from utilities that operate inherently hazardous facilities.</w:t>
            </w:r>
          </w:p>
          <w:p w:rsidRPr="00395577" w:rsidR="00BD6C8F" w:rsidP="00BD6C8F" w:rsidRDefault="00BD6C8F" w14:paraId="0DBF28C8" w14:textId="77777777">
            <w:pPr>
              <w:pStyle w:val="ListParagraph"/>
              <w:autoSpaceDE w:val="0"/>
              <w:autoSpaceDN w:val="0"/>
              <w:adjustRightInd w:val="0"/>
              <w:rPr>
                <w:rFonts w:ascii="Arial" w:hAnsi="Arial" w:cs="Arial"/>
                <w:sz w:val="20"/>
                <w:szCs w:val="20"/>
              </w:rPr>
            </w:pPr>
          </w:p>
          <w:p w:rsidRPr="00395577" w:rsidR="00F918E8" w:rsidP="00F918E8" w:rsidRDefault="00F918E8" w14:paraId="0FD26BEA" w14:textId="4C55152E">
            <w:pPr>
              <w:autoSpaceDE w:val="0"/>
              <w:autoSpaceDN w:val="0"/>
              <w:adjustRightInd w:val="0"/>
              <w:rPr>
                <w:rFonts w:ascii="Arial" w:hAnsi="Arial" w:cs="Arial"/>
                <w:b/>
                <w:bCs/>
                <w:sz w:val="20"/>
                <w:szCs w:val="20"/>
              </w:rPr>
            </w:pPr>
            <w:r w:rsidRPr="00395577">
              <w:rPr>
                <w:rFonts w:ascii="Arial" w:hAnsi="Arial" w:cs="Arial"/>
                <w:b/>
                <w:bCs/>
                <w:sz w:val="20"/>
                <w:szCs w:val="20"/>
              </w:rPr>
              <w:t>ESTIMATED COST:</w:t>
            </w:r>
            <w:r w:rsidRPr="00395577" w:rsidR="00146CB4">
              <w:rPr>
                <w:rFonts w:ascii="Arial" w:hAnsi="Arial" w:cs="Arial"/>
                <w:b/>
                <w:bCs/>
                <w:sz w:val="20"/>
                <w:szCs w:val="20"/>
              </w:rPr>
              <w:br/>
            </w:r>
          </w:p>
          <w:p w:rsidRPr="00395577" w:rsidR="00BD6C8F" w:rsidP="007F4672" w:rsidRDefault="00395577" w14:paraId="0E73A717" w14:textId="0A2D1FFD">
            <w:pPr>
              <w:pStyle w:val="ListParagraph"/>
              <w:numPr>
                <w:ilvl w:val="0"/>
                <w:numId w:val="36"/>
              </w:numPr>
              <w:rPr>
                <w:rFonts w:ascii="Arial" w:hAnsi="Arial" w:cs="Arial"/>
                <w:iCs/>
                <w:sz w:val="20"/>
                <w:szCs w:val="20"/>
              </w:rPr>
            </w:pPr>
            <w:r w:rsidRPr="00395577">
              <w:rPr>
                <w:rFonts w:ascii="Arial" w:hAnsi="Arial" w:cs="Arial"/>
                <w:sz w:val="20"/>
                <w:szCs w:val="20"/>
              </w:rPr>
              <w:t>Neutral, on average. PG&amp;E may issue up to $7.5 billion of recovery bonds if A.21-01-004 is approved, that will result in a Fixed Recovery Charge totaling more than $394 million each year for the next 30 years. Those charges are expected to be offset through a Customer Credit funded by the contribution of cash and other shareholder assets to a Customer Credit Trust. At the conclusion of the 30-year period 25 percent of any remaining assets will be allocated to ratepayers.</w:t>
            </w:r>
          </w:p>
          <w:p w:rsidRPr="00395577" w:rsidR="00395577" w:rsidP="00395577" w:rsidRDefault="00395577" w14:paraId="0030E449" w14:textId="77777777">
            <w:pPr>
              <w:pStyle w:val="ListParagraph"/>
              <w:rPr>
                <w:rFonts w:ascii="Arial" w:hAnsi="Arial" w:cs="Arial"/>
                <w:iCs/>
                <w:sz w:val="20"/>
                <w:szCs w:val="20"/>
              </w:rPr>
            </w:pPr>
          </w:p>
          <w:p w:rsidRPr="00395577" w:rsidR="006F7509" w:rsidP="00C2569A" w:rsidRDefault="006F7509" w14:paraId="285109B7" w14:textId="673B4B8D">
            <w:pPr>
              <w:autoSpaceDE w:val="0"/>
              <w:autoSpaceDN w:val="0"/>
              <w:adjustRightInd w:val="0"/>
              <w:spacing w:after="60"/>
              <w:rPr>
                <w:rFonts w:ascii="Arial" w:hAnsi="Arial" w:cs="Arial"/>
                <w:color w:val="000000"/>
                <w:sz w:val="20"/>
                <w:szCs w:val="20"/>
              </w:rPr>
            </w:pPr>
            <w:r w:rsidRPr="00395577">
              <w:rPr>
                <w:rFonts w:ascii="Arial" w:hAnsi="Arial" w:cs="Arial"/>
                <w:color w:val="000000"/>
                <w:sz w:val="20"/>
                <w:szCs w:val="20"/>
              </w:rPr>
              <w:t>(</w:t>
            </w:r>
            <w:proofErr w:type="spellStart"/>
            <w:r w:rsidRPr="00395577">
              <w:rPr>
                <w:rFonts w:ascii="Arial" w:hAnsi="Arial" w:cs="Arial"/>
                <w:sz w:val="20"/>
                <w:szCs w:val="20"/>
              </w:rPr>
              <w:t>Comr</w:t>
            </w:r>
            <w:proofErr w:type="spellEnd"/>
            <w:r w:rsidRPr="00395577">
              <w:rPr>
                <w:rFonts w:ascii="Arial" w:hAnsi="Arial" w:cs="Arial"/>
                <w:sz w:val="20"/>
                <w:szCs w:val="20"/>
              </w:rPr>
              <w:t xml:space="preserve"> </w:t>
            </w:r>
            <w:r w:rsidRPr="00395577" w:rsidR="00BD6C8F">
              <w:rPr>
                <w:rFonts w:ascii="Arial" w:hAnsi="Arial" w:cs="Arial"/>
                <w:sz w:val="20"/>
                <w:szCs w:val="20"/>
              </w:rPr>
              <w:t>Batjer</w:t>
            </w:r>
            <w:r w:rsidRPr="00395577" w:rsidR="00880F24">
              <w:rPr>
                <w:rFonts w:ascii="Arial" w:hAnsi="Arial" w:cs="Arial"/>
                <w:sz w:val="20"/>
                <w:szCs w:val="20"/>
              </w:rPr>
              <w:t xml:space="preserve"> - Judge </w:t>
            </w:r>
            <w:r w:rsidRPr="00395577" w:rsidR="00395577">
              <w:rPr>
                <w:rFonts w:ascii="Arial" w:hAnsi="Arial" w:cs="Arial"/>
                <w:sz w:val="20"/>
                <w:szCs w:val="20"/>
              </w:rPr>
              <w:t>Haga</w:t>
            </w:r>
            <w:r w:rsidRPr="00395577">
              <w:rPr>
                <w:rFonts w:ascii="Arial" w:hAnsi="Arial" w:cs="Arial"/>
                <w:color w:val="000000"/>
                <w:sz w:val="20"/>
                <w:szCs w:val="20"/>
              </w:rPr>
              <w:t xml:space="preserve">) </w:t>
            </w:r>
          </w:p>
          <w:p w:rsidR="00BD6C8F" w:rsidP="00C2569A" w:rsidRDefault="0026551F" w14:paraId="5E10E843" w14:textId="3621505C">
            <w:pPr>
              <w:autoSpaceDE w:val="0"/>
              <w:autoSpaceDN w:val="0"/>
              <w:adjustRightInd w:val="0"/>
              <w:rPr>
                <w:rStyle w:val="Hyperlink"/>
              </w:rPr>
            </w:pPr>
            <w:hyperlink w:history="1" r:id="rId13">
              <w:r w:rsidRPr="00F16BB0" w:rsidR="002672F1">
                <w:rPr>
                  <w:rStyle w:val="Hyperlink"/>
                  <w:rFonts w:ascii="Arial" w:hAnsi="Arial" w:cs="Arial"/>
                  <w:sz w:val="20"/>
                  <w:szCs w:val="20"/>
                </w:rPr>
                <w:t>http://docs.cpuc.ca.gov/SearchRes.aspx?docformat=ALL&amp;docid=373359645</w:t>
              </w:r>
            </w:hyperlink>
          </w:p>
          <w:p w:rsidRPr="00395577" w:rsidR="00795BFF" w:rsidP="00C2569A" w:rsidRDefault="00795BFF" w14:paraId="0B9C3BDE" w14:textId="64B3BAC4">
            <w:pPr>
              <w:autoSpaceDE w:val="0"/>
              <w:autoSpaceDN w:val="0"/>
              <w:adjustRightInd w:val="0"/>
              <w:rPr>
                <w:sz w:val="20"/>
                <w:szCs w:val="20"/>
              </w:rPr>
            </w:pPr>
            <w:r w:rsidRPr="00395577">
              <w:rPr>
                <w:rFonts w:ascii="Arial" w:hAnsi="Arial" w:cs="Arial"/>
                <w:i/>
                <w:iCs/>
                <w:sz w:val="20"/>
                <w:szCs w:val="20"/>
              </w:rPr>
              <w:t xml:space="preserve">Pub. Util. Code § 311 </w:t>
            </w:r>
            <w:r w:rsidRPr="00395577">
              <w:rPr>
                <w:rFonts w:hint="eastAsia" w:ascii="Albany WT J" w:hAnsi="Arial" w:eastAsia="Albany WT J" w:cs="Albany WT J"/>
                <w:sz w:val="20"/>
                <w:szCs w:val="20"/>
              </w:rPr>
              <w:t>–</w:t>
            </w:r>
            <w:r w:rsidRPr="00395577">
              <w:rPr>
                <w:rFonts w:ascii="Albany WT J" w:hAnsi="Arial" w:eastAsia="Albany WT J" w:cs="Albany WT J"/>
                <w:sz w:val="20"/>
                <w:szCs w:val="20"/>
              </w:rPr>
              <w:t xml:space="preserve"> </w:t>
            </w:r>
            <w:r w:rsidRPr="00395577">
              <w:rPr>
                <w:rFonts w:ascii="Arial" w:hAnsi="Arial" w:cs="Arial"/>
                <w:i/>
                <w:iCs/>
                <w:sz w:val="20"/>
                <w:szCs w:val="20"/>
              </w:rPr>
              <w:t>This item was mailed for Public Comment.</w:t>
            </w:r>
          </w:p>
          <w:p w:rsidRPr="00395577" w:rsidR="006F7509" w:rsidP="00C2569A" w:rsidRDefault="006F7509" w14:paraId="056C9E64" w14:textId="6977C332">
            <w:pPr>
              <w:autoSpaceDE w:val="0"/>
              <w:autoSpaceDN w:val="0"/>
              <w:adjustRightInd w:val="0"/>
              <w:rPr>
                <w:rFonts w:ascii="Arial" w:hAnsi="Arial" w:cs="Arial"/>
                <w:bCs/>
                <w:sz w:val="20"/>
                <w:szCs w:val="20"/>
              </w:rPr>
            </w:pPr>
            <w:r w:rsidRPr="00395577">
              <w:rPr>
                <w:rFonts w:ascii="Arial" w:hAnsi="Arial" w:cs="Arial"/>
                <w:bCs/>
                <w:i/>
                <w:sz w:val="20"/>
                <w:szCs w:val="20"/>
              </w:rPr>
              <w:t>Pub. Util. Code §1701.1 -- This proceeding is categorized as Ratesetting</w:t>
            </w:r>
            <w:r w:rsidRPr="00395577">
              <w:rPr>
                <w:rFonts w:ascii="Arial" w:hAnsi="Arial" w:cs="Arial"/>
                <w:bCs/>
                <w:sz w:val="20"/>
                <w:szCs w:val="20"/>
              </w:rPr>
              <w:t>.</w:t>
            </w:r>
          </w:p>
          <w:p w:rsidRPr="00395577" w:rsidR="00DB1819" w:rsidP="00395577" w:rsidRDefault="006F7509" w14:paraId="0FC6B148" w14:textId="2F647A31">
            <w:pPr>
              <w:autoSpaceDE w:val="0"/>
              <w:autoSpaceDN w:val="0"/>
              <w:adjustRightInd w:val="0"/>
              <w:rPr>
                <w:rFonts w:ascii="Arial" w:hAnsi="Arial" w:cs="Arial"/>
                <w:bCs/>
                <w:iCs/>
                <w:color w:val="000000"/>
                <w:sz w:val="20"/>
                <w:szCs w:val="20"/>
              </w:rPr>
            </w:pPr>
            <w:r w:rsidRPr="00395577">
              <w:rPr>
                <w:rFonts w:ascii="Arial" w:hAnsi="Arial" w:cs="Arial"/>
                <w:bCs/>
                <w:iCs/>
                <w:color w:val="000000"/>
                <w:sz w:val="20"/>
                <w:szCs w:val="20"/>
              </w:rPr>
              <w:t>This matter may be considered during the Ratesetting Deliberative Meeting</w:t>
            </w:r>
            <w:r w:rsidRPr="00395577" w:rsidR="00146CB4">
              <w:rPr>
                <w:rFonts w:ascii="Arial" w:hAnsi="Arial" w:cs="Arial"/>
                <w:bCs/>
                <w:iCs/>
                <w:color w:val="000000"/>
                <w:sz w:val="20"/>
                <w:szCs w:val="20"/>
              </w:rPr>
              <w:t>.</w:t>
            </w:r>
            <w:r w:rsidR="002672F1">
              <w:rPr>
                <w:rFonts w:ascii="Arial" w:hAnsi="Arial" w:cs="Arial"/>
                <w:bCs/>
                <w:iCs/>
                <w:color w:val="000000"/>
                <w:sz w:val="20"/>
                <w:szCs w:val="20"/>
              </w:rPr>
              <w:t xml:space="preserve"> </w:t>
            </w:r>
          </w:p>
        </w:tc>
      </w:tr>
      <w:bookmarkEnd w:id="1"/>
    </w:tbl>
    <w:p w:rsidR="005659D6" w:rsidP="00F918E8" w:rsidRDefault="005659D6" w14:paraId="014DAAEE" w14:textId="1BA31C1E"/>
    <w:sectPr w:rsidR="005659D6" w:rsidSect="00B75350">
      <w:headerReference w:type="defaul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149B" w14:textId="77777777" w:rsidR="004E43DF" w:rsidRDefault="004E43DF">
      <w:r>
        <w:separator/>
      </w:r>
    </w:p>
  </w:endnote>
  <w:endnote w:type="continuationSeparator" w:id="0">
    <w:p w14:paraId="0CEE5B1F" w14:textId="77777777" w:rsidR="004E43DF" w:rsidRDefault="004E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lbany WT J">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86D" w14:textId="5D2414EF" w:rsidR="006A0B79" w:rsidRDefault="006A0B79">
    <w:pPr>
      <w:pStyle w:val="Footer"/>
      <w:jc w:val="center"/>
    </w:pPr>
    <w:r>
      <w:rPr>
        <w:rStyle w:val="PageNumber"/>
      </w:rPr>
      <w:fldChar w:fldCharType="begin"/>
    </w:r>
    <w:r>
      <w:rPr>
        <w:rStyle w:val="PageNumber"/>
      </w:rPr>
      <w:instrText xml:space="preserve"> PAGE </w:instrText>
    </w:r>
    <w:r>
      <w:rPr>
        <w:rStyle w:val="PageNumber"/>
      </w:rPr>
      <w:fldChar w:fldCharType="separate"/>
    </w:r>
    <w:r w:rsidR="009D73B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C28F" w14:textId="77777777" w:rsidR="004E43DF" w:rsidRDefault="004E43DF">
      <w:r>
        <w:separator/>
      </w:r>
    </w:p>
  </w:footnote>
  <w:footnote w:type="continuationSeparator" w:id="0">
    <w:p w14:paraId="72F6C723" w14:textId="77777777" w:rsidR="004E43DF" w:rsidRDefault="004E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DCD8" w14:textId="0AA51305" w:rsidR="00CB41D8" w:rsidRDefault="006A0B79" w:rsidP="000B137A">
    <w:pPr>
      <w:pStyle w:val="Header"/>
      <w:tabs>
        <w:tab w:val="clear" w:pos="8640"/>
        <w:tab w:val="right" w:pos="9360"/>
      </w:tabs>
      <w:rPr>
        <w:i/>
        <w:iCs/>
        <w:sz w:val="20"/>
      </w:rPr>
    </w:pPr>
    <w:r>
      <w:rPr>
        <w:i/>
        <w:iCs/>
        <w:sz w:val="20"/>
      </w:rPr>
      <w:t>Ratesetting Deliberativ</w:t>
    </w:r>
    <w:r w:rsidR="00566CCC">
      <w:rPr>
        <w:i/>
        <w:iCs/>
        <w:sz w:val="20"/>
      </w:rPr>
      <w:t xml:space="preserve">e Meeting Agenda No. </w:t>
    </w:r>
    <w:r w:rsidR="0096320A">
      <w:rPr>
        <w:i/>
        <w:iCs/>
        <w:sz w:val="20"/>
      </w:rPr>
      <w:t>1</w:t>
    </w:r>
    <w:r w:rsidR="00BD6C8F">
      <w:rPr>
        <w:i/>
        <w:iCs/>
        <w:sz w:val="20"/>
      </w:rPr>
      <w:t>4</w:t>
    </w:r>
    <w:r w:rsidR="004A455E">
      <w:rPr>
        <w:i/>
        <w:iCs/>
        <w:sz w:val="20"/>
      </w:rPr>
      <w:t>1</w:t>
    </w:r>
    <w:r w:rsidR="00566CCC">
      <w:rPr>
        <w:i/>
        <w:iCs/>
        <w:sz w:val="20"/>
      </w:rPr>
      <w:tab/>
    </w:r>
    <w:r w:rsidR="00566CCC">
      <w:rPr>
        <w:i/>
        <w:iCs/>
        <w:sz w:val="20"/>
      </w:rPr>
      <w:tab/>
    </w:r>
    <w:r w:rsidR="002107A3">
      <w:rPr>
        <w:i/>
        <w:iCs/>
        <w:sz w:val="20"/>
      </w:rPr>
      <w:t>Mon</w:t>
    </w:r>
    <w:r w:rsidR="00DC2310">
      <w:rPr>
        <w:i/>
        <w:iCs/>
        <w:sz w:val="20"/>
      </w:rPr>
      <w:t>day</w:t>
    </w:r>
    <w:r w:rsidR="00EF4807">
      <w:rPr>
        <w:i/>
        <w:iCs/>
        <w:sz w:val="20"/>
      </w:rPr>
      <w:t xml:space="preserve">, </w:t>
    </w:r>
    <w:r w:rsidR="004A455E">
      <w:rPr>
        <w:i/>
        <w:iCs/>
        <w:sz w:val="20"/>
      </w:rPr>
      <w:t>April</w:t>
    </w:r>
    <w:r w:rsidR="00880F24">
      <w:rPr>
        <w:i/>
        <w:iCs/>
        <w:sz w:val="20"/>
      </w:rPr>
      <w:t xml:space="preserve"> </w:t>
    </w:r>
    <w:r w:rsidR="004A455E">
      <w:rPr>
        <w:i/>
        <w:iCs/>
        <w:sz w:val="20"/>
      </w:rPr>
      <w:t>19</w:t>
    </w:r>
    <w:r w:rsidR="00880F24">
      <w:rPr>
        <w:i/>
        <w:iCs/>
        <w:sz w:val="20"/>
      </w:rPr>
      <w:t>, 202</w:t>
    </w:r>
    <w:r w:rsidR="00A56A47">
      <w:rPr>
        <w:i/>
        <w:iCs/>
        <w:sz w:val="20"/>
      </w:rPr>
      <w:t>1</w:t>
    </w:r>
  </w:p>
  <w:p w14:paraId="6BAC00B7" w14:textId="77777777" w:rsidR="006A0B79" w:rsidRDefault="006A0B79">
    <w:pPr>
      <w:pBdr>
        <w:top w:val="double" w:sz="6" w:space="1" w:color="auto"/>
      </w:pBdr>
      <w:jc w:val="both"/>
      <w:rPr>
        <w:b/>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C96"/>
    <w:multiLevelType w:val="hybridMultilevel"/>
    <w:tmpl w:val="A9DE5F0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41E1650"/>
    <w:multiLevelType w:val="hybridMultilevel"/>
    <w:tmpl w:val="5B1E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22390"/>
    <w:multiLevelType w:val="hybridMultilevel"/>
    <w:tmpl w:val="DF7C2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4E276C"/>
    <w:multiLevelType w:val="hybridMultilevel"/>
    <w:tmpl w:val="50C4E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F4D8E"/>
    <w:multiLevelType w:val="multilevel"/>
    <w:tmpl w:val="F920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16329"/>
    <w:multiLevelType w:val="multilevel"/>
    <w:tmpl w:val="E8E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20B31"/>
    <w:multiLevelType w:val="multilevel"/>
    <w:tmpl w:val="191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41A8E"/>
    <w:multiLevelType w:val="multilevel"/>
    <w:tmpl w:val="C4E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375B1"/>
    <w:multiLevelType w:val="multilevel"/>
    <w:tmpl w:val="58F62C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92B2F"/>
    <w:multiLevelType w:val="multilevel"/>
    <w:tmpl w:val="5B8C773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46E1D"/>
    <w:multiLevelType w:val="hybridMultilevel"/>
    <w:tmpl w:val="A31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2062D"/>
    <w:multiLevelType w:val="hybridMultilevel"/>
    <w:tmpl w:val="A25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887213"/>
    <w:multiLevelType w:val="hybridMultilevel"/>
    <w:tmpl w:val="1AF0D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83CC6"/>
    <w:multiLevelType w:val="multilevel"/>
    <w:tmpl w:val="4B9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41C8D"/>
    <w:multiLevelType w:val="hybridMultilevel"/>
    <w:tmpl w:val="FE606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F51BD"/>
    <w:multiLevelType w:val="multilevel"/>
    <w:tmpl w:val="15F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A223B"/>
    <w:multiLevelType w:val="hybridMultilevel"/>
    <w:tmpl w:val="F9A0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67BB8"/>
    <w:multiLevelType w:val="multilevel"/>
    <w:tmpl w:val="093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A54FD"/>
    <w:multiLevelType w:val="hybridMultilevel"/>
    <w:tmpl w:val="67E05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093130"/>
    <w:multiLevelType w:val="hybridMultilevel"/>
    <w:tmpl w:val="6DF4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16ECD"/>
    <w:multiLevelType w:val="multilevel"/>
    <w:tmpl w:val="D91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040A3"/>
    <w:multiLevelType w:val="hybridMultilevel"/>
    <w:tmpl w:val="108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651A0"/>
    <w:multiLevelType w:val="multilevel"/>
    <w:tmpl w:val="427E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002875"/>
    <w:multiLevelType w:val="multilevel"/>
    <w:tmpl w:val="8224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840F8"/>
    <w:multiLevelType w:val="hybridMultilevel"/>
    <w:tmpl w:val="17D6B666"/>
    <w:lvl w:ilvl="0" w:tplc="04090001">
      <w:start w:val="1"/>
      <w:numFmt w:val="bullet"/>
      <w:lvlText w:val=""/>
      <w:lvlJc w:val="left"/>
      <w:pPr>
        <w:ind w:left="720" w:hanging="360"/>
      </w:pPr>
      <w:rPr>
        <w:rFonts w:ascii="Symbol" w:hAnsi="Symbol" w:hint="default"/>
      </w:rPr>
    </w:lvl>
    <w:lvl w:ilvl="1" w:tplc="11D6B3E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41DB"/>
    <w:multiLevelType w:val="hybridMultilevel"/>
    <w:tmpl w:val="B00AF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30690"/>
    <w:multiLevelType w:val="hybridMultilevel"/>
    <w:tmpl w:val="17160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92CDB"/>
    <w:multiLevelType w:val="multilevel"/>
    <w:tmpl w:val="ED78AD1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31383"/>
    <w:multiLevelType w:val="hybridMultilevel"/>
    <w:tmpl w:val="0A2467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00B37"/>
    <w:multiLevelType w:val="hybridMultilevel"/>
    <w:tmpl w:val="0192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01C29"/>
    <w:multiLevelType w:val="hybridMultilevel"/>
    <w:tmpl w:val="EA902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C918C5"/>
    <w:multiLevelType w:val="multilevel"/>
    <w:tmpl w:val="ED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F3960"/>
    <w:multiLevelType w:val="hybridMultilevel"/>
    <w:tmpl w:val="742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D4F6C"/>
    <w:multiLevelType w:val="hybridMultilevel"/>
    <w:tmpl w:val="5C162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90F4D"/>
    <w:multiLevelType w:val="hybridMultilevel"/>
    <w:tmpl w:val="1C5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4"/>
  </w:num>
  <w:num w:numId="5">
    <w:abstractNumId w:val="33"/>
  </w:num>
  <w:num w:numId="6">
    <w:abstractNumId w:val="26"/>
  </w:num>
  <w:num w:numId="7">
    <w:abstractNumId w:val="19"/>
  </w:num>
  <w:num w:numId="8">
    <w:abstractNumId w:val="1"/>
  </w:num>
  <w:num w:numId="9">
    <w:abstractNumId w:val="9"/>
  </w:num>
  <w:num w:numId="10">
    <w:abstractNumId w:val="25"/>
  </w:num>
  <w:num w:numId="11">
    <w:abstractNumId w:val="12"/>
  </w:num>
  <w:num w:numId="12">
    <w:abstractNumId w:val="4"/>
  </w:num>
  <w:num w:numId="13">
    <w:abstractNumId w:val="20"/>
  </w:num>
  <w:num w:numId="14">
    <w:abstractNumId w:val="34"/>
  </w:num>
  <w:num w:numId="15">
    <w:abstractNumId w:val="28"/>
  </w:num>
  <w:num w:numId="16">
    <w:abstractNumId w:val="18"/>
  </w:num>
  <w:num w:numId="17">
    <w:abstractNumId w:val="10"/>
  </w:num>
  <w:num w:numId="18">
    <w:abstractNumId w:val="21"/>
  </w:num>
  <w:num w:numId="19">
    <w:abstractNumId w:val="5"/>
  </w:num>
  <w:num w:numId="20">
    <w:abstractNumId w:val="17"/>
  </w:num>
  <w:num w:numId="21">
    <w:abstractNumId w:val="7"/>
  </w:num>
  <w:num w:numId="22">
    <w:abstractNumId w:val="15"/>
  </w:num>
  <w:num w:numId="23">
    <w:abstractNumId w:val="6"/>
  </w:num>
  <w:num w:numId="24">
    <w:abstractNumId w:val="22"/>
  </w:num>
  <w:num w:numId="25">
    <w:abstractNumId w:val="8"/>
  </w:num>
  <w:num w:numId="26">
    <w:abstractNumId w:val="27"/>
  </w:num>
  <w:num w:numId="27">
    <w:abstractNumId w:val="23"/>
  </w:num>
  <w:num w:numId="28">
    <w:abstractNumId w:val="13"/>
  </w:num>
  <w:num w:numId="29">
    <w:abstractNumId w:val="31"/>
  </w:num>
  <w:num w:numId="30">
    <w:abstractNumId w:val="30"/>
  </w:num>
  <w:num w:numId="31">
    <w:abstractNumId w:val="29"/>
  </w:num>
  <w:num w:numId="32">
    <w:abstractNumId w:val="0"/>
  </w:num>
  <w:num w:numId="33">
    <w:abstractNumId w:val="2"/>
  </w:num>
  <w:num w:numId="34">
    <w:abstractNumId w:val="11"/>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3F"/>
    <w:rsid w:val="00000517"/>
    <w:rsid w:val="00000ACA"/>
    <w:rsid w:val="00002FA6"/>
    <w:rsid w:val="00010050"/>
    <w:rsid w:val="00012396"/>
    <w:rsid w:val="0001622A"/>
    <w:rsid w:val="000220E8"/>
    <w:rsid w:val="00027CDD"/>
    <w:rsid w:val="00032D6E"/>
    <w:rsid w:val="000333BA"/>
    <w:rsid w:val="00033D04"/>
    <w:rsid w:val="00036742"/>
    <w:rsid w:val="00037B8D"/>
    <w:rsid w:val="0004190F"/>
    <w:rsid w:val="00042563"/>
    <w:rsid w:val="00046F2D"/>
    <w:rsid w:val="00050ADF"/>
    <w:rsid w:val="0005766D"/>
    <w:rsid w:val="00057AC3"/>
    <w:rsid w:val="00060F1B"/>
    <w:rsid w:val="000647AA"/>
    <w:rsid w:val="00080169"/>
    <w:rsid w:val="000854EB"/>
    <w:rsid w:val="00091684"/>
    <w:rsid w:val="00092D51"/>
    <w:rsid w:val="000A1EC1"/>
    <w:rsid w:val="000A2386"/>
    <w:rsid w:val="000A7FB1"/>
    <w:rsid w:val="000B137A"/>
    <w:rsid w:val="000B24D0"/>
    <w:rsid w:val="000B44AC"/>
    <w:rsid w:val="000B6B52"/>
    <w:rsid w:val="000B758C"/>
    <w:rsid w:val="000C03B8"/>
    <w:rsid w:val="000C19F8"/>
    <w:rsid w:val="000C4B12"/>
    <w:rsid w:val="000C516E"/>
    <w:rsid w:val="000C7B9C"/>
    <w:rsid w:val="000C7BCC"/>
    <w:rsid w:val="000D6160"/>
    <w:rsid w:val="000D651F"/>
    <w:rsid w:val="000D6DEB"/>
    <w:rsid w:val="000E491C"/>
    <w:rsid w:val="000F4C3D"/>
    <w:rsid w:val="000F642A"/>
    <w:rsid w:val="00105623"/>
    <w:rsid w:val="00131EDF"/>
    <w:rsid w:val="001408B9"/>
    <w:rsid w:val="001443F1"/>
    <w:rsid w:val="00144E69"/>
    <w:rsid w:val="00146CB4"/>
    <w:rsid w:val="00146E67"/>
    <w:rsid w:val="001512E8"/>
    <w:rsid w:val="001512F4"/>
    <w:rsid w:val="001552C4"/>
    <w:rsid w:val="001618D7"/>
    <w:rsid w:val="00161A5F"/>
    <w:rsid w:val="00170E06"/>
    <w:rsid w:val="00177155"/>
    <w:rsid w:val="00177DF8"/>
    <w:rsid w:val="00181168"/>
    <w:rsid w:val="00182A75"/>
    <w:rsid w:val="00182AEA"/>
    <w:rsid w:val="00187A53"/>
    <w:rsid w:val="0019222E"/>
    <w:rsid w:val="0019248B"/>
    <w:rsid w:val="001A38C1"/>
    <w:rsid w:val="001A49E2"/>
    <w:rsid w:val="001A7FCE"/>
    <w:rsid w:val="001B3274"/>
    <w:rsid w:val="001B4BA0"/>
    <w:rsid w:val="001B6809"/>
    <w:rsid w:val="001C6BDE"/>
    <w:rsid w:val="001D11ED"/>
    <w:rsid w:val="001D1DE8"/>
    <w:rsid w:val="001D2128"/>
    <w:rsid w:val="001D447B"/>
    <w:rsid w:val="001E16B0"/>
    <w:rsid w:val="001E25F7"/>
    <w:rsid w:val="001E4E64"/>
    <w:rsid w:val="001F29AD"/>
    <w:rsid w:val="001F4B5D"/>
    <w:rsid w:val="00201B04"/>
    <w:rsid w:val="00203DA9"/>
    <w:rsid w:val="002107A3"/>
    <w:rsid w:val="00222B21"/>
    <w:rsid w:val="00225775"/>
    <w:rsid w:val="00226D72"/>
    <w:rsid w:val="00231216"/>
    <w:rsid w:val="00232D2E"/>
    <w:rsid w:val="0023480A"/>
    <w:rsid w:val="00236EB8"/>
    <w:rsid w:val="0023703B"/>
    <w:rsid w:val="002407E0"/>
    <w:rsid w:val="00242DD3"/>
    <w:rsid w:val="00247B6C"/>
    <w:rsid w:val="002518A0"/>
    <w:rsid w:val="002552E7"/>
    <w:rsid w:val="0026551F"/>
    <w:rsid w:val="002672F1"/>
    <w:rsid w:val="00284360"/>
    <w:rsid w:val="00292251"/>
    <w:rsid w:val="00294431"/>
    <w:rsid w:val="00296975"/>
    <w:rsid w:val="0029720B"/>
    <w:rsid w:val="002A086B"/>
    <w:rsid w:val="002A2928"/>
    <w:rsid w:val="002A2E93"/>
    <w:rsid w:val="002A426D"/>
    <w:rsid w:val="002B0A28"/>
    <w:rsid w:val="002B0BB2"/>
    <w:rsid w:val="002B220C"/>
    <w:rsid w:val="002B3E65"/>
    <w:rsid w:val="002B6774"/>
    <w:rsid w:val="002B74F9"/>
    <w:rsid w:val="002C6125"/>
    <w:rsid w:val="002C6CBC"/>
    <w:rsid w:val="002D3933"/>
    <w:rsid w:val="002D57A8"/>
    <w:rsid w:val="002D70FE"/>
    <w:rsid w:val="002E6F3B"/>
    <w:rsid w:val="002E7043"/>
    <w:rsid w:val="002E73BC"/>
    <w:rsid w:val="00300903"/>
    <w:rsid w:val="00301BC8"/>
    <w:rsid w:val="00304562"/>
    <w:rsid w:val="00316081"/>
    <w:rsid w:val="00322239"/>
    <w:rsid w:val="00322503"/>
    <w:rsid w:val="00327BD6"/>
    <w:rsid w:val="00343664"/>
    <w:rsid w:val="00343F6B"/>
    <w:rsid w:val="00350623"/>
    <w:rsid w:val="003640B4"/>
    <w:rsid w:val="00364E84"/>
    <w:rsid w:val="00367DED"/>
    <w:rsid w:val="00376561"/>
    <w:rsid w:val="00386CF2"/>
    <w:rsid w:val="00387521"/>
    <w:rsid w:val="00387754"/>
    <w:rsid w:val="00392410"/>
    <w:rsid w:val="00395577"/>
    <w:rsid w:val="00397983"/>
    <w:rsid w:val="00397EBF"/>
    <w:rsid w:val="003A31BF"/>
    <w:rsid w:val="003B40D4"/>
    <w:rsid w:val="003C668E"/>
    <w:rsid w:val="003D7A01"/>
    <w:rsid w:val="003F2B64"/>
    <w:rsid w:val="003F2BAE"/>
    <w:rsid w:val="003F5E86"/>
    <w:rsid w:val="0040047A"/>
    <w:rsid w:val="00401C69"/>
    <w:rsid w:val="00403081"/>
    <w:rsid w:val="00405340"/>
    <w:rsid w:val="004077C8"/>
    <w:rsid w:val="00411E1A"/>
    <w:rsid w:val="00417881"/>
    <w:rsid w:val="0042025D"/>
    <w:rsid w:val="0042346E"/>
    <w:rsid w:val="00423D5F"/>
    <w:rsid w:val="00425017"/>
    <w:rsid w:val="004318C7"/>
    <w:rsid w:val="004507E0"/>
    <w:rsid w:val="004519B7"/>
    <w:rsid w:val="00454EAD"/>
    <w:rsid w:val="00455D7A"/>
    <w:rsid w:val="004605F2"/>
    <w:rsid w:val="00462814"/>
    <w:rsid w:val="004742F3"/>
    <w:rsid w:val="00474BF8"/>
    <w:rsid w:val="00485A2D"/>
    <w:rsid w:val="004865FC"/>
    <w:rsid w:val="004876A5"/>
    <w:rsid w:val="004908BD"/>
    <w:rsid w:val="0049391D"/>
    <w:rsid w:val="004A455E"/>
    <w:rsid w:val="004B0D0D"/>
    <w:rsid w:val="004C052A"/>
    <w:rsid w:val="004C4FD2"/>
    <w:rsid w:val="004C6C90"/>
    <w:rsid w:val="004D27D7"/>
    <w:rsid w:val="004D6724"/>
    <w:rsid w:val="004E43DF"/>
    <w:rsid w:val="004F57A4"/>
    <w:rsid w:val="00501A9C"/>
    <w:rsid w:val="0050511F"/>
    <w:rsid w:val="00506F39"/>
    <w:rsid w:val="0051474C"/>
    <w:rsid w:val="00514901"/>
    <w:rsid w:val="00520218"/>
    <w:rsid w:val="00522ED2"/>
    <w:rsid w:val="0052382B"/>
    <w:rsid w:val="005257D0"/>
    <w:rsid w:val="00526111"/>
    <w:rsid w:val="0053363C"/>
    <w:rsid w:val="005449C7"/>
    <w:rsid w:val="00555FDB"/>
    <w:rsid w:val="00557C7D"/>
    <w:rsid w:val="00562831"/>
    <w:rsid w:val="00562CC5"/>
    <w:rsid w:val="005659D6"/>
    <w:rsid w:val="00566CCC"/>
    <w:rsid w:val="00591A6D"/>
    <w:rsid w:val="00597B35"/>
    <w:rsid w:val="005A0A70"/>
    <w:rsid w:val="005A12BE"/>
    <w:rsid w:val="005A4CBF"/>
    <w:rsid w:val="005B079B"/>
    <w:rsid w:val="005B12CE"/>
    <w:rsid w:val="005B4399"/>
    <w:rsid w:val="005C41D0"/>
    <w:rsid w:val="005C4727"/>
    <w:rsid w:val="005D0554"/>
    <w:rsid w:val="005D131C"/>
    <w:rsid w:val="005D5BE9"/>
    <w:rsid w:val="005D7BD0"/>
    <w:rsid w:val="005E1E66"/>
    <w:rsid w:val="005E247D"/>
    <w:rsid w:val="005E3939"/>
    <w:rsid w:val="005E3D9E"/>
    <w:rsid w:val="005E3E5A"/>
    <w:rsid w:val="005E5F70"/>
    <w:rsid w:val="005E7954"/>
    <w:rsid w:val="00607857"/>
    <w:rsid w:val="00626432"/>
    <w:rsid w:val="00642B56"/>
    <w:rsid w:val="00644AE1"/>
    <w:rsid w:val="00656081"/>
    <w:rsid w:val="00663CAE"/>
    <w:rsid w:val="00667333"/>
    <w:rsid w:val="006712A4"/>
    <w:rsid w:val="00682013"/>
    <w:rsid w:val="00683A51"/>
    <w:rsid w:val="00686E85"/>
    <w:rsid w:val="00692396"/>
    <w:rsid w:val="00693FF0"/>
    <w:rsid w:val="006952F9"/>
    <w:rsid w:val="0069619D"/>
    <w:rsid w:val="006A0B79"/>
    <w:rsid w:val="006A0F13"/>
    <w:rsid w:val="006A2A4A"/>
    <w:rsid w:val="006A3786"/>
    <w:rsid w:val="006A6986"/>
    <w:rsid w:val="006B4CC3"/>
    <w:rsid w:val="006B5C42"/>
    <w:rsid w:val="006C5577"/>
    <w:rsid w:val="006D389B"/>
    <w:rsid w:val="006D48A5"/>
    <w:rsid w:val="006D7CE0"/>
    <w:rsid w:val="006E2142"/>
    <w:rsid w:val="006E5A6B"/>
    <w:rsid w:val="006E77BD"/>
    <w:rsid w:val="006F39F8"/>
    <w:rsid w:val="006F3C7E"/>
    <w:rsid w:val="006F7509"/>
    <w:rsid w:val="0070310A"/>
    <w:rsid w:val="00704440"/>
    <w:rsid w:val="007106CC"/>
    <w:rsid w:val="0071179C"/>
    <w:rsid w:val="0072111F"/>
    <w:rsid w:val="00723292"/>
    <w:rsid w:val="007335F3"/>
    <w:rsid w:val="00733D44"/>
    <w:rsid w:val="007377B9"/>
    <w:rsid w:val="00740B49"/>
    <w:rsid w:val="0075467E"/>
    <w:rsid w:val="00770E9B"/>
    <w:rsid w:val="00771512"/>
    <w:rsid w:val="00772B6E"/>
    <w:rsid w:val="00773C1E"/>
    <w:rsid w:val="0077494A"/>
    <w:rsid w:val="00775152"/>
    <w:rsid w:val="00775D95"/>
    <w:rsid w:val="007767A4"/>
    <w:rsid w:val="00780CBB"/>
    <w:rsid w:val="00783A32"/>
    <w:rsid w:val="007852F3"/>
    <w:rsid w:val="0079035F"/>
    <w:rsid w:val="00793DAC"/>
    <w:rsid w:val="00795BFF"/>
    <w:rsid w:val="007A2ACE"/>
    <w:rsid w:val="007A3C97"/>
    <w:rsid w:val="007B0300"/>
    <w:rsid w:val="007B0847"/>
    <w:rsid w:val="007B41D8"/>
    <w:rsid w:val="007B4233"/>
    <w:rsid w:val="007B5809"/>
    <w:rsid w:val="007B5ED2"/>
    <w:rsid w:val="007C30DB"/>
    <w:rsid w:val="007C4317"/>
    <w:rsid w:val="007D2F69"/>
    <w:rsid w:val="007D3349"/>
    <w:rsid w:val="00824A00"/>
    <w:rsid w:val="0082523F"/>
    <w:rsid w:val="00826C7B"/>
    <w:rsid w:val="0084424D"/>
    <w:rsid w:val="00844858"/>
    <w:rsid w:val="00845A31"/>
    <w:rsid w:val="008541D6"/>
    <w:rsid w:val="00856579"/>
    <w:rsid w:val="0086227D"/>
    <w:rsid w:val="00864C41"/>
    <w:rsid w:val="00870CEF"/>
    <w:rsid w:val="00880F24"/>
    <w:rsid w:val="0089231D"/>
    <w:rsid w:val="008A1245"/>
    <w:rsid w:val="008A2B14"/>
    <w:rsid w:val="008B347B"/>
    <w:rsid w:val="008B3763"/>
    <w:rsid w:val="008B3B7D"/>
    <w:rsid w:val="008C62B9"/>
    <w:rsid w:val="008D37D1"/>
    <w:rsid w:val="008F1BB9"/>
    <w:rsid w:val="008F3BB3"/>
    <w:rsid w:val="008F766D"/>
    <w:rsid w:val="00900972"/>
    <w:rsid w:val="00910BC1"/>
    <w:rsid w:val="00914C40"/>
    <w:rsid w:val="009250A3"/>
    <w:rsid w:val="00925900"/>
    <w:rsid w:val="00933EAB"/>
    <w:rsid w:val="00936B3B"/>
    <w:rsid w:val="0094227C"/>
    <w:rsid w:val="00945A3D"/>
    <w:rsid w:val="00950EF7"/>
    <w:rsid w:val="00951835"/>
    <w:rsid w:val="00952274"/>
    <w:rsid w:val="00957C68"/>
    <w:rsid w:val="0096032A"/>
    <w:rsid w:val="00963027"/>
    <w:rsid w:val="0096320A"/>
    <w:rsid w:val="00972D02"/>
    <w:rsid w:val="00976C55"/>
    <w:rsid w:val="00977B06"/>
    <w:rsid w:val="0098017D"/>
    <w:rsid w:val="0098651D"/>
    <w:rsid w:val="00994D28"/>
    <w:rsid w:val="0099543C"/>
    <w:rsid w:val="00995F39"/>
    <w:rsid w:val="009A0E1A"/>
    <w:rsid w:val="009B7D63"/>
    <w:rsid w:val="009C119D"/>
    <w:rsid w:val="009C3427"/>
    <w:rsid w:val="009C48C6"/>
    <w:rsid w:val="009D1D59"/>
    <w:rsid w:val="009D1E62"/>
    <w:rsid w:val="009D204E"/>
    <w:rsid w:val="009D392B"/>
    <w:rsid w:val="009D5BC5"/>
    <w:rsid w:val="009D73BD"/>
    <w:rsid w:val="009D7CB4"/>
    <w:rsid w:val="009E246A"/>
    <w:rsid w:val="009E69AF"/>
    <w:rsid w:val="009E766B"/>
    <w:rsid w:val="009F57B6"/>
    <w:rsid w:val="009F6C9F"/>
    <w:rsid w:val="009F731B"/>
    <w:rsid w:val="00A20812"/>
    <w:rsid w:val="00A25A66"/>
    <w:rsid w:val="00A265FC"/>
    <w:rsid w:val="00A30E77"/>
    <w:rsid w:val="00A3191B"/>
    <w:rsid w:val="00A367C2"/>
    <w:rsid w:val="00A41E99"/>
    <w:rsid w:val="00A50962"/>
    <w:rsid w:val="00A512AE"/>
    <w:rsid w:val="00A56A47"/>
    <w:rsid w:val="00A56E0E"/>
    <w:rsid w:val="00A57A56"/>
    <w:rsid w:val="00A61B2D"/>
    <w:rsid w:val="00A61E88"/>
    <w:rsid w:val="00A63AB6"/>
    <w:rsid w:val="00A63D83"/>
    <w:rsid w:val="00A70D52"/>
    <w:rsid w:val="00A7228B"/>
    <w:rsid w:val="00A76944"/>
    <w:rsid w:val="00A771C0"/>
    <w:rsid w:val="00A80383"/>
    <w:rsid w:val="00A81DB2"/>
    <w:rsid w:val="00A82D4D"/>
    <w:rsid w:val="00A869A7"/>
    <w:rsid w:val="00AB089D"/>
    <w:rsid w:val="00AB51E1"/>
    <w:rsid w:val="00AC04FE"/>
    <w:rsid w:val="00AC2731"/>
    <w:rsid w:val="00AC4EC5"/>
    <w:rsid w:val="00AC60BA"/>
    <w:rsid w:val="00AC614D"/>
    <w:rsid w:val="00AD3447"/>
    <w:rsid w:val="00AE372C"/>
    <w:rsid w:val="00AE3E8E"/>
    <w:rsid w:val="00AF4492"/>
    <w:rsid w:val="00AF6DBF"/>
    <w:rsid w:val="00B01EFE"/>
    <w:rsid w:val="00B03751"/>
    <w:rsid w:val="00B04E3D"/>
    <w:rsid w:val="00B110BC"/>
    <w:rsid w:val="00B15E23"/>
    <w:rsid w:val="00B2015E"/>
    <w:rsid w:val="00B25DAC"/>
    <w:rsid w:val="00B3196E"/>
    <w:rsid w:val="00B32AB8"/>
    <w:rsid w:val="00B36ECF"/>
    <w:rsid w:val="00B471FF"/>
    <w:rsid w:val="00B47DED"/>
    <w:rsid w:val="00B61991"/>
    <w:rsid w:val="00B71088"/>
    <w:rsid w:val="00B75350"/>
    <w:rsid w:val="00B758A3"/>
    <w:rsid w:val="00B7675F"/>
    <w:rsid w:val="00B83EAA"/>
    <w:rsid w:val="00B85366"/>
    <w:rsid w:val="00B8691A"/>
    <w:rsid w:val="00BA3A1E"/>
    <w:rsid w:val="00BB030B"/>
    <w:rsid w:val="00BB0D8B"/>
    <w:rsid w:val="00BD5F19"/>
    <w:rsid w:val="00BD615D"/>
    <w:rsid w:val="00BD6C3F"/>
    <w:rsid w:val="00BD6C8F"/>
    <w:rsid w:val="00BD7D28"/>
    <w:rsid w:val="00BE1058"/>
    <w:rsid w:val="00BE305D"/>
    <w:rsid w:val="00BE5A72"/>
    <w:rsid w:val="00BF0B78"/>
    <w:rsid w:val="00BF1693"/>
    <w:rsid w:val="00BF6E50"/>
    <w:rsid w:val="00C029E5"/>
    <w:rsid w:val="00C03903"/>
    <w:rsid w:val="00C15D63"/>
    <w:rsid w:val="00C25C96"/>
    <w:rsid w:val="00C33003"/>
    <w:rsid w:val="00C348A9"/>
    <w:rsid w:val="00C34FB1"/>
    <w:rsid w:val="00C405E5"/>
    <w:rsid w:val="00C4458A"/>
    <w:rsid w:val="00C567E3"/>
    <w:rsid w:val="00C60798"/>
    <w:rsid w:val="00C63061"/>
    <w:rsid w:val="00C6392E"/>
    <w:rsid w:val="00C650AE"/>
    <w:rsid w:val="00C70A2E"/>
    <w:rsid w:val="00C823C8"/>
    <w:rsid w:val="00C91E5C"/>
    <w:rsid w:val="00CA10E4"/>
    <w:rsid w:val="00CB41D8"/>
    <w:rsid w:val="00CB52F6"/>
    <w:rsid w:val="00CB7720"/>
    <w:rsid w:val="00CB7D12"/>
    <w:rsid w:val="00CD06A2"/>
    <w:rsid w:val="00CD2D8E"/>
    <w:rsid w:val="00CD5A05"/>
    <w:rsid w:val="00CD7E80"/>
    <w:rsid w:val="00CE18CA"/>
    <w:rsid w:val="00CE464F"/>
    <w:rsid w:val="00CE5625"/>
    <w:rsid w:val="00CF5DD5"/>
    <w:rsid w:val="00CF6456"/>
    <w:rsid w:val="00D01779"/>
    <w:rsid w:val="00D03618"/>
    <w:rsid w:val="00D03A2F"/>
    <w:rsid w:val="00D12956"/>
    <w:rsid w:val="00D15838"/>
    <w:rsid w:val="00D16C54"/>
    <w:rsid w:val="00D2094E"/>
    <w:rsid w:val="00D271AD"/>
    <w:rsid w:val="00D345FF"/>
    <w:rsid w:val="00D40AD7"/>
    <w:rsid w:val="00D40D69"/>
    <w:rsid w:val="00D4211B"/>
    <w:rsid w:val="00D472C7"/>
    <w:rsid w:val="00D51160"/>
    <w:rsid w:val="00D5402F"/>
    <w:rsid w:val="00D57245"/>
    <w:rsid w:val="00D62F32"/>
    <w:rsid w:val="00D71A7C"/>
    <w:rsid w:val="00D72DCA"/>
    <w:rsid w:val="00D7400F"/>
    <w:rsid w:val="00D740FB"/>
    <w:rsid w:val="00D77811"/>
    <w:rsid w:val="00D85E5B"/>
    <w:rsid w:val="00D86351"/>
    <w:rsid w:val="00D865FC"/>
    <w:rsid w:val="00D907E5"/>
    <w:rsid w:val="00D92835"/>
    <w:rsid w:val="00DA0DD7"/>
    <w:rsid w:val="00DA2D4C"/>
    <w:rsid w:val="00DA40C9"/>
    <w:rsid w:val="00DA6786"/>
    <w:rsid w:val="00DA74D3"/>
    <w:rsid w:val="00DA7A9E"/>
    <w:rsid w:val="00DB1819"/>
    <w:rsid w:val="00DB5B0A"/>
    <w:rsid w:val="00DC0ED4"/>
    <w:rsid w:val="00DC2310"/>
    <w:rsid w:val="00DC4748"/>
    <w:rsid w:val="00DC621C"/>
    <w:rsid w:val="00DD5BB7"/>
    <w:rsid w:val="00DE536B"/>
    <w:rsid w:val="00DF03F1"/>
    <w:rsid w:val="00DF359B"/>
    <w:rsid w:val="00E013BB"/>
    <w:rsid w:val="00E0160B"/>
    <w:rsid w:val="00E01D56"/>
    <w:rsid w:val="00E07AF7"/>
    <w:rsid w:val="00E10072"/>
    <w:rsid w:val="00E10FD4"/>
    <w:rsid w:val="00E11E54"/>
    <w:rsid w:val="00E246BA"/>
    <w:rsid w:val="00E25E07"/>
    <w:rsid w:val="00E32A92"/>
    <w:rsid w:val="00E337E3"/>
    <w:rsid w:val="00E5158E"/>
    <w:rsid w:val="00E544A5"/>
    <w:rsid w:val="00E711EA"/>
    <w:rsid w:val="00E71E56"/>
    <w:rsid w:val="00E74A4E"/>
    <w:rsid w:val="00E802A8"/>
    <w:rsid w:val="00E82E27"/>
    <w:rsid w:val="00E93712"/>
    <w:rsid w:val="00EA4F83"/>
    <w:rsid w:val="00EB23BC"/>
    <w:rsid w:val="00EB4AA6"/>
    <w:rsid w:val="00EB79E4"/>
    <w:rsid w:val="00EE244E"/>
    <w:rsid w:val="00EE42C1"/>
    <w:rsid w:val="00EE474E"/>
    <w:rsid w:val="00EE4A40"/>
    <w:rsid w:val="00EE5EFB"/>
    <w:rsid w:val="00EF1868"/>
    <w:rsid w:val="00EF1B56"/>
    <w:rsid w:val="00EF26D7"/>
    <w:rsid w:val="00EF26DB"/>
    <w:rsid w:val="00EF3A24"/>
    <w:rsid w:val="00EF3DB8"/>
    <w:rsid w:val="00EF4807"/>
    <w:rsid w:val="00F161B5"/>
    <w:rsid w:val="00F2143B"/>
    <w:rsid w:val="00F230E2"/>
    <w:rsid w:val="00F23F05"/>
    <w:rsid w:val="00F24F8E"/>
    <w:rsid w:val="00F31A3B"/>
    <w:rsid w:val="00F31C5E"/>
    <w:rsid w:val="00F342B2"/>
    <w:rsid w:val="00F45D81"/>
    <w:rsid w:val="00F45E91"/>
    <w:rsid w:val="00F50A13"/>
    <w:rsid w:val="00F62ED1"/>
    <w:rsid w:val="00F64FB2"/>
    <w:rsid w:val="00F654E5"/>
    <w:rsid w:val="00F841DD"/>
    <w:rsid w:val="00F86D04"/>
    <w:rsid w:val="00F86E14"/>
    <w:rsid w:val="00F918E8"/>
    <w:rsid w:val="00F91FB5"/>
    <w:rsid w:val="00FA1F7F"/>
    <w:rsid w:val="00FA6045"/>
    <w:rsid w:val="00FA76CF"/>
    <w:rsid w:val="00FB68D9"/>
    <w:rsid w:val="00FC0B70"/>
    <w:rsid w:val="00FC22A4"/>
    <w:rsid w:val="00FD426E"/>
    <w:rsid w:val="00FD6594"/>
    <w:rsid w:val="00FE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3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9D6"/>
    <w:rPr>
      <w:sz w:val="24"/>
      <w:szCs w:val="24"/>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Normal"/>
    <w:next w:val="Normal"/>
    <w:qFormat/>
    <w:pPr>
      <w:keepNext/>
      <w:outlineLvl w:val="1"/>
    </w:pPr>
    <w:rPr>
      <w:b/>
      <w:bCs/>
      <w:color w:val="000000"/>
      <w:szCs w:val="17"/>
    </w:rPr>
  </w:style>
  <w:style w:type="paragraph" w:styleId="Heading3">
    <w:name w:val="heading 3"/>
    <w:basedOn w:val="Normal"/>
    <w:next w:val="Normal"/>
    <w:qFormat/>
    <w:pPr>
      <w:keepNext/>
      <w:pageBreakBefore/>
      <w:outlineLvl w:val="2"/>
    </w:pPr>
    <w:rPr>
      <w:b/>
    </w:rPr>
  </w:style>
  <w:style w:type="paragraph" w:styleId="Heading4">
    <w:name w:val="heading 4"/>
    <w:basedOn w:val="Normal"/>
    <w:next w:val="Normal"/>
    <w:qFormat/>
    <w:pPr>
      <w:keepNext/>
      <w:outlineLvl w:val="3"/>
    </w:pPr>
    <w:rPr>
      <w:i/>
      <w:iCs/>
      <w:color w:val="000000"/>
      <w:szCs w:val="17"/>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Revision">
    <w:name w:val="Agenda Revision"/>
    <w:basedOn w:val="Normal"/>
    <w:rPr>
      <w:szCs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c295">
    <w:name w:val="fc295"/>
    <w:rPr>
      <w:rFonts w:ascii="Times New Roman" w:hAnsi="Times New Roman" w:cs="Times New Roman" w:hint="default"/>
      <w:b w:val="0"/>
      <w:bCs w:val="0"/>
      <w:color w:val="000000"/>
      <w:sz w:val="24"/>
      <w:szCs w:val="24"/>
    </w:rPr>
  </w:style>
  <w:style w:type="character" w:customStyle="1" w:styleId="fc561">
    <w:name w:val="fc561"/>
    <w:rPr>
      <w:rFonts w:ascii="Times New Roman" w:hAnsi="Times New Roman" w:cs="Times New Roman" w:hint="default"/>
      <w:b/>
      <w:bCs/>
      <w:color w:val="000000"/>
      <w:sz w:val="22"/>
      <w:szCs w:val="22"/>
    </w:rPr>
  </w:style>
  <w:style w:type="paragraph" w:styleId="BodyText">
    <w:name w:val="Body Text"/>
    <w:basedOn w:val="Normal"/>
    <w:rPr>
      <w:color w:val="000000"/>
      <w:szCs w:val="17"/>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overflowPunct w:val="0"/>
      <w:autoSpaceDE w:val="0"/>
      <w:autoSpaceDN w:val="0"/>
      <w:adjustRightInd w:val="0"/>
      <w:ind w:left="155"/>
      <w:textAlignment w:val="baseline"/>
    </w:pPr>
    <w:rPr>
      <w:sz w:val="26"/>
      <w:szCs w:val="20"/>
    </w:rPr>
  </w:style>
  <w:style w:type="paragraph" w:styleId="BodyText2">
    <w:name w:val="Body Text 2"/>
    <w:basedOn w:val="Normal"/>
    <w:rPr>
      <w:sz w:val="2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customStyle="1" w:styleId="apple-style-span">
    <w:name w:val="apple-style-span"/>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DC0ED4"/>
    <w:pPr>
      <w:ind w:left="720"/>
      <w:contextualSpacing/>
    </w:pPr>
  </w:style>
  <w:style w:type="character" w:customStyle="1" w:styleId="Heading1Char">
    <w:name w:val="Heading 1 Char"/>
    <w:basedOn w:val="DefaultParagraphFont"/>
    <w:link w:val="Heading1"/>
    <w:rsid w:val="001552C4"/>
    <w:rPr>
      <w:b/>
      <w:sz w:val="32"/>
      <w:szCs w:val="24"/>
    </w:rPr>
  </w:style>
  <w:style w:type="character" w:customStyle="1" w:styleId="UnresolvedMention1">
    <w:name w:val="Unresolved Mention1"/>
    <w:basedOn w:val="DefaultParagraphFont"/>
    <w:uiPriority w:val="99"/>
    <w:semiHidden/>
    <w:unhideWhenUsed/>
    <w:rsid w:val="00BB0D8B"/>
    <w:rPr>
      <w:color w:val="605E5C"/>
      <w:shd w:val="clear" w:color="auto" w:fill="E1DFDD"/>
    </w:rPr>
  </w:style>
  <w:style w:type="paragraph" w:customStyle="1" w:styleId="Default">
    <w:name w:val="Default"/>
    <w:rsid w:val="008448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8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90">
      <w:bodyDiv w:val="1"/>
      <w:marLeft w:val="0"/>
      <w:marRight w:val="0"/>
      <w:marTop w:val="0"/>
      <w:marBottom w:val="0"/>
      <w:divBdr>
        <w:top w:val="none" w:sz="0" w:space="0" w:color="auto"/>
        <w:left w:val="none" w:sz="0" w:space="0" w:color="auto"/>
        <w:bottom w:val="none" w:sz="0" w:space="0" w:color="auto"/>
        <w:right w:val="none" w:sz="0" w:space="0" w:color="auto"/>
      </w:divBdr>
    </w:div>
    <w:div w:id="91170734">
      <w:bodyDiv w:val="1"/>
      <w:marLeft w:val="0"/>
      <w:marRight w:val="0"/>
      <w:marTop w:val="0"/>
      <w:marBottom w:val="0"/>
      <w:divBdr>
        <w:top w:val="none" w:sz="0" w:space="0" w:color="auto"/>
        <w:left w:val="none" w:sz="0" w:space="0" w:color="auto"/>
        <w:bottom w:val="none" w:sz="0" w:space="0" w:color="auto"/>
        <w:right w:val="none" w:sz="0" w:space="0" w:color="auto"/>
      </w:divBdr>
    </w:div>
    <w:div w:id="203910598">
      <w:bodyDiv w:val="1"/>
      <w:marLeft w:val="0"/>
      <w:marRight w:val="0"/>
      <w:marTop w:val="0"/>
      <w:marBottom w:val="0"/>
      <w:divBdr>
        <w:top w:val="none" w:sz="0" w:space="0" w:color="auto"/>
        <w:left w:val="none" w:sz="0" w:space="0" w:color="auto"/>
        <w:bottom w:val="none" w:sz="0" w:space="0" w:color="auto"/>
        <w:right w:val="none" w:sz="0" w:space="0" w:color="auto"/>
      </w:divBdr>
    </w:div>
    <w:div w:id="233324473">
      <w:bodyDiv w:val="1"/>
      <w:marLeft w:val="0"/>
      <w:marRight w:val="0"/>
      <w:marTop w:val="0"/>
      <w:marBottom w:val="0"/>
      <w:divBdr>
        <w:top w:val="none" w:sz="0" w:space="0" w:color="auto"/>
        <w:left w:val="none" w:sz="0" w:space="0" w:color="auto"/>
        <w:bottom w:val="none" w:sz="0" w:space="0" w:color="auto"/>
        <w:right w:val="none" w:sz="0" w:space="0" w:color="auto"/>
      </w:divBdr>
    </w:div>
    <w:div w:id="300691232">
      <w:bodyDiv w:val="1"/>
      <w:marLeft w:val="0"/>
      <w:marRight w:val="0"/>
      <w:marTop w:val="0"/>
      <w:marBottom w:val="0"/>
      <w:divBdr>
        <w:top w:val="none" w:sz="0" w:space="0" w:color="auto"/>
        <w:left w:val="none" w:sz="0" w:space="0" w:color="auto"/>
        <w:bottom w:val="none" w:sz="0" w:space="0" w:color="auto"/>
        <w:right w:val="none" w:sz="0" w:space="0" w:color="auto"/>
      </w:divBdr>
    </w:div>
    <w:div w:id="307706697">
      <w:bodyDiv w:val="1"/>
      <w:marLeft w:val="0"/>
      <w:marRight w:val="0"/>
      <w:marTop w:val="0"/>
      <w:marBottom w:val="0"/>
      <w:divBdr>
        <w:top w:val="none" w:sz="0" w:space="0" w:color="auto"/>
        <w:left w:val="none" w:sz="0" w:space="0" w:color="auto"/>
        <w:bottom w:val="none" w:sz="0" w:space="0" w:color="auto"/>
        <w:right w:val="none" w:sz="0" w:space="0" w:color="auto"/>
      </w:divBdr>
    </w:div>
    <w:div w:id="398211751">
      <w:bodyDiv w:val="1"/>
      <w:marLeft w:val="0"/>
      <w:marRight w:val="0"/>
      <w:marTop w:val="0"/>
      <w:marBottom w:val="0"/>
      <w:divBdr>
        <w:top w:val="none" w:sz="0" w:space="0" w:color="auto"/>
        <w:left w:val="none" w:sz="0" w:space="0" w:color="auto"/>
        <w:bottom w:val="none" w:sz="0" w:space="0" w:color="auto"/>
        <w:right w:val="none" w:sz="0" w:space="0" w:color="auto"/>
      </w:divBdr>
    </w:div>
    <w:div w:id="452481023">
      <w:bodyDiv w:val="1"/>
      <w:marLeft w:val="0"/>
      <w:marRight w:val="0"/>
      <w:marTop w:val="0"/>
      <w:marBottom w:val="0"/>
      <w:divBdr>
        <w:top w:val="none" w:sz="0" w:space="0" w:color="auto"/>
        <w:left w:val="none" w:sz="0" w:space="0" w:color="auto"/>
        <w:bottom w:val="none" w:sz="0" w:space="0" w:color="auto"/>
        <w:right w:val="none" w:sz="0" w:space="0" w:color="auto"/>
      </w:divBdr>
    </w:div>
    <w:div w:id="553583651">
      <w:bodyDiv w:val="1"/>
      <w:marLeft w:val="0"/>
      <w:marRight w:val="0"/>
      <w:marTop w:val="0"/>
      <w:marBottom w:val="0"/>
      <w:divBdr>
        <w:top w:val="none" w:sz="0" w:space="0" w:color="auto"/>
        <w:left w:val="none" w:sz="0" w:space="0" w:color="auto"/>
        <w:bottom w:val="none" w:sz="0" w:space="0" w:color="auto"/>
        <w:right w:val="none" w:sz="0" w:space="0" w:color="auto"/>
      </w:divBdr>
    </w:div>
    <w:div w:id="656760432">
      <w:bodyDiv w:val="1"/>
      <w:marLeft w:val="0"/>
      <w:marRight w:val="0"/>
      <w:marTop w:val="0"/>
      <w:marBottom w:val="0"/>
      <w:divBdr>
        <w:top w:val="none" w:sz="0" w:space="0" w:color="auto"/>
        <w:left w:val="none" w:sz="0" w:space="0" w:color="auto"/>
        <w:bottom w:val="none" w:sz="0" w:space="0" w:color="auto"/>
        <w:right w:val="none" w:sz="0" w:space="0" w:color="auto"/>
      </w:divBdr>
      <w:divsChild>
        <w:div w:id="84660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568708">
      <w:bodyDiv w:val="1"/>
      <w:marLeft w:val="0"/>
      <w:marRight w:val="0"/>
      <w:marTop w:val="0"/>
      <w:marBottom w:val="0"/>
      <w:divBdr>
        <w:top w:val="none" w:sz="0" w:space="0" w:color="auto"/>
        <w:left w:val="none" w:sz="0" w:space="0" w:color="auto"/>
        <w:bottom w:val="none" w:sz="0" w:space="0" w:color="auto"/>
        <w:right w:val="none" w:sz="0" w:space="0" w:color="auto"/>
      </w:divBdr>
    </w:div>
    <w:div w:id="764613038">
      <w:bodyDiv w:val="1"/>
      <w:marLeft w:val="0"/>
      <w:marRight w:val="0"/>
      <w:marTop w:val="0"/>
      <w:marBottom w:val="0"/>
      <w:divBdr>
        <w:top w:val="none" w:sz="0" w:space="0" w:color="auto"/>
        <w:left w:val="none" w:sz="0" w:space="0" w:color="auto"/>
        <w:bottom w:val="none" w:sz="0" w:space="0" w:color="auto"/>
        <w:right w:val="none" w:sz="0" w:space="0" w:color="auto"/>
      </w:divBdr>
    </w:div>
    <w:div w:id="863204944">
      <w:bodyDiv w:val="1"/>
      <w:marLeft w:val="0"/>
      <w:marRight w:val="0"/>
      <w:marTop w:val="0"/>
      <w:marBottom w:val="0"/>
      <w:divBdr>
        <w:top w:val="none" w:sz="0" w:space="0" w:color="auto"/>
        <w:left w:val="none" w:sz="0" w:space="0" w:color="auto"/>
        <w:bottom w:val="none" w:sz="0" w:space="0" w:color="auto"/>
        <w:right w:val="none" w:sz="0" w:space="0" w:color="auto"/>
      </w:divBdr>
    </w:div>
    <w:div w:id="877468595">
      <w:bodyDiv w:val="1"/>
      <w:marLeft w:val="0"/>
      <w:marRight w:val="0"/>
      <w:marTop w:val="0"/>
      <w:marBottom w:val="0"/>
      <w:divBdr>
        <w:top w:val="none" w:sz="0" w:space="0" w:color="auto"/>
        <w:left w:val="none" w:sz="0" w:space="0" w:color="auto"/>
        <w:bottom w:val="none" w:sz="0" w:space="0" w:color="auto"/>
        <w:right w:val="none" w:sz="0" w:space="0" w:color="auto"/>
      </w:divBdr>
    </w:div>
    <w:div w:id="916667467">
      <w:bodyDiv w:val="1"/>
      <w:marLeft w:val="0"/>
      <w:marRight w:val="0"/>
      <w:marTop w:val="0"/>
      <w:marBottom w:val="0"/>
      <w:divBdr>
        <w:top w:val="none" w:sz="0" w:space="0" w:color="auto"/>
        <w:left w:val="none" w:sz="0" w:space="0" w:color="auto"/>
        <w:bottom w:val="none" w:sz="0" w:space="0" w:color="auto"/>
        <w:right w:val="none" w:sz="0" w:space="0" w:color="auto"/>
      </w:divBdr>
    </w:div>
    <w:div w:id="994798556">
      <w:bodyDiv w:val="1"/>
      <w:marLeft w:val="0"/>
      <w:marRight w:val="0"/>
      <w:marTop w:val="0"/>
      <w:marBottom w:val="0"/>
      <w:divBdr>
        <w:top w:val="none" w:sz="0" w:space="0" w:color="auto"/>
        <w:left w:val="none" w:sz="0" w:space="0" w:color="auto"/>
        <w:bottom w:val="none" w:sz="0" w:space="0" w:color="auto"/>
        <w:right w:val="none" w:sz="0" w:space="0" w:color="auto"/>
      </w:divBdr>
    </w:div>
    <w:div w:id="1147086852">
      <w:bodyDiv w:val="1"/>
      <w:marLeft w:val="0"/>
      <w:marRight w:val="0"/>
      <w:marTop w:val="0"/>
      <w:marBottom w:val="0"/>
      <w:divBdr>
        <w:top w:val="none" w:sz="0" w:space="0" w:color="auto"/>
        <w:left w:val="none" w:sz="0" w:space="0" w:color="auto"/>
        <w:bottom w:val="none" w:sz="0" w:space="0" w:color="auto"/>
        <w:right w:val="none" w:sz="0" w:space="0" w:color="auto"/>
      </w:divBdr>
    </w:div>
    <w:div w:id="1207833916">
      <w:bodyDiv w:val="1"/>
      <w:marLeft w:val="0"/>
      <w:marRight w:val="0"/>
      <w:marTop w:val="0"/>
      <w:marBottom w:val="0"/>
      <w:divBdr>
        <w:top w:val="none" w:sz="0" w:space="0" w:color="auto"/>
        <w:left w:val="none" w:sz="0" w:space="0" w:color="auto"/>
        <w:bottom w:val="none" w:sz="0" w:space="0" w:color="auto"/>
        <w:right w:val="none" w:sz="0" w:space="0" w:color="auto"/>
      </w:divBdr>
    </w:div>
    <w:div w:id="1288002502">
      <w:bodyDiv w:val="1"/>
      <w:marLeft w:val="0"/>
      <w:marRight w:val="0"/>
      <w:marTop w:val="0"/>
      <w:marBottom w:val="0"/>
      <w:divBdr>
        <w:top w:val="none" w:sz="0" w:space="0" w:color="auto"/>
        <w:left w:val="none" w:sz="0" w:space="0" w:color="auto"/>
        <w:bottom w:val="none" w:sz="0" w:space="0" w:color="auto"/>
        <w:right w:val="none" w:sz="0" w:space="0" w:color="auto"/>
      </w:divBdr>
    </w:div>
    <w:div w:id="1340812002">
      <w:bodyDiv w:val="1"/>
      <w:marLeft w:val="0"/>
      <w:marRight w:val="0"/>
      <w:marTop w:val="0"/>
      <w:marBottom w:val="0"/>
      <w:divBdr>
        <w:top w:val="none" w:sz="0" w:space="0" w:color="auto"/>
        <w:left w:val="none" w:sz="0" w:space="0" w:color="auto"/>
        <w:bottom w:val="none" w:sz="0" w:space="0" w:color="auto"/>
        <w:right w:val="none" w:sz="0" w:space="0" w:color="auto"/>
      </w:divBdr>
    </w:div>
    <w:div w:id="1468234958">
      <w:bodyDiv w:val="1"/>
      <w:marLeft w:val="0"/>
      <w:marRight w:val="0"/>
      <w:marTop w:val="0"/>
      <w:marBottom w:val="0"/>
      <w:divBdr>
        <w:top w:val="none" w:sz="0" w:space="0" w:color="auto"/>
        <w:left w:val="none" w:sz="0" w:space="0" w:color="auto"/>
        <w:bottom w:val="none" w:sz="0" w:space="0" w:color="auto"/>
        <w:right w:val="none" w:sz="0" w:space="0" w:color="auto"/>
      </w:divBdr>
    </w:div>
    <w:div w:id="1844126062">
      <w:bodyDiv w:val="1"/>
      <w:marLeft w:val="0"/>
      <w:marRight w:val="0"/>
      <w:marTop w:val="0"/>
      <w:marBottom w:val="0"/>
      <w:divBdr>
        <w:top w:val="none" w:sz="0" w:space="0" w:color="auto"/>
        <w:left w:val="none" w:sz="0" w:space="0" w:color="auto"/>
        <w:bottom w:val="none" w:sz="0" w:space="0" w:color="auto"/>
        <w:right w:val="none" w:sz="0" w:space="0" w:color="auto"/>
      </w:divBdr>
    </w:div>
    <w:div w:id="1845515264">
      <w:bodyDiv w:val="1"/>
      <w:marLeft w:val="0"/>
      <w:marRight w:val="0"/>
      <w:marTop w:val="0"/>
      <w:marBottom w:val="0"/>
      <w:divBdr>
        <w:top w:val="none" w:sz="0" w:space="0" w:color="auto"/>
        <w:left w:val="none" w:sz="0" w:space="0" w:color="auto"/>
        <w:bottom w:val="none" w:sz="0" w:space="0" w:color="auto"/>
        <w:right w:val="none" w:sz="0" w:space="0" w:color="auto"/>
      </w:divBdr>
    </w:div>
    <w:div w:id="1918441724">
      <w:bodyDiv w:val="1"/>
      <w:marLeft w:val="0"/>
      <w:marRight w:val="0"/>
      <w:marTop w:val="0"/>
      <w:marBottom w:val="0"/>
      <w:divBdr>
        <w:top w:val="none" w:sz="0" w:space="0" w:color="auto"/>
        <w:left w:val="none" w:sz="0" w:space="0" w:color="auto"/>
        <w:bottom w:val="none" w:sz="0" w:space="0" w:color="auto"/>
        <w:right w:val="none" w:sz="0" w:space="0" w:color="auto"/>
      </w:divBdr>
      <w:divsChild>
        <w:div w:id="301428807">
          <w:marLeft w:val="0"/>
          <w:marRight w:val="0"/>
          <w:marTop w:val="0"/>
          <w:marBottom w:val="0"/>
          <w:divBdr>
            <w:top w:val="none" w:sz="0" w:space="0" w:color="auto"/>
            <w:left w:val="none" w:sz="0" w:space="0" w:color="auto"/>
            <w:bottom w:val="none" w:sz="0" w:space="0" w:color="auto"/>
            <w:right w:val="none" w:sz="0" w:space="0" w:color="auto"/>
          </w:divBdr>
        </w:div>
      </w:divsChild>
    </w:div>
    <w:div w:id="19271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0/03/3.17.20-N-29-20-EO.pdf" TargetMode="External"/><Relationship Id="rId13" Type="http://schemas.openxmlformats.org/officeDocument/2006/relationships/hyperlink" Target="http://docs.cpuc.ca.gov/SearchRes.aspx?docformat=ALL&amp;docid=3733596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dvisor@cpuc.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blic.advisor@cpuc.ca.gov" TargetMode="Externa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73D8-8B5C-4FCB-84C1-ED21017C8F9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521</ap:Words>
  <ap:Characters>3312</ap:Characters>
  <ap:Application>Microsoft Office Word</ap:Application>
  <ap:DocSecurity>0</ap:DocSecurity>
  <ap:Lines>27</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3826</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2012-12-05T22:17:00Z</cp:lastPrinted>
  <dcterms:created xsi:type="dcterms:W3CDTF">2021-04-16T10:20:51Z</dcterms:created>
  <dcterms:modified xsi:type="dcterms:W3CDTF">2021-04-16T10:20:51Z</dcterms:modified>
</cp:coreProperties>
</file>