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7968" w:rsidR="00627CBE" w:rsidP="00627CBE" w:rsidRDefault="00627CBE" w14:paraId="0D93606A" w14:textId="04684398">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6CE273F6" wp14:anchorId="3D9A8B65">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008010B9">
        <w:rPr>
          <w:rFonts w:ascii="Times New Roman" w:hAnsi="Times New Roman"/>
          <w:b/>
          <w:color w:val="000080"/>
          <w:szCs w:val="24"/>
        </w:rPr>
        <w:t xml:space="preserve">    </w:t>
      </w:r>
      <w:r w:rsidR="000842CA">
        <w:rPr>
          <w:rFonts w:ascii="Times New Roman" w:hAnsi="Times New Roman"/>
          <w:b/>
          <w:color w:val="000080"/>
          <w:szCs w:val="24"/>
        </w:rPr>
        <w:t xml:space="preserve">    </w:t>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69E68318" w14:textId="77777777">
      <w:pPr>
        <w:spacing w:line="240" w:lineRule="auto"/>
        <w:ind w:left="5040" w:firstLine="0"/>
        <w:rPr>
          <w:rFonts w:ascii="Times New Roman" w:hAnsi="Times New Roman"/>
          <w:b/>
          <w:color w:val="000080"/>
          <w:szCs w:val="24"/>
        </w:rPr>
      </w:pPr>
    </w:p>
    <w:p w:rsidRPr="002D7968" w:rsidR="00627CBE" w:rsidP="00627CBE" w:rsidRDefault="00627CBE" w14:paraId="4B401F96" w14:textId="77777777">
      <w:pPr>
        <w:spacing w:line="240" w:lineRule="auto"/>
        <w:ind w:left="5040" w:firstLine="0"/>
        <w:rPr>
          <w:rFonts w:ascii="Times New Roman" w:hAnsi="Times New Roman"/>
          <w:b/>
          <w:color w:val="000080"/>
          <w:szCs w:val="24"/>
        </w:rPr>
      </w:pPr>
    </w:p>
    <w:p w:rsidRPr="002D7968" w:rsidR="00627CBE" w:rsidP="00627CBE" w:rsidRDefault="00627CBE" w14:paraId="76089E99" w14:textId="77777777">
      <w:pPr>
        <w:spacing w:line="240" w:lineRule="auto"/>
        <w:ind w:left="5040" w:firstLine="0"/>
        <w:rPr>
          <w:rFonts w:ascii="Times New Roman" w:hAnsi="Times New Roman"/>
          <w:b/>
          <w:color w:val="000080"/>
          <w:szCs w:val="24"/>
        </w:rPr>
      </w:pPr>
    </w:p>
    <w:p w:rsidRPr="002D7968" w:rsidR="00627CBE" w:rsidP="00627CBE" w:rsidRDefault="00627CBE" w14:paraId="43B93D02" w14:textId="77777777">
      <w:pPr>
        <w:spacing w:line="240" w:lineRule="auto"/>
        <w:ind w:left="5040" w:firstLine="0"/>
        <w:rPr>
          <w:rFonts w:ascii="Times New Roman" w:hAnsi="Times New Roman"/>
          <w:b/>
          <w:color w:val="000080"/>
          <w:szCs w:val="24"/>
        </w:rPr>
      </w:pPr>
    </w:p>
    <w:p w:rsidRPr="002D7968" w:rsidR="008C57B3" w:rsidP="008C57B3" w:rsidRDefault="008C57B3" w14:paraId="34663F15"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518EDBCC" w14:textId="1CC19A49">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EC3202">
        <w:rPr>
          <w:rFonts w:ascii="Times New Roman" w:hAnsi="Times New Roman"/>
          <w:b/>
          <w:szCs w:val="24"/>
        </w:rPr>
        <w:tab/>
      </w:r>
      <w:r w:rsidR="00EC3202">
        <w:rPr>
          <w:rFonts w:ascii="Times New Roman" w:hAnsi="Times New Roman"/>
          <w:b/>
          <w:szCs w:val="24"/>
        </w:rPr>
        <w:tab/>
      </w:r>
      <w:r w:rsidR="00EC3202">
        <w:rPr>
          <w:rFonts w:ascii="Times New Roman" w:hAnsi="Times New Roman"/>
          <w:b/>
          <w:szCs w:val="24"/>
        </w:rPr>
        <w:tab/>
      </w:r>
      <w:r w:rsidRPr="002D7968" w:rsidR="00F86E1E">
        <w:rPr>
          <w:rFonts w:ascii="Times New Roman" w:hAnsi="Times New Roman"/>
          <w:szCs w:val="24"/>
        </w:rPr>
        <w:t xml:space="preserve">     </w:t>
      </w:r>
      <w:r w:rsidR="00D27598">
        <w:rPr>
          <w:rFonts w:ascii="Times New Roman" w:hAnsi="Times New Roman"/>
          <w:szCs w:val="24"/>
        </w:rPr>
        <w:t xml:space="preserve">    </w:t>
      </w:r>
      <w:r w:rsidR="00D27598">
        <w:rPr>
          <w:rFonts w:ascii="Times New Roman" w:hAnsi="Times New Roman"/>
          <w:b/>
          <w:szCs w:val="24"/>
        </w:rPr>
        <w:t>PRESS RELEASE</w:t>
      </w:r>
    </w:p>
    <w:p w:rsidRPr="002D7968" w:rsidR="008C57B3" w:rsidP="008C57B3" w:rsidRDefault="008C57B3" w14:paraId="709312C6" w14:textId="39DAAF1E">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3">
        <w:r w:rsidRPr="002D7968">
          <w:rPr>
            <w:rStyle w:val="Hyperlink"/>
            <w:rFonts w:ascii="Times New Roman" w:hAnsi="Times New Roman"/>
            <w:szCs w:val="24"/>
          </w:rPr>
          <w:t>news@cpuc.ca.gov</w:t>
        </w:r>
      </w:hyperlink>
    </w:p>
    <w:p w:rsidR="0033726D" w:rsidP="009304C4" w:rsidRDefault="0033726D" w14:paraId="554424D3" w14:textId="77777777">
      <w:pPr>
        <w:pStyle w:val="ReleaseHead"/>
      </w:pPr>
    </w:p>
    <w:p w:rsidR="008C57B3" w:rsidP="00D27598" w:rsidRDefault="00D27598" w14:paraId="324585E6" w14:textId="2700031C">
      <w:pPr>
        <w:pStyle w:val="ReleaseHead"/>
      </w:pPr>
      <w:r>
        <w:t>WILDFIRE SAFETY ADVISORY BOARD APPROVES</w:t>
      </w:r>
      <w:r>
        <w:t xml:space="preserve"> </w:t>
      </w:r>
      <w:r>
        <w:t>RECOMMENDATIONS ON THE 2021 WILDFIRE MITIGATION PLAN UPDATES FOR LARGE INVESTOR-OWNED UTILITIES</w:t>
      </w:r>
    </w:p>
    <w:p w:rsidRPr="002D7968" w:rsidR="00D27598" w:rsidP="00D27598" w:rsidRDefault="00D27598" w14:paraId="5C255E4C" w14:textId="77777777">
      <w:pPr>
        <w:pStyle w:val="ReleaseHead"/>
      </w:pPr>
    </w:p>
    <w:p w:rsidRPr="00D27598" w:rsidR="00D27598" w:rsidP="00D27598" w:rsidRDefault="008C57B3" w14:paraId="6307AE35" w14:textId="77777777">
      <w:pPr>
        <w:pStyle w:val="BodyTextIndent"/>
        <w:ind w:firstLine="0"/>
        <w:outlineLvl w:val="0"/>
        <w:rPr>
          <w:rFonts w:ascii="Times New Roman" w:hAnsi="Times New Roman"/>
        </w:rPr>
      </w:pPr>
      <w:r w:rsidRPr="00AF5840">
        <w:rPr>
          <w:rFonts w:ascii="Times New Roman" w:hAnsi="Times New Roman"/>
        </w:rPr>
        <w:t xml:space="preserve">SAN FRANCISCO, </w:t>
      </w:r>
      <w:r w:rsidR="005D29EE">
        <w:rPr>
          <w:rFonts w:ascii="Times New Roman" w:hAnsi="Times New Roman"/>
        </w:rPr>
        <w:t xml:space="preserve">April </w:t>
      </w:r>
      <w:r w:rsidR="008010B9">
        <w:rPr>
          <w:rFonts w:ascii="Times New Roman" w:hAnsi="Times New Roman"/>
        </w:rPr>
        <w:t>16</w:t>
      </w:r>
      <w:r w:rsidR="001932D2">
        <w:rPr>
          <w:rFonts w:ascii="Times New Roman" w:hAnsi="Times New Roman"/>
        </w:rPr>
        <w:t>, 2021</w:t>
      </w:r>
      <w:r w:rsidRPr="00AF5840">
        <w:rPr>
          <w:rFonts w:ascii="Times New Roman" w:hAnsi="Times New Roman"/>
        </w:rPr>
        <w:t xml:space="preserve"> - </w:t>
      </w:r>
      <w:r w:rsidRPr="00D27598" w:rsidR="00D27598">
        <w:rPr>
          <w:rFonts w:ascii="Times New Roman" w:hAnsi="Times New Roman"/>
        </w:rPr>
        <w:t xml:space="preserve">The Wildfire Safety Advisory Board (the Board) approved Recommendations on the 2021 Wildfire Mitigation Plan Updates for Large Investor-Owned Utilities at its April 14, 2021 Board meeting. </w:t>
      </w:r>
    </w:p>
    <w:p w:rsidRPr="00D27598" w:rsidR="00D27598" w:rsidP="00D27598" w:rsidRDefault="00D27598" w14:paraId="38B31B9E" w14:textId="77777777">
      <w:pPr>
        <w:pStyle w:val="BodyTextIndent"/>
        <w:ind w:firstLine="0"/>
        <w:outlineLvl w:val="0"/>
        <w:rPr>
          <w:rFonts w:ascii="Times New Roman" w:hAnsi="Times New Roman"/>
        </w:rPr>
      </w:pPr>
    </w:p>
    <w:p w:rsidR="00ED7EDB" w:rsidP="00D27598" w:rsidRDefault="00D27598" w14:paraId="302E9AD4" w14:textId="48758E03">
      <w:pPr>
        <w:pStyle w:val="BodyTextIndent"/>
        <w:ind w:firstLine="0"/>
        <w:outlineLvl w:val="0"/>
        <w:rPr>
          <w:rFonts w:ascii="Times New Roman" w:hAnsi="Times New Roman"/>
        </w:rPr>
      </w:pPr>
      <w:r w:rsidRPr="00D27598">
        <w:rPr>
          <w:rFonts w:ascii="Times New Roman" w:hAnsi="Times New Roman"/>
        </w:rPr>
        <w:t>Assembly Bill 1054, signed into law in July 2019, created the California Wildfire Safety Advisory Board, a board of independent expert advisors, with two primary functions:  First, to advise a new Wildfire Safety Division within the CPUC on wildfire safety measures, including plans written by utilities, so the CPUC can more effectively regulate the safety of investor-owned utilities.  Second, to review the Wildfire Mitigation Plans submitted by Electric Publicly Owned Utilities and Cooperatives and provide an advisory opinion. The Wildfire Safety Advisory Board also serves as an additional forum for the public to provide input on the important topic of wildfire safety.</w:t>
      </w:r>
    </w:p>
    <w:p w:rsidR="00D27598" w:rsidP="00D27598" w:rsidRDefault="00D27598" w14:paraId="60D5E8D9" w14:textId="77777777">
      <w:pPr>
        <w:pStyle w:val="BodyTextIndent"/>
        <w:ind w:firstLine="0"/>
        <w:outlineLvl w:val="0"/>
        <w:rPr>
          <w:rFonts w:ascii="Times New Roman" w:hAnsi="Times New Roman"/>
        </w:rPr>
      </w:pPr>
    </w:p>
    <w:p w:rsidR="00D27598" w:rsidP="00D27598" w:rsidRDefault="00D27598" w14:paraId="439A1D1A" w14:textId="77777777">
      <w:pPr>
        <w:pStyle w:val="BodyTextIndent"/>
        <w:ind w:firstLine="0"/>
        <w:outlineLvl w:val="0"/>
        <w:rPr>
          <w:rFonts w:ascii="Times New Roman" w:hAnsi="Times New Roman"/>
        </w:rPr>
      </w:pPr>
      <w:r w:rsidRPr="00626CA2">
        <w:rPr>
          <w:rFonts w:ascii="Times New Roman" w:hAnsi="Times New Roman"/>
        </w:rPr>
        <w:t>The Board’s approved Recommendations on the 2021 Wildfire Mitigation Plan Updates for Large Investor-Owned Utilities are available at</w:t>
      </w:r>
      <w:r w:rsidRPr="2F5B6422">
        <w:rPr>
          <w:rFonts w:ascii="Times New Roman" w:hAnsi="Times New Roman"/>
        </w:rPr>
        <w:t xml:space="preserve"> </w:t>
      </w:r>
      <w:hyperlink w:history="1" r:id="rId14">
        <w:r w:rsidRPr="00F50739">
          <w:rPr>
            <w:rStyle w:val="Hyperlink"/>
            <w:rFonts w:ascii="Times New Roman" w:hAnsi="Times New Roman"/>
          </w:rPr>
          <w:t>www.cpuc.ca.gov/wsab</w:t>
        </w:r>
      </w:hyperlink>
      <w:r>
        <w:rPr>
          <w:rFonts w:ascii="Times New Roman" w:hAnsi="Times New Roman"/>
        </w:rPr>
        <w:t xml:space="preserve">. </w:t>
      </w:r>
    </w:p>
    <w:p w:rsidR="000E6EBB" w:rsidP="00ED7EDB" w:rsidRDefault="000E6EBB" w14:paraId="0927D85E" w14:textId="195878F4">
      <w:pPr>
        <w:pStyle w:val="BodyTextIndent"/>
        <w:ind w:firstLine="0"/>
        <w:outlineLvl w:val="0"/>
        <w:rPr>
          <w:rFonts w:ascii="Times New Roman" w:hAnsi="Times New Roman"/>
        </w:rPr>
      </w:pPr>
    </w:p>
    <w:p w:rsidR="00D27598" w:rsidP="00D27598" w:rsidRDefault="00D27598" w14:paraId="3A5476A6" w14:textId="0B6DBB2E">
      <w:pPr>
        <w:pStyle w:val="BodyTextIndent"/>
        <w:spacing w:after="160"/>
        <w:ind w:firstLine="0"/>
        <w:outlineLvl w:val="0"/>
        <w:rPr>
          <w:rFonts w:ascii="Times New Roman" w:hAnsi="Times New Roman"/>
        </w:rPr>
      </w:pPr>
      <w:r>
        <w:rPr>
          <w:rFonts w:ascii="Times New Roman" w:hAnsi="Times New Roman"/>
        </w:rPr>
        <w:t xml:space="preserve">The </w:t>
      </w:r>
      <w:hyperlink w:history="1" r:id="rId15">
        <w:r w:rsidRPr="00626CA2">
          <w:rPr>
            <w:rStyle w:val="Hyperlink"/>
            <w:rFonts w:ascii="Times New Roman" w:hAnsi="Times New Roman"/>
          </w:rPr>
          <w:t>recommendations</w:t>
        </w:r>
      </w:hyperlink>
      <w:r>
        <w:rPr>
          <w:rFonts w:ascii="Times New Roman" w:hAnsi="Times New Roman"/>
        </w:rPr>
        <w:t xml:space="preserve"> address five key topics, and a brief overview is provided below:  </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22"/>
        <w:gridCol w:w="7398"/>
      </w:tblGrid>
      <w:tr w:rsidR="00D27598" w:rsidTr="00D27598" w14:paraId="335091CC" w14:textId="77777777">
        <w:trPr>
          <w:cantSplit/>
          <w:trHeight w:val="1880"/>
          <w:jc w:val="center"/>
        </w:trPr>
        <w:tc>
          <w:tcPr>
            <w:tcW w:w="2335" w:type="dxa"/>
            <w:tcBorders>
              <w:top w:val="single" w:color="auto" w:sz="4" w:space="0"/>
              <w:bottom w:val="single" w:color="auto" w:sz="4" w:space="0"/>
            </w:tcBorders>
            <w:vAlign w:val="center"/>
          </w:tcPr>
          <w:p w:rsidR="00D27598" w:rsidP="002C0575" w:rsidRDefault="00D27598" w14:paraId="55589A2A" w14:textId="77777777">
            <w:pPr>
              <w:pStyle w:val="BodyTextIndent"/>
              <w:spacing w:after="160"/>
              <w:ind w:firstLine="0"/>
              <w:outlineLvl w:val="0"/>
              <w:rPr>
                <w:rFonts w:ascii="Times New Roman" w:hAnsi="Times New Roman"/>
              </w:rPr>
            </w:pPr>
            <w:r w:rsidRPr="00FB7DE1">
              <w:rPr>
                <w:rFonts w:ascii="Times New Roman" w:hAnsi="Times New Roman"/>
              </w:rPr>
              <w:t xml:space="preserve">(2) </w:t>
            </w:r>
            <w:r w:rsidRPr="00FB7DE1">
              <w:rPr>
                <w:rFonts w:ascii="Times New Roman" w:hAnsi="Times New Roman"/>
                <w:b/>
                <w:bCs/>
              </w:rPr>
              <w:t>Risk Assessment and Resource Allocation</w:t>
            </w:r>
            <w:r w:rsidRPr="00FB7DE1">
              <w:rPr>
                <w:rFonts w:ascii="Times New Roman" w:hAnsi="Times New Roman"/>
              </w:rPr>
              <w:t xml:space="preserve"> </w:t>
            </w:r>
          </w:p>
        </w:tc>
        <w:tc>
          <w:tcPr>
            <w:tcW w:w="7548" w:type="dxa"/>
            <w:tcBorders>
              <w:top w:val="single" w:color="auto" w:sz="4" w:space="0"/>
              <w:bottom w:val="single" w:color="auto" w:sz="4" w:space="0"/>
            </w:tcBorders>
            <w:vAlign w:val="center"/>
          </w:tcPr>
          <w:p w:rsidRPr="00FB7DE1" w:rsidR="00D27598" w:rsidP="00D27598" w:rsidRDefault="00D27598" w14:paraId="431F319F" w14:textId="77777777">
            <w:pPr>
              <w:pStyle w:val="ListParagraph"/>
              <w:numPr>
                <w:ilvl w:val="0"/>
                <w:numId w:val="26"/>
              </w:numPr>
              <w:rPr>
                <w:rFonts w:ascii="Times New Roman" w:hAnsi="Times New Roman"/>
              </w:rPr>
            </w:pPr>
            <w:r>
              <w:rPr>
                <w:rFonts w:ascii="Times New Roman" w:hAnsi="Times New Roman"/>
              </w:rPr>
              <w:t>More information on d</w:t>
            </w:r>
            <w:r w:rsidRPr="00FB7DE1">
              <w:rPr>
                <w:rFonts w:ascii="Times New Roman" w:hAnsi="Times New Roman"/>
              </w:rPr>
              <w:t>ecision-making based on modeling outcomes detail</w:t>
            </w:r>
            <w:r>
              <w:rPr>
                <w:rFonts w:ascii="Times New Roman" w:hAnsi="Times New Roman"/>
              </w:rPr>
              <w:t>.</w:t>
            </w:r>
          </w:p>
          <w:p w:rsidRPr="00ED577B" w:rsidR="00D27598" w:rsidP="00D27598" w:rsidRDefault="00D27598" w14:paraId="1EBF7DFA" w14:textId="77777777">
            <w:pPr>
              <w:pStyle w:val="ListParagraph"/>
              <w:numPr>
                <w:ilvl w:val="0"/>
                <w:numId w:val="26"/>
              </w:numPr>
              <w:rPr>
                <w:rFonts w:ascii="Times New Roman" w:hAnsi="Times New Roman"/>
              </w:rPr>
            </w:pPr>
            <w:r>
              <w:rPr>
                <w:rFonts w:ascii="Times New Roman" w:hAnsi="Times New Roman"/>
              </w:rPr>
              <w:t>Scientific review of m</w:t>
            </w:r>
            <w:r w:rsidRPr="00FB7DE1">
              <w:rPr>
                <w:rFonts w:ascii="Times New Roman" w:hAnsi="Times New Roman"/>
              </w:rPr>
              <w:t>odels</w:t>
            </w:r>
            <w:r>
              <w:rPr>
                <w:rFonts w:ascii="Times New Roman" w:hAnsi="Times New Roman"/>
              </w:rPr>
              <w:t xml:space="preserve"> and a centralized database for data input into the models. </w:t>
            </w:r>
          </w:p>
        </w:tc>
      </w:tr>
      <w:tr w:rsidR="00D27598" w:rsidTr="00D27598" w14:paraId="4CCAE84F" w14:textId="77777777">
        <w:trPr>
          <w:cantSplit/>
          <w:trHeight w:val="1430"/>
          <w:jc w:val="center"/>
        </w:trPr>
        <w:tc>
          <w:tcPr>
            <w:tcW w:w="2335" w:type="dxa"/>
            <w:tcBorders>
              <w:top w:val="single" w:color="auto" w:sz="4" w:space="0"/>
              <w:bottom w:val="single" w:color="auto" w:sz="4" w:space="0"/>
            </w:tcBorders>
            <w:vAlign w:val="center"/>
          </w:tcPr>
          <w:p w:rsidR="00D27598" w:rsidP="002C0575" w:rsidRDefault="00D27598" w14:paraId="34F61EDE" w14:textId="77777777">
            <w:pPr>
              <w:pStyle w:val="BodyTextIndent"/>
              <w:spacing w:after="160"/>
              <w:ind w:firstLine="0"/>
              <w:outlineLvl w:val="0"/>
              <w:rPr>
                <w:rFonts w:ascii="Times New Roman" w:hAnsi="Times New Roman"/>
              </w:rPr>
            </w:pPr>
            <w:r w:rsidRPr="00FB7DE1">
              <w:rPr>
                <w:rFonts w:ascii="Times New Roman" w:hAnsi="Times New Roman"/>
              </w:rPr>
              <w:lastRenderedPageBreak/>
              <w:t xml:space="preserve">(3) </w:t>
            </w:r>
            <w:r w:rsidRPr="00FB7DE1">
              <w:rPr>
                <w:rFonts w:ascii="Times New Roman" w:hAnsi="Times New Roman"/>
                <w:b/>
                <w:bCs/>
              </w:rPr>
              <w:t xml:space="preserve">Vegetation Management </w:t>
            </w:r>
          </w:p>
        </w:tc>
        <w:tc>
          <w:tcPr>
            <w:tcW w:w="7548" w:type="dxa"/>
            <w:tcBorders>
              <w:top w:val="single" w:color="auto" w:sz="4" w:space="0"/>
              <w:bottom w:val="single" w:color="auto" w:sz="4" w:space="0"/>
            </w:tcBorders>
            <w:vAlign w:val="center"/>
          </w:tcPr>
          <w:p w:rsidRPr="00ED577B" w:rsidR="00D27598" w:rsidP="00D27598" w:rsidRDefault="00D27598" w14:paraId="610B09BB" w14:textId="77777777">
            <w:pPr>
              <w:pStyle w:val="ListParagraph"/>
              <w:numPr>
                <w:ilvl w:val="0"/>
                <w:numId w:val="26"/>
              </w:numPr>
            </w:pPr>
            <w:r w:rsidRPr="2F5B6422">
              <w:rPr>
                <w:rFonts w:ascii="Times New Roman" w:hAnsi="Times New Roman"/>
              </w:rPr>
              <w:t>Evaluating ecosystem and climate change impacts of tree removals.</w:t>
            </w:r>
          </w:p>
          <w:p w:rsidRPr="00ED577B" w:rsidR="00D27598" w:rsidP="00D27598" w:rsidRDefault="00D27598" w14:paraId="7F813807" w14:textId="77777777">
            <w:pPr>
              <w:pStyle w:val="ListParagraph"/>
              <w:numPr>
                <w:ilvl w:val="0"/>
                <w:numId w:val="26"/>
              </w:numPr>
            </w:pPr>
            <w:r>
              <w:rPr>
                <w:rFonts w:ascii="Times New Roman" w:hAnsi="Times New Roman"/>
              </w:rPr>
              <w:t>Assessing e</w:t>
            </w:r>
            <w:r w:rsidRPr="00ED577B">
              <w:rPr>
                <w:rFonts w:ascii="Times New Roman" w:hAnsi="Times New Roman"/>
              </w:rPr>
              <w:t>nvironmental impact of vegetation management practices</w:t>
            </w:r>
            <w:r>
              <w:rPr>
                <w:rFonts w:ascii="Times New Roman" w:hAnsi="Times New Roman"/>
              </w:rPr>
              <w:t>.</w:t>
            </w:r>
          </w:p>
          <w:p w:rsidRPr="00ED577B" w:rsidR="00D27598" w:rsidP="00D27598" w:rsidRDefault="00D27598" w14:paraId="1B4F505E" w14:textId="77777777">
            <w:pPr>
              <w:pStyle w:val="ListParagraph"/>
              <w:numPr>
                <w:ilvl w:val="0"/>
                <w:numId w:val="26"/>
              </w:numPr>
            </w:pPr>
            <w:r>
              <w:rPr>
                <w:rFonts w:ascii="Times New Roman" w:hAnsi="Times New Roman"/>
              </w:rPr>
              <w:t>Creating a d</w:t>
            </w:r>
            <w:r w:rsidRPr="00ED577B">
              <w:rPr>
                <w:rFonts w:ascii="Times New Roman" w:hAnsi="Times New Roman"/>
              </w:rPr>
              <w:t>atabase of tree species</w:t>
            </w:r>
            <w:r>
              <w:rPr>
                <w:rFonts w:ascii="Times New Roman" w:hAnsi="Times New Roman"/>
              </w:rPr>
              <w:t xml:space="preserve">. </w:t>
            </w:r>
          </w:p>
        </w:tc>
      </w:tr>
      <w:tr w:rsidR="00D27598" w:rsidTr="00D27598" w14:paraId="448A24FB" w14:textId="77777777">
        <w:trPr>
          <w:cantSplit/>
          <w:trHeight w:val="3950"/>
          <w:jc w:val="center"/>
        </w:trPr>
        <w:tc>
          <w:tcPr>
            <w:tcW w:w="2335" w:type="dxa"/>
            <w:tcBorders>
              <w:top w:val="single" w:color="auto" w:sz="4" w:space="0"/>
              <w:bottom w:val="single" w:color="auto" w:sz="4" w:space="0"/>
            </w:tcBorders>
            <w:vAlign w:val="center"/>
          </w:tcPr>
          <w:p w:rsidRPr="00FB7DE1" w:rsidR="00D27598" w:rsidP="002C0575" w:rsidRDefault="00D27598" w14:paraId="1F3F0774" w14:textId="77777777">
            <w:pPr>
              <w:pStyle w:val="BodyTextIndent"/>
              <w:spacing w:after="160"/>
              <w:ind w:firstLine="0"/>
              <w:outlineLvl w:val="0"/>
              <w:rPr>
                <w:rFonts w:ascii="Times New Roman" w:hAnsi="Times New Roman"/>
              </w:rPr>
            </w:pPr>
            <w:r w:rsidRPr="00FB7DE1">
              <w:rPr>
                <w:rFonts w:ascii="Times New Roman" w:hAnsi="Times New Roman"/>
              </w:rPr>
              <w:t xml:space="preserve">(4) </w:t>
            </w:r>
            <w:r w:rsidRPr="00FB7DE1">
              <w:rPr>
                <w:rFonts w:ascii="Times New Roman" w:hAnsi="Times New Roman"/>
                <w:b/>
                <w:bCs/>
              </w:rPr>
              <w:t>System Design and Grid Hardening</w:t>
            </w:r>
            <w:r w:rsidRPr="00FB7DE1">
              <w:rPr>
                <w:rFonts w:ascii="Times New Roman" w:hAnsi="Times New Roman"/>
              </w:rPr>
              <w:t xml:space="preserve"> </w:t>
            </w:r>
          </w:p>
          <w:p w:rsidR="00D27598" w:rsidP="002C0575" w:rsidRDefault="00D27598" w14:paraId="500D9E11" w14:textId="77777777">
            <w:pPr>
              <w:pStyle w:val="BodyTextIndent"/>
              <w:spacing w:after="160"/>
              <w:ind w:firstLine="0"/>
              <w:outlineLvl w:val="0"/>
              <w:rPr>
                <w:rFonts w:ascii="Times New Roman" w:hAnsi="Times New Roman"/>
              </w:rPr>
            </w:pPr>
          </w:p>
        </w:tc>
        <w:tc>
          <w:tcPr>
            <w:tcW w:w="7548" w:type="dxa"/>
            <w:tcBorders>
              <w:top w:val="single" w:color="auto" w:sz="4" w:space="0"/>
              <w:bottom w:val="single" w:color="auto" w:sz="4" w:space="0"/>
            </w:tcBorders>
            <w:vAlign w:val="center"/>
          </w:tcPr>
          <w:p w:rsidRPr="00ED577B" w:rsidR="00D27598" w:rsidP="00D27598" w:rsidRDefault="00D27598" w14:paraId="3575E378" w14:textId="77777777">
            <w:pPr>
              <w:pStyle w:val="ListParagraph"/>
              <w:numPr>
                <w:ilvl w:val="0"/>
                <w:numId w:val="27"/>
              </w:numPr>
            </w:pPr>
            <w:r w:rsidRPr="2F5B6422">
              <w:rPr>
                <w:rFonts w:ascii="Times New Roman" w:hAnsi="Times New Roman"/>
              </w:rPr>
              <w:t xml:space="preserve">Emerging technology that reduces the size of arcs, decreases the risk of ignition, quickly recognizes faults, and reduces catastrophic wildfire risk; further exploring lessons learned from other regions with high wind events. </w:t>
            </w:r>
          </w:p>
          <w:p w:rsidRPr="00ED577B" w:rsidR="00D27598" w:rsidP="00D27598" w:rsidRDefault="00D27598" w14:paraId="06A43EA6" w14:textId="77777777">
            <w:pPr>
              <w:pStyle w:val="ListParagraph"/>
              <w:numPr>
                <w:ilvl w:val="0"/>
                <w:numId w:val="27"/>
              </w:numPr>
            </w:pPr>
            <w:r>
              <w:rPr>
                <w:rFonts w:ascii="Times New Roman" w:hAnsi="Times New Roman"/>
              </w:rPr>
              <w:t>Improved reporting on w</w:t>
            </w:r>
            <w:r w:rsidRPr="00ED577B">
              <w:rPr>
                <w:rFonts w:ascii="Times New Roman" w:hAnsi="Times New Roman"/>
              </w:rPr>
              <w:t>orkforce training</w:t>
            </w:r>
            <w:r>
              <w:rPr>
                <w:rFonts w:ascii="Times New Roman" w:hAnsi="Times New Roman"/>
              </w:rPr>
              <w:t>.</w:t>
            </w:r>
          </w:p>
          <w:p w:rsidRPr="00ED577B" w:rsidR="00D27598" w:rsidP="00D27598" w:rsidRDefault="00D27598" w14:paraId="660427CA" w14:textId="77777777">
            <w:pPr>
              <w:pStyle w:val="ListParagraph"/>
              <w:numPr>
                <w:ilvl w:val="0"/>
                <w:numId w:val="27"/>
              </w:numPr>
            </w:pPr>
            <w:r>
              <w:rPr>
                <w:rFonts w:ascii="Times New Roman" w:hAnsi="Times New Roman"/>
              </w:rPr>
              <w:t xml:space="preserve">Using </w:t>
            </w:r>
            <w:r w:rsidRPr="00ED577B">
              <w:rPr>
                <w:rFonts w:ascii="Times New Roman" w:hAnsi="Times New Roman"/>
              </w:rPr>
              <w:t>Qualified Electric Workers</w:t>
            </w:r>
            <w:r>
              <w:rPr>
                <w:rFonts w:ascii="Times New Roman" w:hAnsi="Times New Roman"/>
              </w:rPr>
              <w:t xml:space="preserve"> for all inspections.</w:t>
            </w:r>
          </w:p>
          <w:p w:rsidRPr="00ED577B" w:rsidR="00D27598" w:rsidP="00D27598" w:rsidRDefault="00D27598" w14:paraId="48776725" w14:textId="77777777">
            <w:pPr>
              <w:pStyle w:val="ListParagraph"/>
              <w:numPr>
                <w:ilvl w:val="0"/>
                <w:numId w:val="27"/>
              </w:numPr>
            </w:pPr>
            <w:r>
              <w:rPr>
                <w:rFonts w:ascii="Times New Roman" w:hAnsi="Times New Roman"/>
              </w:rPr>
              <w:t>Deenergizing and documenting i</w:t>
            </w:r>
            <w:r w:rsidRPr="00ED577B">
              <w:rPr>
                <w:rFonts w:ascii="Times New Roman" w:hAnsi="Times New Roman"/>
              </w:rPr>
              <w:t>dle lines and equipment</w:t>
            </w:r>
            <w:r>
              <w:rPr>
                <w:rFonts w:ascii="Times New Roman" w:hAnsi="Times New Roman"/>
              </w:rPr>
              <w:t>.</w:t>
            </w:r>
          </w:p>
          <w:p w:rsidRPr="00ED577B" w:rsidR="00D27598" w:rsidP="00D27598" w:rsidRDefault="00D27598" w14:paraId="27BCCC76" w14:textId="77777777">
            <w:pPr>
              <w:pStyle w:val="ListParagraph"/>
              <w:numPr>
                <w:ilvl w:val="0"/>
                <w:numId w:val="27"/>
              </w:numPr>
            </w:pPr>
            <w:r>
              <w:rPr>
                <w:rFonts w:ascii="Times New Roman" w:hAnsi="Times New Roman"/>
              </w:rPr>
              <w:t xml:space="preserve">Tracking </w:t>
            </w:r>
            <w:proofErr w:type="spellStart"/>
            <w:r w:rsidRPr="00ED577B">
              <w:rPr>
                <w:rFonts w:ascii="Times New Roman" w:hAnsi="Times New Roman"/>
              </w:rPr>
              <w:t>G.O</w:t>
            </w:r>
            <w:proofErr w:type="spellEnd"/>
            <w:r w:rsidRPr="00ED577B">
              <w:rPr>
                <w:rFonts w:ascii="Times New Roman" w:hAnsi="Times New Roman"/>
              </w:rPr>
              <w:t>. 95 exempt equipment</w:t>
            </w:r>
            <w:r>
              <w:rPr>
                <w:rFonts w:ascii="Times New Roman" w:hAnsi="Times New Roman"/>
              </w:rPr>
              <w:t>.</w:t>
            </w:r>
          </w:p>
          <w:p w:rsidRPr="00ED577B" w:rsidR="00D27598" w:rsidP="00D27598" w:rsidRDefault="00D27598" w14:paraId="10FC926D" w14:textId="77777777">
            <w:pPr>
              <w:pStyle w:val="ListParagraph"/>
              <w:numPr>
                <w:ilvl w:val="0"/>
                <w:numId w:val="27"/>
              </w:numPr>
            </w:pPr>
            <w:r>
              <w:rPr>
                <w:rFonts w:ascii="Times New Roman" w:hAnsi="Times New Roman"/>
              </w:rPr>
              <w:t xml:space="preserve">Concerns about </w:t>
            </w:r>
            <w:r w:rsidRPr="00ED577B">
              <w:rPr>
                <w:rFonts w:ascii="Times New Roman" w:hAnsi="Times New Roman"/>
              </w:rPr>
              <w:t>PG&amp;E’s reduced grid hardening</w:t>
            </w:r>
            <w:r>
              <w:rPr>
                <w:rFonts w:ascii="Times New Roman" w:hAnsi="Times New Roman"/>
              </w:rPr>
              <w:t>.</w:t>
            </w:r>
          </w:p>
        </w:tc>
      </w:tr>
      <w:tr w:rsidR="00D27598" w:rsidTr="00D27598" w14:paraId="1C068089" w14:textId="77777777">
        <w:trPr>
          <w:cantSplit/>
          <w:trHeight w:val="1511"/>
          <w:jc w:val="center"/>
        </w:trPr>
        <w:tc>
          <w:tcPr>
            <w:tcW w:w="2335" w:type="dxa"/>
            <w:tcBorders>
              <w:top w:val="single" w:color="auto" w:sz="4" w:space="0"/>
              <w:bottom w:val="single" w:color="auto" w:sz="4" w:space="0"/>
            </w:tcBorders>
            <w:vAlign w:val="center"/>
          </w:tcPr>
          <w:p w:rsidR="00D27598" w:rsidP="002C0575" w:rsidRDefault="00D27598" w14:paraId="02B992AB" w14:textId="77777777">
            <w:pPr>
              <w:pStyle w:val="BodyTextIndent"/>
              <w:spacing w:after="160"/>
              <w:ind w:firstLine="0"/>
              <w:outlineLvl w:val="0"/>
              <w:rPr>
                <w:rFonts w:ascii="Times New Roman" w:hAnsi="Times New Roman"/>
              </w:rPr>
            </w:pPr>
            <w:r w:rsidRPr="00FB7DE1">
              <w:rPr>
                <w:rFonts w:ascii="Times New Roman" w:hAnsi="Times New Roman"/>
              </w:rPr>
              <w:t xml:space="preserve">(5) </w:t>
            </w:r>
            <w:r w:rsidRPr="00FB7DE1">
              <w:rPr>
                <w:rFonts w:ascii="Times New Roman" w:hAnsi="Times New Roman"/>
                <w:b/>
                <w:bCs/>
              </w:rPr>
              <w:t>Public Safety Power Shutoffs</w:t>
            </w:r>
            <w:r w:rsidRPr="004F02E7">
              <w:rPr>
                <w:rFonts w:ascii="Times New Roman" w:hAnsi="Times New Roman"/>
                <w:b/>
                <w:bCs/>
              </w:rPr>
              <w:t xml:space="preserve"> (PSPS)</w:t>
            </w:r>
          </w:p>
        </w:tc>
        <w:tc>
          <w:tcPr>
            <w:tcW w:w="7548" w:type="dxa"/>
            <w:tcBorders>
              <w:top w:val="single" w:color="auto" w:sz="4" w:space="0"/>
              <w:bottom w:val="single" w:color="auto" w:sz="4" w:space="0"/>
            </w:tcBorders>
            <w:vAlign w:val="center"/>
          </w:tcPr>
          <w:p w:rsidRPr="00ED577B" w:rsidR="00D27598" w:rsidP="00D27598" w:rsidRDefault="00D27598" w14:paraId="243C69AA" w14:textId="77777777">
            <w:pPr>
              <w:pStyle w:val="ListParagraph"/>
              <w:numPr>
                <w:ilvl w:val="0"/>
                <w:numId w:val="28"/>
              </w:numPr>
            </w:pPr>
            <w:r w:rsidRPr="2F5B6422">
              <w:rPr>
                <w:rFonts w:ascii="Times New Roman" w:hAnsi="Times New Roman"/>
              </w:rPr>
              <w:t>Modeling to prioritize mitigation measures and reduce PSPS.</w:t>
            </w:r>
          </w:p>
          <w:p w:rsidRPr="00ED577B" w:rsidR="00D27598" w:rsidP="00D27598" w:rsidRDefault="00D27598" w14:paraId="3CAE536F" w14:textId="77777777">
            <w:pPr>
              <w:pStyle w:val="ListParagraph"/>
              <w:numPr>
                <w:ilvl w:val="0"/>
                <w:numId w:val="28"/>
              </w:numPr>
            </w:pPr>
            <w:r>
              <w:rPr>
                <w:rFonts w:ascii="Times New Roman" w:hAnsi="Times New Roman"/>
              </w:rPr>
              <w:t xml:space="preserve">Improving PSPS </w:t>
            </w:r>
            <w:r w:rsidRPr="00ED577B">
              <w:rPr>
                <w:rFonts w:ascii="Times New Roman" w:hAnsi="Times New Roman"/>
              </w:rPr>
              <w:t>data collection</w:t>
            </w:r>
            <w:r>
              <w:rPr>
                <w:rFonts w:ascii="Times New Roman" w:hAnsi="Times New Roman"/>
              </w:rPr>
              <w:t xml:space="preserve"> for analysis and learning.</w:t>
            </w:r>
          </w:p>
          <w:p w:rsidRPr="00ED577B" w:rsidR="00D27598" w:rsidP="00D27598" w:rsidRDefault="00D27598" w14:paraId="06C3AE68" w14:textId="77777777">
            <w:pPr>
              <w:pStyle w:val="ListParagraph"/>
              <w:numPr>
                <w:ilvl w:val="0"/>
                <w:numId w:val="28"/>
              </w:numPr>
            </w:pPr>
            <w:r w:rsidRPr="00ED577B">
              <w:rPr>
                <w:rFonts w:ascii="Times New Roman" w:hAnsi="Times New Roman"/>
              </w:rPr>
              <w:t>Short and long-term studies</w:t>
            </w:r>
            <w:r>
              <w:rPr>
                <w:rFonts w:ascii="Times New Roman" w:hAnsi="Times New Roman"/>
              </w:rPr>
              <w:t xml:space="preserve"> on PSPS and mitigation measures.</w:t>
            </w:r>
          </w:p>
        </w:tc>
      </w:tr>
      <w:tr w:rsidR="00D27598" w:rsidTr="00D27598" w14:paraId="247AAE85" w14:textId="77777777">
        <w:trPr>
          <w:cantSplit/>
          <w:trHeight w:val="2339"/>
          <w:jc w:val="center"/>
        </w:trPr>
        <w:tc>
          <w:tcPr>
            <w:tcW w:w="2335" w:type="dxa"/>
            <w:tcBorders>
              <w:top w:val="single" w:color="auto" w:sz="4" w:space="0"/>
              <w:bottom w:val="single" w:color="auto" w:sz="4" w:space="0"/>
            </w:tcBorders>
            <w:vAlign w:val="center"/>
          </w:tcPr>
          <w:p w:rsidR="00D27598" w:rsidP="002C0575" w:rsidRDefault="00D27598" w14:paraId="407DB673" w14:textId="77777777">
            <w:pPr>
              <w:pStyle w:val="BodyTextIndent"/>
              <w:spacing w:after="160"/>
              <w:ind w:firstLine="0"/>
              <w:outlineLvl w:val="0"/>
              <w:rPr>
                <w:rFonts w:ascii="Times New Roman" w:hAnsi="Times New Roman"/>
              </w:rPr>
            </w:pPr>
            <w:r w:rsidRPr="00FB7DE1">
              <w:rPr>
                <w:rFonts w:ascii="Times New Roman" w:hAnsi="Times New Roman"/>
              </w:rPr>
              <w:t xml:space="preserve">(6) </w:t>
            </w:r>
            <w:r w:rsidRPr="00FB7DE1">
              <w:rPr>
                <w:rFonts w:ascii="Times New Roman" w:hAnsi="Times New Roman"/>
                <w:b/>
                <w:bCs/>
              </w:rPr>
              <w:t>Emergency Planning and Communication</w:t>
            </w:r>
          </w:p>
        </w:tc>
        <w:tc>
          <w:tcPr>
            <w:tcW w:w="7548" w:type="dxa"/>
            <w:tcBorders>
              <w:top w:val="single" w:color="auto" w:sz="4" w:space="0"/>
              <w:bottom w:val="single" w:color="auto" w:sz="4" w:space="0"/>
            </w:tcBorders>
            <w:vAlign w:val="center"/>
          </w:tcPr>
          <w:p w:rsidR="00D27598" w:rsidP="00D27598" w:rsidRDefault="00D27598" w14:paraId="31CD39D6" w14:textId="77777777">
            <w:pPr>
              <w:pStyle w:val="ListParagraph"/>
              <w:numPr>
                <w:ilvl w:val="0"/>
                <w:numId w:val="28"/>
              </w:numPr>
              <w:rPr>
                <w:rFonts w:ascii="Times New Roman" w:hAnsi="Times New Roman"/>
              </w:rPr>
            </w:pPr>
            <w:r w:rsidRPr="0063303C">
              <w:rPr>
                <w:rFonts w:ascii="Times New Roman" w:hAnsi="Times New Roman"/>
              </w:rPr>
              <w:t>Consider IOUs e</w:t>
            </w:r>
            <w:r w:rsidRPr="00FB7DE1">
              <w:rPr>
                <w:rFonts w:ascii="Times New Roman" w:hAnsi="Times New Roman"/>
              </w:rPr>
              <w:t>xpanded outreach in 2020 compared to 2019</w:t>
            </w:r>
            <w:r>
              <w:rPr>
                <w:rFonts w:ascii="Times New Roman" w:hAnsi="Times New Roman"/>
              </w:rPr>
              <w:t>.</w:t>
            </w:r>
          </w:p>
          <w:p w:rsidRPr="00B9551F" w:rsidR="00D27598" w:rsidP="00D27598" w:rsidRDefault="00D27598" w14:paraId="29309B57" w14:textId="77777777">
            <w:pPr>
              <w:pStyle w:val="ListParagraph"/>
              <w:numPr>
                <w:ilvl w:val="0"/>
                <w:numId w:val="28"/>
              </w:numPr>
              <w:rPr>
                <w:rFonts w:ascii="Times New Roman" w:hAnsi="Times New Roman"/>
              </w:rPr>
            </w:pPr>
            <w:r w:rsidRPr="00FB7DE1">
              <w:rPr>
                <w:rFonts w:ascii="Times New Roman" w:hAnsi="Times New Roman"/>
              </w:rPr>
              <w:t>Awareness of utility efforts to quantify</w:t>
            </w:r>
            <w:r w:rsidRPr="00B9551F">
              <w:rPr>
                <w:rFonts w:ascii="Times New Roman" w:hAnsi="Times New Roman"/>
              </w:rPr>
              <w:t xml:space="preserve"> outreach to stakeholders and customers.</w:t>
            </w:r>
          </w:p>
          <w:p w:rsidRPr="000F3647" w:rsidR="00D27598" w:rsidP="00D27598" w:rsidRDefault="00D27598" w14:paraId="48C40EDA" w14:textId="77777777">
            <w:pPr>
              <w:pStyle w:val="ListParagraph"/>
              <w:numPr>
                <w:ilvl w:val="0"/>
                <w:numId w:val="28"/>
              </w:numPr>
              <w:rPr>
                <w:rFonts w:ascii="Times New Roman" w:hAnsi="Times New Roman"/>
              </w:rPr>
            </w:pPr>
            <w:r>
              <w:rPr>
                <w:rFonts w:ascii="Times New Roman" w:hAnsi="Times New Roman"/>
              </w:rPr>
              <w:t xml:space="preserve">More information on the metrics used to evaluate customer and stakeholder feedback. </w:t>
            </w:r>
          </w:p>
        </w:tc>
      </w:tr>
    </w:tbl>
    <w:p w:rsidR="00D27598" w:rsidP="00D27598" w:rsidRDefault="00D27598" w14:paraId="1185D852" w14:textId="77777777">
      <w:pPr>
        <w:pStyle w:val="BodyTextIndent"/>
        <w:ind w:firstLine="0"/>
        <w:outlineLvl w:val="0"/>
        <w:rPr>
          <w:rFonts w:ascii="Times New Roman" w:hAnsi="Times New Roman"/>
        </w:rPr>
      </w:pPr>
    </w:p>
    <w:p w:rsidR="00D27598" w:rsidP="00D27598" w:rsidRDefault="00D27598" w14:paraId="56C87783" w14:textId="591BE394">
      <w:pPr>
        <w:pStyle w:val="BodyTextIndent"/>
        <w:ind w:firstLine="0"/>
        <w:outlineLvl w:val="0"/>
        <w:rPr>
          <w:rFonts w:ascii="Times New Roman" w:hAnsi="Times New Roman"/>
        </w:rPr>
      </w:pPr>
      <w:r>
        <w:rPr>
          <w:rFonts w:ascii="Times New Roman" w:hAnsi="Times New Roman"/>
        </w:rPr>
        <w:t xml:space="preserve">The April 14, 2021 Board Meeting can be viewed at </w:t>
      </w:r>
      <w:hyperlink w:history="1" r:id="rId16">
        <w:r>
          <w:rPr>
            <w:rStyle w:val="Hyperlink"/>
            <w:rFonts w:ascii="Times New Roman" w:hAnsi="Times New Roman"/>
          </w:rPr>
          <w:t>www.adminmonitor.com/ca/cpuc/other/20210414</w:t>
        </w:r>
      </w:hyperlink>
      <w:r>
        <w:rPr>
          <w:rFonts w:ascii="Times New Roman" w:hAnsi="Times New Roman"/>
        </w:rPr>
        <w:t>.</w:t>
      </w:r>
    </w:p>
    <w:p w:rsidR="00D27598" w:rsidP="00D27598" w:rsidRDefault="00D27598" w14:paraId="639DBF7E" w14:textId="77777777">
      <w:pPr>
        <w:pStyle w:val="BodyTextIndent"/>
        <w:ind w:firstLine="0"/>
        <w:outlineLvl w:val="0"/>
        <w:rPr>
          <w:rFonts w:ascii="Times New Roman" w:hAnsi="Times New Roman"/>
        </w:rPr>
      </w:pPr>
    </w:p>
    <w:p w:rsidR="00D27598" w:rsidP="00D27598" w:rsidRDefault="00D27598" w14:paraId="35C83BFC" w14:textId="77777777">
      <w:pPr>
        <w:pStyle w:val="BodyTextIndent"/>
        <w:ind w:firstLine="0"/>
        <w:outlineLvl w:val="0"/>
        <w:rPr>
          <w:rFonts w:ascii="Times New Roman" w:hAnsi="Times New Roman"/>
        </w:rPr>
      </w:pPr>
      <w:r>
        <w:rPr>
          <w:rFonts w:ascii="Times New Roman" w:hAnsi="Times New Roman"/>
        </w:rPr>
        <w:t xml:space="preserve">Additional information is available at </w:t>
      </w:r>
      <w:hyperlink w:history="1" r:id="rId17">
        <w:r w:rsidRPr="00916BE7">
          <w:rPr>
            <w:rStyle w:val="Hyperlink"/>
            <w:rFonts w:ascii="Times New Roman" w:hAnsi="Times New Roman"/>
          </w:rPr>
          <w:t>www.cpuc.ca.gov/wsab</w:t>
        </w:r>
      </w:hyperlink>
      <w:r>
        <w:rPr>
          <w:rFonts w:ascii="Times New Roman" w:hAnsi="Times New Roman"/>
        </w:rPr>
        <w:t xml:space="preserve"> or by emailing </w:t>
      </w:r>
      <w:hyperlink w:history="1" r:id="rId18">
        <w:r w:rsidRPr="00916BE7">
          <w:rPr>
            <w:rStyle w:val="Hyperlink"/>
            <w:rFonts w:ascii="Times New Roman" w:hAnsi="Times New Roman"/>
          </w:rPr>
          <w:t>WildfireSafetyAdvisoryBoard@cpuc.ca.gov</w:t>
        </w:r>
      </w:hyperlink>
      <w:r>
        <w:rPr>
          <w:rFonts w:ascii="Times New Roman" w:hAnsi="Times New Roman"/>
        </w:rPr>
        <w:t xml:space="preserve">. </w:t>
      </w:r>
    </w:p>
    <w:p w:rsidRPr="00AF5840" w:rsidR="008C57B3" w:rsidP="004F56FB" w:rsidRDefault="008C57B3" w14:paraId="74B9BFCD" w14:textId="77777777">
      <w:pPr>
        <w:pStyle w:val="BodyTextIndent"/>
        <w:ind w:firstLine="0"/>
        <w:outlineLvl w:val="0"/>
        <w:rPr>
          <w:rFonts w:ascii="Times New Roman" w:hAnsi="Times New Roman"/>
          <w:szCs w:val="24"/>
        </w:rPr>
      </w:pPr>
    </w:p>
    <w:p w:rsidRPr="00AF5840" w:rsidR="008E0959" w:rsidP="004F56FB" w:rsidRDefault="008C57B3" w14:paraId="15000A5F"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DE28C" w14:textId="77777777" w:rsidR="00587F9B" w:rsidRDefault="00587F9B" w:rsidP="00D63084">
      <w:pPr>
        <w:spacing w:line="240" w:lineRule="auto"/>
      </w:pPr>
      <w:r>
        <w:separator/>
      </w:r>
    </w:p>
  </w:endnote>
  <w:endnote w:type="continuationSeparator" w:id="0">
    <w:p w14:paraId="1DE673BC" w14:textId="77777777" w:rsidR="00587F9B" w:rsidRDefault="00587F9B" w:rsidP="00D63084">
      <w:pPr>
        <w:spacing w:line="240" w:lineRule="auto"/>
      </w:pPr>
      <w:r>
        <w:continuationSeparator/>
      </w:r>
    </w:p>
  </w:endnote>
  <w:endnote w:type="continuationNotice" w:id="1">
    <w:p w14:paraId="760893AC" w14:textId="77777777" w:rsidR="00587F9B" w:rsidRDefault="00587F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7502" w14:textId="77777777" w:rsidR="00AD5E4F" w:rsidRDefault="00AD5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BA25" w14:textId="77777777" w:rsidR="00D63084" w:rsidRDefault="00B17CCE"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614962">
      <w:rPr>
        <w:rStyle w:val="PageNumber"/>
        <w:noProof/>
      </w:rPr>
      <w:t>1</w:t>
    </w:r>
    <w:r>
      <w:rPr>
        <w:rStyle w:val="PageNumber"/>
      </w:rPr>
      <w:fldChar w:fldCharType="end"/>
    </w:r>
  </w:p>
  <w:p w14:paraId="2424CFA5"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32002DA8" wp14:editId="4BE44B57">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1E48" w14:textId="77777777" w:rsidR="00AD5E4F" w:rsidRDefault="00AD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3E8B" w14:textId="77777777" w:rsidR="00587F9B" w:rsidRDefault="00587F9B" w:rsidP="00D63084">
      <w:pPr>
        <w:spacing w:line="240" w:lineRule="auto"/>
      </w:pPr>
      <w:r>
        <w:separator/>
      </w:r>
    </w:p>
  </w:footnote>
  <w:footnote w:type="continuationSeparator" w:id="0">
    <w:p w14:paraId="56182C0E" w14:textId="77777777" w:rsidR="00587F9B" w:rsidRDefault="00587F9B" w:rsidP="00D63084">
      <w:pPr>
        <w:spacing w:line="240" w:lineRule="auto"/>
      </w:pPr>
      <w:r>
        <w:continuationSeparator/>
      </w:r>
    </w:p>
  </w:footnote>
  <w:footnote w:type="continuationNotice" w:id="1">
    <w:p w14:paraId="6C5A1345" w14:textId="77777777" w:rsidR="00587F9B" w:rsidRDefault="00587F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F75" w14:textId="77777777" w:rsidR="00AD5E4F" w:rsidRDefault="00AD5E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267F" w14:textId="32708308" w:rsidR="00AD5E4F" w:rsidRDefault="00AD5E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0C3F" w14:textId="77777777" w:rsidR="00AD5E4F" w:rsidRDefault="00AD5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B2C30"/>
    <w:multiLevelType w:val="hybridMultilevel"/>
    <w:tmpl w:val="BEB4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A0CEE"/>
    <w:multiLevelType w:val="hybridMultilevel"/>
    <w:tmpl w:val="70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C6BF4"/>
    <w:multiLevelType w:val="hybridMultilevel"/>
    <w:tmpl w:val="7F461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70095"/>
    <w:multiLevelType w:val="hybridMultilevel"/>
    <w:tmpl w:val="63F2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52716"/>
    <w:multiLevelType w:val="hybridMultilevel"/>
    <w:tmpl w:val="763E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40567"/>
    <w:multiLevelType w:val="hybridMultilevel"/>
    <w:tmpl w:val="E078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91AAF"/>
    <w:multiLevelType w:val="hybridMultilevel"/>
    <w:tmpl w:val="DAF0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C5AD4"/>
    <w:multiLevelType w:val="hybridMultilevel"/>
    <w:tmpl w:val="7834D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4"/>
  </w:num>
  <w:num w:numId="4">
    <w:abstractNumId w:val="5"/>
  </w:num>
  <w:num w:numId="5">
    <w:abstractNumId w:val="27"/>
  </w:num>
  <w:num w:numId="6">
    <w:abstractNumId w:val="14"/>
  </w:num>
  <w:num w:numId="7">
    <w:abstractNumId w:val="20"/>
  </w:num>
  <w:num w:numId="8">
    <w:abstractNumId w:val="19"/>
  </w:num>
  <w:num w:numId="9">
    <w:abstractNumId w:val="2"/>
  </w:num>
  <w:num w:numId="10">
    <w:abstractNumId w:val="8"/>
  </w:num>
  <w:num w:numId="11">
    <w:abstractNumId w:val="15"/>
  </w:num>
  <w:num w:numId="12">
    <w:abstractNumId w:val="26"/>
  </w:num>
  <w:num w:numId="13">
    <w:abstractNumId w:val="11"/>
  </w:num>
  <w:num w:numId="14">
    <w:abstractNumId w:val="17"/>
  </w:num>
  <w:num w:numId="15">
    <w:abstractNumId w:val="13"/>
  </w:num>
  <w:num w:numId="16">
    <w:abstractNumId w:val="3"/>
  </w:num>
  <w:num w:numId="17">
    <w:abstractNumId w:val="0"/>
  </w:num>
  <w:num w:numId="18">
    <w:abstractNumId w:val="6"/>
  </w:num>
  <w:num w:numId="19">
    <w:abstractNumId w:val="1"/>
  </w:num>
  <w:num w:numId="20">
    <w:abstractNumId w:val="21"/>
  </w:num>
  <w:num w:numId="21">
    <w:abstractNumId w:val="12"/>
  </w:num>
  <w:num w:numId="22">
    <w:abstractNumId w:val="24"/>
  </w:num>
  <w:num w:numId="23">
    <w:abstractNumId w:val="9"/>
  </w:num>
  <w:num w:numId="24">
    <w:abstractNumId w:val="7"/>
  </w:num>
  <w:num w:numId="25">
    <w:abstractNumId w:val="23"/>
  </w:num>
  <w:num w:numId="26">
    <w:abstractNumId w:val="10"/>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activeWritingStyle w:lang="en-US" w:vendorID="64" w:dllVersion="4096"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D5A"/>
    <w:rsid w:val="00003531"/>
    <w:rsid w:val="00012698"/>
    <w:rsid w:val="00013B32"/>
    <w:rsid w:val="00015E2E"/>
    <w:rsid w:val="000176AA"/>
    <w:rsid w:val="00030F82"/>
    <w:rsid w:val="0003778C"/>
    <w:rsid w:val="00041246"/>
    <w:rsid w:val="0004525F"/>
    <w:rsid w:val="00063F90"/>
    <w:rsid w:val="00064581"/>
    <w:rsid w:val="000718E7"/>
    <w:rsid w:val="00074323"/>
    <w:rsid w:val="000842CA"/>
    <w:rsid w:val="00097BBF"/>
    <w:rsid w:val="000A60D7"/>
    <w:rsid w:val="000A664E"/>
    <w:rsid w:val="000A6FBE"/>
    <w:rsid w:val="000B323B"/>
    <w:rsid w:val="000B65BC"/>
    <w:rsid w:val="000B7802"/>
    <w:rsid w:val="000B7FAE"/>
    <w:rsid w:val="000C1C5F"/>
    <w:rsid w:val="000C304E"/>
    <w:rsid w:val="000C57F4"/>
    <w:rsid w:val="000D1BFA"/>
    <w:rsid w:val="000D3222"/>
    <w:rsid w:val="000E6EBB"/>
    <w:rsid w:val="000F1728"/>
    <w:rsid w:val="000F58D2"/>
    <w:rsid w:val="00103B2B"/>
    <w:rsid w:val="001061BA"/>
    <w:rsid w:val="00112132"/>
    <w:rsid w:val="00113313"/>
    <w:rsid w:val="001148DE"/>
    <w:rsid w:val="001216D6"/>
    <w:rsid w:val="00127159"/>
    <w:rsid w:val="00131B19"/>
    <w:rsid w:val="001345D2"/>
    <w:rsid w:val="00136BF3"/>
    <w:rsid w:val="00137A17"/>
    <w:rsid w:val="00141327"/>
    <w:rsid w:val="00144339"/>
    <w:rsid w:val="00167934"/>
    <w:rsid w:val="001702C0"/>
    <w:rsid w:val="00170F77"/>
    <w:rsid w:val="00173F42"/>
    <w:rsid w:val="00174C11"/>
    <w:rsid w:val="001770D6"/>
    <w:rsid w:val="00182F9E"/>
    <w:rsid w:val="001872C4"/>
    <w:rsid w:val="00187B52"/>
    <w:rsid w:val="00190B48"/>
    <w:rsid w:val="001932D2"/>
    <w:rsid w:val="001A096D"/>
    <w:rsid w:val="001A2437"/>
    <w:rsid w:val="001B0D45"/>
    <w:rsid w:val="001B6C3F"/>
    <w:rsid w:val="001B7323"/>
    <w:rsid w:val="001C414E"/>
    <w:rsid w:val="001C7272"/>
    <w:rsid w:val="001D3257"/>
    <w:rsid w:val="001E4550"/>
    <w:rsid w:val="001F0961"/>
    <w:rsid w:val="001F675F"/>
    <w:rsid w:val="001F6DBF"/>
    <w:rsid w:val="002063A9"/>
    <w:rsid w:val="00215761"/>
    <w:rsid w:val="0021648F"/>
    <w:rsid w:val="00224465"/>
    <w:rsid w:val="00226A81"/>
    <w:rsid w:val="002309CA"/>
    <w:rsid w:val="002313CB"/>
    <w:rsid w:val="00251DA2"/>
    <w:rsid w:val="00254188"/>
    <w:rsid w:val="002559E9"/>
    <w:rsid w:val="002618B7"/>
    <w:rsid w:val="00262F51"/>
    <w:rsid w:val="00270411"/>
    <w:rsid w:val="00270BE8"/>
    <w:rsid w:val="00287F14"/>
    <w:rsid w:val="00294043"/>
    <w:rsid w:val="0029528F"/>
    <w:rsid w:val="00297046"/>
    <w:rsid w:val="00297197"/>
    <w:rsid w:val="002A2751"/>
    <w:rsid w:val="002C30F0"/>
    <w:rsid w:val="002D7968"/>
    <w:rsid w:val="002E17AE"/>
    <w:rsid w:val="002F1D08"/>
    <w:rsid w:val="002F5770"/>
    <w:rsid w:val="002F6D6D"/>
    <w:rsid w:val="003018C6"/>
    <w:rsid w:val="003021B5"/>
    <w:rsid w:val="003048EA"/>
    <w:rsid w:val="00304DDE"/>
    <w:rsid w:val="00313B1E"/>
    <w:rsid w:val="00316D8D"/>
    <w:rsid w:val="00317E8D"/>
    <w:rsid w:val="00320B4B"/>
    <w:rsid w:val="0032502C"/>
    <w:rsid w:val="0033129A"/>
    <w:rsid w:val="0033726D"/>
    <w:rsid w:val="003516A0"/>
    <w:rsid w:val="00357834"/>
    <w:rsid w:val="00363A83"/>
    <w:rsid w:val="00366E5C"/>
    <w:rsid w:val="0037023A"/>
    <w:rsid w:val="00370935"/>
    <w:rsid w:val="00377506"/>
    <w:rsid w:val="0039241F"/>
    <w:rsid w:val="003C11C5"/>
    <w:rsid w:val="003D2679"/>
    <w:rsid w:val="003D6D65"/>
    <w:rsid w:val="003E3E4E"/>
    <w:rsid w:val="003E4537"/>
    <w:rsid w:val="003F2981"/>
    <w:rsid w:val="003F6D16"/>
    <w:rsid w:val="003F6D5E"/>
    <w:rsid w:val="0040023D"/>
    <w:rsid w:val="0040073F"/>
    <w:rsid w:val="00416603"/>
    <w:rsid w:val="00424721"/>
    <w:rsid w:val="004448F7"/>
    <w:rsid w:val="00446388"/>
    <w:rsid w:val="00446600"/>
    <w:rsid w:val="00466D7B"/>
    <w:rsid w:val="0048165D"/>
    <w:rsid w:val="0048233E"/>
    <w:rsid w:val="00482AB0"/>
    <w:rsid w:val="00493386"/>
    <w:rsid w:val="00493F8C"/>
    <w:rsid w:val="004A673A"/>
    <w:rsid w:val="004A7D88"/>
    <w:rsid w:val="004B204D"/>
    <w:rsid w:val="004B391A"/>
    <w:rsid w:val="004C2CA3"/>
    <w:rsid w:val="004C5850"/>
    <w:rsid w:val="004C5C9E"/>
    <w:rsid w:val="004E38E2"/>
    <w:rsid w:val="004E5BAD"/>
    <w:rsid w:val="004F3E4B"/>
    <w:rsid w:val="004F56FB"/>
    <w:rsid w:val="00500598"/>
    <w:rsid w:val="00506C62"/>
    <w:rsid w:val="00513613"/>
    <w:rsid w:val="00515841"/>
    <w:rsid w:val="00525750"/>
    <w:rsid w:val="00527EAD"/>
    <w:rsid w:val="005379AC"/>
    <w:rsid w:val="005534A2"/>
    <w:rsid w:val="005551A6"/>
    <w:rsid w:val="00555E66"/>
    <w:rsid w:val="0055756B"/>
    <w:rsid w:val="00565A78"/>
    <w:rsid w:val="005731F0"/>
    <w:rsid w:val="005812C4"/>
    <w:rsid w:val="00582053"/>
    <w:rsid w:val="00583E04"/>
    <w:rsid w:val="00584010"/>
    <w:rsid w:val="00585C83"/>
    <w:rsid w:val="00587F9B"/>
    <w:rsid w:val="00590632"/>
    <w:rsid w:val="005912A8"/>
    <w:rsid w:val="005A1C56"/>
    <w:rsid w:val="005B7EDC"/>
    <w:rsid w:val="005C3E9B"/>
    <w:rsid w:val="005C3EED"/>
    <w:rsid w:val="005C4511"/>
    <w:rsid w:val="005C53B9"/>
    <w:rsid w:val="005C74EF"/>
    <w:rsid w:val="005D29EE"/>
    <w:rsid w:val="005F06F4"/>
    <w:rsid w:val="005F3C6E"/>
    <w:rsid w:val="00601AD2"/>
    <w:rsid w:val="00607A4E"/>
    <w:rsid w:val="006126CC"/>
    <w:rsid w:val="00613C70"/>
    <w:rsid w:val="00614962"/>
    <w:rsid w:val="00614B1F"/>
    <w:rsid w:val="006166A6"/>
    <w:rsid w:val="00616961"/>
    <w:rsid w:val="006216FB"/>
    <w:rsid w:val="0062296C"/>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B5524"/>
    <w:rsid w:val="006C5ED6"/>
    <w:rsid w:val="006D5DDA"/>
    <w:rsid w:val="006D6623"/>
    <w:rsid w:val="006D7205"/>
    <w:rsid w:val="006E2C58"/>
    <w:rsid w:val="006E3662"/>
    <w:rsid w:val="0070104B"/>
    <w:rsid w:val="007317BF"/>
    <w:rsid w:val="00743312"/>
    <w:rsid w:val="00752ED2"/>
    <w:rsid w:val="00777381"/>
    <w:rsid w:val="007807EC"/>
    <w:rsid w:val="00782D2F"/>
    <w:rsid w:val="007905A1"/>
    <w:rsid w:val="00793821"/>
    <w:rsid w:val="00794CED"/>
    <w:rsid w:val="00797A21"/>
    <w:rsid w:val="007A2178"/>
    <w:rsid w:val="007B0F3C"/>
    <w:rsid w:val="007B22EA"/>
    <w:rsid w:val="007C05B1"/>
    <w:rsid w:val="007D0EA6"/>
    <w:rsid w:val="007E3082"/>
    <w:rsid w:val="008010B9"/>
    <w:rsid w:val="008031C8"/>
    <w:rsid w:val="00803BD9"/>
    <w:rsid w:val="0080591E"/>
    <w:rsid w:val="00811064"/>
    <w:rsid w:val="0081460D"/>
    <w:rsid w:val="00815E91"/>
    <w:rsid w:val="00825A35"/>
    <w:rsid w:val="00825AAD"/>
    <w:rsid w:val="008312BA"/>
    <w:rsid w:val="00850B29"/>
    <w:rsid w:val="00853136"/>
    <w:rsid w:val="00857839"/>
    <w:rsid w:val="00864220"/>
    <w:rsid w:val="00865574"/>
    <w:rsid w:val="0087029A"/>
    <w:rsid w:val="00873DA8"/>
    <w:rsid w:val="0089068C"/>
    <w:rsid w:val="0089445C"/>
    <w:rsid w:val="008A06BE"/>
    <w:rsid w:val="008A19FD"/>
    <w:rsid w:val="008A5872"/>
    <w:rsid w:val="008B6ADB"/>
    <w:rsid w:val="008C57B3"/>
    <w:rsid w:val="008D303E"/>
    <w:rsid w:val="008D3040"/>
    <w:rsid w:val="008E0959"/>
    <w:rsid w:val="008F4D6D"/>
    <w:rsid w:val="008F7431"/>
    <w:rsid w:val="008F76FC"/>
    <w:rsid w:val="00902CD9"/>
    <w:rsid w:val="00903A38"/>
    <w:rsid w:val="009049E2"/>
    <w:rsid w:val="00920014"/>
    <w:rsid w:val="0092273D"/>
    <w:rsid w:val="00926817"/>
    <w:rsid w:val="009304C4"/>
    <w:rsid w:val="00932CDB"/>
    <w:rsid w:val="009535EE"/>
    <w:rsid w:val="00963C2D"/>
    <w:rsid w:val="00964874"/>
    <w:rsid w:val="00973FB3"/>
    <w:rsid w:val="00975057"/>
    <w:rsid w:val="00990F1F"/>
    <w:rsid w:val="0099139D"/>
    <w:rsid w:val="00992B42"/>
    <w:rsid w:val="00994779"/>
    <w:rsid w:val="00996F65"/>
    <w:rsid w:val="009A1F56"/>
    <w:rsid w:val="009B4C8B"/>
    <w:rsid w:val="009B57ED"/>
    <w:rsid w:val="009B6B5F"/>
    <w:rsid w:val="009C039D"/>
    <w:rsid w:val="009D155C"/>
    <w:rsid w:val="009E00E0"/>
    <w:rsid w:val="009E1B2E"/>
    <w:rsid w:val="009F2BED"/>
    <w:rsid w:val="00A028FA"/>
    <w:rsid w:val="00A25B49"/>
    <w:rsid w:val="00A400E3"/>
    <w:rsid w:val="00A54791"/>
    <w:rsid w:val="00A576BD"/>
    <w:rsid w:val="00A630E9"/>
    <w:rsid w:val="00A70997"/>
    <w:rsid w:val="00A75298"/>
    <w:rsid w:val="00AB1285"/>
    <w:rsid w:val="00AB6CB3"/>
    <w:rsid w:val="00AB6DF1"/>
    <w:rsid w:val="00AC1B8B"/>
    <w:rsid w:val="00AC3F9C"/>
    <w:rsid w:val="00AD1D86"/>
    <w:rsid w:val="00AD5E4F"/>
    <w:rsid w:val="00AD7147"/>
    <w:rsid w:val="00AD76E2"/>
    <w:rsid w:val="00AE0CE0"/>
    <w:rsid w:val="00AF1D84"/>
    <w:rsid w:val="00AF5840"/>
    <w:rsid w:val="00B001FF"/>
    <w:rsid w:val="00B014C9"/>
    <w:rsid w:val="00B01FE0"/>
    <w:rsid w:val="00B05731"/>
    <w:rsid w:val="00B1235F"/>
    <w:rsid w:val="00B17CCE"/>
    <w:rsid w:val="00B20B1A"/>
    <w:rsid w:val="00B257E7"/>
    <w:rsid w:val="00B30687"/>
    <w:rsid w:val="00B33B01"/>
    <w:rsid w:val="00B53C28"/>
    <w:rsid w:val="00B56153"/>
    <w:rsid w:val="00B67FDE"/>
    <w:rsid w:val="00B75FA5"/>
    <w:rsid w:val="00B96D32"/>
    <w:rsid w:val="00BA6035"/>
    <w:rsid w:val="00BC093C"/>
    <w:rsid w:val="00BD0BFA"/>
    <w:rsid w:val="00BD12A4"/>
    <w:rsid w:val="00BD2940"/>
    <w:rsid w:val="00BE2C0C"/>
    <w:rsid w:val="00BE3AA0"/>
    <w:rsid w:val="00BF437E"/>
    <w:rsid w:val="00C04D04"/>
    <w:rsid w:val="00C05F9C"/>
    <w:rsid w:val="00C17CB7"/>
    <w:rsid w:val="00C17F93"/>
    <w:rsid w:val="00C37511"/>
    <w:rsid w:val="00C41CCD"/>
    <w:rsid w:val="00C45E3F"/>
    <w:rsid w:val="00C554A0"/>
    <w:rsid w:val="00C70D05"/>
    <w:rsid w:val="00C71A48"/>
    <w:rsid w:val="00C7376B"/>
    <w:rsid w:val="00C76601"/>
    <w:rsid w:val="00C867EC"/>
    <w:rsid w:val="00C8769A"/>
    <w:rsid w:val="00C9117E"/>
    <w:rsid w:val="00C91791"/>
    <w:rsid w:val="00C91BD2"/>
    <w:rsid w:val="00C91CD9"/>
    <w:rsid w:val="00CA3CE1"/>
    <w:rsid w:val="00CA7EE4"/>
    <w:rsid w:val="00CA7FD4"/>
    <w:rsid w:val="00CB6685"/>
    <w:rsid w:val="00CB781C"/>
    <w:rsid w:val="00CC16B3"/>
    <w:rsid w:val="00CC1BF8"/>
    <w:rsid w:val="00CC2AAD"/>
    <w:rsid w:val="00CC4E89"/>
    <w:rsid w:val="00CD0A12"/>
    <w:rsid w:val="00CE77D7"/>
    <w:rsid w:val="00CF59C6"/>
    <w:rsid w:val="00CF7289"/>
    <w:rsid w:val="00D02B63"/>
    <w:rsid w:val="00D02E78"/>
    <w:rsid w:val="00D1286B"/>
    <w:rsid w:val="00D209DD"/>
    <w:rsid w:val="00D27598"/>
    <w:rsid w:val="00D31340"/>
    <w:rsid w:val="00D36CB1"/>
    <w:rsid w:val="00D4165A"/>
    <w:rsid w:val="00D4521E"/>
    <w:rsid w:val="00D502DC"/>
    <w:rsid w:val="00D556BB"/>
    <w:rsid w:val="00D63084"/>
    <w:rsid w:val="00D716F5"/>
    <w:rsid w:val="00D75C61"/>
    <w:rsid w:val="00D8172A"/>
    <w:rsid w:val="00D95BF0"/>
    <w:rsid w:val="00DA2F85"/>
    <w:rsid w:val="00DB4A2A"/>
    <w:rsid w:val="00DB535E"/>
    <w:rsid w:val="00DC13FE"/>
    <w:rsid w:val="00DC1741"/>
    <w:rsid w:val="00DD418B"/>
    <w:rsid w:val="00DF40F6"/>
    <w:rsid w:val="00E03617"/>
    <w:rsid w:val="00E0373C"/>
    <w:rsid w:val="00E07A75"/>
    <w:rsid w:val="00E138D9"/>
    <w:rsid w:val="00E14281"/>
    <w:rsid w:val="00E14757"/>
    <w:rsid w:val="00E20436"/>
    <w:rsid w:val="00E26592"/>
    <w:rsid w:val="00E46384"/>
    <w:rsid w:val="00E50E85"/>
    <w:rsid w:val="00E51ACB"/>
    <w:rsid w:val="00E5365A"/>
    <w:rsid w:val="00E5779C"/>
    <w:rsid w:val="00E63692"/>
    <w:rsid w:val="00E652AC"/>
    <w:rsid w:val="00E723C4"/>
    <w:rsid w:val="00E72864"/>
    <w:rsid w:val="00E8028D"/>
    <w:rsid w:val="00E85340"/>
    <w:rsid w:val="00E91D43"/>
    <w:rsid w:val="00EA1CCB"/>
    <w:rsid w:val="00EB06C3"/>
    <w:rsid w:val="00EC3202"/>
    <w:rsid w:val="00EC5D15"/>
    <w:rsid w:val="00ED087B"/>
    <w:rsid w:val="00ED7EDB"/>
    <w:rsid w:val="00EE3828"/>
    <w:rsid w:val="00EE4B5E"/>
    <w:rsid w:val="00EF6FB8"/>
    <w:rsid w:val="00F01798"/>
    <w:rsid w:val="00F10837"/>
    <w:rsid w:val="00F13546"/>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51A4"/>
    <w:rsid w:val="00F855E7"/>
    <w:rsid w:val="00F868A9"/>
    <w:rsid w:val="00F86E1E"/>
    <w:rsid w:val="00F877D5"/>
    <w:rsid w:val="00F9229F"/>
    <w:rsid w:val="00FA11A9"/>
    <w:rsid w:val="00FA27B7"/>
    <w:rsid w:val="00FA7688"/>
    <w:rsid w:val="00FB0778"/>
    <w:rsid w:val="00FD06F5"/>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9304C4"/>
    <w:pPr>
      <w:tabs>
        <w:tab w:val="left" w:pos="4680"/>
      </w:tabs>
      <w:spacing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 w:type="character" w:customStyle="1" w:styleId="UnresolvedMention8">
    <w:name w:val="Unresolved Mention8"/>
    <w:basedOn w:val="DefaultParagraphFont"/>
    <w:uiPriority w:val="99"/>
    <w:semiHidden/>
    <w:unhideWhenUsed/>
    <w:rsid w:val="000A664E"/>
    <w:rPr>
      <w:color w:val="605E5C"/>
      <w:shd w:val="clear" w:color="auto" w:fill="E1DFDD"/>
    </w:rPr>
  </w:style>
  <w:style w:type="character" w:styleId="CommentReference">
    <w:name w:val="annotation reference"/>
    <w:basedOn w:val="DefaultParagraphFont"/>
    <w:uiPriority w:val="99"/>
    <w:semiHidden/>
    <w:unhideWhenUsed/>
    <w:rsid w:val="00E85340"/>
    <w:rPr>
      <w:sz w:val="16"/>
      <w:szCs w:val="16"/>
    </w:rPr>
  </w:style>
  <w:style w:type="paragraph" w:styleId="CommentText">
    <w:name w:val="annotation text"/>
    <w:basedOn w:val="Normal"/>
    <w:link w:val="CommentTextChar"/>
    <w:uiPriority w:val="99"/>
    <w:semiHidden/>
    <w:unhideWhenUsed/>
    <w:rsid w:val="00E85340"/>
    <w:pPr>
      <w:spacing w:line="240" w:lineRule="auto"/>
    </w:pPr>
    <w:rPr>
      <w:sz w:val="20"/>
    </w:rPr>
  </w:style>
  <w:style w:type="character" w:customStyle="1" w:styleId="CommentTextChar">
    <w:name w:val="Comment Text Char"/>
    <w:basedOn w:val="DefaultParagraphFont"/>
    <w:link w:val="CommentText"/>
    <w:uiPriority w:val="99"/>
    <w:semiHidden/>
    <w:rsid w:val="00E85340"/>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E85340"/>
    <w:rPr>
      <w:b/>
      <w:bCs/>
    </w:rPr>
  </w:style>
  <w:style w:type="character" w:customStyle="1" w:styleId="CommentSubjectChar">
    <w:name w:val="Comment Subject Char"/>
    <w:basedOn w:val="CommentTextChar"/>
    <w:link w:val="CommentSubject"/>
    <w:uiPriority w:val="99"/>
    <w:semiHidden/>
    <w:rsid w:val="00E85340"/>
    <w:rPr>
      <w:rFonts w:ascii="Bookman" w:eastAsia="Times New Roman" w:hAnsi="Bookman" w:cs="Times New Roman"/>
      <w:b/>
      <w:bCs/>
      <w:sz w:val="20"/>
      <w:szCs w:val="20"/>
    </w:rPr>
  </w:style>
  <w:style w:type="character" w:styleId="UnresolvedMention">
    <w:name w:val="Unresolved Mention"/>
    <w:basedOn w:val="DefaultParagraphFont"/>
    <w:uiPriority w:val="99"/>
    <w:semiHidden/>
    <w:unhideWhenUsed/>
    <w:rsid w:val="00CC16B3"/>
    <w:rPr>
      <w:color w:val="605E5C"/>
      <w:shd w:val="clear" w:color="auto" w:fill="E1DFDD"/>
    </w:rPr>
  </w:style>
  <w:style w:type="paragraph" w:styleId="ListParagraph">
    <w:name w:val="List Paragraph"/>
    <w:basedOn w:val="Normal"/>
    <w:uiPriority w:val="34"/>
    <w:qFormat/>
    <w:rsid w:val="00D2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77086">
      <w:bodyDiv w:val="1"/>
      <w:marLeft w:val="0"/>
      <w:marRight w:val="0"/>
      <w:marTop w:val="0"/>
      <w:marBottom w:val="0"/>
      <w:divBdr>
        <w:top w:val="none" w:sz="0" w:space="0" w:color="auto"/>
        <w:left w:val="none" w:sz="0" w:space="0" w:color="auto"/>
        <w:bottom w:val="none" w:sz="0" w:space="0" w:color="auto"/>
        <w:right w:val="none" w:sz="0" w:space="0" w:color="auto"/>
      </w:divBdr>
    </w:div>
    <w:div w:id="985668336">
      <w:bodyDiv w:val="1"/>
      <w:marLeft w:val="0"/>
      <w:marRight w:val="0"/>
      <w:marTop w:val="0"/>
      <w:marBottom w:val="0"/>
      <w:divBdr>
        <w:top w:val="none" w:sz="0" w:space="0" w:color="auto"/>
        <w:left w:val="none" w:sz="0" w:space="0" w:color="auto"/>
        <w:bottom w:val="none" w:sz="0" w:space="0" w:color="auto"/>
        <w:right w:val="none" w:sz="0" w:space="0" w:color="auto"/>
      </w:divBdr>
    </w:div>
    <w:div w:id="1357073558">
      <w:bodyDiv w:val="1"/>
      <w:marLeft w:val="0"/>
      <w:marRight w:val="0"/>
      <w:marTop w:val="0"/>
      <w:marBottom w:val="0"/>
      <w:divBdr>
        <w:top w:val="none" w:sz="0" w:space="0" w:color="auto"/>
        <w:left w:val="none" w:sz="0" w:space="0" w:color="auto"/>
        <w:bottom w:val="none" w:sz="0" w:space="0" w:color="auto"/>
        <w:right w:val="none" w:sz="0" w:space="0" w:color="auto"/>
      </w:divBdr>
    </w:div>
    <w:div w:id="17138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yperlink" Target="mailto:WildfireSafetyAdvisoryBoard@cpuc.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http://www.cpuc.ca.gov/wsa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minmonitor.com/ca/cpuc/other/202104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puc.ca.gov/uploadedFiles/CPUCWebsite/Content/About_Us/Organization/Divisions/WSD/WSAB%20Recommendations%20on%202021%20Large%20IOU%20WMP%20Updates%20Issued%204.16.2021.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wsab"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D0DBAB-0DAE-4BA0-83CE-3CFCBC0A0BBC}">
  <ds:schemaRefs>
    <ds:schemaRef ds:uri="http://schemas.openxmlformats.org/officeDocument/2006/bibliography"/>
  </ds:schemaRefs>
</ds:datastoreItem>
</file>

<file path=customXml/itemProps3.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454B9-0866-4BFD-8EF2-95487D1C5C8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542</ap:Words>
  <ap:Characters>3090</ap:Characters>
  <ap:Application>Microsoft Office Word</ap:Application>
  <ap:DocSecurity>0</ap:DocSecurity>
  <ap:Lines>25</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3625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2021-04-16T11:53:01Z</dcterms:created>
  <dcterms:modified xsi:type="dcterms:W3CDTF">2021-04-16T11:53:01Z</dcterms:modified>
</cp:coreProperties>
</file>