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0FEE" w:rsidRDefault="00710710" w14:paraId="537AA205" w14:textId="430C48CE">
      <w:pPr>
        <w:tabs>
          <w:tab w:val="center" w:pos="4680"/>
          <w:tab w:val="right" w:pos="9360"/>
        </w:tabs>
        <w:spacing w:line="240" w:lineRule="auto"/>
        <w:ind w:firstLine="0"/>
      </w:pPr>
      <w:r>
        <w:t>ALJ</w:t>
      </w:r>
      <w:r w:rsidR="00DA7B5D">
        <w:t>/</w:t>
      </w:r>
      <w:r>
        <w:t>CS8</w:t>
      </w:r>
      <w:r w:rsidR="00DA7B5D">
        <w:t>/</w:t>
      </w:r>
      <w:r>
        <w:t>avs</w:t>
      </w:r>
      <w:r w:rsidR="007E0FEE">
        <w:tab/>
      </w:r>
      <w:r w:rsidR="00DA7B5D">
        <w:tab/>
      </w:r>
      <w:r w:rsidR="0077354B">
        <w:rPr>
          <w:b/>
        </w:rPr>
        <w:t>Date of Issuance 4/</w:t>
      </w:r>
      <w:r w:rsidR="00F941A2">
        <w:rPr>
          <w:b/>
        </w:rPr>
        <w:t>19</w:t>
      </w:r>
      <w:r w:rsidR="0077354B">
        <w:rPr>
          <w:b/>
        </w:rPr>
        <w:t>/2021</w:t>
      </w:r>
    </w:p>
    <w:p w:rsidRPr="00EE4315" w:rsidR="00DA7B5D" w:rsidP="00632207" w:rsidRDefault="00DA7B5D" w14:paraId="22A68DBC" w14:textId="1BBD7250">
      <w:pPr>
        <w:spacing w:line="240" w:lineRule="auto"/>
        <w:jc w:val="right"/>
        <w:rPr>
          <w:b/>
        </w:rPr>
      </w:pPr>
    </w:p>
    <w:p w:rsidR="00DA7B5D" w:rsidP="002975D4" w:rsidRDefault="00DA7B5D" w14:paraId="6A9818B2" w14:textId="77777777">
      <w:pPr>
        <w:ind w:firstLine="0"/>
        <w:jc w:val="right"/>
      </w:pPr>
    </w:p>
    <w:p w:rsidRPr="00EE3060" w:rsidR="00DA7B5D" w:rsidP="0098655A" w:rsidRDefault="00DA7B5D" w14:paraId="67F855BB" w14:textId="10BD4DA5">
      <w:pPr>
        <w:ind w:left="1080" w:hanging="1080"/>
      </w:pPr>
      <w:r>
        <w:t xml:space="preserve">Decision </w:t>
      </w:r>
      <w:r w:rsidR="0077354B">
        <w:t>21-04-</w:t>
      </w:r>
      <w:proofErr w:type="gramStart"/>
      <w:r w:rsidR="0077354B">
        <w:t>011  April</w:t>
      </w:r>
      <w:proofErr w:type="gramEnd"/>
      <w:r w:rsidR="0077354B">
        <w:t xml:space="preserve"> 15, 2021</w:t>
      </w:r>
    </w:p>
    <w:p w:rsidR="00DA7B5D" w:rsidP="00BB0243" w:rsidRDefault="00DA7B5D" w14:paraId="3CFDC472" w14:textId="77777777">
      <w:pPr>
        <w:spacing w:line="240" w:lineRule="auto"/>
        <w:jc w:val="center"/>
        <w:rPr>
          <w:u w:val="single"/>
        </w:rPr>
      </w:pPr>
    </w:p>
    <w:p w:rsidR="00DA7B5D" w:rsidP="00BB0243" w:rsidRDefault="00DA7B5D" w14:paraId="6E661743"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D975AFA"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Tr="00DA7B5D" w14:paraId="328C7682" w14:textId="77777777">
        <w:tc>
          <w:tcPr>
            <w:tcW w:w="4675" w:type="dxa"/>
            <w:tcBorders>
              <w:top w:val="nil"/>
              <w:left w:val="nil"/>
              <w:bottom w:val="single" w:color="auto" w:sz="4" w:space="0"/>
              <w:right w:val="single" w:color="auto" w:sz="4" w:space="0"/>
            </w:tcBorders>
          </w:tcPr>
          <w:p w:rsidRPr="00DA7B5D" w:rsidR="00DA7B5D" w:rsidP="00C10B5F" w:rsidRDefault="0018236D" w14:paraId="128A098E" w14:textId="1EEA28D7">
            <w:pPr>
              <w:spacing w:line="240" w:lineRule="auto"/>
              <w:ind w:firstLine="0"/>
              <w:rPr>
                <w:rFonts w:cs="Arial"/>
                <w:szCs w:val="26"/>
              </w:rPr>
            </w:pPr>
            <w:r w:rsidRPr="0018236D">
              <w:rPr>
                <w:rFonts w:cs="Arial"/>
                <w:szCs w:val="26"/>
              </w:rPr>
              <w:t>Application of California Environmental Justice Alliance for Award of Intervenor Compensation for Substantial Contribution to Resolutions WSD-002, WSD-003, WSD-004, WSD-005</w:t>
            </w:r>
            <w:r w:rsidR="005C7B62">
              <w:rPr>
                <w:rFonts w:cs="Arial"/>
                <w:szCs w:val="26"/>
              </w:rPr>
              <w:t>.</w:t>
            </w:r>
            <w:r w:rsidRPr="00DA7B5D" w:rsidR="00DA7B5D">
              <w:rPr>
                <w:rFonts w:cs="Arial"/>
                <w:szCs w:val="26"/>
              </w:rPr>
              <w:br/>
            </w:r>
          </w:p>
        </w:tc>
        <w:tc>
          <w:tcPr>
            <w:tcW w:w="4675" w:type="dxa"/>
            <w:tcBorders>
              <w:top w:val="nil"/>
              <w:left w:val="single" w:color="auto" w:sz="4" w:space="0"/>
              <w:bottom w:val="nil"/>
              <w:right w:val="nil"/>
            </w:tcBorders>
            <w:vAlign w:val="center"/>
          </w:tcPr>
          <w:p w:rsidRPr="00DA7B5D" w:rsidR="00DA7B5D" w:rsidP="00412C83" w:rsidRDefault="0018236D" w14:paraId="549D532B" w14:textId="128A2A54">
            <w:pPr>
              <w:spacing w:line="240" w:lineRule="auto"/>
              <w:ind w:firstLine="0"/>
              <w:jc w:val="center"/>
              <w:rPr>
                <w:rFonts w:cs="Arial"/>
                <w:szCs w:val="26"/>
              </w:rPr>
            </w:pPr>
            <w:r>
              <w:rPr>
                <w:rFonts w:cs="Arial"/>
                <w:szCs w:val="26"/>
              </w:rPr>
              <w:t>Application 20-07-023</w:t>
            </w:r>
          </w:p>
        </w:tc>
      </w:tr>
    </w:tbl>
    <w:p w:rsidR="00DA7B5D" w:rsidP="008F0116" w:rsidRDefault="00DA7B5D" w14:paraId="51AB238E" w14:textId="77777777">
      <w:pPr>
        <w:spacing w:line="240" w:lineRule="auto"/>
        <w:ind w:firstLine="0"/>
        <w:rPr>
          <w:rFonts w:ascii="Arial" w:hAnsi="Arial" w:cs="Arial"/>
          <w:sz w:val="24"/>
          <w:szCs w:val="24"/>
        </w:rPr>
      </w:pPr>
    </w:p>
    <w:p w:rsidR="00DA7B5D" w:rsidP="008F0116" w:rsidRDefault="00DA7B5D" w14:paraId="2D7FDF9F" w14:textId="77777777">
      <w:pPr>
        <w:spacing w:line="240" w:lineRule="auto"/>
        <w:ind w:firstLine="0"/>
        <w:rPr>
          <w:rFonts w:ascii="Arial" w:hAnsi="Arial" w:cs="Arial"/>
          <w:sz w:val="24"/>
          <w:szCs w:val="24"/>
        </w:rPr>
      </w:pPr>
    </w:p>
    <w:p w:rsidR="0098655A" w:rsidP="00591B23" w:rsidRDefault="0018236D" w14:paraId="66B8A8F5" w14:textId="37BB198D">
      <w:pPr>
        <w:pStyle w:val="Dummy"/>
        <w:spacing w:after="240"/>
        <w:jc w:val="center"/>
      </w:pPr>
      <w:r>
        <w:t>DECISION GRANTING INTERVENOR COMPENSATION TO THE CALIFORNIA ENVIRONMENTAL JUSTICE ALLIANCE FOR CONTRIBUTION TO RESOLUTIONS WSD-002, WSD-003, WSD-004, and WSD-005</w:t>
      </w:r>
    </w:p>
    <w:p w:rsidR="005A148C" w:rsidP="005A148C" w:rsidRDefault="005A148C" w14:paraId="5536B132" w14:textId="77777777">
      <w:pPr>
        <w:pStyle w:val="Dummy"/>
      </w:pPr>
      <w:bookmarkStart w:name="_Toc8123714" w:id="0"/>
      <w:bookmarkStart w:name="_Toc12866683" w:id="1"/>
      <w:r>
        <w:t>Summary</w:t>
      </w:r>
      <w:bookmarkEnd w:id="0"/>
      <w:bookmarkEnd w:id="1"/>
    </w:p>
    <w:p w:rsidR="0073353F" w:rsidP="006E6574" w:rsidRDefault="00812E21" w14:paraId="7190C9B7" w14:textId="6715C6BE">
      <w:pPr>
        <w:pStyle w:val="Standard"/>
      </w:pPr>
      <w:r>
        <w:t xml:space="preserve">The </w:t>
      </w:r>
      <w:r>
        <w:rPr>
          <w:color w:val="000000"/>
        </w:rPr>
        <w:t xml:space="preserve">California Environmental Justice Alliance is seeking </w:t>
      </w:r>
      <w:r w:rsidR="00945F41">
        <w:rPr>
          <w:color w:val="000000"/>
        </w:rPr>
        <w:t>$41,85</w:t>
      </w:r>
      <w:r w:rsidR="00934AAF">
        <w:rPr>
          <w:color w:val="000000"/>
        </w:rPr>
        <w:t>4</w:t>
      </w:r>
      <w:r w:rsidR="00945F41">
        <w:rPr>
          <w:color w:val="000000"/>
        </w:rPr>
        <w:t xml:space="preserve">.80 in </w:t>
      </w:r>
      <w:r>
        <w:rPr>
          <w:color w:val="000000"/>
        </w:rPr>
        <w:t xml:space="preserve">intervenor compensation for its contribution to the public process leading to the Commission’s adoption of multiple Resolutions issued by the Wildfire Safety Division in 2020 related to the regulated utilities’ Wildfire Management Plans. We award the Alliance </w:t>
      </w:r>
      <w:r w:rsidR="00C02214">
        <w:t>$30,</w:t>
      </w:r>
      <w:r w:rsidR="007A6008">
        <w:t>89</w:t>
      </w:r>
      <w:r w:rsidR="00C02214">
        <w:t xml:space="preserve">0, plus interest, </w:t>
      </w:r>
      <w:r w:rsidR="00945F41">
        <w:rPr>
          <w:color w:val="000000"/>
        </w:rPr>
        <w:t xml:space="preserve">based on its contribution to the referenced resolutions. </w:t>
      </w:r>
      <w:r w:rsidR="005C7B62">
        <w:rPr>
          <w:color w:val="000000"/>
        </w:rPr>
        <w:t xml:space="preserve"> </w:t>
      </w:r>
      <w:r w:rsidR="00945F41">
        <w:rPr>
          <w:color w:val="000000"/>
        </w:rPr>
        <w:t xml:space="preserve">This proceeding is closed. </w:t>
      </w:r>
    </w:p>
    <w:p w:rsidRPr="00121089" w:rsidR="005A148C" w:rsidP="00A55ACD" w:rsidRDefault="002C7FE9" w14:paraId="5A9769F7" w14:textId="77777777">
      <w:pPr>
        <w:pStyle w:val="Heading1"/>
        <w:numPr>
          <w:ilvl w:val="0"/>
          <w:numId w:val="3"/>
        </w:numPr>
      </w:pPr>
      <w:bookmarkStart w:name="_Toc8123715" w:id="2"/>
      <w:bookmarkStart w:name="_Toc12866684" w:id="3"/>
      <w:r w:rsidRPr="00121089">
        <w:t>Background</w:t>
      </w:r>
      <w:bookmarkEnd w:id="2"/>
      <w:bookmarkEnd w:id="3"/>
    </w:p>
    <w:p w:rsidR="00FF11C3" w:rsidP="00120539" w:rsidRDefault="00120539" w14:paraId="683ACB71" w14:textId="7550B8EC">
      <w:pPr>
        <w:pStyle w:val="Standard"/>
      </w:pPr>
      <w:bookmarkStart w:name="_Toc8123716" w:id="4"/>
      <w:bookmarkStart w:name="_Toc12866685" w:id="5"/>
      <w:r w:rsidRPr="00120539">
        <w:t>Public Utilities Code Section 8386(b) requires each regulated electrical utility to annually prepare and submit a Wildfire Mitigation Plan (WMP) to the Commission’s Wildfire Safety Division (WSD) for review and approval.</w:t>
      </w:r>
      <w:r w:rsidR="004A66FC">
        <w:rPr>
          <w:rStyle w:val="FootnoteReference"/>
        </w:rPr>
        <w:footnoteReference w:id="2"/>
      </w:r>
      <w:r w:rsidRPr="00120539">
        <w:t xml:space="preserve">  </w:t>
      </w:r>
      <w:r w:rsidRPr="00120539">
        <w:lastRenderedPageBreak/>
        <w:t>Section</w:t>
      </w:r>
      <w:r w:rsidR="005C7B62">
        <w:t> </w:t>
      </w:r>
      <w:r w:rsidRPr="00120539">
        <w:t xml:space="preserve">8386.3(a) requires WSD to review and approve or deny each WMP within three months of submittal and for the Commission to ratify the WSD’s actions.  In rendering its approval, denial, or modification of the WMPs, the WSD is required to consider public comments submitted pursuant to subdivision (d) of Section 8386.  </w:t>
      </w:r>
    </w:p>
    <w:p w:rsidR="00120539" w:rsidP="00120539" w:rsidRDefault="00120539" w14:paraId="4097B451" w14:textId="22791003">
      <w:pPr>
        <w:pStyle w:val="Standard"/>
      </w:pPr>
      <w:r w:rsidRPr="00120539">
        <w:t xml:space="preserve">On May 7, 2020, WSD issued Draft Resolution WSD-002 </w:t>
      </w:r>
      <w:r>
        <w:t>proposing the Division’s guidance on the evaluation of the electrical corporations’ 2020 WMPs.  That same day, WSD issued separate resolutions proposing their action on Pacific Gas and Electric Company (PG&amp;E), Southern California Edison (SCE), and San Diego Gas &amp; Electric Company (SDG&amp;E)’s WMPs in Resolutions WSD</w:t>
      </w:r>
      <w:r w:rsidR="005C7B62">
        <w:noBreakHyphen/>
      </w:r>
      <w:r>
        <w:t xml:space="preserve">003, WSD-004, and WSD-005, respectively. Comments on Draft Resolution WSD-002, WSD-003, WSD-004, and WSD-005 were due on May 27, 2020.  The California Environmental Justice Alliance (CEJA) was among several parties that provided comments on the draft resolutions, which were considered by WSD in developing the final Resolutions WSD-002, WSD-003, WSD-004, and WSD-005, as adopted by the Commission on June 11, 2020. </w:t>
      </w:r>
    </w:p>
    <w:p w:rsidR="00120539" w:rsidP="00120539" w:rsidRDefault="00120539" w14:paraId="16ED4C96" w14:textId="4E1EB9C8">
      <w:pPr>
        <w:pStyle w:val="Standard"/>
      </w:pPr>
      <w:r>
        <w:t xml:space="preserve">Sections 1801-1812 define the requirements for compensation provided to intervenors that significantly contribute to decisions or other formal actions that are ratified by the full Commission. </w:t>
      </w:r>
      <w:r w:rsidR="005C7B62">
        <w:t xml:space="preserve"> </w:t>
      </w:r>
      <w:r>
        <w:t>On July 8, 2020, CEJA filed Application (A.) 20-07-023 seeking intervenor compensation</w:t>
      </w:r>
      <w:r w:rsidR="00EE2542">
        <w:t xml:space="preserve"> (ICOMP)</w:t>
      </w:r>
      <w:r>
        <w:t xml:space="preserve"> for its contribution to Resolutions WSD-002, WSD-003, WSD-004, and WSD-005.  CEJA also requests compensation for hours spent providing comments on SCE and SDG&amp;E’s executive compensation structures, which, while approved by the WSD on June</w:t>
      </w:r>
      <w:r w:rsidR="005C7B62">
        <w:t> </w:t>
      </w:r>
      <w:r>
        <w:t>30, 2020, were never considered or ratified by the Commission.</w:t>
      </w:r>
      <w:r>
        <w:rPr>
          <w:rStyle w:val="FootnoteReference"/>
        </w:rPr>
        <w:footnoteReference w:id="3"/>
      </w:r>
    </w:p>
    <w:p w:rsidR="00120539" w:rsidP="00120539" w:rsidRDefault="00120539" w14:paraId="1586B536" w14:textId="19C56201">
      <w:pPr>
        <w:pStyle w:val="Standard"/>
      </w:pPr>
      <w:r>
        <w:lastRenderedPageBreak/>
        <w:t xml:space="preserve">A </w:t>
      </w:r>
      <w:r w:rsidR="005C7B62">
        <w:t>p</w:t>
      </w:r>
      <w:r>
        <w:t xml:space="preserve">rehearing </w:t>
      </w:r>
      <w:r w:rsidR="005C7B62">
        <w:t>c</w:t>
      </w:r>
      <w:r>
        <w:t xml:space="preserve">onference (PHC) was held on January 21, 2021, to address the issues of law and fact, determine the need for hearing, set the schedule for resolving the matter, and address other </w:t>
      </w:r>
      <w:proofErr w:type="gramStart"/>
      <w:r>
        <w:t>matters</w:t>
      </w:r>
      <w:proofErr w:type="gramEnd"/>
      <w:r>
        <w:t xml:space="preserve"> as necessary. </w:t>
      </w:r>
    </w:p>
    <w:p w:rsidRPr="001D2EED" w:rsidR="00120539" w:rsidP="00120539" w:rsidRDefault="00120539" w14:paraId="70011584" w14:textId="4F96140F">
      <w:pPr>
        <w:pStyle w:val="Standard"/>
      </w:pPr>
      <w:r>
        <w:t>President Batjer issued a Scoping Memo and Ruling (scoping memo) defining the scope of the proceeding on February 10, 2021.</w:t>
      </w:r>
    </w:p>
    <w:p w:rsidR="005A148C" w:rsidP="00120539" w:rsidRDefault="005939A5" w14:paraId="30109C87" w14:textId="706DCF7B">
      <w:pPr>
        <w:pStyle w:val="Heading1"/>
        <w:numPr>
          <w:ilvl w:val="0"/>
          <w:numId w:val="3"/>
        </w:numPr>
      </w:pPr>
      <w:bookmarkStart w:name="_Toc8123719" w:id="6"/>
      <w:bookmarkStart w:name="_Toc12866688" w:id="7"/>
      <w:bookmarkEnd w:id="4"/>
      <w:bookmarkEnd w:id="5"/>
      <w:r>
        <w:t>Issues Before the Commission</w:t>
      </w:r>
      <w:bookmarkEnd w:id="6"/>
      <w:bookmarkEnd w:id="7"/>
    </w:p>
    <w:p w:rsidRPr="001D2EED" w:rsidR="00120539" w:rsidP="00120539" w:rsidRDefault="00120539" w14:paraId="63C01A20" w14:textId="60F7E850">
      <w:pPr>
        <w:pStyle w:val="Standard"/>
      </w:pPr>
      <w:bookmarkStart w:name="_Toc8123720" w:id="8"/>
      <w:bookmarkStart w:name="_Toc12866689" w:id="9"/>
      <w:r>
        <w:t>The issues to be determined, as set forth in the February 10, 2020, scoping memo are:</w:t>
      </w:r>
    </w:p>
    <w:p w:rsidRPr="00EE2542" w:rsidR="00120539" w:rsidP="00EC0CEC" w:rsidRDefault="00120539" w14:paraId="1E5E3698" w14:textId="1EF75E39">
      <w:pPr>
        <w:pStyle w:val="Standard"/>
        <w:numPr>
          <w:ilvl w:val="1"/>
          <w:numId w:val="18"/>
        </w:numPr>
        <w:spacing w:after="120" w:line="240" w:lineRule="auto"/>
        <w:ind w:right="1440"/>
      </w:pPr>
      <w:r w:rsidRPr="00EE2542">
        <w:t>Does A.20-07-023 satisfy all the requirements of Sections</w:t>
      </w:r>
      <w:r w:rsidR="00EC0CEC">
        <w:t> </w:t>
      </w:r>
      <w:r w:rsidRPr="00EE2542">
        <w:t>1801-1812?</w:t>
      </w:r>
    </w:p>
    <w:p w:rsidRPr="00EE2542" w:rsidR="00120539" w:rsidP="00EC0CEC" w:rsidRDefault="00120539" w14:paraId="5B964227" w14:textId="2BB52FB7">
      <w:pPr>
        <w:pStyle w:val="Standard"/>
        <w:numPr>
          <w:ilvl w:val="1"/>
          <w:numId w:val="18"/>
        </w:numPr>
        <w:spacing w:after="120" w:line="240" w:lineRule="auto"/>
        <w:ind w:right="1440"/>
      </w:pPr>
      <w:r w:rsidRPr="00EE2542">
        <w:t>Did CEJA make a significant contribution to Resolutions WSD-002, WSD-003, WSD-004, and WSD</w:t>
      </w:r>
      <w:r w:rsidR="00EC0CEC">
        <w:noBreakHyphen/>
      </w:r>
      <w:r w:rsidRPr="00EE2542">
        <w:t xml:space="preserve">005, as adopted by the Commission? </w:t>
      </w:r>
    </w:p>
    <w:p w:rsidRPr="00EE2542" w:rsidR="00120539" w:rsidP="00EC0CEC" w:rsidRDefault="00120539" w14:paraId="60F3B604" w14:textId="77777777">
      <w:pPr>
        <w:pStyle w:val="Standard"/>
        <w:numPr>
          <w:ilvl w:val="1"/>
          <w:numId w:val="18"/>
        </w:numPr>
        <w:spacing w:after="120" w:line="240" w:lineRule="auto"/>
        <w:ind w:right="1440"/>
      </w:pPr>
      <w:r w:rsidRPr="00EE2542">
        <w:t>Is CEJA’s time spent providing comments on the WSD’s evaluation of executive compensation structures for SCE and SDG&amp;E, which were not formally ratified by the full Commission, eligible for intervenor compensation?</w:t>
      </w:r>
    </w:p>
    <w:p w:rsidRPr="00EE2542" w:rsidR="00120539" w:rsidP="00EC0CEC" w:rsidRDefault="00120539" w14:paraId="47ED228C" w14:textId="009A903F">
      <w:pPr>
        <w:pStyle w:val="Standard"/>
        <w:numPr>
          <w:ilvl w:val="1"/>
          <w:numId w:val="18"/>
        </w:numPr>
        <w:spacing w:after="120" w:line="240" w:lineRule="auto"/>
        <w:ind w:right="1440"/>
      </w:pPr>
      <w:r w:rsidRPr="00EE2542">
        <w:t>Are CEJA’s claimed costs and expenses reasonable and comparable to market rates paid to experts and advocates having comparable training and experience and offering similar services?</w:t>
      </w:r>
    </w:p>
    <w:bookmarkEnd w:id="8"/>
    <w:bookmarkEnd w:id="9"/>
    <w:p w:rsidR="005939A5" w:rsidP="005E4301" w:rsidRDefault="00EE2542" w14:paraId="3FD518A4" w14:textId="701F9EF3">
      <w:pPr>
        <w:pStyle w:val="Heading1"/>
        <w:numPr>
          <w:ilvl w:val="0"/>
          <w:numId w:val="17"/>
        </w:numPr>
      </w:pPr>
      <w:r>
        <w:t xml:space="preserve">Eligibility for ICOMP </w:t>
      </w:r>
      <w:r w:rsidR="00757CDA">
        <w:t>R</w:t>
      </w:r>
      <w:r>
        <w:t xml:space="preserve">elated to Resolutions </w:t>
      </w:r>
      <w:r w:rsidR="00757CDA">
        <w:br/>
      </w:r>
      <w:r>
        <w:t xml:space="preserve">and </w:t>
      </w:r>
      <w:r w:rsidR="00757CDA">
        <w:t>O</w:t>
      </w:r>
      <w:r>
        <w:t xml:space="preserve">ther WSD </w:t>
      </w:r>
      <w:r w:rsidR="00757CDA">
        <w:t>A</w:t>
      </w:r>
      <w:r>
        <w:t>ctions</w:t>
      </w:r>
    </w:p>
    <w:p w:rsidRPr="009663C9" w:rsidR="00E020DA" w:rsidP="009663C9" w:rsidRDefault="00E020DA" w14:paraId="4344BACC" w14:textId="4D49A4AC">
      <w:pPr>
        <w:pStyle w:val="Heading2"/>
      </w:pPr>
      <w:r w:rsidRPr="009663C9">
        <w:t xml:space="preserve">Notice of Intent and Claim </w:t>
      </w:r>
      <w:r w:rsidRPr="009663C9" w:rsidR="00925B7C">
        <w:br/>
      </w:r>
      <w:r w:rsidRPr="009663C9">
        <w:t xml:space="preserve">of Significant </w:t>
      </w:r>
      <w:proofErr w:type="gramStart"/>
      <w:r w:rsidRPr="009663C9">
        <w:t>Hardship</w:t>
      </w:r>
      <w:proofErr w:type="gramEnd"/>
    </w:p>
    <w:p w:rsidR="0073353F" w:rsidP="00E020DA" w:rsidRDefault="00EE2542" w14:paraId="6D1F22DE" w14:textId="701BD9F1">
      <w:pPr>
        <w:pStyle w:val="Standard"/>
      </w:pPr>
      <w:r>
        <w:t xml:space="preserve">As part of A.20-07-023, CEJA filed a notice of intent to claim ICOMP, and documentation to </w:t>
      </w:r>
      <w:r w:rsidR="00A92F88">
        <w:t>support</w:t>
      </w:r>
      <w:r>
        <w:t xml:space="preserve"> its claim as a Category 3 customer, an organized group that represents the interest of residential investor-owned utility </w:t>
      </w:r>
      <w:r>
        <w:lastRenderedPageBreak/>
        <w:t>customers.</w:t>
      </w:r>
      <w:r>
        <w:rPr>
          <w:rStyle w:val="FootnoteReference"/>
        </w:rPr>
        <w:footnoteReference w:id="4"/>
      </w:r>
      <w:r>
        <w:t xml:space="preserve"> CEJA further claims that each of its core and partner members could also qualify as Category 3 customers as defined in Section 1802(b). </w:t>
      </w:r>
      <w:r w:rsidR="004A66FC">
        <w:t xml:space="preserve">CEJA also provides documentation claiming significant financial hardship related to its contribution to the specified WSD resolutions, referencing a finding made in </w:t>
      </w:r>
      <w:r w:rsidR="00E14C87">
        <w:t>Rulemaking (</w:t>
      </w:r>
      <w:r w:rsidR="004A66FC">
        <w:t>R.</w:t>
      </w:r>
      <w:r w:rsidR="00E14C87">
        <w:t xml:space="preserve">) </w:t>
      </w:r>
      <w:r w:rsidR="004A66FC">
        <w:t>19-11-009.</w:t>
      </w:r>
      <w:r w:rsidR="004A66FC">
        <w:rPr>
          <w:rStyle w:val="FootnoteReference"/>
        </w:rPr>
        <w:footnoteReference w:id="5"/>
      </w:r>
      <w:r w:rsidR="007F74AC">
        <w:t xml:space="preserve"> </w:t>
      </w:r>
      <w:r w:rsidR="00E14C87">
        <w:t xml:space="preserve"> </w:t>
      </w:r>
      <w:r w:rsidR="007F74AC">
        <w:t>Although CEJA claims that it and its members do not have any economic interest in this proceeding,</w:t>
      </w:r>
      <w:r w:rsidR="007F74AC">
        <w:rPr>
          <w:rStyle w:val="FootnoteReference"/>
        </w:rPr>
        <w:footnoteReference w:id="6"/>
      </w:r>
      <w:r w:rsidR="007F74AC">
        <w:t xml:space="preserve"> because this proceeding is solely focused on a claim for ICOMP related to its prior alleged contributions to Commission decisions, we believe it and its members are economically invested in the current proceeding, A.20-07-023.</w:t>
      </w:r>
    </w:p>
    <w:p w:rsidR="00E020DA" w:rsidP="00EE2542" w:rsidRDefault="00EE2542" w14:paraId="039C8A9C" w14:textId="59398208">
      <w:pPr>
        <w:pStyle w:val="Standard"/>
      </w:pPr>
      <w:r>
        <w:t xml:space="preserve">Because the WSD resolutions CEJA is seeking compensation for contributing to were not separate formal proceedings, no </w:t>
      </w:r>
      <w:r w:rsidR="00E14C87">
        <w:t>PHC</w:t>
      </w:r>
      <w:r>
        <w:t xml:space="preserve"> was held and there was no deadline for filing a notice of intent to seek ICOMP. </w:t>
      </w:r>
      <w:r w:rsidR="00E14C87">
        <w:t xml:space="preserve"> </w:t>
      </w:r>
      <w:r>
        <w:t xml:space="preserve">Therefore, we find that CEJA’s notice of intent </w:t>
      </w:r>
      <w:r w:rsidR="00E020DA">
        <w:t xml:space="preserve">and claim of significant financial hardship, which were </w:t>
      </w:r>
      <w:r>
        <w:t>filed jointly with its ICOMP claim in A.20-07-023</w:t>
      </w:r>
      <w:r w:rsidR="00E020DA">
        <w:t>,</w:t>
      </w:r>
      <w:r>
        <w:t xml:space="preserve"> </w:t>
      </w:r>
      <w:bookmarkStart w:name="_Toc12866690" w:id="10"/>
      <w:r>
        <w:t>meet</w:t>
      </w:r>
      <w:r w:rsidR="00E020DA">
        <w:t xml:space="preserve"> </w:t>
      </w:r>
      <w:r>
        <w:t xml:space="preserve">the requirements </w:t>
      </w:r>
      <w:r w:rsidR="00A92F88">
        <w:t xml:space="preserve">for ICOMP </w:t>
      </w:r>
      <w:r w:rsidR="00E020DA">
        <w:t>established in Sections 1801-1812</w:t>
      </w:r>
      <w:r>
        <w:t xml:space="preserve">. </w:t>
      </w:r>
    </w:p>
    <w:p w:rsidR="007F74AC" w:rsidP="00EE2542" w:rsidRDefault="007F74AC" w14:paraId="4C2E4094" w14:textId="484B8760">
      <w:pPr>
        <w:pStyle w:val="Standard"/>
      </w:pPr>
      <w:r>
        <w:t xml:space="preserve">As stated </w:t>
      </w:r>
      <w:r w:rsidR="00BB3494">
        <w:t xml:space="preserve">in the </w:t>
      </w:r>
      <w:r>
        <w:t xml:space="preserve">scoping memo, we </w:t>
      </w:r>
      <w:r w:rsidR="00A92F88">
        <w:t>will not accept</w:t>
      </w:r>
      <w:r>
        <w:t xml:space="preserve"> requests for ICOMP related to the instant proceeding.</w:t>
      </w:r>
      <w:r w:rsidR="008B6244">
        <w:rPr>
          <w:rStyle w:val="FootnoteReference"/>
        </w:rPr>
        <w:footnoteReference w:id="7"/>
      </w:r>
      <w:r>
        <w:t xml:space="preserve"> </w:t>
      </w:r>
    </w:p>
    <w:p w:rsidRPr="00D049E8" w:rsidR="00E020DA" w:rsidP="00D049E8" w:rsidRDefault="00E020DA" w14:paraId="52F35FA2" w14:textId="0E3E495F">
      <w:pPr>
        <w:pStyle w:val="Heading2"/>
      </w:pPr>
      <w:r w:rsidRPr="00D049E8">
        <w:t xml:space="preserve">CEJA contribution to Resolutions WSD-002, </w:t>
      </w:r>
      <w:r w:rsidRPr="00D049E8" w:rsidR="00E14C87">
        <w:br/>
      </w:r>
      <w:r w:rsidRPr="00D049E8">
        <w:t>WSD-003, WSD-004, and WSD-005</w:t>
      </w:r>
    </w:p>
    <w:p w:rsidR="00BB3494" w:rsidP="00BB3494" w:rsidRDefault="00BB3494" w14:paraId="0845B379" w14:textId="070BCA74">
      <w:pPr>
        <w:pStyle w:val="Standard"/>
      </w:pPr>
      <w:r>
        <w:t>CEJA states that its comments on the draft resolutions issued by WSD led to modifications that improved the final language adopted by the Commission. Specifically, CEJA implies that its comments led WSD to:</w:t>
      </w:r>
    </w:p>
    <w:p w:rsidR="00BB3494" w:rsidP="009316CD" w:rsidRDefault="00BB3494" w14:paraId="6A62742B" w14:textId="4E77E20D">
      <w:pPr>
        <w:pStyle w:val="Standard"/>
        <w:numPr>
          <w:ilvl w:val="3"/>
          <w:numId w:val="17"/>
        </w:numPr>
        <w:spacing w:after="120" w:line="240" w:lineRule="auto"/>
        <w:ind w:right="1440"/>
      </w:pPr>
      <w:r>
        <w:lastRenderedPageBreak/>
        <w:t>Limit its review of the utilities’ WMPs to only evaluate whether the proposals meet current requirements, rather than authorizing any costs associated with the proposed mitigation efforts.</w:t>
      </w:r>
    </w:p>
    <w:p w:rsidR="00BB3494" w:rsidP="009316CD" w:rsidRDefault="00BB3494" w14:paraId="6827FD7D" w14:textId="15F76A33">
      <w:pPr>
        <w:pStyle w:val="Standard"/>
        <w:numPr>
          <w:ilvl w:val="3"/>
          <w:numId w:val="17"/>
        </w:numPr>
        <w:spacing w:after="120" w:line="240" w:lineRule="auto"/>
        <w:ind w:right="1440"/>
      </w:pPr>
      <w:r>
        <w:t>Require the utilities to identify more strategic plans to prioritize grid hardening activities.</w:t>
      </w:r>
    </w:p>
    <w:p w:rsidR="00BB3494" w:rsidP="009316CD" w:rsidRDefault="00BB3494" w14:paraId="4FB1EA30" w14:textId="2F8F8E67">
      <w:pPr>
        <w:pStyle w:val="Standard"/>
        <w:numPr>
          <w:ilvl w:val="3"/>
          <w:numId w:val="17"/>
        </w:numPr>
        <w:spacing w:after="120" w:line="240" w:lineRule="auto"/>
        <w:ind w:right="1440"/>
      </w:pPr>
      <w:r>
        <w:t>Require the utilities to conduct additional analyses to determine the effectiveness of their routine wildfire maintenance inspections.</w:t>
      </w:r>
    </w:p>
    <w:p w:rsidR="007F74AC" w:rsidP="009316CD" w:rsidRDefault="00BB3494" w14:paraId="261DFBD3" w14:textId="69228C01">
      <w:pPr>
        <w:pStyle w:val="Standard"/>
        <w:numPr>
          <w:ilvl w:val="3"/>
          <w:numId w:val="17"/>
        </w:numPr>
        <w:spacing w:after="120" w:line="240" w:lineRule="auto"/>
        <w:ind w:right="1440"/>
      </w:pPr>
      <w:r>
        <w:t xml:space="preserve">Require the utilities to better coordinate with local communities when developing best practices for public safety power shutoff events (PSPS). </w:t>
      </w:r>
    </w:p>
    <w:p w:rsidR="00E020DA" w:rsidP="00AA41E0" w:rsidRDefault="00AA41E0" w14:paraId="48F40C57" w14:textId="74A18D01">
      <w:pPr>
        <w:pStyle w:val="Standard"/>
        <w:ind w:firstLine="0"/>
      </w:pPr>
      <w:r>
        <w:t>We find that CEJA did significantly contribute to the final resolutions, but modify the time claimed and amount awarded based on Table</w:t>
      </w:r>
      <w:r w:rsidR="000C643A">
        <w:t>s</w:t>
      </w:r>
      <w:r>
        <w:t xml:space="preserve"> 1</w:t>
      </w:r>
      <w:r w:rsidR="000C643A">
        <w:t xml:space="preserve"> and 2</w:t>
      </w:r>
      <w:r>
        <w:t xml:space="preserve"> below.</w:t>
      </w:r>
    </w:p>
    <w:p w:rsidR="00E020DA" w:rsidP="009663C9" w:rsidRDefault="00E020DA" w14:paraId="32B99536" w14:textId="236BBE62">
      <w:pPr>
        <w:pStyle w:val="Heading2"/>
      </w:pPr>
      <w:r>
        <w:t xml:space="preserve">CEJA </w:t>
      </w:r>
      <w:r w:rsidR="00061092">
        <w:t xml:space="preserve">Contribution to </w:t>
      </w:r>
      <w:r>
        <w:t xml:space="preserve">WSD </w:t>
      </w:r>
      <w:r w:rsidR="00061092">
        <w:t>Letter Evaluating</w:t>
      </w:r>
      <w:r w:rsidR="00061092">
        <w:br/>
      </w:r>
      <w:r>
        <w:t xml:space="preserve">SCE’s </w:t>
      </w:r>
      <w:r w:rsidR="00061092">
        <w:t>Request for a Safety Certification</w:t>
      </w:r>
    </w:p>
    <w:p w:rsidR="00165209" w:rsidP="00165209" w:rsidRDefault="00165209" w14:paraId="342AEA7C" w14:textId="49765BB0">
      <w:pPr>
        <w:pStyle w:val="Standard"/>
      </w:pPr>
      <w:r>
        <w:t>Additionally, CEJA claims that its comments on SCE and SDG&amp;E’s executive compensation structure proposals substantially contributed to the final letters issued by WSD director Caroline Thomas</w:t>
      </w:r>
      <w:r w:rsidR="00DE473E">
        <w:t xml:space="preserve"> Jacobs</w:t>
      </w:r>
      <w:r>
        <w:t xml:space="preserve"> on June 30, 2020.</w:t>
      </w:r>
      <w:r w:rsidR="00003672">
        <w:rPr>
          <w:rStyle w:val="FootnoteReference"/>
        </w:rPr>
        <w:footnoteReference w:id="8"/>
      </w:r>
      <w:r>
        <w:t xml:space="preserve"> </w:t>
      </w:r>
      <w:r w:rsidR="00061092">
        <w:t xml:space="preserve"> </w:t>
      </w:r>
      <w:r>
        <w:t>CEJA states that “although there has not been an official Commission action, CEJA believes that work related to the executive compensation structures should be compensated because WSD is reviewing the compensation structures pursuant to the Public Utilities Code.”</w:t>
      </w:r>
      <w:r>
        <w:rPr>
          <w:rStyle w:val="FootnoteReference"/>
        </w:rPr>
        <w:footnoteReference w:id="9"/>
      </w:r>
    </w:p>
    <w:p w:rsidR="00AA41E0" w:rsidP="00165209" w:rsidRDefault="00AA41E0" w14:paraId="2B76020E" w14:textId="51C60A5B">
      <w:pPr>
        <w:pStyle w:val="Standard"/>
      </w:pPr>
      <w:r>
        <w:t>We find that the time CEJA spen</w:t>
      </w:r>
      <w:r w:rsidR="009B27EE">
        <w:t xml:space="preserve">t </w:t>
      </w:r>
      <w:r>
        <w:t xml:space="preserve">providing comment on the safety certification is not eligible for ICOMP based on </w:t>
      </w:r>
      <w:r w:rsidR="00B21326">
        <w:t>Sections 1801-1812</w:t>
      </w:r>
      <w:r w:rsidR="009B27EE">
        <w:t xml:space="preserve">, and </w:t>
      </w:r>
      <w:r w:rsidR="009B27EE">
        <w:lastRenderedPageBreak/>
        <w:t>specifically Section 1802(g)</w:t>
      </w:r>
      <w:r w:rsidR="00B21326">
        <w:t xml:space="preserve">. </w:t>
      </w:r>
      <w:r w:rsidR="00061092">
        <w:t xml:space="preserve"> </w:t>
      </w:r>
      <w:r w:rsidRPr="00AD77D9" w:rsidR="00CE5084">
        <w:rPr>
          <w:rStyle w:val="normaltextrun"/>
        </w:rPr>
        <w:t>Specifically, it has not shown that its work</w:t>
      </w:r>
      <w:r w:rsidRPr="00AD77D9" w:rsidR="003E7838">
        <w:rPr>
          <w:rStyle w:val="normaltextrun"/>
        </w:rPr>
        <w:t xml:space="preserve"> related to the executive compensation structures</w:t>
      </w:r>
      <w:r w:rsidRPr="00AD77D9" w:rsidR="00CE5084">
        <w:rPr>
          <w:rStyle w:val="normaltextrun"/>
        </w:rPr>
        <w:t xml:space="preserve"> constitutes a “substantial contribution” within the meaning of </w:t>
      </w:r>
      <w:r w:rsidR="00061092">
        <w:rPr>
          <w:rStyle w:val="normaltextrun"/>
        </w:rPr>
        <w:t xml:space="preserve">Section </w:t>
      </w:r>
      <w:r w:rsidRPr="00AD77D9" w:rsidR="00CE5084">
        <w:rPr>
          <w:rStyle w:val="normaltextrun"/>
        </w:rPr>
        <w:t xml:space="preserve">1802(j) or that it contributed to a proceeding within the meaning of </w:t>
      </w:r>
      <w:r w:rsidR="00061092">
        <w:rPr>
          <w:rStyle w:val="normaltextrun"/>
        </w:rPr>
        <w:t xml:space="preserve">Section </w:t>
      </w:r>
      <w:r w:rsidRPr="00AD77D9" w:rsidR="00CE5084">
        <w:rPr>
          <w:rStyle w:val="normaltextrun"/>
        </w:rPr>
        <w:t>1802(g).</w:t>
      </w:r>
      <w:r w:rsidR="00061092">
        <w:rPr>
          <w:rStyle w:val="normaltextrun"/>
        </w:rPr>
        <w:t xml:space="preserve"> </w:t>
      </w:r>
      <w:r w:rsidRPr="00AD77D9" w:rsidR="00CE5084">
        <w:rPr>
          <w:rStyle w:val="normaltextrun"/>
        </w:rPr>
        <w:t xml:space="preserve"> </w:t>
      </w:r>
      <w:r w:rsidR="00B21326">
        <w:t>The safety certifications</w:t>
      </w:r>
      <w:r w:rsidR="00F51B00">
        <w:t>, which include the executive compensation structures CEJA claims to have contributed to,</w:t>
      </w:r>
      <w:r w:rsidR="00B21326">
        <w:t xml:space="preserve"> </w:t>
      </w:r>
      <w:r w:rsidR="00CE5084">
        <w:t>were approved by</w:t>
      </w:r>
      <w:r w:rsidR="002327D4">
        <w:t xml:space="preserve"> WSD division </w:t>
      </w:r>
      <w:r w:rsidR="00CE5084">
        <w:t>staff but were not related to any orders or decision that were considered by or approved by the</w:t>
      </w:r>
      <w:r w:rsidR="00B21326">
        <w:t xml:space="preserve"> </w:t>
      </w:r>
      <w:r w:rsidR="011C136A">
        <w:t>full</w:t>
      </w:r>
      <w:r w:rsidR="00F26E91">
        <w:t xml:space="preserve"> </w:t>
      </w:r>
      <w:r w:rsidR="00B21326">
        <w:t>Commission</w:t>
      </w:r>
      <w:r w:rsidR="00CE5084">
        <w:t>.</w:t>
      </w:r>
      <w:r w:rsidR="00B21326">
        <w:t xml:space="preserve"> </w:t>
      </w:r>
      <w:r w:rsidR="00061092">
        <w:t xml:space="preserve"> </w:t>
      </w:r>
      <w:r w:rsidR="003E790C">
        <w:t xml:space="preserve">While CEJA’s contributions may have aided the WSD staff-led process to review SCE and SDG&amp;E’s initial </w:t>
      </w:r>
      <w:r w:rsidR="001A44E7">
        <w:t xml:space="preserve">executive compensation structure </w:t>
      </w:r>
      <w:r w:rsidR="003E790C">
        <w:t xml:space="preserve">filings, we must reject CEJA’s request for compensation related to WSD’s staff process, because the letters </w:t>
      </w:r>
      <w:r w:rsidR="00D46542">
        <w:t xml:space="preserve">were </w:t>
      </w:r>
      <w:r w:rsidR="003E790C">
        <w:t xml:space="preserve">issued by WSD, </w:t>
      </w:r>
      <w:r w:rsidR="00D46542">
        <w:t xml:space="preserve">without </w:t>
      </w:r>
      <w:r w:rsidR="00F26E91">
        <w:t xml:space="preserve">any </w:t>
      </w:r>
      <w:r w:rsidR="49A106C8">
        <w:t>order</w:t>
      </w:r>
      <w:r w:rsidR="00F26E91">
        <w:t>(s)</w:t>
      </w:r>
      <w:r w:rsidR="49A106C8">
        <w:t xml:space="preserve"> or decision(s) adopted</w:t>
      </w:r>
      <w:r w:rsidR="003E790C">
        <w:t xml:space="preserve"> by the full Commissio</w:t>
      </w:r>
      <w:r w:rsidR="00F26E91">
        <w:t>n</w:t>
      </w:r>
      <w:r w:rsidR="00AD77D9">
        <w:t>.</w:t>
      </w:r>
      <w:r w:rsidR="003E790C">
        <w:rPr>
          <w:rStyle w:val="FootnoteReference"/>
        </w:rPr>
        <w:footnoteReference w:id="10"/>
      </w:r>
    </w:p>
    <w:p w:rsidRPr="00E020DA" w:rsidR="00E020DA" w:rsidP="009663C9" w:rsidRDefault="00E020DA" w14:paraId="076E108E" w14:textId="53440304">
      <w:pPr>
        <w:pStyle w:val="Heading2"/>
      </w:pPr>
      <w:r>
        <w:t>Reasonab</w:t>
      </w:r>
      <w:r w:rsidR="00E558B5">
        <w:t>leness</w:t>
      </w:r>
      <w:r>
        <w:t xml:space="preserve"> </w:t>
      </w:r>
      <w:r w:rsidR="00061092">
        <w:t xml:space="preserve">of </w:t>
      </w:r>
      <w:r>
        <w:t xml:space="preserve">CEJA’s </w:t>
      </w:r>
      <w:r w:rsidR="00061092">
        <w:t xml:space="preserve">Claimed </w:t>
      </w:r>
      <w:r w:rsidR="00061092">
        <w:br/>
        <w:t>Costs Relative to Market Rates</w:t>
      </w:r>
    </w:p>
    <w:bookmarkEnd w:id="10"/>
    <w:p w:rsidR="00EA36C6" w:rsidP="00EE2542" w:rsidRDefault="000C643A" w14:paraId="5E898FF0" w14:textId="227084DE">
      <w:pPr>
        <w:pStyle w:val="Standard"/>
      </w:pPr>
      <w:r>
        <w:t xml:space="preserve">We find that the rates sought for CEJA’s two attorneys and one expert align with the market rates appropriate for intervenors. </w:t>
      </w:r>
      <w:r w:rsidR="00061092">
        <w:t xml:space="preserve"> </w:t>
      </w:r>
      <w:r>
        <w:t>As described in Tables 1 and 2 below, we increase the proposed 2020 rates based on the COLA approved in Resolution ALJ-387.</w:t>
      </w:r>
    </w:p>
    <w:p w:rsidR="000C643A" w:rsidP="006309D0" w:rsidRDefault="000C643A" w14:paraId="2C1D9D7B" w14:textId="51A5F5F0">
      <w:pPr>
        <w:pStyle w:val="Heading2"/>
      </w:pPr>
      <w:r>
        <w:lastRenderedPageBreak/>
        <w:t xml:space="preserve">Table 1: </w:t>
      </w:r>
      <w:r w:rsidR="00061092">
        <w:t xml:space="preserve"> </w:t>
      </w:r>
      <w:r>
        <w:t xml:space="preserve">Claimed vs. Awarded ICOMP </w:t>
      </w:r>
    </w:p>
    <w:tbl>
      <w:tblPr>
        <w:tblW w:w="10516" w:type="dxa"/>
        <w:tblInd w:w="-36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440"/>
        <w:gridCol w:w="810"/>
        <w:gridCol w:w="990"/>
        <w:gridCol w:w="810"/>
        <w:gridCol w:w="1620"/>
        <w:gridCol w:w="1279"/>
        <w:gridCol w:w="920"/>
        <w:gridCol w:w="1095"/>
        <w:gridCol w:w="1552"/>
      </w:tblGrid>
      <w:tr w:rsidRPr="004E4F71" w:rsidR="000C643A" w:rsidTr="000C643A" w14:paraId="01A4ABA6" w14:textId="77777777">
        <w:trPr>
          <w:trHeight w:val="390"/>
        </w:trPr>
        <w:tc>
          <w:tcPr>
            <w:tcW w:w="6949" w:type="dxa"/>
            <w:gridSpan w:val="6"/>
            <w:tcBorders>
              <w:top w:val="single" w:color="000000" w:sz="6" w:space="0"/>
              <w:left w:val="single" w:color="000000" w:sz="6" w:space="0"/>
              <w:bottom w:val="single" w:color="000000" w:sz="6" w:space="0"/>
              <w:right w:val="single" w:color="000000" w:sz="24" w:space="0"/>
            </w:tcBorders>
            <w:shd w:val="clear" w:color="auto" w:fill="auto"/>
            <w:hideMark/>
          </w:tcPr>
          <w:p w:rsidRPr="004E4F71" w:rsidR="000C643A" w:rsidP="006309D0" w:rsidRDefault="000C643A" w14:paraId="072F4D08" w14:textId="77777777">
            <w:pPr>
              <w:keepNext/>
              <w:keepLines/>
              <w:spacing w:line="240" w:lineRule="auto"/>
              <w:ind w:left="2880" w:right="2835" w:firstLine="0"/>
              <w:jc w:val="center"/>
              <w:textAlignment w:val="baseline"/>
              <w:rPr>
                <w:rFonts w:ascii="Segoe UI" w:hAnsi="Segoe UI" w:eastAsia="Times New Roman" w:cs="Segoe UI"/>
                <w:sz w:val="18"/>
                <w:szCs w:val="18"/>
              </w:rPr>
            </w:pPr>
            <w:r w:rsidRPr="001E241D">
              <w:rPr>
                <w:rFonts w:ascii="Times New Roman" w:hAnsi="Times New Roman" w:eastAsia="Times New Roman" w:cs="Times New Roman"/>
                <w:b/>
                <w:bCs/>
                <w:sz w:val="24"/>
                <w:szCs w:val="24"/>
              </w:rPr>
              <w:t>C</w:t>
            </w:r>
            <w:r w:rsidRPr="004E4F71">
              <w:rPr>
                <w:rFonts w:ascii="Times New Roman" w:hAnsi="Times New Roman" w:eastAsia="Times New Roman" w:cs="Times New Roman"/>
                <w:b/>
                <w:bCs/>
                <w:sz w:val="24"/>
                <w:szCs w:val="24"/>
              </w:rPr>
              <w:t>LAIMED</w:t>
            </w:r>
          </w:p>
        </w:tc>
        <w:tc>
          <w:tcPr>
            <w:tcW w:w="3567" w:type="dxa"/>
            <w:gridSpan w:val="3"/>
            <w:tcBorders>
              <w:top w:val="single" w:color="000000" w:sz="6" w:space="0"/>
              <w:left w:val="single" w:color="000000" w:sz="24" w:space="0"/>
              <w:bottom w:val="single" w:color="000000" w:sz="6" w:space="0"/>
              <w:right w:val="single" w:color="000000" w:sz="6" w:space="0"/>
            </w:tcBorders>
            <w:shd w:val="clear" w:color="auto" w:fill="auto"/>
            <w:hideMark/>
          </w:tcPr>
          <w:p w:rsidRPr="004E4F71" w:rsidR="000C643A" w:rsidP="006309D0" w:rsidRDefault="000C643A" w14:paraId="3CAADB1D" w14:textId="77777777">
            <w:pPr>
              <w:keepNext/>
              <w:keepLines/>
              <w:spacing w:line="240" w:lineRule="auto"/>
              <w:ind w:left="1095"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4"/>
                <w:szCs w:val="24"/>
              </w:rPr>
              <w:t>CPUC A</w:t>
            </w:r>
            <w:r w:rsidRPr="004E4F71">
              <w:rPr>
                <w:rFonts w:ascii="Times New Roman" w:hAnsi="Times New Roman" w:eastAsia="Times New Roman" w:cs="Times New Roman"/>
                <w:b/>
                <w:bCs/>
                <w:sz w:val="19"/>
                <w:szCs w:val="19"/>
              </w:rPr>
              <w:t>WARD</w:t>
            </w:r>
            <w:r w:rsidRPr="004E4F71">
              <w:rPr>
                <w:rFonts w:ascii="Times New Roman" w:hAnsi="Times New Roman" w:eastAsia="Times New Roman" w:cs="Times New Roman"/>
                <w:sz w:val="19"/>
                <w:szCs w:val="19"/>
              </w:rPr>
              <w:t> </w:t>
            </w:r>
          </w:p>
        </w:tc>
      </w:tr>
      <w:tr w:rsidRPr="004E4F71" w:rsidR="000C643A" w:rsidTr="000C643A" w14:paraId="7DD04CF4" w14:textId="77777777">
        <w:trPr>
          <w:trHeight w:val="390"/>
        </w:trPr>
        <w:tc>
          <w:tcPr>
            <w:tcW w:w="10516" w:type="dxa"/>
            <w:gridSpan w:val="9"/>
            <w:tcBorders>
              <w:top w:val="nil"/>
              <w:left w:val="single" w:color="000000" w:sz="6" w:space="0"/>
              <w:bottom w:val="single" w:color="000000" w:sz="6" w:space="0"/>
              <w:right w:val="single" w:color="000000" w:sz="6" w:space="0"/>
            </w:tcBorders>
            <w:shd w:val="clear" w:color="auto" w:fill="E6E6E6"/>
            <w:hideMark/>
          </w:tcPr>
          <w:p w:rsidRPr="004E4F71" w:rsidR="000C643A" w:rsidP="006309D0" w:rsidRDefault="000C643A" w14:paraId="2559B70E" w14:textId="77777777">
            <w:pPr>
              <w:keepNext/>
              <w:keepLines/>
              <w:spacing w:line="240" w:lineRule="auto"/>
              <w:ind w:left="600" w:right="60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4"/>
                <w:szCs w:val="24"/>
              </w:rPr>
              <w:t>ATTORNEY, EXPERT, AND ADVOCATE FEES</w:t>
            </w:r>
            <w:r w:rsidRPr="004E4F71">
              <w:rPr>
                <w:rFonts w:ascii="Times New Roman" w:hAnsi="Times New Roman" w:eastAsia="Times New Roman" w:cs="Times New Roman"/>
                <w:sz w:val="24"/>
                <w:szCs w:val="24"/>
              </w:rPr>
              <w:t> </w:t>
            </w:r>
          </w:p>
        </w:tc>
      </w:tr>
      <w:tr w:rsidRPr="004E4F71" w:rsidR="000C643A" w:rsidTr="00F56D9C" w14:paraId="5699F39D" w14:textId="77777777">
        <w:trPr>
          <w:trHeight w:val="615"/>
        </w:trPr>
        <w:tc>
          <w:tcPr>
            <w:tcW w:w="1440" w:type="dxa"/>
            <w:tcBorders>
              <w:top w:val="nil"/>
              <w:left w:val="single" w:color="000000" w:sz="6" w:space="0"/>
              <w:bottom w:val="single" w:color="000000" w:sz="6" w:space="0"/>
              <w:right w:val="single" w:color="000000" w:sz="6" w:space="0"/>
            </w:tcBorders>
            <w:shd w:val="clear" w:color="auto" w:fill="auto"/>
            <w:hideMark/>
          </w:tcPr>
          <w:p w:rsidRPr="004E4F71" w:rsidR="000C643A" w:rsidP="006309D0" w:rsidRDefault="000C643A" w14:paraId="3B25332D"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1D291141" w14:textId="77777777">
            <w:pPr>
              <w:keepNext/>
              <w:keepLines/>
              <w:spacing w:line="240" w:lineRule="auto"/>
              <w:ind w:left="450" w:right="45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Item</w:t>
            </w:r>
            <w:r w:rsidRPr="004E4F71">
              <w:rPr>
                <w:rFonts w:ascii="Times New Roman" w:hAnsi="Times New Roman" w:eastAsia="Times New Roman" w:cs="Times New Roman"/>
                <w:sz w:val="22"/>
              </w:rPr>
              <w:t> </w:t>
            </w:r>
          </w:p>
        </w:tc>
        <w:tc>
          <w:tcPr>
            <w:tcW w:w="810" w:type="dxa"/>
            <w:tcBorders>
              <w:top w:val="nil"/>
              <w:left w:val="nil"/>
              <w:bottom w:val="single" w:color="000000" w:sz="6" w:space="0"/>
              <w:right w:val="single" w:color="000000" w:sz="6" w:space="0"/>
            </w:tcBorders>
            <w:shd w:val="clear" w:color="auto" w:fill="auto"/>
            <w:hideMark/>
          </w:tcPr>
          <w:p w:rsidRPr="004E4F71" w:rsidR="000C643A" w:rsidP="006309D0" w:rsidRDefault="000C643A" w14:paraId="4B879E2A"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2CCB89E6" w14:textId="77777777">
            <w:pPr>
              <w:keepNext/>
              <w:keepLines/>
              <w:spacing w:line="240" w:lineRule="auto"/>
              <w:ind w:left="75" w:right="7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Year</w:t>
            </w:r>
            <w:r w:rsidRPr="004E4F71">
              <w:rPr>
                <w:rFonts w:ascii="Times New Roman" w:hAnsi="Times New Roman" w:eastAsia="Times New Roman" w:cs="Times New Roman"/>
                <w:sz w:val="22"/>
              </w:rPr>
              <w:t> </w:t>
            </w:r>
          </w:p>
        </w:tc>
        <w:tc>
          <w:tcPr>
            <w:tcW w:w="990" w:type="dxa"/>
            <w:tcBorders>
              <w:top w:val="nil"/>
              <w:left w:val="nil"/>
              <w:bottom w:val="single" w:color="000000" w:sz="6" w:space="0"/>
              <w:right w:val="single" w:color="000000" w:sz="6" w:space="0"/>
            </w:tcBorders>
            <w:shd w:val="clear" w:color="auto" w:fill="auto"/>
            <w:hideMark/>
          </w:tcPr>
          <w:p w:rsidRPr="004E4F71" w:rsidR="000C643A" w:rsidP="006309D0" w:rsidRDefault="000C643A" w14:paraId="177611D3"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27969A41" w14:textId="77777777">
            <w:pPr>
              <w:keepNext/>
              <w:keepLines/>
              <w:spacing w:line="240" w:lineRule="auto"/>
              <w:ind w:left="180"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Hours</w:t>
            </w:r>
            <w:r w:rsidRPr="004E4F71">
              <w:rPr>
                <w:rFonts w:ascii="Times New Roman" w:hAnsi="Times New Roman" w:eastAsia="Times New Roman" w:cs="Times New Roman"/>
                <w:sz w:val="22"/>
              </w:rPr>
              <w:t> </w:t>
            </w:r>
          </w:p>
        </w:tc>
        <w:tc>
          <w:tcPr>
            <w:tcW w:w="810" w:type="dxa"/>
            <w:tcBorders>
              <w:top w:val="nil"/>
              <w:left w:val="nil"/>
              <w:bottom w:val="single" w:color="000000" w:sz="6" w:space="0"/>
              <w:right w:val="single" w:color="000000" w:sz="6" w:space="0"/>
            </w:tcBorders>
            <w:shd w:val="clear" w:color="auto" w:fill="auto"/>
            <w:hideMark/>
          </w:tcPr>
          <w:p w:rsidR="000C643A" w:rsidP="006309D0" w:rsidRDefault="000C643A" w14:paraId="285F0DBA" w14:textId="77777777">
            <w:pPr>
              <w:keepNext/>
              <w:keepLines/>
              <w:spacing w:line="240" w:lineRule="auto"/>
              <w:ind w:left="135" w:right="120" w:firstLine="0"/>
              <w:jc w:val="center"/>
              <w:textAlignment w:val="baseline"/>
              <w:rPr>
                <w:rFonts w:ascii="Times New Roman" w:hAnsi="Times New Roman" w:eastAsia="Times New Roman" w:cs="Times New Roman"/>
                <w:b/>
                <w:bCs/>
                <w:sz w:val="22"/>
              </w:rPr>
            </w:pPr>
          </w:p>
          <w:p w:rsidRPr="004E4F71" w:rsidR="000C643A" w:rsidP="006309D0" w:rsidRDefault="000C643A" w14:paraId="750A7733" w14:textId="7135648B">
            <w:pPr>
              <w:keepNext/>
              <w:keepLines/>
              <w:spacing w:line="240" w:lineRule="auto"/>
              <w:ind w:left="135" w:right="12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Rate</w:t>
            </w:r>
          </w:p>
        </w:tc>
        <w:tc>
          <w:tcPr>
            <w:tcW w:w="1620" w:type="dxa"/>
            <w:tcBorders>
              <w:top w:val="nil"/>
              <w:left w:val="nil"/>
              <w:bottom w:val="single" w:color="000000" w:sz="6" w:space="0"/>
              <w:right w:val="single" w:color="000000" w:sz="6" w:space="0"/>
            </w:tcBorders>
            <w:shd w:val="clear" w:color="auto" w:fill="auto"/>
            <w:hideMark/>
          </w:tcPr>
          <w:p w:rsidRPr="004E4F71" w:rsidR="000C643A" w:rsidP="006309D0" w:rsidRDefault="000C643A" w14:paraId="2D8BE8A6" w14:textId="48620133">
            <w:pPr>
              <w:keepNext/>
              <w:keepLines/>
              <w:spacing w:line="240" w:lineRule="auto"/>
              <w:ind w:left="405" w:right="240" w:hanging="135"/>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Basis</w:t>
            </w:r>
            <w:r>
              <w:rPr>
                <w:rFonts w:ascii="Times New Roman" w:hAnsi="Times New Roman" w:eastAsia="Times New Roman" w:cs="Times New Roman"/>
                <w:b/>
                <w:bCs/>
                <w:sz w:val="22"/>
              </w:rPr>
              <w:t xml:space="preserve"> </w:t>
            </w:r>
            <w:r w:rsidRPr="004E4F71">
              <w:rPr>
                <w:rFonts w:ascii="Times New Roman" w:hAnsi="Times New Roman" w:eastAsia="Times New Roman" w:cs="Times New Roman"/>
                <w:b/>
                <w:bCs/>
                <w:sz w:val="22"/>
              </w:rPr>
              <w:t>for Rate</w:t>
            </w:r>
          </w:p>
        </w:tc>
        <w:tc>
          <w:tcPr>
            <w:tcW w:w="1279" w:type="dxa"/>
            <w:tcBorders>
              <w:top w:val="nil"/>
              <w:left w:val="nil"/>
              <w:bottom w:val="single" w:color="000000" w:sz="6" w:space="0"/>
              <w:right w:val="single" w:color="000000" w:sz="24" w:space="0"/>
            </w:tcBorders>
            <w:shd w:val="clear" w:color="auto" w:fill="auto"/>
            <w:hideMark/>
          </w:tcPr>
          <w:p w:rsidRPr="004E4F71" w:rsidR="000C643A" w:rsidP="006309D0" w:rsidRDefault="000C643A" w14:paraId="6B68EB5D"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331A3E6E" w14:textId="0913E929">
            <w:pPr>
              <w:keepNext/>
              <w:keepLines/>
              <w:spacing w:line="240" w:lineRule="auto"/>
              <w:ind w:left="405"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 xml:space="preserve">Total </w:t>
            </w:r>
          </w:p>
        </w:tc>
        <w:tc>
          <w:tcPr>
            <w:tcW w:w="920" w:type="dxa"/>
            <w:tcBorders>
              <w:top w:val="nil"/>
              <w:left w:val="single" w:color="000000" w:sz="24" w:space="0"/>
              <w:bottom w:val="single" w:color="000000" w:sz="6" w:space="0"/>
              <w:right w:val="single" w:color="000000" w:sz="6" w:space="0"/>
            </w:tcBorders>
            <w:shd w:val="clear" w:color="auto" w:fill="auto"/>
            <w:hideMark/>
          </w:tcPr>
          <w:p w:rsidRPr="004E4F71" w:rsidR="000C643A" w:rsidP="006309D0" w:rsidRDefault="000C643A" w14:paraId="10D9CE51"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0ECCB06D" w14:textId="77777777">
            <w:pPr>
              <w:keepNext/>
              <w:keepLines/>
              <w:spacing w:line="240" w:lineRule="auto"/>
              <w:ind w:left="135"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Hours</w:t>
            </w:r>
            <w:r w:rsidRPr="004E4F71">
              <w:rPr>
                <w:rFonts w:ascii="Times New Roman" w:hAnsi="Times New Roman" w:eastAsia="Times New Roman" w:cs="Times New Roman"/>
                <w:sz w:val="22"/>
              </w:rPr>
              <w:t> </w:t>
            </w:r>
          </w:p>
        </w:tc>
        <w:tc>
          <w:tcPr>
            <w:tcW w:w="1095" w:type="dxa"/>
            <w:tcBorders>
              <w:top w:val="nil"/>
              <w:left w:val="nil"/>
              <w:bottom w:val="single" w:color="000000" w:sz="6" w:space="0"/>
              <w:right w:val="single" w:color="000000" w:sz="6" w:space="0"/>
            </w:tcBorders>
            <w:shd w:val="clear" w:color="auto" w:fill="auto"/>
            <w:hideMark/>
          </w:tcPr>
          <w:p w:rsidRPr="004E4F71" w:rsidR="000C643A" w:rsidP="006309D0" w:rsidRDefault="000C643A" w14:paraId="5D990583"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52754A1B" w14:textId="77777777">
            <w:pPr>
              <w:keepNext/>
              <w:keepLines/>
              <w:spacing w:line="240" w:lineRule="auto"/>
              <w:ind w:left="225"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Rate $</w:t>
            </w:r>
            <w:r w:rsidRPr="004E4F71">
              <w:rPr>
                <w:rFonts w:ascii="Times New Roman" w:hAnsi="Times New Roman" w:eastAsia="Times New Roman" w:cs="Times New Roman"/>
                <w:sz w:val="22"/>
              </w:rPr>
              <w:t> </w:t>
            </w:r>
          </w:p>
        </w:tc>
        <w:tc>
          <w:tcPr>
            <w:tcW w:w="1552" w:type="dxa"/>
            <w:tcBorders>
              <w:top w:val="nil"/>
              <w:left w:val="nil"/>
              <w:bottom w:val="single" w:color="000000" w:sz="6" w:space="0"/>
              <w:right w:val="single" w:color="000000" w:sz="6" w:space="0"/>
            </w:tcBorders>
            <w:shd w:val="clear" w:color="auto" w:fill="auto"/>
            <w:hideMark/>
          </w:tcPr>
          <w:p w:rsidRPr="004E4F71" w:rsidR="000C643A" w:rsidP="006309D0" w:rsidRDefault="000C643A" w14:paraId="78A8CDA4"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7"/>
                <w:szCs w:val="27"/>
              </w:rPr>
              <w:t> </w:t>
            </w:r>
          </w:p>
          <w:p w:rsidRPr="004E4F71" w:rsidR="000C643A" w:rsidP="006309D0" w:rsidRDefault="000C643A" w14:paraId="7EE5F2A1" w14:textId="77777777">
            <w:pPr>
              <w:keepNext/>
              <w:keepLines/>
              <w:spacing w:line="240" w:lineRule="auto"/>
              <w:ind w:left="540"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Total $</w:t>
            </w:r>
            <w:r w:rsidRPr="004E4F71">
              <w:rPr>
                <w:rFonts w:ascii="Times New Roman" w:hAnsi="Times New Roman" w:eastAsia="Times New Roman" w:cs="Times New Roman"/>
                <w:sz w:val="22"/>
              </w:rPr>
              <w:t> </w:t>
            </w:r>
          </w:p>
        </w:tc>
      </w:tr>
      <w:tr w:rsidRPr="004E4F71" w:rsidR="00AD6DEC" w:rsidTr="00F56D9C" w14:paraId="1B1046AE" w14:textId="77777777">
        <w:trPr>
          <w:trHeight w:val="330"/>
        </w:trPr>
        <w:tc>
          <w:tcPr>
            <w:tcW w:w="1440" w:type="dxa"/>
            <w:tcBorders>
              <w:top w:val="nil"/>
              <w:left w:val="single" w:color="000000" w:sz="6" w:space="0"/>
              <w:bottom w:val="nil"/>
              <w:right w:val="single" w:color="000000" w:sz="6" w:space="0"/>
            </w:tcBorders>
            <w:shd w:val="clear" w:color="auto" w:fill="CCFFCC"/>
            <w:hideMark/>
          </w:tcPr>
          <w:p w:rsidRPr="004E4F71" w:rsidR="000C643A" w:rsidP="006309D0" w:rsidRDefault="000C643A" w14:paraId="6B23A1E1"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Attorney – </w:t>
            </w: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51061864" w14:textId="66D8E85A">
            <w:pPr>
              <w:keepNext/>
              <w:keepLines/>
              <w:spacing w:line="240" w:lineRule="auto"/>
              <w:ind w:left="45" w:right="12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2020</w:t>
            </w:r>
          </w:p>
        </w:tc>
        <w:tc>
          <w:tcPr>
            <w:tcW w:w="990" w:type="dxa"/>
            <w:tcBorders>
              <w:top w:val="nil"/>
              <w:left w:val="nil"/>
              <w:bottom w:val="nil"/>
              <w:right w:val="single" w:color="000000" w:sz="6" w:space="0"/>
            </w:tcBorders>
            <w:shd w:val="clear" w:color="auto" w:fill="CCFFCC"/>
            <w:hideMark/>
          </w:tcPr>
          <w:p w:rsidRPr="004E4F71" w:rsidR="000C643A" w:rsidP="006309D0" w:rsidRDefault="000C643A" w14:paraId="71E2A4A5" w14:textId="2A56C1AD">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59.6</w:t>
            </w: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1ED3327F" w14:textId="5D50E2C9">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$405</w:t>
            </w:r>
          </w:p>
        </w:tc>
        <w:tc>
          <w:tcPr>
            <w:tcW w:w="1620" w:type="dxa"/>
            <w:tcBorders>
              <w:top w:val="nil"/>
              <w:left w:val="nil"/>
              <w:bottom w:val="nil"/>
              <w:right w:val="single" w:color="000000" w:sz="6" w:space="0"/>
            </w:tcBorders>
            <w:shd w:val="clear" w:color="auto" w:fill="CCFFCC"/>
            <w:hideMark/>
          </w:tcPr>
          <w:p w:rsidRPr="00171B1E" w:rsidR="000C643A" w:rsidP="006309D0" w:rsidRDefault="000C643A" w14:paraId="274502FC" w14:textId="5CA841A8">
            <w:pPr>
              <w:keepNext/>
              <w:keepLines/>
              <w:spacing w:line="240" w:lineRule="auto"/>
              <w:ind w:left="101" w:firstLine="0"/>
              <w:jc w:val="center"/>
              <w:textAlignment w:val="baseline"/>
              <w:rPr>
                <w:rFonts w:ascii="Segoe UI" w:hAnsi="Segoe UI" w:eastAsia="Times New Roman" w:cs="Segoe UI"/>
                <w:sz w:val="18"/>
                <w:szCs w:val="18"/>
              </w:rPr>
            </w:pPr>
            <w:r w:rsidRPr="007A6008">
              <w:rPr>
                <w:rFonts w:ascii="Times New Roman" w:hAnsi="Times New Roman" w:eastAsia="Times New Roman" w:cs="Times New Roman"/>
                <w:sz w:val="18"/>
                <w:szCs w:val="18"/>
              </w:rPr>
              <w:t>D.18-10</w:t>
            </w:r>
            <w:r w:rsidR="00171B1E">
              <w:rPr>
                <w:rFonts w:ascii="Times New Roman" w:hAnsi="Times New Roman" w:eastAsia="Times New Roman" w:cs="Times New Roman"/>
                <w:sz w:val="18"/>
                <w:szCs w:val="18"/>
              </w:rPr>
              <w:noBreakHyphen/>
              <w:t>051,</w:t>
            </w:r>
          </w:p>
        </w:tc>
        <w:tc>
          <w:tcPr>
            <w:tcW w:w="1279" w:type="dxa"/>
            <w:tcBorders>
              <w:top w:val="nil"/>
              <w:left w:val="nil"/>
              <w:bottom w:val="nil"/>
              <w:right w:val="single" w:color="000000" w:sz="24" w:space="0"/>
            </w:tcBorders>
            <w:shd w:val="clear" w:color="auto" w:fill="CCFFCC"/>
            <w:hideMark/>
          </w:tcPr>
          <w:p w:rsidRPr="004E4F71" w:rsidR="000C643A" w:rsidP="006309D0" w:rsidRDefault="000C643A" w14:paraId="1D905704" w14:textId="77777777">
            <w:pPr>
              <w:keepNext/>
              <w:keepLines/>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20" w:type="dxa"/>
            <w:vMerge w:val="restart"/>
            <w:tcBorders>
              <w:top w:val="nil"/>
              <w:left w:val="single" w:color="000000" w:sz="24" w:space="0"/>
              <w:bottom w:val="single" w:color="000000" w:sz="6" w:space="0"/>
              <w:right w:val="single" w:color="000000" w:sz="6" w:space="0"/>
            </w:tcBorders>
            <w:shd w:val="clear" w:color="auto" w:fill="auto"/>
            <w:hideMark/>
          </w:tcPr>
          <w:p w:rsidRPr="004E4F71" w:rsidR="000C643A" w:rsidP="006309D0" w:rsidRDefault="000C643A" w14:paraId="4566E349" w14:textId="077566D0">
            <w:pPr>
              <w:keepNext/>
              <w:keepLines/>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3</w:t>
            </w:r>
            <w:r w:rsidR="008E34FA">
              <w:rPr>
                <w:rFonts w:ascii="Times New Roman" w:hAnsi="Times New Roman" w:eastAsia="Times New Roman" w:cs="Times New Roman"/>
                <w:sz w:val="22"/>
              </w:rPr>
              <w:t>3.5</w:t>
            </w:r>
            <w:r w:rsidRPr="004E4F71">
              <w:rPr>
                <w:rFonts w:ascii="Times New Roman" w:hAnsi="Times New Roman" w:eastAsia="Times New Roman" w:cs="Times New Roman"/>
                <w:sz w:val="22"/>
              </w:rPr>
              <w:t xml:space="preserve"> [1]</w:t>
            </w:r>
          </w:p>
        </w:tc>
        <w:tc>
          <w:tcPr>
            <w:tcW w:w="1095" w:type="dxa"/>
            <w:vMerge w:val="restart"/>
            <w:tcBorders>
              <w:top w:val="nil"/>
              <w:left w:val="nil"/>
              <w:bottom w:val="single" w:color="000000" w:sz="6" w:space="0"/>
              <w:right w:val="single" w:color="000000" w:sz="6" w:space="0"/>
            </w:tcBorders>
            <w:shd w:val="clear" w:color="auto" w:fill="auto"/>
            <w:hideMark/>
          </w:tcPr>
          <w:p w:rsidRPr="004E4F71" w:rsidR="000C643A" w:rsidP="006309D0" w:rsidRDefault="000C643A" w14:paraId="172A2F27" w14:textId="496D6492">
            <w:pPr>
              <w:keepNext/>
              <w:keepLines/>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$415 [2]</w:t>
            </w:r>
          </w:p>
        </w:tc>
        <w:tc>
          <w:tcPr>
            <w:tcW w:w="1552" w:type="dxa"/>
            <w:vMerge w:val="restart"/>
            <w:tcBorders>
              <w:top w:val="nil"/>
              <w:left w:val="nil"/>
              <w:bottom w:val="single" w:color="000000" w:sz="6" w:space="0"/>
              <w:right w:val="single" w:color="000000" w:sz="6" w:space="0"/>
            </w:tcBorders>
            <w:shd w:val="clear" w:color="auto" w:fill="auto"/>
            <w:hideMark/>
          </w:tcPr>
          <w:p w:rsidRPr="004E4F71" w:rsidR="000C643A" w:rsidP="006309D0" w:rsidRDefault="000C643A" w14:paraId="485FB785" w14:textId="634E6CD7">
            <w:pPr>
              <w:keepNext/>
              <w:keepLines/>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$1</w:t>
            </w:r>
            <w:r w:rsidR="008E34FA">
              <w:rPr>
                <w:rFonts w:ascii="Times New Roman" w:hAnsi="Times New Roman" w:eastAsia="Times New Roman" w:cs="Times New Roman"/>
                <w:sz w:val="22"/>
              </w:rPr>
              <w:t>3,902</w:t>
            </w:r>
            <w:r w:rsidRPr="004E4F71">
              <w:rPr>
                <w:rFonts w:ascii="Times New Roman" w:hAnsi="Times New Roman" w:eastAsia="Times New Roman" w:cs="Times New Roman"/>
                <w:sz w:val="22"/>
              </w:rPr>
              <w:t>.50 </w:t>
            </w:r>
          </w:p>
        </w:tc>
      </w:tr>
      <w:tr w:rsidRPr="004E4F71" w:rsidR="000C643A" w:rsidTr="00F56D9C" w14:paraId="103B2589" w14:textId="77777777">
        <w:trPr>
          <w:trHeight w:val="300"/>
        </w:trPr>
        <w:tc>
          <w:tcPr>
            <w:tcW w:w="1440" w:type="dxa"/>
            <w:tcBorders>
              <w:top w:val="nil"/>
              <w:left w:val="single" w:color="000000" w:sz="6" w:space="0"/>
              <w:bottom w:val="nil"/>
              <w:right w:val="single" w:color="000000" w:sz="6" w:space="0"/>
            </w:tcBorders>
            <w:shd w:val="clear" w:color="auto" w:fill="CCFFCC"/>
            <w:hideMark/>
          </w:tcPr>
          <w:p w:rsidRPr="004E4F71" w:rsidR="000C643A" w:rsidP="006309D0" w:rsidRDefault="000C643A" w14:paraId="5A744120"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Deborah </w:t>
            </w: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38F34024" w14:textId="77734B5F">
            <w:pPr>
              <w:keepNext/>
              <w:keepLines/>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nil"/>
              <w:right w:val="single" w:color="000000" w:sz="6" w:space="0"/>
            </w:tcBorders>
            <w:shd w:val="clear" w:color="auto" w:fill="CCFFCC"/>
            <w:hideMark/>
          </w:tcPr>
          <w:p w:rsidRPr="004E4F71" w:rsidR="000C643A" w:rsidP="006309D0" w:rsidRDefault="000C643A" w14:paraId="66F084E9" w14:textId="1D1F6B9C">
            <w:pPr>
              <w:keepNext/>
              <w:keepLines/>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3427C4B3" w14:textId="59700009">
            <w:pPr>
              <w:keepNext/>
              <w:keepLines/>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nil"/>
              <w:right w:val="single" w:color="000000" w:sz="6" w:space="0"/>
            </w:tcBorders>
            <w:shd w:val="clear" w:color="auto" w:fill="CCFFCC"/>
            <w:hideMark/>
          </w:tcPr>
          <w:p w:rsidRPr="00171B1E" w:rsidR="000C643A" w:rsidP="006309D0" w:rsidRDefault="000C643A" w14:paraId="74B1C9A3" w14:textId="3DEBB840">
            <w:pPr>
              <w:keepNext/>
              <w:keepLines/>
              <w:spacing w:line="240" w:lineRule="auto"/>
              <w:ind w:left="101" w:firstLine="0"/>
              <w:jc w:val="center"/>
              <w:textAlignment w:val="baseline"/>
              <w:rPr>
                <w:rFonts w:ascii="Segoe UI" w:hAnsi="Segoe UI" w:eastAsia="Times New Roman" w:cs="Segoe UI"/>
                <w:sz w:val="18"/>
                <w:szCs w:val="18"/>
              </w:rPr>
            </w:pPr>
            <w:r w:rsidRPr="007A6008">
              <w:rPr>
                <w:rFonts w:ascii="Times New Roman" w:hAnsi="Times New Roman" w:eastAsia="Times New Roman" w:cs="Times New Roman"/>
                <w:sz w:val="18"/>
                <w:szCs w:val="18"/>
              </w:rPr>
              <w:t xml:space="preserve"> D.20-</w:t>
            </w:r>
            <w:r w:rsidR="00171B1E">
              <w:rPr>
                <w:rFonts w:ascii="Times New Roman" w:hAnsi="Times New Roman" w:eastAsia="Times New Roman" w:cs="Times New Roman"/>
                <w:sz w:val="18"/>
                <w:szCs w:val="18"/>
              </w:rPr>
              <w:t>02-065</w:t>
            </w:r>
          </w:p>
        </w:tc>
        <w:tc>
          <w:tcPr>
            <w:tcW w:w="1279" w:type="dxa"/>
            <w:tcBorders>
              <w:top w:val="nil"/>
              <w:left w:val="nil"/>
              <w:bottom w:val="nil"/>
              <w:right w:val="single" w:color="000000" w:sz="24" w:space="0"/>
            </w:tcBorders>
            <w:shd w:val="clear" w:color="auto" w:fill="CCFFCC"/>
            <w:hideMark/>
          </w:tcPr>
          <w:p w:rsidRPr="004E4F71" w:rsidR="000C643A" w:rsidP="006309D0" w:rsidRDefault="000C643A" w14:paraId="63915E69" w14:textId="77777777">
            <w:pPr>
              <w:keepNext/>
              <w:keepLines/>
              <w:spacing w:line="240" w:lineRule="auto"/>
              <w:ind w:left="105"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$ 24,138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0C643A" w:rsidP="006309D0" w:rsidRDefault="000C643A" w14:paraId="5ADFC712" w14:textId="77777777">
            <w:pPr>
              <w:keepNext/>
              <w:keepLines/>
              <w:spacing w:line="240" w:lineRule="auto"/>
              <w:ind w:firstLine="0"/>
              <w:jc w:val="center"/>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0C643A" w:rsidP="006309D0" w:rsidRDefault="000C643A" w14:paraId="55E4F114" w14:textId="77777777">
            <w:pPr>
              <w:keepNext/>
              <w:keepLines/>
              <w:spacing w:line="240" w:lineRule="auto"/>
              <w:ind w:firstLine="0"/>
              <w:jc w:val="center"/>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0C643A" w:rsidP="006309D0" w:rsidRDefault="000C643A" w14:paraId="4B01698D" w14:textId="77777777">
            <w:pPr>
              <w:keepNext/>
              <w:keepLines/>
              <w:spacing w:line="240" w:lineRule="auto"/>
              <w:ind w:firstLine="0"/>
              <w:jc w:val="right"/>
              <w:rPr>
                <w:rFonts w:ascii="Segoe UI" w:hAnsi="Segoe UI" w:eastAsia="Times New Roman" w:cs="Segoe UI"/>
                <w:sz w:val="18"/>
                <w:szCs w:val="18"/>
              </w:rPr>
            </w:pPr>
          </w:p>
        </w:tc>
      </w:tr>
      <w:tr w:rsidRPr="004E4F71" w:rsidR="000C643A" w:rsidTr="00F56D9C" w14:paraId="4B7702D9" w14:textId="77777777">
        <w:trPr>
          <w:trHeight w:val="315"/>
        </w:trPr>
        <w:tc>
          <w:tcPr>
            <w:tcW w:w="1440" w:type="dxa"/>
            <w:tcBorders>
              <w:top w:val="nil"/>
              <w:left w:val="single" w:color="000000" w:sz="6" w:space="0"/>
              <w:bottom w:val="single" w:color="000000" w:sz="6" w:space="0"/>
              <w:right w:val="single" w:color="000000" w:sz="6" w:space="0"/>
            </w:tcBorders>
            <w:shd w:val="clear" w:color="auto" w:fill="CCFFCC"/>
            <w:hideMark/>
          </w:tcPr>
          <w:p w:rsidRPr="004E4F71" w:rsidR="000C643A" w:rsidP="006309D0" w:rsidRDefault="000C643A" w14:paraId="481BAE0B"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Behles </w:t>
            </w:r>
          </w:p>
        </w:tc>
        <w:tc>
          <w:tcPr>
            <w:tcW w:w="810" w:type="dxa"/>
            <w:tcBorders>
              <w:top w:val="nil"/>
              <w:left w:val="nil"/>
              <w:bottom w:val="single" w:color="000000" w:sz="6" w:space="0"/>
              <w:right w:val="single" w:color="000000" w:sz="6" w:space="0"/>
            </w:tcBorders>
            <w:shd w:val="clear" w:color="auto" w:fill="CCFFCC"/>
            <w:hideMark/>
          </w:tcPr>
          <w:p w:rsidRPr="004E4F71" w:rsidR="000C643A" w:rsidP="006309D0" w:rsidRDefault="000C643A" w14:paraId="68F0BB74" w14:textId="73E6A8E7">
            <w:pPr>
              <w:keepNext/>
              <w:keepLines/>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single" w:color="000000" w:sz="6" w:space="0"/>
              <w:right w:val="single" w:color="000000" w:sz="6" w:space="0"/>
            </w:tcBorders>
            <w:shd w:val="clear" w:color="auto" w:fill="CCFFCC"/>
            <w:hideMark/>
          </w:tcPr>
          <w:p w:rsidRPr="004E4F71" w:rsidR="000C643A" w:rsidP="006309D0" w:rsidRDefault="000C643A" w14:paraId="76543AB6" w14:textId="72EA8E37">
            <w:pPr>
              <w:keepNext/>
              <w:keepLines/>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single" w:color="000000" w:sz="6" w:space="0"/>
              <w:right w:val="single" w:color="000000" w:sz="6" w:space="0"/>
            </w:tcBorders>
            <w:shd w:val="clear" w:color="auto" w:fill="CCFFCC"/>
            <w:hideMark/>
          </w:tcPr>
          <w:p w:rsidRPr="004E4F71" w:rsidR="000C643A" w:rsidP="006309D0" w:rsidRDefault="000C643A" w14:paraId="185D55B3" w14:textId="2B5ECE31">
            <w:pPr>
              <w:keepNext/>
              <w:keepLines/>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single" w:color="000000" w:sz="6" w:space="0"/>
              <w:right w:val="single" w:color="000000" w:sz="6" w:space="0"/>
            </w:tcBorders>
            <w:shd w:val="clear" w:color="auto" w:fill="CCFFCC"/>
            <w:hideMark/>
          </w:tcPr>
          <w:p w:rsidRPr="00171B1E" w:rsidR="000C643A" w:rsidP="006309D0" w:rsidRDefault="000C643A" w14:paraId="4FAD77FD" w14:textId="17085082">
            <w:pPr>
              <w:keepNext/>
              <w:keepLines/>
              <w:spacing w:line="240" w:lineRule="auto"/>
              <w:ind w:left="101" w:firstLine="0"/>
              <w:jc w:val="center"/>
              <w:textAlignment w:val="baseline"/>
              <w:rPr>
                <w:rFonts w:ascii="Segoe UI" w:hAnsi="Segoe UI" w:eastAsia="Times New Roman" w:cs="Segoe UI"/>
                <w:sz w:val="18"/>
                <w:szCs w:val="18"/>
              </w:rPr>
            </w:pPr>
          </w:p>
        </w:tc>
        <w:tc>
          <w:tcPr>
            <w:tcW w:w="1279" w:type="dxa"/>
            <w:tcBorders>
              <w:top w:val="nil"/>
              <w:left w:val="nil"/>
              <w:bottom w:val="single" w:color="000000" w:sz="6" w:space="0"/>
              <w:right w:val="single" w:color="000000" w:sz="24" w:space="0"/>
            </w:tcBorders>
            <w:shd w:val="clear" w:color="auto" w:fill="CCFFCC"/>
            <w:hideMark/>
          </w:tcPr>
          <w:p w:rsidRPr="004E4F71" w:rsidR="000C643A" w:rsidP="006309D0" w:rsidRDefault="000C643A" w14:paraId="4CE0F515" w14:textId="77777777">
            <w:pPr>
              <w:keepNext/>
              <w:keepLines/>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0C643A" w:rsidP="006309D0" w:rsidRDefault="000C643A" w14:paraId="6D270E1A" w14:textId="77777777">
            <w:pPr>
              <w:keepNext/>
              <w:keepLines/>
              <w:spacing w:line="240" w:lineRule="auto"/>
              <w:ind w:firstLine="0"/>
              <w:jc w:val="center"/>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0C643A" w:rsidP="006309D0" w:rsidRDefault="000C643A" w14:paraId="0E54F5BB" w14:textId="77777777">
            <w:pPr>
              <w:keepNext/>
              <w:keepLines/>
              <w:spacing w:line="240" w:lineRule="auto"/>
              <w:ind w:firstLine="0"/>
              <w:jc w:val="center"/>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0C643A" w:rsidP="006309D0" w:rsidRDefault="000C643A" w14:paraId="6C63CB31" w14:textId="77777777">
            <w:pPr>
              <w:keepNext/>
              <w:keepLines/>
              <w:spacing w:line="240" w:lineRule="auto"/>
              <w:ind w:firstLine="0"/>
              <w:jc w:val="right"/>
              <w:rPr>
                <w:rFonts w:ascii="Segoe UI" w:hAnsi="Segoe UI" w:eastAsia="Times New Roman" w:cs="Segoe UI"/>
                <w:sz w:val="18"/>
                <w:szCs w:val="18"/>
              </w:rPr>
            </w:pPr>
          </w:p>
        </w:tc>
      </w:tr>
      <w:tr w:rsidRPr="004E4F71" w:rsidR="00AD6DEC" w:rsidTr="00F56D9C" w14:paraId="51ACBF9F" w14:textId="77777777">
        <w:trPr>
          <w:trHeight w:val="330"/>
        </w:trPr>
        <w:tc>
          <w:tcPr>
            <w:tcW w:w="1440" w:type="dxa"/>
            <w:tcBorders>
              <w:top w:val="nil"/>
              <w:left w:val="single" w:color="000000" w:sz="6" w:space="0"/>
              <w:bottom w:val="nil"/>
              <w:right w:val="single" w:color="000000" w:sz="6" w:space="0"/>
            </w:tcBorders>
            <w:shd w:val="clear" w:color="auto" w:fill="CCFFCC"/>
            <w:hideMark/>
          </w:tcPr>
          <w:p w:rsidRPr="004E4F71" w:rsidR="000C643A" w:rsidP="006309D0" w:rsidRDefault="000C643A" w14:paraId="2FB515FA"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Attorney – </w:t>
            </w: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5118D4D0" w14:textId="2A02A165">
            <w:pPr>
              <w:keepNext/>
              <w:keepLines/>
              <w:spacing w:line="240" w:lineRule="auto"/>
              <w:ind w:left="45" w:right="12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2020</w:t>
            </w:r>
          </w:p>
        </w:tc>
        <w:tc>
          <w:tcPr>
            <w:tcW w:w="990" w:type="dxa"/>
            <w:tcBorders>
              <w:top w:val="nil"/>
              <w:left w:val="nil"/>
              <w:bottom w:val="nil"/>
              <w:right w:val="single" w:color="000000" w:sz="6" w:space="0"/>
            </w:tcBorders>
            <w:shd w:val="clear" w:color="auto" w:fill="CCFFCC"/>
            <w:hideMark/>
          </w:tcPr>
          <w:p w:rsidRPr="004E4F71" w:rsidR="000C643A" w:rsidP="006309D0" w:rsidRDefault="000C643A" w14:paraId="40A903DB" w14:textId="41F67256">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31.2</w:t>
            </w:r>
          </w:p>
        </w:tc>
        <w:tc>
          <w:tcPr>
            <w:tcW w:w="810" w:type="dxa"/>
            <w:tcBorders>
              <w:top w:val="nil"/>
              <w:left w:val="nil"/>
              <w:bottom w:val="nil"/>
              <w:right w:val="single" w:color="000000" w:sz="6" w:space="0"/>
            </w:tcBorders>
            <w:shd w:val="clear" w:color="auto" w:fill="CCFFCC"/>
            <w:hideMark/>
          </w:tcPr>
          <w:p w:rsidRPr="004E4F71" w:rsidR="000C643A" w:rsidP="006309D0" w:rsidRDefault="000C643A" w14:paraId="2F05CFA9" w14:textId="268D347F">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$395</w:t>
            </w:r>
          </w:p>
        </w:tc>
        <w:tc>
          <w:tcPr>
            <w:tcW w:w="1620" w:type="dxa"/>
            <w:tcBorders>
              <w:top w:val="nil"/>
              <w:left w:val="nil"/>
              <w:bottom w:val="nil"/>
              <w:right w:val="single" w:color="000000" w:sz="6" w:space="0"/>
            </w:tcBorders>
            <w:shd w:val="clear" w:color="auto" w:fill="CCFFCC"/>
            <w:hideMark/>
          </w:tcPr>
          <w:p w:rsidRPr="00171B1E" w:rsidR="000C643A" w:rsidP="006309D0" w:rsidRDefault="000C643A" w14:paraId="0CFC5DD7" w14:textId="02D96250">
            <w:pPr>
              <w:keepNext/>
              <w:keepLines/>
              <w:spacing w:line="240" w:lineRule="auto"/>
              <w:ind w:left="101" w:firstLine="0"/>
              <w:jc w:val="center"/>
              <w:textAlignment w:val="baseline"/>
              <w:rPr>
                <w:rFonts w:ascii="Segoe UI" w:hAnsi="Segoe UI" w:eastAsia="Times New Roman" w:cs="Segoe UI"/>
                <w:sz w:val="18"/>
                <w:szCs w:val="18"/>
              </w:rPr>
            </w:pPr>
            <w:r w:rsidRPr="007A6008">
              <w:rPr>
                <w:rFonts w:ascii="Times New Roman" w:hAnsi="Times New Roman" w:eastAsia="Times New Roman" w:cs="Times New Roman"/>
                <w:sz w:val="18"/>
                <w:szCs w:val="18"/>
              </w:rPr>
              <w:t>D.18-10-</w:t>
            </w:r>
            <w:r w:rsidR="00171B1E">
              <w:rPr>
                <w:rFonts w:ascii="Times New Roman" w:hAnsi="Times New Roman" w:eastAsia="Times New Roman" w:cs="Times New Roman"/>
                <w:sz w:val="18"/>
                <w:szCs w:val="18"/>
              </w:rPr>
              <w:t>051,</w:t>
            </w:r>
          </w:p>
        </w:tc>
        <w:tc>
          <w:tcPr>
            <w:tcW w:w="1279" w:type="dxa"/>
            <w:tcBorders>
              <w:top w:val="nil"/>
              <w:left w:val="nil"/>
              <w:bottom w:val="nil"/>
              <w:right w:val="single" w:color="000000" w:sz="24" w:space="0"/>
            </w:tcBorders>
            <w:shd w:val="clear" w:color="auto" w:fill="CCFFCC"/>
            <w:hideMark/>
          </w:tcPr>
          <w:p w:rsidRPr="004E4F71" w:rsidR="000C643A" w:rsidP="006309D0" w:rsidRDefault="000C643A" w14:paraId="48A8B39B" w14:textId="77777777">
            <w:pPr>
              <w:keepNext/>
              <w:keepLines/>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20" w:type="dxa"/>
            <w:vMerge w:val="restart"/>
            <w:tcBorders>
              <w:top w:val="nil"/>
              <w:left w:val="single" w:color="000000" w:sz="24" w:space="0"/>
              <w:bottom w:val="single" w:color="000000" w:sz="6" w:space="0"/>
              <w:right w:val="single" w:color="000000" w:sz="6" w:space="0"/>
            </w:tcBorders>
            <w:shd w:val="clear" w:color="auto" w:fill="auto"/>
            <w:hideMark/>
          </w:tcPr>
          <w:p w:rsidRPr="004E4F71" w:rsidR="000C643A" w:rsidP="006309D0" w:rsidRDefault="000C643A" w14:paraId="0AFF2B7C" w14:textId="04B817F3">
            <w:pPr>
              <w:keepNext/>
              <w:keepLines/>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30.8 [3]</w:t>
            </w:r>
          </w:p>
        </w:tc>
        <w:tc>
          <w:tcPr>
            <w:tcW w:w="1095" w:type="dxa"/>
            <w:vMerge w:val="restart"/>
            <w:tcBorders>
              <w:top w:val="nil"/>
              <w:left w:val="nil"/>
              <w:bottom w:val="single" w:color="000000" w:sz="6" w:space="0"/>
              <w:right w:val="single" w:color="000000" w:sz="6" w:space="0"/>
            </w:tcBorders>
            <w:shd w:val="clear" w:color="auto" w:fill="auto"/>
            <w:hideMark/>
          </w:tcPr>
          <w:p w:rsidRPr="004E4F71" w:rsidR="000C643A" w:rsidP="006309D0" w:rsidRDefault="000C643A" w14:paraId="7A33F648" w14:textId="257B6FC3">
            <w:pPr>
              <w:keepNext/>
              <w:keepLines/>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$405 [2]</w:t>
            </w:r>
          </w:p>
        </w:tc>
        <w:tc>
          <w:tcPr>
            <w:tcW w:w="1552" w:type="dxa"/>
            <w:vMerge w:val="restart"/>
            <w:tcBorders>
              <w:top w:val="nil"/>
              <w:left w:val="nil"/>
              <w:bottom w:val="single" w:color="000000" w:sz="6" w:space="0"/>
              <w:right w:val="single" w:color="000000" w:sz="6" w:space="0"/>
            </w:tcBorders>
            <w:shd w:val="clear" w:color="auto" w:fill="auto"/>
            <w:hideMark/>
          </w:tcPr>
          <w:p w:rsidRPr="004E4F71" w:rsidR="000C643A" w:rsidP="006309D0" w:rsidRDefault="000C643A" w14:paraId="367C17E0" w14:textId="77777777">
            <w:pPr>
              <w:keepNext/>
              <w:keepLines/>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$12,474.00 </w:t>
            </w:r>
          </w:p>
        </w:tc>
      </w:tr>
      <w:tr w:rsidRPr="004E4F71" w:rsidR="00171B1E" w:rsidTr="00F56D9C" w14:paraId="2FB7F7C8" w14:textId="77777777">
        <w:trPr>
          <w:trHeight w:val="300"/>
        </w:trPr>
        <w:tc>
          <w:tcPr>
            <w:tcW w:w="1440" w:type="dxa"/>
            <w:tcBorders>
              <w:top w:val="nil"/>
              <w:left w:val="single" w:color="000000" w:sz="6" w:space="0"/>
              <w:bottom w:val="nil"/>
              <w:right w:val="single" w:color="000000" w:sz="6" w:space="0"/>
            </w:tcBorders>
            <w:shd w:val="clear" w:color="auto" w:fill="CCFFCC"/>
            <w:hideMark/>
          </w:tcPr>
          <w:p w:rsidRPr="004E4F71" w:rsidR="00171B1E" w:rsidP="006309D0" w:rsidRDefault="00171B1E" w14:paraId="6B400908"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Shana </w:t>
            </w:r>
          </w:p>
        </w:tc>
        <w:tc>
          <w:tcPr>
            <w:tcW w:w="810" w:type="dxa"/>
            <w:tcBorders>
              <w:top w:val="nil"/>
              <w:left w:val="nil"/>
              <w:bottom w:val="nil"/>
              <w:right w:val="single" w:color="000000" w:sz="6" w:space="0"/>
            </w:tcBorders>
            <w:shd w:val="clear" w:color="auto" w:fill="CCFFCC"/>
            <w:hideMark/>
          </w:tcPr>
          <w:p w:rsidRPr="004E4F71" w:rsidR="00171B1E" w:rsidP="006309D0" w:rsidRDefault="00171B1E" w14:paraId="12A762AF" w14:textId="7D69C7CA">
            <w:pPr>
              <w:keepNext/>
              <w:keepLines/>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nil"/>
              <w:right w:val="single" w:color="000000" w:sz="6" w:space="0"/>
            </w:tcBorders>
            <w:shd w:val="clear" w:color="auto" w:fill="CCFFCC"/>
            <w:hideMark/>
          </w:tcPr>
          <w:p w:rsidRPr="004E4F71" w:rsidR="00171B1E" w:rsidP="006309D0" w:rsidRDefault="00171B1E" w14:paraId="3A8180E8" w14:textId="5E227B4E">
            <w:pPr>
              <w:keepNext/>
              <w:keepLines/>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nil"/>
              <w:right w:val="single" w:color="000000" w:sz="6" w:space="0"/>
            </w:tcBorders>
            <w:shd w:val="clear" w:color="auto" w:fill="CCFFCC"/>
            <w:hideMark/>
          </w:tcPr>
          <w:p w:rsidRPr="004E4F71" w:rsidR="00171B1E" w:rsidP="006309D0" w:rsidRDefault="00171B1E" w14:paraId="153B1A01" w14:textId="6BE140F7">
            <w:pPr>
              <w:keepNext/>
              <w:keepLines/>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nil"/>
              <w:right w:val="single" w:color="000000" w:sz="6" w:space="0"/>
            </w:tcBorders>
            <w:shd w:val="clear" w:color="auto" w:fill="CCFFCC"/>
            <w:hideMark/>
          </w:tcPr>
          <w:p w:rsidRPr="00171B1E" w:rsidR="00171B1E" w:rsidP="006309D0" w:rsidRDefault="00171B1E" w14:paraId="1761440D" w14:textId="29AFDE1C">
            <w:pPr>
              <w:keepNext/>
              <w:keepLines/>
              <w:spacing w:line="240" w:lineRule="auto"/>
              <w:ind w:left="101" w:firstLine="0"/>
              <w:jc w:val="center"/>
              <w:textAlignment w:val="baseline"/>
              <w:rPr>
                <w:rFonts w:ascii="Segoe UI" w:hAnsi="Segoe UI" w:eastAsia="Times New Roman" w:cs="Segoe UI"/>
                <w:sz w:val="18"/>
                <w:szCs w:val="18"/>
              </w:rPr>
            </w:pPr>
            <w:r w:rsidRPr="00DE0EAB">
              <w:rPr>
                <w:rFonts w:ascii="Times New Roman" w:hAnsi="Times New Roman" w:eastAsia="Times New Roman" w:cs="Times New Roman"/>
                <w:sz w:val="18"/>
                <w:szCs w:val="18"/>
              </w:rPr>
              <w:t xml:space="preserve"> D.20-02-065</w:t>
            </w:r>
          </w:p>
        </w:tc>
        <w:tc>
          <w:tcPr>
            <w:tcW w:w="1279" w:type="dxa"/>
            <w:tcBorders>
              <w:top w:val="nil"/>
              <w:left w:val="nil"/>
              <w:bottom w:val="nil"/>
              <w:right w:val="single" w:color="000000" w:sz="24" w:space="0"/>
            </w:tcBorders>
            <w:shd w:val="clear" w:color="auto" w:fill="CCFFCC"/>
            <w:hideMark/>
          </w:tcPr>
          <w:p w:rsidRPr="004E4F71" w:rsidR="00171B1E" w:rsidP="006309D0" w:rsidRDefault="00171B1E" w14:paraId="097C563B" w14:textId="77777777">
            <w:pPr>
              <w:keepNext/>
              <w:keepLines/>
              <w:spacing w:line="240" w:lineRule="auto"/>
              <w:ind w:left="105"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$ 12,324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171B1E" w:rsidP="006309D0" w:rsidRDefault="00171B1E" w14:paraId="0204CF0F" w14:textId="77777777">
            <w:pPr>
              <w:keepNext/>
              <w:keepLines/>
              <w:spacing w:line="240" w:lineRule="auto"/>
              <w:ind w:firstLine="0"/>
              <w:jc w:val="center"/>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171B1E" w:rsidP="006309D0" w:rsidRDefault="00171B1E" w14:paraId="0D8819B7" w14:textId="77777777">
            <w:pPr>
              <w:keepNext/>
              <w:keepLines/>
              <w:spacing w:line="240" w:lineRule="auto"/>
              <w:ind w:firstLine="0"/>
              <w:jc w:val="center"/>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171B1E" w:rsidP="006309D0" w:rsidRDefault="00171B1E" w14:paraId="394F3BDA" w14:textId="77777777">
            <w:pPr>
              <w:keepNext/>
              <w:keepLines/>
              <w:spacing w:line="240" w:lineRule="auto"/>
              <w:ind w:firstLine="0"/>
              <w:jc w:val="right"/>
              <w:rPr>
                <w:rFonts w:ascii="Segoe UI" w:hAnsi="Segoe UI" w:eastAsia="Times New Roman" w:cs="Segoe UI"/>
                <w:sz w:val="18"/>
                <w:szCs w:val="18"/>
              </w:rPr>
            </w:pPr>
          </w:p>
        </w:tc>
      </w:tr>
      <w:tr w:rsidRPr="004E4F71" w:rsidR="00171B1E" w:rsidTr="00F56D9C" w14:paraId="0B66A00B" w14:textId="77777777">
        <w:trPr>
          <w:trHeight w:val="315"/>
        </w:trPr>
        <w:tc>
          <w:tcPr>
            <w:tcW w:w="1440" w:type="dxa"/>
            <w:tcBorders>
              <w:top w:val="nil"/>
              <w:left w:val="single" w:color="000000" w:sz="6" w:space="0"/>
              <w:bottom w:val="single" w:color="000000" w:sz="6" w:space="0"/>
              <w:right w:val="single" w:color="000000" w:sz="6" w:space="0"/>
            </w:tcBorders>
            <w:shd w:val="clear" w:color="auto" w:fill="CCFFCC"/>
            <w:hideMark/>
          </w:tcPr>
          <w:p w:rsidRPr="004E4F71" w:rsidR="00171B1E" w:rsidP="006309D0" w:rsidRDefault="00171B1E" w14:paraId="3FA9887A" w14:textId="77777777">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Lazerow </w:t>
            </w:r>
          </w:p>
        </w:tc>
        <w:tc>
          <w:tcPr>
            <w:tcW w:w="810" w:type="dxa"/>
            <w:tcBorders>
              <w:top w:val="nil"/>
              <w:left w:val="nil"/>
              <w:bottom w:val="single" w:color="000000" w:sz="6" w:space="0"/>
              <w:right w:val="single" w:color="000000" w:sz="6" w:space="0"/>
            </w:tcBorders>
            <w:shd w:val="clear" w:color="auto" w:fill="CCFFCC"/>
            <w:hideMark/>
          </w:tcPr>
          <w:p w:rsidRPr="004E4F71" w:rsidR="00171B1E" w:rsidP="006309D0" w:rsidRDefault="00171B1E" w14:paraId="65E57B79" w14:textId="270EAEFD">
            <w:pPr>
              <w:keepNext/>
              <w:keepLines/>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single" w:color="000000" w:sz="6" w:space="0"/>
              <w:right w:val="single" w:color="000000" w:sz="6" w:space="0"/>
            </w:tcBorders>
            <w:shd w:val="clear" w:color="auto" w:fill="CCFFCC"/>
            <w:hideMark/>
          </w:tcPr>
          <w:p w:rsidRPr="004E4F71" w:rsidR="00171B1E" w:rsidP="006309D0" w:rsidRDefault="00171B1E" w14:paraId="2FBEB1EA" w14:textId="795BD64E">
            <w:pPr>
              <w:keepNext/>
              <w:keepLines/>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single" w:color="000000" w:sz="6" w:space="0"/>
              <w:right w:val="single" w:color="000000" w:sz="6" w:space="0"/>
            </w:tcBorders>
            <w:shd w:val="clear" w:color="auto" w:fill="CCFFCC"/>
            <w:hideMark/>
          </w:tcPr>
          <w:p w:rsidRPr="004E4F71" w:rsidR="00171B1E" w:rsidP="006309D0" w:rsidRDefault="00171B1E" w14:paraId="41BC397F" w14:textId="53396998">
            <w:pPr>
              <w:keepNext/>
              <w:keepLines/>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single" w:color="000000" w:sz="6" w:space="0"/>
              <w:right w:val="single" w:color="000000" w:sz="6" w:space="0"/>
            </w:tcBorders>
            <w:shd w:val="clear" w:color="auto" w:fill="CCFFCC"/>
            <w:hideMark/>
          </w:tcPr>
          <w:p w:rsidRPr="00171B1E" w:rsidR="00171B1E" w:rsidP="006309D0" w:rsidRDefault="00171B1E" w14:paraId="6CF68EA8" w14:textId="5AE8A51F">
            <w:pPr>
              <w:keepNext/>
              <w:keepLines/>
              <w:spacing w:line="240" w:lineRule="auto"/>
              <w:ind w:left="101" w:firstLine="0"/>
              <w:jc w:val="center"/>
              <w:textAlignment w:val="baseline"/>
              <w:rPr>
                <w:rFonts w:ascii="Segoe UI" w:hAnsi="Segoe UI" w:eastAsia="Times New Roman" w:cs="Segoe UI"/>
                <w:sz w:val="18"/>
                <w:szCs w:val="18"/>
              </w:rPr>
            </w:pPr>
          </w:p>
        </w:tc>
        <w:tc>
          <w:tcPr>
            <w:tcW w:w="1279" w:type="dxa"/>
            <w:tcBorders>
              <w:top w:val="nil"/>
              <w:left w:val="nil"/>
              <w:bottom w:val="single" w:color="000000" w:sz="6" w:space="0"/>
              <w:right w:val="single" w:color="000000" w:sz="24" w:space="0"/>
            </w:tcBorders>
            <w:shd w:val="clear" w:color="auto" w:fill="CCFFCC"/>
            <w:hideMark/>
          </w:tcPr>
          <w:p w:rsidRPr="004E4F71" w:rsidR="00171B1E" w:rsidP="006309D0" w:rsidRDefault="00171B1E" w14:paraId="49CBB4D9" w14:textId="77777777">
            <w:pPr>
              <w:keepNext/>
              <w:keepLines/>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171B1E" w:rsidP="006309D0" w:rsidRDefault="00171B1E" w14:paraId="26E5BF60" w14:textId="77777777">
            <w:pPr>
              <w:keepNext/>
              <w:keepLines/>
              <w:spacing w:line="240" w:lineRule="auto"/>
              <w:ind w:firstLine="0"/>
              <w:jc w:val="center"/>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171B1E" w:rsidP="006309D0" w:rsidRDefault="00171B1E" w14:paraId="56EB97D8" w14:textId="77777777">
            <w:pPr>
              <w:keepNext/>
              <w:keepLines/>
              <w:spacing w:line="240" w:lineRule="auto"/>
              <w:ind w:firstLine="0"/>
              <w:jc w:val="center"/>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171B1E" w:rsidP="006309D0" w:rsidRDefault="00171B1E" w14:paraId="272D2EBC" w14:textId="77777777">
            <w:pPr>
              <w:keepNext/>
              <w:keepLines/>
              <w:spacing w:line="240" w:lineRule="auto"/>
              <w:ind w:firstLine="0"/>
              <w:jc w:val="right"/>
              <w:rPr>
                <w:rFonts w:ascii="Segoe UI" w:hAnsi="Segoe UI" w:eastAsia="Times New Roman" w:cs="Segoe UI"/>
                <w:sz w:val="18"/>
                <w:szCs w:val="18"/>
              </w:rPr>
            </w:pPr>
          </w:p>
        </w:tc>
      </w:tr>
      <w:tr w:rsidRPr="004E4F71" w:rsidR="00AD6DEC" w:rsidTr="00F56D9C" w14:paraId="7BF8CE4E" w14:textId="77777777">
        <w:trPr>
          <w:trHeight w:val="330"/>
        </w:trPr>
        <w:tc>
          <w:tcPr>
            <w:tcW w:w="1440" w:type="dxa"/>
            <w:tcBorders>
              <w:top w:val="nil"/>
              <w:left w:val="single" w:color="000000" w:sz="6" w:space="0"/>
              <w:bottom w:val="nil"/>
              <w:right w:val="single" w:color="000000" w:sz="6" w:space="0"/>
            </w:tcBorders>
            <w:shd w:val="clear" w:color="auto" w:fill="CCFFCC"/>
            <w:hideMark/>
          </w:tcPr>
          <w:p w:rsidRPr="004E4F71" w:rsidR="000C643A" w:rsidP="000C643A" w:rsidRDefault="000C643A" w14:paraId="7B166CE1" w14:textId="77777777">
            <w:pPr>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Expert – </w:t>
            </w: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265BFE5C" w14:textId="5159CC50">
            <w:pPr>
              <w:spacing w:line="240" w:lineRule="auto"/>
              <w:ind w:left="45" w:right="12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2020</w:t>
            </w:r>
          </w:p>
        </w:tc>
        <w:tc>
          <w:tcPr>
            <w:tcW w:w="990" w:type="dxa"/>
            <w:tcBorders>
              <w:top w:val="nil"/>
              <w:left w:val="nil"/>
              <w:bottom w:val="nil"/>
              <w:right w:val="single" w:color="000000" w:sz="6" w:space="0"/>
            </w:tcBorders>
            <w:shd w:val="clear" w:color="auto" w:fill="CCFFCC"/>
            <w:hideMark/>
          </w:tcPr>
          <w:p w:rsidRPr="004E4F71" w:rsidR="000C643A" w:rsidP="00061092" w:rsidRDefault="000C643A" w14:paraId="3239C466" w14:textId="7CFFF0CD">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14.9</w:t>
            </w: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6D3040A3" w14:textId="01C5DD37">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$163</w:t>
            </w:r>
          </w:p>
        </w:tc>
        <w:tc>
          <w:tcPr>
            <w:tcW w:w="1620" w:type="dxa"/>
            <w:tcBorders>
              <w:top w:val="nil"/>
              <w:left w:val="nil"/>
              <w:bottom w:val="nil"/>
              <w:right w:val="single" w:color="000000" w:sz="6" w:space="0"/>
            </w:tcBorders>
            <w:shd w:val="clear" w:color="auto" w:fill="CCFFCC"/>
          </w:tcPr>
          <w:p w:rsidRPr="00152870" w:rsidR="000C643A" w:rsidP="00061092" w:rsidRDefault="000C643A" w14:paraId="6F2CA745" w14:textId="1EC43A75">
            <w:pPr>
              <w:spacing w:line="240" w:lineRule="auto"/>
              <w:ind w:firstLine="0"/>
              <w:jc w:val="center"/>
              <w:textAlignment w:val="baseline"/>
              <w:rPr>
                <w:rFonts w:ascii="Segoe UI" w:hAnsi="Segoe UI" w:eastAsia="Times New Roman" w:cs="Segoe UI"/>
                <w:sz w:val="18"/>
                <w:szCs w:val="18"/>
              </w:rPr>
            </w:pPr>
            <w:r w:rsidRPr="00152870">
              <w:rPr>
                <w:rFonts w:ascii="Times New Roman" w:hAnsi="Times New Roman" w:eastAsia="Times New Roman" w:cs="Times New Roman"/>
                <w:sz w:val="18"/>
                <w:szCs w:val="18"/>
              </w:rPr>
              <w:t>Comment 4, Resolution</w:t>
            </w:r>
          </w:p>
        </w:tc>
        <w:tc>
          <w:tcPr>
            <w:tcW w:w="1279" w:type="dxa"/>
            <w:tcBorders>
              <w:top w:val="nil"/>
              <w:left w:val="nil"/>
              <w:bottom w:val="nil"/>
              <w:right w:val="single" w:color="000000" w:sz="24" w:space="0"/>
            </w:tcBorders>
            <w:shd w:val="clear" w:color="auto" w:fill="CCFFCC"/>
            <w:hideMark/>
          </w:tcPr>
          <w:p w:rsidRPr="004E4F71" w:rsidR="000C643A" w:rsidP="00061092" w:rsidRDefault="000C643A" w14:paraId="1F19FE3A" w14:textId="77777777">
            <w:pPr>
              <w:spacing w:line="240" w:lineRule="auto"/>
              <w:ind w:left="105"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$ 2,429 </w:t>
            </w:r>
          </w:p>
        </w:tc>
        <w:tc>
          <w:tcPr>
            <w:tcW w:w="920" w:type="dxa"/>
            <w:vMerge w:val="restart"/>
            <w:tcBorders>
              <w:top w:val="nil"/>
              <w:left w:val="single" w:color="000000" w:sz="24" w:space="0"/>
              <w:bottom w:val="single" w:color="000000" w:sz="6" w:space="0"/>
              <w:right w:val="single" w:color="000000" w:sz="6" w:space="0"/>
            </w:tcBorders>
            <w:shd w:val="clear" w:color="auto" w:fill="auto"/>
            <w:hideMark/>
          </w:tcPr>
          <w:p w:rsidRPr="004E4F71" w:rsidR="000C643A" w:rsidP="00061092" w:rsidRDefault="000C643A" w14:paraId="433AA9CC" w14:textId="0B7B654F">
            <w:pPr>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14.9</w:t>
            </w:r>
          </w:p>
        </w:tc>
        <w:tc>
          <w:tcPr>
            <w:tcW w:w="1095" w:type="dxa"/>
            <w:vMerge w:val="restart"/>
            <w:tcBorders>
              <w:top w:val="nil"/>
              <w:left w:val="nil"/>
              <w:bottom w:val="single" w:color="000000" w:sz="6" w:space="0"/>
              <w:right w:val="single" w:color="000000" w:sz="6" w:space="0"/>
            </w:tcBorders>
            <w:shd w:val="clear" w:color="auto" w:fill="auto"/>
            <w:hideMark/>
          </w:tcPr>
          <w:p w:rsidRPr="004E4F71" w:rsidR="000C643A" w:rsidP="00061092" w:rsidRDefault="000C643A" w14:paraId="3C90CFD3" w14:textId="61808DC9">
            <w:pPr>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$16</w:t>
            </w:r>
            <w:r w:rsidR="00BB44CE">
              <w:rPr>
                <w:rFonts w:ascii="Times New Roman" w:hAnsi="Times New Roman" w:eastAsia="Times New Roman" w:cs="Times New Roman"/>
                <w:sz w:val="22"/>
              </w:rPr>
              <w:t>5</w:t>
            </w:r>
            <w:r w:rsidRPr="004E4F71">
              <w:rPr>
                <w:rFonts w:ascii="Times New Roman" w:hAnsi="Times New Roman" w:eastAsia="Times New Roman" w:cs="Times New Roman"/>
                <w:sz w:val="22"/>
              </w:rPr>
              <w:t xml:space="preserve"> [2]</w:t>
            </w:r>
          </w:p>
        </w:tc>
        <w:tc>
          <w:tcPr>
            <w:tcW w:w="1552" w:type="dxa"/>
            <w:vMerge w:val="restart"/>
            <w:tcBorders>
              <w:top w:val="nil"/>
              <w:left w:val="nil"/>
              <w:bottom w:val="single" w:color="000000" w:sz="6" w:space="0"/>
              <w:right w:val="single" w:color="000000" w:sz="6" w:space="0"/>
            </w:tcBorders>
            <w:shd w:val="clear" w:color="auto" w:fill="auto"/>
            <w:hideMark/>
          </w:tcPr>
          <w:p w:rsidRPr="004E4F71" w:rsidR="000C643A" w:rsidP="00061092" w:rsidRDefault="00BB44CE" w14:paraId="1A81ADE4" w14:textId="138E498D">
            <w:pPr>
              <w:spacing w:line="240" w:lineRule="auto"/>
              <w:ind w:firstLine="0"/>
              <w:jc w:val="right"/>
              <w:textAlignment w:val="baseline"/>
              <w:rPr>
                <w:rFonts w:ascii="Segoe UI" w:hAnsi="Segoe UI" w:eastAsia="Times New Roman" w:cs="Segoe UI"/>
                <w:sz w:val="18"/>
                <w:szCs w:val="18"/>
              </w:rPr>
            </w:pPr>
            <w:r>
              <w:rPr>
                <w:rFonts w:ascii="Times New Roman" w:hAnsi="Times New Roman" w:eastAsia="Times New Roman" w:cs="Times New Roman"/>
                <w:sz w:val="22"/>
              </w:rPr>
              <w:t>$2,458.50</w:t>
            </w:r>
          </w:p>
        </w:tc>
      </w:tr>
      <w:tr w:rsidRPr="004E4F71" w:rsidR="000C643A" w:rsidTr="00F56D9C" w14:paraId="7EE62682" w14:textId="77777777">
        <w:trPr>
          <w:trHeight w:val="300"/>
        </w:trPr>
        <w:tc>
          <w:tcPr>
            <w:tcW w:w="1440" w:type="dxa"/>
            <w:tcBorders>
              <w:top w:val="nil"/>
              <w:left w:val="single" w:color="000000" w:sz="6" w:space="0"/>
              <w:bottom w:val="nil"/>
              <w:right w:val="single" w:color="000000" w:sz="6" w:space="0"/>
            </w:tcBorders>
            <w:shd w:val="clear" w:color="auto" w:fill="CCFFCC"/>
            <w:hideMark/>
          </w:tcPr>
          <w:p w:rsidRPr="004E4F71" w:rsidR="000C643A" w:rsidP="000C643A" w:rsidRDefault="000C643A" w14:paraId="130F754F" w14:textId="77777777">
            <w:pPr>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Dan </w:t>
            </w: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53140BA0" w14:textId="69036C2D">
            <w:pPr>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nil"/>
              <w:right w:val="single" w:color="000000" w:sz="6" w:space="0"/>
            </w:tcBorders>
            <w:shd w:val="clear" w:color="auto" w:fill="CCFFCC"/>
            <w:hideMark/>
          </w:tcPr>
          <w:p w:rsidRPr="004E4F71" w:rsidR="000C643A" w:rsidP="00061092" w:rsidRDefault="000C643A" w14:paraId="430ECE3E" w14:textId="4359EABD">
            <w:pPr>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2A0B078D" w14:textId="6B8F402E">
            <w:pPr>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nil"/>
              <w:right w:val="single" w:color="000000" w:sz="6" w:space="0"/>
            </w:tcBorders>
            <w:shd w:val="clear" w:color="auto" w:fill="CCFFCC"/>
          </w:tcPr>
          <w:p w:rsidRPr="00152870" w:rsidR="000C643A" w:rsidP="00061092" w:rsidRDefault="000C643A" w14:paraId="042D7CB3" w14:textId="719E17A6">
            <w:pPr>
              <w:spacing w:line="240" w:lineRule="auto"/>
              <w:ind w:firstLine="0"/>
              <w:jc w:val="center"/>
              <w:textAlignment w:val="baseline"/>
              <w:rPr>
                <w:rFonts w:ascii="Segoe UI" w:hAnsi="Segoe UI" w:eastAsia="Times New Roman" w:cs="Segoe UI"/>
                <w:sz w:val="18"/>
                <w:szCs w:val="18"/>
              </w:rPr>
            </w:pPr>
            <w:r w:rsidRPr="00152870">
              <w:rPr>
                <w:rFonts w:ascii="Times New Roman" w:hAnsi="Times New Roman" w:eastAsia="Times New Roman" w:cs="Times New Roman"/>
                <w:sz w:val="18"/>
                <w:szCs w:val="18"/>
              </w:rPr>
              <w:t>ALJ-357</w:t>
            </w:r>
          </w:p>
        </w:tc>
        <w:tc>
          <w:tcPr>
            <w:tcW w:w="1279" w:type="dxa"/>
            <w:tcBorders>
              <w:top w:val="nil"/>
              <w:left w:val="nil"/>
              <w:bottom w:val="nil"/>
              <w:right w:val="single" w:color="000000" w:sz="24" w:space="0"/>
            </w:tcBorders>
            <w:shd w:val="clear" w:color="auto" w:fill="CCFFCC"/>
            <w:hideMark/>
          </w:tcPr>
          <w:p w:rsidRPr="004E4F71" w:rsidR="000C643A" w:rsidP="000C643A" w:rsidRDefault="000C643A" w14:paraId="601595A6"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18"/>
                <w:szCs w:val="18"/>
              </w:rPr>
              <w:t>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0C643A" w:rsidP="000C643A" w:rsidRDefault="000C643A" w14:paraId="371AEB1B" w14:textId="77777777">
            <w:pPr>
              <w:spacing w:line="240" w:lineRule="auto"/>
              <w:ind w:firstLine="0"/>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1EBA3092" w14:textId="77777777">
            <w:pPr>
              <w:spacing w:line="240" w:lineRule="auto"/>
              <w:ind w:firstLine="0"/>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67E608A2" w14:textId="77777777">
            <w:pPr>
              <w:spacing w:line="240" w:lineRule="auto"/>
              <w:ind w:firstLine="0"/>
              <w:rPr>
                <w:rFonts w:ascii="Segoe UI" w:hAnsi="Segoe UI" w:eastAsia="Times New Roman" w:cs="Segoe UI"/>
                <w:sz w:val="18"/>
                <w:szCs w:val="18"/>
              </w:rPr>
            </w:pPr>
          </w:p>
        </w:tc>
      </w:tr>
      <w:tr w:rsidRPr="004E4F71" w:rsidR="000C643A" w:rsidTr="00F56D9C" w14:paraId="65293EE0" w14:textId="77777777">
        <w:trPr>
          <w:trHeight w:val="300"/>
        </w:trPr>
        <w:tc>
          <w:tcPr>
            <w:tcW w:w="1440" w:type="dxa"/>
            <w:tcBorders>
              <w:top w:val="nil"/>
              <w:left w:val="single" w:color="000000" w:sz="6" w:space="0"/>
              <w:bottom w:val="nil"/>
              <w:right w:val="single" w:color="000000" w:sz="6" w:space="0"/>
            </w:tcBorders>
            <w:shd w:val="clear" w:color="auto" w:fill="CCFFCC"/>
            <w:hideMark/>
          </w:tcPr>
          <w:p w:rsidRPr="004E4F71" w:rsidR="000C643A" w:rsidP="000C643A" w:rsidRDefault="000C643A" w14:paraId="5E604C80" w14:textId="77777777">
            <w:pPr>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Sakaguchi </w:t>
            </w: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2F63AD55" w14:textId="58FE2DB8">
            <w:pPr>
              <w:spacing w:line="240" w:lineRule="auto"/>
              <w:ind w:firstLine="0"/>
              <w:jc w:val="center"/>
              <w:textAlignment w:val="baseline"/>
              <w:rPr>
                <w:rFonts w:ascii="Segoe UI" w:hAnsi="Segoe UI" w:eastAsia="Times New Roman" w:cs="Segoe UI"/>
                <w:sz w:val="18"/>
                <w:szCs w:val="18"/>
              </w:rPr>
            </w:pPr>
          </w:p>
        </w:tc>
        <w:tc>
          <w:tcPr>
            <w:tcW w:w="990" w:type="dxa"/>
            <w:tcBorders>
              <w:top w:val="nil"/>
              <w:left w:val="nil"/>
              <w:bottom w:val="nil"/>
              <w:right w:val="single" w:color="000000" w:sz="6" w:space="0"/>
            </w:tcBorders>
            <w:shd w:val="clear" w:color="auto" w:fill="CCFFCC"/>
            <w:hideMark/>
          </w:tcPr>
          <w:p w:rsidRPr="004E4F71" w:rsidR="000C643A" w:rsidP="00061092" w:rsidRDefault="000C643A" w14:paraId="1DFD5FC3" w14:textId="2A2CD3C5">
            <w:pPr>
              <w:spacing w:line="240" w:lineRule="auto"/>
              <w:ind w:firstLine="0"/>
              <w:jc w:val="center"/>
              <w:textAlignment w:val="baseline"/>
              <w:rPr>
                <w:rFonts w:ascii="Segoe UI" w:hAnsi="Segoe UI" w:eastAsia="Times New Roman" w:cs="Segoe UI"/>
                <w:sz w:val="18"/>
                <w:szCs w:val="18"/>
              </w:rPr>
            </w:pPr>
          </w:p>
        </w:tc>
        <w:tc>
          <w:tcPr>
            <w:tcW w:w="810" w:type="dxa"/>
            <w:tcBorders>
              <w:top w:val="nil"/>
              <w:left w:val="nil"/>
              <w:bottom w:val="nil"/>
              <w:right w:val="single" w:color="000000" w:sz="6" w:space="0"/>
            </w:tcBorders>
            <w:shd w:val="clear" w:color="auto" w:fill="CCFFCC"/>
            <w:hideMark/>
          </w:tcPr>
          <w:p w:rsidRPr="004E4F71" w:rsidR="000C643A" w:rsidP="00061092" w:rsidRDefault="000C643A" w14:paraId="1C4F7311" w14:textId="14C503F0">
            <w:pPr>
              <w:spacing w:line="240" w:lineRule="auto"/>
              <w:ind w:firstLine="0"/>
              <w:jc w:val="center"/>
              <w:textAlignment w:val="baseline"/>
              <w:rPr>
                <w:rFonts w:ascii="Segoe UI" w:hAnsi="Segoe UI" w:eastAsia="Times New Roman" w:cs="Segoe UI"/>
                <w:sz w:val="18"/>
                <w:szCs w:val="18"/>
              </w:rPr>
            </w:pPr>
          </w:p>
        </w:tc>
        <w:tc>
          <w:tcPr>
            <w:tcW w:w="1620" w:type="dxa"/>
            <w:tcBorders>
              <w:top w:val="nil"/>
              <w:left w:val="nil"/>
              <w:bottom w:val="nil"/>
              <w:right w:val="single" w:color="000000" w:sz="6" w:space="0"/>
            </w:tcBorders>
            <w:shd w:val="clear" w:color="auto" w:fill="CCFFCC"/>
          </w:tcPr>
          <w:p w:rsidRPr="004E4F71" w:rsidR="000C643A" w:rsidP="00061092" w:rsidRDefault="000C643A" w14:paraId="2EFE01A2" w14:textId="1795F179">
            <w:pPr>
              <w:spacing w:line="240" w:lineRule="auto"/>
              <w:ind w:left="105" w:firstLine="0"/>
              <w:jc w:val="center"/>
              <w:textAlignment w:val="baseline"/>
              <w:rPr>
                <w:rFonts w:ascii="Segoe UI" w:hAnsi="Segoe UI" w:eastAsia="Times New Roman" w:cs="Segoe UI"/>
                <w:sz w:val="18"/>
                <w:szCs w:val="18"/>
              </w:rPr>
            </w:pPr>
          </w:p>
        </w:tc>
        <w:tc>
          <w:tcPr>
            <w:tcW w:w="1279" w:type="dxa"/>
            <w:tcBorders>
              <w:top w:val="nil"/>
              <w:left w:val="nil"/>
              <w:bottom w:val="nil"/>
              <w:right w:val="single" w:color="000000" w:sz="24" w:space="0"/>
            </w:tcBorders>
            <w:shd w:val="clear" w:color="auto" w:fill="CCFFCC"/>
            <w:hideMark/>
          </w:tcPr>
          <w:p w:rsidRPr="004E4F71" w:rsidR="000C643A" w:rsidP="000C643A" w:rsidRDefault="000C643A" w14:paraId="61916F01"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0"/>
                <w:szCs w:val="20"/>
              </w:rPr>
              <w:t>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0C643A" w:rsidP="000C643A" w:rsidRDefault="000C643A" w14:paraId="235C5A53" w14:textId="77777777">
            <w:pPr>
              <w:spacing w:line="240" w:lineRule="auto"/>
              <w:ind w:firstLine="0"/>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2901D747" w14:textId="77777777">
            <w:pPr>
              <w:spacing w:line="240" w:lineRule="auto"/>
              <w:ind w:firstLine="0"/>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46AC9051" w14:textId="77777777">
            <w:pPr>
              <w:spacing w:line="240" w:lineRule="auto"/>
              <w:ind w:firstLine="0"/>
              <w:rPr>
                <w:rFonts w:ascii="Segoe UI" w:hAnsi="Segoe UI" w:eastAsia="Times New Roman" w:cs="Segoe UI"/>
                <w:sz w:val="18"/>
                <w:szCs w:val="18"/>
              </w:rPr>
            </w:pPr>
          </w:p>
        </w:tc>
      </w:tr>
      <w:tr w:rsidRPr="004E4F71" w:rsidR="000C643A" w:rsidTr="00F56D9C" w14:paraId="6FD87378" w14:textId="77777777">
        <w:trPr>
          <w:trHeight w:val="65"/>
        </w:trPr>
        <w:tc>
          <w:tcPr>
            <w:tcW w:w="1440" w:type="dxa"/>
            <w:tcBorders>
              <w:top w:val="nil"/>
              <w:left w:val="single" w:color="000000" w:sz="6" w:space="0"/>
              <w:bottom w:val="single" w:color="000000" w:sz="6" w:space="0"/>
              <w:right w:val="single" w:color="000000" w:sz="6" w:space="0"/>
            </w:tcBorders>
            <w:shd w:val="clear" w:color="auto" w:fill="CCFFCC"/>
            <w:hideMark/>
          </w:tcPr>
          <w:p w:rsidRPr="004E4F71" w:rsidR="000C643A" w:rsidP="000C643A" w:rsidRDefault="000C643A" w14:paraId="7A5E1434"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810" w:type="dxa"/>
            <w:tcBorders>
              <w:top w:val="nil"/>
              <w:left w:val="nil"/>
              <w:bottom w:val="single" w:color="000000" w:sz="6" w:space="0"/>
              <w:right w:val="single" w:color="000000" w:sz="6" w:space="0"/>
            </w:tcBorders>
            <w:shd w:val="clear" w:color="auto" w:fill="CCFFCC"/>
            <w:hideMark/>
          </w:tcPr>
          <w:p w:rsidRPr="004E4F71" w:rsidR="000C643A" w:rsidP="000C643A" w:rsidRDefault="000C643A" w14:paraId="063A0043"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90" w:type="dxa"/>
            <w:tcBorders>
              <w:top w:val="nil"/>
              <w:left w:val="nil"/>
              <w:bottom w:val="single" w:color="000000" w:sz="6" w:space="0"/>
              <w:right w:val="single" w:color="000000" w:sz="6" w:space="0"/>
            </w:tcBorders>
            <w:shd w:val="clear" w:color="auto" w:fill="CCFFCC"/>
            <w:hideMark/>
          </w:tcPr>
          <w:p w:rsidRPr="004E4F71" w:rsidR="000C643A" w:rsidP="000C643A" w:rsidRDefault="000C643A" w14:paraId="7A28B712"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810" w:type="dxa"/>
            <w:tcBorders>
              <w:top w:val="nil"/>
              <w:left w:val="nil"/>
              <w:bottom w:val="single" w:color="000000" w:sz="6" w:space="0"/>
              <w:right w:val="single" w:color="000000" w:sz="6" w:space="0"/>
            </w:tcBorders>
            <w:shd w:val="clear" w:color="auto" w:fill="CCFFCC"/>
            <w:hideMark/>
          </w:tcPr>
          <w:p w:rsidRPr="004E4F71" w:rsidR="000C643A" w:rsidP="000C643A" w:rsidRDefault="000C643A" w14:paraId="0704183E"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1620" w:type="dxa"/>
            <w:tcBorders>
              <w:top w:val="nil"/>
              <w:left w:val="nil"/>
              <w:bottom w:val="single" w:color="000000" w:sz="6" w:space="0"/>
              <w:right w:val="single" w:color="000000" w:sz="6" w:space="0"/>
            </w:tcBorders>
            <w:shd w:val="clear" w:color="auto" w:fill="CCFFCC"/>
          </w:tcPr>
          <w:p w:rsidRPr="004E4F71" w:rsidR="000C643A" w:rsidP="000C643A" w:rsidRDefault="000C643A" w14:paraId="4322A8D0" w14:textId="6E5D7A8F">
            <w:pPr>
              <w:spacing w:line="240" w:lineRule="auto"/>
              <w:ind w:left="105" w:firstLine="0"/>
              <w:textAlignment w:val="baseline"/>
              <w:rPr>
                <w:rFonts w:ascii="Segoe UI" w:hAnsi="Segoe UI" w:eastAsia="Times New Roman" w:cs="Segoe UI"/>
                <w:sz w:val="18"/>
                <w:szCs w:val="18"/>
              </w:rPr>
            </w:pPr>
          </w:p>
        </w:tc>
        <w:tc>
          <w:tcPr>
            <w:tcW w:w="1279" w:type="dxa"/>
            <w:tcBorders>
              <w:top w:val="nil"/>
              <w:left w:val="nil"/>
              <w:bottom w:val="single" w:color="000000" w:sz="6" w:space="0"/>
              <w:right w:val="single" w:color="000000" w:sz="24" w:space="0"/>
            </w:tcBorders>
            <w:shd w:val="clear" w:color="auto" w:fill="CCFFCC"/>
            <w:hideMark/>
          </w:tcPr>
          <w:p w:rsidRPr="004E4F71" w:rsidR="000C643A" w:rsidP="000C643A" w:rsidRDefault="000C643A" w14:paraId="23B3066F" w14:textId="77777777">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 </w:t>
            </w:r>
          </w:p>
        </w:tc>
        <w:tc>
          <w:tcPr>
            <w:tcW w:w="920" w:type="dxa"/>
            <w:vMerge/>
            <w:tcBorders>
              <w:top w:val="nil"/>
              <w:left w:val="single" w:color="000000" w:sz="24" w:space="0"/>
              <w:bottom w:val="single" w:color="000000" w:sz="6" w:space="0"/>
              <w:right w:val="single" w:color="000000" w:sz="6" w:space="0"/>
            </w:tcBorders>
            <w:shd w:val="clear" w:color="auto" w:fill="auto"/>
            <w:vAlign w:val="center"/>
            <w:hideMark/>
          </w:tcPr>
          <w:p w:rsidRPr="004E4F71" w:rsidR="000C643A" w:rsidP="000C643A" w:rsidRDefault="000C643A" w14:paraId="260AA61E" w14:textId="77777777">
            <w:pPr>
              <w:spacing w:line="240" w:lineRule="auto"/>
              <w:ind w:firstLine="0"/>
              <w:rPr>
                <w:rFonts w:ascii="Segoe UI" w:hAnsi="Segoe UI" w:eastAsia="Times New Roman" w:cs="Segoe UI"/>
                <w:sz w:val="18"/>
                <w:szCs w:val="18"/>
              </w:rPr>
            </w:pPr>
          </w:p>
        </w:tc>
        <w:tc>
          <w:tcPr>
            <w:tcW w:w="1095"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0193A5EB" w14:textId="77777777">
            <w:pPr>
              <w:spacing w:line="240" w:lineRule="auto"/>
              <w:ind w:firstLine="0"/>
              <w:rPr>
                <w:rFonts w:ascii="Segoe UI" w:hAnsi="Segoe UI" w:eastAsia="Times New Roman" w:cs="Segoe UI"/>
                <w:sz w:val="18"/>
                <w:szCs w:val="18"/>
              </w:rPr>
            </w:pPr>
          </w:p>
        </w:tc>
        <w:tc>
          <w:tcPr>
            <w:tcW w:w="1552" w:type="dxa"/>
            <w:vMerge/>
            <w:tcBorders>
              <w:top w:val="nil"/>
              <w:left w:val="nil"/>
              <w:bottom w:val="single" w:color="000000" w:sz="6" w:space="0"/>
              <w:right w:val="single" w:color="000000" w:sz="6" w:space="0"/>
            </w:tcBorders>
            <w:shd w:val="clear" w:color="auto" w:fill="auto"/>
            <w:vAlign w:val="center"/>
            <w:hideMark/>
          </w:tcPr>
          <w:p w:rsidRPr="004E4F71" w:rsidR="000C643A" w:rsidP="000C643A" w:rsidRDefault="000C643A" w14:paraId="1850D3C2" w14:textId="77777777">
            <w:pPr>
              <w:spacing w:line="240" w:lineRule="auto"/>
              <w:ind w:firstLine="0"/>
              <w:rPr>
                <w:rFonts w:ascii="Segoe UI" w:hAnsi="Segoe UI" w:eastAsia="Times New Roman" w:cs="Segoe UI"/>
                <w:sz w:val="18"/>
                <w:szCs w:val="18"/>
              </w:rPr>
            </w:pPr>
          </w:p>
        </w:tc>
      </w:tr>
      <w:tr w:rsidRPr="004E4F71" w:rsidR="000C643A" w:rsidTr="00F56D9C" w14:paraId="15CE0C08" w14:textId="77777777">
        <w:trPr>
          <w:trHeight w:val="390"/>
        </w:trPr>
        <w:tc>
          <w:tcPr>
            <w:tcW w:w="6949" w:type="dxa"/>
            <w:gridSpan w:val="6"/>
            <w:tcBorders>
              <w:top w:val="nil"/>
              <w:left w:val="single" w:color="000000" w:sz="6" w:space="0"/>
              <w:bottom w:val="single" w:color="auto" w:sz="4" w:space="0"/>
              <w:right w:val="single" w:color="000000" w:sz="24" w:space="0"/>
            </w:tcBorders>
            <w:shd w:val="clear" w:color="auto" w:fill="auto"/>
            <w:hideMark/>
          </w:tcPr>
          <w:p w:rsidRPr="004E4F71" w:rsidR="000C643A" w:rsidP="000C643A" w:rsidRDefault="000C643A" w14:paraId="5DD2BE90" w14:textId="77777777">
            <w:pPr>
              <w:spacing w:line="240" w:lineRule="auto"/>
              <w:ind w:right="225"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Subtotal: $ 38,891</w:t>
            </w:r>
            <w:r w:rsidRPr="004E4F71">
              <w:rPr>
                <w:rFonts w:ascii="Times New Roman" w:hAnsi="Times New Roman" w:eastAsia="Times New Roman" w:cs="Times New Roman"/>
                <w:sz w:val="24"/>
                <w:szCs w:val="24"/>
              </w:rPr>
              <w:t> </w:t>
            </w:r>
          </w:p>
        </w:tc>
        <w:tc>
          <w:tcPr>
            <w:tcW w:w="3567" w:type="dxa"/>
            <w:gridSpan w:val="3"/>
            <w:tcBorders>
              <w:top w:val="nil"/>
              <w:left w:val="single" w:color="000000" w:sz="24" w:space="0"/>
              <w:bottom w:val="single" w:color="auto" w:sz="4" w:space="0"/>
              <w:right w:val="single" w:color="000000" w:sz="6" w:space="0"/>
            </w:tcBorders>
            <w:shd w:val="clear" w:color="auto" w:fill="auto"/>
            <w:hideMark/>
          </w:tcPr>
          <w:p w:rsidRPr="004E4F71" w:rsidR="000C643A" w:rsidP="000C643A" w:rsidRDefault="000C643A" w14:paraId="78E57533" w14:textId="6B42D9C4">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              </w:t>
            </w:r>
            <w:r w:rsidR="00061092">
              <w:rPr>
                <w:rFonts w:ascii="Times New Roman" w:hAnsi="Times New Roman" w:eastAsia="Times New Roman" w:cs="Times New Roman"/>
                <w:b/>
                <w:bCs/>
                <w:i/>
                <w:iCs/>
                <w:sz w:val="24"/>
                <w:szCs w:val="24"/>
              </w:rPr>
              <w:t xml:space="preserve">         </w:t>
            </w:r>
            <w:r w:rsidRPr="004E4F71">
              <w:rPr>
                <w:rFonts w:ascii="Times New Roman" w:hAnsi="Times New Roman" w:eastAsia="Times New Roman" w:cs="Times New Roman"/>
                <w:b/>
                <w:bCs/>
                <w:i/>
                <w:iCs/>
                <w:sz w:val="24"/>
                <w:szCs w:val="24"/>
              </w:rPr>
              <w:t>    Subtotal: $2</w:t>
            </w:r>
            <w:r w:rsidR="00994A99">
              <w:rPr>
                <w:rFonts w:ascii="Times New Roman" w:hAnsi="Times New Roman" w:eastAsia="Times New Roman" w:cs="Times New Roman"/>
                <w:b/>
                <w:bCs/>
                <w:i/>
                <w:iCs/>
                <w:sz w:val="24"/>
                <w:szCs w:val="24"/>
              </w:rPr>
              <w:t>8,</w:t>
            </w:r>
            <w:r w:rsidRPr="00CC1897" w:rsidR="00994A99">
              <w:rPr>
                <w:rFonts w:ascii="Times New Roman" w:hAnsi="Times New Roman" w:eastAsia="Times New Roman" w:cs="Times New Roman"/>
                <w:b/>
                <w:bCs/>
                <w:i/>
                <w:iCs/>
                <w:sz w:val="24"/>
                <w:szCs w:val="24"/>
              </w:rPr>
              <w:t>8</w:t>
            </w:r>
            <w:r w:rsidRPr="00D90DAE" w:rsidR="00CC1897">
              <w:rPr>
                <w:rFonts w:ascii="Times New Roman" w:hAnsi="Times New Roman" w:eastAsia="Times New Roman" w:cs="Times New Roman"/>
                <w:b/>
                <w:bCs/>
                <w:i/>
                <w:iCs/>
                <w:sz w:val="24"/>
                <w:szCs w:val="24"/>
              </w:rPr>
              <w:t>35</w:t>
            </w:r>
          </w:p>
        </w:tc>
      </w:tr>
      <w:tr w:rsidRPr="004E4F71" w:rsidR="000C643A" w:rsidTr="00F56D9C" w14:paraId="33B85B34" w14:textId="77777777">
        <w:trPr>
          <w:trHeight w:val="390"/>
        </w:trPr>
        <w:tc>
          <w:tcPr>
            <w:tcW w:w="10516" w:type="dxa"/>
            <w:gridSpan w:val="9"/>
            <w:tcBorders>
              <w:top w:val="single" w:color="auto" w:sz="4" w:space="0"/>
              <w:left w:val="single" w:color="000000" w:sz="6" w:space="0"/>
              <w:bottom w:val="single" w:color="000000" w:sz="6" w:space="0"/>
              <w:right w:val="single" w:color="000000" w:sz="6" w:space="0"/>
            </w:tcBorders>
            <w:shd w:val="clear" w:color="auto" w:fill="E6E6E6"/>
            <w:hideMark/>
          </w:tcPr>
          <w:p w:rsidRPr="004E4F71" w:rsidR="000C643A" w:rsidP="00061092" w:rsidRDefault="000C643A" w14:paraId="1CB054F7" w14:textId="77777777">
            <w:pPr>
              <w:keepNext/>
              <w:keepLines/>
              <w:spacing w:line="240" w:lineRule="auto"/>
              <w:ind w:left="1875" w:right="184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4"/>
                <w:szCs w:val="24"/>
              </w:rPr>
              <w:t>INTERVENOR COMPENSATION CLAIM PREPARATION **</w:t>
            </w:r>
            <w:r w:rsidRPr="004E4F71">
              <w:rPr>
                <w:rFonts w:ascii="Times New Roman" w:hAnsi="Times New Roman" w:eastAsia="Times New Roman" w:cs="Times New Roman"/>
                <w:sz w:val="24"/>
                <w:szCs w:val="24"/>
              </w:rPr>
              <w:t> </w:t>
            </w:r>
          </w:p>
        </w:tc>
      </w:tr>
      <w:tr w:rsidRPr="004E4F71" w:rsidR="000C643A" w:rsidTr="00F56D9C" w14:paraId="5C6C976C" w14:textId="77777777">
        <w:trPr>
          <w:trHeight w:val="615"/>
        </w:trPr>
        <w:tc>
          <w:tcPr>
            <w:tcW w:w="1440" w:type="dxa"/>
            <w:tcBorders>
              <w:top w:val="nil"/>
              <w:left w:val="single" w:color="000000" w:sz="6" w:space="0"/>
              <w:bottom w:val="single" w:color="000000" w:sz="6" w:space="0"/>
              <w:right w:val="single" w:color="000000" w:sz="6" w:space="0"/>
            </w:tcBorders>
            <w:shd w:val="clear" w:color="auto" w:fill="auto"/>
            <w:hideMark/>
          </w:tcPr>
          <w:p w:rsidRPr="004E4F71" w:rsidR="000C643A" w:rsidP="00F56D9C" w:rsidRDefault="000C643A" w14:paraId="428F9AB4" w14:textId="3075ED20">
            <w:pPr>
              <w:keepNext/>
              <w:keepLines/>
              <w:spacing w:line="240" w:lineRule="auto"/>
              <w:ind w:left="450" w:right="45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Item</w:t>
            </w:r>
          </w:p>
        </w:tc>
        <w:tc>
          <w:tcPr>
            <w:tcW w:w="810"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1A2EC9CE" w14:textId="3716AB5C">
            <w:pPr>
              <w:keepNext/>
              <w:keepLines/>
              <w:spacing w:line="240" w:lineRule="auto"/>
              <w:ind w:left="13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Year</w:t>
            </w:r>
          </w:p>
        </w:tc>
        <w:tc>
          <w:tcPr>
            <w:tcW w:w="990"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10009238" w14:textId="7BB8ADE1">
            <w:pPr>
              <w:spacing w:line="240" w:lineRule="auto"/>
              <w:ind w:left="345" w:right="105" w:hanging="195"/>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Hours</w:t>
            </w:r>
          </w:p>
        </w:tc>
        <w:tc>
          <w:tcPr>
            <w:tcW w:w="810"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00F63288" w14:textId="76F3792F">
            <w:pPr>
              <w:spacing w:line="240" w:lineRule="auto"/>
              <w:ind w:left="15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Rate</w:t>
            </w:r>
          </w:p>
        </w:tc>
        <w:tc>
          <w:tcPr>
            <w:tcW w:w="1620"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7FFD4A1E" w14:textId="757D085E">
            <w:pPr>
              <w:spacing w:line="240" w:lineRule="auto"/>
              <w:ind w:left="420" w:right="240" w:hanging="135"/>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Basis for Rate*</w:t>
            </w:r>
          </w:p>
        </w:tc>
        <w:tc>
          <w:tcPr>
            <w:tcW w:w="1279" w:type="dxa"/>
            <w:tcBorders>
              <w:top w:val="nil"/>
              <w:left w:val="nil"/>
              <w:bottom w:val="single" w:color="000000" w:sz="6" w:space="0"/>
              <w:right w:val="single" w:color="000000" w:sz="24" w:space="0"/>
            </w:tcBorders>
            <w:shd w:val="clear" w:color="auto" w:fill="auto"/>
            <w:hideMark/>
          </w:tcPr>
          <w:p w:rsidRPr="004E4F71" w:rsidR="000C643A" w:rsidP="00F56D9C" w:rsidRDefault="000C643A" w14:paraId="33116260" w14:textId="58B6E792">
            <w:pPr>
              <w:spacing w:line="240" w:lineRule="auto"/>
              <w:ind w:left="4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Total $</w:t>
            </w:r>
          </w:p>
        </w:tc>
        <w:tc>
          <w:tcPr>
            <w:tcW w:w="920" w:type="dxa"/>
            <w:tcBorders>
              <w:top w:val="nil"/>
              <w:left w:val="single" w:color="000000" w:sz="24" w:space="0"/>
              <w:bottom w:val="single" w:color="000000" w:sz="6" w:space="0"/>
              <w:right w:val="single" w:color="000000" w:sz="6" w:space="0"/>
            </w:tcBorders>
            <w:shd w:val="clear" w:color="auto" w:fill="auto"/>
            <w:hideMark/>
          </w:tcPr>
          <w:p w:rsidRPr="004E4F71" w:rsidR="000C643A" w:rsidP="00F56D9C" w:rsidRDefault="000C643A" w14:paraId="3CF7DD75" w14:textId="7BDEBBC1">
            <w:pPr>
              <w:spacing w:line="240" w:lineRule="auto"/>
              <w:ind w:left="120" w:right="12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Hours</w:t>
            </w:r>
          </w:p>
        </w:tc>
        <w:tc>
          <w:tcPr>
            <w:tcW w:w="1095"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0BF7B084" w14:textId="2AD5D4A6">
            <w:pPr>
              <w:spacing w:line="240" w:lineRule="auto"/>
              <w:ind w:left="300" w:right="28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Rate</w:t>
            </w:r>
          </w:p>
        </w:tc>
        <w:tc>
          <w:tcPr>
            <w:tcW w:w="1552"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383B77B8" w14:textId="684BAFC1">
            <w:pPr>
              <w:spacing w:line="240" w:lineRule="auto"/>
              <w:ind w:left="525" w:right="510"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b/>
                <w:bCs/>
                <w:sz w:val="22"/>
              </w:rPr>
              <w:t>Total $</w:t>
            </w:r>
          </w:p>
        </w:tc>
      </w:tr>
      <w:tr w:rsidRPr="004E4F71" w:rsidR="00AD6DEC" w:rsidTr="00F56D9C" w14:paraId="56C0BC48" w14:textId="77777777">
        <w:trPr>
          <w:trHeight w:val="660"/>
        </w:trPr>
        <w:tc>
          <w:tcPr>
            <w:tcW w:w="1440" w:type="dxa"/>
            <w:tcBorders>
              <w:top w:val="nil"/>
              <w:left w:val="single" w:color="000000" w:sz="6" w:space="0"/>
              <w:bottom w:val="single" w:color="000000" w:sz="6" w:space="0"/>
              <w:right w:val="single" w:color="000000" w:sz="6" w:space="0"/>
            </w:tcBorders>
            <w:shd w:val="clear" w:color="auto" w:fill="CCFFCC"/>
            <w:hideMark/>
          </w:tcPr>
          <w:p w:rsidRPr="004E4F71" w:rsidR="000C643A" w:rsidP="00061092" w:rsidRDefault="000C643A" w14:paraId="4CF9F24F" w14:textId="77777777">
            <w:pPr>
              <w:keepNext/>
              <w:keepLines/>
              <w:spacing w:line="240" w:lineRule="auto"/>
              <w:ind w:left="105" w:right="43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Deborah Behles </w:t>
            </w:r>
          </w:p>
        </w:tc>
        <w:tc>
          <w:tcPr>
            <w:tcW w:w="81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2BD1A601" w14:textId="32BEBAF5">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2020</w:t>
            </w:r>
          </w:p>
        </w:tc>
        <w:tc>
          <w:tcPr>
            <w:tcW w:w="99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24DA3E05" w14:textId="5A170B77">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10.7</w:t>
            </w:r>
          </w:p>
        </w:tc>
        <w:tc>
          <w:tcPr>
            <w:tcW w:w="81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638A0E7F" w14:textId="411FB27E">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$203</w:t>
            </w:r>
          </w:p>
        </w:tc>
        <w:tc>
          <w:tcPr>
            <w:tcW w:w="1620" w:type="dxa"/>
            <w:tcBorders>
              <w:top w:val="nil"/>
              <w:left w:val="nil"/>
              <w:bottom w:val="single" w:color="000000" w:sz="6" w:space="0"/>
              <w:right w:val="single" w:color="000000" w:sz="6" w:space="0"/>
            </w:tcBorders>
            <w:shd w:val="clear" w:color="auto" w:fill="CCFFCC"/>
            <w:hideMark/>
          </w:tcPr>
          <w:p w:rsidRPr="00F56D9C" w:rsidR="000C643A" w:rsidP="00F56D9C" w:rsidRDefault="000C643A" w14:paraId="425AFF52" w14:textId="0C8C4C3E">
            <w:pPr>
              <w:spacing w:line="240" w:lineRule="auto"/>
              <w:ind w:left="105" w:right="360" w:firstLine="0"/>
              <w:jc w:val="center"/>
              <w:textAlignment w:val="baseline"/>
              <w:rPr>
                <w:rFonts w:ascii="Segoe UI" w:hAnsi="Segoe UI" w:eastAsia="Times New Roman" w:cs="Segoe UI"/>
                <w:sz w:val="18"/>
                <w:szCs w:val="18"/>
              </w:rPr>
            </w:pPr>
            <w:r w:rsidRPr="00F56D9C">
              <w:rPr>
                <w:rFonts w:ascii="Times New Roman" w:hAnsi="Times New Roman" w:eastAsia="Times New Roman" w:cs="Times New Roman"/>
                <w:sz w:val="18"/>
                <w:szCs w:val="18"/>
              </w:rPr>
              <w:t>D.04-04- 012</w:t>
            </w:r>
          </w:p>
        </w:tc>
        <w:tc>
          <w:tcPr>
            <w:tcW w:w="1279" w:type="dxa"/>
            <w:tcBorders>
              <w:top w:val="nil"/>
              <w:left w:val="nil"/>
              <w:bottom w:val="single" w:color="000000" w:sz="6" w:space="0"/>
              <w:right w:val="single" w:color="000000" w:sz="24" w:space="0"/>
            </w:tcBorders>
            <w:shd w:val="clear" w:color="auto" w:fill="CCFFCC"/>
            <w:hideMark/>
          </w:tcPr>
          <w:p w:rsidRPr="004E4F71" w:rsidR="000C643A" w:rsidP="000C643A" w:rsidRDefault="000C643A" w14:paraId="3801B6D2" w14:textId="57BE74E5">
            <w:pPr>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$2,172.10 </w:t>
            </w:r>
          </w:p>
        </w:tc>
        <w:tc>
          <w:tcPr>
            <w:tcW w:w="920" w:type="dxa"/>
            <w:tcBorders>
              <w:top w:val="nil"/>
              <w:left w:val="single" w:color="000000" w:sz="24" w:space="0"/>
              <w:bottom w:val="single" w:color="000000" w:sz="6" w:space="0"/>
              <w:right w:val="single" w:color="000000" w:sz="6" w:space="0"/>
            </w:tcBorders>
            <w:shd w:val="clear" w:color="auto" w:fill="auto"/>
            <w:hideMark/>
          </w:tcPr>
          <w:p w:rsidRPr="004E4F71" w:rsidR="000C643A" w:rsidP="00F56D9C" w:rsidRDefault="00CC1897" w14:paraId="34CF5B73" w14:textId="096D2EDD">
            <w:pPr>
              <w:spacing w:line="240" w:lineRule="auto"/>
              <w:ind w:firstLine="0"/>
              <w:jc w:val="center"/>
              <w:textAlignment w:val="baseline"/>
              <w:rPr>
                <w:rFonts w:ascii="Segoe UI" w:hAnsi="Segoe UI" w:eastAsia="Times New Roman" w:cs="Segoe UI"/>
                <w:sz w:val="18"/>
                <w:szCs w:val="18"/>
              </w:rPr>
            </w:pPr>
            <w:r>
              <w:rPr>
                <w:rFonts w:ascii="Times New Roman" w:hAnsi="Times New Roman" w:eastAsia="Times New Roman" w:cs="Times New Roman"/>
                <w:sz w:val="22"/>
              </w:rPr>
              <w:t>6</w:t>
            </w:r>
            <w:r w:rsidRPr="004E4F71" w:rsidR="000C643A">
              <w:rPr>
                <w:rFonts w:ascii="Times New Roman" w:hAnsi="Times New Roman" w:eastAsia="Times New Roman" w:cs="Times New Roman"/>
                <w:sz w:val="22"/>
              </w:rPr>
              <w:t>[4]</w:t>
            </w:r>
          </w:p>
        </w:tc>
        <w:tc>
          <w:tcPr>
            <w:tcW w:w="1095"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11F4175B" w14:textId="3AA27BF2">
            <w:pPr>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$207.50[5]</w:t>
            </w:r>
          </w:p>
        </w:tc>
        <w:tc>
          <w:tcPr>
            <w:tcW w:w="1552"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5C30C9F6" w14:textId="1E7AF35F">
            <w:pPr>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w:t>
            </w:r>
            <w:r w:rsidR="00CC1897">
              <w:rPr>
                <w:rFonts w:ascii="Times New Roman" w:hAnsi="Times New Roman" w:eastAsia="Times New Roman" w:cs="Times New Roman"/>
                <w:sz w:val="22"/>
              </w:rPr>
              <w:t>1,245.00</w:t>
            </w:r>
          </w:p>
        </w:tc>
      </w:tr>
      <w:tr w:rsidRPr="004E4F71" w:rsidR="00AD6DEC" w:rsidTr="00F56D9C" w14:paraId="2E022495" w14:textId="77777777">
        <w:trPr>
          <w:trHeight w:val="1155"/>
        </w:trPr>
        <w:tc>
          <w:tcPr>
            <w:tcW w:w="1440" w:type="dxa"/>
            <w:tcBorders>
              <w:top w:val="nil"/>
              <w:left w:val="single" w:color="000000" w:sz="6" w:space="0"/>
              <w:bottom w:val="single" w:color="000000" w:sz="6" w:space="0"/>
              <w:right w:val="single" w:color="000000" w:sz="6" w:space="0"/>
            </w:tcBorders>
            <w:shd w:val="clear" w:color="auto" w:fill="CCFFCC"/>
            <w:hideMark/>
          </w:tcPr>
          <w:p w:rsidR="00AD6DEC" w:rsidP="00061092" w:rsidRDefault="000C643A" w14:paraId="18E31845" w14:textId="77777777">
            <w:pPr>
              <w:keepNext/>
              <w:keepLines/>
              <w:spacing w:line="240" w:lineRule="auto"/>
              <w:ind w:left="105" w:firstLine="0"/>
              <w:textAlignment w:val="baseline"/>
              <w:rPr>
                <w:rFonts w:ascii="Times New Roman" w:hAnsi="Times New Roman" w:eastAsia="Times New Roman" w:cs="Times New Roman"/>
                <w:sz w:val="24"/>
                <w:szCs w:val="24"/>
              </w:rPr>
            </w:pPr>
            <w:r w:rsidRPr="004E4F71">
              <w:rPr>
                <w:rFonts w:ascii="Times New Roman" w:hAnsi="Times New Roman" w:eastAsia="Times New Roman" w:cs="Times New Roman"/>
                <w:sz w:val="24"/>
                <w:szCs w:val="24"/>
              </w:rPr>
              <w:t>Shana </w:t>
            </w:r>
          </w:p>
          <w:p w:rsidRPr="004E4F71" w:rsidR="000C643A" w:rsidP="00061092" w:rsidRDefault="000C643A" w14:paraId="3B03EECC" w14:textId="68156C28">
            <w:pPr>
              <w:keepNext/>
              <w:keepLines/>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Lazerow </w:t>
            </w:r>
          </w:p>
        </w:tc>
        <w:tc>
          <w:tcPr>
            <w:tcW w:w="81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20ECDD61" w14:textId="780F5294">
            <w:pPr>
              <w:keepNext/>
              <w:keepLines/>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2020</w:t>
            </w:r>
          </w:p>
        </w:tc>
        <w:tc>
          <w:tcPr>
            <w:tcW w:w="99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39F5A0D7" w14:textId="7EDFEA8D">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4</w:t>
            </w:r>
          </w:p>
        </w:tc>
        <w:tc>
          <w:tcPr>
            <w:tcW w:w="810" w:type="dxa"/>
            <w:tcBorders>
              <w:top w:val="nil"/>
              <w:left w:val="nil"/>
              <w:bottom w:val="single" w:color="000000" w:sz="6" w:space="0"/>
              <w:right w:val="single" w:color="000000" w:sz="6" w:space="0"/>
            </w:tcBorders>
            <w:shd w:val="clear" w:color="auto" w:fill="CCFFCC"/>
            <w:hideMark/>
          </w:tcPr>
          <w:p w:rsidRPr="004E4F71" w:rsidR="000C643A" w:rsidP="00F56D9C" w:rsidRDefault="000C643A" w14:paraId="1F282057" w14:textId="6F362DEA">
            <w:pPr>
              <w:spacing w:line="240" w:lineRule="auto"/>
              <w:ind w:left="105"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$198</w:t>
            </w:r>
          </w:p>
        </w:tc>
        <w:tc>
          <w:tcPr>
            <w:tcW w:w="1620" w:type="dxa"/>
            <w:tcBorders>
              <w:top w:val="nil"/>
              <w:left w:val="nil"/>
              <w:bottom w:val="single" w:color="000000" w:sz="6" w:space="0"/>
              <w:right w:val="single" w:color="000000" w:sz="6" w:space="0"/>
            </w:tcBorders>
            <w:shd w:val="clear" w:color="auto" w:fill="CCFFCC"/>
            <w:hideMark/>
          </w:tcPr>
          <w:p w:rsidRPr="00F56D9C" w:rsidR="000C643A" w:rsidP="00F56D9C" w:rsidRDefault="000C643A" w14:paraId="616D60FA" w14:textId="7D559F17">
            <w:pPr>
              <w:spacing w:line="240" w:lineRule="auto"/>
              <w:ind w:left="105" w:right="360" w:firstLine="0"/>
              <w:jc w:val="center"/>
              <w:textAlignment w:val="baseline"/>
              <w:rPr>
                <w:rFonts w:ascii="Segoe UI" w:hAnsi="Segoe UI" w:eastAsia="Times New Roman" w:cs="Segoe UI"/>
                <w:sz w:val="18"/>
                <w:szCs w:val="18"/>
              </w:rPr>
            </w:pPr>
            <w:r w:rsidRPr="00F56D9C">
              <w:rPr>
                <w:rFonts w:ascii="Times New Roman" w:hAnsi="Times New Roman" w:eastAsia="Times New Roman" w:cs="Times New Roman"/>
                <w:sz w:val="18"/>
                <w:szCs w:val="18"/>
              </w:rPr>
              <w:t>D.04-04- 012</w:t>
            </w:r>
          </w:p>
        </w:tc>
        <w:tc>
          <w:tcPr>
            <w:tcW w:w="1279" w:type="dxa"/>
            <w:tcBorders>
              <w:top w:val="nil"/>
              <w:left w:val="nil"/>
              <w:bottom w:val="single" w:color="000000" w:sz="6" w:space="0"/>
              <w:right w:val="single" w:color="000000" w:sz="24" w:space="0"/>
            </w:tcBorders>
            <w:shd w:val="clear" w:color="auto" w:fill="CCFFCC"/>
            <w:hideMark/>
          </w:tcPr>
          <w:p w:rsidRPr="004E4F71" w:rsidR="000C643A" w:rsidP="000C643A" w:rsidRDefault="000C643A" w14:paraId="3C2E3994" w14:textId="77777777">
            <w:pPr>
              <w:spacing w:line="240" w:lineRule="auto"/>
              <w:ind w:left="105" w:firstLine="0"/>
              <w:textAlignment w:val="baseline"/>
              <w:rPr>
                <w:rFonts w:ascii="Segoe UI" w:hAnsi="Segoe UI" w:eastAsia="Times New Roman" w:cs="Segoe UI"/>
                <w:sz w:val="18"/>
                <w:szCs w:val="18"/>
              </w:rPr>
            </w:pPr>
            <w:r w:rsidRPr="004E4F71">
              <w:rPr>
                <w:rFonts w:ascii="Times New Roman" w:hAnsi="Times New Roman" w:eastAsia="Times New Roman" w:cs="Times New Roman"/>
                <w:sz w:val="24"/>
                <w:szCs w:val="24"/>
              </w:rPr>
              <w:t>$ 792.00 </w:t>
            </w:r>
          </w:p>
        </w:tc>
        <w:tc>
          <w:tcPr>
            <w:tcW w:w="920" w:type="dxa"/>
            <w:tcBorders>
              <w:top w:val="nil"/>
              <w:left w:val="single" w:color="000000" w:sz="24" w:space="0"/>
              <w:bottom w:val="single" w:color="000000" w:sz="6" w:space="0"/>
              <w:right w:val="single" w:color="000000" w:sz="6" w:space="0"/>
            </w:tcBorders>
            <w:shd w:val="clear" w:color="auto" w:fill="auto"/>
            <w:hideMark/>
          </w:tcPr>
          <w:p w:rsidRPr="004E4F71" w:rsidR="000C643A" w:rsidP="00F56D9C" w:rsidRDefault="000C643A" w14:paraId="5463A5AD" w14:textId="78549DAB">
            <w:pPr>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4</w:t>
            </w:r>
          </w:p>
        </w:tc>
        <w:tc>
          <w:tcPr>
            <w:tcW w:w="1095"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0DD7BF8F" w14:textId="0679BDEC">
            <w:pPr>
              <w:spacing w:line="240" w:lineRule="auto"/>
              <w:ind w:firstLine="0"/>
              <w:jc w:val="center"/>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$202.50[5]</w:t>
            </w:r>
          </w:p>
        </w:tc>
        <w:tc>
          <w:tcPr>
            <w:tcW w:w="1552" w:type="dxa"/>
            <w:tcBorders>
              <w:top w:val="nil"/>
              <w:left w:val="nil"/>
              <w:bottom w:val="single" w:color="000000" w:sz="6" w:space="0"/>
              <w:right w:val="single" w:color="000000" w:sz="6" w:space="0"/>
            </w:tcBorders>
            <w:shd w:val="clear" w:color="auto" w:fill="auto"/>
            <w:hideMark/>
          </w:tcPr>
          <w:p w:rsidRPr="004E4F71" w:rsidR="000C643A" w:rsidP="00F56D9C" w:rsidRDefault="000C643A" w14:paraId="28DC7F08" w14:textId="77777777">
            <w:pPr>
              <w:spacing w:line="240" w:lineRule="auto"/>
              <w:ind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sz w:val="22"/>
              </w:rPr>
              <w:t>$810.00 </w:t>
            </w:r>
          </w:p>
        </w:tc>
      </w:tr>
      <w:tr w:rsidRPr="004E4F71" w:rsidR="000C643A" w:rsidTr="000C643A" w14:paraId="5487B41E" w14:textId="77777777">
        <w:trPr>
          <w:trHeight w:val="390"/>
        </w:trPr>
        <w:tc>
          <w:tcPr>
            <w:tcW w:w="6949" w:type="dxa"/>
            <w:gridSpan w:val="6"/>
            <w:tcBorders>
              <w:top w:val="nil"/>
              <w:left w:val="single" w:color="000000" w:sz="6" w:space="0"/>
              <w:bottom w:val="single" w:color="000000" w:sz="6" w:space="0"/>
              <w:right w:val="single" w:color="000000" w:sz="24" w:space="0"/>
            </w:tcBorders>
            <w:shd w:val="clear" w:color="auto" w:fill="auto"/>
            <w:hideMark/>
          </w:tcPr>
          <w:p w:rsidRPr="004E4F71" w:rsidR="000C643A" w:rsidP="000C643A" w:rsidRDefault="000C643A" w14:paraId="23423755" w14:textId="77777777">
            <w:pPr>
              <w:spacing w:line="240" w:lineRule="auto"/>
              <w:ind w:right="210" w:firstLine="0"/>
              <w:jc w:val="right"/>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Subtotal: $ 2,964.10</w:t>
            </w:r>
            <w:r w:rsidRPr="004E4F71">
              <w:rPr>
                <w:rFonts w:ascii="Times New Roman" w:hAnsi="Times New Roman" w:eastAsia="Times New Roman" w:cs="Times New Roman"/>
                <w:sz w:val="24"/>
                <w:szCs w:val="24"/>
              </w:rPr>
              <w:t> </w:t>
            </w:r>
          </w:p>
        </w:tc>
        <w:tc>
          <w:tcPr>
            <w:tcW w:w="3567" w:type="dxa"/>
            <w:gridSpan w:val="3"/>
            <w:tcBorders>
              <w:top w:val="nil"/>
              <w:left w:val="single" w:color="000000" w:sz="24" w:space="0"/>
              <w:bottom w:val="single" w:color="000000" w:sz="6" w:space="0"/>
              <w:right w:val="single" w:color="000000" w:sz="6" w:space="0"/>
            </w:tcBorders>
            <w:shd w:val="clear" w:color="auto" w:fill="auto"/>
            <w:hideMark/>
          </w:tcPr>
          <w:p w:rsidRPr="004E4F71" w:rsidR="000C643A" w:rsidP="000C643A" w:rsidRDefault="000C643A" w14:paraId="3E516B21" w14:textId="7802EFF0">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                 </w:t>
            </w:r>
            <w:r>
              <w:rPr>
                <w:rFonts w:ascii="Times New Roman" w:hAnsi="Times New Roman" w:eastAsia="Times New Roman" w:cs="Times New Roman"/>
                <w:b/>
                <w:bCs/>
                <w:i/>
                <w:iCs/>
                <w:sz w:val="24"/>
                <w:szCs w:val="24"/>
              </w:rPr>
              <w:t xml:space="preserve">        </w:t>
            </w:r>
            <w:r w:rsidRPr="004E4F71">
              <w:rPr>
                <w:rFonts w:ascii="Times New Roman" w:hAnsi="Times New Roman" w:eastAsia="Times New Roman" w:cs="Times New Roman"/>
                <w:b/>
                <w:bCs/>
                <w:i/>
                <w:iCs/>
                <w:sz w:val="24"/>
                <w:szCs w:val="24"/>
              </w:rPr>
              <w:t>Subtotal: $</w:t>
            </w:r>
            <w:r w:rsidR="00CC1897">
              <w:rPr>
                <w:rFonts w:ascii="Times New Roman" w:hAnsi="Times New Roman" w:eastAsia="Times New Roman" w:cs="Times New Roman"/>
                <w:b/>
                <w:bCs/>
                <w:i/>
                <w:iCs/>
                <w:sz w:val="24"/>
                <w:szCs w:val="24"/>
              </w:rPr>
              <w:t>2,055.00</w:t>
            </w:r>
            <w:r w:rsidRPr="004E4F71">
              <w:rPr>
                <w:rFonts w:ascii="Times New Roman" w:hAnsi="Times New Roman" w:eastAsia="Times New Roman" w:cs="Times New Roman"/>
                <w:sz w:val="24"/>
                <w:szCs w:val="24"/>
              </w:rPr>
              <w:t> </w:t>
            </w:r>
          </w:p>
        </w:tc>
      </w:tr>
      <w:tr w:rsidRPr="004E4F71" w:rsidR="000C643A" w:rsidTr="000C643A" w14:paraId="4FFC0AF5" w14:textId="77777777">
        <w:trPr>
          <w:trHeight w:val="390"/>
        </w:trPr>
        <w:tc>
          <w:tcPr>
            <w:tcW w:w="6949" w:type="dxa"/>
            <w:gridSpan w:val="6"/>
            <w:tcBorders>
              <w:top w:val="nil"/>
              <w:left w:val="single" w:color="000000" w:sz="6" w:space="0"/>
              <w:bottom w:val="single" w:color="000000" w:sz="6" w:space="0"/>
              <w:right w:val="single" w:color="000000" w:sz="24" w:space="0"/>
            </w:tcBorders>
            <w:shd w:val="clear" w:color="auto" w:fill="E6E6E6"/>
            <w:hideMark/>
          </w:tcPr>
          <w:p w:rsidRPr="004E4F71" w:rsidR="000C643A" w:rsidP="000C643A" w:rsidRDefault="000C643A" w14:paraId="7515C8A6" w14:textId="77777777">
            <w:pPr>
              <w:spacing w:line="240" w:lineRule="auto"/>
              <w:ind w:left="3360"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TOTAL REQUEST: $ 41,854.80</w:t>
            </w:r>
            <w:r w:rsidRPr="004E4F71">
              <w:rPr>
                <w:rFonts w:ascii="Times New Roman" w:hAnsi="Times New Roman" w:eastAsia="Times New Roman" w:cs="Times New Roman"/>
                <w:sz w:val="24"/>
                <w:szCs w:val="24"/>
              </w:rPr>
              <w:t> </w:t>
            </w:r>
          </w:p>
        </w:tc>
        <w:tc>
          <w:tcPr>
            <w:tcW w:w="3567" w:type="dxa"/>
            <w:gridSpan w:val="3"/>
            <w:tcBorders>
              <w:top w:val="nil"/>
              <w:left w:val="single" w:color="000000" w:sz="24" w:space="0"/>
              <w:bottom w:val="single" w:color="000000" w:sz="6" w:space="0"/>
              <w:right w:val="single" w:color="000000" w:sz="6" w:space="0"/>
            </w:tcBorders>
            <w:shd w:val="clear" w:color="auto" w:fill="E6E6E6"/>
            <w:hideMark/>
          </w:tcPr>
          <w:p w:rsidRPr="004E4F71" w:rsidR="000C643A" w:rsidP="000C643A" w:rsidRDefault="000C643A" w14:paraId="5FBF7BC5" w14:textId="72DAD7E8">
            <w:pPr>
              <w:spacing w:line="240" w:lineRule="auto"/>
              <w:ind w:firstLine="0"/>
              <w:textAlignment w:val="baseline"/>
              <w:rPr>
                <w:rFonts w:ascii="Segoe UI" w:hAnsi="Segoe UI" w:eastAsia="Times New Roman" w:cs="Segoe UI"/>
                <w:sz w:val="18"/>
                <w:szCs w:val="18"/>
              </w:rPr>
            </w:pPr>
            <w:r w:rsidRPr="004E4F71">
              <w:rPr>
                <w:rFonts w:ascii="Times New Roman" w:hAnsi="Times New Roman" w:eastAsia="Times New Roman" w:cs="Times New Roman"/>
                <w:b/>
                <w:bCs/>
                <w:i/>
                <w:iCs/>
                <w:sz w:val="24"/>
                <w:szCs w:val="24"/>
              </w:rPr>
              <w:t>  </w:t>
            </w:r>
            <w:r>
              <w:rPr>
                <w:rFonts w:ascii="Times New Roman" w:hAnsi="Times New Roman" w:eastAsia="Times New Roman" w:cs="Times New Roman"/>
                <w:b/>
                <w:bCs/>
                <w:i/>
                <w:iCs/>
                <w:sz w:val="24"/>
                <w:szCs w:val="24"/>
              </w:rPr>
              <w:t xml:space="preserve">       </w:t>
            </w:r>
            <w:r w:rsidRPr="004E4F71">
              <w:rPr>
                <w:rFonts w:ascii="Times New Roman" w:hAnsi="Times New Roman" w:eastAsia="Times New Roman" w:cs="Times New Roman"/>
                <w:b/>
                <w:bCs/>
                <w:i/>
                <w:iCs/>
                <w:sz w:val="24"/>
                <w:szCs w:val="24"/>
              </w:rPr>
              <w:t>TOTAL AWARD</w:t>
            </w:r>
            <w:bookmarkStart w:name="_Hlk65051182" w:id="11"/>
            <w:r w:rsidRPr="004E4F71">
              <w:rPr>
                <w:rFonts w:ascii="Times New Roman" w:hAnsi="Times New Roman" w:eastAsia="Times New Roman" w:cs="Times New Roman"/>
                <w:b/>
                <w:bCs/>
                <w:i/>
                <w:iCs/>
                <w:sz w:val="24"/>
                <w:szCs w:val="24"/>
              </w:rPr>
              <w:t>: $3</w:t>
            </w:r>
            <w:r w:rsidR="009D7D7D">
              <w:rPr>
                <w:rFonts w:ascii="Times New Roman" w:hAnsi="Times New Roman" w:eastAsia="Times New Roman" w:cs="Times New Roman"/>
                <w:b/>
                <w:bCs/>
                <w:i/>
                <w:iCs/>
                <w:sz w:val="24"/>
                <w:szCs w:val="24"/>
              </w:rPr>
              <w:t>0,</w:t>
            </w:r>
            <w:r w:rsidR="00CC1897">
              <w:rPr>
                <w:rFonts w:ascii="Times New Roman" w:hAnsi="Times New Roman" w:eastAsia="Times New Roman" w:cs="Times New Roman"/>
                <w:b/>
                <w:bCs/>
                <w:i/>
                <w:iCs/>
                <w:sz w:val="24"/>
                <w:szCs w:val="24"/>
              </w:rPr>
              <w:t>890.00</w:t>
            </w:r>
            <w:r w:rsidRPr="004E4F71">
              <w:rPr>
                <w:rFonts w:ascii="Times New Roman" w:hAnsi="Times New Roman" w:eastAsia="Times New Roman" w:cs="Times New Roman"/>
                <w:sz w:val="24"/>
                <w:szCs w:val="24"/>
              </w:rPr>
              <w:t> </w:t>
            </w:r>
            <w:bookmarkEnd w:id="11"/>
          </w:p>
        </w:tc>
      </w:tr>
    </w:tbl>
    <w:p w:rsidR="000C643A" w:rsidP="00E067DA" w:rsidRDefault="000C643A" w14:paraId="0F55F9BA" w14:textId="441CCF66">
      <w:pPr>
        <w:pStyle w:val="Heading2"/>
        <w:ind w:left="900" w:hanging="540"/>
      </w:pPr>
      <w:r>
        <w:lastRenderedPageBreak/>
        <w:t>Table 2:</w:t>
      </w:r>
      <w:r w:rsidR="00D049E8">
        <w:t xml:space="preserve"> </w:t>
      </w:r>
      <w:r>
        <w:t xml:space="preserve"> Commission C</w:t>
      </w:r>
      <w:r w:rsidRPr="00A55CD2">
        <w:t>omments, Disallowances, and Adjustments</w:t>
      </w:r>
    </w:p>
    <w:tbl>
      <w:tblPr>
        <w:tblStyle w:val="TableGrid"/>
        <w:tblW w:w="0" w:type="auto"/>
        <w:tblLook w:val="04A0" w:firstRow="1" w:lastRow="0" w:firstColumn="1" w:lastColumn="0" w:noHBand="0" w:noVBand="1"/>
      </w:tblPr>
      <w:tblGrid>
        <w:gridCol w:w="3055"/>
        <w:gridCol w:w="6295"/>
      </w:tblGrid>
      <w:tr w:rsidR="00ED0C98" w:rsidTr="00ED0C98" w14:paraId="0F44A44E" w14:textId="77777777">
        <w:tc>
          <w:tcPr>
            <w:tcW w:w="3055" w:type="dxa"/>
          </w:tcPr>
          <w:p w:rsidR="00ED0C98" w:rsidP="00E067DA" w:rsidRDefault="00CC089F" w14:paraId="61CFD719" w14:textId="6C5CC3DA">
            <w:pPr>
              <w:pStyle w:val="Standard"/>
              <w:keepNext/>
              <w:keepLines/>
              <w:ind w:firstLine="0"/>
            </w:pPr>
            <w:r>
              <w:rPr>
                <w:rFonts w:ascii="Times New Roman" w:hAnsi="Times New Roman" w:eastAsia="Times New Roman" w:cs="Times New Roman"/>
                <w:sz w:val="24"/>
                <w:szCs w:val="24"/>
              </w:rPr>
              <w:t xml:space="preserve">[1] </w:t>
            </w:r>
            <w:r w:rsidRPr="004E4F71" w:rsidR="00ED0C98">
              <w:rPr>
                <w:rFonts w:ascii="Times New Roman" w:hAnsi="Times New Roman" w:eastAsia="Times New Roman" w:cs="Times New Roman"/>
                <w:sz w:val="24"/>
                <w:szCs w:val="24"/>
              </w:rPr>
              <w:t>Behles</w:t>
            </w:r>
            <w:r w:rsidR="00ED0C98">
              <w:rPr>
                <w:rFonts w:ascii="Times New Roman" w:hAnsi="Times New Roman" w:eastAsia="Times New Roman" w:cs="Times New Roman"/>
                <w:sz w:val="24"/>
                <w:szCs w:val="24"/>
              </w:rPr>
              <w:t xml:space="preserve"> hours claimed</w:t>
            </w:r>
          </w:p>
        </w:tc>
        <w:tc>
          <w:tcPr>
            <w:tcW w:w="6295" w:type="dxa"/>
          </w:tcPr>
          <w:p w:rsidRPr="00000753" w:rsidR="00ED0C98" w:rsidP="00E067DA" w:rsidRDefault="00000753" w14:paraId="7D7BBE68" w14:textId="6C98F03E">
            <w:pPr>
              <w:pStyle w:val="Standard"/>
              <w:keepNext/>
              <w:keepLines/>
              <w:spacing w:line="240" w:lineRule="auto"/>
              <w:ind w:firstLine="0"/>
              <w:rPr>
                <w:rFonts w:ascii="Times New Roman" w:hAnsi="Times New Roman" w:cs="Times New Roman"/>
                <w:sz w:val="24"/>
                <w:szCs w:val="20"/>
              </w:rPr>
            </w:pPr>
            <w:r>
              <w:rPr>
                <w:rFonts w:ascii="Times New Roman" w:hAnsi="Times New Roman" w:cs="Times New Roman"/>
                <w:sz w:val="24"/>
                <w:szCs w:val="20"/>
              </w:rPr>
              <w:t>Attorney Behles’ hours claimed are reduced by 22.1 hours to better reflect CEJA’s contribution to the WSD resolutions</w:t>
            </w:r>
            <w:r w:rsidR="00826FC7">
              <w:rPr>
                <w:rFonts w:ascii="Times New Roman" w:hAnsi="Times New Roman" w:cs="Times New Roman"/>
                <w:sz w:val="24"/>
                <w:szCs w:val="20"/>
              </w:rPr>
              <w:t xml:space="preserve">. Many of Behles’ timesheet entries were </w:t>
            </w:r>
            <w:r>
              <w:rPr>
                <w:rFonts w:ascii="Times New Roman" w:hAnsi="Times New Roman" w:cs="Times New Roman"/>
                <w:sz w:val="24"/>
                <w:szCs w:val="20"/>
              </w:rPr>
              <w:t>for “continue to review” different documents</w:t>
            </w:r>
            <w:r w:rsidR="00826FC7">
              <w:rPr>
                <w:rFonts w:ascii="Times New Roman" w:hAnsi="Times New Roman" w:cs="Times New Roman"/>
                <w:sz w:val="24"/>
                <w:szCs w:val="20"/>
              </w:rPr>
              <w:t>, some of which</w:t>
            </w:r>
            <w:r>
              <w:rPr>
                <w:rFonts w:ascii="Times New Roman" w:hAnsi="Times New Roman" w:cs="Times New Roman"/>
                <w:sz w:val="24"/>
                <w:szCs w:val="20"/>
              </w:rPr>
              <w:t xml:space="preserve"> were deducted</w:t>
            </w:r>
            <w:r w:rsidR="00826FC7">
              <w:rPr>
                <w:rFonts w:ascii="Times New Roman" w:hAnsi="Times New Roman" w:cs="Times New Roman"/>
                <w:sz w:val="24"/>
                <w:szCs w:val="20"/>
              </w:rPr>
              <w:t xml:space="preserve"> given the number of pages CEJA filed in response to the four resolutions</w:t>
            </w:r>
            <w:r>
              <w:rPr>
                <w:rFonts w:ascii="Times New Roman" w:hAnsi="Times New Roman" w:cs="Times New Roman"/>
                <w:sz w:val="24"/>
                <w:szCs w:val="20"/>
              </w:rPr>
              <w:t xml:space="preserve">. Another 4 hours were deducted to reflect the time spent on </w:t>
            </w:r>
            <w:r w:rsidR="005145B7">
              <w:rPr>
                <w:rFonts w:ascii="Times New Roman" w:hAnsi="Times New Roman" w:cs="Times New Roman"/>
                <w:sz w:val="24"/>
                <w:szCs w:val="20"/>
              </w:rPr>
              <w:t xml:space="preserve">SCE and </w:t>
            </w:r>
            <w:r>
              <w:rPr>
                <w:rFonts w:ascii="Times New Roman" w:hAnsi="Times New Roman" w:cs="Times New Roman"/>
                <w:sz w:val="24"/>
                <w:szCs w:val="20"/>
              </w:rPr>
              <w:t>SDG&amp;E’s executive compensation letter</w:t>
            </w:r>
            <w:r w:rsidR="005145B7">
              <w:rPr>
                <w:rFonts w:ascii="Times New Roman" w:hAnsi="Times New Roman" w:cs="Times New Roman"/>
                <w:sz w:val="24"/>
                <w:szCs w:val="20"/>
              </w:rPr>
              <w:t>s</w:t>
            </w:r>
            <w:r w:rsidR="00826FC7">
              <w:rPr>
                <w:rFonts w:ascii="Times New Roman" w:hAnsi="Times New Roman" w:cs="Times New Roman"/>
                <w:sz w:val="24"/>
                <w:szCs w:val="20"/>
              </w:rPr>
              <w:t>, which is ineligible for compensation under Section 18</w:t>
            </w:r>
            <w:r w:rsidR="00315F57">
              <w:rPr>
                <w:rFonts w:ascii="Times New Roman" w:hAnsi="Times New Roman" w:cs="Times New Roman"/>
                <w:sz w:val="24"/>
                <w:szCs w:val="20"/>
              </w:rPr>
              <w:t>02(g)</w:t>
            </w:r>
            <w:r w:rsidR="00826FC7">
              <w:rPr>
                <w:rFonts w:ascii="Times New Roman" w:hAnsi="Times New Roman" w:cs="Times New Roman"/>
                <w:sz w:val="24"/>
                <w:szCs w:val="20"/>
              </w:rPr>
              <w:t>.</w:t>
            </w:r>
          </w:p>
        </w:tc>
      </w:tr>
      <w:tr w:rsidR="00ED0C98" w:rsidTr="00ED0C98" w14:paraId="67B8C1CF" w14:textId="77777777">
        <w:tc>
          <w:tcPr>
            <w:tcW w:w="3055" w:type="dxa"/>
          </w:tcPr>
          <w:p w:rsidR="00ED0C98" w:rsidP="00E067DA" w:rsidRDefault="00CC089F" w14:paraId="575FF603" w14:textId="5140FE6A">
            <w:pPr>
              <w:pStyle w:val="Standard"/>
              <w:keepNext/>
              <w:keepLines/>
              <w:ind w:firstLine="0"/>
            </w:pPr>
            <w:r>
              <w:rPr>
                <w:rFonts w:ascii="Times New Roman" w:hAnsi="Times New Roman" w:eastAsia="Times New Roman" w:cs="Times New Roman"/>
                <w:sz w:val="24"/>
                <w:szCs w:val="24"/>
              </w:rPr>
              <w:t xml:space="preserve">[2] </w:t>
            </w:r>
            <w:r w:rsidR="00ED0C98">
              <w:rPr>
                <w:rFonts w:ascii="Times New Roman" w:hAnsi="Times New Roman" w:eastAsia="Times New Roman" w:cs="Times New Roman"/>
                <w:sz w:val="24"/>
                <w:szCs w:val="24"/>
              </w:rPr>
              <w:t>Approved 2020 rates</w:t>
            </w:r>
          </w:p>
        </w:tc>
        <w:tc>
          <w:tcPr>
            <w:tcW w:w="6295" w:type="dxa"/>
          </w:tcPr>
          <w:p w:rsidRPr="00000753" w:rsidR="00ED0C98" w:rsidP="00E067DA" w:rsidRDefault="00000753" w14:paraId="176DBB57" w14:textId="1C39114D">
            <w:pPr>
              <w:pStyle w:val="Standard"/>
              <w:keepNext/>
              <w:keepLines/>
              <w:spacing w:line="240" w:lineRule="auto"/>
              <w:ind w:firstLine="0"/>
              <w:rPr>
                <w:rFonts w:ascii="Times New Roman" w:hAnsi="Times New Roman" w:cs="Times New Roman"/>
                <w:sz w:val="24"/>
                <w:szCs w:val="20"/>
              </w:rPr>
            </w:pPr>
            <w:r>
              <w:rPr>
                <w:rFonts w:ascii="Times New Roman" w:hAnsi="Times New Roman" w:cs="Times New Roman"/>
                <w:sz w:val="24"/>
                <w:szCs w:val="20"/>
              </w:rPr>
              <w:t>The rates approved in Table 1 above reflect the 2020 COLA adopted in Resolution ALJ-387.</w:t>
            </w:r>
          </w:p>
        </w:tc>
      </w:tr>
      <w:tr w:rsidR="00ED0C98" w:rsidTr="00ED0C98" w14:paraId="30FADAD0" w14:textId="77777777">
        <w:tc>
          <w:tcPr>
            <w:tcW w:w="3055" w:type="dxa"/>
          </w:tcPr>
          <w:p w:rsidRPr="00ED0C98" w:rsidR="00ED0C98" w:rsidP="00E067DA" w:rsidRDefault="00826FC7" w14:paraId="35F00DCC" w14:textId="7D4DF64C">
            <w:pPr>
              <w:pStyle w:val="Standard"/>
              <w:keepNext/>
              <w:keepLines/>
              <w:ind w:firstLine="0"/>
              <w:rPr>
                <w:rFonts w:ascii="Times New Roman" w:hAnsi="Times New Roman" w:cs="Times New Roman"/>
              </w:rPr>
            </w:pPr>
            <w:r>
              <w:rPr>
                <w:rFonts w:ascii="Times New Roman" w:hAnsi="Times New Roman" w:cs="Times New Roman"/>
                <w:sz w:val="24"/>
                <w:szCs w:val="20"/>
              </w:rPr>
              <w:t xml:space="preserve">[3] </w:t>
            </w:r>
            <w:r w:rsidRPr="00ED0C98" w:rsidR="00ED0C98">
              <w:rPr>
                <w:rFonts w:ascii="Times New Roman" w:hAnsi="Times New Roman" w:cs="Times New Roman"/>
                <w:sz w:val="24"/>
                <w:szCs w:val="20"/>
              </w:rPr>
              <w:t>Lazerow hours claimed</w:t>
            </w:r>
          </w:p>
        </w:tc>
        <w:tc>
          <w:tcPr>
            <w:tcW w:w="6295" w:type="dxa"/>
          </w:tcPr>
          <w:p w:rsidR="00ED0C98" w:rsidP="00E067DA" w:rsidRDefault="00000753" w14:paraId="554E1EA7" w14:textId="63EFBACB">
            <w:pPr>
              <w:pStyle w:val="Standard"/>
              <w:keepNext/>
              <w:keepLines/>
              <w:spacing w:line="240" w:lineRule="auto"/>
              <w:ind w:firstLine="0"/>
            </w:pPr>
            <w:r>
              <w:rPr>
                <w:rFonts w:ascii="Times New Roman" w:hAnsi="Times New Roman" w:cs="Times New Roman"/>
                <w:sz w:val="24"/>
                <w:szCs w:val="20"/>
              </w:rPr>
              <w:t xml:space="preserve">0.4 of Attorney Lazerow’s hours claimed were deducted to reflect the time </w:t>
            </w:r>
            <w:r w:rsidR="005145B7">
              <w:rPr>
                <w:rFonts w:ascii="Times New Roman" w:hAnsi="Times New Roman" w:cs="Times New Roman"/>
                <w:sz w:val="24"/>
                <w:szCs w:val="20"/>
              </w:rPr>
              <w:t>spent on SCE’s executive compensation letter</w:t>
            </w:r>
            <w:r w:rsidR="00ED1850">
              <w:rPr>
                <w:rFonts w:ascii="Times New Roman" w:hAnsi="Times New Roman" w:cs="Times New Roman"/>
                <w:sz w:val="24"/>
                <w:szCs w:val="20"/>
              </w:rPr>
              <w:t>, which is ineligible for compensation under Section 18</w:t>
            </w:r>
            <w:r w:rsidR="00315F57">
              <w:rPr>
                <w:rFonts w:ascii="Times New Roman" w:hAnsi="Times New Roman" w:cs="Times New Roman"/>
                <w:sz w:val="24"/>
                <w:szCs w:val="20"/>
              </w:rPr>
              <w:t>02(g)</w:t>
            </w:r>
            <w:r w:rsidR="00ED1850">
              <w:rPr>
                <w:rFonts w:ascii="Times New Roman" w:hAnsi="Times New Roman" w:cs="Times New Roman"/>
                <w:sz w:val="24"/>
                <w:szCs w:val="20"/>
              </w:rPr>
              <w:t>.</w:t>
            </w:r>
          </w:p>
        </w:tc>
      </w:tr>
      <w:tr w:rsidR="00ED0C98" w:rsidTr="00ED0C98" w14:paraId="69179316" w14:textId="77777777">
        <w:tc>
          <w:tcPr>
            <w:tcW w:w="3055" w:type="dxa"/>
          </w:tcPr>
          <w:p w:rsidRPr="00ED0C98" w:rsidR="00ED0C98" w:rsidP="00E067DA" w:rsidRDefault="00826FC7" w14:paraId="22A937DA" w14:textId="5CC1CFC5">
            <w:pPr>
              <w:pStyle w:val="Standard"/>
              <w:keepNext/>
              <w:keepLines/>
              <w:spacing w:line="240" w:lineRule="auto"/>
              <w:ind w:firstLine="0"/>
              <w:rPr>
                <w:rFonts w:ascii="Times New Roman" w:hAnsi="Times New Roman" w:cs="Times New Roman"/>
              </w:rPr>
            </w:pPr>
            <w:r>
              <w:rPr>
                <w:rFonts w:ascii="Times New Roman" w:hAnsi="Times New Roman" w:cs="Times New Roman"/>
                <w:sz w:val="24"/>
                <w:szCs w:val="20"/>
              </w:rPr>
              <w:t xml:space="preserve">[4] </w:t>
            </w:r>
            <w:r w:rsidRPr="00000753" w:rsidR="00ED0C98">
              <w:rPr>
                <w:rFonts w:ascii="Times New Roman" w:hAnsi="Times New Roman" w:cs="Times New Roman"/>
                <w:sz w:val="24"/>
                <w:szCs w:val="20"/>
              </w:rPr>
              <w:t>Behles</w:t>
            </w:r>
            <w:r w:rsidRPr="00ED0C98" w:rsidR="00ED0C98">
              <w:rPr>
                <w:rFonts w:ascii="Times New Roman" w:hAnsi="Times New Roman" w:cs="Times New Roman"/>
                <w:sz w:val="24"/>
                <w:szCs w:val="20"/>
              </w:rPr>
              <w:t xml:space="preserve"> ICOMP preparation hours claimed</w:t>
            </w:r>
          </w:p>
        </w:tc>
        <w:tc>
          <w:tcPr>
            <w:tcW w:w="6295" w:type="dxa"/>
          </w:tcPr>
          <w:p w:rsidR="00ED0C98" w:rsidP="00E067DA" w:rsidRDefault="005145B7" w14:paraId="50D07B50" w14:textId="0BDF818E">
            <w:pPr>
              <w:pStyle w:val="Standard"/>
              <w:keepNext/>
              <w:keepLines/>
              <w:spacing w:line="240" w:lineRule="auto"/>
              <w:ind w:firstLine="0"/>
            </w:pPr>
            <w:r>
              <w:rPr>
                <w:rFonts w:ascii="Times New Roman" w:hAnsi="Times New Roman" w:cs="Times New Roman"/>
                <w:sz w:val="24"/>
                <w:szCs w:val="20"/>
              </w:rPr>
              <w:t xml:space="preserve">The bulk of CEJA’s application was included as documentation for other ICOMP claims referenced in its application; as such we consider Behles’ claim for more than 10 hours to complete the ICOMP claim documentation, on top of Lazerow’s 4 hours, to be indefensible. We reduce Behles’ claimed time to prepare the ICOMP claim by </w:t>
            </w:r>
            <w:r w:rsidR="00D579B9">
              <w:rPr>
                <w:rFonts w:ascii="Times New Roman" w:hAnsi="Times New Roman" w:cs="Times New Roman"/>
                <w:sz w:val="24"/>
                <w:szCs w:val="20"/>
              </w:rPr>
              <w:t>4</w:t>
            </w:r>
            <w:r>
              <w:rPr>
                <w:rFonts w:ascii="Times New Roman" w:hAnsi="Times New Roman" w:cs="Times New Roman"/>
                <w:sz w:val="24"/>
                <w:szCs w:val="20"/>
              </w:rPr>
              <w:t xml:space="preserve">.7 hours, and award </w:t>
            </w:r>
            <w:r w:rsidR="00D579B9">
              <w:rPr>
                <w:rFonts w:ascii="Times New Roman" w:hAnsi="Times New Roman" w:cs="Times New Roman"/>
                <w:sz w:val="24"/>
                <w:szCs w:val="20"/>
              </w:rPr>
              <w:t xml:space="preserve">6 </w:t>
            </w:r>
            <w:r>
              <w:rPr>
                <w:rFonts w:ascii="Times New Roman" w:hAnsi="Times New Roman" w:cs="Times New Roman"/>
                <w:sz w:val="24"/>
                <w:szCs w:val="20"/>
              </w:rPr>
              <w:t>hours of ICOMP preparation time</w:t>
            </w:r>
            <w:r w:rsidR="00D90DAE">
              <w:rPr>
                <w:rFonts w:ascii="Times New Roman" w:hAnsi="Times New Roman" w:cs="Times New Roman"/>
                <w:sz w:val="24"/>
                <w:szCs w:val="20"/>
              </w:rPr>
              <w:t>,</w:t>
            </w:r>
            <w:r>
              <w:rPr>
                <w:rFonts w:ascii="Times New Roman" w:hAnsi="Times New Roman" w:cs="Times New Roman"/>
                <w:sz w:val="24"/>
                <w:szCs w:val="20"/>
              </w:rPr>
              <w:t xml:space="preserve"> </w:t>
            </w:r>
            <w:r w:rsidR="00D90DAE">
              <w:rPr>
                <w:rFonts w:ascii="Times New Roman" w:hAnsi="Times New Roman" w:cs="Times New Roman"/>
                <w:sz w:val="24"/>
                <w:szCs w:val="20"/>
              </w:rPr>
              <w:t>totaling 10 hours for</w:t>
            </w:r>
            <w:r>
              <w:rPr>
                <w:rFonts w:ascii="Times New Roman" w:hAnsi="Times New Roman" w:cs="Times New Roman"/>
                <w:sz w:val="24"/>
                <w:szCs w:val="20"/>
              </w:rPr>
              <w:t xml:space="preserve"> both attorneys in this case. </w:t>
            </w:r>
          </w:p>
        </w:tc>
      </w:tr>
      <w:tr w:rsidR="00ED0C98" w:rsidTr="00ED0C98" w14:paraId="3A1B74CD" w14:textId="77777777">
        <w:tc>
          <w:tcPr>
            <w:tcW w:w="3055" w:type="dxa"/>
          </w:tcPr>
          <w:p w:rsidRPr="00000753" w:rsidR="00ED0C98" w:rsidP="00000753" w:rsidRDefault="00826FC7" w14:paraId="4872A9D4" w14:textId="2D0C93ED">
            <w:pPr>
              <w:pStyle w:val="Standard"/>
              <w:spacing w:line="240" w:lineRule="auto"/>
              <w:ind w:firstLine="0"/>
              <w:rPr>
                <w:rFonts w:ascii="Times New Roman" w:hAnsi="Times New Roman" w:cs="Times New Roman"/>
                <w:sz w:val="24"/>
                <w:szCs w:val="20"/>
              </w:rPr>
            </w:pPr>
            <w:r>
              <w:rPr>
                <w:rFonts w:ascii="Times New Roman" w:hAnsi="Times New Roman" w:cs="Times New Roman"/>
                <w:sz w:val="24"/>
                <w:szCs w:val="20"/>
              </w:rPr>
              <w:t xml:space="preserve">[5] </w:t>
            </w:r>
            <w:r w:rsidR="00000753">
              <w:rPr>
                <w:rFonts w:ascii="Times New Roman" w:hAnsi="Times New Roman" w:cs="Times New Roman"/>
                <w:sz w:val="24"/>
                <w:szCs w:val="20"/>
              </w:rPr>
              <w:t>Approved 2020 ICOMP preparation rates</w:t>
            </w:r>
          </w:p>
        </w:tc>
        <w:tc>
          <w:tcPr>
            <w:tcW w:w="6295" w:type="dxa"/>
          </w:tcPr>
          <w:p w:rsidR="00ED0C98" w:rsidP="005145B7" w:rsidRDefault="005145B7" w14:paraId="71EA0700" w14:textId="7297563C">
            <w:pPr>
              <w:pStyle w:val="Standard"/>
              <w:spacing w:line="240" w:lineRule="auto"/>
              <w:ind w:firstLine="0"/>
            </w:pPr>
            <w:r>
              <w:rPr>
                <w:rFonts w:ascii="Times New Roman" w:hAnsi="Times New Roman" w:cs="Times New Roman"/>
                <w:sz w:val="24"/>
                <w:szCs w:val="20"/>
              </w:rPr>
              <w:t xml:space="preserve">The rates approved in Table 1 above related to ICOMP preparation reflect the </w:t>
            </w:r>
            <w:r w:rsidR="00826FC7">
              <w:rPr>
                <w:rFonts w:ascii="Times New Roman" w:hAnsi="Times New Roman" w:cs="Times New Roman"/>
                <w:sz w:val="24"/>
                <w:szCs w:val="20"/>
              </w:rPr>
              <w:t xml:space="preserve">50 percent of the rate adjusted to reflect the </w:t>
            </w:r>
            <w:r>
              <w:rPr>
                <w:rFonts w:ascii="Times New Roman" w:hAnsi="Times New Roman" w:cs="Times New Roman"/>
                <w:sz w:val="24"/>
                <w:szCs w:val="20"/>
              </w:rPr>
              <w:t>2020 COLA adopted in Resolution ALJ-387.</w:t>
            </w:r>
          </w:p>
        </w:tc>
      </w:tr>
    </w:tbl>
    <w:p w:rsidR="00FA1B4F" w:rsidP="003D151F" w:rsidRDefault="005939A5" w14:paraId="72D50F75" w14:textId="77777777">
      <w:pPr>
        <w:pStyle w:val="Heading1"/>
        <w:numPr>
          <w:ilvl w:val="0"/>
          <w:numId w:val="17"/>
        </w:numPr>
        <w:spacing w:before="120"/>
      </w:pPr>
      <w:bookmarkStart w:name="_Toc8123721" w:id="12"/>
      <w:bookmarkStart w:name="_Toc12866692" w:id="13"/>
      <w:r>
        <w:t>Conclusion</w:t>
      </w:r>
      <w:bookmarkEnd w:id="12"/>
      <w:bookmarkEnd w:id="13"/>
    </w:p>
    <w:p w:rsidRPr="00343E5C" w:rsidR="00343E5C" w:rsidP="00343E5C" w:rsidRDefault="00D6619F" w14:paraId="72BEF350" w14:textId="78B972A4">
      <w:pPr>
        <w:pStyle w:val="Standard"/>
      </w:pPr>
      <w:r>
        <w:t xml:space="preserve">Upon review of the final WSD resolutions and CEJA’s comments, we find the appropriate compensation for CEJA’s contribution to be </w:t>
      </w:r>
      <w:r w:rsidRPr="000F2ECB" w:rsidR="000F2ECB">
        <w:t>$30,890.00</w:t>
      </w:r>
      <w:r>
        <w:t>, plus interest, recoverable from PG&amp;E, SCE, and SDG&amp;E’s ratepayers</w:t>
      </w:r>
      <w:r w:rsidR="00343E5C">
        <w:t>.</w:t>
      </w:r>
    </w:p>
    <w:p w:rsidR="00760825" w:rsidP="00B606A3" w:rsidRDefault="00760825" w14:paraId="6C3DA7E4" w14:textId="60E60183">
      <w:pPr>
        <w:pStyle w:val="Heading1"/>
        <w:numPr>
          <w:ilvl w:val="0"/>
          <w:numId w:val="17"/>
        </w:numPr>
      </w:pPr>
      <w:bookmarkStart w:name="_Toc8123723" w:id="14"/>
      <w:bookmarkStart w:name="_Toc12866693" w:id="15"/>
      <w:r>
        <w:t>Waiver of Comment Period</w:t>
      </w:r>
    </w:p>
    <w:p w:rsidR="00E955B6" w:rsidP="003A00FD" w:rsidRDefault="00D863E3" w14:paraId="4027A2DD" w14:textId="553A82EE">
      <w:pPr>
        <w:pStyle w:val="Standard"/>
        <w:ind w:firstLine="360"/>
      </w:pPr>
      <w:r>
        <w:t>P</w:t>
      </w:r>
      <w:r w:rsidR="00E955B6">
        <w:t xml:space="preserve">ursuant to Rule 14.6(c)(6), the standard public review and comment period is waived. </w:t>
      </w:r>
    </w:p>
    <w:p w:rsidR="005939A5" w:rsidP="00120539" w:rsidRDefault="005939A5" w14:paraId="46F4ACFA" w14:textId="77777777">
      <w:pPr>
        <w:pStyle w:val="Heading1"/>
        <w:numPr>
          <w:ilvl w:val="0"/>
          <w:numId w:val="17"/>
        </w:numPr>
      </w:pPr>
      <w:bookmarkStart w:name="_Toc8123724" w:id="16"/>
      <w:bookmarkStart w:name="_Toc12866694" w:id="17"/>
      <w:bookmarkEnd w:id="14"/>
      <w:bookmarkEnd w:id="15"/>
      <w:r>
        <w:t>Assignment of Proceeding</w:t>
      </w:r>
      <w:bookmarkEnd w:id="16"/>
      <w:bookmarkEnd w:id="17"/>
    </w:p>
    <w:p w:rsidR="005939A5" w:rsidP="006E6574" w:rsidRDefault="00294731" w14:paraId="339CD19B" w14:textId="2D226147">
      <w:pPr>
        <w:pStyle w:val="Standard"/>
      </w:pPr>
      <w:r>
        <w:t>Marybel Batjer</w:t>
      </w:r>
      <w:r w:rsidR="005939A5">
        <w:t xml:space="preserve"> is the assigned Commissioner and </w:t>
      </w:r>
      <w:r>
        <w:t xml:space="preserve">Carolyn </w:t>
      </w:r>
      <w:r w:rsidR="00760825">
        <w:t xml:space="preserve">M. </w:t>
      </w:r>
      <w:r>
        <w:t>Sisto</w:t>
      </w:r>
      <w:r w:rsidR="005939A5">
        <w:t xml:space="preserve"> is the assigned Administrative Law Judge in this proceeding.</w:t>
      </w:r>
    </w:p>
    <w:p w:rsidR="005939A5" w:rsidP="005939A5" w:rsidRDefault="005939A5" w14:paraId="2221F888" w14:textId="77777777">
      <w:pPr>
        <w:pStyle w:val="Dummy"/>
      </w:pPr>
      <w:bookmarkStart w:name="_Toc8123725" w:id="18"/>
      <w:bookmarkStart w:name="_Toc12866695" w:id="19"/>
      <w:r>
        <w:lastRenderedPageBreak/>
        <w:t>Findings of Fact</w:t>
      </w:r>
      <w:bookmarkEnd w:id="18"/>
      <w:bookmarkEnd w:id="19"/>
    </w:p>
    <w:p w:rsidRPr="006F7DF3" w:rsidR="00F62B7A" w:rsidP="006F7DF3" w:rsidRDefault="000C06A8" w14:paraId="0C484F5A" w14:textId="1FF277C0">
      <w:pPr>
        <w:pStyle w:val="FoF"/>
      </w:pPr>
      <w:r w:rsidRPr="006F7DF3">
        <w:t>WSD received comments from CEJA related to Resolutions WSD-002, WSD-003, WSD-004, and WSD-005 that resulted in modifications in the final resolution language as adopted by the Commission on June 11, 2020.</w:t>
      </w:r>
    </w:p>
    <w:p w:rsidRPr="006F7DF3" w:rsidR="007E6169" w:rsidP="006F7DF3" w:rsidRDefault="000C06A8" w14:paraId="60E908B3" w14:textId="3D3DE524">
      <w:pPr>
        <w:pStyle w:val="FoF"/>
      </w:pPr>
      <w:r w:rsidRPr="006F7DF3">
        <w:t>CEJA’s attorneys and expert</w:t>
      </w:r>
      <w:r w:rsidRPr="006F7DF3" w:rsidR="007E6169">
        <w:t xml:space="preserve"> comments significantly</w:t>
      </w:r>
      <w:r w:rsidRPr="006F7DF3">
        <w:t xml:space="preserve"> contributed to the final resolution language</w:t>
      </w:r>
      <w:r w:rsidRPr="006F7DF3" w:rsidR="007E6169">
        <w:t>.</w:t>
      </w:r>
    </w:p>
    <w:p w:rsidRPr="006F7DF3" w:rsidR="00F62B7A" w:rsidP="006F7DF3" w:rsidRDefault="007E6169" w14:paraId="4D18F048" w14:textId="4D5B3818">
      <w:pPr>
        <w:pStyle w:val="FoF"/>
      </w:pPr>
      <w:r w:rsidRPr="006F7DF3">
        <w:t>T</w:t>
      </w:r>
      <w:r w:rsidRPr="006F7DF3" w:rsidR="000C06A8">
        <w:t>he hours claimed in A.20-07-023 for Attorney Behles do not reflect the contribution CEJA offered to WSD’s resolution process</w:t>
      </w:r>
      <w:r w:rsidRPr="006F7DF3">
        <w:t xml:space="preserve"> and are reduced</w:t>
      </w:r>
      <w:r w:rsidRPr="006F7DF3" w:rsidR="00490931">
        <w:t>, as described in Section 3</w:t>
      </w:r>
      <w:r w:rsidRPr="006F7DF3" w:rsidR="00B80212">
        <w:t>.6</w:t>
      </w:r>
      <w:r w:rsidRPr="006F7DF3" w:rsidR="00490931">
        <w:t xml:space="preserve"> above,</w:t>
      </w:r>
      <w:r w:rsidRPr="006F7DF3">
        <w:t xml:space="preserve"> to align with CEJA’s contribution to the four resolutions. </w:t>
      </w:r>
    </w:p>
    <w:p w:rsidRPr="006F7DF3" w:rsidR="004F2462" w:rsidP="006F7DF3" w:rsidRDefault="000C06A8" w14:paraId="26574640" w14:textId="77777777">
      <w:pPr>
        <w:pStyle w:val="FoF"/>
      </w:pPr>
      <w:r w:rsidRPr="006F7DF3">
        <w:t>WSD’s letters approving SCE and SDG&amp;E’s executive compensation structures were not considered or approved by the full Commission.</w:t>
      </w:r>
    </w:p>
    <w:p w:rsidRPr="006F7DF3" w:rsidR="008E6AE6" w:rsidP="006F7DF3" w:rsidRDefault="00490F91" w14:paraId="50C6EA06" w14:textId="3DC6A49F">
      <w:pPr>
        <w:pStyle w:val="FoF"/>
      </w:pPr>
      <w:r w:rsidRPr="006F7DF3">
        <w:t xml:space="preserve">Resolution ALJ-387, adopted by the Commission on October 8, 2020, grants a </w:t>
      </w:r>
      <w:r w:rsidRPr="006F7DF3" w:rsidR="00B606A3">
        <w:t>cost-of-living</w:t>
      </w:r>
      <w:r w:rsidRPr="006F7DF3">
        <w:t xml:space="preserve"> adjustment for work conducted in 2020 of 2.55% above the rates authorized in 2019. </w:t>
      </w:r>
    </w:p>
    <w:p w:rsidRPr="006F7DF3" w:rsidR="004F2462" w:rsidP="006F7DF3" w:rsidRDefault="004F2462" w14:paraId="0F21F943" w14:textId="3F83C3D1">
      <w:pPr>
        <w:pStyle w:val="FoF"/>
      </w:pPr>
      <w:r w:rsidRPr="006F7DF3">
        <w:t xml:space="preserve">The rates claimed by CEJA’s attorneys and expert align with market rates paid to experts and advocates </w:t>
      </w:r>
      <w:r w:rsidRPr="006F7DF3" w:rsidR="007E6169">
        <w:t xml:space="preserve">with comparable expertise </w:t>
      </w:r>
      <w:r w:rsidRPr="006F7DF3">
        <w:t xml:space="preserve">conducting similar work and </w:t>
      </w:r>
      <w:r w:rsidRPr="006F7DF3" w:rsidR="007E6169">
        <w:t>should be</w:t>
      </w:r>
      <w:r w:rsidRPr="006F7DF3">
        <w:t xml:space="preserve"> adjusted to reflect the 2020 cost of living adjustment adopted in Resolution ALJ-387.</w:t>
      </w:r>
    </w:p>
    <w:p w:rsidRPr="006F7DF3" w:rsidR="007E6169" w:rsidP="006F7DF3" w:rsidRDefault="007E6169" w14:paraId="27AE5858" w14:textId="1887D3B0">
      <w:pPr>
        <w:pStyle w:val="FoF"/>
      </w:pPr>
      <w:r w:rsidRPr="006F7DF3">
        <w:t xml:space="preserve">The reasonable amount of compensation for CEJA’s contribution to Resolutions WSD-002, WSD-003, WSD-004, and WSD-005 is </w:t>
      </w:r>
      <w:r w:rsidRPr="006F7DF3" w:rsidR="000F2ECB">
        <w:t>$30,890.00.</w:t>
      </w:r>
    </w:p>
    <w:p w:rsidR="005939A5" w:rsidP="005939A5" w:rsidRDefault="005939A5" w14:paraId="7A0CC949" w14:textId="77777777">
      <w:pPr>
        <w:pStyle w:val="Dummy"/>
      </w:pPr>
      <w:bookmarkStart w:name="_Toc8123726" w:id="20"/>
      <w:bookmarkStart w:name="_Toc12866696" w:id="21"/>
      <w:r>
        <w:t>Conclusions of Law</w:t>
      </w:r>
      <w:bookmarkEnd w:id="20"/>
      <w:bookmarkEnd w:id="21"/>
    </w:p>
    <w:p w:rsidR="007E6169" w:rsidP="004F2462" w:rsidRDefault="007E6169" w14:paraId="69BDC329" w14:textId="0680DCCC">
      <w:pPr>
        <w:pStyle w:val="CoL"/>
      </w:pPr>
      <w:r>
        <w:t xml:space="preserve">CEJA’s claim, with the adjustments established in Section </w:t>
      </w:r>
      <w:r w:rsidR="00490931">
        <w:t>3</w:t>
      </w:r>
      <w:r>
        <w:t xml:space="preserve"> above, satisfies the requirements of Sections 1801-1812.</w:t>
      </w:r>
    </w:p>
    <w:p w:rsidR="00FB382F" w:rsidP="00FB382F" w:rsidRDefault="00FB382F" w14:paraId="47339EDB" w14:textId="77777777">
      <w:pPr>
        <w:pStyle w:val="CoL"/>
      </w:pPr>
      <w:r>
        <w:t xml:space="preserve">Section 1802(g) sets the definition of “proceeding” for ICOMP claims as “an application, complaint, or investigation, rulemaking, alternative dispute </w:t>
      </w:r>
      <w:r>
        <w:lastRenderedPageBreak/>
        <w:t>resolution procedures in lieu of formal proceedings as may be sponsored or endorsed by the commission, or other formal proceeding before the commission.”</w:t>
      </w:r>
    </w:p>
    <w:p w:rsidR="00FB382F" w:rsidP="004F2462" w:rsidRDefault="00CB7909" w14:paraId="18A32E4A" w14:textId="7C505606">
      <w:pPr>
        <w:pStyle w:val="CoL"/>
      </w:pPr>
      <w:r>
        <w:t xml:space="preserve">Staff </w:t>
      </w:r>
      <w:r w:rsidRPr="00CB7909">
        <w:t>issuance of letters accepting the executive compensation structures proposed by SCE and SDG&amp;E, absent being sponsored or endorsed by the full commission, does not constitute a “proceeding” meeting the statutory requirements for intervenor compensation</w:t>
      </w:r>
      <w:r w:rsidR="0017762E">
        <w:t>.</w:t>
      </w:r>
    </w:p>
    <w:p w:rsidR="0017762E" w:rsidP="004F2462" w:rsidRDefault="00252AAB" w14:paraId="31011B2B" w14:textId="5DBE5941">
      <w:pPr>
        <w:pStyle w:val="CoL"/>
      </w:pPr>
      <w:r>
        <w:t xml:space="preserve">Section 1802(j) defines “substantial contribution” as: </w:t>
      </w:r>
      <w:r w:rsidRPr="00FA2E62">
        <w:t>in the judgment of the commission, the customer’s presentation has substantially assisted the commission in the making of its order or decision because the order or decision has adopted in whole or in part one or more factual contentions, legal contentions, or specific policy or procedural recommendations presented by the customer.</w:t>
      </w:r>
    </w:p>
    <w:p w:rsidR="00252AAB" w:rsidP="004F2462" w:rsidRDefault="0065281E" w14:paraId="6A72ECAD" w14:textId="76835C96">
      <w:pPr>
        <w:pStyle w:val="CoL"/>
      </w:pPr>
      <w:r>
        <w:t xml:space="preserve">Work </w:t>
      </w:r>
      <w:r w:rsidRPr="0065281E">
        <w:t>done by intervenors to support staff issuance of letters accepting the executive compensation structures proposed by SCE and SDG&amp;E, absent any order or decision by the full Commission, does not constitute a “substantial contribution” meeting the statutory requirements for intervenor compensation</w:t>
      </w:r>
      <w:r>
        <w:t>.</w:t>
      </w:r>
    </w:p>
    <w:p w:rsidRPr="001E2A62" w:rsidR="008F143D" w:rsidP="004F2462" w:rsidRDefault="0011064B" w14:paraId="160D313D" w14:textId="32545E98">
      <w:pPr>
        <w:pStyle w:val="CoL"/>
      </w:pPr>
      <w:r>
        <w:t>CEJA’s contribution to WSD’s letters evaluating SCE and SDG&amp;E’s executive compensation structures is ineligible for intervenor compensation under the requirements set forth in Sections 1801-1812</w:t>
      </w:r>
      <w:r w:rsidR="004F2462">
        <w:t xml:space="preserve"> because the letters were not part of a formal Commission proceeding</w:t>
      </w:r>
      <w:r>
        <w:t>.</w:t>
      </w:r>
    </w:p>
    <w:p w:rsidR="00BB0243" w:rsidP="00714C0C" w:rsidRDefault="005939A5" w14:paraId="1326BC77" w14:textId="37657F83">
      <w:pPr>
        <w:pStyle w:val="Mainex"/>
        <w:spacing w:before="120"/>
      </w:pPr>
      <w:bookmarkStart w:name="_Toc12866697" w:id="22"/>
      <w:r>
        <w:t>O</w:t>
      </w:r>
      <w:r w:rsidR="00722850">
        <w:t>RDER</w:t>
      </w:r>
      <w:bookmarkEnd w:id="22"/>
    </w:p>
    <w:p w:rsidR="00BB0243" w:rsidP="000A6E05" w:rsidRDefault="00BB0243" w14:paraId="5018E9C3" w14:textId="77777777">
      <w:pPr>
        <w:keepNext/>
      </w:pPr>
      <w:r w:rsidRPr="00BB0243">
        <w:rPr>
          <w:b/>
        </w:rPr>
        <w:t>IT IS ORDERED</w:t>
      </w:r>
      <w:r>
        <w:t xml:space="preserve"> that:</w:t>
      </w:r>
    </w:p>
    <w:p w:rsidR="007E6169" w:rsidP="00B3087D" w:rsidRDefault="007E6169" w14:paraId="503EAEB9" w14:textId="3EDF2B67">
      <w:pPr>
        <w:pStyle w:val="OP"/>
      </w:pPr>
      <w:r>
        <w:t>The California Environmental Justice Alliance shall be awarded</w:t>
      </w:r>
      <w:r w:rsidR="000F2ECB">
        <w:t xml:space="preserve"> </w:t>
      </w:r>
      <w:r w:rsidRPr="000F2ECB" w:rsidR="000F2ECB">
        <w:t>$30,890.00</w:t>
      </w:r>
      <w:r>
        <w:t>.</w:t>
      </w:r>
    </w:p>
    <w:p w:rsidR="007E6169" w:rsidP="00B3087D" w:rsidRDefault="007E6169" w14:paraId="67B8670F" w14:textId="38D95A2C">
      <w:pPr>
        <w:pStyle w:val="OP"/>
      </w:pPr>
      <w:r>
        <w:t xml:space="preserve">Within 30 days of the effective date of this decision, Pacific Gas and Electric Company, Southern California Edison Company, and San Diego Gas &amp; </w:t>
      </w:r>
      <w:r>
        <w:lastRenderedPageBreak/>
        <w:t xml:space="preserve">Electric Company shall pay the California Environmental Justice Alliance their respective shares of the award, based on their California-jurisdictional electric revenues for the 2020 calendar year, to reflect the year in which the proceedings were primarily litigated. </w:t>
      </w:r>
      <w:r w:rsidR="00290533">
        <w:t xml:space="preserve"> </w:t>
      </w:r>
      <w:r w:rsidRPr="007E6169">
        <w:t xml:space="preserve">Payment of the award shall include compound interest at the rate earned on prime, three-month non-financial commercial paper as reported in Federal Reserve Statistical Release H.15, beginning </w:t>
      </w:r>
      <w:r w:rsidR="007F2F79">
        <w:t>September</w:t>
      </w:r>
      <w:r w:rsidR="00290533">
        <w:t> </w:t>
      </w:r>
      <w:r w:rsidR="007F2F79">
        <w:t>21,</w:t>
      </w:r>
      <w:r w:rsidR="00290533">
        <w:t> </w:t>
      </w:r>
      <w:r w:rsidR="007F2F79">
        <w:t>2020</w:t>
      </w:r>
      <w:r w:rsidRPr="007E6169">
        <w:t>, the 75th day after</w:t>
      </w:r>
      <w:r w:rsidR="007F2F79">
        <w:t xml:space="preserve"> the</w:t>
      </w:r>
      <w:r w:rsidRPr="007E6169">
        <w:t xml:space="preserve"> filing of</w:t>
      </w:r>
      <w:r>
        <w:t xml:space="preserve"> Application 20-07-023, and continuing until full payment is made.</w:t>
      </w:r>
    </w:p>
    <w:p w:rsidR="004D6FDA" w:rsidP="00B3087D" w:rsidRDefault="004D6FDA" w14:paraId="4ED1473F" w14:textId="0B233A4F">
      <w:pPr>
        <w:pStyle w:val="OP"/>
      </w:pPr>
      <w:r>
        <w:t>The comment period for today’s decision is waived.</w:t>
      </w:r>
    </w:p>
    <w:p w:rsidR="00F6397D" w:rsidP="00B3087D" w:rsidRDefault="00E23CBB" w14:paraId="55B26B43" w14:textId="55E8C88A">
      <w:pPr>
        <w:pStyle w:val="OP"/>
      </w:pPr>
      <w:r w:rsidRPr="001E2A62">
        <w:t>Application</w:t>
      </w:r>
      <w:r w:rsidR="007E6169">
        <w:t xml:space="preserve"> 20-07-023</w:t>
      </w:r>
      <w:r w:rsidRPr="001E2A62">
        <w:t xml:space="preserve"> is closed.</w:t>
      </w:r>
    </w:p>
    <w:p w:rsidR="008F0116" w:rsidP="008F0116" w:rsidRDefault="008F0116" w14:paraId="38C9D41D" w14:textId="77777777">
      <w:r>
        <w:t>This order is effective today.</w:t>
      </w:r>
    </w:p>
    <w:p w:rsidR="00714CF2" w:rsidP="006F6525" w:rsidRDefault="008F0116" w14:paraId="31DB3028" w14:textId="27A8E613">
      <w:r>
        <w:t>Dated</w:t>
      </w:r>
      <w:r w:rsidR="007343F0">
        <w:t xml:space="preserve"> April 15, 2021</w:t>
      </w:r>
      <w:r>
        <w:t>, at San Francisco, California</w:t>
      </w:r>
      <w:r w:rsidR="00FF110C">
        <w:t>.</w:t>
      </w:r>
    </w:p>
    <w:p w:rsidR="007343F0" w:rsidP="007343F0" w:rsidRDefault="007343F0" w14:paraId="158F40E5" w14:textId="33B94A70">
      <w:pPr>
        <w:spacing w:line="240" w:lineRule="auto"/>
      </w:pPr>
    </w:p>
    <w:p w:rsidR="007343F0" w:rsidP="007343F0" w:rsidRDefault="007343F0" w14:paraId="66697BD5" w14:textId="77C08FB7">
      <w:pPr>
        <w:spacing w:line="240" w:lineRule="auto"/>
      </w:pPr>
    </w:p>
    <w:p w:rsidRPr="007343F0" w:rsidR="007343F0" w:rsidP="007343F0" w:rsidRDefault="007343F0" w14:paraId="4037C51D" w14:textId="77777777">
      <w:pPr>
        <w:autoSpaceDE w:val="0"/>
        <w:autoSpaceDN w:val="0"/>
        <w:adjustRightInd w:val="0"/>
        <w:spacing w:line="240" w:lineRule="auto"/>
        <w:ind w:left="4320" w:firstLine="0"/>
        <w:jc w:val="both"/>
        <w:rPr>
          <w:rFonts w:eastAsia="Times New Roman" w:cs="Times New Roman"/>
          <w:szCs w:val="20"/>
        </w:rPr>
      </w:pPr>
      <w:bookmarkStart w:name="_Hlk17215919" w:id="23"/>
      <w:r w:rsidRPr="007343F0">
        <w:rPr>
          <w:rFonts w:eastAsia="Times New Roman" w:cs="Times New Roman"/>
          <w:szCs w:val="20"/>
        </w:rPr>
        <w:t>MARYBEL BATJER</w:t>
      </w:r>
    </w:p>
    <w:p w:rsidRPr="007343F0" w:rsidR="007343F0" w:rsidP="007343F0" w:rsidRDefault="007343F0" w14:paraId="3691B2D1" w14:textId="26435C21">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 xml:space="preserve">                       President</w:t>
      </w:r>
    </w:p>
    <w:p w:rsidRPr="007343F0" w:rsidR="007343F0" w:rsidP="007343F0" w:rsidRDefault="007343F0" w14:paraId="0E85C822" w14:textId="77777777">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MARTHA GUZMAN ACEVES</w:t>
      </w:r>
    </w:p>
    <w:p w:rsidRPr="007343F0" w:rsidR="007343F0" w:rsidP="007343F0" w:rsidRDefault="007343F0" w14:paraId="3D5B696A" w14:textId="77777777">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CLIFFORD RECHTSCHAFFEN</w:t>
      </w:r>
    </w:p>
    <w:p w:rsidRPr="007343F0" w:rsidR="007343F0" w:rsidP="007343F0" w:rsidRDefault="007343F0" w14:paraId="76E7CFA9" w14:textId="77777777">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GENEVIEVE SHIROMA</w:t>
      </w:r>
    </w:p>
    <w:p w:rsidRPr="007343F0" w:rsidR="007343F0" w:rsidP="007343F0" w:rsidRDefault="007343F0" w14:paraId="36168387" w14:textId="77777777">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DARCIE HOUCK</w:t>
      </w:r>
    </w:p>
    <w:p w:rsidRPr="007343F0" w:rsidR="007343F0" w:rsidP="007343F0" w:rsidRDefault="007343F0" w14:paraId="18C092B5" w14:textId="77777777">
      <w:pPr>
        <w:autoSpaceDE w:val="0"/>
        <w:autoSpaceDN w:val="0"/>
        <w:adjustRightInd w:val="0"/>
        <w:spacing w:line="240" w:lineRule="auto"/>
        <w:ind w:left="4320" w:firstLine="0"/>
        <w:jc w:val="both"/>
        <w:rPr>
          <w:rFonts w:eastAsia="Times New Roman" w:cs="Times New Roman"/>
          <w:szCs w:val="20"/>
        </w:rPr>
      </w:pPr>
      <w:r w:rsidRPr="007343F0">
        <w:rPr>
          <w:rFonts w:eastAsia="Times New Roman" w:cs="Times New Roman"/>
          <w:szCs w:val="20"/>
        </w:rPr>
        <w:t xml:space="preserve">                 Commissioners</w:t>
      </w:r>
    </w:p>
    <w:bookmarkEnd w:id="23"/>
    <w:p w:rsidRPr="00714CF2" w:rsidR="007343F0" w:rsidP="007343F0" w:rsidRDefault="007343F0" w14:paraId="31564A8E" w14:textId="77777777">
      <w:pPr>
        <w:spacing w:line="240" w:lineRule="auto"/>
      </w:pPr>
    </w:p>
    <w:sectPr w:rsidRPr="00714CF2" w:rsidR="007343F0" w:rsidSect="009C6520">
      <w:headerReference w:type="default" r:id="rId8"/>
      <w:footerReference w:type="default" r:id="rId9"/>
      <w:headerReference w:type="first" r:id="rId10"/>
      <w:footerReference w:type="first" r:id="rId11"/>
      <w:type w:val="continuous"/>
      <w:pgSz w:w="12240" w:h="15840"/>
      <w:pgMar w:top="1728"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A2F6" w14:textId="77777777" w:rsidR="00AE67BB" w:rsidRDefault="00AE67BB" w:rsidP="0098138E">
      <w:pPr>
        <w:spacing w:line="240" w:lineRule="auto"/>
      </w:pPr>
      <w:r>
        <w:separator/>
      </w:r>
    </w:p>
  </w:endnote>
  <w:endnote w:type="continuationSeparator" w:id="0">
    <w:p w14:paraId="4A805E56" w14:textId="77777777" w:rsidR="00AE67BB" w:rsidRDefault="00AE67BB"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B9AC" w14:textId="77777777" w:rsidR="004F2462" w:rsidRDefault="004F2462" w:rsidP="006F6525">
    <w:pPr>
      <w:tabs>
        <w:tab w:val="center" w:pos="4680"/>
      </w:tabs>
      <w:ind w:firstLine="0"/>
      <w:jc w:val="center"/>
    </w:pPr>
    <w:r>
      <w:fldChar w:fldCharType="begin"/>
    </w:r>
    <w:r>
      <w:instrText xml:space="preserve"> PAGE  \* ArabicDash  \* MERGEFORMAT </w:instrText>
    </w:r>
    <w:r>
      <w:fldChar w:fldCharType="separate"/>
    </w:r>
    <w:r>
      <w:rPr>
        <w:noProof/>
      </w:rPr>
      <w:t>- 2 -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0A37" w14:textId="271628D2" w:rsidR="009C6520" w:rsidRPr="009C6520" w:rsidRDefault="007343F0" w:rsidP="009C6520">
    <w:pPr>
      <w:pStyle w:val="Footer"/>
      <w:ind w:firstLine="90"/>
      <w:rPr>
        <w:szCs w:val="26"/>
      </w:rPr>
    </w:pPr>
    <w:r w:rsidRPr="007343F0">
      <w:rPr>
        <w:sz w:val="16"/>
        <w:szCs w:val="16"/>
      </w:rPr>
      <w:t>378446345</w:t>
    </w:r>
    <w:r w:rsidR="009C6520" w:rsidRPr="009C6520">
      <w:rPr>
        <w:sz w:val="16"/>
        <w:szCs w:val="16"/>
      </w:rPr>
      <w:tab/>
    </w:r>
    <w:r w:rsidR="009C6520" w:rsidRPr="009C6520">
      <w:rPr>
        <w:szCs w:val="26"/>
      </w:rPr>
      <w:fldChar w:fldCharType="begin"/>
    </w:r>
    <w:r w:rsidR="009C6520" w:rsidRPr="009C6520">
      <w:rPr>
        <w:szCs w:val="26"/>
      </w:rPr>
      <w:instrText xml:space="preserve"> PAGE   \* MERGEFORMAT </w:instrText>
    </w:r>
    <w:r w:rsidR="009C6520" w:rsidRPr="009C6520">
      <w:rPr>
        <w:szCs w:val="26"/>
      </w:rPr>
      <w:fldChar w:fldCharType="separate"/>
    </w:r>
    <w:r w:rsidR="009C6520" w:rsidRPr="009C6520">
      <w:rPr>
        <w:noProof/>
        <w:szCs w:val="26"/>
      </w:rPr>
      <w:t>1</w:t>
    </w:r>
    <w:r w:rsidR="009C6520" w:rsidRPr="009C6520">
      <w:rPr>
        <w:noProof/>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1862" w14:textId="77777777" w:rsidR="00AE67BB" w:rsidRDefault="00AE67BB" w:rsidP="00DF58E7">
      <w:pPr>
        <w:spacing w:line="240" w:lineRule="auto"/>
        <w:ind w:firstLine="0"/>
      </w:pPr>
      <w:r>
        <w:separator/>
      </w:r>
    </w:p>
  </w:footnote>
  <w:footnote w:type="continuationSeparator" w:id="0">
    <w:p w14:paraId="7C27059C" w14:textId="77777777" w:rsidR="00AE67BB" w:rsidRDefault="00AE67BB" w:rsidP="00DF58E7">
      <w:pPr>
        <w:spacing w:line="240" w:lineRule="auto"/>
        <w:ind w:firstLine="0"/>
      </w:pPr>
      <w:r>
        <w:continuationSeparator/>
      </w:r>
    </w:p>
  </w:footnote>
  <w:footnote w:type="continuationNotice" w:id="1">
    <w:p w14:paraId="5F55AE70" w14:textId="77777777" w:rsidR="00AE67BB" w:rsidRPr="00DF58E7" w:rsidRDefault="00AE67BB"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08D669FB" w14:textId="5F124447" w:rsidR="004F2462" w:rsidRDefault="004F2462">
      <w:pPr>
        <w:pStyle w:val="FootnoteText"/>
      </w:pPr>
      <w:r>
        <w:rPr>
          <w:rStyle w:val="FootnoteReference"/>
        </w:rPr>
        <w:footnoteRef/>
      </w:r>
      <w:r>
        <w:t xml:space="preserve"> All code references herein refer to the Public Utilities Code unless otherwise specified. </w:t>
      </w:r>
    </w:p>
  </w:footnote>
  <w:footnote w:id="3">
    <w:p w14:paraId="0992C9F8" w14:textId="77777777" w:rsidR="004F2462" w:rsidRDefault="004F2462" w:rsidP="00120539">
      <w:pPr>
        <w:pStyle w:val="FootnoteText"/>
      </w:pPr>
      <w:r>
        <w:rPr>
          <w:rStyle w:val="FootnoteReference"/>
        </w:rPr>
        <w:footnoteRef/>
      </w:r>
      <w:r>
        <w:t xml:space="preserve">  A.20-07-023 at 24.</w:t>
      </w:r>
    </w:p>
  </w:footnote>
  <w:footnote w:id="4">
    <w:p w14:paraId="71CC950B" w14:textId="63B7EBD9" w:rsidR="004F2462" w:rsidRDefault="004F2462">
      <w:pPr>
        <w:pStyle w:val="FootnoteText"/>
      </w:pPr>
      <w:r>
        <w:rPr>
          <w:rStyle w:val="FootnoteReference"/>
        </w:rPr>
        <w:footnoteRef/>
      </w:r>
      <w:r>
        <w:t xml:space="preserve"> A.20-07-023 at 4.</w:t>
      </w:r>
    </w:p>
  </w:footnote>
  <w:footnote w:id="5">
    <w:p w14:paraId="0DB1E5A5" w14:textId="27E25C6A" w:rsidR="004F2462" w:rsidRDefault="004F2462">
      <w:pPr>
        <w:pStyle w:val="FootnoteText"/>
      </w:pPr>
      <w:r>
        <w:rPr>
          <w:rStyle w:val="FootnoteReference"/>
        </w:rPr>
        <w:footnoteRef/>
      </w:r>
      <w:r>
        <w:t xml:space="preserve"> ALJ Chiv’s March 13, 2020 ruling finding that CEJA has shown significant financial hardship in R.19-11-009 was based on the same information CEJA provided in A.20-07-023. </w:t>
      </w:r>
    </w:p>
  </w:footnote>
  <w:footnote w:id="6">
    <w:p w14:paraId="1385DA40" w14:textId="0073D099" w:rsidR="004F2462" w:rsidRDefault="004F2462">
      <w:pPr>
        <w:pStyle w:val="FootnoteText"/>
      </w:pPr>
      <w:r>
        <w:rPr>
          <w:rStyle w:val="FootnoteReference"/>
        </w:rPr>
        <w:footnoteRef/>
      </w:r>
      <w:r>
        <w:t xml:space="preserve"> A.20-07-023 at 13.</w:t>
      </w:r>
    </w:p>
  </w:footnote>
  <w:footnote w:id="7">
    <w:p w14:paraId="632685BE" w14:textId="49D0C750" w:rsidR="004F2462" w:rsidRDefault="004F2462">
      <w:pPr>
        <w:pStyle w:val="FootnoteText"/>
      </w:pPr>
      <w:r>
        <w:rPr>
          <w:rStyle w:val="FootnoteReference"/>
        </w:rPr>
        <w:footnoteRef/>
      </w:r>
      <w:r>
        <w:t xml:space="preserve"> Scoping Memo at 4. </w:t>
      </w:r>
    </w:p>
  </w:footnote>
  <w:footnote w:id="8">
    <w:p w14:paraId="7ED48B46" w14:textId="3410176C" w:rsidR="00003672" w:rsidRDefault="00003672">
      <w:pPr>
        <w:pStyle w:val="FootnoteText"/>
      </w:pPr>
      <w:r>
        <w:rPr>
          <w:rStyle w:val="FootnoteReference"/>
        </w:rPr>
        <w:footnoteRef/>
      </w:r>
      <w:r>
        <w:t xml:space="preserve"> On June 30, 2020, WSD issued letters signed by Director Thomas </w:t>
      </w:r>
      <w:r w:rsidR="00E01B58">
        <w:t xml:space="preserve">Jacobs </w:t>
      </w:r>
      <w:r>
        <w:t>stating that parties’ criticisms of the utility filings “have merit,” but that the executive compensation filings ultimately met the statutory requirements</w:t>
      </w:r>
      <w:r w:rsidR="009B27EE">
        <w:t xml:space="preserve"> established in Sections 8389(e)(4) and 8389(e)(6)</w:t>
      </w:r>
      <w:r>
        <w:t>, albeit “minimally</w:t>
      </w:r>
      <w:r w:rsidR="009B27EE">
        <w:t xml:space="preserve"> and conditionally.” </w:t>
      </w:r>
    </w:p>
  </w:footnote>
  <w:footnote w:id="9">
    <w:p w14:paraId="6D726A24" w14:textId="77777777" w:rsidR="004F2462" w:rsidRDefault="004F2462" w:rsidP="00165209">
      <w:pPr>
        <w:pStyle w:val="FootnoteText"/>
      </w:pPr>
      <w:r>
        <w:rPr>
          <w:rStyle w:val="FootnoteReference"/>
        </w:rPr>
        <w:footnoteRef/>
      </w:r>
      <w:r>
        <w:t xml:space="preserve"> A.20-07-023 at 24.</w:t>
      </w:r>
    </w:p>
  </w:footnote>
  <w:footnote w:id="10">
    <w:p w14:paraId="41A7BE68" w14:textId="77777777" w:rsidR="003E790C" w:rsidRDefault="003E790C" w:rsidP="003E790C">
      <w:pPr>
        <w:pStyle w:val="FootnoteText"/>
      </w:pPr>
      <w:r>
        <w:rPr>
          <w:rStyle w:val="FootnoteReference"/>
        </w:rPr>
        <w:footnoteRef/>
      </w:r>
      <w:r>
        <w:t xml:space="preserve"> </w:t>
      </w:r>
      <w:r w:rsidRPr="00061092">
        <w:rPr>
          <w:i/>
          <w:iCs/>
        </w:rPr>
        <w:t>See</w:t>
      </w:r>
      <w:r>
        <w:t xml:space="preserve"> Section 1802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4872" w14:textId="1E646CBD" w:rsidR="004F2462" w:rsidRDefault="009C6520" w:rsidP="00C20388">
    <w:pPr>
      <w:pStyle w:val="Header"/>
      <w:tabs>
        <w:tab w:val="clear" w:pos="4680"/>
      </w:tabs>
      <w:ind w:firstLine="0"/>
      <w:rPr>
        <w:b/>
      </w:rPr>
    </w:pPr>
    <w:r>
      <w:t>A.20-07-</w:t>
    </w:r>
    <w:proofErr w:type="gramStart"/>
    <w:r>
      <w:t>023</w:t>
    </w:r>
    <w:r w:rsidR="004F2462">
      <w:t xml:space="preserve">  </w:t>
    </w:r>
    <w:r>
      <w:t>ALJ</w:t>
    </w:r>
    <w:proofErr w:type="gramEnd"/>
    <w:r w:rsidR="004F2462">
      <w:t>/</w:t>
    </w:r>
    <w:r>
      <w:t>CS8</w:t>
    </w:r>
    <w:r w:rsidR="004F2462">
      <w:t>/</w:t>
    </w:r>
    <w:r>
      <w:t>avs</w:t>
    </w:r>
    <w:r w:rsidR="009E3C0C">
      <w:tab/>
    </w:r>
  </w:p>
  <w:p w14:paraId="2C91E446" w14:textId="73EF2832" w:rsidR="009C6520" w:rsidRDefault="009C6520" w:rsidP="006F6525">
    <w:pPr>
      <w:pStyle w:val="Header"/>
      <w:tabs>
        <w:tab w:val="clear" w:pos="4680"/>
      </w:tabs>
      <w:ind w:firstLine="0"/>
      <w:rPr>
        <w:iCs/>
      </w:rPr>
    </w:pPr>
  </w:p>
  <w:p w14:paraId="38E5ED0B" w14:textId="77777777" w:rsidR="009C6520" w:rsidRPr="009C6520" w:rsidRDefault="009C6520" w:rsidP="006F6525">
    <w:pPr>
      <w:pStyle w:val="Header"/>
      <w:tabs>
        <w:tab w:val="clear" w:pos="4680"/>
      </w:tabs>
      <w:ind w:firstLine="0"/>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A298" w14:textId="77777777" w:rsidR="00710710" w:rsidRDefault="00710710" w:rsidP="0071071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96F26"/>
    <w:multiLevelType w:val="hybridMultilevel"/>
    <w:tmpl w:val="4CBC418C"/>
    <w:lvl w:ilvl="0" w:tplc="1982D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E2242C9"/>
    <w:multiLevelType w:val="multilevel"/>
    <w:tmpl w:val="70DC44E8"/>
    <w:numStyleLink w:val="Headings"/>
  </w:abstractNum>
  <w:abstractNum w:abstractNumId="5" w15:restartNumberingAfterBreak="0">
    <w:nsid w:val="21976938"/>
    <w:multiLevelType w:val="multilevel"/>
    <w:tmpl w:val="EA72A66C"/>
    <w:lvl w:ilvl="0">
      <w:start w:val="3"/>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4."/>
      <w:lvlJc w:val="left"/>
      <w:pPr>
        <w:ind w:left="1440" w:hanging="720"/>
      </w:pPr>
      <w:rPr>
        <w:rFonts w:hint="default"/>
        <w:b w:val="0"/>
        <w:bCs/>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1F6D42"/>
    <w:multiLevelType w:val="multilevel"/>
    <w:tmpl w:val="70DC44E8"/>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736" w:hanging="1296"/>
      </w:pPr>
      <w:rPr>
        <w:rFonts w:ascii="Arial" w:hAnsi="Arial" w:hint="default"/>
        <w:b/>
        <w:i w:val="0"/>
        <w:sz w:val="26"/>
      </w:rPr>
    </w:lvl>
    <w:lvl w:ilvl="5">
      <w:start w:val="1"/>
      <w:numFmt w:val="decimal"/>
      <w:pStyle w:val="Heading6"/>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7" w15:restartNumberingAfterBreak="0">
    <w:nsid w:val="41632E4B"/>
    <w:multiLevelType w:val="hybridMultilevel"/>
    <w:tmpl w:val="826270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6D30A9"/>
    <w:multiLevelType w:val="hybridMultilevel"/>
    <w:tmpl w:val="F63E31F8"/>
    <w:lvl w:ilvl="0" w:tplc="63620AD8">
      <w:start w:val="1"/>
      <w:numFmt w:val="decimal"/>
      <w:lvlText w:val="%1."/>
      <w:lvlJc w:val="left"/>
      <w:pPr>
        <w:ind w:left="720" w:hanging="360"/>
      </w:pPr>
    </w:lvl>
    <w:lvl w:ilvl="1" w:tplc="3C0CEC16">
      <w:start w:val="1"/>
      <w:numFmt w:val="lowerLetter"/>
      <w:lvlText w:val="%2."/>
      <w:lvlJc w:val="left"/>
      <w:pPr>
        <w:ind w:left="1440" w:hanging="360"/>
      </w:pPr>
    </w:lvl>
    <w:lvl w:ilvl="2" w:tplc="C6286BBA">
      <w:start w:val="1"/>
      <w:numFmt w:val="lowerRoman"/>
      <w:lvlText w:val="%3."/>
      <w:lvlJc w:val="right"/>
      <w:pPr>
        <w:ind w:left="2160" w:hanging="180"/>
      </w:pPr>
    </w:lvl>
    <w:lvl w:ilvl="3" w:tplc="1DAC9AF0">
      <w:start w:val="1"/>
      <w:numFmt w:val="decimal"/>
      <w:lvlText w:val="%4."/>
      <w:lvlJc w:val="left"/>
      <w:pPr>
        <w:ind w:left="2880" w:hanging="360"/>
      </w:pPr>
    </w:lvl>
    <w:lvl w:ilvl="4" w:tplc="579A2DFE">
      <w:start w:val="1"/>
      <w:numFmt w:val="lowerLetter"/>
      <w:lvlText w:val="%5."/>
      <w:lvlJc w:val="left"/>
      <w:pPr>
        <w:ind w:left="3600" w:hanging="360"/>
      </w:pPr>
    </w:lvl>
    <w:lvl w:ilvl="5" w:tplc="BBF643CA">
      <w:start w:val="1"/>
      <w:numFmt w:val="lowerRoman"/>
      <w:lvlText w:val="%6."/>
      <w:lvlJc w:val="right"/>
      <w:pPr>
        <w:ind w:left="4320" w:hanging="180"/>
      </w:pPr>
    </w:lvl>
    <w:lvl w:ilvl="6" w:tplc="13D0633C">
      <w:start w:val="1"/>
      <w:numFmt w:val="decimal"/>
      <w:lvlText w:val="%7."/>
      <w:lvlJc w:val="left"/>
      <w:pPr>
        <w:ind w:left="5040" w:hanging="360"/>
      </w:pPr>
    </w:lvl>
    <w:lvl w:ilvl="7" w:tplc="809C42DC">
      <w:start w:val="1"/>
      <w:numFmt w:val="lowerLetter"/>
      <w:lvlText w:val="%8."/>
      <w:lvlJc w:val="left"/>
      <w:pPr>
        <w:ind w:left="5760" w:hanging="360"/>
      </w:pPr>
    </w:lvl>
    <w:lvl w:ilvl="8" w:tplc="42FC3DA8">
      <w:start w:val="1"/>
      <w:numFmt w:val="lowerRoman"/>
      <w:lvlText w:val="%9."/>
      <w:lvlJc w:val="right"/>
      <w:pPr>
        <w:ind w:left="6480" w:hanging="180"/>
      </w:pPr>
    </w:lvl>
  </w:abstractNum>
  <w:abstractNum w:abstractNumId="9" w15:restartNumberingAfterBreak="0">
    <w:nsid w:val="55235C24"/>
    <w:multiLevelType w:val="hybridMultilevel"/>
    <w:tmpl w:val="336AC054"/>
    <w:lvl w:ilvl="0" w:tplc="C0F2765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tplc="34E48464">
      <w:start w:val="1"/>
      <w:numFmt w:val="decimal"/>
      <w:lvlText w:val="%2."/>
      <w:lvlJc w:val="left"/>
      <w:pPr>
        <w:ind w:left="1440" w:hanging="720"/>
      </w:pPr>
      <w:rPr>
        <w:rFonts w:hint="default"/>
        <w:b w:val="0"/>
        <w:bCs/>
        <w:i w:val="0"/>
        <w:caps w:val="0"/>
        <w:strike w:val="0"/>
        <w:dstrike w:val="0"/>
        <w:vanish w:val="0"/>
        <w:color w:val="auto"/>
        <w:kern w:val="0"/>
        <w:sz w:val="26"/>
        <w:u w:val="none"/>
        <w:vertAlign w:val="baseline"/>
        <w14:cntxtAlts w14:val="0"/>
      </w:rPr>
    </w:lvl>
    <w:lvl w:ilvl="2" w:tplc="7990E47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tplc="73064470">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tplc="E3C0E880">
      <w:start w:val="1"/>
      <w:numFmt w:val="lowerLetter"/>
      <w:lvlText w:val="(%5)"/>
      <w:lvlJc w:val="left"/>
      <w:pPr>
        <w:ind w:left="1800" w:hanging="360"/>
      </w:pPr>
      <w:rPr>
        <w:rFonts w:hint="default"/>
      </w:rPr>
    </w:lvl>
    <w:lvl w:ilvl="5" w:tplc="0EB0F08E">
      <w:start w:val="1"/>
      <w:numFmt w:val="lowerRoman"/>
      <w:lvlText w:val="(%6)"/>
      <w:lvlJc w:val="left"/>
      <w:pPr>
        <w:ind w:left="2160" w:hanging="360"/>
      </w:pPr>
      <w:rPr>
        <w:rFonts w:hint="default"/>
      </w:rPr>
    </w:lvl>
    <w:lvl w:ilvl="6" w:tplc="F69C542A">
      <w:start w:val="1"/>
      <w:numFmt w:val="decimal"/>
      <w:lvlText w:val="%7."/>
      <w:lvlJc w:val="left"/>
      <w:pPr>
        <w:ind w:left="2520" w:hanging="360"/>
      </w:pPr>
      <w:rPr>
        <w:rFonts w:hint="default"/>
      </w:rPr>
    </w:lvl>
    <w:lvl w:ilvl="7" w:tplc="4A88ABB2">
      <w:start w:val="1"/>
      <w:numFmt w:val="lowerLetter"/>
      <w:lvlText w:val="%8."/>
      <w:lvlJc w:val="left"/>
      <w:pPr>
        <w:ind w:left="2880" w:hanging="360"/>
      </w:pPr>
      <w:rPr>
        <w:rFonts w:hint="default"/>
      </w:rPr>
    </w:lvl>
    <w:lvl w:ilvl="8" w:tplc="501CD2E8">
      <w:start w:val="1"/>
      <w:numFmt w:val="lowerRoman"/>
      <w:lvlText w:val="%9."/>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69175FCC"/>
    <w:multiLevelType w:val="hybridMultilevel"/>
    <w:tmpl w:val="9E2ED54A"/>
    <w:lvl w:ilvl="0" w:tplc="17C68D40">
      <w:start w:val="1"/>
      <w:numFmt w:val="decimal"/>
      <w:lvlText w:val="%1."/>
      <w:lvlJc w:val="left"/>
      <w:pPr>
        <w:ind w:left="720" w:hanging="360"/>
      </w:pPr>
      <w:rPr>
        <w:rFonts w:ascii="Book Antiqua" w:hAnsi="Book Antiqua" w:hint="default"/>
      </w:rPr>
    </w:lvl>
    <w:lvl w:ilvl="1" w:tplc="55E467CA">
      <w:start w:val="1"/>
      <w:numFmt w:val="lowerLetter"/>
      <w:lvlText w:val="%2."/>
      <w:lvlJc w:val="left"/>
      <w:pPr>
        <w:ind w:left="1440" w:hanging="360"/>
      </w:pPr>
    </w:lvl>
    <w:lvl w:ilvl="2" w:tplc="4198DE96">
      <w:start w:val="1"/>
      <w:numFmt w:val="lowerRoman"/>
      <w:lvlText w:val="%3."/>
      <w:lvlJc w:val="right"/>
      <w:pPr>
        <w:ind w:left="2160" w:hanging="180"/>
      </w:pPr>
    </w:lvl>
    <w:lvl w:ilvl="3" w:tplc="D4C4FB4C">
      <w:start w:val="1"/>
      <w:numFmt w:val="decimal"/>
      <w:lvlText w:val="%4."/>
      <w:lvlJc w:val="left"/>
      <w:pPr>
        <w:ind w:left="2880" w:hanging="360"/>
      </w:pPr>
    </w:lvl>
    <w:lvl w:ilvl="4" w:tplc="38A46974">
      <w:start w:val="1"/>
      <w:numFmt w:val="lowerLetter"/>
      <w:lvlText w:val="%5."/>
      <w:lvlJc w:val="left"/>
      <w:pPr>
        <w:ind w:left="3600" w:hanging="360"/>
      </w:pPr>
    </w:lvl>
    <w:lvl w:ilvl="5" w:tplc="2020AEB8">
      <w:start w:val="1"/>
      <w:numFmt w:val="lowerRoman"/>
      <w:lvlText w:val="%6."/>
      <w:lvlJc w:val="right"/>
      <w:pPr>
        <w:ind w:left="4320" w:hanging="180"/>
      </w:pPr>
    </w:lvl>
    <w:lvl w:ilvl="6" w:tplc="73C4A1B4">
      <w:start w:val="1"/>
      <w:numFmt w:val="decimal"/>
      <w:lvlText w:val="%7."/>
      <w:lvlJc w:val="left"/>
      <w:pPr>
        <w:ind w:left="5040" w:hanging="360"/>
      </w:pPr>
    </w:lvl>
    <w:lvl w:ilvl="7" w:tplc="0250203E">
      <w:start w:val="1"/>
      <w:numFmt w:val="lowerLetter"/>
      <w:lvlText w:val="%8."/>
      <w:lvlJc w:val="left"/>
      <w:pPr>
        <w:ind w:left="5760" w:hanging="360"/>
      </w:pPr>
    </w:lvl>
    <w:lvl w:ilvl="8" w:tplc="6FA804F8">
      <w:start w:val="1"/>
      <w:numFmt w:val="lowerRoman"/>
      <w:lvlText w:val="%9."/>
      <w:lvlJc w:val="right"/>
      <w:pPr>
        <w:ind w:left="6480" w:hanging="180"/>
      </w:pPr>
    </w:lvl>
  </w:abstractNum>
  <w:abstractNum w:abstractNumId="1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A0AFE"/>
    <w:multiLevelType w:val="hybridMultilevel"/>
    <w:tmpl w:val="18F4A5AC"/>
    <w:numStyleLink w:val="FoFCoLOP"/>
  </w:abstractNum>
  <w:num w:numId="1">
    <w:abstractNumId w:val="8"/>
  </w:num>
  <w:num w:numId="2">
    <w:abstractNumId w:val="13"/>
  </w:num>
  <w:num w:numId="3">
    <w:abstractNumId w:val="11"/>
  </w:num>
  <w:num w:numId="4">
    <w:abstractNumId w:val="2"/>
  </w:num>
  <w:num w:numId="5">
    <w:abstractNumId w:val="10"/>
  </w:num>
  <w:num w:numId="6">
    <w:abstractNumId w:val="3"/>
  </w:num>
  <w:num w:numId="7">
    <w:abstractNumId w:val="15"/>
  </w:num>
  <w:num w:numId="8">
    <w:abstractNumId w:val="6"/>
  </w:num>
  <w:num w:numId="9">
    <w:abstractNumId w:val="4"/>
  </w:num>
  <w:num w:numId="10">
    <w:abstractNumId w:val="14"/>
  </w:num>
  <w:num w:numId="11">
    <w:abstractNumId w:val="0"/>
  </w:num>
  <w:num w:numId="12">
    <w:abstractNumId w:val="6"/>
  </w:num>
  <w:num w:numId="13">
    <w:abstractNumId w:val="11"/>
  </w:num>
  <w:num w:numId="14">
    <w:abstractNumId w:val="12"/>
  </w:num>
  <w:num w:numId="15">
    <w:abstractNumId w:val="1"/>
  </w:num>
  <w:num w:numId="16">
    <w:abstractNumId w:val="7"/>
  </w:num>
  <w:num w:numId="17">
    <w:abstractNumId w:val="5"/>
  </w:num>
  <w:num w:numId="18">
    <w:abstractNumId w:val="9"/>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C"/>
    <w:rsid w:val="00000753"/>
    <w:rsid w:val="00000F6A"/>
    <w:rsid w:val="00003672"/>
    <w:rsid w:val="00017AFE"/>
    <w:rsid w:val="000559C4"/>
    <w:rsid w:val="00061092"/>
    <w:rsid w:val="0007115A"/>
    <w:rsid w:val="000958C8"/>
    <w:rsid w:val="000973C8"/>
    <w:rsid w:val="000A2AA9"/>
    <w:rsid w:val="000A56F2"/>
    <w:rsid w:val="000A6E05"/>
    <w:rsid w:val="000B12FA"/>
    <w:rsid w:val="000C06A8"/>
    <w:rsid w:val="000C08BF"/>
    <w:rsid w:val="000C3B9A"/>
    <w:rsid w:val="000C643A"/>
    <w:rsid w:val="000D25A8"/>
    <w:rsid w:val="000E4C53"/>
    <w:rsid w:val="000F2ECB"/>
    <w:rsid w:val="000F60B4"/>
    <w:rsid w:val="0011064B"/>
    <w:rsid w:val="00116E96"/>
    <w:rsid w:val="00120539"/>
    <w:rsid w:val="00121089"/>
    <w:rsid w:val="00152870"/>
    <w:rsid w:val="0015708F"/>
    <w:rsid w:val="00165209"/>
    <w:rsid w:val="00171B1E"/>
    <w:rsid w:val="0017762E"/>
    <w:rsid w:val="0018236D"/>
    <w:rsid w:val="0018662B"/>
    <w:rsid w:val="001A44E7"/>
    <w:rsid w:val="001C363F"/>
    <w:rsid w:val="001C7634"/>
    <w:rsid w:val="001E2A62"/>
    <w:rsid w:val="001F2819"/>
    <w:rsid w:val="002043EC"/>
    <w:rsid w:val="00204BA2"/>
    <w:rsid w:val="00216541"/>
    <w:rsid w:val="002327D4"/>
    <w:rsid w:val="00243DC0"/>
    <w:rsid w:val="00247477"/>
    <w:rsid w:val="00252AAB"/>
    <w:rsid w:val="00270440"/>
    <w:rsid w:val="00271666"/>
    <w:rsid w:val="00290533"/>
    <w:rsid w:val="00293DEE"/>
    <w:rsid w:val="00294731"/>
    <w:rsid w:val="002975D4"/>
    <w:rsid w:val="002A0B5D"/>
    <w:rsid w:val="002C65DD"/>
    <w:rsid w:val="002C7FE9"/>
    <w:rsid w:val="002D482E"/>
    <w:rsid w:val="002D4EFD"/>
    <w:rsid w:val="00315F57"/>
    <w:rsid w:val="00316071"/>
    <w:rsid w:val="00343E5C"/>
    <w:rsid w:val="0036017B"/>
    <w:rsid w:val="00362755"/>
    <w:rsid w:val="00373B93"/>
    <w:rsid w:val="003834C9"/>
    <w:rsid w:val="00394471"/>
    <w:rsid w:val="003A00FD"/>
    <w:rsid w:val="003A38F0"/>
    <w:rsid w:val="003D151F"/>
    <w:rsid w:val="003E7838"/>
    <w:rsid w:val="003E790C"/>
    <w:rsid w:val="003F2212"/>
    <w:rsid w:val="003F4329"/>
    <w:rsid w:val="00412534"/>
    <w:rsid w:val="00412C83"/>
    <w:rsid w:val="0041606B"/>
    <w:rsid w:val="00426014"/>
    <w:rsid w:val="004278D5"/>
    <w:rsid w:val="00460B7D"/>
    <w:rsid w:val="00467986"/>
    <w:rsid w:val="00471630"/>
    <w:rsid w:val="00480CB0"/>
    <w:rsid w:val="00490931"/>
    <w:rsid w:val="00490F91"/>
    <w:rsid w:val="004957B6"/>
    <w:rsid w:val="004A49D4"/>
    <w:rsid w:val="004A66FC"/>
    <w:rsid w:val="004B34EA"/>
    <w:rsid w:val="004B5494"/>
    <w:rsid w:val="004C51D7"/>
    <w:rsid w:val="004C7D3A"/>
    <w:rsid w:val="004D6FDA"/>
    <w:rsid w:val="004D74C6"/>
    <w:rsid w:val="004E0A09"/>
    <w:rsid w:val="004E642D"/>
    <w:rsid w:val="004E79C7"/>
    <w:rsid w:val="004F2462"/>
    <w:rsid w:val="005018A8"/>
    <w:rsid w:val="00505A39"/>
    <w:rsid w:val="00506E52"/>
    <w:rsid w:val="005145B7"/>
    <w:rsid w:val="005240BF"/>
    <w:rsid w:val="005317D5"/>
    <w:rsid w:val="00541BA1"/>
    <w:rsid w:val="0056415C"/>
    <w:rsid w:val="00566317"/>
    <w:rsid w:val="005666DE"/>
    <w:rsid w:val="00572786"/>
    <w:rsid w:val="005824FD"/>
    <w:rsid w:val="005826F1"/>
    <w:rsid w:val="00585390"/>
    <w:rsid w:val="00591B23"/>
    <w:rsid w:val="005939A5"/>
    <w:rsid w:val="005A148C"/>
    <w:rsid w:val="005A672C"/>
    <w:rsid w:val="005C2808"/>
    <w:rsid w:val="005C7B62"/>
    <w:rsid w:val="005D5D74"/>
    <w:rsid w:val="005D5F44"/>
    <w:rsid w:val="005E4301"/>
    <w:rsid w:val="005F6183"/>
    <w:rsid w:val="00624500"/>
    <w:rsid w:val="00627C2F"/>
    <w:rsid w:val="006309D0"/>
    <w:rsid w:val="00632207"/>
    <w:rsid w:val="0063491C"/>
    <w:rsid w:val="006367AD"/>
    <w:rsid w:val="0065281E"/>
    <w:rsid w:val="00657CF1"/>
    <w:rsid w:val="006A28A5"/>
    <w:rsid w:val="006B0354"/>
    <w:rsid w:val="006E19E4"/>
    <w:rsid w:val="006E5E28"/>
    <w:rsid w:val="006E6574"/>
    <w:rsid w:val="006E6BDA"/>
    <w:rsid w:val="006F6525"/>
    <w:rsid w:val="006F7DF3"/>
    <w:rsid w:val="00710710"/>
    <w:rsid w:val="00714C0C"/>
    <w:rsid w:val="00714CF2"/>
    <w:rsid w:val="007156B9"/>
    <w:rsid w:val="00720817"/>
    <w:rsid w:val="00722850"/>
    <w:rsid w:val="0073353F"/>
    <w:rsid w:val="007343F0"/>
    <w:rsid w:val="00742E45"/>
    <w:rsid w:val="007447AF"/>
    <w:rsid w:val="007454E4"/>
    <w:rsid w:val="00750816"/>
    <w:rsid w:val="00757CDA"/>
    <w:rsid w:val="00760825"/>
    <w:rsid w:val="007657C1"/>
    <w:rsid w:val="0077354B"/>
    <w:rsid w:val="007A406D"/>
    <w:rsid w:val="007A6008"/>
    <w:rsid w:val="007A62B0"/>
    <w:rsid w:val="007C5A0C"/>
    <w:rsid w:val="007E093C"/>
    <w:rsid w:val="007E0FEE"/>
    <w:rsid w:val="007E6169"/>
    <w:rsid w:val="007F2017"/>
    <w:rsid w:val="007F2F79"/>
    <w:rsid w:val="007F74AC"/>
    <w:rsid w:val="00812E21"/>
    <w:rsid w:val="00826FC7"/>
    <w:rsid w:val="008339BB"/>
    <w:rsid w:val="00836FEB"/>
    <w:rsid w:val="0086419A"/>
    <w:rsid w:val="00864C35"/>
    <w:rsid w:val="0087023B"/>
    <w:rsid w:val="00876A2D"/>
    <w:rsid w:val="008A179F"/>
    <w:rsid w:val="008B0864"/>
    <w:rsid w:val="008B6244"/>
    <w:rsid w:val="008C7413"/>
    <w:rsid w:val="008D16B7"/>
    <w:rsid w:val="008D31F5"/>
    <w:rsid w:val="008D3281"/>
    <w:rsid w:val="008E34FA"/>
    <w:rsid w:val="008E6AE6"/>
    <w:rsid w:val="008F0116"/>
    <w:rsid w:val="008F143D"/>
    <w:rsid w:val="00925B7C"/>
    <w:rsid w:val="009316CD"/>
    <w:rsid w:val="00932865"/>
    <w:rsid w:val="00934AAF"/>
    <w:rsid w:val="00945F41"/>
    <w:rsid w:val="00947BC6"/>
    <w:rsid w:val="009570AF"/>
    <w:rsid w:val="009663C9"/>
    <w:rsid w:val="00972A7C"/>
    <w:rsid w:val="00975FA0"/>
    <w:rsid w:val="0098138E"/>
    <w:rsid w:val="0098655A"/>
    <w:rsid w:val="00994A99"/>
    <w:rsid w:val="009A1A58"/>
    <w:rsid w:val="009A451E"/>
    <w:rsid w:val="009B27EE"/>
    <w:rsid w:val="009B6C3E"/>
    <w:rsid w:val="009C6520"/>
    <w:rsid w:val="009D7D7D"/>
    <w:rsid w:val="009E3C0C"/>
    <w:rsid w:val="009E7C7F"/>
    <w:rsid w:val="009F49D1"/>
    <w:rsid w:val="009F7CA0"/>
    <w:rsid w:val="00A12598"/>
    <w:rsid w:val="00A17CE0"/>
    <w:rsid w:val="00A42306"/>
    <w:rsid w:val="00A55ACD"/>
    <w:rsid w:val="00A635DD"/>
    <w:rsid w:val="00A818C1"/>
    <w:rsid w:val="00A86BB3"/>
    <w:rsid w:val="00A92F3F"/>
    <w:rsid w:val="00A92F88"/>
    <w:rsid w:val="00AA41E0"/>
    <w:rsid w:val="00AD6DEC"/>
    <w:rsid w:val="00AD77D9"/>
    <w:rsid w:val="00AE67BB"/>
    <w:rsid w:val="00AF6148"/>
    <w:rsid w:val="00B01F7E"/>
    <w:rsid w:val="00B04D0B"/>
    <w:rsid w:val="00B21326"/>
    <w:rsid w:val="00B3087D"/>
    <w:rsid w:val="00B34794"/>
    <w:rsid w:val="00B51400"/>
    <w:rsid w:val="00B60421"/>
    <w:rsid w:val="00B606A3"/>
    <w:rsid w:val="00B80212"/>
    <w:rsid w:val="00B85BF3"/>
    <w:rsid w:val="00B94B10"/>
    <w:rsid w:val="00BB0243"/>
    <w:rsid w:val="00BB3494"/>
    <w:rsid w:val="00BB44CE"/>
    <w:rsid w:val="00BC486B"/>
    <w:rsid w:val="00BE4DBF"/>
    <w:rsid w:val="00C02214"/>
    <w:rsid w:val="00C10B5F"/>
    <w:rsid w:val="00C20388"/>
    <w:rsid w:val="00C272EF"/>
    <w:rsid w:val="00C56C00"/>
    <w:rsid w:val="00C70EAB"/>
    <w:rsid w:val="00C913A1"/>
    <w:rsid w:val="00CA5474"/>
    <w:rsid w:val="00CB477F"/>
    <w:rsid w:val="00CB7909"/>
    <w:rsid w:val="00CC089F"/>
    <w:rsid w:val="00CC1897"/>
    <w:rsid w:val="00CC6A99"/>
    <w:rsid w:val="00CE5084"/>
    <w:rsid w:val="00D00AA3"/>
    <w:rsid w:val="00D049E8"/>
    <w:rsid w:val="00D07F73"/>
    <w:rsid w:val="00D2041C"/>
    <w:rsid w:val="00D25ADE"/>
    <w:rsid w:val="00D43297"/>
    <w:rsid w:val="00D44DB6"/>
    <w:rsid w:val="00D46542"/>
    <w:rsid w:val="00D50119"/>
    <w:rsid w:val="00D579B9"/>
    <w:rsid w:val="00D6619F"/>
    <w:rsid w:val="00D70920"/>
    <w:rsid w:val="00D82A43"/>
    <w:rsid w:val="00D863E3"/>
    <w:rsid w:val="00D8665B"/>
    <w:rsid w:val="00D90DAE"/>
    <w:rsid w:val="00DA617C"/>
    <w:rsid w:val="00DA7B5D"/>
    <w:rsid w:val="00DD5A0E"/>
    <w:rsid w:val="00DE473E"/>
    <w:rsid w:val="00DF58E7"/>
    <w:rsid w:val="00E01B58"/>
    <w:rsid w:val="00E020DA"/>
    <w:rsid w:val="00E067DA"/>
    <w:rsid w:val="00E11876"/>
    <w:rsid w:val="00E14C87"/>
    <w:rsid w:val="00E23CBB"/>
    <w:rsid w:val="00E37B59"/>
    <w:rsid w:val="00E50130"/>
    <w:rsid w:val="00E558B5"/>
    <w:rsid w:val="00E76414"/>
    <w:rsid w:val="00E955B6"/>
    <w:rsid w:val="00EA36C6"/>
    <w:rsid w:val="00EA6E4D"/>
    <w:rsid w:val="00EC0CEC"/>
    <w:rsid w:val="00EC3065"/>
    <w:rsid w:val="00ED0C98"/>
    <w:rsid w:val="00ED1850"/>
    <w:rsid w:val="00ED5725"/>
    <w:rsid w:val="00ED7031"/>
    <w:rsid w:val="00EE2542"/>
    <w:rsid w:val="00EE3060"/>
    <w:rsid w:val="00EE4315"/>
    <w:rsid w:val="00EF0383"/>
    <w:rsid w:val="00F26E91"/>
    <w:rsid w:val="00F26ED3"/>
    <w:rsid w:val="00F51B00"/>
    <w:rsid w:val="00F56D9C"/>
    <w:rsid w:val="00F62B7A"/>
    <w:rsid w:val="00F6397D"/>
    <w:rsid w:val="00F7293E"/>
    <w:rsid w:val="00F76650"/>
    <w:rsid w:val="00F9187B"/>
    <w:rsid w:val="00F92385"/>
    <w:rsid w:val="00F941A2"/>
    <w:rsid w:val="00FA14EF"/>
    <w:rsid w:val="00FA1B4F"/>
    <w:rsid w:val="00FB382F"/>
    <w:rsid w:val="00FC47F9"/>
    <w:rsid w:val="00FE2F49"/>
    <w:rsid w:val="00FE5580"/>
    <w:rsid w:val="00FF110C"/>
    <w:rsid w:val="00FF11C3"/>
    <w:rsid w:val="011C136A"/>
    <w:rsid w:val="0FF31474"/>
    <w:rsid w:val="49A106C8"/>
    <w:rsid w:val="547A5DE7"/>
    <w:rsid w:val="7BEE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7162"/>
  <w15:chartTrackingRefBased/>
  <w15:docId w15:val="{E98042D0-15B5-4FDA-B250-EAF3AD13D37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947BC6"/>
    <w:pPr>
      <w:numPr>
        <w:numId w:val="12"/>
      </w:numPr>
    </w:pPr>
    <w:rPr>
      <w:rFonts w:eastAsiaTheme="majorEastAsia" w:cstheme="majorBidi"/>
      <w:szCs w:val="32"/>
    </w:rPr>
  </w:style>
  <w:style w:type="paragraph" w:styleId="Heading2">
    <w:name w:val="heading 2"/>
    <w:basedOn w:val="Dummy"/>
    <w:next w:val="Standard"/>
    <w:link w:val="Heading2Char"/>
    <w:uiPriority w:val="4"/>
    <w:qFormat/>
    <w:rsid w:val="009663C9"/>
    <w:pPr>
      <w:numPr>
        <w:ilvl w:val="1"/>
        <w:numId w:val="17"/>
      </w:numPr>
      <w:ind w:left="1080"/>
      <w:outlineLvl w:val="1"/>
    </w:pPr>
  </w:style>
  <w:style w:type="paragraph" w:styleId="Heading3">
    <w:name w:val="heading 3"/>
    <w:basedOn w:val="Dummy"/>
    <w:next w:val="Standard"/>
    <w:link w:val="Heading3Char"/>
    <w:uiPriority w:val="4"/>
    <w:qFormat/>
    <w:rsid w:val="00947BC6"/>
    <w:pPr>
      <w:numPr>
        <w:ilvl w:val="2"/>
        <w:numId w:val="12"/>
      </w:numPr>
      <w:outlineLvl w:val="2"/>
    </w:pPr>
    <w:rPr>
      <w:rFonts w:eastAsiaTheme="majorEastAsia" w:cstheme="majorBidi"/>
      <w:szCs w:val="24"/>
    </w:rPr>
  </w:style>
  <w:style w:type="paragraph" w:styleId="Heading4">
    <w:name w:val="heading 4"/>
    <w:basedOn w:val="Dummy"/>
    <w:next w:val="Standard"/>
    <w:link w:val="Heading4Char"/>
    <w:uiPriority w:val="4"/>
    <w:rsid w:val="00947BC6"/>
    <w:pPr>
      <w:numPr>
        <w:ilvl w:val="3"/>
        <w:numId w:val="12"/>
      </w:numPr>
      <w:outlineLvl w:val="3"/>
    </w:pPr>
    <w:rPr>
      <w:rFonts w:eastAsiaTheme="majorEastAsia" w:cstheme="majorBidi"/>
      <w:iCs/>
    </w:rPr>
  </w:style>
  <w:style w:type="paragraph" w:styleId="Heading5">
    <w:name w:val="heading 5"/>
    <w:basedOn w:val="Dummy"/>
    <w:next w:val="Standard"/>
    <w:link w:val="Heading5Char"/>
    <w:uiPriority w:val="4"/>
    <w:rsid w:val="00947BC6"/>
    <w:pPr>
      <w:numPr>
        <w:ilvl w:val="4"/>
        <w:numId w:val="12"/>
      </w:numPr>
      <w:outlineLvl w:val="4"/>
    </w:pPr>
    <w:rPr>
      <w:rFonts w:eastAsiaTheme="majorEastAsia" w:cstheme="majorBidi"/>
    </w:rPr>
  </w:style>
  <w:style w:type="paragraph" w:styleId="Heading6">
    <w:name w:val="heading 6"/>
    <w:basedOn w:val="Dummy"/>
    <w:next w:val="Standard"/>
    <w:link w:val="Heading6Char"/>
    <w:uiPriority w:val="4"/>
    <w:rsid w:val="00947BC6"/>
    <w:pPr>
      <w:numPr>
        <w:ilvl w:val="5"/>
        <w:numId w:val="12"/>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9663C9"/>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o + Times New Roman,Style 58"/>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5"/>
      </w:numPr>
      <w:ind w:firstLine="547"/>
    </w:pPr>
  </w:style>
  <w:style w:type="paragraph" w:customStyle="1" w:styleId="CoL">
    <w:name w:val="CoL"/>
    <w:basedOn w:val="Standard"/>
    <w:uiPriority w:val="7"/>
    <w:qFormat/>
    <w:rsid w:val="001E2A62"/>
    <w:pPr>
      <w:numPr>
        <w:numId w:val="6"/>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7"/>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947BC6"/>
    <w:pPr>
      <w:numPr>
        <w:numId w:val="8"/>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947BC6"/>
    <w:pPr>
      <w:numPr>
        <w:ilvl w:val="7"/>
        <w:numId w:val="12"/>
      </w:numPr>
      <w:spacing w:after="120" w:line="240" w:lineRule="auto"/>
    </w:pPr>
  </w:style>
  <w:style w:type="paragraph" w:styleId="ListBullet">
    <w:name w:val="List Bullet"/>
    <w:basedOn w:val="Standard"/>
    <w:uiPriority w:val="4"/>
    <w:qFormat/>
    <w:rsid w:val="001F2819"/>
    <w:pPr>
      <w:numPr>
        <w:numId w:val="11"/>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947BC6"/>
    <w:pPr>
      <w:contextualSpacing/>
    </w:pPr>
    <w:rPr>
      <w:sz w:val="22"/>
    </w:rPr>
  </w:style>
  <w:style w:type="paragraph" w:customStyle="1" w:styleId="ListNum">
    <w:name w:val="List Num"/>
    <w:basedOn w:val="Normal"/>
    <w:uiPriority w:val="4"/>
    <w:rsid w:val="006B0354"/>
    <w:pPr>
      <w:tabs>
        <w:tab w:val="num" w:pos="1080"/>
      </w:tabs>
      <w:spacing w:after="120" w:line="240" w:lineRule="auto"/>
      <w:ind w:left="1080" w:right="1440" w:hanging="360"/>
    </w:pPr>
    <w:rPr>
      <w:szCs w:val="26"/>
    </w:rPr>
  </w:style>
  <w:style w:type="paragraph" w:styleId="ListParagraph">
    <w:name w:val="List Paragraph"/>
    <w:basedOn w:val="Normal"/>
    <w:uiPriority w:val="34"/>
    <w:rsid w:val="005E4301"/>
    <w:pPr>
      <w:ind w:left="720"/>
      <w:contextualSpacing/>
    </w:pPr>
  </w:style>
  <w:style w:type="character" w:styleId="CommentReference">
    <w:name w:val="annotation reference"/>
    <w:basedOn w:val="DefaultParagraphFont"/>
    <w:uiPriority w:val="99"/>
    <w:semiHidden/>
    <w:unhideWhenUsed/>
    <w:rsid w:val="00BC486B"/>
    <w:rPr>
      <w:sz w:val="16"/>
      <w:szCs w:val="16"/>
    </w:rPr>
  </w:style>
  <w:style w:type="paragraph" w:styleId="CommentText">
    <w:name w:val="annotation text"/>
    <w:basedOn w:val="Normal"/>
    <w:link w:val="CommentTextChar"/>
    <w:uiPriority w:val="99"/>
    <w:semiHidden/>
    <w:unhideWhenUsed/>
    <w:rsid w:val="00BC486B"/>
    <w:pPr>
      <w:spacing w:line="240" w:lineRule="auto"/>
    </w:pPr>
    <w:rPr>
      <w:sz w:val="20"/>
      <w:szCs w:val="20"/>
    </w:rPr>
  </w:style>
  <w:style w:type="character" w:customStyle="1" w:styleId="CommentTextChar">
    <w:name w:val="Comment Text Char"/>
    <w:basedOn w:val="DefaultParagraphFont"/>
    <w:link w:val="CommentText"/>
    <w:uiPriority w:val="99"/>
    <w:semiHidden/>
    <w:rsid w:val="00BC486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C486B"/>
    <w:rPr>
      <w:b/>
      <w:bCs/>
    </w:rPr>
  </w:style>
  <w:style w:type="character" w:customStyle="1" w:styleId="CommentSubjectChar">
    <w:name w:val="Comment Subject Char"/>
    <w:basedOn w:val="CommentTextChar"/>
    <w:link w:val="CommentSubject"/>
    <w:uiPriority w:val="99"/>
    <w:semiHidden/>
    <w:rsid w:val="00BC486B"/>
    <w:rPr>
      <w:rFonts w:ascii="Book Antiqua" w:hAnsi="Book Antiqua"/>
      <w:b/>
      <w:bCs/>
      <w:sz w:val="20"/>
      <w:szCs w:val="20"/>
    </w:rPr>
  </w:style>
  <w:style w:type="character" w:customStyle="1" w:styleId="normaltextrun">
    <w:name w:val="normaltextrun"/>
    <w:basedOn w:val="DefaultParagraphFont"/>
    <w:rsid w:val="00CE5084"/>
  </w:style>
  <w:style w:type="character" w:styleId="UnresolvedMention">
    <w:name w:val="Unresolved Mention"/>
    <w:basedOn w:val="DefaultParagraphFont"/>
    <w:uiPriority w:val="99"/>
    <w:unhideWhenUsed/>
    <w:rsid w:val="004278D5"/>
    <w:rPr>
      <w:color w:val="605E5C"/>
      <w:shd w:val="clear" w:color="auto" w:fill="E1DFDD"/>
    </w:rPr>
  </w:style>
  <w:style w:type="character" w:styleId="Mention">
    <w:name w:val="Mention"/>
    <w:basedOn w:val="DefaultParagraphFont"/>
    <w:uiPriority w:val="99"/>
    <w:unhideWhenUsed/>
    <w:rsid w:val="00E501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7DA7-EDDC-43CC-9107-6D676357888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2316</ap:Words>
  <ap:Characters>13205</ap:Characters>
  <ap:Application>Microsoft Office Word</ap:Application>
  <ap:DocSecurity>0</ap:DocSecurity>
  <ap:Lines>110</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15491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2019-06-27T19:57:00Z</cp:lastPrinted>
  <dcterms:created xsi:type="dcterms:W3CDTF">2021-04-19T13:01:54Z</dcterms:created>
  <dcterms:modified xsi:type="dcterms:W3CDTF">2021-04-19T13:01:54Z</dcterms:modified>
</cp:coreProperties>
</file>