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RDefault="00CF17DE" w14:paraId="70BEAF91" w14:textId="21920ADA">
      <w:pPr>
        <w:pStyle w:val="titlebar"/>
        <w:rPr>
          <w:sz w:val="24"/>
        </w:rPr>
      </w:pPr>
      <w:r>
        <w:rPr>
          <w:sz w:val="24"/>
        </w:rPr>
        <w:t>PUBLIC UTILITIES COMMISSION OF THE STATE OF CALIFORNIA</w:t>
      </w:r>
    </w:p>
    <w:p w:rsidRPr="00221E67" w:rsidR="00221E67" w:rsidP="00221E67" w:rsidRDefault="00221E67" w14:paraId="7EF2631A" w14:textId="1E66CB85">
      <w:pPr>
        <w:tabs>
          <w:tab w:val="left" w:pos="6390"/>
        </w:tabs>
        <w:rPr>
          <w:b/>
          <w:sz w:val="24"/>
        </w:rPr>
      </w:pPr>
    </w:p>
    <w:p w:rsidR="00CF17DE" w:rsidP="00221E67" w:rsidRDefault="00593807" w14:paraId="7AE852C7" w14:textId="322E95A2">
      <w:pPr>
        <w:tabs>
          <w:tab w:val="left" w:pos="6390"/>
        </w:tabs>
        <w:rPr>
          <w:b/>
          <w:sz w:val="24"/>
        </w:rPr>
      </w:pPr>
      <w:r>
        <w:rPr>
          <w:b/>
          <w:sz w:val="24"/>
        </w:rPr>
        <w:t>ENERGY DIVISION</w:t>
      </w:r>
      <w:r>
        <w:rPr>
          <w:b/>
          <w:sz w:val="24"/>
        </w:rPr>
        <w:tab/>
      </w:r>
      <w:r w:rsidR="00CF17DE">
        <w:rPr>
          <w:b/>
          <w:sz w:val="24"/>
        </w:rPr>
        <w:t xml:space="preserve">RESOLUTION </w:t>
      </w:r>
      <w:r w:rsidR="004006D7">
        <w:rPr>
          <w:b/>
          <w:sz w:val="24"/>
        </w:rPr>
        <w:t>E-</w:t>
      </w:r>
      <w:r w:rsidR="00891E31">
        <w:rPr>
          <w:b/>
          <w:sz w:val="24"/>
        </w:rPr>
        <w:t>5136</w:t>
      </w:r>
    </w:p>
    <w:p w:rsidR="00CF17DE" w:rsidP="00221E67" w:rsidRDefault="00221E67" w14:paraId="3DBC912E" w14:textId="543CFE37">
      <w:pPr>
        <w:tabs>
          <w:tab w:val="left" w:pos="6390"/>
        </w:tabs>
        <w:rPr>
          <w:b/>
          <w:sz w:val="24"/>
        </w:rPr>
      </w:pPr>
      <w:r>
        <w:rPr>
          <w:b/>
          <w:sz w:val="24"/>
        </w:rPr>
        <w:tab/>
      </w:r>
      <w:r w:rsidR="001E70FE">
        <w:rPr>
          <w:b/>
          <w:sz w:val="24"/>
        </w:rPr>
        <w:t xml:space="preserve">April 15, 2021 </w:t>
      </w:r>
    </w:p>
    <w:p w:rsidR="00CF17DE" w:rsidP="00221E67" w:rsidRDefault="00CF17DE" w14:paraId="061A7957" w14:textId="77777777">
      <w:pPr>
        <w:tabs>
          <w:tab w:val="left" w:pos="6390"/>
        </w:tabs>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A3D05" w:rsidP="00B927B5" w:rsidRDefault="00B927B5" w14:paraId="3146AC6B" w14:textId="0D159400">
      <w:pPr>
        <w:pStyle w:val="Res-Caption"/>
      </w:pPr>
      <w:r w:rsidRPr="00BA3D05">
        <w:t xml:space="preserve">Resolution </w:t>
      </w:r>
      <w:r w:rsidRPr="00BA3D05" w:rsidR="00BA3D05">
        <w:t>E-5136</w:t>
      </w:r>
      <w:r w:rsidRPr="00BA3D05">
        <w:t>.</w:t>
      </w:r>
      <w:r>
        <w:t xml:space="preserve">  </w:t>
      </w:r>
      <w:r w:rsidR="00BA3D05">
        <w:t xml:space="preserve">Southern California Edison Company </w:t>
      </w:r>
      <w:r w:rsidR="00E079C5">
        <w:t xml:space="preserve">Modification of Rule 23 and Schedule CCA-INFO to Implement Settlement Agreement </w:t>
      </w:r>
      <w:r w:rsidR="00385F3E">
        <w:t>to Expand Data Sharing with Community Choice Aggregators</w:t>
      </w:r>
      <w:r w:rsidR="001D6348">
        <w:t>.</w:t>
      </w:r>
    </w:p>
    <w:p w:rsidR="00801D70" w:rsidP="001D6348" w:rsidRDefault="00801D70" w14:paraId="70E6A3B4" w14:textId="1768B78B">
      <w:pPr>
        <w:pStyle w:val="Res-Caption"/>
        <w:ind w:left="0"/>
      </w:pPr>
    </w:p>
    <w:p w:rsidR="00DF35CC" w:rsidP="00DF35CC" w:rsidRDefault="00801D70" w14:paraId="5B232953" w14:textId="77777777">
      <w:pPr>
        <w:pStyle w:val="Res-Caption"/>
        <w:rPr>
          <w:rFonts w:ascii="Palatino Linotype" w:hAnsi="Palatino Linotype"/>
        </w:rPr>
      </w:pPr>
      <w:r w:rsidRPr="00794927">
        <w:t>PROPOSED OUTCOME</w:t>
      </w:r>
      <w:r w:rsidRPr="00794927">
        <w:rPr>
          <w:rFonts w:ascii="Palatino Linotype" w:hAnsi="Palatino Linotype"/>
        </w:rPr>
        <w:t>:</w:t>
      </w:r>
      <w:r w:rsidR="00142FB8">
        <w:rPr>
          <w:rFonts w:ascii="Palatino Linotype" w:hAnsi="Palatino Linotype"/>
        </w:rPr>
        <w:t xml:space="preserve"> </w:t>
      </w:r>
    </w:p>
    <w:p w:rsidR="004819D8" w:rsidP="1D592ECD" w:rsidRDefault="00ED0714" w14:paraId="726F4843" w14:textId="5B7D9819">
      <w:pPr>
        <w:pStyle w:val="Res-Caption"/>
        <w:numPr>
          <w:ilvl w:val="0"/>
          <w:numId w:val="7"/>
        </w:numPr>
      </w:pPr>
      <w:r>
        <w:t xml:space="preserve">Approves </w:t>
      </w:r>
      <w:r w:rsidR="004819D8">
        <w:t>Advice Letter 4289-E with modifications.</w:t>
      </w:r>
    </w:p>
    <w:p w:rsidR="1D592ECD" w:rsidP="000137F4" w:rsidRDefault="00ED0714" w14:paraId="58E71E62" w14:textId="5440F128">
      <w:pPr>
        <w:pStyle w:val="Res-Caption"/>
        <w:numPr>
          <w:ilvl w:val="0"/>
          <w:numId w:val="7"/>
        </w:numPr>
      </w:pPr>
      <w:r>
        <w:t xml:space="preserve">Directs </w:t>
      </w:r>
      <w:r w:rsidR="00BF7C22">
        <w:t>S</w:t>
      </w:r>
      <w:r w:rsidR="004819D8">
        <w:t>outhern California Edison Company</w:t>
      </w:r>
      <w:r w:rsidR="00582196">
        <w:t xml:space="preserve"> (SCE)</w:t>
      </w:r>
      <w:r w:rsidR="004819D8">
        <w:t xml:space="preserve"> </w:t>
      </w:r>
      <w:r>
        <w:t xml:space="preserve">to exclude Direct Access customer service accounts </w:t>
      </w:r>
      <w:r w:rsidR="00582196">
        <w:t xml:space="preserve">and associated </w:t>
      </w:r>
      <w:r w:rsidR="00BA5BE6">
        <w:t>customer data</w:t>
      </w:r>
      <w:r w:rsidR="00582196">
        <w:t xml:space="preserve"> from an All-Customer List that SCE will transmit to Community Choice Aggregators (CCAs) in its service territory</w:t>
      </w:r>
      <w:r w:rsidR="00215597">
        <w:t>.</w:t>
      </w:r>
    </w:p>
    <w:p w:rsidR="00582196" w:rsidP="000137F4" w:rsidRDefault="00582196" w14:paraId="4258A0D1" w14:textId="24BB5BDC">
      <w:pPr>
        <w:pStyle w:val="Res-Caption"/>
        <w:numPr>
          <w:ilvl w:val="0"/>
          <w:numId w:val="7"/>
        </w:numPr>
      </w:pPr>
      <w:r>
        <w:t>Orders SCE to modify Rule 23 and Schedule CCA-INFO accordingly.</w:t>
      </w:r>
    </w:p>
    <w:p w:rsidR="00F51F8B" w:rsidRDefault="00F51F8B" w14:paraId="65BE5ED4" w14:textId="77777777">
      <w:pPr>
        <w:pStyle w:val="Res-Caption"/>
        <w:rPr>
          <w:rFonts w:ascii="Palatino Linotype" w:hAnsi="Palatino Linotype"/>
        </w:rPr>
      </w:pPr>
    </w:p>
    <w:p w:rsidR="00F51F8B" w:rsidRDefault="00F51F8B" w14:paraId="5348E825" w14:textId="77777777">
      <w:pPr>
        <w:pStyle w:val="Res-Caption"/>
      </w:pPr>
      <w:r w:rsidRPr="00F51F8B">
        <w:t>SAFETY CONSIDERATIONS:</w:t>
      </w:r>
    </w:p>
    <w:p w:rsidRPr="005429AC" w:rsidR="00142FB8" w:rsidP="005429AC" w:rsidRDefault="00796D23" w14:paraId="2EFEBA52" w14:textId="7978F8D5">
      <w:pPr>
        <w:pStyle w:val="Res-Caption"/>
        <w:numPr>
          <w:ilvl w:val="0"/>
          <w:numId w:val="7"/>
        </w:numPr>
      </w:pPr>
      <w:r w:rsidRPr="005429AC">
        <w:t xml:space="preserve">There are no safety considerations associated with this </w:t>
      </w:r>
      <w:r w:rsidRPr="005429AC" w:rsidR="0047266C">
        <w:t>Resolution</w:t>
      </w:r>
      <w:r w:rsidRPr="005429AC">
        <w:t>.</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003F6E5A" w:rsidP="00796D23" w:rsidRDefault="00796D23" w14:paraId="191B2446" w14:textId="736F4356">
      <w:pPr>
        <w:pStyle w:val="Res-Caption"/>
        <w:numPr>
          <w:ilvl w:val="0"/>
          <w:numId w:val="6"/>
        </w:numPr>
        <w:rPr>
          <w:rFonts w:ascii="Palatino Linotype" w:hAnsi="Palatino Linotype"/>
        </w:rPr>
      </w:pPr>
      <w:r>
        <w:t xml:space="preserve">There are no costs associated with this </w:t>
      </w:r>
      <w:r w:rsidR="0047266C">
        <w:t>R</w:t>
      </w:r>
      <w:r>
        <w:t>esolution.</w:t>
      </w:r>
    </w:p>
    <w:p w:rsidR="00CF17DE" w:rsidRDefault="00CF17DE" w14:paraId="414B5F5B" w14:textId="77777777">
      <w:pPr>
        <w:pStyle w:val="Res-Caption"/>
      </w:pPr>
    </w:p>
    <w:p w:rsidR="00CF17DE" w:rsidRDefault="00CF17DE" w14:paraId="0395FC4E" w14:textId="478A4A63">
      <w:pPr>
        <w:pStyle w:val="Res-Caption"/>
      </w:pPr>
      <w:r>
        <w:t xml:space="preserve">By Advice Letter </w:t>
      </w:r>
      <w:r w:rsidR="007E7642">
        <w:t>4289-E</w:t>
      </w:r>
      <w:r w:rsidR="003F6E5A">
        <w:t>,</w:t>
      </w:r>
      <w:r>
        <w:t xml:space="preserve"> Filed on </w:t>
      </w:r>
      <w:r w:rsidR="007E7642">
        <w:t>September 10, 2020.</w:t>
      </w:r>
      <w:r>
        <w:t xml:space="preserve"> </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00CF17DE" w:rsidRDefault="00CF17DE" w14:paraId="2C49E15C" w14:textId="77777777">
      <w:pPr>
        <w:pStyle w:val="Heading1"/>
      </w:pPr>
      <w:r w:rsidRPr="00467B7C">
        <w:t>Summary</w:t>
      </w:r>
      <w:bookmarkEnd w:id="0"/>
    </w:p>
    <w:p w:rsidR="00067793" w:rsidP="00067793" w:rsidRDefault="00CF17DE" w14:paraId="24356F87" w14:textId="68E5CA49">
      <w:r>
        <w:t xml:space="preserve">This Resolution </w:t>
      </w:r>
      <w:r w:rsidR="006D44E1">
        <w:t>approves Southern California Edison Company (SCE)’s Advice Letter (AL) 4289-E with modification</w:t>
      </w:r>
      <w:r w:rsidR="00DD24AF">
        <w:t>s</w:t>
      </w:r>
      <w:r w:rsidR="006D44E1">
        <w:t xml:space="preserve">. </w:t>
      </w:r>
      <w:r w:rsidR="00B755AC">
        <w:t>In AL 4289-E, SCE request</w:t>
      </w:r>
      <w:r w:rsidR="00DD24AF">
        <w:t xml:space="preserve">s </w:t>
      </w:r>
      <w:r w:rsidR="6DB288CB">
        <w:t xml:space="preserve">to </w:t>
      </w:r>
      <w:r w:rsidR="008A0463">
        <w:t>modify</w:t>
      </w:r>
      <w:r w:rsidR="004635B6">
        <w:t xml:space="preserve"> </w:t>
      </w:r>
      <w:r w:rsidR="00323EFE">
        <w:t xml:space="preserve">Rule 23 </w:t>
      </w:r>
      <w:r w:rsidRPr="0A3892F4" w:rsidR="00323EFE">
        <w:rPr>
          <w:i/>
          <w:iCs/>
        </w:rPr>
        <w:t>Community Choice Aggregation</w:t>
      </w:r>
      <w:r w:rsidR="00323EFE">
        <w:t xml:space="preserve"> and Schedule CCA-INFO </w:t>
      </w:r>
      <w:r w:rsidRPr="0A3892F4" w:rsidR="00323EFE">
        <w:rPr>
          <w:i/>
          <w:iCs/>
        </w:rPr>
        <w:t xml:space="preserve">Community Choice Aggregation Information </w:t>
      </w:r>
      <w:r w:rsidR="004635B6">
        <w:t>to allow</w:t>
      </w:r>
      <w:r w:rsidR="00982056">
        <w:t xml:space="preserve"> </w:t>
      </w:r>
      <w:r w:rsidR="008A0463">
        <w:t>SCE to transmit</w:t>
      </w:r>
      <w:r w:rsidR="00067793">
        <w:t xml:space="preserve"> an “All-Customer List”</w:t>
      </w:r>
      <w:r w:rsidR="008A0463">
        <w:t xml:space="preserve"> </w:t>
      </w:r>
      <w:r w:rsidR="002157AE">
        <w:t xml:space="preserve">to </w:t>
      </w:r>
      <w:r w:rsidR="004635B6">
        <w:lastRenderedPageBreak/>
        <w:t>Community Choice Aggregators (CCAs) in its service territory</w:t>
      </w:r>
      <w:r w:rsidR="00215597">
        <w:t xml:space="preserve">. </w:t>
      </w:r>
      <w:r w:rsidR="00067793">
        <w:t xml:space="preserve">SCE defines an All-Customer List as a complete list of all service accounts in each </w:t>
      </w:r>
      <w:r w:rsidR="00CC221D">
        <w:t xml:space="preserve">CCA's </w:t>
      </w:r>
      <w:r w:rsidR="00067793">
        <w:t xml:space="preserve">respective </w:t>
      </w:r>
      <w:r w:rsidR="005C1B40">
        <w:t>service territory</w:t>
      </w:r>
      <w:r w:rsidR="00067793">
        <w:t>, including customers taking SCE bundled service and Direct Access (DA) service</w:t>
      </w:r>
      <w:r w:rsidR="00CB339C">
        <w:t>.</w:t>
      </w:r>
      <w:r w:rsidR="00067793">
        <w:t xml:space="preserve"> </w:t>
      </w:r>
    </w:p>
    <w:p w:rsidR="002157AE" w:rsidP="00067793" w:rsidRDefault="002157AE" w14:paraId="5EBD7B89" w14:textId="77777777"/>
    <w:p w:rsidR="00E940DF" w:rsidRDefault="00982056" w14:paraId="1A1E5D16" w14:textId="4BB84672">
      <w:r>
        <w:t xml:space="preserve">This </w:t>
      </w:r>
      <w:r w:rsidDel="00BF3598">
        <w:t xml:space="preserve">Resolution </w:t>
      </w:r>
      <w:r w:rsidR="00BA5BE6">
        <w:t xml:space="preserve">directs SCE to exclude DA customer service accounts and associated </w:t>
      </w:r>
      <w:r w:rsidR="00F307E3">
        <w:t xml:space="preserve">customer data from the All-Customer List because </w:t>
      </w:r>
      <w:r w:rsidR="00956F69">
        <w:t xml:space="preserve">this information does not </w:t>
      </w:r>
      <w:r w:rsidRPr="00714651" w:rsidR="00956F69">
        <w:t>accomplish the specific primary purpose</w:t>
      </w:r>
      <w:r w:rsidR="00956F69">
        <w:t xml:space="preserve"> of the list</w:t>
      </w:r>
      <w:r w:rsidR="007A636B">
        <w:t>.</w:t>
      </w:r>
      <w:r w:rsidR="00956F69">
        <w:t xml:space="preserve"> </w:t>
      </w:r>
      <w:r w:rsidR="00DF3B6D">
        <w:t xml:space="preserve">The </w:t>
      </w:r>
      <w:r w:rsidR="00BF3598">
        <w:t>r</w:t>
      </w:r>
      <w:r w:rsidR="00DF3B6D">
        <w:t xml:space="preserve">esolution also </w:t>
      </w:r>
      <w:r w:rsidR="00A00E35">
        <w:t xml:space="preserve">directs SCE to provide aggregated counts of customer changes to the CCAs. </w:t>
      </w:r>
      <w:r w:rsidR="00956F69">
        <w:t xml:space="preserve">SCE is </w:t>
      </w:r>
      <w:r w:rsidR="005D496E">
        <w:t>directed to modify Rule 23 and Schedule CCA-INFO accordingly.</w:t>
      </w:r>
    </w:p>
    <w:p w:rsidR="00DC23C4" w:rsidP="002F7975" w:rsidRDefault="00DC23C4" w14:paraId="7A99AB12" w14:textId="77777777">
      <w:pPr>
        <w:contextualSpacing/>
      </w:pPr>
    </w:p>
    <w:p w:rsidRPr="00602835" w:rsidR="00DF35CC" w:rsidP="002F7975" w:rsidRDefault="00CF17DE" w14:paraId="7ED5ADC6" w14:textId="7CD87916">
      <w:pPr>
        <w:pStyle w:val="Heading1"/>
        <w:spacing w:before="0" w:after="0"/>
        <w:contextualSpacing/>
      </w:pPr>
      <w:r w:rsidRPr="005B1394">
        <w:t>Background</w:t>
      </w:r>
      <w:r w:rsidR="00022322">
        <w:br/>
      </w:r>
    </w:p>
    <w:p w:rsidR="00EF5DB3" w:rsidP="59B5E8CE" w:rsidRDefault="007100D2" w14:paraId="59787658" w14:textId="77735A8D">
      <w:r>
        <w:t>Clean Power Alliance (CPA) and California Choice Energy Authority (CalChoice)</w:t>
      </w:r>
      <w:r w:rsidR="00276E70">
        <w:t xml:space="preserve"> (collectively, the SoCal CCAs) entered into a settlement agreement </w:t>
      </w:r>
      <w:r w:rsidR="000A6105">
        <w:t>with S</w:t>
      </w:r>
      <w:r w:rsidR="0012053A">
        <w:t>outhern California Edison Company (S</w:t>
      </w:r>
      <w:r w:rsidR="000A6105">
        <w:t>CE</w:t>
      </w:r>
      <w:r w:rsidR="0012053A">
        <w:t>)</w:t>
      </w:r>
      <w:r w:rsidR="000A6105">
        <w:t xml:space="preserve"> </w:t>
      </w:r>
      <w:r w:rsidR="00276E70">
        <w:t>in SCE’s Phase 1 of the 2021 General Rate Case (GRC Settlement)</w:t>
      </w:r>
      <w:r w:rsidR="004056A2">
        <w:t>.</w:t>
      </w:r>
      <w:r w:rsidR="001657D6">
        <w:t xml:space="preserve"> </w:t>
      </w:r>
      <w:r w:rsidR="00276E70">
        <w:t>In the GRC Settlement</w:t>
      </w:r>
      <w:r w:rsidR="00B23151">
        <w:t xml:space="preserve">, among other things, SCE agreed to submit an advice letter </w:t>
      </w:r>
      <w:r w:rsidR="000B4A8A">
        <w:t>(AL) by September 10, 2020 requesting the CPUC to approve tariff changes necessary to allow SCE to provide the C</w:t>
      </w:r>
      <w:r w:rsidR="68363084">
        <w:t>ommunity Choice Aggregators (C</w:t>
      </w:r>
      <w:r w:rsidR="000B4A8A">
        <w:t>CAs</w:t>
      </w:r>
      <w:r w:rsidR="078E5238">
        <w:t>)</w:t>
      </w:r>
      <w:r w:rsidR="000B4A8A">
        <w:t xml:space="preserve"> in its service territory wit</w:t>
      </w:r>
      <w:r w:rsidR="007D43F6">
        <w:t xml:space="preserve">h an </w:t>
      </w:r>
      <w:r w:rsidR="00B34654">
        <w:t>“</w:t>
      </w:r>
      <w:r w:rsidR="007D43F6">
        <w:t>All</w:t>
      </w:r>
      <w:r w:rsidR="00CD7FB4">
        <w:t>-</w:t>
      </w:r>
      <w:r w:rsidR="007D43F6">
        <w:t>Customer List</w:t>
      </w:r>
      <w:r w:rsidR="001611AC">
        <w:t>”</w:t>
      </w:r>
      <w:r w:rsidR="007D43F6">
        <w:t xml:space="preserve"> on at least a monthly basis</w:t>
      </w:r>
      <w:r w:rsidR="00870D59">
        <w:t xml:space="preserve">. </w:t>
      </w:r>
      <w:r w:rsidR="21BB508D">
        <w:t xml:space="preserve"> SCE defines an </w:t>
      </w:r>
      <w:r w:rsidR="00EF5DB3">
        <w:t>All-Customer List</w:t>
      </w:r>
      <w:r w:rsidR="3D02EC27">
        <w:t xml:space="preserve"> </w:t>
      </w:r>
      <w:r w:rsidR="00EF5DB3">
        <w:t>a</w:t>
      </w:r>
      <w:r w:rsidR="7BDCAC98">
        <w:t>s a</w:t>
      </w:r>
      <w:r w:rsidR="00EF5DB3">
        <w:t xml:space="preserve"> complete list of all service accounts in each CCA’s respective </w:t>
      </w:r>
      <w:r w:rsidR="00243A86">
        <w:t>service territory</w:t>
      </w:r>
      <w:r w:rsidR="00EF5DB3">
        <w:t xml:space="preserve">, including customers taking SCE bundled service and Direct Access (DA) service.  </w:t>
      </w:r>
    </w:p>
    <w:p w:rsidR="00EF5DB3" w:rsidP="0044447F" w:rsidRDefault="00EF5DB3" w14:paraId="7F22147A" w14:textId="77777777"/>
    <w:p w:rsidR="0B66293B" w:rsidRDefault="0B66293B" w14:paraId="73EC9BF7" w14:textId="5199D700">
      <w:r>
        <w:t>SCE and the SoCal CCAs were motivated in the GRC Settlement to expand data sharing</w:t>
      </w:r>
      <w:r w:rsidR="73C1147D">
        <w:t xml:space="preserve"> through an All-Customer List</w:t>
      </w:r>
      <w:r>
        <w:t xml:space="preserve"> to more effectively manage mass </w:t>
      </w:r>
      <w:r w:rsidR="286B9C5A">
        <w:t xml:space="preserve">CCA </w:t>
      </w:r>
      <w:r>
        <w:t xml:space="preserve">enrollments and improve data validation efforts. The </w:t>
      </w:r>
      <w:r w:rsidR="00473ECC">
        <w:t xml:space="preserve">use </w:t>
      </w:r>
      <w:r>
        <w:t>of an All-Customer List would allow SCE and CCAs in SCE’s service territory to more quickly identify situations in which a customer is not timely or accurately notified and/or enrolled in CCA Service.</w:t>
      </w:r>
    </w:p>
    <w:p w:rsidR="08309CF4" w:rsidP="08309CF4" w:rsidRDefault="08309CF4" w14:paraId="2FC94433" w14:textId="0C40E34B"/>
    <w:p w:rsidR="0044447F" w:rsidRDefault="0044447F" w14:paraId="2A5235CD" w14:textId="45004C6B">
      <w:r>
        <w:t>P</w:t>
      </w:r>
      <w:r w:rsidR="00473ECC">
        <w:t>ursuant to</w:t>
      </w:r>
      <w:r>
        <w:t xml:space="preserve"> the GRC Settlement, SCE filed AL 4289-E on September 10, 2020, requesting CPUC approval of tariff changes to allow SCE to provide the SoCal CCAs with an All-Customer List on an “as-is” basis without warranty, and </w:t>
      </w:r>
      <w:r w:rsidR="00473ECC">
        <w:t xml:space="preserve">with </w:t>
      </w:r>
      <w:r>
        <w:t xml:space="preserve">the CCAs’ agreement to hold SCE harmless for any errors or omissions contained in the All-Customer List. The proposed tariff changes include modification of Rule </w:t>
      </w:r>
      <w:r>
        <w:lastRenderedPageBreak/>
        <w:t xml:space="preserve">23 </w:t>
      </w:r>
      <w:r w:rsidRPr="63D8577A">
        <w:rPr>
          <w:i/>
          <w:iCs/>
        </w:rPr>
        <w:t>Community Choice Aggregation</w:t>
      </w:r>
      <w:r>
        <w:t xml:space="preserve"> and</w:t>
      </w:r>
      <w:r w:rsidR="0BB4BD2E">
        <w:t xml:space="preserve"> modification of</w:t>
      </w:r>
      <w:r>
        <w:t xml:space="preserve"> Schedule CCA-INFO </w:t>
      </w:r>
      <w:r w:rsidRPr="63D8577A">
        <w:rPr>
          <w:i/>
          <w:iCs/>
        </w:rPr>
        <w:t>Community Choice Aggregation Information Fees</w:t>
      </w:r>
      <w:r>
        <w:t xml:space="preserve">.  </w:t>
      </w:r>
    </w:p>
    <w:p w:rsidR="00B7021D" w:rsidRDefault="00B7021D" w14:paraId="37808022" w14:textId="77777777"/>
    <w:p w:rsidR="00125159" w:rsidP="63D8577A" w:rsidRDefault="5A58BE3B" w14:paraId="052EA8BA" w14:textId="0A8F3598">
      <w:r>
        <w:t xml:space="preserve">SCE proposes to modify Rule 23 because it currently prohibits SCE from providing the CCAs with information about customers that have either opted-out of CCA Service or were not enrolled in CCA Service for another reason (e.g., CCA excluded customer group from implementation). </w:t>
      </w:r>
      <w:r w:rsidR="00C65C46">
        <w:t xml:space="preserve">Specifically, </w:t>
      </w:r>
      <w:r>
        <w:t xml:space="preserve">AL 4289-E </w:t>
      </w:r>
      <w:r w:rsidR="5D00BABE">
        <w:t xml:space="preserve">would </w:t>
      </w:r>
      <w:r>
        <w:t xml:space="preserve">modify Rule 23 to clarify the process SCE should implement when a missing or delayed enrollment is identified to ensure that customers receive required notices before being enrolled into CCA Service. </w:t>
      </w:r>
      <w:r w:rsidR="63675122">
        <w:t>AL 4289-E would also</w:t>
      </w:r>
      <w:r w:rsidR="00B93A41">
        <w:t xml:space="preserve"> </w:t>
      </w:r>
      <w:r w:rsidR="2F226A71">
        <w:t xml:space="preserve">modify Schedule CCA-INFO to add the “All-Customer List” as a report provided by SCE to CCAs at no charge.  </w:t>
      </w:r>
    </w:p>
    <w:p w:rsidR="00255AAF" w:rsidP="63D8577A" w:rsidRDefault="00255AAF" w14:paraId="22357F19" w14:textId="77777777"/>
    <w:p w:rsidR="00CF17DE" w:rsidRDefault="00394B3A" w14:paraId="66788129" w14:textId="77777777">
      <w:pPr>
        <w:pStyle w:val="Heading1"/>
      </w:pPr>
      <w:r w:rsidRPr="005B1394">
        <w:t>Notice</w:t>
      </w:r>
    </w:p>
    <w:p w:rsidR="00CF17DE" w:rsidRDefault="00CF17DE" w14:paraId="37FFE207" w14:textId="3307BB19">
      <w:r>
        <w:t xml:space="preserve">Notice of AL </w:t>
      </w:r>
      <w:r w:rsidR="00B95C3C">
        <w:t xml:space="preserve">4289-E </w:t>
      </w:r>
      <w:r>
        <w:t xml:space="preserve">was made by publication in the Commission’s Daily Calendar.  </w:t>
      </w:r>
      <w:r w:rsidR="00B95C3C">
        <w:t>Southern California Edison Company</w:t>
      </w:r>
      <w:r>
        <w:t xml:space="preserve"> states that a copy of the Advice Letter was mailed and distributed in accordance with Sec</w:t>
      </w:r>
      <w:r w:rsidR="00A1526C">
        <w:t xml:space="preserve">tion </w:t>
      </w:r>
      <w:r w:rsidR="0069631C">
        <w:t>4</w:t>
      </w:r>
      <w:r w:rsidR="00E928CF">
        <w:t xml:space="preserve"> of General Order 96-B</w:t>
      </w:r>
      <w:r>
        <w:t xml:space="preserve">. </w:t>
      </w:r>
    </w:p>
    <w:p w:rsidR="00CF17DE" w:rsidRDefault="00CF17DE" w14:paraId="6E8F021A" w14:textId="77777777"/>
    <w:p w:rsidR="00CF17DE" w:rsidRDefault="00CF17DE" w14:paraId="7F509E4C" w14:textId="77777777">
      <w:pPr>
        <w:pStyle w:val="Heading1"/>
      </w:pPr>
      <w:r w:rsidRPr="005B1394">
        <w:t>Protests</w:t>
      </w:r>
    </w:p>
    <w:p w:rsidR="00CF17DE" w:rsidRDefault="00CF17DE" w14:paraId="0BCE1CF2" w14:textId="34430112">
      <w:r>
        <w:t xml:space="preserve">Advice Letter </w:t>
      </w:r>
      <w:r w:rsidR="005E7E6C">
        <w:t>4289-E</w:t>
      </w:r>
      <w:r>
        <w:t xml:space="preserve"> was timely protested by </w:t>
      </w:r>
      <w:r w:rsidR="007F71A1">
        <w:t>The Direct Access Customer Coalition (DACC).</w:t>
      </w:r>
      <w:r>
        <w:t xml:space="preserve">  </w:t>
      </w:r>
      <w:r w:rsidR="007F71A1">
        <w:t>SCE</w:t>
      </w:r>
      <w:r>
        <w:t xml:space="preserve"> responded to the protest on </w:t>
      </w:r>
      <w:r w:rsidR="008F1D53">
        <w:t>October 7, 2020.</w:t>
      </w:r>
    </w:p>
    <w:p w:rsidR="00CF17DE" w:rsidRDefault="00CF17DE" w14:paraId="12325A79" w14:textId="67A85188"/>
    <w:p w:rsidR="00FC06BB" w:rsidRDefault="73000DBB" w14:paraId="3F4CCAA3" w14:textId="18F0B118">
      <w:r>
        <w:t xml:space="preserve">DACC </w:t>
      </w:r>
      <w:r w:rsidR="2D72F5B4">
        <w:t xml:space="preserve">protests AL 4289-E on the basis that </w:t>
      </w:r>
      <w:r w:rsidR="23139619">
        <w:t>data sharing between SCE and CCAs through an All-Customer list</w:t>
      </w:r>
      <w:r w:rsidR="15DA4D88">
        <w:t xml:space="preserve"> would facilitate CCA marketing to </w:t>
      </w:r>
      <w:r w:rsidR="37D7C2BC">
        <w:t>DA</w:t>
      </w:r>
      <w:r w:rsidR="51E89A8C">
        <w:t xml:space="preserve"> customers</w:t>
      </w:r>
      <w:r w:rsidR="13F35A45">
        <w:t xml:space="preserve"> </w:t>
      </w:r>
      <w:r w:rsidR="75BCBA42">
        <w:t xml:space="preserve">that take service </w:t>
      </w:r>
      <w:r w:rsidR="49C6BC95">
        <w:t>with</w:t>
      </w:r>
      <w:r w:rsidR="75BCBA42">
        <w:t xml:space="preserve"> an </w:t>
      </w:r>
      <w:r w:rsidR="27A88953">
        <w:t xml:space="preserve">Electric </w:t>
      </w:r>
      <w:r w:rsidR="2C62D219">
        <w:t>Service Provider (</w:t>
      </w:r>
      <w:r w:rsidR="75BCBA42">
        <w:t>ESP</w:t>
      </w:r>
      <w:r w:rsidR="51908D00">
        <w:t>)</w:t>
      </w:r>
      <w:r w:rsidR="15DA4D88">
        <w:t>.</w:t>
      </w:r>
      <w:r w:rsidR="51E89A8C">
        <w:t xml:space="preserve"> DACC notes that no similar list is provided to non-CCA </w:t>
      </w:r>
      <w:r w:rsidR="5BEBF532">
        <w:t>ESPs</w:t>
      </w:r>
      <w:r w:rsidR="123133A9">
        <w:t>, and</w:t>
      </w:r>
      <w:r w:rsidR="380D0CEC">
        <w:t xml:space="preserve"> </w:t>
      </w:r>
      <w:r w:rsidR="00863321">
        <w:t xml:space="preserve">asserts </w:t>
      </w:r>
      <w:r w:rsidR="380D0CEC">
        <w:t xml:space="preserve">that </w:t>
      </w:r>
      <w:r w:rsidR="123133A9">
        <w:t xml:space="preserve">providing such a list to CCAs would be </w:t>
      </w:r>
      <w:r w:rsidR="07C85AF0">
        <w:t>anti-</w:t>
      </w:r>
      <w:r w:rsidR="123133A9">
        <w:t xml:space="preserve">competitive. </w:t>
      </w:r>
      <w:r w:rsidR="403BFC98">
        <w:t xml:space="preserve">DACC is </w:t>
      </w:r>
      <w:r w:rsidR="496EDE73">
        <w:t xml:space="preserve">particularly </w:t>
      </w:r>
      <w:r w:rsidR="403BFC98">
        <w:t xml:space="preserve">concerned that CCAs will market to </w:t>
      </w:r>
      <w:r w:rsidR="15F13478">
        <w:t>DA</w:t>
      </w:r>
      <w:r w:rsidR="73B281E8">
        <w:t xml:space="preserve"> customers because these customers t</w:t>
      </w:r>
      <w:r w:rsidR="698C3476">
        <w:t>ypically</w:t>
      </w:r>
      <w:r w:rsidR="73B281E8">
        <w:t xml:space="preserve"> have larger loads and lower costs to serve.</w:t>
      </w:r>
      <w:r w:rsidR="241A62D8">
        <w:t xml:space="preserve"> DACC is also concerned with SCE providing lists of bundled customers to CCAs because DA customers may also have </w:t>
      </w:r>
      <w:r w:rsidR="0A8F7E78">
        <w:t xml:space="preserve">facilities and </w:t>
      </w:r>
      <w:r w:rsidR="241A62D8">
        <w:t xml:space="preserve">meters on bundled service. </w:t>
      </w:r>
    </w:p>
    <w:p w:rsidR="00BE69FB" w:rsidRDefault="00BE69FB" w14:paraId="7658B392" w14:textId="43EDDD87"/>
    <w:p w:rsidR="00BE69FB" w:rsidRDefault="00140DFD" w14:paraId="1758623B" w14:textId="755A4248">
      <w:r>
        <w:t xml:space="preserve">In its protest, </w:t>
      </w:r>
      <w:r w:rsidR="001825E0">
        <w:t xml:space="preserve">DACC </w:t>
      </w:r>
      <w:r w:rsidR="006E7CDC">
        <w:t>points to a particular section of</w:t>
      </w:r>
      <w:r w:rsidR="001825E0">
        <w:t xml:space="preserve"> AL 4289-E, </w:t>
      </w:r>
      <w:r w:rsidR="006E7CDC">
        <w:t xml:space="preserve">in which </w:t>
      </w:r>
      <w:r w:rsidR="007E2A92">
        <w:t>SCE states</w:t>
      </w:r>
      <w:r w:rsidR="003D7E6B">
        <w:t xml:space="preserve"> </w:t>
      </w:r>
      <w:r w:rsidR="007E2A92">
        <w:t xml:space="preserve">that it understands that CCAs will only use the data for purposes related to </w:t>
      </w:r>
      <w:r w:rsidR="004C3B01">
        <w:lastRenderedPageBreak/>
        <w:t>CCA account administration, such as ensuring correct customer enrollment and account management, and not for marketing to customers that have opted-out of CCA service.</w:t>
      </w:r>
      <w:r w:rsidR="001825E0">
        <w:t xml:space="preserve"> </w:t>
      </w:r>
      <w:r w:rsidR="00F256C3">
        <w:t xml:space="preserve">DACC </w:t>
      </w:r>
      <w:r w:rsidR="00001AB3">
        <w:t xml:space="preserve">asserts </w:t>
      </w:r>
      <w:r w:rsidR="00F256C3">
        <w:t xml:space="preserve">that </w:t>
      </w:r>
      <w:r w:rsidR="001825E0">
        <w:t>SCE provides no information on how this understanding is to be monitored and enforced.</w:t>
      </w:r>
    </w:p>
    <w:p w:rsidR="0026118E" w:rsidRDefault="0026118E" w14:paraId="70C886BB" w14:textId="5B1BF7B9"/>
    <w:p w:rsidR="0003756E" w:rsidRDefault="0003756E" w14:paraId="5AFB5F6E" w14:textId="4AA16E5F">
      <w:r>
        <w:t xml:space="preserve">For these reasons, DACC requests that </w:t>
      </w:r>
      <w:r w:rsidR="000022F4">
        <w:t xml:space="preserve">SCE be forbidden to provide CCAs </w:t>
      </w:r>
      <w:r w:rsidR="003E7F80">
        <w:t xml:space="preserve">with the names or any other meter or contact information for customers on </w:t>
      </w:r>
      <w:r w:rsidR="00D1743E">
        <w:t>DA</w:t>
      </w:r>
      <w:r w:rsidR="00A32B69">
        <w:t xml:space="preserve"> or bundled service</w:t>
      </w:r>
      <w:r w:rsidR="00D1743E">
        <w:t xml:space="preserve">. DACC further states </w:t>
      </w:r>
      <w:r w:rsidR="00E948D0">
        <w:t xml:space="preserve">that if the CPUC </w:t>
      </w:r>
      <w:r w:rsidR="000A6105">
        <w:t xml:space="preserve">is </w:t>
      </w:r>
      <w:r w:rsidR="00E948D0">
        <w:t xml:space="preserve">inclined to approve SCE’s data sharing proposal, </w:t>
      </w:r>
      <w:r w:rsidR="0019117F">
        <w:t>there is precedent for establishing safeguards against anti-competitive behavior.</w:t>
      </w:r>
      <w:r w:rsidR="00DC0098">
        <w:t xml:space="preserve"> For example,</w:t>
      </w:r>
      <w:r w:rsidR="00774E20">
        <w:t xml:space="preserve"> DA</w:t>
      </w:r>
      <w:r w:rsidR="009F61B0">
        <w:t>CC notes that</w:t>
      </w:r>
      <w:r w:rsidR="00DC0098">
        <w:t xml:space="preserve"> the CPUC staff could </w:t>
      </w:r>
      <w:r w:rsidR="00796052">
        <w:t xml:space="preserve">direct SCE </w:t>
      </w:r>
      <w:r w:rsidR="00A12EC2">
        <w:t xml:space="preserve">to work with the CCAs to develop a meaningful prohibition </w:t>
      </w:r>
      <w:r w:rsidR="00A52FF6">
        <w:t>on using DA or bundled customer information for marketing purposes.</w:t>
      </w:r>
    </w:p>
    <w:p w:rsidR="00246235" w:rsidRDefault="00246235" w14:paraId="3AB84C1A" w14:textId="4B4C4A5A"/>
    <w:p w:rsidR="003D6862" w:rsidRDefault="00CB0695" w14:paraId="212137A4" w14:textId="4B25598B">
      <w:r>
        <w:t xml:space="preserve">In its response, </w:t>
      </w:r>
      <w:r w:rsidR="00246235">
        <w:t xml:space="preserve">SCE </w:t>
      </w:r>
      <w:r w:rsidR="00422237">
        <w:t xml:space="preserve">states that DACC’s protest should be rejected and AL 4289-E should be approved for three </w:t>
      </w:r>
      <w:r>
        <w:t xml:space="preserve">main </w:t>
      </w:r>
      <w:r w:rsidR="00422237">
        <w:t xml:space="preserve">reasons. First, SCE </w:t>
      </w:r>
      <w:r w:rsidR="001D655B">
        <w:t>asserts that t</w:t>
      </w:r>
      <w:r w:rsidR="00E64236">
        <w:t>he CPUC</w:t>
      </w:r>
      <w:r w:rsidR="00376DC0">
        <w:t xml:space="preserve">-approved </w:t>
      </w:r>
      <w:r w:rsidR="00022876">
        <w:t xml:space="preserve">CCA Non-Disclosure Agreement (NDA), Form 14-769, already prohibits the CCAs from </w:t>
      </w:r>
      <w:r w:rsidR="006E0DD9">
        <w:t xml:space="preserve">using confidential </w:t>
      </w:r>
      <w:r w:rsidR="00BD6876">
        <w:t>customer data contained in the All-Customer List for secondary commercial purposes, including marketing</w:t>
      </w:r>
      <w:r w:rsidR="00C70D4E">
        <w:t>.</w:t>
      </w:r>
      <w:r w:rsidR="005B1BD6">
        <w:t xml:space="preserve">  </w:t>
      </w:r>
      <w:r w:rsidR="001D655B">
        <w:t xml:space="preserve">Specifically, </w:t>
      </w:r>
      <w:r w:rsidR="005B1BD6">
        <w:t>SCE cites two provision</w:t>
      </w:r>
      <w:r w:rsidR="001D655B">
        <w:t>s</w:t>
      </w:r>
      <w:r w:rsidR="005B1BD6">
        <w:t xml:space="preserve"> in the CCA NDA</w:t>
      </w:r>
      <w:r w:rsidR="00155893">
        <w:t>, including S</w:t>
      </w:r>
      <w:r w:rsidR="00165498">
        <w:t xml:space="preserve">ection 1(e), which </w:t>
      </w:r>
      <w:r w:rsidR="008D5CD3">
        <w:t>“…prohibits the use of the data for a secondary commercial purpose not related to CCA Service or energy efficiency purposes without the customer’s prior consent to that use</w:t>
      </w:r>
      <w:r w:rsidR="005B7586">
        <w:t>.</w:t>
      </w:r>
      <w:r w:rsidR="00581614">
        <w:t>”</w:t>
      </w:r>
      <w:r w:rsidR="00537345">
        <w:t xml:space="preserve"> </w:t>
      </w:r>
      <w:r w:rsidR="00155893">
        <w:t xml:space="preserve">SCE also references </w:t>
      </w:r>
      <w:r w:rsidR="00537345">
        <w:t>Section 5</w:t>
      </w:r>
      <w:r w:rsidR="00155893">
        <w:t xml:space="preserve"> in the CCA NDA, which</w:t>
      </w:r>
      <w:r w:rsidR="00537345">
        <w:t xml:space="preserve"> </w:t>
      </w:r>
      <w:r w:rsidR="00927618">
        <w:t xml:space="preserve">establishes </w:t>
      </w:r>
      <w:r w:rsidR="00655AA4">
        <w:t xml:space="preserve">procedures </w:t>
      </w:r>
      <w:r w:rsidR="00774C9F">
        <w:t xml:space="preserve">that govern restriction of access </w:t>
      </w:r>
      <w:r w:rsidR="00DC6335">
        <w:t>of Confidential Information to certain employees and requires CCAs to set up the requested firewall</w:t>
      </w:r>
      <w:r w:rsidR="00037C51">
        <w:t>.</w:t>
      </w:r>
    </w:p>
    <w:p w:rsidR="00C70D4E" w:rsidRDefault="00C70D4E" w14:paraId="4617351D" w14:textId="77777777"/>
    <w:p w:rsidR="63D8577A" w:rsidP="63D8577A" w:rsidRDefault="3D619C65" w14:paraId="5E51F54F" w14:textId="72E8FB64">
      <w:r>
        <w:t>Second,</w:t>
      </w:r>
      <w:r w:rsidR="13C4F144">
        <w:t xml:space="preserve"> SCE </w:t>
      </w:r>
      <w:r w:rsidR="19007AB1">
        <w:t>notes</w:t>
      </w:r>
      <w:r w:rsidR="13C4F144">
        <w:t xml:space="preserve"> that</w:t>
      </w:r>
      <w:r w:rsidR="268DE42A">
        <w:t xml:space="preserve"> </w:t>
      </w:r>
      <w:r w:rsidR="495DB0C6">
        <w:t>Pacific Gas and Electric Company (PG&amp;E</w:t>
      </w:r>
      <w:r w:rsidR="210F25D9">
        <w:t>) already provides similar data to CCAs pursuant to CPUC-approved tariffs</w:t>
      </w:r>
      <w:r w:rsidR="30032164">
        <w:t xml:space="preserve">, and </w:t>
      </w:r>
      <w:r w:rsidR="70EDCE49">
        <w:t xml:space="preserve">SCE believes </w:t>
      </w:r>
      <w:r w:rsidR="30032164">
        <w:t>the CPUC should apply its policy consistently</w:t>
      </w:r>
      <w:r w:rsidR="5D915FD7">
        <w:t>.</w:t>
      </w:r>
      <w:r w:rsidR="4897557B">
        <w:t xml:space="preserve"> </w:t>
      </w:r>
      <w:r w:rsidR="70EDCE49">
        <w:t xml:space="preserve">Last, </w:t>
      </w:r>
      <w:r w:rsidR="6A2C8896">
        <w:t>SCE rejects DACC’s protest</w:t>
      </w:r>
      <w:r w:rsidR="77A72DD4">
        <w:t xml:space="preserve"> on the basis that ESPs and CCAs are not similarly situated</w:t>
      </w:r>
      <w:r w:rsidR="574B45C6">
        <w:t>,</w:t>
      </w:r>
      <w:r w:rsidR="26C444F4">
        <w:t xml:space="preserve"> and</w:t>
      </w:r>
      <w:r w:rsidR="574B45C6">
        <w:t xml:space="preserve"> </w:t>
      </w:r>
      <w:r w:rsidR="0B94C678">
        <w:t>ESPs</w:t>
      </w:r>
      <w:r w:rsidR="0440F135">
        <w:t xml:space="preserve"> </w:t>
      </w:r>
      <w:r w:rsidR="77A72DD4">
        <w:t>that provide</w:t>
      </w:r>
      <w:r w:rsidR="0440F135">
        <w:t xml:space="preserve"> DA Service do not require access to bundled customer data</w:t>
      </w:r>
      <w:r w:rsidR="26C444F4">
        <w:t xml:space="preserve">. </w:t>
      </w:r>
      <w:r w:rsidR="70BEB5E8">
        <w:t xml:space="preserve">SCE </w:t>
      </w:r>
      <w:r w:rsidR="6A2C8896">
        <w:t>alleges</w:t>
      </w:r>
      <w:r w:rsidR="70BEB5E8">
        <w:t xml:space="preserve"> that</w:t>
      </w:r>
      <w:r w:rsidR="574B45C6">
        <w:t xml:space="preserve"> </w:t>
      </w:r>
      <w:r w:rsidR="7CCDAF14">
        <w:t>ESPs do not have a need for bundled or CCA customer information to effectively administer their business</w:t>
      </w:r>
      <w:r w:rsidR="2802C199">
        <w:t xml:space="preserve"> like CCAs, since CCA</w:t>
      </w:r>
      <w:r w:rsidR="7D36791C">
        <w:t xml:space="preserve"> customers must opt-out </w:t>
      </w:r>
      <w:r w:rsidR="19E2914C">
        <w:t xml:space="preserve">of service </w:t>
      </w:r>
      <w:r w:rsidR="7D36791C">
        <w:t>whereas DA customers</w:t>
      </w:r>
      <w:r w:rsidR="1C311709">
        <w:t xml:space="preserve"> must</w:t>
      </w:r>
      <w:r w:rsidR="7D36791C">
        <w:t xml:space="preserve"> opt-in</w:t>
      </w:r>
      <w:r w:rsidR="19E2914C">
        <w:t>.</w:t>
      </w:r>
    </w:p>
    <w:p w:rsidR="63D8577A" w:rsidP="63D8577A" w:rsidRDefault="63D8577A" w14:paraId="6201C5CD" w14:textId="63BC3687"/>
    <w:p w:rsidR="00CF17DE" w:rsidRDefault="00CF17DE" w14:paraId="23E10AE5" w14:textId="77777777">
      <w:pPr>
        <w:pStyle w:val="Heading1"/>
      </w:pPr>
      <w:r w:rsidRPr="00B109B0">
        <w:lastRenderedPageBreak/>
        <w:t>Discussion</w:t>
      </w:r>
    </w:p>
    <w:p w:rsidR="00920501" w:rsidRDefault="00A32525" w14:paraId="47C94B17" w14:textId="6F01199F">
      <w:r>
        <w:t xml:space="preserve">The </w:t>
      </w:r>
      <w:r w:rsidR="00F25534">
        <w:t>CPUC</w:t>
      </w:r>
      <w:r w:rsidR="00CF17DE">
        <w:t xml:space="preserve"> has reviewed</w:t>
      </w:r>
      <w:r>
        <w:t xml:space="preserve"> the Advice Letter</w:t>
      </w:r>
      <w:r w:rsidR="00F25534">
        <w:t>,</w:t>
      </w:r>
      <w:r>
        <w:t xml:space="preserve"> the protest,</w:t>
      </w:r>
      <w:r w:rsidR="00F25534">
        <w:t xml:space="preserve"> and reply</w:t>
      </w:r>
      <w:r>
        <w:t xml:space="preserve"> and find</w:t>
      </w:r>
      <w:r w:rsidR="004B5C43">
        <w:t xml:space="preserve">s that SCE </w:t>
      </w:r>
      <w:r w:rsidR="00B356A8">
        <w:t>AL</w:t>
      </w:r>
      <w:r w:rsidR="004B5C43">
        <w:t xml:space="preserve"> 4289-E</w:t>
      </w:r>
      <w:r w:rsidR="00B356A8">
        <w:t xml:space="preserve"> should be approved with modifications</w:t>
      </w:r>
      <w:r w:rsidR="00E7666A">
        <w:t xml:space="preserve">, </w:t>
      </w:r>
      <w:r w:rsidR="00172691">
        <w:t xml:space="preserve">as set forth in </w:t>
      </w:r>
      <w:r w:rsidR="00470C7A">
        <w:t>this Resolution.</w:t>
      </w:r>
    </w:p>
    <w:p w:rsidR="00E7666A" w:rsidRDefault="00E7666A" w14:paraId="7E3506F3" w14:textId="77777777"/>
    <w:p w:rsidR="00E7666A" w:rsidRDefault="6728716F" w14:paraId="063816F5" w14:textId="3DD6946C">
      <w:r>
        <w:t xml:space="preserve">The CPUC </w:t>
      </w:r>
      <w:r w:rsidR="4A6CA705">
        <w:t xml:space="preserve">supports the </w:t>
      </w:r>
      <w:r w:rsidR="5EA2D750">
        <w:t>overall objective</w:t>
      </w:r>
      <w:r w:rsidR="1CE5BF59">
        <w:t xml:space="preserve"> of</w:t>
      </w:r>
      <w:r w:rsidR="2F26EFC0">
        <w:t xml:space="preserve"> </w:t>
      </w:r>
      <w:r w:rsidR="4CFCD096">
        <w:t>an</w:t>
      </w:r>
      <w:r w:rsidR="6E17ACBC">
        <w:t xml:space="preserve"> All-Customer List </w:t>
      </w:r>
      <w:r w:rsidR="4CFCD096">
        <w:t>trans</w:t>
      </w:r>
      <w:r w:rsidR="08E88F7A">
        <w:t xml:space="preserve">mittal </w:t>
      </w:r>
      <w:r w:rsidR="6E17ACBC">
        <w:t>from SCE to the SoCal CCAs</w:t>
      </w:r>
      <w:r w:rsidR="2F26EFC0">
        <w:t xml:space="preserve">, which </w:t>
      </w:r>
      <w:r w:rsidR="3B97561B">
        <w:t>will</w:t>
      </w:r>
      <w:r w:rsidR="62DFF84D">
        <w:t xml:space="preserve"> facilitate</w:t>
      </w:r>
      <w:r w:rsidR="5EA2D750">
        <w:t xml:space="preserve"> </w:t>
      </w:r>
      <w:r w:rsidR="62DFF84D">
        <w:t>data validation efforts</w:t>
      </w:r>
      <w:r w:rsidR="1CE5BF59">
        <w:t xml:space="preserve"> to ensure that customers </w:t>
      </w:r>
      <w:r w:rsidR="0055B7DD">
        <w:t xml:space="preserve">that have not opted out </w:t>
      </w:r>
      <w:r w:rsidR="581457D6">
        <w:t xml:space="preserve">of CCA service </w:t>
      </w:r>
      <w:r w:rsidR="1CE5BF59">
        <w:t xml:space="preserve">are </w:t>
      </w:r>
      <w:r w:rsidR="5EA2D750">
        <w:t xml:space="preserve">notified or </w:t>
      </w:r>
      <w:r w:rsidR="1CE5BF59">
        <w:t xml:space="preserve">enrolled in </w:t>
      </w:r>
      <w:r w:rsidR="5EA2D750">
        <w:t>CCA service in a timely manner.</w:t>
      </w:r>
      <w:r w:rsidR="62DFF84D">
        <w:t xml:space="preserve"> </w:t>
      </w:r>
      <w:r w:rsidR="45E7FFB0">
        <w:t xml:space="preserve">We find this objective to be reasonable. </w:t>
      </w:r>
      <w:r w:rsidR="5BAA28C8">
        <w:t>However</w:t>
      </w:r>
      <w:r w:rsidR="7EF26CF5">
        <w:t>, we s</w:t>
      </w:r>
      <w:r w:rsidR="69083F0B">
        <w:t>ee</w:t>
      </w:r>
      <w:r w:rsidR="7EF26CF5">
        <w:t xml:space="preserve"> no reason</w:t>
      </w:r>
      <w:r w:rsidR="59A9296B">
        <w:t xml:space="preserve"> for SCE</w:t>
      </w:r>
      <w:r w:rsidR="7EF26CF5">
        <w:t xml:space="preserve"> to include </w:t>
      </w:r>
      <w:r w:rsidR="7683E187">
        <w:t>DA</w:t>
      </w:r>
      <w:r w:rsidR="7EF26CF5">
        <w:t xml:space="preserve"> customers</w:t>
      </w:r>
      <w:r w:rsidR="341542F0">
        <w:t xml:space="preserve"> in this list</w:t>
      </w:r>
      <w:r w:rsidR="7B98E056">
        <w:t>.</w:t>
      </w:r>
      <w:r w:rsidR="6FC6D282">
        <w:t xml:space="preserve"> These </w:t>
      </w:r>
      <w:r w:rsidR="7EF26CF5">
        <w:t xml:space="preserve">customers </w:t>
      </w:r>
      <w:r w:rsidR="6FC6D282">
        <w:t xml:space="preserve">have </w:t>
      </w:r>
      <w:r w:rsidR="49EFE8E5">
        <w:t>chosen to opt-in</w:t>
      </w:r>
      <w:r w:rsidR="6FC6D282">
        <w:t xml:space="preserve"> to </w:t>
      </w:r>
      <w:r w:rsidR="7683E187">
        <w:t>DA</w:t>
      </w:r>
      <w:r w:rsidR="6FC6D282">
        <w:t xml:space="preserve"> service</w:t>
      </w:r>
      <w:r w:rsidR="358D522D">
        <w:t xml:space="preserve"> and </w:t>
      </w:r>
      <w:r w:rsidR="489B3F59">
        <w:t xml:space="preserve">including </w:t>
      </w:r>
      <w:r w:rsidR="0921B1FF">
        <w:t xml:space="preserve">this type of customer information </w:t>
      </w:r>
      <w:r w:rsidR="489B3F59">
        <w:t xml:space="preserve">does not further the </w:t>
      </w:r>
      <w:r w:rsidR="19108777">
        <w:t xml:space="preserve">intended purpose of the </w:t>
      </w:r>
      <w:r w:rsidR="0921B1FF">
        <w:t>All-Customer List</w:t>
      </w:r>
      <w:r w:rsidR="19108777">
        <w:t>.</w:t>
      </w:r>
    </w:p>
    <w:p w:rsidR="006D6304" w:rsidRDefault="006D6304" w14:paraId="33500319" w14:textId="77777777"/>
    <w:p w:rsidR="00556EA1" w:rsidRDefault="00856865" w14:paraId="7FF8AD43" w14:textId="099E46DD">
      <w:r>
        <w:t xml:space="preserve">In previous decisions, the CPUC has </w:t>
      </w:r>
      <w:r w:rsidR="00FC7A67">
        <w:t xml:space="preserve">deliberated </w:t>
      </w:r>
      <w:r w:rsidR="00F85E95">
        <w:t xml:space="preserve">extensively </w:t>
      </w:r>
      <w:r w:rsidR="00FC7A67">
        <w:t>on the</w:t>
      </w:r>
      <w:r>
        <w:t xml:space="preserve"> importance </w:t>
      </w:r>
      <w:r w:rsidR="00FC7A67">
        <w:t>of data privacy</w:t>
      </w:r>
      <w:r w:rsidR="00A179D3">
        <w:t xml:space="preserve"> protections</w:t>
      </w:r>
      <w:r w:rsidR="00FC7A67">
        <w:t>.</w:t>
      </w:r>
      <w:r w:rsidR="00A248B8">
        <w:t xml:space="preserve">  In </w:t>
      </w:r>
      <w:r w:rsidR="00A84DAC">
        <w:t>a 2011 Decision</w:t>
      </w:r>
      <w:r w:rsidR="00740F0B">
        <w:t xml:space="preserve"> (</w:t>
      </w:r>
      <w:r w:rsidR="00BC1F87">
        <w:t>D.</w:t>
      </w:r>
      <w:r w:rsidR="00740F0B">
        <w:t xml:space="preserve"> </w:t>
      </w:r>
      <w:r w:rsidR="00BC1F87">
        <w:t>11-07-056</w:t>
      </w:r>
      <w:r w:rsidR="00740F0B">
        <w:t>)</w:t>
      </w:r>
      <w:r w:rsidR="00DA0DFD">
        <w:rPr>
          <w:rStyle w:val="FootnoteReference"/>
        </w:rPr>
        <w:footnoteReference w:id="2"/>
      </w:r>
      <w:r w:rsidR="00740F0B">
        <w:t xml:space="preserve">, </w:t>
      </w:r>
      <w:r w:rsidR="00860359">
        <w:t xml:space="preserve">the CPUC adopted </w:t>
      </w:r>
      <w:r w:rsidRPr="00FD621F" w:rsidR="005709F8">
        <w:rPr>
          <w:i/>
          <w:iCs/>
        </w:rPr>
        <w:t>Rules Regarding Privacy and Security Protections for Energy Usage Data</w:t>
      </w:r>
      <w:r w:rsidRPr="00FD621F" w:rsidR="00556EA1">
        <w:rPr>
          <w:i/>
          <w:iCs/>
        </w:rPr>
        <w:t xml:space="preserve"> </w:t>
      </w:r>
      <w:r w:rsidR="00556EA1">
        <w:t>for electrical corporations</w:t>
      </w:r>
      <w:r w:rsidR="00AF7DF5">
        <w:t>.</w:t>
      </w:r>
      <w:r w:rsidR="006040B5">
        <w:t xml:space="preserve"> One of the </w:t>
      </w:r>
      <w:r w:rsidR="00850B5C">
        <w:t xml:space="preserve">core principles </w:t>
      </w:r>
      <w:r w:rsidR="00C14DF9">
        <w:t xml:space="preserve">adopted </w:t>
      </w:r>
      <w:r w:rsidR="00850B5C">
        <w:t>in these rules is</w:t>
      </w:r>
      <w:r w:rsidR="00FD621F">
        <w:t xml:space="preserve"> </w:t>
      </w:r>
      <w:r w:rsidR="00850B5C">
        <w:t>“Data Minimization</w:t>
      </w:r>
      <w:r w:rsidR="00060931">
        <w:t>,</w:t>
      </w:r>
      <w:r w:rsidR="00850B5C">
        <w:t>”</w:t>
      </w:r>
      <w:r w:rsidR="00C74E23">
        <w:t xml:space="preserve"> </w:t>
      </w:r>
      <w:r w:rsidR="00060931">
        <w:t xml:space="preserve">which is the </w:t>
      </w:r>
      <w:r w:rsidR="00D61BCB">
        <w:t xml:space="preserve">practice of limiting data collection and disclosure to only what is required </w:t>
      </w:r>
      <w:r w:rsidR="00B109B0">
        <w:t>to</w:t>
      </w:r>
      <w:r w:rsidR="00D61BCB">
        <w:t xml:space="preserve"> fulfill a specific purpose.</w:t>
      </w:r>
      <w:r w:rsidR="00C14DF9">
        <w:t xml:space="preserve"> </w:t>
      </w:r>
      <w:r w:rsidR="00060931">
        <w:t xml:space="preserve">In D.11-07-056, the CPUC </w:t>
      </w:r>
      <w:r w:rsidR="00FD621F">
        <w:t>opines</w:t>
      </w:r>
      <w:r w:rsidR="00060931">
        <w:t xml:space="preserve"> that:</w:t>
      </w:r>
    </w:p>
    <w:p w:rsidR="00556EA1" w:rsidRDefault="00556EA1" w14:paraId="01B32BBB" w14:textId="25A4F546"/>
    <w:p w:rsidRPr="00245E61" w:rsidR="00AF7DF5" w:rsidP="00245E61" w:rsidRDefault="008936F5" w14:paraId="44624AA2" w14:textId="2E935AB1">
      <w:pPr>
        <w:ind w:left="576" w:right="576"/>
        <w:rPr>
          <w:szCs w:val="26"/>
        </w:rPr>
      </w:pPr>
      <w:r>
        <w:rPr>
          <w:szCs w:val="26"/>
        </w:rPr>
        <w:t xml:space="preserve">The two principles not specifically linked to statutory requirements in the analysis above – </w:t>
      </w:r>
      <w:r w:rsidRPr="00B51A30" w:rsidR="00AF7DF5">
        <w:rPr>
          <w:szCs w:val="26"/>
        </w:rPr>
        <w:t xml:space="preserve">Data Minimization and Data Quality and Integrity – are also reasonable principles and consistent with California law and policy objectives. A principle </w:t>
      </w:r>
      <w:r w:rsidRPr="008D13A5" w:rsidR="00AF7DF5">
        <w:rPr>
          <w:szCs w:val="26"/>
        </w:rPr>
        <w:t xml:space="preserve">and practice of </w:t>
      </w:r>
      <w:r w:rsidR="00CC221D">
        <w:rPr>
          <w:szCs w:val="26"/>
        </w:rPr>
        <w:t>'</w:t>
      </w:r>
      <w:r w:rsidRPr="008D13A5" w:rsidR="00AF7DF5">
        <w:rPr>
          <w:szCs w:val="26"/>
        </w:rPr>
        <w:t xml:space="preserve">Data </w:t>
      </w:r>
      <w:r w:rsidRPr="008D13A5" w:rsidR="00CC221D">
        <w:rPr>
          <w:szCs w:val="26"/>
        </w:rPr>
        <w:t>Minimization</w:t>
      </w:r>
      <w:r w:rsidR="00CC221D">
        <w:rPr>
          <w:szCs w:val="26"/>
        </w:rPr>
        <w:t>'</w:t>
      </w:r>
      <w:r w:rsidRPr="008D13A5" w:rsidR="00CC221D">
        <w:rPr>
          <w:szCs w:val="26"/>
        </w:rPr>
        <w:t xml:space="preserve"> </w:t>
      </w:r>
      <w:r w:rsidRPr="008D13A5" w:rsidR="00AF7DF5">
        <w:rPr>
          <w:szCs w:val="26"/>
        </w:rPr>
        <w:t>will clearly promote the security of data. Limit</w:t>
      </w:r>
      <w:r w:rsidRPr="008D13A5" w:rsidR="00AA01D5">
        <w:rPr>
          <w:szCs w:val="26"/>
        </w:rPr>
        <w:t>ing</w:t>
      </w:r>
      <w:r w:rsidRPr="00B51A30" w:rsidR="00AF7DF5">
        <w:rPr>
          <w:szCs w:val="26"/>
        </w:rPr>
        <w:t xml:space="preserve"> the collection of personal data to just what is needed reduces the amount of data that requires protection and reduces the risks that arise from a security breach. Thus, </w:t>
      </w:r>
      <w:r w:rsidRPr="00B51A30" w:rsidR="00AF7DF5">
        <w:rPr>
          <w:szCs w:val="26"/>
        </w:rPr>
        <w:lastRenderedPageBreak/>
        <w:t>a principle of data minimization follows directly from the public interest in keeping data secure.</w:t>
      </w:r>
      <w:r w:rsidR="00245E61">
        <w:rPr>
          <w:rStyle w:val="FootnoteReference"/>
          <w:szCs w:val="26"/>
        </w:rPr>
        <w:footnoteReference w:id="3"/>
      </w:r>
    </w:p>
    <w:p w:rsidR="00AF7DF5" w:rsidP="00556EA1" w:rsidRDefault="00AF7DF5" w14:paraId="54ABDB5E" w14:textId="77777777">
      <w:pPr>
        <w:rPr>
          <w:szCs w:val="26"/>
        </w:rPr>
      </w:pPr>
    </w:p>
    <w:p w:rsidR="00556EA1" w:rsidP="00556EA1" w:rsidRDefault="001A3D64" w14:paraId="3BE250C3" w14:textId="33973517">
      <w:pPr>
        <w:rPr>
          <w:szCs w:val="26"/>
        </w:rPr>
      </w:pPr>
      <w:r>
        <w:rPr>
          <w:szCs w:val="26"/>
        </w:rPr>
        <w:t xml:space="preserve">The </w:t>
      </w:r>
      <w:r w:rsidR="00556EA1">
        <w:rPr>
          <w:szCs w:val="26"/>
        </w:rPr>
        <w:t>Data Minimization section</w:t>
      </w:r>
      <w:r w:rsidR="003818C0">
        <w:rPr>
          <w:szCs w:val="26"/>
        </w:rPr>
        <w:t xml:space="preserve"> </w:t>
      </w:r>
      <w:r>
        <w:rPr>
          <w:szCs w:val="26"/>
        </w:rPr>
        <w:t xml:space="preserve">in the final CPUC </w:t>
      </w:r>
      <w:r w:rsidRPr="001A3D64">
        <w:rPr>
          <w:i/>
          <w:iCs/>
          <w:szCs w:val="26"/>
        </w:rPr>
        <w:t>Rules Regarding Privacy and Security Protections for Energy Data</w:t>
      </w:r>
      <w:r>
        <w:rPr>
          <w:szCs w:val="26"/>
        </w:rPr>
        <w:t xml:space="preserve"> declares</w:t>
      </w:r>
      <w:r w:rsidR="00556EA1">
        <w:rPr>
          <w:szCs w:val="26"/>
        </w:rPr>
        <w:t xml:space="preserve"> that “Covered entities</w:t>
      </w:r>
      <w:r w:rsidRPr="00B661E7" w:rsidR="00DA4A60">
        <w:rPr>
          <w:rStyle w:val="FootnoteReference"/>
        </w:rPr>
        <w:t>[</w:t>
      </w:r>
      <w:r w:rsidR="00556EA1">
        <w:rPr>
          <w:rStyle w:val="FootnoteReference"/>
          <w:szCs w:val="26"/>
        </w:rPr>
        <w:footnoteReference w:id="4"/>
      </w:r>
      <w:r w:rsidRPr="00B661E7" w:rsidR="00DA4A60">
        <w:rPr>
          <w:rStyle w:val="FootnoteReference"/>
        </w:rPr>
        <w:t>]</w:t>
      </w:r>
      <w:r w:rsidR="00556EA1">
        <w:rPr>
          <w:szCs w:val="26"/>
        </w:rPr>
        <w:t xml:space="preserve"> shall collect, store, use, and disclose only as much covered information as is reasonably necessary or as authorized by the Commission to accomplish a specific primary purpose identified in the notice required under section 2 or for a specific secondary purpose authorized by the customer.”</w:t>
      </w:r>
      <w:r w:rsidR="003818C0">
        <w:rPr>
          <w:rStyle w:val="FootnoteReference"/>
          <w:szCs w:val="26"/>
        </w:rPr>
        <w:footnoteReference w:id="5"/>
      </w:r>
    </w:p>
    <w:p w:rsidR="00556EA1" w:rsidRDefault="00556EA1" w14:paraId="0DEC4366" w14:textId="77777777"/>
    <w:p w:rsidR="00E858B1" w:rsidP="001B28D7" w:rsidRDefault="009B7F56" w14:paraId="03B7BC66" w14:textId="6410F334">
      <w:r w:rsidRPr="00AE02AC">
        <w:t xml:space="preserve">We </w:t>
      </w:r>
      <w:r w:rsidRPr="00AE02AC" w:rsidR="005C0A99">
        <w:t>uphold</w:t>
      </w:r>
      <w:r w:rsidRPr="00AE02AC">
        <w:t xml:space="preserve"> the principle of Data Mi</w:t>
      </w:r>
      <w:r w:rsidRPr="00AE02AC" w:rsidR="008C5321">
        <w:t>n</w:t>
      </w:r>
      <w:r w:rsidRPr="00AE02AC">
        <w:t>i</w:t>
      </w:r>
      <w:r w:rsidRPr="00AE02AC" w:rsidR="008C5321">
        <w:t>mi</w:t>
      </w:r>
      <w:r w:rsidRPr="00AE02AC">
        <w:t>zation here</w:t>
      </w:r>
      <w:r w:rsidRPr="00AE02AC" w:rsidR="002153AA">
        <w:t xml:space="preserve"> by ordering</w:t>
      </w:r>
      <w:r w:rsidRPr="00AE02AC" w:rsidR="005C0A99">
        <w:t xml:space="preserve"> SCE to remove DA </w:t>
      </w:r>
      <w:r w:rsidRPr="00714651" w:rsidR="005C0A99">
        <w:t>customer</w:t>
      </w:r>
      <w:r w:rsidRPr="00714651" w:rsidR="008C5321">
        <w:t xml:space="preserve"> information</w:t>
      </w:r>
      <w:r w:rsidRPr="00714651" w:rsidR="005C0A99">
        <w:t xml:space="preserve"> from </w:t>
      </w:r>
      <w:r w:rsidRPr="00714651" w:rsidR="00095DA7">
        <w:t xml:space="preserve">the </w:t>
      </w:r>
      <w:r w:rsidRPr="00714651" w:rsidR="005C0A99">
        <w:t>All-Customer List</w:t>
      </w:r>
      <w:r w:rsidR="00411C0F">
        <w:t xml:space="preserve">.  The record does not show how providing CCAs with the names or other meter or contact information for customers on DA </w:t>
      </w:r>
      <w:r w:rsidR="00D306C0">
        <w:t>service</w:t>
      </w:r>
      <w:r w:rsidR="00411C0F">
        <w:t xml:space="preserve"> would </w:t>
      </w:r>
      <w:r w:rsidRPr="00714651" w:rsidR="00E10A8C">
        <w:t xml:space="preserve">accomplish </w:t>
      </w:r>
      <w:r w:rsidR="00411C0F">
        <w:t>a</w:t>
      </w:r>
      <w:r w:rsidRPr="00714651" w:rsidR="00E10A8C">
        <w:t xml:space="preserve"> primary purpose</w:t>
      </w:r>
      <w:r w:rsidR="00E10A8C">
        <w:t xml:space="preserve"> </w:t>
      </w:r>
      <w:r w:rsidR="00411C0F">
        <w:t xml:space="preserve">as meant by the </w:t>
      </w:r>
      <w:r w:rsidRPr="001A3D64" w:rsidR="00411C0F">
        <w:rPr>
          <w:i/>
          <w:iCs/>
          <w:szCs w:val="26"/>
        </w:rPr>
        <w:t>Rules Regarding Privacy and Security Protections for Energy Data</w:t>
      </w:r>
      <w:r w:rsidR="00E10A8C">
        <w:t>.</w:t>
      </w:r>
      <w:r w:rsidR="00B72E0C">
        <w:t xml:space="preserve"> </w:t>
      </w:r>
      <w:r w:rsidR="00E858B1">
        <w:t>However,</w:t>
      </w:r>
      <w:r w:rsidR="00207332">
        <w:t xml:space="preserve"> SCE needs to provide enough</w:t>
      </w:r>
      <w:r w:rsidR="00E858B1">
        <w:t xml:space="preserve"> information regarding total number of customers for the SoCal CCAs to identify potential discrepancies</w:t>
      </w:r>
      <w:r w:rsidR="001B28D7">
        <w:t>.</w:t>
      </w:r>
    </w:p>
    <w:p w:rsidR="00FD3A75" w:rsidRDefault="00FD3A75" w14:paraId="2102D066" w14:textId="77777777"/>
    <w:p w:rsidR="001B28D7" w:rsidP="005429AC" w:rsidRDefault="007078B6" w14:paraId="020D16D1" w14:textId="52E3B9F7">
      <w:pPr>
        <w:pStyle w:val="ListParagraph"/>
        <w:numPr>
          <w:ilvl w:val="0"/>
          <w:numId w:val="6"/>
        </w:numPr>
        <w:ind w:left="720"/>
      </w:pPr>
      <w:r>
        <w:t>W</w:t>
      </w:r>
      <w:r w:rsidR="00FD3A75">
        <w:t xml:space="preserve">e </w:t>
      </w:r>
      <w:r w:rsidRPr="00AA43BA" w:rsidR="00FD3A75">
        <w:t xml:space="preserve">direct SCE </w:t>
      </w:r>
      <w:r w:rsidRPr="00AA43BA" w:rsidR="00902500">
        <w:t xml:space="preserve">to </w:t>
      </w:r>
      <w:r w:rsidRPr="00AA43BA" w:rsidR="008153D6">
        <w:t>exclude</w:t>
      </w:r>
      <w:r w:rsidRPr="00AA43BA" w:rsidR="00247765">
        <w:t xml:space="preserve"> </w:t>
      </w:r>
      <w:r w:rsidRPr="00AA43BA" w:rsidR="00A6536A">
        <w:t>DA</w:t>
      </w:r>
      <w:r w:rsidRPr="00AA43BA" w:rsidR="00247765">
        <w:t xml:space="preserve"> customer information </w:t>
      </w:r>
      <w:r w:rsidRPr="00AA43BA" w:rsidR="006827B4">
        <w:t>from</w:t>
      </w:r>
      <w:r w:rsidRPr="00AA43BA" w:rsidR="00247765">
        <w:t xml:space="preserve"> </w:t>
      </w:r>
      <w:r w:rsidRPr="00AA43BA" w:rsidR="00E960DE">
        <w:t>the</w:t>
      </w:r>
      <w:r w:rsidRPr="00AA43BA" w:rsidR="00247765">
        <w:t xml:space="preserve"> All-Customer List</w:t>
      </w:r>
      <w:r w:rsidRPr="00AA43BA" w:rsidR="00A6536A">
        <w:t xml:space="preserve"> </w:t>
      </w:r>
      <w:r w:rsidRPr="00AA43BA" w:rsidR="00225CFD">
        <w:t>that SCE transmit</w:t>
      </w:r>
      <w:r w:rsidRPr="00AA43BA" w:rsidR="005F660B">
        <w:t>s</w:t>
      </w:r>
      <w:r w:rsidRPr="00AA43BA" w:rsidR="00A6536A">
        <w:t xml:space="preserve"> to the SoCal CCAs.</w:t>
      </w:r>
      <w:r w:rsidRPr="00AA43BA" w:rsidR="005E2E75">
        <w:t xml:space="preserve"> </w:t>
      </w:r>
      <w:r w:rsidRPr="00AA43BA" w:rsidR="008153D6">
        <w:t>SCE</w:t>
      </w:r>
      <w:r w:rsidRPr="00AA43BA" w:rsidR="005E2E75">
        <w:t xml:space="preserve"> shall </w:t>
      </w:r>
      <w:r w:rsidRPr="00AA43BA" w:rsidR="005D6556">
        <w:t xml:space="preserve">modify </w:t>
      </w:r>
      <w:r w:rsidRPr="00AA43BA" w:rsidR="00CC221D">
        <w:t>SCE</w:t>
      </w:r>
      <w:r w:rsidR="00CC221D">
        <w:t>'</w:t>
      </w:r>
      <w:r w:rsidRPr="00AA43BA" w:rsidR="00CC221D">
        <w:t xml:space="preserve">s </w:t>
      </w:r>
      <w:r w:rsidR="00D42261">
        <w:t xml:space="preserve">Rule 23 and </w:t>
      </w:r>
      <w:r w:rsidRPr="00AA43BA" w:rsidR="00D25546">
        <w:t xml:space="preserve">Schedule CCA-INFO </w:t>
      </w:r>
      <w:r w:rsidRPr="00AA43BA" w:rsidR="005D6556">
        <w:t xml:space="preserve">to </w:t>
      </w:r>
      <w:r w:rsidRPr="00AA43BA" w:rsidR="009C34A6">
        <w:t>indicate</w:t>
      </w:r>
      <w:r w:rsidRPr="00AA43BA" w:rsidR="005D6556">
        <w:t xml:space="preserve"> that the All-Customer List will exclude DA customer</w:t>
      </w:r>
      <w:r w:rsidRPr="00AA43BA" w:rsidR="0024551C">
        <w:t xml:space="preserve"> service accounts</w:t>
      </w:r>
      <w:r w:rsidRPr="00AA43BA" w:rsidR="006579D8">
        <w:t xml:space="preserve"> and</w:t>
      </w:r>
      <w:r w:rsidRPr="008153D6" w:rsidR="006579D8">
        <w:t xml:space="preserve"> </w:t>
      </w:r>
      <w:r w:rsidRPr="008153D6" w:rsidR="00EC30FF">
        <w:t>associated</w:t>
      </w:r>
      <w:r w:rsidRPr="008153D6" w:rsidR="006579D8">
        <w:t xml:space="preserve"> customer data.</w:t>
      </w:r>
      <w:r w:rsidR="00D32B23">
        <w:t xml:space="preserve"> However, </w:t>
      </w:r>
      <w:r w:rsidR="00B4655B">
        <w:t xml:space="preserve">we direct SCE to provide an </w:t>
      </w:r>
      <w:r w:rsidR="001B28D7">
        <w:t>accounting of changes in number of customer accounts by providing a table</w:t>
      </w:r>
      <w:r w:rsidR="00B7021D">
        <w:t xml:space="preserve"> for the CCA territory</w:t>
      </w:r>
      <w:r w:rsidR="001B28D7">
        <w:t xml:space="preserve"> that showsthe following customer counts</w:t>
      </w:r>
      <w:r w:rsidR="00097845">
        <w:t xml:space="preserve"> for SCE, the CCA, and an aggregate of the ESPs</w:t>
      </w:r>
      <w:r w:rsidR="001B28D7">
        <w:t>:The</w:t>
      </w:r>
      <w:r w:rsidR="00B7021D">
        <w:t xml:space="preserve"> total</w:t>
      </w:r>
      <w:r w:rsidR="001B28D7">
        <w:t xml:space="preserve"> number of customer accounts </w:t>
      </w:r>
      <w:r w:rsidR="00B7021D">
        <w:t xml:space="preserve"> in the CCA territory, and </w:t>
      </w:r>
    </w:p>
    <w:p w:rsidR="001B28D7" w:rsidP="005429AC" w:rsidRDefault="001B28D7" w14:paraId="4B30FFBB" w14:textId="751CFB88">
      <w:pPr>
        <w:pStyle w:val="ListParagraph"/>
        <w:numPr>
          <w:ilvl w:val="0"/>
          <w:numId w:val="6"/>
        </w:numPr>
        <w:ind w:left="720"/>
      </w:pPr>
      <w:r>
        <w:t>The number of  CCA, IOU, and direct access</w:t>
      </w:r>
      <w:r w:rsidR="00097845">
        <w:t xml:space="preserve"> accounts</w:t>
      </w:r>
      <w:r>
        <w:t>.</w:t>
      </w:r>
    </w:p>
    <w:p w:rsidR="001B28D7" w:rsidP="00247765" w:rsidRDefault="001B28D7" w14:paraId="496F1A59" w14:textId="77D2EC66"/>
    <w:p w:rsidR="00BA63BF" w:rsidP="00247765" w:rsidRDefault="00AA691F" w14:paraId="5C79AC86" w14:textId="21014E53">
      <w:r>
        <w:t xml:space="preserve">SCE shall modify SCEs Rule 23 and Schedule CCA-INFO to </w:t>
      </w:r>
      <w:r w:rsidR="00687E0F">
        <w:t>clarify that</w:t>
      </w:r>
      <w:r>
        <w:t xml:space="preserve"> </w:t>
      </w:r>
      <w:r w:rsidR="00687E0F">
        <w:t xml:space="preserve">an aggregated summary of </w:t>
      </w:r>
      <w:r>
        <w:t xml:space="preserve">customer account changes will </w:t>
      </w:r>
      <w:r w:rsidR="00687E0F">
        <w:t>be provided with the customer lists</w:t>
      </w:r>
      <w:r>
        <w:t>.</w:t>
      </w:r>
      <w:r w:rsidR="003D530C">
        <w:t xml:space="preserve"> </w:t>
      </w:r>
    </w:p>
    <w:p w:rsidRPr="00D57AE7" w:rsidR="005E2E75" w:rsidP="00247765" w:rsidRDefault="005E2E75" w14:paraId="227BF9DB" w14:textId="77777777"/>
    <w:p w:rsidR="00CF17DE" w:rsidRDefault="00CF17DE" w14:paraId="16A82360" w14:textId="77777777">
      <w:pPr>
        <w:pStyle w:val="Heading1"/>
      </w:pPr>
      <w:r w:rsidRPr="004B1219">
        <w:lastRenderedPageBreak/>
        <w:t>Comments</w:t>
      </w:r>
    </w:p>
    <w:p w:rsidR="0024459D" w:rsidRDefault="0024459D" w14:paraId="2A500E66" w14:textId="40F9B671">
      <w:r>
        <w:t xml:space="preserve">Public Utilities Code section 311(g)(1) provides that this </w:t>
      </w:r>
      <w:r w:rsidR="003725D4">
        <w:t>R</w:t>
      </w:r>
      <w:r>
        <w:t xml:space="preserve">esolution must be served on all parties and subject to at least 30 days public review.  </w:t>
      </w:r>
      <w:r w:rsidR="007B61A6">
        <w:t xml:space="preserve">Timely comments were received on </w:t>
      </w:r>
      <w:r w:rsidR="00DD708E">
        <w:t>April 15, 2021</w:t>
      </w:r>
      <w:r w:rsidR="008320CD">
        <w:t>,</w:t>
      </w:r>
      <w:r w:rsidR="007B61A6">
        <w:t xml:space="preserve"> by </w:t>
      </w:r>
      <w:r w:rsidR="00740509">
        <w:t>SCE</w:t>
      </w:r>
      <w:r w:rsidR="007B61A6">
        <w:t xml:space="preserve"> and </w:t>
      </w:r>
      <w:r w:rsidR="00557E74">
        <w:t>the SoCal CCAs</w:t>
      </w:r>
      <w:r w:rsidR="007B61A6">
        <w:t xml:space="preserve">. </w:t>
      </w:r>
      <w:r w:rsidR="007C1C4D">
        <w:t xml:space="preserve">SCE </w:t>
      </w:r>
      <w:r w:rsidR="00C1560B">
        <w:t xml:space="preserve">agreed with the </w:t>
      </w:r>
      <w:r w:rsidR="00B66110">
        <w:t xml:space="preserve">Resolution but </w:t>
      </w:r>
      <w:r w:rsidR="008A44AE">
        <w:t>requested</w:t>
      </w:r>
      <w:r w:rsidR="00B66110">
        <w:t xml:space="preserve"> clarification on two </w:t>
      </w:r>
      <w:r w:rsidR="00B05F8A">
        <w:t>minor matters</w:t>
      </w:r>
      <w:r w:rsidR="001E0571">
        <w:t xml:space="preserve"> which have been addressed in the </w:t>
      </w:r>
      <w:r w:rsidR="00207332">
        <w:t>Resolutio</w:t>
      </w:r>
      <w:r w:rsidR="001E0571">
        <w:t>n</w:t>
      </w:r>
      <w:r w:rsidR="00B05F8A">
        <w:t xml:space="preserve">.  </w:t>
      </w:r>
      <w:r w:rsidR="00F11383">
        <w:t>The SoCal CCAs objected to the complete removal of all DA customer data</w:t>
      </w:r>
      <w:r w:rsidR="00365C71">
        <w:t xml:space="preserve">, suggesting that </w:t>
      </w:r>
      <w:r w:rsidR="00D32944">
        <w:t>the data could be limited</w:t>
      </w:r>
      <w:r w:rsidR="00A370AD">
        <w:t xml:space="preserve"> to customer numbers</w:t>
      </w:r>
      <w:r w:rsidR="00E05C20">
        <w:t xml:space="preserve">. </w:t>
      </w:r>
      <w:r w:rsidR="009D615D">
        <w:t xml:space="preserve">The Resolution recognizes that </w:t>
      </w:r>
      <w:r w:rsidR="00316F56">
        <w:t xml:space="preserve">additional information </w:t>
      </w:r>
      <w:r w:rsidR="004B7922">
        <w:t>may be needed to identify any discrep</w:t>
      </w:r>
      <w:r w:rsidR="008320CD">
        <w:t>a</w:t>
      </w:r>
      <w:r w:rsidR="004B7922">
        <w:t>ncies but</w:t>
      </w:r>
      <w:r w:rsidR="008F0C0B">
        <w:t xml:space="preserve"> finds that a</w:t>
      </w:r>
      <w:r w:rsidR="009E4497">
        <w:t>dditional aggregated information</w:t>
      </w:r>
      <w:r w:rsidR="00A67C67">
        <w:t>,</w:t>
      </w:r>
      <w:r w:rsidR="009E4497">
        <w:t xml:space="preserve"> as opposed to customer account numbers</w:t>
      </w:r>
      <w:r w:rsidR="00A67C67">
        <w:t>, should allow the CCA to identify discr</w:t>
      </w:r>
      <w:r w:rsidR="00DA10AB">
        <w:t>e</w:t>
      </w:r>
      <w:r w:rsidR="00A67C67">
        <w:t>p</w:t>
      </w:r>
      <w:r w:rsidR="00CC221D">
        <w:t>a</w:t>
      </w:r>
      <w:r w:rsidR="00A67C67">
        <w:t>ncies while maintaining data minimization</w:t>
      </w:r>
      <w:r w:rsidR="00DA43F2">
        <w:t>.</w:t>
      </w:r>
    </w:p>
    <w:p w:rsidR="003F6E5A" w:rsidRDefault="003F6E5A" w14:paraId="0F30A0BC" w14:textId="77777777"/>
    <w:p w:rsidR="00CF17DE" w:rsidRDefault="00CF17DE" w14:paraId="07618DBE" w14:textId="77777777">
      <w:pPr>
        <w:pStyle w:val="Heading1"/>
      </w:pPr>
      <w:r w:rsidRPr="00BB55BD">
        <w:t>Findings</w:t>
      </w:r>
    </w:p>
    <w:p w:rsidR="00E4159D" w:rsidRDefault="00E4159D" w14:paraId="33BD557A" w14:textId="369BDFF9">
      <w:pPr>
        <w:numPr>
          <w:ilvl w:val="0"/>
          <w:numId w:val="4"/>
        </w:numPr>
      </w:pPr>
      <w:r>
        <w:t>Clean Power Alliance (CPA), and California Choice Energy Authority (CalChoice) (collectively, the SoCal CCAs) entered into a settlement agreement with S</w:t>
      </w:r>
      <w:r w:rsidR="003B123C">
        <w:t xml:space="preserve">outhern </w:t>
      </w:r>
      <w:r>
        <w:t>C</w:t>
      </w:r>
      <w:r w:rsidR="00EA6118">
        <w:t xml:space="preserve">alifornia </w:t>
      </w:r>
      <w:r>
        <w:t>E</w:t>
      </w:r>
      <w:r w:rsidR="00EA6118">
        <w:t>dison Company (SCE)</w:t>
      </w:r>
      <w:r>
        <w:t xml:space="preserve"> in SCE’s Phase 1 of the 2021 General Rate Case (GRC Settlement). </w:t>
      </w:r>
    </w:p>
    <w:p w:rsidR="00CF17DE" w:rsidRDefault="004F14F7" w14:paraId="4487620D" w14:textId="41FD4084">
      <w:pPr>
        <w:numPr>
          <w:ilvl w:val="0"/>
          <w:numId w:val="4"/>
        </w:numPr>
      </w:pPr>
      <w:r>
        <w:t xml:space="preserve">In the GRC Settlement, among other things, SCE agreed to submit an advice letter (AL) by September 10, 2020, requesting the CPUC to approve tariff changes necessary to allow SCE to provide the Community Choice Aggregators (CCAs) in its service territory with an “All-Customer List” on at least a monthly basis.  </w:t>
      </w:r>
    </w:p>
    <w:p w:rsidR="000D44B5" w:rsidP="000D44B5" w:rsidRDefault="000D44B5" w14:paraId="4B81C681" w14:textId="2BA0E6F7">
      <w:pPr>
        <w:pStyle w:val="ListParagraph"/>
        <w:numPr>
          <w:ilvl w:val="0"/>
          <w:numId w:val="4"/>
        </w:numPr>
      </w:pPr>
      <w:r>
        <w:t>The transmittal of an All-Customer List will allow SCE and CCAs in SCE’s service territory to more quickly identify situations in which a customer is not timely or accurately notified and/or enrolled in CCA Service.</w:t>
      </w:r>
    </w:p>
    <w:p w:rsidR="00917586" w:rsidRDefault="00131425" w14:paraId="7104D0DA" w14:textId="629ADA8E">
      <w:pPr>
        <w:numPr>
          <w:ilvl w:val="0"/>
          <w:numId w:val="4"/>
        </w:numPr>
      </w:pPr>
      <w:r>
        <w:t>P</w:t>
      </w:r>
      <w:r w:rsidR="009560E4">
        <w:t>ursuant to</w:t>
      </w:r>
      <w:r>
        <w:t xml:space="preserve"> the GRC Settlement, SCE filed AL 4289-E on September 10, 2020, requesting CPUC approval of tariff changes to allow SCE to provide the SoCal CCAs with an All-Customer List on an </w:t>
      </w:r>
      <w:r w:rsidR="00CC221D">
        <w:t>"</w:t>
      </w:r>
      <w:r>
        <w:t>as-is</w:t>
      </w:r>
      <w:r w:rsidR="00CC221D">
        <w:t xml:space="preserve">" </w:t>
      </w:r>
      <w:r>
        <w:t xml:space="preserve">basis without warranty, and for the </w:t>
      </w:r>
      <w:r w:rsidR="00CC221D">
        <w:t xml:space="preserve">CCAs' </w:t>
      </w:r>
      <w:r>
        <w:t>agreement to hold SCE harmless for any errors or omissions contained in the All-Customer List.</w:t>
      </w:r>
    </w:p>
    <w:p w:rsidR="00CD7FB7" w:rsidP="00F65F02" w:rsidRDefault="00CC221D" w14:paraId="0A39AC83" w14:textId="69BF5EE3">
      <w:pPr>
        <w:pStyle w:val="ListParagraph"/>
        <w:numPr>
          <w:ilvl w:val="0"/>
          <w:numId w:val="4"/>
        </w:numPr>
      </w:pPr>
      <w:r>
        <w:t xml:space="preserve">SCE's </w:t>
      </w:r>
      <w:r w:rsidR="00CD7FB7">
        <w:t>AL 4289-E was timely protested by The Direct Access Customer Coalition (DACC) and SCE responded to the protests of DACC on October 7, 2020.</w:t>
      </w:r>
    </w:p>
    <w:p w:rsidRPr="00F05A19" w:rsidR="00F05A19" w:rsidP="00F05A19" w:rsidRDefault="00395F8C" w14:paraId="488CFA15" w14:textId="26C77990">
      <w:pPr>
        <w:pStyle w:val="ListParagraph"/>
        <w:numPr>
          <w:ilvl w:val="0"/>
          <w:numId w:val="4"/>
        </w:numPr>
        <w:rPr>
          <w:rFonts w:ascii="Times New Roman" w:hAnsi="Times New Roman"/>
          <w:sz w:val="24"/>
          <w:szCs w:val="24"/>
        </w:rPr>
      </w:pPr>
      <w:r>
        <w:rPr>
          <w:color w:val="000000"/>
          <w:szCs w:val="26"/>
          <w:shd w:val="clear" w:color="auto" w:fill="FFFFFF"/>
        </w:rPr>
        <w:t>T</w:t>
      </w:r>
      <w:r w:rsidRPr="00F05A19" w:rsidR="00F05A19">
        <w:rPr>
          <w:color w:val="000000"/>
          <w:szCs w:val="26"/>
          <w:shd w:val="clear" w:color="auto" w:fill="FFFFFF"/>
        </w:rPr>
        <w:t>he overall objective of an All-Customer List transmittal from SCE to the SoCal CCAs</w:t>
      </w:r>
      <w:r w:rsidR="008F4A65">
        <w:rPr>
          <w:color w:val="000000"/>
          <w:szCs w:val="26"/>
          <w:shd w:val="clear" w:color="auto" w:fill="FFFFFF"/>
        </w:rPr>
        <w:t xml:space="preserve"> </w:t>
      </w:r>
      <w:r w:rsidR="00F11517">
        <w:rPr>
          <w:color w:val="000000"/>
          <w:szCs w:val="26"/>
          <w:shd w:val="clear" w:color="auto" w:fill="FFFFFF"/>
        </w:rPr>
        <w:t xml:space="preserve">to </w:t>
      </w:r>
      <w:r w:rsidRPr="00F05A19" w:rsidR="00F05A19">
        <w:rPr>
          <w:color w:val="000000"/>
          <w:szCs w:val="26"/>
          <w:shd w:val="clear" w:color="auto" w:fill="FFFFFF"/>
        </w:rPr>
        <w:t>facilitate data validation efforts to ensure that</w:t>
      </w:r>
      <w:r w:rsidR="001B49BB">
        <w:rPr>
          <w:color w:val="000000"/>
          <w:szCs w:val="26"/>
          <w:shd w:val="clear" w:color="auto" w:fill="FFFFFF"/>
        </w:rPr>
        <w:t xml:space="preserve"> </w:t>
      </w:r>
      <w:r w:rsidRPr="00F05A19" w:rsidR="00F05A19">
        <w:rPr>
          <w:color w:val="000000"/>
          <w:szCs w:val="26"/>
          <w:shd w:val="clear" w:color="auto" w:fill="FFFFFF"/>
        </w:rPr>
        <w:t xml:space="preserve">all customers that have </w:t>
      </w:r>
      <w:r w:rsidRPr="00F05A19" w:rsidR="00F05A19">
        <w:rPr>
          <w:color w:val="000000"/>
          <w:szCs w:val="26"/>
          <w:shd w:val="clear" w:color="auto" w:fill="FFFFFF"/>
        </w:rPr>
        <w:lastRenderedPageBreak/>
        <w:t>not opted out of CCA service are notified or enrolled in CCA service in a timely manner</w:t>
      </w:r>
      <w:r w:rsidR="008F4A65">
        <w:rPr>
          <w:color w:val="000000"/>
          <w:szCs w:val="26"/>
          <w:shd w:val="clear" w:color="auto" w:fill="FFFFFF"/>
        </w:rPr>
        <w:t xml:space="preserve"> </w:t>
      </w:r>
      <w:r w:rsidR="00F11517">
        <w:rPr>
          <w:color w:val="000000"/>
          <w:szCs w:val="26"/>
          <w:shd w:val="clear" w:color="auto" w:fill="FFFFFF"/>
        </w:rPr>
        <w:t xml:space="preserve">is </w:t>
      </w:r>
      <w:r>
        <w:rPr>
          <w:color w:val="000000"/>
          <w:szCs w:val="26"/>
          <w:shd w:val="clear" w:color="auto" w:fill="FFFFFF"/>
        </w:rPr>
        <w:t>reasonable.</w:t>
      </w:r>
    </w:p>
    <w:p w:rsidRPr="00226C20" w:rsidR="00226C20" w:rsidP="00226C20" w:rsidRDefault="00226C20" w14:paraId="65249B29" w14:textId="78A4A247">
      <w:pPr>
        <w:pStyle w:val="ListParagraph"/>
        <w:numPr>
          <w:ilvl w:val="0"/>
          <w:numId w:val="4"/>
        </w:numPr>
        <w:rPr>
          <w:rFonts w:ascii="Times New Roman" w:hAnsi="Times New Roman"/>
          <w:sz w:val="24"/>
          <w:szCs w:val="24"/>
        </w:rPr>
      </w:pPr>
      <w:r w:rsidRPr="00226C20">
        <w:rPr>
          <w:color w:val="000000"/>
          <w:szCs w:val="26"/>
          <w:shd w:val="clear" w:color="auto" w:fill="FFFFFF"/>
        </w:rPr>
        <w:t>In Decision </w:t>
      </w:r>
      <w:r w:rsidR="0086672E">
        <w:rPr>
          <w:color w:val="000000"/>
          <w:szCs w:val="26"/>
          <w:shd w:val="clear" w:color="auto" w:fill="FFFFFF"/>
        </w:rPr>
        <w:t>11-07-056</w:t>
      </w:r>
      <w:r w:rsidR="00621D48">
        <w:rPr>
          <w:color w:val="000000"/>
          <w:szCs w:val="26"/>
          <w:shd w:val="clear" w:color="auto" w:fill="FFFFFF"/>
        </w:rPr>
        <w:t xml:space="preserve">, </w:t>
      </w:r>
      <w:r w:rsidRPr="00226C20">
        <w:rPr>
          <w:color w:val="000000"/>
          <w:szCs w:val="26"/>
          <w:shd w:val="clear" w:color="auto" w:fill="FFFFFF"/>
        </w:rPr>
        <w:t>the CPUC adopted </w:t>
      </w:r>
      <w:r w:rsidRPr="00226C20">
        <w:rPr>
          <w:i/>
          <w:iCs/>
          <w:color w:val="000000"/>
          <w:szCs w:val="26"/>
          <w:shd w:val="clear" w:color="auto" w:fill="FFFFFF"/>
        </w:rPr>
        <w:t>Rules Regarding Privacy and Security Protections for Energy Usage Data </w:t>
      </w:r>
      <w:r w:rsidRPr="00226C20">
        <w:rPr>
          <w:color w:val="000000"/>
          <w:szCs w:val="26"/>
          <w:shd w:val="clear" w:color="auto" w:fill="FFFFFF"/>
        </w:rPr>
        <w:t>for electrical corporations. </w:t>
      </w:r>
    </w:p>
    <w:p w:rsidRPr="00403DCD" w:rsidR="00B824EC" w:rsidP="001F21C4" w:rsidRDefault="00621D48" w14:paraId="1C20FDB9" w14:textId="162E9B5A">
      <w:pPr>
        <w:pStyle w:val="ListParagraph"/>
        <w:numPr>
          <w:ilvl w:val="0"/>
          <w:numId w:val="4"/>
        </w:numPr>
        <w:rPr>
          <w:rFonts w:ascii="Times New Roman" w:hAnsi="Times New Roman"/>
          <w:sz w:val="24"/>
          <w:szCs w:val="24"/>
        </w:rPr>
      </w:pPr>
      <w:r w:rsidRPr="00621D48">
        <w:rPr>
          <w:color w:val="000000"/>
          <w:szCs w:val="26"/>
          <w:shd w:val="clear" w:color="auto" w:fill="FFFFFF"/>
        </w:rPr>
        <w:t xml:space="preserve">The Data Minimization section in the </w:t>
      </w:r>
      <w:r w:rsidR="00A71F90">
        <w:rPr>
          <w:color w:val="000000"/>
          <w:szCs w:val="26"/>
          <w:shd w:val="clear" w:color="auto" w:fill="FFFFFF"/>
        </w:rPr>
        <w:t xml:space="preserve">adopted </w:t>
      </w:r>
      <w:r w:rsidRPr="00621D48">
        <w:rPr>
          <w:color w:val="000000"/>
          <w:szCs w:val="26"/>
          <w:shd w:val="clear" w:color="auto" w:fill="FFFFFF"/>
        </w:rPr>
        <w:t>CPUC </w:t>
      </w:r>
      <w:r w:rsidRPr="00621D48">
        <w:rPr>
          <w:i/>
          <w:iCs/>
          <w:color w:val="000000"/>
          <w:szCs w:val="26"/>
          <w:shd w:val="clear" w:color="auto" w:fill="FFFFFF"/>
        </w:rPr>
        <w:t>Rules Regarding Privacy and Security Protections for Energy Data</w:t>
      </w:r>
      <w:r w:rsidRPr="00621D48">
        <w:rPr>
          <w:color w:val="000000"/>
          <w:szCs w:val="26"/>
          <w:shd w:val="clear" w:color="auto" w:fill="FFFFFF"/>
        </w:rPr>
        <w:t> </w:t>
      </w:r>
      <w:r>
        <w:rPr>
          <w:color w:val="000000"/>
          <w:szCs w:val="26"/>
          <w:shd w:val="clear" w:color="auto" w:fill="FFFFFF"/>
        </w:rPr>
        <w:t xml:space="preserve">states </w:t>
      </w:r>
      <w:r w:rsidRPr="00621D48">
        <w:rPr>
          <w:color w:val="000000"/>
          <w:szCs w:val="26"/>
          <w:shd w:val="clear" w:color="auto" w:fill="FFFFFF"/>
        </w:rPr>
        <w:t xml:space="preserve">that </w:t>
      </w:r>
      <w:r>
        <w:rPr>
          <w:color w:val="000000"/>
          <w:szCs w:val="26"/>
          <w:shd w:val="clear" w:color="auto" w:fill="FFFFFF"/>
        </w:rPr>
        <w:t>electrical corporations</w:t>
      </w:r>
      <w:r w:rsidRPr="00621D48">
        <w:rPr>
          <w:color w:val="000000"/>
          <w:szCs w:val="26"/>
          <w:shd w:val="clear" w:color="auto" w:fill="FFFFFF"/>
        </w:rPr>
        <w:t> shall collect, store, use, and disclose only as much covered information as is reasonably necessary or as authorized by the Commission to accomplish a specific primary purpose or for a specific secondary purpose authorized by the customer.</w:t>
      </w:r>
    </w:p>
    <w:p w:rsidRPr="001F21C4" w:rsidR="00403DCD" w:rsidP="001F21C4" w:rsidRDefault="00403DCD" w14:paraId="150A9534" w14:textId="520AA6A2">
      <w:pPr>
        <w:pStyle w:val="ListParagraph"/>
        <w:numPr>
          <w:ilvl w:val="0"/>
          <w:numId w:val="4"/>
        </w:numPr>
        <w:rPr>
          <w:rFonts w:ascii="Times New Roman" w:hAnsi="Times New Roman"/>
          <w:sz w:val="24"/>
          <w:szCs w:val="24"/>
        </w:rPr>
      </w:pPr>
      <w:r>
        <w:t>DA customers have chosen to opt-in to DA service.</w:t>
      </w:r>
    </w:p>
    <w:p w:rsidRPr="005429AC" w:rsidR="00CF17DE" w:rsidP="00403DCD" w:rsidRDefault="0031543F" w14:paraId="18C97720" w14:textId="6C6FB02A">
      <w:pPr>
        <w:pStyle w:val="ListParagraph"/>
        <w:numPr>
          <w:ilvl w:val="0"/>
          <w:numId w:val="4"/>
        </w:numPr>
        <w:rPr>
          <w:rFonts w:ascii="Times New Roman" w:hAnsi="Times New Roman"/>
          <w:sz w:val="24"/>
          <w:szCs w:val="24"/>
        </w:rPr>
      </w:pPr>
      <w:r>
        <w:t>I</w:t>
      </w:r>
      <w:r w:rsidRPr="00714651">
        <w:t xml:space="preserve">ncluding DA customer information in the All-Customer List does not accomplish </w:t>
      </w:r>
      <w:r w:rsidR="009560E4">
        <w:t>a</w:t>
      </w:r>
      <w:r w:rsidRPr="00714651">
        <w:t xml:space="preserve"> primary purpose</w:t>
      </w:r>
      <w:r>
        <w:t xml:space="preserve"> </w:t>
      </w:r>
      <w:r w:rsidR="009560E4">
        <w:t xml:space="preserve">as meant by the </w:t>
      </w:r>
      <w:r w:rsidRPr="001A3D64" w:rsidR="009560E4">
        <w:rPr>
          <w:i/>
          <w:iCs/>
          <w:szCs w:val="26"/>
        </w:rPr>
        <w:t>Rules Regarding Privacy and Security Protections for Energy Data</w:t>
      </w:r>
      <w:r>
        <w:t xml:space="preserve">. </w:t>
      </w:r>
    </w:p>
    <w:p w:rsidRPr="00403DCD" w:rsidR="00BA63BF" w:rsidP="00403DCD" w:rsidRDefault="00BA63BF" w14:paraId="13C62309" w14:textId="05620F80">
      <w:pPr>
        <w:pStyle w:val="ListParagraph"/>
        <w:numPr>
          <w:ilvl w:val="0"/>
          <w:numId w:val="4"/>
        </w:numPr>
        <w:rPr>
          <w:rFonts w:ascii="Times New Roman" w:hAnsi="Times New Roman"/>
          <w:sz w:val="24"/>
          <w:szCs w:val="24"/>
        </w:rPr>
      </w:pPr>
      <w:r>
        <w:t xml:space="preserve">Since changes may occur between the monthly issuance of lists, an aggregate count of customers will help </w:t>
      </w:r>
      <w:r w:rsidR="00687E0F">
        <w:t>i</w:t>
      </w:r>
      <w:r>
        <w:t>dentify the source of any potential changes that could not otherwise be distinguished from errors or other discrepancies.</w:t>
      </w:r>
    </w:p>
    <w:p w:rsidRPr="006B7ECC" w:rsidR="006B7ECC" w:rsidP="006B7ECC" w:rsidRDefault="006B7ECC" w14:paraId="3E045E73" w14:textId="77777777">
      <w:pPr>
        <w:pStyle w:val="ListParagraph"/>
        <w:ind w:left="420"/>
        <w:rPr>
          <w:rFonts w:ascii="Times New Roman" w:hAnsi="Times New Roman"/>
          <w:sz w:val="24"/>
          <w:szCs w:val="24"/>
        </w:rPr>
      </w:pPr>
    </w:p>
    <w:p w:rsidR="00CF17DE" w:rsidRDefault="00CF17DE" w14:paraId="03EBB768" w14:textId="77777777">
      <w:pPr>
        <w:pStyle w:val="Heading1"/>
      </w:pPr>
      <w:r w:rsidRPr="00A0042A">
        <w:t>Therefore it is ordered that:</w:t>
      </w:r>
    </w:p>
    <w:p w:rsidR="00CF17DE" w:rsidRDefault="00CF17DE" w14:paraId="04E7CDC7" w14:textId="72AA3706">
      <w:pPr>
        <w:numPr>
          <w:ilvl w:val="0"/>
          <w:numId w:val="5"/>
        </w:numPr>
        <w:rPr>
          <w:snapToGrid w:val="0"/>
        </w:rPr>
      </w:pPr>
      <w:r>
        <w:rPr>
          <w:snapToGrid w:val="0"/>
        </w:rPr>
        <w:t xml:space="preserve">The request of the </w:t>
      </w:r>
      <w:r w:rsidR="00DF4517">
        <w:rPr>
          <w:snapToGrid w:val="0"/>
        </w:rPr>
        <w:t>Southern California Edison Company</w:t>
      </w:r>
      <w:r>
        <w:rPr>
          <w:snapToGrid w:val="0"/>
        </w:rPr>
        <w:t xml:space="preserve"> to</w:t>
      </w:r>
      <w:r w:rsidR="006A0E29">
        <w:rPr>
          <w:snapToGrid w:val="0"/>
        </w:rPr>
        <w:t xml:space="preserve"> modify Rule 23 and Schedule CCA-INFO</w:t>
      </w:r>
      <w:r w:rsidR="00C9115C">
        <w:rPr>
          <w:snapToGrid w:val="0"/>
        </w:rPr>
        <w:t xml:space="preserve"> </w:t>
      </w:r>
      <w:r>
        <w:rPr>
          <w:snapToGrid w:val="0"/>
        </w:rPr>
        <w:t xml:space="preserve">as requested in Advice Letter </w:t>
      </w:r>
      <w:r w:rsidR="00DF4517">
        <w:t>4289-E</w:t>
      </w:r>
      <w:r>
        <w:t xml:space="preserve"> </w:t>
      </w:r>
      <w:r>
        <w:rPr>
          <w:snapToGrid w:val="0"/>
        </w:rPr>
        <w:t>is approved</w:t>
      </w:r>
      <w:r w:rsidR="00E07B49">
        <w:rPr>
          <w:snapToGrid w:val="0"/>
        </w:rPr>
        <w:t xml:space="preserve"> with modifications.</w:t>
      </w:r>
      <w:r>
        <w:rPr>
          <w:snapToGrid w:val="0"/>
        </w:rPr>
        <w:t xml:space="preserve">  </w:t>
      </w:r>
    </w:p>
    <w:p w:rsidRPr="00BA63BF" w:rsidR="009C34A6" w:rsidRDefault="009C34A6" w14:paraId="070DDBFE" w14:textId="3789F3E7">
      <w:pPr>
        <w:numPr>
          <w:ilvl w:val="0"/>
          <w:numId w:val="5"/>
        </w:numPr>
      </w:pPr>
      <w:r>
        <w:t>Southern California Edison Company (SCE) is directed to exclude Direct Access customer information from the All-Customer List that SCE transmits to the C</w:t>
      </w:r>
      <w:r w:rsidR="00AD3F38">
        <w:t xml:space="preserve">ommunity </w:t>
      </w:r>
      <w:r>
        <w:t>C</w:t>
      </w:r>
      <w:r w:rsidR="00AD3F38">
        <w:t xml:space="preserve">hoice </w:t>
      </w:r>
      <w:r>
        <w:t>A</w:t>
      </w:r>
      <w:r w:rsidR="00AD3F38">
        <w:t>ggregators in its service territory</w:t>
      </w:r>
      <w:r w:rsidR="00877C0C">
        <w:t xml:space="preserve"> after </w:t>
      </w:r>
      <w:r w:rsidR="3130FD3F">
        <w:t xml:space="preserve">CCA </w:t>
      </w:r>
      <w:r w:rsidR="004534DA">
        <w:t>implementation.</w:t>
      </w:r>
    </w:p>
    <w:p w:rsidR="00BA63BF" w:rsidRDefault="00BA63BF" w14:paraId="1A8F1F15" w14:textId="635A10F7">
      <w:pPr>
        <w:numPr>
          <w:ilvl w:val="0"/>
          <w:numId w:val="5"/>
        </w:numPr>
        <w:rPr>
          <w:snapToGrid w:val="0"/>
        </w:rPr>
      </w:pPr>
      <w:r>
        <w:t xml:space="preserve">Southern California Edison Company </w:t>
      </w:r>
      <w:r w:rsidR="00AA691F">
        <w:t xml:space="preserve">(SCE) </w:t>
      </w:r>
      <w:r>
        <w:t>is directed to include an aggregate accounting of changes from the prior month</w:t>
      </w:r>
      <w:r w:rsidR="00CC221D">
        <w:t>'</w:t>
      </w:r>
      <w:r>
        <w:t>s list with the All-Customer List.</w:t>
      </w:r>
    </w:p>
    <w:p w:rsidR="00CF17DE" w:rsidP="00E858B1" w:rsidRDefault="009C34A6" w14:paraId="4BCDF939" w14:textId="425EBCE2">
      <w:pPr>
        <w:pStyle w:val="ListParagraph"/>
        <w:numPr>
          <w:ilvl w:val="0"/>
          <w:numId w:val="5"/>
        </w:numPr>
        <w:tabs>
          <w:tab w:val="left" w:pos="720"/>
          <w:tab w:val="left" w:pos="1296"/>
          <w:tab w:val="left" w:pos="2016"/>
          <w:tab w:val="left" w:pos="2736"/>
          <w:tab w:val="left" w:pos="3456"/>
          <w:tab w:val="left" w:pos="4176"/>
          <w:tab w:val="left" w:pos="5760"/>
        </w:tabs>
      </w:pPr>
      <w:r w:rsidRPr="008153D6">
        <w:t>S</w:t>
      </w:r>
      <w:r>
        <w:t xml:space="preserve">outhern </w:t>
      </w:r>
      <w:r w:rsidRPr="008153D6">
        <w:t>C</w:t>
      </w:r>
      <w:r>
        <w:t xml:space="preserve">alifornia </w:t>
      </w:r>
      <w:r w:rsidRPr="008153D6">
        <w:t>E</w:t>
      </w:r>
      <w:r>
        <w:t>dison Company</w:t>
      </w:r>
      <w:r w:rsidR="00AD3F38">
        <w:t xml:space="preserve"> </w:t>
      </w:r>
      <w:r>
        <w:t>(SCE)</w:t>
      </w:r>
      <w:r w:rsidRPr="008153D6">
        <w:t xml:space="preserve"> shall </w:t>
      </w:r>
      <w:r w:rsidR="00E858B1">
        <w:t xml:space="preserve">submit a supplemental advice letter with a Tier 1 designation to </w:t>
      </w:r>
      <w:r w:rsidRPr="008153D6">
        <w:t xml:space="preserve">modify </w:t>
      </w:r>
      <w:r w:rsidRPr="008153D6" w:rsidR="00CC221D">
        <w:t>SCE</w:t>
      </w:r>
      <w:r w:rsidR="00CC221D">
        <w:t>'</w:t>
      </w:r>
      <w:r w:rsidRPr="008153D6" w:rsidR="00CC221D">
        <w:t xml:space="preserve">s </w:t>
      </w:r>
      <w:r w:rsidR="00D42261">
        <w:t xml:space="preserve">Rule 23 and </w:t>
      </w:r>
      <w:r w:rsidRPr="008153D6">
        <w:t xml:space="preserve">Schedule CCA-INFO to </w:t>
      </w:r>
      <w:r>
        <w:t>indicate</w:t>
      </w:r>
      <w:r w:rsidRPr="008153D6">
        <w:t xml:space="preserve"> that the All-Customer List will exclude D</w:t>
      </w:r>
      <w:r w:rsidR="0082287D">
        <w:t xml:space="preserve">irect </w:t>
      </w:r>
      <w:r w:rsidRPr="008153D6">
        <w:t>A</w:t>
      </w:r>
      <w:r w:rsidR="0082287D">
        <w:t>ccess</w:t>
      </w:r>
      <w:r w:rsidRPr="008153D6">
        <w:t xml:space="preserve"> customer service accounts and associated customer data.</w:t>
      </w:r>
    </w:p>
    <w:p w:rsidR="009C34A6" w:rsidP="005429AC" w:rsidRDefault="009C34A6" w14:paraId="6D2701DB" w14:textId="6DD71393">
      <w:pPr>
        <w:tabs>
          <w:tab w:val="left" w:pos="720"/>
          <w:tab w:val="left" w:pos="1296"/>
          <w:tab w:val="left" w:pos="2016"/>
          <w:tab w:val="left" w:pos="2736"/>
          <w:tab w:val="left" w:pos="3456"/>
          <w:tab w:val="left" w:pos="4176"/>
          <w:tab w:val="left" w:pos="5760"/>
        </w:tabs>
      </w:pPr>
    </w:p>
    <w:p w:rsidR="005429AC" w:rsidP="005429AC" w:rsidRDefault="005429AC" w14:paraId="6F16E7EF" w14:textId="5CCCADA4">
      <w:pPr>
        <w:tabs>
          <w:tab w:val="left" w:pos="720"/>
          <w:tab w:val="left" w:pos="1296"/>
          <w:tab w:val="left" w:pos="2016"/>
          <w:tab w:val="left" w:pos="2736"/>
          <w:tab w:val="left" w:pos="3456"/>
          <w:tab w:val="left" w:pos="4176"/>
          <w:tab w:val="left" w:pos="5760"/>
        </w:tabs>
      </w:pPr>
    </w:p>
    <w:p w:rsidR="005429AC" w:rsidP="005429AC" w:rsidRDefault="005429AC" w14:paraId="332E431F" w14:textId="10D1CE3D">
      <w:pPr>
        <w:tabs>
          <w:tab w:val="left" w:pos="720"/>
          <w:tab w:val="left" w:pos="1296"/>
          <w:tab w:val="left" w:pos="2016"/>
          <w:tab w:val="left" w:pos="2736"/>
          <w:tab w:val="left" w:pos="3456"/>
          <w:tab w:val="left" w:pos="4176"/>
          <w:tab w:val="left" w:pos="5760"/>
        </w:tabs>
      </w:pPr>
    </w:p>
    <w:p w:rsidR="005429AC" w:rsidP="005429AC" w:rsidRDefault="005429AC" w14:paraId="5BE1A2B2" w14:textId="7A2B6AC4">
      <w:pPr>
        <w:tabs>
          <w:tab w:val="left" w:pos="720"/>
          <w:tab w:val="left" w:pos="1296"/>
          <w:tab w:val="left" w:pos="2016"/>
          <w:tab w:val="left" w:pos="2736"/>
          <w:tab w:val="left" w:pos="3456"/>
          <w:tab w:val="left" w:pos="4176"/>
          <w:tab w:val="left" w:pos="5760"/>
        </w:tabs>
      </w:pPr>
    </w:p>
    <w:p w:rsidR="005429AC" w:rsidP="005429AC" w:rsidRDefault="005429AC" w14:paraId="6EABD4D1" w14:textId="51103A41">
      <w:pPr>
        <w:tabs>
          <w:tab w:val="left" w:pos="720"/>
          <w:tab w:val="left" w:pos="1296"/>
          <w:tab w:val="left" w:pos="2016"/>
          <w:tab w:val="left" w:pos="2736"/>
          <w:tab w:val="left" w:pos="3456"/>
          <w:tab w:val="left" w:pos="4176"/>
          <w:tab w:val="left" w:pos="5760"/>
        </w:tabs>
      </w:pPr>
    </w:p>
    <w:p w:rsidR="00CF17DE" w:rsidRDefault="00CF17DE" w14:paraId="37DEE6CF" w14:textId="47810D62">
      <w:pPr>
        <w:tabs>
          <w:tab w:val="left" w:pos="720"/>
          <w:tab w:val="left" w:pos="1296"/>
          <w:tab w:val="left" w:pos="2016"/>
          <w:tab w:val="left" w:pos="2736"/>
          <w:tab w:val="left" w:pos="3456"/>
          <w:tab w:val="left" w:pos="4176"/>
          <w:tab w:val="left" w:pos="5760"/>
        </w:tabs>
      </w:pPr>
      <w:r>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pPr>
    </w:p>
    <w:p w:rsidR="00CF17DE" w:rsidRDefault="00CF17DE" w14:paraId="048CEE72" w14:textId="5E18697A">
      <w:pPr>
        <w:rPr>
          <w:snapToGrid w:val="0"/>
        </w:rPr>
      </w:pPr>
      <w:r>
        <w:rPr>
          <w:snapToGrid w:val="0"/>
        </w:rPr>
        <w:t xml:space="preserve">I certify that the foregoing </w:t>
      </w:r>
      <w:r w:rsidR="00D532C9">
        <w:rPr>
          <w:snapToGrid w:val="0"/>
        </w:rPr>
        <w:t>R</w:t>
      </w:r>
      <w:r>
        <w:rPr>
          <w:snapToGrid w:val="0"/>
        </w:rPr>
        <w:t xml:space="preserve">esolution was duly introduced, passed and adopted at a conference of the Public Utilities Commission of the State of California held on </w:t>
      </w:r>
      <w:r w:rsidR="007F52D8">
        <w:rPr>
          <w:snapToGrid w:val="0"/>
        </w:rPr>
        <w:t>April 15, 2021</w:t>
      </w:r>
      <w:r>
        <w:rPr>
          <w:snapToGrid w:val="0"/>
        </w:rPr>
        <w:t>; the following Commissioners voting favorably thereon:</w:t>
      </w:r>
    </w:p>
    <w:p w:rsidR="00CF17DE" w:rsidRDefault="00CF17DE" w14:paraId="2DA44F60" w14:textId="77777777">
      <w:pPr>
        <w:tabs>
          <w:tab w:val="left" w:pos="720"/>
          <w:tab w:val="left" w:pos="1152"/>
          <w:tab w:val="left" w:pos="1728"/>
          <w:tab w:val="left" w:pos="3168"/>
          <w:tab w:val="left" w:pos="5040"/>
        </w:tabs>
        <w:ind w:right="144"/>
      </w:pPr>
    </w:p>
    <w:p w:rsidR="00CF17DE" w:rsidRDefault="00CF17DE" w14:paraId="1385E60D" w14:textId="77777777">
      <w:pPr>
        <w:tabs>
          <w:tab w:val="left" w:pos="720"/>
          <w:tab w:val="left" w:pos="1152"/>
          <w:tab w:val="left" w:pos="1728"/>
          <w:tab w:val="left" w:pos="3168"/>
          <w:tab w:val="left" w:pos="5040"/>
        </w:tabs>
        <w:ind w:right="144"/>
      </w:pPr>
    </w:p>
    <w:p w:rsidR="005429AC" w:rsidP="005429AC" w:rsidRDefault="005429AC" w14:paraId="76A682CA" w14:textId="5BDACDEB">
      <w:pPr>
        <w:tabs>
          <w:tab w:val="left" w:pos="720"/>
          <w:tab w:val="left" w:pos="1152"/>
          <w:tab w:val="left" w:pos="1728"/>
          <w:tab w:val="left" w:pos="3168"/>
          <w:tab w:val="left" w:pos="5040"/>
        </w:tabs>
        <w:ind w:right="144"/>
        <w:jc w:val="both"/>
        <w:rPr>
          <w:szCs w:val="26"/>
          <w:u w:val="single"/>
        </w:rPr>
      </w:pPr>
      <w:r>
        <w:rPr>
          <w:szCs w:val="26"/>
        </w:rPr>
        <w:tab/>
      </w:r>
      <w:r>
        <w:rPr>
          <w:szCs w:val="26"/>
        </w:rPr>
        <w:tab/>
      </w:r>
      <w:r>
        <w:rPr>
          <w:szCs w:val="26"/>
        </w:rPr>
        <w:tab/>
      </w:r>
      <w:r>
        <w:rPr>
          <w:szCs w:val="26"/>
        </w:rPr>
        <w:tab/>
      </w:r>
      <w:r>
        <w:rPr>
          <w:szCs w:val="26"/>
        </w:rPr>
        <w:tab/>
      </w:r>
      <w:r>
        <w:rPr>
          <w:szCs w:val="26"/>
        </w:rPr>
        <w:tab/>
      </w:r>
      <w:r>
        <w:rPr>
          <w:szCs w:val="26"/>
          <w:u w:val="single"/>
        </w:rPr>
        <w:t>/s/ Rachel Peterson</w:t>
      </w:r>
    </w:p>
    <w:p w:rsidR="005429AC" w:rsidP="005429AC" w:rsidRDefault="005429AC" w14:paraId="6CF46AFA"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RACHEL PETERSON</w:t>
      </w:r>
    </w:p>
    <w:p w:rsidR="005429AC" w:rsidP="005429AC" w:rsidRDefault="005429AC" w14:paraId="77B8F2BA"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Executive Director</w:t>
      </w:r>
    </w:p>
    <w:p w:rsidR="005429AC" w:rsidP="005429AC" w:rsidRDefault="005429AC" w14:paraId="0D44B7CB"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p>
    <w:p w:rsidR="005429AC" w:rsidP="005429AC" w:rsidRDefault="005429AC" w14:paraId="204BA1B8" w14:textId="77777777">
      <w:pPr>
        <w:pStyle w:val="Default"/>
        <w:ind w:left="5040" w:firstLine="720"/>
        <w:rPr>
          <w:szCs w:val="26"/>
        </w:rPr>
      </w:pPr>
      <w:r>
        <w:rPr>
          <w:szCs w:val="26"/>
        </w:rPr>
        <w:t>MARYBEL BATJER</w:t>
      </w:r>
    </w:p>
    <w:p w:rsidR="005429AC" w:rsidP="005429AC" w:rsidRDefault="005429AC" w14:paraId="1087C173" w14:textId="77777777">
      <w:pPr>
        <w:pStyle w:val="Default"/>
        <w:rPr>
          <w:szCs w:val="26"/>
        </w:rPr>
      </w:pPr>
      <w:r>
        <w:rPr>
          <w:szCs w:val="26"/>
        </w:rPr>
        <w:tab/>
      </w:r>
      <w:r>
        <w:rPr>
          <w:szCs w:val="26"/>
        </w:rPr>
        <w:tab/>
      </w:r>
      <w:r>
        <w:rPr>
          <w:szCs w:val="26"/>
        </w:rPr>
        <w:tab/>
      </w:r>
      <w:r>
        <w:rPr>
          <w:szCs w:val="26"/>
        </w:rPr>
        <w:tab/>
      </w:r>
      <w:r>
        <w:rPr>
          <w:szCs w:val="26"/>
        </w:rPr>
        <w:tab/>
        <w:t xml:space="preserve">      </w:t>
      </w:r>
      <w:r>
        <w:rPr>
          <w:szCs w:val="26"/>
        </w:rPr>
        <w:tab/>
      </w:r>
      <w:r>
        <w:rPr>
          <w:szCs w:val="26"/>
        </w:rPr>
        <w:tab/>
      </w:r>
      <w:r>
        <w:rPr>
          <w:szCs w:val="26"/>
        </w:rPr>
        <w:tab/>
      </w:r>
      <w:r>
        <w:rPr>
          <w:szCs w:val="26"/>
        </w:rPr>
        <w:tab/>
        <w:t>President</w:t>
      </w:r>
    </w:p>
    <w:p w:rsidR="005429AC" w:rsidP="005429AC" w:rsidRDefault="005429AC" w14:paraId="431515B2"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MARTHA GUZMAN ACEVES </w:t>
      </w:r>
    </w:p>
    <w:p w:rsidR="005429AC" w:rsidP="005429AC" w:rsidRDefault="005429AC" w14:paraId="1AEE1AFE" w14:textId="77777777">
      <w:pPr>
        <w:pStyle w:val="Default"/>
        <w:ind w:left="5760"/>
        <w:rPr>
          <w:szCs w:val="26"/>
        </w:rPr>
      </w:pPr>
      <w:r>
        <w:rPr>
          <w:szCs w:val="26"/>
        </w:rPr>
        <w:t>CLIFFORD RECHTSCHAFFEN</w:t>
      </w:r>
    </w:p>
    <w:p w:rsidR="005429AC" w:rsidP="005429AC" w:rsidRDefault="005429AC" w14:paraId="3B8E4722" w14:textId="77777777">
      <w:pPr>
        <w:pStyle w:val="Default"/>
        <w:ind w:left="5760"/>
        <w:rPr>
          <w:szCs w:val="26"/>
        </w:rPr>
      </w:pPr>
      <w:r>
        <w:rPr>
          <w:szCs w:val="26"/>
        </w:rPr>
        <w:t>GENEVIEVE SHIROMA</w:t>
      </w:r>
    </w:p>
    <w:p w:rsidR="005429AC" w:rsidP="005429AC" w:rsidRDefault="005429AC" w14:paraId="5C4BBA6B" w14:textId="77777777">
      <w:pPr>
        <w:pStyle w:val="Default"/>
        <w:ind w:left="5760"/>
        <w:rPr>
          <w:szCs w:val="26"/>
        </w:rPr>
      </w:pPr>
      <w:r>
        <w:rPr>
          <w:szCs w:val="26"/>
        </w:rPr>
        <w:t>DARCIE HOUCK</w:t>
      </w:r>
    </w:p>
    <w:p w:rsidR="005429AC" w:rsidP="005429AC" w:rsidRDefault="005429AC" w14:paraId="603B7742" w14:textId="77777777">
      <w:pPr>
        <w:pStyle w:val="Default"/>
        <w:rPr>
          <w:sz w:val="26"/>
          <w:szCs w:val="26"/>
        </w:rPr>
      </w:pPr>
      <w:r>
        <w:rPr>
          <w:szCs w:val="26"/>
        </w:rPr>
        <w:tab/>
      </w:r>
      <w:r>
        <w:rPr>
          <w:szCs w:val="26"/>
        </w:rPr>
        <w:tab/>
      </w:r>
      <w:r>
        <w:rPr>
          <w:szCs w:val="26"/>
        </w:rPr>
        <w:tab/>
      </w:r>
      <w:r>
        <w:rPr>
          <w:szCs w:val="26"/>
        </w:rPr>
        <w:tab/>
      </w:r>
      <w:r>
        <w:rPr>
          <w:szCs w:val="26"/>
        </w:rPr>
        <w:tab/>
      </w:r>
      <w:r>
        <w:rPr>
          <w:szCs w:val="26"/>
        </w:rPr>
        <w:tab/>
      </w:r>
      <w:r>
        <w:rPr>
          <w:szCs w:val="26"/>
        </w:rPr>
        <w:tab/>
        <w:t xml:space="preserve">       </w:t>
      </w:r>
      <w:r>
        <w:rPr>
          <w:szCs w:val="26"/>
        </w:rPr>
        <w:tab/>
      </w:r>
      <w:r>
        <w:rPr>
          <w:szCs w:val="26"/>
        </w:rPr>
        <w:tab/>
        <w:t>Commissioners</w:t>
      </w:r>
    </w:p>
    <w:p w:rsidR="00CF17DE" w:rsidP="005429AC" w:rsidRDefault="00CF17DE" w14:paraId="363F8E7E" w14:textId="1E2B1A8E">
      <w:pPr>
        <w:tabs>
          <w:tab w:val="left" w:pos="720"/>
          <w:tab w:val="left" w:pos="1152"/>
          <w:tab w:val="left" w:pos="1728"/>
          <w:tab w:val="left" w:pos="3168"/>
          <w:tab w:val="left" w:pos="5040"/>
        </w:tabs>
        <w:ind w:right="144"/>
      </w:pPr>
    </w:p>
    <w:sectPr w:rsidR="00CF17D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B5AA" w14:textId="77777777" w:rsidR="00EE5879" w:rsidRDefault="00EE5879">
      <w:r>
        <w:separator/>
      </w:r>
    </w:p>
  </w:endnote>
  <w:endnote w:type="continuationSeparator" w:id="0">
    <w:p w14:paraId="4FBA7329" w14:textId="77777777" w:rsidR="00EE5879" w:rsidRDefault="00EE5879">
      <w:r>
        <w:continuationSeparator/>
      </w:r>
    </w:p>
  </w:endnote>
  <w:endnote w:type="continuationNotice" w:id="1">
    <w:p w14:paraId="5136A1A6" w14:textId="77777777" w:rsidR="00EE5879" w:rsidRDefault="00EE5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82A" w14:textId="77777777" w:rsidR="00B005D5" w:rsidRDefault="00B00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D11B" w14:textId="77777777" w:rsidR="00CF17DE" w:rsidRDefault="00CF17DE">
    <w:pPr>
      <w:pStyle w:val="Footer"/>
    </w:pPr>
    <w:r>
      <w:rPr>
        <w:rStyle w:val="PageNumber"/>
      </w:rPr>
      <w:fldChar w:fldCharType="begin"/>
    </w:r>
    <w:r>
      <w:rPr>
        <w:rStyle w:val="PageNumber"/>
      </w:rPr>
      <w:instrText xml:space="preserve"> PAGE </w:instrText>
    </w:r>
    <w:r>
      <w:rPr>
        <w:rStyle w:val="PageNumber"/>
      </w:rPr>
      <w:fldChar w:fldCharType="separate"/>
    </w:r>
    <w:r w:rsidR="00946E2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3D63" w14:textId="0510278B" w:rsidR="00CF17DE" w:rsidRDefault="00E00B9F" w:rsidP="00E00B9F">
    <w:pPr>
      <w:pStyle w:val="Footer"/>
      <w:tabs>
        <w:tab w:val="clear" w:pos="4320"/>
        <w:tab w:val="center" w:pos="4680"/>
      </w:tabs>
      <w:jc w:val="left"/>
    </w:pPr>
    <w:r>
      <w:t xml:space="preserve">  </w:t>
    </w:r>
    <w:r w:rsidR="00B005D5">
      <w:t>378740041</w:t>
    </w:r>
    <w:r>
      <w:t xml:space="preserve">                                           </w:t>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52E5" w14:textId="77777777" w:rsidR="00EE5879" w:rsidRDefault="00EE5879">
      <w:r>
        <w:separator/>
      </w:r>
    </w:p>
  </w:footnote>
  <w:footnote w:type="continuationSeparator" w:id="0">
    <w:p w14:paraId="507E504C" w14:textId="77777777" w:rsidR="00EE5879" w:rsidRDefault="00EE5879">
      <w:r>
        <w:continuationSeparator/>
      </w:r>
    </w:p>
  </w:footnote>
  <w:footnote w:type="continuationNotice" w:id="1">
    <w:p w14:paraId="2EAA584C" w14:textId="77777777" w:rsidR="00EE5879" w:rsidRDefault="00EE5879">
      <w:pPr>
        <w:rPr>
          <w:sz w:val="22"/>
        </w:rPr>
      </w:pPr>
    </w:p>
    <w:p w14:paraId="580A2E41" w14:textId="77777777" w:rsidR="00EE5879" w:rsidRDefault="00EE5879">
      <w:pPr>
        <w:jc w:val="right"/>
        <w:rPr>
          <w:sz w:val="22"/>
        </w:rPr>
      </w:pPr>
      <w:r>
        <w:rPr>
          <w:i/>
          <w:sz w:val="22"/>
        </w:rPr>
        <w:t>Footnote continued on next page</w:t>
      </w:r>
    </w:p>
  </w:footnote>
  <w:footnote w:id="2">
    <w:p w14:paraId="01395F11" w14:textId="5828A28C" w:rsidR="00DA0DFD" w:rsidRPr="00DA0DFD" w:rsidRDefault="00DA0DFD" w:rsidP="00DA0DFD">
      <w:pPr>
        <w:pStyle w:val="FootnoteText"/>
        <w:numPr>
          <w:ilvl w:val="0"/>
          <w:numId w:val="0"/>
        </w:numPr>
      </w:pPr>
      <w:r>
        <w:rPr>
          <w:rStyle w:val="FootnoteReference"/>
        </w:rPr>
        <w:footnoteRef/>
      </w:r>
      <w:r>
        <w:t xml:space="preserve"> </w:t>
      </w:r>
      <w:r w:rsidRPr="00740F0B">
        <w:rPr>
          <w:i/>
          <w:iCs/>
        </w:rPr>
        <w:t>Decision Adopting Rules to Protect the Privacy and Security of the Electricity Usage Data of the Customers of Pacific Gas and Electric Company, Southern California Edison Company, and San Diego Gas &amp; Electric Company</w:t>
      </w:r>
      <w:r>
        <w:t xml:space="preserve">, </w:t>
      </w:r>
      <w:r w:rsidR="006752E3">
        <w:t>issued July 29, 2011.</w:t>
      </w:r>
      <w:r w:rsidR="006311B8">
        <w:t xml:space="preserve"> Decision </w:t>
      </w:r>
      <w:r w:rsidR="00035235">
        <w:t>(D.</w:t>
      </w:r>
      <w:r w:rsidR="00DA4A60">
        <w:t>)</w:t>
      </w:r>
      <w:r w:rsidR="00035235">
        <w:t xml:space="preserve"> </w:t>
      </w:r>
      <w:r w:rsidR="007500D3">
        <w:br/>
      </w:r>
      <w:r w:rsidR="00035235">
        <w:t xml:space="preserve">12-08-045) extends </w:t>
      </w:r>
      <w:r w:rsidR="00AC6EEC">
        <w:t xml:space="preserve">related </w:t>
      </w:r>
      <w:r w:rsidR="0098708A" w:rsidRPr="0098708A">
        <w:rPr>
          <w:color w:val="000000"/>
          <w:szCs w:val="26"/>
          <w:shd w:val="clear" w:color="auto" w:fill="FFFFFF"/>
        </w:rPr>
        <w:t>privacy protections to CCAs and addresses the obligations CCAs have to protect the privacy of their customers’ usage data.</w:t>
      </w:r>
    </w:p>
  </w:footnote>
  <w:footnote w:id="3">
    <w:p w14:paraId="765D4030" w14:textId="6BED9782" w:rsidR="00245E61" w:rsidRDefault="00245E61" w:rsidP="00245E61">
      <w:pPr>
        <w:pStyle w:val="FootnoteText"/>
        <w:numPr>
          <w:ilvl w:val="0"/>
          <w:numId w:val="0"/>
        </w:numPr>
        <w:ind w:left="360" w:hanging="360"/>
        <w:contextualSpacing/>
      </w:pPr>
      <w:r>
        <w:rPr>
          <w:rStyle w:val="FootnoteReference"/>
        </w:rPr>
        <w:footnoteRef/>
      </w:r>
      <w:r>
        <w:t xml:space="preserve"> D. 11-07-056, page 21.</w:t>
      </w:r>
    </w:p>
  </w:footnote>
  <w:footnote w:id="4">
    <w:p w14:paraId="7E3778E2" w14:textId="77777777" w:rsidR="00556EA1" w:rsidRDefault="00556EA1" w:rsidP="00245E61">
      <w:pPr>
        <w:pStyle w:val="FootnoteText"/>
        <w:numPr>
          <w:ilvl w:val="0"/>
          <w:numId w:val="0"/>
        </w:numPr>
        <w:ind w:left="360" w:hanging="360"/>
        <w:contextualSpacing/>
      </w:pPr>
      <w:r>
        <w:rPr>
          <w:rStyle w:val="FootnoteReference"/>
        </w:rPr>
        <w:footnoteRef/>
      </w:r>
      <w:r>
        <w:t xml:space="preserve"> Covered Entity includes any electrical corporation or any third party that provides services to an electrical corporation under contract; see Attachment D, page 1.</w:t>
      </w:r>
    </w:p>
  </w:footnote>
  <w:footnote w:id="5">
    <w:p w14:paraId="2BF7BA27" w14:textId="77777777" w:rsidR="003818C0" w:rsidRDefault="003818C0" w:rsidP="003818C0">
      <w:pPr>
        <w:pStyle w:val="FootnoteText"/>
        <w:numPr>
          <w:ilvl w:val="0"/>
          <w:numId w:val="0"/>
        </w:numPr>
        <w:ind w:left="360" w:hanging="360"/>
        <w:contextualSpacing/>
      </w:pPr>
      <w:r>
        <w:rPr>
          <w:rStyle w:val="FootnoteReference"/>
        </w:rPr>
        <w:footnoteRef/>
      </w:r>
      <w:r>
        <w:t xml:space="preserve"> D. 11-07-056, Attachment D, page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178B" w14:textId="77777777" w:rsidR="00B005D5" w:rsidRDefault="00B0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D349" w14:textId="33DE9A72" w:rsidR="00CF17DE" w:rsidRDefault="00CF17DE">
    <w:pPr>
      <w:pStyle w:val="Header"/>
      <w:tabs>
        <w:tab w:val="clear" w:pos="4320"/>
        <w:tab w:val="clear" w:pos="8640"/>
        <w:tab w:val="center" w:pos="4680"/>
        <w:tab w:val="right" w:pos="9180"/>
      </w:tabs>
    </w:pPr>
    <w:r>
      <w:t xml:space="preserve">Resolution </w:t>
    </w:r>
    <w:r w:rsidR="00F40C98">
      <w:t>E-5136</w:t>
    </w:r>
    <w:r w:rsidR="003F6E5A">
      <w:tab/>
    </w:r>
    <w:r>
      <w:tab/>
    </w:r>
    <w:r w:rsidR="00F40C98">
      <w:t>April 15, 2021</w:t>
    </w:r>
  </w:p>
  <w:p w14:paraId="013F4CD4" w14:textId="7DD7C3BA" w:rsidR="00CF17DE" w:rsidRDefault="00F40C98" w:rsidP="005429AC">
    <w:pPr>
      <w:pStyle w:val="Header"/>
      <w:tabs>
        <w:tab w:val="clear" w:pos="4320"/>
        <w:tab w:val="clear" w:pos="8640"/>
        <w:tab w:val="center" w:pos="4680"/>
        <w:tab w:val="right" w:pos="9180"/>
      </w:tabs>
    </w:pPr>
    <w:r w:rsidRPr="00F40C98">
      <w:t>SCE AL 4289-E</w:t>
    </w:r>
    <w:r w:rsidR="00CF17DE">
      <w:t>/</w:t>
    </w:r>
    <w:r>
      <w:t>DO3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F806" w14:textId="3CC28FC7" w:rsidR="00CF17DE" w:rsidRPr="008E6797" w:rsidRDefault="005429AC" w:rsidP="003F6E5A">
    <w:pPr>
      <w:pStyle w:val="Header"/>
      <w:jc w:val="center"/>
      <w:rPr>
        <w:rFonts w:ascii="Helvetica" w:hAnsi="Helvetica"/>
        <w:sz w:val="28"/>
      </w:rPr>
    </w:pPr>
    <w:r>
      <w:tab/>
    </w:r>
    <w:r>
      <w:tab/>
    </w:r>
    <w:r w:rsidR="00CF17DE" w:rsidRPr="008E6797">
      <w:t>D</w:t>
    </w:r>
    <w:r>
      <w:t>ate of Issuance: April 19,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hybridMultilevel"/>
    <w:tmpl w:val="0409000F"/>
    <w:lvl w:ilvl="0" w:tplc="2CAE8812">
      <w:start w:val="1"/>
      <w:numFmt w:val="decimal"/>
      <w:lvlText w:val="%1."/>
      <w:lvlJc w:val="left"/>
      <w:pPr>
        <w:tabs>
          <w:tab w:val="num" w:pos="360"/>
        </w:tabs>
        <w:ind w:left="360" w:hanging="360"/>
      </w:pPr>
    </w:lvl>
    <w:lvl w:ilvl="1" w:tplc="9D8470CE">
      <w:numFmt w:val="decimal"/>
      <w:lvlText w:val=""/>
      <w:lvlJc w:val="left"/>
    </w:lvl>
    <w:lvl w:ilvl="2" w:tplc="F9DE4DB0">
      <w:numFmt w:val="decimal"/>
      <w:lvlText w:val=""/>
      <w:lvlJc w:val="left"/>
    </w:lvl>
    <w:lvl w:ilvl="3" w:tplc="D2A6C7F4">
      <w:numFmt w:val="decimal"/>
      <w:lvlText w:val=""/>
      <w:lvlJc w:val="left"/>
    </w:lvl>
    <w:lvl w:ilvl="4" w:tplc="5FFEFA22">
      <w:numFmt w:val="decimal"/>
      <w:lvlText w:val=""/>
      <w:lvlJc w:val="left"/>
    </w:lvl>
    <w:lvl w:ilvl="5" w:tplc="7C46E4C6">
      <w:numFmt w:val="decimal"/>
      <w:lvlText w:val=""/>
      <w:lvlJc w:val="left"/>
    </w:lvl>
    <w:lvl w:ilvl="6" w:tplc="0E702C24">
      <w:numFmt w:val="decimal"/>
      <w:lvlText w:val=""/>
      <w:lvlJc w:val="left"/>
    </w:lvl>
    <w:lvl w:ilvl="7" w:tplc="D8640256">
      <w:numFmt w:val="decimal"/>
      <w:lvlText w:val=""/>
      <w:lvlJc w:val="left"/>
    </w:lvl>
    <w:lvl w:ilvl="8" w:tplc="F04A080A">
      <w:numFmt w:val="decimal"/>
      <w:lvlText w:val=""/>
      <w:lvlJc w:val="left"/>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CC985738"/>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6F8414F"/>
    <w:multiLevelType w:val="hybridMultilevel"/>
    <w:tmpl w:val="E89C2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34417"/>
    <w:multiLevelType w:val="multilevel"/>
    <w:tmpl w:val="851876E8"/>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72565C7"/>
    <w:multiLevelType w:val="hybridMultilevel"/>
    <w:tmpl w:val="ABA0B9A0"/>
    <w:lvl w:ilvl="0" w:tplc="D3060B38">
      <w:start w:val="1"/>
      <w:numFmt w:val="decimal"/>
      <w:lvlText w:val="%1."/>
      <w:lvlJc w:val="left"/>
      <w:pPr>
        <w:tabs>
          <w:tab w:val="num" w:pos="420"/>
        </w:tabs>
        <w:ind w:left="420" w:hanging="420"/>
      </w:pPr>
      <w:rPr>
        <w:rFonts w:hint="default"/>
        <w:sz w:val="26"/>
        <w:szCs w:val="26"/>
      </w:rPr>
    </w:lvl>
    <w:lvl w:ilvl="1" w:tplc="9C062FA0">
      <w:numFmt w:val="decimal"/>
      <w:lvlText w:val=""/>
      <w:lvlJc w:val="left"/>
    </w:lvl>
    <w:lvl w:ilvl="2" w:tplc="924609C0">
      <w:numFmt w:val="decimal"/>
      <w:lvlText w:val=""/>
      <w:lvlJc w:val="left"/>
    </w:lvl>
    <w:lvl w:ilvl="3" w:tplc="8FAEA808">
      <w:numFmt w:val="decimal"/>
      <w:lvlText w:val=""/>
      <w:lvlJc w:val="left"/>
    </w:lvl>
    <w:lvl w:ilvl="4" w:tplc="DC2AD162">
      <w:numFmt w:val="decimal"/>
      <w:lvlText w:val=""/>
      <w:lvlJc w:val="left"/>
    </w:lvl>
    <w:lvl w:ilvl="5" w:tplc="14C29302">
      <w:numFmt w:val="decimal"/>
      <w:lvlText w:val=""/>
      <w:lvlJc w:val="left"/>
    </w:lvl>
    <w:lvl w:ilvl="6" w:tplc="442E055E">
      <w:numFmt w:val="decimal"/>
      <w:lvlText w:val=""/>
      <w:lvlJc w:val="left"/>
    </w:lvl>
    <w:lvl w:ilvl="7" w:tplc="69F2CFE6">
      <w:numFmt w:val="decimal"/>
      <w:lvlText w:val=""/>
      <w:lvlJc w:val="left"/>
    </w:lvl>
    <w:lvl w:ilvl="8" w:tplc="27042FA8">
      <w:numFmt w:val="decimal"/>
      <w:lvlText w:val=""/>
      <w:lvlJc w:val="left"/>
    </w:lvl>
  </w:abstractNum>
  <w:abstractNum w:abstractNumId="8"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F248C"/>
    <w:multiLevelType w:val="hybridMultilevel"/>
    <w:tmpl w:val="80967DCA"/>
    <w:lvl w:ilvl="0" w:tplc="57FE0438">
      <w:start w:val="1"/>
      <w:numFmt w:val="bullet"/>
      <w:lvlText w:val=""/>
      <w:lvlJc w:val="left"/>
      <w:pPr>
        <w:tabs>
          <w:tab w:val="num" w:pos="720"/>
        </w:tabs>
        <w:ind w:left="720" w:hanging="360"/>
      </w:pPr>
      <w:rPr>
        <w:rFonts w:ascii="Symbol" w:hAnsi="Symbol" w:hint="default"/>
        <w:sz w:val="20"/>
      </w:rPr>
    </w:lvl>
    <w:lvl w:ilvl="1" w:tplc="5BFC4FF2" w:tentative="1">
      <w:start w:val="1"/>
      <w:numFmt w:val="bullet"/>
      <w:lvlText w:val=""/>
      <w:lvlJc w:val="left"/>
      <w:pPr>
        <w:tabs>
          <w:tab w:val="num" w:pos="1440"/>
        </w:tabs>
        <w:ind w:left="1440" w:hanging="360"/>
      </w:pPr>
      <w:rPr>
        <w:rFonts w:ascii="Symbol" w:hAnsi="Symbol" w:hint="default"/>
        <w:sz w:val="20"/>
      </w:rPr>
    </w:lvl>
    <w:lvl w:ilvl="2" w:tplc="83BC4B60" w:tentative="1">
      <w:start w:val="1"/>
      <w:numFmt w:val="bullet"/>
      <w:lvlText w:val=""/>
      <w:lvlJc w:val="left"/>
      <w:pPr>
        <w:tabs>
          <w:tab w:val="num" w:pos="2160"/>
        </w:tabs>
        <w:ind w:left="2160" w:hanging="360"/>
      </w:pPr>
      <w:rPr>
        <w:rFonts w:ascii="Symbol" w:hAnsi="Symbol" w:hint="default"/>
        <w:sz w:val="20"/>
      </w:rPr>
    </w:lvl>
    <w:lvl w:ilvl="3" w:tplc="35A08558" w:tentative="1">
      <w:start w:val="1"/>
      <w:numFmt w:val="bullet"/>
      <w:lvlText w:val=""/>
      <w:lvlJc w:val="left"/>
      <w:pPr>
        <w:tabs>
          <w:tab w:val="num" w:pos="2880"/>
        </w:tabs>
        <w:ind w:left="2880" w:hanging="360"/>
      </w:pPr>
      <w:rPr>
        <w:rFonts w:ascii="Symbol" w:hAnsi="Symbol" w:hint="default"/>
        <w:sz w:val="20"/>
      </w:rPr>
    </w:lvl>
    <w:lvl w:ilvl="4" w:tplc="22CEC556" w:tentative="1">
      <w:start w:val="1"/>
      <w:numFmt w:val="bullet"/>
      <w:lvlText w:val=""/>
      <w:lvlJc w:val="left"/>
      <w:pPr>
        <w:tabs>
          <w:tab w:val="num" w:pos="3600"/>
        </w:tabs>
        <w:ind w:left="3600" w:hanging="360"/>
      </w:pPr>
      <w:rPr>
        <w:rFonts w:ascii="Symbol" w:hAnsi="Symbol" w:hint="default"/>
        <w:sz w:val="20"/>
      </w:rPr>
    </w:lvl>
    <w:lvl w:ilvl="5" w:tplc="2C484B7A" w:tentative="1">
      <w:start w:val="1"/>
      <w:numFmt w:val="bullet"/>
      <w:lvlText w:val=""/>
      <w:lvlJc w:val="left"/>
      <w:pPr>
        <w:tabs>
          <w:tab w:val="num" w:pos="4320"/>
        </w:tabs>
        <w:ind w:left="4320" w:hanging="360"/>
      </w:pPr>
      <w:rPr>
        <w:rFonts w:ascii="Symbol" w:hAnsi="Symbol" w:hint="default"/>
        <w:sz w:val="20"/>
      </w:rPr>
    </w:lvl>
    <w:lvl w:ilvl="6" w:tplc="D67AA294" w:tentative="1">
      <w:start w:val="1"/>
      <w:numFmt w:val="bullet"/>
      <w:lvlText w:val=""/>
      <w:lvlJc w:val="left"/>
      <w:pPr>
        <w:tabs>
          <w:tab w:val="num" w:pos="5040"/>
        </w:tabs>
        <w:ind w:left="5040" w:hanging="360"/>
      </w:pPr>
      <w:rPr>
        <w:rFonts w:ascii="Symbol" w:hAnsi="Symbol" w:hint="default"/>
        <w:sz w:val="20"/>
      </w:rPr>
    </w:lvl>
    <w:lvl w:ilvl="7" w:tplc="8E3E7B8C" w:tentative="1">
      <w:start w:val="1"/>
      <w:numFmt w:val="bullet"/>
      <w:lvlText w:val=""/>
      <w:lvlJc w:val="left"/>
      <w:pPr>
        <w:tabs>
          <w:tab w:val="num" w:pos="5760"/>
        </w:tabs>
        <w:ind w:left="5760" w:hanging="360"/>
      </w:pPr>
      <w:rPr>
        <w:rFonts w:ascii="Symbol" w:hAnsi="Symbol" w:hint="default"/>
        <w:sz w:val="20"/>
      </w:rPr>
    </w:lvl>
    <w:lvl w:ilvl="8" w:tplc="1D8AB5B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10"/>
  </w:num>
  <w:num w:numId="8">
    <w:abstractNumId w:val="11"/>
  </w:num>
  <w:num w:numId="9">
    <w:abstractNumId w:val="3"/>
  </w:num>
  <w:num w:numId="10">
    <w:abstractNumId w:val="8"/>
  </w:num>
  <w:num w:numId="11">
    <w:abstractNumId w:val="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removePersonalInformation/>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42B"/>
    <w:rsid w:val="00001AB3"/>
    <w:rsid w:val="000022F4"/>
    <w:rsid w:val="00003D55"/>
    <w:rsid w:val="00012D45"/>
    <w:rsid w:val="000137F4"/>
    <w:rsid w:val="00020C3A"/>
    <w:rsid w:val="00022322"/>
    <w:rsid w:val="00022876"/>
    <w:rsid w:val="00024C89"/>
    <w:rsid w:val="000250AE"/>
    <w:rsid w:val="00025975"/>
    <w:rsid w:val="0002724B"/>
    <w:rsid w:val="00031B72"/>
    <w:rsid w:val="0003208D"/>
    <w:rsid w:val="00035235"/>
    <w:rsid w:val="00035FE9"/>
    <w:rsid w:val="0003756E"/>
    <w:rsid w:val="00037C51"/>
    <w:rsid w:val="00050F87"/>
    <w:rsid w:val="00053621"/>
    <w:rsid w:val="0005380A"/>
    <w:rsid w:val="00055467"/>
    <w:rsid w:val="00057E29"/>
    <w:rsid w:val="00060931"/>
    <w:rsid w:val="00063449"/>
    <w:rsid w:val="0006623C"/>
    <w:rsid w:val="00067793"/>
    <w:rsid w:val="00075D8A"/>
    <w:rsid w:val="00081DAC"/>
    <w:rsid w:val="00095DA7"/>
    <w:rsid w:val="00097845"/>
    <w:rsid w:val="000A2D27"/>
    <w:rsid w:val="000A6105"/>
    <w:rsid w:val="000B4A8A"/>
    <w:rsid w:val="000B5D11"/>
    <w:rsid w:val="000B7C98"/>
    <w:rsid w:val="000C149A"/>
    <w:rsid w:val="000C2BB8"/>
    <w:rsid w:val="000C44C5"/>
    <w:rsid w:val="000D3A75"/>
    <w:rsid w:val="000D44B5"/>
    <w:rsid w:val="000D7EDB"/>
    <w:rsid w:val="000E0AAA"/>
    <w:rsid w:val="000E1C4C"/>
    <w:rsid w:val="000E2F18"/>
    <w:rsid w:val="000E4E71"/>
    <w:rsid w:val="000E6DFF"/>
    <w:rsid w:val="000E748E"/>
    <w:rsid w:val="000F3ABA"/>
    <w:rsid w:val="000F3D2E"/>
    <w:rsid w:val="000F7993"/>
    <w:rsid w:val="00113BEA"/>
    <w:rsid w:val="0012053A"/>
    <w:rsid w:val="001231EA"/>
    <w:rsid w:val="00125051"/>
    <w:rsid w:val="00125159"/>
    <w:rsid w:val="00131425"/>
    <w:rsid w:val="001404A3"/>
    <w:rsid w:val="00140DFD"/>
    <w:rsid w:val="00142FB8"/>
    <w:rsid w:val="00143853"/>
    <w:rsid w:val="0014416E"/>
    <w:rsid w:val="00144814"/>
    <w:rsid w:val="00152576"/>
    <w:rsid w:val="0015437D"/>
    <w:rsid w:val="0015525A"/>
    <w:rsid w:val="00155893"/>
    <w:rsid w:val="001564AD"/>
    <w:rsid w:val="001611AC"/>
    <w:rsid w:val="00161CAB"/>
    <w:rsid w:val="00165280"/>
    <w:rsid w:val="00165498"/>
    <w:rsid w:val="001657D6"/>
    <w:rsid w:val="00172331"/>
    <w:rsid w:val="00172691"/>
    <w:rsid w:val="00175077"/>
    <w:rsid w:val="00180F0C"/>
    <w:rsid w:val="001812AD"/>
    <w:rsid w:val="001825E0"/>
    <w:rsid w:val="00184027"/>
    <w:rsid w:val="0019117F"/>
    <w:rsid w:val="001971EF"/>
    <w:rsid w:val="001A3D64"/>
    <w:rsid w:val="001A422B"/>
    <w:rsid w:val="001B28D7"/>
    <w:rsid w:val="001B49BB"/>
    <w:rsid w:val="001C2666"/>
    <w:rsid w:val="001C3A24"/>
    <w:rsid w:val="001D2DC9"/>
    <w:rsid w:val="001D6311"/>
    <w:rsid w:val="001D6348"/>
    <w:rsid w:val="001D655B"/>
    <w:rsid w:val="001E035F"/>
    <w:rsid w:val="001E0571"/>
    <w:rsid w:val="001E16ED"/>
    <w:rsid w:val="001E21AB"/>
    <w:rsid w:val="001E242E"/>
    <w:rsid w:val="001E3965"/>
    <w:rsid w:val="001E6BC6"/>
    <w:rsid w:val="001E70FE"/>
    <w:rsid w:val="001E7B78"/>
    <w:rsid w:val="001F1E0B"/>
    <w:rsid w:val="001F21C4"/>
    <w:rsid w:val="001F3C86"/>
    <w:rsid w:val="001F5325"/>
    <w:rsid w:val="001F7887"/>
    <w:rsid w:val="0020609E"/>
    <w:rsid w:val="00207332"/>
    <w:rsid w:val="00214FFA"/>
    <w:rsid w:val="002153AA"/>
    <w:rsid w:val="00215597"/>
    <w:rsid w:val="002157AE"/>
    <w:rsid w:val="00221E67"/>
    <w:rsid w:val="00223C13"/>
    <w:rsid w:val="00223E06"/>
    <w:rsid w:val="00225CFD"/>
    <w:rsid w:val="00226C20"/>
    <w:rsid w:val="00233CA3"/>
    <w:rsid w:val="0023446B"/>
    <w:rsid w:val="00237B31"/>
    <w:rsid w:val="00243A86"/>
    <w:rsid w:val="0024459D"/>
    <w:rsid w:val="00244EE3"/>
    <w:rsid w:val="0024551C"/>
    <w:rsid w:val="00245E61"/>
    <w:rsid w:val="00246235"/>
    <w:rsid w:val="00247765"/>
    <w:rsid w:val="00255AAF"/>
    <w:rsid w:val="00256F1C"/>
    <w:rsid w:val="00260C3A"/>
    <w:rsid w:val="0026118E"/>
    <w:rsid w:val="00261A29"/>
    <w:rsid w:val="002665A5"/>
    <w:rsid w:val="002701E7"/>
    <w:rsid w:val="002718E1"/>
    <w:rsid w:val="00271B55"/>
    <w:rsid w:val="002761DD"/>
    <w:rsid w:val="00276E70"/>
    <w:rsid w:val="00282D87"/>
    <w:rsid w:val="00295314"/>
    <w:rsid w:val="002A1FD1"/>
    <w:rsid w:val="002B198B"/>
    <w:rsid w:val="002B1F67"/>
    <w:rsid w:val="002C06B5"/>
    <w:rsid w:val="002C59B0"/>
    <w:rsid w:val="002D25D5"/>
    <w:rsid w:val="002D37C5"/>
    <w:rsid w:val="002D5B59"/>
    <w:rsid w:val="002E62DF"/>
    <w:rsid w:val="002E6411"/>
    <w:rsid w:val="002E6957"/>
    <w:rsid w:val="002E749A"/>
    <w:rsid w:val="002E7BF6"/>
    <w:rsid w:val="002F7975"/>
    <w:rsid w:val="00302301"/>
    <w:rsid w:val="00303EFD"/>
    <w:rsid w:val="0030581C"/>
    <w:rsid w:val="00305D96"/>
    <w:rsid w:val="003078F1"/>
    <w:rsid w:val="0031025B"/>
    <w:rsid w:val="0031543F"/>
    <w:rsid w:val="003160A9"/>
    <w:rsid w:val="00316F56"/>
    <w:rsid w:val="003177BF"/>
    <w:rsid w:val="00323EFE"/>
    <w:rsid w:val="003244B0"/>
    <w:rsid w:val="0032492E"/>
    <w:rsid w:val="0033314D"/>
    <w:rsid w:val="00335866"/>
    <w:rsid w:val="00337FB7"/>
    <w:rsid w:val="0034107C"/>
    <w:rsid w:val="00342228"/>
    <w:rsid w:val="00360240"/>
    <w:rsid w:val="00360B29"/>
    <w:rsid w:val="00362D06"/>
    <w:rsid w:val="00365C71"/>
    <w:rsid w:val="00370C9A"/>
    <w:rsid w:val="003725D4"/>
    <w:rsid w:val="00374250"/>
    <w:rsid w:val="00374B7E"/>
    <w:rsid w:val="00376DC0"/>
    <w:rsid w:val="003818C0"/>
    <w:rsid w:val="00385F3E"/>
    <w:rsid w:val="0039144F"/>
    <w:rsid w:val="00394B3A"/>
    <w:rsid w:val="00395F8C"/>
    <w:rsid w:val="00396BB3"/>
    <w:rsid w:val="003A14B5"/>
    <w:rsid w:val="003A1F64"/>
    <w:rsid w:val="003A4A67"/>
    <w:rsid w:val="003B123C"/>
    <w:rsid w:val="003B1839"/>
    <w:rsid w:val="003B28DC"/>
    <w:rsid w:val="003B39CC"/>
    <w:rsid w:val="003C2E96"/>
    <w:rsid w:val="003C4F96"/>
    <w:rsid w:val="003C5C2E"/>
    <w:rsid w:val="003D4F93"/>
    <w:rsid w:val="003D530C"/>
    <w:rsid w:val="003D6862"/>
    <w:rsid w:val="003D7E6B"/>
    <w:rsid w:val="003E0329"/>
    <w:rsid w:val="003E37D4"/>
    <w:rsid w:val="003E40E2"/>
    <w:rsid w:val="003E4F84"/>
    <w:rsid w:val="003E5F00"/>
    <w:rsid w:val="003E7F80"/>
    <w:rsid w:val="003F07E5"/>
    <w:rsid w:val="003F0803"/>
    <w:rsid w:val="003F6E5A"/>
    <w:rsid w:val="003F71A7"/>
    <w:rsid w:val="004006D7"/>
    <w:rsid w:val="00400F6B"/>
    <w:rsid w:val="00403DCD"/>
    <w:rsid w:val="004056A2"/>
    <w:rsid w:val="0040620B"/>
    <w:rsid w:val="00406C11"/>
    <w:rsid w:val="004104D9"/>
    <w:rsid w:val="00411304"/>
    <w:rsid w:val="00411C0F"/>
    <w:rsid w:val="00411D6C"/>
    <w:rsid w:val="00414E35"/>
    <w:rsid w:val="00422237"/>
    <w:rsid w:val="00425320"/>
    <w:rsid w:val="004259A6"/>
    <w:rsid w:val="004268F6"/>
    <w:rsid w:val="00431BF6"/>
    <w:rsid w:val="00435E2C"/>
    <w:rsid w:val="00440AB7"/>
    <w:rsid w:val="0044447F"/>
    <w:rsid w:val="00446D3D"/>
    <w:rsid w:val="00447ECB"/>
    <w:rsid w:val="004534DA"/>
    <w:rsid w:val="004545EE"/>
    <w:rsid w:val="004604C4"/>
    <w:rsid w:val="004635B6"/>
    <w:rsid w:val="00465F0E"/>
    <w:rsid w:val="00467956"/>
    <w:rsid w:val="00467B7C"/>
    <w:rsid w:val="00470B9B"/>
    <w:rsid w:val="00470C7A"/>
    <w:rsid w:val="00471319"/>
    <w:rsid w:val="0047266C"/>
    <w:rsid w:val="00473ECC"/>
    <w:rsid w:val="00475A64"/>
    <w:rsid w:val="00477FF6"/>
    <w:rsid w:val="004819D8"/>
    <w:rsid w:val="00482BB1"/>
    <w:rsid w:val="004905D3"/>
    <w:rsid w:val="004932B8"/>
    <w:rsid w:val="0049730D"/>
    <w:rsid w:val="004B120A"/>
    <w:rsid w:val="004B1219"/>
    <w:rsid w:val="004B17FF"/>
    <w:rsid w:val="004B3A5C"/>
    <w:rsid w:val="004B5C43"/>
    <w:rsid w:val="004B7922"/>
    <w:rsid w:val="004C12D6"/>
    <w:rsid w:val="004C2E4D"/>
    <w:rsid w:val="004C3384"/>
    <w:rsid w:val="004C3B01"/>
    <w:rsid w:val="004C4B38"/>
    <w:rsid w:val="004C60ED"/>
    <w:rsid w:val="004D3212"/>
    <w:rsid w:val="004D3A8F"/>
    <w:rsid w:val="004E0B03"/>
    <w:rsid w:val="004E686A"/>
    <w:rsid w:val="004E7CE5"/>
    <w:rsid w:val="004F14F7"/>
    <w:rsid w:val="004F5C2D"/>
    <w:rsid w:val="004F6F44"/>
    <w:rsid w:val="00500B38"/>
    <w:rsid w:val="00501616"/>
    <w:rsid w:val="00502691"/>
    <w:rsid w:val="0051130F"/>
    <w:rsid w:val="005200EA"/>
    <w:rsid w:val="00523171"/>
    <w:rsid w:val="005309A8"/>
    <w:rsid w:val="00531862"/>
    <w:rsid w:val="00533126"/>
    <w:rsid w:val="00537345"/>
    <w:rsid w:val="00537F35"/>
    <w:rsid w:val="005429AC"/>
    <w:rsid w:val="00545830"/>
    <w:rsid w:val="00545C21"/>
    <w:rsid w:val="00551A1D"/>
    <w:rsid w:val="00554962"/>
    <w:rsid w:val="00556EA1"/>
    <w:rsid w:val="00557E74"/>
    <w:rsid w:val="0055B7DD"/>
    <w:rsid w:val="005709F8"/>
    <w:rsid w:val="00573038"/>
    <w:rsid w:val="0057398B"/>
    <w:rsid w:val="005805BF"/>
    <w:rsid w:val="005811FB"/>
    <w:rsid w:val="00581614"/>
    <w:rsid w:val="00582196"/>
    <w:rsid w:val="00584DC7"/>
    <w:rsid w:val="00584DEC"/>
    <w:rsid w:val="005851D5"/>
    <w:rsid w:val="00593807"/>
    <w:rsid w:val="00594386"/>
    <w:rsid w:val="00594DAA"/>
    <w:rsid w:val="005A580D"/>
    <w:rsid w:val="005A5C94"/>
    <w:rsid w:val="005A6FF7"/>
    <w:rsid w:val="005B1394"/>
    <w:rsid w:val="005B1BD6"/>
    <w:rsid w:val="005B3335"/>
    <w:rsid w:val="005B39D7"/>
    <w:rsid w:val="005B6D3A"/>
    <w:rsid w:val="005B7586"/>
    <w:rsid w:val="005C0A99"/>
    <w:rsid w:val="005C1556"/>
    <w:rsid w:val="005C159F"/>
    <w:rsid w:val="005C1B40"/>
    <w:rsid w:val="005C1E78"/>
    <w:rsid w:val="005C28FF"/>
    <w:rsid w:val="005C4A7E"/>
    <w:rsid w:val="005C5822"/>
    <w:rsid w:val="005C6433"/>
    <w:rsid w:val="005C70F7"/>
    <w:rsid w:val="005D0C40"/>
    <w:rsid w:val="005D496E"/>
    <w:rsid w:val="005D6556"/>
    <w:rsid w:val="005D6A16"/>
    <w:rsid w:val="005D7177"/>
    <w:rsid w:val="005E030E"/>
    <w:rsid w:val="005E2E75"/>
    <w:rsid w:val="005E345A"/>
    <w:rsid w:val="005E5271"/>
    <w:rsid w:val="005E650C"/>
    <w:rsid w:val="005E7E6C"/>
    <w:rsid w:val="005F08FA"/>
    <w:rsid w:val="005F1942"/>
    <w:rsid w:val="005F2D76"/>
    <w:rsid w:val="005F3288"/>
    <w:rsid w:val="005F4B4B"/>
    <w:rsid w:val="005F54E6"/>
    <w:rsid w:val="005F660B"/>
    <w:rsid w:val="005F7026"/>
    <w:rsid w:val="00602273"/>
    <w:rsid w:val="00602835"/>
    <w:rsid w:val="006040B5"/>
    <w:rsid w:val="00606A4C"/>
    <w:rsid w:val="00606D1D"/>
    <w:rsid w:val="00613C9A"/>
    <w:rsid w:val="00617C36"/>
    <w:rsid w:val="0062194C"/>
    <w:rsid w:val="00621D48"/>
    <w:rsid w:val="006273D6"/>
    <w:rsid w:val="00630349"/>
    <w:rsid w:val="006311B8"/>
    <w:rsid w:val="00646246"/>
    <w:rsid w:val="006532A6"/>
    <w:rsid w:val="00655AA4"/>
    <w:rsid w:val="006579D8"/>
    <w:rsid w:val="006654F4"/>
    <w:rsid w:val="00667E20"/>
    <w:rsid w:val="00670009"/>
    <w:rsid w:val="006752E3"/>
    <w:rsid w:val="00681182"/>
    <w:rsid w:val="006827B4"/>
    <w:rsid w:val="006836AA"/>
    <w:rsid w:val="006878EE"/>
    <w:rsid w:val="00687E0F"/>
    <w:rsid w:val="006946B3"/>
    <w:rsid w:val="00695087"/>
    <w:rsid w:val="0069631C"/>
    <w:rsid w:val="00696B86"/>
    <w:rsid w:val="006A0E29"/>
    <w:rsid w:val="006A163D"/>
    <w:rsid w:val="006B05EE"/>
    <w:rsid w:val="006B06BD"/>
    <w:rsid w:val="006B2965"/>
    <w:rsid w:val="006B318A"/>
    <w:rsid w:val="006B7ECC"/>
    <w:rsid w:val="006C7046"/>
    <w:rsid w:val="006C7C15"/>
    <w:rsid w:val="006D0218"/>
    <w:rsid w:val="006D179F"/>
    <w:rsid w:val="006D3E53"/>
    <w:rsid w:val="006D44E1"/>
    <w:rsid w:val="006D4BD6"/>
    <w:rsid w:val="006D6304"/>
    <w:rsid w:val="006E0DD9"/>
    <w:rsid w:val="006E25CD"/>
    <w:rsid w:val="006E7CDC"/>
    <w:rsid w:val="006F41C0"/>
    <w:rsid w:val="00701C04"/>
    <w:rsid w:val="00701F78"/>
    <w:rsid w:val="007078B6"/>
    <w:rsid w:val="00707A86"/>
    <w:rsid w:val="007100D2"/>
    <w:rsid w:val="0071267E"/>
    <w:rsid w:val="0071363D"/>
    <w:rsid w:val="007144BF"/>
    <w:rsid w:val="00714651"/>
    <w:rsid w:val="00716979"/>
    <w:rsid w:val="00716F0D"/>
    <w:rsid w:val="0072117B"/>
    <w:rsid w:val="00724127"/>
    <w:rsid w:val="0072691E"/>
    <w:rsid w:val="007310BF"/>
    <w:rsid w:val="00732A09"/>
    <w:rsid w:val="00733A3F"/>
    <w:rsid w:val="00740509"/>
    <w:rsid w:val="00740F0B"/>
    <w:rsid w:val="00745DF6"/>
    <w:rsid w:val="007500D3"/>
    <w:rsid w:val="007519F9"/>
    <w:rsid w:val="00753E7E"/>
    <w:rsid w:val="00762E0F"/>
    <w:rsid w:val="00764B5F"/>
    <w:rsid w:val="00766B74"/>
    <w:rsid w:val="00766D11"/>
    <w:rsid w:val="00767554"/>
    <w:rsid w:val="00767B77"/>
    <w:rsid w:val="007741BA"/>
    <w:rsid w:val="00774C9F"/>
    <w:rsid w:val="00774E20"/>
    <w:rsid w:val="00775605"/>
    <w:rsid w:val="00782438"/>
    <w:rsid w:val="00791634"/>
    <w:rsid w:val="00791B1A"/>
    <w:rsid w:val="00792A8A"/>
    <w:rsid w:val="007946F1"/>
    <w:rsid w:val="00794927"/>
    <w:rsid w:val="00796052"/>
    <w:rsid w:val="00796D23"/>
    <w:rsid w:val="007A281A"/>
    <w:rsid w:val="007A2B77"/>
    <w:rsid w:val="007A4C5C"/>
    <w:rsid w:val="007A636B"/>
    <w:rsid w:val="007A7DD0"/>
    <w:rsid w:val="007B61A6"/>
    <w:rsid w:val="007C18B2"/>
    <w:rsid w:val="007C1AF2"/>
    <w:rsid w:val="007C1C4D"/>
    <w:rsid w:val="007D1F9C"/>
    <w:rsid w:val="007D43F6"/>
    <w:rsid w:val="007D578F"/>
    <w:rsid w:val="007D67CA"/>
    <w:rsid w:val="007E2A92"/>
    <w:rsid w:val="007E3075"/>
    <w:rsid w:val="007E6393"/>
    <w:rsid w:val="007E7642"/>
    <w:rsid w:val="007F0E99"/>
    <w:rsid w:val="007F25E4"/>
    <w:rsid w:val="007F52D8"/>
    <w:rsid w:val="007F616B"/>
    <w:rsid w:val="007F6FF5"/>
    <w:rsid w:val="007F71A1"/>
    <w:rsid w:val="00801D70"/>
    <w:rsid w:val="00801EA1"/>
    <w:rsid w:val="00811601"/>
    <w:rsid w:val="008153D6"/>
    <w:rsid w:val="0082082F"/>
    <w:rsid w:val="00822061"/>
    <w:rsid w:val="00822268"/>
    <w:rsid w:val="0082287D"/>
    <w:rsid w:val="008238F3"/>
    <w:rsid w:val="00830CDC"/>
    <w:rsid w:val="008320CD"/>
    <w:rsid w:val="00842B8C"/>
    <w:rsid w:val="008438CB"/>
    <w:rsid w:val="008438F3"/>
    <w:rsid w:val="008452F8"/>
    <w:rsid w:val="00847547"/>
    <w:rsid w:val="00847D57"/>
    <w:rsid w:val="00850B5C"/>
    <w:rsid w:val="00856865"/>
    <w:rsid w:val="00860359"/>
    <w:rsid w:val="00863321"/>
    <w:rsid w:val="0086672E"/>
    <w:rsid w:val="00870D59"/>
    <w:rsid w:val="00877BF9"/>
    <w:rsid w:val="00877C0C"/>
    <w:rsid w:val="00881DD9"/>
    <w:rsid w:val="00885834"/>
    <w:rsid w:val="00890020"/>
    <w:rsid w:val="00891E31"/>
    <w:rsid w:val="00893502"/>
    <w:rsid w:val="008936F5"/>
    <w:rsid w:val="008A0463"/>
    <w:rsid w:val="008A0B79"/>
    <w:rsid w:val="008A44AE"/>
    <w:rsid w:val="008A677B"/>
    <w:rsid w:val="008B2967"/>
    <w:rsid w:val="008B2F3B"/>
    <w:rsid w:val="008B35DA"/>
    <w:rsid w:val="008B54CB"/>
    <w:rsid w:val="008C243F"/>
    <w:rsid w:val="008C5321"/>
    <w:rsid w:val="008C5C73"/>
    <w:rsid w:val="008D13A5"/>
    <w:rsid w:val="008D5CD3"/>
    <w:rsid w:val="008D79E3"/>
    <w:rsid w:val="008E6797"/>
    <w:rsid w:val="008F0C0B"/>
    <w:rsid w:val="008F1D53"/>
    <w:rsid w:val="008F4A65"/>
    <w:rsid w:val="008F503F"/>
    <w:rsid w:val="008F6AC9"/>
    <w:rsid w:val="00902500"/>
    <w:rsid w:val="009070CD"/>
    <w:rsid w:val="009118B3"/>
    <w:rsid w:val="00914795"/>
    <w:rsid w:val="00917586"/>
    <w:rsid w:val="00920501"/>
    <w:rsid w:val="00921AAE"/>
    <w:rsid w:val="00922BC3"/>
    <w:rsid w:val="00927618"/>
    <w:rsid w:val="0093410C"/>
    <w:rsid w:val="00936E18"/>
    <w:rsid w:val="00942BA3"/>
    <w:rsid w:val="00945C4F"/>
    <w:rsid w:val="00946D60"/>
    <w:rsid w:val="00946E2C"/>
    <w:rsid w:val="00946F17"/>
    <w:rsid w:val="009560E4"/>
    <w:rsid w:val="00956F69"/>
    <w:rsid w:val="00966821"/>
    <w:rsid w:val="00972503"/>
    <w:rsid w:val="00973F67"/>
    <w:rsid w:val="00974CED"/>
    <w:rsid w:val="0098000C"/>
    <w:rsid w:val="009809B1"/>
    <w:rsid w:val="00982056"/>
    <w:rsid w:val="009834CA"/>
    <w:rsid w:val="00985560"/>
    <w:rsid w:val="00985AAB"/>
    <w:rsid w:val="0098708A"/>
    <w:rsid w:val="00991C79"/>
    <w:rsid w:val="00991E8B"/>
    <w:rsid w:val="009921ED"/>
    <w:rsid w:val="009929C8"/>
    <w:rsid w:val="0099447E"/>
    <w:rsid w:val="00995354"/>
    <w:rsid w:val="009A24A8"/>
    <w:rsid w:val="009A50E0"/>
    <w:rsid w:val="009B2015"/>
    <w:rsid w:val="009B3EB2"/>
    <w:rsid w:val="009B5CA7"/>
    <w:rsid w:val="009B7F56"/>
    <w:rsid w:val="009C1A11"/>
    <w:rsid w:val="009C31A5"/>
    <w:rsid w:val="009C34A6"/>
    <w:rsid w:val="009C6789"/>
    <w:rsid w:val="009C7133"/>
    <w:rsid w:val="009D257A"/>
    <w:rsid w:val="009D615D"/>
    <w:rsid w:val="009D63EA"/>
    <w:rsid w:val="009D7160"/>
    <w:rsid w:val="009E1B23"/>
    <w:rsid w:val="009E4497"/>
    <w:rsid w:val="009F61B0"/>
    <w:rsid w:val="009F64DA"/>
    <w:rsid w:val="009F669E"/>
    <w:rsid w:val="00A0042A"/>
    <w:rsid w:val="00A00E35"/>
    <w:rsid w:val="00A06064"/>
    <w:rsid w:val="00A12EC2"/>
    <w:rsid w:val="00A1526C"/>
    <w:rsid w:val="00A179D3"/>
    <w:rsid w:val="00A203E9"/>
    <w:rsid w:val="00A20613"/>
    <w:rsid w:val="00A218B6"/>
    <w:rsid w:val="00A247CF"/>
    <w:rsid w:val="00A248B8"/>
    <w:rsid w:val="00A32525"/>
    <w:rsid w:val="00A32B69"/>
    <w:rsid w:val="00A33397"/>
    <w:rsid w:val="00A33606"/>
    <w:rsid w:val="00A33C78"/>
    <w:rsid w:val="00A370AD"/>
    <w:rsid w:val="00A421CD"/>
    <w:rsid w:val="00A52FF6"/>
    <w:rsid w:val="00A5777F"/>
    <w:rsid w:val="00A57E51"/>
    <w:rsid w:val="00A60201"/>
    <w:rsid w:val="00A6130C"/>
    <w:rsid w:val="00A6536A"/>
    <w:rsid w:val="00A67C67"/>
    <w:rsid w:val="00A70F6B"/>
    <w:rsid w:val="00A71234"/>
    <w:rsid w:val="00A7160E"/>
    <w:rsid w:val="00A71F90"/>
    <w:rsid w:val="00A7281E"/>
    <w:rsid w:val="00A7532B"/>
    <w:rsid w:val="00A75D7E"/>
    <w:rsid w:val="00A7776F"/>
    <w:rsid w:val="00A84DAC"/>
    <w:rsid w:val="00A91E98"/>
    <w:rsid w:val="00A93237"/>
    <w:rsid w:val="00A950CB"/>
    <w:rsid w:val="00AA01D5"/>
    <w:rsid w:val="00AA43BA"/>
    <w:rsid w:val="00AA4F54"/>
    <w:rsid w:val="00AA691F"/>
    <w:rsid w:val="00AB067B"/>
    <w:rsid w:val="00AB08E0"/>
    <w:rsid w:val="00AB13C2"/>
    <w:rsid w:val="00AB1C20"/>
    <w:rsid w:val="00AB3D0A"/>
    <w:rsid w:val="00AB4404"/>
    <w:rsid w:val="00AB52F3"/>
    <w:rsid w:val="00AC3023"/>
    <w:rsid w:val="00AC4AAB"/>
    <w:rsid w:val="00AC609F"/>
    <w:rsid w:val="00AC6EEC"/>
    <w:rsid w:val="00AD3712"/>
    <w:rsid w:val="00AD3F38"/>
    <w:rsid w:val="00AD5256"/>
    <w:rsid w:val="00AD7261"/>
    <w:rsid w:val="00AE02AC"/>
    <w:rsid w:val="00AE664C"/>
    <w:rsid w:val="00AE6D1B"/>
    <w:rsid w:val="00AE7440"/>
    <w:rsid w:val="00AE7512"/>
    <w:rsid w:val="00AF1DF6"/>
    <w:rsid w:val="00AF3262"/>
    <w:rsid w:val="00AF39E1"/>
    <w:rsid w:val="00AF414B"/>
    <w:rsid w:val="00AF592E"/>
    <w:rsid w:val="00AF7DF5"/>
    <w:rsid w:val="00B005D5"/>
    <w:rsid w:val="00B00F14"/>
    <w:rsid w:val="00B05B54"/>
    <w:rsid w:val="00B05F8A"/>
    <w:rsid w:val="00B061C7"/>
    <w:rsid w:val="00B109B0"/>
    <w:rsid w:val="00B15637"/>
    <w:rsid w:val="00B20AB3"/>
    <w:rsid w:val="00B20B11"/>
    <w:rsid w:val="00B23151"/>
    <w:rsid w:val="00B26ECF"/>
    <w:rsid w:val="00B30F2B"/>
    <w:rsid w:val="00B32718"/>
    <w:rsid w:val="00B34654"/>
    <w:rsid w:val="00B356A8"/>
    <w:rsid w:val="00B3618B"/>
    <w:rsid w:val="00B461E8"/>
    <w:rsid w:val="00B4655B"/>
    <w:rsid w:val="00B5195B"/>
    <w:rsid w:val="00B51A30"/>
    <w:rsid w:val="00B53268"/>
    <w:rsid w:val="00B54FDB"/>
    <w:rsid w:val="00B61034"/>
    <w:rsid w:val="00B634E1"/>
    <w:rsid w:val="00B63789"/>
    <w:rsid w:val="00B66110"/>
    <w:rsid w:val="00B661E7"/>
    <w:rsid w:val="00B7012E"/>
    <w:rsid w:val="00B7021D"/>
    <w:rsid w:val="00B72E0C"/>
    <w:rsid w:val="00B755AC"/>
    <w:rsid w:val="00B80467"/>
    <w:rsid w:val="00B824EC"/>
    <w:rsid w:val="00B927B5"/>
    <w:rsid w:val="00B93A41"/>
    <w:rsid w:val="00B95C3C"/>
    <w:rsid w:val="00B9785C"/>
    <w:rsid w:val="00BA2737"/>
    <w:rsid w:val="00BA3D05"/>
    <w:rsid w:val="00BA5BE6"/>
    <w:rsid w:val="00BA63BF"/>
    <w:rsid w:val="00BB2B3E"/>
    <w:rsid w:val="00BB3726"/>
    <w:rsid w:val="00BB55BD"/>
    <w:rsid w:val="00BB6723"/>
    <w:rsid w:val="00BC1F87"/>
    <w:rsid w:val="00BC40C1"/>
    <w:rsid w:val="00BD1091"/>
    <w:rsid w:val="00BD6876"/>
    <w:rsid w:val="00BD6FF5"/>
    <w:rsid w:val="00BE0ADD"/>
    <w:rsid w:val="00BE27DA"/>
    <w:rsid w:val="00BE657D"/>
    <w:rsid w:val="00BE69FB"/>
    <w:rsid w:val="00BF2FB4"/>
    <w:rsid w:val="00BF3598"/>
    <w:rsid w:val="00BF4906"/>
    <w:rsid w:val="00BF7C22"/>
    <w:rsid w:val="00C034B7"/>
    <w:rsid w:val="00C045B9"/>
    <w:rsid w:val="00C14DF9"/>
    <w:rsid w:val="00C1560B"/>
    <w:rsid w:val="00C31FAE"/>
    <w:rsid w:val="00C320FF"/>
    <w:rsid w:val="00C3215C"/>
    <w:rsid w:val="00C33CCF"/>
    <w:rsid w:val="00C355B3"/>
    <w:rsid w:val="00C44AE9"/>
    <w:rsid w:val="00C44D4A"/>
    <w:rsid w:val="00C45060"/>
    <w:rsid w:val="00C47FBF"/>
    <w:rsid w:val="00C5361C"/>
    <w:rsid w:val="00C545B1"/>
    <w:rsid w:val="00C56B86"/>
    <w:rsid w:val="00C62F70"/>
    <w:rsid w:val="00C643B7"/>
    <w:rsid w:val="00C65C20"/>
    <w:rsid w:val="00C65C46"/>
    <w:rsid w:val="00C70D4E"/>
    <w:rsid w:val="00C73EFA"/>
    <w:rsid w:val="00C74E23"/>
    <w:rsid w:val="00C75237"/>
    <w:rsid w:val="00C86CF5"/>
    <w:rsid w:val="00C86E01"/>
    <w:rsid w:val="00C90AD4"/>
    <w:rsid w:val="00C9115C"/>
    <w:rsid w:val="00C9243A"/>
    <w:rsid w:val="00C93E2E"/>
    <w:rsid w:val="00CA25DC"/>
    <w:rsid w:val="00CA28A1"/>
    <w:rsid w:val="00CA5314"/>
    <w:rsid w:val="00CB0695"/>
    <w:rsid w:val="00CB1FF7"/>
    <w:rsid w:val="00CB339C"/>
    <w:rsid w:val="00CB42C3"/>
    <w:rsid w:val="00CC1ADC"/>
    <w:rsid w:val="00CC221D"/>
    <w:rsid w:val="00CC37D9"/>
    <w:rsid w:val="00CC4795"/>
    <w:rsid w:val="00CC66A8"/>
    <w:rsid w:val="00CC6BB9"/>
    <w:rsid w:val="00CD1B1D"/>
    <w:rsid w:val="00CD7FB4"/>
    <w:rsid w:val="00CD7FB7"/>
    <w:rsid w:val="00CE0937"/>
    <w:rsid w:val="00CF17DE"/>
    <w:rsid w:val="00D0484A"/>
    <w:rsid w:val="00D0527F"/>
    <w:rsid w:val="00D10AAF"/>
    <w:rsid w:val="00D137B9"/>
    <w:rsid w:val="00D1743E"/>
    <w:rsid w:val="00D20F6C"/>
    <w:rsid w:val="00D2306B"/>
    <w:rsid w:val="00D25546"/>
    <w:rsid w:val="00D25F3F"/>
    <w:rsid w:val="00D27DFC"/>
    <w:rsid w:val="00D306C0"/>
    <w:rsid w:val="00D32944"/>
    <w:rsid w:val="00D32B23"/>
    <w:rsid w:val="00D340E3"/>
    <w:rsid w:val="00D35DD5"/>
    <w:rsid w:val="00D42261"/>
    <w:rsid w:val="00D4265C"/>
    <w:rsid w:val="00D45A6F"/>
    <w:rsid w:val="00D46FB5"/>
    <w:rsid w:val="00D515F8"/>
    <w:rsid w:val="00D52F2C"/>
    <w:rsid w:val="00D532C9"/>
    <w:rsid w:val="00D57AE7"/>
    <w:rsid w:val="00D61BCB"/>
    <w:rsid w:val="00D630BC"/>
    <w:rsid w:val="00D822FD"/>
    <w:rsid w:val="00D8654A"/>
    <w:rsid w:val="00D87975"/>
    <w:rsid w:val="00D92A6E"/>
    <w:rsid w:val="00DA0DFD"/>
    <w:rsid w:val="00DA10AB"/>
    <w:rsid w:val="00DA43F2"/>
    <w:rsid w:val="00DA4A60"/>
    <w:rsid w:val="00DA6B3E"/>
    <w:rsid w:val="00DB08CE"/>
    <w:rsid w:val="00DB4258"/>
    <w:rsid w:val="00DB619F"/>
    <w:rsid w:val="00DB6F2C"/>
    <w:rsid w:val="00DC0098"/>
    <w:rsid w:val="00DC23C4"/>
    <w:rsid w:val="00DC486B"/>
    <w:rsid w:val="00DC6335"/>
    <w:rsid w:val="00DD24AF"/>
    <w:rsid w:val="00DD2C7A"/>
    <w:rsid w:val="00DD5CAA"/>
    <w:rsid w:val="00DD708E"/>
    <w:rsid w:val="00DF2D0D"/>
    <w:rsid w:val="00DF324D"/>
    <w:rsid w:val="00DF35CC"/>
    <w:rsid w:val="00DF3B6D"/>
    <w:rsid w:val="00DF4517"/>
    <w:rsid w:val="00E00B9F"/>
    <w:rsid w:val="00E01191"/>
    <w:rsid w:val="00E01CBE"/>
    <w:rsid w:val="00E02127"/>
    <w:rsid w:val="00E03506"/>
    <w:rsid w:val="00E03992"/>
    <w:rsid w:val="00E042C7"/>
    <w:rsid w:val="00E05C20"/>
    <w:rsid w:val="00E070FA"/>
    <w:rsid w:val="00E079C5"/>
    <w:rsid w:val="00E07AE1"/>
    <w:rsid w:val="00E07B49"/>
    <w:rsid w:val="00E106E5"/>
    <w:rsid w:val="00E10A8C"/>
    <w:rsid w:val="00E110B1"/>
    <w:rsid w:val="00E12330"/>
    <w:rsid w:val="00E22738"/>
    <w:rsid w:val="00E22C9A"/>
    <w:rsid w:val="00E24737"/>
    <w:rsid w:val="00E24945"/>
    <w:rsid w:val="00E258D4"/>
    <w:rsid w:val="00E3467A"/>
    <w:rsid w:val="00E34CF3"/>
    <w:rsid w:val="00E35711"/>
    <w:rsid w:val="00E368A7"/>
    <w:rsid w:val="00E4159D"/>
    <w:rsid w:val="00E423DB"/>
    <w:rsid w:val="00E4522C"/>
    <w:rsid w:val="00E46169"/>
    <w:rsid w:val="00E523EB"/>
    <w:rsid w:val="00E56EE2"/>
    <w:rsid w:val="00E63356"/>
    <w:rsid w:val="00E64236"/>
    <w:rsid w:val="00E706E1"/>
    <w:rsid w:val="00E75D8A"/>
    <w:rsid w:val="00E7666A"/>
    <w:rsid w:val="00E82A82"/>
    <w:rsid w:val="00E858B1"/>
    <w:rsid w:val="00E86745"/>
    <w:rsid w:val="00E873A4"/>
    <w:rsid w:val="00E90B87"/>
    <w:rsid w:val="00E928CF"/>
    <w:rsid w:val="00E940DF"/>
    <w:rsid w:val="00E948D0"/>
    <w:rsid w:val="00E960DE"/>
    <w:rsid w:val="00EA55F9"/>
    <w:rsid w:val="00EA6118"/>
    <w:rsid w:val="00EA63A9"/>
    <w:rsid w:val="00EB0581"/>
    <w:rsid w:val="00EB1E18"/>
    <w:rsid w:val="00EB31E0"/>
    <w:rsid w:val="00EC30FF"/>
    <w:rsid w:val="00EC352A"/>
    <w:rsid w:val="00EC6455"/>
    <w:rsid w:val="00EC697A"/>
    <w:rsid w:val="00EC7D89"/>
    <w:rsid w:val="00ED0714"/>
    <w:rsid w:val="00ED152A"/>
    <w:rsid w:val="00ED417D"/>
    <w:rsid w:val="00ED6BF1"/>
    <w:rsid w:val="00EE2E48"/>
    <w:rsid w:val="00EE5879"/>
    <w:rsid w:val="00EE5D18"/>
    <w:rsid w:val="00EE690F"/>
    <w:rsid w:val="00EF4A31"/>
    <w:rsid w:val="00EF5DB3"/>
    <w:rsid w:val="00EF61BD"/>
    <w:rsid w:val="00F04FE9"/>
    <w:rsid w:val="00F05A19"/>
    <w:rsid w:val="00F1118A"/>
    <w:rsid w:val="00F11383"/>
    <w:rsid w:val="00F11517"/>
    <w:rsid w:val="00F215D9"/>
    <w:rsid w:val="00F24996"/>
    <w:rsid w:val="00F25534"/>
    <w:rsid w:val="00F256C3"/>
    <w:rsid w:val="00F307E3"/>
    <w:rsid w:val="00F34020"/>
    <w:rsid w:val="00F401BC"/>
    <w:rsid w:val="00F40C98"/>
    <w:rsid w:val="00F41790"/>
    <w:rsid w:val="00F45BBD"/>
    <w:rsid w:val="00F50E10"/>
    <w:rsid w:val="00F51F8B"/>
    <w:rsid w:val="00F53DBF"/>
    <w:rsid w:val="00F542AC"/>
    <w:rsid w:val="00F5456F"/>
    <w:rsid w:val="00F6340C"/>
    <w:rsid w:val="00F63A19"/>
    <w:rsid w:val="00F65F02"/>
    <w:rsid w:val="00F67A6A"/>
    <w:rsid w:val="00F73BA9"/>
    <w:rsid w:val="00F824CD"/>
    <w:rsid w:val="00F853A3"/>
    <w:rsid w:val="00F85E95"/>
    <w:rsid w:val="00F865A3"/>
    <w:rsid w:val="00F93B16"/>
    <w:rsid w:val="00F94F1B"/>
    <w:rsid w:val="00FA14EB"/>
    <w:rsid w:val="00FA5614"/>
    <w:rsid w:val="00FA7069"/>
    <w:rsid w:val="00FB02EF"/>
    <w:rsid w:val="00FB352D"/>
    <w:rsid w:val="00FB38C9"/>
    <w:rsid w:val="00FB6EE5"/>
    <w:rsid w:val="00FC06BB"/>
    <w:rsid w:val="00FC1A20"/>
    <w:rsid w:val="00FC4E26"/>
    <w:rsid w:val="00FC73BF"/>
    <w:rsid w:val="00FC7A67"/>
    <w:rsid w:val="00FD3A75"/>
    <w:rsid w:val="00FD436F"/>
    <w:rsid w:val="00FD6044"/>
    <w:rsid w:val="00FD621F"/>
    <w:rsid w:val="00FD78DF"/>
    <w:rsid w:val="00FD7EEE"/>
    <w:rsid w:val="00FE0F39"/>
    <w:rsid w:val="00FE1C8E"/>
    <w:rsid w:val="00FE1CA0"/>
    <w:rsid w:val="00FE31C2"/>
    <w:rsid w:val="00FE6C44"/>
    <w:rsid w:val="00FE6CAC"/>
    <w:rsid w:val="00FF3240"/>
    <w:rsid w:val="00FF4AFC"/>
    <w:rsid w:val="00FF5A7C"/>
    <w:rsid w:val="010E67F7"/>
    <w:rsid w:val="022D8E65"/>
    <w:rsid w:val="03D02740"/>
    <w:rsid w:val="0440F135"/>
    <w:rsid w:val="0576B3EB"/>
    <w:rsid w:val="05B98864"/>
    <w:rsid w:val="078E5238"/>
    <w:rsid w:val="07C85AF0"/>
    <w:rsid w:val="08309CF4"/>
    <w:rsid w:val="0845A22B"/>
    <w:rsid w:val="08556ADC"/>
    <w:rsid w:val="08E88F7A"/>
    <w:rsid w:val="0921B1FF"/>
    <w:rsid w:val="0943480D"/>
    <w:rsid w:val="096D6473"/>
    <w:rsid w:val="09CEDBCE"/>
    <w:rsid w:val="0A3892F4"/>
    <w:rsid w:val="0A8F7E78"/>
    <w:rsid w:val="0B66293B"/>
    <w:rsid w:val="0B94C678"/>
    <w:rsid w:val="0BB4BD2E"/>
    <w:rsid w:val="0CFB0A73"/>
    <w:rsid w:val="0E6268E0"/>
    <w:rsid w:val="1029D9D2"/>
    <w:rsid w:val="10E840FD"/>
    <w:rsid w:val="123133A9"/>
    <w:rsid w:val="128877F5"/>
    <w:rsid w:val="13C4F144"/>
    <w:rsid w:val="13F35A45"/>
    <w:rsid w:val="14DB7B61"/>
    <w:rsid w:val="15DA4D88"/>
    <w:rsid w:val="15EFA72F"/>
    <w:rsid w:val="15F13478"/>
    <w:rsid w:val="19007AB1"/>
    <w:rsid w:val="19108777"/>
    <w:rsid w:val="19E2914C"/>
    <w:rsid w:val="1B0F4713"/>
    <w:rsid w:val="1C311709"/>
    <w:rsid w:val="1CE5BF59"/>
    <w:rsid w:val="1CF5ED4E"/>
    <w:rsid w:val="1D40A318"/>
    <w:rsid w:val="1D592ECD"/>
    <w:rsid w:val="1E204347"/>
    <w:rsid w:val="1EA10528"/>
    <w:rsid w:val="1EC6649E"/>
    <w:rsid w:val="1ECECCDD"/>
    <w:rsid w:val="210F25D9"/>
    <w:rsid w:val="2112C43C"/>
    <w:rsid w:val="2122F8D4"/>
    <w:rsid w:val="21943C3A"/>
    <w:rsid w:val="21BB508D"/>
    <w:rsid w:val="21D212A4"/>
    <w:rsid w:val="2203EFD5"/>
    <w:rsid w:val="222E1DBC"/>
    <w:rsid w:val="22DD1C47"/>
    <w:rsid w:val="230D02D1"/>
    <w:rsid w:val="23139619"/>
    <w:rsid w:val="23172104"/>
    <w:rsid w:val="241A62D8"/>
    <w:rsid w:val="248F2024"/>
    <w:rsid w:val="24BBF4A5"/>
    <w:rsid w:val="256EE1C3"/>
    <w:rsid w:val="268DE42A"/>
    <w:rsid w:val="26C444F4"/>
    <w:rsid w:val="27A88953"/>
    <w:rsid w:val="2802C199"/>
    <w:rsid w:val="286B9C5A"/>
    <w:rsid w:val="2A1F1FE6"/>
    <w:rsid w:val="2C4EA294"/>
    <w:rsid w:val="2C62D219"/>
    <w:rsid w:val="2D72F5B4"/>
    <w:rsid w:val="2DF98F51"/>
    <w:rsid w:val="2E6ECDEB"/>
    <w:rsid w:val="2F226A71"/>
    <w:rsid w:val="2F22BAB8"/>
    <w:rsid w:val="2F26EFC0"/>
    <w:rsid w:val="2F955FB2"/>
    <w:rsid w:val="2FF6CE60"/>
    <w:rsid w:val="30032164"/>
    <w:rsid w:val="302BA75A"/>
    <w:rsid w:val="30320010"/>
    <w:rsid w:val="3126DAD9"/>
    <w:rsid w:val="3130FD3F"/>
    <w:rsid w:val="319B1C70"/>
    <w:rsid w:val="32027C98"/>
    <w:rsid w:val="32CAF73B"/>
    <w:rsid w:val="338FDE13"/>
    <w:rsid w:val="341542F0"/>
    <w:rsid w:val="34D064C9"/>
    <w:rsid w:val="358D522D"/>
    <w:rsid w:val="36809EA6"/>
    <w:rsid w:val="37D7C2BC"/>
    <w:rsid w:val="380D0CEC"/>
    <w:rsid w:val="39C4B66E"/>
    <w:rsid w:val="3AE5F331"/>
    <w:rsid w:val="3B97561B"/>
    <w:rsid w:val="3CEDDBF9"/>
    <w:rsid w:val="3D02EC27"/>
    <w:rsid w:val="3D50A85F"/>
    <w:rsid w:val="3D619C65"/>
    <w:rsid w:val="3ED0CDE0"/>
    <w:rsid w:val="3ED10475"/>
    <w:rsid w:val="3F071C94"/>
    <w:rsid w:val="403BFC98"/>
    <w:rsid w:val="40D4DAF8"/>
    <w:rsid w:val="413B9377"/>
    <w:rsid w:val="439E5DCB"/>
    <w:rsid w:val="442AE770"/>
    <w:rsid w:val="45B8CA5E"/>
    <w:rsid w:val="45E7FFB0"/>
    <w:rsid w:val="45F69755"/>
    <w:rsid w:val="482518D4"/>
    <w:rsid w:val="482C5F99"/>
    <w:rsid w:val="4897557B"/>
    <w:rsid w:val="489B3F59"/>
    <w:rsid w:val="495DB0C6"/>
    <w:rsid w:val="496EDE73"/>
    <w:rsid w:val="49C6BC95"/>
    <w:rsid w:val="49EFE8E5"/>
    <w:rsid w:val="4A6CA705"/>
    <w:rsid w:val="4B23FA81"/>
    <w:rsid w:val="4BFBEDA5"/>
    <w:rsid w:val="4C53428B"/>
    <w:rsid w:val="4CFCD096"/>
    <w:rsid w:val="4E3CE63C"/>
    <w:rsid w:val="4FAF9D0B"/>
    <w:rsid w:val="500338AD"/>
    <w:rsid w:val="504A3FF7"/>
    <w:rsid w:val="51908D00"/>
    <w:rsid w:val="51E89A8C"/>
    <w:rsid w:val="52CE70BD"/>
    <w:rsid w:val="530712E9"/>
    <w:rsid w:val="535071C4"/>
    <w:rsid w:val="54334700"/>
    <w:rsid w:val="54BBC731"/>
    <w:rsid w:val="554EC178"/>
    <w:rsid w:val="5589AABB"/>
    <w:rsid w:val="559B4FE8"/>
    <w:rsid w:val="56671C06"/>
    <w:rsid w:val="574B45C6"/>
    <w:rsid w:val="579A8CCD"/>
    <w:rsid w:val="579F8FAC"/>
    <w:rsid w:val="57B87221"/>
    <w:rsid w:val="5802F08C"/>
    <w:rsid w:val="581457D6"/>
    <w:rsid w:val="5822910F"/>
    <w:rsid w:val="5855914E"/>
    <w:rsid w:val="597DECD2"/>
    <w:rsid w:val="59A9296B"/>
    <w:rsid w:val="59B5E8CE"/>
    <w:rsid w:val="5A58BE3B"/>
    <w:rsid w:val="5BAA28C8"/>
    <w:rsid w:val="5BEBF532"/>
    <w:rsid w:val="5D00BABE"/>
    <w:rsid w:val="5D915FD7"/>
    <w:rsid w:val="5DE3EE11"/>
    <w:rsid w:val="5EA2D750"/>
    <w:rsid w:val="5F3A29F0"/>
    <w:rsid w:val="5FF22D22"/>
    <w:rsid w:val="6034AB31"/>
    <w:rsid w:val="619528FD"/>
    <w:rsid w:val="62A0A199"/>
    <w:rsid w:val="62DFF84D"/>
    <w:rsid w:val="63675122"/>
    <w:rsid w:val="63AE5208"/>
    <w:rsid w:val="63D8577A"/>
    <w:rsid w:val="64D2B4A7"/>
    <w:rsid w:val="654A2269"/>
    <w:rsid w:val="65EC2036"/>
    <w:rsid w:val="6728716F"/>
    <w:rsid w:val="6755C20B"/>
    <w:rsid w:val="676166D7"/>
    <w:rsid w:val="67A6B3FB"/>
    <w:rsid w:val="68363084"/>
    <w:rsid w:val="68767183"/>
    <w:rsid w:val="69083F0B"/>
    <w:rsid w:val="6949E60D"/>
    <w:rsid w:val="698C3476"/>
    <w:rsid w:val="6993CC26"/>
    <w:rsid w:val="6A2C8896"/>
    <w:rsid w:val="6C67834D"/>
    <w:rsid w:val="6C7E0AE1"/>
    <w:rsid w:val="6CD5338B"/>
    <w:rsid w:val="6D7D10FA"/>
    <w:rsid w:val="6DAE0184"/>
    <w:rsid w:val="6DB288CB"/>
    <w:rsid w:val="6DCB856F"/>
    <w:rsid w:val="6E17ACBC"/>
    <w:rsid w:val="6E99FFF0"/>
    <w:rsid w:val="6F260764"/>
    <w:rsid w:val="6F5733E9"/>
    <w:rsid w:val="6FC6D282"/>
    <w:rsid w:val="70BEB5E8"/>
    <w:rsid w:val="70EDCE49"/>
    <w:rsid w:val="71D1F59A"/>
    <w:rsid w:val="72322D73"/>
    <w:rsid w:val="73000DBB"/>
    <w:rsid w:val="737EDA1A"/>
    <w:rsid w:val="73B281E8"/>
    <w:rsid w:val="73C1147D"/>
    <w:rsid w:val="7439DC31"/>
    <w:rsid w:val="74B838C5"/>
    <w:rsid w:val="7587B389"/>
    <w:rsid w:val="75BCBA42"/>
    <w:rsid w:val="7683E187"/>
    <w:rsid w:val="774027E6"/>
    <w:rsid w:val="77A72DD4"/>
    <w:rsid w:val="7A071DF5"/>
    <w:rsid w:val="7B98E056"/>
    <w:rsid w:val="7BDCAC98"/>
    <w:rsid w:val="7C14D171"/>
    <w:rsid w:val="7CCDAF14"/>
    <w:rsid w:val="7D36791C"/>
    <w:rsid w:val="7DD63C00"/>
    <w:rsid w:val="7EF26CF5"/>
    <w:rsid w:val="7F2E95CF"/>
    <w:rsid w:val="7F3BA562"/>
    <w:rsid w:val="7F8F01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95354"/>
  </w:style>
  <w:style w:type="character" w:customStyle="1" w:styleId="superscript">
    <w:name w:val="superscript"/>
    <w:basedOn w:val="DefaultParagraphFont"/>
    <w:rsid w:val="00995354"/>
  </w:style>
  <w:style w:type="character" w:styleId="CommentReference">
    <w:name w:val="annotation reference"/>
    <w:basedOn w:val="DefaultParagraphFont"/>
    <w:semiHidden/>
    <w:unhideWhenUsed/>
    <w:rsid w:val="000A6105"/>
    <w:rPr>
      <w:sz w:val="16"/>
      <w:szCs w:val="16"/>
    </w:rPr>
  </w:style>
  <w:style w:type="paragraph" w:styleId="CommentText">
    <w:name w:val="annotation text"/>
    <w:basedOn w:val="Normal"/>
    <w:link w:val="CommentTextChar"/>
    <w:semiHidden/>
    <w:unhideWhenUsed/>
    <w:rsid w:val="000A6105"/>
    <w:rPr>
      <w:sz w:val="20"/>
    </w:rPr>
  </w:style>
  <w:style w:type="character" w:customStyle="1" w:styleId="CommentTextChar">
    <w:name w:val="Comment Text Char"/>
    <w:basedOn w:val="DefaultParagraphFont"/>
    <w:link w:val="CommentText"/>
    <w:semiHidden/>
    <w:rsid w:val="000A6105"/>
    <w:rPr>
      <w:rFonts w:ascii="Palatino" w:hAnsi="Palatino"/>
    </w:rPr>
  </w:style>
  <w:style w:type="paragraph" w:styleId="CommentSubject">
    <w:name w:val="annotation subject"/>
    <w:basedOn w:val="CommentText"/>
    <w:next w:val="CommentText"/>
    <w:link w:val="CommentSubjectChar"/>
    <w:semiHidden/>
    <w:unhideWhenUsed/>
    <w:rsid w:val="000A6105"/>
    <w:rPr>
      <w:b/>
      <w:bCs/>
    </w:rPr>
  </w:style>
  <w:style w:type="character" w:customStyle="1" w:styleId="CommentSubjectChar">
    <w:name w:val="Comment Subject Char"/>
    <w:basedOn w:val="CommentTextChar"/>
    <w:link w:val="CommentSubject"/>
    <w:semiHidden/>
    <w:rsid w:val="000A6105"/>
    <w:rPr>
      <w:rFonts w:ascii="Palatino" w:hAnsi="Palatino"/>
      <w:b/>
      <w:bCs/>
    </w:rPr>
  </w:style>
  <w:style w:type="character" w:customStyle="1" w:styleId="eop">
    <w:name w:val="eop"/>
    <w:basedOn w:val="DefaultParagraphFont"/>
    <w:rsid w:val="00C33CCF"/>
  </w:style>
  <w:style w:type="paragraph" w:customStyle="1" w:styleId="Default">
    <w:name w:val="Default"/>
    <w:rsid w:val="005429AC"/>
    <w:pPr>
      <w:autoSpaceDE w:val="0"/>
      <w:autoSpaceDN w:val="0"/>
      <w:adjustRightInd w:val="0"/>
    </w:pPr>
    <w:rPr>
      <w:rFonts w:ascii="Palatino Linotype" w:eastAsiaTheme="minorHAns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7720">
      <w:bodyDiv w:val="1"/>
      <w:marLeft w:val="0"/>
      <w:marRight w:val="0"/>
      <w:marTop w:val="0"/>
      <w:marBottom w:val="0"/>
      <w:divBdr>
        <w:top w:val="none" w:sz="0" w:space="0" w:color="auto"/>
        <w:left w:val="none" w:sz="0" w:space="0" w:color="auto"/>
        <w:bottom w:val="none" w:sz="0" w:space="0" w:color="auto"/>
        <w:right w:val="none" w:sz="0" w:space="0" w:color="auto"/>
      </w:divBdr>
    </w:div>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216942408">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517155785">
      <w:bodyDiv w:val="1"/>
      <w:marLeft w:val="0"/>
      <w:marRight w:val="0"/>
      <w:marTop w:val="0"/>
      <w:marBottom w:val="0"/>
      <w:divBdr>
        <w:top w:val="none" w:sz="0" w:space="0" w:color="auto"/>
        <w:left w:val="none" w:sz="0" w:space="0" w:color="auto"/>
        <w:bottom w:val="none" w:sz="0" w:space="0" w:color="auto"/>
        <w:right w:val="none" w:sz="0" w:space="0" w:color="auto"/>
      </w:divBdr>
    </w:div>
    <w:div w:id="624703099">
      <w:bodyDiv w:val="1"/>
      <w:marLeft w:val="0"/>
      <w:marRight w:val="0"/>
      <w:marTop w:val="0"/>
      <w:marBottom w:val="0"/>
      <w:divBdr>
        <w:top w:val="none" w:sz="0" w:space="0" w:color="auto"/>
        <w:left w:val="none" w:sz="0" w:space="0" w:color="auto"/>
        <w:bottom w:val="none" w:sz="0" w:space="0" w:color="auto"/>
        <w:right w:val="none" w:sz="0" w:space="0" w:color="auto"/>
      </w:divBdr>
    </w:div>
    <w:div w:id="935135887">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998650697">
      <w:bodyDiv w:val="1"/>
      <w:marLeft w:val="0"/>
      <w:marRight w:val="0"/>
      <w:marTop w:val="0"/>
      <w:marBottom w:val="0"/>
      <w:divBdr>
        <w:top w:val="none" w:sz="0" w:space="0" w:color="auto"/>
        <w:left w:val="none" w:sz="0" w:space="0" w:color="auto"/>
        <w:bottom w:val="none" w:sz="0" w:space="0" w:color="auto"/>
        <w:right w:val="none" w:sz="0" w:space="0" w:color="auto"/>
      </w:divBdr>
    </w:div>
    <w:div w:id="1050154455">
      <w:bodyDiv w:val="1"/>
      <w:marLeft w:val="0"/>
      <w:marRight w:val="0"/>
      <w:marTop w:val="0"/>
      <w:marBottom w:val="0"/>
      <w:divBdr>
        <w:top w:val="none" w:sz="0" w:space="0" w:color="auto"/>
        <w:left w:val="none" w:sz="0" w:space="0" w:color="auto"/>
        <w:bottom w:val="none" w:sz="0" w:space="0" w:color="auto"/>
        <w:right w:val="none" w:sz="0" w:space="0" w:color="auto"/>
      </w:divBdr>
    </w:div>
    <w:div w:id="12113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800782F333A4EAFBA4B072CEFA62A" ma:contentTypeVersion="4" ma:contentTypeDescription="Create a new document." ma:contentTypeScope="" ma:versionID="0608843e0ca75f3418094d06ebb570b5">
  <xsd:schema xmlns:xsd="http://www.w3.org/2001/XMLSchema" xmlns:xs="http://www.w3.org/2001/XMLSchema" xmlns:p="http://schemas.microsoft.com/office/2006/metadata/properties" xmlns:ns2="7cb2a228-4759-4c83-a324-c804b069c66c" xmlns:ns3="a2250cf3-b7a9-4bd5-b2fe-054899bfcf6b" targetNamespace="http://schemas.microsoft.com/office/2006/metadata/properties" ma:root="true" ma:fieldsID="d7fcca2ccae15c16d5d199feab282166" ns2:_="" ns3:_="">
    <xsd:import namespace="7cb2a228-4759-4c83-a324-c804b069c66c"/>
    <xsd:import namespace="a2250cf3-b7a9-4bd5-b2fe-054899bfcf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a228-4759-4c83-a324-c804b069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50cf3-b7a9-4bd5-b2fe-054899bfc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611BB-2A60-4E28-BF07-C7841A31C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a228-4759-4c83-a324-c804b069c66c"/>
    <ds:schemaRef ds:uri="a2250cf3-b7a9-4bd5-b2fe-054899bfc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743EF-115C-3147-BE27-4A2173044F33}">
  <ds:schemaRefs>
    <ds:schemaRef ds:uri="http://schemas.openxmlformats.org/officeDocument/2006/bibliography"/>
  </ds:schemaRefs>
</ds:datastoreItem>
</file>

<file path=customXml/itemProps3.xml><?xml version="1.0" encoding="utf-8"?>
<ds:datastoreItem xmlns:ds="http://schemas.openxmlformats.org/officeDocument/2006/customXml" ds:itemID="{21DC907D-2E06-447D-8251-B3BA6DE988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5FB500-D1AA-4BF0-87B4-B139A2CB787D}">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2377</ap:Words>
  <ap:Characters>13555</ap:Characters>
  <ap:Application>Microsoft Office Word</ap:Application>
  <ap:DocSecurity>0</ap:DocSecurity>
  <ap:Lines>112</ap:Lines>
  <ap:Paragraphs>31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15901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2021-04-19T14:12:04Z</dcterms:created>
  <dcterms:modified xsi:type="dcterms:W3CDTF">2021-04-19T14:12:04Z</dcterms:modified>
</cp:coreProperties>
</file>