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22EC" w:rsidR="00C521EC" w:rsidP="00FF22EC" w:rsidRDefault="00A561F7" w14:paraId="62ED3E74" w14:textId="4D2A1B09">
      <w:pPr>
        <w:pStyle w:val="Header"/>
        <w:tabs>
          <w:tab w:val="clear" w:pos="4320"/>
          <w:tab w:val="clear" w:pos="8640"/>
          <w:tab w:val="center" w:pos="4680"/>
          <w:tab w:val="right" w:pos="9360"/>
        </w:tabs>
        <w:rPr>
          <w:rFonts w:ascii="Book Antiqua" w:hAnsi="Book Antiqua"/>
          <w:b/>
          <w:bCs/>
          <w:szCs w:val="26"/>
        </w:rPr>
      </w:pPr>
      <w:r>
        <w:rPr>
          <w:rFonts w:ascii="Book Antiqua" w:hAnsi="Book Antiqua"/>
        </w:rPr>
        <w:t>ALJ/</w:t>
      </w:r>
      <w:r w:rsidR="00FD4DA2">
        <w:rPr>
          <w:rFonts w:ascii="Book Antiqua" w:hAnsi="Book Antiqua"/>
        </w:rPr>
        <w:t>ATR</w:t>
      </w:r>
      <w:r w:rsidRPr="009B2873" w:rsidR="00B65771">
        <w:rPr>
          <w:rFonts w:ascii="Book Antiqua" w:hAnsi="Book Antiqua"/>
        </w:rPr>
        <w:t>/</w:t>
      </w:r>
      <w:r w:rsidR="00844CE2">
        <w:rPr>
          <w:rFonts w:ascii="Book Antiqua" w:hAnsi="Book Antiqua"/>
        </w:rPr>
        <w:t>mph</w:t>
      </w:r>
      <w:r w:rsidR="00C521EC">
        <w:rPr>
          <w:rFonts w:ascii="Book Antiqua" w:hAnsi="Book Antiqua"/>
        </w:rPr>
        <w:tab/>
      </w:r>
      <w:r w:rsidR="00FF22EC">
        <w:rPr>
          <w:rFonts w:ascii="Book Antiqua" w:hAnsi="Book Antiqua"/>
        </w:rPr>
        <w:tab/>
      </w:r>
      <w:r w:rsidRPr="00FF22EC" w:rsidR="00FF22EC">
        <w:rPr>
          <w:rFonts w:ascii="Book Antiqua" w:hAnsi="Book Antiqua"/>
          <w:b/>
          <w:bCs/>
        </w:rPr>
        <w:t>Date of Issuance 4/20/2021</w:t>
      </w:r>
    </w:p>
    <w:p w:rsidRPr="00270AB9" w:rsidR="00C521EC" w:rsidP="00C521EC" w:rsidRDefault="00C521EC" w14:paraId="4281C820" w14:textId="77777777">
      <w:pPr>
        <w:tabs>
          <w:tab w:val="center" w:pos="4680"/>
          <w:tab w:val="right" w:pos="9360"/>
        </w:tabs>
        <w:rPr>
          <w:rFonts w:ascii="Book Antiqua" w:hAnsi="Book Antiqua"/>
          <w:szCs w:val="26"/>
        </w:rPr>
      </w:pPr>
    </w:p>
    <w:p w:rsidRPr="00270AB9" w:rsidR="00C521EC" w:rsidP="00C521EC" w:rsidRDefault="00C521EC" w14:paraId="07E74141" w14:textId="54A99A0E">
      <w:pPr>
        <w:suppressAutoHyphens/>
        <w:rPr>
          <w:rFonts w:ascii="Book Antiqua" w:hAnsi="Book Antiqua"/>
          <w:szCs w:val="26"/>
        </w:rPr>
      </w:pPr>
      <w:r w:rsidRPr="00270AB9">
        <w:rPr>
          <w:rFonts w:ascii="Book Antiqua" w:hAnsi="Book Antiqua"/>
          <w:szCs w:val="26"/>
        </w:rPr>
        <w:t xml:space="preserve">Decision </w:t>
      </w:r>
      <w:r w:rsidR="00FF22EC">
        <w:rPr>
          <w:rFonts w:ascii="Book Antiqua" w:hAnsi="Book Antiqua"/>
          <w:szCs w:val="26"/>
        </w:rPr>
        <w:t>21-04-018  April 15, 2021</w:t>
      </w:r>
    </w:p>
    <w:p w:rsidRPr="001645D3" w:rsidR="00C521EC" w:rsidP="00C521EC" w:rsidRDefault="00C521EC" w14:paraId="4DBF14FB" w14:textId="77777777">
      <w:pPr>
        <w:pStyle w:val="Header"/>
        <w:tabs>
          <w:tab w:val="clear" w:pos="4320"/>
          <w:tab w:val="clear" w:pos="8640"/>
          <w:tab w:val="center" w:pos="4680"/>
          <w:tab w:val="right" w:pos="9360"/>
        </w:tabs>
        <w:rPr>
          <w:rFonts w:ascii="Book Antiqua" w:hAnsi="Book Antiqua"/>
        </w:rPr>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Pr="001645D3" w:rsidR="0089195D" w:rsidRDefault="0089195D" w14:paraId="71EEF27A" w14:textId="77777777">
      <w:pPr>
        <w:suppressAutoHyphens/>
        <w:rPr>
          <w:rFonts w:ascii="Book Antiqua" w:hAnsi="Book Antiqua"/>
        </w:rPr>
      </w:pPr>
    </w:p>
    <w:tbl>
      <w:tblPr>
        <w:tblStyle w:val="TableGrid"/>
        <w:tblW w:w="0" w:type="auto"/>
        <w:tblBorders>
          <w:top w:val="none" w:color="auto" w:sz="0" w:space="0"/>
          <w:left w:val="none" w:color="auto" w:sz="0" w:space="0"/>
          <w:right w:val="none" w:color="auto" w:sz="0" w:space="0"/>
          <w:insideH w:val="none" w:color="auto" w:sz="0" w:space="0"/>
        </w:tblBorders>
        <w:tblLook w:val="04A0" w:firstRow="1" w:lastRow="0" w:firstColumn="1" w:lastColumn="0" w:noHBand="0" w:noVBand="1"/>
      </w:tblPr>
      <w:tblGrid>
        <w:gridCol w:w="4770"/>
        <w:gridCol w:w="4590"/>
      </w:tblGrid>
      <w:tr w:rsidRPr="001645D3" w:rsidR="002229D7" w:rsidTr="009D13CA" w14:paraId="0ECCA66B" w14:textId="77777777">
        <w:tc>
          <w:tcPr>
            <w:tcW w:w="4770" w:type="dxa"/>
            <w:tcBorders>
              <w:bottom w:val="single" w:color="auto" w:sz="4" w:space="0"/>
              <w:right w:val="single" w:color="auto" w:sz="4" w:space="0"/>
            </w:tcBorders>
          </w:tcPr>
          <w:p w:rsidR="002229D7" w:rsidP="00FF22EC" w:rsidRDefault="002229D7" w14:paraId="2ECCA4CA" w14:textId="77777777">
            <w:pPr>
              <w:shd w:val="clear" w:color="auto" w:fill="FFFFFF" w:themeFill="background1"/>
              <w:rPr>
                <w:rFonts w:ascii="Book Antiqua" w:hAnsi="Book Antiqua"/>
              </w:rPr>
            </w:pPr>
            <w:r w:rsidRPr="001645D3">
              <w:rPr>
                <w:rFonts w:ascii="Book Antiqua" w:hAnsi="Book Antiqua"/>
              </w:rPr>
              <w:t xml:space="preserve">Application of Pacific Gas and Electric Company for Approval of Energy Savings Assistance and California Alternate Rates for Energy Programs and Budgets for 2021-2026 Program Years. (U39M) </w:t>
            </w:r>
          </w:p>
          <w:p w:rsidR="00FF22EC" w:rsidP="00FF22EC" w:rsidRDefault="00FF22EC" w14:paraId="4816148B" w14:textId="474B4CC3">
            <w:pPr>
              <w:shd w:val="clear" w:color="auto" w:fill="FFFFFF" w:themeFill="background1"/>
            </w:pPr>
          </w:p>
        </w:tc>
        <w:tc>
          <w:tcPr>
            <w:tcW w:w="4590" w:type="dxa"/>
            <w:tcBorders>
              <w:left w:val="single" w:color="auto" w:sz="4" w:space="0"/>
            </w:tcBorders>
          </w:tcPr>
          <w:p w:rsidR="002229D7" w:rsidP="009D13CA" w:rsidRDefault="002229D7" w14:paraId="121EFBEE" w14:textId="77777777">
            <w:pPr>
              <w:pStyle w:val="ALJBodyText"/>
              <w:shd w:val="clear" w:color="auto" w:fill="FFFFFF" w:themeFill="background1"/>
              <w:spacing w:line="240" w:lineRule="auto"/>
            </w:pPr>
          </w:p>
          <w:p w:rsidR="002229D7" w:rsidP="009D13CA" w:rsidRDefault="002229D7" w14:paraId="49B38E5C" w14:textId="77777777">
            <w:pPr>
              <w:pStyle w:val="ALJBodyText"/>
              <w:shd w:val="clear" w:color="auto" w:fill="FFFFFF" w:themeFill="background1"/>
              <w:spacing w:line="240" w:lineRule="auto"/>
            </w:pPr>
          </w:p>
          <w:p w:rsidRPr="00E70E92" w:rsidR="002229D7" w:rsidP="009D13CA" w:rsidRDefault="002229D7" w14:paraId="4925413C" w14:textId="77777777">
            <w:pPr>
              <w:pStyle w:val="ALJBodyText"/>
              <w:shd w:val="clear" w:color="auto" w:fill="FFFFFF" w:themeFill="background1"/>
              <w:jc w:val="center"/>
            </w:pPr>
            <w:r w:rsidRPr="00E70E92">
              <w:t xml:space="preserve">Application </w:t>
            </w:r>
            <w:bookmarkStart w:name="_Hlk51589161" w:id="0"/>
            <w:r w:rsidRPr="00E70E92">
              <w:t>19-11-</w:t>
            </w:r>
            <w:bookmarkEnd w:id="0"/>
            <w:r>
              <w:t>003</w:t>
            </w:r>
          </w:p>
          <w:p w:rsidRPr="00E70E92" w:rsidR="002229D7" w:rsidP="009D13CA" w:rsidRDefault="002229D7" w14:paraId="35447024" w14:textId="3C87C235">
            <w:pPr>
              <w:pStyle w:val="ALJBodyText"/>
              <w:shd w:val="clear" w:color="auto" w:fill="FFFFFF" w:themeFill="background1"/>
              <w:jc w:val="center"/>
            </w:pPr>
          </w:p>
          <w:p w:rsidR="00CB6B25" w:rsidP="009D13CA" w:rsidRDefault="00CB6B25" w14:paraId="1D8EEAA6" w14:textId="3E4BB1E3">
            <w:pPr>
              <w:pStyle w:val="ALJBodyText"/>
              <w:shd w:val="clear" w:color="auto" w:fill="FFFFFF" w:themeFill="background1"/>
              <w:spacing w:line="240" w:lineRule="auto"/>
              <w:ind w:firstLine="0"/>
              <w:jc w:val="center"/>
            </w:pPr>
          </w:p>
        </w:tc>
      </w:tr>
      <w:tr w:rsidRPr="001645D3" w:rsidR="002229D7" w:rsidTr="009D13CA" w14:paraId="462CFE53" w14:textId="77777777">
        <w:tc>
          <w:tcPr>
            <w:tcW w:w="4770" w:type="dxa"/>
            <w:tcBorders>
              <w:top w:val="single" w:color="auto" w:sz="4" w:space="0"/>
              <w:bottom w:val="single" w:color="auto" w:sz="4" w:space="0"/>
              <w:right w:val="single" w:color="auto" w:sz="4" w:space="0"/>
            </w:tcBorders>
          </w:tcPr>
          <w:p w:rsidR="002229D7" w:rsidP="009D13CA" w:rsidRDefault="002229D7" w14:paraId="5C190E9E" w14:textId="77777777">
            <w:pPr>
              <w:pStyle w:val="ALJBodyText"/>
              <w:shd w:val="clear" w:color="auto" w:fill="FFFFFF" w:themeFill="background1"/>
              <w:spacing w:line="240" w:lineRule="auto"/>
              <w:ind w:firstLine="0"/>
            </w:pPr>
          </w:p>
          <w:p w:rsidR="00CB6B25" w:rsidP="009D13CA" w:rsidRDefault="00CB6B25" w14:paraId="6A03686A" w14:textId="77777777">
            <w:pPr>
              <w:pStyle w:val="ALJBodyText"/>
              <w:shd w:val="clear" w:color="auto" w:fill="FFFFFF" w:themeFill="background1"/>
              <w:spacing w:line="240" w:lineRule="auto"/>
              <w:ind w:firstLine="0"/>
            </w:pPr>
          </w:p>
          <w:p w:rsidR="002229D7" w:rsidP="009D13CA" w:rsidRDefault="002229D7" w14:paraId="4852A2A2" w14:textId="1FC9A970">
            <w:pPr>
              <w:pStyle w:val="ALJBodyText"/>
              <w:shd w:val="clear" w:color="auto" w:fill="FFFFFF" w:themeFill="background1"/>
              <w:spacing w:line="240" w:lineRule="auto"/>
              <w:ind w:firstLine="0"/>
            </w:pPr>
            <w:r>
              <w:t>And Related Matters.</w:t>
            </w:r>
          </w:p>
        </w:tc>
        <w:tc>
          <w:tcPr>
            <w:tcW w:w="4590" w:type="dxa"/>
            <w:tcBorders>
              <w:left w:val="single" w:color="auto" w:sz="4" w:space="0"/>
              <w:bottom w:val="nil"/>
            </w:tcBorders>
          </w:tcPr>
          <w:p w:rsidRPr="001645D3" w:rsidR="00CB6B25" w:rsidP="009D13CA" w:rsidRDefault="00CB6B25" w14:paraId="74FE4891" w14:textId="77777777">
            <w:pPr>
              <w:shd w:val="clear" w:color="auto" w:fill="FFFFFF" w:themeFill="background1"/>
              <w:jc w:val="center"/>
              <w:rPr>
                <w:rFonts w:ascii="Book Antiqua" w:hAnsi="Book Antiqua"/>
              </w:rPr>
            </w:pPr>
          </w:p>
          <w:p w:rsidRPr="001645D3" w:rsidR="002229D7" w:rsidP="009D13CA" w:rsidRDefault="002229D7" w14:paraId="2535F586" w14:textId="472BC3AB">
            <w:pPr>
              <w:shd w:val="clear" w:color="auto" w:fill="FFFFFF" w:themeFill="background1"/>
              <w:jc w:val="center"/>
              <w:rPr>
                <w:rFonts w:ascii="Book Antiqua" w:hAnsi="Book Antiqua"/>
              </w:rPr>
            </w:pPr>
            <w:r w:rsidRPr="001645D3">
              <w:rPr>
                <w:rFonts w:ascii="Book Antiqua" w:hAnsi="Book Antiqua"/>
              </w:rPr>
              <w:t>Application 19-11-004</w:t>
            </w:r>
          </w:p>
          <w:p w:rsidRPr="001645D3" w:rsidR="002229D7" w:rsidP="009D13CA" w:rsidRDefault="002229D7" w14:paraId="2218D2E6" w14:textId="77777777">
            <w:pPr>
              <w:shd w:val="clear" w:color="auto" w:fill="FFFFFF" w:themeFill="background1"/>
              <w:jc w:val="center"/>
              <w:rPr>
                <w:rFonts w:ascii="Book Antiqua" w:hAnsi="Book Antiqua"/>
              </w:rPr>
            </w:pPr>
            <w:r w:rsidRPr="001645D3">
              <w:rPr>
                <w:rFonts w:ascii="Book Antiqua" w:hAnsi="Book Antiqua"/>
              </w:rPr>
              <w:t>Application 19-11-005</w:t>
            </w:r>
          </w:p>
          <w:p w:rsidRPr="001645D3" w:rsidR="002229D7" w:rsidP="009D13CA" w:rsidRDefault="002229D7" w14:paraId="2D5F8464" w14:textId="77777777">
            <w:pPr>
              <w:shd w:val="clear" w:color="auto" w:fill="FFFFFF" w:themeFill="background1"/>
              <w:jc w:val="center"/>
              <w:rPr>
                <w:rFonts w:ascii="Book Antiqua" w:hAnsi="Book Antiqua"/>
              </w:rPr>
            </w:pPr>
            <w:r w:rsidRPr="001645D3">
              <w:rPr>
                <w:rFonts w:ascii="Book Antiqua" w:hAnsi="Book Antiqua"/>
              </w:rPr>
              <w:t>Application 19-11-006</w:t>
            </w:r>
          </w:p>
          <w:p w:rsidRPr="001645D3" w:rsidR="002229D7" w:rsidP="009D13CA" w:rsidRDefault="002229D7" w14:paraId="4466CB11" w14:textId="77777777">
            <w:pPr>
              <w:shd w:val="clear" w:color="auto" w:fill="FFFFFF" w:themeFill="background1"/>
              <w:jc w:val="center"/>
              <w:rPr>
                <w:rFonts w:ascii="Book Antiqua" w:hAnsi="Book Antiqua"/>
              </w:rPr>
            </w:pPr>
            <w:r w:rsidRPr="001645D3">
              <w:rPr>
                <w:rFonts w:ascii="Book Antiqua" w:hAnsi="Book Antiqua"/>
              </w:rPr>
              <w:t>Application 19-11-007</w:t>
            </w:r>
          </w:p>
          <w:p w:rsidR="002229D7" w:rsidP="009D13CA" w:rsidRDefault="002229D7" w14:paraId="368923BE" w14:textId="77777777">
            <w:pPr>
              <w:pStyle w:val="ALJBodyText"/>
              <w:shd w:val="clear" w:color="auto" w:fill="FFFFFF" w:themeFill="background1"/>
              <w:spacing w:line="240" w:lineRule="auto"/>
              <w:ind w:firstLine="0"/>
              <w:jc w:val="center"/>
            </w:pPr>
          </w:p>
        </w:tc>
      </w:tr>
    </w:tbl>
    <w:p w:rsidRPr="001645D3" w:rsidR="0089195D" w:rsidRDefault="0089195D" w14:paraId="2724CA29" w14:textId="77777777">
      <w:pPr>
        <w:suppressAutoHyphens/>
        <w:rPr>
          <w:rFonts w:ascii="Book Antiqua" w:hAnsi="Book Antiqua"/>
        </w:rPr>
      </w:pPr>
    </w:p>
    <w:p w:rsidRPr="001645D3" w:rsidR="0089195D" w:rsidRDefault="0089195D" w14:paraId="496C4CBA" w14:textId="77777777">
      <w:pPr>
        <w:rPr>
          <w:rFonts w:ascii="Book Antiqua" w:hAnsi="Book Antiqua"/>
        </w:rPr>
      </w:pPr>
    </w:p>
    <w:p w:rsidR="0089195D" w:rsidRDefault="0089195D" w14:paraId="5AC8607F" w14:textId="77777777">
      <w:pPr>
        <w:jc w:val="center"/>
        <w:rPr>
          <w:rFonts w:ascii="Helvetica" w:hAnsi="Helvetica"/>
          <w:b/>
          <w:szCs w:val="26"/>
        </w:rPr>
      </w:pPr>
      <w:bookmarkStart w:name="_Toc370798909" w:id="1"/>
      <w:r>
        <w:rPr>
          <w:rFonts w:ascii="Helvetica" w:hAnsi="Helvetica"/>
          <w:b/>
          <w:szCs w:val="26"/>
        </w:rPr>
        <w:t>ORDER EXTENDING STATUTORY DEADLINE</w:t>
      </w:r>
    </w:p>
    <w:bookmarkEnd w:id="1"/>
    <w:p w:rsidRPr="001645D3" w:rsidR="0089195D" w:rsidP="00107949" w:rsidRDefault="0089195D" w14:paraId="542ADBAD" w14:textId="77777777">
      <w:pPr>
        <w:tabs>
          <w:tab w:val="left" w:pos="3493"/>
        </w:tabs>
        <w:suppressAutoHyphens/>
        <w:rPr>
          <w:rFonts w:ascii="Book Antiqua" w:hAnsi="Book Antiqua"/>
        </w:rPr>
      </w:pPr>
    </w:p>
    <w:p w:rsidRPr="009B2873" w:rsidR="003A3FFB" w:rsidP="001645D3" w:rsidRDefault="003A3FFB" w14:paraId="0B3A5923" w14:textId="77777777">
      <w:pPr>
        <w:pStyle w:val="ALJHeading1"/>
        <w:numPr>
          <w:ilvl w:val="0"/>
          <w:numId w:val="0"/>
        </w:numPr>
      </w:pPr>
      <w:bookmarkStart w:name="_Toc370798910" w:id="2"/>
      <w:r w:rsidRPr="009B2873">
        <w:t>Summary</w:t>
      </w:r>
    </w:p>
    <w:p w:rsidRPr="00A561F7" w:rsidR="003A3FFB" w:rsidP="003A3FFB" w:rsidRDefault="00A561F7" w14:paraId="587A4CA9" w14:textId="60FB0C26">
      <w:pPr>
        <w:spacing w:line="360" w:lineRule="auto"/>
        <w:ind w:firstLine="720"/>
        <w:rPr>
          <w:rFonts w:ascii="Book Antiqua" w:hAnsi="Book Antiqua"/>
        </w:rPr>
      </w:pPr>
      <w:r w:rsidRPr="00A561F7">
        <w:rPr>
          <w:rFonts w:ascii="Book Antiqua" w:hAnsi="Book Antiqua"/>
        </w:rPr>
        <w:t xml:space="preserve">This decision extends the statutory deadline in this proceeding to </w:t>
      </w:r>
      <w:r w:rsidR="0055350B">
        <w:rPr>
          <w:rFonts w:ascii="Book Antiqua" w:hAnsi="Book Antiqua"/>
        </w:rPr>
        <w:t>December 31, 202</w:t>
      </w:r>
      <w:r w:rsidR="00BA664B">
        <w:rPr>
          <w:rFonts w:ascii="Book Antiqua" w:hAnsi="Book Antiqua"/>
        </w:rPr>
        <w:t>1</w:t>
      </w:r>
      <w:r w:rsidRPr="00A561F7" w:rsidR="003A3FFB">
        <w:rPr>
          <w:rFonts w:ascii="Book Antiqua" w:hAnsi="Book Antiqua"/>
        </w:rPr>
        <w:t>.</w:t>
      </w:r>
    </w:p>
    <w:p w:rsidRPr="009B2873" w:rsidR="003A3FFB" w:rsidP="001645D3" w:rsidRDefault="003A3FFB" w14:paraId="66DBCB08" w14:textId="77777777">
      <w:pPr>
        <w:pStyle w:val="ALJHeading1"/>
      </w:pPr>
      <w:r w:rsidRPr="009B2873">
        <w:t>Background</w:t>
      </w:r>
      <w:bookmarkEnd w:id="2"/>
    </w:p>
    <w:p w:rsidRPr="001645D3" w:rsidR="00F455E8" w:rsidP="00F455E8" w:rsidRDefault="00F455E8" w14:paraId="63EEC4B7" w14:textId="13FF9354">
      <w:pPr>
        <w:pStyle w:val="standard"/>
        <w:rPr>
          <w:rFonts w:ascii="Book Antiqua" w:hAnsi="Book Antiqua"/>
        </w:rPr>
      </w:pPr>
      <w:r w:rsidRPr="001645D3">
        <w:rPr>
          <w:rFonts w:ascii="Book Antiqua" w:hAnsi="Book Antiqua"/>
        </w:rPr>
        <w:t xml:space="preserve">On November 4, 2019, the </w:t>
      </w:r>
      <w:r w:rsidRPr="001645D3" w:rsidR="0049361D">
        <w:rPr>
          <w:rFonts w:ascii="Book Antiqua" w:hAnsi="Book Antiqua"/>
        </w:rPr>
        <w:t xml:space="preserve">four major California Investor Owned Utilities (IOUs): Pacific Gas and Electric Company (PG&amp;E), Southern California Edison Company (SCE), San Diego Gas &amp; Electric Company (SDG&amp;E), and Southern California Gas Company (SoCalGas), </w:t>
      </w:r>
      <w:r w:rsidRPr="001645D3">
        <w:rPr>
          <w:rFonts w:ascii="Book Antiqua" w:hAnsi="Book Antiqua"/>
        </w:rPr>
        <w:t>and M</w:t>
      </w:r>
      <w:r w:rsidRPr="001645D3" w:rsidR="00DE3E91">
        <w:rPr>
          <w:rFonts w:ascii="Book Antiqua" w:hAnsi="Book Antiqua"/>
        </w:rPr>
        <w:t xml:space="preserve">arin </w:t>
      </w:r>
      <w:r w:rsidRPr="001645D3">
        <w:rPr>
          <w:rFonts w:ascii="Book Antiqua" w:hAnsi="Book Antiqua"/>
        </w:rPr>
        <w:t>C</w:t>
      </w:r>
      <w:r w:rsidRPr="001645D3" w:rsidR="00DE3E91">
        <w:rPr>
          <w:rFonts w:ascii="Book Antiqua" w:hAnsi="Book Antiqua"/>
        </w:rPr>
        <w:t xml:space="preserve">lean </w:t>
      </w:r>
      <w:r w:rsidRPr="001645D3">
        <w:rPr>
          <w:rFonts w:ascii="Book Antiqua" w:hAnsi="Book Antiqua"/>
        </w:rPr>
        <w:t>E</w:t>
      </w:r>
      <w:r w:rsidRPr="001645D3" w:rsidR="00DE3E91">
        <w:rPr>
          <w:rFonts w:ascii="Book Antiqua" w:hAnsi="Book Antiqua"/>
        </w:rPr>
        <w:t>nergy (MCE)</w:t>
      </w:r>
      <w:r w:rsidRPr="001645D3">
        <w:rPr>
          <w:rFonts w:ascii="Book Antiqua" w:hAnsi="Book Antiqua"/>
        </w:rPr>
        <w:t xml:space="preserve"> filed applications for the approval of the </w:t>
      </w:r>
      <w:r w:rsidRPr="001645D3" w:rsidR="003E0DF1">
        <w:rPr>
          <w:rFonts w:ascii="Book Antiqua" w:hAnsi="Book Antiqua"/>
        </w:rPr>
        <w:t xml:space="preserve">California Alternate Rates for Energy (CARE), the Family Electric Rate Assistance (FERA) and the Energy Savings Assistance (ESA) programs </w:t>
      </w:r>
      <w:r w:rsidRPr="001645D3">
        <w:rPr>
          <w:rFonts w:ascii="Book Antiqua" w:hAnsi="Book Antiqua"/>
        </w:rPr>
        <w:t>and budgets for program years 2021</w:t>
      </w:r>
      <w:r w:rsidRPr="001645D3">
        <w:rPr>
          <w:rFonts w:ascii="Book Antiqua" w:hAnsi="Book Antiqua"/>
        </w:rPr>
        <w:noBreakHyphen/>
        <w:t xml:space="preserve">2026.  These applications reflected proposals for new program budgets, delivery models, </w:t>
      </w:r>
      <w:r w:rsidRPr="001645D3">
        <w:rPr>
          <w:rFonts w:ascii="Book Antiqua" w:hAnsi="Book Antiqua"/>
        </w:rPr>
        <w:lastRenderedPageBreak/>
        <w:t xml:space="preserve">targets and goals, measures offerings, and marketing, </w:t>
      </w:r>
      <w:r w:rsidRPr="001645D3" w:rsidR="006A0A13">
        <w:rPr>
          <w:rFonts w:ascii="Book Antiqua" w:hAnsi="Book Antiqua"/>
        </w:rPr>
        <w:t>outreach,</w:t>
      </w:r>
      <w:r w:rsidRPr="001645D3">
        <w:rPr>
          <w:rFonts w:ascii="Book Antiqua" w:hAnsi="Book Antiqua"/>
        </w:rPr>
        <w:t xml:space="preserve"> and enrollment practices, among other program and policy changes.  The IOUs filed these applications in compliance with </w:t>
      </w:r>
      <w:r w:rsidR="00E7156B">
        <w:rPr>
          <w:rFonts w:ascii="Book Antiqua" w:hAnsi="Book Antiqua"/>
        </w:rPr>
        <w:t>Decision (</w:t>
      </w:r>
      <w:r w:rsidRPr="001645D3">
        <w:rPr>
          <w:rFonts w:ascii="Book Antiqua" w:hAnsi="Book Antiqua"/>
        </w:rPr>
        <w:t>D.</w:t>
      </w:r>
      <w:r w:rsidR="00E7156B">
        <w:rPr>
          <w:rFonts w:ascii="Book Antiqua" w:hAnsi="Book Antiqua"/>
        </w:rPr>
        <w:t xml:space="preserve">) </w:t>
      </w:r>
      <w:r w:rsidRPr="001645D3">
        <w:rPr>
          <w:rFonts w:ascii="Book Antiqua" w:hAnsi="Book Antiqua"/>
        </w:rPr>
        <w:t>19</w:t>
      </w:r>
      <w:r w:rsidRPr="001645D3">
        <w:rPr>
          <w:rFonts w:ascii="Book Antiqua" w:hAnsi="Book Antiqua"/>
        </w:rPr>
        <w:noBreakHyphen/>
        <w:t>06</w:t>
      </w:r>
      <w:r w:rsidRPr="001645D3">
        <w:rPr>
          <w:rFonts w:ascii="Book Antiqua" w:hAnsi="Book Antiqua"/>
        </w:rPr>
        <w:noBreakHyphen/>
        <w:t>022 which directed the IOUs to submit applications and budgets for the ESA, CARE, and FERA programs covering the 2021</w:t>
      </w:r>
      <w:r w:rsidRPr="001645D3">
        <w:rPr>
          <w:rFonts w:ascii="Book Antiqua" w:hAnsi="Book Antiqua"/>
        </w:rPr>
        <w:noBreakHyphen/>
        <w:t>2026 program period by November 4, 2019.</w:t>
      </w:r>
      <w:r w:rsidRPr="001645D3">
        <w:rPr>
          <w:rStyle w:val="FootnoteReference"/>
          <w:rFonts w:ascii="Book Antiqua" w:hAnsi="Book Antiqua"/>
        </w:rPr>
        <w:footnoteReference w:id="2"/>
      </w:r>
      <w:r w:rsidRPr="001645D3">
        <w:rPr>
          <w:rFonts w:ascii="Book Antiqua" w:hAnsi="Book Antiqua"/>
        </w:rPr>
        <w:t xml:space="preserve">  MCE filed its application in compliance with D.16-11-022 which approved MCE’s multifamily (LIFT) pilot and directed MCE to “use the application process if it elects to extend the LIFT pilot on a more permanent basis."</w:t>
      </w:r>
      <w:r w:rsidRPr="001645D3">
        <w:rPr>
          <w:rStyle w:val="FootnoteReference"/>
          <w:rFonts w:ascii="Book Antiqua" w:hAnsi="Book Antiqua"/>
        </w:rPr>
        <w:footnoteReference w:id="3"/>
      </w:r>
      <w:r w:rsidRPr="001645D3">
        <w:rPr>
          <w:rFonts w:ascii="Book Antiqua" w:hAnsi="Book Antiqua"/>
        </w:rPr>
        <w:t xml:space="preserve">  </w:t>
      </w:r>
    </w:p>
    <w:p w:rsidRPr="001645D3" w:rsidR="00F455E8" w:rsidP="00F455E8" w:rsidRDefault="00F455E8" w14:paraId="3513DF0B" w14:textId="5CA3CF0B">
      <w:pPr>
        <w:pStyle w:val="standard"/>
        <w:rPr>
          <w:rFonts w:ascii="Book Antiqua" w:hAnsi="Book Antiqua" w:cs="Palatino"/>
        </w:rPr>
      </w:pPr>
      <w:r w:rsidRPr="001645D3">
        <w:rPr>
          <w:rFonts w:ascii="Book Antiqua" w:hAnsi="Book Antiqua"/>
        </w:rPr>
        <w:t>On January 17, 2020,</w:t>
      </w:r>
      <w:r w:rsidR="00AE3342">
        <w:rPr>
          <w:rFonts w:ascii="Book Antiqua" w:hAnsi="Book Antiqua"/>
          <w:szCs w:val="26"/>
        </w:rPr>
        <w:t xml:space="preserve"> a prehearing conference (PHC) </w:t>
      </w:r>
      <w:r w:rsidRPr="001645D3">
        <w:rPr>
          <w:rFonts w:ascii="Book Antiqua" w:hAnsi="Book Antiqua"/>
        </w:rPr>
        <w:t>was held to discuss the issues of law and fact and to determine the need for hearings and schedule for the proceeding</w:t>
      </w:r>
      <w:r w:rsidRPr="001645D3" w:rsidR="00AE3342">
        <w:rPr>
          <w:rFonts w:ascii="Book Antiqua" w:hAnsi="Book Antiqua"/>
        </w:rPr>
        <w:t>, and o</w:t>
      </w:r>
      <w:r w:rsidRPr="001645D3">
        <w:rPr>
          <w:rFonts w:ascii="Book Antiqua" w:hAnsi="Book Antiqua"/>
        </w:rPr>
        <w:t xml:space="preserve">n February 18, 2020, a scoping memo and ruling was issued </w:t>
      </w:r>
      <w:r w:rsidR="00A93DC3">
        <w:rPr>
          <w:rFonts w:ascii="Book Antiqua" w:hAnsi="Book Antiqua"/>
          <w:szCs w:val="26"/>
        </w:rPr>
        <w:t>formally categorizing this proceeding as ratesetting and s</w:t>
      </w:r>
      <w:r w:rsidRPr="001645D3">
        <w:rPr>
          <w:rFonts w:ascii="Book Antiqua" w:hAnsi="Book Antiqua" w:cs="Palatino"/>
        </w:rPr>
        <w:t>etting forth the proceeding scope and schedule.</w:t>
      </w:r>
      <w:r w:rsidRPr="001645D3">
        <w:rPr>
          <w:rStyle w:val="FootnoteReference"/>
          <w:rFonts w:ascii="Book Antiqua" w:hAnsi="Book Antiqua" w:cs="Palatino"/>
        </w:rPr>
        <w:footnoteReference w:id="4"/>
      </w:r>
      <w:r w:rsidRPr="001645D3">
        <w:rPr>
          <w:rFonts w:ascii="Book Antiqua" w:hAnsi="Book Antiqua" w:cs="Palatino"/>
        </w:rPr>
        <w:t xml:space="preserve">  </w:t>
      </w:r>
    </w:p>
    <w:p w:rsidRPr="001645D3" w:rsidR="00F455E8" w:rsidP="006C36A2" w:rsidRDefault="00CB0E5E" w14:paraId="0DDBAECE" w14:textId="23B95570">
      <w:pPr>
        <w:pStyle w:val="standard"/>
        <w:rPr>
          <w:rFonts w:ascii="Book Antiqua" w:hAnsi="Book Antiqua" w:cs="Palatino"/>
        </w:rPr>
      </w:pPr>
      <w:r w:rsidRPr="001645D3">
        <w:rPr>
          <w:rFonts w:ascii="Book Antiqua" w:hAnsi="Book Antiqua" w:cs="Palatino"/>
        </w:rPr>
        <w:t xml:space="preserve">Between </w:t>
      </w:r>
      <w:r w:rsidRPr="001645D3" w:rsidR="00F455E8">
        <w:rPr>
          <w:rFonts w:ascii="Book Antiqua" w:hAnsi="Book Antiqua" w:cs="Palatino"/>
        </w:rPr>
        <w:t>March</w:t>
      </w:r>
      <w:r w:rsidRPr="001645D3">
        <w:rPr>
          <w:rFonts w:ascii="Book Antiqua" w:hAnsi="Book Antiqua" w:cs="Palatino"/>
        </w:rPr>
        <w:t xml:space="preserve"> and </w:t>
      </w:r>
      <w:r w:rsidRPr="001645D3" w:rsidR="006C36A2">
        <w:rPr>
          <w:rFonts w:ascii="Book Antiqua" w:hAnsi="Book Antiqua" w:cs="Palatino"/>
        </w:rPr>
        <w:t>August</w:t>
      </w:r>
      <w:r w:rsidRPr="001645D3">
        <w:rPr>
          <w:rFonts w:ascii="Book Antiqua" w:hAnsi="Book Antiqua" w:cs="Palatino"/>
        </w:rPr>
        <w:t xml:space="preserve"> of </w:t>
      </w:r>
      <w:r w:rsidRPr="001645D3" w:rsidR="00F455E8">
        <w:rPr>
          <w:rFonts w:ascii="Book Antiqua" w:hAnsi="Book Antiqua" w:cs="Palatino"/>
        </w:rPr>
        <w:t xml:space="preserve">2020, </w:t>
      </w:r>
      <w:r w:rsidRPr="001645D3" w:rsidR="00B8471D">
        <w:rPr>
          <w:rFonts w:ascii="Book Antiqua" w:hAnsi="Book Antiqua" w:cs="Palatino"/>
        </w:rPr>
        <w:t xml:space="preserve">Staff of the Commission’s </w:t>
      </w:r>
      <w:r w:rsidRPr="001645D3" w:rsidR="00F455E8">
        <w:rPr>
          <w:rFonts w:ascii="Book Antiqua" w:hAnsi="Book Antiqua" w:cs="Palatino"/>
        </w:rPr>
        <w:t xml:space="preserve">Energy Division held a series of webinars and workshops </w:t>
      </w:r>
      <w:r w:rsidRPr="001645D3" w:rsidR="006C36A2">
        <w:rPr>
          <w:rFonts w:ascii="Book Antiqua" w:hAnsi="Book Antiqua" w:cs="Palatino"/>
        </w:rPr>
        <w:t xml:space="preserve">relating to </w:t>
      </w:r>
      <w:r w:rsidRPr="001645D3" w:rsidR="00F455E8">
        <w:rPr>
          <w:rFonts w:ascii="Book Antiqua" w:hAnsi="Book Antiqua" w:cs="Palatino"/>
        </w:rPr>
        <w:t xml:space="preserve">specific elements of the IOUs and MCE </w:t>
      </w:r>
      <w:r w:rsidRPr="001645D3" w:rsidR="006C36A2">
        <w:rPr>
          <w:rFonts w:ascii="Book Antiqua" w:hAnsi="Book Antiqua" w:cs="Palatino"/>
        </w:rPr>
        <w:t>applications.</w:t>
      </w:r>
      <w:r w:rsidRPr="001645D3" w:rsidR="00B8471D">
        <w:rPr>
          <w:rFonts w:ascii="Book Antiqua" w:hAnsi="Book Antiqua" w:cs="Palatino"/>
        </w:rPr>
        <w:t xml:space="preserve">  In addition, the Assigned Administrative Law Judge (ALJ) issued a series of rulings with questions for parties to address.   </w:t>
      </w:r>
      <w:r w:rsidRPr="001645D3" w:rsidR="006C36A2">
        <w:rPr>
          <w:rFonts w:ascii="Book Antiqua" w:hAnsi="Book Antiqua" w:cs="Palatino"/>
        </w:rPr>
        <w:t xml:space="preserve">On </w:t>
      </w:r>
      <w:r w:rsidRPr="001645D3" w:rsidR="00F455E8">
        <w:rPr>
          <w:rFonts w:ascii="Book Antiqua" w:hAnsi="Book Antiqua" w:cs="Palatino"/>
        </w:rPr>
        <w:t xml:space="preserve">October 15, 2020, </w:t>
      </w:r>
      <w:r w:rsidRPr="001645D3" w:rsidR="00C42108">
        <w:rPr>
          <w:rFonts w:ascii="Book Antiqua" w:hAnsi="Book Antiqua" w:cs="Palatino"/>
        </w:rPr>
        <w:t xml:space="preserve">the </w:t>
      </w:r>
      <w:r w:rsidRPr="001645D3" w:rsidR="00B8471D">
        <w:rPr>
          <w:rFonts w:ascii="Book Antiqua" w:hAnsi="Book Antiqua" w:cs="Palatino"/>
        </w:rPr>
        <w:t xml:space="preserve">assigned </w:t>
      </w:r>
      <w:r w:rsidRPr="001645D3" w:rsidR="00C42108">
        <w:rPr>
          <w:rFonts w:ascii="Book Antiqua" w:hAnsi="Book Antiqua" w:cs="Palatino"/>
        </w:rPr>
        <w:t xml:space="preserve">ALJ determined that </w:t>
      </w:r>
      <w:r w:rsidRPr="001645D3" w:rsidR="00F455E8">
        <w:rPr>
          <w:rFonts w:ascii="Book Antiqua" w:hAnsi="Book Antiqua" w:cs="Palatino"/>
        </w:rPr>
        <w:t xml:space="preserve">evidentiary hearings </w:t>
      </w:r>
      <w:r w:rsidRPr="001645D3" w:rsidR="00C42108">
        <w:rPr>
          <w:rFonts w:ascii="Book Antiqua" w:hAnsi="Book Antiqua" w:cs="Palatino"/>
        </w:rPr>
        <w:t>were not necessary</w:t>
      </w:r>
      <w:r w:rsidRPr="001645D3" w:rsidR="00142D0D">
        <w:rPr>
          <w:rFonts w:ascii="Book Antiqua" w:hAnsi="Book Antiqua" w:cs="Palatino"/>
        </w:rPr>
        <w:t xml:space="preserve"> in this proceeding</w:t>
      </w:r>
      <w:r w:rsidRPr="001645D3" w:rsidR="00F455E8">
        <w:rPr>
          <w:rFonts w:ascii="Book Antiqua" w:hAnsi="Book Antiqua" w:cs="Palatino"/>
        </w:rPr>
        <w:t>.</w:t>
      </w:r>
      <w:r w:rsidRPr="001645D3" w:rsidR="00F455E8">
        <w:rPr>
          <w:rStyle w:val="FootnoteReference"/>
          <w:rFonts w:ascii="Book Antiqua" w:hAnsi="Book Antiqua" w:cs="Palatino"/>
        </w:rPr>
        <w:footnoteReference w:id="5"/>
      </w:r>
    </w:p>
    <w:p w:rsidRPr="00461787" w:rsidR="00461787" w:rsidP="006C05C3" w:rsidRDefault="00461787" w14:paraId="0AF2F332" w14:textId="3184CC89">
      <w:pPr>
        <w:pStyle w:val="ALJHeading1"/>
      </w:pPr>
      <w:r w:rsidRPr="00461787">
        <w:lastRenderedPageBreak/>
        <w:t xml:space="preserve">Need for Extension of Time </w:t>
      </w:r>
    </w:p>
    <w:p w:rsidRPr="00E66810" w:rsidR="00461787" w:rsidP="00461787" w:rsidRDefault="00461787" w14:paraId="72623676" w14:textId="205B55DF">
      <w:pPr>
        <w:pStyle w:val="standard"/>
        <w:rPr>
          <w:rFonts w:ascii="Book Antiqua" w:hAnsi="Book Antiqua" w:eastAsia="Calibri"/>
        </w:rPr>
      </w:pPr>
      <w:r w:rsidRPr="00E66810">
        <w:rPr>
          <w:rFonts w:ascii="Book Antiqua" w:hAnsi="Book Antiqua" w:cs="Arial"/>
        </w:rPr>
        <w:t>P</w:t>
      </w:r>
      <w:r w:rsidRPr="00E66810">
        <w:rPr>
          <w:rFonts w:ascii="Book Antiqua" w:hAnsi="Book Antiqua"/>
        </w:rPr>
        <w:t>ublic Utilities Code</w:t>
      </w:r>
      <w:r w:rsidRPr="00E66810">
        <w:rPr>
          <w:rStyle w:val="FootnoteReference"/>
          <w:rFonts w:ascii="Book Antiqua" w:hAnsi="Book Antiqua"/>
        </w:rPr>
        <w:footnoteReference w:id="6"/>
      </w:r>
      <w:r w:rsidRPr="00E66810">
        <w:rPr>
          <w:rFonts w:ascii="Book Antiqua" w:hAnsi="Book Antiqua"/>
        </w:rPr>
        <w:t xml:space="preserve"> Section 1701.5(a) provides that ratesetting cases shall be resolved within 18 months of the date that they are initiated unless the California Public Utilities Commission makes findings as to why that deadline cannot be met and issues an order extending that deadline.  This matter has been categorized as ratesetting, and the deadline for resolving this proceeding is </w:t>
      </w:r>
      <w:r w:rsidR="006C05C3">
        <w:rPr>
          <w:rFonts w:ascii="Book Antiqua" w:hAnsi="Book Antiqua"/>
        </w:rPr>
        <w:br/>
      </w:r>
      <w:r w:rsidR="000C1818">
        <w:rPr>
          <w:rFonts w:ascii="Book Antiqua" w:hAnsi="Book Antiqua"/>
        </w:rPr>
        <w:t xml:space="preserve">May </w:t>
      </w:r>
      <w:r w:rsidR="00552DDD">
        <w:rPr>
          <w:rFonts w:ascii="Book Antiqua" w:hAnsi="Book Antiqua"/>
        </w:rPr>
        <w:t>4</w:t>
      </w:r>
      <w:r w:rsidR="000C1818">
        <w:rPr>
          <w:rFonts w:ascii="Book Antiqua" w:hAnsi="Book Antiqua"/>
        </w:rPr>
        <w:t>, 2021</w:t>
      </w:r>
      <w:r w:rsidRPr="00E66810">
        <w:rPr>
          <w:rFonts w:ascii="Book Antiqua" w:hAnsi="Book Antiqua"/>
        </w:rPr>
        <w:t>.</w:t>
      </w:r>
    </w:p>
    <w:p w:rsidR="00B84B97" w:rsidP="00ED68F7" w:rsidRDefault="004842E8" w14:paraId="78AB81C7" w14:textId="77E9804B">
      <w:pPr>
        <w:pStyle w:val="standard"/>
        <w:ind w:firstLine="450"/>
        <w:rPr>
          <w:rFonts w:ascii="Book Antiqua" w:hAnsi="Book Antiqua"/>
        </w:rPr>
      </w:pPr>
      <w:r>
        <w:rPr>
          <w:rFonts w:ascii="Book Antiqua" w:hAnsi="Book Antiqua"/>
        </w:rPr>
        <w:t>The</w:t>
      </w:r>
      <w:r w:rsidRPr="00E66810" w:rsidR="00461787">
        <w:rPr>
          <w:rFonts w:ascii="Book Antiqua" w:hAnsi="Book Antiqua"/>
        </w:rPr>
        <w:t xml:space="preserve"> </w:t>
      </w:r>
      <w:r w:rsidR="00C74F7D">
        <w:rPr>
          <w:rFonts w:ascii="Book Antiqua" w:hAnsi="Book Antiqua"/>
        </w:rPr>
        <w:t xml:space="preserve">IOU and MCE </w:t>
      </w:r>
      <w:r>
        <w:rPr>
          <w:rFonts w:ascii="Book Antiqua" w:hAnsi="Book Antiqua"/>
        </w:rPr>
        <w:t xml:space="preserve">applications </w:t>
      </w:r>
      <w:r w:rsidR="00685B50">
        <w:rPr>
          <w:rFonts w:ascii="Book Antiqua" w:hAnsi="Book Antiqua"/>
        </w:rPr>
        <w:t xml:space="preserve">introduce new </w:t>
      </w:r>
      <w:r w:rsidR="002C4972">
        <w:rPr>
          <w:rFonts w:ascii="Book Antiqua" w:hAnsi="Book Antiqua"/>
        </w:rPr>
        <w:t xml:space="preserve">concepts and </w:t>
      </w:r>
      <w:r>
        <w:rPr>
          <w:rFonts w:ascii="Book Antiqua" w:hAnsi="Book Antiqua"/>
        </w:rPr>
        <w:t xml:space="preserve">significant </w:t>
      </w:r>
      <w:r w:rsidR="009A5093">
        <w:rPr>
          <w:rFonts w:ascii="Book Antiqua" w:hAnsi="Book Antiqua"/>
        </w:rPr>
        <w:t>changes to the programs</w:t>
      </w:r>
      <w:r w:rsidR="002C4972">
        <w:rPr>
          <w:rFonts w:ascii="Book Antiqua" w:hAnsi="Book Antiqua"/>
        </w:rPr>
        <w:t xml:space="preserve"> that require further development</w:t>
      </w:r>
      <w:r w:rsidR="00D72A02">
        <w:rPr>
          <w:rFonts w:ascii="Book Antiqua" w:hAnsi="Book Antiqua"/>
        </w:rPr>
        <w:t xml:space="preserve"> and review</w:t>
      </w:r>
      <w:r w:rsidR="002C4972">
        <w:rPr>
          <w:rFonts w:ascii="Book Antiqua" w:hAnsi="Book Antiqua"/>
        </w:rPr>
        <w:t xml:space="preserve">.  These include </w:t>
      </w:r>
      <w:r w:rsidR="00E92211">
        <w:rPr>
          <w:rFonts w:ascii="Book Antiqua" w:hAnsi="Book Antiqua"/>
        </w:rPr>
        <w:t xml:space="preserve">a </w:t>
      </w:r>
      <w:r w:rsidR="009A5093">
        <w:rPr>
          <w:rFonts w:ascii="Book Antiqua" w:hAnsi="Book Antiqua"/>
        </w:rPr>
        <w:t xml:space="preserve">proposal for a six year cycle (previous program cycles </w:t>
      </w:r>
      <w:r w:rsidR="008C4EA2">
        <w:rPr>
          <w:rFonts w:ascii="Book Antiqua" w:hAnsi="Book Antiqua"/>
        </w:rPr>
        <w:t>were</w:t>
      </w:r>
      <w:r w:rsidR="009A5093">
        <w:rPr>
          <w:rFonts w:ascii="Book Antiqua" w:hAnsi="Book Antiqua"/>
        </w:rPr>
        <w:t xml:space="preserve"> three years)</w:t>
      </w:r>
      <w:r w:rsidR="008C4EA2">
        <w:rPr>
          <w:rFonts w:ascii="Book Antiqua" w:hAnsi="Book Antiqua"/>
        </w:rPr>
        <w:t>,</w:t>
      </w:r>
      <w:r w:rsidR="00B84B97">
        <w:rPr>
          <w:rFonts w:ascii="Book Antiqua" w:hAnsi="Book Antiqua"/>
        </w:rPr>
        <w:t xml:space="preserve"> the </w:t>
      </w:r>
      <w:r w:rsidR="00F701E2">
        <w:rPr>
          <w:rFonts w:ascii="Book Antiqua" w:hAnsi="Book Antiqua"/>
        </w:rPr>
        <w:t xml:space="preserve">inclusion of </w:t>
      </w:r>
      <w:r w:rsidR="002C4972">
        <w:rPr>
          <w:rFonts w:ascii="Book Antiqua" w:hAnsi="Book Antiqua"/>
        </w:rPr>
        <w:t xml:space="preserve">the </w:t>
      </w:r>
      <w:r w:rsidR="00B84B97">
        <w:rPr>
          <w:rFonts w:ascii="Book Antiqua" w:hAnsi="Book Antiqua"/>
        </w:rPr>
        <w:t>FERA</w:t>
      </w:r>
      <w:r w:rsidR="00EE5835">
        <w:rPr>
          <w:rFonts w:ascii="Book Antiqua" w:hAnsi="Book Antiqua"/>
        </w:rPr>
        <w:t xml:space="preserve"> </w:t>
      </w:r>
      <w:r w:rsidR="002C4972">
        <w:rPr>
          <w:rFonts w:ascii="Book Antiqua" w:hAnsi="Book Antiqua"/>
        </w:rPr>
        <w:t>program within the proceeding</w:t>
      </w:r>
      <w:r w:rsidR="00F701E2">
        <w:rPr>
          <w:rFonts w:ascii="Book Antiqua" w:hAnsi="Book Antiqua"/>
        </w:rPr>
        <w:t xml:space="preserve">, </w:t>
      </w:r>
      <w:r w:rsidR="00ED68F7">
        <w:rPr>
          <w:rFonts w:ascii="Book Antiqua" w:hAnsi="Book Antiqua"/>
        </w:rPr>
        <w:t xml:space="preserve">a complete </w:t>
      </w:r>
      <w:r w:rsidR="00D72A02">
        <w:rPr>
          <w:rFonts w:ascii="Book Antiqua" w:hAnsi="Book Antiqua"/>
        </w:rPr>
        <w:t>redesign o</w:t>
      </w:r>
      <w:r w:rsidR="00ED68F7">
        <w:rPr>
          <w:rFonts w:ascii="Book Antiqua" w:hAnsi="Book Antiqua"/>
        </w:rPr>
        <w:t>f the ESA program</w:t>
      </w:r>
      <w:r w:rsidR="005520E3">
        <w:rPr>
          <w:rFonts w:ascii="Book Antiqua" w:hAnsi="Book Antiqua"/>
        </w:rPr>
        <w:t xml:space="preserve">, </w:t>
      </w:r>
      <w:r w:rsidR="004E7416">
        <w:rPr>
          <w:rFonts w:ascii="Book Antiqua" w:hAnsi="Book Antiqua"/>
        </w:rPr>
        <w:t xml:space="preserve">a new multifamily whole building program, an incorporation of </w:t>
      </w:r>
      <w:r w:rsidRPr="00A160AE" w:rsidR="004E7416">
        <w:rPr>
          <w:rFonts w:ascii="Book Antiqua" w:hAnsi="Book Antiqua"/>
        </w:rPr>
        <w:t xml:space="preserve">environmental and social justice goals, </w:t>
      </w:r>
      <w:r w:rsidR="004E7416">
        <w:rPr>
          <w:rFonts w:ascii="Book Antiqua" w:hAnsi="Book Antiqua"/>
        </w:rPr>
        <w:t xml:space="preserve">a workforce training program focusing on disadvantaged </w:t>
      </w:r>
      <w:r w:rsidR="0008366A">
        <w:rPr>
          <w:rFonts w:ascii="Book Antiqua" w:hAnsi="Book Antiqua"/>
        </w:rPr>
        <w:t>communities</w:t>
      </w:r>
      <w:r w:rsidR="008A61FC">
        <w:rPr>
          <w:rFonts w:ascii="Book Antiqua" w:hAnsi="Book Antiqua"/>
        </w:rPr>
        <w:t>, as well as significant changes to the program budgets, goals and metrics</w:t>
      </w:r>
      <w:r w:rsidR="004E7416">
        <w:rPr>
          <w:rFonts w:ascii="Book Antiqua" w:hAnsi="Book Antiqua"/>
        </w:rPr>
        <w:t>.</w:t>
      </w:r>
      <w:r w:rsidRPr="004E7416" w:rsidR="004E7416">
        <w:rPr>
          <w:rFonts w:ascii="Book Antiqua" w:hAnsi="Book Antiqua"/>
        </w:rPr>
        <w:t xml:space="preserve"> </w:t>
      </w:r>
      <w:r w:rsidR="004357FC">
        <w:rPr>
          <w:rFonts w:ascii="Book Antiqua" w:hAnsi="Book Antiqua"/>
        </w:rPr>
        <w:t xml:space="preserve"> </w:t>
      </w:r>
      <w:r w:rsidR="003109DB">
        <w:rPr>
          <w:rFonts w:ascii="Book Antiqua" w:hAnsi="Book Antiqua"/>
        </w:rPr>
        <w:t>The cu</w:t>
      </w:r>
      <w:r w:rsidR="00ED68F7">
        <w:rPr>
          <w:rFonts w:ascii="Book Antiqua" w:hAnsi="Book Antiqua"/>
        </w:rPr>
        <w:t xml:space="preserve">rrent </w:t>
      </w:r>
      <w:r w:rsidRPr="00A160AE" w:rsidR="00A160AE">
        <w:rPr>
          <w:rFonts w:ascii="Book Antiqua" w:hAnsi="Book Antiqua"/>
        </w:rPr>
        <w:t>environmental, financial and policy landscape</w:t>
      </w:r>
      <w:r w:rsidR="004A288D">
        <w:rPr>
          <w:rFonts w:ascii="Book Antiqua" w:hAnsi="Book Antiqua"/>
        </w:rPr>
        <w:t xml:space="preserve"> </w:t>
      </w:r>
      <w:r w:rsidR="008A61FC">
        <w:rPr>
          <w:rFonts w:ascii="Book Antiqua" w:hAnsi="Book Antiqua"/>
        </w:rPr>
        <w:t xml:space="preserve">as </w:t>
      </w:r>
      <w:r w:rsidR="007B72C7">
        <w:rPr>
          <w:rFonts w:ascii="Book Antiqua" w:hAnsi="Book Antiqua"/>
        </w:rPr>
        <w:t>implicated by the COVID-19 pandemic has also affected the Commission’s workload</w:t>
      </w:r>
      <w:bookmarkStart w:name="_Hlk51319743" w:id="4"/>
      <w:r w:rsidR="008A61FC">
        <w:rPr>
          <w:rFonts w:ascii="Book Antiqua" w:hAnsi="Book Antiqua"/>
        </w:rPr>
        <w:t xml:space="preserve">. While we do not anticipate requiring until December 31, 2021 for final disposition of this </w:t>
      </w:r>
      <w:r w:rsidR="00956E2F">
        <w:rPr>
          <w:rFonts w:ascii="Book Antiqua" w:hAnsi="Book Antiqua"/>
        </w:rPr>
        <w:t xml:space="preserve">consolidated </w:t>
      </w:r>
      <w:r w:rsidR="008A61FC">
        <w:rPr>
          <w:rFonts w:ascii="Book Antiqua" w:hAnsi="Book Antiqua"/>
        </w:rPr>
        <w:t xml:space="preserve">proceeding, the additional time ensures the proposed decision gets placement on an upcoming agenda for final disposition by the Commission.  Moreover, the </w:t>
      </w:r>
      <w:r w:rsidR="00F00755">
        <w:rPr>
          <w:rFonts w:ascii="Book Antiqua" w:hAnsi="Book Antiqua"/>
        </w:rPr>
        <w:br/>
      </w:r>
      <w:r w:rsidR="008A61FC">
        <w:rPr>
          <w:rFonts w:ascii="Book Antiqua" w:hAnsi="Book Antiqua"/>
        </w:rPr>
        <w:t>December 31, 2021 deadline should avoid need for any further potential extensions of time</w:t>
      </w:r>
      <w:r w:rsidR="00700938">
        <w:rPr>
          <w:rFonts w:ascii="Book Antiqua" w:hAnsi="Book Antiqua"/>
        </w:rPr>
        <w:t>.</w:t>
      </w:r>
    </w:p>
    <w:bookmarkEnd w:id="4"/>
    <w:p w:rsidRPr="004B222F" w:rsidR="00461787" w:rsidP="00C66EC4" w:rsidRDefault="00461787" w14:paraId="5FB37B53" w14:textId="77777777">
      <w:pPr>
        <w:pStyle w:val="ALJHeading1"/>
      </w:pPr>
      <w:r w:rsidRPr="004B222F">
        <w:lastRenderedPageBreak/>
        <w:t>Waiver of Comment Period</w:t>
      </w:r>
    </w:p>
    <w:p w:rsidRPr="00E66810" w:rsidR="00461787" w:rsidP="00461787" w:rsidRDefault="00461787" w14:paraId="038F1219" w14:textId="609D93DD">
      <w:pPr>
        <w:pStyle w:val="standard"/>
        <w:rPr>
          <w:rFonts w:ascii="Book Antiqua" w:hAnsi="Book Antiqua" w:cs="Arial"/>
        </w:rPr>
      </w:pPr>
      <w:r w:rsidRPr="00E66810">
        <w:rPr>
          <w:rFonts w:ascii="Book Antiqua" w:hAnsi="Book Antiqua"/>
        </w:rPr>
        <w:t>Under Rule 14.6(c)(4) of the Commission’s Rules of Practice and Procedure, the Commission may reduce or waive the period for public review and comment on proposed decisions extending the deadline for resolving ratesetting proceedings.  Accordingly, pursuant to this rule, the otherwise applicable period for public review and comment is waived</w:t>
      </w:r>
      <w:r w:rsidRPr="00E66810">
        <w:rPr>
          <w:rFonts w:ascii="Book Antiqua" w:hAnsi="Book Antiqua" w:cs="Arial"/>
        </w:rPr>
        <w:t>.</w:t>
      </w:r>
    </w:p>
    <w:p w:rsidRPr="009B2873" w:rsidR="0089195D" w:rsidP="00C66EC4" w:rsidRDefault="0089195D" w14:paraId="51F15AFB" w14:textId="77777777">
      <w:pPr>
        <w:pStyle w:val="ALJHeading1"/>
      </w:pPr>
      <w:r w:rsidRPr="009B2873">
        <w:t>Assignment of Proceeding</w:t>
      </w:r>
    </w:p>
    <w:p w:rsidRPr="00E66810" w:rsidR="0089195D" w:rsidRDefault="003B1294" w14:paraId="333C1E89" w14:textId="4D19F07A">
      <w:pPr>
        <w:pStyle w:val="standard"/>
        <w:rPr>
          <w:rFonts w:ascii="Book Antiqua" w:hAnsi="Book Antiqua"/>
        </w:rPr>
      </w:pPr>
      <w:r w:rsidRPr="003B1294">
        <w:rPr>
          <w:rFonts w:ascii="Book Antiqua" w:hAnsi="Book Antiqua"/>
        </w:rPr>
        <w:t>Genevieve</w:t>
      </w:r>
      <w:r>
        <w:rPr>
          <w:rFonts w:ascii="Book Antiqua" w:hAnsi="Book Antiqua"/>
        </w:rPr>
        <w:t xml:space="preserve"> S</w:t>
      </w:r>
      <w:r w:rsidRPr="003B1294">
        <w:rPr>
          <w:rFonts w:ascii="Book Antiqua" w:hAnsi="Book Antiqua"/>
        </w:rPr>
        <w:t>hiroma</w:t>
      </w:r>
      <w:r>
        <w:rPr>
          <w:rFonts w:ascii="Book Antiqua" w:hAnsi="Book Antiqua"/>
        </w:rPr>
        <w:t xml:space="preserve"> </w:t>
      </w:r>
      <w:r w:rsidRPr="003B1294" w:rsidR="00E66810">
        <w:rPr>
          <w:rFonts w:ascii="Book Antiqua" w:hAnsi="Book Antiqua"/>
        </w:rPr>
        <w:t xml:space="preserve">is the assigned Commissioner, and </w:t>
      </w:r>
      <w:r>
        <w:rPr>
          <w:rFonts w:ascii="Book Antiqua" w:hAnsi="Book Antiqua"/>
        </w:rPr>
        <w:t>Ava Tran</w:t>
      </w:r>
      <w:r w:rsidRPr="003B1294" w:rsidR="00E66810">
        <w:rPr>
          <w:rFonts w:ascii="Book Antiqua" w:hAnsi="Book Antiqua"/>
        </w:rPr>
        <w:t xml:space="preserve"> is the assigned</w:t>
      </w:r>
      <w:r w:rsidRPr="00E66810" w:rsidR="00E66810">
        <w:rPr>
          <w:rFonts w:ascii="Book Antiqua" w:hAnsi="Book Antiqua"/>
        </w:rPr>
        <w:t xml:space="preserve"> Administrative Law Judge in this proceeding</w:t>
      </w:r>
      <w:r w:rsidRPr="00E66810" w:rsidR="00EA39F7">
        <w:rPr>
          <w:rFonts w:ascii="Book Antiqua" w:hAnsi="Book Antiqua"/>
        </w:rPr>
        <w:t>.</w:t>
      </w:r>
    </w:p>
    <w:p w:rsidRPr="009B2873" w:rsidR="00553B36" w:rsidP="005330B4" w:rsidRDefault="00553B36" w14:paraId="246C2EF6" w14:textId="77777777">
      <w:pPr>
        <w:pStyle w:val="dummy"/>
        <w:tabs>
          <w:tab w:val="left" w:pos="6973"/>
        </w:tabs>
        <w:spacing w:after="0" w:line="360" w:lineRule="auto"/>
        <w:rPr>
          <w:rFonts w:ascii="Arial" w:hAnsi="Arial" w:cs="Arial"/>
        </w:rPr>
      </w:pPr>
      <w:bookmarkStart w:name="_Toc370798913" w:id="5"/>
      <w:r w:rsidRPr="009B2873">
        <w:rPr>
          <w:rFonts w:ascii="Arial" w:hAnsi="Arial" w:cs="Arial"/>
        </w:rPr>
        <w:t>Findin</w:t>
      </w:r>
      <w:r w:rsidRPr="009B2873" w:rsidR="00EA27F8">
        <w:rPr>
          <w:rFonts w:ascii="Arial" w:hAnsi="Arial" w:cs="Arial"/>
        </w:rPr>
        <w:t>g</w:t>
      </w:r>
      <w:r w:rsidRPr="009B2873">
        <w:rPr>
          <w:rFonts w:ascii="Arial" w:hAnsi="Arial" w:cs="Arial"/>
        </w:rPr>
        <w:t>s of Fact</w:t>
      </w:r>
    </w:p>
    <w:p w:rsidRPr="00E66810" w:rsidR="00E66810" w:rsidP="00E66810" w:rsidRDefault="00B96CDF" w14:paraId="655C3999" w14:textId="6AFA11FF">
      <w:pPr>
        <w:pStyle w:val="num1"/>
        <w:numPr>
          <w:ilvl w:val="0"/>
          <w:numId w:val="1"/>
        </w:numPr>
        <w:rPr>
          <w:rFonts w:ascii="Book Antiqua" w:hAnsi="Book Antiqua"/>
        </w:rPr>
      </w:pPr>
      <w:r w:rsidRPr="00E66810">
        <w:rPr>
          <w:rFonts w:ascii="Book Antiqua" w:hAnsi="Book Antiqua"/>
        </w:rPr>
        <w:t xml:space="preserve"> </w:t>
      </w:r>
      <w:r w:rsidRPr="00E66810" w:rsidR="00E66810">
        <w:rPr>
          <w:rFonts w:ascii="Book Antiqua" w:hAnsi="Book Antiqua"/>
        </w:rPr>
        <w:t xml:space="preserve">The current deadline for resolving this application is </w:t>
      </w:r>
      <w:r w:rsidR="00F1655A">
        <w:rPr>
          <w:rFonts w:ascii="Book Antiqua" w:hAnsi="Book Antiqua"/>
        </w:rPr>
        <w:t xml:space="preserve">May </w:t>
      </w:r>
      <w:r w:rsidR="00552DDD">
        <w:rPr>
          <w:rFonts w:ascii="Book Antiqua" w:hAnsi="Book Antiqua"/>
        </w:rPr>
        <w:t>4</w:t>
      </w:r>
      <w:r w:rsidR="0055350B">
        <w:rPr>
          <w:rFonts w:ascii="Book Antiqua" w:hAnsi="Book Antiqua"/>
        </w:rPr>
        <w:t>, 202</w:t>
      </w:r>
      <w:r w:rsidR="00F1655A">
        <w:rPr>
          <w:rFonts w:ascii="Book Antiqua" w:hAnsi="Book Antiqua"/>
        </w:rPr>
        <w:t>1</w:t>
      </w:r>
      <w:r w:rsidRPr="00E66810" w:rsidR="00E66810">
        <w:rPr>
          <w:rFonts w:ascii="Book Antiqua" w:hAnsi="Book Antiqua"/>
        </w:rPr>
        <w:t>.</w:t>
      </w:r>
    </w:p>
    <w:p w:rsidRPr="00E66810" w:rsidR="00E66810" w:rsidP="00E66810" w:rsidRDefault="00E66810" w14:paraId="1E1A808B" w14:textId="77777777">
      <w:pPr>
        <w:pStyle w:val="num1"/>
        <w:numPr>
          <w:ilvl w:val="0"/>
          <w:numId w:val="1"/>
        </w:numPr>
        <w:rPr>
          <w:rFonts w:ascii="Book Antiqua" w:hAnsi="Book Antiqua"/>
        </w:rPr>
      </w:pPr>
      <w:r w:rsidRPr="00E66810">
        <w:rPr>
          <w:rFonts w:ascii="Book Antiqua" w:hAnsi="Book Antiqua"/>
        </w:rPr>
        <w:t>This matter is ratesetting.</w:t>
      </w:r>
    </w:p>
    <w:p w:rsidRPr="004B222F" w:rsidR="00E66810" w:rsidP="00E66810" w:rsidRDefault="0055350B" w14:paraId="2830B9A9" w14:textId="354F7BBB">
      <w:pPr>
        <w:pStyle w:val="num1"/>
        <w:numPr>
          <w:ilvl w:val="0"/>
          <w:numId w:val="1"/>
        </w:numPr>
        <w:rPr>
          <w:rFonts w:ascii="Book Antiqua" w:hAnsi="Book Antiqua"/>
        </w:rPr>
      </w:pPr>
      <w:r w:rsidRPr="004B222F">
        <w:rPr>
          <w:rFonts w:ascii="Book Antiqua" w:hAnsi="Book Antiqua"/>
        </w:rPr>
        <w:t xml:space="preserve">The Commission’s workload is currently being impacted by the COVID-19 pandemic.  </w:t>
      </w:r>
      <w:r w:rsidRPr="004B222F" w:rsidR="00E66810">
        <w:rPr>
          <w:rFonts w:ascii="Book Antiqua" w:hAnsi="Book Antiqua"/>
        </w:rPr>
        <w:t xml:space="preserve">The additional time ensures the proposed decision gets placement on an upcoming agenda for final disposition by the Commission. </w:t>
      </w:r>
    </w:p>
    <w:p w:rsidRPr="00E66810" w:rsidR="00E66810" w:rsidP="002C71F2" w:rsidRDefault="00E66810" w14:paraId="11A36A20" w14:textId="2F31F8AD">
      <w:pPr>
        <w:pStyle w:val="num1"/>
        <w:numPr>
          <w:ilvl w:val="0"/>
          <w:numId w:val="1"/>
        </w:numPr>
        <w:rPr>
          <w:rFonts w:ascii="Book Antiqua" w:hAnsi="Book Antiqua"/>
        </w:rPr>
      </w:pPr>
      <w:r w:rsidRPr="00E66810">
        <w:rPr>
          <w:rFonts w:ascii="Book Antiqua" w:hAnsi="Book Antiqua"/>
        </w:rPr>
        <w:t xml:space="preserve">The </w:t>
      </w:r>
      <w:r w:rsidR="0055350B">
        <w:rPr>
          <w:rFonts w:ascii="Book Antiqua" w:hAnsi="Book Antiqua"/>
        </w:rPr>
        <w:t>December 31, 202</w:t>
      </w:r>
      <w:r w:rsidR="00F1655A">
        <w:rPr>
          <w:rFonts w:ascii="Book Antiqua" w:hAnsi="Book Antiqua"/>
        </w:rPr>
        <w:t>1</w:t>
      </w:r>
      <w:r w:rsidRPr="00E66810">
        <w:rPr>
          <w:rFonts w:ascii="Book Antiqua" w:hAnsi="Book Antiqua"/>
        </w:rPr>
        <w:t xml:space="preserve"> deadline </w:t>
      </w:r>
      <w:r w:rsidR="0061126F">
        <w:rPr>
          <w:rFonts w:ascii="Book Antiqua" w:hAnsi="Book Antiqua"/>
        </w:rPr>
        <w:t>should</w:t>
      </w:r>
      <w:r w:rsidRPr="00E66810">
        <w:rPr>
          <w:rFonts w:ascii="Book Antiqua" w:hAnsi="Book Antiqua"/>
        </w:rPr>
        <w:t xml:space="preserve"> avoid</w:t>
      </w:r>
      <w:r w:rsidR="0061126F">
        <w:rPr>
          <w:rFonts w:ascii="Book Antiqua" w:hAnsi="Book Antiqua"/>
        </w:rPr>
        <w:t xml:space="preserve"> the need for</w:t>
      </w:r>
      <w:r w:rsidRPr="00E66810">
        <w:rPr>
          <w:rFonts w:ascii="Book Antiqua" w:hAnsi="Book Antiqua"/>
        </w:rPr>
        <w:t xml:space="preserve"> any further extensions of time. </w:t>
      </w:r>
    </w:p>
    <w:bookmarkEnd w:id="5"/>
    <w:p w:rsidRPr="009B2873" w:rsidR="003067E6" w:rsidP="005D1BDF" w:rsidRDefault="003067E6" w14:paraId="0AF5D3AB" w14:textId="6D485A8D">
      <w:pPr>
        <w:pStyle w:val="dummy"/>
        <w:keepLines/>
        <w:tabs>
          <w:tab w:val="left" w:pos="3696"/>
        </w:tabs>
        <w:rPr>
          <w:rFonts w:ascii="Arial" w:hAnsi="Arial" w:cs="Arial"/>
        </w:rPr>
      </w:pPr>
      <w:r w:rsidRPr="009B2873">
        <w:rPr>
          <w:rFonts w:ascii="Arial" w:hAnsi="Arial" w:cs="Arial"/>
        </w:rPr>
        <w:t>Conclusion</w:t>
      </w:r>
      <w:r w:rsidR="00EB4115">
        <w:rPr>
          <w:rFonts w:ascii="Arial" w:hAnsi="Arial" w:cs="Arial"/>
        </w:rPr>
        <w:t>s</w:t>
      </w:r>
      <w:r w:rsidRPr="009B2873" w:rsidR="002F6BD1">
        <w:rPr>
          <w:rFonts w:ascii="Arial" w:hAnsi="Arial" w:cs="Arial"/>
        </w:rPr>
        <w:t xml:space="preserve"> </w:t>
      </w:r>
      <w:r w:rsidRPr="009B2873">
        <w:rPr>
          <w:rFonts w:ascii="Arial" w:hAnsi="Arial" w:cs="Arial"/>
        </w:rPr>
        <w:t>of Law</w:t>
      </w:r>
    </w:p>
    <w:p w:rsidRPr="00EB4115" w:rsidR="00EB4115" w:rsidP="00EB4115" w:rsidRDefault="00EB4115" w14:paraId="22C0FB5C" w14:textId="30712017">
      <w:pPr>
        <w:pStyle w:val="num1"/>
        <w:numPr>
          <w:ilvl w:val="0"/>
          <w:numId w:val="2"/>
        </w:numPr>
        <w:tabs>
          <w:tab w:val="clear" w:pos="-720"/>
        </w:tabs>
        <w:rPr>
          <w:rFonts w:ascii="Book Antiqua" w:hAnsi="Book Antiqua"/>
        </w:rPr>
      </w:pPr>
      <w:r w:rsidRPr="00EB4115">
        <w:rPr>
          <w:rFonts w:ascii="Book Antiqua" w:hAnsi="Book Antiqua"/>
        </w:rPr>
        <w:t xml:space="preserve">Pursuant to the authority granted to the Commission under Pub. Util. Code § 1701.5(a), the statutory deadline for resolving this proceeding should be extended until </w:t>
      </w:r>
      <w:r w:rsidR="0055350B">
        <w:rPr>
          <w:rFonts w:ascii="Book Antiqua" w:hAnsi="Book Antiqua"/>
        </w:rPr>
        <w:t>December 31, 202</w:t>
      </w:r>
      <w:r w:rsidR="00F1655A">
        <w:rPr>
          <w:rFonts w:ascii="Book Antiqua" w:hAnsi="Book Antiqua"/>
        </w:rPr>
        <w:t>1</w:t>
      </w:r>
      <w:r w:rsidRPr="00EB4115">
        <w:rPr>
          <w:rFonts w:ascii="Book Antiqua" w:hAnsi="Book Antiqua"/>
        </w:rPr>
        <w:t xml:space="preserve">.  </w:t>
      </w:r>
    </w:p>
    <w:p w:rsidRPr="00EB4115" w:rsidR="00EB4115" w:rsidP="00EB4115" w:rsidRDefault="00EB4115" w14:paraId="6077CF0A" w14:textId="77777777">
      <w:pPr>
        <w:pStyle w:val="num1"/>
        <w:widowControl w:val="0"/>
        <w:numPr>
          <w:ilvl w:val="0"/>
          <w:numId w:val="2"/>
        </w:numPr>
        <w:rPr>
          <w:rFonts w:ascii="Book Antiqua" w:hAnsi="Book Antiqua"/>
        </w:rPr>
      </w:pPr>
      <w:r w:rsidRPr="00EB4115">
        <w:rPr>
          <w:rFonts w:ascii="Book Antiqua" w:hAnsi="Book Antiqua"/>
        </w:rPr>
        <w:t>This decision should be effective immediately.</w:t>
      </w:r>
    </w:p>
    <w:p w:rsidRPr="001645D3" w:rsidR="00E66810" w:rsidP="00E66810" w:rsidRDefault="00E66810" w14:paraId="57E11ABC" w14:textId="77777777">
      <w:pPr>
        <w:pStyle w:val="standard"/>
        <w:keepNext/>
        <w:keepLines/>
        <w:rPr>
          <w:rFonts w:ascii="Book Antiqua" w:hAnsi="Book Antiqua"/>
        </w:rPr>
      </w:pPr>
      <w:r w:rsidRPr="001645D3">
        <w:rPr>
          <w:rFonts w:ascii="Book Antiqua" w:hAnsi="Book Antiqua"/>
          <w:b/>
        </w:rPr>
        <w:lastRenderedPageBreak/>
        <w:t xml:space="preserve">IT IS ORDERED </w:t>
      </w:r>
      <w:r w:rsidRPr="001645D3">
        <w:rPr>
          <w:rFonts w:ascii="Book Antiqua" w:hAnsi="Book Antiqua"/>
        </w:rPr>
        <w:t>that:</w:t>
      </w:r>
    </w:p>
    <w:p w:rsidRPr="00E66810" w:rsidR="00E66810" w:rsidP="00E66810" w:rsidRDefault="00E66810" w14:paraId="71CB7E5A" w14:textId="2563AACE">
      <w:pPr>
        <w:pStyle w:val="standard"/>
        <w:keepNext/>
        <w:keepLines/>
        <w:numPr>
          <w:ilvl w:val="0"/>
          <w:numId w:val="10"/>
        </w:numPr>
        <w:ind w:left="0" w:firstLine="360"/>
        <w:rPr>
          <w:rFonts w:ascii="Book Antiqua" w:hAnsi="Book Antiqua"/>
        </w:rPr>
      </w:pPr>
      <w:r w:rsidRPr="00E66810">
        <w:rPr>
          <w:rFonts w:ascii="Book Antiqua" w:hAnsi="Book Antiqua"/>
        </w:rPr>
        <w:t>The time for completion of this proceeding is extended until</w:t>
      </w:r>
      <w:r w:rsidR="0055350B">
        <w:rPr>
          <w:rFonts w:ascii="Book Antiqua" w:hAnsi="Book Antiqua"/>
        </w:rPr>
        <w:t xml:space="preserve"> </w:t>
      </w:r>
      <w:r w:rsidR="005A6BB7">
        <w:rPr>
          <w:rFonts w:ascii="Book Antiqua" w:hAnsi="Book Antiqua"/>
        </w:rPr>
        <w:br/>
      </w:r>
      <w:r w:rsidR="0055350B">
        <w:rPr>
          <w:rFonts w:ascii="Book Antiqua" w:hAnsi="Book Antiqua"/>
        </w:rPr>
        <w:t>December 31,</w:t>
      </w:r>
      <w:r w:rsidRPr="00E66810">
        <w:rPr>
          <w:rFonts w:ascii="Book Antiqua" w:hAnsi="Book Antiqua"/>
        </w:rPr>
        <w:t> 202</w:t>
      </w:r>
      <w:r w:rsidR="00F1655A">
        <w:rPr>
          <w:rFonts w:ascii="Book Antiqua" w:hAnsi="Book Antiqua"/>
        </w:rPr>
        <w:t>1</w:t>
      </w:r>
      <w:r w:rsidRPr="00E66810">
        <w:rPr>
          <w:rFonts w:ascii="Book Antiqua" w:hAnsi="Book Antiqua"/>
        </w:rPr>
        <w:t xml:space="preserve">. </w:t>
      </w:r>
    </w:p>
    <w:p w:rsidRPr="00E66810" w:rsidR="00E66810" w:rsidP="00E66810" w:rsidRDefault="00E66810" w14:paraId="26BB3DA8" w14:textId="71FBDF7A">
      <w:pPr>
        <w:pStyle w:val="standard"/>
        <w:keepNext/>
        <w:keepLines/>
        <w:numPr>
          <w:ilvl w:val="0"/>
          <w:numId w:val="10"/>
        </w:numPr>
        <w:ind w:left="0" w:firstLine="360"/>
        <w:rPr>
          <w:rFonts w:ascii="Book Antiqua" w:hAnsi="Book Antiqua"/>
        </w:rPr>
      </w:pPr>
      <w:r w:rsidRPr="00E66810">
        <w:rPr>
          <w:rFonts w:ascii="Book Antiqua" w:hAnsi="Book Antiqua"/>
        </w:rPr>
        <w:t xml:space="preserve">Application </w:t>
      </w:r>
      <w:r w:rsidR="00F1655A">
        <w:rPr>
          <w:rFonts w:ascii="Book Antiqua" w:hAnsi="Book Antiqua"/>
        </w:rPr>
        <w:t>19-</w:t>
      </w:r>
      <w:r w:rsidR="000A6D93">
        <w:rPr>
          <w:rFonts w:ascii="Book Antiqua" w:hAnsi="Book Antiqua"/>
        </w:rPr>
        <w:t xml:space="preserve">11-003 et al. </w:t>
      </w:r>
      <w:r w:rsidRPr="00E66810">
        <w:rPr>
          <w:rFonts w:ascii="Book Antiqua" w:hAnsi="Book Antiqua"/>
        </w:rPr>
        <w:t>remains open.</w:t>
      </w:r>
    </w:p>
    <w:p w:rsidRPr="00E66810" w:rsidR="00E66810" w:rsidP="00E66810" w:rsidRDefault="00E66810" w14:paraId="78390C5A" w14:textId="57922C5A">
      <w:pPr>
        <w:pStyle w:val="standard"/>
        <w:keepNext/>
        <w:keepLines/>
        <w:rPr>
          <w:rFonts w:ascii="Book Antiqua" w:hAnsi="Book Antiqua"/>
        </w:rPr>
      </w:pPr>
      <w:r w:rsidRPr="00E66810">
        <w:rPr>
          <w:rFonts w:ascii="Book Antiqua" w:hAnsi="Book Antiqua"/>
        </w:rPr>
        <w:t xml:space="preserve">This </w:t>
      </w:r>
      <w:r w:rsidR="00EB4115">
        <w:rPr>
          <w:rFonts w:ascii="Book Antiqua" w:hAnsi="Book Antiqua"/>
        </w:rPr>
        <w:t>o</w:t>
      </w:r>
      <w:r w:rsidRPr="00E66810">
        <w:rPr>
          <w:rFonts w:ascii="Book Antiqua" w:hAnsi="Book Antiqua"/>
        </w:rPr>
        <w:t>rder is effective today.</w:t>
      </w:r>
    </w:p>
    <w:p w:rsidR="00E66810" w:rsidP="00E66810" w:rsidRDefault="00E66810" w14:paraId="3F9BCCFC" w14:textId="1F5D6DFD">
      <w:pPr>
        <w:pStyle w:val="standard"/>
        <w:keepNext/>
        <w:keepLines/>
        <w:rPr>
          <w:rFonts w:ascii="Book Antiqua" w:hAnsi="Book Antiqua"/>
        </w:rPr>
      </w:pPr>
      <w:r w:rsidRPr="00E66810">
        <w:rPr>
          <w:rFonts w:ascii="Book Antiqua" w:hAnsi="Book Antiqua"/>
        </w:rPr>
        <w:t xml:space="preserve">Dated </w:t>
      </w:r>
      <w:r w:rsidR="003D16CD">
        <w:rPr>
          <w:rFonts w:ascii="Book Antiqua" w:hAnsi="Book Antiqua"/>
        </w:rPr>
        <w:t>April 15, 2021</w:t>
      </w:r>
      <w:r w:rsidRPr="00E66810">
        <w:rPr>
          <w:rFonts w:ascii="Book Antiqua" w:hAnsi="Book Antiqua"/>
        </w:rPr>
        <w:t>,</w:t>
      </w:r>
      <w:r w:rsidR="00844CE2">
        <w:rPr>
          <w:rFonts w:ascii="Book Antiqua" w:hAnsi="Book Antiqua"/>
        </w:rPr>
        <w:t xml:space="preserve"> </w:t>
      </w:r>
      <w:r w:rsidRPr="00E66810">
        <w:rPr>
          <w:rFonts w:ascii="Book Antiqua" w:hAnsi="Book Antiqua"/>
        </w:rPr>
        <w:t>at San Francisco, California.</w:t>
      </w:r>
    </w:p>
    <w:p w:rsidR="003D16CD" w:rsidP="00E66810" w:rsidRDefault="003D16CD" w14:paraId="5E514898" w14:textId="6F5AC635">
      <w:pPr>
        <w:pStyle w:val="standard"/>
        <w:keepNext/>
        <w:keepLines/>
        <w:rPr>
          <w:rFonts w:ascii="Book Antiqua" w:hAnsi="Book Antiqua"/>
        </w:rPr>
      </w:pPr>
    </w:p>
    <w:p w:rsidRPr="00AE0DE2" w:rsidR="003D16CD" w:rsidP="003D16CD" w:rsidRDefault="003D16CD" w14:paraId="33543240" w14:textId="77777777">
      <w:pPr>
        <w:autoSpaceDE w:val="0"/>
        <w:autoSpaceDN w:val="0"/>
        <w:adjustRightInd w:val="0"/>
        <w:ind w:left="4320"/>
        <w:jc w:val="both"/>
        <w:rPr>
          <w:rFonts w:ascii="Book Antiqua" w:hAnsi="Book Antiqua"/>
        </w:rPr>
      </w:pPr>
      <w:r w:rsidRPr="00AE0DE2">
        <w:rPr>
          <w:rFonts w:ascii="Book Antiqua" w:hAnsi="Book Antiqua"/>
        </w:rPr>
        <w:t>MARYBEL BATJER</w:t>
      </w:r>
    </w:p>
    <w:p w:rsidR="003D16CD" w:rsidP="003D16CD" w:rsidRDefault="003D16CD" w14:paraId="40188DC1" w14:textId="77777777">
      <w:pPr>
        <w:autoSpaceDE w:val="0"/>
        <w:autoSpaceDN w:val="0"/>
        <w:adjustRightInd w:val="0"/>
        <w:ind w:firstLine="5490"/>
        <w:jc w:val="both"/>
        <w:rPr>
          <w:rFonts w:ascii="Book Antiqua" w:hAnsi="Book Antiqua"/>
        </w:rPr>
      </w:pPr>
      <w:r w:rsidRPr="00AE0DE2">
        <w:rPr>
          <w:rFonts w:ascii="Book Antiqua" w:hAnsi="Book Antiqua"/>
        </w:rPr>
        <w:t>President</w:t>
      </w:r>
    </w:p>
    <w:p w:rsidRPr="00AE0DE2" w:rsidR="003D16CD" w:rsidP="003D16CD" w:rsidRDefault="003D16CD" w14:paraId="0902EA0D" w14:textId="77777777">
      <w:pPr>
        <w:autoSpaceDE w:val="0"/>
        <w:autoSpaceDN w:val="0"/>
        <w:adjustRightInd w:val="0"/>
        <w:ind w:left="4320"/>
        <w:jc w:val="both"/>
        <w:rPr>
          <w:rFonts w:ascii="Book Antiqua" w:hAnsi="Book Antiqua"/>
        </w:rPr>
      </w:pPr>
      <w:r w:rsidRPr="00AE0DE2">
        <w:rPr>
          <w:rFonts w:ascii="Book Antiqua" w:hAnsi="Book Antiqua"/>
        </w:rPr>
        <w:t>MARTHA GUZMAN ACEVES</w:t>
      </w:r>
    </w:p>
    <w:p w:rsidRPr="00AE0DE2" w:rsidR="003D16CD" w:rsidP="003D16CD" w:rsidRDefault="003D16CD" w14:paraId="4FD9AC65" w14:textId="77777777">
      <w:pPr>
        <w:autoSpaceDE w:val="0"/>
        <w:autoSpaceDN w:val="0"/>
        <w:adjustRightInd w:val="0"/>
        <w:ind w:left="4320"/>
        <w:jc w:val="both"/>
        <w:rPr>
          <w:rFonts w:ascii="Book Antiqua" w:hAnsi="Book Antiqua"/>
        </w:rPr>
      </w:pPr>
      <w:r w:rsidRPr="00AE0DE2">
        <w:rPr>
          <w:rFonts w:ascii="Book Antiqua" w:hAnsi="Book Antiqua"/>
        </w:rPr>
        <w:t>CLIFFORD RECHTSCHAFFEN</w:t>
      </w:r>
    </w:p>
    <w:p w:rsidR="003D16CD" w:rsidP="003D16CD" w:rsidRDefault="003D16CD" w14:paraId="6CB776F4" w14:textId="77777777">
      <w:pPr>
        <w:autoSpaceDE w:val="0"/>
        <w:autoSpaceDN w:val="0"/>
        <w:adjustRightInd w:val="0"/>
        <w:ind w:left="4320"/>
        <w:jc w:val="both"/>
        <w:rPr>
          <w:rFonts w:ascii="Book Antiqua" w:hAnsi="Book Antiqua"/>
        </w:rPr>
      </w:pPr>
      <w:r w:rsidRPr="00AE0DE2">
        <w:rPr>
          <w:rFonts w:ascii="Book Antiqua" w:hAnsi="Book Antiqua"/>
        </w:rPr>
        <w:t>GENEVIEVE SHIROMA</w:t>
      </w:r>
    </w:p>
    <w:p w:rsidRPr="00AE0DE2" w:rsidR="003D16CD" w:rsidP="003D16CD" w:rsidRDefault="003D16CD" w14:paraId="555B6DCB" w14:textId="77777777">
      <w:pPr>
        <w:autoSpaceDE w:val="0"/>
        <w:autoSpaceDN w:val="0"/>
        <w:adjustRightInd w:val="0"/>
        <w:ind w:left="3600" w:firstLine="1530"/>
        <w:jc w:val="both"/>
        <w:rPr>
          <w:rFonts w:ascii="Book Antiqua" w:hAnsi="Book Antiqua"/>
        </w:rPr>
      </w:pPr>
      <w:r>
        <w:rPr>
          <w:rFonts w:ascii="Book Antiqua" w:hAnsi="Book Antiqua"/>
        </w:rPr>
        <w:t>DARCIE HOUCK</w:t>
      </w:r>
    </w:p>
    <w:p w:rsidRPr="00E66810" w:rsidR="003D16CD" w:rsidP="003D16CD" w:rsidRDefault="003D16CD" w14:paraId="0872DB0A" w14:textId="2F8FE807">
      <w:pPr>
        <w:pStyle w:val="standard"/>
        <w:keepNext/>
        <w:keepLines/>
        <w:ind w:firstLine="5490"/>
        <w:rPr>
          <w:rFonts w:ascii="Book Antiqua" w:hAnsi="Book Antiqua"/>
        </w:rPr>
      </w:pPr>
      <w:r w:rsidRPr="00AE0DE2">
        <w:rPr>
          <w:rFonts w:ascii="Book Antiqua" w:hAnsi="Book Antiqua"/>
        </w:rPr>
        <w:t>Commissioners</w:t>
      </w:r>
    </w:p>
    <w:sectPr w:rsidRPr="00E66810" w:rsidR="003D16CD" w:rsidSect="00C66EC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AFB8" w14:textId="77777777" w:rsidR="00BE18BC" w:rsidRDefault="00BE18BC">
      <w:r>
        <w:separator/>
      </w:r>
    </w:p>
  </w:endnote>
  <w:endnote w:type="continuationSeparator" w:id="0">
    <w:p w14:paraId="0BFCC1F7" w14:textId="77777777" w:rsidR="00BE18BC" w:rsidRDefault="00BE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4877" w14:textId="77777777" w:rsidR="00FA4793" w:rsidRDefault="00FA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9E9C" w14:textId="2B0B9CF4" w:rsidR="00DD1176" w:rsidRPr="001645D3" w:rsidRDefault="00DD1176" w:rsidP="00FD568F">
    <w:pPr>
      <w:pStyle w:val="Footer"/>
      <w:tabs>
        <w:tab w:val="clear" w:pos="4320"/>
        <w:tab w:val="center" w:pos="4680"/>
      </w:tabs>
      <w:rPr>
        <w:rStyle w:val="PageNumber"/>
        <w:rFonts w:ascii="Book Antiqua" w:hAnsi="Book Antiqua"/>
        <w:sz w:val="24"/>
        <w:szCs w:val="24"/>
      </w:rPr>
    </w:pPr>
    <w:r w:rsidRPr="001645D3">
      <w:rPr>
        <w:rStyle w:val="PageNumber"/>
        <w:rFonts w:ascii="Book Antiqua" w:hAnsi="Book Antiqua"/>
        <w:sz w:val="24"/>
        <w:szCs w:val="24"/>
      </w:rPr>
      <w:t xml:space="preserve">- </w:t>
    </w:r>
    <w:r w:rsidR="00C66EC4" w:rsidRPr="00C66EC4">
      <w:rPr>
        <w:rStyle w:val="PageNumber"/>
        <w:rFonts w:ascii="Book Antiqua" w:hAnsi="Book Antiqua"/>
        <w:sz w:val="24"/>
        <w:szCs w:val="24"/>
      </w:rPr>
      <w:fldChar w:fldCharType="begin"/>
    </w:r>
    <w:r w:rsidR="00C66EC4" w:rsidRPr="00C66EC4">
      <w:rPr>
        <w:rStyle w:val="PageNumber"/>
        <w:rFonts w:ascii="Book Antiqua" w:hAnsi="Book Antiqua"/>
        <w:sz w:val="24"/>
        <w:szCs w:val="24"/>
      </w:rPr>
      <w:instrText xml:space="preserve"> PAGE   \* MERGEFORMAT </w:instrText>
    </w:r>
    <w:r w:rsidR="00C66EC4" w:rsidRPr="00C66EC4">
      <w:rPr>
        <w:rStyle w:val="PageNumber"/>
        <w:rFonts w:ascii="Book Antiqua" w:hAnsi="Book Antiqua"/>
        <w:sz w:val="24"/>
        <w:szCs w:val="24"/>
      </w:rPr>
      <w:fldChar w:fldCharType="separate"/>
    </w:r>
    <w:r w:rsidR="00C66EC4" w:rsidRPr="00C66EC4">
      <w:rPr>
        <w:rStyle w:val="PageNumber"/>
        <w:rFonts w:ascii="Book Antiqua" w:hAnsi="Book Antiqua"/>
        <w:noProof/>
        <w:sz w:val="24"/>
        <w:szCs w:val="24"/>
      </w:rPr>
      <w:t>1</w:t>
    </w:r>
    <w:r w:rsidR="00C66EC4" w:rsidRPr="00C66EC4">
      <w:rPr>
        <w:rStyle w:val="PageNumber"/>
        <w:rFonts w:ascii="Book Antiqua" w:hAnsi="Book Antiqua"/>
        <w:noProof/>
        <w:sz w:val="24"/>
        <w:szCs w:val="24"/>
      </w:rPr>
      <w:fldChar w:fldCharType="end"/>
    </w:r>
    <w:r w:rsidRPr="001645D3">
      <w:rPr>
        <w:rStyle w:val="PageNumber"/>
        <w:rFonts w:ascii="Book Antiqua" w:hAnsi="Book Antiqua"/>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B01" w14:textId="01B7E822" w:rsidR="00DD1176" w:rsidRPr="001645D3" w:rsidRDefault="004E7181" w:rsidP="00FD568F">
    <w:pPr>
      <w:pStyle w:val="Footer"/>
      <w:tabs>
        <w:tab w:val="clear" w:pos="4320"/>
        <w:tab w:val="center" w:pos="4680"/>
      </w:tabs>
      <w:jc w:val="left"/>
      <w:rPr>
        <w:rStyle w:val="PageNumber"/>
        <w:rFonts w:ascii="Book Antiqua" w:hAnsi="Book Antiqua"/>
        <w:sz w:val="24"/>
        <w:szCs w:val="24"/>
      </w:rPr>
    </w:pPr>
    <w:r w:rsidRPr="004E7181">
      <w:rPr>
        <w:rFonts w:ascii="Book Antiqua" w:hAnsi="Book Antiqua"/>
        <w:sz w:val="16"/>
        <w:szCs w:val="16"/>
      </w:rPr>
      <w:t>379129246</w:t>
    </w:r>
    <w:r w:rsidR="00C473F1" w:rsidRPr="004E7181">
      <w:rPr>
        <w:rFonts w:ascii="Book Antiqua" w:hAnsi="Book Antiqua" w:cs="Tahoma"/>
        <w:sz w:val="16"/>
        <w:szCs w:val="16"/>
      </w:rPr>
      <w:t xml:space="preserve"> </w:t>
    </w:r>
    <w:r w:rsidR="00C473F1" w:rsidRPr="00C473F1">
      <w:rPr>
        <w:rFonts w:ascii="Tahoma" w:hAnsi="Tahoma" w:cs="Tahoma"/>
        <w:sz w:val="17"/>
        <w:szCs w:val="17"/>
      </w:rPr>
      <w:t xml:space="preserve">  </w:t>
    </w:r>
    <w:r w:rsidR="00DD1176">
      <w:rPr>
        <w:rFonts w:asciiTheme="majorHAnsi" w:eastAsiaTheme="majorEastAsia" w:hAnsiTheme="majorHAnsi" w:cstheme="majorBidi"/>
        <w:sz w:val="16"/>
        <w:szCs w:val="16"/>
      </w:rPr>
      <w:tab/>
    </w:r>
    <w:r w:rsidR="00DD1176" w:rsidRPr="001645D3">
      <w:rPr>
        <w:rStyle w:val="PageNumber"/>
        <w:rFonts w:ascii="Book Antiqua" w:hAnsi="Book Antiqua"/>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AC3F" w14:textId="77777777" w:rsidR="00BE18BC" w:rsidRDefault="00BE18BC">
      <w:r>
        <w:separator/>
      </w:r>
    </w:p>
  </w:footnote>
  <w:footnote w:type="continuationSeparator" w:id="0">
    <w:p w14:paraId="3EF53033" w14:textId="77777777" w:rsidR="00BE18BC" w:rsidRDefault="00BE18BC">
      <w:r>
        <w:continuationSeparator/>
      </w:r>
    </w:p>
  </w:footnote>
  <w:footnote w:type="continuationNotice" w:id="1">
    <w:p w14:paraId="408C4E4D" w14:textId="77777777" w:rsidR="00BE18BC" w:rsidRDefault="00BE18BC">
      <w:pPr>
        <w:rPr>
          <w:sz w:val="22"/>
        </w:rPr>
      </w:pPr>
    </w:p>
    <w:p w14:paraId="61A4BD8E" w14:textId="77777777" w:rsidR="00BE18BC" w:rsidRDefault="00BE18BC">
      <w:pPr>
        <w:jc w:val="right"/>
        <w:rPr>
          <w:sz w:val="22"/>
        </w:rPr>
      </w:pPr>
      <w:r>
        <w:rPr>
          <w:i/>
          <w:sz w:val="22"/>
        </w:rPr>
        <w:t>Footnote continued on next page</w:t>
      </w:r>
    </w:p>
  </w:footnote>
  <w:footnote w:id="2">
    <w:p w14:paraId="2A4C1009" w14:textId="1BCE5E41" w:rsidR="00F455E8" w:rsidRPr="00EB2F54" w:rsidRDefault="00F455E8" w:rsidP="00EB2F54">
      <w:pPr>
        <w:pStyle w:val="FootnoteText"/>
        <w:spacing w:after="120"/>
        <w:rPr>
          <w:rFonts w:ascii="Book Antiqua" w:hAnsi="Book Antiqua"/>
          <w:sz w:val="22"/>
          <w:szCs w:val="22"/>
        </w:rPr>
      </w:pPr>
      <w:r w:rsidRPr="00EB2F54">
        <w:rPr>
          <w:rStyle w:val="FootnoteReference"/>
          <w:rFonts w:ascii="Book Antiqua" w:hAnsi="Book Antiqua"/>
          <w:sz w:val="22"/>
          <w:szCs w:val="22"/>
        </w:rPr>
        <w:footnoteRef/>
      </w:r>
      <w:r w:rsidRPr="00EB2F54">
        <w:rPr>
          <w:rFonts w:ascii="Book Antiqua" w:hAnsi="Book Antiqua"/>
          <w:sz w:val="22"/>
          <w:szCs w:val="22"/>
        </w:rPr>
        <w:t xml:space="preserve"> </w:t>
      </w:r>
      <w:r w:rsidR="00F00755">
        <w:rPr>
          <w:rFonts w:ascii="Book Antiqua" w:hAnsi="Book Antiqua"/>
          <w:sz w:val="22"/>
          <w:szCs w:val="22"/>
        </w:rPr>
        <w:t xml:space="preserve"> </w:t>
      </w:r>
      <w:r w:rsidRPr="00EB2F54">
        <w:rPr>
          <w:rFonts w:ascii="Book Antiqua" w:hAnsi="Book Antiqua"/>
          <w:sz w:val="22"/>
          <w:szCs w:val="22"/>
        </w:rPr>
        <w:t>D.19</w:t>
      </w:r>
      <w:r w:rsidRPr="00EB2F54">
        <w:rPr>
          <w:rFonts w:ascii="Book Antiqua" w:hAnsi="Book Antiqua"/>
          <w:sz w:val="22"/>
          <w:szCs w:val="22"/>
        </w:rPr>
        <w:noBreakHyphen/>
        <w:t>06</w:t>
      </w:r>
      <w:r w:rsidRPr="00EB2F54">
        <w:rPr>
          <w:rFonts w:ascii="Book Antiqua" w:hAnsi="Book Antiqua"/>
          <w:sz w:val="22"/>
          <w:szCs w:val="22"/>
        </w:rPr>
        <w:noBreakHyphen/>
        <w:t xml:space="preserve">022, Ordering Paragraph 1. </w:t>
      </w:r>
    </w:p>
  </w:footnote>
  <w:footnote w:id="3">
    <w:p w14:paraId="430FE6A3" w14:textId="57029B95" w:rsidR="00F455E8" w:rsidRPr="00EB2F54" w:rsidRDefault="00F455E8" w:rsidP="00EB2F54">
      <w:pPr>
        <w:pStyle w:val="FootnoteText"/>
        <w:spacing w:after="120"/>
        <w:rPr>
          <w:rFonts w:ascii="Book Antiqua" w:hAnsi="Book Antiqua"/>
          <w:sz w:val="22"/>
          <w:szCs w:val="22"/>
        </w:rPr>
      </w:pPr>
      <w:r w:rsidRPr="00EB2F54">
        <w:rPr>
          <w:rStyle w:val="FootnoteReference"/>
          <w:rFonts w:ascii="Book Antiqua" w:hAnsi="Book Antiqua"/>
          <w:sz w:val="22"/>
          <w:szCs w:val="22"/>
        </w:rPr>
        <w:footnoteRef/>
      </w:r>
      <w:r w:rsidRPr="00EB2F54">
        <w:rPr>
          <w:rFonts w:ascii="Book Antiqua" w:hAnsi="Book Antiqua"/>
          <w:sz w:val="22"/>
          <w:szCs w:val="22"/>
        </w:rPr>
        <w:t xml:space="preserve"> </w:t>
      </w:r>
      <w:r w:rsidR="00F00755">
        <w:rPr>
          <w:rFonts w:ascii="Book Antiqua" w:hAnsi="Book Antiqua"/>
          <w:sz w:val="22"/>
          <w:szCs w:val="22"/>
        </w:rPr>
        <w:t xml:space="preserve"> </w:t>
      </w:r>
      <w:r w:rsidRPr="00EB2F54">
        <w:rPr>
          <w:rFonts w:ascii="Book Antiqua" w:hAnsi="Book Antiqua"/>
          <w:sz w:val="22"/>
          <w:szCs w:val="22"/>
        </w:rPr>
        <w:t>D.16-11-022, 390-391.</w:t>
      </w:r>
    </w:p>
  </w:footnote>
  <w:footnote w:id="4">
    <w:p w14:paraId="7D117B67" w14:textId="1A179745" w:rsidR="00F455E8" w:rsidRPr="00EB2F54" w:rsidRDefault="00F455E8" w:rsidP="00EB2F54">
      <w:pPr>
        <w:pStyle w:val="FootnoteText"/>
        <w:spacing w:after="120"/>
        <w:rPr>
          <w:rFonts w:ascii="Book Antiqua" w:hAnsi="Book Antiqua"/>
          <w:sz w:val="22"/>
          <w:szCs w:val="22"/>
        </w:rPr>
      </w:pPr>
      <w:r w:rsidRPr="00EB2F54">
        <w:rPr>
          <w:rStyle w:val="FootnoteReference"/>
          <w:rFonts w:ascii="Book Antiqua" w:hAnsi="Book Antiqua"/>
          <w:sz w:val="22"/>
          <w:szCs w:val="22"/>
        </w:rPr>
        <w:footnoteRef/>
      </w:r>
      <w:r w:rsidRPr="00EB2F54">
        <w:rPr>
          <w:rFonts w:ascii="Book Antiqua" w:hAnsi="Book Antiqua"/>
          <w:sz w:val="22"/>
          <w:szCs w:val="22"/>
        </w:rPr>
        <w:t xml:space="preserve"> </w:t>
      </w:r>
      <w:bookmarkStart w:id="3" w:name="_Hlk51664929"/>
      <w:r w:rsidR="00F00755">
        <w:rPr>
          <w:rFonts w:ascii="Book Antiqua" w:hAnsi="Book Antiqua"/>
          <w:sz w:val="22"/>
          <w:szCs w:val="22"/>
        </w:rPr>
        <w:t xml:space="preserve"> </w:t>
      </w:r>
      <w:r w:rsidRPr="00EB2F54">
        <w:rPr>
          <w:rFonts w:ascii="Book Antiqua" w:hAnsi="Book Antiqua"/>
          <w:sz w:val="22"/>
          <w:szCs w:val="22"/>
        </w:rPr>
        <w:t>A.19-11-003 et al. Assigned Commissioner’s Scoping Memo and Ruling, February 18, 2020.</w:t>
      </w:r>
      <w:bookmarkEnd w:id="3"/>
    </w:p>
  </w:footnote>
  <w:footnote w:id="5">
    <w:p w14:paraId="75A8DB49" w14:textId="1612FA60" w:rsidR="00F455E8" w:rsidRPr="001645D3" w:rsidRDefault="00F455E8" w:rsidP="00F455E8">
      <w:pPr>
        <w:pStyle w:val="FootnoteText"/>
        <w:rPr>
          <w:rFonts w:ascii="Book Antiqua" w:hAnsi="Book Antiqua"/>
        </w:rPr>
      </w:pPr>
      <w:r w:rsidRPr="001645D3">
        <w:rPr>
          <w:rStyle w:val="FootnoteReference"/>
          <w:rFonts w:ascii="Book Antiqua" w:hAnsi="Book Antiqua"/>
        </w:rPr>
        <w:footnoteRef/>
      </w:r>
      <w:r w:rsidRPr="001645D3">
        <w:rPr>
          <w:rFonts w:ascii="Book Antiqua" w:hAnsi="Book Antiqua"/>
        </w:rPr>
        <w:t xml:space="preserve"> </w:t>
      </w:r>
      <w:r w:rsidR="00F00755">
        <w:rPr>
          <w:rFonts w:ascii="Book Antiqua" w:hAnsi="Book Antiqua"/>
        </w:rPr>
        <w:t xml:space="preserve"> </w:t>
      </w:r>
      <w:r w:rsidRPr="001645D3">
        <w:rPr>
          <w:rFonts w:ascii="Book Antiqua" w:hAnsi="Book Antiqua"/>
        </w:rPr>
        <w:t>https://docs.cpuc.ca.gov/SearchRes.aspx?DocFormat=ALL&amp;DocID=349245342.</w:t>
      </w:r>
    </w:p>
  </w:footnote>
  <w:footnote w:id="6">
    <w:p w14:paraId="1A212FC8" w14:textId="77777777" w:rsidR="00461787" w:rsidRPr="000F789C" w:rsidRDefault="00461787" w:rsidP="00461787">
      <w:pPr>
        <w:pStyle w:val="FootnoteText"/>
        <w:spacing w:after="120"/>
        <w:rPr>
          <w:rFonts w:ascii="Book Antiqua" w:hAnsi="Book Antiqua"/>
          <w:szCs w:val="24"/>
        </w:rPr>
      </w:pPr>
      <w:r w:rsidRPr="000F789C">
        <w:rPr>
          <w:rStyle w:val="FootnoteReference"/>
          <w:rFonts w:ascii="Book Antiqua" w:hAnsi="Book Antiqua"/>
          <w:szCs w:val="24"/>
        </w:rPr>
        <w:footnoteRef/>
      </w:r>
      <w:r w:rsidRPr="000F789C">
        <w:rPr>
          <w:rFonts w:ascii="Book Antiqua" w:hAnsi="Book Antiqua"/>
          <w:szCs w:val="24"/>
        </w:rPr>
        <w:t xml:space="preserve">  Unless otherwise stated, all code section references are to the Public Utilities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BF4D" w14:textId="77777777" w:rsidR="00FA4793" w:rsidRDefault="00FA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A197" w14:textId="1A16B2CA" w:rsidR="00C473F1" w:rsidRPr="001645D3" w:rsidRDefault="00560604" w:rsidP="00C473F1">
    <w:pPr>
      <w:pStyle w:val="Header"/>
      <w:tabs>
        <w:tab w:val="clear" w:pos="8640"/>
        <w:tab w:val="right" w:pos="9360"/>
      </w:tabs>
      <w:rPr>
        <w:rFonts w:ascii="Book Antiqua" w:hAnsi="Book Antiqua"/>
      </w:rPr>
    </w:pPr>
    <w:r>
      <w:rPr>
        <w:rFonts w:ascii="Book Antiqua" w:hAnsi="Book Antiqua"/>
      </w:rPr>
      <w:t>A.</w:t>
    </w:r>
    <w:r w:rsidR="00F455E8">
      <w:rPr>
        <w:rFonts w:ascii="Book Antiqua" w:hAnsi="Book Antiqua"/>
      </w:rPr>
      <w:t>19-</w:t>
    </w:r>
    <w:r w:rsidR="00542F12">
      <w:rPr>
        <w:rFonts w:ascii="Book Antiqua" w:hAnsi="Book Antiqua"/>
      </w:rPr>
      <w:t>11-003 et al.</w:t>
    </w:r>
    <w:r w:rsidR="00DD1176" w:rsidRPr="009B2873">
      <w:rPr>
        <w:rFonts w:ascii="Book Antiqua" w:hAnsi="Book Antiqua"/>
      </w:rPr>
      <w:t xml:space="preserve">  </w:t>
    </w:r>
    <w:r>
      <w:rPr>
        <w:rFonts w:ascii="Book Antiqua" w:hAnsi="Book Antiqua"/>
      </w:rPr>
      <w:t>ALJ/</w:t>
    </w:r>
    <w:r w:rsidR="00542F12">
      <w:rPr>
        <w:rFonts w:ascii="Book Antiqua" w:hAnsi="Book Antiqua"/>
      </w:rPr>
      <w:t>ATR</w:t>
    </w:r>
    <w:r w:rsidR="002F0CD6" w:rsidRPr="009B2873">
      <w:rPr>
        <w:rFonts w:ascii="Book Antiqua" w:hAnsi="Book Antiqua"/>
      </w:rPr>
      <w:t>/</w:t>
    </w:r>
    <w:r w:rsidR="00844CE2">
      <w:rPr>
        <w:rFonts w:ascii="Book Antiqua" w:hAnsi="Book Antiqua"/>
      </w:rPr>
      <w:t>mph</w:t>
    </w:r>
  </w:p>
  <w:p w14:paraId="4EAF2193" w14:textId="2C02BF23" w:rsidR="00B62920" w:rsidRDefault="00B62920" w:rsidP="00131E5E">
    <w:pPr>
      <w:pStyle w:val="Header"/>
      <w:tabs>
        <w:tab w:val="clear" w:pos="4320"/>
        <w:tab w:val="clear" w:pos="8640"/>
        <w:tab w:val="center" w:pos="4680"/>
        <w:tab w:val="right" w:pos="9360"/>
      </w:tabs>
      <w:rPr>
        <w:rFonts w:ascii="Book Antiqua" w:hAnsi="Book Antiqua"/>
      </w:rPr>
    </w:pPr>
  </w:p>
  <w:p w14:paraId="006B6F45" w14:textId="77777777" w:rsidR="00157CE5" w:rsidRPr="001645D3" w:rsidRDefault="00157CE5" w:rsidP="00131E5E">
    <w:pPr>
      <w:pStyle w:val="Header"/>
      <w:tabs>
        <w:tab w:val="clear" w:pos="4320"/>
        <w:tab w:val="clear" w:pos="8640"/>
        <w:tab w:val="center" w:pos="4680"/>
        <w:tab w:val="right" w:pos="9360"/>
      </w:tabs>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CFD6" w14:textId="77777777" w:rsidR="00FA4793" w:rsidRDefault="00FA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A2C36"/>
    <w:multiLevelType w:val="hybridMultilevel"/>
    <w:tmpl w:val="BE1008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19636B5"/>
    <w:multiLevelType w:val="hybridMultilevel"/>
    <w:tmpl w:val="D030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D23B5"/>
    <w:multiLevelType w:val="multilevel"/>
    <w:tmpl w:val="A720096C"/>
    <w:styleLink w:val="Headings"/>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rPr>
        <w:color w:val="auto"/>
      </w:rPr>
    </w:lvl>
    <w:lvl w:ilvl="2">
      <w:start w:val="1"/>
      <w:numFmt w:val="decimal"/>
      <w:pStyle w:val="ALJHeading3"/>
      <w:lvlText w:val="%1.%2.%3."/>
      <w:lvlJc w:val="left"/>
      <w:pPr>
        <w:ind w:left="24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43E2D"/>
    <w:multiLevelType w:val="hybridMultilevel"/>
    <w:tmpl w:val="FBE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A06"/>
    <w:multiLevelType w:val="singleLevel"/>
    <w:tmpl w:val="21AE8D44"/>
    <w:lvl w:ilvl="0">
      <w:start w:val="1"/>
      <w:numFmt w:val="decimal"/>
      <w:lvlText w:val="%1."/>
      <w:legacy w:legacy="1" w:legacySpace="0" w:legacyIndent="360"/>
      <w:lvlJc w:val="left"/>
    </w:lvl>
  </w:abstractNum>
  <w:abstractNum w:abstractNumId="11" w15:restartNumberingAfterBreak="0">
    <w:nsid w:val="7B1C30FD"/>
    <w:multiLevelType w:val="singleLevel"/>
    <w:tmpl w:val="2FB6A734"/>
    <w:lvl w:ilvl="0">
      <w:start w:val="1"/>
      <w:numFmt w:val="decimal"/>
      <w:lvlText w:val="%1."/>
      <w:legacy w:legacy="1" w:legacySpace="144" w:legacyIndent="0"/>
      <w:lvlJc w:val="left"/>
    </w:lvl>
  </w:abstractNum>
  <w:abstractNum w:abstractNumId="12"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11"/>
  </w:num>
  <w:num w:numId="4">
    <w:abstractNumId w:val="10"/>
  </w:num>
  <w:num w:numId="5">
    <w:abstractNumId w:val="12"/>
  </w:num>
  <w:num w:numId="6">
    <w:abstractNumId w:val="8"/>
  </w:num>
  <w:num w:numId="7">
    <w:abstractNumId w:val="4"/>
  </w:num>
  <w:num w:numId="8">
    <w:abstractNumId w:val="6"/>
  </w:num>
  <w:num w:numId="9">
    <w:abstractNumId w:val="0"/>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328ED"/>
    <w:rsid w:val="00057810"/>
    <w:rsid w:val="00057AD7"/>
    <w:rsid w:val="00061C1D"/>
    <w:rsid w:val="00061CE8"/>
    <w:rsid w:val="000639F2"/>
    <w:rsid w:val="00074C89"/>
    <w:rsid w:val="0008366A"/>
    <w:rsid w:val="00094579"/>
    <w:rsid w:val="00095FCD"/>
    <w:rsid w:val="000A502E"/>
    <w:rsid w:val="000A6D93"/>
    <w:rsid w:val="000C1818"/>
    <w:rsid w:val="000D2682"/>
    <w:rsid w:val="000F13F5"/>
    <w:rsid w:val="000F1F94"/>
    <w:rsid w:val="000F41FC"/>
    <w:rsid w:val="000F789C"/>
    <w:rsid w:val="00105F5C"/>
    <w:rsid w:val="00107949"/>
    <w:rsid w:val="00110C8E"/>
    <w:rsid w:val="001139A6"/>
    <w:rsid w:val="00130693"/>
    <w:rsid w:val="00131E5E"/>
    <w:rsid w:val="001401B6"/>
    <w:rsid w:val="0014247A"/>
    <w:rsid w:val="00142D0D"/>
    <w:rsid w:val="0014760F"/>
    <w:rsid w:val="001515AD"/>
    <w:rsid w:val="00157CE5"/>
    <w:rsid w:val="0016171E"/>
    <w:rsid w:val="001645D3"/>
    <w:rsid w:val="00172944"/>
    <w:rsid w:val="0017399C"/>
    <w:rsid w:val="00173E34"/>
    <w:rsid w:val="00175B9B"/>
    <w:rsid w:val="001851A1"/>
    <w:rsid w:val="001949BB"/>
    <w:rsid w:val="00195C02"/>
    <w:rsid w:val="001A11FD"/>
    <w:rsid w:val="001A4063"/>
    <w:rsid w:val="001B1783"/>
    <w:rsid w:val="001B36BE"/>
    <w:rsid w:val="001C03C1"/>
    <w:rsid w:val="001C4BD2"/>
    <w:rsid w:val="001D1BD0"/>
    <w:rsid w:val="001E3773"/>
    <w:rsid w:val="00210F9F"/>
    <w:rsid w:val="00215C8F"/>
    <w:rsid w:val="00220160"/>
    <w:rsid w:val="00222429"/>
    <w:rsid w:val="002229D7"/>
    <w:rsid w:val="002329E9"/>
    <w:rsid w:val="0023415A"/>
    <w:rsid w:val="00234684"/>
    <w:rsid w:val="002356BA"/>
    <w:rsid w:val="00244695"/>
    <w:rsid w:val="00253E7C"/>
    <w:rsid w:val="00253EE7"/>
    <w:rsid w:val="00262344"/>
    <w:rsid w:val="00265047"/>
    <w:rsid w:val="0026610B"/>
    <w:rsid w:val="00271F0C"/>
    <w:rsid w:val="00285A6F"/>
    <w:rsid w:val="002870D2"/>
    <w:rsid w:val="002915AB"/>
    <w:rsid w:val="00292C35"/>
    <w:rsid w:val="002A2AFF"/>
    <w:rsid w:val="002B45F7"/>
    <w:rsid w:val="002C0607"/>
    <w:rsid w:val="002C4972"/>
    <w:rsid w:val="002C7D21"/>
    <w:rsid w:val="002D0E69"/>
    <w:rsid w:val="002D46C4"/>
    <w:rsid w:val="002F0CD6"/>
    <w:rsid w:val="002F21CE"/>
    <w:rsid w:val="002F4EC8"/>
    <w:rsid w:val="002F625C"/>
    <w:rsid w:val="002F6BD1"/>
    <w:rsid w:val="002F7D8D"/>
    <w:rsid w:val="00304495"/>
    <w:rsid w:val="0030460C"/>
    <w:rsid w:val="003067E6"/>
    <w:rsid w:val="00306E56"/>
    <w:rsid w:val="003109DB"/>
    <w:rsid w:val="003142CB"/>
    <w:rsid w:val="00314534"/>
    <w:rsid w:val="0031653E"/>
    <w:rsid w:val="00323EF8"/>
    <w:rsid w:val="00330349"/>
    <w:rsid w:val="00340309"/>
    <w:rsid w:val="00340CAF"/>
    <w:rsid w:val="003415C2"/>
    <w:rsid w:val="00341908"/>
    <w:rsid w:val="00342D73"/>
    <w:rsid w:val="00354DF4"/>
    <w:rsid w:val="00362FEC"/>
    <w:rsid w:val="00365256"/>
    <w:rsid w:val="0037701F"/>
    <w:rsid w:val="003855F1"/>
    <w:rsid w:val="0039260C"/>
    <w:rsid w:val="003975E4"/>
    <w:rsid w:val="003A3FFB"/>
    <w:rsid w:val="003A6C30"/>
    <w:rsid w:val="003B0C1B"/>
    <w:rsid w:val="003B1294"/>
    <w:rsid w:val="003B1C4E"/>
    <w:rsid w:val="003C362B"/>
    <w:rsid w:val="003D16CD"/>
    <w:rsid w:val="003D2753"/>
    <w:rsid w:val="003D293C"/>
    <w:rsid w:val="003D7A1A"/>
    <w:rsid w:val="003E0DF1"/>
    <w:rsid w:val="003E1FAB"/>
    <w:rsid w:val="003E6DFD"/>
    <w:rsid w:val="003F3DDF"/>
    <w:rsid w:val="00406E09"/>
    <w:rsid w:val="00410098"/>
    <w:rsid w:val="00421D42"/>
    <w:rsid w:val="00424493"/>
    <w:rsid w:val="00434F77"/>
    <w:rsid w:val="004357FC"/>
    <w:rsid w:val="00443117"/>
    <w:rsid w:val="004456DD"/>
    <w:rsid w:val="00447572"/>
    <w:rsid w:val="00450831"/>
    <w:rsid w:val="00452F5B"/>
    <w:rsid w:val="00461787"/>
    <w:rsid w:val="00465654"/>
    <w:rsid w:val="004842E8"/>
    <w:rsid w:val="004923AE"/>
    <w:rsid w:val="0049361D"/>
    <w:rsid w:val="004A288D"/>
    <w:rsid w:val="004A48F7"/>
    <w:rsid w:val="004A75C0"/>
    <w:rsid w:val="004A79DE"/>
    <w:rsid w:val="004B10B1"/>
    <w:rsid w:val="004B222F"/>
    <w:rsid w:val="004B5B63"/>
    <w:rsid w:val="004D0A57"/>
    <w:rsid w:val="004D767B"/>
    <w:rsid w:val="004E7181"/>
    <w:rsid w:val="004E7416"/>
    <w:rsid w:val="005004A5"/>
    <w:rsid w:val="0050422A"/>
    <w:rsid w:val="00505391"/>
    <w:rsid w:val="00512357"/>
    <w:rsid w:val="00513E80"/>
    <w:rsid w:val="0051774C"/>
    <w:rsid w:val="00517BEF"/>
    <w:rsid w:val="00517EAF"/>
    <w:rsid w:val="00522D3D"/>
    <w:rsid w:val="005250A2"/>
    <w:rsid w:val="00530498"/>
    <w:rsid w:val="005330B4"/>
    <w:rsid w:val="00540B67"/>
    <w:rsid w:val="00542F12"/>
    <w:rsid w:val="00550CD4"/>
    <w:rsid w:val="005520E3"/>
    <w:rsid w:val="00552330"/>
    <w:rsid w:val="00552DDD"/>
    <w:rsid w:val="0055350B"/>
    <w:rsid w:val="00553B36"/>
    <w:rsid w:val="00554B56"/>
    <w:rsid w:val="00560604"/>
    <w:rsid w:val="00586B57"/>
    <w:rsid w:val="00586C77"/>
    <w:rsid w:val="0059642F"/>
    <w:rsid w:val="005A19D9"/>
    <w:rsid w:val="005A6278"/>
    <w:rsid w:val="005A6BB7"/>
    <w:rsid w:val="005C2D36"/>
    <w:rsid w:val="005C52D2"/>
    <w:rsid w:val="005C61FE"/>
    <w:rsid w:val="005D1BDF"/>
    <w:rsid w:val="005D4D46"/>
    <w:rsid w:val="005D6082"/>
    <w:rsid w:val="005E1B52"/>
    <w:rsid w:val="005E2FD8"/>
    <w:rsid w:val="005F4AC7"/>
    <w:rsid w:val="005F589A"/>
    <w:rsid w:val="005F6E68"/>
    <w:rsid w:val="00600EF8"/>
    <w:rsid w:val="00606032"/>
    <w:rsid w:val="00607F12"/>
    <w:rsid w:val="0061126F"/>
    <w:rsid w:val="00614CA6"/>
    <w:rsid w:val="0062368C"/>
    <w:rsid w:val="00625BDB"/>
    <w:rsid w:val="00642AB4"/>
    <w:rsid w:val="00654214"/>
    <w:rsid w:val="00655970"/>
    <w:rsid w:val="0065678B"/>
    <w:rsid w:val="00660256"/>
    <w:rsid w:val="0067542A"/>
    <w:rsid w:val="0067623F"/>
    <w:rsid w:val="00685B50"/>
    <w:rsid w:val="006A0A13"/>
    <w:rsid w:val="006A2C2A"/>
    <w:rsid w:val="006A7E18"/>
    <w:rsid w:val="006B5192"/>
    <w:rsid w:val="006B5C09"/>
    <w:rsid w:val="006B6D82"/>
    <w:rsid w:val="006C05C3"/>
    <w:rsid w:val="006C11E7"/>
    <w:rsid w:val="006C259F"/>
    <w:rsid w:val="006C2F15"/>
    <w:rsid w:val="006C36A2"/>
    <w:rsid w:val="006C502C"/>
    <w:rsid w:val="006C50E8"/>
    <w:rsid w:val="006D06DB"/>
    <w:rsid w:val="006D74B1"/>
    <w:rsid w:val="006E3718"/>
    <w:rsid w:val="006E5F10"/>
    <w:rsid w:val="006E754F"/>
    <w:rsid w:val="006F05C2"/>
    <w:rsid w:val="006F5823"/>
    <w:rsid w:val="006F5C45"/>
    <w:rsid w:val="00700938"/>
    <w:rsid w:val="00703FDC"/>
    <w:rsid w:val="007079AF"/>
    <w:rsid w:val="00711C61"/>
    <w:rsid w:val="00713142"/>
    <w:rsid w:val="007178BA"/>
    <w:rsid w:val="00727FF5"/>
    <w:rsid w:val="00740AE3"/>
    <w:rsid w:val="00763165"/>
    <w:rsid w:val="00771E89"/>
    <w:rsid w:val="00780122"/>
    <w:rsid w:val="0078215C"/>
    <w:rsid w:val="00783368"/>
    <w:rsid w:val="007873B3"/>
    <w:rsid w:val="007938C2"/>
    <w:rsid w:val="007A6B7B"/>
    <w:rsid w:val="007B05D0"/>
    <w:rsid w:val="007B25A2"/>
    <w:rsid w:val="007B3E38"/>
    <w:rsid w:val="007B5FEE"/>
    <w:rsid w:val="007B72C7"/>
    <w:rsid w:val="007C256A"/>
    <w:rsid w:val="007C3C63"/>
    <w:rsid w:val="007C6C9F"/>
    <w:rsid w:val="007D0F17"/>
    <w:rsid w:val="007E2869"/>
    <w:rsid w:val="007E448B"/>
    <w:rsid w:val="007E6897"/>
    <w:rsid w:val="007F3737"/>
    <w:rsid w:val="007F63A9"/>
    <w:rsid w:val="00801D2B"/>
    <w:rsid w:val="00803F45"/>
    <w:rsid w:val="00804CB2"/>
    <w:rsid w:val="0080650C"/>
    <w:rsid w:val="00826873"/>
    <w:rsid w:val="00831599"/>
    <w:rsid w:val="00835FFA"/>
    <w:rsid w:val="0083777F"/>
    <w:rsid w:val="00837CC2"/>
    <w:rsid w:val="00841B13"/>
    <w:rsid w:val="00844CE2"/>
    <w:rsid w:val="008635C0"/>
    <w:rsid w:val="00863B9F"/>
    <w:rsid w:val="0087177D"/>
    <w:rsid w:val="00874847"/>
    <w:rsid w:val="0089195D"/>
    <w:rsid w:val="008950C0"/>
    <w:rsid w:val="008A19B5"/>
    <w:rsid w:val="008A61FC"/>
    <w:rsid w:val="008A7141"/>
    <w:rsid w:val="008B0907"/>
    <w:rsid w:val="008B44A1"/>
    <w:rsid w:val="008B583E"/>
    <w:rsid w:val="008C4825"/>
    <w:rsid w:val="008C4EA2"/>
    <w:rsid w:val="008C4EF6"/>
    <w:rsid w:val="008C572C"/>
    <w:rsid w:val="008C6949"/>
    <w:rsid w:val="008C7353"/>
    <w:rsid w:val="008D04ED"/>
    <w:rsid w:val="008D32EF"/>
    <w:rsid w:val="008D351D"/>
    <w:rsid w:val="008D3DD3"/>
    <w:rsid w:val="008E071B"/>
    <w:rsid w:val="008E1AAD"/>
    <w:rsid w:val="008F2E4B"/>
    <w:rsid w:val="008F6067"/>
    <w:rsid w:val="00900C89"/>
    <w:rsid w:val="00901AE0"/>
    <w:rsid w:val="00914786"/>
    <w:rsid w:val="00922F40"/>
    <w:rsid w:val="0092571A"/>
    <w:rsid w:val="00927A42"/>
    <w:rsid w:val="00932ECF"/>
    <w:rsid w:val="009362C1"/>
    <w:rsid w:val="009429BA"/>
    <w:rsid w:val="009454F6"/>
    <w:rsid w:val="00950C51"/>
    <w:rsid w:val="00956E2F"/>
    <w:rsid w:val="00960C1A"/>
    <w:rsid w:val="00961445"/>
    <w:rsid w:val="00964994"/>
    <w:rsid w:val="00971649"/>
    <w:rsid w:val="00972D20"/>
    <w:rsid w:val="00975976"/>
    <w:rsid w:val="00980F42"/>
    <w:rsid w:val="00982438"/>
    <w:rsid w:val="00984A45"/>
    <w:rsid w:val="00986390"/>
    <w:rsid w:val="00986A6C"/>
    <w:rsid w:val="009906D4"/>
    <w:rsid w:val="009940BE"/>
    <w:rsid w:val="00994A7E"/>
    <w:rsid w:val="00996C01"/>
    <w:rsid w:val="009A5093"/>
    <w:rsid w:val="009B2628"/>
    <w:rsid w:val="009B2873"/>
    <w:rsid w:val="009B3BEE"/>
    <w:rsid w:val="009B666F"/>
    <w:rsid w:val="009D6F4E"/>
    <w:rsid w:val="009E2DB4"/>
    <w:rsid w:val="009E3647"/>
    <w:rsid w:val="009E51EF"/>
    <w:rsid w:val="009E5EC3"/>
    <w:rsid w:val="009F2FBB"/>
    <w:rsid w:val="009F342C"/>
    <w:rsid w:val="009F58A6"/>
    <w:rsid w:val="009F75F2"/>
    <w:rsid w:val="00A02E3B"/>
    <w:rsid w:val="00A032BB"/>
    <w:rsid w:val="00A13543"/>
    <w:rsid w:val="00A151EB"/>
    <w:rsid w:val="00A160AE"/>
    <w:rsid w:val="00A17F8A"/>
    <w:rsid w:val="00A202E2"/>
    <w:rsid w:val="00A4369A"/>
    <w:rsid w:val="00A43AAA"/>
    <w:rsid w:val="00A44D0F"/>
    <w:rsid w:val="00A561F7"/>
    <w:rsid w:val="00A606B2"/>
    <w:rsid w:val="00A61055"/>
    <w:rsid w:val="00A72DC7"/>
    <w:rsid w:val="00A77338"/>
    <w:rsid w:val="00A773CB"/>
    <w:rsid w:val="00A91EBD"/>
    <w:rsid w:val="00A93DC3"/>
    <w:rsid w:val="00AA4A7C"/>
    <w:rsid w:val="00AA6D92"/>
    <w:rsid w:val="00AB19EA"/>
    <w:rsid w:val="00AB4D07"/>
    <w:rsid w:val="00AC22A7"/>
    <w:rsid w:val="00AD387C"/>
    <w:rsid w:val="00AE1676"/>
    <w:rsid w:val="00AE3342"/>
    <w:rsid w:val="00AE4F8A"/>
    <w:rsid w:val="00AE7D6C"/>
    <w:rsid w:val="00B018E2"/>
    <w:rsid w:val="00B074AC"/>
    <w:rsid w:val="00B10965"/>
    <w:rsid w:val="00B1451B"/>
    <w:rsid w:val="00B16C20"/>
    <w:rsid w:val="00B20BD9"/>
    <w:rsid w:val="00B22B31"/>
    <w:rsid w:val="00B24AA2"/>
    <w:rsid w:val="00B26F0F"/>
    <w:rsid w:val="00B32B8D"/>
    <w:rsid w:val="00B46D2B"/>
    <w:rsid w:val="00B53AB3"/>
    <w:rsid w:val="00B57A23"/>
    <w:rsid w:val="00B618AF"/>
    <w:rsid w:val="00B62920"/>
    <w:rsid w:val="00B65771"/>
    <w:rsid w:val="00B74C6A"/>
    <w:rsid w:val="00B81FCE"/>
    <w:rsid w:val="00B84394"/>
    <w:rsid w:val="00B843D0"/>
    <w:rsid w:val="00B8471D"/>
    <w:rsid w:val="00B84B97"/>
    <w:rsid w:val="00B84D59"/>
    <w:rsid w:val="00B911FA"/>
    <w:rsid w:val="00B91922"/>
    <w:rsid w:val="00B94CD4"/>
    <w:rsid w:val="00B96CDF"/>
    <w:rsid w:val="00BA0468"/>
    <w:rsid w:val="00BA664B"/>
    <w:rsid w:val="00BB3B83"/>
    <w:rsid w:val="00BB6F20"/>
    <w:rsid w:val="00BD198E"/>
    <w:rsid w:val="00BD3A7D"/>
    <w:rsid w:val="00BD4C49"/>
    <w:rsid w:val="00BE024E"/>
    <w:rsid w:val="00BE18BC"/>
    <w:rsid w:val="00BE30C2"/>
    <w:rsid w:val="00BF29BD"/>
    <w:rsid w:val="00BF5098"/>
    <w:rsid w:val="00C00C91"/>
    <w:rsid w:val="00C1545C"/>
    <w:rsid w:val="00C15969"/>
    <w:rsid w:val="00C15B7D"/>
    <w:rsid w:val="00C21B7C"/>
    <w:rsid w:val="00C24AB7"/>
    <w:rsid w:val="00C30BBA"/>
    <w:rsid w:val="00C36CA6"/>
    <w:rsid w:val="00C42108"/>
    <w:rsid w:val="00C465F8"/>
    <w:rsid w:val="00C473F1"/>
    <w:rsid w:val="00C521EC"/>
    <w:rsid w:val="00C53620"/>
    <w:rsid w:val="00C61421"/>
    <w:rsid w:val="00C64F42"/>
    <w:rsid w:val="00C66EC4"/>
    <w:rsid w:val="00C6728B"/>
    <w:rsid w:val="00C7241F"/>
    <w:rsid w:val="00C74F7D"/>
    <w:rsid w:val="00C84781"/>
    <w:rsid w:val="00C8610C"/>
    <w:rsid w:val="00C92C19"/>
    <w:rsid w:val="00C93A54"/>
    <w:rsid w:val="00C96CA3"/>
    <w:rsid w:val="00CA1880"/>
    <w:rsid w:val="00CA590F"/>
    <w:rsid w:val="00CB0E5E"/>
    <w:rsid w:val="00CB6B25"/>
    <w:rsid w:val="00CC222B"/>
    <w:rsid w:val="00CD223B"/>
    <w:rsid w:val="00CD7C25"/>
    <w:rsid w:val="00CE27D8"/>
    <w:rsid w:val="00CE2CE7"/>
    <w:rsid w:val="00D0297D"/>
    <w:rsid w:val="00D1025D"/>
    <w:rsid w:val="00D11EB2"/>
    <w:rsid w:val="00D16326"/>
    <w:rsid w:val="00D17F18"/>
    <w:rsid w:val="00D2565F"/>
    <w:rsid w:val="00D42567"/>
    <w:rsid w:val="00D440D8"/>
    <w:rsid w:val="00D45AEF"/>
    <w:rsid w:val="00D707CD"/>
    <w:rsid w:val="00D72A02"/>
    <w:rsid w:val="00D8577A"/>
    <w:rsid w:val="00D86F4A"/>
    <w:rsid w:val="00D90439"/>
    <w:rsid w:val="00D960B3"/>
    <w:rsid w:val="00DB064D"/>
    <w:rsid w:val="00DB7725"/>
    <w:rsid w:val="00DC67C5"/>
    <w:rsid w:val="00DD0A38"/>
    <w:rsid w:val="00DD1176"/>
    <w:rsid w:val="00DD6095"/>
    <w:rsid w:val="00DD74F7"/>
    <w:rsid w:val="00DE3E91"/>
    <w:rsid w:val="00DE5F6F"/>
    <w:rsid w:val="00DE78BF"/>
    <w:rsid w:val="00E12A50"/>
    <w:rsid w:val="00E2131A"/>
    <w:rsid w:val="00E23751"/>
    <w:rsid w:val="00E23C37"/>
    <w:rsid w:val="00E2406A"/>
    <w:rsid w:val="00E51FDB"/>
    <w:rsid w:val="00E56F14"/>
    <w:rsid w:val="00E61C04"/>
    <w:rsid w:val="00E6252E"/>
    <w:rsid w:val="00E66810"/>
    <w:rsid w:val="00E7156B"/>
    <w:rsid w:val="00E75E91"/>
    <w:rsid w:val="00E808DE"/>
    <w:rsid w:val="00E81113"/>
    <w:rsid w:val="00E8152E"/>
    <w:rsid w:val="00E92211"/>
    <w:rsid w:val="00E93F4E"/>
    <w:rsid w:val="00E952D7"/>
    <w:rsid w:val="00E96632"/>
    <w:rsid w:val="00EA27F8"/>
    <w:rsid w:val="00EA2808"/>
    <w:rsid w:val="00EA39F7"/>
    <w:rsid w:val="00EB135E"/>
    <w:rsid w:val="00EB269F"/>
    <w:rsid w:val="00EB2F54"/>
    <w:rsid w:val="00EB4115"/>
    <w:rsid w:val="00EC6F5D"/>
    <w:rsid w:val="00EC757F"/>
    <w:rsid w:val="00ED039D"/>
    <w:rsid w:val="00ED68F7"/>
    <w:rsid w:val="00EE5835"/>
    <w:rsid w:val="00EE635F"/>
    <w:rsid w:val="00EE6CFE"/>
    <w:rsid w:val="00EF12D5"/>
    <w:rsid w:val="00F00755"/>
    <w:rsid w:val="00F01BB4"/>
    <w:rsid w:val="00F01EFE"/>
    <w:rsid w:val="00F04812"/>
    <w:rsid w:val="00F049F2"/>
    <w:rsid w:val="00F05623"/>
    <w:rsid w:val="00F1271A"/>
    <w:rsid w:val="00F16256"/>
    <w:rsid w:val="00F1655A"/>
    <w:rsid w:val="00F26EC7"/>
    <w:rsid w:val="00F30959"/>
    <w:rsid w:val="00F32788"/>
    <w:rsid w:val="00F4498F"/>
    <w:rsid w:val="00F455E8"/>
    <w:rsid w:val="00F50275"/>
    <w:rsid w:val="00F51592"/>
    <w:rsid w:val="00F60909"/>
    <w:rsid w:val="00F62153"/>
    <w:rsid w:val="00F63717"/>
    <w:rsid w:val="00F701E2"/>
    <w:rsid w:val="00F74A51"/>
    <w:rsid w:val="00F81046"/>
    <w:rsid w:val="00F83166"/>
    <w:rsid w:val="00F90B38"/>
    <w:rsid w:val="00F94675"/>
    <w:rsid w:val="00F977D9"/>
    <w:rsid w:val="00FA471C"/>
    <w:rsid w:val="00FA4793"/>
    <w:rsid w:val="00FA72C3"/>
    <w:rsid w:val="00FC4362"/>
    <w:rsid w:val="00FC4E74"/>
    <w:rsid w:val="00FC7661"/>
    <w:rsid w:val="00FD4C17"/>
    <w:rsid w:val="00FD4DA2"/>
    <w:rsid w:val="00FD568F"/>
    <w:rsid w:val="00FE0125"/>
    <w:rsid w:val="00FE31DA"/>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qFormat/>
    <w:pPr>
      <w:spacing w:after="240"/>
    </w:pPr>
    <w:rPr>
      <w:sz w:val="24"/>
    </w:rPr>
  </w:style>
  <w:style w:type="character" w:styleId="FootnoteReference">
    <w:name w:val="footnote reference"/>
    <w:aliases w:val="o,fr,Style 3,o1,o2,o3,o4,o5,o6,o11,o21,o7,o + Times New Roman,Style 12,(NECG) Footnote Reference,Appel note de bas de p,Style 124,Style 17,char,o7 + Palati...,Char Char Char Char,Footnote Reference1,Style 58"/>
    <w:basedOn w:val="DefaultParagraphFont"/>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A561F7"/>
    <w:rPr>
      <w:rFonts w:ascii="Palatino" w:hAnsi="Palatino"/>
      <w:sz w:val="24"/>
    </w:rPr>
  </w:style>
  <w:style w:type="table" w:styleId="TableGrid">
    <w:name w:val="Table Grid"/>
    <w:basedOn w:val="TableNormal"/>
    <w:uiPriority w:val="39"/>
    <w:rsid w:val="002229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BodyText">
    <w:name w:val="ALJ Body Text"/>
    <w:basedOn w:val="Normal"/>
    <w:link w:val="ALJBodyTextChar"/>
    <w:qFormat/>
    <w:rsid w:val="002229D7"/>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2229D7"/>
    <w:rPr>
      <w:rFonts w:ascii="Book Antiqua" w:eastAsiaTheme="minorHAnsi" w:hAnsi="Book Antiqua"/>
      <w:sz w:val="26"/>
    </w:rPr>
  </w:style>
  <w:style w:type="numbering" w:customStyle="1" w:styleId="Headings">
    <w:name w:val="Headings"/>
    <w:uiPriority w:val="99"/>
    <w:rsid w:val="00F455E8"/>
    <w:pPr>
      <w:numPr>
        <w:numId w:val="11"/>
      </w:numPr>
    </w:pPr>
  </w:style>
  <w:style w:type="paragraph" w:customStyle="1" w:styleId="Standard0">
    <w:name w:val="Standard"/>
    <w:basedOn w:val="Normal"/>
    <w:qFormat/>
    <w:rsid w:val="00F455E8"/>
    <w:rPr>
      <w:rFonts w:ascii="Book Antiqua" w:eastAsiaTheme="minorHAnsi" w:hAnsi="Book Antiqua"/>
    </w:rPr>
  </w:style>
  <w:style w:type="paragraph" w:customStyle="1" w:styleId="ALJHeading1">
    <w:name w:val="ALJ Heading 1"/>
    <w:basedOn w:val="ALJBodyText"/>
    <w:next w:val="ALJBodyText"/>
    <w:qFormat/>
    <w:rsid w:val="00F455E8"/>
    <w:pPr>
      <w:keepNext/>
      <w:numPr>
        <w:numId w:val="11"/>
      </w:numPr>
      <w:spacing w:after="120" w:line="240" w:lineRule="auto"/>
      <w:ind w:right="720"/>
    </w:pPr>
    <w:rPr>
      <w:rFonts w:ascii="Arial" w:hAnsi="Arial" w:cs="Arial"/>
      <w:b/>
    </w:rPr>
  </w:style>
  <w:style w:type="paragraph" w:customStyle="1" w:styleId="ALJHeading2">
    <w:name w:val="ALJ Heading 2"/>
    <w:basedOn w:val="ALJHeading1"/>
    <w:next w:val="ALJBodyText"/>
    <w:qFormat/>
    <w:rsid w:val="00F455E8"/>
    <w:pPr>
      <w:numPr>
        <w:ilvl w:val="1"/>
      </w:numPr>
      <w:tabs>
        <w:tab w:val="left" w:pos="1080"/>
      </w:tabs>
    </w:pPr>
  </w:style>
  <w:style w:type="paragraph" w:customStyle="1" w:styleId="ALJHeading3">
    <w:name w:val="ALJ Heading 3"/>
    <w:basedOn w:val="ALJBodyText"/>
    <w:next w:val="ALJBodyText"/>
    <w:link w:val="ALJHeading3Char"/>
    <w:qFormat/>
    <w:rsid w:val="00F455E8"/>
    <w:pPr>
      <w:keepNext/>
      <w:numPr>
        <w:ilvl w:val="2"/>
        <w:numId w:val="11"/>
      </w:numPr>
      <w:spacing w:after="120" w:line="240" w:lineRule="auto"/>
      <w:ind w:right="1872"/>
    </w:pPr>
    <w:rPr>
      <w:rFonts w:ascii="Arial" w:hAnsi="Arial" w:cs="Arial"/>
      <w:b/>
    </w:rPr>
  </w:style>
  <w:style w:type="character" w:customStyle="1" w:styleId="ALJHeading3Char">
    <w:name w:val="ALJ Heading 3 Char"/>
    <w:basedOn w:val="ALJBodyTextChar"/>
    <w:link w:val="ALJHeading3"/>
    <w:rsid w:val="00F455E8"/>
    <w:rPr>
      <w:rFonts w:ascii="Arial" w:eastAsiaTheme="minorHAnsi" w:hAnsi="Arial" w:cs="Arial"/>
      <w:b/>
      <w:sz w:val="26"/>
    </w:rPr>
  </w:style>
  <w:style w:type="character" w:styleId="CommentReference">
    <w:name w:val="annotation reference"/>
    <w:basedOn w:val="DefaultParagraphFont"/>
    <w:uiPriority w:val="99"/>
    <w:semiHidden/>
    <w:unhideWhenUsed/>
    <w:rsid w:val="00F455E8"/>
    <w:rPr>
      <w:sz w:val="16"/>
      <w:szCs w:val="16"/>
    </w:rPr>
  </w:style>
  <w:style w:type="paragraph" w:styleId="CommentText">
    <w:name w:val="annotation text"/>
    <w:basedOn w:val="Normal"/>
    <w:link w:val="CommentTextChar"/>
    <w:uiPriority w:val="99"/>
    <w:unhideWhenUsed/>
    <w:rsid w:val="00F455E8"/>
    <w:rPr>
      <w:rFonts w:ascii="Book Antiqua" w:eastAsiaTheme="minorHAnsi" w:hAnsi="Book Antiqua"/>
      <w:sz w:val="20"/>
    </w:rPr>
  </w:style>
  <w:style w:type="character" w:customStyle="1" w:styleId="CommentTextChar">
    <w:name w:val="Comment Text Char"/>
    <w:basedOn w:val="DefaultParagraphFont"/>
    <w:link w:val="CommentText"/>
    <w:uiPriority w:val="99"/>
    <w:rsid w:val="00F455E8"/>
    <w:rPr>
      <w:rFonts w:ascii="Book Antiqua" w:eastAsiaTheme="minorHAnsi"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9451737">
      <w:bodyDiv w:val="1"/>
      <w:marLeft w:val="0"/>
      <w:marRight w:val="0"/>
      <w:marTop w:val="0"/>
      <w:marBottom w:val="0"/>
      <w:divBdr>
        <w:top w:val="none" w:sz="0" w:space="0" w:color="auto"/>
        <w:left w:val="none" w:sz="0" w:space="0" w:color="auto"/>
        <w:bottom w:val="none" w:sz="0" w:space="0" w:color="auto"/>
        <w:right w:val="none" w:sz="0" w:space="0" w:color="auto"/>
      </w:divBdr>
    </w:div>
    <w:div w:id="910235378">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3AC8-D186-4AF4-BFCC-FEA74082E6A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832</ap:Words>
  <ap:Characters>4745</ap:Characters>
  <ap:Application>Microsoft Office Word</ap:Application>
  <ap:DocSecurity>0</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5566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2021-04-20T09:29:58Z</dcterms:created>
  <dcterms:modified xsi:type="dcterms:W3CDTF">2021-04-20T09:29:58Z</dcterms:modified>
</cp:coreProperties>
</file>