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331C" w:rsidR="00273542" w:rsidP="005D331C" w:rsidRDefault="00EC4948" w14:paraId="2E8CBFAA" w14:textId="198E6A52">
      <w:pPr>
        <w:tabs>
          <w:tab w:val="center" w:pos="4050"/>
          <w:tab w:val="left" w:pos="6210"/>
          <w:tab w:val="right" w:pos="9360"/>
        </w:tabs>
        <w:spacing w:line="240" w:lineRule="auto"/>
        <w:ind w:firstLine="0"/>
        <w:rPr>
          <w:b/>
          <w:szCs w:val="26"/>
        </w:rPr>
      </w:pPr>
      <w:r>
        <w:t>ALJ/PW1/</w:t>
      </w:r>
      <w:r w:rsidR="00F13D6A">
        <w:t>gp2</w:t>
      </w:r>
      <w:r>
        <w:tab/>
      </w:r>
      <w:r w:rsidR="005D331C">
        <w:rPr>
          <w:rFonts w:ascii="Arial" w:hAnsi="Arial" w:cs="Arial"/>
          <w:b/>
          <w:sz w:val="32"/>
          <w:szCs w:val="32"/>
        </w:rPr>
        <w:tab/>
      </w:r>
      <w:r w:rsidRPr="005D331C" w:rsidR="005D331C">
        <w:rPr>
          <w:rFonts w:cs="Arial"/>
          <w:b/>
          <w:szCs w:val="26"/>
        </w:rPr>
        <w:t>Date of Issuance:  4/20/2021</w:t>
      </w:r>
    </w:p>
    <w:p w:rsidR="00837AAF" w:rsidP="008F0116" w:rsidRDefault="00837AAF" w14:paraId="436E81F2" w14:textId="289FDB35">
      <w:pPr>
        <w:ind w:firstLine="0"/>
      </w:pPr>
    </w:p>
    <w:p w:rsidRPr="00EC4948" w:rsidR="00DA7B5D" w:rsidP="0098655A" w:rsidRDefault="00DA7B5D" w14:paraId="71E21DB6" w14:textId="7E24255C">
      <w:pPr>
        <w:ind w:left="1080" w:hanging="1080"/>
        <w:rPr>
          <w:b/>
          <w:bCs/>
        </w:rPr>
      </w:pPr>
      <w:r>
        <w:t xml:space="preserve">Decision </w:t>
      </w:r>
      <w:r w:rsidRPr="005D331C" w:rsidR="005D331C">
        <w:t>21-04-</w:t>
      </w:r>
      <w:proofErr w:type="gramStart"/>
      <w:r w:rsidRPr="005D331C" w:rsidR="005D331C">
        <w:t>008</w:t>
      </w:r>
      <w:r w:rsidR="005D331C">
        <w:t xml:space="preserve">  April</w:t>
      </w:r>
      <w:proofErr w:type="gramEnd"/>
      <w:r w:rsidR="005D331C">
        <w:t xml:space="preserve"> 15, 2021</w:t>
      </w:r>
    </w:p>
    <w:p w:rsidR="00DA7B5D" w:rsidP="00BB0243" w:rsidRDefault="00DA7B5D" w14:paraId="0A9ABA45" w14:textId="77777777">
      <w:pPr>
        <w:spacing w:line="240" w:lineRule="auto"/>
        <w:jc w:val="center"/>
        <w:rPr>
          <w:u w:val="single"/>
        </w:rPr>
      </w:pPr>
    </w:p>
    <w:p w:rsidR="00DA7B5D" w:rsidP="00BB0243" w:rsidRDefault="00DA7B5D" w14:paraId="6CE892F3"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315A62B9" w14:textId="0E6F889A">
      <w:pPr>
        <w:spacing w:line="240" w:lineRule="auto"/>
        <w:ind w:firstLine="0"/>
        <w:rPr>
          <w:rFonts w:ascii="Arial" w:hAnsi="Arial" w:cs="Arial"/>
          <w:sz w:val="24"/>
          <w:szCs w:val="24"/>
        </w:rPr>
      </w:pPr>
    </w:p>
    <w:p w:rsidR="00B35768" w:rsidP="008F0116" w:rsidRDefault="00B35768" w14:paraId="67D82468" w14:textId="77777777">
      <w:pPr>
        <w:spacing w:line="240" w:lineRule="auto"/>
        <w:ind w:firstLine="0"/>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DA7B5D" w:rsidTr="00F13D6A" w14:paraId="08A1E1D0" w14:textId="77777777">
        <w:tc>
          <w:tcPr>
            <w:tcW w:w="4675" w:type="dxa"/>
            <w:tcBorders>
              <w:top w:val="nil"/>
              <w:left w:val="nil"/>
              <w:bottom w:val="single" w:color="auto" w:sz="4" w:space="0"/>
              <w:right w:val="single" w:color="auto" w:sz="4" w:space="0"/>
            </w:tcBorders>
          </w:tcPr>
          <w:p w:rsidRPr="00DA7B5D" w:rsidR="00DA7B5D" w:rsidP="00C10B5F" w:rsidRDefault="007265D5" w14:paraId="738A2327" w14:textId="37936C17">
            <w:pPr>
              <w:spacing w:line="240" w:lineRule="auto"/>
              <w:ind w:firstLine="0"/>
              <w:rPr>
                <w:rFonts w:cs="Arial"/>
                <w:szCs w:val="26"/>
              </w:rPr>
            </w:pPr>
            <w:bookmarkStart w:name="_Hlk67657862" w:id="0"/>
            <w:r w:rsidRPr="007024E7">
              <w:rPr>
                <w:szCs w:val="26"/>
              </w:rPr>
              <w:t>Application of Frontier Communications Corporation, Frontier California Inc.</w:t>
            </w:r>
            <w:r>
              <w:rPr>
                <w:szCs w:val="26"/>
              </w:rPr>
              <w:t xml:space="preserve"> (U1002C)</w:t>
            </w:r>
            <w:r w:rsidRPr="007024E7">
              <w:rPr>
                <w:szCs w:val="26"/>
              </w:rPr>
              <w:t>, Citizens Telecommunications Company of California Inc.</w:t>
            </w:r>
            <w:r>
              <w:rPr>
                <w:szCs w:val="26"/>
              </w:rPr>
              <w:t xml:space="preserve"> (U1024C)</w:t>
            </w:r>
            <w:r w:rsidRPr="007024E7">
              <w:rPr>
                <w:szCs w:val="26"/>
              </w:rPr>
              <w:t>, Frontier Communications of the Southwest Inc.</w:t>
            </w:r>
            <w:r>
              <w:rPr>
                <w:szCs w:val="26"/>
              </w:rPr>
              <w:t xml:space="preserve"> (U1026C)</w:t>
            </w:r>
            <w:r w:rsidRPr="007024E7">
              <w:rPr>
                <w:szCs w:val="26"/>
              </w:rPr>
              <w:t>, Frontier Communications Online and Long Distance Inc.</w:t>
            </w:r>
            <w:r>
              <w:rPr>
                <w:szCs w:val="26"/>
              </w:rPr>
              <w:t xml:space="preserve"> (U7167C)</w:t>
            </w:r>
            <w:r w:rsidRPr="007024E7">
              <w:rPr>
                <w:szCs w:val="26"/>
              </w:rPr>
              <w:t>, Frontier Communications of America, Inc.</w:t>
            </w:r>
            <w:r>
              <w:rPr>
                <w:szCs w:val="26"/>
              </w:rPr>
              <w:t xml:space="preserve"> (U5429C)</w:t>
            </w:r>
            <w:r w:rsidRPr="007024E7">
              <w:rPr>
                <w:szCs w:val="26"/>
              </w:rPr>
              <w:t xml:space="preserve"> </w:t>
            </w:r>
            <w:r>
              <w:rPr>
                <w:szCs w:val="26"/>
              </w:rPr>
              <w:t>f</w:t>
            </w:r>
            <w:r w:rsidRPr="007024E7">
              <w:rPr>
                <w:szCs w:val="26"/>
              </w:rPr>
              <w:t xml:space="preserve">or Determination </w:t>
            </w:r>
            <w:r>
              <w:rPr>
                <w:szCs w:val="26"/>
              </w:rPr>
              <w:t>t</w:t>
            </w:r>
            <w:r w:rsidRPr="007024E7">
              <w:rPr>
                <w:szCs w:val="26"/>
              </w:rPr>
              <w:t xml:space="preserve">hat Corporate Restructuring </w:t>
            </w:r>
            <w:r>
              <w:rPr>
                <w:szCs w:val="26"/>
              </w:rPr>
              <w:t>i</w:t>
            </w:r>
            <w:r w:rsidRPr="007024E7">
              <w:rPr>
                <w:szCs w:val="26"/>
              </w:rPr>
              <w:t xml:space="preserve">s Exempt </w:t>
            </w:r>
            <w:r>
              <w:rPr>
                <w:szCs w:val="26"/>
              </w:rPr>
              <w:t>f</w:t>
            </w:r>
            <w:r w:rsidRPr="007024E7">
              <w:rPr>
                <w:szCs w:val="26"/>
              </w:rPr>
              <w:t xml:space="preserve">rom or Compliant </w:t>
            </w:r>
            <w:r>
              <w:rPr>
                <w:szCs w:val="26"/>
              </w:rPr>
              <w:t>w</w:t>
            </w:r>
            <w:r w:rsidRPr="007024E7">
              <w:rPr>
                <w:szCs w:val="26"/>
              </w:rPr>
              <w:t>ith Public Utilities Code Section 854</w:t>
            </w:r>
            <w:r>
              <w:rPr>
                <w:rFonts w:cs="TimesNewRomanPSMT"/>
                <w:szCs w:val="26"/>
              </w:rPr>
              <w:t>.</w:t>
            </w:r>
            <w:r w:rsidRPr="006F46B3">
              <w:rPr>
                <w:rFonts w:cs="Arial"/>
                <w:szCs w:val="26"/>
              </w:rPr>
              <w:br/>
            </w:r>
          </w:p>
        </w:tc>
        <w:tc>
          <w:tcPr>
            <w:tcW w:w="4675" w:type="dxa"/>
            <w:tcBorders>
              <w:top w:val="nil"/>
              <w:left w:val="single" w:color="auto" w:sz="4" w:space="0"/>
              <w:bottom w:val="nil"/>
              <w:right w:val="nil"/>
            </w:tcBorders>
            <w:vAlign w:val="center"/>
          </w:tcPr>
          <w:p w:rsidRPr="00F13D6A" w:rsidR="00DA7B5D" w:rsidP="00F13D6A" w:rsidRDefault="007265D5" w14:paraId="0C392DE2" w14:textId="179242B8">
            <w:pPr>
              <w:autoSpaceDE w:val="0"/>
              <w:autoSpaceDN w:val="0"/>
              <w:adjustRightInd w:val="0"/>
              <w:spacing w:line="240" w:lineRule="auto"/>
              <w:ind w:firstLine="0"/>
              <w:jc w:val="center"/>
              <w:rPr>
                <w:rFonts w:cs="TimesNewRomanPSMT"/>
                <w:szCs w:val="26"/>
              </w:rPr>
            </w:pPr>
            <w:r w:rsidRPr="006F46B3">
              <w:rPr>
                <w:rFonts w:cs="TimesNewRomanPSMT"/>
                <w:szCs w:val="26"/>
              </w:rPr>
              <w:t>Application 20-0</w:t>
            </w:r>
            <w:r>
              <w:rPr>
                <w:rFonts w:cs="TimesNewRomanPSMT"/>
                <w:szCs w:val="26"/>
              </w:rPr>
              <w:t>5-010</w:t>
            </w:r>
          </w:p>
        </w:tc>
      </w:tr>
      <w:bookmarkEnd w:id="0"/>
    </w:tbl>
    <w:p w:rsidR="00DA7B5D" w:rsidP="008F0116" w:rsidRDefault="00DA7B5D" w14:paraId="4560B092" w14:textId="77777777">
      <w:pPr>
        <w:spacing w:line="240" w:lineRule="auto"/>
        <w:ind w:firstLine="0"/>
        <w:rPr>
          <w:rFonts w:ascii="Arial" w:hAnsi="Arial" w:cs="Arial"/>
          <w:sz w:val="24"/>
          <w:szCs w:val="24"/>
        </w:rPr>
      </w:pPr>
    </w:p>
    <w:p w:rsidR="00DA7B5D" w:rsidP="008F0116" w:rsidRDefault="00DA7B5D" w14:paraId="296299DF" w14:textId="77777777">
      <w:pPr>
        <w:spacing w:line="240" w:lineRule="auto"/>
        <w:ind w:firstLine="0"/>
        <w:rPr>
          <w:rFonts w:ascii="Arial" w:hAnsi="Arial" w:cs="Arial"/>
          <w:sz w:val="24"/>
          <w:szCs w:val="24"/>
        </w:rPr>
      </w:pPr>
    </w:p>
    <w:p w:rsidRPr="00BB2853" w:rsidR="00F92385" w:rsidP="00942339" w:rsidRDefault="00BB2853" w14:paraId="46B5C8C4" w14:textId="697A5274">
      <w:pPr>
        <w:pStyle w:val="Dummy"/>
        <w:jc w:val="center"/>
        <w:sectPr w:rsidRPr="00BB2853" w:rsidR="00F92385" w:rsidSect="005D331C">
          <w:headerReference w:type="first" r:id="rId11"/>
          <w:footerReference w:type="first" r:id="rId12"/>
          <w:pgSz w:w="12240" w:h="15840"/>
          <w:pgMar w:top="1440" w:right="1350" w:bottom="1440" w:left="1440" w:header="720" w:footer="720" w:gutter="0"/>
          <w:pgNumType w:start="1"/>
          <w:cols w:space="720"/>
          <w:titlePg/>
          <w:docGrid w:linePitch="360"/>
        </w:sectPr>
      </w:pPr>
      <w:bookmarkStart w:name="_Toc62145362" w:id="1"/>
      <w:bookmarkStart w:name="_Toc63414146" w:id="2"/>
      <w:bookmarkStart w:name="_Toc64021913" w:id="3"/>
      <w:bookmarkStart w:name="_Toc67556503" w:id="4"/>
      <w:r>
        <w:t>DECISION A</w:t>
      </w:r>
      <w:r w:rsidR="007265D5">
        <w:t>PPROV</w:t>
      </w:r>
      <w:r>
        <w:t>ING</w:t>
      </w:r>
      <w:r w:rsidR="00427BCD">
        <w:t xml:space="preserve"> CORPORATE RESTRUCTURING WITH CONDITIONS</w:t>
      </w:r>
      <w:bookmarkEnd w:id="1"/>
      <w:bookmarkEnd w:id="2"/>
      <w:bookmarkEnd w:id="3"/>
      <w:bookmarkEnd w:id="4"/>
      <w:r w:rsidR="009A0436">
        <w:t xml:space="preserve">  </w:t>
      </w:r>
    </w:p>
    <w:p w:rsidRPr="001E2A62" w:rsidR="00D50119" w:rsidP="00F76650" w:rsidRDefault="00D50119" w14:paraId="46E3EF5A"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31623BF8" w14:textId="77777777">
      <w:pPr>
        <w:tabs>
          <w:tab w:val="right" w:pos="9360"/>
        </w:tabs>
        <w:ind w:firstLine="0"/>
      </w:pPr>
      <w:r w:rsidRPr="00D50119">
        <w:rPr>
          <w:b/>
        </w:rPr>
        <w:t>Title</w:t>
      </w:r>
      <w:r>
        <w:tab/>
      </w:r>
      <w:r w:rsidRPr="00D50119">
        <w:rPr>
          <w:b/>
        </w:rPr>
        <w:t>Page</w:t>
      </w:r>
    </w:p>
    <w:sdt>
      <w:sdtPr>
        <w:rPr>
          <w:color w:val="2B579A"/>
          <w:shd w:val="clear" w:color="auto" w:fill="E6E6E6"/>
        </w:rPr>
        <w:id w:val="-1224440197"/>
        <w:docPartObj>
          <w:docPartGallery w:val="Table of Contents"/>
          <w:docPartUnique/>
        </w:docPartObj>
      </w:sdtPr>
      <w:sdtEndPr>
        <w:rPr>
          <w:b/>
          <w:bCs/>
          <w:noProof/>
          <w:color w:val="auto"/>
          <w:shd w:val="clear" w:color="auto" w:fill="auto"/>
        </w:rPr>
      </w:sdtEndPr>
      <w:sdtContent>
        <w:p w:rsidR="009D2491" w:rsidP="009D2491" w:rsidRDefault="008C7413" w14:paraId="60DE4226" w14:textId="2BC66012">
          <w:pPr>
            <w:pStyle w:val="TOC1"/>
            <w:tabs>
              <w:tab w:val="right" w:leader="dot" w:pos="9350"/>
            </w:tabs>
            <w:rPr>
              <w:rFonts w:asciiTheme="minorHAnsi" w:hAnsiTheme="minorHAnsi" w:cstheme="minorBidi"/>
              <w:noProof/>
              <w:sz w:val="22"/>
            </w:rPr>
          </w:pPr>
          <w:r>
            <w:rPr>
              <w:rFonts w:asciiTheme="minorHAnsi" w:hAnsiTheme="minorHAnsi"/>
              <w:color w:val="2B579A"/>
              <w:sz w:val="22"/>
              <w:shd w:val="clear" w:color="auto" w:fill="E6E6E6"/>
            </w:rPr>
            <w:fldChar w:fldCharType="begin"/>
          </w:r>
          <w:r>
            <w:rPr>
              <w:rFonts w:asciiTheme="minorHAnsi" w:hAnsiTheme="minorHAnsi"/>
              <w:sz w:val="22"/>
            </w:rPr>
            <w:instrText xml:space="preserve"> TOC \o "1-6" \h \z \u </w:instrText>
          </w:r>
          <w:r>
            <w:rPr>
              <w:rFonts w:asciiTheme="minorHAnsi" w:hAnsiTheme="minorHAnsi"/>
              <w:color w:val="2B579A"/>
              <w:sz w:val="22"/>
              <w:shd w:val="clear" w:color="auto" w:fill="E6E6E6"/>
            </w:rPr>
            <w:fldChar w:fldCharType="separate"/>
          </w:r>
          <w:hyperlink w:history="1" w:anchor="_Toc67556504">
            <w:r w:rsidRPr="00572F49" w:rsidR="009D2491">
              <w:rPr>
                <w:rStyle w:val="Hyperlink"/>
                <w:noProof/>
              </w:rPr>
              <w:t>DECISION APPROVING CORPORATE RESTRUCTURING WITH CONDITIONS</w:t>
            </w:r>
            <w:r w:rsidR="009D2491">
              <w:rPr>
                <w:noProof/>
                <w:webHidden/>
              </w:rPr>
              <w:tab/>
            </w:r>
            <w:r w:rsidR="009D2491">
              <w:rPr>
                <w:noProof/>
                <w:webHidden/>
              </w:rPr>
              <w:fldChar w:fldCharType="begin"/>
            </w:r>
            <w:r w:rsidR="009D2491">
              <w:rPr>
                <w:noProof/>
                <w:webHidden/>
              </w:rPr>
              <w:instrText xml:space="preserve"> PAGEREF _Toc67556504 \h </w:instrText>
            </w:r>
            <w:r w:rsidR="009D2491">
              <w:rPr>
                <w:noProof/>
                <w:webHidden/>
              </w:rPr>
            </w:r>
            <w:r w:rsidR="009D2491">
              <w:rPr>
                <w:noProof/>
                <w:webHidden/>
              </w:rPr>
              <w:fldChar w:fldCharType="separate"/>
            </w:r>
            <w:r w:rsidR="009E31CC">
              <w:rPr>
                <w:noProof/>
                <w:webHidden/>
              </w:rPr>
              <w:t>2</w:t>
            </w:r>
            <w:r w:rsidR="009D2491">
              <w:rPr>
                <w:noProof/>
                <w:webHidden/>
              </w:rPr>
              <w:fldChar w:fldCharType="end"/>
            </w:r>
          </w:hyperlink>
        </w:p>
        <w:p w:rsidR="009D2491" w:rsidRDefault="00773D02" w14:paraId="499CA8DC" w14:textId="74604CAE">
          <w:pPr>
            <w:pStyle w:val="TOC1"/>
            <w:tabs>
              <w:tab w:val="right" w:leader="dot" w:pos="9350"/>
            </w:tabs>
            <w:rPr>
              <w:rFonts w:asciiTheme="minorHAnsi" w:hAnsiTheme="minorHAnsi" w:cstheme="minorBidi"/>
              <w:noProof/>
              <w:sz w:val="22"/>
            </w:rPr>
          </w:pPr>
          <w:hyperlink w:history="1" w:anchor="_Toc67556505">
            <w:r w:rsidRPr="00572F49" w:rsidR="009D2491">
              <w:rPr>
                <w:rStyle w:val="Hyperlink"/>
                <w:noProof/>
              </w:rPr>
              <w:t>Summary</w:t>
            </w:r>
            <w:r w:rsidR="009D2491">
              <w:rPr>
                <w:noProof/>
                <w:webHidden/>
              </w:rPr>
              <w:tab/>
            </w:r>
            <w:r w:rsidR="009D2491">
              <w:rPr>
                <w:noProof/>
                <w:webHidden/>
              </w:rPr>
              <w:fldChar w:fldCharType="begin"/>
            </w:r>
            <w:r w:rsidR="009D2491">
              <w:rPr>
                <w:noProof/>
                <w:webHidden/>
              </w:rPr>
              <w:instrText xml:space="preserve"> PAGEREF _Toc67556505 \h </w:instrText>
            </w:r>
            <w:r w:rsidR="009D2491">
              <w:rPr>
                <w:noProof/>
                <w:webHidden/>
              </w:rPr>
            </w:r>
            <w:r w:rsidR="009D2491">
              <w:rPr>
                <w:noProof/>
                <w:webHidden/>
              </w:rPr>
              <w:fldChar w:fldCharType="separate"/>
            </w:r>
            <w:r w:rsidR="009E31CC">
              <w:rPr>
                <w:noProof/>
                <w:webHidden/>
              </w:rPr>
              <w:t>2</w:t>
            </w:r>
            <w:r w:rsidR="009D2491">
              <w:rPr>
                <w:noProof/>
                <w:webHidden/>
              </w:rPr>
              <w:fldChar w:fldCharType="end"/>
            </w:r>
          </w:hyperlink>
        </w:p>
        <w:p w:rsidR="009D2491" w:rsidRDefault="00773D02" w14:paraId="1A06DFD5" w14:textId="2D6AAD9E">
          <w:pPr>
            <w:pStyle w:val="TOC1"/>
            <w:tabs>
              <w:tab w:val="right" w:leader="dot" w:pos="9350"/>
            </w:tabs>
            <w:rPr>
              <w:rFonts w:asciiTheme="minorHAnsi" w:hAnsiTheme="minorHAnsi" w:cstheme="minorBidi"/>
              <w:noProof/>
              <w:sz w:val="22"/>
            </w:rPr>
          </w:pPr>
          <w:hyperlink w:history="1" w:anchor="_Toc67556506">
            <w:r w:rsidRPr="00572F49" w:rsidR="009D2491">
              <w:rPr>
                <w:rStyle w:val="Hyperlink"/>
                <w:noProof/>
              </w:rPr>
              <w:t>1.</w:t>
            </w:r>
            <w:r w:rsidR="009D2491">
              <w:rPr>
                <w:rFonts w:asciiTheme="minorHAnsi" w:hAnsiTheme="minorHAnsi" w:cstheme="minorBidi"/>
                <w:noProof/>
                <w:sz w:val="22"/>
              </w:rPr>
              <w:tab/>
            </w:r>
            <w:r w:rsidRPr="00572F49" w:rsidR="009D2491">
              <w:rPr>
                <w:rStyle w:val="Hyperlink"/>
                <w:noProof/>
              </w:rPr>
              <w:t>Bankruptcy-Related Background</w:t>
            </w:r>
            <w:r w:rsidR="009D2491">
              <w:rPr>
                <w:noProof/>
                <w:webHidden/>
              </w:rPr>
              <w:tab/>
            </w:r>
            <w:r w:rsidR="009D2491">
              <w:rPr>
                <w:noProof/>
                <w:webHidden/>
              </w:rPr>
              <w:fldChar w:fldCharType="begin"/>
            </w:r>
            <w:r w:rsidR="009D2491">
              <w:rPr>
                <w:noProof/>
                <w:webHidden/>
              </w:rPr>
              <w:instrText xml:space="preserve"> PAGEREF _Toc67556506 \h </w:instrText>
            </w:r>
            <w:r w:rsidR="009D2491">
              <w:rPr>
                <w:noProof/>
                <w:webHidden/>
              </w:rPr>
            </w:r>
            <w:r w:rsidR="009D2491">
              <w:rPr>
                <w:noProof/>
                <w:webHidden/>
              </w:rPr>
              <w:fldChar w:fldCharType="separate"/>
            </w:r>
            <w:r w:rsidR="009E31CC">
              <w:rPr>
                <w:noProof/>
                <w:webHidden/>
              </w:rPr>
              <w:t>3</w:t>
            </w:r>
            <w:r w:rsidR="009D2491">
              <w:rPr>
                <w:noProof/>
                <w:webHidden/>
              </w:rPr>
              <w:fldChar w:fldCharType="end"/>
            </w:r>
          </w:hyperlink>
        </w:p>
        <w:p w:rsidR="009D2491" w:rsidRDefault="00773D02" w14:paraId="14C5B50A" w14:textId="70934A5B">
          <w:pPr>
            <w:pStyle w:val="TOC1"/>
            <w:tabs>
              <w:tab w:val="right" w:leader="dot" w:pos="9350"/>
            </w:tabs>
            <w:rPr>
              <w:rFonts w:asciiTheme="minorHAnsi" w:hAnsiTheme="minorHAnsi" w:cstheme="minorBidi"/>
              <w:noProof/>
              <w:sz w:val="22"/>
            </w:rPr>
          </w:pPr>
          <w:hyperlink w:history="1" w:anchor="_Toc67556507">
            <w:r w:rsidRPr="00572F49" w:rsidR="009D2491">
              <w:rPr>
                <w:rStyle w:val="Hyperlink"/>
                <w:noProof/>
              </w:rPr>
              <w:t>2.</w:t>
            </w:r>
            <w:r w:rsidR="009D2491">
              <w:rPr>
                <w:rFonts w:asciiTheme="minorHAnsi" w:hAnsiTheme="minorHAnsi" w:cstheme="minorBidi"/>
                <w:noProof/>
                <w:sz w:val="22"/>
              </w:rPr>
              <w:tab/>
            </w:r>
            <w:r w:rsidRPr="00572F49" w:rsidR="009D2491">
              <w:rPr>
                <w:rStyle w:val="Hyperlink"/>
                <w:noProof/>
              </w:rPr>
              <w:t>Procedural Background</w:t>
            </w:r>
            <w:r w:rsidR="009D2491">
              <w:rPr>
                <w:noProof/>
                <w:webHidden/>
              </w:rPr>
              <w:tab/>
            </w:r>
            <w:r w:rsidR="009D2491">
              <w:rPr>
                <w:noProof/>
                <w:webHidden/>
              </w:rPr>
              <w:fldChar w:fldCharType="begin"/>
            </w:r>
            <w:r w:rsidR="009D2491">
              <w:rPr>
                <w:noProof/>
                <w:webHidden/>
              </w:rPr>
              <w:instrText xml:space="preserve"> PAGEREF _Toc67556507 \h </w:instrText>
            </w:r>
            <w:r w:rsidR="009D2491">
              <w:rPr>
                <w:noProof/>
                <w:webHidden/>
              </w:rPr>
            </w:r>
            <w:r w:rsidR="009D2491">
              <w:rPr>
                <w:noProof/>
                <w:webHidden/>
              </w:rPr>
              <w:fldChar w:fldCharType="separate"/>
            </w:r>
            <w:r w:rsidR="009E31CC">
              <w:rPr>
                <w:noProof/>
                <w:webHidden/>
              </w:rPr>
              <w:t>8</w:t>
            </w:r>
            <w:r w:rsidR="009D2491">
              <w:rPr>
                <w:noProof/>
                <w:webHidden/>
              </w:rPr>
              <w:fldChar w:fldCharType="end"/>
            </w:r>
          </w:hyperlink>
        </w:p>
        <w:p w:rsidR="009D2491" w:rsidRDefault="00773D02" w14:paraId="7FBEFF1F" w14:textId="5D987B98">
          <w:pPr>
            <w:pStyle w:val="TOC1"/>
            <w:tabs>
              <w:tab w:val="right" w:leader="dot" w:pos="9350"/>
            </w:tabs>
            <w:rPr>
              <w:rFonts w:asciiTheme="minorHAnsi" w:hAnsiTheme="minorHAnsi" w:cstheme="minorBidi"/>
              <w:noProof/>
              <w:sz w:val="22"/>
            </w:rPr>
          </w:pPr>
          <w:hyperlink w:history="1" w:anchor="_Toc67556508">
            <w:r w:rsidRPr="00572F49" w:rsidR="009D2491">
              <w:rPr>
                <w:rStyle w:val="Hyperlink"/>
                <w:noProof/>
              </w:rPr>
              <w:t>3.</w:t>
            </w:r>
            <w:r w:rsidR="009D2491">
              <w:rPr>
                <w:rFonts w:asciiTheme="minorHAnsi" w:hAnsiTheme="minorHAnsi" w:cstheme="minorBidi"/>
                <w:noProof/>
                <w:sz w:val="22"/>
              </w:rPr>
              <w:tab/>
            </w:r>
            <w:r w:rsidRPr="00572F49" w:rsidR="009D2491">
              <w:rPr>
                <w:rStyle w:val="Hyperlink"/>
                <w:noProof/>
              </w:rPr>
              <w:t>Issues</w:t>
            </w:r>
            <w:r w:rsidR="009D2491">
              <w:rPr>
                <w:noProof/>
                <w:webHidden/>
              </w:rPr>
              <w:tab/>
            </w:r>
            <w:r w:rsidR="009D2491">
              <w:rPr>
                <w:noProof/>
                <w:webHidden/>
              </w:rPr>
              <w:fldChar w:fldCharType="begin"/>
            </w:r>
            <w:r w:rsidR="009D2491">
              <w:rPr>
                <w:noProof/>
                <w:webHidden/>
              </w:rPr>
              <w:instrText xml:space="preserve"> PAGEREF _Toc67556508 \h </w:instrText>
            </w:r>
            <w:r w:rsidR="009D2491">
              <w:rPr>
                <w:noProof/>
                <w:webHidden/>
              </w:rPr>
            </w:r>
            <w:r w:rsidR="009D2491">
              <w:rPr>
                <w:noProof/>
                <w:webHidden/>
              </w:rPr>
              <w:fldChar w:fldCharType="separate"/>
            </w:r>
            <w:r w:rsidR="009E31CC">
              <w:rPr>
                <w:noProof/>
                <w:webHidden/>
              </w:rPr>
              <w:t>12</w:t>
            </w:r>
            <w:r w:rsidR="009D2491">
              <w:rPr>
                <w:noProof/>
                <w:webHidden/>
              </w:rPr>
              <w:fldChar w:fldCharType="end"/>
            </w:r>
          </w:hyperlink>
        </w:p>
        <w:p w:rsidR="009D2491" w:rsidRDefault="00773D02" w14:paraId="5D4E34D5" w14:textId="3DCA5DD8">
          <w:pPr>
            <w:pStyle w:val="TOC1"/>
            <w:tabs>
              <w:tab w:val="right" w:leader="dot" w:pos="9350"/>
            </w:tabs>
            <w:rPr>
              <w:rFonts w:asciiTheme="minorHAnsi" w:hAnsiTheme="minorHAnsi" w:cstheme="minorBidi"/>
              <w:noProof/>
              <w:sz w:val="22"/>
            </w:rPr>
          </w:pPr>
          <w:hyperlink w:history="1" w:anchor="_Toc67556509">
            <w:r w:rsidRPr="00572F49" w:rsidR="009D2491">
              <w:rPr>
                <w:rStyle w:val="Hyperlink"/>
                <w:noProof/>
              </w:rPr>
              <w:t>4.</w:t>
            </w:r>
            <w:r w:rsidR="009D2491">
              <w:rPr>
                <w:rFonts w:asciiTheme="minorHAnsi" w:hAnsiTheme="minorHAnsi" w:cstheme="minorBidi"/>
                <w:noProof/>
                <w:sz w:val="22"/>
              </w:rPr>
              <w:tab/>
            </w:r>
            <w:r w:rsidRPr="00572F49" w:rsidR="009D2491">
              <w:rPr>
                <w:rStyle w:val="Hyperlink"/>
                <w:noProof/>
              </w:rPr>
              <w:t>Discussion</w:t>
            </w:r>
            <w:r w:rsidR="009D2491">
              <w:rPr>
                <w:noProof/>
                <w:webHidden/>
              </w:rPr>
              <w:tab/>
            </w:r>
            <w:r w:rsidR="009D2491">
              <w:rPr>
                <w:noProof/>
                <w:webHidden/>
              </w:rPr>
              <w:fldChar w:fldCharType="begin"/>
            </w:r>
            <w:r w:rsidR="009D2491">
              <w:rPr>
                <w:noProof/>
                <w:webHidden/>
              </w:rPr>
              <w:instrText xml:space="preserve"> PAGEREF _Toc67556509 \h </w:instrText>
            </w:r>
            <w:r w:rsidR="009D2491">
              <w:rPr>
                <w:noProof/>
                <w:webHidden/>
              </w:rPr>
            </w:r>
            <w:r w:rsidR="009D2491">
              <w:rPr>
                <w:noProof/>
                <w:webHidden/>
              </w:rPr>
              <w:fldChar w:fldCharType="separate"/>
            </w:r>
            <w:r w:rsidR="009E31CC">
              <w:rPr>
                <w:noProof/>
                <w:webHidden/>
              </w:rPr>
              <w:t>13</w:t>
            </w:r>
            <w:r w:rsidR="009D2491">
              <w:rPr>
                <w:noProof/>
                <w:webHidden/>
              </w:rPr>
              <w:fldChar w:fldCharType="end"/>
            </w:r>
          </w:hyperlink>
        </w:p>
        <w:p w:rsidR="009D2491" w:rsidRDefault="00773D02" w14:paraId="1C4DB0DD" w14:textId="177F0954">
          <w:pPr>
            <w:pStyle w:val="TOC2"/>
            <w:tabs>
              <w:tab w:val="right" w:leader="dot" w:pos="9350"/>
            </w:tabs>
            <w:rPr>
              <w:rFonts w:asciiTheme="minorHAnsi" w:hAnsiTheme="minorHAnsi" w:cstheme="minorBidi"/>
              <w:noProof/>
              <w:sz w:val="22"/>
            </w:rPr>
          </w:pPr>
          <w:hyperlink w:history="1" w:anchor="_Toc67556510">
            <w:r w:rsidRPr="00572F49" w:rsidR="009D2491">
              <w:rPr>
                <w:rStyle w:val="Hyperlink"/>
                <w:noProof/>
              </w:rPr>
              <w:t>4.1.</w:t>
            </w:r>
            <w:r w:rsidR="009D2491">
              <w:rPr>
                <w:rFonts w:asciiTheme="minorHAnsi" w:hAnsiTheme="minorHAnsi" w:cstheme="minorBidi"/>
                <w:noProof/>
                <w:sz w:val="22"/>
              </w:rPr>
              <w:tab/>
            </w:r>
            <w:r w:rsidRPr="00572F49" w:rsidR="009D2491">
              <w:rPr>
                <w:rStyle w:val="Hyperlink"/>
                <w:noProof/>
              </w:rPr>
              <w:t>Pub. Util. Code Section 854 and Scoping Memo Factors</w:t>
            </w:r>
            <w:r w:rsidR="009D2491">
              <w:rPr>
                <w:noProof/>
                <w:webHidden/>
              </w:rPr>
              <w:tab/>
            </w:r>
            <w:r w:rsidR="009D2491">
              <w:rPr>
                <w:noProof/>
                <w:webHidden/>
              </w:rPr>
              <w:fldChar w:fldCharType="begin"/>
            </w:r>
            <w:r w:rsidR="009D2491">
              <w:rPr>
                <w:noProof/>
                <w:webHidden/>
              </w:rPr>
              <w:instrText xml:space="preserve"> PAGEREF _Toc67556510 \h </w:instrText>
            </w:r>
            <w:r w:rsidR="009D2491">
              <w:rPr>
                <w:noProof/>
                <w:webHidden/>
              </w:rPr>
            </w:r>
            <w:r w:rsidR="009D2491">
              <w:rPr>
                <w:noProof/>
                <w:webHidden/>
              </w:rPr>
              <w:fldChar w:fldCharType="separate"/>
            </w:r>
            <w:r w:rsidR="009E31CC">
              <w:rPr>
                <w:noProof/>
                <w:webHidden/>
              </w:rPr>
              <w:t>13</w:t>
            </w:r>
            <w:r w:rsidR="009D2491">
              <w:rPr>
                <w:noProof/>
                <w:webHidden/>
              </w:rPr>
              <w:fldChar w:fldCharType="end"/>
            </w:r>
          </w:hyperlink>
        </w:p>
        <w:p w:rsidR="009D2491" w:rsidRDefault="00773D02" w14:paraId="6B86CDD2" w14:textId="7F959788">
          <w:pPr>
            <w:pStyle w:val="TOC3"/>
            <w:tabs>
              <w:tab w:val="left" w:pos="1296"/>
              <w:tab w:val="right" w:leader="dot" w:pos="9350"/>
            </w:tabs>
            <w:rPr>
              <w:rFonts w:asciiTheme="minorHAnsi" w:hAnsiTheme="minorHAnsi" w:cstheme="minorBidi"/>
              <w:noProof/>
              <w:sz w:val="22"/>
            </w:rPr>
          </w:pPr>
          <w:hyperlink w:history="1" w:anchor="_Toc67556511">
            <w:r w:rsidRPr="00572F49" w:rsidR="009D2491">
              <w:rPr>
                <w:rStyle w:val="Hyperlink"/>
                <w:noProof/>
              </w:rPr>
              <w:t>4.1.1.</w:t>
            </w:r>
            <w:r w:rsidR="009D2491">
              <w:rPr>
                <w:rFonts w:asciiTheme="minorHAnsi" w:hAnsiTheme="minorHAnsi" w:cstheme="minorBidi"/>
                <w:noProof/>
                <w:sz w:val="22"/>
              </w:rPr>
              <w:tab/>
            </w:r>
            <w:r w:rsidRPr="00572F49" w:rsidR="009D2491">
              <w:rPr>
                <w:rStyle w:val="Hyperlink"/>
                <w:noProof/>
              </w:rPr>
              <w:t>Overview</w:t>
            </w:r>
            <w:r w:rsidR="009D2491">
              <w:rPr>
                <w:noProof/>
                <w:webHidden/>
              </w:rPr>
              <w:tab/>
            </w:r>
            <w:r w:rsidR="009D2491">
              <w:rPr>
                <w:noProof/>
                <w:webHidden/>
              </w:rPr>
              <w:fldChar w:fldCharType="begin"/>
            </w:r>
            <w:r w:rsidR="009D2491">
              <w:rPr>
                <w:noProof/>
                <w:webHidden/>
              </w:rPr>
              <w:instrText xml:space="preserve"> PAGEREF _Toc67556511 \h </w:instrText>
            </w:r>
            <w:r w:rsidR="009D2491">
              <w:rPr>
                <w:noProof/>
                <w:webHidden/>
              </w:rPr>
            </w:r>
            <w:r w:rsidR="009D2491">
              <w:rPr>
                <w:noProof/>
                <w:webHidden/>
              </w:rPr>
              <w:fldChar w:fldCharType="separate"/>
            </w:r>
            <w:r w:rsidR="009E31CC">
              <w:rPr>
                <w:noProof/>
                <w:webHidden/>
              </w:rPr>
              <w:t>13</w:t>
            </w:r>
            <w:r w:rsidR="009D2491">
              <w:rPr>
                <w:noProof/>
                <w:webHidden/>
              </w:rPr>
              <w:fldChar w:fldCharType="end"/>
            </w:r>
          </w:hyperlink>
        </w:p>
        <w:p w:rsidR="009D2491" w:rsidRDefault="00773D02" w14:paraId="2D92F2B1" w14:textId="28E32934">
          <w:pPr>
            <w:pStyle w:val="TOC3"/>
            <w:tabs>
              <w:tab w:val="left" w:pos="1296"/>
              <w:tab w:val="right" w:leader="dot" w:pos="9350"/>
            </w:tabs>
            <w:rPr>
              <w:rFonts w:asciiTheme="minorHAnsi" w:hAnsiTheme="minorHAnsi" w:cstheme="minorBidi"/>
              <w:noProof/>
              <w:sz w:val="22"/>
            </w:rPr>
          </w:pPr>
          <w:hyperlink w:history="1" w:anchor="_Toc67556512">
            <w:r w:rsidRPr="00572F49" w:rsidR="009D2491">
              <w:rPr>
                <w:rStyle w:val="Hyperlink"/>
                <w:noProof/>
              </w:rPr>
              <w:t>4.1.2.</w:t>
            </w:r>
            <w:r w:rsidR="009D2491">
              <w:rPr>
                <w:rFonts w:asciiTheme="minorHAnsi" w:hAnsiTheme="minorHAnsi" w:cstheme="minorBidi"/>
                <w:noProof/>
                <w:sz w:val="22"/>
              </w:rPr>
              <w:tab/>
            </w:r>
            <w:r w:rsidRPr="00572F49" w:rsidR="009D2491">
              <w:rPr>
                <w:rStyle w:val="Hyperlink"/>
                <w:noProof/>
              </w:rPr>
              <w:t>Short-Term and Long-Term Economic Benefits to Ratepayers</w:t>
            </w:r>
            <w:r w:rsidR="009D2491">
              <w:rPr>
                <w:noProof/>
                <w:webHidden/>
              </w:rPr>
              <w:tab/>
            </w:r>
            <w:r w:rsidR="009D2491">
              <w:rPr>
                <w:noProof/>
                <w:webHidden/>
              </w:rPr>
              <w:fldChar w:fldCharType="begin"/>
            </w:r>
            <w:r w:rsidR="009D2491">
              <w:rPr>
                <w:noProof/>
                <w:webHidden/>
              </w:rPr>
              <w:instrText xml:space="preserve"> PAGEREF _Toc67556512 \h </w:instrText>
            </w:r>
            <w:r w:rsidR="009D2491">
              <w:rPr>
                <w:noProof/>
                <w:webHidden/>
              </w:rPr>
            </w:r>
            <w:r w:rsidR="009D2491">
              <w:rPr>
                <w:noProof/>
                <w:webHidden/>
              </w:rPr>
              <w:fldChar w:fldCharType="separate"/>
            </w:r>
            <w:r w:rsidR="009E31CC">
              <w:rPr>
                <w:noProof/>
                <w:webHidden/>
              </w:rPr>
              <w:t>17</w:t>
            </w:r>
            <w:r w:rsidR="009D2491">
              <w:rPr>
                <w:noProof/>
                <w:webHidden/>
              </w:rPr>
              <w:fldChar w:fldCharType="end"/>
            </w:r>
          </w:hyperlink>
        </w:p>
        <w:p w:rsidR="009D2491" w:rsidRDefault="00773D02" w14:paraId="79753E73" w14:textId="2DB07FD7">
          <w:pPr>
            <w:pStyle w:val="TOC3"/>
            <w:tabs>
              <w:tab w:val="left" w:pos="1296"/>
              <w:tab w:val="right" w:leader="dot" w:pos="9350"/>
            </w:tabs>
            <w:rPr>
              <w:rFonts w:asciiTheme="minorHAnsi" w:hAnsiTheme="minorHAnsi" w:cstheme="minorBidi"/>
              <w:noProof/>
              <w:sz w:val="22"/>
            </w:rPr>
          </w:pPr>
          <w:hyperlink w:history="1" w:anchor="_Toc67556513">
            <w:r w:rsidRPr="00572F49" w:rsidR="009D2491">
              <w:rPr>
                <w:rStyle w:val="Hyperlink"/>
                <w:noProof/>
              </w:rPr>
              <w:t>4.1.3.</w:t>
            </w:r>
            <w:r w:rsidR="009D2491">
              <w:rPr>
                <w:rFonts w:asciiTheme="minorHAnsi" w:hAnsiTheme="minorHAnsi" w:cstheme="minorBidi"/>
                <w:noProof/>
                <w:sz w:val="22"/>
              </w:rPr>
              <w:tab/>
            </w:r>
            <w:r w:rsidRPr="00572F49" w:rsidR="009D2491">
              <w:rPr>
                <w:rStyle w:val="Hyperlink"/>
                <w:noProof/>
              </w:rPr>
              <w:t>Effect on Frontier’s Financial Condition</w:t>
            </w:r>
            <w:r w:rsidR="009D2491">
              <w:rPr>
                <w:noProof/>
                <w:webHidden/>
              </w:rPr>
              <w:tab/>
            </w:r>
            <w:r w:rsidR="009D2491">
              <w:rPr>
                <w:noProof/>
                <w:webHidden/>
              </w:rPr>
              <w:fldChar w:fldCharType="begin"/>
            </w:r>
            <w:r w:rsidR="009D2491">
              <w:rPr>
                <w:noProof/>
                <w:webHidden/>
              </w:rPr>
              <w:instrText xml:space="preserve"> PAGEREF _Toc67556513 \h </w:instrText>
            </w:r>
            <w:r w:rsidR="009D2491">
              <w:rPr>
                <w:noProof/>
                <w:webHidden/>
              </w:rPr>
            </w:r>
            <w:r w:rsidR="009D2491">
              <w:rPr>
                <w:noProof/>
                <w:webHidden/>
              </w:rPr>
              <w:fldChar w:fldCharType="separate"/>
            </w:r>
            <w:r w:rsidR="009E31CC">
              <w:rPr>
                <w:noProof/>
                <w:webHidden/>
              </w:rPr>
              <w:t>19</w:t>
            </w:r>
            <w:r w:rsidR="009D2491">
              <w:rPr>
                <w:noProof/>
                <w:webHidden/>
              </w:rPr>
              <w:fldChar w:fldCharType="end"/>
            </w:r>
          </w:hyperlink>
        </w:p>
        <w:p w:rsidR="009D2491" w:rsidRDefault="00773D02" w14:paraId="21E9ACED" w14:textId="67252DAD">
          <w:pPr>
            <w:pStyle w:val="TOC3"/>
            <w:tabs>
              <w:tab w:val="left" w:pos="1296"/>
              <w:tab w:val="right" w:leader="dot" w:pos="9350"/>
            </w:tabs>
            <w:rPr>
              <w:rFonts w:asciiTheme="minorHAnsi" w:hAnsiTheme="minorHAnsi" w:cstheme="minorBidi"/>
              <w:noProof/>
              <w:sz w:val="22"/>
            </w:rPr>
          </w:pPr>
          <w:hyperlink w:history="1" w:anchor="_Toc67556514">
            <w:r w:rsidRPr="00572F49" w:rsidR="009D2491">
              <w:rPr>
                <w:rStyle w:val="Hyperlink"/>
                <w:noProof/>
              </w:rPr>
              <w:t>4.1.4.</w:t>
            </w:r>
            <w:r w:rsidR="009D2491">
              <w:rPr>
                <w:rFonts w:asciiTheme="minorHAnsi" w:hAnsiTheme="minorHAnsi" w:cstheme="minorBidi"/>
                <w:noProof/>
                <w:sz w:val="22"/>
              </w:rPr>
              <w:tab/>
            </w:r>
            <w:r w:rsidRPr="00572F49" w:rsidR="009D2491">
              <w:rPr>
                <w:rStyle w:val="Hyperlink"/>
                <w:noProof/>
              </w:rPr>
              <w:t>Effect on Frontier’s Quality of Service</w:t>
            </w:r>
            <w:r w:rsidR="009D2491">
              <w:rPr>
                <w:noProof/>
                <w:webHidden/>
              </w:rPr>
              <w:tab/>
            </w:r>
            <w:r w:rsidR="009D2491">
              <w:rPr>
                <w:noProof/>
                <w:webHidden/>
              </w:rPr>
              <w:fldChar w:fldCharType="begin"/>
            </w:r>
            <w:r w:rsidR="009D2491">
              <w:rPr>
                <w:noProof/>
                <w:webHidden/>
              </w:rPr>
              <w:instrText xml:space="preserve"> PAGEREF _Toc67556514 \h </w:instrText>
            </w:r>
            <w:r w:rsidR="009D2491">
              <w:rPr>
                <w:noProof/>
                <w:webHidden/>
              </w:rPr>
            </w:r>
            <w:r w:rsidR="009D2491">
              <w:rPr>
                <w:noProof/>
                <w:webHidden/>
              </w:rPr>
              <w:fldChar w:fldCharType="separate"/>
            </w:r>
            <w:r w:rsidR="009E31CC">
              <w:rPr>
                <w:noProof/>
                <w:webHidden/>
              </w:rPr>
              <w:t>22</w:t>
            </w:r>
            <w:r w:rsidR="009D2491">
              <w:rPr>
                <w:noProof/>
                <w:webHidden/>
              </w:rPr>
              <w:fldChar w:fldCharType="end"/>
            </w:r>
          </w:hyperlink>
        </w:p>
        <w:p w:rsidR="009D2491" w:rsidRDefault="00773D02" w14:paraId="1C9BD059" w14:textId="18562622">
          <w:pPr>
            <w:pStyle w:val="TOC3"/>
            <w:tabs>
              <w:tab w:val="left" w:pos="1296"/>
              <w:tab w:val="right" w:leader="dot" w:pos="9350"/>
            </w:tabs>
            <w:rPr>
              <w:rFonts w:asciiTheme="minorHAnsi" w:hAnsiTheme="minorHAnsi" w:cstheme="minorBidi"/>
              <w:noProof/>
              <w:sz w:val="22"/>
            </w:rPr>
          </w:pPr>
          <w:hyperlink w:history="1" w:anchor="_Toc67556515">
            <w:r w:rsidRPr="00572F49" w:rsidR="009D2491">
              <w:rPr>
                <w:rStyle w:val="Hyperlink"/>
                <w:noProof/>
              </w:rPr>
              <w:t>4.1.5.</w:t>
            </w:r>
            <w:r w:rsidR="009D2491">
              <w:rPr>
                <w:rFonts w:asciiTheme="minorHAnsi" w:hAnsiTheme="minorHAnsi" w:cstheme="minorBidi"/>
                <w:noProof/>
                <w:sz w:val="22"/>
              </w:rPr>
              <w:tab/>
            </w:r>
            <w:r w:rsidRPr="00572F49" w:rsidR="009D2491">
              <w:rPr>
                <w:rStyle w:val="Hyperlink"/>
                <w:noProof/>
              </w:rPr>
              <w:t>Effect on Frontier’s Quality of Management</w:t>
            </w:r>
            <w:r w:rsidR="009D2491">
              <w:rPr>
                <w:noProof/>
                <w:webHidden/>
              </w:rPr>
              <w:tab/>
            </w:r>
            <w:r w:rsidR="009D2491">
              <w:rPr>
                <w:noProof/>
                <w:webHidden/>
              </w:rPr>
              <w:fldChar w:fldCharType="begin"/>
            </w:r>
            <w:r w:rsidR="009D2491">
              <w:rPr>
                <w:noProof/>
                <w:webHidden/>
              </w:rPr>
              <w:instrText xml:space="preserve"> PAGEREF _Toc67556515 \h </w:instrText>
            </w:r>
            <w:r w:rsidR="009D2491">
              <w:rPr>
                <w:noProof/>
                <w:webHidden/>
              </w:rPr>
            </w:r>
            <w:r w:rsidR="009D2491">
              <w:rPr>
                <w:noProof/>
                <w:webHidden/>
              </w:rPr>
              <w:fldChar w:fldCharType="separate"/>
            </w:r>
            <w:r w:rsidR="009E31CC">
              <w:rPr>
                <w:noProof/>
                <w:webHidden/>
              </w:rPr>
              <w:t>26</w:t>
            </w:r>
            <w:r w:rsidR="009D2491">
              <w:rPr>
                <w:noProof/>
                <w:webHidden/>
              </w:rPr>
              <w:fldChar w:fldCharType="end"/>
            </w:r>
          </w:hyperlink>
        </w:p>
        <w:p w:rsidR="009D2491" w:rsidRDefault="00773D02" w14:paraId="2094AE6A" w14:textId="3C01A97D">
          <w:pPr>
            <w:pStyle w:val="TOC3"/>
            <w:tabs>
              <w:tab w:val="left" w:pos="1296"/>
              <w:tab w:val="right" w:leader="dot" w:pos="9350"/>
            </w:tabs>
            <w:rPr>
              <w:rFonts w:asciiTheme="minorHAnsi" w:hAnsiTheme="minorHAnsi" w:cstheme="minorBidi"/>
              <w:noProof/>
              <w:sz w:val="22"/>
            </w:rPr>
          </w:pPr>
          <w:hyperlink w:history="1" w:anchor="_Toc67556516">
            <w:r w:rsidRPr="00572F49" w:rsidR="009D2491">
              <w:rPr>
                <w:rStyle w:val="Hyperlink"/>
                <w:noProof/>
              </w:rPr>
              <w:t>4.1.6.</w:t>
            </w:r>
            <w:r w:rsidR="009D2491">
              <w:rPr>
                <w:rFonts w:asciiTheme="minorHAnsi" w:hAnsiTheme="minorHAnsi" w:cstheme="minorBidi"/>
                <w:noProof/>
                <w:sz w:val="22"/>
              </w:rPr>
              <w:tab/>
            </w:r>
            <w:r w:rsidRPr="00572F49" w:rsidR="009D2491">
              <w:rPr>
                <w:rStyle w:val="Hyperlink"/>
                <w:noProof/>
              </w:rPr>
              <w:t>Fairness and Reasonableness to  Affected Frontier Employees</w:t>
            </w:r>
            <w:r w:rsidR="009D2491">
              <w:rPr>
                <w:noProof/>
                <w:webHidden/>
              </w:rPr>
              <w:tab/>
            </w:r>
            <w:r w:rsidR="009D2491">
              <w:rPr>
                <w:noProof/>
                <w:webHidden/>
              </w:rPr>
              <w:fldChar w:fldCharType="begin"/>
            </w:r>
            <w:r w:rsidR="009D2491">
              <w:rPr>
                <w:noProof/>
                <w:webHidden/>
              </w:rPr>
              <w:instrText xml:space="preserve"> PAGEREF _Toc67556516 \h </w:instrText>
            </w:r>
            <w:r w:rsidR="009D2491">
              <w:rPr>
                <w:noProof/>
                <w:webHidden/>
              </w:rPr>
            </w:r>
            <w:r w:rsidR="009D2491">
              <w:rPr>
                <w:noProof/>
                <w:webHidden/>
              </w:rPr>
              <w:fldChar w:fldCharType="separate"/>
            </w:r>
            <w:r w:rsidR="009E31CC">
              <w:rPr>
                <w:noProof/>
                <w:webHidden/>
              </w:rPr>
              <w:t>26</w:t>
            </w:r>
            <w:r w:rsidR="009D2491">
              <w:rPr>
                <w:noProof/>
                <w:webHidden/>
              </w:rPr>
              <w:fldChar w:fldCharType="end"/>
            </w:r>
          </w:hyperlink>
        </w:p>
        <w:p w:rsidR="009D2491" w:rsidRDefault="00773D02" w14:paraId="02F3E84F" w14:textId="26CFF0A9">
          <w:pPr>
            <w:pStyle w:val="TOC3"/>
            <w:tabs>
              <w:tab w:val="left" w:pos="1296"/>
              <w:tab w:val="right" w:leader="dot" w:pos="9350"/>
            </w:tabs>
            <w:rPr>
              <w:rFonts w:asciiTheme="minorHAnsi" w:hAnsiTheme="minorHAnsi" w:cstheme="minorBidi"/>
              <w:noProof/>
              <w:sz w:val="22"/>
            </w:rPr>
          </w:pPr>
          <w:hyperlink w:history="1" w:anchor="_Toc67556517">
            <w:r w:rsidRPr="00572F49" w:rsidR="009D2491">
              <w:rPr>
                <w:rStyle w:val="Hyperlink"/>
                <w:noProof/>
              </w:rPr>
              <w:t>4.1.7.</w:t>
            </w:r>
            <w:r w:rsidR="009D2491">
              <w:rPr>
                <w:rFonts w:asciiTheme="minorHAnsi" w:hAnsiTheme="minorHAnsi" w:cstheme="minorBidi"/>
                <w:noProof/>
                <w:sz w:val="22"/>
              </w:rPr>
              <w:tab/>
            </w:r>
            <w:r w:rsidRPr="00572F49" w:rsidR="009D2491">
              <w:rPr>
                <w:rStyle w:val="Hyperlink"/>
                <w:noProof/>
              </w:rPr>
              <w:t>Benefit to State and Local Economies  and Communities Served by Frontier</w:t>
            </w:r>
            <w:r w:rsidR="009D2491">
              <w:rPr>
                <w:noProof/>
                <w:webHidden/>
              </w:rPr>
              <w:tab/>
            </w:r>
            <w:r w:rsidR="009D2491">
              <w:rPr>
                <w:noProof/>
                <w:webHidden/>
              </w:rPr>
              <w:fldChar w:fldCharType="begin"/>
            </w:r>
            <w:r w:rsidR="009D2491">
              <w:rPr>
                <w:noProof/>
                <w:webHidden/>
              </w:rPr>
              <w:instrText xml:space="preserve"> PAGEREF _Toc67556517 \h </w:instrText>
            </w:r>
            <w:r w:rsidR="009D2491">
              <w:rPr>
                <w:noProof/>
                <w:webHidden/>
              </w:rPr>
            </w:r>
            <w:r w:rsidR="009D2491">
              <w:rPr>
                <w:noProof/>
                <w:webHidden/>
              </w:rPr>
              <w:fldChar w:fldCharType="separate"/>
            </w:r>
            <w:r w:rsidR="009E31CC">
              <w:rPr>
                <w:noProof/>
                <w:webHidden/>
              </w:rPr>
              <w:t>29</w:t>
            </w:r>
            <w:r w:rsidR="009D2491">
              <w:rPr>
                <w:noProof/>
                <w:webHidden/>
              </w:rPr>
              <w:fldChar w:fldCharType="end"/>
            </w:r>
          </w:hyperlink>
        </w:p>
        <w:p w:rsidR="009D2491" w:rsidRDefault="00773D02" w14:paraId="6223E355" w14:textId="12504B7B">
          <w:pPr>
            <w:pStyle w:val="TOC3"/>
            <w:tabs>
              <w:tab w:val="left" w:pos="1296"/>
              <w:tab w:val="right" w:leader="dot" w:pos="9350"/>
            </w:tabs>
            <w:rPr>
              <w:rFonts w:asciiTheme="minorHAnsi" w:hAnsiTheme="minorHAnsi" w:cstheme="minorBidi"/>
              <w:noProof/>
              <w:sz w:val="22"/>
            </w:rPr>
          </w:pPr>
          <w:hyperlink w:history="1" w:anchor="_Toc67556518">
            <w:r w:rsidRPr="00572F49" w:rsidR="009D2491">
              <w:rPr>
                <w:rStyle w:val="Hyperlink"/>
                <w:noProof/>
              </w:rPr>
              <w:t>4.1.8.</w:t>
            </w:r>
            <w:r w:rsidR="009D2491">
              <w:rPr>
                <w:rFonts w:asciiTheme="minorHAnsi" w:hAnsiTheme="minorHAnsi" w:cstheme="minorBidi"/>
                <w:noProof/>
                <w:sz w:val="22"/>
              </w:rPr>
              <w:tab/>
            </w:r>
            <w:r w:rsidRPr="00572F49" w:rsidR="009D2491">
              <w:rPr>
                <w:rStyle w:val="Hyperlink"/>
                <w:noProof/>
              </w:rPr>
              <w:t>Preservation of Commission Jurisdiction and Commission Capacity to Effectively Regulate  and Audit Frontier</w:t>
            </w:r>
            <w:r w:rsidR="009D2491">
              <w:rPr>
                <w:noProof/>
                <w:webHidden/>
              </w:rPr>
              <w:tab/>
            </w:r>
            <w:r w:rsidR="009D2491">
              <w:rPr>
                <w:noProof/>
                <w:webHidden/>
              </w:rPr>
              <w:fldChar w:fldCharType="begin"/>
            </w:r>
            <w:r w:rsidR="009D2491">
              <w:rPr>
                <w:noProof/>
                <w:webHidden/>
              </w:rPr>
              <w:instrText xml:space="preserve"> PAGEREF _Toc67556518 \h </w:instrText>
            </w:r>
            <w:r w:rsidR="009D2491">
              <w:rPr>
                <w:noProof/>
                <w:webHidden/>
              </w:rPr>
            </w:r>
            <w:r w:rsidR="009D2491">
              <w:rPr>
                <w:noProof/>
                <w:webHidden/>
              </w:rPr>
              <w:fldChar w:fldCharType="separate"/>
            </w:r>
            <w:r w:rsidR="009E31CC">
              <w:rPr>
                <w:noProof/>
                <w:webHidden/>
              </w:rPr>
              <w:t>30</w:t>
            </w:r>
            <w:r w:rsidR="009D2491">
              <w:rPr>
                <w:noProof/>
                <w:webHidden/>
              </w:rPr>
              <w:fldChar w:fldCharType="end"/>
            </w:r>
          </w:hyperlink>
        </w:p>
        <w:p w:rsidR="009D2491" w:rsidRDefault="00773D02" w14:paraId="15D51C69" w14:textId="2D6C571F">
          <w:pPr>
            <w:pStyle w:val="TOC3"/>
            <w:tabs>
              <w:tab w:val="left" w:pos="1296"/>
              <w:tab w:val="right" w:leader="dot" w:pos="9350"/>
            </w:tabs>
            <w:rPr>
              <w:rFonts w:asciiTheme="minorHAnsi" w:hAnsiTheme="minorHAnsi" w:cstheme="minorBidi"/>
              <w:noProof/>
              <w:sz w:val="22"/>
            </w:rPr>
          </w:pPr>
          <w:hyperlink w:history="1" w:anchor="_Toc67556519">
            <w:r w:rsidRPr="00572F49" w:rsidR="009D2491">
              <w:rPr>
                <w:rStyle w:val="Hyperlink"/>
                <w:noProof/>
              </w:rPr>
              <w:t>4.1.9.</w:t>
            </w:r>
            <w:r w:rsidR="009D2491">
              <w:rPr>
                <w:rFonts w:asciiTheme="minorHAnsi" w:hAnsiTheme="minorHAnsi" w:cstheme="minorBidi"/>
                <w:noProof/>
                <w:sz w:val="22"/>
              </w:rPr>
              <w:tab/>
            </w:r>
            <w:r w:rsidRPr="00572F49" w:rsidR="009D2491">
              <w:rPr>
                <w:rStyle w:val="Hyperlink"/>
                <w:noProof/>
              </w:rPr>
              <w:t>Mitigation Measures to Prevent Significant  Adverse Consequences</w:t>
            </w:r>
            <w:r w:rsidR="009D2491">
              <w:rPr>
                <w:noProof/>
                <w:webHidden/>
              </w:rPr>
              <w:tab/>
            </w:r>
            <w:r w:rsidR="009D2491">
              <w:rPr>
                <w:noProof/>
                <w:webHidden/>
              </w:rPr>
              <w:fldChar w:fldCharType="begin"/>
            </w:r>
            <w:r w:rsidR="009D2491">
              <w:rPr>
                <w:noProof/>
                <w:webHidden/>
              </w:rPr>
              <w:instrText xml:space="preserve"> PAGEREF _Toc67556519 \h </w:instrText>
            </w:r>
            <w:r w:rsidR="009D2491">
              <w:rPr>
                <w:noProof/>
                <w:webHidden/>
              </w:rPr>
            </w:r>
            <w:r w:rsidR="009D2491">
              <w:rPr>
                <w:noProof/>
                <w:webHidden/>
              </w:rPr>
              <w:fldChar w:fldCharType="separate"/>
            </w:r>
            <w:r w:rsidR="009E31CC">
              <w:rPr>
                <w:noProof/>
                <w:webHidden/>
              </w:rPr>
              <w:t>30</w:t>
            </w:r>
            <w:r w:rsidR="009D2491">
              <w:rPr>
                <w:noProof/>
                <w:webHidden/>
              </w:rPr>
              <w:fldChar w:fldCharType="end"/>
            </w:r>
          </w:hyperlink>
        </w:p>
        <w:p w:rsidR="009D2491" w:rsidRDefault="00773D02" w14:paraId="2BAF9B2C" w14:textId="305704E6">
          <w:pPr>
            <w:pStyle w:val="TOC3"/>
            <w:tabs>
              <w:tab w:val="left" w:pos="1728"/>
              <w:tab w:val="right" w:leader="dot" w:pos="9350"/>
            </w:tabs>
            <w:rPr>
              <w:rFonts w:asciiTheme="minorHAnsi" w:hAnsiTheme="minorHAnsi" w:cstheme="minorBidi"/>
              <w:noProof/>
              <w:sz w:val="22"/>
            </w:rPr>
          </w:pPr>
          <w:hyperlink w:history="1" w:anchor="_Toc67556520">
            <w:r w:rsidRPr="00572F49" w:rsidR="009D2491">
              <w:rPr>
                <w:rStyle w:val="Hyperlink"/>
                <w:noProof/>
              </w:rPr>
              <w:t>4.1.10.</w:t>
            </w:r>
            <w:r w:rsidR="009D2491">
              <w:rPr>
                <w:rFonts w:asciiTheme="minorHAnsi" w:hAnsiTheme="minorHAnsi" w:cstheme="minorBidi"/>
                <w:noProof/>
                <w:sz w:val="22"/>
              </w:rPr>
              <w:tab/>
            </w:r>
            <w:r w:rsidRPr="00572F49" w:rsidR="009D2491">
              <w:rPr>
                <w:rStyle w:val="Hyperlink"/>
                <w:noProof/>
              </w:rPr>
              <w:t>Safety and Health Considerations, Including  Effect on 911 Service</w:t>
            </w:r>
            <w:r w:rsidR="009D2491">
              <w:rPr>
                <w:noProof/>
                <w:webHidden/>
              </w:rPr>
              <w:tab/>
            </w:r>
            <w:r w:rsidR="009D2491">
              <w:rPr>
                <w:noProof/>
                <w:webHidden/>
              </w:rPr>
              <w:fldChar w:fldCharType="begin"/>
            </w:r>
            <w:r w:rsidR="009D2491">
              <w:rPr>
                <w:noProof/>
                <w:webHidden/>
              </w:rPr>
              <w:instrText xml:space="preserve"> PAGEREF _Toc67556520 \h </w:instrText>
            </w:r>
            <w:r w:rsidR="009D2491">
              <w:rPr>
                <w:noProof/>
                <w:webHidden/>
              </w:rPr>
            </w:r>
            <w:r w:rsidR="009D2491">
              <w:rPr>
                <w:noProof/>
                <w:webHidden/>
              </w:rPr>
              <w:fldChar w:fldCharType="separate"/>
            </w:r>
            <w:r w:rsidR="009E31CC">
              <w:rPr>
                <w:noProof/>
                <w:webHidden/>
              </w:rPr>
              <w:t>32</w:t>
            </w:r>
            <w:r w:rsidR="009D2491">
              <w:rPr>
                <w:noProof/>
                <w:webHidden/>
              </w:rPr>
              <w:fldChar w:fldCharType="end"/>
            </w:r>
          </w:hyperlink>
        </w:p>
        <w:p w:rsidR="009D2491" w:rsidRDefault="00773D02" w14:paraId="0AE0B537" w14:textId="1563ADB8">
          <w:pPr>
            <w:pStyle w:val="TOC3"/>
            <w:tabs>
              <w:tab w:val="left" w:pos="1728"/>
              <w:tab w:val="right" w:leader="dot" w:pos="9350"/>
            </w:tabs>
            <w:rPr>
              <w:rFonts w:asciiTheme="minorHAnsi" w:hAnsiTheme="minorHAnsi" w:cstheme="minorBidi"/>
              <w:noProof/>
              <w:sz w:val="22"/>
            </w:rPr>
          </w:pPr>
          <w:hyperlink w:history="1" w:anchor="_Toc67556521">
            <w:r w:rsidRPr="00572F49" w:rsidR="009D2491">
              <w:rPr>
                <w:rStyle w:val="Hyperlink"/>
                <w:noProof/>
              </w:rPr>
              <w:t>4.1.11.</w:t>
            </w:r>
            <w:r w:rsidR="009D2491">
              <w:rPr>
                <w:rFonts w:asciiTheme="minorHAnsi" w:hAnsiTheme="minorHAnsi" w:cstheme="minorBidi"/>
                <w:noProof/>
                <w:sz w:val="22"/>
              </w:rPr>
              <w:tab/>
            </w:r>
            <w:r w:rsidRPr="00572F49" w:rsidR="009D2491">
              <w:rPr>
                <w:rStyle w:val="Hyperlink"/>
                <w:noProof/>
              </w:rPr>
              <w:t>Benefits to Tribal Communities  Served by Frontier</w:t>
            </w:r>
            <w:r w:rsidR="009D2491">
              <w:rPr>
                <w:noProof/>
                <w:webHidden/>
              </w:rPr>
              <w:tab/>
            </w:r>
            <w:r w:rsidR="009D2491">
              <w:rPr>
                <w:noProof/>
                <w:webHidden/>
              </w:rPr>
              <w:fldChar w:fldCharType="begin"/>
            </w:r>
            <w:r w:rsidR="009D2491">
              <w:rPr>
                <w:noProof/>
                <w:webHidden/>
              </w:rPr>
              <w:instrText xml:space="preserve"> PAGEREF _Toc67556521 \h </w:instrText>
            </w:r>
            <w:r w:rsidR="009D2491">
              <w:rPr>
                <w:noProof/>
                <w:webHidden/>
              </w:rPr>
            </w:r>
            <w:r w:rsidR="009D2491">
              <w:rPr>
                <w:noProof/>
                <w:webHidden/>
              </w:rPr>
              <w:fldChar w:fldCharType="separate"/>
            </w:r>
            <w:r w:rsidR="009E31CC">
              <w:rPr>
                <w:noProof/>
                <w:webHidden/>
              </w:rPr>
              <w:t>33</w:t>
            </w:r>
            <w:r w:rsidR="009D2491">
              <w:rPr>
                <w:noProof/>
                <w:webHidden/>
              </w:rPr>
              <w:fldChar w:fldCharType="end"/>
            </w:r>
          </w:hyperlink>
        </w:p>
        <w:p w:rsidR="009D2491" w:rsidRDefault="00773D02" w14:paraId="6994A45E" w14:textId="2C0C2E3B">
          <w:pPr>
            <w:pStyle w:val="TOC3"/>
            <w:tabs>
              <w:tab w:val="left" w:pos="1728"/>
              <w:tab w:val="right" w:leader="dot" w:pos="9350"/>
            </w:tabs>
            <w:rPr>
              <w:rFonts w:asciiTheme="minorHAnsi" w:hAnsiTheme="minorHAnsi" w:cstheme="minorBidi"/>
              <w:noProof/>
              <w:sz w:val="22"/>
            </w:rPr>
          </w:pPr>
          <w:hyperlink w:history="1" w:anchor="_Toc67556522">
            <w:r w:rsidRPr="00572F49" w:rsidR="009D2491">
              <w:rPr>
                <w:rStyle w:val="Hyperlink"/>
                <w:noProof/>
              </w:rPr>
              <w:t>4.1.12.</w:t>
            </w:r>
            <w:r w:rsidR="009D2491">
              <w:rPr>
                <w:rFonts w:asciiTheme="minorHAnsi" w:hAnsiTheme="minorHAnsi" w:cstheme="minorBidi"/>
                <w:noProof/>
                <w:sz w:val="22"/>
              </w:rPr>
              <w:tab/>
            </w:r>
            <w:r w:rsidRPr="00572F49" w:rsidR="009D2491">
              <w:rPr>
                <w:rStyle w:val="Hyperlink"/>
                <w:noProof/>
              </w:rPr>
              <w:t>Transfer of Frontier’s Assets</w:t>
            </w:r>
            <w:r w:rsidR="009D2491">
              <w:rPr>
                <w:noProof/>
                <w:webHidden/>
              </w:rPr>
              <w:tab/>
            </w:r>
            <w:r w:rsidR="009D2491">
              <w:rPr>
                <w:noProof/>
                <w:webHidden/>
              </w:rPr>
              <w:fldChar w:fldCharType="begin"/>
            </w:r>
            <w:r w:rsidR="009D2491">
              <w:rPr>
                <w:noProof/>
                <w:webHidden/>
              </w:rPr>
              <w:instrText xml:space="preserve"> PAGEREF _Toc67556522 \h </w:instrText>
            </w:r>
            <w:r w:rsidR="009D2491">
              <w:rPr>
                <w:noProof/>
                <w:webHidden/>
              </w:rPr>
            </w:r>
            <w:r w:rsidR="009D2491">
              <w:rPr>
                <w:noProof/>
                <w:webHidden/>
              </w:rPr>
              <w:fldChar w:fldCharType="separate"/>
            </w:r>
            <w:r w:rsidR="009E31CC">
              <w:rPr>
                <w:noProof/>
                <w:webHidden/>
              </w:rPr>
              <w:t>36</w:t>
            </w:r>
            <w:r w:rsidR="009D2491">
              <w:rPr>
                <w:noProof/>
                <w:webHidden/>
              </w:rPr>
              <w:fldChar w:fldCharType="end"/>
            </w:r>
          </w:hyperlink>
        </w:p>
        <w:p w:rsidR="009D2491" w:rsidRDefault="00773D02" w14:paraId="06729C7E" w14:textId="6A5664B9">
          <w:pPr>
            <w:pStyle w:val="TOC3"/>
            <w:tabs>
              <w:tab w:val="left" w:pos="1728"/>
              <w:tab w:val="right" w:leader="dot" w:pos="9350"/>
            </w:tabs>
            <w:rPr>
              <w:rFonts w:asciiTheme="minorHAnsi" w:hAnsiTheme="minorHAnsi" w:cstheme="minorBidi"/>
              <w:noProof/>
              <w:sz w:val="22"/>
            </w:rPr>
          </w:pPr>
          <w:hyperlink w:history="1" w:anchor="_Toc67556523">
            <w:r w:rsidRPr="00572F49" w:rsidR="009D2491">
              <w:rPr>
                <w:rStyle w:val="Hyperlink"/>
                <w:noProof/>
              </w:rPr>
              <w:t>4.1.13.</w:t>
            </w:r>
            <w:r w:rsidR="009D2491">
              <w:rPr>
                <w:rFonts w:asciiTheme="minorHAnsi" w:hAnsiTheme="minorHAnsi" w:cstheme="minorBidi"/>
                <w:noProof/>
                <w:sz w:val="22"/>
              </w:rPr>
              <w:tab/>
            </w:r>
            <w:r w:rsidRPr="00572F49" w:rsidR="009D2491">
              <w:rPr>
                <w:rStyle w:val="Hyperlink"/>
                <w:noProof/>
              </w:rPr>
              <w:t>Effect on Performance of Frontier’s Legal Obligations and Obligations as Carrier of Last Resort and Eligible Telecommunications Carrier</w:t>
            </w:r>
            <w:r w:rsidR="009D2491">
              <w:rPr>
                <w:noProof/>
                <w:webHidden/>
              </w:rPr>
              <w:tab/>
            </w:r>
            <w:r w:rsidR="009D2491">
              <w:rPr>
                <w:noProof/>
                <w:webHidden/>
              </w:rPr>
              <w:fldChar w:fldCharType="begin"/>
            </w:r>
            <w:r w:rsidR="009D2491">
              <w:rPr>
                <w:noProof/>
                <w:webHidden/>
              </w:rPr>
              <w:instrText xml:space="preserve"> PAGEREF _Toc67556523 \h </w:instrText>
            </w:r>
            <w:r w:rsidR="009D2491">
              <w:rPr>
                <w:noProof/>
                <w:webHidden/>
              </w:rPr>
            </w:r>
            <w:r w:rsidR="009D2491">
              <w:rPr>
                <w:noProof/>
                <w:webHidden/>
              </w:rPr>
              <w:fldChar w:fldCharType="separate"/>
            </w:r>
            <w:r w:rsidR="009E31CC">
              <w:rPr>
                <w:noProof/>
                <w:webHidden/>
              </w:rPr>
              <w:t>40</w:t>
            </w:r>
            <w:r w:rsidR="009D2491">
              <w:rPr>
                <w:noProof/>
                <w:webHidden/>
              </w:rPr>
              <w:fldChar w:fldCharType="end"/>
            </w:r>
          </w:hyperlink>
        </w:p>
        <w:p w:rsidR="009D2491" w:rsidRDefault="00773D02" w14:paraId="75EA484A" w14:textId="0F62FE80">
          <w:pPr>
            <w:pStyle w:val="TOC3"/>
            <w:tabs>
              <w:tab w:val="left" w:pos="1728"/>
              <w:tab w:val="right" w:leader="dot" w:pos="9350"/>
            </w:tabs>
            <w:rPr>
              <w:rFonts w:asciiTheme="minorHAnsi" w:hAnsiTheme="minorHAnsi" w:cstheme="minorBidi"/>
              <w:noProof/>
              <w:sz w:val="22"/>
            </w:rPr>
          </w:pPr>
          <w:hyperlink w:history="1" w:anchor="_Toc67556524">
            <w:r w:rsidRPr="00572F49" w:rsidR="009D2491">
              <w:rPr>
                <w:rStyle w:val="Hyperlink"/>
                <w:noProof/>
              </w:rPr>
              <w:t>4.1.14.</w:t>
            </w:r>
            <w:r w:rsidR="009D2491">
              <w:rPr>
                <w:rFonts w:asciiTheme="minorHAnsi" w:hAnsiTheme="minorHAnsi" w:cstheme="minorBidi"/>
                <w:noProof/>
                <w:sz w:val="22"/>
              </w:rPr>
              <w:tab/>
            </w:r>
            <w:r w:rsidRPr="00572F49" w:rsidR="009D2491">
              <w:rPr>
                <w:rStyle w:val="Hyperlink"/>
                <w:noProof/>
              </w:rPr>
              <w:t>Effect on Rates and Prices Charged  to Ratepayers and Customers</w:t>
            </w:r>
            <w:r w:rsidR="009D2491">
              <w:rPr>
                <w:noProof/>
                <w:webHidden/>
              </w:rPr>
              <w:tab/>
            </w:r>
            <w:r w:rsidR="009D2491">
              <w:rPr>
                <w:noProof/>
                <w:webHidden/>
              </w:rPr>
              <w:fldChar w:fldCharType="begin"/>
            </w:r>
            <w:r w:rsidR="009D2491">
              <w:rPr>
                <w:noProof/>
                <w:webHidden/>
              </w:rPr>
              <w:instrText xml:space="preserve"> PAGEREF _Toc67556524 \h </w:instrText>
            </w:r>
            <w:r w:rsidR="009D2491">
              <w:rPr>
                <w:noProof/>
                <w:webHidden/>
              </w:rPr>
            </w:r>
            <w:r w:rsidR="009D2491">
              <w:rPr>
                <w:noProof/>
                <w:webHidden/>
              </w:rPr>
              <w:fldChar w:fldCharType="separate"/>
            </w:r>
            <w:r w:rsidR="009E31CC">
              <w:rPr>
                <w:noProof/>
                <w:webHidden/>
              </w:rPr>
              <w:t>41</w:t>
            </w:r>
            <w:r w:rsidR="009D2491">
              <w:rPr>
                <w:noProof/>
                <w:webHidden/>
              </w:rPr>
              <w:fldChar w:fldCharType="end"/>
            </w:r>
          </w:hyperlink>
        </w:p>
        <w:p w:rsidR="009D2491" w:rsidRDefault="00773D02" w14:paraId="37E439C4" w14:textId="63CA408D">
          <w:pPr>
            <w:pStyle w:val="TOC3"/>
            <w:tabs>
              <w:tab w:val="left" w:pos="1728"/>
              <w:tab w:val="right" w:leader="dot" w:pos="9350"/>
            </w:tabs>
            <w:rPr>
              <w:rFonts w:asciiTheme="minorHAnsi" w:hAnsiTheme="minorHAnsi" w:cstheme="minorBidi"/>
              <w:noProof/>
              <w:sz w:val="22"/>
            </w:rPr>
          </w:pPr>
          <w:hyperlink w:history="1" w:anchor="_Toc67556525">
            <w:r w:rsidRPr="00572F49" w:rsidR="009D2491">
              <w:rPr>
                <w:rStyle w:val="Hyperlink"/>
                <w:noProof/>
              </w:rPr>
              <w:t>4.1.15.</w:t>
            </w:r>
            <w:r w:rsidR="009D2491">
              <w:rPr>
                <w:rFonts w:asciiTheme="minorHAnsi" w:hAnsiTheme="minorHAnsi" w:cstheme="minorBidi"/>
                <w:noProof/>
                <w:sz w:val="22"/>
              </w:rPr>
              <w:tab/>
            </w:r>
            <w:r w:rsidRPr="00572F49" w:rsidR="009D2491">
              <w:rPr>
                <w:rStyle w:val="Hyperlink"/>
                <w:noProof/>
              </w:rPr>
              <w:t>Effect on Frontier’s Performance of Terms and Conditions of Service to Ratepayers and Customers</w:t>
            </w:r>
            <w:r w:rsidR="009D2491">
              <w:rPr>
                <w:noProof/>
                <w:webHidden/>
              </w:rPr>
              <w:tab/>
            </w:r>
            <w:r w:rsidR="009D2491">
              <w:rPr>
                <w:noProof/>
                <w:webHidden/>
              </w:rPr>
              <w:fldChar w:fldCharType="begin"/>
            </w:r>
            <w:r w:rsidR="009D2491">
              <w:rPr>
                <w:noProof/>
                <w:webHidden/>
              </w:rPr>
              <w:instrText xml:space="preserve"> PAGEREF _Toc67556525 \h </w:instrText>
            </w:r>
            <w:r w:rsidR="009D2491">
              <w:rPr>
                <w:noProof/>
                <w:webHidden/>
              </w:rPr>
            </w:r>
            <w:r w:rsidR="009D2491">
              <w:rPr>
                <w:noProof/>
                <w:webHidden/>
              </w:rPr>
              <w:fldChar w:fldCharType="separate"/>
            </w:r>
            <w:r w:rsidR="009E31CC">
              <w:rPr>
                <w:noProof/>
                <w:webHidden/>
              </w:rPr>
              <w:t>44</w:t>
            </w:r>
            <w:r w:rsidR="009D2491">
              <w:rPr>
                <w:noProof/>
                <w:webHidden/>
              </w:rPr>
              <w:fldChar w:fldCharType="end"/>
            </w:r>
          </w:hyperlink>
        </w:p>
        <w:p w:rsidR="009D2491" w:rsidRDefault="00773D02" w14:paraId="4988E9D9" w14:textId="611B4912">
          <w:pPr>
            <w:pStyle w:val="TOC3"/>
            <w:tabs>
              <w:tab w:val="left" w:pos="1728"/>
              <w:tab w:val="right" w:leader="dot" w:pos="9350"/>
            </w:tabs>
            <w:rPr>
              <w:rFonts w:asciiTheme="minorHAnsi" w:hAnsiTheme="minorHAnsi" w:cstheme="minorBidi"/>
              <w:noProof/>
              <w:sz w:val="22"/>
            </w:rPr>
          </w:pPr>
          <w:hyperlink w:history="1" w:anchor="_Toc67556526">
            <w:r w:rsidRPr="00572F49" w:rsidR="009D2491">
              <w:rPr>
                <w:rStyle w:val="Hyperlink"/>
                <w:noProof/>
              </w:rPr>
              <w:t>4.1.16.</w:t>
            </w:r>
            <w:r w:rsidR="009D2491">
              <w:rPr>
                <w:rFonts w:asciiTheme="minorHAnsi" w:hAnsiTheme="minorHAnsi" w:cstheme="minorBidi"/>
                <w:noProof/>
                <w:sz w:val="22"/>
              </w:rPr>
              <w:tab/>
            </w:r>
            <w:r w:rsidRPr="00572F49" w:rsidR="009D2491">
              <w:rPr>
                <w:rStyle w:val="Hyperlink"/>
                <w:noProof/>
              </w:rPr>
              <w:t>Effect on Frontier’s Network Infrastructure and Broadband Deployment</w:t>
            </w:r>
            <w:r w:rsidR="009D2491">
              <w:rPr>
                <w:noProof/>
                <w:webHidden/>
              </w:rPr>
              <w:tab/>
            </w:r>
            <w:r w:rsidR="009D2491">
              <w:rPr>
                <w:noProof/>
                <w:webHidden/>
              </w:rPr>
              <w:fldChar w:fldCharType="begin"/>
            </w:r>
            <w:r w:rsidR="009D2491">
              <w:rPr>
                <w:noProof/>
                <w:webHidden/>
              </w:rPr>
              <w:instrText xml:space="preserve"> PAGEREF _Toc67556526 \h </w:instrText>
            </w:r>
            <w:r w:rsidR="009D2491">
              <w:rPr>
                <w:noProof/>
                <w:webHidden/>
              </w:rPr>
            </w:r>
            <w:r w:rsidR="009D2491">
              <w:rPr>
                <w:noProof/>
                <w:webHidden/>
              </w:rPr>
              <w:fldChar w:fldCharType="separate"/>
            </w:r>
            <w:r w:rsidR="009E31CC">
              <w:rPr>
                <w:noProof/>
                <w:webHidden/>
              </w:rPr>
              <w:t>44</w:t>
            </w:r>
            <w:r w:rsidR="009D2491">
              <w:rPr>
                <w:noProof/>
                <w:webHidden/>
              </w:rPr>
              <w:fldChar w:fldCharType="end"/>
            </w:r>
          </w:hyperlink>
        </w:p>
        <w:p w:rsidR="009D2491" w:rsidRDefault="00773D02" w14:paraId="247FF4EA" w14:textId="6ECF2E4C">
          <w:pPr>
            <w:pStyle w:val="TOC3"/>
            <w:tabs>
              <w:tab w:val="left" w:pos="1728"/>
              <w:tab w:val="right" w:leader="dot" w:pos="9350"/>
            </w:tabs>
            <w:rPr>
              <w:rFonts w:asciiTheme="minorHAnsi" w:hAnsiTheme="minorHAnsi" w:cstheme="minorBidi"/>
              <w:noProof/>
              <w:sz w:val="22"/>
            </w:rPr>
          </w:pPr>
          <w:hyperlink w:history="1" w:anchor="_Toc67556527">
            <w:r w:rsidRPr="00572F49" w:rsidR="009D2491">
              <w:rPr>
                <w:rStyle w:val="Hyperlink"/>
                <w:noProof/>
              </w:rPr>
              <w:t>4.1.17.</w:t>
            </w:r>
            <w:r w:rsidR="009D2491">
              <w:rPr>
                <w:rFonts w:asciiTheme="minorHAnsi" w:hAnsiTheme="minorHAnsi" w:cstheme="minorBidi"/>
                <w:noProof/>
                <w:sz w:val="22"/>
              </w:rPr>
              <w:tab/>
            </w:r>
            <w:r w:rsidRPr="00572F49" w:rsidR="009D2491">
              <w:rPr>
                <w:rStyle w:val="Hyperlink"/>
                <w:noProof/>
              </w:rPr>
              <w:t>Effect on Frontier’s Performance of Obligations Under and Future Participation in Universal Service and Public Service Programs</w:t>
            </w:r>
            <w:r w:rsidR="009D2491">
              <w:rPr>
                <w:noProof/>
                <w:webHidden/>
              </w:rPr>
              <w:tab/>
            </w:r>
            <w:r w:rsidR="009D2491">
              <w:rPr>
                <w:noProof/>
                <w:webHidden/>
              </w:rPr>
              <w:fldChar w:fldCharType="begin"/>
            </w:r>
            <w:r w:rsidR="009D2491">
              <w:rPr>
                <w:noProof/>
                <w:webHidden/>
              </w:rPr>
              <w:instrText xml:space="preserve"> PAGEREF _Toc67556527 \h </w:instrText>
            </w:r>
            <w:r w:rsidR="009D2491">
              <w:rPr>
                <w:noProof/>
                <w:webHidden/>
              </w:rPr>
            </w:r>
            <w:r w:rsidR="009D2491">
              <w:rPr>
                <w:noProof/>
                <w:webHidden/>
              </w:rPr>
              <w:fldChar w:fldCharType="separate"/>
            </w:r>
            <w:r w:rsidR="009E31CC">
              <w:rPr>
                <w:noProof/>
                <w:webHidden/>
              </w:rPr>
              <w:t>53</w:t>
            </w:r>
            <w:r w:rsidR="009D2491">
              <w:rPr>
                <w:noProof/>
                <w:webHidden/>
              </w:rPr>
              <w:fldChar w:fldCharType="end"/>
            </w:r>
          </w:hyperlink>
        </w:p>
        <w:p w:rsidR="009D2491" w:rsidRDefault="00773D02" w14:paraId="5BE368A2" w14:textId="1D3015FE">
          <w:pPr>
            <w:pStyle w:val="TOC3"/>
            <w:tabs>
              <w:tab w:val="left" w:pos="1728"/>
              <w:tab w:val="right" w:leader="dot" w:pos="9350"/>
            </w:tabs>
            <w:rPr>
              <w:rFonts w:asciiTheme="minorHAnsi" w:hAnsiTheme="minorHAnsi" w:cstheme="minorBidi"/>
              <w:noProof/>
              <w:sz w:val="22"/>
            </w:rPr>
          </w:pPr>
          <w:hyperlink w:history="1" w:anchor="_Toc67556528">
            <w:r w:rsidRPr="00572F49" w:rsidR="009D2491">
              <w:rPr>
                <w:rStyle w:val="Hyperlink"/>
                <w:noProof/>
              </w:rPr>
              <w:t>4.1.18.</w:t>
            </w:r>
            <w:r w:rsidR="009D2491">
              <w:rPr>
                <w:rFonts w:asciiTheme="minorHAnsi" w:hAnsiTheme="minorHAnsi" w:cstheme="minorBidi"/>
                <w:noProof/>
                <w:sz w:val="22"/>
              </w:rPr>
              <w:tab/>
            </w:r>
            <w:r w:rsidRPr="00572F49" w:rsidR="009D2491">
              <w:rPr>
                <w:rStyle w:val="Hyperlink"/>
                <w:noProof/>
              </w:rPr>
              <w:t>Potential Environmental Impact</w:t>
            </w:r>
            <w:r w:rsidR="009D2491">
              <w:rPr>
                <w:noProof/>
                <w:webHidden/>
              </w:rPr>
              <w:tab/>
            </w:r>
            <w:r w:rsidR="009D2491">
              <w:rPr>
                <w:noProof/>
                <w:webHidden/>
              </w:rPr>
              <w:fldChar w:fldCharType="begin"/>
            </w:r>
            <w:r w:rsidR="009D2491">
              <w:rPr>
                <w:noProof/>
                <w:webHidden/>
              </w:rPr>
              <w:instrText xml:space="preserve"> PAGEREF _Toc67556528 \h </w:instrText>
            </w:r>
            <w:r w:rsidR="009D2491">
              <w:rPr>
                <w:noProof/>
                <w:webHidden/>
              </w:rPr>
            </w:r>
            <w:r w:rsidR="009D2491">
              <w:rPr>
                <w:noProof/>
                <w:webHidden/>
              </w:rPr>
              <w:fldChar w:fldCharType="separate"/>
            </w:r>
            <w:r w:rsidR="009E31CC">
              <w:rPr>
                <w:noProof/>
                <w:webHidden/>
              </w:rPr>
              <w:t>54</w:t>
            </w:r>
            <w:r w:rsidR="009D2491">
              <w:rPr>
                <w:noProof/>
                <w:webHidden/>
              </w:rPr>
              <w:fldChar w:fldCharType="end"/>
            </w:r>
          </w:hyperlink>
        </w:p>
        <w:p w:rsidR="009D2491" w:rsidRDefault="00773D02" w14:paraId="3E31EE76" w14:textId="58C878D4">
          <w:pPr>
            <w:pStyle w:val="TOC3"/>
            <w:tabs>
              <w:tab w:val="left" w:pos="1728"/>
              <w:tab w:val="right" w:leader="dot" w:pos="9350"/>
            </w:tabs>
            <w:rPr>
              <w:rFonts w:asciiTheme="minorHAnsi" w:hAnsiTheme="minorHAnsi" w:cstheme="minorBidi"/>
              <w:noProof/>
              <w:sz w:val="22"/>
            </w:rPr>
          </w:pPr>
          <w:hyperlink w:history="1" w:anchor="_Toc67556529">
            <w:r w:rsidRPr="00572F49" w:rsidR="009D2491">
              <w:rPr>
                <w:rStyle w:val="Hyperlink"/>
                <w:noProof/>
              </w:rPr>
              <w:t>4.1.19.</w:t>
            </w:r>
            <w:r w:rsidR="009D2491">
              <w:rPr>
                <w:rFonts w:asciiTheme="minorHAnsi" w:hAnsiTheme="minorHAnsi" w:cstheme="minorBidi"/>
                <w:noProof/>
                <w:sz w:val="22"/>
              </w:rPr>
              <w:tab/>
            </w:r>
            <w:r w:rsidRPr="00572F49" w:rsidR="009D2491">
              <w:rPr>
                <w:rStyle w:val="Hyperlink"/>
                <w:noProof/>
              </w:rPr>
              <w:t>Effect on Applicants’ Provision of Special Access Services, Including Backhaul Service.</w:t>
            </w:r>
            <w:r w:rsidR="009D2491">
              <w:rPr>
                <w:noProof/>
                <w:webHidden/>
              </w:rPr>
              <w:tab/>
            </w:r>
            <w:r w:rsidR="009D2491">
              <w:rPr>
                <w:noProof/>
                <w:webHidden/>
              </w:rPr>
              <w:fldChar w:fldCharType="begin"/>
            </w:r>
            <w:r w:rsidR="009D2491">
              <w:rPr>
                <w:noProof/>
                <w:webHidden/>
              </w:rPr>
              <w:instrText xml:space="preserve"> PAGEREF _Toc67556529 \h </w:instrText>
            </w:r>
            <w:r w:rsidR="009D2491">
              <w:rPr>
                <w:noProof/>
                <w:webHidden/>
              </w:rPr>
            </w:r>
            <w:r w:rsidR="009D2491">
              <w:rPr>
                <w:noProof/>
                <w:webHidden/>
              </w:rPr>
              <w:fldChar w:fldCharType="separate"/>
            </w:r>
            <w:r w:rsidR="009E31CC">
              <w:rPr>
                <w:noProof/>
                <w:webHidden/>
              </w:rPr>
              <w:t>54</w:t>
            </w:r>
            <w:r w:rsidR="009D2491">
              <w:rPr>
                <w:noProof/>
                <w:webHidden/>
              </w:rPr>
              <w:fldChar w:fldCharType="end"/>
            </w:r>
          </w:hyperlink>
        </w:p>
        <w:p w:rsidR="009D2491" w:rsidRDefault="00773D02" w14:paraId="1C95F604" w14:textId="1DD048C4">
          <w:pPr>
            <w:pStyle w:val="TOC3"/>
            <w:tabs>
              <w:tab w:val="left" w:pos="1728"/>
              <w:tab w:val="right" w:leader="dot" w:pos="9350"/>
            </w:tabs>
            <w:rPr>
              <w:rFonts w:asciiTheme="minorHAnsi" w:hAnsiTheme="minorHAnsi" w:cstheme="minorBidi"/>
              <w:noProof/>
              <w:sz w:val="22"/>
            </w:rPr>
          </w:pPr>
          <w:hyperlink w:history="1" w:anchor="_Toc67556530">
            <w:r w:rsidRPr="00572F49" w:rsidR="009D2491">
              <w:rPr>
                <w:rStyle w:val="Hyperlink"/>
                <w:noProof/>
              </w:rPr>
              <w:t>4.1.20.</w:t>
            </w:r>
            <w:r w:rsidR="009D2491">
              <w:rPr>
                <w:rFonts w:asciiTheme="minorHAnsi" w:hAnsiTheme="minorHAnsi" w:cstheme="minorBidi"/>
                <w:noProof/>
                <w:sz w:val="22"/>
              </w:rPr>
              <w:tab/>
            </w:r>
            <w:r w:rsidRPr="00572F49" w:rsidR="009D2491">
              <w:rPr>
                <w:rStyle w:val="Hyperlink"/>
                <w:noProof/>
              </w:rPr>
              <w:t>Effect on Commission Responsibilities Regarding Regulation of Frontier</w:t>
            </w:r>
            <w:r w:rsidR="009D2491">
              <w:rPr>
                <w:noProof/>
                <w:webHidden/>
              </w:rPr>
              <w:tab/>
            </w:r>
            <w:r w:rsidR="009D2491">
              <w:rPr>
                <w:noProof/>
                <w:webHidden/>
              </w:rPr>
              <w:fldChar w:fldCharType="begin"/>
            </w:r>
            <w:r w:rsidR="009D2491">
              <w:rPr>
                <w:noProof/>
                <w:webHidden/>
              </w:rPr>
              <w:instrText xml:space="preserve"> PAGEREF _Toc67556530 \h </w:instrText>
            </w:r>
            <w:r w:rsidR="009D2491">
              <w:rPr>
                <w:noProof/>
                <w:webHidden/>
              </w:rPr>
            </w:r>
            <w:r w:rsidR="009D2491">
              <w:rPr>
                <w:noProof/>
                <w:webHidden/>
              </w:rPr>
              <w:fldChar w:fldCharType="separate"/>
            </w:r>
            <w:r w:rsidR="009E31CC">
              <w:rPr>
                <w:noProof/>
                <w:webHidden/>
              </w:rPr>
              <w:t>55</w:t>
            </w:r>
            <w:r w:rsidR="009D2491">
              <w:rPr>
                <w:noProof/>
                <w:webHidden/>
              </w:rPr>
              <w:fldChar w:fldCharType="end"/>
            </w:r>
          </w:hyperlink>
        </w:p>
        <w:p w:rsidR="009D2491" w:rsidRDefault="00773D02" w14:paraId="400BC66E" w14:textId="5A844252">
          <w:pPr>
            <w:pStyle w:val="TOC3"/>
            <w:tabs>
              <w:tab w:val="left" w:pos="1728"/>
              <w:tab w:val="right" w:leader="dot" w:pos="9350"/>
            </w:tabs>
            <w:rPr>
              <w:rFonts w:asciiTheme="minorHAnsi" w:hAnsiTheme="minorHAnsi" w:cstheme="minorBidi"/>
              <w:noProof/>
              <w:sz w:val="22"/>
            </w:rPr>
          </w:pPr>
          <w:hyperlink w:history="1" w:anchor="_Toc67556531">
            <w:r w:rsidRPr="00572F49" w:rsidR="009D2491">
              <w:rPr>
                <w:rStyle w:val="Hyperlink"/>
                <w:noProof/>
              </w:rPr>
              <w:t>4.1.21.</w:t>
            </w:r>
            <w:r w:rsidR="009D2491">
              <w:rPr>
                <w:rFonts w:asciiTheme="minorHAnsi" w:hAnsiTheme="minorHAnsi" w:cstheme="minorBidi"/>
                <w:noProof/>
                <w:sz w:val="22"/>
              </w:rPr>
              <w:tab/>
            </w:r>
            <w:r w:rsidRPr="00572F49" w:rsidR="009D2491">
              <w:rPr>
                <w:rStyle w:val="Hyperlink"/>
                <w:noProof/>
              </w:rPr>
              <w:t>Summary of Section 4.1 Factors</w:t>
            </w:r>
            <w:r w:rsidR="009D2491">
              <w:rPr>
                <w:noProof/>
                <w:webHidden/>
              </w:rPr>
              <w:tab/>
            </w:r>
            <w:r w:rsidR="009D2491">
              <w:rPr>
                <w:noProof/>
                <w:webHidden/>
              </w:rPr>
              <w:fldChar w:fldCharType="begin"/>
            </w:r>
            <w:r w:rsidR="009D2491">
              <w:rPr>
                <w:noProof/>
                <w:webHidden/>
              </w:rPr>
              <w:instrText xml:space="preserve"> PAGEREF _Toc67556531 \h </w:instrText>
            </w:r>
            <w:r w:rsidR="009D2491">
              <w:rPr>
                <w:noProof/>
                <w:webHidden/>
              </w:rPr>
            </w:r>
            <w:r w:rsidR="009D2491">
              <w:rPr>
                <w:noProof/>
                <w:webHidden/>
              </w:rPr>
              <w:fldChar w:fldCharType="separate"/>
            </w:r>
            <w:r w:rsidR="009E31CC">
              <w:rPr>
                <w:noProof/>
                <w:webHidden/>
              </w:rPr>
              <w:t>55</w:t>
            </w:r>
            <w:r w:rsidR="009D2491">
              <w:rPr>
                <w:noProof/>
                <w:webHidden/>
              </w:rPr>
              <w:fldChar w:fldCharType="end"/>
            </w:r>
          </w:hyperlink>
        </w:p>
        <w:p w:rsidR="009D2491" w:rsidRDefault="00773D02" w14:paraId="1EC82EAC" w14:textId="1EF129B2">
          <w:pPr>
            <w:pStyle w:val="TOC2"/>
            <w:tabs>
              <w:tab w:val="right" w:leader="dot" w:pos="9350"/>
            </w:tabs>
            <w:rPr>
              <w:rFonts w:asciiTheme="minorHAnsi" w:hAnsiTheme="minorHAnsi" w:cstheme="minorBidi"/>
              <w:noProof/>
              <w:sz w:val="22"/>
            </w:rPr>
          </w:pPr>
          <w:hyperlink w:history="1" w:anchor="_Toc67556532">
            <w:r w:rsidRPr="00572F49" w:rsidR="009D2491">
              <w:rPr>
                <w:rStyle w:val="Hyperlink"/>
                <w:noProof/>
              </w:rPr>
              <w:t>4.2.</w:t>
            </w:r>
            <w:r w:rsidR="009D2491">
              <w:rPr>
                <w:rFonts w:asciiTheme="minorHAnsi" w:hAnsiTheme="minorHAnsi" w:cstheme="minorBidi"/>
                <w:noProof/>
                <w:sz w:val="22"/>
              </w:rPr>
              <w:tab/>
            </w:r>
            <w:r w:rsidRPr="00572F49" w:rsidR="009D2491">
              <w:rPr>
                <w:rStyle w:val="Hyperlink"/>
                <w:noProof/>
              </w:rPr>
              <w:t>Motions</w:t>
            </w:r>
            <w:r w:rsidR="009D2491">
              <w:rPr>
                <w:noProof/>
                <w:webHidden/>
              </w:rPr>
              <w:tab/>
            </w:r>
            <w:r w:rsidR="009D2491">
              <w:rPr>
                <w:noProof/>
                <w:webHidden/>
              </w:rPr>
              <w:fldChar w:fldCharType="begin"/>
            </w:r>
            <w:r w:rsidR="009D2491">
              <w:rPr>
                <w:noProof/>
                <w:webHidden/>
              </w:rPr>
              <w:instrText xml:space="preserve"> PAGEREF _Toc67556532 \h </w:instrText>
            </w:r>
            <w:r w:rsidR="009D2491">
              <w:rPr>
                <w:noProof/>
                <w:webHidden/>
              </w:rPr>
            </w:r>
            <w:r w:rsidR="009D2491">
              <w:rPr>
                <w:noProof/>
                <w:webHidden/>
              </w:rPr>
              <w:fldChar w:fldCharType="separate"/>
            </w:r>
            <w:r w:rsidR="009E31CC">
              <w:rPr>
                <w:noProof/>
                <w:webHidden/>
              </w:rPr>
              <w:t>58</w:t>
            </w:r>
            <w:r w:rsidR="009D2491">
              <w:rPr>
                <w:noProof/>
                <w:webHidden/>
              </w:rPr>
              <w:fldChar w:fldCharType="end"/>
            </w:r>
          </w:hyperlink>
        </w:p>
        <w:p w:rsidR="009D2491" w:rsidRDefault="00773D02" w14:paraId="00B3459E" w14:textId="24D94657">
          <w:pPr>
            <w:pStyle w:val="TOC3"/>
            <w:tabs>
              <w:tab w:val="left" w:pos="1296"/>
              <w:tab w:val="right" w:leader="dot" w:pos="9350"/>
            </w:tabs>
            <w:rPr>
              <w:rFonts w:asciiTheme="minorHAnsi" w:hAnsiTheme="minorHAnsi" w:cstheme="minorBidi"/>
              <w:noProof/>
              <w:sz w:val="22"/>
            </w:rPr>
          </w:pPr>
          <w:hyperlink w:history="1" w:anchor="_Toc67556533">
            <w:r w:rsidRPr="00572F49" w:rsidR="009D2491">
              <w:rPr>
                <w:rStyle w:val="Hyperlink"/>
                <w:noProof/>
              </w:rPr>
              <w:t>4.2.1.</w:t>
            </w:r>
            <w:r w:rsidR="009D2491">
              <w:rPr>
                <w:rFonts w:asciiTheme="minorHAnsi" w:hAnsiTheme="minorHAnsi" w:cstheme="minorBidi"/>
                <w:noProof/>
                <w:sz w:val="22"/>
              </w:rPr>
              <w:tab/>
            </w:r>
            <w:r w:rsidRPr="00572F49" w:rsidR="009D2491">
              <w:rPr>
                <w:rStyle w:val="Hyperlink"/>
                <w:noProof/>
              </w:rPr>
              <w:t>Motion for Leave to File Confidential Portions of Application under Seal</w:t>
            </w:r>
            <w:r w:rsidR="009D2491">
              <w:rPr>
                <w:noProof/>
                <w:webHidden/>
              </w:rPr>
              <w:tab/>
            </w:r>
            <w:r w:rsidR="009D2491">
              <w:rPr>
                <w:noProof/>
                <w:webHidden/>
              </w:rPr>
              <w:fldChar w:fldCharType="begin"/>
            </w:r>
            <w:r w:rsidR="009D2491">
              <w:rPr>
                <w:noProof/>
                <w:webHidden/>
              </w:rPr>
              <w:instrText xml:space="preserve"> PAGEREF _Toc67556533 \h </w:instrText>
            </w:r>
            <w:r w:rsidR="009D2491">
              <w:rPr>
                <w:noProof/>
                <w:webHidden/>
              </w:rPr>
            </w:r>
            <w:r w:rsidR="009D2491">
              <w:rPr>
                <w:noProof/>
                <w:webHidden/>
              </w:rPr>
              <w:fldChar w:fldCharType="separate"/>
            </w:r>
            <w:r w:rsidR="009E31CC">
              <w:rPr>
                <w:noProof/>
                <w:webHidden/>
              </w:rPr>
              <w:t>58</w:t>
            </w:r>
            <w:r w:rsidR="009D2491">
              <w:rPr>
                <w:noProof/>
                <w:webHidden/>
              </w:rPr>
              <w:fldChar w:fldCharType="end"/>
            </w:r>
          </w:hyperlink>
        </w:p>
        <w:p w:rsidR="009D2491" w:rsidRDefault="00773D02" w14:paraId="78827CA9" w14:textId="3E6C45AE">
          <w:pPr>
            <w:pStyle w:val="TOC3"/>
            <w:tabs>
              <w:tab w:val="left" w:pos="1296"/>
              <w:tab w:val="right" w:leader="dot" w:pos="9350"/>
            </w:tabs>
            <w:rPr>
              <w:rFonts w:asciiTheme="minorHAnsi" w:hAnsiTheme="minorHAnsi" w:cstheme="minorBidi"/>
              <w:noProof/>
              <w:sz w:val="22"/>
            </w:rPr>
          </w:pPr>
          <w:hyperlink w:history="1" w:anchor="_Toc67556534">
            <w:r w:rsidRPr="00572F49" w:rsidR="009D2491">
              <w:rPr>
                <w:rStyle w:val="Hyperlink"/>
                <w:noProof/>
              </w:rPr>
              <w:t>4.2.2.</w:t>
            </w:r>
            <w:r w:rsidR="009D2491">
              <w:rPr>
                <w:rFonts w:asciiTheme="minorHAnsi" w:hAnsiTheme="minorHAnsi" w:cstheme="minorBidi"/>
                <w:noProof/>
                <w:sz w:val="22"/>
              </w:rPr>
              <w:tab/>
            </w:r>
            <w:r w:rsidRPr="00572F49" w:rsidR="009D2491">
              <w:rPr>
                <w:rStyle w:val="Hyperlink"/>
                <w:noProof/>
              </w:rPr>
              <w:t>Joint Motions for Adoption of  Settlement Agreements</w:t>
            </w:r>
            <w:r w:rsidR="009D2491">
              <w:rPr>
                <w:noProof/>
                <w:webHidden/>
              </w:rPr>
              <w:tab/>
            </w:r>
            <w:r w:rsidR="009D2491">
              <w:rPr>
                <w:noProof/>
                <w:webHidden/>
              </w:rPr>
              <w:fldChar w:fldCharType="begin"/>
            </w:r>
            <w:r w:rsidR="009D2491">
              <w:rPr>
                <w:noProof/>
                <w:webHidden/>
              </w:rPr>
              <w:instrText xml:space="preserve"> PAGEREF _Toc67556534 \h </w:instrText>
            </w:r>
            <w:r w:rsidR="009D2491">
              <w:rPr>
                <w:noProof/>
                <w:webHidden/>
              </w:rPr>
            </w:r>
            <w:r w:rsidR="009D2491">
              <w:rPr>
                <w:noProof/>
                <w:webHidden/>
              </w:rPr>
              <w:fldChar w:fldCharType="separate"/>
            </w:r>
            <w:r w:rsidR="009E31CC">
              <w:rPr>
                <w:noProof/>
                <w:webHidden/>
              </w:rPr>
              <w:t>58</w:t>
            </w:r>
            <w:r w:rsidR="009D2491">
              <w:rPr>
                <w:noProof/>
                <w:webHidden/>
              </w:rPr>
              <w:fldChar w:fldCharType="end"/>
            </w:r>
          </w:hyperlink>
        </w:p>
        <w:p w:rsidR="009D2491" w:rsidRDefault="00773D02" w14:paraId="40F55D6D" w14:textId="5ABA0864">
          <w:pPr>
            <w:pStyle w:val="TOC1"/>
            <w:tabs>
              <w:tab w:val="right" w:leader="dot" w:pos="9350"/>
            </w:tabs>
            <w:rPr>
              <w:rFonts w:asciiTheme="minorHAnsi" w:hAnsiTheme="minorHAnsi" w:cstheme="minorBidi"/>
              <w:noProof/>
              <w:sz w:val="22"/>
            </w:rPr>
          </w:pPr>
          <w:hyperlink w:history="1" w:anchor="_Toc67556535">
            <w:r w:rsidRPr="00572F49" w:rsidR="009D2491">
              <w:rPr>
                <w:rStyle w:val="Hyperlink"/>
                <w:noProof/>
              </w:rPr>
              <w:t>5.</w:t>
            </w:r>
            <w:r w:rsidR="009D2491">
              <w:rPr>
                <w:rFonts w:asciiTheme="minorHAnsi" w:hAnsiTheme="minorHAnsi" w:cstheme="minorBidi"/>
                <w:noProof/>
                <w:sz w:val="22"/>
              </w:rPr>
              <w:tab/>
            </w:r>
            <w:r w:rsidRPr="00572F49" w:rsidR="009D2491">
              <w:rPr>
                <w:rStyle w:val="Hyperlink"/>
                <w:noProof/>
              </w:rPr>
              <w:t>Comments on Proposed Decision</w:t>
            </w:r>
            <w:r w:rsidR="009D2491">
              <w:rPr>
                <w:noProof/>
                <w:webHidden/>
              </w:rPr>
              <w:tab/>
            </w:r>
            <w:r w:rsidR="009D2491">
              <w:rPr>
                <w:noProof/>
                <w:webHidden/>
              </w:rPr>
              <w:fldChar w:fldCharType="begin"/>
            </w:r>
            <w:r w:rsidR="009D2491">
              <w:rPr>
                <w:noProof/>
                <w:webHidden/>
              </w:rPr>
              <w:instrText xml:space="preserve"> PAGEREF _Toc67556535 \h </w:instrText>
            </w:r>
            <w:r w:rsidR="009D2491">
              <w:rPr>
                <w:noProof/>
                <w:webHidden/>
              </w:rPr>
            </w:r>
            <w:r w:rsidR="009D2491">
              <w:rPr>
                <w:noProof/>
                <w:webHidden/>
              </w:rPr>
              <w:fldChar w:fldCharType="separate"/>
            </w:r>
            <w:r w:rsidR="009E31CC">
              <w:rPr>
                <w:noProof/>
                <w:webHidden/>
              </w:rPr>
              <w:t>65</w:t>
            </w:r>
            <w:r w:rsidR="009D2491">
              <w:rPr>
                <w:noProof/>
                <w:webHidden/>
              </w:rPr>
              <w:fldChar w:fldCharType="end"/>
            </w:r>
          </w:hyperlink>
        </w:p>
        <w:p w:rsidR="009D2491" w:rsidRDefault="00773D02" w14:paraId="200DF18C" w14:textId="2DE0B88D">
          <w:pPr>
            <w:pStyle w:val="TOC1"/>
            <w:tabs>
              <w:tab w:val="right" w:leader="dot" w:pos="9350"/>
            </w:tabs>
            <w:rPr>
              <w:rFonts w:asciiTheme="minorHAnsi" w:hAnsiTheme="minorHAnsi" w:cstheme="minorBidi"/>
              <w:noProof/>
              <w:sz w:val="22"/>
            </w:rPr>
          </w:pPr>
          <w:hyperlink w:history="1" w:anchor="_Toc67556536">
            <w:r w:rsidRPr="00572F49" w:rsidR="009D2491">
              <w:rPr>
                <w:rStyle w:val="Hyperlink"/>
                <w:noProof/>
              </w:rPr>
              <w:t>6.</w:t>
            </w:r>
            <w:r w:rsidR="009D2491">
              <w:rPr>
                <w:rFonts w:asciiTheme="minorHAnsi" w:hAnsiTheme="minorHAnsi" w:cstheme="minorBidi"/>
                <w:noProof/>
                <w:sz w:val="22"/>
              </w:rPr>
              <w:tab/>
            </w:r>
            <w:r w:rsidRPr="00572F49" w:rsidR="009D2491">
              <w:rPr>
                <w:rStyle w:val="Hyperlink"/>
                <w:noProof/>
              </w:rPr>
              <w:t>Assignment of Proceeding</w:t>
            </w:r>
            <w:r w:rsidR="009D2491">
              <w:rPr>
                <w:noProof/>
                <w:webHidden/>
              </w:rPr>
              <w:tab/>
            </w:r>
            <w:r w:rsidR="009D2491">
              <w:rPr>
                <w:noProof/>
                <w:webHidden/>
              </w:rPr>
              <w:fldChar w:fldCharType="begin"/>
            </w:r>
            <w:r w:rsidR="009D2491">
              <w:rPr>
                <w:noProof/>
                <w:webHidden/>
              </w:rPr>
              <w:instrText xml:space="preserve"> PAGEREF _Toc67556536 \h </w:instrText>
            </w:r>
            <w:r w:rsidR="009D2491">
              <w:rPr>
                <w:noProof/>
                <w:webHidden/>
              </w:rPr>
            </w:r>
            <w:r w:rsidR="009D2491">
              <w:rPr>
                <w:noProof/>
                <w:webHidden/>
              </w:rPr>
              <w:fldChar w:fldCharType="separate"/>
            </w:r>
            <w:r w:rsidR="009E31CC">
              <w:rPr>
                <w:noProof/>
                <w:webHidden/>
              </w:rPr>
              <w:t>65</w:t>
            </w:r>
            <w:r w:rsidR="009D2491">
              <w:rPr>
                <w:noProof/>
                <w:webHidden/>
              </w:rPr>
              <w:fldChar w:fldCharType="end"/>
            </w:r>
          </w:hyperlink>
        </w:p>
        <w:p w:rsidR="009D2491" w:rsidRDefault="00773D02" w14:paraId="51F83E42" w14:textId="2114B2FF">
          <w:pPr>
            <w:pStyle w:val="TOC1"/>
            <w:tabs>
              <w:tab w:val="right" w:leader="dot" w:pos="9350"/>
            </w:tabs>
            <w:rPr>
              <w:rFonts w:asciiTheme="minorHAnsi" w:hAnsiTheme="minorHAnsi" w:cstheme="minorBidi"/>
              <w:noProof/>
              <w:sz w:val="22"/>
            </w:rPr>
          </w:pPr>
          <w:hyperlink w:history="1" w:anchor="_Toc67556537">
            <w:r w:rsidRPr="00572F49" w:rsidR="009D2491">
              <w:rPr>
                <w:rStyle w:val="Hyperlink"/>
                <w:noProof/>
              </w:rPr>
              <w:t>Findings of Fact</w:t>
            </w:r>
            <w:r w:rsidR="009D2491">
              <w:rPr>
                <w:noProof/>
                <w:webHidden/>
              </w:rPr>
              <w:tab/>
            </w:r>
            <w:r w:rsidR="009D2491">
              <w:rPr>
                <w:noProof/>
                <w:webHidden/>
              </w:rPr>
              <w:fldChar w:fldCharType="begin"/>
            </w:r>
            <w:r w:rsidR="009D2491">
              <w:rPr>
                <w:noProof/>
                <w:webHidden/>
              </w:rPr>
              <w:instrText xml:space="preserve"> PAGEREF _Toc67556537 \h </w:instrText>
            </w:r>
            <w:r w:rsidR="009D2491">
              <w:rPr>
                <w:noProof/>
                <w:webHidden/>
              </w:rPr>
            </w:r>
            <w:r w:rsidR="009D2491">
              <w:rPr>
                <w:noProof/>
                <w:webHidden/>
              </w:rPr>
              <w:fldChar w:fldCharType="separate"/>
            </w:r>
            <w:r w:rsidR="009E31CC">
              <w:rPr>
                <w:noProof/>
                <w:webHidden/>
              </w:rPr>
              <w:t>66</w:t>
            </w:r>
            <w:r w:rsidR="009D2491">
              <w:rPr>
                <w:noProof/>
                <w:webHidden/>
              </w:rPr>
              <w:fldChar w:fldCharType="end"/>
            </w:r>
          </w:hyperlink>
        </w:p>
        <w:p w:rsidR="009D2491" w:rsidRDefault="00773D02" w14:paraId="3B793EDF" w14:textId="322395D6">
          <w:pPr>
            <w:pStyle w:val="TOC1"/>
            <w:tabs>
              <w:tab w:val="right" w:leader="dot" w:pos="9350"/>
            </w:tabs>
            <w:rPr>
              <w:rFonts w:asciiTheme="minorHAnsi" w:hAnsiTheme="minorHAnsi" w:cstheme="minorBidi"/>
              <w:noProof/>
              <w:sz w:val="22"/>
            </w:rPr>
          </w:pPr>
          <w:hyperlink w:history="1" w:anchor="_Toc67556538">
            <w:r w:rsidRPr="00572F49" w:rsidR="009D2491">
              <w:rPr>
                <w:rStyle w:val="Hyperlink"/>
                <w:noProof/>
              </w:rPr>
              <w:t>Conclusions of Law</w:t>
            </w:r>
            <w:r w:rsidR="009D2491">
              <w:rPr>
                <w:noProof/>
                <w:webHidden/>
              </w:rPr>
              <w:tab/>
            </w:r>
            <w:r w:rsidR="009D2491">
              <w:rPr>
                <w:noProof/>
                <w:webHidden/>
              </w:rPr>
              <w:fldChar w:fldCharType="begin"/>
            </w:r>
            <w:r w:rsidR="009D2491">
              <w:rPr>
                <w:noProof/>
                <w:webHidden/>
              </w:rPr>
              <w:instrText xml:space="preserve"> PAGEREF _Toc67556538 \h </w:instrText>
            </w:r>
            <w:r w:rsidR="009D2491">
              <w:rPr>
                <w:noProof/>
                <w:webHidden/>
              </w:rPr>
            </w:r>
            <w:r w:rsidR="009D2491">
              <w:rPr>
                <w:noProof/>
                <w:webHidden/>
              </w:rPr>
              <w:fldChar w:fldCharType="separate"/>
            </w:r>
            <w:r w:rsidR="009E31CC">
              <w:rPr>
                <w:noProof/>
                <w:webHidden/>
              </w:rPr>
              <w:t>66</w:t>
            </w:r>
            <w:r w:rsidR="009D2491">
              <w:rPr>
                <w:noProof/>
                <w:webHidden/>
              </w:rPr>
              <w:fldChar w:fldCharType="end"/>
            </w:r>
          </w:hyperlink>
        </w:p>
        <w:p w:rsidR="009D2491" w:rsidRDefault="00773D02" w14:paraId="356DC322" w14:textId="1A380B3C">
          <w:pPr>
            <w:pStyle w:val="TOC1"/>
            <w:tabs>
              <w:tab w:val="right" w:leader="dot" w:pos="9350"/>
            </w:tabs>
            <w:rPr>
              <w:rFonts w:asciiTheme="minorHAnsi" w:hAnsiTheme="minorHAnsi" w:cstheme="minorBidi"/>
              <w:noProof/>
              <w:sz w:val="22"/>
            </w:rPr>
          </w:pPr>
          <w:hyperlink w:history="1" w:anchor="_Toc67556539">
            <w:r w:rsidRPr="00572F49" w:rsidR="009D2491">
              <w:rPr>
                <w:rStyle w:val="Hyperlink"/>
                <w:noProof/>
              </w:rPr>
              <w:t>ORDER</w:t>
            </w:r>
            <w:r w:rsidR="009D2491">
              <w:rPr>
                <w:noProof/>
                <w:webHidden/>
              </w:rPr>
              <w:tab/>
            </w:r>
            <w:r w:rsidR="009D2491">
              <w:rPr>
                <w:noProof/>
                <w:webHidden/>
              </w:rPr>
              <w:fldChar w:fldCharType="begin"/>
            </w:r>
            <w:r w:rsidR="009D2491">
              <w:rPr>
                <w:noProof/>
                <w:webHidden/>
              </w:rPr>
              <w:instrText xml:space="preserve"> PAGEREF _Toc67556539 \h </w:instrText>
            </w:r>
            <w:r w:rsidR="009D2491">
              <w:rPr>
                <w:noProof/>
                <w:webHidden/>
              </w:rPr>
            </w:r>
            <w:r w:rsidR="009D2491">
              <w:rPr>
                <w:noProof/>
                <w:webHidden/>
              </w:rPr>
              <w:fldChar w:fldCharType="separate"/>
            </w:r>
            <w:r w:rsidR="009E31CC">
              <w:rPr>
                <w:noProof/>
                <w:webHidden/>
              </w:rPr>
              <w:t>67</w:t>
            </w:r>
            <w:r w:rsidR="009D2491">
              <w:rPr>
                <w:noProof/>
                <w:webHidden/>
              </w:rPr>
              <w:fldChar w:fldCharType="end"/>
            </w:r>
          </w:hyperlink>
        </w:p>
        <w:p w:rsidR="00D82A43" w:rsidP="008C7413" w:rsidRDefault="008C7413" w14:paraId="02CA76F2" w14:textId="4EE3CC30">
          <w:pPr>
            <w:pStyle w:val="TOC1"/>
            <w:tabs>
              <w:tab w:val="right" w:leader="dot" w:pos="9350"/>
            </w:tabs>
          </w:pPr>
          <w:r>
            <w:rPr>
              <w:rFonts w:asciiTheme="minorHAnsi" w:hAnsiTheme="minorHAnsi"/>
              <w:color w:val="2B579A"/>
              <w:sz w:val="22"/>
              <w:shd w:val="clear" w:color="auto" w:fill="E6E6E6"/>
            </w:rPr>
            <w:fldChar w:fldCharType="end"/>
          </w:r>
        </w:p>
      </w:sdtContent>
    </w:sdt>
    <w:p w:rsidR="00B35768" w:rsidP="00EC4948" w:rsidRDefault="0098655A" w14:paraId="7CA91315" w14:textId="6E18F915">
      <w:pPr>
        <w:spacing w:line="240" w:lineRule="auto"/>
        <w:ind w:firstLine="0"/>
        <w:rPr>
          <w:rFonts w:cs="Arial"/>
          <w:szCs w:val="26"/>
        </w:rPr>
      </w:pPr>
      <w:r w:rsidRPr="0098655A">
        <w:rPr>
          <w:rFonts w:cs="Arial"/>
          <w:b/>
          <w:szCs w:val="26"/>
        </w:rPr>
        <w:t>A</w:t>
      </w:r>
      <w:r w:rsidR="00AA4CC4">
        <w:rPr>
          <w:rFonts w:cs="Arial"/>
          <w:b/>
          <w:szCs w:val="26"/>
        </w:rPr>
        <w:t>ttachment 1</w:t>
      </w:r>
      <w:r w:rsidRPr="0098655A">
        <w:rPr>
          <w:rFonts w:cs="Arial"/>
          <w:szCs w:val="26"/>
        </w:rPr>
        <w:t xml:space="preserve"> –</w:t>
      </w:r>
      <w:r w:rsidRPr="00262063" w:rsidR="00262063">
        <w:t xml:space="preserve"> </w:t>
      </w:r>
      <w:r w:rsidR="0043410C">
        <w:t>Cal Advocates/</w:t>
      </w:r>
      <w:r w:rsidR="00262063">
        <w:t>TURN</w:t>
      </w:r>
      <w:r w:rsidR="0043410C">
        <w:t>/CWA</w:t>
      </w:r>
      <w:r w:rsidR="00262063">
        <w:t xml:space="preserve"> Settlement Agreement</w:t>
      </w:r>
    </w:p>
    <w:p w:rsidR="00A95D72" w:rsidP="00EC4948" w:rsidRDefault="00942339" w14:paraId="27496F24" w14:textId="606E82C0">
      <w:pPr>
        <w:spacing w:line="240" w:lineRule="auto"/>
        <w:ind w:firstLine="0"/>
        <w:rPr>
          <w:rFonts w:cs="Arial"/>
          <w:b/>
          <w:bCs/>
          <w:szCs w:val="26"/>
        </w:rPr>
      </w:pPr>
      <w:r>
        <w:rPr>
          <w:rFonts w:cs="Arial"/>
          <w:b/>
          <w:bCs/>
          <w:szCs w:val="26"/>
        </w:rPr>
        <w:t>A</w:t>
      </w:r>
      <w:r w:rsidR="00AA4CC4">
        <w:rPr>
          <w:rFonts w:cs="Arial"/>
          <w:b/>
          <w:bCs/>
          <w:szCs w:val="26"/>
        </w:rPr>
        <w:t>ttachment 2</w:t>
      </w:r>
      <w:r w:rsidR="00DA5E53">
        <w:rPr>
          <w:rFonts w:cs="Arial"/>
          <w:b/>
          <w:bCs/>
          <w:szCs w:val="26"/>
        </w:rPr>
        <w:t>–</w:t>
      </w:r>
      <w:r w:rsidR="00262063">
        <w:rPr>
          <w:rFonts w:cs="Arial"/>
          <w:b/>
          <w:bCs/>
          <w:szCs w:val="26"/>
        </w:rPr>
        <w:t xml:space="preserve"> </w:t>
      </w:r>
      <w:r w:rsidR="00262063">
        <w:t>CETF Settlement Agreement</w:t>
      </w:r>
    </w:p>
    <w:p w:rsidR="00942339" w:rsidP="00EC4948" w:rsidRDefault="00A95D72" w14:paraId="2CB450D4" w14:textId="3705F739">
      <w:pPr>
        <w:spacing w:line="240" w:lineRule="auto"/>
        <w:ind w:firstLine="0"/>
        <w:rPr>
          <w:rFonts w:cs="Arial"/>
          <w:szCs w:val="26"/>
        </w:rPr>
      </w:pPr>
      <w:r>
        <w:rPr>
          <w:rFonts w:cs="Arial"/>
          <w:b/>
          <w:bCs/>
          <w:szCs w:val="26"/>
        </w:rPr>
        <w:t>Attachment 3-</w:t>
      </w:r>
      <w:r w:rsidR="00942339">
        <w:rPr>
          <w:rFonts w:cs="Arial"/>
          <w:b/>
          <w:bCs/>
          <w:szCs w:val="26"/>
        </w:rPr>
        <w:t xml:space="preserve"> </w:t>
      </w:r>
      <w:r w:rsidR="00262063">
        <w:t>Yurok Settlement Agreement</w:t>
      </w:r>
    </w:p>
    <w:p w:rsidR="00942339" w:rsidP="00EC4948" w:rsidRDefault="00942339" w14:paraId="7E841381" w14:textId="4D82D435">
      <w:pPr>
        <w:spacing w:line="240" w:lineRule="auto"/>
        <w:ind w:firstLine="0"/>
        <w:rPr>
          <w:rFonts w:cs="Arial"/>
          <w:szCs w:val="26"/>
        </w:rPr>
      </w:pPr>
    </w:p>
    <w:p w:rsidRPr="00942339" w:rsidR="00942339" w:rsidP="00EC4948" w:rsidRDefault="00942339" w14:paraId="37343156" w14:textId="3239E1FC">
      <w:pPr>
        <w:spacing w:line="240" w:lineRule="auto"/>
        <w:ind w:firstLine="0"/>
        <w:rPr>
          <w:rFonts w:cs="Arial"/>
          <w:b/>
          <w:bCs/>
          <w:szCs w:val="26"/>
        </w:rPr>
      </w:pPr>
    </w:p>
    <w:p w:rsidR="00EC4948" w:rsidP="00B35768" w:rsidRDefault="00EC4948" w14:paraId="59A8FD9C" w14:textId="77777777">
      <w:pPr>
        <w:jc w:val="center"/>
        <w:rPr>
          <w:rFonts w:cs="Arial"/>
          <w:i/>
          <w:szCs w:val="26"/>
        </w:rPr>
        <w:sectPr w:rsidR="00EC4948" w:rsidSect="00EC4948">
          <w:headerReference w:type="default" r:id="rId13"/>
          <w:footerReference w:type="default" r:id="rId14"/>
          <w:headerReference w:type="first" r:id="rId15"/>
          <w:footerReference w:type="first" r:id="rId16"/>
          <w:pgSz w:w="12240" w:h="15840" w:code="1"/>
          <w:pgMar w:top="1152" w:right="1440" w:bottom="1440" w:left="1440" w:header="720" w:footer="720" w:gutter="0"/>
          <w:pgNumType w:fmt="lowerRoman" w:start="1"/>
          <w:cols w:space="720"/>
          <w:docGrid w:linePitch="354"/>
        </w:sectPr>
      </w:pPr>
    </w:p>
    <w:p w:rsidR="002375D0" w:rsidP="002375D0" w:rsidRDefault="002375D0" w14:paraId="3B9FEFF7" w14:textId="2DB80928">
      <w:pPr>
        <w:pStyle w:val="Dummy"/>
        <w:jc w:val="center"/>
      </w:pPr>
      <w:bookmarkStart w:name="_Toc67556504" w:id="5"/>
      <w:bookmarkStart w:name="_Toc8123714" w:id="6"/>
      <w:r>
        <w:lastRenderedPageBreak/>
        <w:t>DECISION APPROVING CORPORATE RESTRUCTURING WITH CONDITIONS</w:t>
      </w:r>
      <w:bookmarkEnd w:id="5"/>
      <w:r>
        <w:t xml:space="preserve">  </w:t>
      </w:r>
    </w:p>
    <w:p w:rsidR="002375D0" w:rsidP="009055F5" w:rsidRDefault="002375D0" w14:paraId="13FF067F" w14:textId="77777777">
      <w:pPr>
        <w:autoSpaceDE w:val="0"/>
        <w:autoSpaceDN w:val="0"/>
        <w:adjustRightInd w:val="0"/>
        <w:spacing w:line="240" w:lineRule="auto"/>
        <w:ind w:firstLine="0"/>
        <w:jc w:val="center"/>
      </w:pPr>
    </w:p>
    <w:p w:rsidRPr="009055F5" w:rsidR="005A148C" w:rsidP="00EC4948" w:rsidRDefault="005A148C" w14:paraId="548C7697" w14:textId="29093B54">
      <w:pPr>
        <w:pStyle w:val="Dummy"/>
      </w:pPr>
      <w:bookmarkStart w:name="_Toc67556505" w:id="7"/>
      <w:r w:rsidRPr="009055F5">
        <w:t>Summary</w:t>
      </w:r>
      <w:bookmarkEnd w:id="6"/>
      <w:bookmarkEnd w:id="7"/>
    </w:p>
    <w:p w:rsidRPr="00802F2E" w:rsidR="00D96E73" w:rsidP="00802F2E" w:rsidRDefault="0064663F" w14:paraId="26D70921" w14:textId="38527C0A">
      <w:pPr>
        <w:pStyle w:val="Standard"/>
        <w:rPr>
          <w:szCs w:val="26"/>
        </w:rPr>
      </w:pPr>
      <w:r w:rsidRPr="00EC4948">
        <w:rPr>
          <w:rFonts w:cs="BookAntiqua"/>
          <w:szCs w:val="26"/>
        </w:rPr>
        <w:t xml:space="preserve">This decision </w:t>
      </w:r>
      <w:r w:rsidR="00427BCD">
        <w:rPr>
          <w:rFonts w:cs="BookAntiqua"/>
          <w:szCs w:val="26"/>
        </w:rPr>
        <w:t>a</w:t>
      </w:r>
      <w:r w:rsidR="00C5064E">
        <w:rPr>
          <w:rFonts w:cs="BookAntiqua"/>
          <w:szCs w:val="26"/>
        </w:rPr>
        <w:t xml:space="preserve">pproves </w:t>
      </w:r>
      <w:r w:rsidR="004172A1">
        <w:rPr>
          <w:rFonts w:cs="BookAntiqua"/>
          <w:szCs w:val="26"/>
        </w:rPr>
        <w:t xml:space="preserve">the </w:t>
      </w:r>
      <w:r w:rsidR="00C5064E">
        <w:rPr>
          <w:rFonts w:cs="BookAntiqua"/>
          <w:szCs w:val="26"/>
        </w:rPr>
        <w:t>corporate restructuring</w:t>
      </w:r>
      <w:r w:rsidR="004172A1">
        <w:rPr>
          <w:rFonts w:cs="BookAntiqua"/>
          <w:szCs w:val="26"/>
        </w:rPr>
        <w:t xml:space="preserve"> </w:t>
      </w:r>
      <w:r w:rsidR="00C5064E">
        <w:rPr>
          <w:rFonts w:cs="BookAntiqua"/>
          <w:szCs w:val="26"/>
        </w:rPr>
        <w:t>(Restructuring) of</w:t>
      </w:r>
      <w:r w:rsidRPr="000F1505" w:rsidR="00427BCD">
        <w:rPr>
          <w:rFonts w:cs="BookAntiqua"/>
          <w:color w:val="000000"/>
          <w:szCs w:val="26"/>
        </w:rPr>
        <w:t xml:space="preserve"> </w:t>
      </w:r>
      <w:r w:rsidR="00C37744">
        <w:rPr>
          <w:rFonts w:cs="BookAntiqua"/>
          <w:color w:val="000000"/>
          <w:szCs w:val="26"/>
        </w:rPr>
        <w:t xml:space="preserve">applicants </w:t>
      </w:r>
      <w:r w:rsidRPr="000F1505" w:rsidR="00427BCD">
        <w:rPr>
          <w:szCs w:val="26"/>
        </w:rPr>
        <w:t>Frontier Communications Corporation, Frontier California Inc.</w:t>
      </w:r>
      <w:r w:rsidR="00E5576A">
        <w:rPr>
          <w:szCs w:val="26"/>
        </w:rPr>
        <w:t xml:space="preserve"> (U1002C)</w:t>
      </w:r>
      <w:r w:rsidRPr="000F1505" w:rsidR="00427BCD">
        <w:rPr>
          <w:szCs w:val="26"/>
        </w:rPr>
        <w:t>, Citizens Telecommunications Company of California Inc.</w:t>
      </w:r>
      <w:r w:rsidR="00E5576A">
        <w:rPr>
          <w:szCs w:val="26"/>
        </w:rPr>
        <w:t xml:space="preserve"> (U1024C)</w:t>
      </w:r>
      <w:r w:rsidRPr="000F1505" w:rsidR="00427BCD">
        <w:rPr>
          <w:szCs w:val="26"/>
        </w:rPr>
        <w:t>, Frontier Communications of the Southwest Inc.</w:t>
      </w:r>
      <w:r w:rsidR="00E5576A">
        <w:rPr>
          <w:szCs w:val="26"/>
        </w:rPr>
        <w:t xml:space="preserve"> (U1026C)</w:t>
      </w:r>
      <w:r w:rsidRPr="000F1505" w:rsidR="00427BCD">
        <w:rPr>
          <w:szCs w:val="26"/>
        </w:rPr>
        <w:t>, Frontier Communications Online and Long Distance Inc.</w:t>
      </w:r>
      <w:r w:rsidR="00E5576A">
        <w:rPr>
          <w:szCs w:val="26"/>
        </w:rPr>
        <w:t xml:space="preserve"> (U7167C)</w:t>
      </w:r>
      <w:r w:rsidRPr="000F1505" w:rsidR="00427BCD">
        <w:rPr>
          <w:szCs w:val="26"/>
        </w:rPr>
        <w:t>, and Frontier Communications of America, Inc.</w:t>
      </w:r>
      <w:r w:rsidR="00E5576A">
        <w:rPr>
          <w:szCs w:val="26"/>
        </w:rPr>
        <w:t xml:space="preserve"> (U5429C)</w:t>
      </w:r>
      <w:r w:rsidRPr="000F1505" w:rsidR="00427BCD">
        <w:rPr>
          <w:szCs w:val="26"/>
        </w:rPr>
        <w:t xml:space="preserve"> </w:t>
      </w:r>
      <w:r w:rsidR="00427BCD">
        <w:rPr>
          <w:szCs w:val="26"/>
        </w:rPr>
        <w:t xml:space="preserve">(collectively </w:t>
      </w:r>
      <w:r w:rsidR="00E23482">
        <w:rPr>
          <w:szCs w:val="26"/>
        </w:rPr>
        <w:t>Frontier</w:t>
      </w:r>
      <w:r w:rsidR="00427BCD">
        <w:rPr>
          <w:szCs w:val="26"/>
        </w:rPr>
        <w:t xml:space="preserve">) </w:t>
      </w:r>
      <w:r w:rsidR="00A95D72">
        <w:rPr>
          <w:szCs w:val="26"/>
        </w:rPr>
        <w:t>described in the Application</w:t>
      </w:r>
      <w:r w:rsidR="00ED520C">
        <w:rPr>
          <w:szCs w:val="26"/>
        </w:rPr>
        <w:t>,</w:t>
      </w:r>
      <w:r w:rsidR="00A95D72">
        <w:rPr>
          <w:szCs w:val="26"/>
        </w:rPr>
        <w:t xml:space="preserve"> </w:t>
      </w:r>
      <w:r w:rsidR="00C5064E">
        <w:rPr>
          <w:szCs w:val="26"/>
        </w:rPr>
        <w:t>with conditions</w:t>
      </w:r>
      <w:r w:rsidR="00AA4CC4">
        <w:rPr>
          <w:szCs w:val="26"/>
        </w:rPr>
        <w:t>.</w:t>
      </w:r>
      <w:r w:rsidR="002375D0">
        <w:rPr>
          <w:szCs w:val="26"/>
        </w:rPr>
        <w:t xml:space="preserve"> </w:t>
      </w:r>
      <w:r w:rsidR="000450AB">
        <w:rPr>
          <w:szCs w:val="26"/>
        </w:rPr>
        <w:t>The</w:t>
      </w:r>
      <w:r w:rsidR="00E1111D">
        <w:rPr>
          <w:szCs w:val="26"/>
        </w:rPr>
        <w:t xml:space="preserve"> Restructuring, as supplemented by the </w:t>
      </w:r>
      <w:r w:rsidR="00095500">
        <w:rPr>
          <w:szCs w:val="26"/>
        </w:rPr>
        <w:t xml:space="preserve">three </w:t>
      </w:r>
      <w:r w:rsidR="000450AB">
        <w:rPr>
          <w:szCs w:val="26"/>
        </w:rPr>
        <w:t>settlement agreements (Settlement Agreements)</w:t>
      </w:r>
      <w:r w:rsidR="00095500">
        <w:rPr>
          <w:szCs w:val="26"/>
        </w:rPr>
        <w:t xml:space="preserve"> by</w:t>
      </w:r>
      <w:r w:rsidR="000450AB">
        <w:rPr>
          <w:szCs w:val="26"/>
        </w:rPr>
        <w:t xml:space="preserve"> Frontier and </w:t>
      </w:r>
      <w:r w:rsidR="0043410C">
        <w:rPr>
          <w:szCs w:val="26"/>
        </w:rPr>
        <w:t xml:space="preserve">intervenors </w:t>
      </w:r>
      <w:r w:rsidR="00095500">
        <w:rPr>
          <w:szCs w:val="26"/>
        </w:rPr>
        <w:t>(1)</w:t>
      </w:r>
      <w:r w:rsidR="000450AB">
        <w:rPr>
          <w:szCs w:val="26"/>
        </w:rPr>
        <w:t xml:space="preserve"> Public Advocates Office at the California Public Utilities Commission, The Utility Reform Network, and the Communications Workers of America, District 9</w:t>
      </w:r>
      <w:r w:rsidR="00095500">
        <w:rPr>
          <w:szCs w:val="26"/>
        </w:rPr>
        <w:t>, (2)</w:t>
      </w:r>
      <w:r w:rsidR="000450AB">
        <w:rPr>
          <w:szCs w:val="26"/>
        </w:rPr>
        <w:t xml:space="preserve"> California Emerging Technology Fund, and </w:t>
      </w:r>
      <w:r w:rsidR="00A7652C">
        <w:rPr>
          <w:szCs w:val="26"/>
        </w:rPr>
        <w:t xml:space="preserve">(3) Yurok Tribe, and </w:t>
      </w:r>
      <w:r w:rsidR="000450AB">
        <w:rPr>
          <w:szCs w:val="26"/>
        </w:rPr>
        <w:t xml:space="preserve">the additional conditions set forth in this decision, is in the public interest and therefore satisfies the requirements for approval of a corporate transfer of control under Public Utilities Code Section 854.  </w:t>
      </w:r>
      <w:r w:rsidR="004172A1">
        <w:rPr>
          <w:szCs w:val="26"/>
        </w:rPr>
        <w:t>The Settlement Agreements</w:t>
      </w:r>
      <w:r w:rsidR="00235A3C">
        <w:rPr>
          <w:szCs w:val="26"/>
        </w:rPr>
        <w:t>,</w:t>
      </w:r>
      <w:r w:rsidR="00E1111D">
        <w:rPr>
          <w:szCs w:val="26"/>
        </w:rPr>
        <w:t xml:space="preserve"> </w:t>
      </w:r>
      <w:r w:rsidR="008237C7">
        <w:rPr>
          <w:szCs w:val="26"/>
        </w:rPr>
        <w:t>which impose requirements on Frontier</w:t>
      </w:r>
      <w:r w:rsidR="00235A3C">
        <w:rPr>
          <w:szCs w:val="26"/>
        </w:rPr>
        <w:t xml:space="preserve"> regarding</w:t>
      </w:r>
      <w:r w:rsidR="0018750A">
        <w:rPr>
          <w:szCs w:val="26"/>
        </w:rPr>
        <w:t xml:space="preserve"> </w:t>
      </w:r>
      <w:r w:rsidR="00235A3C">
        <w:rPr>
          <w:szCs w:val="26"/>
        </w:rPr>
        <w:t xml:space="preserve">capital expenditures, service performance, workforce commitments, broadband deployment, customer price maintenance, financial reporting, </w:t>
      </w:r>
      <w:r w:rsidR="00D055E1">
        <w:rPr>
          <w:szCs w:val="26"/>
        </w:rPr>
        <w:t>local and tribal communities,</w:t>
      </w:r>
      <w:r w:rsidR="00235A3C">
        <w:rPr>
          <w:szCs w:val="26"/>
        </w:rPr>
        <w:t xml:space="preserve"> </w:t>
      </w:r>
      <w:proofErr w:type="spellStart"/>
      <w:r w:rsidR="00235A3C">
        <w:rPr>
          <w:szCs w:val="26"/>
        </w:rPr>
        <w:t>WiFi</w:t>
      </w:r>
      <w:proofErr w:type="spellEnd"/>
      <w:r w:rsidR="00235A3C">
        <w:rPr>
          <w:szCs w:val="26"/>
        </w:rPr>
        <w:t xml:space="preserve"> community </w:t>
      </w:r>
      <w:r w:rsidR="00E23482">
        <w:rPr>
          <w:szCs w:val="26"/>
        </w:rPr>
        <w:t>ac</w:t>
      </w:r>
      <w:r w:rsidR="00235A3C">
        <w:rPr>
          <w:szCs w:val="26"/>
        </w:rPr>
        <w:t>cess and device distribution to low-income students,</w:t>
      </w:r>
      <w:r w:rsidR="006232A7">
        <w:rPr>
          <w:szCs w:val="26"/>
        </w:rPr>
        <w:t xml:space="preserve"> </w:t>
      </w:r>
      <w:r w:rsidR="00D87B50">
        <w:rPr>
          <w:szCs w:val="26"/>
        </w:rPr>
        <w:t>and</w:t>
      </w:r>
      <w:r w:rsidR="008237C7">
        <w:rPr>
          <w:szCs w:val="26"/>
        </w:rPr>
        <w:t xml:space="preserve"> </w:t>
      </w:r>
      <w:r w:rsidR="00D87B50">
        <w:rPr>
          <w:szCs w:val="26"/>
        </w:rPr>
        <w:t xml:space="preserve">commitments </w:t>
      </w:r>
      <w:r w:rsidR="00F80764">
        <w:rPr>
          <w:szCs w:val="26"/>
        </w:rPr>
        <w:t xml:space="preserve">by Frontier </w:t>
      </w:r>
      <w:r w:rsidR="00D87B50">
        <w:rPr>
          <w:szCs w:val="26"/>
        </w:rPr>
        <w:t xml:space="preserve">to the Yurok Tribe, </w:t>
      </w:r>
      <w:r w:rsidR="004172A1">
        <w:rPr>
          <w:szCs w:val="26"/>
        </w:rPr>
        <w:t>are reasonable in light of the whole record, consistent with law, and in the public interest</w:t>
      </w:r>
      <w:r w:rsidR="007475D6">
        <w:rPr>
          <w:szCs w:val="26"/>
        </w:rPr>
        <w:t xml:space="preserve"> and therefore satisfy the requirements of Commission Rule of Pr</w:t>
      </w:r>
      <w:r w:rsidR="000F0395">
        <w:rPr>
          <w:szCs w:val="26"/>
        </w:rPr>
        <w:t>ac</w:t>
      </w:r>
      <w:r w:rsidR="007475D6">
        <w:rPr>
          <w:szCs w:val="26"/>
        </w:rPr>
        <w:t>tice and Procedure</w:t>
      </w:r>
      <w:r w:rsidR="003568B3">
        <w:rPr>
          <w:szCs w:val="26"/>
        </w:rPr>
        <w:t> </w:t>
      </w:r>
      <w:r w:rsidR="007475D6">
        <w:rPr>
          <w:szCs w:val="26"/>
        </w:rPr>
        <w:t>12.1(d)</w:t>
      </w:r>
      <w:r w:rsidR="004172A1">
        <w:rPr>
          <w:szCs w:val="26"/>
        </w:rPr>
        <w:t>.</w:t>
      </w:r>
      <w:r w:rsidR="00C37744">
        <w:rPr>
          <w:szCs w:val="26"/>
        </w:rPr>
        <w:t xml:space="preserve"> </w:t>
      </w:r>
    </w:p>
    <w:p w:rsidRPr="0064663F" w:rsidR="0053747F" w:rsidP="002375D0" w:rsidRDefault="0064663F" w14:paraId="0FFB3B42" w14:textId="7A0BE83F">
      <w:pPr>
        <w:autoSpaceDE w:val="0"/>
        <w:autoSpaceDN w:val="0"/>
        <w:adjustRightInd w:val="0"/>
        <w:rPr>
          <w:rFonts w:cs="BookAntiqua"/>
          <w:szCs w:val="26"/>
        </w:rPr>
      </w:pPr>
      <w:r w:rsidRPr="00EC4948">
        <w:rPr>
          <w:rFonts w:cs="BookAntiqua"/>
          <w:szCs w:val="26"/>
        </w:rPr>
        <w:t xml:space="preserve">This proceeding </w:t>
      </w:r>
      <w:r w:rsidR="0039200F">
        <w:rPr>
          <w:rFonts w:cs="BookAntiqua"/>
          <w:szCs w:val="26"/>
        </w:rPr>
        <w:t>is closed</w:t>
      </w:r>
      <w:r w:rsidRPr="00EC4948">
        <w:rPr>
          <w:rFonts w:cs="BookAntiqua"/>
          <w:szCs w:val="26"/>
        </w:rPr>
        <w:t>.</w:t>
      </w:r>
      <w:r w:rsidRPr="00EC4948" w:rsidR="003C40D5">
        <w:t xml:space="preserve"> </w:t>
      </w:r>
    </w:p>
    <w:p w:rsidRPr="007A6517" w:rsidR="007A6517" w:rsidP="00B725EE" w:rsidRDefault="00A95D72" w14:paraId="1231DB42" w14:textId="25569DF0">
      <w:pPr>
        <w:pStyle w:val="Heading1"/>
      </w:pPr>
      <w:bookmarkStart w:name="_Toc67556506" w:id="8"/>
      <w:bookmarkStart w:name="_Toc8123718" w:id="9"/>
      <w:bookmarkStart w:name="_Hlk33605940" w:id="10"/>
      <w:r>
        <w:lastRenderedPageBreak/>
        <w:t xml:space="preserve">Bankruptcy-Related </w:t>
      </w:r>
      <w:r w:rsidRPr="00121089" w:rsidR="001022BC">
        <w:t>B</w:t>
      </w:r>
      <w:r w:rsidR="00484C07">
        <w:t>ac</w:t>
      </w:r>
      <w:r w:rsidRPr="00121089" w:rsidR="001022BC">
        <w:t>kground</w:t>
      </w:r>
      <w:bookmarkEnd w:id="8"/>
    </w:p>
    <w:p w:rsidR="0020582E" w:rsidP="00DF5A35" w:rsidRDefault="007A6517" w14:paraId="3C04CD7E" w14:textId="112FB416">
      <w:pPr>
        <w:rPr>
          <w:szCs w:val="26"/>
        </w:rPr>
      </w:pPr>
      <w:r>
        <w:rPr>
          <w:rFonts w:cs="BookAntiqua"/>
          <w:color w:val="000000"/>
          <w:szCs w:val="26"/>
        </w:rPr>
        <w:t xml:space="preserve">Frontier Communications Corporation </w:t>
      </w:r>
      <w:r w:rsidR="007475D6">
        <w:rPr>
          <w:rFonts w:cs="BookAntiqua"/>
          <w:color w:val="000000"/>
          <w:szCs w:val="26"/>
        </w:rPr>
        <w:t>and its subsidiaries (</w:t>
      </w:r>
      <w:r w:rsidR="006B385E">
        <w:rPr>
          <w:rFonts w:cs="BookAntiqua"/>
          <w:color w:val="000000"/>
          <w:szCs w:val="26"/>
        </w:rPr>
        <w:t xml:space="preserve">collectively </w:t>
      </w:r>
      <w:r w:rsidR="007475D6">
        <w:rPr>
          <w:rFonts w:cs="BookAntiqua"/>
          <w:color w:val="000000"/>
          <w:szCs w:val="26"/>
        </w:rPr>
        <w:t>Frontier U.S.)</w:t>
      </w:r>
      <w:r>
        <w:rPr>
          <w:rFonts w:cs="BookAntiqua"/>
          <w:color w:val="000000"/>
          <w:szCs w:val="26"/>
        </w:rPr>
        <w:t xml:space="preserve"> </w:t>
      </w:r>
      <w:r w:rsidR="007475D6">
        <w:rPr>
          <w:rFonts w:cs="BookAntiqua"/>
          <w:color w:val="000000"/>
          <w:szCs w:val="26"/>
        </w:rPr>
        <w:t>are</w:t>
      </w:r>
      <w:r>
        <w:rPr>
          <w:rFonts w:cs="BookAntiqua"/>
          <w:color w:val="000000"/>
          <w:szCs w:val="26"/>
        </w:rPr>
        <w:t xml:space="preserve"> telecommunications services</w:t>
      </w:r>
      <w:r w:rsidR="007475D6">
        <w:rPr>
          <w:rFonts w:cs="BookAntiqua"/>
          <w:color w:val="000000"/>
          <w:szCs w:val="26"/>
        </w:rPr>
        <w:t xml:space="preserve"> providers</w:t>
      </w:r>
      <w:r>
        <w:rPr>
          <w:rFonts w:cs="BookAntiqua"/>
          <w:color w:val="000000"/>
          <w:szCs w:val="26"/>
        </w:rPr>
        <w:t xml:space="preserve"> and the fourth largest incumbent local exchange carrier in the U.S.</w:t>
      </w:r>
      <w:r>
        <w:rPr>
          <w:rStyle w:val="FootnoteReference"/>
          <w:rFonts w:cs="BookAntiqua"/>
          <w:color w:val="000000"/>
          <w:szCs w:val="26"/>
        </w:rPr>
        <w:footnoteReference w:id="2"/>
      </w:r>
      <w:r w:rsidR="00570994">
        <w:rPr>
          <w:szCs w:val="26"/>
        </w:rPr>
        <w:t xml:space="preserve"> </w:t>
      </w:r>
      <w:r w:rsidR="00935F41">
        <w:rPr>
          <w:szCs w:val="26"/>
        </w:rPr>
        <w:t xml:space="preserve">Frontier </w:t>
      </w:r>
      <w:r w:rsidR="0027758E">
        <w:rPr>
          <w:szCs w:val="26"/>
        </w:rPr>
        <w:t xml:space="preserve">U.S. </w:t>
      </w:r>
      <w:r w:rsidR="00935F41">
        <w:rPr>
          <w:szCs w:val="26"/>
        </w:rPr>
        <w:t>grew exponentially through a series of trans</w:t>
      </w:r>
      <w:r w:rsidR="00484C07">
        <w:rPr>
          <w:szCs w:val="26"/>
        </w:rPr>
        <w:t>ac</w:t>
      </w:r>
      <w:r w:rsidR="00935F41">
        <w:rPr>
          <w:szCs w:val="26"/>
        </w:rPr>
        <w:t xml:space="preserve">tions from 2010 through 2016. </w:t>
      </w:r>
      <w:r w:rsidR="00F13D6A">
        <w:rPr>
          <w:szCs w:val="26"/>
        </w:rPr>
        <w:t xml:space="preserve"> </w:t>
      </w:r>
      <w:r w:rsidR="00B64D66">
        <w:rPr>
          <w:szCs w:val="26"/>
        </w:rPr>
        <w:t>By a February 2015 agreement that closed in April 2016</w:t>
      </w:r>
      <w:r w:rsidR="00935F41">
        <w:rPr>
          <w:szCs w:val="26"/>
        </w:rPr>
        <w:t xml:space="preserve">, Frontier </w:t>
      </w:r>
      <w:r w:rsidR="0027758E">
        <w:rPr>
          <w:szCs w:val="26"/>
        </w:rPr>
        <w:t xml:space="preserve">U.S. </w:t>
      </w:r>
      <w:r w:rsidR="00935F41">
        <w:rPr>
          <w:szCs w:val="26"/>
        </w:rPr>
        <w:t xml:space="preserve">doubled in size for the second time in six years through the </w:t>
      </w:r>
      <w:r w:rsidR="00E604DB">
        <w:rPr>
          <w:szCs w:val="26"/>
        </w:rPr>
        <w:t xml:space="preserve">$10.54 billion </w:t>
      </w:r>
      <w:r w:rsidR="00935F41">
        <w:rPr>
          <w:szCs w:val="26"/>
        </w:rPr>
        <w:t>purchase of</w:t>
      </w:r>
      <w:r w:rsidR="00842155">
        <w:rPr>
          <w:szCs w:val="26"/>
        </w:rPr>
        <w:t xml:space="preserve"> the </w:t>
      </w:r>
      <w:r w:rsidR="00935F41">
        <w:rPr>
          <w:szCs w:val="26"/>
        </w:rPr>
        <w:t xml:space="preserve">landline voice, broadband, and video operations </w:t>
      </w:r>
      <w:r w:rsidR="00842155">
        <w:rPr>
          <w:szCs w:val="26"/>
        </w:rPr>
        <w:t xml:space="preserve">of Verizon Communications Inc. </w:t>
      </w:r>
      <w:r w:rsidR="0020582E">
        <w:rPr>
          <w:szCs w:val="26"/>
        </w:rPr>
        <w:t>and subsidiaries</w:t>
      </w:r>
      <w:r w:rsidR="00842155">
        <w:rPr>
          <w:szCs w:val="26"/>
        </w:rPr>
        <w:t xml:space="preserve"> </w:t>
      </w:r>
      <w:r w:rsidR="006B385E">
        <w:rPr>
          <w:szCs w:val="26"/>
        </w:rPr>
        <w:t xml:space="preserve">(collectively Verizon) </w:t>
      </w:r>
      <w:r w:rsidR="00935F41">
        <w:rPr>
          <w:szCs w:val="26"/>
        </w:rPr>
        <w:t>in California, Texas, and Florida.</w:t>
      </w:r>
      <w:r w:rsidR="00385E39">
        <w:rPr>
          <w:szCs w:val="26"/>
        </w:rPr>
        <w:t xml:space="preserve"> </w:t>
      </w:r>
      <w:r w:rsidR="004D0534">
        <w:rPr>
          <w:szCs w:val="26"/>
        </w:rPr>
        <w:t xml:space="preserve">Frontier </w:t>
      </w:r>
      <w:r w:rsidR="0027758E">
        <w:rPr>
          <w:szCs w:val="26"/>
        </w:rPr>
        <w:t xml:space="preserve">U.S. </w:t>
      </w:r>
      <w:r w:rsidR="004D0534">
        <w:rPr>
          <w:szCs w:val="26"/>
        </w:rPr>
        <w:t>financed the purchase through a private debt offering of $6.6 billion, a $1.5</w:t>
      </w:r>
      <w:r w:rsidR="00F13D6A">
        <w:rPr>
          <w:szCs w:val="26"/>
        </w:rPr>
        <w:t> </w:t>
      </w:r>
      <w:r w:rsidR="004D0534">
        <w:rPr>
          <w:szCs w:val="26"/>
        </w:rPr>
        <w:t>billion senior secured loan f</w:t>
      </w:r>
      <w:r w:rsidR="00484C07">
        <w:rPr>
          <w:szCs w:val="26"/>
        </w:rPr>
        <w:t>ac</w:t>
      </w:r>
      <w:r w:rsidR="004D0534">
        <w:rPr>
          <w:szCs w:val="26"/>
        </w:rPr>
        <w:t>ility, and a registered offering of $2.75 billion of preferred and common stock.</w:t>
      </w:r>
      <w:r w:rsidR="004D0534">
        <w:rPr>
          <w:rStyle w:val="FootnoteReference"/>
          <w:szCs w:val="26"/>
        </w:rPr>
        <w:footnoteReference w:id="3"/>
      </w:r>
      <w:r w:rsidR="004D0534">
        <w:rPr>
          <w:szCs w:val="26"/>
        </w:rPr>
        <w:t xml:space="preserve"> </w:t>
      </w:r>
    </w:p>
    <w:p w:rsidR="0020582E" w:rsidP="00DF5A35" w:rsidRDefault="00DF5A35" w14:paraId="76666107" w14:textId="29919861">
      <w:pPr>
        <w:rPr>
          <w:szCs w:val="26"/>
        </w:rPr>
      </w:pPr>
      <w:r>
        <w:rPr>
          <w:szCs w:val="26"/>
        </w:rPr>
        <w:t xml:space="preserve">In Application (A.) 15-03-005, Frontier </w:t>
      </w:r>
      <w:r w:rsidR="0027758E">
        <w:rPr>
          <w:szCs w:val="26"/>
        </w:rPr>
        <w:t xml:space="preserve">Communications Corporation and </w:t>
      </w:r>
      <w:r w:rsidR="00291E77">
        <w:rPr>
          <w:szCs w:val="26"/>
        </w:rPr>
        <w:t>Frontier Communications of America, Inc. (collectively Frontier Communications)</w:t>
      </w:r>
      <w:r w:rsidR="001C6733">
        <w:rPr>
          <w:szCs w:val="26"/>
        </w:rPr>
        <w:t xml:space="preserve"> </w:t>
      </w:r>
      <w:r>
        <w:rPr>
          <w:szCs w:val="26"/>
        </w:rPr>
        <w:t xml:space="preserve">sought approval from the California Public Utilities Commission (Commission) for </w:t>
      </w:r>
      <w:r w:rsidR="00291E77">
        <w:rPr>
          <w:szCs w:val="26"/>
        </w:rPr>
        <w:t>the</w:t>
      </w:r>
      <w:r>
        <w:rPr>
          <w:szCs w:val="26"/>
        </w:rPr>
        <w:t xml:space="preserve"> purchase of Verizon’s California operations</w:t>
      </w:r>
      <w:r w:rsidR="0020582E">
        <w:rPr>
          <w:szCs w:val="26"/>
        </w:rPr>
        <w:t xml:space="preserve"> (Verizon </w:t>
      </w:r>
      <w:r w:rsidR="00555C0B">
        <w:rPr>
          <w:szCs w:val="26"/>
        </w:rPr>
        <w:t>A</w:t>
      </w:r>
      <w:r w:rsidR="00484C07">
        <w:rPr>
          <w:szCs w:val="26"/>
        </w:rPr>
        <w:t>c</w:t>
      </w:r>
      <w:r w:rsidR="0020582E">
        <w:rPr>
          <w:szCs w:val="26"/>
        </w:rPr>
        <w:t>quisition)</w:t>
      </w:r>
      <w:r>
        <w:rPr>
          <w:szCs w:val="26"/>
        </w:rPr>
        <w:t xml:space="preserve">. </w:t>
      </w:r>
      <w:r w:rsidR="00F13D6A">
        <w:rPr>
          <w:szCs w:val="26"/>
        </w:rPr>
        <w:t xml:space="preserve"> </w:t>
      </w:r>
      <w:r w:rsidR="00BB32D3">
        <w:rPr>
          <w:szCs w:val="26"/>
        </w:rPr>
        <w:t>In D</w:t>
      </w:r>
      <w:r w:rsidR="00465298">
        <w:rPr>
          <w:szCs w:val="26"/>
        </w:rPr>
        <w:t>ecision (D</w:t>
      </w:r>
      <w:r w:rsidR="00FD32D1">
        <w:rPr>
          <w:szCs w:val="26"/>
        </w:rPr>
        <w:t>.</w:t>
      </w:r>
      <w:r w:rsidR="00465298">
        <w:rPr>
          <w:szCs w:val="26"/>
        </w:rPr>
        <w:t>)</w:t>
      </w:r>
      <w:r w:rsidR="00FD32D1">
        <w:rPr>
          <w:szCs w:val="26"/>
        </w:rPr>
        <w:t xml:space="preserve"> </w:t>
      </w:r>
      <w:r w:rsidR="00BB32D3">
        <w:rPr>
          <w:szCs w:val="26"/>
        </w:rPr>
        <w:t>15-12-005,</w:t>
      </w:r>
      <w:r>
        <w:rPr>
          <w:szCs w:val="26"/>
        </w:rPr>
        <w:t xml:space="preserve"> the</w:t>
      </w:r>
      <w:r w:rsidR="00687096">
        <w:rPr>
          <w:szCs w:val="26"/>
        </w:rPr>
        <w:t xml:space="preserve"> Commission approved</w:t>
      </w:r>
      <w:r w:rsidR="00BB32D3">
        <w:rPr>
          <w:szCs w:val="26"/>
        </w:rPr>
        <w:t xml:space="preserve"> </w:t>
      </w:r>
      <w:r w:rsidR="00235A3C">
        <w:rPr>
          <w:szCs w:val="26"/>
        </w:rPr>
        <w:t>that</w:t>
      </w:r>
      <w:r>
        <w:rPr>
          <w:szCs w:val="26"/>
        </w:rPr>
        <w:t xml:space="preserve"> application</w:t>
      </w:r>
      <w:r w:rsidR="00BB32D3">
        <w:rPr>
          <w:szCs w:val="26"/>
        </w:rPr>
        <w:t xml:space="preserve"> with conditions and</w:t>
      </w:r>
      <w:r w:rsidR="007E1F8E">
        <w:rPr>
          <w:szCs w:val="26"/>
        </w:rPr>
        <w:t xml:space="preserve"> </w:t>
      </w:r>
      <w:r w:rsidR="0020582E">
        <w:rPr>
          <w:szCs w:val="26"/>
        </w:rPr>
        <w:t>approved</w:t>
      </w:r>
      <w:r w:rsidR="00BB32D3">
        <w:rPr>
          <w:szCs w:val="26"/>
        </w:rPr>
        <w:t xml:space="preserve"> related settlement agreements </w:t>
      </w:r>
      <w:r w:rsidR="00235A3C">
        <w:rPr>
          <w:szCs w:val="26"/>
        </w:rPr>
        <w:t>with</w:t>
      </w:r>
      <w:r w:rsidR="00BB32D3">
        <w:rPr>
          <w:szCs w:val="26"/>
        </w:rPr>
        <w:t xml:space="preserve"> </w:t>
      </w:r>
      <w:r w:rsidR="00620A68">
        <w:rPr>
          <w:szCs w:val="26"/>
        </w:rPr>
        <w:t>A.15-03-005</w:t>
      </w:r>
      <w:r w:rsidR="00BB32D3">
        <w:rPr>
          <w:szCs w:val="26"/>
        </w:rPr>
        <w:t xml:space="preserve"> protestors.</w:t>
      </w:r>
      <w:r w:rsidR="00620A68">
        <w:rPr>
          <w:rStyle w:val="FootnoteReference"/>
          <w:szCs w:val="26"/>
        </w:rPr>
        <w:footnoteReference w:id="4"/>
      </w:r>
      <w:r w:rsidR="00465298">
        <w:rPr>
          <w:szCs w:val="26"/>
        </w:rPr>
        <w:t xml:space="preserve"> </w:t>
      </w:r>
      <w:r w:rsidR="00F13D6A">
        <w:rPr>
          <w:szCs w:val="26"/>
        </w:rPr>
        <w:t xml:space="preserve"> </w:t>
      </w:r>
      <w:r w:rsidR="00465298">
        <w:rPr>
          <w:szCs w:val="26"/>
        </w:rPr>
        <w:t xml:space="preserve">In addition, Frontier </w:t>
      </w:r>
      <w:r w:rsidR="00291E77">
        <w:rPr>
          <w:szCs w:val="26"/>
        </w:rPr>
        <w:t>Communications</w:t>
      </w:r>
      <w:r w:rsidR="001C6733">
        <w:rPr>
          <w:szCs w:val="26"/>
        </w:rPr>
        <w:t xml:space="preserve"> </w:t>
      </w:r>
      <w:proofErr w:type="gramStart"/>
      <w:r w:rsidR="00465298">
        <w:rPr>
          <w:szCs w:val="26"/>
        </w:rPr>
        <w:t>entered into</w:t>
      </w:r>
      <w:proofErr w:type="gramEnd"/>
      <w:r w:rsidR="00465298">
        <w:rPr>
          <w:szCs w:val="26"/>
        </w:rPr>
        <w:t xml:space="preserve"> memoranda of understanding </w:t>
      </w:r>
      <w:r w:rsidR="00722F6C">
        <w:rPr>
          <w:szCs w:val="26"/>
        </w:rPr>
        <w:t xml:space="preserve">(MOUs) </w:t>
      </w:r>
      <w:r w:rsidR="00465298">
        <w:rPr>
          <w:szCs w:val="26"/>
        </w:rPr>
        <w:t xml:space="preserve">with various parties to A.15-03-005 </w:t>
      </w:r>
      <w:r w:rsidR="00465298">
        <w:rPr>
          <w:szCs w:val="26"/>
        </w:rPr>
        <w:lastRenderedPageBreak/>
        <w:t xml:space="preserve">related to the Verizon </w:t>
      </w:r>
      <w:r w:rsidR="00555C0B">
        <w:rPr>
          <w:szCs w:val="26"/>
        </w:rPr>
        <w:t>A</w:t>
      </w:r>
      <w:r w:rsidR="00484C07">
        <w:rPr>
          <w:szCs w:val="26"/>
        </w:rPr>
        <w:t>c</w:t>
      </w:r>
      <w:r w:rsidR="00465298">
        <w:rPr>
          <w:szCs w:val="26"/>
        </w:rPr>
        <w:t xml:space="preserve">quisition. </w:t>
      </w:r>
      <w:r w:rsidR="00F13D6A">
        <w:rPr>
          <w:szCs w:val="26"/>
        </w:rPr>
        <w:t xml:space="preserve"> </w:t>
      </w:r>
      <w:r w:rsidR="00722F6C">
        <w:rPr>
          <w:szCs w:val="26"/>
        </w:rPr>
        <w:t>The MOUs are enforceable contr</w:t>
      </w:r>
      <w:r w:rsidR="000B1F69">
        <w:rPr>
          <w:szCs w:val="26"/>
        </w:rPr>
        <w:t>ac</w:t>
      </w:r>
      <w:r w:rsidR="00722F6C">
        <w:rPr>
          <w:szCs w:val="26"/>
        </w:rPr>
        <w:t xml:space="preserve">ts that the Commission determined to be necessary to </w:t>
      </w:r>
      <w:r w:rsidR="006B385E">
        <w:rPr>
          <w:szCs w:val="26"/>
        </w:rPr>
        <w:t>find</w:t>
      </w:r>
      <w:r w:rsidR="00722F6C">
        <w:rPr>
          <w:szCs w:val="26"/>
        </w:rPr>
        <w:t xml:space="preserve"> the approval of the application in A.15-03-005 to be in the public interest.</w:t>
      </w:r>
      <w:r w:rsidR="00722F6C">
        <w:rPr>
          <w:rStyle w:val="FootnoteReference"/>
          <w:szCs w:val="26"/>
        </w:rPr>
        <w:footnoteReference w:id="5"/>
      </w:r>
      <w:r w:rsidR="00722F6C">
        <w:rPr>
          <w:szCs w:val="26"/>
        </w:rPr>
        <w:t xml:space="preserve"> </w:t>
      </w:r>
      <w:r w:rsidR="00F13D6A">
        <w:rPr>
          <w:szCs w:val="26"/>
        </w:rPr>
        <w:t xml:space="preserve"> </w:t>
      </w:r>
      <w:r w:rsidR="00806D37">
        <w:rPr>
          <w:szCs w:val="26"/>
        </w:rPr>
        <w:t xml:space="preserve">Among other commitments reflected in D.15-12-005, </w:t>
      </w:r>
      <w:r w:rsidR="001C6733">
        <w:rPr>
          <w:szCs w:val="26"/>
        </w:rPr>
        <w:t>the</w:t>
      </w:r>
      <w:r w:rsidR="00396E5D">
        <w:rPr>
          <w:szCs w:val="26"/>
        </w:rPr>
        <w:t xml:space="preserve"> MOU with C</w:t>
      </w:r>
      <w:r w:rsidR="0002779A">
        <w:rPr>
          <w:szCs w:val="26"/>
        </w:rPr>
        <w:t>alifornia Emerging Technology Fund</w:t>
      </w:r>
      <w:r w:rsidR="00396E5D">
        <w:rPr>
          <w:szCs w:val="26"/>
        </w:rPr>
        <w:t xml:space="preserve"> </w:t>
      </w:r>
      <w:r w:rsidR="0002779A">
        <w:rPr>
          <w:szCs w:val="26"/>
        </w:rPr>
        <w:t xml:space="preserve">(CETF) </w:t>
      </w:r>
      <w:r w:rsidR="00396E5D">
        <w:rPr>
          <w:szCs w:val="26"/>
        </w:rPr>
        <w:t xml:space="preserve">requires Frontier </w:t>
      </w:r>
      <w:r w:rsidR="00291E77">
        <w:rPr>
          <w:szCs w:val="26"/>
        </w:rPr>
        <w:t xml:space="preserve">Communications </w:t>
      </w:r>
      <w:r w:rsidR="00396E5D">
        <w:rPr>
          <w:szCs w:val="26"/>
        </w:rPr>
        <w:t xml:space="preserve">to offer </w:t>
      </w:r>
      <w:proofErr w:type="spellStart"/>
      <w:r w:rsidR="00396E5D">
        <w:rPr>
          <w:szCs w:val="26"/>
        </w:rPr>
        <w:t>LifeLine</w:t>
      </w:r>
      <w:proofErr w:type="spellEnd"/>
      <w:r w:rsidR="00396E5D">
        <w:rPr>
          <w:szCs w:val="26"/>
        </w:rPr>
        <w:t xml:space="preserve"> customers broadband speeds of 7 </w:t>
      </w:r>
      <w:r w:rsidR="0002779A">
        <w:rPr>
          <w:szCs w:val="26"/>
        </w:rPr>
        <w:t>megabits per second (</w:t>
      </w:r>
      <w:r w:rsidR="00396E5D">
        <w:rPr>
          <w:szCs w:val="26"/>
        </w:rPr>
        <w:t>Mbps</w:t>
      </w:r>
      <w:r w:rsidR="0002779A">
        <w:rPr>
          <w:szCs w:val="26"/>
        </w:rPr>
        <w:t>)</w:t>
      </w:r>
      <w:r w:rsidR="00396E5D">
        <w:rPr>
          <w:szCs w:val="26"/>
        </w:rPr>
        <w:t xml:space="preserve"> downstream where available and the highest available upstream speed for $13.99 per month, and Frontier</w:t>
      </w:r>
      <w:r w:rsidR="00291E77">
        <w:rPr>
          <w:szCs w:val="26"/>
        </w:rPr>
        <w:t xml:space="preserve"> Communication</w:t>
      </w:r>
      <w:r w:rsidR="00396E5D">
        <w:rPr>
          <w:szCs w:val="26"/>
        </w:rPr>
        <w:t>’s settlement with joint protestors requires</w:t>
      </w:r>
      <w:r w:rsidR="00291E77">
        <w:rPr>
          <w:szCs w:val="26"/>
        </w:rPr>
        <w:t xml:space="preserve"> the deployment of</w:t>
      </w:r>
      <w:r w:rsidR="00396E5D">
        <w:rPr>
          <w:szCs w:val="26"/>
        </w:rPr>
        <w:t xml:space="preserve"> broadband speeds of (1) 25 Mbps downstream and 2-3 Mbps upstream </w:t>
      </w:r>
      <w:r w:rsidR="0002779A">
        <w:rPr>
          <w:szCs w:val="26"/>
        </w:rPr>
        <w:t>(25/2-3 Mbps)</w:t>
      </w:r>
      <w:r w:rsidR="00F44B28">
        <w:rPr>
          <w:rStyle w:val="FootnoteReference"/>
          <w:szCs w:val="26"/>
        </w:rPr>
        <w:footnoteReference w:id="6"/>
      </w:r>
      <w:r w:rsidR="0002779A">
        <w:rPr>
          <w:szCs w:val="26"/>
        </w:rPr>
        <w:t xml:space="preserve"> </w:t>
      </w:r>
      <w:r w:rsidR="00396E5D">
        <w:rPr>
          <w:szCs w:val="26"/>
        </w:rPr>
        <w:t>to an additional 400,000 California households by December 31, 2022, (2) 10</w:t>
      </w:r>
      <w:r w:rsidR="0002779A">
        <w:rPr>
          <w:szCs w:val="26"/>
        </w:rPr>
        <w:t>/1</w:t>
      </w:r>
      <w:r w:rsidR="00396E5D">
        <w:rPr>
          <w:szCs w:val="26"/>
        </w:rPr>
        <w:t xml:space="preserve"> Mbps to an additional 100,000 unserved California households beyond its </w:t>
      </w:r>
      <w:r w:rsidR="00A24F5A">
        <w:rPr>
          <w:szCs w:val="26"/>
        </w:rPr>
        <w:t>Connect America Fund (</w:t>
      </w:r>
      <w:r w:rsidR="00396E5D">
        <w:rPr>
          <w:szCs w:val="26"/>
        </w:rPr>
        <w:t>CAF</w:t>
      </w:r>
      <w:r w:rsidR="00A24F5A">
        <w:rPr>
          <w:szCs w:val="26"/>
        </w:rPr>
        <w:t>)</w:t>
      </w:r>
      <w:r w:rsidR="00396E5D">
        <w:rPr>
          <w:szCs w:val="26"/>
        </w:rPr>
        <w:t xml:space="preserve"> II commitments by December 31, 2020, and (3) 6</w:t>
      </w:r>
      <w:r w:rsidR="00F44B28">
        <w:rPr>
          <w:szCs w:val="26"/>
        </w:rPr>
        <w:t>/</w:t>
      </w:r>
      <w:r w:rsidR="00396E5D">
        <w:rPr>
          <w:szCs w:val="26"/>
        </w:rPr>
        <w:t>1-1.5 Mbps to an additional 250,000 California households.</w:t>
      </w:r>
      <w:r w:rsidR="00396E5D">
        <w:rPr>
          <w:rStyle w:val="FootnoteReference"/>
          <w:szCs w:val="26"/>
        </w:rPr>
        <w:footnoteReference w:id="7"/>
      </w:r>
      <w:r w:rsidR="00396E5D">
        <w:rPr>
          <w:szCs w:val="26"/>
        </w:rPr>
        <w:t xml:space="preserve"> </w:t>
      </w:r>
      <w:r w:rsidR="00465298">
        <w:rPr>
          <w:szCs w:val="26"/>
        </w:rPr>
        <w:t xml:space="preserve">As a result of the Verizon </w:t>
      </w:r>
      <w:r w:rsidR="00555C0B">
        <w:rPr>
          <w:szCs w:val="26"/>
        </w:rPr>
        <w:t>A</w:t>
      </w:r>
      <w:r w:rsidR="000B1F69">
        <w:rPr>
          <w:szCs w:val="26"/>
        </w:rPr>
        <w:t>c</w:t>
      </w:r>
      <w:r w:rsidR="00465298">
        <w:rPr>
          <w:szCs w:val="26"/>
        </w:rPr>
        <w:t xml:space="preserve">quisition, about 2.2 million Verizon customers became customers of </w:t>
      </w:r>
      <w:r w:rsidR="005942BB">
        <w:t xml:space="preserve">Frontier Communications Corporation's California </w:t>
      </w:r>
      <w:r w:rsidR="00465298">
        <w:rPr>
          <w:szCs w:val="26"/>
        </w:rPr>
        <w:t>subsidiaries.</w:t>
      </w:r>
      <w:r w:rsidR="00620A68">
        <w:rPr>
          <w:rStyle w:val="FootnoteReference"/>
          <w:szCs w:val="26"/>
        </w:rPr>
        <w:footnoteReference w:id="8"/>
      </w:r>
      <w:r w:rsidR="005C1FDA">
        <w:rPr>
          <w:szCs w:val="26"/>
        </w:rPr>
        <w:t xml:space="preserve"> </w:t>
      </w:r>
    </w:p>
    <w:p w:rsidR="00687096" w:rsidP="00DF5A35" w:rsidRDefault="005C1FDA" w14:paraId="64596521" w14:textId="1161DF40">
      <w:pPr>
        <w:rPr>
          <w:szCs w:val="26"/>
        </w:rPr>
      </w:pPr>
      <w:r>
        <w:rPr>
          <w:szCs w:val="26"/>
        </w:rPr>
        <w:t xml:space="preserve">Pursuant to a settlement agreement between Frontier </w:t>
      </w:r>
      <w:r w:rsidR="00291E77">
        <w:rPr>
          <w:szCs w:val="26"/>
        </w:rPr>
        <w:t xml:space="preserve">Communications </w:t>
      </w:r>
      <w:r>
        <w:rPr>
          <w:szCs w:val="26"/>
        </w:rPr>
        <w:t xml:space="preserve">and CETF approved by the Commission in D.19-03-017, Frontier </w:t>
      </w:r>
      <w:r w:rsidR="00291E77">
        <w:rPr>
          <w:szCs w:val="26"/>
        </w:rPr>
        <w:t xml:space="preserve">Communications </w:t>
      </w:r>
      <w:r>
        <w:rPr>
          <w:szCs w:val="26"/>
        </w:rPr>
        <w:t>agreed</w:t>
      </w:r>
      <w:r w:rsidR="00FA0849">
        <w:rPr>
          <w:szCs w:val="26"/>
        </w:rPr>
        <w:t xml:space="preserve"> to provide an additional 43,474 </w:t>
      </w:r>
      <w:proofErr w:type="spellStart"/>
      <w:r w:rsidR="00FA0849">
        <w:rPr>
          <w:szCs w:val="26"/>
        </w:rPr>
        <w:t>WiFi</w:t>
      </w:r>
      <w:proofErr w:type="spellEnd"/>
      <w:r w:rsidR="00FA0849">
        <w:rPr>
          <w:szCs w:val="26"/>
        </w:rPr>
        <w:t xml:space="preserve"> devices to community-based organizations (CBOs), advance additional funds to CETF </w:t>
      </w:r>
      <w:r w:rsidR="00FA0849">
        <w:rPr>
          <w:szCs w:val="26"/>
        </w:rPr>
        <w:lastRenderedPageBreak/>
        <w:t>based upon CBO</w:t>
      </w:r>
      <w:r w:rsidR="00D50CBB">
        <w:rPr>
          <w:szCs w:val="26"/>
        </w:rPr>
        <w:t>-initiated</w:t>
      </w:r>
      <w:r w:rsidR="00FA0849">
        <w:rPr>
          <w:szCs w:val="26"/>
        </w:rPr>
        <w:t xml:space="preserve"> adoptions</w:t>
      </w:r>
      <w:r w:rsidR="00D50CBB">
        <w:rPr>
          <w:szCs w:val="26"/>
        </w:rPr>
        <w:t xml:space="preserve"> of broadband service plans by low-income </w:t>
      </w:r>
      <w:proofErr w:type="gramStart"/>
      <w:r w:rsidR="00D50CBB">
        <w:rPr>
          <w:szCs w:val="26"/>
        </w:rPr>
        <w:t>households</w:t>
      </w:r>
      <w:r w:rsidR="00FA0849">
        <w:rPr>
          <w:szCs w:val="26"/>
        </w:rPr>
        <w:t>,</w:t>
      </w:r>
      <w:r w:rsidR="00D50CBB">
        <w:rPr>
          <w:szCs w:val="26"/>
        </w:rPr>
        <w:t xml:space="preserve"> </w:t>
      </w:r>
      <w:r w:rsidR="008C60B7">
        <w:rPr>
          <w:szCs w:val="26"/>
        </w:rPr>
        <w:t>and</w:t>
      </w:r>
      <w:proofErr w:type="gramEnd"/>
      <w:r w:rsidR="00D50CBB">
        <w:rPr>
          <w:szCs w:val="26"/>
        </w:rPr>
        <w:t xml:space="preserve"> install public </w:t>
      </w:r>
      <w:proofErr w:type="spellStart"/>
      <w:r w:rsidR="00D50CBB">
        <w:rPr>
          <w:szCs w:val="26"/>
        </w:rPr>
        <w:t>WiFi</w:t>
      </w:r>
      <w:proofErr w:type="spellEnd"/>
      <w:r w:rsidR="00D50CBB">
        <w:rPr>
          <w:szCs w:val="26"/>
        </w:rPr>
        <w:t xml:space="preserve"> locations</w:t>
      </w:r>
      <w:r w:rsidR="008C60B7">
        <w:rPr>
          <w:szCs w:val="26"/>
        </w:rPr>
        <w:t>.</w:t>
      </w:r>
      <w:r w:rsidR="008C60B7">
        <w:rPr>
          <w:rStyle w:val="FootnoteReference"/>
          <w:szCs w:val="26"/>
        </w:rPr>
        <w:footnoteReference w:id="9"/>
      </w:r>
    </w:p>
    <w:p w:rsidR="0032698D" w:rsidP="002A26A9" w:rsidRDefault="00385E39" w14:paraId="5ABB8019" w14:textId="0D825201">
      <w:pPr>
        <w:rPr>
          <w:szCs w:val="26"/>
        </w:rPr>
      </w:pPr>
      <w:r>
        <w:rPr>
          <w:szCs w:val="26"/>
        </w:rPr>
        <w:t xml:space="preserve">Serving California and the other areas covered by </w:t>
      </w:r>
      <w:r w:rsidR="00F04715">
        <w:rPr>
          <w:szCs w:val="26"/>
        </w:rPr>
        <w:t xml:space="preserve">its </w:t>
      </w:r>
      <w:r w:rsidR="008B164D">
        <w:rPr>
          <w:szCs w:val="26"/>
        </w:rPr>
        <w:t>acquisitions</w:t>
      </w:r>
      <w:r>
        <w:rPr>
          <w:szCs w:val="26"/>
        </w:rPr>
        <w:t xml:space="preserve"> proved more </w:t>
      </w:r>
      <w:r w:rsidR="0020582E">
        <w:rPr>
          <w:szCs w:val="26"/>
        </w:rPr>
        <w:t xml:space="preserve">difficult </w:t>
      </w:r>
      <w:r>
        <w:rPr>
          <w:szCs w:val="26"/>
        </w:rPr>
        <w:t xml:space="preserve">and expensive than </w:t>
      </w:r>
      <w:r w:rsidR="00560CEE">
        <w:rPr>
          <w:szCs w:val="26"/>
        </w:rPr>
        <w:t xml:space="preserve">Frontier </w:t>
      </w:r>
      <w:r w:rsidR="00291E77">
        <w:rPr>
          <w:szCs w:val="26"/>
        </w:rPr>
        <w:t xml:space="preserve">U.S. </w:t>
      </w:r>
      <w:r>
        <w:rPr>
          <w:szCs w:val="26"/>
        </w:rPr>
        <w:t xml:space="preserve">anticipated, and integration issues made it more difficult to retain customers. </w:t>
      </w:r>
      <w:r w:rsidR="00F13D6A">
        <w:rPr>
          <w:szCs w:val="26"/>
        </w:rPr>
        <w:t xml:space="preserve"> </w:t>
      </w:r>
      <w:r>
        <w:rPr>
          <w:szCs w:val="26"/>
        </w:rPr>
        <w:t xml:space="preserve">Fierce competition in the telecommunications sector, shifting consumer preferences, and </w:t>
      </w:r>
      <w:r w:rsidR="00484C07">
        <w:rPr>
          <w:szCs w:val="26"/>
        </w:rPr>
        <w:t>ac</w:t>
      </w:r>
      <w:r>
        <w:rPr>
          <w:szCs w:val="26"/>
        </w:rPr>
        <w:t>celerating bandwidth and performance demands resulted in the unsustainability of Frontier</w:t>
      </w:r>
      <w:r w:rsidR="00291E77">
        <w:rPr>
          <w:szCs w:val="26"/>
        </w:rPr>
        <w:t xml:space="preserve"> U.S.</w:t>
      </w:r>
      <w:r>
        <w:rPr>
          <w:szCs w:val="26"/>
        </w:rPr>
        <w:t>’ outstanding debt obligations, which totaled about $17.5 billion in April 2020.</w:t>
      </w:r>
      <w:r w:rsidR="00F13D6A">
        <w:rPr>
          <w:szCs w:val="26"/>
        </w:rPr>
        <w:t xml:space="preserve"> </w:t>
      </w:r>
      <w:r>
        <w:rPr>
          <w:szCs w:val="26"/>
        </w:rPr>
        <w:t xml:space="preserve"> Nationally, Frontier</w:t>
      </w:r>
      <w:r w:rsidR="00291E77">
        <w:rPr>
          <w:szCs w:val="26"/>
        </w:rPr>
        <w:t xml:space="preserve"> U.S.</w:t>
      </w:r>
      <w:r>
        <w:rPr>
          <w:szCs w:val="26"/>
        </w:rPr>
        <w:t>’ customers decreased from a high of 5.4</w:t>
      </w:r>
      <w:r w:rsidR="00F13D6A">
        <w:rPr>
          <w:szCs w:val="26"/>
        </w:rPr>
        <w:t> </w:t>
      </w:r>
      <w:r>
        <w:rPr>
          <w:szCs w:val="26"/>
        </w:rPr>
        <w:t xml:space="preserve">million after the close of the Verizon </w:t>
      </w:r>
      <w:r w:rsidR="00555C0B">
        <w:rPr>
          <w:szCs w:val="26"/>
        </w:rPr>
        <w:t>A</w:t>
      </w:r>
      <w:r w:rsidR="000B1F69">
        <w:rPr>
          <w:szCs w:val="26"/>
        </w:rPr>
        <w:t>c</w:t>
      </w:r>
      <w:r>
        <w:rPr>
          <w:szCs w:val="26"/>
        </w:rPr>
        <w:t xml:space="preserve">quisition in 2016 to </w:t>
      </w:r>
      <w:r w:rsidR="006A2E90">
        <w:rPr>
          <w:szCs w:val="26"/>
        </w:rPr>
        <w:t>4.1 million in March 2020</w:t>
      </w:r>
      <w:r w:rsidR="00F4119E">
        <w:rPr>
          <w:szCs w:val="26"/>
        </w:rPr>
        <w:t xml:space="preserve">.  </w:t>
      </w:r>
      <w:r w:rsidR="006A2E90">
        <w:rPr>
          <w:szCs w:val="26"/>
        </w:rPr>
        <w:t>Frontier</w:t>
      </w:r>
      <w:r w:rsidR="00291E77">
        <w:rPr>
          <w:szCs w:val="26"/>
        </w:rPr>
        <w:t xml:space="preserve"> U.S.</w:t>
      </w:r>
      <w:r w:rsidR="006A2E90">
        <w:rPr>
          <w:szCs w:val="26"/>
        </w:rPr>
        <w:t>’ shares, which traded on the New York Stock Exchange, dropped from $125.70 per share in 2015 to $0.37 per share in April</w:t>
      </w:r>
      <w:r w:rsidR="00F13D6A">
        <w:rPr>
          <w:szCs w:val="26"/>
        </w:rPr>
        <w:t> </w:t>
      </w:r>
      <w:r w:rsidR="006A2E90">
        <w:rPr>
          <w:szCs w:val="26"/>
        </w:rPr>
        <w:t>2020, reflecting an $8.4 billion decrease in market value.</w:t>
      </w:r>
      <w:r w:rsidR="006A2E90">
        <w:rPr>
          <w:rStyle w:val="FootnoteReference"/>
          <w:szCs w:val="26"/>
        </w:rPr>
        <w:footnoteReference w:id="10"/>
      </w:r>
    </w:p>
    <w:p w:rsidR="00C31368" w:rsidP="002A26A9" w:rsidRDefault="0032698D" w14:paraId="3F440C67" w14:textId="54FA0C54">
      <w:pPr>
        <w:rPr>
          <w:szCs w:val="26"/>
        </w:rPr>
      </w:pPr>
      <w:r>
        <w:rPr>
          <w:szCs w:val="26"/>
        </w:rPr>
        <w:t xml:space="preserve">By 2019, Frontier </w:t>
      </w:r>
      <w:r w:rsidR="00291E77">
        <w:rPr>
          <w:szCs w:val="26"/>
        </w:rPr>
        <w:t xml:space="preserve">U.S. </w:t>
      </w:r>
      <w:r>
        <w:rPr>
          <w:szCs w:val="26"/>
        </w:rPr>
        <w:t>had concluded that debt-oriented trans</w:t>
      </w:r>
      <w:r w:rsidR="000B1F69">
        <w:rPr>
          <w:szCs w:val="26"/>
        </w:rPr>
        <w:t>ac</w:t>
      </w:r>
      <w:r>
        <w:rPr>
          <w:szCs w:val="26"/>
        </w:rPr>
        <w:t xml:space="preserve">tions would not improve its capital structure. </w:t>
      </w:r>
      <w:r w:rsidR="00F13D6A">
        <w:rPr>
          <w:szCs w:val="26"/>
        </w:rPr>
        <w:t xml:space="preserve"> </w:t>
      </w:r>
      <w:r w:rsidR="00F74B2D">
        <w:rPr>
          <w:szCs w:val="26"/>
        </w:rPr>
        <w:t xml:space="preserve">Frontier </w:t>
      </w:r>
      <w:r w:rsidR="00291E77">
        <w:rPr>
          <w:szCs w:val="26"/>
        </w:rPr>
        <w:t xml:space="preserve">U.S. </w:t>
      </w:r>
      <w:r w:rsidR="00F74B2D">
        <w:rPr>
          <w:szCs w:val="26"/>
        </w:rPr>
        <w:t>formed a finance committee to evaluate various strategic restructuring alternatives, including addressing the upcoming 2021 and 2022 debt maturities and mounting pressure from various constituents, some of whom favored out-of-court deleveraging trans</w:t>
      </w:r>
      <w:r w:rsidR="000B1F69">
        <w:rPr>
          <w:szCs w:val="26"/>
        </w:rPr>
        <w:t>ac</w:t>
      </w:r>
      <w:r w:rsidR="00F74B2D">
        <w:rPr>
          <w:szCs w:val="26"/>
        </w:rPr>
        <w:t xml:space="preserve">tions while others sought in-court bankruptcy reorganization. </w:t>
      </w:r>
      <w:r w:rsidR="00F13D6A">
        <w:rPr>
          <w:szCs w:val="26"/>
        </w:rPr>
        <w:t xml:space="preserve"> </w:t>
      </w:r>
      <w:r>
        <w:rPr>
          <w:szCs w:val="26"/>
        </w:rPr>
        <w:t>After a review of the relevant f</w:t>
      </w:r>
      <w:r w:rsidR="000B1F69">
        <w:rPr>
          <w:szCs w:val="26"/>
        </w:rPr>
        <w:t>ac</w:t>
      </w:r>
      <w:r>
        <w:rPr>
          <w:szCs w:val="26"/>
        </w:rPr>
        <w:t>tors, including what Frontier</w:t>
      </w:r>
      <w:r w:rsidR="00291E77">
        <w:rPr>
          <w:szCs w:val="26"/>
        </w:rPr>
        <w:t xml:space="preserve"> U.S.</w:t>
      </w:r>
      <w:r>
        <w:rPr>
          <w:szCs w:val="26"/>
        </w:rPr>
        <w:t xml:space="preserve"> determined to be the general headwinds prevalent in the telecommunications industry, </w:t>
      </w:r>
      <w:r w:rsidR="00F74B2D">
        <w:rPr>
          <w:szCs w:val="26"/>
        </w:rPr>
        <w:t>in March and April 2019</w:t>
      </w:r>
      <w:r w:rsidR="00291E77">
        <w:rPr>
          <w:szCs w:val="26"/>
        </w:rPr>
        <w:t xml:space="preserve"> </w:t>
      </w:r>
      <w:r w:rsidR="00F74B2D">
        <w:rPr>
          <w:szCs w:val="26"/>
        </w:rPr>
        <w:t xml:space="preserve">Frontier </w:t>
      </w:r>
      <w:r w:rsidR="00291E77">
        <w:rPr>
          <w:szCs w:val="26"/>
        </w:rPr>
        <w:t xml:space="preserve">U.S. </w:t>
      </w:r>
      <w:r w:rsidR="00F74B2D">
        <w:rPr>
          <w:szCs w:val="26"/>
        </w:rPr>
        <w:t>issued $1.65 billion in</w:t>
      </w:r>
      <w:r w:rsidR="00D25F0C">
        <w:rPr>
          <w:szCs w:val="26"/>
        </w:rPr>
        <w:t xml:space="preserve"> first lien secured notes due 2027 to </w:t>
      </w:r>
      <w:r w:rsidR="00D25F0C">
        <w:rPr>
          <w:szCs w:val="26"/>
        </w:rPr>
        <w:lastRenderedPageBreak/>
        <w:t>repay indebtedness scheduled to mature in 2021 and extended the maturity date of $850 million of revolving loans from 2022 to 2024</w:t>
      </w:r>
      <w:r w:rsidR="00F4119E">
        <w:rPr>
          <w:szCs w:val="26"/>
        </w:rPr>
        <w:t xml:space="preserve">.  </w:t>
      </w:r>
      <w:r w:rsidR="00D25F0C">
        <w:rPr>
          <w:szCs w:val="26"/>
        </w:rPr>
        <w:t xml:space="preserve">In May 2019, </w:t>
      </w:r>
      <w:r>
        <w:rPr>
          <w:szCs w:val="26"/>
        </w:rPr>
        <w:t xml:space="preserve">Frontier </w:t>
      </w:r>
      <w:r w:rsidR="00291E77">
        <w:rPr>
          <w:szCs w:val="26"/>
        </w:rPr>
        <w:t xml:space="preserve">U.S. </w:t>
      </w:r>
      <w:r>
        <w:rPr>
          <w:szCs w:val="26"/>
        </w:rPr>
        <w:t>entered into an agreement to sell its P</w:t>
      </w:r>
      <w:r w:rsidR="00484C07">
        <w:rPr>
          <w:szCs w:val="26"/>
        </w:rPr>
        <w:t>ac</w:t>
      </w:r>
      <w:r>
        <w:rPr>
          <w:szCs w:val="26"/>
        </w:rPr>
        <w:t>ific Northwest operations and assets for $1.35 billion, a trans</w:t>
      </w:r>
      <w:r w:rsidR="00484C07">
        <w:rPr>
          <w:szCs w:val="26"/>
        </w:rPr>
        <w:t>ac</w:t>
      </w:r>
      <w:r>
        <w:rPr>
          <w:szCs w:val="26"/>
        </w:rPr>
        <w:t>tion that closed on May 1, 2020</w:t>
      </w:r>
      <w:r w:rsidR="00F4119E">
        <w:rPr>
          <w:szCs w:val="26"/>
        </w:rPr>
        <w:t xml:space="preserve">.  </w:t>
      </w:r>
      <w:r w:rsidR="000255EE">
        <w:rPr>
          <w:szCs w:val="26"/>
        </w:rPr>
        <w:t xml:space="preserve">Although Frontier </w:t>
      </w:r>
      <w:r w:rsidR="00291E77">
        <w:rPr>
          <w:szCs w:val="26"/>
        </w:rPr>
        <w:t xml:space="preserve">U.S. </w:t>
      </w:r>
      <w:r w:rsidR="000255EE">
        <w:rPr>
          <w:szCs w:val="26"/>
        </w:rPr>
        <w:t>identified investment opportunities in the summer of 2019 to expand its fiber network to increase competitiveness and market share, it could not pursue these opportunities or other strategic trans</w:t>
      </w:r>
      <w:r w:rsidR="00484C07">
        <w:rPr>
          <w:szCs w:val="26"/>
        </w:rPr>
        <w:t>ac</w:t>
      </w:r>
      <w:r w:rsidR="000255EE">
        <w:rPr>
          <w:szCs w:val="26"/>
        </w:rPr>
        <w:t xml:space="preserve">tions because of its inability to </w:t>
      </w:r>
      <w:r w:rsidR="00484C07">
        <w:rPr>
          <w:szCs w:val="26"/>
        </w:rPr>
        <w:t>ac</w:t>
      </w:r>
      <w:r w:rsidR="000255EE">
        <w:rPr>
          <w:szCs w:val="26"/>
        </w:rPr>
        <w:t>cess cash and limitations caused by its massive debt overhang.</w:t>
      </w:r>
      <w:r w:rsidR="00C31368">
        <w:rPr>
          <w:rStyle w:val="FootnoteReference"/>
          <w:szCs w:val="26"/>
        </w:rPr>
        <w:footnoteReference w:id="11"/>
      </w:r>
    </w:p>
    <w:p w:rsidR="007A6517" w:rsidP="002A26A9" w:rsidRDefault="00C31368" w14:paraId="1B98D46B" w14:textId="03131A9F">
      <w:pPr>
        <w:rPr>
          <w:szCs w:val="26"/>
        </w:rPr>
      </w:pPr>
      <w:r>
        <w:rPr>
          <w:szCs w:val="26"/>
        </w:rPr>
        <w:t xml:space="preserve">In the fall of 2019, Frontier </w:t>
      </w:r>
      <w:r w:rsidR="00291E77">
        <w:rPr>
          <w:szCs w:val="26"/>
        </w:rPr>
        <w:t xml:space="preserve">U.S. </w:t>
      </w:r>
      <w:r>
        <w:rPr>
          <w:szCs w:val="26"/>
        </w:rPr>
        <w:t xml:space="preserve">began discussions with groups of </w:t>
      </w:r>
      <w:r w:rsidR="00631AD7">
        <w:rPr>
          <w:szCs w:val="26"/>
        </w:rPr>
        <w:t xml:space="preserve">its </w:t>
      </w:r>
      <w:r>
        <w:rPr>
          <w:szCs w:val="26"/>
        </w:rPr>
        <w:t>senior bond noteholders.</w:t>
      </w:r>
      <w:r w:rsidR="00F13D6A">
        <w:rPr>
          <w:szCs w:val="26"/>
        </w:rPr>
        <w:t xml:space="preserve"> </w:t>
      </w:r>
      <w:r>
        <w:rPr>
          <w:szCs w:val="26"/>
        </w:rPr>
        <w:t xml:space="preserve"> On April 14, 2020, Frontier </w:t>
      </w:r>
      <w:r w:rsidR="00291E77">
        <w:rPr>
          <w:szCs w:val="26"/>
        </w:rPr>
        <w:t xml:space="preserve">U.S. </w:t>
      </w:r>
      <w:r>
        <w:rPr>
          <w:szCs w:val="26"/>
        </w:rPr>
        <w:t>executed a Restructuring Support Agreement (RSA) with senior unsecured noteholders holding more than 75 percent of Frontier</w:t>
      </w:r>
      <w:r w:rsidR="00291E77">
        <w:rPr>
          <w:szCs w:val="26"/>
        </w:rPr>
        <w:t xml:space="preserve"> U.S.</w:t>
      </w:r>
      <w:r>
        <w:rPr>
          <w:szCs w:val="26"/>
        </w:rPr>
        <w:t>’ $10.95 billion in senior unsecured notes (Consenting Noteholders)</w:t>
      </w:r>
      <w:r w:rsidR="00F4119E">
        <w:rPr>
          <w:szCs w:val="26"/>
        </w:rPr>
        <w:t xml:space="preserve">.  </w:t>
      </w:r>
      <w:r>
        <w:rPr>
          <w:szCs w:val="26"/>
        </w:rPr>
        <w:t>The Consenting Noteholders are about 200</w:t>
      </w:r>
      <w:r w:rsidR="00EF1280">
        <w:rPr>
          <w:szCs w:val="26"/>
        </w:rPr>
        <w:t xml:space="preserve"> of the senior noteholders and are primarily financial investment funds.</w:t>
      </w:r>
      <w:r w:rsidR="00EF1280">
        <w:rPr>
          <w:rStyle w:val="FootnoteReference"/>
          <w:szCs w:val="26"/>
        </w:rPr>
        <w:footnoteReference w:id="12"/>
      </w:r>
      <w:r w:rsidR="00EF1280">
        <w:rPr>
          <w:szCs w:val="26"/>
        </w:rPr>
        <w:t xml:space="preserve"> Under the RSA, about $10 billion of the senior unsecured notes would be converted to equity, effectively </w:t>
      </w:r>
      <w:r w:rsidR="00764D51">
        <w:rPr>
          <w:szCs w:val="26"/>
        </w:rPr>
        <w:t>eliminating</w:t>
      </w:r>
      <w:r w:rsidR="00EF1280">
        <w:rPr>
          <w:szCs w:val="26"/>
        </w:rPr>
        <w:t xml:space="preserve"> the ownership interests of the existing Frontier shareholders. </w:t>
      </w:r>
      <w:r w:rsidR="00F13D6A">
        <w:rPr>
          <w:szCs w:val="26"/>
        </w:rPr>
        <w:t xml:space="preserve"> </w:t>
      </w:r>
      <w:r w:rsidR="00EF1280">
        <w:rPr>
          <w:szCs w:val="26"/>
        </w:rPr>
        <w:t>The RSA anticipate</w:t>
      </w:r>
      <w:r w:rsidR="00631AD7">
        <w:rPr>
          <w:szCs w:val="26"/>
        </w:rPr>
        <w:t>d</w:t>
      </w:r>
      <w:r w:rsidR="00EF1280">
        <w:rPr>
          <w:szCs w:val="26"/>
        </w:rPr>
        <w:t xml:space="preserve"> Frontier</w:t>
      </w:r>
      <w:r w:rsidR="0065254A">
        <w:rPr>
          <w:szCs w:val="26"/>
        </w:rPr>
        <w:t xml:space="preserve"> U.S.</w:t>
      </w:r>
      <w:r w:rsidR="00EF1280">
        <w:rPr>
          <w:szCs w:val="26"/>
        </w:rPr>
        <w:t>’ filing for Chapter 11 bankruptcy reorganization, with Frontier</w:t>
      </w:r>
      <w:r w:rsidR="0065254A">
        <w:rPr>
          <w:szCs w:val="26"/>
        </w:rPr>
        <w:t xml:space="preserve"> U.S.</w:t>
      </w:r>
      <w:r w:rsidR="00EF1280">
        <w:rPr>
          <w:szCs w:val="26"/>
        </w:rPr>
        <w:t xml:space="preserve">’ debt obligations expected to be reduced to about $6.565 billion </w:t>
      </w:r>
      <w:r w:rsidR="007C62D0">
        <w:rPr>
          <w:szCs w:val="26"/>
        </w:rPr>
        <w:t xml:space="preserve">and its annual interest obligations to decrease from about $1.5 billion to about $500 million </w:t>
      </w:r>
      <w:r w:rsidR="00EF1280">
        <w:rPr>
          <w:szCs w:val="26"/>
        </w:rPr>
        <w:t>at emergence from bankruptcy.</w:t>
      </w:r>
      <w:r w:rsidR="007C62D0">
        <w:rPr>
          <w:szCs w:val="26"/>
        </w:rPr>
        <w:t xml:space="preserve"> </w:t>
      </w:r>
      <w:r w:rsidR="00F13D6A">
        <w:rPr>
          <w:szCs w:val="26"/>
        </w:rPr>
        <w:t xml:space="preserve"> </w:t>
      </w:r>
      <w:r w:rsidR="007C62D0">
        <w:rPr>
          <w:szCs w:val="26"/>
        </w:rPr>
        <w:t xml:space="preserve">As a result, Frontier </w:t>
      </w:r>
      <w:r w:rsidR="0065254A">
        <w:rPr>
          <w:szCs w:val="26"/>
        </w:rPr>
        <w:t xml:space="preserve">U.S. </w:t>
      </w:r>
      <w:r w:rsidR="007C62D0">
        <w:rPr>
          <w:szCs w:val="26"/>
        </w:rPr>
        <w:t>believe</w:t>
      </w:r>
      <w:r w:rsidR="00631AD7">
        <w:rPr>
          <w:szCs w:val="26"/>
        </w:rPr>
        <w:t>d</w:t>
      </w:r>
      <w:r w:rsidR="007C62D0">
        <w:rPr>
          <w:szCs w:val="26"/>
        </w:rPr>
        <w:t xml:space="preserve"> that the </w:t>
      </w:r>
      <w:r w:rsidR="008534B2">
        <w:rPr>
          <w:szCs w:val="26"/>
        </w:rPr>
        <w:t>RSA’s implementation</w:t>
      </w:r>
      <w:r w:rsidR="007C62D0">
        <w:rPr>
          <w:szCs w:val="26"/>
        </w:rPr>
        <w:t xml:space="preserve"> w</w:t>
      </w:r>
      <w:r w:rsidR="00631AD7">
        <w:rPr>
          <w:szCs w:val="26"/>
        </w:rPr>
        <w:t>ould</w:t>
      </w:r>
      <w:r w:rsidR="007C62D0">
        <w:rPr>
          <w:szCs w:val="26"/>
        </w:rPr>
        <w:t xml:space="preserve"> free up substantial capital for operating its businesses.</w:t>
      </w:r>
      <w:r w:rsidR="007C62D0">
        <w:rPr>
          <w:rStyle w:val="FootnoteReference"/>
          <w:szCs w:val="26"/>
        </w:rPr>
        <w:footnoteReference w:id="13"/>
      </w:r>
    </w:p>
    <w:p w:rsidR="00ED51A4" w:rsidP="002A26A9" w:rsidRDefault="00ED51A4" w14:paraId="09B319EF" w14:textId="37FD504E">
      <w:pPr>
        <w:rPr>
          <w:szCs w:val="26"/>
        </w:rPr>
      </w:pPr>
      <w:r>
        <w:rPr>
          <w:szCs w:val="26"/>
        </w:rPr>
        <w:lastRenderedPageBreak/>
        <w:t xml:space="preserve">On April 14, 2020, Frontier </w:t>
      </w:r>
      <w:r w:rsidR="0065254A">
        <w:rPr>
          <w:szCs w:val="26"/>
        </w:rPr>
        <w:t>U.S.</w:t>
      </w:r>
      <w:r>
        <w:rPr>
          <w:szCs w:val="26"/>
        </w:rPr>
        <w:t xml:space="preserve"> filed a joint plan of reorganization </w:t>
      </w:r>
      <w:r w:rsidR="00624E11">
        <w:rPr>
          <w:szCs w:val="26"/>
        </w:rPr>
        <w:t xml:space="preserve">(Plan) </w:t>
      </w:r>
      <w:r>
        <w:rPr>
          <w:szCs w:val="26"/>
        </w:rPr>
        <w:t>under Chapter 11 of the Bankruptcy Code</w:t>
      </w:r>
      <w:r w:rsidR="002C320F">
        <w:rPr>
          <w:szCs w:val="26"/>
        </w:rPr>
        <w:t xml:space="preserve"> in the U.S. Bankruptcy Court for the Southern District of New York</w:t>
      </w:r>
      <w:r w:rsidR="00560CEE">
        <w:rPr>
          <w:szCs w:val="26"/>
        </w:rPr>
        <w:t>, Case No. 20-22476</w:t>
      </w:r>
      <w:r w:rsidR="002C320F">
        <w:rPr>
          <w:szCs w:val="26"/>
        </w:rPr>
        <w:t>.</w:t>
      </w:r>
      <w:r>
        <w:rPr>
          <w:szCs w:val="26"/>
        </w:rPr>
        <w:t xml:space="preserve"> </w:t>
      </w:r>
      <w:r w:rsidR="00CD74AC">
        <w:rPr>
          <w:szCs w:val="26"/>
        </w:rPr>
        <w:t xml:space="preserve"> </w:t>
      </w:r>
      <w:r w:rsidR="00624E11">
        <w:rPr>
          <w:szCs w:val="26"/>
        </w:rPr>
        <w:t xml:space="preserve">Under the Plan, (1) holders of general unsecured claims will be paid in full, (2) holders of secured debt will be paid in full on the </w:t>
      </w:r>
      <w:r w:rsidR="002C4D20">
        <w:rPr>
          <w:szCs w:val="26"/>
        </w:rPr>
        <w:t>e</w:t>
      </w:r>
      <w:r w:rsidR="00624E11">
        <w:rPr>
          <w:szCs w:val="26"/>
        </w:rPr>
        <w:t xml:space="preserve">ffective </w:t>
      </w:r>
      <w:r w:rsidR="002C4D20">
        <w:rPr>
          <w:szCs w:val="26"/>
        </w:rPr>
        <w:t>d</w:t>
      </w:r>
      <w:r w:rsidR="00624E11">
        <w:rPr>
          <w:szCs w:val="26"/>
        </w:rPr>
        <w:t xml:space="preserve">ate </w:t>
      </w:r>
      <w:r w:rsidR="002C4D20">
        <w:rPr>
          <w:szCs w:val="26"/>
        </w:rPr>
        <w:t xml:space="preserve">(Effective Date) </w:t>
      </w:r>
      <w:r w:rsidR="00624E11">
        <w:rPr>
          <w:szCs w:val="26"/>
        </w:rPr>
        <w:t xml:space="preserve">of the Plan, (3) holders of Senior Notes will receive a pro rata share of the common stock of the </w:t>
      </w:r>
      <w:r w:rsidR="00631AD7">
        <w:rPr>
          <w:szCs w:val="26"/>
        </w:rPr>
        <w:t>r</w:t>
      </w:r>
      <w:r w:rsidR="00624E11">
        <w:rPr>
          <w:szCs w:val="26"/>
        </w:rPr>
        <w:t xml:space="preserve">eorganized </w:t>
      </w:r>
      <w:r w:rsidR="00631AD7">
        <w:rPr>
          <w:szCs w:val="26"/>
        </w:rPr>
        <w:t>companies (Reorganized Frontier)</w:t>
      </w:r>
      <w:r w:rsidR="007037F5">
        <w:rPr>
          <w:szCs w:val="26"/>
        </w:rPr>
        <w:t>, $750 million of takeb</w:t>
      </w:r>
      <w:r w:rsidR="00630613">
        <w:rPr>
          <w:szCs w:val="26"/>
        </w:rPr>
        <w:t>ac</w:t>
      </w:r>
      <w:r w:rsidR="007037F5">
        <w:rPr>
          <w:szCs w:val="26"/>
        </w:rPr>
        <w:t>k debt, and cash of the Reorganized Frontier in  excess of $150 million as of the Effective Date, (4)</w:t>
      </w:r>
      <w:r w:rsidR="00F13D6A">
        <w:rPr>
          <w:szCs w:val="26"/>
        </w:rPr>
        <w:t> </w:t>
      </w:r>
      <w:r w:rsidR="007037F5">
        <w:rPr>
          <w:szCs w:val="26"/>
        </w:rPr>
        <w:t xml:space="preserve">holders of certain secured and unsecured notes held by Frontier </w:t>
      </w:r>
      <w:r w:rsidR="0065254A">
        <w:rPr>
          <w:szCs w:val="26"/>
        </w:rPr>
        <w:t>Communications Corporation subsidiaries</w:t>
      </w:r>
      <w:r w:rsidR="007037F5">
        <w:rPr>
          <w:szCs w:val="26"/>
        </w:rPr>
        <w:t xml:space="preserve"> will be reinstated or paid in full on the Effective Date, and (5) the previous equity owners will no longer have any ownership stake in Reorganized Frontier</w:t>
      </w:r>
      <w:r w:rsidR="00EB70FE">
        <w:rPr>
          <w:szCs w:val="26"/>
        </w:rPr>
        <w:t xml:space="preserve"> (the Plan and the </w:t>
      </w:r>
      <w:r w:rsidR="00630613">
        <w:rPr>
          <w:szCs w:val="26"/>
        </w:rPr>
        <w:t>ac</w:t>
      </w:r>
      <w:r w:rsidR="00EB70FE">
        <w:rPr>
          <w:szCs w:val="26"/>
        </w:rPr>
        <w:t>tions proposed under it the Restructuring)</w:t>
      </w:r>
      <w:r w:rsidR="007037F5">
        <w:rPr>
          <w:szCs w:val="26"/>
        </w:rPr>
        <w:t>.</w:t>
      </w:r>
      <w:r w:rsidR="007037F5">
        <w:rPr>
          <w:rStyle w:val="FootnoteReference"/>
          <w:szCs w:val="26"/>
        </w:rPr>
        <w:footnoteReference w:id="14"/>
      </w:r>
      <w:r w:rsidR="007037F5">
        <w:rPr>
          <w:szCs w:val="26"/>
        </w:rPr>
        <w:t xml:space="preserve"> </w:t>
      </w:r>
      <w:r w:rsidR="00F13D6A">
        <w:rPr>
          <w:szCs w:val="26"/>
        </w:rPr>
        <w:t xml:space="preserve"> </w:t>
      </w:r>
      <w:r w:rsidR="007037F5">
        <w:rPr>
          <w:szCs w:val="26"/>
        </w:rPr>
        <w:t>The Effective Date of the Plan is the first business day after the Plan’s confirmation by the Bankruptcy Court in which all specified conditions have been satisfied or waived and Reorganized Frontier declares the Plan effective.</w:t>
      </w:r>
      <w:r w:rsidR="003C4D2D">
        <w:rPr>
          <w:szCs w:val="26"/>
        </w:rPr>
        <w:t xml:space="preserve"> </w:t>
      </w:r>
      <w:r w:rsidR="00F13D6A">
        <w:rPr>
          <w:szCs w:val="26"/>
        </w:rPr>
        <w:t xml:space="preserve"> </w:t>
      </w:r>
      <w:r w:rsidR="003C4D2D">
        <w:rPr>
          <w:szCs w:val="26"/>
        </w:rPr>
        <w:t>The Plan’s Effective Date is contingent on the Commission’s approval of th</w:t>
      </w:r>
      <w:r w:rsidR="004A24EC">
        <w:rPr>
          <w:szCs w:val="26"/>
        </w:rPr>
        <w:t>e</w:t>
      </w:r>
      <w:r w:rsidR="003C4D2D">
        <w:rPr>
          <w:szCs w:val="26"/>
        </w:rPr>
        <w:t xml:space="preserve"> Application</w:t>
      </w:r>
      <w:r w:rsidR="00100909">
        <w:rPr>
          <w:szCs w:val="26"/>
        </w:rPr>
        <w:t xml:space="preserve"> in this proceeding</w:t>
      </w:r>
      <w:r w:rsidR="003C4D2D">
        <w:rPr>
          <w:szCs w:val="26"/>
        </w:rPr>
        <w:t>.</w:t>
      </w:r>
      <w:r w:rsidR="003C4D2D">
        <w:rPr>
          <w:rStyle w:val="FootnoteReference"/>
          <w:szCs w:val="26"/>
        </w:rPr>
        <w:footnoteReference w:id="15"/>
      </w:r>
    </w:p>
    <w:p w:rsidRPr="006A79FA" w:rsidR="003C4D2D" w:rsidP="006A79FA" w:rsidRDefault="005F0F3D" w14:paraId="7845BE09" w14:textId="4B65E40D">
      <w:pPr>
        <w:rPr>
          <w:szCs w:val="26"/>
        </w:rPr>
      </w:pPr>
      <w:r>
        <w:rPr>
          <w:szCs w:val="26"/>
        </w:rPr>
        <w:t xml:space="preserve">Under the Bankruptcy Code, Frontier </w:t>
      </w:r>
      <w:r w:rsidR="0065254A">
        <w:rPr>
          <w:szCs w:val="26"/>
        </w:rPr>
        <w:t xml:space="preserve">U.S. </w:t>
      </w:r>
      <w:r>
        <w:rPr>
          <w:szCs w:val="26"/>
        </w:rPr>
        <w:t xml:space="preserve">is required to prepare a disclosure statement (Disclosure Statement) containing adequate information to enable a hypothetical reasonable investor to make an informed judgment regarding </w:t>
      </w:r>
      <w:r w:rsidR="00630613">
        <w:rPr>
          <w:szCs w:val="26"/>
        </w:rPr>
        <w:t>ac</w:t>
      </w:r>
      <w:r>
        <w:rPr>
          <w:szCs w:val="26"/>
        </w:rPr>
        <w:t xml:space="preserve">ceptance of the Plan. </w:t>
      </w:r>
      <w:r w:rsidR="00F13D6A">
        <w:rPr>
          <w:szCs w:val="26"/>
        </w:rPr>
        <w:t xml:space="preserve"> </w:t>
      </w:r>
      <w:r>
        <w:rPr>
          <w:szCs w:val="26"/>
        </w:rPr>
        <w:t>On June 29, 2020, the Bankruptcy Court approved Frontier</w:t>
      </w:r>
      <w:r w:rsidR="0065254A">
        <w:rPr>
          <w:szCs w:val="26"/>
        </w:rPr>
        <w:t xml:space="preserve"> U.S.’</w:t>
      </w:r>
      <w:r>
        <w:rPr>
          <w:szCs w:val="26"/>
        </w:rPr>
        <w:t xml:space="preserve"> Disclosure Statement</w:t>
      </w:r>
      <w:r w:rsidR="00F4119E">
        <w:rPr>
          <w:szCs w:val="26"/>
        </w:rPr>
        <w:t xml:space="preserve">.  </w:t>
      </w:r>
      <w:r>
        <w:rPr>
          <w:szCs w:val="26"/>
        </w:rPr>
        <w:t xml:space="preserve">Frontier </w:t>
      </w:r>
      <w:r w:rsidR="0065254A">
        <w:rPr>
          <w:szCs w:val="26"/>
        </w:rPr>
        <w:t xml:space="preserve">U.S. </w:t>
      </w:r>
      <w:r>
        <w:rPr>
          <w:szCs w:val="26"/>
        </w:rPr>
        <w:t xml:space="preserve">then solicited and tabulated the votes of the </w:t>
      </w:r>
      <w:r w:rsidR="00631AD7">
        <w:rPr>
          <w:szCs w:val="26"/>
        </w:rPr>
        <w:t>s</w:t>
      </w:r>
      <w:r>
        <w:rPr>
          <w:szCs w:val="26"/>
        </w:rPr>
        <w:t xml:space="preserve">enior </w:t>
      </w:r>
      <w:r w:rsidR="00631AD7">
        <w:rPr>
          <w:szCs w:val="26"/>
        </w:rPr>
        <w:t>n</w:t>
      </w:r>
      <w:r>
        <w:rPr>
          <w:szCs w:val="26"/>
        </w:rPr>
        <w:t xml:space="preserve">oteholders regarding the Plan, with </w:t>
      </w:r>
      <w:r>
        <w:rPr>
          <w:szCs w:val="26"/>
        </w:rPr>
        <w:lastRenderedPageBreak/>
        <w:t>91.03</w:t>
      </w:r>
      <w:r w:rsidR="00F13D6A">
        <w:rPr>
          <w:szCs w:val="26"/>
        </w:rPr>
        <w:t> </w:t>
      </w:r>
      <w:r>
        <w:rPr>
          <w:szCs w:val="26"/>
        </w:rPr>
        <w:t xml:space="preserve">percent of the voting </w:t>
      </w:r>
      <w:r w:rsidR="00631AD7">
        <w:rPr>
          <w:szCs w:val="26"/>
        </w:rPr>
        <w:t>s</w:t>
      </w:r>
      <w:r>
        <w:rPr>
          <w:szCs w:val="26"/>
        </w:rPr>
        <w:t xml:space="preserve">enior </w:t>
      </w:r>
      <w:r w:rsidR="00631AD7">
        <w:rPr>
          <w:szCs w:val="26"/>
        </w:rPr>
        <w:t>n</w:t>
      </w:r>
      <w:r>
        <w:rPr>
          <w:szCs w:val="26"/>
        </w:rPr>
        <w:t xml:space="preserve">oteholders representing 97.23 percent of the outstanding dollar amount of the </w:t>
      </w:r>
      <w:r w:rsidR="00631AD7">
        <w:rPr>
          <w:szCs w:val="26"/>
        </w:rPr>
        <w:t>s</w:t>
      </w:r>
      <w:r>
        <w:rPr>
          <w:szCs w:val="26"/>
        </w:rPr>
        <w:t xml:space="preserve">enior </w:t>
      </w:r>
      <w:r w:rsidR="00631AD7">
        <w:rPr>
          <w:szCs w:val="26"/>
        </w:rPr>
        <w:t>n</w:t>
      </w:r>
      <w:r>
        <w:rPr>
          <w:szCs w:val="26"/>
        </w:rPr>
        <w:t>otes voting in favor of the Plan</w:t>
      </w:r>
      <w:r w:rsidR="00D809E3">
        <w:rPr>
          <w:szCs w:val="26"/>
        </w:rPr>
        <w:t xml:space="preserve">, exceeding the Bankruptcy Code requirements of </w:t>
      </w:r>
      <w:r w:rsidR="00630613">
        <w:rPr>
          <w:szCs w:val="26"/>
        </w:rPr>
        <w:t>ac</w:t>
      </w:r>
      <w:r w:rsidR="00D809E3">
        <w:rPr>
          <w:szCs w:val="26"/>
        </w:rPr>
        <w:t xml:space="preserve">ceptance by at least one-half in number and two-thirds in dollar amount of the </w:t>
      </w:r>
      <w:r w:rsidR="00631AD7">
        <w:rPr>
          <w:szCs w:val="26"/>
        </w:rPr>
        <w:t>s</w:t>
      </w:r>
      <w:r w:rsidR="00D809E3">
        <w:rPr>
          <w:szCs w:val="26"/>
        </w:rPr>
        <w:t xml:space="preserve">enior </w:t>
      </w:r>
      <w:r w:rsidR="00631AD7">
        <w:rPr>
          <w:szCs w:val="26"/>
        </w:rPr>
        <w:t>n</w:t>
      </w:r>
      <w:r w:rsidR="00D809E3">
        <w:rPr>
          <w:szCs w:val="26"/>
        </w:rPr>
        <w:t>oteholders.</w:t>
      </w:r>
      <w:r w:rsidR="00D809E3">
        <w:rPr>
          <w:rStyle w:val="FootnoteReference"/>
          <w:szCs w:val="26"/>
        </w:rPr>
        <w:footnoteReference w:id="16"/>
      </w:r>
      <w:r w:rsidR="00D809E3">
        <w:rPr>
          <w:szCs w:val="26"/>
        </w:rPr>
        <w:t xml:space="preserve"> </w:t>
      </w:r>
      <w:r w:rsidR="00F13D6A">
        <w:rPr>
          <w:szCs w:val="26"/>
        </w:rPr>
        <w:t xml:space="preserve"> </w:t>
      </w:r>
      <w:r w:rsidR="00D809E3">
        <w:rPr>
          <w:szCs w:val="26"/>
        </w:rPr>
        <w:t>The Plan was confirmed by the Bankruptcy Court on August 27, 2020.</w:t>
      </w:r>
      <w:r w:rsidR="00D809E3">
        <w:rPr>
          <w:rStyle w:val="FootnoteReference"/>
          <w:szCs w:val="26"/>
        </w:rPr>
        <w:footnoteReference w:id="17"/>
      </w:r>
      <w:r w:rsidR="00D809E3">
        <w:rPr>
          <w:szCs w:val="26"/>
        </w:rPr>
        <w:t xml:space="preserve"> </w:t>
      </w:r>
      <w:r w:rsidR="00F13D6A">
        <w:rPr>
          <w:szCs w:val="26"/>
        </w:rPr>
        <w:t xml:space="preserve"> </w:t>
      </w:r>
      <w:r w:rsidR="00D809E3">
        <w:rPr>
          <w:szCs w:val="26"/>
        </w:rPr>
        <w:t xml:space="preserve">Frontier </w:t>
      </w:r>
      <w:r w:rsidR="0065254A">
        <w:rPr>
          <w:szCs w:val="26"/>
        </w:rPr>
        <w:t xml:space="preserve">U.S. </w:t>
      </w:r>
      <w:r w:rsidR="00D809E3">
        <w:rPr>
          <w:szCs w:val="26"/>
        </w:rPr>
        <w:t>intends to emerge from Chapter 11 as soon as it obtains the necessary regulatory approvals, including the approval of the Commission.</w:t>
      </w:r>
      <w:r w:rsidR="00F91816">
        <w:rPr>
          <w:rStyle w:val="FootnoteReference"/>
          <w:szCs w:val="26"/>
        </w:rPr>
        <w:footnoteReference w:id="18"/>
      </w:r>
    </w:p>
    <w:p w:rsidRPr="001022BC" w:rsidR="007A6517" w:rsidP="00CD74AC" w:rsidRDefault="007A6517" w14:paraId="32149523" w14:textId="04768FA9">
      <w:pPr>
        <w:pStyle w:val="Heading1"/>
      </w:pPr>
      <w:bookmarkStart w:name="_Toc67556507" w:id="11"/>
      <w:r w:rsidRPr="00CD74AC">
        <w:t>Procedural</w:t>
      </w:r>
      <w:r>
        <w:t xml:space="preserve"> </w:t>
      </w:r>
      <w:r w:rsidRPr="00121089">
        <w:t>B</w:t>
      </w:r>
      <w:r w:rsidR="00630613">
        <w:t>ac</w:t>
      </w:r>
      <w:r w:rsidRPr="00121089">
        <w:t>kground</w:t>
      </w:r>
      <w:bookmarkEnd w:id="11"/>
    </w:p>
    <w:p w:rsidRPr="007161AC" w:rsidR="00CD1DAE" w:rsidP="002A26A9" w:rsidRDefault="009B593E" w14:paraId="13B7BA65" w14:textId="3D9FFDD8">
      <w:pPr>
        <w:rPr>
          <w:szCs w:val="26"/>
        </w:rPr>
      </w:pPr>
      <w:r w:rsidRPr="000F1505">
        <w:rPr>
          <w:rFonts w:cs="BookAntiqua"/>
          <w:color w:val="000000"/>
          <w:szCs w:val="26"/>
        </w:rPr>
        <w:t xml:space="preserve">On May 22, 2020, </w:t>
      </w:r>
      <w:r w:rsidRPr="000F1505">
        <w:rPr>
          <w:szCs w:val="26"/>
        </w:rPr>
        <w:t>Fro</w:t>
      </w:r>
      <w:r w:rsidR="004A24EC">
        <w:rPr>
          <w:szCs w:val="26"/>
        </w:rPr>
        <w:t>ntier</w:t>
      </w:r>
      <w:r w:rsidR="00EB70FE">
        <w:rPr>
          <w:szCs w:val="26"/>
        </w:rPr>
        <w:t xml:space="preserve"> </w:t>
      </w:r>
      <w:r w:rsidR="006A79FA">
        <w:rPr>
          <w:szCs w:val="26"/>
        </w:rPr>
        <w:t>Communications Corporation</w:t>
      </w:r>
      <w:r w:rsidR="00F04715">
        <w:rPr>
          <w:szCs w:val="26"/>
        </w:rPr>
        <w:t>,</w:t>
      </w:r>
      <w:r w:rsidR="00EB70FE">
        <w:rPr>
          <w:szCs w:val="26"/>
        </w:rPr>
        <w:t xml:space="preserve"> its </w:t>
      </w:r>
      <w:r w:rsidR="00F04715">
        <w:rPr>
          <w:szCs w:val="26"/>
        </w:rPr>
        <w:t xml:space="preserve">three </w:t>
      </w:r>
      <w:r w:rsidR="00EB70FE">
        <w:rPr>
          <w:szCs w:val="26"/>
        </w:rPr>
        <w:t xml:space="preserve">California </w:t>
      </w:r>
      <w:r w:rsidR="00E5576A">
        <w:rPr>
          <w:szCs w:val="26"/>
        </w:rPr>
        <w:t>incumbent</w:t>
      </w:r>
      <w:r w:rsidR="007670FD">
        <w:rPr>
          <w:szCs w:val="26"/>
        </w:rPr>
        <w:t xml:space="preserve"> </w:t>
      </w:r>
      <w:r w:rsidR="00EB70FE">
        <w:rPr>
          <w:szCs w:val="26"/>
        </w:rPr>
        <w:t xml:space="preserve">local exchange </w:t>
      </w:r>
      <w:r w:rsidR="00E5576A">
        <w:rPr>
          <w:szCs w:val="26"/>
        </w:rPr>
        <w:t xml:space="preserve">carrier </w:t>
      </w:r>
      <w:r w:rsidR="00F04715">
        <w:rPr>
          <w:szCs w:val="26"/>
        </w:rPr>
        <w:t>subsidiaries</w:t>
      </w:r>
      <w:r w:rsidRPr="000F1505">
        <w:rPr>
          <w:szCs w:val="26"/>
        </w:rPr>
        <w:t xml:space="preserve"> Frontier California Inc., Citizens Telecommunications Company of California Inc., </w:t>
      </w:r>
      <w:r w:rsidR="007670FD">
        <w:rPr>
          <w:szCs w:val="26"/>
        </w:rPr>
        <w:t xml:space="preserve">and </w:t>
      </w:r>
      <w:r w:rsidRPr="000F1505">
        <w:rPr>
          <w:szCs w:val="26"/>
        </w:rPr>
        <w:t>Frontier Communications of the Southwest Inc.</w:t>
      </w:r>
      <w:r w:rsidR="002E4C0E">
        <w:rPr>
          <w:szCs w:val="26"/>
        </w:rPr>
        <w:t xml:space="preserve"> (the three</w:t>
      </w:r>
      <w:r w:rsidR="00AE0AC5">
        <w:rPr>
          <w:szCs w:val="26"/>
        </w:rPr>
        <w:t xml:space="preserve"> </w:t>
      </w:r>
      <w:r w:rsidR="00E5576A">
        <w:rPr>
          <w:szCs w:val="26"/>
        </w:rPr>
        <w:t>incumbent</w:t>
      </w:r>
      <w:r w:rsidR="00AE0AC5">
        <w:rPr>
          <w:szCs w:val="26"/>
        </w:rPr>
        <w:t xml:space="preserve"> local exchange </w:t>
      </w:r>
      <w:r w:rsidR="00E5576A">
        <w:rPr>
          <w:szCs w:val="26"/>
        </w:rPr>
        <w:t xml:space="preserve">carrier </w:t>
      </w:r>
      <w:r w:rsidR="00AE0AC5">
        <w:rPr>
          <w:szCs w:val="26"/>
        </w:rPr>
        <w:t>subsidiaries collectively</w:t>
      </w:r>
      <w:r w:rsidR="002E4C0E">
        <w:rPr>
          <w:szCs w:val="26"/>
        </w:rPr>
        <w:t xml:space="preserve"> the California ILECs)</w:t>
      </w:r>
      <w:r w:rsidR="00AE0AC5">
        <w:rPr>
          <w:szCs w:val="26"/>
        </w:rPr>
        <w:t>,</w:t>
      </w:r>
      <w:r w:rsidR="00F04715">
        <w:rPr>
          <w:szCs w:val="26"/>
        </w:rPr>
        <w:t xml:space="preserve"> and its two California long distance subsidiaries</w:t>
      </w:r>
      <w:r w:rsidRPr="000F1505">
        <w:rPr>
          <w:szCs w:val="26"/>
        </w:rPr>
        <w:t xml:space="preserve"> Frontier Communications Online and Long Distance Inc. and Frontier Communications of America, Inc. </w:t>
      </w:r>
      <w:r>
        <w:rPr>
          <w:szCs w:val="26"/>
        </w:rPr>
        <w:t>(</w:t>
      </w:r>
      <w:r w:rsidR="00F23C09">
        <w:rPr>
          <w:szCs w:val="26"/>
        </w:rPr>
        <w:t xml:space="preserve">the six entities </w:t>
      </w:r>
      <w:r>
        <w:rPr>
          <w:szCs w:val="26"/>
        </w:rPr>
        <w:t xml:space="preserve">collectively </w:t>
      </w:r>
      <w:r w:rsidR="0027758E">
        <w:rPr>
          <w:szCs w:val="26"/>
        </w:rPr>
        <w:t>Frontier</w:t>
      </w:r>
      <w:r w:rsidR="00F23C09">
        <w:rPr>
          <w:szCs w:val="26"/>
        </w:rPr>
        <w:t xml:space="preserve"> and the </w:t>
      </w:r>
      <w:r w:rsidR="002E4C0E">
        <w:rPr>
          <w:szCs w:val="26"/>
        </w:rPr>
        <w:t xml:space="preserve">five </w:t>
      </w:r>
      <w:r w:rsidR="00F23C09">
        <w:rPr>
          <w:szCs w:val="26"/>
        </w:rPr>
        <w:t>California subsidiaries collectively the California Subsidiaries</w:t>
      </w:r>
      <w:r>
        <w:rPr>
          <w:szCs w:val="26"/>
        </w:rPr>
        <w:t xml:space="preserve">) filed an Application (Application) </w:t>
      </w:r>
      <w:r w:rsidRPr="000F1505">
        <w:rPr>
          <w:szCs w:val="26"/>
        </w:rPr>
        <w:t xml:space="preserve">for a </w:t>
      </w:r>
      <w:r>
        <w:rPr>
          <w:szCs w:val="26"/>
        </w:rPr>
        <w:t>d</w:t>
      </w:r>
      <w:r w:rsidRPr="000F1505">
        <w:rPr>
          <w:szCs w:val="26"/>
        </w:rPr>
        <w:t xml:space="preserve">etermination that </w:t>
      </w:r>
      <w:r w:rsidR="008534B2">
        <w:rPr>
          <w:szCs w:val="26"/>
        </w:rPr>
        <w:t xml:space="preserve">the </w:t>
      </w:r>
      <w:r>
        <w:rPr>
          <w:szCs w:val="26"/>
        </w:rPr>
        <w:t>Restructuring i</w:t>
      </w:r>
      <w:r w:rsidRPr="000F1505">
        <w:rPr>
          <w:szCs w:val="26"/>
        </w:rPr>
        <w:t xml:space="preserve">s </w:t>
      </w:r>
      <w:r>
        <w:rPr>
          <w:szCs w:val="26"/>
        </w:rPr>
        <w:t>e</w:t>
      </w:r>
      <w:r w:rsidRPr="000F1505">
        <w:rPr>
          <w:szCs w:val="26"/>
        </w:rPr>
        <w:t xml:space="preserve">xempt </w:t>
      </w:r>
      <w:r>
        <w:rPr>
          <w:szCs w:val="26"/>
        </w:rPr>
        <w:t>f</w:t>
      </w:r>
      <w:r w:rsidRPr="000F1505">
        <w:rPr>
          <w:szCs w:val="26"/>
        </w:rPr>
        <w:t xml:space="preserve">rom or </w:t>
      </w:r>
      <w:r>
        <w:rPr>
          <w:szCs w:val="26"/>
        </w:rPr>
        <w:t>c</w:t>
      </w:r>
      <w:r w:rsidRPr="000F1505">
        <w:rPr>
          <w:szCs w:val="26"/>
        </w:rPr>
        <w:t>ompliant with Pub</w:t>
      </w:r>
      <w:r w:rsidR="00C724E2">
        <w:rPr>
          <w:szCs w:val="26"/>
        </w:rPr>
        <w:t>lic</w:t>
      </w:r>
      <w:r>
        <w:rPr>
          <w:szCs w:val="26"/>
        </w:rPr>
        <w:t xml:space="preserve"> Util</w:t>
      </w:r>
      <w:r w:rsidR="00C724E2">
        <w:rPr>
          <w:szCs w:val="26"/>
        </w:rPr>
        <w:t>ities (Pub. Util.)</w:t>
      </w:r>
      <w:r w:rsidRPr="000F1505">
        <w:rPr>
          <w:szCs w:val="26"/>
        </w:rPr>
        <w:t xml:space="preserve"> Code Section 854.</w:t>
      </w:r>
      <w:r>
        <w:rPr>
          <w:szCs w:val="26"/>
        </w:rPr>
        <w:t xml:space="preserve"> </w:t>
      </w:r>
      <w:r w:rsidRPr="007161AC">
        <w:rPr>
          <w:szCs w:val="26"/>
        </w:rPr>
        <w:t xml:space="preserve"> </w:t>
      </w:r>
      <w:r w:rsidRPr="007161AC" w:rsidR="00C05C54">
        <w:rPr>
          <w:szCs w:val="26"/>
        </w:rPr>
        <w:t xml:space="preserve">On May 22, 2020, </w:t>
      </w:r>
      <w:r w:rsidRPr="007161AC" w:rsidR="0027758E">
        <w:rPr>
          <w:szCs w:val="26"/>
        </w:rPr>
        <w:t>Frontier</w:t>
      </w:r>
      <w:r w:rsidRPr="007161AC" w:rsidR="00C05C54">
        <w:rPr>
          <w:szCs w:val="26"/>
        </w:rPr>
        <w:t xml:space="preserve"> also filed a Motion for Leave to File Confidential Portions of Application (Exhibit G) under Seal.</w:t>
      </w:r>
    </w:p>
    <w:p w:rsidRPr="007161AC" w:rsidR="00063B62" w:rsidP="00063B62" w:rsidRDefault="009B593E" w14:paraId="70263945" w14:textId="7BE8E753">
      <w:pPr>
        <w:rPr>
          <w:szCs w:val="26"/>
        </w:rPr>
      </w:pPr>
      <w:r w:rsidRPr="007161AC">
        <w:rPr>
          <w:szCs w:val="26"/>
        </w:rPr>
        <w:t>By Resolution ALJ 176-3462 filed on May 28, 2020, the Commission preliminarily determined that</w:t>
      </w:r>
      <w:r>
        <w:rPr>
          <w:szCs w:val="26"/>
        </w:rPr>
        <w:t xml:space="preserve"> </w:t>
      </w:r>
      <w:r w:rsidRPr="007161AC">
        <w:rPr>
          <w:szCs w:val="26"/>
        </w:rPr>
        <w:t xml:space="preserve">this proceeding was </w:t>
      </w:r>
      <w:proofErr w:type="spellStart"/>
      <w:r w:rsidRPr="007161AC">
        <w:rPr>
          <w:szCs w:val="26"/>
        </w:rPr>
        <w:t>ratesetting</w:t>
      </w:r>
      <w:proofErr w:type="spellEnd"/>
      <w:r w:rsidRPr="007161AC">
        <w:rPr>
          <w:szCs w:val="26"/>
        </w:rPr>
        <w:t xml:space="preserve"> and that hearings</w:t>
      </w:r>
      <w:r>
        <w:rPr>
          <w:rFonts w:ascii="BookAntiqua" w:hAnsi="BookAntiqua" w:cs="BookAntiqua"/>
          <w:color w:val="000000"/>
          <w:szCs w:val="26"/>
        </w:rPr>
        <w:t xml:space="preserve"> </w:t>
      </w:r>
      <w:r w:rsidRPr="007161AC">
        <w:rPr>
          <w:szCs w:val="26"/>
        </w:rPr>
        <w:t xml:space="preserve">were necessary. </w:t>
      </w:r>
      <w:r w:rsidR="00F13D6A">
        <w:rPr>
          <w:szCs w:val="26"/>
        </w:rPr>
        <w:t xml:space="preserve"> </w:t>
      </w:r>
      <w:r w:rsidRPr="007161AC">
        <w:rPr>
          <w:szCs w:val="26"/>
        </w:rPr>
        <w:t xml:space="preserve">On June 29, 2020, the Public Advocates Office at the </w:t>
      </w:r>
      <w:r w:rsidRPr="007161AC">
        <w:rPr>
          <w:szCs w:val="26"/>
        </w:rPr>
        <w:lastRenderedPageBreak/>
        <w:t>Commission (</w:t>
      </w:r>
      <w:r w:rsidRPr="007161AC" w:rsidR="00F221FE">
        <w:rPr>
          <w:szCs w:val="26"/>
        </w:rPr>
        <w:t>Cal Advocates</w:t>
      </w:r>
      <w:r w:rsidRPr="007161AC">
        <w:rPr>
          <w:szCs w:val="26"/>
        </w:rPr>
        <w:t>) filed a protest to the Application and The Utility Reform Network (TURN), the Communications Workers of America, District 9 (CWA), The Greenlining Institute</w:t>
      </w:r>
      <w:r w:rsidR="000173C6">
        <w:rPr>
          <w:szCs w:val="26"/>
        </w:rPr>
        <w:t xml:space="preserve"> (Greenlining)</w:t>
      </w:r>
      <w:r w:rsidRPr="007161AC">
        <w:rPr>
          <w:szCs w:val="26"/>
        </w:rPr>
        <w:t xml:space="preserve">, and the Center for </w:t>
      </w:r>
      <w:r w:rsidRPr="007161AC" w:rsidR="00555C0B">
        <w:rPr>
          <w:szCs w:val="26"/>
        </w:rPr>
        <w:t>A</w:t>
      </w:r>
      <w:r w:rsidRPr="007161AC" w:rsidR="00530373">
        <w:rPr>
          <w:szCs w:val="26"/>
        </w:rPr>
        <w:t>c</w:t>
      </w:r>
      <w:r w:rsidRPr="007161AC">
        <w:rPr>
          <w:szCs w:val="26"/>
        </w:rPr>
        <w:t xml:space="preserve">cessible Technology </w:t>
      </w:r>
      <w:r w:rsidR="00255915">
        <w:rPr>
          <w:szCs w:val="26"/>
        </w:rPr>
        <w:t>(</w:t>
      </w:r>
      <w:proofErr w:type="spellStart"/>
      <w:r w:rsidR="000173C6">
        <w:rPr>
          <w:szCs w:val="26"/>
        </w:rPr>
        <w:t>CforAT</w:t>
      </w:r>
      <w:proofErr w:type="spellEnd"/>
      <w:r w:rsidR="000173C6">
        <w:rPr>
          <w:szCs w:val="26"/>
        </w:rPr>
        <w:t xml:space="preserve">) </w:t>
      </w:r>
      <w:r w:rsidRPr="007161AC">
        <w:rPr>
          <w:szCs w:val="26"/>
        </w:rPr>
        <w:t>filed a joint protest to the Application (all intervenors collectively Intervenors)</w:t>
      </w:r>
      <w:r w:rsidRPr="00BA015F">
        <w:rPr>
          <w:szCs w:val="26"/>
        </w:rPr>
        <w:t>.</w:t>
      </w:r>
      <w:r w:rsidRPr="007161AC">
        <w:rPr>
          <w:szCs w:val="26"/>
        </w:rPr>
        <w:t xml:space="preserve"> </w:t>
      </w:r>
      <w:r w:rsidR="00F13D6A">
        <w:rPr>
          <w:szCs w:val="26"/>
        </w:rPr>
        <w:t xml:space="preserve"> </w:t>
      </w:r>
      <w:r w:rsidRPr="007161AC">
        <w:rPr>
          <w:szCs w:val="26"/>
        </w:rPr>
        <w:t xml:space="preserve">A </w:t>
      </w:r>
      <w:r w:rsidR="00326DB1">
        <w:rPr>
          <w:szCs w:val="26"/>
        </w:rPr>
        <w:t>p</w:t>
      </w:r>
      <w:r w:rsidRPr="007161AC">
        <w:rPr>
          <w:szCs w:val="26"/>
        </w:rPr>
        <w:t xml:space="preserve">rehearing </w:t>
      </w:r>
      <w:r w:rsidR="00326DB1">
        <w:rPr>
          <w:szCs w:val="26"/>
        </w:rPr>
        <w:t>c</w:t>
      </w:r>
      <w:r w:rsidRPr="007161AC">
        <w:rPr>
          <w:szCs w:val="26"/>
        </w:rPr>
        <w:t>onference (PHC) was held on July</w:t>
      </w:r>
      <w:r w:rsidR="00F13D6A">
        <w:rPr>
          <w:szCs w:val="26"/>
        </w:rPr>
        <w:t> </w:t>
      </w:r>
      <w:r w:rsidRPr="007161AC">
        <w:rPr>
          <w:szCs w:val="26"/>
        </w:rPr>
        <w:t>24,</w:t>
      </w:r>
      <w:r w:rsidR="00F13D6A">
        <w:rPr>
          <w:szCs w:val="26"/>
        </w:rPr>
        <w:t> </w:t>
      </w:r>
      <w:r w:rsidRPr="007161AC">
        <w:rPr>
          <w:szCs w:val="26"/>
        </w:rPr>
        <w:t>2020.</w:t>
      </w:r>
      <w:r w:rsidR="002F2750">
        <w:rPr>
          <w:szCs w:val="26"/>
        </w:rPr>
        <w:t xml:space="preserve"> </w:t>
      </w:r>
      <w:r w:rsidR="00F13D6A">
        <w:rPr>
          <w:szCs w:val="26"/>
        </w:rPr>
        <w:t xml:space="preserve"> </w:t>
      </w:r>
      <w:r w:rsidR="0041062A">
        <w:rPr>
          <w:szCs w:val="26"/>
        </w:rPr>
        <w:t xml:space="preserve">A Scoping Memo and Ruling of Assigned Commissioner </w:t>
      </w:r>
      <w:r w:rsidR="007E6F6B">
        <w:rPr>
          <w:szCs w:val="26"/>
        </w:rPr>
        <w:t xml:space="preserve">(Scoping Memo) </w:t>
      </w:r>
      <w:r w:rsidR="0041062A">
        <w:rPr>
          <w:szCs w:val="26"/>
        </w:rPr>
        <w:t xml:space="preserve">filed on August 5, 2020 </w:t>
      </w:r>
      <w:r w:rsidRPr="007161AC">
        <w:rPr>
          <w:szCs w:val="26"/>
        </w:rPr>
        <w:t>affirm</w:t>
      </w:r>
      <w:r w:rsidRPr="007161AC" w:rsidR="0041062A">
        <w:rPr>
          <w:szCs w:val="26"/>
        </w:rPr>
        <w:t>ed</w:t>
      </w:r>
      <w:r w:rsidRPr="007161AC">
        <w:rPr>
          <w:szCs w:val="26"/>
        </w:rPr>
        <w:t xml:space="preserve"> the Commission’s preliminary categorization of this proceeding as </w:t>
      </w:r>
      <w:proofErr w:type="spellStart"/>
      <w:r w:rsidRPr="007161AC">
        <w:rPr>
          <w:szCs w:val="26"/>
        </w:rPr>
        <w:t>ratesetting</w:t>
      </w:r>
      <w:proofErr w:type="spellEnd"/>
      <w:r w:rsidRPr="007161AC">
        <w:rPr>
          <w:szCs w:val="26"/>
        </w:rPr>
        <w:t xml:space="preserve"> and the necessity for hearings</w:t>
      </w:r>
      <w:r w:rsidRPr="007161AC" w:rsidR="00E20502">
        <w:rPr>
          <w:szCs w:val="26"/>
        </w:rPr>
        <w:t xml:space="preserve">, </w:t>
      </w:r>
      <w:r w:rsidRPr="007161AC" w:rsidR="0041062A">
        <w:rPr>
          <w:szCs w:val="26"/>
        </w:rPr>
        <w:t>set forth the issues</w:t>
      </w:r>
      <w:r w:rsidRPr="007161AC" w:rsidR="002A26A9">
        <w:rPr>
          <w:szCs w:val="26"/>
        </w:rPr>
        <w:t>,</w:t>
      </w:r>
      <w:r w:rsidRPr="007161AC" w:rsidR="00E20502">
        <w:rPr>
          <w:szCs w:val="26"/>
        </w:rPr>
        <w:t xml:space="preserve"> and adopted a </w:t>
      </w:r>
      <w:r w:rsidRPr="007161AC" w:rsidR="002A26A9">
        <w:rPr>
          <w:szCs w:val="26"/>
        </w:rPr>
        <w:t xml:space="preserve">procedural </w:t>
      </w:r>
      <w:r w:rsidRPr="007161AC" w:rsidR="00E20502">
        <w:rPr>
          <w:szCs w:val="26"/>
        </w:rPr>
        <w:t>schedule.</w:t>
      </w:r>
      <w:r w:rsidRPr="007161AC" w:rsidR="0041062A">
        <w:rPr>
          <w:szCs w:val="26"/>
        </w:rPr>
        <w:t xml:space="preserve"> </w:t>
      </w:r>
      <w:r w:rsidR="00F13D6A">
        <w:rPr>
          <w:szCs w:val="26"/>
        </w:rPr>
        <w:t xml:space="preserve"> </w:t>
      </w:r>
      <w:r w:rsidRPr="007161AC" w:rsidR="002A26A9">
        <w:rPr>
          <w:szCs w:val="26"/>
        </w:rPr>
        <w:t>A ruling filed on August</w:t>
      </w:r>
      <w:r w:rsidR="00F13D6A">
        <w:rPr>
          <w:szCs w:val="26"/>
        </w:rPr>
        <w:t> </w:t>
      </w:r>
      <w:r w:rsidRPr="007161AC" w:rsidR="002A26A9">
        <w:rPr>
          <w:szCs w:val="26"/>
        </w:rPr>
        <w:t>27, 2020 modified the procedural schedule.</w:t>
      </w:r>
      <w:r w:rsidR="00326DB1">
        <w:rPr>
          <w:szCs w:val="26"/>
        </w:rPr>
        <w:t xml:space="preserve"> </w:t>
      </w:r>
      <w:r w:rsidR="00F13D6A">
        <w:rPr>
          <w:szCs w:val="26"/>
        </w:rPr>
        <w:t xml:space="preserve"> </w:t>
      </w:r>
      <w:r w:rsidRPr="007161AC" w:rsidR="002A26A9">
        <w:rPr>
          <w:szCs w:val="26"/>
        </w:rPr>
        <w:t>On September 30, 2020, a ruling granted the motion for party status of Rural County Representatives of California</w:t>
      </w:r>
      <w:r w:rsidR="00E47AB4">
        <w:rPr>
          <w:szCs w:val="26"/>
        </w:rPr>
        <w:t xml:space="preserve"> (RCRC)</w:t>
      </w:r>
      <w:r w:rsidRPr="007161AC" w:rsidR="002A26A9">
        <w:rPr>
          <w:szCs w:val="26"/>
        </w:rPr>
        <w:t xml:space="preserve">. </w:t>
      </w:r>
    </w:p>
    <w:p w:rsidRPr="007161AC" w:rsidR="005D1E15" w:rsidP="00063B62" w:rsidRDefault="002A26A9" w14:paraId="70E8CEA4" w14:textId="50A472E6">
      <w:pPr>
        <w:rPr>
          <w:szCs w:val="26"/>
        </w:rPr>
      </w:pPr>
      <w:r w:rsidRPr="007161AC">
        <w:rPr>
          <w:szCs w:val="26"/>
        </w:rPr>
        <w:t>A workshop and public participation hearing were conducted on October</w:t>
      </w:r>
      <w:r w:rsidR="00326DB1">
        <w:rPr>
          <w:szCs w:val="26"/>
        </w:rPr>
        <w:t> </w:t>
      </w:r>
      <w:r w:rsidRPr="007161AC">
        <w:rPr>
          <w:szCs w:val="26"/>
        </w:rPr>
        <w:t xml:space="preserve">7, 2020. </w:t>
      </w:r>
      <w:r w:rsidR="00326DB1">
        <w:rPr>
          <w:szCs w:val="26"/>
        </w:rPr>
        <w:t xml:space="preserve"> </w:t>
      </w:r>
      <w:r w:rsidRPr="007161AC" w:rsidR="00F42589">
        <w:rPr>
          <w:szCs w:val="26"/>
        </w:rPr>
        <w:t xml:space="preserve">The </w:t>
      </w:r>
      <w:r w:rsidRPr="007161AC" w:rsidR="005D1E15">
        <w:rPr>
          <w:szCs w:val="26"/>
        </w:rPr>
        <w:t xml:space="preserve">day-long </w:t>
      </w:r>
      <w:r w:rsidRPr="007161AC" w:rsidR="00F42589">
        <w:rPr>
          <w:szCs w:val="26"/>
        </w:rPr>
        <w:t>workshop featured presentations by Frontier and the Commission’s Communications Division, panel discussions on Community Experiences and Needs by local governmental and tribal representatives and</w:t>
      </w:r>
      <w:r w:rsidRPr="007161AC" w:rsidR="00EB6943">
        <w:rPr>
          <w:szCs w:val="26"/>
        </w:rPr>
        <w:t xml:space="preserve"> on</w:t>
      </w:r>
      <w:r w:rsidRPr="007161AC" w:rsidR="00F42589">
        <w:rPr>
          <w:szCs w:val="26"/>
        </w:rPr>
        <w:t xml:space="preserve"> </w:t>
      </w:r>
      <w:r w:rsidRPr="007161AC" w:rsidR="00712B56">
        <w:rPr>
          <w:szCs w:val="26"/>
        </w:rPr>
        <w:t>Conditions, Monitoring, and Enforcement by</w:t>
      </w:r>
      <w:r w:rsidRPr="007161AC" w:rsidR="00C23CD5">
        <w:rPr>
          <w:szCs w:val="26"/>
        </w:rPr>
        <w:t xml:space="preserve"> telecommunications and academic authorities, intervenor presentations from Cal Advocates, TURN, and CWA</w:t>
      </w:r>
      <w:r w:rsidRPr="007161AC" w:rsidR="00063B62">
        <w:rPr>
          <w:szCs w:val="26"/>
        </w:rPr>
        <w:t>, and a transcribed public comment session</w:t>
      </w:r>
      <w:r w:rsidRPr="007161AC" w:rsidR="00C23CD5">
        <w:rPr>
          <w:szCs w:val="26"/>
        </w:rPr>
        <w:t>.</w:t>
      </w:r>
      <w:r w:rsidR="00326DB1">
        <w:rPr>
          <w:szCs w:val="26"/>
        </w:rPr>
        <w:t xml:space="preserve"> </w:t>
      </w:r>
      <w:r w:rsidRPr="007161AC" w:rsidR="00C23CD5">
        <w:rPr>
          <w:szCs w:val="26"/>
        </w:rPr>
        <w:t xml:space="preserve"> </w:t>
      </w:r>
      <w:r w:rsidRPr="007161AC" w:rsidR="005D1E15">
        <w:rPr>
          <w:szCs w:val="26"/>
        </w:rPr>
        <w:t>A total of 16 members of the public commented on the Restructuring at t</w:t>
      </w:r>
      <w:r w:rsidRPr="007161AC" w:rsidR="00C23CD5">
        <w:rPr>
          <w:szCs w:val="26"/>
        </w:rPr>
        <w:t xml:space="preserve">he </w:t>
      </w:r>
      <w:r w:rsidRPr="007161AC" w:rsidR="00063B62">
        <w:rPr>
          <w:szCs w:val="26"/>
        </w:rPr>
        <w:t xml:space="preserve">transcribed evening </w:t>
      </w:r>
      <w:r w:rsidRPr="007161AC" w:rsidR="00C23CD5">
        <w:rPr>
          <w:szCs w:val="26"/>
        </w:rPr>
        <w:t>public participation heari</w:t>
      </w:r>
      <w:r w:rsidRPr="007161AC" w:rsidR="00063B62">
        <w:rPr>
          <w:szCs w:val="26"/>
        </w:rPr>
        <w:t>ng</w:t>
      </w:r>
      <w:r w:rsidRPr="007161AC" w:rsidR="005D1E15">
        <w:rPr>
          <w:szCs w:val="26"/>
        </w:rPr>
        <w:t>.</w:t>
      </w:r>
      <w:r w:rsidRPr="007161AC" w:rsidR="00063B62">
        <w:rPr>
          <w:szCs w:val="26"/>
        </w:rPr>
        <w:t xml:space="preserve"> </w:t>
      </w:r>
      <w:r w:rsidR="00326DB1">
        <w:rPr>
          <w:szCs w:val="26"/>
        </w:rPr>
        <w:t xml:space="preserve"> </w:t>
      </w:r>
      <w:r w:rsidRPr="007161AC" w:rsidR="00DC4357">
        <w:rPr>
          <w:szCs w:val="26"/>
        </w:rPr>
        <w:t xml:space="preserve">As of </w:t>
      </w:r>
      <w:r w:rsidR="00E81BDC">
        <w:rPr>
          <w:szCs w:val="26"/>
        </w:rPr>
        <w:t>March 29</w:t>
      </w:r>
      <w:r w:rsidRPr="007161AC" w:rsidR="00DC4357">
        <w:rPr>
          <w:szCs w:val="26"/>
        </w:rPr>
        <w:t>, 2021, 32 written comments were also submitted by the public and posted on the Commission’s Public Comments page in this proceeding’s online Docket Card.</w:t>
      </w:r>
    </w:p>
    <w:p w:rsidRPr="007161AC" w:rsidR="002A26A9" w:rsidP="00063B62" w:rsidRDefault="002A26A9" w14:paraId="4D95900E" w14:textId="44A67D88">
      <w:pPr>
        <w:rPr>
          <w:szCs w:val="26"/>
        </w:rPr>
      </w:pPr>
      <w:r w:rsidRPr="007161AC">
        <w:rPr>
          <w:szCs w:val="26"/>
        </w:rPr>
        <w:t xml:space="preserve">On October 14, 2020, a ruling was issued taking the evidentiary hearings scheduled for October 26-28, 2020 off-calendar. </w:t>
      </w:r>
      <w:r w:rsidR="00326DB1">
        <w:rPr>
          <w:szCs w:val="26"/>
        </w:rPr>
        <w:t xml:space="preserve"> </w:t>
      </w:r>
      <w:r w:rsidRPr="007161AC">
        <w:rPr>
          <w:szCs w:val="26"/>
        </w:rPr>
        <w:t xml:space="preserve">That ruling allowed the parties to file motions by October 19, 2020 to reset the evidentiary hearings pursuant to </w:t>
      </w:r>
      <w:r w:rsidRPr="007161AC">
        <w:rPr>
          <w:szCs w:val="26"/>
        </w:rPr>
        <w:lastRenderedPageBreak/>
        <w:t xml:space="preserve">the requirements set forth in the ruling. </w:t>
      </w:r>
      <w:r w:rsidR="00326DB1">
        <w:rPr>
          <w:szCs w:val="26"/>
        </w:rPr>
        <w:t xml:space="preserve"> </w:t>
      </w:r>
      <w:r w:rsidRPr="007161AC">
        <w:rPr>
          <w:szCs w:val="26"/>
        </w:rPr>
        <w:t>No party filed a motion to reset the evidentiary hearings, and no evidentiary hearings were conducted.</w:t>
      </w:r>
    </w:p>
    <w:p w:rsidR="00A44EA1" w:rsidP="00DC2D45" w:rsidRDefault="002A26A9" w14:paraId="607FF98A" w14:textId="0DC27B26">
      <w:pPr>
        <w:rPr>
          <w:szCs w:val="26"/>
        </w:rPr>
      </w:pPr>
      <w:r w:rsidRPr="007161AC">
        <w:rPr>
          <w:szCs w:val="26"/>
        </w:rPr>
        <w:t>On October 15, 2020, a ruling was issued granting the motion</w:t>
      </w:r>
      <w:r w:rsidRPr="007161AC" w:rsidR="007E0F53">
        <w:rPr>
          <w:szCs w:val="26"/>
        </w:rPr>
        <w:t xml:space="preserve"> for party status of CETF. </w:t>
      </w:r>
      <w:r w:rsidR="00326DB1">
        <w:rPr>
          <w:szCs w:val="26"/>
        </w:rPr>
        <w:t xml:space="preserve"> </w:t>
      </w:r>
      <w:r w:rsidRPr="007161AC" w:rsidR="007E0F53">
        <w:rPr>
          <w:szCs w:val="26"/>
        </w:rPr>
        <w:t xml:space="preserve">On November 18, 2020, </w:t>
      </w:r>
      <w:r w:rsidRPr="007161AC" w:rsidR="0065254A">
        <w:rPr>
          <w:szCs w:val="26"/>
        </w:rPr>
        <w:t>Frontier</w:t>
      </w:r>
      <w:r w:rsidRPr="007161AC" w:rsidR="007E0F53">
        <w:rPr>
          <w:szCs w:val="26"/>
        </w:rPr>
        <w:t xml:space="preserve">, </w:t>
      </w:r>
      <w:r w:rsidRPr="007161AC" w:rsidR="005E4391">
        <w:rPr>
          <w:szCs w:val="26"/>
        </w:rPr>
        <w:t>Cal Advocates</w:t>
      </w:r>
      <w:r w:rsidRPr="007161AC" w:rsidR="007E0F53">
        <w:rPr>
          <w:szCs w:val="26"/>
        </w:rPr>
        <w:t xml:space="preserve">, TURN, CETF, and CWA filed Opening Briefs. </w:t>
      </w:r>
      <w:r w:rsidR="00326DB1">
        <w:rPr>
          <w:szCs w:val="26"/>
        </w:rPr>
        <w:t xml:space="preserve"> </w:t>
      </w:r>
      <w:r w:rsidRPr="007161AC" w:rsidR="007E0F53">
        <w:rPr>
          <w:szCs w:val="26"/>
        </w:rPr>
        <w:t xml:space="preserve">On December 10, 2020, </w:t>
      </w:r>
      <w:r w:rsidRPr="007161AC" w:rsidR="0065254A">
        <w:rPr>
          <w:szCs w:val="26"/>
        </w:rPr>
        <w:t>Frontier</w:t>
      </w:r>
      <w:r w:rsidRPr="007161AC" w:rsidR="005E4391">
        <w:rPr>
          <w:szCs w:val="26"/>
        </w:rPr>
        <w:t xml:space="preserve">, Cal Advocates, TURN, and CWA </w:t>
      </w:r>
      <w:r w:rsidRPr="007161AC" w:rsidR="007E0F53">
        <w:rPr>
          <w:szCs w:val="26"/>
        </w:rPr>
        <w:t>filed Reply Briefs</w:t>
      </w:r>
      <w:r w:rsidRPr="007161AC" w:rsidR="00122BAB">
        <w:rPr>
          <w:szCs w:val="26"/>
        </w:rPr>
        <w:t>,</w:t>
      </w:r>
      <w:r w:rsidRPr="007161AC" w:rsidR="005E4391">
        <w:rPr>
          <w:szCs w:val="26"/>
        </w:rPr>
        <w:t xml:space="preserve"> and a ruling was issued granting the motion for party status of the Yurok Tribe. </w:t>
      </w:r>
      <w:r w:rsidR="00326DB1">
        <w:rPr>
          <w:szCs w:val="26"/>
        </w:rPr>
        <w:t xml:space="preserve"> </w:t>
      </w:r>
      <w:r w:rsidRPr="007161AC" w:rsidR="005E4391">
        <w:rPr>
          <w:szCs w:val="26"/>
        </w:rPr>
        <w:t xml:space="preserve">On December 24, 2020, </w:t>
      </w:r>
      <w:r w:rsidRPr="007161AC" w:rsidR="0065254A">
        <w:rPr>
          <w:szCs w:val="26"/>
        </w:rPr>
        <w:t>Frontier</w:t>
      </w:r>
      <w:r w:rsidRPr="007161AC" w:rsidR="005E4391">
        <w:rPr>
          <w:szCs w:val="26"/>
        </w:rPr>
        <w:t>, Cal</w:t>
      </w:r>
      <w:r w:rsidR="00326DB1">
        <w:rPr>
          <w:szCs w:val="26"/>
        </w:rPr>
        <w:t> </w:t>
      </w:r>
      <w:r w:rsidRPr="007161AC" w:rsidR="005E4391">
        <w:rPr>
          <w:szCs w:val="26"/>
        </w:rPr>
        <w:t xml:space="preserve">Advocates, TURN, and CWA </w:t>
      </w:r>
      <w:r w:rsidRPr="007161AC" w:rsidR="00E257E6">
        <w:rPr>
          <w:szCs w:val="26"/>
        </w:rPr>
        <w:t xml:space="preserve">entered into a settlement agreement </w:t>
      </w:r>
      <w:r w:rsidRPr="007161AC" w:rsidR="00602CC2">
        <w:rPr>
          <w:szCs w:val="26"/>
        </w:rPr>
        <w:t xml:space="preserve">attached to this decision as Attachment 1 </w:t>
      </w:r>
      <w:r w:rsidRPr="007161AC" w:rsidR="00210908">
        <w:rPr>
          <w:szCs w:val="26"/>
        </w:rPr>
        <w:t xml:space="preserve">(Attachment 1 Settlement Agreement) </w:t>
      </w:r>
      <w:r w:rsidRPr="007161AC" w:rsidR="00E257E6">
        <w:rPr>
          <w:szCs w:val="26"/>
        </w:rPr>
        <w:t xml:space="preserve">and </w:t>
      </w:r>
      <w:r w:rsidRPr="007161AC" w:rsidR="005E4391">
        <w:rPr>
          <w:szCs w:val="26"/>
        </w:rPr>
        <w:t xml:space="preserve">filed a Joint Motion for Adoption of Settlement Agreement. </w:t>
      </w:r>
      <w:r w:rsidR="00326DB1">
        <w:rPr>
          <w:szCs w:val="26"/>
        </w:rPr>
        <w:t xml:space="preserve"> </w:t>
      </w:r>
      <w:r w:rsidRPr="007161AC" w:rsidR="005E4391">
        <w:rPr>
          <w:szCs w:val="26"/>
        </w:rPr>
        <w:t>The Yurok Tribe filed an Opening Brief on December 28, 2020</w:t>
      </w:r>
      <w:r w:rsidR="00F4119E">
        <w:rPr>
          <w:szCs w:val="26"/>
        </w:rPr>
        <w:t xml:space="preserve">.  </w:t>
      </w:r>
      <w:r w:rsidRPr="007161AC" w:rsidR="005E4391">
        <w:rPr>
          <w:szCs w:val="26"/>
        </w:rPr>
        <w:t>On</w:t>
      </w:r>
      <w:r w:rsidRPr="007161AC" w:rsidR="00E257E6">
        <w:rPr>
          <w:szCs w:val="26"/>
        </w:rPr>
        <w:t xml:space="preserve"> December 12, 2020, Frontier and CETF</w:t>
      </w:r>
      <w:r w:rsidRPr="007161AC" w:rsidR="005E4391">
        <w:rPr>
          <w:szCs w:val="26"/>
        </w:rPr>
        <w:t xml:space="preserve"> </w:t>
      </w:r>
      <w:r w:rsidRPr="007161AC" w:rsidR="00E257E6">
        <w:rPr>
          <w:szCs w:val="26"/>
        </w:rPr>
        <w:t xml:space="preserve">entered into a settlement </w:t>
      </w:r>
      <w:r w:rsidRPr="007161AC" w:rsidR="008B164D">
        <w:rPr>
          <w:szCs w:val="26"/>
        </w:rPr>
        <w:t>agreement attached</w:t>
      </w:r>
      <w:r w:rsidRPr="007161AC" w:rsidR="00602CC2">
        <w:rPr>
          <w:szCs w:val="26"/>
        </w:rPr>
        <w:t xml:space="preserve"> to this decision as Attachment 2 </w:t>
      </w:r>
      <w:r w:rsidRPr="007161AC" w:rsidR="00210908">
        <w:rPr>
          <w:szCs w:val="26"/>
        </w:rPr>
        <w:t xml:space="preserve">(Attachment 2 Settlement Agreement) </w:t>
      </w:r>
      <w:r w:rsidRPr="007161AC" w:rsidR="00E257E6">
        <w:rPr>
          <w:szCs w:val="26"/>
        </w:rPr>
        <w:t xml:space="preserve">and </w:t>
      </w:r>
      <w:r w:rsidRPr="007161AC" w:rsidR="00EB6943">
        <w:rPr>
          <w:szCs w:val="26"/>
        </w:rPr>
        <w:t>o</w:t>
      </w:r>
      <w:r w:rsidRPr="007161AC" w:rsidR="00E257E6">
        <w:rPr>
          <w:szCs w:val="26"/>
        </w:rPr>
        <w:t xml:space="preserve">n </w:t>
      </w:r>
      <w:r w:rsidRPr="007161AC" w:rsidR="005E4391">
        <w:rPr>
          <w:szCs w:val="26"/>
        </w:rPr>
        <w:t>December 29, 2020</w:t>
      </w:r>
      <w:r w:rsidRPr="007161AC" w:rsidR="00EB6943">
        <w:rPr>
          <w:szCs w:val="26"/>
        </w:rPr>
        <w:t xml:space="preserve"> </w:t>
      </w:r>
      <w:r w:rsidRPr="007161AC" w:rsidR="005E4391">
        <w:rPr>
          <w:szCs w:val="26"/>
        </w:rPr>
        <w:t xml:space="preserve">filed a Joint Motion for Adoption of Settlement Agreement. </w:t>
      </w:r>
      <w:r w:rsidR="00326DB1">
        <w:rPr>
          <w:szCs w:val="26"/>
        </w:rPr>
        <w:t xml:space="preserve"> </w:t>
      </w:r>
      <w:r w:rsidRPr="007161AC" w:rsidR="00A7652C">
        <w:rPr>
          <w:szCs w:val="26"/>
        </w:rPr>
        <w:t xml:space="preserve">On January 19, 2021, Frontier and the Yurok Tribe entered into a settlement agreement attached to this decision as Attachment 3 (Attachment 3 Settlement Agreement) and filed a Joint Motion for Adoption of Settlement Agreement (the Attachment 1 Settlement Agreement, Attachment 2 Settlement Agreement, and Attachment 3 Settlement Agreement collectively the Settlement Agreements). </w:t>
      </w:r>
      <w:r w:rsidR="00326DB1">
        <w:rPr>
          <w:szCs w:val="26"/>
        </w:rPr>
        <w:t xml:space="preserve"> </w:t>
      </w:r>
      <w:r w:rsidR="000173C6">
        <w:rPr>
          <w:szCs w:val="26"/>
        </w:rPr>
        <w:t xml:space="preserve">On January 20, 2021, the Yurok Tribe filed comments regarding the Attachment 1 Settlement Agreement and the Attachment 2 Settlement Agreement, and Greenlining and </w:t>
      </w:r>
      <w:proofErr w:type="spellStart"/>
      <w:r w:rsidR="000173C6">
        <w:rPr>
          <w:szCs w:val="26"/>
        </w:rPr>
        <w:t>CforAT</w:t>
      </w:r>
      <w:proofErr w:type="spellEnd"/>
      <w:r w:rsidR="000173C6">
        <w:rPr>
          <w:szCs w:val="26"/>
        </w:rPr>
        <w:t xml:space="preserve"> filed comments regarding the Attachment 1 </w:t>
      </w:r>
      <w:r w:rsidR="00A44EA1">
        <w:rPr>
          <w:szCs w:val="26"/>
        </w:rPr>
        <w:t>Settlement Agreement</w:t>
      </w:r>
      <w:r w:rsidR="00F4119E">
        <w:rPr>
          <w:szCs w:val="26"/>
        </w:rPr>
        <w:t xml:space="preserve">.  </w:t>
      </w:r>
      <w:r w:rsidR="003B508C">
        <w:rPr>
          <w:szCs w:val="26"/>
        </w:rPr>
        <w:t>On January</w:t>
      </w:r>
      <w:r w:rsidR="00326DB1">
        <w:rPr>
          <w:szCs w:val="26"/>
        </w:rPr>
        <w:t> </w:t>
      </w:r>
      <w:r w:rsidR="003B508C">
        <w:rPr>
          <w:szCs w:val="26"/>
        </w:rPr>
        <w:t>27,</w:t>
      </w:r>
      <w:r w:rsidR="00326DB1">
        <w:rPr>
          <w:szCs w:val="26"/>
        </w:rPr>
        <w:t> </w:t>
      </w:r>
      <w:r w:rsidR="003B508C">
        <w:rPr>
          <w:szCs w:val="26"/>
        </w:rPr>
        <w:t>2021, Frontier, Cal Advocates, TURN, and CWA filed joint reply comments regarding the Attachment 1 Settlement Agreement, and CETF filed comments regarding the Attachment 3 Settlement Agreement.</w:t>
      </w:r>
    </w:p>
    <w:p w:rsidR="0060725B" w:rsidP="00DC2D45" w:rsidRDefault="0060725B" w14:paraId="3A38F1D0" w14:textId="7D80A062">
      <w:pPr>
        <w:rPr>
          <w:szCs w:val="26"/>
        </w:rPr>
      </w:pPr>
      <w:r>
        <w:lastRenderedPageBreak/>
        <w:t xml:space="preserve">A proposed decision was issued on February 12, 2021, in accordance with Pub. Util. Code Section 311, and comments were allowed under </w:t>
      </w:r>
      <w:r w:rsidR="00E81BDC">
        <w:t xml:space="preserve">Commission </w:t>
      </w:r>
      <w:r>
        <w:t xml:space="preserve">Rule </w:t>
      </w:r>
      <w:r w:rsidR="00E81BDC">
        <w:t xml:space="preserve">of Practice and Procedure (Rule) </w:t>
      </w:r>
      <w:r>
        <w:t>14.3.</w:t>
      </w:r>
      <w:r w:rsidRPr="00666087">
        <w:t xml:space="preserve">  </w:t>
      </w:r>
      <w:r>
        <w:t xml:space="preserve">Frontier, Cal Advocates, TURN, CWA, CETF, the Yurok Tribe, and RCRC filed opening comments on March 4, 2021. </w:t>
      </w:r>
      <w:r w:rsidR="008824F8">
        <w:t xml:space="preserve"> </w:t>
      </w:r>
      <w:r>
        <w:t xml:space="preserve">Frontier, Cal Advocates, and TURN filed reply comments on March 9, 2021.  </w:t>
      </w:r>
      <w:r w:rsidR="0074209B">
        <w:t xml:space="preserve">The Commission </w:t>
      </w:r>
      <w:r w:rsidR="00821EAC">
        <w:t>approved</w:t>
      </w:r>
      <w:r w:rsidR="0074209B">
        <w:t xml:space="preserve"> D. 21-03-043 on March 1</w:t>
      </w:r>
      <w:r w:rsidR="00821EAC">
        <w:t>8</w:t>
      </w:r>
      <w:r w:rsidR="0074209B">
        <w:t>, 2021.</w:t>
      </w:r>
      <w:r w:rsidR="00C00A8A">
        <w:rPr>
          <w:rStyle w:val="FootnoteReference"/>
        </w:rPr>
        <w:footnoteReference w:id="19"/>
      </w:r>
      <w:r w:rsidR="0074209B">
        <w:t xml:space="preserve">  Ordering Paragraph 6 of D. 21-03-043 </w:t>
      </w:r>
      <w:r w:rsidR="00821EAC">
        <w:t>provides</w:t>
      </w:r>
      <w:r w:rsidR="0074209B">
        <w:t xml:space="preserve"> that the decision is effective</w:t>
      </w:r>
      <w:r w:rsidR="00821EAC">
        <w:t xml:space="preserve"> upon the election of all parties to the Attachment 1 Settlement Agreement to accept the provisions of Ordering Paragraph 4(o) of that decision.  On March 18, 2021, all parties to the Attachment 1 Settlement Agreement filed a Joint Notice of Rejection of Ordering Paragraph 4(o) of Decision Approving Corporate Restructuring with Conditions (Joint Notice of Rejection) rejecting the provisions of Ordering Paragraph 4(o) of D. 21-03-043.</w:t>
      </w:r>
      <w:r w:rsidR="008824F8">
        <w:t xml:space="preserve"> </w:t>
      </w:r>
      <w:r w:rsidR="00821EAC">
        <w:t xml:space="preserve"> As a result, D. 21-03-043 is not in effect. </w:t>
      </w:r>
      <w:r w:rsidR="0074209B">
        <w:t xml:space="preserve"> </w:t>
      </w:r>
    </w:p>
    <w:p w:rsidRPr="001F14FB" w:rsidR="00AA20C2" w:rsidP="00DC2D45" w:rsidRDefault="00A9606D" w14:paraId="00F6B409" w14:textId="4EC02FA1">
      <w:r w:rsidRPr="007161AC">
        <w:rPr>
          <w:szCs w:val="26"/>
        </w:rPr>
        <w:t xml:space="preserve">Testimony and documents were admitted into evidence </w:t>
      </w:r>
      <w:r w:rsidRPr="0016731D">
        <w:rPr>
          <w:szCs w:val="26"/>
        </w:rPr>
        <w:t>p</w:t>
      </w:r>
      <w:r w:rsidRPr="0016731D" w:rsidR="00F50CEE">
        <w:rPr>
          <w:szCs w:val="26"/>
        </w:rPr>
        <w:t xml:space="preserve">ursuant to rulings granting motions for the admission of testimony and documents into evidence and for the admission of confidential </w:t>
      </w:r>
      <w:r w:rsidRPr="0016731D">
        <w:rPr>
          <w:szCs w:val="26"/>
        </w:rPr>
        <w:t xml:space="preserve">testimony and </w:t>
      </w:r>
      <w:r w:rsidRPr="0016731D" w:rsidR="00F50CEE">
        <w:rPr>
          <w:szCs w:val="26"/>
        </w:rPr>
        <w:t>documents into evidence under seal</w:t>
      </w:r>
      <w:r w:rsidRPr="0016731D">
        <w:rPr>
          <w:szCs w:val="26"/>
        </w:rPr>
        <w:t>.</w:t>
      </w:r>
      <w:r>
        <w:rPr>
          <w:rStyle w:val="FootnoteReference"/>
        </w:rPr>
        <w:footnoteReference w:id="20"/>
      </w:r>
      <w:r w:rsidRPr="001F14FB" w:rsidR="000A13A8">
        <w:t xml:space="preserve"> </w:t>
      </w:r>
    </w:p>
    <w:p w:rsidR="007E6F87" w:rsidP="00CD74AC" w:rsidRDefault="007E6F87" w14:paraId="1D68D872" w14:textId="509B5903">
      <w:pPr>
        <w:pStyle w:val="Heading1"/>
      </w:pPr>
      <w:bookmarkStart w:name="_Toc67556508" w:id="12"/>
      <w:r>
        <w:lastRenderedPageBreak/>
        <w:t>Issues</w:t>
      </w:r>
      <w:bookmarkEnd w:id="12"/>
    </w:p>
    <w:p w:rsidRPr="007161AC" w:rsidR="00CD1DAE" w:rsidP="00326DB1" w:rsidRDefault="007E6F87" w14:paraId="2B441F28" w14:textId="72C6EBAC">
      <w:pPr>
        <w:autoSpaceDE w:val="0"/>
        <w:autoSpaceDN w:val="0"/>
        <w:adjustRightInd w:val="0"/>
        <w:rPr>
          <w:szCs w:val="26"/>
        </w:rPr>
      </w:pPr>
      <w:r w:rsidRPr="007161AC">
        <w:rPr>
          <w:szCs w:val="26"/>
        </w:rPr>
        <w:t xml:space="preserve">As set forth in the Scoping Memo, </w:t>
      </w:r>
      <w:r w:rsidRPr="007161AC" w:rsidR="00CD1DAE">
        <w:rPr>
          <w:szCs w:val="26"/>
        </w:rPr>
        <w:t>the primary issue in this</w:t>
      </w:r>
      <w:r w:rsidR="00326DB1">
        <w:rPr>
          <w:szCs w:val="26"/>
        </w:rPr>
        <w:t xml:space="preserve"> </w:t>
      </w:r>
      <w:r w:rsidRPr="007161AC" w:rsidR="00CD1DAE">
        <w:rPr>
          <w:szCs w:val="26"/>
        </w:rPr>
        <w:t>proceeding is whether, under Pub. Util. Code Sections 853 and 854, the</w:t>
      </w:r>
      <w:r w:rsidR="00326DB1">
        <w:rPr>
          <w:szCs w:val="26"/>
        </w:rPr>
        <w:t xml:space="preserve"> </w:t>
      </w:r>
      <w:r w:rsidRPr="007161AC" w:rsidR="00CD1DAE">
        <w:rPr>
          <w:szCs w:val="26"/>
        </w:rPr>
        <w:t>Restructuring is in California’s public interest, including whether, after full</w:t>
      </w:r>
      <w:r w:rsidR="00326DB1">
        <w:rPr>
          <w:szCs w:val="26"/>
        </w:rPr>
        <w:t xml:space="preserve"> </w:t>
      </w:r>
      <w:r w:rsidRPr="007161AC" w:rsidR="00CD1DAE">
        <w:rPr>
          <w:szCs w:val="26"/>
        </w:rPr>
        <w:t>consideration of its present and future effects, the Restructuring:</w:t>
      </w:r>
    </w:p>
    <w:p w:rsidRPr="007161AC" w:rsidR="00DE30C3" w:rsidP="00326DB1" w:rsidRDefault="00CD1DAE" w14:paraId="7EB1CA79" w14:textId="2098872A">
      <w:pPr>
        <w:pStyle w:val="ListAlpha"/>
        <w:numPr>
          <w:ilvl w:val="7"/>
          <w:numId w:val="28"/>
        </w:numPr>
      </w:pPr>
      <w:r w:rsidRPr="007161AC">
        <w:t>Provides short-term and long-term economic benefits to</w:t>
      </w:r>
      <w:r w:rsidR="00326DB1">
        <w:t xml:space="preserve"> </w:t>
      </w:r>
      <w:r w:rsidRPr="007161AC">
        <w:t>ratepayers (Section 854(b)(1)).</w:t>
      </w:r>
    </w:p>
    <w:p w:rsidRPr="007161AC" w:rsidR="00DE30C3" w:rsidP="00326DB1" w:rsidRDefault="00CD1DAE" w14:paraId="0475DE19" w14:textId="3E8513BE">
      <w:pPr>
        <w:pStyle w:val="ListAlpha"/>
        <w:numPr>
          <w:ilvl w:val="7"/>
          <w:numId w:val="28"/>
        </w:numPr>
      </w:pPr>
      <w:r w:rsidRPr="007161AC">
        <w:t>Maintains or improves Applicants’ financial condition</w:t>
      </w:r>
      <w:r w:rsidR="00326DB1">
        <w:t xml:space="preserve"> </w:t>
      </w:r>
      <w:r w:rsidRPr="007161AC">
        <w:t>(Section 854(c)(1)).</w:t>
      </w:r>
    </w:p>
    <w:p w:rsidRPr="007161AC" w:rsidR="007E6F6B" w:rsidP="00326DB1" w:rsidRDefault="00CD1DAE" w14:paraId="01D67105" w14:textId="449DEE9C">
      <w:pPr>
        <w:pStyle w:val="ListAlpha"/>
        <w:numPr>
          <w:ilvl w:val="7"/>
          <w:numId w:val="28"/>
        </w:numPr>
      </w:pPr>
      <w:r w:rsidRPr="007161AC">
        <w:t>Maintains or improves Applicants’ quality of service</w:t>
      </w:r>
      <w:r w:rsidR="00326DB1">
        <w:t xml:space="preserve"> </w:t>
      </w:r>
      <w:r w:rsidRPr="007161AC">
        <w:t>(Section 854(c)(2)).</w:t>
      </w:r>
    </w:p>
    <w:p w:rsidRPr="007161AC" w:rsidR="007E6F6B" w:rsidP="00326DB1" w:rsidRDefault="00CD1DAE" w14:paraId="7D8B496E" w14:textId="4C8980B5">
      <w:pPr>
        <w:pStyle w:val="ListAlpha"/>
        <w:numPr>
          <w:ilvl w:val="7"/>
          <w:numId w:val="28"/>
        </w:numPr>
      </w:pPr>
      <w:r w:rsidRPr="007161AC">
        <w:t>Maintains or improves Applicants’ quality of management</w:t>
      </w:r>
      <w:r w:rsidR="00326DB1">
        <w:t xml:space="preserve"> </w:t>
      </w:r>
      <w:r w:rsidRPr="007161AC">
        <w:t>(Section 854(c)(3)).</w:t>
      </w:r>
    </w:p>
    <w:p w:rsidRPr="007161AC" w:rsidR="007E6F6B" w:rsidP="00326DB1" w:rsidRDefault="00CD1DAE" w14:paraId="313393DF" w14:textId="77580DCA">
      <w:pPr>
        <w:pStyle w:val="ListAlpha"/>
        <w:numPr>
          <w:ilvl w:val="7"/>
          <w:numId w:val="28"/>
        </w:numPr>
      </w:pPr>
      <w:r w:rsidRPr="007161AC">
        <w:t>Is fair and reasonable to affected Applicants’ employees,</w:t>
      </w:r>
      <w:r w:rsidR="00326DB1">
        <w:t xml:space="preserve"> </w:t>
      </w:r>
      <w:r w:rsidRPr="007161AC">
        <w:t>including both union and nonunion employees</w:t>
      </w:r>
      <w:r w:rsidR="00326DB1">
        <w:t xml:space="preserve"> </w:t>
      </w:r>
      <w:r w:rsidRPr="007161AC">
        <w:t>(Section 854(c)(4)).</w:t>
      </w:r>
    </w:p>
    <w:p w:rsidRPr="007161AC" w:rsidR="007E6F6B" w:rsidP="00326DB1" w:rsidRDefault="00CD1DAE" w14:paraId="391CD2C2" w14:textId="571C5B5D">
      <w:pPr>
        <w:pStyle w:val="ListAlpha"/>
        <w:numPr>
          <w:ilvl w:val="7"/>
          <w:numId w:val="28"/>
        </w:numPr>
      </w:pPr>
      <w:r w:rsidRPr="007161AC">
        <w:t>Is beneficial on an overall basis to state and local</w:t>
      </w:r>
      <w:r w:rsidR="00326DB1">
        <w:t xml:space="preserve"> </w:t>
      </w:r>
      <w:r w:rsidRPr="007161AC">
        <w:t>economies, and to the communities in the area served by</w:t>
      </w:r>
      <w:r w:rsidR="00326DB1">
        <w:t xml:space="preserve"> </w:t>
      </w:r>
      <w:r w:rsidRPr="007161AC">
        <w:t>Applicants (Section 854(c)(6)).</w:t>
      </w:r>
    </w:p>
    <w:p w:rsidRPr="00326DB1" w:rsidR="007E6F6B" w:rsidP="00326DB1" w:rsidRDefault="00CD1DAE" w14:paraId="7F0972F7" w14:textId="3522280B">
      <w:pPr>
        <w:pStyle w:val="ListAlpha"/>
        <w:numPr>
          <w:ilvl w:val="7"/>
          <w:numId w:val="28"/>
        </w:numPr>
      </w:pPr>
      <w:r w:rsidRPr="007161AC">
        <w:t>Preserves the jurisdiction of the Commission and the</w:t>
      </w:r>
      <w:r w:rsidR="00326DB1">
        <w:t xml:space="preserve"> </w:t>
      </w:r>
      <w:r w:rsidRPr="007161AC">
        <w:t>cap</w:t>
      </w:r>
      <w:r w:rsidRPr="007161AC" w:rsidR="000F0395">
        <w:t>ac</w:t>
      </w:r>
      <w:r w:rsidRPr="007161AC">
        <w:t>ity of the Commission to effectively regulate and</w:t>
      </w:r>
      <w:r w:rsidR="00326DB1">
        <w:t xml:space="preserve"> </w:t>
      </w:r>
      <w:r w:rsidRPr="007161AC">
        <w:t>audit Applicants (Section 854(c)(7)).</w:t>
      </w:r>
    </w:p>
    <w:p w:rsidRPr="007161AC" w:rsidR="00CD1DAE" w:rsidP="00326DB1" w:rsidRDefault="00CD1DAE" w14:paraId="06862F27" w14:textId="75D0A9B3">
      <w:pPr>
        <w:pStyle w:val="ListAlpha"/>
        <w:numPr>
          <w:ilvl w:val="7"/>
          <w:numId w:val="28"/>
        </w:numPr>
      </w:pPr>
      <w:r w:rsidRPr="007161AC">
        <w:t>Provides mitigation measures to prevent significant</w:t>
      </w:r>
      <w:r w:rsidR="00326DB1">
        <w:t xml:space="preserve"> </w:t>
      </w:r>
      <w:r w:rsidRPr="007161AC">
        <w:t>adverse consequences that may result (Section 854(c)(8)).</w:t>
      </w:r>
    </w:p>
    <w:p w:rsidRPr="007161AC" w:rsidR="007E6F6B" w:rsidP="00326DB1" w:rsidRDefault="00CD1DAE" w14:paraId="7647753F" w14:textId="0F707101">
      <w:pPr>
        <w:pStyle w:val="ListAlpha"/>
        <w:numPr>
          <w:ilvl w:val="7"/>
          <w:numId w:val="28"/>
        </w:numPr>
      </w:pPr>
      <w:r w:rsidRPr="007161AC">
        <w:t>Raises any safety or health considerations, including any</w:t>
      </w:r>
      <w:r w:rsidR="00326DB1">
        <w:t xml:space="preserve"> </w:t>
      </w:r>
      <w:r w:rsidRPr="007161AC">
        <w:t>effects on 911 service.</w:t>
      </w:r>
    </w:p>
    <w:p w:rsidRPr="007161AC" w:rsidR="007E6F6B" w:rsidP="00326DB1" w:rsidRDefault="00CD1DAE" w14:paraId="2E68886A" w14:textId="264C7E22">
      <w:pPr>
        <w:pStyle w:val="ListAlpha"/>
        <w:numPr>
          <w:ilvl w:val="7"/>
          <w:numId w:val="28"/>
        </w:numPr>
        <w:ind w:hanging="540"/>
      </w:pPr>
      <w:r w:rsidRPr="007161AC">
        <w:t>Provides economic and noneconomic benefits to the tribal</w:t>
      </w:r>
      <w:r w:rsidR="00326DB1">
        <w:t xml:space="preserve"> </w:t>
      </w:r>
      <w:r w:rsidRPr="007161AC">
        <w:t>communities in the area served by Applicants.</w:t>
      </w:r>
    </w:p>
    <w:p w:rsidRPr="007161AC" w:rsidR="007E6F6B" w:rsidP="00326DB1" w:rsidRDefault="00CD1DAE" w14:paraId="48ABCD05" w14:textId="65AE7AC6">
      <w:pPr>
        <w:pStyle w:val="ListAlpha"/>
        <w:numPr>
          <w:ilvl w:val="7"/>
          <w:numId w:val="28"/>
        </w:numPr>
        <w:ind w:hanging="540"/>
      </w:pPr>
      <w:r w:rsidRPr="007161AC">
        <w:t>Will result in the transfer or disposal in any form of</w:t>
      </w:r>
      <w:r w:rsidR="00326DB1">
        <w:t xml:space="preserve"> </w:t>
      </w:r>
      <w:r w:rsidRPr="007161AC">
        <w:t>Applicants’ assets, and whether the Commission should</w:t>
      </w:r>
      <w:r w:rsidR="00326DB1">
        <w:t xml:space="preserve"> </w:t>
      </w:r>
      <w:r w:rsidRPr="007161AC">
        <w:t>require that local or tribal governments have a right of first</w:t>
      </w:r>
      <w:r w:rsidR="00326DB1">
        <w:t xml:space="preserve"> </w:t>
      </w:r>
      <w:r w:rsidRPr="007161AC">
        <w:t>offer or a right of first refusal regarding any transfer or</w:t>
      </w:r>
      <w:r w:rsidR="00326DB1">
        <w:t xml:space="preserve"> </w:t>
      </w:r>
      <w:r w:rsidRPr="007161AC">
        <w:t>disposal of Applicants’ assets</w:t>
      </w:r>
      <w:r w:rsidR="00326DB1">
        <w:t>.</w:t>
      </w:r>
    </w:p>
    <w:p w:rsidRPr="007161AC" w:rsidR="007E6F6B" w:rsidP="00326DB1" w:rsidRDefault="00CD1DAE" w14:paraId="4A549C5C" w14:textId="3FFD6442">
      <w:pPr>
        <w:pStyle w:val="ListAlpha"/>
        <w:numPr>
          <w:ilvl w:val="7"/>
          <w:numId w:val="28"/>
        </w:numPr>
        <w:ind w:hanging="540"/>
      </w:pPr>
      <w:r w:rsidRPr="007161AC">
        <w:t>Affects the performance of Applicants’ obligations under</w:t>
      </w:r>
      <w:r w:rsidR="00326DB1">
        <w:t xml:space="preserve"> </w:t>
      </w:r>
      <w:r w:rsidRPr="007161AC">
        <w:t>and compliance with the terms and conditions of laws and</w:t>
      </w:r>
      <w:r w:rsidR="00326DB1">
        <w:t xml:space="preserve"> </w:t>
      </w:r>
      <w:r w:rsidRPr="007161AC">
        <w:t>Commission decisions, rules, orders, and resolutions.</w:t>
      </w:r>
    </w:p>
    <w:p w:rsidRPr="007161AC" w:rsidR="007E6F6B" w:rsidP="00326DB1" w:rsidRDefault="00CD1DAE" w14:paraId="21625111" w14:textId="37D77555">
      <w:pPr>
        <w:pStyle w:val="ListAlpha"/>
        <w:numPr>
          <w:ilvl w:val="7"/>
          <w:numId w:val="28"/>
        </w:numPr>
        <w:ind w:hanging="540"/>
      </w:pPr>
      <w:r w:rsidRPr="007161AC">
        <w:lastRenderedPageBreak/>
        <w:t>Affects the performance of Applicants’ obligations and</w:t>
      </w:r>
      <w:r w:rsidR="00326DB1">
        <w:t xml:space="preserve"> </w:t>
      </w:r>
      <w:r w:rsidRPr="007161AC">
        <w:t>compliance with the terms and conditions relating to</w:t>
      </w:r>
      <w:r w:rsidR="00326DB1">
        <w:t xml:space="preserve"> </w:t>
      </w:r>
      <w:r w:rsidRPr="007161AC">
        <w:t>Applicants’ status as a Carrier of Last Resort and an</w:t>
      </w:r>
      <w:r w:rsidR="00326DB1">
        <w:t xml:space="preserve"> </w:t>
      </w:r>
      <w:r w:rsidRPr="007161AC">
        <w:t>Eligible Telecommunications Carrier.</w:t>
      </w:r>
    </w:p>
    <w:p w:rsidRPr="007161AC" w:rsidR="007E6F6B" w:rsidP="00326DB1" w:rsidRDefault="00CD1DAE" w14:paraId="700ADD30" w14:textId="3981F1C4">
      <w:pPr>
        <w:pStyle w:val="ListAlpha"/>
        <w:numPr>
          <w:ilvl w:val="7"/>
          <w:numId w:val="28"/>
        </w:numPr>
        <w:ind w:hanging="540"/>
      </w:pPr>
      <w:r w:rsidRPr="007161AC">
        <w:t>Affects the rate or price charged to a ratepayer or</w:t>
      </w:r>
      <w:r w:rsidR="00326DB1">
        <w:t xml:space="preserve"> </w:t>
      </w:r>
      <w:r w:rsidRPr="007161AC">
        <w:t>customer.</w:t>
      </w:r>
    </w:p>
    <w:p w:rsidRPr="007161AC" w:rsidR="007E6F6B" w:rsidP="00326DB1" w:rsidRDefault="00CD1DAE" w14:paraId="50102728" w14:textId="7DA224CA">
      <w:pPr>
        <w:pStyle w:val="ListAlpha"/>
        <w:numPr>
          <w:ilvl w:val="7"/>
          <w:numId w:val="28"/>
        </w:numPr>
        <w:ind w:hanging="540"/>
      </w:pPr>
      <w:r w:rsidRPr="007161AC">
        <w:t>Affects Applicants’ performance or compliance with the</w:t>
      </w:r>
      <w:r w:rsidR="00326DB1">
        <w:t xml:space="preserve"> </w:t>
      </w:r>
      <w:r w:rsidRPr="007161AC">
        <w:t>terms and conditions of service to a ratepayer or customer.</w:t>
      </w:r>
    </w:p>
    <w:p w:rsidRPr="007161AC" w:rsidR="007E6F6B" w:rsidP="00326DB1" w:rsidRDefault="00CD1DAE" w14:paraId="20A817BC" w14:textId="0782DA12">
      <w:pPr>
        <w:pStyle w:val="ListAlpha"/>
        <w:numPr>
          <w:ilvl w:val="7"/>
          <w:numId w:val="28"/>
        </w:numPr>
        <w:ind w:hanging="540"/>
      </w:pPr>
      <w:r w:rsidRPr="007161AC">
        <w:t>Affects Applicants’ network infrastructure.</w:t>
      </w:r>
    </w:p>
    <w:p w:rsidRPr="007161AC" w:rsidR="007E6F6B" w:rsidP="00326DB1" w:rsidRDefault="00CD1DAE" w14:paraId="74C4198A" w14:textId="565E80A4">
      <w:pPr>
        <w:pStyle w:val="ListAlpha"/>
        <w:numPr>
          <w:ilvl w:val="7"/>
          <w:numId w:val="28"/>
        </w:numPr>
        <w:ind w:hanging="540"/>
      </w:pPr>
      <w:r w:rsidRPr="007161AC">
        <w:t>Affects Applicants’ broadband deployment.</w:t>
      </w:r>
    </w:p>
    <w:p w:rsidRPr="007161AC" w:rsidR="007E6F6B" w:rsidP="00326DB1" w:rsidRDefault="00CD1DAE" w14:paraId="1215064D" w14:textId="096EC4DD">
      <w:pPr>
        <w:pStyle w:val="ListAlpha"/>
        <w:numPr>
          <w:ilvl w:val="7"/>
          <w:numId w:val="28"/>
        </w:numPr>
        <w:ind w:hanging="540"/>
      </w:pPr>
      <w:r w:rsidRPr="007161AC">
        <w:t>Affects the performance of Applicants’ obligations under,</w:t>
      </w:r>
      <w:r w:rsidR="00326DB1">
        <w:t xml:space="preserve"> </w:t>
      </w:r>
      <w:r w:rsidRPr="007161AC">
        <w:t>compliance with the terms and conditions of, and future</w:t>
      </w:r>
      <w:r w:rsidR="00326DB1">
        <w:t xml:space="preserve"> </w:t>
      </w:r>
      <w:r w:rsidRPr="007161AC">
        <w:t>participation in universal service and public purpose</w:t>
      </w:r>
      <w:r w:rsidR="00326DB1">
        <w:t xml:space="preserve"> </w:t>
      </w:r>
      <w:r w:rsidRPr="007161AC">
        <w:t>programs, including the California Advances Services</w:t>
      </w:r>
      <w:r w:rsidR="00326DB1">
        <w:t xml:space="preserve"> </w:t>
      </w:r>
      <w:r w:rsidRPr="007161AC">
        <w:t xml:space="preserve">Fund, the California High Cost Fund-B, California </w:t>
      </w:r>
      <w:proofErr w:type="spellStart"/>
      <w:r w:rsidRPr="007161AC">
        <w:t>LifeLine</w:t>
      </w:r>
      <w:proofErr w:type="spellEnd"/>
      <w:r w:rsidR="00326DB1">
        <w:t xml:space="preserve"> </w:t>
      </w:r>
      <w:r w:rsidRPr="007161AC">
        <w:t xml:space="preserve">Services, the California </w:t>
      </w:r>
      <w:proofErr w:type="spellStart"/>
      <w:r w:rsidRPr="007161AC">
        <w:t>Teleconnect</w:t>
      </w:r>
      <w:proofErr w:type="spellEnd"/>
      <w:r w:rsidRPr="007161AC">
        <w:t xml:space="preserve"> Fund, the Connect</w:t>
      </w:r>
      <w:r w:rsidR="00326DB1">
        <w:t xml:space="preserve"> </w:t>
      </w:r>
      <w:r w:rsidRPr="007161AC">
        <w:t>America Fund, and the Deaf and Disabled</w:t>
      </w:r>
      <w:r w:rsidR="00326DB1">
        <w:t xml:space="preserve"> </w:t>
      </w:r>
      <w:r w:rsidRPr="007161AC">
        <w:t>Telecommunications Program.</w:t>
      </w:r>
    </w:p>
    <w:p w:rsidRPr="007161AC" w:rsidR="007E6F6B" w:rsidP="00326DB1" w:rsidRDefault="00CD1DAE" w14:paraId="40766F18" w14:textId="6B451A35">
      <w:pPr>
        <w:pStyle w:val="ListAlpha"/>
        <w:numPr>
          <w:ilvl w:val="7"/>
          <w:numId w:val="28"/>
        </w:numPr>
        <w:ind w:hanging="540"/>
      </w:pPr>
      <w:r w:rsidRPr="007161AC">
        <w:t>Has any potential environmental imp</w:t>
      </w:r>
      <w:r w:rsidRPr="007161AC" w:rsidR="0011313C">
        <w:t>ac</w:t>
      </w:r>
      <w:r w:rsidRPr="007161AC">
        <w:t>t requiring</w:t>
      </w:r>
      <w:r w:rsidR="00326DB1">
        <w:t xml:space="preserve"> </w:t>
      </w:r>
      <w:r w:rsidRPr="007161AC">
        <w:t>consideration under the California Environmental Quality</w:t>
      </w:r>
      <w:r w:rsidR="00326DB1">
        <w:t xml:space="preserve"> </w:t>
      </w:r>
      <w:r w:rsidRPr="007161AC" w:rsidR="00555C0B">
        <w:t>A</w:t>
      </w:r>
      <w:r w:rsidRPr="007161AC" w:rsidR="0011313C">
        <w:t>c</w:t>
      </w:r>
      <w:r w:rsidRPr="007161AC">
        <w:t>t.</w:t>
      </w:r>
    </w:p>
    <w:p w:rsidRPr="007161AC" w:rsidR="007E6F6B" w:rsidP="00326DB1" w:rsidRDefault="00CD1DAE" w14:paraId="551844BD" w14:textId="2BDFF5AA">
      <w:pPr>
        <w:pStyle w:val="ListAlpha"/>
        <w:numPr>
          <w:ilvl w:val="7"/>
          <w:numId w:val="28"/>
        </w:numPr>
        <w:ind w:hanging="540"/>
      </w:pPr>
      <w:r w:rsidRPr="007161AC">
        <w:t xml:space="preserve">Affects Applicants’ provision of special </w:t>
      </w:r>
      <w:r w:rsidRPr="007161AC" w:rsidR="0011313C">
        <w:t>ac</w:t>
      </w:r>
      <w:r w:rsidRPr="007161AC">
        <w:t>cess services,</w:t>
      </w:r>
      <w:r w:rsidR="00326DB1">
        <w:t xml:space="preserve"> </w:t>
      </w:r>
      <w:r w:rsidRPr="007161AC">
        <w:t>including b</w:t>
      </w:r>
      <w:r w:rsidRPr="007161AC" w:rsidR="00142A41">
        <w:t>ac</w:t>
      </w:r>
      <w:r w:rsidRPr="007161AC">
        <w:t>khaul services.</w:t>
      </w:r>
    </w:p>
    <w:p w:rsidRPr="00D44220" w:rsidR="00CD1DAE" w:rsidP="00326DB1" w:rsidRDefault="00CD1DAE" w14:paraId="7DEDA569" w14:textId="135A0C32">
      <w:pPr>
        <w:pStyle w:val="ListAlpha"/>
        <w:numPr>
          <w:ilvl w:val="7"/>
          <w:numId w:val="28"/>
        </w:numPr>
        <w:ind w:hanging="540"/>
      </w:pPr>
      <w:r w:rsidRPr="007161AC">
        <w:t>Will increase, modify, or affect the Commission’s</w:t>
      </w:r>
      <w:r w:rsidR="00326DB1">
        <w:t xml:space="preserve"> </w:t>
      </w:r>
      <w:r w:rsidRPr="007161AC">
        <w:t>responsibilities regarding the regulation of Applicants</w:t>
      </w:r>
      <w:r w:rsidRPr="00326DB1">
        <w:rPr>
          <w:rFonts w:ascii="BookAntiqua" w:hAnsi="BookAntiqua" w:cs="BookAntiqua"/>
        </w:rPr>
        <w:t>.</w:t>
      </w:r>
      <w:r w:rsidR="007E6F6B">
        <w:rPr>
          <w:rStyle w:val="FootnoteReference"/>
          <w:rFonts w:ascii="BookAntiqua" w:hAnsi="BookAntiqua" w:cs="BookAntiqua"/>
          <w:szCs w:val="26"/>
        </w:rPr>
        <w:footnoteReference w:id="21"/>
      </w:r>
    </w:p>
    <w:p w:rsidR="00627D0A" w:rsidP="00CD74AC" w:rsidRDefault="00191CB6" w14:paraId="7B7D41E3" w14:textId="1882BCAF">
      <w:pPr>
        <w:pStyle w:val="Heading1"/>
      </w:pPr>
      <w:bookmarkStart w:name="_Toc67556509" w:id="13"/>
      <w:bookmarkStart w:name="_Toc8123719" w:id="14"/>
      <w:bookmarkEnd w:id="9"/>
      <w:bookmarkEnd w:id="10"/>
      <w:r w:rsidRPr="00BF62F1">
        <w:t>Discussion</w:t>
      </w:r>
      <w:bookmarkEnd w:id="13"/>
    </w:p>
    <w:p w:rsidR="00B725EE" w:rsidP="00CD74AC" w:rsidRDefault="000713CA" w14:paraId="4680B82F" w14:textId="2CCBB003">
      <w:pPr>
        <w:pStyle w:val="Heading2"/>
      </w:pPr>
      <w:bookmarkStart w:name="_Toc67556510" w:id="15"/>
      <w:r>
        <w:t>Pub. Util. Code Section 854</w:t>
      </w:r>
      <w:r w:rsidR="00802E18">
        <w:t xml:space="preserve"> and Scoping Memo Factors</w:t>
      </w:r>
      <w:bookmarkEnd w:id="15"/>
    </w:p>
    <w:p w:rsidR="00523A1C" w:rsidP="00B725EE" w:rsidRDefault="000713CA" w14:paraId="3CA1A106" w14:textId="1E192A83">
      <w:pPr>
        <w:pStyle w:val="Heading3"/>
      </w:pPr>
      <w:bookmarkStart w:name="_Toc67556511" w:id="16"/>
      <w:r>
        <w:t>Overview</w:t>
      </w:r>
      <w:bookmarkEnd w:id="16"/>
      <w:r w:rsidR="00523A1C">
        <w:t xml:space="preserve">  </w:t>
      </w:r>
    </w:p>
    <w:p w:rsidR="0009794E" w:rsidP="00523A1C" w:rsidRDefault="00815FC8" w14:paraId="58EC0CAD" w14:textId="79D5B66C">
      <w:pPr>
        <w:pStyle w:val="Standard"/>
        <w:rPr>
          <w:szCs w:val="26"/>
        </w:rPr>
      </w:pPr>
      <w:r>
        <w:rPr>
          <w:szCs w:val="26"/>
        </w:rPr>
        <w:t xml:space="preserve">Under Pub. Util. Code Section 854(a), </w:t>
      </w:r>
      <w:r w:rsidR="0041211F">
        <w:rPr>
          <w:szCs w:val="26"/>
        </w:rPr>
        <w:t>Frontier’s</w:t>
      </w:r>
      <w:r>
        <w:rPr>
          <w:szCs w:val="26"/>
        </w:rPr>
        <w:t xml:space="preserve"> proposed Restructuring is a change of control that requires Commission approval</w:t>
      </w:r>
      <w:r w:rsidR="00F4119E">
        <w:rPr>
          <w:szCs w:val="26"/>
        </w:rPr>
        <w:t xml:space="preserve">.  </w:t>
      </w:r>
      <w:r>
        <w:rPr>
          <w:szCs w:val="26"/>
        </w:rPr>
        <w:t>Under Pub. Util. Code Section 854(b)</w:t>
      </w:r>
      <w:r w:rsidR="00D00BF9">
        <w:rPr>
          <w:szCs w:val="26"/>
        </w:rPr>
        <w:t>(1)</w:t>
      </w:r>
      <w:r>
        <w:rPr>
          <w:szCs w:val="26"/>
        </w:rPr>
        <w:t xml:space="preserve"> and (c), </w:t>
      </w:r>
      <w:r w:rsidR="00AC06BB">
        <w:rPr>
          <w:szCs w:val="26"/>
        </w:rPr>
        <w:t>Commission approval requires a showing that the</w:t>
      </w:r>
      <w:r>
        <w:rPr>
          <w:szCs w:val="26"/>
        </w:rPr>
        <w:t xml:space="preserve"> Restructuring</w:t>
      </w:r>
      <w:r w:rsidR="00D00BF9">
        <w:rPr>
          <w:szCs w:val="26"/>
        </w:rPr>
        <w:t xml:space="preserve"> </w:t>
      </w:r>
      <w:r>
        <w:rPr>
          <w:szCs w:val="26"/>
        </w:rPr>
        <w:t>provide</w:t>
      </w:r>
      <w:r w:rsidR="00AC06BB">
        <w:rPr>
          <w:szCs w:val="26"/>
        </w:rPr>
        <w:t>s</w:t>
      </w:r>
      <w:r>
        <w:rPr>
          <w:szCs w:val="26"/>
        </w:rPr>
        <w:t xml:space="preserve"> short-term and long-term economic benefits to ratepayers </w:t>
      </w:r>
      <w:r>
        <w:rPr>
          <w:szCs w:val="26"/>
        </w:rPr>
        <w:lastRenderedPageBreak/>
        <w:t xml:space="preserve">and </w:t>
      </w:r>
      <w:r w:rsidR="00AC06BB">
        <w:rPr>
          <w:szCs w:val="26"/>
        </w:rPr>
        <w:t>is</w:t>
      </w:r>
      <w:r>
        <w:rPr>
          <w:szCs w:val="26"/>
        </w:rPr>
        <w:t xml:space="preserve"> in the public interest.</w:t>
      </w:r>
      <w:r>
        <w:rPr>
          <w:rStyle w:val="FootnoteReference"/>
          <w:szCs w:val="26"/>
        </w:rPr>
        <w:footnoteReference w:id="22"/>
      </w:r>
      <w:r>
        <w:rPr>
          <w:szCs w:val="26"/>
        </w:rPr>
        <w:t xml:space="preserve"> </w:t>
      </w:r>
      <w:r w:rsidR="0041211F">
        <w:rPr>
          <w:szCs w:val="26"/>
        </w:rPr>
        <w:t>Frontier has</w:t>
      </w:r>
      <w:r w:rsidR="004559E2">
        <w:rPr>
          <w:szCs w:val="26"/>
        </w:rPr>
        <w:t xml:space="preserve"> the burden of proving by a preponderance of the evidence that the requirements</w:t>
      </w:r>
      <w:r w:rsidR="0009794E">
        <w:rPr>
          <w:szCs w:val="26"/>
        </w:rPr>
        <w:t xml:space="preserve"> of Pub Util. Code Section</w:t>
      </w:r>
      <w:r w:rsidR="00B725EE">
        <w:rPr>
          <w:szCs w:val="26"/>
        </w:rPr>
        <w:t> </w:t>
      </w:r>
      <w:r w:rsidR="0009794E">
        <w:rPr>
          <w:szCs w:val="26"/>
        </w:rPr>
        <w:t>854 have been met.</w:t>
      </w:r>
      <w:r w:rsidR="0009794E">
        <w:rPr>
          <w:rStyle w:val="FootnoteReference"/>
          <w:szCs w:val="26"/>
        </w:rPr>
        <w:footnoteReference w:id="23"/>
      </w:r>
    </w:p>
    <w:p w:rsidR="006043C5" w:rsidP="00523A1C" w:rsidRDefault="0009794E" w14:paraId="2BEE68D5" w14:textId="719A6E43">
      <w:pPr>
        <w:pStyle w:val="Standard"/>
        <w:rPr>
          <w:szCs w:val="26"/>
        </w:rPr>
      </w:pPr>
      <w:r>
        <w:rPr>
          <w:szCs w:val="26"/>
        </w:rPr>
        <w:t xml:space="preserve"> </w:t>
      </w:r>
      <w:r w:rsidR="00045D00">
        <w:rPr>
          <w:szCs w:val="26"/>
        </w:rPr>
        <w:t xml:space="preserve">Pub. Util. Code Section 854(c) directs the Commission to consider specific </w:t>
      </w:r>
      <w:r w:rsidR="00F9769D">
        <w:rPr>
          <w:szCs w:val="26"/>
        </w:rPr>
        <w:t xml:space="preserve">public interest </w:t>
      </w:r>
      <w:r w:rsidR="00045D00">
        <w:rPr>
          <w:szCs w:val="26"/>
        </w:rPr>
        <w:t>f</w:t>
      </w:r>
      <w:r w:rsidR="006043C5">
        <w:rPr>
          <w:szCs w:val="26"/>
        </w:rPr>
        <w:t>ac</w:t>
      </w:r>
      <w:r w:rsidR="00045D00">
        <w:rPr>
          <w:szCs w:val="26"/>
        </w:rPr>
        <w:t>tors</w:t>
      </w:r>
      <w:r w:rsidR="00F9769D">
        <w:rPr>
          <w:szCs w:val="26"/>
        </w:rPr>
        <w:t xml:space="preserve">, </w:t>
      </w:r>
      <w:r w:rsidR="004559E2">
        <w:rPr>
          <w:szCs w:val="26"/>
        </w:rPr>
        <w:t>but</w:t>
      </w:r>
      <w:r w:rsidR="00F9769D">
        <w:rPr>
          <w:szCs w:val="26"/>
        </w:rPr>
        <w:t xml:space="preserve"> it does not require proof of e</w:t>
      </w:r>
      <w:r w:rsidR="006043C5">
        <w:rPr>
          <w:szCs w:val="26"/>
        </w:rPr>
        <w:t>ac</w:t>
      </w:r>
      <w:r w:rsidR="00F9769D">
        <w:rPr>
          <w:szCs w:val="26"/>
        </w:rPr>
        <w:t>h f</w:t>
      </w:r>
      <w:r w:rsidR="006043C5">
        <w:rPr>
          <w:szCs w:val="26"/>
        </w:rPr>
        <w:t>ac</w:t>
      </w:r>
      <w:r w:rsidR="00F9769D">
        <w:rPr>
          <w:szCs w:val="26"/>
        </w:rPr>
        <w:t>tor and</w:t>
      </w:r>
      <w:r w:rsidR="004559E2">
        <w:rPr>
          <w:szCs w:val="26"/>
        </w:rPr>
        <w:t xml:space="preserve"> does not bar consideration of other criteria</w:t>
      </w:r>
      <w:r w:rsidR="00045D00">
        <w:rPr>
          <w:szCs w:val="26"/>
        </w:rPr>
        <w:t xml:space="preserve">. </w:t>
      </w:r>
      <w:r w:rsidR="00326DB1">
        <w:rPr>
          <w:szCs w:val="26"/>
        </w:rPr>
        <w:t xml:space="preserve"> </w:t>
      </w:r>
      <w:r w:rsidR="00C168B9">
        <w:rPr>
          <w:szCs w:val="26"/>
        </w:rPr>
        <w:t>T</w:t>
      </w:r>
      <w:r w:rsidR="00DB54B0">
        <w:rPr>
          <w:szCs w:val="26"/>
        </w:rPr>
        <w:t>he Scoping Memo</w:t>
      </w:r>
      <w:r w:rsidR="00C168B9">
        <w:rPr>
          <w:szCs w:val="26"/>
        </w:rPr>
        <w:t xml:space="preserve"> lists</w:t>
      </w:r>
      <w:r w:rsidR="00DB54B0">
        <w:rPr>
          <w:szCs w:val="26"/>
        </w:rPr>
        <w:t xml:space="preserve"> the applicable Pub</w:t>
      </w:r>
      <w:r w:rsidR="00B725EE">
        <w:rPr>
          <w:szCs w:val="26"/>
        </w:rPr>
        <w:t>. </w:t>
      </w:r>
      <w:r w:rsidR="00DB54B0">
        <w:rPr>
          <w:szCs w:val="26"/>
        </w:rPr>
        <w:t>Util. Code Section 854(c) f</w:t>
      </w:r>
      <w:r w:rsidR="006043C5">
        <w:rPr>
          <w:szCs w:val="26"/>
        </w:rPr>
        <w:t>ac</w:t>
      </w:r>
      <w:r w:rsidR="00DB54B0">
        <w:rPr>
          <w:szCs w:val="26"/>
        </w:rPr>
        <w:t>tors and other f</w:t>
      </w:r>
      <w:r w:rsidR="006043C5">
        <w:rPr>
          <w:szCs w:val="26"/>
        </w:rPr>
        <w:t>ac</w:t>
      </w:r>
      <w:r w:rsidR="00DB54B0">
        <w:rPr>
          <w:szCs w:val="26"/>
        </w:rPr>
        <w:t>tors raised by the pleadings that are relevant to our consideration of the public interest</w:t>
      </w:r>
      <w:r w:rsidR="00740DE2">
        <w:rPr>
          <w:szCs w:val="26"/>
        </w:rPr>
        <w:t>, and w</w:t>
      </w:r>
      <w:r w:rsidR="00DB54B0">
        <w:rPr>
          <w:szCs w:val="26"/>
        </w:rPr>
        <w:t>e analyze e</w:t>
      </w:r>
      <w:r w:rsidR="006043C5">
        <w:rPr>
          <w:szCs w:val="26"/>
        </w:rPr>
        <w:t>ac</w:t>
      </w:r>
      <w:r w:rsidR="00DB54B0">
        <w:rPr>
          <w:szCs w:val="26"/>
        </w:rPr>
        <w:t>h of those public interest criteria in the following sections.</w:t>
      </w:r>
    </w:p>
    <w:p w:rsidR="006A47FC" w:rsidP="00523A1C" w:rsidRDefault="006043C5" w14:paraId="27A76152" w14:textId="6F330B0B">
      <w:pPr>
        <w:pStyle w:val="Standard"/>
        <w:rPr>
          <w:szCs w:val="26"/>
        </w:rPr>
      </w:pPr>
      <w:r>
        <w:rPr>
          <w:szCs w:val="26"/>
        </w:rPr>
        <w:t>Throughout this proceeding, Frontier has argued that the Application under Pub. Util. Code Section 854 is</w:t>
      </w:r>
      <w:r w:rsidR="00DC7436">
        <w:rPr>
          <w:szCs w:val="26"/>
        </w:rPr>
        <w:t xml:space="preserve"> a “straightforward … restructuring transaction by which a new set of equity owners will be substituted for Frontier’s current public shareholders” </w:t>
      </w:r>
      <w:r w:rsidR="00142A41">
        <w:rPr>
          <w:szCs w:val="26"/>
        </w:rPr>
        <w:t>and that</w:t>
      </w:r>
      <w:r w:rsidR="00DC7436">
        <w:rPr>
          <w:szCs w:val="26"/>
        </w:rPr>
        <w:t xml:space="preserve"> “Frontier’s debt will be reduced from approximately $17.5 billion to approximately $6.5 billion.”</w:t>
      </w:r>
      <w:r w:rsidR="00CA21BB">
        <w:rPr>
          <w:szCs w:val="26"/>
        </w:rPr>
        <w:t xml:space="preserve"> </w:t>
      </w:r>
      <w:r w:rsidR="00B725EE">
        <w:rPr>
          <w:szCs w:val="26"/>
        </w:rPr>
        <w:t xml:space="preserve"> </w:t>
      </w:r>
      <w:r w:rsidR="00CA21BB">
        <w:rPr>
          <w:szCs w:val="26"/>
        </w:rPr>
        <w:t xml:space="preserve">As a result, Frontier claims, “The core issue that brings this matter before the Commission is not operational, managerial, or regulatory in nature. </w:t>
      </w:r>
      <w:r w:rsidR="00B725EE">
        <w:rPr>
          <w:szCs w:val="26"/>
        </w:rPr>
        <w:t xml:space="preserve"> </w:t>
      </w:r>
      <w:r w:rsidR="00CA21BB">
        <w:rPr>
          <w:szCs w:val="26"/>
        </w:rPr>
        <w:t>It is organizational only … The only question presented by this proceeding is whether the public interest is better served by authorizing the transfer of control in which the Senior Noteholders are the only party impaired as opposed to Frontier’s California Operating Subsidiaries remaining in bankruptcy and deepening their financial distress.”</w:t>
      </w:r>
      <w:r w:rsidR="00CA21BB">
        <w:rPr>
          <w:rStyle w:val="FootnoteReference"/>
          <w:szCs w:val="26"/>
        </w:rPr>
        <w:footnoteReference w:id="24"/>
      </w:r>
      <w:r w:rsidR="00CA21BB">
        <w:rPr>
          <w:szCs w:val="26"/>
        </w:rPr>
        <w:t xml:space="preserve"> </w:t>
      </w:r>
    </w:p>
    <w:p w:rsidR="00DC1FC0" w:rsidP="00523A1C" w:rsidRDefault="00CA21BB" w14:paraId="33912ED9" w14:textId="39D5C234">
      <w:pPr>
        <w:pStyle w:val="Standard"/>
        <w:rPr>
          <w:szCs w:val="26"/>
        </w:rPr>
      </w:pPr>
      <w:r>
        <w:rPr>
          <w:szCs w:val="26"/>
        </w:rPr>
        <w:lastRenderedPageBreak/>
        <w:t>We reject Frontier’s</w:t>
      </w:r>
      <w:r w:rsidR="006A47FC">
        <w:rPr>
          <w:szCs w:val="26"/>
        </w:rPr>
        <w:t xml:space="preserve"> spin on the applicable standards under Pub. Util. Code Section 854.</w:t>
      </w:r>
      <w:r w:rsidR="00F4119E">
        <w:rPr>
          <w:szCs w:val="26"/>
        </w:rPr>
        <w:t xml:space="preserve"> </w:t>
      </w:r>
      <w:r w:rsidR="006A47FC">
        <w:rPr>
          <w:szCs w:val="26"/>
        </w:rPr>
        <w:t xml:space="preserve"> First, as much as Frontier would prefer that the public interest is framed by an “only question” </w:t>
      </w:r>
      <w:r w:rsidR="009F78CE">
        <w:rPr>
          <w:szCs w:val="26"/>
        </w:rPr>
        <w:t xml:space="preserve">not referenced in the statute, </w:t>
      </w:r>
      <w:r w:rsidR="006A47FC">
        <w:rPr>
          <w:szCs w:val="26"/>
        </w:rPr>
        <w:t xml:space="preserve">we prefer </w:t>
      </w:r>
      <w:r w:rsidR="00CF7779">
        <w:rPr>
          <w:szCs w:val="26"/>
        </w:rPr>
        <w:t xml:space="preserve">to </w:t>
      </w:r>
      <w:r w:rsidR="009F78CE">
        <w:rPr>
          <w:szCs w:val="26"/>
        </w:rPr>
        <w:t>follow the law and</w:t>
      </w:r>
      <w:r w:rsidR="006A47FC">
        <w:rPr>
          <w:szCs w:val="26"/>
        </w:rPr>
        <w:t xml:space="preserve"> determine whether approval is in the public interest based upon the actual</w:t>
      </w:r>
      <w:r>
        <w:rPr>
          <w:szCs w:val="26"/>
        </w:rPr>
        <w:t xml:space="preserve"> </w:t>
      </w:r>
      <w:r w:rsidR="00CF7779">
        <w:rPr>
          <w:szCs w:val="26"/>
        </w:rPr>
        <w:t xml:space="preserve">language of Pub. Util. Code Section 854 and the actual issues </w:t>
      </w:r>
      <w:r w:rsidR="009F78CE">
        <w:rPr>
          <w:szCs w:val="26"/>
        </w:rPr>
        <w:t xml:space="preserve">that derive from the statute as </w:t>
      </w:r>
      <w:r w:rsidR="00CF7779">
        <w:rPr>
          <w:szCs w:val="26"/>
        </w:rPr>
        <w:t>set forth in the Scoping Memo</w:t>
      </w:r>
      <w:r w:rsidR="00F4119E">
        <w:rPr>
          <w:szCs w:val="26"/>
        </w:rPr>
        <w:t xml:space="preserve">.  </w:t>
      </w:r>
      <w:r w:rsidR="009F78CE">
        <w:rPr>
          <w:szCs w:val="26"/>
        </w:rPr>
        <w:t xml:space="preserve">Second, Pub. Util. Code Section 854 </w:t>
      </w:r>
      <w:r w:rsidR="006A5DDC">
        <w:rPr>
          <w:szCs w:val="26"/>
        </w:rPr>
        <w:t xml:space="preserve">does not limit us to consider only “organizational” issues but rather </w:t>
      </w:r>
      <w:r w:rsidR="009F78CE">
        <w:rPr>
          <w:szCs w:val="26"/>
        </w:rPr>
        <w:t>explicitly</w:t>
      </w:r>
      <w:r w:rsidR="006A5DDC">
        <w:rPr>
          <w:szCs w:val="26"/>
        </w:rPr>
        <w:t xml:space="preserve"> directs us to consider multiple factors, including “operational” and “managerial” criteria such as quality of service, quality of management, and fairness to employees.</w:t>
      </w:r>
      <w:r w:rsidR="006A5DDC">
        <w:rPr>
          <w:rStyle w:val="FootnoteReference"/>
          <w:szCs w:val="26"/>
        </w:rPr>
        <w:footnoteReference w:id="25"/>
      </w:r>
      <w:r w:rsidR="006A5DDC">
        <w:rPr>
          <w:szCs w:val="26"/>
        </w:rPr>
        <w:t xml:space="preserve"> </w:t>
      </w:r>
      <w:r w:rsidR="00B725EE">
        <w:rPr>
          <w:szCs w:val="26"/>
        </w:rPr>
        <w:t xml:space="preserve"> </w:t>
      </w:r>
      <w:r w:rsidR="006A5DDC">
        <w:rPr>
          <w:szCs w:val="26"/>
        </w:rPr>
        <w:t>Third, Frontier’s argument</w:t>
      </w:r>
      <w:r w:rsidR="002C4D20">
        <w:rPr>
          <w:szCs w:val="26"/>
        </w:rPr>
        <w:t xml:space="preserve">, by focusing on the transactional aspect of the Restructuring, </w:t>
      </w:r>
      <w:r w:rsidR="006A5DDC">
        <w:rPr>
          <w:szCs w:val="26"/>
        </w:rPr>
        <w:t xml:space="preserve"> implicitly directs the Commission to consider </w:t>
      </w:r>
      <w:r w:rsidR="002C4D20">
        <w:rPr>
          <w:szCs w:val="26"/>
        </w:rPr>
        <w:t xml:space="preserve">only whether the proposed Restructuring is in the public interest at its </w:t>
      </w:r>
      <w:r w:rsidR="00142A41">
        <w:rPr>
          <w:szCs w:val="26"/>
        </w:rPr>
        <w:t>E</w:t>
      </w:r>
      <w:r w:rsidR="002C4D20">
        <w:rPr>
          <w:szCs w:val="26"/>
        </w:rPr>
        <w:t xml:space="preserve">ffective </w:t>
      </w:r>
      <w:r w:rsidR="00142A41">
        <w:rPr>
          <w:szCs w:val="26"/>
        </w:rPr>
        <w:t>D</w:t>
      </w:r>
      <w:r w:rsidR="002C4D20">
        <w:rPr>
          <w:szCs w:val="26"/>
        </w:rPr>
        <w:t xml:space="preserve">ate. </w:t>
      </w:r>
      <w:r w:rsidR="00B725EE">
        <w:rPr>
          <w:szCs w:val="26"/>
        </w:rPr>
        <w:t xml:space="preserve"> </w:t>
      </w:r>
      <w:r w:rsidR="002C4D20">
        <w:rPr>
          <w:szCs w:val="26"/>
        </w:rPr>
        <w:t>However, our inquiry is not so narrow-minded.</w:t>
      </w:r>
      <w:r w:rsidR="00142A41">
        <w:rPr>
          <w:szCs w:val="26"/>
        </w:rPr>
        <w:t xml:space="preserve"> </w:t>
      </w:r>
      <w:r w:rsidR="00CD74AC">
        <w:rPr>
          <w:szCs w:val="26"/>
        </w:rPr>
        <w:t xml:space="preserve"> </w:t>
      </w:r>
      <w:r w:rsidR="00142A41">
        <w:rPr>
          <w:szCs w:val="26"/>
        </w:rPr>
        <w:t xml:space="preserve">Pub. Util. Code Section 854(b)(1) requires us to consider both the short-term and the long-term economic benefits of the Restructuring on ratepayers. </w:t>
      </w:r>
      <w:r w:rsidR="00B725EE">
        <w:rPr>
          <w:szCs w:val="26"/>
        </w:rPr>
        <w:t xml:space="preserve"> </w:t>
      </w:r>
      <w:r w:rsidR="00142A41">
        <w:rPr>
          <w:szCs w:val="26"/>
        </w:rPr>
        <w:t xml:space="preserve">Under Pub. Util. Code Section 854(c), we must consider whether the Restructuring improves Frontier’s financial condition, service quality, </w:t>
      </w:r>
      <w:r w:rsidR="00EF4DB3">
        <w:rPr>
          <w:szCs w:val="26"/>
        </w:rPr>
        <w:t xml:space="preserve">and </w:t>
      </w:r>
      <w:r w:rsidR="00142A41">
        <w:rPr>
          <w:szCs w:val="26"/>
        </w:rPr>
        <w:t>quality of management and is fair to employees,</w:t>
      </w:r>
      <w:r w:rsidR="00EF4DB3">
        <w:rPr>
          <w:rStyle w:val="FootnoteReference"/>
          <w:szCs w:val="26"/>
        </w:rPr>
        <w:footnoteReference w:id="26"/>
      </w:r>
      <w:r w:rsidR="00142A41">
        <w:rPr>
          <w:szCs w:val="26"/>
        </w:rPr>
        <w:t xml:space="preserve"> and those evaluations </w:t>
      </w:r>
      <w:r w:rsidR="008E2982">
        <w:rPr>
          <w:szCs w:val="26"/>
        </w:rPr>
        <w:t xml:space="preserve">must take account of the Restructuring’s future effects. </w:t>
      </w:r>
      <w:r w:rsidR="00B725EE">
        <w:rPr>
          <w:szCs w:val="26"/>
        </w:rPr>
        <w:t xml:space="preserve"> </w:t>
      </w:r>
      <w:r w:rsidR="008E2982">
        <w:rPr>
          <w:szCs w:val="26"/>
        </w:rPr>
        <w:t xml:space="preserve">In addition, the Scoping Memo guides us to determine whether the Restructuring is in the public interest after full consideration of its present and future effects. </w:t>
      </w:r>
      <w:r w:rsidR="00B725EE">
        <w:rPr>
          <w:szCs w:val="26"/>
        </w:rPr>
        <w:t xml:space="preserve"> </w:t>
      </w:r>
      <w:r w:rsidR="00EF4DB3">
        <w:rPr>
          <w:szCs w:val="26"/>
        </w:rPr>
        <w:t xml:space="preserve">Therefore, we will </w:t>
      </w:r>
      <w:r w:rsidR="00EE15DD">
        <w:rPr>
          <w:szCs w:val="26"/>
        </w:rPr>
        <w:t xml:space="preserve">take a broad temporal view </w:t>
      </w:r>
      <w:r w:rsidR="00E248BE">
        <w:rPr>
          <w:szCs w:val="26"/>
        </w:rPr>
        <w:t xml:space="preserve">of the public interest </w:t>
      </w:r>
      <w:r w:rsidR="00EE15DD">
        <w:rPr>
          <w:szCs w:val="26"/>
        </w:rPr>
        <w:t xml:space="preserve">and not be tethered </w:t>
      </w:r>
      <w:r w:rsidR="00E248BE">
        <w:rPr>
          <w:szCs w:val="26"/>
        </w:rPr>
        <w:t>by</w:t>
      </w:r>
      <w:r w:rsidR="00EE15DD">
        <w:rPr>
          <w:szCs w:val="26"/>
        </w:rPr>
        <w:t xml:space="preserve"> time</w:t>
      </w:r>
      <w:r w:rsidR="00E248BE">
        <w:rPr>
          <w:szCs w:val="26"/>
        </w:rPr>
        <w:t xml:space="preserve"> </w:t>
      </w:r>
      <w:r w:rsidR="00EE15DD">
        <w:rPr>
          <w:szCs w:val="26"/>
        </w:rPr>
        <w:t>tunnel vision.</w:t>
      </w:r>
      <w:r w:rsidR="00142A41">
        <w:rPr>
          <w:szCs w:val="26"/>
        </w:rPr>
        <w:t xml:space="preserve"> </w:t>
      </w:r>
      <w:r w:rsidR="00DB54B0">
        <w:rPr>
          <w:szCs w:val="26"/>
        </w:rPr>
        <w:t xml:space="preserve"> </w:t>
      </w:r>
    </w:p>
    <w:p w:rsidR="00D86E0A" w:rsidP="00523A1C" w:rsidRDefault="00D86E0A" w14:paraId="54A1600D" w14:textId="60360F83">
      <w:pPr>
        <w:pStyle w:val="Standard"/>
        <w:rPr>
          <w:szCs w:val="26"/>
        </w:rPr>
      </w:pPr>
      <w:r>
        <w:rPr>
          <w:szCs w:val="26"/>
        </w:rPr>
        <w:lastRenderedPageBreak/>
        <w:t>The Commission’s authority to impose reasonable conditions for approval of the Restructuring is well-settled.</w:t>
      </w:r>
      <w:r w:rsidR="00CD74AC">
        <w:rPr>
          <w:szCs w:val="26"/>
        </w:rPr>
        <w:t xml:space="preserve"> </w:t>
      </w:r>
      <w:r>
        <w:rPr>
          <w:szCs w:val="26"/>
        </w:rPr>
        <w:t xml:space="preserve"> </w:t>
      </w:r>
      <w:r w:rsidR="00AC2B83">
        <w:rPr>
          <w:szCs w:val="26"/>
        </w:rPr>
        <w:t>Under Pub. Util. Code Section 854</w:t>
      </w:r>
      <w:r w:rsidR="0009794E">
        <w:rPr>
          <w:szCs w:val="26"/>
        </w:rPr>
        <w:t>, the Commission shall consider reasonable options from other parties,</w:t>
      </w:r>
      <w:r w:rsidR="0009794E">
        <w:rPr>
          <w:rStyle w:val="FootnoteReference"/>
          <w:szCs w:val="26"/>
        </w:rPr>
        <w:footnoteReference w:id="27"/>
      </w:r>
      <w:r w:rsidR="0009794E">
        <w:rPr>
          <w:szCs w:val="26"/>
        </w:rPr>
        <w:t xml:space="preserve"> and it is directed to consider “mitigation measures to prevent significant adverse consequences that may result.</w:t>
      </w:r>
      <w:r w:rsidR="0009794E">
        <w:rPr>
          <w:rStyle w:val="FootnoteReference"/>
          <w:szCs w:val="26"/>
        </w:rPr>
        <w:footnoteReference w:id="28"/>
      </w:r>
      <w:r w:rsidR="0009794E">
        <w:rPr>
          <w:szCs w:val="26"/>
        </w:rPr>
        <w:t xml:space="preserve"> </w:t>
      </w:r>
      <w:r w:rsidR="00B725EE">
        <w:rPr>
          <w:szCs w:val="26"/>
        </w:rPr>
        <w:t xml:space="preserve"> </w:t>
      </w:r>
      <w:r w:rsidR="00DB54B0">
        <w:rPr>
          <w:szCs w:val="26"/>
        </w:rPr>
        <w:t>T</w:t>
      </w:r>
      <w:r w:rsidR="0009794E">
        <w:rPr>
          <w:szCs w:val="26"/>
        </w:rPr>
        <w:t xml:space="preserve">he Commission has </w:t>
      </w:r>
      <w:r w:rsidR="000D46E5">
        <w:rPr>
          <w:szCs w:val="26"/>
        </w:rPr>
        <w:t>a fundamental responsibility to thoroughly consider the evidentiary record, determine the applicable f</w:t>
      </w:r>
      <w:r w:rsidR="006043C5">
        <w:rPr>
          <w:szCs w:val="26"/>
        </w:rPr>
        <w:t>ac</w:t>
      </w:r>
      <w:r w:rsidR="000D46E5">
        <w:rPr>
          <w:szCs w:val="26"/>
        </w:rPr>
        <w:t>ts and law, and then exercise its reasonable discretion to craft appropriate remedies.</w:t>
      </w:r>
      <w:r w:rsidR="00DB54B0">
        <w:rPr>
          <w:rStyle w:val="FootnoteReference"/>
          <w:szCs w:val="26"/>
        </w:rPr>
        <w:footnoteReference w:id="29"/>
      </w:r>
      <w:r w:rsidR="000D46E5">
        <w:rPr>
          <w:szCs w:val="26"/>
        </w:rPr>
        <w:t xml:space="preserve"> </w:t>
      </w:r>
      <w:r w:rsidR="00B725EE">
        <w:rPr>
          <w:szCs w:val="26"/>
        </w:rPr>
        <w:t xml:space="preserve"> </w:t>
      </w:r>
      <w:r w:rsidR="00AC2B83">
        <w:rPr>
          <w:szCs w:val="26"/>
        </w:rPr>
        <w:t xml:space="preserve">Further, </w:t>
      </w:r>
      <w:r w:rsidR="00070A99">
        <w:rPr>
          <w:szCs w:val="26"/>
        </w:rPr>
        <w:t>the California Court of Appeal</w:t>
      </w:r>
      <w:r w:rsidR="00AC2B83">
        <w:rPr>
          <w:szCs w:val="26"/>
        </w:rPr>
        <w:t xml:space="preserve"> </w:t>
      </w:r>
      <w:r w:rsidR="00070A99">
        <w:rPr>
          <w:szCs w:val="26"/>
        </w:rPr>
        <w:t xml:space="preserve">has </w:t>
      </w:r>
      <w:r w:rsidR="00AC2B83">
        <w:rPr>
          <w:szCs w:val="26"/>
        </w:rPr>
        <w:t>recognize</w:t>
      </w:r>
      <w:r w:rsidR="00070A99">
        <w:rPr>
          <w:szCs w:val="26"/>
        </w:rPr>
        <w:t>d</w:t>
      </w:r>
      <w:r w:rsidR="00AC2B83">
        <w:rPr>
          <w:szCs w:val="26"/>
        </w:rPr>
        <w:t xml:space="preserve"> that t</w:t>
      </w:r>
      <w:r w:rsidR="00DB54B0">
        <w:rPr>
          <w:szCs w:val="26"/>
        </w:rPr>
        <w:t>he Commission has the authority under Pub. Util. Code Section 854 to fashion its own conditions.</w:t>
      </w:r>
      <w:r w:rsidR="00DB54B0">
        <w:rPr>
          <w:rStyle w:val="FootnoteReference"/>
          <w:szCs w:val="26"/>
        </w:rPr>
        <w:footnoteReference w:id="30"/>
      </w:r>
      <w:r w:rsidR="00DB54B0">
        <w:rPr>
          <w:szCs w:val="26"/>
        </w:rPr>
        <w:t xml:space="preserve"> </w:t>
      </w:r>
    </w:p>
    <w:p w:rsidR="00523A1C" w:rsidP="00523A1C" w:rsidRDefault="00AC2B83" w14:paraId="6A8D3D9E" w14:textId="2654E072">
      <w:pPr>
        <w:pStyle w:val="Standard"/>
      </w:pPr>
      <w:r>
        <w:rPr>
          <w:szCs w:val="26"/>
        </w:rPr>
        <w:t>Before the Settlement Agreements</w:t>
      </w:r>
      <w:r w:rsidR="008E2982">
        <w:rPr>
          <w:szCs w:val="26"/>
        </w:rPr>
        <w:t>,</w:t>
      </w:r>
      <w:r w:rsidR="002E75FE">
        <w:rPr>
          <w:rStyle w:val="FootnoteReference"/>
          <w:szCs w:val="26"/>
        </w:rPr>
        <w:footnoteReference w:id="31"/>
      </w:r>
      <w:r>
        <w:rPr>
          <w:szCs w:val="26"/>
        </w:rPr>
        <w:t xml:space="preserve"> Frontier </w:t>
      </w:r>
      <w:r w:rsidR="002F05CB">
        <w:rPr>
          <w:szCs w:val="26"/>
        </w:rPr>
        <w:t>asserted</w:t>
      </w:r>
      <w:r>
        <w:rPr>
          <w:szCs w:val="26"/>
        </w:rPr>
        <w:t xml:space="preserve"> that the “Intervenors’ proposed conditions are unnecessary and, in most cases, harmful because they would constrain the strategic discernment and management of a </w:t>
      </w:r>
      <w:r>
        <w:rPr>
          <w:szCs w:val="26"/>
        </w:rPr>
        <w:lastRenderedPageBreak/>
        <w:t>telecommunications carrier.”</w:t>
      </w:r>
      <w:r>
        <w:rPr>
          <w:rStyle w:val="FootnoteReference"/>
          <w:szCs w:val="26"/>
        </w:rPr>
        <w:footnoteReference w:id="32"/>
      </w:r>
      <w:r>
        <w:rPr>
          <w:szCs w:val="26"/>
        </w:rPr>
        <w:t xml:space="preserve"> </w:t>
      </w:r>
      <w:r w:rsidR="00B725EE">
        <w:rPr>
          <w:szCs w:val="26"/>
        </w:rPr>
        <w:t xml:space="preserve"> </w:t>
      </w:r>
      <w:r>
        <w:rPr>
          <w:szCs w:val="26"/>
        </w:rPr>
        <w:t xml:space="preserve">Frontier stated that “saddling Frontier with company-specific regulations in a dynamic industry would only impair Frontier’s ability to compete and distort the competitive market to the public’s detriment and would undermine its ability to help </w:t>
      </w:r>
      <w:r w:rsidR="006043C5">
        <w:rPr>
          <w:szCs w:val="26"/>
        </w:rPr>
        <w:t>ac</w:t>
      </w:r>
      <w:r>
        <w:rPr>
          <w:szCs w:val="26"/>
        </w:rPr>
        <w:t>hieve the Commission’s public policy goals.</w:t>
      </w:r>
      <w:r w:rsidR="0016731D">
        <w:rPr>
          <w:szCs w:val="26"/>
        </w:rPr>
        <w:t>”</w:t>
      </w:r>
      <w:r>
        <w:rPr>
          <w:rStyle w:val="FootnoteReference"/>
          <w:szCs w:val="26"/>
        </w:rPr>
        <w:footnoteReference w:id="33"/>
      </w:r>
      <w:r w:rsidR="00B725EE">
        <w:rPr>
          <w:szCs w:val="26"/>
        </w:rPr>
        <w:t xml:space="preserve"> </w:t>
      </w:r>
      <w:r>
        <w:rPr>
          <w:szCs w:val="26"/>
        </w:rPr>
        <w:t xml:space="preserve"> Frontier changed course </w:t>
      </w:r>
      <w:r w:rsidR="008E2982">
        <w:rPr>
          <w:szCs w:val="26"/>
        </w:rPr>
        <w:t>by</w:t>
      </w:r>
      <w:r>
        <w:rPr>
          <w:szCs w:val="26"/>
        </w:rPr>
        <w:t xml:space="preserve"> entering into the Settlement Agreements, which contain extensive conditions</w:t>
      </w:r>
      <w:r w:rsidR="00D86E0A">
        <w:rPr>
          <w:szCs w:val="26"/>
        </w:rPr>
        <w:t xml:space="preserve"> that were not part of the Restructuring.</w:t>
      </w:r>
      <w:r w:rsidR="00B725EE">
        <w:rPr>
          <w:szCs w:val="26"/>
        </w:rPr>
        <w:t xml:space="preserve"> </w:t>
      </w:r>
      <w:r w:rsidR="00D86E0A">
        <w:rPr>
          <w:szCs w:val="26"/>
        </w:rPr>
        <w:t xml:space="preserve"> </w:t>
      </w:r>
      <w:r w:rsidR="009B5822">
        <w:rPr>
          <w:szCs w:val="26"/>
        </w:rPr>
        <w:t>B</w:t>
      </w:r>
      <w:r w:rsidR="00D501C6">
        <w:rPr>
          <w:szCs w:val="26"/>
        </w:rPr>
        <w:t>oth the authorities cited above and Frontier’s willingness to accept</w:t>
      </w:r>
      <w:r w:rsidR="009B5822">
        <w:rPr>
          <w:szCs w:val="26"/>
        </w:rPr>
        <w:t xml:space="preserve"> numerous additional conditions in the Settlement Agreements support our view that the Commission has broad discretion to impose conditions on approval of the Application. </w:t>
      </w:r>
      <w:r w:rsidR="00B725EE">
        <w:rPr>
          <w:szCs w:val="26"/>
        </w:rPr>
        <w:t xml:space="preserve"> </w:t>
      </w:r>
      <w:r w:rsidR="00DB54B0">
        <w:rPr>
          <w:szCs w:val="26"/>
        </w:rPr>
        <w:t>In the following sections, we</w:t>
      </w:r>
      <w:r w:rsidR="0088242F">
        <w:rPr>
          <w:szCs w:val="26"/>
        </w:rPr>
        <w:t xml:space="preserve"> </w:t>
      </w:r>
      <w:r w:rsidR="00DB54B0">
        <w:rPr>
          <w:szCs w:val="26"/>
        </w:rPr>
        <w:t xml:space="preserve">consider </w:t>
      </w:r>
      <w:r w:rsidR="00740DE2">
        <w:rPr>
          <w:szCs w:val="26"/>
        </w:rPr>
        <w:t xml:space="preserve">whether the conditions contained in the Settlement Agreements and additional conditions are required </w:t>
      </w:r>
      <w:r w:rsidR="0016581B">
        <w:rPr>
          <w:szCs w:val="26"/>
        </w:rPr>
        <w:t>for</w:t>
      </w:r>
      <w:r w:rsidR="00740DE2">
        <w:rPr>
          <w:szCs w:val="26"/>
        </w:rPr>
        <w:t xml:space="preserve"> the Restructuring </w:t>
      </w:r>
      <w:r w:rsidR="0016581B">
        <w:rPr>
          <w:szCs w:val="26"/>
        </w:rPr>
        <w:t>to be</w:t>
      </w:r>
      <w:r w:rsidR="00740DE2">
        <w:rPr>
          <w:szCs w:val="26"/>
        </w:rPr>
        <w:t xml:space="preserve"> in the public interest.</w:t>
      </w:r>
    </w:p>
    <w:p w:rsidR="00DC4D7B" w:rsidP="00CD74AC" w:rsidRDefault="0009794E" w14:paraId="3EC0369B" w14:textId="2A4F54C9">
      <w:pPr>
        <w:pStyle w:val="Heading3"/>
      </w:pPr>
      <w:bookmarkStart w:name="_Toc67556512" w:id="17"/>
      <w:r>
        <w:t xml:space="preserve">Short-Term and Long-Term </w:t>
      </w:r>
      <w:r w:rsidR="009F37B0">
        <w:t>E</w:t>
      </w:r>
      <w:r w:rsidR="00F65D17">
        <w:t>conomic</w:t>
      </w:r>
      <w:r w:rsidR="00CD74AC">
        <w:br/>
      </w:r>
      <w:r w:rsidR="00F65D17">
        <w:t>Benefits to Ratepayers</w:t>
      </w:r>
      <w:bookmarkEnd w:id="17"/>
      <w:r w:rsidR="00807DEA">
        <w:t xml:space="preserve"> </w:t>
      </w:r>
      <w:r w:rsidR="001028AB">
        <w:t xml:space="preserve"> </w:t>
      </w:r>
    </w:p>
    <w:p w:rsidR="007E6F6B" w:rsidP="002313E8" w:rsidRDefault="0016581B" w14:paraId="2308B71E" w14:textId="516838B9">
      <w:pPr>
        <w:pStyle w:val="Default"/>
        <w:spacing w:line="360" w:lineRule="auto"/>
        <w:ind w:firstLine="720"/>
        <w:rPr>
          <w:rFonts w:ascii="Book Antiqua" w:hAnsi="Book Antiqua"/>
          <w:sz w:val="26"/>
          <w:szCs w:val="26"/>
        </w:rPr>
      </w:pPr>
      <w:r>
        <w:rPr>
          <w:rFonts w:ascii="Book Antiqua" w:hAnsi="Book Antiqua"/>
          <w:sz w:val="26"/>
          <w:szCs w:val="26"/>
        </w:rPr>
        <w:t xml:space="preserve">Under Pub. Util. Code Section 854(b)(1), Commission authorization for the Restructuring requires a finding of short-term and long-term economic benefits to ratepayers. </w:t>
      </w:r>
      <w:r w:rsidR="00B725EE">
        <w:rPr>
          <w:rFonts w:ascii="Book Antiqua" w:hAnsi="Book Antiqua"/>
          <w:sz w:val="26"/>
          <w:szCs w:val="26"/>
        </w:rPr>
        <w:t xml:space="preserve"> </w:t>
      </w:r>
      <w:r w:rsidR="00FE0A5E">
        <w:rPr>
          <w:rFonts w:ascii="Book Antiqua" w:hAnsi="Book Antiqua"/>
          <w:sz w:val="26"/>
          <w:szCs w:val="26"/>
        </w:rPr>
        <w:t xml:space="preserve">Frontier asserts that the </w:t>
      </w:r>
      <w:r>
        <w:rPr>
          <w:rFonts w:ascii="Book Antiqua" w:hAnsi="Book Antiqua"/>
          <w:sz w:val="26"/>
          <w:szCs w:val="26"/>
        </w:rPr>
        <w:t>Restructuring</w:t>
      </w:r>
      <w:r w:rsidR="00C33BE6">
        <w:rPr>
          <w:rFonts w:ascii="Book Antiqua" w:hAnsi="Book Antiqua"/>
          <w:sz w:val="26"/>
          <w:szCs w:val="26"/>
        </w:rPr>
        <w:t xml:space="preserve"> satisfies this requirement because the </w:t>
      </w:r>
      <w:r w:rsidR="00FE0A5E">
        <w:rPr>
          <w:rFonts w:ascii="Book Antiqua" w:hAnsi="Book Antiqua"/>
          <w:sz w:val="26"/>
          <w:szCs w:val="26"/>
        </w:rPr>
        <w:t xml:space="preserve">anticipated debt reduction and </w:t>
      </w:r>
      <w:r>
        <w:rPr>
          <w:rFonts w:ascii="Book Antiqua" w:hAnsi="Book Antiqua"/>
          <w:sz w:val="26"/>
          <w:szCs w:val="26"/>
        </w:rPr>
        <w:t xml:space="preserve">corporate </w:t>
      </w:r>
      <w:r w:rsidR="00FE0A5E">
        <w:rPr>
          <w:rFonts w:ascii="Book Antiqua" w:hAnsi="Book Antiqua"/>
          <w:sz w:val="26"/>
          <w:szCs w:val="26"/>
        </w:rPr>
        <w:t xml:space="preserve">reorganization will position the California </w:t>
      </w:r>
      <w:r w:rsidR="002E4C0E">
        <w:rPr>
          <w:rFonts w:ascii="Book Antiqua" w:hAnsi="Book Antiqua"/>
          <w:sz w:val="26"/>
          <w:szCs w:val="26"/>
        </w:rPr>
        <w:t>S</w:t>
      </w:r>
      <w:r w:rsidR="00FE0A5E">
        <w:rPr>
          <w:rFonts w:ascii="Book Antiqua" w:hAnsi="Book Antiqua"/>
          <w:sz w:val="26"/>
          <w:szCs w:val="26"/>
        </w:rPr>
        <w:t>ubsidiaries to be stronger providers of voice and broadband services, preserve competitive options for consumers</w:t>
      </w:r>
      <w:r>
        <w:rPr>
          <w:rFonts w:ascii="Book Antiqua" w:hAnsi="Book Antiqua"/>
          <w:sz w:val="26"/>
          <w:szCs w:val="26"/>
        </w:rPr>
        <w:t>,</w:t>
      </w:r>
      <w:r w:rsidR="00FE0A5E">
        <w:rPr>
          <w:rFonts w:ascii="Book Antiqua" w:hAnsi="Book Antiqua"/>
          <w:sz w:val="26"/>
          <w:szCs w:val="26"/>
        </w:rPr>
        <w:t xml:space="preserve"> and enhance Frontier’s ability to meet customers’</w:t>
      </w:r>
      <w:r w:rsidR="00625C06">
        <w:rPr>
          <w:rFonts w:ascii="Book Antiqua" w:hAnsi="Book Antiqua"/>
          <w:sz w:val="26"/>
          <w:szCs w:val="26"/>
        </w:rPr>
        <w:t xml:space="preserve"> forward-looking telecommunications needs.</w:t>
      </w:r>
      <w:r w:rsidR="00625C06">
        <w:rPr>
          <w:rStyle w:val="FootnoteReference"/>
          <w:rFonts w:ascii="Book Antiqua" w:hAnsi="Book Antiqua"/>
          <w:sz w:val="26"/>
          <w:szCs w:val="26"/>
        </w:rPr>
        <w:footnoteReference w:id="34"/>
      </w:r>
      <w:r w:rsidR="00625C06">
        <w:rPr>
          <w:rFonts w:ascii="Book Antiqua" w:hAnsi="Book Antiqua"/>
          <w:sz w:val="26"/>
          <w:szCs w:val="26"/>
        </w:rPr>
        <w:t xml:space="preserve"> </w:t>
      </w:r>
    </w:p>
    <w:p w:rsidR="00E027F6" w:rsidP="002313E8" w:rsidRDefault="00E027F6" w14:paraId="43C5EA5C" w14:textId="7532F87A">
      <w:pPr>
        <w:pStyle w:val="Default"/>
        <w:spacing w:line="360" w:lineRule="auto"/>
        <w:ind w:firstLine="720"/>
        <w:rPr>
          <w:rFonts w:ascii="Book Antiqua" w:hAnsi="Book Antiqua"/>
          <w:sz w:val="26"/>
          <w:szCs w:val="26"/>
        </w:rPr>
      </w:pPr>
      <w:r>
        <w:rPr>
          <w:rFonts w:ascii="Book Antiqua" w:hAnsi="Book Antiqua"/>
          <w:sz w:val="26"/>
          <w:szCs w:val="26"/>
        </w:rPr>
        <w:lastRenderedPageBreak/>
        <w:t xml:space="preserve">In the bankruptcy proceeding, Frontier presented three possible national </w:t>
      </w:r>
      <w:r w:rsidR="001862CF">
        <w:rPr>
          <w:rFonts w:ascii="Book Antiqua" w:hAnsi="Book Antiqua"/>
          <w:sz w:val="26"/>
          <w:szCs w:val="26"/>
        </w:rPr>
        <w:t xml:space="preserve">post-Restructuring </w:t>
      </w:r>
      <w:r>
        <w:rPr>
          <w:rFonts w:ascii="Book Antiqua" w:hAnsi="Book Antiqua"/>
          <w:sz w:val="26"/>
          <w:szCs w:val="26"/>
        </w:rPr>
        <w:t>investment paths</w:t>
      </w:r>
      <w:r w:rsidR="00C33BE6">
        <w:rPr>
          <w:rFonts w:ascii="Book Antiqua" w:hAnsi="Book Antiqua"/>
          <w:sz w:val="26"/>
          <w:szCs w:val="26"/>
        </w:rPr>
        <w:t xml:space="preserve">: </w:t>
      </w:r>
      <w:proofErr w:type="gramStart"/>
      <w:r>
        <w:rPr>
          <w:rFonts w:ascii="Book Antiqua" w:hAnsi="Book Antiqua"/>
          <w:sz w:val="26"/>
          <w:szCs w:val="26"/>
        </w:rPr>
        <w:t>the</w:t>
      </w:r>
      <w:proofErr w:type="gramEnd"/>
      <w:r>
        <w:rPr>
          <w:rFonts w:ascii="Book Antiqua" w:hAnsi="Book Antiqua"/>
          <w:sz w:val="26"/>
          <w:szCs w:val="26"/>
        </w:rPr>
        <w:t xml:space="preserve"> Base Case plan, the Reinvestment Case plan, and the Alternative Reinvestment Case plan.</w:t>
      </w:r>
      <w:r w:rsidR="00CD74AC">
        <w:rPr>
          <w:rFonts w:ascii="Book Antiqua" w:hAnsi="Book Antiqua"/>
          <w:sz w:val="26"/>
          <w:szCs w:val="26"/>
        </w:rPr>
        <w:t xml:space="preserve"> </w:t>
      </w:r>
      <w:r>
        <w:rPr>
          <w:rFonts w:ascii="Book Antiqua" w:hAnsi="Book Antiqua"/>
          <w:sz w:val="26"/>
          <w:szCs w:val="26"/>
        </w:rPr>
        <w:t xml:space="preserve"> The Base Case plan contains final projections that reflect the imp</w:t>
      </w:r>
      <w:r w:rsidR="006043C5">
        <w:rPr>
          <w:rFonts w:ascii="Book Antiqua" w:hAnsi="Book Antiqua"/>
          <w:sz w:val="26"/>
          <w:szCs w:val="26"/>
        </w:rPr>
        <w:t>ac</w:t>
      </w:r>
      <w:r>
        <w:rPr>
          <w:rFonts w:ascii="Book Antiqua" w:hAnsi="Book Antiqua"/>
          <w:sz w:val="26"/>
          <w:szCs w:val="26"/>
        </w:rPr>
        <w:t xml:space="preserve">t of COVID-19 and </w:t>
      </w:r>
      <w:r w:rsidR="005C064B">
        <w:rPr>
          <w:rFonts w:ascii="Book Antiqua" w:hAnsi="Book Antiqua"/>
          <w:sz w:val="26"/>
          <w:szCs w:val="26"/>
        </w:rPr>
        <w:t>information regarding Frontier’s major wholesale customers.</w:t>
      </w:r>
      <w:r w:rsidR="00CD74AC">
        <w:rPr>
          <w:rFonts w:ascii="Book Antiqua" w:hAnsi="Book Antiqua"/>
          <w:sz w:val="26"/>
          <w:szCs w:val="26"/>
        </w:rPr>
        <w:t xml:space="preserve"> </w:t>
      </w:r>
      <w:r w:rsidR="005C064B">
        <w:rPr>
          <w:rFonts w:ascii="Book Antiqua" w:hAnsi="Book Antiqua"/>
          <w:sz w:val="26"/>
          <w:szCs w:val="26"/>
        </w:rPr>
        <w:t xml:space="preserve"> Capital investment under the Base Case plan is limited to approved or existing capital projects.</w:t>
      </w:r>
      <w:r w:rsidR="00DE5589">
        <w:rPr>
          <w:rStyle w:val="FootnoteReference"/>
          <w:rFonts w:ascii="Book Antiqua" w:hAnsi="Book Antiqua"/>
          <w:sz w:val="26"/>
          <w:szCs w:val="26"/>
        </w:rPr>
        <w:footnoteReference w:id="35"/>
      </w:r>
      <w:r w:rsidR="005C064B">
        <w:rPr>
          <w:rFonts w:ascii="Book Antiqua" w:hAnsi="Book Antiqua"/>
          <w:sz w:val="26"/>
          <w:szCs w:val="26"/>
        </w:rPr>
        <w:t xml:space="preserve"> </w:t>
      </w:r>
      <w:r w:rsidR="00CD74AC">
        <w:rPr>
          <w:rFonts w:ascii="Book Antiqua" w:hAnsi="Book Antiqua"/>
          <w:sz w:val="26"/>
          <w:szCs w:val="26"/>
        </w:rPr>
        <w:t xml:space="preserve"> </w:t>
      </w:r>
      <w:r w:rsidR="005C064B">
        <w:rPr>
          <w:rFonts w:ascii="Book Antiqua" w:hAnsi="Book Antiqua"/>
          <w:sz w:val="26"/>
          <w:szCs w:val="26"/>
        </w:rPr>
        <w:t>The Base Case plan does not include descriptions of new California broadband deployment after the Restructuring</w:t>
      </w:r>
      <w:r w:rsidR="00F4119E">
        <w:rPr>
          <w:rFonts w:ascii="Book Antiqua" w:hAnsi="Book Antiqua"/>
          <w:sz w:val="26"/>
          <w:szCs w:val="26"/>
        </w:rPr>
        <w:t xml:space="preserve">.  </w:t>
      </w:r>
      <w:r w:rsidR="005C064B">
        <w:rPr>
          <w:rFonts w:ascii="Book Antiqua" w:hAnsi="Book Antiqua"/>
          <w:sz w:val="26"/>
          <w:szCs w:val="26"/>
        </w:rPr>
        <w:t>Cal Advocates concludes that the Base Case plan does not support Frontier’s claim that the Restructuring will have significant short-term and long</w:t>
      </w:r>
      <w:r w:rsidR="00CD74AC">
        <w:rPr>
          <w:rFonts w:ascii="Book Antiqua" w:hAnsi="Book Antiqua"/>
          <w:sz w:val="26"/>
          <w:szCs w:val="26"/>
        </w:rPr>
        <w:noBreakHyphen/>
      </w:r>
      <w:r w:rsidR="005C064B">
        <w:rPr>
          <w:rFonts w:ascii="Book Antiqua" w:hAnsi="Book Antiqua"/>
          <w:sz w:val="26"/>
          <w:szCs w:val="26"/>
        </w:rPr>
        <w:t>term economic benefits to California customers.</w:t>
      </w:r>
      <w:r w:rsidR="005C064B">
        <w:rPr>
          <w:rStyle w:val="FootnoteReference"/>
          <w:rFonts w:ascii="Book Antiqua" w:hAnsi="Book Antiqua"/>
          <w:sz w:val="26"/>
          <w:szCs w:val="26"/>
        </w:rPr>
        <w:footnoteReference w:id="36"/>
      </w:r>
      <w:r w:rsidR="00CD74AC">
        <w:rPr>
          <w:rFonts w:ascii="Book Antiqua" w:hAnsi="Book Antiqua"/>
          <w:sz w:val="26"/>
          <w:szCs w:val="26"/>
        </w:rPr>
        <w:t xml:space="preserve"> </w:t>
      </w:r>
      <w:r w:rsidR="005C064B">
        <w:rPr>
          <w:rFonts w:ascii="Book Antiqua" w:hAnsi="Book Antiqua"/>
          <w:sz w:val="26"/>
          <w:szCs w:val="26"/>
        </w:rPr>
        <w:t xml:space="preserve"> </w:t>
      </w:r>
      <w:r w:rsidR="00DE74A5">
        <w:rPr>
          <w:rFonts w:ascii="Book Antiqua" w:hAnsi="Book Antiqua"/>
          <w:sz w:val="26"/>
          <w:szCs w:val="26"/>
        </w:rPr>
        <w:t>The Reinvestment Case and Alternative Reinvestment Case plans provide for investments identified by Frontier as Brownfield Overbuild, Tower/Small Cell, RDOF, and Future Densification/Edge Out.</w:t>
      </w:r>
      <w:r w:rsidR="00CD74AC">
        <w:rPr>
          <w:rFonts w:ascii="Book Antiqua" w:hAnsi="Book Antiqua"/>
          <w:sz w:val="26"/>
          <w:szCs w:val="26"/>
        </w:rPr>
        <w:t xml:space="preserve"> </w:t>
      </w:r>
      <w:r w:rsidR="00DE74A5">
        <w:rPr>
          <w:rFonts w:ascii="Book Antiqua" w:hAnsi="Book Antiqua"/>
          <w:sz w:val="26"/>
          <w:szCs w:val="26"/>
        </w:rPr>
        <w:t xml:space="preserve"> </w:t>
      </w:r>
      <w:r w:rsidR="0000576C">
        <w:rPr>
          <w:rFonts w:ascii="Book Antiqua" w:hAnsi="Book Antiqua"/>
          <w:sz w:val="26"/>
          <w:szCs w:val="26"/>
        </w:rPr>
        <w:t>Cal Advocates concludes that Frontier would prioritize fiber deployment in California to only 455,000 locations under the Reinvestment Case and Alternative Reinvestment Case.</w:t>
      </w:r>
      <w:r w:rsidR="0000576C">
        <w:rPr>
          <w:rStyle w:val="FootnoteReference"/>
          <w:rFonts w:ascii="Book Antiqua" w:hAnsi="Book Antiqua"/>
          <w:sz w:val="26"/>
          <w:szCs w:val="26"/>
        </w:rPr>
        <w:footnoteReference w:id="37"/>
      </w:r>
      <w:r w:rsidR="0000576C">
        <w:rPr>
          <w:rFonts w:ascii="Book Antiqua" w:hAnsi="Book Antiqua"/>
          <w:sz w:val="26"/>
          <w:szCs w:val="26"/>
        </w:rPr>
        <w:t xml:space="preserve"> </w:t>
      </w:r>
      <w:r w:rsidR="00CD74AC">
        <w:rPr>
          <w:rFonts w:ascii="Book Antiqua" w:hAnsi="Book Antiqua"/>
          <w:sz w:val="26"/>
          <w:szCs w:val="26"/>
        </w:rPr>
        <w:t xml:space="preserve"> </w:t>
      </w:r>
      <w:r w:rsidR="00DE74A5">
        <w:rPr>
          <w:rFonts w:ascii="Book Antiqua" w:hAnsi="Book Antiqua"/>
          <w:sz w:val="26"/>
          <w:szCs w:val="26"/>
        </w:rPr>
        <w:t xml:space="preserve">Cal Advocates </w:t>
      </w:r>
      <w:r w:rsidR="00CF16BD">
        <w:rPr>
          <w:rFonts w:ascii="Book Antiqua" w:hAnsi="Book Antiqua"/>
          <w:sz w:val="26"/>
          <w:szCs w:val="26"/>
        </w:rPr>
        <w:t xml:space="preserve">also </w:t>
      </w:r>
      <w:r w:rsidR="00DE74A5">
        <w:rPr>
          <w:rFonts w:ascii="Book Antiqua" w:hAnsi="Book Antiqua"/>
          <w:sz w:val="26"/>
          <w:szCs w:val="26"/>
        </w:rPr>
        <w:t xml:space="preserve">asserts that Frontier has </w:t>
      </w:r>
      <w:r w:rsidR="009D280A">
        <w:rPr>
          <w:rFonts w:ascii="Book Antiqua" w:hAnsi="Book Antiqua"/>
          <w:sz w:val="26"/>
          <w:szCs w:val="26"/>
        </w:rPr>
        <w:t xml:space="preserve">not </w:t>
      </w:r>
      <w:r w:rsidR="007E0BE5">
        <w:rPr>
          <w:rFonts w:ascii="Book Antiqua" w:hAnsi="Book Antiqua"/>
          <w:sz w:val="26"/>
          <w:szCs w:val="26"/>
        </w:rPr>
        <w:t xml:space="preserve">identified </w:t>
      </w:r>
      <w:r w:rsidR="009D280A">
        <w:rPr>
          <w:rFonts w:ascii="Book Antiqua" w:hAnsi="Book Antiqua"/>
          <w:sz w:val="26"/>
          <w:szCs w:val="26"/>
        </w:rPr>
        <w:t>but should identify</w:t>
      </w:r>
      <w:r w:rsidR="00DE74A5">
        <w:rPr>
          <w:rFonts w:ascii="Book Antiqua" w:hAnsi="Book Antiqua"/>
          <w:sz w:val="26"/>
          <w:szCs w:val="26"/>
        </w:rPr>
        <w:t xml:space="preserve"> California-specific </w:t>
      </w:r>
      <w:r w:rsidR="00E84D9E">
        <w:rPr>
          <w:rFonts w:ascii="Book Antiqua" w:hAnsi="Book Antiqua"/>
          <w:sz w:val="26"/>
          <w:szCs w:val="26"/>
        </w:rPr>
        <w:t>i</w:t>
      </w:r>
      <w:r w:rsidR="00CF16BD">
        <w:rPr>
          <w:rFonts w:ascii="Book Antiqua" w:hAnsi="Book Antiqua"/>
          <w:sz w:val="26"/>
          <w:szCs w:val="26"/>
        </w:rPr>
        <w:t>nvestments</w:t>
      </w:r>
      <w:r w:rsidR="00DE74A5">
        <w:rPr>
          <w:rFonts w:ascii="Book Antiqua" w:hAnsi="Book Antiqua"/>
          <w:sz w:val="26"/>
          <w:szCs w:val="26"/>
        </w:rPr>
        <w:t>.</w:t>
      </w:r>
      <w:r w:rsidR="00DE74A5">
        <w:rPr>
          <w:rStyle w:val="FootnoteReference"/>
          <w:rFonts w:ascii="Book Antiqua" w:hAnsi="Book Antiqua"/>
          <w:sz w:val="26"/>
          <w:szCs w:val="26"/>
        </w:rPr>
        <w:footnoteReference w:id="38"/>
      </w:r>
    </w:p>
    <w:p w:rsidR="009D280A" w:rsidP="002313E8" w:rsidRDefault="00CF16BD" w14:paraId="5AE098D1" w14:textId="473C9295">
      <w:pPr>
        <w:pStyle w:val="Default"/>
        <w:spacing w:line="360" w:lineRule="auto"/>
        <w:ind w:firstLine="720"/>
        <w:rPr>
          <w:rFonts w:ascii="Book Antiqua" w:hAnsi="Book Antiqua"/>
          <w:sz w:val="26"/>
          <w:szCs w:val="26"/>
        </w:rPr>
      </w:pPr>
      <w:r>
        <w:rPr>
          <w:rFonts w:ascii="Book Antiqua" w:hAnsi="Book Antiqua"/>
          <w:sz w:val="26"/>
          <w:szCs w:val="26"/>
        </w:rPr>
        <w:t>B</w:t>
      </w:r>
      <w:r w:rsidR="00E64B31">
        <w:rPr>
          <w:rFonts w:ascii="Book Antiqua" w:hAnsi="Book Antiqua"/>
          <w:sz w:val="26"/>
          <w:szCs w:val="26"/>
        </w:rPr>
        <w:t xml:space="preserve">efore the Settlement Agreements, </w:t>
      </w:r>
      <w:r>
        <w:rPr>
          <w:rFonts w:ascii="Book Antiqua" w:hAnsi="Book Antiqua"/>
          <w:sz w:val="26"/>
          <w:szCs w:val="26"/>
        </w:rPr>
        <w:t xml:space="preserve">Frontier argued </w:t>
      </w:r>
      <w:r w:rsidR="00E64B31">
        <w:rPr>
          <w:rFonts w:ascii="Book Antiqua" w:hAnsi="Book Antiqua"/>
          <w:sz w:val="26"/>
          <w:szCs w:val="26"/>
        </w:rPr>
        <w:t>that the Restructuring’s debt reduction and corporate reorganization</w:t>
      </w:r>
      <w:r w:rsidR="00115507">
        <w:rPr>
          <w:rFonts w:ascii="Book Antiqua" w:hAnsi="Book Antiqua"/>
          <w:sz w:val="26"/>
          <w:szCs w:val="26"/>
        </w:rPr>
        <w:t xml:space="preserve"> will make </w:t>
      </w:r>
      <w:r>
        <w:rPr>
          <w:rFonts w:ascii="Book Antiqua" w:hAnsi="Book Antiqua"/>
          <w:sz w:val="26"/>
          <w:szCs w:val="26"/>
        </w:rPr>
        <w:t>the</w:t>
      </w:r>
      <w:r w:rsidR="00115507">
        <w:rPr>
          <w:rFonts w:ascii="Book Antiqua" w:hAnsi="Book Antiqua"/>
          <w:sz w:val="26"/>
          <w:szCs w:val="26"/>
        </w:rPr>
        <w:t xml:space="preserve"> California </w:t>
      </w:r>
      <w:r>
        <w:rPr>
          <w:rFonts w:ascii="Book Antiqua" w:hAnsi="Book Antiqua"/>
          <w:sz w:val="26"/>
          <w:szCs w:val="26"/>
        </w:rPr>
        <w:t>S</w:t>
      </w:r>
      <w:r w:rsidR="00115507">
        <w:rPr>
          <w:rFonts w:ascii="Book Antiqua" w:hAnsi="Book Antiqua"/>
          <w:sz w:val="26"/>
          <w:szCs w:val="26"/>
        </w:rPr>
        <w:t>ubsidiaries “stronger” and “enhance” its ability to meet customer telecommunications needs</w:t>
      </w:r>
      <w:r>
        <w:rPr>
          <w:rFonts w:ascii="Book Antiqua" w:hAnsi="Book Antiqua"/>
          <w:sz w:val="26"/>
          <w:szCs w:val="26"/>
        </w:rPr>
        <w:t>.</w:t>
      </w:r>
      <w:r w:rsidR="002F568F">
        <w:rPr>
          <w:rStyle w:val="FootnoteReference"/>
          <w:rFonts w:ascii="Book Antiqua" w:hAnsi="Book Antiqua"/>
          <w:sz w:val="26"/>
          <w:szCs w:val="26"/>
        </w:rPr>
        <w:footnoteReference w:id="39"/>
      </w:r>
      <w:r w:rsidR="00115507">
        <w:rPr>
          <w:rFonts w:ascii="Book Antiqua" w:hAnsi="Book Antiqua"/>
          <w:sz w:val="26"/>
          <w:szCs w:val="26"/>
        </w:rPr>
        <w:t xml:space="preserve"> </w:t>
      </w:r>
      <w:r w:rsidR="00CD74AC">
        <w:rPr>
          <w:rFonts w:ascii="Book Antiqua" w:hAnsi="Book Antiqua"/>
          <w:sz w:val="26"/>
          <w:szCs w:val="26"/>
        </w:rPr>
        <w:t xml:space="preserve"> </w:t>
      </w:r>
      <w:r w:rsidR="003F200F">
        <w:rPr>
          <w:rFonts w:ascii="Book Antiqua" w:hAnsi="Book Antiqua"/>
          <w:sz w:val="26"/>
          <w:szCs w:val="26"/>
        </w:rPr>
        <w:t>T</w:t>
      </w:r>
      <w:r>
        <w:rPr>
          <w:rFonts w:ascii="Book Antiqua" w:hAnsi="Book Antiqua"/>
          <w:sz w:val="26"/>
          <w:szCs w:val="26"/>
        </w:rPr>
        <w:t xml:space="preserve">hose general arguments </w:t>
      </w:r>
      <w:r w:rsidR="0032555C">
        <w:rPr>
          <w:rFonts w:ascii="Book Antiqua" w:hAnsi="Book Antiqua"/>
          <w:sz w:val="26"/>
          <w:szCs w:val="26"/>
        </w:rPr>
        <w:t xml:space="preserve">do not tie the </w:t>
      </w:r>
      <w:r w:rsidR="0032555C">
        <w:rPr>
          <w:rFonts w:ascii="Book Antiqua" w:hAnsi="Book Antiqua"/>
          <w:sz w:val="26"/>
          <w:szCs w:val="26"/>
        </w:rPr>
        <w:lastRenderedPageBreak/>
        <w:t xml:space="preserve">Restructuring to </w:t>
      </w:r>
      <w:proofErr w:type="gramStart"/>
      <w:r w:rsidR="0032555C">
        <w:rPr>
          <w:rFonts w:ascii="Book Antiqua" w:hAnsi="Book Antiqua"/>
          <w:sz w:val="26"/>
          <w:szCs w:val="26"/>
        </w:rPr>
        <w:t>particular</w:t>
      </w:r>
      <w:r w:rsidR="00115507">
        <w:rPr>
          <w:rFonts w:ascii="Book Antiqua" w:hAnsi="Book Antiqua"/>
          <w:sz w:val="26"/>
          <w:szCs w:val="26"/>
        </w:rPr>
        <w:t xml:space="preserve"> economic</w:t>
      </w:r>
      <w:proofErr w:type="gramEnd"/>
      <w:r w:rsidR="00115507">
        <w:rPr>
          <w:rFonts w:ascii="Book Antiqua" w:hAnsi="Book Antiqua"/>
          <w:sz w:val="26"/>
          <w:szCs w:val="26"/>
        </w:rPr>
        <w:t xml:space="preserve"> benefit</w:t>
      </w:r>
      <w:r w:rsidR="00E84D9E">
        <w:rPr>
          <w:rFonts w:ascii="Book Antiqua" w:hAnsi="Book Antiqua"/>
          <w:sz w:val="26"/>
          <w:szCs w:val="26"/>
        </w:rPr>
        <w:t>s</w:t>
      </w:r>
      <w:r w:rsidR="00115507">
        <w:rPr>
          <w:rFonts w:ascii="Book Antiqua" w:hAnsi="Book Antiqua"/>
          <w:sz w:val="26"/>
          <w:szCs w:val="26"/>
        </w:rPr>
        <w:t xml:space="preserve"> </w:t>
      </w:r>
      <w:r w:rsidR="003F200F">
        <w:rPr>
          <w:rFonts w:ascii="Book Antiqua" w:hAnsi="Book Antiqua"/>
          <w:sz w:val="26"/>
          <w:szCs w:val="26"/>
        </w:rPr>
        <w:t xml:space="preserve">flowing </w:t>
      </w:r>
      <w:r w:rsidR="00115507">
        <w:rPr>
          <w:rFonts w:ascii="Book Antiqua" w:hAnsi="Book Antiqua"/>
          <w:sz w:val="26"/>
          <w:szCs w:val="26"/>
        </w:rPr>
        <w:t xml:space="preserve">to </w:t>
      </w:r>
      <w:r w:rsidR="00E84D9E">
        <w:rPr>
          <w:rFonts w:ascii="Book Antiqua" w:hAnsi="Book Antiqua"/>
          <w:sz w:val="26"/>
          <w:szCs w:val="26"/>
        </w:rPr>
        <w:t>Califo</w:t>
      </w:r>
      <w:r w:rsidR="00E06A5A">
        <w:rPr>
          <w:rFonts w:ascii="Book Antiqua" w:hAnsi="Book Antiqua"/>
          <w:sz w:val="26"/>
          <w:szCs w:val="26"/>
        </w:rPr>
        <w:t>rn</w:t>
      </w:r>
      <w:r w:rsidR="00E84D9E">
        <w:rPr>
          <w:rFonts w:ascii="Book Antiqua" w:hAnsi="Book Antiqua"/>
          <w:sz w:val="26"/>
          <w:szCs w:val="26"/>
        </w:rPr>
        <w:t>ia</w:t>
      </w:r>
      <w:r w:rsidR="00115507">
        <w:rPr>
          <w:rFonts w:ascii="Book Antiqua" w:hAnsi="Book Antiqua"/>
          <w:sz w:val="26"/>
          <w:szCs w:val="26"/>
        </w:rPr>
        <w:t xml:space="preserve"> customers</w:t>
      </w:r>
      <w:r w:rsidR="00F4119E">
        <w:rPr>
          <w:rFonts w:ascii="Book Antiqua" w:hAnsi="Book Antiqua"/>
          <w:sz w:val="26"/>
          <w:szCs w:val="26"/>
        </w:rPr>
        <w:t xml:space="preserve">.  </w:t>
      </w:r>
      <w:r w:rsidR="00115507">
        <w:rPr>
          <w:rFonts w:ascii="Book Antiqua" w:hAnsi="Book Antiqua"/>
          <w:sz w:val="26"/>
          <w:szCs w:val="26"/>
        </w:rPr>
        <w:t xml:space="preserve">However, the Settlement Agreements, with provisions for voice and broadband rate stability for residential customers </w:t>
      </w:r>
      <w:r w:rsidR="007605E0">
        <w:rPr>
          <w:rFonts w:ascii="Book Antiqua" w:hAnsi="Book Antiqua"/>
          <w:sz w:val="26"/>
          <w:szCs w:val="26"/>
        </w:rPr>
        <w:t xml:space="preserve">for one year </w:t>
      </w:r>
      <w:r w:rsidR="00115507">
        <w:rPr>
          <w:rFonts w:ascii="Book Antiqua" w:hAnsi="Book Antiqua"/>
          <w:sz w:val="26"/>
          <w:szCs w:val="26"/>
        </w:rPr>
        <w:t xml:space="preserve">and the maintenance of broadband rates </w:t>
      </w:r>
      <w:r w:rsidR="007605E0">
        <w:rPr>
          <w:rFonts w:ascii="Book Antiqua" w:hAnsi="Book Antiqua"/>
          <w:sz w:val="26"/>
          <w:szCs w:val="26"/>
        </w:rPr>
        <w:t xml:space="preserve">for three years </w:t>
      </w:r>
      <w:r w:rsidR="00115507">
        <w:rPr>
          <w:rFonts w:ascii="Book Antiqua" w:hAnsi="Book Antiqua"/>
          <w:sz w:val="26"/>
          <w:szCs w:val="26"/>
        </w:rPr>
        <w:t>for low-income customers, do provide</w:t>
      </w:r>
      <w:r w:rsidR="007605E0">
        <w:rPr>
          <w:rFonts w:ascii="Book Antiqua" w:hAnsi="Book Antiqua"/>
          <w:sz w:val="26"/>
          <w:szCs w:val="26"/>
        </w:rPr>
        <w:t xml:space="preserve"> tangible economic benefits to Frontier customers.</w:t>
      </w:r>
      <w:r w:rsidR="00CD74AC">
        <w:rPr>
          <w:rFonts w:ascii="Book Antiqua" w:hAnsi="Book Antiqua"/>
          <w:sz w:val="26"/>
          <w:szCs w:val="26"/>
        </w:rPr>
        <w:t xml:space="preserve"> </w:t>
      </w:r>
      <w:r w:rsidR="007605E0">
        <w:rPr>
          <w:rFonts w:ascii="Book Antiqua" w:hAnsi="Book Antiqua"/>
          <w:sz w:val="26"/>
          <w:szCs w:val="26"/>
        </w:rPr>
        <w:t xml:space="preserve"> Frontier’s </w:t>
      </w:r>
      <w:r w:rsidR="00602CC2">
        <w:rPr>
          <w:rFonts w:ascii="Book Antiqua" w:hAnsi="Book Antiqua"/>
          <w:sz w:val="26"/>
          <w:szCs w:val="26"/>
        </w:rPr>
        <w:t>A</w:t>
      </w:r>
      <w:r w:rsidR="00E5496E">
        <w:rPr>
          <w:rFonts w:ascii="Book Antiqua" w:hAnsi="Book Antiqua"/>
          <w:sz w:val="26"/>
          <w:szCs w:val="26"/>
        </w:rPr>
        <w:t>ttachment</w:t>
      </w:r>
      <w:r w:rsidR="00602CC2">
        <w:rPr>
          <w:rFonts w:ascii="Book Antiqua" w:hAnsi="Book Antiqua"/>
          <w:sz w:val="26"/>
          <w:szCs w:val="26"/>
        </w:rPr>
        <w:t xml:space="preserve"> 1</w:t>
      </w:r>
      <w:r w:rsidR="00172099">
        <w:rPr>
          <w:rFonts w:ascii="Book Antiqua" w:hAnsi="Book Antiqua"/>
          <w:sz w:val="26"/>
          <w:szCs w:val="26"/>
        </w:rPr>
        <w:t xml:space="preserve"> Settlement Agreement </w:t>
      </w:r>
      <w:r w:rsidR="007605E0">
        <w:rPr>
          <w:rFonts w:ascii="Book Antiqua" w:hAnsi="Book Antiqua"/>
          <w:sz w:val="26"/>
          <w:szCs w:val="26"/>
        </w:rPr>
        <w:t xml:space="preserve">commitment not to decrease total employee technician staffing for three years will provide welcome reassurance of job stability that translates to a measure of economic security. </w:t>
      </w:r>
      <w:r w:rsidR="00CD74AC">
        <w:rPr>
          <w:rFonts w:ascii="Book Antiqua" w:hAnsi="Book Antiqua"/>
          <w:sz w:val="26"/>
          <w:szCs w:val="26"/>
        </w:rPr>
        <w:t xml:space="preserve"> </w:t>
      </w:r>
      <w:r w:rsidR="003901A8">
        <w:rPr>
          <w:rFonts w:ascii="Book Antiqua" w:hAnsi="Book Antiqua"/>
          <w:sz w:val="26"/>
          <w:szCs w:val="26"/>
        </w:rPr>
        <w:t xml:space="preserve">Frontier’s commitment to deploy 25/3 Mbps to 4,000 tribal </w:t>
      </w:r>
      <w:proofErr w:type="gramStart"/>
      <w:r w:rsidR="003901A8">
        <w:rPr>
          <w:rFonts w:ascii="Book Antiqua" w:hAnsi="Book Antiqua"/>
          <w:sz w:val="26"/>
          <w:szCs w:val="26"/>
        </w:rPr>
        <w:t>lands</w:t>
      </w:r>
      <w:proofErr w:type="gramEnd"/>
      <w:r w:rsidR="003901A8">
        <w:rPr>
          <w:rFonts w:ascii="Book Antiqua" w:hAnsi="Book Antiqua"/>
          <w:sz w:val="26"/>
          <w:szCs w:val="26"/>
        </w:rPr>
        <w:t xml:space="preserve"> locations will likely result in economic gains for those new broadband beneficiaries. </w:t>
      </w:r>
      <w:r w:rsidR="00CD74AC">
        <w:rPr>
          <w:rFonts w:ascii="Book Antiqua" w:hAnsi="Book Antiqua"/>
          <w:sz w:val="26"/>
          <w:szCs w:val="26"/>
        </w:rPr>
        <w:t xml:space="preserve"> </w:t>
      </w:r>
      <w:r w:rsidR="007605E0">
        <w:rPr>
          <w:rFonts w:ascii="Book Antiqua" w:hAnsi="Book Antiqua"/>
          <w:sz w:val="26"/>
          <w:szCs w:val="26"/>
        </w:rPr>
        <w:t xml:space="preserve">Although less easily shown to have specific economic benefits to </w:t>
      </w:r>
      <w:proofErr w:type="gramStart"/>
      <w:r w:rsidR="007605E0">
        <w:rPr>
          <w:rFonts w:ascii="Book Antiqua" w:hAnsi="Book Antiqua"/>
          <w:sz w:val="26"/>
          <w:szCs w:val="26"/>
        </w:rPr>
        <w:t>particular ratepayers</w:t>
      </w:r>
      <w:proofErr w:type="gramEnd"/>
      <w:r w:rsidR="007605E0">
        <w:rPr>
          <w:rFonts w:ascii="Book Antiqua" w:hAnsi="Book Antiqua"/>
          <w:sz w:val="26"/>
          <w:szCs w:val="26"/>
        </w:rPr>
        <w:t xml:space="preserve">, </w:t>
      </w:r>
      <w:r w:rsidR="00172099">
        <w:rPr>
          <w:rFonts w:ascii="Book Antiqua" w:hAnsi="Book Antiqua"/>
          <w:sz w:val="26"/>
          <w:szCs w:val="26"/>
        </w:rPr>
        <w:t xml:space="preserve">Frontier’s </w:t>
      </w:r>
      <w:r w:rsidR="00E5496E">
        <w:rPr>
          <w:rFonts w:ascii="Book Antiqua" w:hAnsi="Book Antiqua"/>
          <w:sz w:val="26"/>
          <w:szCs w:val="26"/>
        </w:rPr>
        <w:t>Attachment 1</w:t>
      </w:r>
      <w:r w:rsidR="00AA100D">
        <w:rPr>
          <w:rFonts w:ascii="Book Antiqua" w:hAnsi="Book Antiqua"/>
          <w:sz w:val="26"/>
          <w:szCs w:val="26"/>
        </w:rPr>
        <w:t xml:space="preserve"> Settlement Agreement </w:t>
      </w:r>
      <w:r w:rsidR="003901A8">
        <w:rPr>
          <w:rFonts w:ascii="Book Antiqua" w:hAnsi="Book Antiqua"/>
          <w:sz w:val="26"/>
          <w:szCs w:val="26"/>
        </w:rPr>
        <w:t xml:space="preserve">commitments of </w:t>
      </w:r>
      <w:r w:rsidR="00172099">
        <w:rPr>
          <w:rFonts w:ascii="Book Antiqua" w:hAnsi="Book Antiqua"/>
          <w:sz w:val="26"/>
          <w:szCs w:val="26"/>
        </w:rPr>
        <w:t xml:space="preserve">$1.75 billion </w:t>
      </w:r>
      <w:r w:rsidR="003901A8">
        <w:rPr>
          <w:rFonts w:ascii="Book Antiqua" w:hAnsi="Book Antiqua"/>
          <w:sz w:val="26"/>
          <w:szCs w:val="26"/>
        </w:rPr>
        <w:t xml:space="preserve">in </w:t>
      </w:r>
      <w:r w:rsidR="00172099">
        <w:rPr>
          <w:rFonts w:ascii="Book Antiqua" w:hAnsi="Book Antiqua"/>
          <w:sz w:val="26"/>
          <w:szCs w:val="26"/>
        </w:rPr>
        <w:t>capital expenditure</w:t>
      </w:r>
      <w:r w:rsidR="003901A8">
        <w:rPr>
          <w:rFonts w:ascii="Book Antiqua" w:hAnsi="Book Antiqua"/>
          <w:sz w:val="26"/>
          <w:szCs w:val="26"/>
        </w:rPr>
        <w:t>s</w:t>
      </w:r>
      <w:r w:rsidR="00172099">
        <w:rPr>
          <w:rFonts w:ascii="Book Antiqua" w:hAnsi="Book Antiqua"/>
          <w:sz w:val="26"/>
          <w:szCs w:val="26"/>
        </w:rPr>
        <w:t xml:space="preserve"> </w:t>
      </w:r>
      <w:r w:rsidR="00AA100D">
        <w:rPr>
          <w:rFonts w:ascii="Book Antiqua" w:hAnsi="Book Antiqua"/>
          <w:sz w:val="26"/>
          <w:szCs w:val="26"/>
        </w:rPr>
        <w:t xml:space="preserve">over four years </w:t>
      </w:r>
      <w:r w:rsidR="003901A8">
        <w:rPr>
          <w:rFonts w:ascii="Book Antiqua" w:hAnsi="Book Antiqua"/>
          <w:sz w:val="26"/>
          <w:szCs w:val="26"/>
        </w:rPr>
        <w:t xml:space="preserve">and </w:t>
      </w:r>
      <w:r w:rsidR="003F200F">
        <w:rPr>
          <w:rFonts w:ascii="Book Antiqua" w:hAnsi="Book Antiqua"/>
          <w:sz w:val="26"/>
          <w:szCs w:val="26"/>
        </w:rPr>
        <w:t>fiber to the premises (F</w:t>
      </w:r>
      <w:r w:rsidR="003901A8">
        <w:rPr>
          <w:rFonts w:ascii="Book Antiqua" w:hAnsi="Book Antiqua"/>
          <w:sz w:val="26"/>
          <w:szCs w:val="26"/>
        </w:rPr>
        <w:t>TTP</w:t>
      </w:r>
      <w:r w:rsidR="003F200F">
        <w:rPr>
          <w:rFonts w:ascii="Book Antiqua" w:hAnsi="Book Antiqua"/>
          <w:sz w:val="26"/>
          <w:szCs w:val="26"/>
        </w:rPr>
        <w:t>)</w:t>
      </w:r>
      <w:r w:rsidR="003901A8">
        <w:rPr>
          <w:rFonts w:ascii="Book Antiqua" w:hAnsi="Book Antiqua"/>
          <w:sz w:val="26"/>
          <w:szCs w:val="26"/>
        </w:rPr>
        <w:t xml:space="preserve"> to 350,000 locations within six years</w:t>
      </w:r>
      <w:r w:rsidR="00172099">
        <w:rPr>
          <w:rFonts w:ascii="Book Antiqua" w:hAnsi="Book Antiqua"/>
          <w:sz w:val="26"/>
          <w:szCs w:val="26"/>
        </w:rPr>
        <w:t xml:space="preserve"> will logically result in </w:t>
      </w:r>
      <w:r w:rsidR="003901A8">
        <w:rPr>
          <w:rFonts w:ascii="Book Antiqua" w:hAnsi="Book Antiqua"/>
          <w:sz w:val="26"/>
          <w:szCs w:val="26"/>
        </w:rPr>
        <w:t>telecommunications service</w:t>
      </w:r>
      <w:r w:rsidR="00AA100D">
        <w:rPr>
          <w:rFonts w:ascii="Book Antiqua" w:hAnsi="Book Antiqua"/>
          <w:sz w:val="26"/>
          <w:szCs w:val="26"/>
        </w:rPr>
        <w:t xml:space="preserve">s to new customers and service improvements to existing customers that will generate monetary benefits to those customers over time. </w:t>
      </w:r>
      <w:r w:rsidR="00CD74AC">
        <w:rPr>
          <w:rFonts w:ascii="Book Antiqua" w:hAnsi="Book Antiqua"/>
          <w:sz w:val="26"/>
          <w:szCs w:val="26"/>
        </w:rPr>
        <w:t xml:space="preserve"> </w:t>
      </w:r>
      <w:r w:rsidR="00AA100D">
        <w:rPr>
          <w:rFonts w:ascii="Book Antiqua" w:hAnsi="Book Antiqua"/>
          <w:sz w:val="26"/>
          <w:szCs w:val="26"/>
        </w:rPr>
        <w:t>As a result, we find that the Restructuring</w:t>
      </w:r>
      <w:r w:rsidR="00E06A5A">
        <w:rPr>
          <w:rFonts w:ascii="Book Antiqua" w:hAnsi="Book Antiqua"/>
          <w:sz w:val="26"/>
          <w:szCs w:val="26"/>
        </w:rPr>
        <w:t>, as supplemented by</w:t>
      </w:r>
      <w:r w:rsidR="00AA100D">
        <w:rPr>
          <w:rFonts w:ascii="Book Antiqua" w:hAnsi="Book Antiqua"/>
          <w:sz w:val="26"/>
          <w:szCs w:val="26"/>
        </w:rPr>
        <w:t xml:space="preserve"> the Settlement Agreements</w:t>
      </w:r>
      <w:r w:rsidR="00E06A5A">
        <w:rPr>
          <w:rFonts w:ascii="Book Antiqua" w:hAnsi="Book Antiqua"/>
          <w:sz w:val="26"/>
          <w:szCs w:val="26"/>
        </w:rPr>
        <w:t>,</w:t>
      </w:r>
      <w:r w:rsidR="00AA100D">
        <w:rPr>
          <w:rFonts w:ascii="Book Antiqua" w:hAnsi="Book Antiqua"/>
          <w:sz w:val="26"/>
          <w:szCs w:val="26"/>
        </w:rPr>
        <w:t xml:space="preserve"> do</w:t>
      </w:r>
      <w:r w:rsidR="00E06A5A">
        <w:rPr>
          <w:rFonts w:ascii="Book Antiqua" w:hAnsi="Book Antiqua"/>
          <w:sz w:val="26"/>
          <w:szCs w:val="26"/>
        </w:rPr>
        <w:t>es</w:t>
      </w:r>
      <w:r w:rsidR="00AA100D">
        <w:rPr>
          <w:rFonts w:ascii="Book Antiqua" w:hAnsi="Book Antiqua"/>
          <w:sz w:val="26"/>
          <w:szCs w:val="26"/>
        </w:rPr>
        <w:t xml:space="preserve"> provide</w:t>
      </w:r>
      <w:r w:rsidR="001862CF">
        <w:rPr>
          <w:rFonts w:ascii="Book Antiqua" w:hAnsi="Book Antiqua"/>
          <w:sz w:val="26"/>
          <w:szCs w:val="26"/>
        </w:rPr>
        <w:t xml:space="preserve"> short-term and long-term economic benefits to Frontier’s ratepayers.</w:t>
      </w:r>
    </w:p>
    <w:p w:rsidR="007E6F6B" w:rsidP="00CD74AC" w:rsidRDefault="007E6F6B" w14:paraId="2065C235" w14:textId="42DB32E8">
      <w:pPr>
        <w:pStyle w:val="Heading3"/>
      </w:pPr>
      <w:bookmarkStart w:name="_Toc67556513" w:id="18"/>
      <w:r>
        <w:t>E</w:t>
      </w:r>
      <w:r w:rsidR="00F65D17">
        <w:t xml:space="preserve">ffect on </w:t>
      </w:r>
      <w:r w:rsidR="00F64612">
        <w:t>Frontier’s</w:t>
      </w:r>
      <w:r w:rsidR="00F65D17">
        <w:t xml:space="preserve"> Financial Condition</w:t>
      </w:r>
      <w:bookmarkEnd w:id="18"/>
    </w:p>
    <w:p w:rsidR="00145ECB" w:rsidP="00437BFD" w:rsidRDefault="00BF0FB4" w14:paraId="794C20A9" w14:textId="0A90F634">
      <w:pPr>
        <w:pStyle w:val="Default"/>
        <w:spacing w:line="360" w:lineRule="auto"/>
        <w:ind w:firstLine="720"/>
        <w:rPr>
          <w:rFonts w:ascii="Book Antiqua" w:hAnsi="Book Antiqua"/>
          <w:sz w:val="26"/>
          <w:szCs w:val="26"/>
        </w:rPr>
      </w:pPr>
      <w:r>
        <w:rPr>
          <w:rFonts w:ascii="Book Antiqua" w:hAnsi="Book Antiqua"/>
          <w:sz w:val="26"/>
          <w:szCs w:val="26"/>
        </w:rPr>
        <w:t>Pub. Util. Code Section 854(c)(1)</w:t>
      </w:r>
      <w:r w:rsidR="00BF34A8">
        <w:rPr>
          <w:rFonts w:ascii="Book Antiqua" w:hAnsi="Book Antiqua"/>
          <w:sz w:val="26"/>
          <w:szCs w:val="26"/>
        </w:rPr>
        <w:t xml:space="preserve"> directs the Commission to consider</w:t>
      </w:r>
      <w:r>
        <w:rPr>
          <w:rFonts w:ascii="Book Antiqua" w:hAnsi="Book Antiqua"/>
          <w:sz w:val="26"/>
          <w:szCs w:val="26"/>
        </w:rPr>
        <w:t xml:space="preserve"> whether the Restructuring maintains or improves </w:t>
      </w:r>
      <w:r w:rsidR="0041211F">
        <w:rPr>
          <w:rFonts w:ascii="Book Antiqua" w:hAnsi="Book Antiqua"/>
          <w:sz w:val="26"/>
          <w:szCs w:val="26"/>
        </w:rPr>
        <w:t>Frontier’s</w:t>
      </w:r>
      <w:r>
        <w:rPr>
          <w:rFonts w:ascii="Book Antiqua" w:hAnsi="Book Antiqua"/>
          <w:sz w:val="26"/>
          <w:szCs w:val="26"/>
        </w:rPr>
        <w:t xml:space="preserve"> financial condition in California. </w:t>
      </w:r>
      <w:r w:rsidR="004C7806">
        <w:rPr>
          <w:rFonts w:ascii="Book Antiqua" w:hAnsi="Book Antiqua"/>
          <w:sz w:val="26"/>
          <w:szCs w:val="26"/>
        </w:rPr>
        <w:t xml:space="preserve"> </w:t>
      </w:r>
      <w:r w:rsidR="001862CF">
        <w:rPr>
          <w:rFonts w:ascii="Book Antiqua" w:hAnsi="Book Antiqua"/>
          <w:sz w:val="26"/>
          <w:szCs w:val="26"/>
        </w:rPr>
        <w:t>Frontier’s bankruptcy p</w:t>
      </w:r>
      <w:r w:rsidR="00625C06">
        <w:rPr>
          <w:rFonts w:ascii="Book Antiqua" w:hAnsi="Book Antiqua"/>
          <w:sz w:val="26"/>
          <w:szCs w:val="26"/>
        </w:rPr>
        <w:t>lan will reduce</w:t>
      </w:r>
      <w:r w:rsidR="00E5496E">
        <w:rPr>
          <w:rFonts w:ascii="Book Antiqua" w:hAnsi="Book Antiqua"/>
          <w:sz w:val="26"/>
          <w:szCs w:val="26"/>
        </w:rPr>
        <w:t xml:space="preserve"> the</w:t>
      </w:r>
      <w:r w:rsidR="00625C06">
        <w:rPr>
          <w:rFonts w:ascii="Book Antiqua" w:hAnsi="Book Antiqua"/>
          <w:sz w:val="26"/>
          <w:szCs w:val="26"/>
        </w:rPr>
        <w:t xml:space="preserve"> debt </w:t>
      </w:r>
      <w:r w:rsidR="00E5496E">
        <w:rPr>
          <w:rFonts w:ascii="Book Antiqua" w:hAnsi="Book Antiqua"/>
          <w:sz w:val="26"/>
          <w:szCs w:val="26"/>
        </w:rPr>
        <w:t xml:space="preserve">of parent Frontier Communications Corporation </w:t>
      </w:r>
      <w:r w:rsidR="00625C06">
        <w:rPr>
          <w:rFonts w:ascii="Book Antiqua" w:hAnsi="Book Antiqua"/>
          <w:sz w:val="26"/>
          <w:szCs w:val="26"/>
        </w:rPr>
        <w:t>by over $10 billion</w:t>
      </w:r>
      <w:r w:rsidR="00074235">
        <w:rPr>
          <w:rFonts w:ascii="Book Antiqua" w:hAnsi="Book Antiqua"/>
          <w:sz w:val="26"/>
          <w:szCs w:val="26"/>
        </w:rPr>
        <w:t xml:space="preserve"> and</w:t>
      </w:r>
      <w:r w:rsidR="00625C06">
        <w:rPr>
          <w:rFonts w:ascii="Book Antiqua" w:hAnsi="Book Antiqua"/>
          <w:sz w:val="26"/>
          <w:szCs w:val="26"/>
        </w:rPr>
        <w:t xml:space="preserve"> reduce interest payments by about $1 billion annually</w:t>
      </w:r>
      <w:r w:rsidR="00635D81">
        <w:rPr>
          <w:rFonts w:ascii="Book Antiqua" w:hAnsi="Book Antiqua"/>
          <w:sz w:val="26"/>
          <w:szCs w:val="26"/>
        </w:rPr>
        <w:t>.</w:t>
      </w:r>
      <w:r w:rsidR="00074235">
        <w:rPr>
          <w:rFonts w:ascii="Book Antiqua" w:hAnsi="Book Antiqua"/>
          <w:sz w:val="26"/>
          <w:szCs w:val="26"/>
        </w:rPr>
        <w:t xml:space="preserve"> </w:t>
      </w:r>
      <w:r w:rsidR="004C7806">
        <w:rPr>
          <w:rFonts w:ascii="Book Antiqua" w:hAnsi="Book Antiqua"/>
          <w:sz w:val="26"/>
          <w:szCs w:val="26"/>
        </w:rPr>
        <w:t xml:space="preserve"> </w:t>
      </w:r>
      <w:r w:rsidR="00074235">
        <w:rPr>
          <w:rFonts w:ascii="Book Antiqua" w:hAnsi="Book Antiqua"/>
          <w:sz w:val="26"/>
          <w:szCs w:val="26"/>
        </w:rPr>
        <w:t xml:space="preserve">Frontier asserts </w:t>
      </w:r>
      <w:r w:rsidR="00635D81">
        <w:rPr>
          <w:rFonts w:ascii="Book Antiqua" w:hAnsi="Book Antiqua"/>
          <w:sz w:val="26"/>
          <w:szCs w:val="26"/>
        </w:rPr>
        <w:t xml:space="preserve">that the debt reduction </w:t>
      </w:r>
      <w:r w:rsidR="00625C06">
        <w:rPr>
          <w:rFonts w:ascii="Book Antiqua" w:hAnsi="Book Antiqua"/>
          <w:sz w:val="26"/>
          <w:szCs w:val="26"/>
        </w:rPr>
        <w:t xml:space="preserve">will </w:t>
      </w:r>
      <w:r w:rsidR="00625C06">
        <w:rPr>
          <w:rFonts w:ascii="Book Antiqua" w:hAnsi="Book Antiqua"/>
          <w:sz w:val="26"/>
          <w:szCs w:val="26"/>
        </w:rPr>
        <w:lastRenderedPageBreak/>
        <w:t xml:space="preserve">significantly strengthen </w:t>
      </w:r>
      <w:r w:rsidR="00145ECB">
        <w:rPr>
          <w:rFonts w:ascii="Book Antiqua" w:hAnsi="Book Antiqua"/>
          <w:sz w:val="26"/>
          <w:szCs w:val="26"/>
        </w:rPr>
        <w:t>i</w:t>
      </w:r>
      <w:r w:rsidR="00074235">
        <w:rPr>
          <w:rFonts w:ascii="Book Antiqua" w:hAnsi="Book Antiqua"/>
          <w:sz w:val="26"/>
          <w:szCs w:val="26"/>
        </w:rPr>
        <w:t>t</w:t>
      </w:r>
      <w:r w:rsidR="00625C06">
        <w:rPr>
          <w:rFonts w:ascii="Book Antiqua" w:hAnsi="Book Antiqua"/>
          <w:sz w:val="26"/>
          <w:szCs w:val="26"/>
        </w:rPr>
        <w:t>s financial condition and liquidity</w:t>
      </w:r>
      <w:r w:rsidR="00635D81">
        <w:rPr>
          <w:rFonts w:ascii="Book Antiqua" w:hAnsi="Book Antiqua"/>
          <w:sz w:val="26"/>
          <w:szCs w:val="26"/>
        </w:rPr>
        <w:t>, and t</w:t>
      </w:r>
      <w:r w:rsidR="00A820EC">
        <w:rPr>
          <w:rFonts w:ascii="Book Antiqua" w:hAnsi="Book Antiqua"/>
          <w:sz w:val="26"/>
          <w:szCs w:val="26"/>
        </w:rPr>
        <w:t xml:space="preserve">he balance sheet improvements will also </w:t>
      </w:r>
      <w:r w:rsidR="00635D81">
        <w:rPr>
          <w:rFonts w:ascii="Book Antiqua" w:hAnsi="Book Antiqua"/>
          <w:sz w:val="26"/>
          <w:szCs w:val="26"/>
        </w:rPr>
        <w:t>improve</w:t>
      </w:r>
      <w:r w:rsidR="00A820EC">
        <w:rPr>
          <w:rFonts w:ascii="Book Antiqua" w:hAnsi="Book Antiqua"/>
          <w:sz w:val="26"/>
          <w:szCs w:val="26"/>
        </w:rPr>
        <w:t xml:space="preserve"> Frontier’s </w:t>
      </w:r>
      <w:r w:rsidR="00E4662D">
        <w:rPr>
          <w:rFonts w:ascii="Book Antiqua" w:hAnsi="Book Antiqua"/>
          <w:sz w:val="26"/>
          <w:szCs w:val="26"/>
        </w:rPr>
        <w:t>ac</w:t>
      </w:r>
      <w:r w:rsidR="00A820EC">
        <w:rPr>
          <w:rFonts w:ascii="Book Antiqua" w:hAnsi="Book Antiqua"/>
          <w:sz w:val="26"/>
          <w:szCs w:val="26"/>
        </w:rPr>
        <w:t>cess to capital.</w:t>
      </w:r>
      <w:r w:rsidR="00074235">
        <w:rPr>
          <w:rStyle w:val="FootnoteReference"/>
          <w:rFonts w:ascii="Book Antiqua" w:hAnsi="Book Antiqua"/>
          <w:sz w:val="26"/>
          <w:szCs w:val="26"/>
        </w:rPr>
        <w:footnoteReference w:id="40"/>
      </w:r>
    </w:p>
    <w:p w:rsidR="00ED1783" w:rsidP="002B31DF" w:rsidRDefault="00437BFD" w14:paraId="1B222F5B" w14:textId="650A297F">
      <w:pPr>
        <w:pStyle w:val="Default"/>
        <w:spacing w:line="360" w:lineRule="auto"/>
        <w:ind w:firstLine="720"/>
        <w:rPr>
          <w:rFonts w:ascii="Book Antiqua" w:hAnsi="Book Antiqua"/>
          <w:sz w:val="26"/>
          <w:szCs w:val="26"/>
        </w:rPr>
      </w:pPr>
      <w:r>
        <w:rPr>
          <w:rFonts w:ascii="Book Antiqua" w:hAnsi="Book Antiqua"/>
          <w:sz w:val="26"/>
          <w:szCs w:val="26"/>
        </w:rPr>
        <w:t xml:space="preserve">Cal Advocates proposes that no California </w:t>
      </w:r>
      <w:r w:rsidR="005869C2">
        <w:rPr>
          <w:rFonts w:ascii="Book Antiqua" w:hAnsi="Book Antiqua"/>
          <w:sz w:val="26"/>
          <w:szCs w:val="26"/>
        </w:rPr>
        <w:t>S</w:t>
      </w:r>
      <w:r>
        <w:rPr>
          <w:rFonts w:ascii="Book Antiqua" w:hAnsi="Book Antiqua"/>
          <w:sz w:val="26"/>
          <w:szCs w:val="26"/>
        </w:rPr>
        <w:t xml:space="preserve">ubsidiary be responsible for any debt obligations of </w:t>
      </w:r>
      <w:r w:rsidR="00A4175E">
        <w:rPr>
          <w:rFonts w:ascii="Book Antiqua" w:hAnsi="Book Antiqua"/>
          <w:sz w:val="26"/>
          <w:szCs w:val="26"/>
        </w:rPr>
        <w:t>R</w:t>
      </w:r>
      <w:r>
        <w:rPr>
          <w:rFonts w:ascii="Book Antiqua" w:hAnsi="Book Antiqua"/>
          <w:sz w:val="26"/>
          <w:szCs w:val="26"/>
        </w:rPr>
        <w:t>eorganized Frontier.</w:t>
      </w:r>
      <w:r>
        <w:rPr>
          <w:rStyle w:val="FootnoteReference"/>
          <w:rFonts w:ascii="Book Antiqua" w:hAnsi="Book Antiqua"/>
          <w:sz w:val="26"/>
          <w:szCs w:val="26"/>
        </w:rPr>
        <w:footnoteReference w:id="41"/>
      </w:r>
      <w:r>
        <w:rPr>
          <w:rFonts w:ascii="Book Antiqua" w:hAnsi="Book Antiqua"/>
          <w:sz w:val="26"/>
          <w:szCs w:val="26"/>
        </w:rPr>
        <w:t xml:space="preserve"> </w:t>
      </w:r>
      <w:r w:rsidR="004C7806">
        <w:rPr>
          <w:rFonts w:ascii="Book Antiqua" w:hAnsi="Book Antiqua"/>
          <w:sz w:val="26"/>
          <w:szCs w:val="26"/>
        </w:rPr>
        <w:t xml:space="preserve"> </w:t>
      </w:r>
      <w:r>
        <w:rPr>
          <w:rFonts w:ascii="Book Antiqua" w:hAnsi="Book Antiqua"/>
          <w:sz w:val="26"/>
          <w:szCs w:val="26"/>
        </w:rPr>
        <w:t xml:space="preserve">Frontier </w:t>
      </w:r>
      <w:r w:rsidR="00145ECB">
        <w:rPr>
          <w:rFonts w:ascii="Book Antiqua" w:hAnsi="Book Antiqua"/>
          <w:sz w:val="26"/>
          <w:szCs w:val="26"/>
        </w:rPr>
        <w:t>states</w:t>
      </w:r>
      <w:r>
        <w:rPr>
          <w:rFonts w:ascii="Book Antiqua" w:hAnsi="Book Antiqua"/>
          <w:sz w:val="26"/>
          <w:szCs w:val="26"/>
        </w:rPr>
        <w:t xml:space="preserve"> </w:t>
      </w:r>
      <w:r w:rsidR="00145ECB">
        <w:rPr>
          <w:rFonts w:ascii="Book Antiqua" w:hAnsi="Book Antiqua"/>
          <w:sz w:val="26"/>
          <w:szCs w:val="26"/>
        </w:rPr>
        <w:t xml:space="preserve">that </w:t>
      </w:r>
      <w:r>
        <w:rPr>
          <w:rFonts w:ascii="Book Antiqua" w:hAnsi="Book Antiqua"/>
          <w:sz w:val="26"/>
          <w:szCs w:val="26"/>
        </w:rPr>
        <w:t xml:space="preserve">no California </w:t>
      </w:r>
      <w:r w:rsidR="000353E5">
        <w:rPr>
          <w:rFonts w:ascii="Book Antiqua" w:hAnsi="Book Antiqua"/>
          <w:sz w:val="26"/>
          <w:szCs w:val="26"/>
        </w:rPr>
        <w:t>S</w:t>
      </w:r>
      <w:r>
        <w:rPr>
          <w:rFonts w:ascii="Book Antiqua" w:hAnsi="Book Antiqua"/>
          <w:sz w:val="26"/>
          <w:szCs w:val="26"/>
        </w:rPr>
        <w:t xml:space="preserve">ubsidiary will assume any incremental debt </w:t>
      </w:r>
      <w:proofErr w:type="gramStart"/>
      <w:r>
        <w:rPr>
          <w:rFonts w:ascii="Book Antiqua" w:hAnsi="Book Antiqua"/>
          <w:sz w:val="26"/>
          <w:szCs w:val="26"/>
        </w:rPr>
        <w:t>as a result of</w:t>
      </w:r>
      <w:proofErr w:type="gramEnd"/>
      <w:r>
        <w:rPr>
          <w:rFonts w:ascii="Book Antiqua" w:hAnsi="Book Antiqua"/>
          <w:sz w:val="26"/>
          <w:szCs w:val="26"/>
        </w:rPr>
        <w:t xml:space="preserve"> the Restructuring.</w:t>
      </w:r>
      <w:r>
        <w:rPr>
          <w:rStyle w:val="FootnoteReference"/>
          <w:rFonts w:ascii="Book Antiqua" w:hAnsi="Book Antiqua"/>
          <w:sz w:val="26"/>
          <w:szCs w:val="26"/>
        </w:rPr>
        <w:footnoteReference w:id="42"/>
      </w:r>
      <w:r>
        <w:rPr>
          <w:rFonts w:ascii="Book Antiqua" w:hAnsi="Book Antiqua"/>
          <w:sz w:val="26"/>
          <w:szCs w:val="26"/>
        </w:rPr>
        <w:t xml:space="preserve"> </w:t>
      </w:r>
      <w:r w:rsidR="004C7806">
        <w:rPr>
          <w:rFonts w:ascii="Book Antiqua" w:hAnsi="Book Antiqua"/>
          <w:sz w:val="26"/>
          <w:szCs w:val="26"/>
        </w:rPr>
        <w:t xml:space="preserve"> </w:t>
      </w:r>
      <w:r w:rsidR="00145ECB">
        <w:rPr>
          <w:rFonts w:ascii="Book Antiqua" w:hAnsi="Book Antiqua"/>
          <w:sz w:val="26"/>
          <w:szCs w:val="26"/>
        </w:rPr>
        <w:t>However</w:t>
      </w:r>
      <w:r w:rsidR="001862CF">
        <w:rPr>
          <w:rFonts w:ascii="Book Antiqua" w:hAnsi="Book Antiqua"/>
          <w:sz w:val="26"/>
          <w:szCs w:val="26"/>
        </w:rPr>
        <w:t>,</w:t>
      </w:r>
      <w:r w:rsidR="00A321DD">
        <w:rPr>
          <w:rFonts w:ascii="Book Antiqua" w:hAnsi="Book Antiqua"/>
          <w:sz w:val="26"/>
          <w:szCs w:val="26"/>
        </w:rPr>
        <w:t xml:space="preserve"> Frontier </w:t>
      </w:r>
      <w:r w:rsidR="00145ECB">
        <w:rPr>
          <w:rFonts w:ascii="Book Antiqua" w:hAnsi="Book Antiqua"/>
          <w:sz w:val="26"/>
          <w:szCs w:val="26"/>
        </w:rPr>
        <w:t>also</w:t>
      </w:r>
      <w:r w:rsidR="00A321DD">
        <w:rPr>
          <w:rFonts w:ascii="Book Antiqua" w:hAnsi="Book Antiqua"/>
          <w:sz w:val="26"/>
          <w:szCs w:val="26"/>
        </w:rPr>
        <w:t xml:space="preserve"> states, “There is no reasonable basis to suggest that the California Operating Subsidiaries should expect a direct allocation of </w:t>
      </w:r>
      <w:r w:rsidR="00635D81">
        <w:rPr>
          <w:rFonts w:ascii="Book Antiqua" w:hAnsi="Book Antiqua"/>
          <w:sz w:val="26"/>
          <w:szCs w:val="26"/>
        </w:rPr>
        <w:t>‘</w:t>
      </w:r>
      <w:r w:rsidR="00A321DD">
        <w:rPr>
          <w:rFonts w:ascii="Book Antiqua" w:hAnsi="Book Antiqua"/>
          <w:sz w:val="26"/>
          <w:szCs w:val="26"/>
        </w:rPr>
        <w:t>savings</w:t>
      </w:r>
      <w:r w:rsidR="00635D81">
        <w:rPr>
          <w:rFonts w:ascii="Book Antiqua" w:hAnsi="Book Antiqua"/>
          <w:sz w:val="26"/>
          <w:szCs w:val="26"/>
        </w:rPr>
        <w:t>’</w:t>
      </w:r>
      <w:r w:rsidR="00A321DD">
        <w:rPr>
          <w:rFonts w:ascii="Book Antiqua" w:hAnsi="Book Antiqua"/>
          <w:sz w:val="26"/>
          <w:szCs w:val="26"/>
        </w:rPr>
        <w:t xml:space="preserve"> that arise from obligations that were held solely by the parent company. </w:t>
      </w:r>
      <w:r w:rsidR="004C7806">
        <w:rPr>
          <w:rFonts w:ascii="Book Antiqua" w:hAnsi="Book Antiqua"/>
          <w:sz w:val="26"/>
          <w:szCs w:val="26"/>
        </w:rPr>
        <w:t xml:space="preserve"> </w:t>
      </w:r>
      <w:r w:rsidR="00A321DD">
        <w:rPr>
          <w:rFonts w:ascii="Book Antiqua" w:hAnsi="Book Antiqua"/>
          <w:sz w:val="26"/>
          <w:szCs w:val="26"/>
        </w:rPr>
        <w:t>These parent-level Restructuring “savings” -again bankruptcy</w:t>
      </w:r>
      <w:r w:rsidR="004C7806">
        <w:rPr>
          <w:rFonts w:ascii="Book Antiqua" w:hAnsi="Book Antiqua"/>
          <w:sz w:val="26"/>
          <w:szCs w:val="26"/>
        </w:rPr>
        <w:noBreakHyphen/>
      </w:r>
      <w:r w:rsidR="00A321DD">
        <w:rPr>
          <w:rFonts w:ascii="Book Antiqua" w:hAnsi="Book Antiqua"/>
          <w:sz w:val="26"/>
          <w:szCs w:val="26"/>
        </w:rPr>
        <w:t xml:space="preserve">related relief from debt obligations- </w:t>
      </w:r>
      <w:r w:rsidR="00CF316F">
        <w:rPr>
          <w:rFonts w:ascii="Book Antiqua" w:hAnsi="Book Antiqua"/>
          <w:sz w:val="26"/>
          <w:szCs w:val="26"/>
        </w:rPr>
        <w:t>will be used to support Frontier’s operations nationwide, including obligations such as pension and benefits expense, investments in systems/process improvements, and other company wide enhancements.”</w:t>
      </w:r>
      <w:r w:rsidR="00CF316F">
        <w:rPr>
          <w:rStyle w:val="FootnoteReference"/>
          <w:rFonts w:ascii="Book Antiqua" w:hAnsi="Book Antiqua"/>
          <w:sz w:val="26"/>
          <w:szCs w:val="26"/>
        </w:rPr>
        <w:footnoteReference w:id="43"/>
      </w:r>
      <w:r w:rsidR="00CF316F">
        <w:rPr>
          <w:rFonts w:ascii="Book Antiqua" w:hAnsi="Book Antiqua"/>
          <w:sz w:val="26"/>
          <w:szCs w:val="26"/>
        </w:rPr>
        <w:t xml:space="preserve"> </w:t>
      </w:r>
      <w:r w:rsidR="004C7806">
        <w:rPr>
          <w:rFonts w:ascii="Book Antiqua" w:hAnsi="Book Antiqua"/>
          <w:sz w:val="26"/>
          <w:szCs w:val="26"/>
        </w:rPr>
        <w:t xml:space="preserve"> </w:t>
      </w:r>
      <w:r w:rsidR="00CF316F">
        <w:rPr>
          <w:rFonts w:ascii="Book Antiqua" w:hAnsi="Book Antiqua"/>
          <w:sz w:val="26"/>
          <w:szCs w:val="26"/>
        </w:rPr>
        <w:t xml:space="preserve">Thus, while Frontier extols the benefits </w:t>
      </w:r>
      <w:r w:rsidR="000353E5">
        <w:rPr>
          <w:rFonts w:ascii="Book Antiqua" w:hAnsi="Book Antiqua"/>
          <w:sz w:val="26"/>
          <w:szCs w:val="26"/>
        </w:rPr>
        <w:t xml:space="preserve">to its Delaware parent company </w:t>
      </w:r>
      <w:r w:rsidR="00CF316F">
        <w:rPr>
          <w:rFonts w:ascii="Book Antiqua" w:hAnsi="Book Antiqua"/>
          <w:sz w:val="26"/>
          <w:szCs w:val="26"/>
        </w:rPr>
        <w:t xml:space="preserve">of the </w:t>
      </w:r>
      <w:r w:rsidR="00637E49">
        <w:rPr>
          <w:rFonts w:ascii="Book Antiqua" w:hAnsi="Book Antiqua"/>
          <w:sz w:val="26"/>
          <w:szCs w:val="26"/>
        </w:rPr>
        <w:t xml:space="preserve">Restructuring’s </w:t>
      </w:r>
      <w:r w:rsidR="00CF316F">
        <w:rPr>
          <w:rFonts w:ascii="Book Antiqua" w:hAnsi="Book Antiqua"/>
          <w:sz w:val="26"/>
          <w:szCs w:val="26"/>
        </w:rPr>
        <w:t>debt and interest</w:t>
      </w:r>
      <w:r w:rsidR="00637E49">
        <w:rPr>
          <w:rFonts w:ascii="Book Antiqua" w:hAnsi="Book Antiqua"/>
          <w:sz w:val="26"/>
          <w:szCs w:val="26"/>
        </w:rPr>
        <w:t xml:space="preserve"> reductions, it is </w:t>
      </w:r>
      <w:r w:rsidR="000353E5">
        <w:rPr>
          <w:rFonts w:ascii="Book Antiqua" w:hAnsi="Book Antiqua"/>
          <w:sz w:val="26"/>
          <w:szCs w:val="26"/>
        </w:rPr>
        <w:t>entirely</w:t>
      </w:r>
      <w:r w:rsidR="00637E49">
        <w:rPr>
          <w:rFonts w:ascii="Book Antiqua" w:hAnsi="Book Antiqua"/>
          <w:sz w:val="26"/>
          <w:szCs w:val="26"/>
        </w:rPr>
        <w:t xml:space="preserve"> unwilling to commit to any specific financial benefits to its California </w:t>
      </w:r>
      <w:r w:rsidR="00E5496E">
        <w:rPr>
          <w:rFonts w:ascii="Book Antiqua" w:hAnsi="Book Antiqua"/>
          <w:sz w:val="26"/>
          <w:szCs w:val="26"/>
        </w:rPr>
        <w:t>S</w:t>
      </w:r>
      <w:r w:rsidR="00637E49">
        <w:rPr>
          <w:rFonts w:ascii="Book Antiqua" w:hAnsi="Book Antiqua"/>
          <w:sz w:val="26"/>
          <w:szCs w:val="26"/>
        </w:rPr>
        <w:t>ubsidiaries.</w:t>
      </w:r>
      <w:r w:rsidR="00CF316F">
        <w:rPr>
          <w:rFonts w:ascii="Book Antiqua" w:hAnsi="Book Antiqua"/>
          <w:sz w:val="26"/>
          <w:szCs w:val="26"/>
        </w:rPr>
        <w:t xml:space="preserve"> </w:t>
      </w:r>
    </w:p>
    <w:p w:rsidR="00936FA8" w:rsidP="00936FA8" w:rsidRDefault="00ED1783" w14:paraId="6B81F38C" w14:textId="51E6D044">
      <w:pPr>
        <w:pStyle w:val="Default"/>
        <w:spacing w:line="360" w:lineRule="auto"/>
        <w:ind w:firstLine="720"/>
        <w:rPr>
          <w:rFonts w:ascii="Book Antiqua" w:hAnsi="Book Antiqua"/>
          <w:sz w:val="26"/>
          <w:szCs w:val="26"/>
        </w:rPr>
      </w:pPr>
      <w:r>
        <w:rPr>
          <w:rFonts w:ascii="Book Antiqua" w:hAnsi="Book Antiqua"/>
          <w:sz w:val="26"/>
          <w:szCs w:val="26"/>
        </w:rPr>
        <w:t>As TURN points out, the objectives of Frontier’s proposed new owners are not clear, including whether they will press to extr</w:t>
      </w:r>
      <w:r w:rsidR="00E4662D">
        <w:rPr>
          <w:rFonts w:ascii="Book Antiqua" w:hAnsi="Book Antiqua"/>
          <w:sz w:val="26"/>
          <w:szCs w:val="26"/>
        </w:rPr>
        <w:t>ac</w:t>
      </w:r>
      <w:r>
        <w:rPr>
          <w:rFonts w:ascii="Book Antiqua" w:hAnsi="Book Antiqua"/>
          <w:sz w:val="26"/>
          <w:szCs w:val="26"/>
        </w:rPr>
        <w:t>t cash through dividends and whether they will support reinvestment to provide for significant fiber expansion.</w:t>
      </w:r>
      <w:r>
        <w:rPr>
          <w:rStyle w:val="FootnoteReference"/>
          <w:rFonts w:ascii="Book Antiqua" w:hAnsi="Book Antiqua"/>
          <w:sz w:val="26"/>
          <w:szCs w:val="26"/>
        </w:rPr>
        <w:footnoteReference w:id="44"/>
      </w:r>
      <w:r>
        <w:rPr>
          <w:rFonts w:ascii="Book Antiqua" w:hAnsi="Book Antiqua"/>
          <w:sz w:val="26"/>
          <w:szCs w:val="26"/>
        </w:rPr>
        <w:t xml:space="preserve"> </w:t>
      </w:r>
      <w:r w:rsidR="00352653">
        <w:rPr>
          <w:rFonts w:ascii="Book Antiqua" w:hAnsi="Book Antiqua"/>
          <w:sz w:val="26"/>
          <w:szCs w:val="26"/>
        </w:rPr>
        <w:t xml:space="preserve">In addition, the length of time that the new owners will hold their shares in </w:t>
      </w:r>
      <w:r w:rsidR="00A4175E">
        <w:rPr>
          <w:rFonts w:ascii="Book Antiqua" w:hAnsi="Book Antiqua"/>
          <w:sz w:val="26"/>
          <w:szCs w:val="26"/>
        </w:rPr>
        <w:t>R</w:t>
      </w:r>
      <w:r w:rsidR="00352653">
        <w:rPr>
          <w:rFonts w:ascii="Book Antiqua" w:hAnsi="Book Antiqua"/>
          <w:sz w:val="26"/>
          <w:szCs w:val="26"/>
        </w:rPr>
        <w:t>eorganized Frontier is not known.</w:t>
      </w:r>
      <w:r w:rsidR="00352653">
        <w:rPr>
          <w:rStyle w:val="FootnoteReference"/>
          <w:rFonts w:ascii="Book Antiqua" w:hAnsi="Book Antiqua"/>
          <w:sz w:val="26"/>
          <w:szCs w:val="26"/>
        </w:rPr>
        <w:footnoteReference w:id="45"/>
      </w:r>
      <w:r w:rsidR="00352653">
        <w:rPr>
          <w:rFonts w:ascii="Book Antiqua" w:hAnsi="Book Antiqua"/>
          <w:sz w:val="26"/>
          <w:szCs w:val="26"/>
        </w:rPr>
        <w:t xml:space="preserve"> </w:t>
      </w:r>
      <w:r w:rsidR="004C7806">
        <w:rPr>
          <w:rFonts w:ascii="Book Antiqua" w:hAnsi="Book Antiqua"/>
          <w:sz w:val="26"/>
          <w:szCs w:val="26"/>
        </w:rPr>
        <w:t xml:space="preserve"> </w:t>
      </w:r>
      <w:r w:rsidR="00313582">
        <w:rPr>
          <w:rFonts w:ascii="Book Antiqua" w:hAnsi="Book Antiqua"/>
          <w:sz w:val="26"/>
          <w:szCs w:val="26"/>
        </w:rPr>
        <w:t xml:space="preserve">Before the </w:t>
      </w:r>
      <w:r w:rsidR="00E5496E">
        <w:rPr>
          <w:rFonts w:ascii="Book Antiqua" w:hAnsi="Book Antiqua"/>
          <w:sz w:val="26"/>
          <w:szCs w:val="26"/>
        </w:rPr>
        <w:t>Attachment 1</w:t>
      </w:r>
      <w:r w:rsidR="00313582">
        <w:rPr>
          <w:rFonts w:ascii="Book Antiqua" w:hAnsi="Book Antiqua"/>
          <w:sz w:val="26"/>
          <w:szCs w:val="26"/>
        </w:rPr>
        <w:t xml:space="preserve"> </w:t>
      </w:r>
      <w:r w:rsidR="00313582">
        <w:rPr>
          <w:rFonts w:ascii="Book Antiqua" w:hAnsi="Book Antiqua"/>
          <w:sz w:val="26"/>
          <w:szCs w:val="26"/>
        </w:rPr>
        <w:lastRenderedPageBreak/>
        <w:t xml:space="preserve">Settlement Agreement, </w:t>
      </w:r>
      <w:r w:rsidR="00936FA8">
        <w:rPr>
          <w:rFonts w:ascii="Book Antiqua" w:hAnsi="Book Antiqua"/>
          <w:sz w:val="26"/>
          <w:szCs w:val="26"/>
        </w:rPr>
        <w:t>TURN propose</w:t>
      </w:r>
      <w:r w:rsidR="00313582">
        <w:rPr>
          <w:rFonts w:ascii="Book Antiqua" w:hAnsi="Book Antiqua"/>
          <w:sz w:val="26"/>
          <w:szCs w:val="26"/>
        </w:rPr>
        <w:t>d</w:t>
      </w:r>
      <w:r w:rsidR="00936FA8">
        <w:rPr>
          <w:rFonts w:ascii="Book Antiqua" w:hAnsi="Book Antiqua"/>
          <w:sz w:val="26"/>
          <w:szCs w:val="26"/>
        </w:rPr>
        <w:t xml:space="preserve"> Commission consideration of dividend notifications and limitations,</w:t>
      </w:r>
      <w:r w:rsidR="00936FA8">
        <w:rPr>
          <w:rStyle w:val="FootnoteReference"/>
          <w:rFonts w:ascii="Book Antiqua" w:hAnsi="Book Antiqua"/>
          <w:sz w:val="26"/>
          <w:szCs w:val="26"/>
        </w:rPr>
        <w:footnoteReference w:id="46"/>
      </w:r>
      <w:r w:rsidR="00936FA8">
        <w:rPr>
          <w:rFonts w:ascii="Book Antiqua" w:hAnsi="Book Antiqua"/>
          <w:sz w:val="26"/>
          <w:szCs w:val="26"/>
        </w:rPr>
        <w:t xml:space="preserve"> including a recommendation that Frontier dividends be limited to an unspecified percentage of net income and possibly tied to the amount of debt assumed by its California </w:t>
      </w:r>
      <w:r w:rsidR="00E5496E">
        <w:rPr>
          <w:rFonts w:ascii="Book Antiqua" w:hAnsi="Book Antiqua"/>
          <w:sz w:val="26"/>
          <w:szCs w:val="26"/>
        </w:rPr>
        <w:t>S</w:t>
      </w:r>
      <w:r w:rsidR="00936FA8">
        <w:rPr>
          <w:rFonts w:ascii="Book Antiqua" w:hAnsi="Book Antiqua"/>
          <w:sz w:val="26"/>
          <w:szCs w:val="26"/>
        </w:rPr>
        <w:t>ubsidiaries or the parent company.</w:t>
      </w:r>
      <w:r w:rsidR="00936FA8">
        <w:rPr>
          <w:rStyle w:val="FootnoteReference"/>
          <w:rFonts w:ascii="Book Antiqua" w:hAnsi="Book Antiqua"/>
          <w:sz w:val="26"/>
          <w:szCs w:val="26"/>
        </w:rPr>
        <w:footnoteReference w:id="47"/>
      </w:r>
      <w:r w:rsidR="004C7806">
        <w:rPr>
          <w:rFonts w:ascii="Book Antiqua" w:hAnsi="Book Antiqua"/>
          <w:sz w:val="26"/>
          <w:szCs w:val="26"/>
        </w:rPr>
        <w:t xml:space="preserve"> </w:t>
      </w:r>
      <w:r w:rsidR="00936FA8">
        <w:rPr>
          <w:rFonts w:ascii="Book Antiqua" w:hAnsi="Book Antiqua"/>
          <w:sz w:val="26"/>
          <w:szCs w:val="26"/>
        </w:rPr>
        <w:t xml:space="preserve"> TURN also propose</w:t>
      </w:r>
      <w:r w:rsidR="00313582">
        <w:rPr>
          <w:rFonts w:ascii="Book Antiqua" w:hAnsi="Book Antiqua"/>
          <w:sz w:val="26"/>
          <w:szCs w:val="26"/>
        </w:rPr>
        <w:t>d</w:t>
      </w:r>
      <w:r w:rsidR="00936FA8">
        <w:rPr>
          <w:rFonts w:ascii="Book Antiqua" w:hAnsi="Book Antiqua"/>
          <w:sz w:val="26"/>
          <w:szCs w:val="26"/>
        </w:rPr>
        <w:t xml:space="preserve"> that the Commission limit upstream dividends from the California Subsidiaries until the Commission has certified that all conditions imposed by this decision have been met and the financial variance reports describe</w:t>
      </w:r>
      <w:r w:rsidR="00313582">
        <w:rPr>
          <w:rFonts w:ascii="Book Antiqua" w:hAnsi="Book Antiqua"/>
          <w:sz w:val="26"/>
          <w:szCs w:val="26"/>
        </w:rPr>
        <w:t>d below</w:t>
      </w:r>
      <w:r w:rsidR="00936FA8">
        <w:rPr>
          <w:rFonts w:ascii="Book Antiqua" w:hAnsi="Book Antiqua"/>
          <w:sz w:val="26"/>
          <w:szCs w:val="26"/>
        </w:rPr>
        <w:t xml:space="preserve"> have been provided.</w:t>
      </w:r>
      <w:r w:rsidR="00936FA8">
        <w:rPr>
          <w:rStyle w:val="FootnoteReference"/>
          <w:rFonts w:ascii="Book Antiqua" w:hAnsi="Book Antiqua"/>
          <w:sz w:val="26"/>
          <w:szCs w:val="26"/>
        </w:rPr>
        <w:footnoteReference w:id="48"/>
      </w:r>
      <w:r w:rsidR="00936FA8">
        <w:rPr>
          <w:rFonts w:ascii="Book Antiqua" w:hAnsi="Book Antiqua"/>
          <w:sz w:val="26"/>
          <w:szCs w:val="26"/>
        </w:rPr>
        <w:t xml:space="preserve"> TURN request</w:t>
      </w:r>
      <w:r w:rsidR="00313582">
        <w:rPr>
          <w:rFonts w:ascii="Book Antiqua" w:hAnsi="Book Antiqua"/>
          <w:sz w:val="26"/>
          <w:szCs w:val="26"/>
        </w:rPr>
        <w:t>ed</w:t>
      </w:r>
      <w:r w:rsidR="00936FA8">
        <w:rPr>
          <w:rFonts w:ascii="Book Antiqua" w:hAnsi="Book Antiqua"/>
          <w:sz w:val="26"/>
          <w:szCs w:val="26"/>
        </w:rPr>
        <w:t xml:space="preserve"> that Frontier be required to notify the Commission of the dividend policy adopted by Frontier’s new board of directors and any changes to the policy in the next three years.</w:t>
      </w:r>
      <w:r w:rsidR="00936FA8">
        <w:rPr>
          <w:rStyle w:val="FootnoteReference"/>
          <w:rFonts w:ascii="Book Antiqua" w:hAnsi="Book Antiqua"/>
          <w:sz w:val="26"/>
          <w:szCs w:val="26"/>
        </w:rPr>
        <w:footnoteReference w:id="49"/>
      </w:r>
      <w:r w:rsidR="00511554">
        <w:rPr>
          <w:rFonts w:ascii="Book Antiqua" w:hAnsi="Book Antiqua"/>
          <w:sz w:val="26"/>
          <w:szCs w:val="26"/>
        </w:rPr>
        <w:t xml:space="preserve"> TURN would also have required Frontier to file reports tr</w:t>
      </w:r>
      <w:r w:rsidR="00530373">
        <w:rPr>
          <w:rFonts w:ascii="Book Antiqua" w:hAnsi="Book Antiqua"/>
          <w:sz w:val="26"/>
          <w:szCs w:val="26"/>
        </w:rPr>
        <w:t>ac</w:t>
      </w:r>
      <w:r w:rsidR="00511554">
        <w:rPr>
          <w:rFonts w:ascii="Book Antiqua" w:hAnsi="Book Antiqua"/>
          <w:sz w:val="26"/>
          <w:szCs w:val="26"/>
        </w:rPr>
        <w:t xml:space="preserve">king variances between Frontier’s California Base Case projections versus </w:t>
      </w:r>
      <w:r w:rsidR="00530373">
        <w:rPr>
          <w:rFonts w:ascii="Book Antiqua" w:hAnsi="Book Antiqua"/>
          <w:sz w:val="26"/>
          <w:szCs w:val="26"/>
        </w:rPr>
        <w:t>ac</w:t>
      </w:r>
      <w:r w:rsidR="00511554">
        <w:rPr>
          <w:rFonts w:ascii="Book Antiqua" w:hAnsi="Book Antiqua"/>
          <w:sz w:val="26"/>
          <w:szCs w:val="26"/>
        </w:rPr>
        <w:t>tual results</w:t>
      </w:r>
      <w:r w:rsidR="005A2C1F">
        <w:rPr>
          <w:rFonts w:ascii="Book Antiqua" w:hAnsi="Book Antiqua"/>
          <w:sz w:val="26"/>
          <w:szCs w:val="26"/>
        </w:rPr>
        <w:t>,</w:t>
      </w:r>
      <w:r w:rsidR="00511554">
        <w:rPr>
          <w:rStyle w:val="FootnoteReference"/>
          <w:rFonts w:ascii="Book Antiqua" w:hAnsi="Book Antiqua"/>
          <w:sz w:val="26"/>
          <w:szCs w:val="26"/>
        </w:rPr>
        <w:footnoteReference w:id="50"/>
      </w:r>
      <w:r w:rsidR="005A2C1F">
        <w:rPr>
          <w:rFonts w:ascii="Book Antiqua" w:hAnsi="Book Antiqua"/>
          <w:sz w:val="26"/>
          <w:szCs w:val="26"/>
        </w:rPr>
        <w:t xml:space="preserve"> and TURN proposed that the Commission require Frontier to provide detailed comparative financial statements showing before and after balances for e</w:t>
      </w:r>
      <w:r w:rsidR="00530373">
        <w:rPr>
          <w:rFonts w:ascii="Book Antiqua" w:hAnsi="Book Antiqua"/>
          <w:sz w:val="26"/>
          <w:szCs w:val="26"/>
        </w:rPr>
        <w:t>ac</w:t>
      </w:r>
      <w:r w:rsidR="005A2C1F">
        <w:rPr>
          <w:rFonts w:ascii="Book Antiqua" w:hAnsi="Book Antiqua"/>
          <w:sz w:val="26"/>
          <w:szCs w:val="26"/>
        </w:rPr>
        <w:t>h California Subsidiary.</w:t>
      </w:r>
      <w:r w:rsidR="005A2C1F">
        <w:rPr>
          <w:rStyle w:val="FootnoteReference"/>
          <w:rFonts w:ascii="Book Antiqua" w:hAnsi="Book Antiqua"/>
          <w:sz w:val="26"/>
          <w:szCs w:val="26"/>
        </w:rPr>
        <w:footnoteReference w:id="51"/>
      </w:r>
    </w:p>
    <w:p w:rsidR="00936FA8" w:rsidP="00352653" w:rsidRDefault="00313582" w14:paraId="1507E8FD" w14:textId="18CD4A28">
      <w:pPr>
        <w:pStyle w:val="Default"/>
        <w:spacing w:line="360" w:lineRule="auto"/>
        <w:ind w:firstLine="720"/>
        <w:rPr>
          <w:rFonts w:ascii="Book Antiqua" w:hAnsi="Book Antiqua"/>
          <w:sz w:val="26"/>
          <w:szCs w:val="26"/>
        </w:rPr>
      </w:pPr>
      <w:r>
        <w:rPr>
          <w:rFonts w:ascii="Book Antiqua" w:hAnsi="Book Antiqua"/>
          <w:sz w:val="26"/>
          <w:szCs w:val="26"/>
        </w:rPr>
        <w:t xml:space="preserve">Before the </w:t>
      </w:r>
      <w:r w:rsidR="00E5496E">
        <w:rPr>
          <w:rFonts w:ascii="Book Antiqua" w:hAnsi="Book Antiqua"/>
          <w:sz w:val="26"/>
          <w:szCs w:val="26"/>
        </w:rPr>
        <w:t>Attachment 1</w:t>
      </w:r>
      <w:r>
        <w:rPr>
          <w:rFonts w:ascii="Book Antiqua" w:hAnsi="Book Antiqua"/>
          <w:sz w:val="26"/>
          <w:szCs w:val="26"/>
        </w:rPr>
        <w:t xml:space="preserve"> Settlement Agreement, </w:t>
      </w:r>
      <w:r w:rsidR="00936FA8">
        <w:rPr>
          <w:rFonts w:ascii="Book Antiqua" w:hAnsi="Book Antiqua"/>
          <w:sz w:val="26"/>
          <w:szCs w:val="26"/>
        </w:rPr>
        <w:t>Frontier object</w:t>
      </w:r>
      <w:r>
        <w:rPr>
          <w:rFonts w:ascii="Book Antiqua" w:hAnsi="Book Antiqua"/>
          <w:sz w:val="26"/>
          <w:szCs w:val="26"/>
        </w:rPr>
        <w:t>ed</w:t>
      </w:r>
      <w:r w:rsidR="00936FA8">
        <w:rPr>
          <w:rFonts w:ascii="Book Antiqua" w:hAnsi="Book Antiqua"/>
          <w:sz w:val="26"/>
          <w:szCs w:val="26"/>
        </w:rPr>
        <w:t xml:space="preserve"> to any Commission limitations on capital flows between the parent company and its operating subsidiaries because they are likely to elevate the perceptions of risk and raise Frontier’s cost of capital.</w:t>
      </w:r>
      <w:r w:rsidR="00936FA8">
        <w:rPr>
          <w:rStyle w:val="FootnoteReference"/>
          <w:rFonts w:ascii="Book Antiqua" w:hAnsi="Book Antiqua"/>
          <w:sz w:val="26"/>
          <w:szCs w:val="26"/>
        </w:rPr>
        <w:footnoteReference w:id="52"/>
      </w:r>
      <w:r w:rsidR="00936FA8">
        <w:rPr>
          <w:rFonts w:ascii="Book Antiqua" w:hAnsi="Book Antiqua"/>
          <w:sz w:val="26"/>
          <w:szCs w:val="26"/>
        </w:rPr>
        <w:t xml:space="preserve"> </w:t>
      </w:r>
      <w:r w:rsidRPr="00B61017" w:rsidR="00936FA8">
        <w:rPr>
          <w:rFonts w:ascii="Book Antiqua" w:hAnsi="Book Antiqua"/>
          <w:sz w:val="26"/>
          <w:szCs w:val="26"/>
        </w:rPr>
        <w:t xml:space="preserve"> </w:t>
      </w:r>
      <w:r w:rsidR="00F62D96">
        <w:rPr>
          <w:rFonts w:ascii="Book Antiqua" w:hAnsi="Book Antiqua"/>
          <w:sz w:val="26"/>
          <w:szCs w:val="26"/>
        </w:rPr>
        <w:t xml:space="preserve">The </w:t>
      </w:r>
      <w:r w:rsidR="00E5496E">
        <w:rPr>
          <w:rFonts w:ascii="Book Antiqua" w:hAnsi="Book Antiqua"/>
          <w:sz w:val="26"/>
          <w:szCs w:val="26"/>
        </w:rPr>
        <w:t>Attachment 1</w:t>
      </w:r>
      <w:r w:rsidR="00F62D96">
        <w:rPr>
          <w:rFonts w:ascii="Book Antiqua" w:hAnsi="Book Antiqua"/>
          <w:sz w:val="26"/>
          <w:szCs w:val="26"/>
        </w:rPr>
        <w:t xml:space="preserve"> Settlement Agreement </w:t>
      </w:r>
      <w:r w:rsidR="00F62D96">
        <w:rPr>
          <w:rFonts w:ascii="Book Antiqua" w:hAnsi="Book Antiqua"/>
          <w:sz w:val="26"/>
          <w:szCs w:val="26"/>
        </w:rPr>
        <w:lastRenderedPageBreak/>
        <w:t>does not limit the amount or manner of distribution of dividends.</w:t>
      </w:r>
      <w:r w:rsidR="004C7806">
        <w:rPr>
          <w:rFonts w:ascii="Book Antiqua" w:hAnsi="Book Antiqua"/>
          <w:sz w:val="26"/>
          <w:szCs w:val="26"/>
        </w:rPr>
        <w:t xml:space="preserve"> </w:t>
      </w:r>
      <w:r w:rsidR="00F62D96">
        <w:rPr>
          <w:rFonts w:ascii="Book Antiqua" w:hAnsi="Book Antiqua"/>
          <w:sz w:val="26"/>
          <w:szCs w:val="26"/>
        </w:rPr>
        <w:t xml:space="preserve"> The </w:t>
      </w:r>
      <w:r w:rsidR="00E5496E">
        <w:rPr>
          <w:rFonts w:ascii="Book Antiqua" w:hAnsi="Book Antiqua"/>
          <w:sz w:val="26"/>
          <w:szCs w:val="26"/>
        </w:rPr>
        <w:t>Attachment 1</w:t>
      </w:r>
      <w:r w:rsidR="00F62D96">
        <w:rPr>
          <w:rFonts w:ascii="Book Antiqua" w:hAnsi="Book Antiqua"/>
          <w:sz w:val="26"/>
          <w:szCs w:val="26"/>
        </w:rPr>
        <w:t xml:space="preserve"> Settlement Agreement does require Frontier to provide information and reports regarding dividends of Frontier Communications Corporation and Frontier’s California ILECs.</w:t>
      </w:r>
    </w:p>
    <w:p w:rsidR="007E6F6B" w:rsidP="005A2C1F" w:rsidRDefault="00944B8B" w14:paraId="3F0AE008" w14:textId="5D59E7E7">
      <w:pPr>
        <w:pStyle w:val="Default"/>
        <w:spacing w:line="360" w:lineRule="auto"/>
        <w:ind w:firstLine="720"/>
        <w:rPr>
          <w:rFonts w:ascii="Book Antiqua" w:hAnsi="Book Antiqua"/>
          <w:sz w:val="26"/>
          <w:szCs w:val="26"/>
        </w:rPr>
      </w:pPr>
      <w:r>
        <w:rPr>
          <w:rFonts w:ascii="Book Antiqua" w:hAnsi="Book Antiqua"/>
          <w:sz w:val="26"/>
          <w:szCs w:val="26"/>
        </w:rPr>
        <w:t xml:space="preserve">Although the </w:t>
      </w:r>
      <w:r w:rsidR="00E5496E">
        <w:rPr>
          <w:rFonts w:ascii="Book Antiqua" w:hAnsi="Book Antiqua"/>
          <w:sz w:val="26"/>
          <w:szCs w:val="26"/>
        </w:rPr>
        <w:t>Attachment 1</w:t>
      </w:r>
      <w:r>
        <w:rPr>
          <w:rFonts w:ascii="Book Antiqua" w:hAnsi="Book Antiqua"/>
          <w:sz w:val="26"/>
          <w:szCs w:val="26"/>
        </w:rPr>
        <w:t xml:space="preserve"> Settlement Agreement has several financial reporting requirements that will allow the Commission to have a more transparent view of Frontier’s finances, those reports by themselves do not necessarily </w:t>
      </w:r>
      <w:r w:rsidR="005A2C1F">
        <w:rPr>
          <w:rFonts w:ascii="Book Antiqua" w:hAnsi="Book Antiqua"/>
          <w:sz w:val="26"/>
          <w:szCs w:val="26"/>
        </w:rPr>
        <w:t>establish</w:t>
      </w:r>
      <w:r>
        <w:rPr>
          <w:rFonts w:ascii="Book Antiqua" w:hAnsi="Book Antiqua"/>
          <w:sz w:val="26"/>
          <w:szCs w:val="26"/>
        </w:rPr>
        <w:t xml:space="preserve"> that the Restructuring will benefit or even maintain </w:t>
      </w:r>
      <w:r w:rsidR="009B50A1">
        <w:rPr>
          <w:rFonts w:ascii="Book Antiqua" w:hAnsi="Book Antiqua"/>
          <w:sz w:val="26"/>
          <w:szCs w:val="26"/>
        </w:rPr>
        <w:t xml:space="preserve">the financial condition of </w:t>
      </w:r>
      <w:r>
        <w:rPr>
          <w:rFonts w:ascii="Book Antiqua" w:hAnsi="Book Antiqua"/>
          <w:sz w:val="26"/>
          <w:szCs w:val="26"/>
        </w:rPr>
        <w:t>Frontier’s Cal</w:t>
      </w:r>
      <w:r w:rsidR="009B50A1">
        <w:rPr>
          <w:rFonts w:ascii="Book Antiqua" w:hAnsi="Book Antiqua"/>
          <w:sz w:val="26"/>
          <w:szCs w:val="26"/>
        </w:rPr>
        <w:t>ifornia operations.</w:t>
      </w:r>
      <w:r w:rsidR="004C7806">
        <w:rPr>
          <w:rFonts w:ascii="Book Antiqua" w:hAnsi="Book Antiqua"/>
          <w:sz w:val="26"/>
          <w:szCs w:val="26"/>
        </w:rPr>
        <w:t xml:space="preserve"> </w:t>
      </w:r>
      <w:r w:rsidR="005A2C1F">
        <w:rPr>
          <w:rFonts w:ascii="Book Antiqua" w:hAnsi="Book Antiqua"/>
          <w:sz w:val="26"/>
          <w:szCs w:val="26"/>
        </w:rPr>
        <w:t xml:space="preserve"> </w:t>
      </w:r>
      <w:r w:rsidR="00DC0C33">
        <w:rPr>
          <w:rFonts w:ascii="Book Antiqua" w:hAnsi="Book Antiqua"/>
          <w:sz w:val="26"/>
          <w:szCs w:val="26"/>
        </w:rPr>
        <w:t>Given Frontier’s unwillingness to commit to California-specific benefits from the Restructuring’s debt reduction and the l</w:t>
      </w:r>
      <w:r w:rsidR="00530373">
        <w:rPr>
          <w:rFonts w:ascii="Book Antiqua" w:hAnsi="Book Antiqua"/>
          <w:sz w:val="26"/>
          <w:szCs w:val="26"/>
        </w:rPr>
        <w:t>ac</w:t>
      </w:r>
      <w:r w:rsidR="00DC0C33">
        <w:rPr>
          <w:rFonts w:ascii="Book Antiqua" w:hAnsi="Book Antiqua"/>
          <w:sz w:val="26"/>
          <w:szCs w:val="26"/>
        </w:rPr>
        <w:t>k of clarity regarding future financial decisions</w:t>
      </w:r>
      <w:r w:rsidR="001862CF">
        <w:rPr>
          <w:rFonts w:ascii="Book Antiqua" w:hAnsi="Book Antiqua"/>
          <w:sz w:val="26"/>
          <w:szCs w:val="26"/>
        </w:rPr>
        <w:t xml:space="preserve">, the evidence fails to show that the Restructuring either maintains or improves </w:t>
      </w:r>
      <w:r w:rsidR="009B50A1">
        <w:rPr>
          <w:rFonts w:ascii="Book Antiqua" w:hAnsi="Book Antiqua"/>
          <w:sz w:val="26"/>
          <w:szCs w:val="26"/>
        </w:rPr>
        <w:t>Frontier’s</w:t>
      </w:r>
      <w:r w:rsidR="001862CF">
        <w:rPr>
          <w:rFonts w:ascii="Book Antiqua" w:hAnsi="Book Antiqua"/>
          <w:sz w:val="26"/>
          <w:szCs w:val="26"/>
        </w:rPr>
        <w:t xml:space="preserve"> financial condition. </w:t>
      </w:r>
    </w:p>
    <w:p w:rsidR="007E6F6B" w:rsidP="004C7806" w:rsidRDefault="007E6F6B" w14:paraId="1F416268" w14:textId="76F6AAF8">
      <w:pPr>
        <w:pStyle w:val="Heading3"/>
      </w:pPr>
      <w:bookmarkStart w:name="_Toc67556514" w:id="19"/>
      <w:bookmarkStart w:name="_Hlk61350999" w:id="20"/>
      <w:r>
        <w:t>E</w:t>
      </w:r>
      <w:r w:rsidR="00F65D17">
        <w:t xml:space="preserve">ffect on </w:t>
      </w:r>
      <w:r w:rsidR="009B50A1">
        <w:t>Frontier’s</w:t>
      </w:r>
      <w:r w:rsidR="00F65D17">
        <w:t xml:space="preserve"> Quality of Service</w:t>
      </w:r>
      <w:bookmarkEnd w:id="19"/>
      <w:r>
        <w:t xml:space="preserve">  </w:t>
      </w:r>
    </w:p>
    <w:p w:rsidR="0029461E" w:rsidP="007E6F6B" w:rsidRDefault="00BF0FB4" w14:paraId="5F63AFED" w14:textId="0D6CA48C">
      <w:pPr>
        <w:pStyle w:val="Default"/>
        <w:spacing w:line="360" w:lineRule="auto"/>
        <w:ind w:firstLine="720"/>
        <w:rPr>
          <w:rFonts w:ascii="Book Antiqua" w:hAnsi="Book Antiqua"/>
          <w:sz w:val="26"/>
          <w:szCs w:val="26"/>
        </w:rPr>
      </w:pPr>
      <w:r>
        <w:rPr>
          <w:rFonts w:ascii="Book Antiqua" w:hAnsi="Book Antiqua"/>
          <w:sz w:val="26"/>
          <w:szCs w:val="26"/>
        </w:rPr>
        <w:t>Under Pub. Util. Code Section 854(c)(2), the Commission must consider whether the Restructuring maintains or improves</w:t>
      </w:r>
      <w:r w:rsidR="00323246">
        <w:rPr>
          <w:rFonts w:ascii="Book Antiqua" w:hAnsi="Book Antiqua"/>
          <w:sz w:val="26"/>
          <w:szCs w:val="26"/>
        </w:rPr>
        <w:t xml:space="preserve"> the quality of service to Frontier’s California ratepayers. </w:t>
      </w:r>
      <w:r w:rsidR="004C7806">
        <w:rPr>
          <w:rFonts w:ascii="Book Antiqua" w:hAnsi="Book Antiqua"/>
          <w:sz w:val="26"/>
          <w:szCs w:val="26"/>
        </w:rPr>
        <w:t xml:space="preserve"> </w:t>
      </w:r>
      <w:r w:rsidR="00A820EC">
        <w:rPr>
          <w:rFonts w:ascii="Book Antiqua" w:hAnsi="Book Antiqua"/>
          <w:sz w:val="26"/>
          <w:szCs w:val="26"/>
        </w:rPr>
        <w:t>Frontier states that the Restructuring will not alter its day-to-day operations</w:t>
      </w:r>
      <w:r w:rsidR="001B379B">
        <w:rPr>
          <w:rFonts w:ascii="Book Antiqua" w:hAnsi="Book Antiqua"/>
          <w:sz w:val="26"/>
          <w:szCs w:val="26"/>
        </w:rPr>
        <w:t xml:space="preserve"> and that</w:t>
      </w:r>
      <w:r w:rsidR="00A820EC">
        <w:rPr>
          <w:rFonts w:ascii="Book Antiqua" w:hAnsi="Book Antiqua"/>
          <w:sz w:val="26"/>
          <w:szCs w:val="26"/>
        </w:rPr>
        <w:t xml:space="preserve"> </w:t>
      </w:r>
      <w:r w:rsidR="001B379B">
        <w:rPr>
          <w:rFonts w:ascii="Book Antiqua" w:hAnsi="Book Antiqua"/>
          <w:sz w:val="26"/>
          <w:szCs w:val="26"/>
        </w:rPr>
        <w:t>service quality</w:t>
      </w:r>
      <w:r w:rsidR="00A820EC">
        <w:rPr>
          <w:rFonts w:ascii="Book Antiqua" w:hAnsi="Book Antiqua"/>
          <w:sz w:val="26"/>
          <w:szCs w:val="26"/>
        </w:rPr>
        <w:t xml:space="preserve"> will at least be maintained.</w:t>
      </w:r>
      <w:r w:rsidR="004C7806">
        <w:rPr>
          <w:rFonts w:ascii="Book Antiqua" w:hAnsi="Book Antiqua"/>
          <w:sz w:val="26"/>
          <w:szCs w:val="26"/>
        </w:rPr>
        <w:t xml:space="preserve"> </w:t>
      </w:r>
      <w:r w:rsidR="00A820EC">
        <w:rPr>
          <w:rFonts w:ascii="Book Antiqua" w:hAnsi="Book Antiqua"/>
          <w:sz w:val="26"/>
          <w:szCs w:val="26"/>
        </w:rPr>
        <w:t xml:space="preserve"> Frontier also states that no service will be discontinued or interrupted </w:t>
      </w:r>
      <w:proofErr w:type="gramStart"/>
      <w:r w:rsidR="00A820EC">
        <w:rPr>
          <w:rFonts w:ascii="Book Antiqua" w:hAnsi="Book Antiqua"/>
          <w:sz w:val="26"/>
          <w:szCs w:val="26"/>
        </w:rPr>
        <w:t>as a result of</w:t>
      </w:r>
      <w:proofErr w:type="gramEnd"/>
      <w:r w:rsidR="00A820EC">
        <w:rPr>
          <w:rFonts w:ascii="Book Antiqua" w:hAnsi="Book Antiqua"/>
          <w:sz w:val="26"/>
          <w:szCs w:val="26"/>
        </w:rPr>
        <w:t xml:space="preserve"> the Restructuring.</w:t>
      </w:r>
      <w:r w:rsidR="00A820EC">
        <w:rPr>
          <w:rStyle w:val="FootnoteReference"/>
          <w:rFonts w:ascii="Book Antiqua" w:hAnsi="Book Antiqua"/>
          <w:sz w:val="26"/>
          <w:szCs w:val="26"/>
        </w:rPr>
        <w:footnoteReference w:id="53"/>
      </w:r>
      <w:r w:rsidR="00A820EC">
        <w:rPr>
          <w:rFonts w:ascii="Book Antiqua" w:hAnsi="Book Antiqua"/>
          <w:sz w:val="26"/>
          <w:szCs w:val="26"/>
        </w:rPr>
        <w:t xml:space="preserve"> </w:t>
      </w:r>
    </w:p>
    <w:p w:rsidR="003249CD" w:rsidP="000C7F29" w:rsidRDefault="008E7797" w14:paraId="690287E6" w14:textId="1D71097F">
      <w:pPr>
        <w:pStyle w:val="Default"/>
        <w:spacing w:line="360" w:lineRule="auto"/>
        <w:ind w:firstLine="720"/>
        <w:rPr>
          <w:rFonts w:ascii="Book Antiqua" w:hAnsi="Book Antiqua"/>
          <w:sz w:val="26"/>
          <w:szCs w:val="26"/>
        </w:rPr>
      </w:pPr>
      <w:r>
        <w:rPr>
          <w:rFonts w:ascii="Book Antiqua" w:hAnsi="Book Antiqua"/>
          <w:sz w:val="26"/>
          <w:szCs w:val="26"/>
        </w:rPr>
        <w:t xml:space="preserve">The Out of Service (OOS) Repair Interval Standard measures the time it takes to restore service after an </w:t>
      </w:r>
      <w:r w:rsidR="00323246">
        <w:rPr>
          <w:rFonts w:ascii="Book Antiqua" w:hAnsi="Book Antiqua"/>
          <w:sz w:val="26"/>
          <w:szCs w:val="26"/>
        </w:rPr>
        <w:t>OOS</w:t>
      </w:r>
      <w:r>
        <w:rPr>
          <w:rFonts w:ascii="Book Antiqua" w:hAnsi="Book Antiqua"/>
          <w:sz w:val="26"/>
          <w:szCs w:val="26"/>
        </w:rPr>
        <w:t xml:space="preserve"> trouble report or outage. </w:t>
      </w:r>
      <w:r w:rsidR="004C7806">
        <w:rPr>
          <w:rFonts w:ascii="Book Antiqua" w:hAnsi="Book Antiqua"/>
          <w:sz w:val="26"/>
          <w:szCs w:val="26"/>
        </w:rPr>
        <w:t xml:space="preserve"> </w:t>
      </w:r>
      <w:r w:rsidR="006965FC">
        <w:rPr>
          <w:rFonts w:ascii="Book Antiqua" w:hAnsi="Book Antiqua"/>
          <w:sz w:val="26"/>
          <w:szCs w:val="26"/>
        </w:rPr>
        <w:t xml:space="preserve">OOS is an important service quality metric that relates to service reliability and public </w:t>
      </w:r>
      <w:r w:rsidR="006965FC">
        <w:rPr>
          <w:rFonts w:ascii="Book Antiqua" w:hAnsi="Book Antiqua"/>
          <w:sz w:val="26"/>
          <w:szCs w:val="26"/>
        </w:rPr>
        <w:lastRenderedPageBreak/>
        <w:t>safety</w:t>
      </w:r>
      <w:r w:rsidR="00F4119E">
        <w:rPr>
          <w:rFonts w:ascii="Book Antiqua" w:hAnsi="Book Antiqua"/>
          <w:sz w:val="26"/>
          <w:szCs w:val="26"/>
        </w:rPr>
        <w:t>.</w:t>
      </w:r>
      <w:r w:rsidR="006965FC">
        <w:rPr>
          <w:rStyle w:val="FootnoteReference"/>
          <w:rFonts w:ascii="Book Antiqua" w:hAnsi="Book Antiqua"/>
          <w:sz w:val="26"/>
          <w:szCs w:val="26"/>
        </w:rPr>
        <w:footnoteReference w:id="54"/>
      </w:r>
      <w:r w:rsidR="00F4119E">
        <w:rPr>
          <w:rFonts w:ascii="Book Antiqua" w:hAnsi="Book Antiqua"/>
          <w:sz w:val="26"/>
          <w:szCs w:val="26"/>
        </w:rPr>
        <w:t xml:space="preserve">  G</w:t>
      </w:r>
      <w:r w:rsidR="005D6B50">
        <w:rPr>
          <w:rFonts w:ascii="Book Antiqua" w:hAnsi="Book Antiqua"/>
          <w:sz w:val="26"/>
          <w:szCs w:val="26"/>
        </w:rPr>
        <w:t>eneral Order (</w:t>
      </w:r>
      <w:r w:rsidR="006965FC">
        <w:rPr>
          <w:rFonts w:ascii="Book Antiqua" w:hAnsi="Book Antiqua"/>
          <w:sz w:val="26"/>
          <w:szCs w:val="26"/>
        </w:rPr>
        <w:t>GO</w:t>
      </w:r>
      <w:r w:rsidR="005D6B50">
        <w:rPr>
          <w:rFonts w:ascii="Book Antiqua" w:hAnsi="Book Antiqua"/>
          <w:sz w:val="26"/>
          <w:szCs w:val="26"/>
        </w:rPr>
        <w:t>)</w:t>
      </w:r>
      <w:r w:rsidR="006965FC">
        <w:rPr>
          <w:rFonts w:ascii="Book Antiqua" w:hAnsi="Book Antiqua"/>
          <w:sz w:val="26"/>
          <w:szCs w:val="26"/>
        </w:rPr>
        <w:t xml:space="preserve"> 133-D requires that telephone companies restore service for at least 90 percent of all OOS reports within 24 hours e</w:t>
      </w:r>
      <w:r w:rsidR="00280602">
        <w:rPr>
          <w:rFonts w:ascii="Book Antiqua" w:hAnsi="Book Antiqua"/>
          <w:sz w:val="26"/>
          <w:szCs w:val="26"/>
        </w:rPr>
        <w:t>ac</w:t>
      </w:r>
      <w:r w:rsidR="006965FC">
        <w:rPr>
          <w:rFonts w:ascii="Book Antiqua" w:hAnsi="Book Antiqua"/>
          <w:sz w:val="26"/>
          <w:szCs w:val="26"/>
        </w:rPr>
        <w:t>h month</w:t>
      </w:r>
      <w:r w:rsidR="00F4119E">
        <w:rPr>
          <w:rFonts w:ascii="Book Antiqua" w:hAnsi="Book Antiqua"/>
          <w:sz w:val="26"/>
          <w:szCs w:val="26"/>
        </w:rPr>
        <w:t xml:space="preserve">.  </w:t>
      </w:r>
      <w:r w:rsidR="0029461E">
        <w:rPr>
          <w:rFonts w:ascii="Book Antiqua" w:hAnsi="Book Antiqua"/>
          <w:sz w:val="26"/>
          <w:szCs w:val="26"/>
        </w:rPr>
        <w:t xml:space="preserve">Frontier </w:t>
      </w:r>
      <w:r w:rsidR="00280602">
        <w:rPr>
          <w:rFonts w:ascii="Book Antiqua" w:hAnsi="Book Antiqua"/>
          <w:sz w:val="26"/>
          <w:szCs w:val="26"/>
        </w:rPr>
        <w:t>ac</w:t>
      </w:r>
      <w:r w:rsidR="0029461E">
        <w:rPr>
          <w:rFonts w:ascii="Book Antiqua" w:hAnsi="Book Antiqua"/>
          <w:sz w:val="26"/>
          <w:szCs w:val="26"/>
        </w:rPr>
        <w:t>knowledges that it has regularly failed to meet the G</w:t>
      </w:r>
      <w:r w:rsidR="005D6B50">
        <w:rPr>
          <w:rFonts w:ascii="Book Antiqua" w:hAnsi="Book Antiqua"/>
          <w:sz w:val="26"/>
          <w:szCs w:val="26"/>
        </w:rPr>
        <w:t>O</w:t>
      </w:r>
      <w:r w:rsidR="0029461E">
        <w:rPr>
          <w:rFonts w:ascii="Book Antiqua" w:hAnsi="Book Antiqua"/>
          <w:sz w:val="26"/>
          <w:szCs w:val="26"/>
        </w:rPr>
        <w:t xml:space="preserve"> 133-D O</w:t>
      </w:r>
      <w:r w:rsidR="00C404EE">
        <w:rPr>
          <w:rFonts w:ascii="Book Antiqua" w:hAnsi="Book Antiqua"/>
          <w:sz w:val="26"/>
          <w:szCs w:val="26"/>
        </w:rPr>
        <w:t>OS</w:t>
      </w:r>
      <w:r w:rsidR="0029461E">
        <w:rPr>
          <w:rFonts w:ascii="Book Antiqua" w:hAnsi="Book Antiqua"/>
          <w:sz w:val="26"/>
          <w:szCs w:val="26"/>
        </w:rPr>
        <w:t xml:space="preserve"> Repair Interval Standard</w:t>
      </w:r>
      <w:r w:rsidR="00E5496E">
        <w:rPr>
          <w:rFonts w:ascii="Book Antiqua" w:hAnsi="Book Antiqua"/>
          <w:sz w:val="26"/>
          <w:szCs w:val="26"/>
        </w:rPr>
        <w:t>,</w:t>
      </w:r>
      <w:r w:rsidR="0029461E">
        <w:rPr>
          <w:rFonts w:ascii="Book Antiqua" w:hAnsi="Book Antiqua"/>
          <w:sz w:val="26"/>
          <w:szCs w:val="26"/>
        </w:rPr>
        <w:t xml:space="preserve"> but </w:t>
      </w:r>
      <w:r w:rsidR="00E5496E">
        <w:rPr>
          <w:rFonts w:ascii="Book Antiqua" w:hAnsi="Book Antiqua"/>
          <w:sz w:val="26"/>
          <w:szCs w:val="26"/>
        </w:rPr>
        <w:t xml:space="preserve">it </w:t>
      </w:r>
      <w:r w:rsidR="0029461E">
        <w:rPr>
          <w:rFonts w:ascii="Book Antiqua" w:hAnsi="Book Antiqua"/>
          <w:sz w:val="26"/>
          <w:szCs w:val="26"/>
        </w:rPr>
        <w:t xml:space="preserve">argues that </w:t>
      </w:r>
      <w:r w:rsidR="00C404EE">
        <w:rPr>
          <w:rFonts w:ascii="Book Antiqua" w:hAnsi="Book Antiqua"/>
          <w:sz w:val="26"/>
          <w:szCs w:val="26"/>
        </w:rPr>
        <w:t>service quality issues are not properly addressed in this proceeding because Frontier</w:t>
      </w:r>
      <w:r w:rsidR="0029461E">
        <w:rPr>
          <w:rFonts w:ascii="Book Antiqua" w:hAnsi="Book Antiqua"/>
          <w:sz w:val="26"/>
          <w:szCs w:val="26"/>
        </w:rPr>
        <w:t xml:space="preserve"> is </w:t>
      </w:r>
      <w:r w:rsidR="00280602">
        <w:rPr>
          <w:rFonts w:ascii="Book Antiqua" w:hAnsi="Book Antiqua"/>
          <w:sz w:val="26"/>
          <w:szCs w:val="26"/>
        </w:rPr>
        <w:t>ac</w:t>
      </w:r>
      <w:r w:rsidR="0029461E">
        <w:rPr>
          <w:rFonts w:ascii="Book Antiqua" w:hAnsi="Book Antiqua"/>
          <w:sz w:val="26"/>
          <w:szCs w:val="26"/>
        </w:rPr>
        <w:t xml:space="preserve">tively addressing </w:t>
      </w:r>
      <w:r w:rsidR="00C404EE">
        <w:rPr>
          <w:rFonts w:ascii="Book Antiqua" w:hAnsi="Book Antiqua"/>
          <w:sz w:val="26"/>
          <w:szCs w:val="26"/>
        </w:rPr>
        <w:t>those</w:t>
      </w:r>
      <w:r w:rsidR="0029461E">
        <w:rPr>
          <w:rFonts w:ascii="Book Antiqua" w:hAnsi="Book Antiqua"/>
          <w:sz w:val="26"/>
          <w:szCs w:val="26"/>
        </w:rPr>
        <w:t xml:space="preserve"> issues in other Commission proceedings.</w:t>
      </w:r>
      <w:r w:rsidR="0029461E">
        <w:rPr>
          <w:rStyle w:val="FootnoteReference"/>
          <w:rFonts w:ascii="Book Antiqua" w:hAnsi="Book Antiqua"/>
          <w:sz w:val="26"/>
          <w:szCs w:val="26"/>
        </w:rPr>
        <w:footnoteReference w:id="55"/>
      </w:r>
      <w:r w:rsidR="000C7F29">
        <w:rPr>
          <w:rFonts w:ascii="Book Antiqua" w:hAnsi="Book Antiqua"/>
          <w:sz w:val="26"/>
          <w:szCs w:val="26"/>
        </w:rPr>
        <w:t xml:space="preserve"> </w:t>
      </w:r>
      <w:r w:rsidR="004C7806">
        <w:rPr>
          <w:rFonts w:ascii="Book Antiqua" w:hAnsi="Book Antiqua"/>
          <w:sz w:val="26"/>
          <w:szCs w:val="26"/>
        </w:rPr>
        <w:t xml:space="preserve"> </w:t>
      </w:r>
      <w:r w:rsidR="000C7F29">
        <w:rPr>
          <w:rFonts w:ascii="Book Antiqua" w:hAnsi="Book Antiqua"/>
          <w:sz w:val="26"/>
          <w:szCs w:val="26"/>
        </w:rPr>
        <w:t xml:space="preserve">Nevertheless, before the Settlement Agreements, Frontier promised to submit a detailed plan and quarterly updates to the Commission describing the </w:t>
      </w:r>
      <w:r w:rsidR="00280602">
        <w:rPr>
          <w:rFonts w:ascii="Book Antiqua" w:hAnsi="Book Antiqua"/>
          <w:sz w:val="26"/>
          <w:szCs w:val="26"/>
        </w:rPr>
        <w:t>ac</w:t>
      </w:r>
      <w:r w:rsidR="000C7F29">
        <w:rPr>
          <w:rFonts w:ascii="Book Antiqua" w:hAnsi="Book Antiqua"/>
          <w:sz w:val="26"/>
          <w:szCs w:val="26"/>
        </w:rPr>
        <w:t>tions its California ILECs have taken and will take to meet the OOS Standard and improve service performance</w:t>
      </w:r>
      <w:r w:rsidR="00F4119E">
        <w:rPr>
          <w:rFonts w:ascii="Book Antiqua" w:hAnsi="Book Antiqua"/>
          <w:sz w:val="26"/>
          <w:szCs w:val="26"/>
        </w:rPr>
        <w:t xml:space="preserve">.  </w:t>
      </w:r>
      <w:r w:rsidR="00280602">
        <w:rPr>
          <w:rFonts w:ascii="Book Antiqua" w:hAnsi="Book Antiqua"/>
          <w:sz w:val="26"/>
          <w:szCs w:val="26"/>
        </w:rPr>
        <w:t xml:space="preserve">Frontier also promised that, </w:t>
      </w:r>
      <w:r w:rsidR="000C7F29">
        <w:rPr>
          <w:rFonts w:ascii="Book Antiqua" w:hAnsi="Book Antiqua"/>
          <w:sz w:val="26"/>
          <w:szCs w:val="26"/>
        </w:rPr>
        <w:t xml:space="preserve">for three years starting with its emergence from Chapter 11, </w:t>
      </w:r>
      <w:r w:rsidR="00280602">
        <w:rPr>
          <w:rFonts w:ascii="Book Antiqua" w:hAnsi="Book Antiqua"/>
          <w:sz w:val="26"/>
          <w:szCs w:val="26"/>
        </w:rPr>
        <w:t>its</w:t>
      </w:r>
      <w:r w:rsidR="000C7F29">
        <w:rPr>
          <w:rFonts w:ascii="Book Antiqua" w:hAnsi="Book Antiqua"/>
          <w:sz w:val="26"/>
          <w:szCs w:val="26"/>
        </w:rPr>
        <w:t xml:space="preserve"> California ILECs would agree to (1) double the monetary sanction or service quality improvement calculated under D.16-08-021 and reflected in G</w:t>
      </w:r>
      <w:r w:rsidR="005D6B50">
        <w:rPr>
          <w:rFonts w:ascii="Book Antiqua" w:hAnsi="Book Antiqua"/>
          <w:sz w:val="26"/>
          <w:szCs w:val="26"/>
        </w:rPr>
        <w:t>O</w:t>
      </w:r>
      <w:r w:rsidR="000C7F29">
        <w:rPr>
          <w:rFonts w:ascii="Book Antiqua" w:hAnsi="Book Antiqua"/>
          <w:sz w:val="26"/>
          <w:szCs w:val="26"/>
        </w:rPr>
        <w:t xml:space="preserve"> 133-D in effect on November 1, 2020, and (2) provide a customer credit of $5 per day for services subject to the G</w:t>
      </w:r>
      <w:r w:rsidR="005D6B50">
        <w:rPr>
          <w:rFonts w:ascii="Book Antiqua" w:hAnsi="Book Antiqua"/>
          <w:sz w:val="26"/>
          <w:szCs w:val="26"/>
        </w:rPr>
        <w:t>O</w:t>
      </w:r>
      <w:r w:rsidR="000C7F29">
        <w:rPr>
          <w:rFonts w:ascii="Book Antiqua" w:hAnsi="Book Antiqua"/>
          <w:sz w:val="26"/>
          <w:szCs w:val="26"/>
        </w:rPr>
        <w:t xml:space="preserve"> 133-D standard that remain out of service for longer than 24 hours.</w:t>
      </w:r>
      <w:r w:rsidR="000C7F29">
        <w:rPr>
          <w:rStyle w:val="FootnoteReference"/>
          <w:rFonts w:ascii="Book Antiqua" w:hAnsi="Book Antiqua"/>
          <w:sz w:val="26"/>
          <w:szCs w:val="26"/>
        </w:rPr>
        <w:footnoteReference w:id="56"/>
      </w:r>
    </w:p>
    <w:p w:rsidR="00590CD1" w:rsidP="007E6F6B" w:rsidRDefault="00EF1219" w14:paraId="764606E9" w14:textId="0318E057">
      <w:pPr>
        <w:pStyle w:val="Default"/>
        <w:spacing w:line="360" w:lineRule="auto"/>
        <w:ind w:firstLine="720"/>
        <w:rPr>
          <w:rFonts w:ascii="Book Antiqua" w:hAnsi="Book Antiqua"/>
          <w:sz w:val="26"/>
          <w:szCs w:val="26"/>
        </w:rPr>
      </w:pPr>
      <w:r>
        <w:rPr>
          <w:rFonts w:ascii="Book Antiqua" w:hAnsi="Book Antiqua"/>
          <w:sz w:val="26"/>
          <w:szCs w:val="26"/>
        </w:rPr>
        <w:t xml:space="preserve">Before the </w:t>
      </w:r>
      <w:r w:rsidR="00DC3A45">
        <w:rPr>
          <w:rFonts w:ascii="Book Antiqua" w:hAnsi="Book Antiqua"/>
          <w:sz w:val="26"/>
          <w:szCs w:val="26"/>
        </w:rPr>
        <w:t>Attachment 1</w:t>
      </w:r>
      <w:r>
        <w:rPr>
          <w:rFonts w:ascii="Book Antiqua" w:hAnsi="Book Antiqua"/>
          <w:sz w:val="26"/>
          <w:szCs w:val="26"/>
        </w:rPr>
        <w:t xml:space="preserve"> Settlement Agreement, </w:t>
      </w:r>
      <w:r w:rsidR="003249CD">
        <w:rPr>
          <w:rFonts w:ascii="Book Antiqua" w:hAnsi="Book Antiqua"/>
          <w:sz w:val="26"/>
          <w:szCs w:val="26"/>
        </w:rPr>
        <w:t>TURN assert</w:t>
      </w:r>
      <w:r>
        <w:rPr>
          <w:rFonts w:ascii="Book Antiqua" w:hAnsi="Book Antiqua"/>
          <w:sz w:val="26"/>
          <w:szCs w:val="26"/>
        </w:rPr>
        <w:t>ed</w:t>
      </w:r>
      <w:r w:rsidR="003249CD">
        <w:rPr>
          <w:rFonts w:ascii="Book Antiqua" w:hAnsi="Book Antiqua"/>
          <w:sz w:val="26"/>
          <w:szCs w:val="26"/>
        </w:rPr>
        <w:t xml:space="preserve"> that Frontier has not made substantive commitments regarding service quality.</w:t>
      </w:r>
      <w:r w:rsidR="003249CD">
        <w:rPr>
          <w:rStyle w:val="FootnoteReference"/>
          <w:rFonts w:ascii="Book Antiqua" w:hAnsi="Book Antiqua"/>
          <w:sz w:val="26"/>
          <w:szCs w:val="26"/>
        </w:rPr>
        <w:footnoteReference w:id="57"/>
      </w:r>
      <w:r w:rsidR="003249CD">
        <w:rPr>
          <w:rFonts w:ascii="Book Antiqua" w:hAnsi="Book Antiqua"/>
          <w:sz w:val="26"/>
          <w:szCs w:val="26"/>
        </w:rPr>
        <w:t xml:space="preserve"> </w:t>
      </w:r>
      <w:r w:rsidR="00AA0327">
        <w:rPr>
          <w:rFonts w:ascii="Book Antiqua" w:hAnsi="Book Antiqua"/>
          <w:sz w:val="26"/>
          <w:szCs w:val="26"/>
        </w:rPr>
        <w:t xml:space="preserve"> </w:t>
      </w:r>
      <w:r w:rsidR="00BA01D5">
        <w:rPr>
          <w:rFonts w:ascii="Book Antiqua" w:hAnsi="Book Antiqua"/>
          <w:sz w:val="26"/>
          <w:szCs w:val="26"/>
        </w:rPr>
        <w:t>TURN proposed that Frontier file a plan for e</w:t>
      </w:r>
      <w:r w:rsidR="00280602">
        <w:rPr>
          <w:rFonts w:ascii="Book Antiqua" w:hAnsi="Book Antiqua"/>
          <w:sz w:val="26"/>
          <w:szCs w:val="26"/>
        </w:rPr>
        <w:t>ac</w:t>
      </w:r>
      <w:r w:rsidR="00BA01D5">
        <w:rPr>
          <w:rFonts w:ascii="Book Antiqua" w:hAnsi="Book Antiqua"/>
          <w:sz w:val="26"/>
          <w:szCs w:val="26"/>
        </w:rPr>
        <w:t xml:space="preserve">h California </w:t>
      </w:r>
      <w:r w:rsidR="001B3B85">
        <w:rPr>
          <w:rFonts w:ascii="Book Antiqua" w:hAnsi="Book Antiqua"/>
          <w:sz w:val="26"/>
          <w:szCs w:val="26"/>
        </w:rPr>
        <w:t>S</w:t>
      </w:r>
      <w:r w:rsidR="00BA01D5">
        <w:rPr>
          <w:rFonts w:ascii="Book Antiqua" w:hAnsi="Book Antiqua"/>
          <w:sz w:val="26"/>
          <w:szCs w:val="26"/>
        </w:rPr>
        <w:t>ubsidiary regarding how it will meet all applicable GO</w:t>
      </w:r>
      <w:r w:rsidR="006319FF">
        <w:rPr>
          <w:rFonts w:ascii="Book Antiqua" w:hAnsi="Book Antiqua"/>
          <w:sz w:val="26"/>
          <w:szCs w:val="26"/>
        </w:rPr>
        <w:t xml:space="preserve"> </w:t>
      </w:r>
      <w:r w:rsidR="00BA01D5">
        <w:rPr>
          <w:rFonts w:ascii="Book Antiqua" w:hAnsi="Book Antiqua"/>
          <w:sz w:val="26"/>
          <w:szCs w:val="26"/>
        </w:rPr>
        <w:t>133</w:t>
      </w:r>
      <w:r w:rsidR="001B3B85">
        <w:rPr>
          <w:rFonts w:ascii="Book Antiqua" w:hAnsi="Book Antiqua"/>
          <w:sz w:val="26"/>
          <w:szCs w:val="26"/>
        </w:rPr>
        <w:t xml:space="preserve">-D </w:t>
      </w:r>
      <w:r w:rsidR="00BA01D5">
        <w:rPr>
          <w:rFonts w:ascii="Book Antiqua" w:hAnsi="Book Antiqua"/>
          <w:sz w:val="26"/>
          <w:szCs w:val="26"/>
        </w:rPr>
        <w:t>service quality requirements.</w:t>
      </w:r>
      <w:r w:rsidR="00BA01D5">
        <w:rPr>
          <w:rStyle w:val="FootnoteReference"/>
          <w:rFonts w:ascii="Book Antiqua" w:hAnsi="Book Antiqua"/>
          <w:sz w:val="26"/>
          <w:szCs w:val="26"/>
        </w:rPr>
        <w:footnoteReference w:id="58"/>
      </w:r>
    </w:p>
    <w:p w:rsidR="000C7F29" w:rsidP="007E6F6B" w:rsidRDefault="00555C0B" w14:paraId="3668292B" w14:textId="1398B864">
      <w:pPr>
        <w:pStyle w:val="Default"/>
        <w:spacing w:line="360" w:lineRule="auto"/>
        <w:ind w:firstLine="720"/>
        <w:rPr>
          <w:rFonts w:ascii="Book Antiqua" w:hAnsi="Book Antiqua"/>
          <w:sz w:val="26"/>
          <w:szCs w:val="26"/>
        </w:rPr>
      </w:pPr>
      <w:r>
        <w:rPr>
          <w:rFonts w:ascii="Book Antiqua" w:hAnsi="Book Antiqua"/>
          <w:sz w:val="26"/>
          <w:szCs w:val="26"/>
        </w:rPr>
        <w:lastRenderedPageBreak/>
        <w:t>A</w:t>
      </w:r>
      <w:r w:rsidR="00280602">
        <w:rPr>
          <w:rFonts w:ascii="Book Antiqua" w:hAnsi="Book Antiqua"/>
          <w:sz w:val="26"/>
          <w:szCs w:val="26"/>
        </w:rPr>
        <w:t>c</w:t>
      </w:r>
      <w:r w:rsidR="00590CD1">
        <w:rPr>
          <w:rFonts w:ascii="Book Antiqua" w:hAnsi="Book Antiqua"/>
          <w:sz w:val="26"/>
          <w:szCs w:val="26"/>
        </w:rPr>
        <w:t>cording to Cal Advocates, Frontier spent about $322 million from 2016 through 2019 on network investments and projects to improve service quality and reliability.</w:t>
      </w:r>
      <w:r w:rsidR="00590CD1">
        <w:rPr>
          <w:rStyle w:val="FootnoteReference"/>
          <w:rFonts w:ascii="Book Antiqua" w:hAnsi="Book Antiqua"/>
          <w:sz w:val="26"/>
          <w:szCs w:val="26"/>
        </w:rPr>
        <w:footnoteReference w:id="59"/>
      </w:r>
      <w:r w:rsidR="00590CD1">
        <w:rPr>
          <w:rFonts w:ascii="Book Antiqua" w:hAnsi="Book Antiqua"/>
          <w:sz w:val="26"/>
          <w:szCs w:val="26"/>
        </w:rPr>
        <w:t xml:space="preserve"> </w:t>
      </w:r>
      <w:r w:rsidR="004F5DFB">
        <w:rPr>
          <w:rFonts w:ascii="Book Antiqua" w:hAnsi="Book Antiqua"/>
          <w:sz w:val="26"/>
          <w:szCs w:val="26"/>
        </w:rPr>
        <w:t>Cal Advocates found that Frontier has regularly met G</w:t>
      </w:r>
      <w:r w:rsidR="008B2170">
        <w:rPr>
          <w:rFonts w:ascii="Book Antiqua" w:hAnsi="Book Antiqua"/>
          <w:sz w:val="26"/>
          <w:szCs w:val="26"/>
        </w:rPr>
        <w:t xml:space="preserve">O </w:t>
      </w:r>
      <w:r w:rsidR="004F5DFB">
        <w:rPr>
          <w:rFonts w:ascii="Book Antiqua" w:hAnsi="Book Antiqua"/>
          <w:sz w:val="26"/>
          <w:szCs w:val="26"/>
        </w:rPr>
        <w:t>133-D’s Customer Trouble Reports standard.</w:t>
      </w:r>
      <w:r w:rsidR="004F5DFB">
        <w:rPr>
          <w:rStyle w:val="FootnoteReference"/>
          <w:rFonts w:ascii="Book Antiqua" w:hAnsi="Book Antiqua"/>
          <w:sz w:val="26"/>
          <w:szCs w:val="26"/>
        </w:rPr>
        <w:footnoteReference w:id="60"/>
      </w:r>
      <w:r w:rsidR="004F5DFB">
        <w:rPr>
          <w:rFonts w:ascii="Book Antiqua" w:hAnsi="Book Antiqua"/>
          <w:sz w:val="26"/>
          <w:szCs w:val="26"/>
        </w:rPr>
        <w:t xml:space="preserve"> </w:t>
      </w:r>
      <w:r w:rsidR="00AA0327">
        <w:rPr>
          <w:rFonts w:ascii="Book Antiqua" w:hAnsi="Book Antiqua"/>
          <w:sz w:val="26"/>
          <w:szCs w:val="26"/>
        </w:rPr>
        <w:t xml:space="preserve"> </w:t>
      </w:r>
      <w:r w:rsidR="00D1717E">
        <w:rPr>
          <w:rFonts w:ascii="Book Antiqua" w:hAnsi="Book Antiqua"/>
          <w:sz w:val="26"/>
          <w:szCs w:val="26"/>
        </w:rPr>
        <w:t>However,</w:t>
      </w:r>
      <w:r w:rsidR="007C339F">
        <w:rPr>
          <w:rFonts w:ascii="Book Antiqua" w:hAnsi="Book Antiqua"/>
          <w:sz w:val="26"/>
          <w:szCs w:val="26"/>
        </w:rPr>
        <w:t xml:space="preserve"> Frontier regularly failed to meet G</w:t>
      </w:r>
      <w:r w:rsidR="008B2170">
        <w:rPr>
          <w:rFonts w:ascii="Book Antiqua" w:hAnsi="Book Antiqua"/>
          <w:sz w:val="26"/>
          <w:szCs w:val="26"/>
        </w:rPr>
        <w:t>O</w:t>
      </w:r>
      <w:r w:rsidR="007C339F">
        <w:rPr>
          <w:rFonts w:ascii="Book Antiqua" w:hAnsi="Book Antiqua"/>
          <w:sz w:val="26"/>
          <w:szCs w:val="26"/>
        </w:rPr>
        <w:t xml:space="preserve"> 133-D’s OOS Repair Interval Standard, </w:t>
      </w:r>
      <w:r w:rsidR="00EF1219">
        <w:rPr>
          <w:rFonts w:ascii="Book Antiqua" w:hAnsi="Book Antiqua"/>
          <w:sz w:val="26"/>
          <w:szCs w:val="26"/>
        </w:rPr>
        <w:t>reflecting</w:t>
      </w:r>
      <w:r w:rsidR="007C339F">
        <w:rPr>
          <w:rFonts w:ascii="Book Antiqua" w:hAnsi="Book Antiqua"/>
          <w:sz w:val="26"/>
          <w:szCs w:val="26"/>
        </w:rPr>
        <w:t xml:space="preserve"> poor service quality from July 2016 through March 2020.</w:t>
      </w:r>
      <w:r w:rsidR="007C339F">
        <w:rPr>
          <w:rStyle w:val="FootnoteReference"/>
          <w:rFonts w:ascii="Book Antiqua" w:hAnsi="Book Antiqua"/>
          <w:sz w:val="26"/>
          <w:szCs w:val="26"/>
        </w:rPr>
        <w:footnoteReference w:id="61"/>
      </w:r>
      <w:r w:rsidR="007C339F">
        <w:rPr>
          <w:rFonts w:ascii="Book Antiqua" w:hAnsi="Book Antiqua"/>
          <w:sz w:val="26"/>
          <w:szCs w:val="26"/>
        </w:rPr>
        <w:t xml:space="preserve">  </w:t>
      </w:r>
      <w:r w:rsidR="00D1717E">
        <w:rPr>
          <w:rFonts w:ascii="Book Antiqua" w:hAnsi="Book Antiqua"/>
          <w:sz w:val="26"/>
          <w:szCs w:val="26"/>
        </w:rPr>
        <w:t xml:space="preserve">Cal Advocates found that the cause of Frontier’s poor OOS record was deteriorating network infrastructure, as </w:t>
      </w:r>
      <w:r w:rsidR="00EF1219">
        <w:rPr>
          <w:rFonts w:ascii="Book Antiqua" w:hAnsi="Book Antiqua"/>
          <w:sz w:val="26"/>
          <w:szCs w:val="26"/>
        </w:rPr>
        <w:t>shown</w:t>
      </w:r>
      <w:r w:rsidR="00D1717E">
        <w:rPr>
          <w:rFonts w:ascii="Book Antiqua" w:hAnsi="Book Antiqua"/>
          <w:sz w:val="26"/>
          <w:szCs w:val="26"/>
        </w:rPr>
        <w:t xml:space="preserve"> by the large number of repairs for bad cable pairs and corrosion.</w:t>
      </w:r>
      <w:r w:rsidR="00686E38">
        <w:rPr>
          <w:rStyle w:val="FootnoteReference"/>
          <w:rFonts w:ascii="Book Antiqua" w:hAnsi="Book Antiqua"/>
          <w:sz w:val="26"/>
          <w:szCs w:val="26"/>
        </w:rPr>
        <w:footnoteReference w:id="62"/>
      </w:r>
      <w:r w:rsidR="00D1717E">
        <w:rPr>
          <w:rFonts w:ascii="Book Antiqua" w:hAnsi="Book Antiqua"/>
          <w:sz w:val="26"/>
          <w:szCs w:val="26"/>
        </w:rPr>
        <w:t xml:space="preserve"> </w:t>
      </w:r>
      <w:r w:rsidR="00AA0327">
        <w:rPr>
          <w:rFonts w:ascii="Book Antiqua" w:hAnsi="Book Antiqua"/>
          <w:sz w:val="26"/>
          <w:szCs w:val="26"/>
        </w:rPr>
        <w:t xml:space="preserve"> </w:t>
      </w:r>
      <w:r w:rsidR="00DA2988">
        <w:rPr>
          <w:rFonts w:ascii="Book Antiqua" w:hAnsi="Book Antiqua"/>
          <w:sz w:val="26"/>
          <w:szCs w:val="26"/>
        </w:rPr>
        <w:t xml:space="preserve">In addition, the </w:t>
      </w:r>
      <w:r w:rsidR="00EF1219">
        <w:rPr>
          <w:rFonts w:ascii="Book Antiqua" w:hAnsi="Book Antiqua"/>
          <w:sz w:val="26"/>
          <w:szCs w:val="26"/>
        </w:rPr>
        <w:t xml:space="preserve">Commission’s </w:t>
      </w:r>
      <w:r w:rsidR="00DA2988">
        <w:rPr>
          <w:rFonts w:ascii="Book Antiqua" w:hAnsi="Book Antiqua"/>
          <w:sz w:val="26"/>
          <w:szCs w:val="26"/>
        </w:rPr>
        <w:t>Consumer Affairs Branch record of informal customer complaints from July 2016 through December 2019 shows that a substantial percentage of those complaints related to service issues, including outages, and that informal complaints regarding Frontier’s service made up a larger percentage of overall complaints than for Frontier’s competitors.</w:t>
      </w:r>
      <w:r w:rsidR="00DA2988">
        <w:rPr>
          <w:rStyle w:val="FootnoteReference"/>
          <w:rFonts w:ascii="Book Antiqua" w:hAnsi="Book Antiqua"/>
          <w:sz w:val="26"/>
          <w:szCs w:val="26"/>
        </w:rPr>
        <w:footnoteReference w:id="63"/>
      </w:r>
      <w:r w:rsidR="00DA2988">
        <w:rPr>
          <w:rFonts w:ascii="Book Antiqua" w:hAnsi="Book Antiqua"/>
          <w:sz w:val="26"/>
          <w:szCs w:val="26"/>
        </w:rPr>
        <w:t xml:space="preserve"> Frontier has </w:t>
      </w:r>
      <w:r w:rsidR="00280602">
        <w:rPr>
          <w:rFonts w:ascii="Book Antiqua" w:hAnsi="Book Antiqua"/>
          <w:sz w:val="26"/>
          <w:szCs w:val="26"/>
        </w:rPr>
        <w:t>ac</w:t>
      </w:r>
      <w:r w:rsidR="00DA2988">
        <w:rPr>
          <w:rFonts w:ascii="Book Antiqua" w:hAnsi="Book Antiqua"/>
          <w:sz w:val="26"/>
          <w:szCs w:val="26"/>
        </w:rPr>
        <w:t>knowledged that i</w:t>
      </w:r>
      <w:r w:rsidR="00EF1219">
        <w:rPr>
          <w:rFonts w:ascii="Book Antiqua" w:hAnsi="Book Antiqua"/>
          <w:sz w:val="26"/>
          <w:szCs w:val="26"/>
        </w:rPr>
        <w:t>t</w:t>
      </w:r>
      <w:r w:rsidR="00DA2988">
        <w:rPr>
          <w:rFonts w:ascii="Book Antiqua" w:hAnsi="Book Antiqua"/>
          <w:sz w:val="26"/>
          <w:szCs w:val="26"/>
        </w:rPr>
        <w:t>s service is poor in comparison to its competitors.</w:t>
      </w:r>
      <w:r w:rsidR="00D16B7A">
        <w:rPr>
          <w:rStyle w:val="FootnoteReference"/>
          <w:rFonts w:ascii="Book Antiqua" w:hAnsi="Book Antiqua"/>
          <w:sz w:val="26"/>
          <w:szCs w:val="26"/>
        </w:rPr>
        <w:footnoteReference w:id="64"/>
      </w:r>
      <w:r w:rsidR="00037B89">
        <w:rPr>
          <w:rFonts w:ascii="Book Antiqua" w:hAnsi="Book Antiqua"/>
          <w:sz w:val="26"/>
          <w:szCs w:val="26"/>
        </w:rPr>
        <w:t xml:space="preserve"> </w:t>
      </w:r>
    </w:p>
    <w:p w:rsidR="007E6F6B" w:rsidP="000C7F29" w:rsidRDefault="000C7F29" w14:paraId="2A68FEE8" w14:textId="64E68674">
      <w:pPr>
        <w:pStyle w:val="Default"/>
        <w:spacing w:line="360" w:lineRule="auto"/>
        <w:ind w:firstLine="720"/>
        <w:rPr>
          <w:rFonts w:ascii="Book Antiqua" w:hAnsi="Book Antiqua"/>
          <w:sz w:val="26"/>
          <w:szCs w:val="26"/>
        </w:rPr>
      </w:pPr>
      <w:r>
        <w:rPr>
          <w:rFonts w:ascii="Book Antiqua" w:hAnsi="Book Antiqua"/>
          <w:sz w:val="26"/>
          <w:szCs w:val="26"/>
        </w:rPr>
        <w:t xml:space="preserve">Before the </w:t>
      </w:r>
      <w:r w:rsidR="00DC3A45">
        <w:rPr>
          <w:rFonts w:ascii="Book Antiqua" w:hAnsi="Book Antiqua"/>
          <w:sz w:val="26"/>
          <w:szCs w:val="26"/>
        </w:rPr>
        <w:t>Attachment 1</w:t>
      </w:r>
      <w:r>
        <w:rPr>
          <w:rFonts w:ascii="Book Antiqua" w:hAnsi="Book Antiqua"/>
          <w:sz w:val="26"/>
          <w:szCs w:val="26"/>
        </w:rPr>
        <w:t xml:space="preserve"> Settlement Agreement, CWA proposed that the Commission require Frontier to design and implement an enforceable service quality improvement plan for every California service region.</w:t>
      </w:r>
      <w:r>
        <w:rPr>
          <w:rStyle w:val="FootnoteReference"/>
          <w:rFonts w:ascii="Book Antiqua" w:hAnsi="Book Antiqua"/>
          <w:sz w:val="26"/>
          <w:szCs w:val="26"/>
        </w:rPr>
        <w:footnoteReference w:id="65"/>
      </w:r>
      <w:r>
        <w:rPr>
          <w:rFonts w:ascii="Book Antiqua" w:hAnsi="Book Antiqua"/>
          <w:sz w:val="26"/>
          <w:szCs w:val="26"/>
        </w:rPr>
        <w:t xml:space="preserve"> </w:t>
      </w:r>
      <w:r w:rsidRPr="00B61017" w:rsidR="007E6F6B">
        <w:rPr>
          <w:rFonts w:ascii="Book Antiqua" w:hAnsi="Book Antiqua"/>
          <w:sz w:val="26"/>
          <w:szCs w:val="26"/>
        </w:rPr>
        <w:t xml:space="preserve"> </w:t>
      </w:r>
      <w:r w:rsidR="0059697E">
        <w:rPr>
          <w:rFonts w:ascii="Book Antiqua" w:hAnsi="Book Antiqua"/>
          <w:sz w:val="26"/>
          <w:szCs w:val="26"/>
        </w:rPr>
        <w:t>Cal Advocates proposed to require Frontier to retain a consultant to perform quarterly Frontier customer satisf</w:t>
      </w:r>
      <w:r w:rsidR="00280602">
        <w:rPr>
          <w:rFonts w:ascii="Book Antiqua" w:hAnsi="Book Antiqua"/>
          <w:sz w:val="26"/>
          <w:szCs w:val="26"/>
        </w:rPr>
        <w:t>ac</w:t>
      </w:r>
      <w:r w:rsidR="0059697E">
        <w:rPr>
          <w:rFonts w:ascii="Book Antiqua" w:hAnsi="Book Antiqua"/>
          <w:sz w:val="26"/>
          <w:szCs w:val="26"/>
        </w:rPr>
        <w:t xml:space="preserve">tion surveys beginning 180 days after approval of the </w:t>
      </w:r>
      <w:r w:rsidR="0059697E">
        <w:rPr>
          <w:rFonts w:ascii="Book Antiqua" w:hAnsi="Book Antiqua"/>
          <w:sz w:val="26"/>
          <w:szCs w:val="26"/>
        </w:rPr>
        <w:lastRenderedPageBreak/>
        <w:t>Application.</w:t>
      </w:r>
      <w:r w:rsidR="0059697E">
        <w:rPr>
          <w:rStyle w:val="FootnoteReference"/>
          <w:rFonts w:ascii="Book Antiqua" w:hAnsi="Book Antiqua"/>
          <w:sz w:val="26"/>
          <w:szCs w:val="26"/>
        </w:rPr>
        <w:footnoteReference w:id="66"/>
      </w:r>
      <w:r w:rsidR="0059697E">
        <w:rPr>
          <w:rFonts w:ascii="Book Antiqua" w:hAnsi="Book Antiqua"/>
          <w:sz w:val="26"/>
          <w:szCs w:val="26"/>
        </w:rPr>
        <w:t xml:space="preserve"> </w:t>
      </w:r>
      <w:r w:rsidR="00AA0327">
        <w:rPr>
          <w:rFonts w:ascii="Book Antiqua" w:hAnsi="Book Antiqua"/>
          <w:sz w:val="26"/>
          <w:szCs w:val="26"/>
        </w:rPr>
        <w:t xml:space="preserve"> </w:t>
      </w:r>
      <w:r w:rsidR="0059697E">
        <w:rPr>
          <w:rFonts w:ascii="Book Antiqua" w:hAnsi="Book Antiqua"/>
          <w:sz w:val="26"/>
          <w:szCs w:val="26"/>
        </w:rPr>
        <w:t>Frontier object</w:t>
      </w:r>
      <w:r w:rsidR="008B2170">
        <w:rPr>
          <w:rFonts w:ascii="Book Antiqua" w:hAnsi="Book Antiqua"/>
          <w:sz w:val="26"/>
          <w:szCs w:val="26"/>
        </w:rPr>
        <w:t>ed</w:t>
      </w:r>
      <w:r w:rsidR="0059697E">
        <w:rPr>
          <w:rFonts w:ascii="Book Antiqua" w:hAnsi="Book Antiqua"/>
          <w:sz w:val="26"/>
          <w:szCs w:val="26"/>
        </w:rPr>
        <w:t xml:space="preserve"> to that requirement because it creates unnecessary expense and does not mitigate any Restructuring trans</w:t>
      </w:r>
      <w:r w:rsidR="00280602">
        <w:rPr>
          <w:rFonts w:ascii="Book Antiqua" w:hAnsi="Book Antiqua"/>
          <w:sz w:val="26"/>
          <w:szCs w:val="26"/>
        </w:rPr>
        <w:t>ac</w:t>
      </w:r>
      <w:r w:rsidR="0059697E">
        <w:rPr>
          <w:rFonts w:ascii="Book Antiqua" w:hAnsi="Book Antiqua"/>
          <w:sz w:val="26"/>
          <w:szCs w:val="26"/>
        </w:rPr>
        <w:t xml:space="preserve">tion risk </w:t>
      </w:r>
      <w:r w:rsidR="008B2170">
        <w:rPr>
          <w:rFonts w:ascii="Book Antiqua" w:hAnsi="Book Antiqua"/>
          <w:sz w:val="26"/>
          <w:szCs w:val="26"/>
        </w:rPr>
        <w:t>in that</w:t>
      </w:r>
      <w:r w:rsidR="0059697E">
        <w:rPr>
          <w:rFonts w:ascii="Book Antiqua" w:hAnsi="Book Antiqua"/>
          <w:sz w:val="26"/>
          <w:szCs w:val="26"/>
        </w:rPr>
        <w:t xml:space="preserve"> Frontier is not </w:t>
      </w:r>
      <w:r w:rsidR="00353DCD">
        <w:rPr>
          <w:rFonts w:ascii="Book Antiqua" w:hAnsi="Book Antiqua"/>
          <w:sz w:val="26"/>
          <w:szCs w:val="26"/>
        </w:rPr>
        <w:t>ac</w:t>
      </w:r>
      <w:r w:rsidR="0059697E">
        <w:rPr>
          <w:rFonts w:ascii="Book Antiqua" w:hAnsi="Book Antiqua"/>
          <w:sz w:val="26"/>
          <w:szCs w:val="26"/>
        </w:rPr>
        <w:t>quiring properties from another entity.</w:t>
      </w:r>
      <w:r w:rsidR="0059697E">
        <w:rPr>
          <w:rStyle w:val="FootnoteReference"/>
          <w:rFonts w:ascii="Book Antiqua" w:hAnsi="Book Antiqua"/>
          <w:sz w:val="26"/>
          <w:szCs w:val="26"/>
        </w:rPr>
        <w:footnoteReference w:id="67"/>
      </w:r>
    </w:p>
    <w:p w:rsidR="00D43E39" w:rsidP="00EC2A9C" w:rsidRDefault="00D43E39" w14:paraId="263F7167" w14:textId="2E7421EE">
      <w:pPr>
        <w:pStyle w:val="Default"/>
        <w:spacing w:line="360" w:lineRule="auto"/>
        <w:ind w:firstLine="720"/>
        <w:rPr>
          <w:rFonts w:ascii="Book Antiqua" w:hAnsi="Book Antiqua"/>
          <w:sz w:val="26"/>
          <w:szCs w:val="26"/>
        </w:rPr>
      </w:pPr>
      <w:r>
        <w:rPr>
          <w:rFonts w:ascii="Book Antiqua" w:hAnsi="Book Antiqua"/>
          <w:sz w:val="26"/>
          <w:szCs w:val="26"/>
        </w:rPr>
        <w:t xml:space="preserve">The </w:t>
      </w:r>
      <w:r w:rsidR="00DC3A45">
        <w:rPr>
          <w:rFonts w:ascii="Book Antiqua" w:hAnsi="Book Antiqua"/>
          <w:sz w:val="26"/>
          <w:szCs w:val="26"/>
        </w:rPr>
        <w:t>Attachment 1</w:t>
      </w:r>
      <w:r>
        <w:rPr>
          <w:rFonts w:ascii="Book Antiqua" w:hAnsi="Book Antiqua"/>
          <w:sz w:val="26"/>
          <w:szCs w:val="26"/>
        </w:rPr>
        <w:t xml:space="preserve"> Settlement Agreement expands on</w:t>
      </w:r>
      <w:r w:rsidR="004D2385">
        <w:rPr>
          <w:rFonts w:ascii="Book Antiqua" w:hAnsi="Book Antiqua"/>
          <w:sz w:val="26"/>
          <w:szCs w:val="26"/>
        </w:rPr>
        <w:t xml:space="preserve"> Frontier’s previous service quality commitments by (1) providing a $10 per day credit to tribal lands customers for OOS outages of over 24 hours and (2) setting specific percentage mandates</w:t>
      </w:r>
      <w:r w:rsidR="004D5886">
        <w:rPr>
          <w:rFonts w:ascii="Book Antiqua" w:hAnsi="Book Antiqua"/>
          <w:sz w:val="26"/>
          <w:szCs w:val="26"/>
        </w:rPr>
        <w:t xml:space="preserve"> </w:t>
      </w:r>
      <w:r w:rsidR="004D2385">
        <w:rPr>
          <w:rFonts w:ascii="Book Antiqua" w:hAnsi="Book Antiqua"/>
          <w:sz w:val="26"/>
          <w:szCs w:val="26"/>
        </w:rPr>
        <w:t>regarding</w:t>
      </w:r>
      <w:r w:rsidR="004D5886">
        <w:rPr>
          <w:rFonts w:ascii="Book Antiqua" w:hAnsi="Book Antiqua"/>
          <w:sz w:val="26"/>
          <w:szCs w:val="26"/>
        </w:rPr>
        <w:t xml:space="preserve"> G</w:t>
      </w:r>
      <w:r w:rsidR="00BA01D5">
        <w:rPr>
          <w:rFonts w:ascii="Book Antiqua" w:hAnsi="Book Antiqua"/>
          <w:sz w:val="26"/>
          <w:szCs w:val="26"/>
        </w:rPr>
        <w:t>O</w:t>
      </w:r>
      <w:r w:rsidR="004D5886">
        <w:rPr>
          <w:rFonts w:ascii="Book Antiqua" w:hAnsi="Book Antiqua"/>
          <w:sz w:val="26"/>
          <w:szCs w:val="26"/>
        </w:rPr>
        <w:t xml:space="preserve"> 133-D’s OOS standards and significant penalties for failure to meet those standards</w:t>
      </w:r>
      <w:r w:rsidR="00816296">
        <w:rPr>
          <w:rFonts w:ascii="Book Antiqua" w:hAnsi="Book Antiqua"/>
          <w:sz w:val="26"/>
          <w:szCs w:val="26"/>
        </w:rPr>
        <w:t xml:space="preserve"> that will be in addition to those already imposed by GO 133-D</w:t>
      </w:r>
      <w:r w:rsidR="00F4119E">
        <w:rPr>
          <w:rFonts w:ascii="Book Antiqua" w:hAnsi="Book Antiqua"/>
          <w:sz w:val="26"/>
          <w:szCs w:val="26"/>
        </w:rPr>
        <w:t xml:space="preserve">.  </w:t>
      </w:r>
      <w:r w:rsidR="004D5886">
        <w:rPr>
          <w:rFonts w:ascii="Book Antiqua" w:hAnsi="Book Antiqua"/>
          <w:sz w:val="26"/>
          <w:szCs w:val="26"/>
        </w:rPr>
        <w:t>We believe that those additional commitments make it more likely that Frontier’s service quality will improve after the Restructuring.</w:t>
      </w:r>
      <w:r w:rsidR="00AA0327">
        <w:rPr>
          <w:rFonts w:ascii="Book Antiqua" w:hAnsi="Book Antiqua"/>
          <w:sz w:val="26"/>
          <w:szCs w:val="26"/>
        </w:rPr>
        <w:t xml:space="preserve"> </w:t>
      </w:r>
      <w:r w:rsidR="004D5886">
        <w:rPr>
          <w:rFonts w:ascii="Book Antiqua" w:hAnsi="Book Antiqua"/>
          <w:sz w:val="26"/>
          <w:szCs w:val="26"/>
        </w:rPr>
        <w:t xml:space="preserve"> However, we note that </w:t>
      </w:r>
      <w:r w:rsidR="00CE2AD1">
        <w:rPr>
          <w:rFonts w:ascii="Book Antiqua" w:hAnsi="Book Antiqua"/>
          <w:sz w:val="26"/>
          <w:szCs w:val="26"/>
        </w:rPr>
        <w:t>Frontier had also committed to meeting G</w:t>
      </w:r>
      <w:r w:rsidR="00BA01D5">
        <w:rPr>
          <w:rFonts w:ascii="Book Antiqua" w:hAnsi="Book Antiqua"/>
          <w:sz w:val="26"/>
          <w:szCs w:val="26"/>
        </w:rPr>
        <w:t>O</w:t>
      </w:r>
      <w:r w:rsidR="00CE2AD1">
        <w:rPr>
          <w:rFonts w:ascii="Book Antiqua" w:hAnsi="Book Antiqua"/>
          <w:sz w:val="26"/>
          <w:szCs w:val="26"/>
        </w:rPr>
        <w:t xml:space="preserve"> 133-C service quality standards as part of a Verizon </w:t>
      </w:r>
      <w:r w:rsidR="00555C0B">
        <w:rPr>
          <w:rFonts w:ascii="Book Antiqua" w:hAnsi="Book Antiqua"/>
          <w:sz w:val="26"/>
          <w:szCs w:val="26"/>
        </w:rPr>
        <w:t>A</w:t>
      </w:r>
      <w:r w:rsidR="00353DCD">
        <w:rPr>
          <w:rFonts w:ascii="Book Antiqua" w:hAnsi="Book Antiqua"/>
          <w:sz w:val="26"/>
          <w:szCs w:val="26"/>
        </w:rPr>
        <w:t>c</w:t>
      </w:r>
      <w:r w:rsidR="00CE2AD1">
        <w:rPr>
          <w:rFonts w:ascii="Book Antiqua" w:hAnsi="Book Antiqua"/>
          <w:sz w:val="26"/>
          <w:szCs w:val="26"/>
        </w:rPr>
        <w:t>quisition settlement agreement approved by the Commission in D.15-12-005</w:t>
      </w:r>
      <w:r w:rsidR="00EF7FE8">
        <w:rPr>
          <w:rFonts w:ascii="Book Antiqua" w:hAnsi="Book Antiqua"/>
          <w:sz w:val="26"/>
          <w:szCs w:val="26"/>
        </w:rPr>
        <w:t>.</w:t>
      </w:r>
      <w:r w:rsidR="006319FF">
        <w:rPr>
          <w:rFonts w:ascii="Book Antiqua" w:hAnsi="Book Antiqua"/>
          <w:sz w:val="26"/>
          <w:szCs w:val="26"/>
        </w:rPr>
        <w:t xml:space="preserve">  </w:t>
      </w:r>
      <w:r w:rsidR="000B6E5F">
        <w:rPr>
          <w:rFonts w:ascii="Book Antiqua" w:hAnsi="Book Antiqua"/>
          <w:sz w:val="26"/>
          <w:szCs w:val="26"/>
        </w:rPr>
        <w:t>Frontier</w:t>
      </w:r>
      <w:r w:rsidR="00CE2AD1">
        <w:rPr>
          <w:rFonts w:ascii="Book Antiqua" w:hAnsi="Book Antiqua"/>
          <w:sz w:val="26"/>
          <w:szCs w:val="26"/>
        </w:rPr>
        <w:t xml:space="preserve"> failed to meet that commitment, and we remain concerned that Frontier’s service quality promises will not be realized</w:t>
      </w:r>
      <w:r w:rsidR="000D1677">
        <w:rPr>
          <w:rFonts w:ascii="Book Antiqua" w:hAnsi="Book Antiqua"/>
          <w:sz w:val="26"/>
          <w:szCs w:val="26"/>
        </w:rPr>
        <w:t xml:space="preserve"> even with the penalties set forth in the Attachment 1 Settlement Agreement</w:t>
      </w:r>
      <w:r w:rsidR="00CE2AD1">
        <w:rPr>
          <w:rFonts w:ascii="Book Antiqua" w:hAnsi="Book Antiqua"/>
          <w:sz w:val="26"/>
          <w:szCs w:val="26"/>
        </w:rPr>
        <w:t>.</w:t>
      </w:r>
      <w:r w:rsidR="00EA5874">
        <w:rPr>
          <w:rFonts w:ascii="Book Antiqua" w:hAnsi="Book Antiqua"/>
          <w:sz w:val="26"/>
          <w:szCs w:val="26"/>
        </w:rPr>
        <w:t xml:space="preserve"> </w:t>
      </w:r>
      <w:bookmarkEnd w:id="20"/>
      <w:r w:rsidR="00AA0327">
        <w:rPr>
          <w:rFonts w:ascii="Book Antiqua" w:hAnsi="Book Antiqua"/>
          <w:sz w:val="26"/>
          <w:szCs w:val="26"/>
        </w:rPr>
        <w:t xml:space="preserve"> </w:t>
      </w:r>
      <w:r w:rsidR="000D14DB">
        <w:rPr>
          <w:rFonts w:ascii="Book Antiqua" w:hAnsi="Book Antiqua"/>
          <w:sz w:val="26"/>
          <w:szCs w:val="26"/>
        </w:rPr>
        <w:t xml:space="preserve">Therefore, </w:t>
      </w:r>
      <w:r w:rsidR="00D556CA">
        <w:rPr>
          <w:rFonts w:ascii="Book Antiqua" w:hAnsi="Book Antiqua"/>
          <w:sz w:val="26"/>
          <w:szCs w:val="26"/>
        </w:rPr>
        <w:t xml:space="preserve">we conclude that the </w:t>
      </w:r>
      <w:r w:rsidR="000D1677">
        <w:rPr>
          <w:rFonts w:ascii="Book Antiqua" w:hAnsi="Book Antiqua"/>
          <w:sz w:val="26"/>
          <w:szCs w:val="26"/>
        </w:rPr>
        <w:t xml:space="preserve">strong </w:t>
      </w:r>
      <w:r w:rsidR="00D556CA">
        <w:rPr>
          <w:rFonts w:ascii="Book Antiqua" w:hAnsi="Book Antiqua"/>
          <w:sz w:val="26"/>
          <w:szCs w:val="26"/>
        </w:rPr>
        <w:t>public interest in having Frontier comply with its post</w:t>
      </w:r>
      <w:r w:rsidR="00AA0327">
        <w:rPr>
          <w:rFonts w:ascii="Book Antiqua" w:hAnsi="Book Antiqua"/>
          <w:sz w:val="26"/>
          <w:szCs w:val="26"/>
        </w:rPr>
        <w:noBreakHyphen/>
      </w:r>
      <w:r w:rsidR="00D556CA">
        <w:rPr>
          <w:rFonts w:ascii="Book Antiqua" w:hAnsi="Book Antiqua"/>
          <w:sz w:val="26"/>
          <w:szCs w:val="26"/>
        </w:rPr>
        <w:t xml:space="preserve">Restructuring commitments regarding service quality also requires </w:t>
      </w:r>
      <w:r w:rsidR="00E90E4B">
        <w:rPr>
          <w:rFonts w:ascii="Book Antiqua" w:hAnsi="Book Antiqua"/>
          <w:sz w:val="26"/>
          <w:szCs w:val="26"/>
        </w:rPr>
        <w:t xml:space="preserve">the additional service quality reporting requirements </w:t>
      </w:r>
      <w:r w:rsidR="00EC2A9C">
        <w:rPr>
          <w:rFonts w:ascii="Book Antiqua" w:hAnsi="Book Antiqua"/>
          <w:sz w:val="26"/>
          <w:szCs w:val="26"/>
        </w:rPr>
        <w:t>described in</w:t>
      </w:r>
      <w:r w:rsidR="00E90E4B">
        <w:rPr>
          <w:rFonts w:ascii="Book Antiqua" w:hAnsi="Book Antiqua"/>
          <w:sz w:val="26"/>
          <w:szCs w:val="26"/>
        </w:rPr>
        <w:t xml:space="preserve"> Ordering Paragraph</w:t>
      </w:r>
      <w:r w:rsidR="00EC2A9C">
        <w:rPr>
          <w:rFonts w:ascii="Book Antiqua" w:hAnsi="Book Antiqua"/>
          <w:sz w:val="26"/>
          <w:szCs w:val="26"/>
        </w:rPr>
        <w:t xml:space="preserve"> 4</w:t>
      </w:r>
      <w:r w:rsidR="00E90E4B">
        <w:rPr>
          <w:rFonts w:ascii="Book Antiqua" w:hAnsi="Book Antiqua"/>
          <w:sz w:val="26"/>
          <w:szCs w:val="26"/>
        </w:rPr>
        <w:t>.</w:t>
      </w:r>
      <w:r w:rsidR="00EC2A9C">
        <w:rPr>
          <w:rFonts w:ascii="Book Antiqua" w:hAnsi="Book Antiqua"/>
          <w:sz w:val="26"/>
          <w:szCs w:val="26"/>
        </w:rPr>
        <w:t xml:space="preserve"> </w:t>
      </w:r>
      <w:r w:rsidR="00AA0327">
        <w:rPr>
          <w:rFonts w:ascii="Book Antiqua" w:hAnsi="Book Antiqua"/>
          <w:sz w:val="26"/>
          <w:szCs w:val="26"/>
        </w:rPr>
        <w:t xml:space="preserve"> </w:t>
      </w:r>
      <w:r w:rsidR="000D14DB">
        <w:rPr>
          <w:rFonts w:ascii="Book Antiqua" w:hAnsi="Book Antiqua"/>
          <w:sz w:val="26"/>
          <w:szCs w:val="26"/>
        </w:rPr>
        <w:t xml:space="preserve">In addition, we will appoint a </w:t>
      </w:r>
      <w:r w:rsidR="00526477">
        <w:rPr>
          <w:rFonts w:ascii="Book Antiqua" w:hAnsi="Book Antiqua"/>
          <w:sz w:val="26"/>
          <w:szCs w:val="26"/>
        </w:rPr>
        <w:t>compliance monitor (</w:t>
      </w:r>
      <w:r w:rsidR="000D14DB">
        <w:rPr>
          <w:rFonts w:ascii="Book Antiqua" w:hAnsi="Book Antiqua"/>
          <w:sz w:val="26"/>
          <w:szCs w:val="26"/>
        </w:rPr>
        <w:t>Compliance Monitor</w:t>
      </w:r>
      <w:r w:rsidR="00526477">
        <w:rPr>
          <w:rFonts w:ascii="Book Antiqua" w:hAnsi="Book Antiqua"/>
          <w:sz w:val="26"/>
          <w:szCs w:val="26"/>
        </w:rPr>
        <w:t>)</w:t>
      </w:r>
      <w:r w:rsidR="000D14DB">
        <w:rPr>
          <w:rFonts w:ascii="Book Antiqua" w:hAnsi="Book Antiqua"/>
          <w:sz w:val="26"/>
          <w:szCs w:val="26"/>
        </w:rPr>
        <w:t xml:space="preserve"> </w:t>
      </w:r>
      <w:r w:rsidR="000D1677">
        <w:rPr>
          <w:rFonts w:ascii="Book Antiqua" w:hAnsi="Book Antiqua"/>
          <w:sz w:val="26"/>
          <w:szCs w:val="26"/>
        </w:rPr>
        <w:t xml:space="preserve">as described in Ordering Paragraph 4 </w:t>
      </w:r>
      <w:r w:rsidR="000D14DB">
        <w:rPr>
          <w:rFonts w:ascii="Book Antiqua" w:hAnsi="Book Antiqua"/>
          <w:sz w:val="26"/>
          <w:szCs w:val="26"/>
        </w:rPr>
        <w:t xml:space="preserve">to be paid by Frontier to monitor Frontier’s compliance with all </w:t>
      </w:r>
      <w:r w:rsidR="00EE791B">
        <w:rPr>
          <w:rFonts w:ascii="Book Antiqua" w:hAnsi="Book Antiqua"/>
          <w:sz w:val="26"/>
          <w:szCs w:val="26"/>
        </w:rPr>
        <w:t xml:space="preserve">terms, </w:t>
      </w:r>
      <w:r w:rsidR="000D14DB">
        <w:rPr>
          <w:rFonts w:ascii="Book Antiqua" w:hAnsi="Book Antiqua"/>
          <w:sz w:val="26"/>
          <w:szCs w:val="26"/>
        </w:rPr>
        <w:t>requirements</w:t>
      </w:r>
      <w:r w:rsidR="00EE791B">
        <w:rPr>
          <w:rFonts w:ascii="Book Antiqua" w:hAnsi="Book Antiqua"/>
          <w:sz w:val="26"/>
          <w:szCs w:val="26"/>
        </w:rPr>
        <w:t>,</w:t>
      </w:r>
      <w:r w:rsidR="000D14DB">
        <w:rPr>
          <w:rFonts w:ascii="Book Antiqua" w:hAnsi="Book Antiqua"/>
          <w:sz w:val="26"/>
          <w:szCs w:val="26"/>
        </w:rPr>
        <w:t xml:space="preserve"> and conditions of </w:t>
      </w:r>
      <w:r w:rsidR="002C179F">
        <w:rPr>
          <w:rFonts w:ascii="Book Antiqua" w:hAnsi="Book Antiqua"/>
          <w:sz w:val="26"/>
          <w:szCs w:val="26"/>
        </w:rPr>
        <w:t>Ordering Paragraph 4</w:t>
      </w:r>
      <w:r w:rsidR="000D14DB">
        <w:rPr>
          <w:rFonts w:ascii="Book Antiqua" w:hAnsi="Book Antiqua"/>
          <w:sz w:val="26"/>
          <w:szCs w:val="26"/>
        </w:rPr>
        <w:t xml:space="preserve"> and pursue enforcement of all such requirements and conditions</w:t>
      </w:r>
      <w:r w:rsidR="00DC3A45">
        <w:rPr>
          <w:rFonts w:ascii="Book Antiqua" w:hAnsi="Book Antiqua"/>
          <w:sz w:val="26"/>
          <w:szCs w:val="26"/>
        </w:rPr>
        <w:t>, including Frontier’s commitments regarding service quality</w:t>
      </w:r>
      <w:r w:rsidR="000D14DB">
        <w:rPr>
          <w:rFonts w:ascii="Book Antiqua" w:hAnsi="Book Antiqua"/>
          <w:sz w:val="26"/>
          <w:szCs w:val="26"/>
        </w:rPr>
        <w:t>.</w:t>
      </w:r>
    </w:p>
    <w:p w:rsidR="007E6F6B" w:rsidP="00AA0327" w:rsidRDefault="007E6F6B" w14:paraId="1907DCEE" w14:textId="74CF0112">
      <w:pPr>
        <w:pStyle w:val="Heading3"/>
      </w:pPr>
      <w:bookmarkStart w:name="_Toc67556515" w:id="21"/>
      <w:r>
        <w:lastRenderedPageBreak/>
        <w:t>E</w:t>
      </w:r>
      <w:r w:rsidR="00F65D17">
        <w:t xml:space="preserve">ffect on </w:t>
      </w:r>
      <w:r w:rsidR="00627C15">
        <w:t>Frontier’s</w:t>
      </w:r>
      <w:r w:rsidR="00F65D17">
        <w:t xml:space="preserve"> Quality of Management</w:t>
      </w:r>
      <w:bookmarkEnd w:id="21"/>
      <w:r>
        <w:t xml:space="preserve">  </w:t>
      </w:r>
    </w:p>
    <w:p w:rsidR="00194C66" w:rsidP="003A08DB" w:rsidRDefault="00EA5874" w14:paraId="5A74F69C" w14:textId="44B47E52">
      <w:pPr>
        <w:pStyle w:val="Default"/>
        <w:spacing w:line="360" w:lineRule="auto"/>
        <w:ind w:firstLine="720"/>
        <w:rPr>
          <w:rFonts w:ascii="Book Antiqua" w:hAnsi="Book Antiqua"/>
          <w:sz w:val="26"/>
          <w:szCs w:val="26"/>
        </w:rPr>
      </w:pPr>
      <w:r>
        <w:rPr>
          <w:rFonts w:ascii="Book Antiqua" w:hAnsi="Book Antiqua"/>
          <w:sz w:val="26"/>
          <w:szCs w:val="26"/>
        </w:rPr>
        <w:t>Pub. Util. Code Section 854(c)(3) directs the Commission to consider whether the Restructuring will maintain or improve</w:t>
      </w:r>
      <w:r w:rsidR="003A08DB">
        <w:rPr>
          <w:rFonts w:ascii="Book Antiqua" w:hAnsi="Book Antiqua"/>
          <w:sz w:val="26"/>
          <w:szCs w:val="26"/>
        </w:rPr>
        <w:t xml:space="preserve"> the quality of Frontier’s management</w:t>
      </w:r>
      <w:r w:rsidR="00F4119E">
        <w:rPr>
          <w:rFonts w:ascii="Book Antiqua" w:hAnsi="Book Antiqua"/>
          <w:sz w:val="26"/>
          <w:szCs w:val="26"/>
        </w:rPr>
        <w:t xml:space="preserve">.  </w:t>
      </w:r>
      <w:r w:rsidR="00A820EC">
        <w:rPr>
          <w:rFonts w:ascii="Book Antiqua" w:hAnsi="Book Antiqua"/>
          <w:sz w:val="26"/>
          <w:szCs w:val="26"/>
        </w:rPr>
        <w:t xml:space="preserve">Frontier states that the composition of </w:t>
      </w:r>
      <w:r w:rsidR="00627C15">
        <w:rPr>
          <w:rFonts w:ascii="Book Antiqua" w:hAnsi="Book Antiqua"/>
          <w:sz w:val="26"/>
          <w:szCs w:val="26"/>
        </w:rPr>
        <w:t>the parent company’s</w:t>
      </w:r>
      <w:r w:rsidR="00A820EC">
        <w:rPr>
          <w:rFonts w:ascii="Book Antiqua" w:hAnsi="Book Antiqua"/>
          <w:sz w:val="26"/>
          <w:szCs w:val="26"/>
        </w:rPr>
        <w:t xml:space="preserve"> board of directors may change upon its emergence from Chapter 11</w:t>
      </w:r>
      <w:r w:rsidR="00194C66">
        <w:rPr>
          <w:rFonts w:ascii="Book Antiqua" w:hAnsi="Book Antiqua"/>
          <w:sz w:val="26"/>
          <w:szCs w:val="26"/>
        </w:rPr>
        <w:t>, but no changes to Frontier’s current management are anticipated that would imp</w:t>
      </w:r>
      <w:r w:rsidR="0007116F">
        <w:rPr>
          <w:rFonts w:ascii="Book Antiqua" w:hAnsi="Book Antiqua"/>
          <w:sz w:val="26"/>
          <w:szCs w:val="26"/>
        </w:rPr>
        <w:t>ac</w:t>
      </w:r>
      <w:r w:rsidR="00194C66">
        <w:rPr>
          <w:rFonts w:ascii="Book Antiqua" w:hAnsi="Book Antiqua"/>
          <w:sz w:val="26"/>
          <w:szCs w:val="26"/>
        </w:rPr>
        <w:t>t day-to-day operations in California</w:t>
      </w:r>
      <w:r w:rsidR="00A820EC">
        <w:rPr>
          <w:rFonts w:ascii="Book Antiqua" w:hAnsi="Book Antiqua"/>
          <w:sz w:val="26"/>
          <w:szCs w:val="26"/>
        </w:rPr>
        <w:t>.</w:t>
      </w:r>
      <w:r w:rsidR="00264E25">
        <w:rPr>
          <w:rStyle w:val="FootnoteReference"/>
          <w:rFonts w:ascii="Book Antiqua" w:hAnsi="Book Antiqua"/>
          <w:sz w:val="26"/>
          <w:szCs w:val="26"/>
        </w:rPr>
        <w:footnoteReference w:id="68"/>
      </w:r>
      <w:r w:rsidR="00A820EC">
        <w:rPr>
          <w:rFonts w:ascii="Book Antiqua" w:hAnsi="Book Antiqua"/>
          <w:sz w:val="26"/>
          <w:szCs w:val="26"/>
        </w:rPr>
        <w:t xml:space="preserve"> </w:t>
      </w:r>
      <w:r w:rsidR="00AA0327">
        <w:rPr>
          <w:rFonts w:ascii="Book Antiqua" w:hAnsi="Book Antiqua"/>
          <w:sz w:val="26"/>
          <w:szCs w:val="26"/>
        </w:rPr>
        <w:t xml:space="preserve"> </w:t>
      </w:r>
      <w:r w:rsidR="00F97372">
        <w:rPr>
          <w:rFonts w:ascii="Book Antiqua" w:hAnsi="Book Antiqua"/>
          <w:sz w:val="26"/>
          <w:szCs w:val="26"/>
        </w:rPr>
        <w:t>TURN notes that Frontier</w:t>
      </w:r>
      <w:r w:rsidR="00627C15">
        <w:rPr>
          <w:rFonts w:ascii="Book Antiqua" w:hAnsi="Book Antiqua"/>
          <w:sz w:val="26"/>
          <w:szCs w:val="26"/>
        </w:rPr>
        <w:t xml:space="preserve"> Communication</w:t>
      </w:r>
      <w:r w:rsidR="000B6E5F">
        <w:rPr>
          <w:rFonts w:ascii="Book Antiqua" w:hAnsi="Book Antiqua"/>
          <w:sz w:val="26"/>
          <w:szCs w:val="26"/>
        </w:rPr>
        <w:t>s</w:t>
      </w:r>
      <w:r w:rsidR="00627C15">
        <w:rPr>
          <w:rFonts w:ascii="Book Antiqua" w:hAnsi="Book Antiqua"/>
          <w:sz w:val="26"/>
          <w:szCs w:val="26"/>
        </w:rPr>
        <w:t xml:space="preserve"> Corporation</w:t>
      </w:r>
      <w:r w:rsidR="00F97372">
        <w:rPr>
          <w:rFonts w:ascii="Book Antiqua" w:hAnsi="Book Antiqua"/>
          <w:sz w:val="26"/>
          <w:szCs w:val="26"/>
        </w:rPr>
        <w:t xml:space="preserve">’s new board of directors has not yet been installed because the Effective Date of the Plan has not yet occurred. </w:t>
      </w:r>
      <w:r w:rsidR="00AA0327">
        <w:rPr>
          <w:rFonts w:ascii="Book Antiqua" w:hAnsi="Book Antiqua"/>
          <w:sz w:val="26"/>
          <w:szCs w:val="26"/>
        </w:rPr>
        <w:t xml:space="preserve"> </w:t>
      </w:r>
      <w:r w:rsidR="00F97372">
        <w:rPr>
          <w:rFonts w:ascii="Book Antiqua" w:hAnsi="Book Antiqua"/>
          <w:sz w:val="26"/>
          <w:szCs w:val="26"/>
        </w:rPr>
        <w:t>TURN states that no strategic direction decisions have been made, and the Commission has no information about what Frontier’s direction will be</w:t>
      </w:r>
      <w:r w:rsidR="00627C15">
        <w:rPr>
          <w:rFonts w:ascii="Book Antiqua" w:hAnsi="Book Antiqua"/>
          <w:sz w:val="26"/>
          <w:szCs w:val="26"/>
        </w:rPr>
        <w:t xml:space="preserve">. </w:t>
      </w:r>
      <w:r w:rsidR="00AA0327">
        <w:rPr>
          <w:rFonts w:ascii="Book Antiqua" w:hAnsi="Book Antiqua"/>
          <w:sz w:val="26"/>
          <w:szCs w:val="26"/>
        </w:rPr>
        <w:t xml:space="preserve"> </w:t>
      </w:r>
      <w:r w:rsidR="00627C15">
        <w:rPr>
          <w:rFonts w:ascii="Book Antiqua" w:hAnsi="Book Antiqua"/>
          <w:sz w:val="26"/>
          <w:szCs w:val="26"/>
        </w:rPr>
        <w:t xml:space="preserve">Therefore, </w:t>
      </w:r>
      <w:r w:rsidR="00FC5E3D">
        <w:rPr>
          <w:rFonts w:ascii="Book Antiqua" w:hAnsi="Book Antiqua"/>
          <w:sz w:val="26"/>
          <w:szCs w:val="26"/>
        </w:rPr>
        <w:t xml:space="preserve">TURN believes that </w:t>
      </w:r>
      <w:r w:rsidR="00F97372">
        <w:rPr>
          <w:rFonts w:ascii="Book Antiqua" w:hAnsi="Book Antiqua"/>
          <w:sz w:val="26"/>
          <w:szCs w:val="26"/>
        </w:rPr>
        <w:t xml:space="preserve">the Commission cannot make a conclusive decision whether </w:t>
      </w:r>
      <w:r w:rsidR="000B6E5F">
        <w:rPr>
          <w:rFonts w:ascii="Book Antiqua" w:hAnsi="Book Antiqua"/>
          <w:sz w:val="26"/>
          <w:szCs w:val="26"/>
        </w:rPr>
        <w:t>R</w:t>
      </w:r>
      <w:r w:rsidR="00F97372">
        <w:rPr>
          <w:rFonts w:ascii="Book Antiqua" w:hAnsi="Book Antiqua"/>
          <w:sz w:val="26"/>
          <w:szCs w:val="26"/>
        </w:rPr>
        <w:t>eorganized Frontier will be in California’s public interest.</w:t>
      </w:r>
      <w:r w:rsidR="00F97372">
        <w:rPr>
          <w:rStyle w:val="FootnoteReference"/>
          <w:rFonts w:ascii="Book Antiqua" w:hAnsi="Book Antiqua"/>
          <w:sz w:val="26"/>
          <w:szCs w:val="26"/>
        </w:rPr>
        <w:footnoteReference w:id="69"/>
      </w:r>
    </w:p>
    <w:p w:rsidR="007E6F6B" w:rsidP="003A08DB" w:rsidRDefault="0040624D" w14:paraId="5DB35759" w14:textId="52F1C94E">
      <w:pPr>
        <w:pStyle w:val="Default"/>
        <w:spacing w:line="360" w:lineRule="auto"/>
        <w:ind w:firstLine="720"/>
        <w:rPr>
          <w:rFonts w:ascii="Book Antiqua" w:hAnsi="Book Antiqua"/>
          <w:sz w:val="26"/>
          <w:szCs w:val="26"/>
        </w:rPr>
      </w:pPr>
      <w:r>
        <w:rPr>
          <w:rFonts w:ascii="Book Antiqua" w:hAnsi="Book Antiqua"/>
          <w:sz w:val="26"/>
          <w:szCs w:val="26"/>
        </w:rPr>
        <w:t xml:space="preserve">Although </w:t>
      </w:r>
      <w:r w:rsidR="00194C66">
        <w:rPr>
          <w:rFonts w:ascii="Book Antiqua" w:hAnsi="Book Antiqua"/>
          <w:sz w:val="26"/>
          <w:szCs w:val="26"/>
        </w:rPr>
        <w:t>Frontier</w:t>
      </w:r>
      <w:r w:rsidR="00FD3CCA">
        <w:rPr>
          <w:rFonts w:ascii="Book Antiqua" w:hAnsi="Book Antiqua"/>
          <w:sz w:val="26"/>
          <w:szCs w:val="26"/>
        </w:rPr>
        <w:t xml:space="preserve"> asserts that no day-to-day operational management changes are anticipated</w:t>
      </w:r>
      <w:r w:rsidR="00194C66">
        <w:rPr>
          <w:rFonts w:ascii="Book Antiqua" w:hAnsi="Book Antiqua"/>
          <w:sz w:val="26"/>
          <w:szCs w:val="26"/>
        </w:rPr>
        <w:t xml:space="preserve">, </w:t>
      </w:r>
      <w:r w:rsidR="00FD3CCA">
        <w:rPr>
          <w:rFonts w:ascii="Book Antiqua" w:hAnsi="Book Antiqua"/>
          <w:sz w:val="26"/>
          <w:szCs w:val="26"/>
        </w:rPr>
        <w:t xml:space="preserve">we do not know the identity, quality, or length of service of </w:t>
      </w:r>
      <w:r w:rsidR="00A95D72">
        <w:rPr>
          <w:rFonts w:ascii="Book Antiqua" w:hAnsi="Book Antiqua"/>
          <w:sz w:val="26"/>
          <w:szCs w:val="26"/>
        </w:rPr>
        <w:t xml:space="preserve">Frontier’s post-Restructuring </w:t>
      </w:r>
      <w:r w:rsidR="00FD3CCA">
        <w:rPr>
          <w:rFonts w:ascii="Book Antiqua" w:hAnsi="Book Antiqua"/>
          <w:sz w:val="26"/>
          <w:szCs w:val="26"/>
        </w:rPr>
        <w:t xml:space="preserve">boards of directors, who </w:t>
      </w:r>
      <w:r w:rsidR="00E93DB2">
        <w:rPr>
          <w:rFonts w:ascii="Book Antiqua" w:hAnsi="Book Antiqua"/>
          <w:sz w:val="26"/>
          <w:szCs w:val="26"/>
        </w:rPr>
        <w:t xml:space="preserve">typically </w:t>
      </w:r>
      <w:r w:rsidR="00FD3CCA">
        <w:rPr>
          <w:rFonts w:ascii="Book Antiqua" w:hAnsi="Book Antiqua"/>
          <w:sz w:val="26"/>
          <w:szCs w:val="26"/>
        </w:rPr>
        <w:t xml:space="preserve">set </w:t>
      </w:r>
      <w:r w:rsidR="00E93DB2">
        <w:rPr>
          <w:rFonts w:ascii="Book Antiqua" w:hAnsi="Book Antiqua"/>
          <w:sz w:val="26"/>
          <w:szCs w:val="26"/>
        </w:rPr>
        <w:t>a corporation’s</w:t>
      </w:r>
      <w:r w:rsidR="00FD3CCA">
        <w:rPr>
          <w:rFonts w:ascii="Book Antiqua" w:hAnsi="Book Antiqua"/>
          <w:sz w:val="26"/>
          <w:szCs w:val="26"/>
        </w:rPr>
        <w:t xml:space="preserve"> strategic direction</w:t>
      </w:r>
      <w:r w:rsidR="00A95D72">
        <w:rPr>
          <w:rFonts w:ascii="Book Antiqua" w:hAnsi="Book Antiqua"/>
          <w:sz w:val="26"/>
          <w:szCs w:val="26"/>
        </w:rPr>
        <w:t xml:space="preserve"> and</w:t>
      </w:r>
      <w:r w:rsidR="00E93DB2">
        <w:rPr>
          <w:rFonts w:ascii="Book Antiqua" w:hAnsi="Book Antiqua"/>
          <w:sz w:val="26"/>
          <w:szCs w:val="26"/>
        </w:rPr>
        <w:t xml:space="preserve"> select senior management</w:t>
      </w:r>
      <w:r w:rsidR="00F4119E">
        <w:rPr>
          <w:rFonts w:ascii="Book Antiqua" w:hAnsi="Book Antiqua"/>
          <w:sz w:val="26"/>
          <w:szCs w:val="26"/>
        </w:rPr>
        <w:t xml:space="preserve">.  </w:t>
      </w:r>
      <w:r>
        <w:rPr>
          <w:rFonts w:ascii="Book Antiqua" w:hAnsi="Book Antiqua"/>
          <w:sz w:val="26"/>
          <w:szCs w:val="26"/>
        </w:rPr>
        <w:t xml:space="preserve">Given that uncertainty, the evidence fails to show </w:t>
      </w:r>
      <w:r w:rsidR="0007116F">
        <w:rPr>
          <w:rFonts w:ascii="Book Antiqua" w:hAnsi="Book Antiqua"/>
          <w:sz w:val="26"/>
          <w:szCs w:val="26"/>
        </w:rPr>
        <w:t>that</w:t>
      </w:r>
      <w:r>
        <w:rPr>
          <w:rFonts w:ascii="Book Antiqua" w:hAnsi="Book Antiqua"/>
          <w:sz w:val="26"/>
          <w:szCs w:val="26"/>
        </w:rPr>
        <w:t xml:space="preserve"> the Restructuring will maintain or improve the quality of Frontier’s management.</w:t>
      </w:r>
      <w:r w:rsidR="00F97372">
        <w:rPr>
          <w:rFonts w:ascii="Book Antiqua" w:hAnsi="Book Antiqua"/>
          <w:sz w:val="26"/>
          <w:szCs w:val="26"/>
        </w:rPr>
        <w:t xml:space="preserve"> </w:t>
      </w:r>
    </w:p>
    <w:p w:rsidR="007E6F6B" w:rsidP="00AA0327" w:rsidRDefault="00F65D17" w14:paraId="442AD6B6" w14:textId="4883845D">
      <w:pPr>
        <w:pStyle w:val="Heading3"/>
      </w:pPr>
      <w:bookmarkStart w:name="_Toc67556516" w:id="22"/>
      <w:r>
        <w:t xml:space="preserve">Fairness and Reasonableness to </w:t>
      </w:r>
      <w:r w:rsidR="00AA0327">
        <w:br/>
      </w:r>
      <w:r>
        <w:t xml:space="preserve">Affected </w:t>
      </w:r>
      <w:r w:rsidR="008B4CED">
        <w:t>Frontier</w:t>
      </w:r>
      <w:r>
        <w:t xml:space="preserve"> Employees</w:t>
      </w:r>
      <w:bookmarkEnd w:id="22"/>
      <w:r w:rsidR="007E6F6B">
        <w:t xml:space="preserve">  </w:t>
      </w:r>
    </w:p>
    <w:p w:rsidR="004F4F9F" w:rsidP="004F4F9F" w:rsidRDefault="00D60D3D" w14:paraId="08928405" w14:textId="67FD0673">
      <w:pPr>
        <w:pStyle w:val="Default"/>
        <w:spacing w:line="360" w:lineRule="auto"/>
        <w:ind w:firstLine="720"/>
        <w:rPr>
          <w:rFonts w:ascii="Book Antiqua" w:hAnsi="Book Antiqua"/>
          <w:sz w:val="26"/>
          <w:szCs w:val="26"/>
        </w:rPr>
      </w:pPr>
      <w:r>
        <w:rPr>
          <w:rFonts w:ascii="Book Antiqua" w:hAnsi="Book Antiqua"/>
          <w:sz w:val="26"/>
          <w:szCs w:val="26"/>
        </w:rPr>
        <w:t xml:space="preserve">Under Pub. Util. Code Section 854(c)(4), the Commission shall consider whether the Restructuring is fair and reasonable to affected employees, including both union and nonunion employees. </w:t>
      </w:r>
      <w:r w:rsidR="00AA0327">
        <w:rPr>
          <w:rFonts w:ascii="Book Antiqua" w:hAnsi="Book Antiqua"/>
          <w:sz w:val="26"/>
          <w:szCs w:val="26"/>
        </w:rPr>
        <w:t xml:space="preserve"> </w:t>
      </w:r>
      <w:r w:rsidR="008B74F4">
        <w:rPr>
          <w:rFonts w:ascii="Book Antiqua" w:hAnsi="Book Antiqua"/>
          <w:sz w:val="26"/>
          <w:szCs w:val="26"/>
        </w:rPr>
        <w:t xml:space="preserve">From 2017 to 2020, </w:t>
      </w:r>
      <w:r w:rsidR="00747D5C">
        <w:rPr>
          <w:rFonts w:ascii="Book Antiqua" w:hAnsi="Book Antiqua"/>
          <w:sz w:val="26"/>
          <w:szCs w:val="26"/>
        </w:rPr>
        <w:t xml:space="preserve">when </w:t>
      </w:r>
      <w:r w:rsidR="008B74F4">
        <w:rPr>
          <w:rFonts w:ascii="Book Antiqua" w:hAnsi="Book Antiqua"/>
          <w:sz w:val="26"/>
          <w:szCs w:val="26"/>
        </w:rPr>
        <w:t xml:space="preserve">Frontier’s </w:t>
      </w:r>
      <w:r w:rsidR="008B74F4">
        <w:rPr>
          <w:rFonts w:ascii="Book Antiqua" w:hAnsi="Book Antiqua"/>
          <w:sz w:val="26"/>
          <w:szCs w:val="26"/>
        </w:rPr>
        <w:lastRenderedPageBreak/>
        <w:t xml:space="preserve">customers decreased by 15 percent in California and 25 percent nationally, its workforce </w:t>
      </w:r>
      <w:r w:rsidR="00963975">
        <w:rPr>
          <w:rFonts w:ascii="Book Antiqua" w:hAnsi="Book Antiqua"/>
          <w:sz w:val="26"/>
          <w:szCs w:val="26"/>
        </w:rPr>
        <w:t>decreased by 23 percent in California and 28 percent nationally</w:t>
      </w:r>
      <w:r w:rsidR="00FF1BB2">
        <w:rPr>
          <w:rFonts w:ascii="Book Antiqua" w:hAnsi="Book Antiqua"/>
          <w:sz w:val="26"/>
          <w:szCs w:val="26"/>
        </w:rPr>
        <w:t>, including a 30 percent decline in California residential customer support functions</w:t>
      </w:r>
      <w:r w:rsidR="00963975">
        <w:rPr>
          <w:rFonts w:ascii="Book Antiqua" w:hAnsi="Book Antiqua"/>
          <w:sz w:val="26"/>
          <w:szCs w:val="26"/>
        </w:rPr>
        <w:t>.</w:t>
      </w:r>
      <w:r w:rsidR="00963975">
        <w:rPr>
          <w:rStyle w:val="FootnoteReference"/>
          <w:rFonts w:ascii="Book Antiqua" w:hAnsi="Book Antiqua"/>
          <w:sz w:val="26"/>
          <w:szCs w:val="26"/>
        </w:rPr>
        <w:footnoteReference w:id="70"/>
      </w:r>
      <w:r w:rsidR="00963975">
        <w:rPr>
          <w:rFonts w:ascii="Book Antiqua" w:hAnsi="Book Antiqua"/>
          <w:sz w:val="26"/>
          <w:szCs w:val="26"/>
        </w:rPr>
        <w:t xml:space="preserve"> </w:t>
      </w:r>
      <w:r w:rsidR="00AA0327">
        <w:rPr>
          <w:rFonts w:ascii="Book Antiqua" w:hAnsi="Book Antiqua"/>
          <w:sz w:val="26"/>
          <w:szCs w:val="26"/>
        </w:rPr>
        <w:t xml:space="preserve"> </w:t>
      </w:r>
      <w:r w:rsidR="009D0E23">
        <w:rPr>
          <w:rFonts w:ascii="Book Antiqua" w:hAnsi="Book Antiqua"/>
          <w:sz w:val="26"/>
          <w:szCs w:val="26"/>
        </w:rPr>
        <w:t xml:space="preserve">In 2020, Frontier’s national </w:t>
      </w:r>
      <w:r w:rsidR="006E1DDA">
        <w:rPr>
          <w:rFonts w:ascii="Book Antiqua" w:hAnsi="Book Antiqua"/>
          <w:sz w:val="26"/>
          <w:szCs w:val="26"/>
        </w:rPr>
        <w:t>customer</w:t>
      </w:r>
      <w:r w:rsidR="009D0E23">
        <w:rPr>
          <w:rFonts w:ascii="Book Antiqua" w:hAnsi="Book Antiqua"/>
          <w:sz w:val="26"/>
          <w:szCs w:val="26"/>
        </w:rPr>
        <w:t xml:space="preserve"> to </w:t>
      </w:r>
      <w:r w:rsidR="006E1DDA">
        <w:rPr>
          <w:rFonts w:ascii="Book Antiqua" w:hAnsi="Book Antiqua"/>
          <w:sz w:val="26"/>
          <w:szCs w:val="26"/>
        </w:rPr>
        <w:t>employee</w:t>
      </w:r>
      <w:r w:rsidR="009D0E23">
        <w:rPr>
          <w:rFonts w:ascii="Book Antiqua" w:hAnsi="Book Antiqua"/>
          <w:sz w:val="26"/>
          <w:szCs w:val="26"/>
        </w:rPr>
        <w:t xml:space="preserve"> ratio was 221:1 and its California ratio was 318:1.</w:t>
      </w:r>
      <w:r w:rsidR="009D0E23">
        <w:rPr>
          <w:rStyle w:val="FootnoteReference"/>
          <w:rFonts w:ascii="Book Antiqua" w:hAnsi="Book Antiqua"/>
          <w:sz w:val="26"/>
          <w:szCs w:val="26"/>
        </w:rPr>
        <w:footnoteReference w:id="71"/>
      </w:r>
      <w:r w:rsidR="009D0E23">
        <w:rPr>
          <w:rFonts w:ascii="Book Antiqua" w:hAnsi="Book Antiqua"/>
          <w:sz w:val="26"/>
          <w:szCs w:val="26"/>
        </w:rPr>
        <w:t xml:space="preserve"> </w:t>
      </w:r>
    </w:p>
    <w:p w:rsidR="004F4F9F" w:rsidP="004F4F9F" w:rsidRDefault="009D0E23" w14:paraId="4A3A19C0" w14:textId="32200E89">
      <w:pPr>
        <w:pStyle w:val="Default"/>
        <w:spacing w:line="360" w:lineRule="auto"/>
        <w:ind w:firstLine="720"/>
        <w:rPr>
          <w:rFonts w:ascii="Book Antiqua" w:hAnsi="Book Antiqua"/>
          <w:sz w:val="26"/>
          <w:szCs w:val="26"/>
        </w:rPr>
      </w:pPr>
      <w:r>
        <w:rPr>
          <w:rFonts w:ascii="Book Antiqua" w:hAnsi="Book Antiqua"/>
          <w:sz w:val="26"/>
          <w:szCs w:val="26"/>
        </w:rPr>
        <w:t xml:space="preserve">Before the </w:t>
      </w:r>
      <w:r w:rsidR="0007116F">
        <w:rPr>
          <w:rFonts w:ascii="Book Antiqua" w:hAnsi="Book Antiqua"/>
          <w:sz w:val="26"/>
          <w:szCs w:val="26"/>
        </w:rPr>
        <w:t>Attachment 1</w:t>
      </w:r>
      <w:r>
        <w:rPr>
          <w:rFonts w:ascii="Book Antiqua" w:hAnsi="Book Antiqua"/>
          <w:sz w:val="26"/>
          <w:szCs w:val="26"/>
        </w:rPr>
        <w:t xml:space="preserve"> Settlement Agreement, Cal Advocates had proposed that th</w:t>
      </w:r>
      <w:r w:rsidR="0007116F">
        <w:rPr>
          <w:rFonts w:ascii="Book Antiqua" w:hAnsi="Book Antiqua"/>
          <w:sz w:val="26"/>
          <w:szCs w:val="26"/>
        </w:rPr>
        <w:t>e</w:t>
      </w:r>
      <w:r>
        <w:rPr>
          <w:rFonts w:ascii="Book Antiqua" w:hAnsi="Book Antiqua"/>
          <w:sz w:val="26"/>
          <w:szCs w:val="26"/>
        </w:rPr>
        <w:t xml:space="preserve"> disparity </w:t>
      </w:r>
      <w:r w:rsidR="0007116F">
        <w:rPr>
          <w:rFonts w:ascii="Book Antiqua" w:hAnsi="Book Antiqua"/>
          <w:sz w:val="26"/>
          <w:szCs w:val="26"/>
        </w:rPr>
        <w:t xml:space="preserve">between Frontier’s national and California workforces </w:t>
      </w:r>
      <w:r>
        <w:rPr>
          <w:rFonts w:ascii="Book Antiqua" w:hAnsi="Book Antiqua"/>
          <w:sz w:val="26"/>
          <w:szCs w:val="26"/>
        </w:rPr>
        <w:t xml:space="preserve">be addressed by requiring Frontier’s </w:t>
      </w:r>
      <w:r w:rsidR="006E1DDA">
        <w:rPr>
          <w:rFonts w:ascii="Book Antiqua" w:hAnsi="Book Antiqua"/>
          <w:sz w:val="26"/>
          <w:szCs w:val="26"/>
        </w:rPr>
        <w:t>customer</w:t>
      </w:r>
      <w:r>
        <w:rPr>
          <w:rFonts w:ascii="Book Antiqua" w:hAnsi="Book Antiqua"/>
          <w:sz w:val="26"/>
          <w:szCs w:val="26"/>
        </w:rPr>
        <w:t xml:space="preserve"> to </w:t>
      </w:r>
      <w:r w:rsidR="006E1DDA">
        <w:rPr>
          <w:rFonts w:ascii="Book Antiqua" w:hAnsi="Book Antiqua"/>
          <w:sz w:val="26"/>
          <w:szCs w:val="26"/>
        </w:rPr>
        <w:t>employee</w:t>
      </w:r>
      <w:r>
        <w:rPr>
          <w:rFonts w:ascii="Book Antiqua" w:hAnsi="Book Antiqua"/>
          <w:sz w:val="26"/>
          <w:szCs w:val="26"/>
        </w:rPr>
        <w:t xml:space="preserve"> ratio in California to at least equal its national </w:t>
      </w:r>
      <w:r w:rsidR="006E1DDA">
        <w:rPr>
          <w:rFonts w:ascii="Book Antiqua" w:hAnsi="Book Antiqua"/>
          <w:sz w:val="26"/>
          <w:szCs w:val="26"/>
        </w:rPr>
        <w:t>customer</w:t>
      </w:r>
      <w:r>
        <w:rPr>
          <w:rFonts w:ascii="Book Antiqua" w:hAnsi="Book Antiqua"/>
          <w:sz w:val="26"/>
          <w:szCs w:val="26"/>
        </w:rPr>
        <w:t xml:space="preserve"> to </w:t>
      </w:r>
      <w:r w:rsidR="006E1DDA">
        <w:rPr>
          <w:rFonts w:ascii="Book Antiqua" w:hAnsi="Book Antiqua"/>
          <w:sz w:val="26"/>
          <w:szCs w:val="26"/>
        </w:rPr>
        <w:t>employee</w:t>
      </w:r>
      <w:r>
        <w:rPr>
          <w:rFonts w:ascii="Book Antiqua" w:hAnsi="Book Antiqua"/>
          <w:sz w:val="26"/>
          <w:szCs w:val="26"/>
        </w:rPr>
        <w:t xml:space="preserve"> ratio within three years of Commission approval of the Restructuring.</w:t>
      </w:r>
      <w:r>
        <w:rPr>
          <w:rStyle w:val="FootnoteReference"/>
          <w:rFonts w:ascii="Book Antiqua" w:hAnsi="Book Antiqua"/>
          <w:sz w:val="26"/>
          <w:szCs w:val="26"/>
        </w:rPr>
        <w:footnoteReference w:id="72"/>
      </w:r>
      <w:r w:rsidR="00AA0327">
        <w:rPr>
          <w:rFonts w:ascii="Book Antiqua" w:hAnsi="Book Antiqua"/>
          <w:sz w:val="26"/>
          <w:szCs w:val="26"/>
        </w:rPr>
        <w:t xml:space="preserve"> </w:t>
      </w:r>
      <w:r>
        <w:rPr>
          <w:rFonts w:ascii="Book Antiqua" w:hAnsi="Book Antiqua"/>
          <w:sz w:val="26"/>
          <w:szCs w:val="26"/>
        </w:rPr>
        <w:t xml:space="preserve"> </w:t>
      </w:r>
      <w:r w:rsidR="004F4F9F">
        <w:rPr>
          <w:rFonts w:ascii="Book Antiqua" w:hAnsi="Book Antiqua"/>
          <w:sz w:val="26"/>
          <w:szCs w:val="26"/>
        </w:rPr>
        <w:t>Cal Advocates also proposed that the Commission require Frontier to submit an annual report of national and California customer and employee totals for three years after approval of the Restructuring.</w:t>
      </w:r>
      <w:r w:rsidR="004F4F9F">
        <w:rPr>
          <w:rStyle w:val="FootnoteReference"/>
          <w:rFonts w:ascii="Book Antiqua" w:hAnsi="Book Antiqua"/>
          <w:sz w:val="26"/>
          <w:szCs w:val="26"/>
        </w:rPr>
        <w:footnoteReference w:id="73"/>
      </w:r>
    </w:p>
    <w:p w:rsidR="009D0E23" w:rsidP="004F4F9F" w:rsidRDefault="009D0E23" w14:paraId="3C9F66DB" w14:textId="1947244A">
      <w:pPr>
        <w:pStyle w:val="Default"/>
        <w:spacing w:line="360" w:lineRule="auto"/>
        <w:ind w:firstLine="720"/>
        <w:rPr>
          <w:rFonts w:ascii="Book Antiqua" w:hAnsi="Book Antiqua"/>
          <w:sz w:val="26"/>
          <w:szCs w:val="26"/>
        </w:rPr>
      </w:pPr>
      <w:r>
        <w:rPr>
          <w:rFonts w:ascii="Book Antiqua" w:hAnsi="Book Antiqua"/>
          <w:sz w:val="26"/>
          <w:szCs w:val="26"/>
        </w:rPr>
        <w:t>CWA had proposed</w:t>
      </w:r>
      <w:r w:rsidR="0007116F">
        <w:rPr>
          <w:rFonts w:ascii="Book Antiqua" w:hAnsi="Book Antiqua"/>
          <w:sz w:val="26"/>
          <w:szCs w:val="26"/>
        </w:rPr>
        <w:t xml:space="preserve"> that</w:t>
      </w:r>
      <w:r>
        <w:rPr>
          <w:rFonts w:ascii="Book Antiqua" w:hAnsi="Book Antiqua"/>
          <w:sz w:val="26"/>
          <w:szCs w:val="26"/>
        </w:rPr>
        <w:t xml:space="preserve"> Frontier </w:t>
      </w:r>
      <w:r w:rsidR="0007116F">
        <w:rPr>
          <w:rFonts w:ascii="Book Antiqua" w:hAnsi="Book Antiqua"/>
          <w:sz w:val="26"/>
          <w:szCs w:val="26"/>
        </w:rPr>
        <w:t xml:space="preserve">be required </w:t>
      </w:r>
      <w:r>
        <w:rPr>
          <w:rFonts w:ascii="Book Antiqua" w:hAnsi="Book Antiqua"/>
          <w:sz w:val="26"/>
          <w:szCs w:val="26"/>
        </w:rPr>
        <w:t>to reduce its reliance on outside contr</w:t>
      </w:r>
      <w:r w:rsidR="00530373">
        <w:rPr>
          <w:rFonts w:ascii="Book Antiqua" w:hAnsi="Book Antiqua"/>
          <w:sz w:val="26"/>
          <w:szCs w:val="26"/>
        </w:rPr>
        <w:t>ac</w:t>
      </w:r>
      <w:r>
        <w:rPr>
          <w:rFonts w:ascii="Book Antiqua" w:hAnsi="Book Antiqua"/>
          <w:sz w:val="26"/>
          <w:szCs w:val="26"/>
        </w:rPr>
        <w:t xml:space="preserve">tors and maintain a workforce adequate to fix the </w:t>
      </w:r>
      <w:r w:rsidR="008B164D">
        <w:rPr>
          <w:rFonts w:ascii="Book Antiqua" w:hAnsi="Book Antiqua"/>
          <w:sz w:val="26"/>
          <w:szCs w:val="26"/>
        </w:rPr>
        <w:t>network</w:t>
      </w:r>
      <w:r>
        <w:rPr>
          <w:rFonts w:ascii="Book Antiqua" w:hAnsi="Book Antiqua"/>
          <w:sz w:val="26"/>
          <w:szCs w:val="26"/>
        </w:rPr>
        <w:t xml:space="preserve"> and address widespread service quality issues, with the workforce no less than the current California employment level.</w:t>
      </w:r>
      <w:r>
        <w:rPr>
          <w:rStyle w:val="FootnoteReference"/>
          <w:rFonts w:ascii="Book Antiqua" w:hAnsi="Book Antiqua"/>
          <w:sz w:val="26"/>
          <w:szCs w:val="26"/>
        </w:rPr>
        <w:footnoteReference w:id="74"/>
      </w:r>
      <w:r>
        <w:rPr>
          <w:rFonts w:ascii="Book Antiqua" w:hAnsi="Book Antiqua"/>
          <w:sz w:val="26"/>
          <w:szCs w:val="26"/>
        </w:rPr>
        <w:t xml:space="preserve">  </w:t>
      </w:r>
    </w:p>
    <w:p w:rsidR="009D0E23" w:rsidP="004F4F9F" w:rsidRDefault="009D0E23" w14:paraId="3BA321EC" w14:textId="00A8E713">
      <w:pPr>
        <w:pStyle w:val="Default"/>
        <w:spacing w:line="360" w:lineRule="auto"/>
        <w:ind w:firstLine="720"/>
        <w:rPr>
          <w:rFonts w:ascii="Book Antiqua" w:hAnsi="Book Antiqua"/>
          <w:sz w:val="26"/>
          <w:szCs w:val="26"/>
        </w:rPr>
      </w:pPr>
      <w:r>
        <w:rPr>
          <w:rFonts w:ascii="Book Antiqua" w:hAnsi="Book Antiqua"/>
          <w:sz w:val="26"/>
          <w:szCs w:val="26"/>
        </w:rPr>
        <w:t xml:space="preserve">Before the </w:t>
      </w:r>
      <w:r w:rsidR="0007116F">
        <w:rPr>
          <w:rFonts w:ascii="Book Antiqua" w:hAnsi="Book Antiqua"/>
          <w:sz w:val="26"/>
          <w:szCs w:val="26"/>
        </w:rPr>
        <w:t>Attachment 1</w:t>
      </w:r>
      <w:r w:rsidR="004F4F9F">
        <w:rPr>
          <w:rFonts w:ascii="Book Antiqua" w:hAnsi="Book Antiqua"/>
          <w:sz w:val="26"/>
          <w:szCs w:val="26"/>
        </w:rPr>
        <w:t xml:space="preserve"> </w:t>
      </w:r>
      <w:r>
        <w:rPr>
          <w:rFonts w:ascii="Book Antiqua" w:hAnsi="Book Antiqua"/>
          <w:sz w:val="26"/>
          <w:szCs w:val="26"/>
        </w:rPr>
        <w:t xml:space="preserve">Settlement Agreement, Frontier had argued that it has national functions, such as finance, legal, and human resources, that are </w:t>
      </w:r>
      <w:r>
        <w:rPr>
          <w:rFonts w:ascii="Book Antiqua" w:hAnsi="Book Antiqua"/>
          <w:sz w:val="26"/>
          <w:szCs w:val="26"/>
        </w:rPr>
        <w:lastRenderedPageBreak/>
        <w:t xml:space="preserve">outside of California but support all states in which it operates and are reflected in the national </w:t>
      </w:r>
      <w:r w:rsidR="00C84691">
        <w:rPr>
          <w:rFonts w:ascii="Book Antiqua" w:hAnsi="Book Antiqua"/>
          <w:sz w:val="26"/>
          <w:szCs w:val="26"/>
        </w:rPr>
        <w:t xml:space="preserve">customer to </w:t>
      </w:r>
      <w:r>
        <w:rPr>
          <w:rFonts w:ascii="Book Antiqua" w:hAnsi="Book Antiqua"/>
          <w:sz w:val="26"/>
          <w:szCs w:val="26"/>
        </w:rPr>
        <w:t>employee ratio but not the California ratio even though those functions support California.</w:t>
      </w:r>
      <w:r>
        <w:rPr>
          <w:rStyle w:val="FootnoteReference"/>
          <w:rFonts w:ascii="Book Antiqua" w:hAnsi="Book Antiqua"/>
          <w:sz w:val="26"/>
          <w:szCs w:val="26"/>
        </w:rPr>
        <w:footnoteReference w:id="75"/>
      </w:r>
      <w:r>
        <w:rPr>
          <w:rFonts w:ascii="Book Antiqua" w:hAnsi="Book Antiqua"/>
          <w:sz w:val="26"/>
          <w:szCs w:val="26"/>
        </w:rPr>
        <w:t xml:space="preserve"> </w:t>
      </w:r>
      <w:r w:rsidR="00AA0327">
        <w:rPr>
          <w:rFonts w:ascii="Book Antiqua" w:hAnsi="Book Antiqua"/>
          <w:sz w:val="26"/>
          <w:szCs w:val="26"/>
        </w:rPr>
        <w:t xml:space="preserve"> </w:t>
      </w:r>
      <w:r>
        <w:rPr>
          <w:rFonts w:ascii="Book Antiqua" w:hAnsi="Book Antiqua"/>
          <w:sz w:val="26"/>
          <w:szCs w:val="26"/>
        </w:rPr>
        <w:t>In addition, Frontier stated that the number of California field technicians is consistent with the revenue generated by and customers served in California.</w:t>
      </w:r>
      <w:r>
        <w:rPr>
          <w:rStyle w:val="FootnoteReference"/>
          <w:rFonts w:ascii="Book Antiqua" w:hAnsi="Book Antiqua"/>
          <w:sz w:val="26"/>
          <w:szCs w:val="26"/>
        </w:rPr>
        <w:footnoteReference w:id="76"/>
      </w:r>
      <w:r>
        <w:rPr>
          <w:rFonts w:ascii="Book Antiqua" w:hAnsi="Book Antiqua"/>
          <w:sz w:val="26"/>
          <w:szCs w:val="26"/>
        </w:rPr>
        <w:t xml:space="preserve"> </w:t>
      </w:r>
      <w:r w:rsidR="00AA0327">
        <w:rPr>
          <w:rFonts w:ascii="Book Antiqua" w:hAnsi="Book Antiqua"/>
          <w:sz w:val="26"/>
          <w:szCs w:val="26"/>
        </w:rPr>
        <w:t xml:space="preserve"> </w:t>
      </w:r>
      <w:r>
        <w:rPr>
          <w:rFonts w:ascii="Book Antiqua" w:hAnsi="Book Antiqua"/>
          <w:sz w:val="26"/>
          <w:szCs w:val="26"/>
        </w:rPr>
        <w:t>Frontier also disagreed with CWA’s proposal that Frontier reduce its use of outside contr</w:t>
      </w:r>
      <w:r w:rsidR="00530373">
        <w:rPr>
          <w:rFonts w:ascii="Book Antiqua" w:hAnsi="Book Antiqua"/>
          <w:sz w:val="26"/>
          <w:szCs w:val="26"/>
        </w:rPr>
        <w:t>ac</w:t>
      </w:r>
      <w:r>
        <w:rPr>
          <w:rFonts w:ascii="Book Antiqua" w:hAnsi="Book Antiqua"/>
          <w:sz w:val="26"/>
          <w:szCs w:val="26"/>
        </w:rPr>
        <w:t>tors and at least maintain its current California internal workforce level, asserting that there is no reason to create new constraints on how Frontier manages its workforce.</w:t>
      </w:r>
      <w:r>
        <w:rPr>
          <w:rStyle w:val="FootnoteReference"/>
          <w:rFonts w:ascii="Book Antiqua" w:hAnsi="Book Antiqua"/>
          <w:sz w:val="26"/>
          <w:szCs w:val="26"/>
        </w:rPr>
        <w:footnoteReference w:id="77"/>
      </w:r>
      <w:r w:rsidR="00AA0327">
        <w:rPr>
          <w:rFonts w:ascii="Book Antiqua" w:hAnsi="Book Antiqua"/>
          <w:sz w:val="26"/>
          <w:szCs w:val="26"/>
        </w:rPr>
        <w:t xml:space="preserve"> </w:t>
      </w:r>
      <w:r>
        <w:rPr>
          <w:rFonts w:ascii="Book Antiqua" w:hAnsi="Book Antiqua"/>
          <w:sz w:val="26"/>
          <w:szCs w:val="26"/>
        </w:rPr>
        <w:t xml:space="preserve"> Frontier claim</w:t>
      </w:r>
      <w:r w:rsidR="00B002D4">
        <w:rPr>
          <w:rFonts w:ascii="Book Antiqua" w:hAnsi="Book Antiqua"/>
          <w:sz w:val="26"/>
          <w:szCs w:val="26"/>
        </w:rPr>
        <w:t>ed</w:t>
      </w:r>
      <w:r>
        <w:rPr>
          <w:rFonts w:ascii="Book Antiqua" w:hAnsi="Book Antiqua"/>
          <w:sz w:val="26"/>
          <w:szCs w:val="26"/>
        </w:rPr>
        <w:t xml:space="preserve"> that contr</w:t>
      </w:r>
      <w:r w:rsidR="00530373">
        <w:rPr>
          <w:rFonts w:ascii="Book Antiqua" w:hAnsi="Book Antiqua"/>
          <w:sz w:val="26"/>
          <w:szCs w:val="26"/>
        </w:rPr>
        <w:t>ac</w:t>
      </w:r>
      <w:r>
        <w:rPr>
          <w:rFonts w:ascii="Book Antiqua" w:hAnsi="Book Antiqua"/>
          <w:sz w:val="26"/>
          <w:szCs w:val="26"/>
        </w:rPr>
        <w:t>tors give it the flexibility to meet changing circumstances.</w:t>
      </w:r>
      <w:r>
        <w:rPr>
          <w:rStyle w:val="FootnoteReference"/>
          <w:rFonts w:ascii="Book Antiqua" w:hAnsi="Book Antiqua"/>
          <w:sz w:val="26"/>
          <w:szCs w:val="26"/>
        </w:rPr>
        <w:footnoteReference w:id="78"/>
      </w:r>
      <w:r w:rsidR="004F4F9F">
        <w:rPr>
          <w:rFonts w:ascii="Book Antiqua" w:hAnsi="Book Antiqua"/>
          <w:sz w:val="26"/>
          <w:szCs w:val="26"/>
        </w:rPr>
        <w:t xml:space="preserve"> </w:t>
      </w:r>
      <w:r w:rsidR="00AA0327">
        <w:rPr>
          <w:rFonts w:ascii="Book Antiqua" w:hAnsi="Book Antiqua"/>
          <w:sz w:val="26"/>
          <w:szCs w:val="26"/>
        </w:rPr>
        <w:t xml:space="preserve"> </w:t>
      </w:r>
      <w:r w:rsidR="004F4F9F">
        <w:rPr>
          <w:rFonts w:ascii="Book Antiqua" w:hAnsi="Book Antiqua"/>
          <w:sz w:val="26"/>
          <w:szCs w:val="26"/>
        </w:rPr>
        <w:t>Frontier expected all employee compensation and benefit programs and collective bargaining agreements to remain in pl</w:t>
      </w:r>
      <w:r w:rsidR="00EC1FD1">
        <w:rPr>
          <w:rFonts w:ascii="Book Antiqua" w:hAnsi="Book Antiqua"/>
          <w:sz w:val="26"/>
          <w:szCs w:val="26"/>
        </w:rPr>
        <w:t>ac</w:t>
      </w:r>
      <w:r w:rsidR="004F4F9F">
        <w:rPr>
          <w:rFonts w:ascii="Book Antiqua" w:hAnsi="Book Antiqua"/>
          <w:sz w:val="26"/>
          <w:szCs w:val="26"/>
        </w:rPr>
        <w:t>e on the Effective Date.</w:t>
      </w:r>
      <w:r w:rsidR="004F4F9F">
        <w:rPr>
          <w:rStyle w:val="FootnoteReference"/>
          <w:rFonts w:ascii="Book Antiqua" w:hAnsi="Book Antiqua"/>
          <w:sz w:val="26"/>
          <w:szCs w:val="26"/>
        </w:rPr>
        <w:footnoteReference w:id="79"/>
      </w:r>
    </w:p>
    <w:p w:rsidR="007E6F6B" w:rsidP="00615ED5" w:rsidRDefault="004F4F9F" w14:paraId="3A7BD4BE" w14:textId="6070D843">
      <w:pPr>
        <w:pStyle w:val="Default"/>
        <w:spacing w:line="360" w:lineRule="auto"/>
        <w:ind w:firstLine="720"/>
        <w:rPr>
          <w:rFonts w:ascii="Book Antiqua" w:hAnsi="Book Antiqua"/>
          <w:sz w:val="26"/>
          <w:szCs w:val="26"/>
        </w:rPr>
      </w:pPr>
      <w:r>
        <w:rPr>
          <w:rFonts w:ascii="Book Antiqua" w:hAnsi="Book Antiqua"/>
          <w:sz w:val="26"/>
          <w:szCs w:val="26"/>
        </w:rPr>
        <w:t xml:space="preserve">The </w:t>
      </w:r>
      <w:r w:rsidR="0007116F">
        <w:rPr>
          <w:rFonts w:ascii="Book Antiqua" w:hAnsi="Book Antiqua"/>
          <w:sz w:val="26"/>
          <w:szCs w:val="26"/>
        </w:rPr>
        <w:t>Attachment 1</w:t>
      </w:r>
      <w:r>
        <w:rPr>
          <w:rFonts w:ascii="Book Antiqua" w:hAnsi="Book Antiqua"/>
          <w:sz w:val="26"/>
          <w:szCs w:val="26"/>
        </w:rPr>
        <w:t xml:space="preserve"> Settlement Agreement reflects </w:t>
      </w:r>
      <w:r w:rsidR="00530373">
        <w:rPr>
          <w:rFonts w:ascii="Book Antiqua" w:hAnsi="Book Antiqua"/>
          <w:sz w:val="26"/>
          <w:szCs w:val="26"/>
        </w:rPr>
        <w:t xml:space="preserve">employment-related </w:t>
      </w:r>
      <w:r>
        <w:rPr>
          <w:rFonts w:ascii="Book Antiqua" w:hAnsi="Book Antiqua"/>
          <w:sz w:val="26"/>
          <w:szCs w:val="26"/>
        </w:rPr>
        <w:t xml:space="preserve">compromises by Frontier, Cal Advocates, and CWA. </w:t>
      </w:r>
      <w:r w:rsidR="00AA0327">
        <w:rPr>
          <w:rFonts w:ascii="Book Antiqua" w:hAnsi="Book Antiqua"/>
          <w:sz w:val="26"/>
          <w:szCs w:val="26"/>
        </w:rPr>
        <w:t xml:space="preserve"> </w:t>
      </w:r>
      <w:r w:rsidR="003E30CD">
        <w:rPr>
          <w:rFonts w:ascii="Book Antiqua" w:hAnsi="Book Antiqua"/>
          <w:sz w:val="26"/>
          <w:szCs w:val="26"/>
        </w:rPr>
        <w:t>Frontier agreed to maintain its total employee technician staffing through December 31, 2023</w:t>
      </w:r>
      <w:r w:rsidR="0007116F">
        <w:rPr>
          <w:rFonts w:ascii="Book Antiqua" w:hAnsi="Book Antiqua"/>
          <w:sz w:val="26"/>
          <w:szCs w:val="26"/>
        </w:rPr>
        <w:t xml:space="preserve"> but not its entire workforce</w:t>
      </w:r>
      <w:r w:rsidR="003E30CD">
        <w:rPr>
          <w:rFonts w:ascii="Book Antiqua" w:hAnsi="Book Antiqua"/>
          <w:sz w:val="26"/>
          <w:szCs w:val="26"/>
        </w:rPr>
        <w:t xml:space="preserve">. </w:t>
      </w:r>
      <w:r w:rsidR="00AA0327">
        <w:rPr>
          <w:rFonts w:ascii="Book Antiqua" w:hAnsi="Book Antiqua"/>
          <w:sz w:val="26"/>
          <w:szCs w:val="26"/>
        </w:rPr>
        <w:t xml:space="preserve"> </w:t>
      </w:r>
      <w:r w:rsidR="00B002D4">
        <w:rPr>
          <w:rFonts w:ascii="Book Antiqua" w:hAnsi="Book Antiqua"/>
          <w:sz w:val="26"/>
          <w:szCs w:val="26"/>
        </w:rPr>
        <w:t>CWA and Cal Advocates dropped requirement</w:t>
      </w:r>
      <w:r w:rsidR="003E30CD">
        <w:rPr>
          <w:rFonts w:ascii="Book Antiqua" w:hAnsi="Book Antiqua"/>
          <w:sz w:val="26"/>
          <w:szCs w:val="26"/>
        </w:rPr>
        <w:t>s</w:t>
      </w:r>
      <w:r w:rsidR="00B002D4">
        <w:rPr>
          <w:rFonts w:ascii="Book Antiqua" w:hAnsi="Book Antiqua"/>
          <w:sz w:val="26"/>
          <w:szCs w:val="26"/>
        </w:rPr>
        <w:t xml:space="preserve"> regarding </w:t>
      </w:r>
      <w:r w:rsidR="003E30CD">
        <w:rPr>
          <w:rFonts w:ascii="Book Antiqua" w:hAnsi="Book Antiqua"/>
          <w:sz w:val="26"/>
          <w:szCs w:val="26"/>
        </w:rPr>
        <w:t xml:space="preserve">the </w:t>
      </w:r>
      <w:r w:rsidR="000D0839">
        <w:rPr>
          <w:rFonts w:ascii="Book Antiqua" w:hAnsi="Book Antiqua"/>
          <w:sz w:val="26"/>
          <w:szCs w:val="26"/>
        </w:rPr>
        <w:t>customer</w:t>
      </w:r>
      <w:r w:rsidR="003E30CD">
        <w:rPr>
          <w:rFonts w:ascii="Book Antiqua" w:hAnsi="Book Antiqua"/>
          <w:sz w:val="26"/>
          <w:szCs w:val="26"/>
        </w:rPr>
        <w:t xml:space="preserve"> to </w:t>
      </w:r>
      <w:r w:rsidR="000D0839">
        <w:rPr>
          <w:rFonts w:ascii="Book Antiqua" w:hAnsi="Book Antiqua"/>
          <w:sz w:val="26"/>
          <w:szCs w:val="26"/>
        </w:rPr>
        <w:t>employee</w:t>
      </w:r>
      <w:r w:rsidR="003E30CD">
        <w:rPr>
          <w:rFonts w:ascii="Book Antiqua" w:hAnsi="Book Antiqua"/>
          <w:sz w:val="26"/>
          <w:szCs w:val="26"/>
        </w:rPr>
        <w:t xml:space="preserve"> ratio and </w:t>
      </w:r>
      <w:r w:rsidR="00B002D4">
        <w:rPr>
          <w:rFonts w:ascii="Book Antiqua" w:hAnsi="Book Antiqua"/>
          <w:sz w:val="26"/>
          <w:szCs w:val="26"/>
        </w:rPr>
        <w:t>a reduction in the use of outside contr</w:t>
      </w:r>
      <w:r w:rsidR="00EC1FD1">
        <w:rPr>
          <w:rFonts w:ascii="Book Antiqua" w:hAnsi="Book Antiqua"/>
          <w:sz w:val="26"/>
          <w:szCs w:val="26"/>
        </w:rPr>
        <w:t>ac</w:t>
      </w:r>
      <w:r w:rsidR="00B002D4">
        <w:rPr>
          <w:rFonts w:ascii="Book Antiqua" w:hAnsi="Book Antiqua"/>
          <w:sz w:val="26"/>
          <w:szCs w:val="26"/>
        </w:rPr>
        <w:t>tors</w:t>
      </w:r>
      <w:r w:rsidR="003E30CD">
        <w:rPr>
          <w:rFonts w:ascii="Book Antiqua" w:hAnsi="Book Antiqua"/>
          <w:sz w:val="26"/>
          <w:szCs w:val="26"/>
        </w:rPr>
        <w:t xml:space="preserve">. </w:t>
      </w:r>
      <w:r w:rsidR="00AA0327">
        <w:rPr>
          <w:rFonts w:ascii="Book Antiqua" w:hAnsi="Book Antiqua"/>
          <w:sz w:val="26"/>
          <w:szCs w:val="26"/>
        </w:rPr>
        <w:t xml:space="preserve"> </w:t>
      </w:r>
      <w:r w:rsidR="003E30CD">
        <w:rPr>
          <w:rFonts w:ascii="Book Antiqua" w:hAnsi="Book Antiqua"/>
          <w:sz w:val="26"/>
          <w:szCs w:val="26"/>
        </w:rPr>
        <w:t>On balance, we find that providing technician staffing stability will result in a Restructuring that is fair and reasonable to Frontier’s employees.</w:t>
      </w:r>
      <w:r w:rsidRPr="00B61017" w:rsidR="007E6F6B">
        <w:rPr>
          <w:rFonts w:ascii="Book Antiqua" w:hAnsi="Book Antiqua"/>
          <w:sz w:val="26"/>
          <w:szCs w:val="26"/>
        </w:rPr>
        <w:t xml:space="preserve"> </w:t>
      </w:r>
    </w:p>
    <w:p w:rsidR="007E6F6B" w:rsidP="00AA0327" w:rsidRDefault="00F65D17" w14:paraId="3B9D4195" w14:textId="73A2ABC2">
      <w:pPr>
        <w:pStyle w:val="Heading3"/>
      </w:pPr>
      <w:bookmarkStart w:name="_Toc67556517" w:id="23"/>
      <w:r>
        <w:lastRenderedPageBreak/>
        <w:t xml:space="preserve">Benefit to State and Local Economies </w:t>
      </w:r>
      <w:r w:rsidR="00AA0327">
        <w:br/>
      </w:r>
      <w:r>
        <w:t xml:space="preserve">and Communities Served by </w:t>
      </w:r>
      <w:r w:rsidR="00F64612">
        <w:t>Frontier</w:t>
      </w:r>
      <w:bookmarkEnd w:id="23"/>
    </w:p>
    <w:p w:rsidR="006F281F" w:rsidP="007E6F6B" w:rsidRDefault="00615ED5" w14:paraId="57FBFF88" w14:textId="42A4204C">
      <w:pPr>
        <w:pStyle w:val="Default"/>
        <w:spacing w:line="360" w:lineRule="auto"/>
        <w:ind w:firstLine="720"/>
        <w:rPr>
          <w:rFonts w:ascii="Book Antiqua" w:hAnsi="Book Antiqua"/>
          <w:sz w:val="26"/>
          <w:szCs w:val="26"/>
        </w:rPr>
      </w:pPr>
      <w:r>
        <w:rPr>
          <w:rFonts w:ascii="Book Antiqua" w:hAnsi="Book Antiqua"/>
          <w:sz w:val="26"/>
          <w:szCs w:val="26"/>
        </w:rPr>
        <w:t xml:space="preserve">Pub. Util. Code Section 854(c)(6) provides for Commission consideration whether the Restructuring will be beneficial on an overall basis to state and local economies and to the communities served by Frontier. </w:t>
      </w:r>
      <w:r w:rsidR="00AA0327">
        <w:rPr>
          <w:rFonts w:ascii="Book Antiqua" w:hAnsi="Book Antiqua"/>
          <w:sz w:val="26"/>
          <w:szCs w:val="26"/>
        </w:rPr>
        <w:t xml:space="preserve"> </w:t>
      </w:r>
      <w:r w:rsidR="00FF7A8A">
        <w:rPr>
          <w:rFonts w:ascii="Book Antiqua" w:hAnsi="Book Antiqua"/>
          <w:sz w:val="26"/>
          <w:szCs w:val="26"/>
        </w:rPr>
        <w:t>Frontier states that it is committed to maintain its California networks and operations, thereby directly benefiting state and local economies.</w:t>
      </w:r>
      <w:r w:rsidR="00FF7A8A">
        <w:rPr>
          <w:rStyle w:val="FootnoteReference"/>
          <w:rFonts w:ascii="Book Antiqua" w:hAnsi="Book Antiqua"/>
          <w:sz w:val="26"/>
          <w:szCs w:val="26"/>
        </w:rPr>
        <w:footnoteReference w:id="80"/>
      </w:r>
      <w:r w:rsidR="00FF7A8A">
        <w:rPr>
          <w:rFonts w:ascii="Book Antiqua" w:hAnsi="Book Antiqua"/>
          <w:sz w:val="26"/>
          <w:szCs w:val="26"/>
        </w:rPr>
        <w:t xml:space="preserve"> </w:t>
      </w:r>
    </w:p>
    <w:p w:rsidR="00AE4DE4" w:rsidP="007E6F6B" w:rsidRDefault="006F281F" w14:paraId="541189AB" w14:textId="2F708620">
      <w:pPr>
        <w:pStyle w:val="Default"/>
        <w:spacing w:line="360" w:lineRule="auto"/>
        <w:ind w:firstLine="720"/>
        <w:rPr>
          <w:rFonts w:ascii="Book Antiqua" w:hAnsi="Book Antiqua"/>
          <w:sz w:val="26"/>
          <w:szCs w:val="26"/>
        </w:rPr>
      </w:pPr>
      <w:r>
        <w:rPr>
          <w:rFonts w:ascii="Book Antiqua" w:hAnsi="Book Antiqua"/>
          <w:sz w:val="26"/>
          <w:szCs w:val="26"/>
        </w:rPr>
        <w:t>Cal Advocates calculated that 50 percent of Frontier’s rural households but only 34 percent of its urban households have broadband speeds of less than 25</w:t>
      </w:r>
      <w:r w:rsidR="00AA0327">
        <w:rPr>
          <w:rFonts w:ascii="Book Antiqua" w:hAnsi="Book Antiqua"/>
          <w:sz w:val="26"/>
          <w:szCs w:val="26"/>
        </w:rPr>
        <w:t> </w:t>
      </w:r>
      <w:r>
        <w:rPr>
          <w:rFonts w:ascii="Book Antiqua" w:hAnsi="Book Antiqua"/>
          <w:sz w:val="26"/>
          <w:szCs w:val="26"/>
        </w:rPr>
        <w:t>Mbps</w:t>
      </w:r>
      <w:r w:rsidR="00F4119E">
        <w:rPr>
          <w:rFonts w:ascii="Book Antiqua" w:hAnsi="Book Antiqua"/>
          <w:sz w:val="26"/>
          <w:szCs w:val="26"/>
        </w:rPr>
        <w:t xml:space="preserve">.  </w:t>
      </w:r>
      <w:r>
        <w:rPr>
          <w:rFonts w:ascii="Book Antiqua" w:hAnsi="Book Antiqua"/>
          <w:sz w:val="26"/>
          <w:szCs w:val="26"/>
        </w:rPr>
        <w:t>In addition, Cal Advocates determined that 87 percent of Frontier’s rural households but only 42 percent of its urban households do not have fiber services.</w:t>
      </w:r>
      <w:r>
        <w:rPr>
          <w:rStyle w:val="FootnoteReference"/>
          <w:rFonts w:ascii="Book Antiqua" w:hAnsi="Book Antiqua"/>
          <w:sz w:val="26"/>
          <w:szCs w:val="26"/>
        </w:rPr>
        <w:footnoteReference w:id="81"/>
      </w:r>
      <w:r>
        <w:rPr>
          <w:rFonts w:ascii="Book Antiqua" w:hAnsi="Book Antiqua"/>
          <w:sz w:val="26"/>
          <w:szCs w:val="26"/>
        </w:rPr>
        <w:t xml:space="preserve"> </w:t>
      </w:r>
      <w:r w:rsidR="00615ED5">
        <w:rPr>
          <w:rFonts w:ascii="Book Antiqua" w:hAnsi="Book Antiqua"/>
          <w:sz w:val="26"/>
          <w:szCs w:val="26"/>
        </w:rPr>
        <w:t xml:space="preserve">Although those numbers may reflect </w:t>
      </w:r>
      <w:r w:rsidR="00AE4DE4">
        <w:rPr>
          <w:rFonts w:ascii="Book Antiqua" w:hAnsi="Book Antiqua"/>
          <w:sz w:val="26"/>
          <w:szCs w:val="26"/>
        </w:rPr>
        <w:t xml:space="preserve">the detrimental effect on rural customers of past </w:t>
      </w:r>
      <w:r w:rsidR="00AA1A76">
        <w:rPr>
          <w:rFonts w:ascii="Book Antiqua" w:hAnsi="Book Antiqua"/>
          <w:sz w:val="26"/>
          <w:szCs w:val="26"/>
        </w:rPr>
        <w:t xml:space="preserve">Frontier </w:t>
      </w:r>
      <w:r w:rsidR="00AE4DE4">
        <w:rPr>
          <w:rFonts w:ascii="Book Antiqua" w:hAnsi="Book Antiqua"/>
          <w:sz w:val="26"/>
          <w:szCs w:val="26"/>
        </w:rPr>
        <w:t xml:space="preserve">decisions, they do not </w:t>
      </w:r>
      <w:r w:rsidR="00AA1A76">
        <w:rPr>
          <w:rFonts w:ascii="Book Antiqua" w:hAnsi="Book Antiqua"/>
          <w:sz w:val="26"/>
          <w:szCs w:val="26"/>
        </w:rPr>
        <w:t xml:space="preserve">necessarily </w:t>
      </w:r>
      <w:r w:rsidR="00AE4DE4">
        <w:rPr>
          <w:rFonts w:ascii="Book Antiqua" w:hAnsi="Book Antiqua"/>
          <w:sz w:val="26"/>
          <w:szCs w:val="26"/>
        </w:rPr>
        <w:t>provide</w:t>
      </w:r>
      <w:r w:rsidR="006D2A03">
        <w:rPr>
          <w:rFonts w:ascii="Book Antiqua" w:hAnsi="Book Antiqua"/>
          <w:sz w:val="26"/>
          <w:szCs w:val="26"/>
        </w:rPr>
        <w:t xml:space="preserve"> significant</w:t>
      </w:r>
      <w:r w:rsidR="00AE4DE4">
        <w:rPr>
          <w:rFonts w:ascii="Book Antiqua" w:hAnsi="Book Antiqua"/>
          <w:sz w:val="26"/>
          <w:szCs w:val="26"/>
        </w:rPr>
        <w:t xml:space="preserve"> insight into how the Restructuring itself would affect state and local economies and communities.</w:t>
      </w:r>
    </w:p>
    <w:p w:rsidR="007E6F6B" w:rsidP="007E6F6B" w:rsidRDefault="00AE4DE4" w14:paraId="1AE9D2B0" w14:textId="23448195">
      <w:pPr>
        <w:pStyle w:val="Default"/>
        <w:spacing w:line="360" w:lineRule="auto"/>
        <w:ind w:firstLine="720"/>
        <w:rPr>
          <w:rFonts w:ascii="Book Antiqua" w:hAnsi="Book Antiqua"/>
          <w:sz w:val="26"/>
          <w:szCs w:val="26"/>
        </w:rPr>
      </w:pPr>
      <w:r>
        <w:rPr>
          <w:rFonts w:ascii="Book Antiqua" w:hAnsi="Book Antiqua"/>
          <w:sz w:val="26"/>
          <w:szCs w:val="26"/>
        </w:rPr>
        <w:t xml:space="preserve">The </w:t>
      </w:r>
      <w:r w:rsidR="006D2A03">
        <w:rPr>
          <w:rFonts w:ascii="Book Antiqua" w:hAnsi="Book Antiqua"/>
          <w:sz w:val="26"/>
          <w:szCs w:val="26"/>
        </w:rPr>
        <w:t>Attachment 1</w:t>
      </w:r>
      <w:r>
        <w:rPr>
          <w:rFonts w:ascii="Book Antiqua" w:hAnsi="Book Antiqua"/>
          <w:sz w:val="26"/>
          <w:szCs w:val="26"/>
        </w:rPr>
        <w:t xml:space="preserve"> Settlement Agreement </w:t>
      </w:r>
      <w:r w:rsidR="0027758E">
        <w:rPr>
          <w:rFonts w:ascii="Book Antiqua" w:hAnsi="Book Antiqua"/>
          <w:sz w:val="26"/>
          <w:szCs w:val="26"/>
        </w:rPr>
        <w:t xml:space="preserve">Motion </w:t>
      </w:r>
      <w:r>
        <w:rPr>
          <w:rFonts w:ascii="Book Antiqua" w:hAnsi="Book Antiqua"/>
          <w:sz w:val="26"/>
          <w:szCs w:val="26"/>
        </w:rPr>
        <w:t xml:space="preserve">recites that Frontier’s commitments regarding capital expenditures, service quality, and broadband deployment </w:t>
      </w:r>
      <w:r w:rsidR="0027758E">
        <w:rPr>
          <w:rFonts w:ascii="Book Antiqua" w:hAnsi="Book Antiqua"/>
          <w:sz w:val="26"/>
          <w:szCs w:val="26"/>
        </w:rPr>
        <w:t>will benefit state and local economies and communities</w:t>
      </w:r>
      <w:r w:rsidR="00AA1A76">
        <w:rPr>
          <w:rFonts w:ascii="Book Antiqua" w:hAnsi="Book Antiqua"/>
          <w:sz w:val="26"/>
          <w:szCs w:val="26"/>
        </w:rPr>
        <w:t>,</w:t>
      </w:r>
      <w:r w:rsidR="00F64612">
        <w:rPr>
          <w:rFonts w:ascii="Book Antiqua" w:hAnsi="Book Antiqua"/>
          <w:sz w:val="26"/>
          <w:szCs w:val="26"/>
        </w:rPr>
        <w:t xml:space="preserve"> but </w:t>
      </w:r>
      <w:r w:rsidR="00AA1A76">
        <w:rPr>
          <w:rFonts w:ascii="Book Antiqua" w:hAnsi="Book Antiqua"/>
          <w:sz w:val="26"/>
          <w:szCs w:val="26"/>
        </w:rPr>
        <w:t xml:space="preserve">the motion </w:t>
      </w:r>
      <w:r w:rsidR="00F64612">
        <w:rPr>
          <w:rFonts w:ascii="Book Antiqua" w:hAnsi="Book Antiqua"/>
          <w:sz w:val="26"/>
          <w:szCs w:val="26"/>
        </w:rPr>
        <w:t>fails to provide specific</w:t>
      </w:r>
      <w:r w:rsidR="00AA1A76">
        <w:rPr>
          <w:rFonts w:ascii="Book Antiqua" w:hAnsi="Book Antiqua"/>
          <w:sz w:val="26"/>
          <w:szCs w:val="26"/>
        </w:rPr>
        <w:t>s</w:t>
      </w:r>
      <w:r w:rsidR="00F64612">
        <w:rPr>
          <w:rFonts w:ascii="Book Antiqua" w:hAnsi="Book Antiqua"/>
          <w:sz w:val="26"/>
          <w:szCs w:val="26"/>
        </w:rPr>
        <w:t xml:space="preserve"> regarding</w:t>
      </w:r>
      <w:r w:rsidR="00A2566B">
        <w:rPr>
          <w:rFonts w:ascii="Book Antiqua" w:hAnsi="Book Antiqua"/>
          <w:sz w:val="26"/>
          <w:szCs w:val="26"/>
        </w:rPr>
        <w:t xml:space="preserve"> particular local or community</w:t>
      </w:r>
      <w:r w:rsidR="00F64612">
        <w:rPr>
          <w:rFonts w:ascii="Book Antiqua" w:hAnsi="Book Antiqua"/>
          <w:sz w:val="26"/>
          <w:szCs w:val="26"/>
        </w:rPr>
        <w:t xml:space="preserve"> benefit</w:t>
      </w:r>
      <w:r w:rsidR="00A2566B">
        <w:rPr>
          <w:rFonts w:ascii="Book Antiqua" w:hAnsi="Book Antiqua"/>
          <w:sz w:val="26"/>
          <w:szCs w:val="26"/>
        </w:rPr>
        <w:t>s</w:t>
      </w:r>
      <w:r w:rsidR="0027758E">
        <w:rPr>
          <w:rFonts w:ascii="Book Antiqua" w:hAnsi="Book Antiqua"/>
          <w:sz w:val="26"/>
          <w:szCs w:val="26"/>
        </w:rPr>
        <w:t>.</w:t>
      </w:r>
      <w:r w:rsidR="0027758E">
        <w:rPr>
          <w:rStyle w:val="FootnoteReference"/>
          <w:rFonts w:ascii="Book Antiqua" w:hAnsi="Book Antiqua"/>
          <w:sz w:val="26"/>
          <w:szCs w:val="26"/>
        </w:rPr>
        <w:footnoteReference w:id="82"/>
      </w:r>
      <w:r w:rsidR="0027758E">
        <w:rPr>
          <w:rFonts w:ascii="Book Antiqua" w:hAnsi="Book Antiqua"/>
          <w:sz w:val="26"/>
          <w:szCs w:val="26"/>
        </w:rPr>
        <w:t xml:space="preserve"> </w:t>
      </w:r>
      <w:r w:rsidR="00F64612">
        <w:rPr>
          <w:rFonts w:ascii="Book Antiqua" w:hAnsi="Book Antiqua"/>
          <w:sz w:val="26"/>
          <w:szCs w:val="26"/>
        </w:rPr>
        <w:t>In contrast,</w:t>
      </w:r>
      <w:r w:rsidR="007C3CAC">
        <w:rPr>
          <w:rFonts w:ascii="Book Antiqua" w:hAnsi="Book Antiqua"/>
          <w:sz w:val="26"/>
          <w:szCs w:val="26"/>
        </w:rPr>
        <w:t xml:space="preserve"> the </w:t>
      </w:r>
      <w:r w:rsidR="006D2A03">
        <w:rPr>
          <w:rFonts w:ascii="Book Antiqua" w:hAnsi="Book Antiqua"/>
          <w:sz w:val="26"/>
          <w:szCs w:val="26"/>
        </w:rPr>
        <w:t>Attachment 2</w:t>
      </w:r>
      <w:r w:rsidR="00555C0B">
        <w:rPr>
          <w:rFonts w:ascii="Book Antiqua" w:hAnsi="Book Antiqua"/>
          <w:sz w:val="26"/>
          <w:szCs w:val="26"/>
        </w:rPr>
        <w:t xml:space="preserve"> Settlement Agreement</w:t>
      </w:r>
      <w:r w:rsidR="007C3CAC">
        <w:rPr>
          <w:rFonts w:ascii="Book Antiqua" w:hAnsi="Book Antiqua"/>
          <w:sz w:val="26"/>
          <w:szCs w:val="26"/>
        </w:rPr>
        <w:t xml:space="preserve"> </w:t>
      </w:r>
      <w:r w:rsidR="00F64612">
        <w:rPr>
          <w:rFonts w:ascii="Book Antiqua" w:hAnsi="Book Antiqua"/>
          <w:sz w:val="26"/>
          <w:szCs w:val="26"/>
        </w:rPr>
        <w:t xml:space="preserve">sets forth  identifiable </w:t>
      </w:r>
      <w:r w:rsidR="006D2A03">
        <w:rPr>
          <w:rFonts w:ascii="Book Antiqua" w:hAnsi="Book Antiqua"/>
          <w:sz w:val="26"/>
          <w:szCs w:val="26"/>
        </w:rPr>
        <w:t xml:space="preserve">and time-specific </w:t>
      </w:r>
      <w:r w:rsidR="00F64612">
        <w:rPr>
          <w:rFonts w:ascii="Book Antiqua" w:hAnsi="Book Antiqua"/>
          <w:sz w:val="26"/>
          <w:szCs w:val="26"/>
        </w:rPr>
        <w:t xml:space="preserve">community-level </w:t>
      </w:r>
      <w:r w:rsidRPr="007C3CAC" w:rsidR="007C3CAC">
        <w:rPr>
          <w:rFonts w:ascii="Book Antiqua" w:hAnsi="Book Antiqua"/>
          <w:sz w:val="26"/>
          <w:szCs w:val="26"/>
        </w:rPr>
        <w:t>require</w:t>
      </w:r>
      <w:r w:rsidR="009E3E56">
        <w:rPr>
          <w:rFonts w:ascii="Book Antiqua" w:hAnsi="Book Antiqua"/>
          <w:sz w:val="26"/>
          <w:szCs w:val="26"/>
        </w:rPr>
        <w:t>ments that</w:t>
      </w:r>
      <w:r w:rsidRPr="007C3CAC" w:rsidR="007C3CAC">
        <w:rPr>
          <w:rFonts w:ascii="Book Antiqua" w:hAnsi="Book Antiqua"/>
          <w:sz w:val="26"/>
          <w:szCs w:val="26"/>
        </w:rPr>
        <w:t xml:space="preserve"> Frontier </w:t>
      </w:r>
      <w:r w:rsidR="0041211F">
        <w:rPr>
          <w:rFonts w:ascii="Book Antiqua" w:hAnsi="Book Antiqua"/>
          <w:sz w:val="26"/>
          <w:szCs w:val="26"/>
        </w:rPr>
        <w:t>(1)</w:t>
      </w:r>
      <w:r w:rsidR="00AA0327">
        <w:rPr>
          <w:rFonts w:ascii="Book Antiqua" w:hAnsi="Book Antiqua"/>
          <w:sz w:val="26"/>
          <w:szCs w:val="26"/>
        </w:rPr>
        <w:t> </w:t>
      </w:r>
      <w:r w:rsidRPr="007C3CAC" w:rsidR="007C3CAC">
        <w:rPr>
          <w:rFonts w:ascii="Book Antiqua" w:hAnsi="Book Antiqua"/>
          <w:sz w:val="26"/>
          <w:szCs w:val="26"/>
        </w:rPr>
        <w:t xml:space="preserve">purchase over 20,000 </w:t>
      </w:r>
      <w:proofErr w:type="spellStart"/>
      <w:r w:rsidRPr="007C3CAC" w:rsidR="007C3CAC">
        <w:rPr>
          <w:rFonts w:ascii="Book Antiqua" w:hAnsi="Book Antiqua"/>
          <w:sz w:val="26"/>
          <w:szCs w:val="26"/>
        </w:rPr>
        <w:t>WiFi</w:t>
      </w:r>
      <w:proofErr w:type="spellEnd"/>
      <w:r w:rsidRPr="007C3CAC" w:rsidR="007C3CAC">
        <w:rPr>
          <w:rFonts w:ascii="Book Antiqua" w:hAnsi="Book Antiqua"/>
          <w:sz w:val="26"/>
          <w:szCs w:val="26"/>
        </w:rPr>
        <w:t xml:space="preserve">-capable devices for low-income students, including at least 4,000 devices to tribal communities, </w:t>
      </w:r>
      <w:r w:rsidR="0041211F">
        <w:rPr>
          <w:rFonts w:ascii="Book Antiqua" w:hAnsi="Book Antiqua"/>
          <w:sz w:val="26"/>
          <w:szCs w:val="26"/>
        </w:rPr>
        <w:t xml:space="preserve">(2) </w:t>
      </w:r>
      <w:r w:rsidRPr="007C3CAC" w:rsidR="007C3CAC">
        <w:rPr>
          <w:rFonts w:ascii="Book Antiqua" w:hAnsi="Book Antiqua"/>
          <w:sz w:val="26"/>
          <w:szCs w:val="26"/>
        </w:rPr>
        <w:t xml:space="preserve">expand the locations </w:t>
      </w:r>
      <w:r w:rsidRPr="007C3CAC" w:rsidR="007C3CAC">
        <w:rPr>
          <w:rFonts w:ascii="Book Antiqua" w:hAnsi="Book Antiqua"/>
          <w:sz w:val="26"/>
          <w:szCs w:val="26"/>
        </w:rPr>
        <w:lastRenderedPageBreak/>
        <w:t xml:space="preserve">eligible for public </w:t>
      </w:r>
      <w:proofErr w:type="spellStart"/>
      <w:r w:rsidRPr="007C3CAC" w:rsidR="007C3CAC">
        <w:rPr>
          <w:rFonts w:ascii="Book Antiqua" w:hAnsi="Book Antiqua"/>
          <w:sz w:val="26"/>
          <w:szCs w:val="26"/>
        </w:rPr>
        <w:t>WiFi</w:t>
      </w:r>
      <w:proofErr w:type="spellEnd"/>
      <w:r w:rsidRPr="007C3CAC" w:rsidR="007C3CAC">
        <w:rPr>
          <w:rFonts w:ascii="Book Antiqua" w:hAnsi="Book Antiqua"/>
          <w:sz w:val="26"/>
          <w:szCs w:val="26"/>
        </w:rPr>
        <w:t xml:space="preserve"> and prioritize tribal locations for </w:t>
      </w:r>
      <w:proofErr w:type="spellStart"/>
      <w:r w:rsidRPr="007C3CAC" w:rsidR="007C3CAC">
        <w:rPr>
          <w:rFonts w:ascii="Book Antiqua" w:hAnsi="Book Antiqua"/>
          <w:sz w:val="26"/>
          <w:szCs w:val="26"/>
        </w:rPr>
        <w:t>WiFi</w:t>
      </w:r>
      <w:proofErr w:type="spellEnd"/>
      <w:r w:rsidRPr="007C3CAC" w:rsidR="007C3CAC">
        <w:rPr>
          <w:rFonts w:ascii="Book Antiqua" w:hAnsi="Book Antiqua"/>
          <w:sz w:val="26"/>
          <w:szCs w:val="26"/>
        </w:rPr>
        <w:t xml:space="preserve"> hotspot deployments, and </w:t>
      </w:r>
      <w:r w:rsidR="0041211F">
        <w:rPr>
          <w:rFonts w:ascii="Book Antiqua" w:hAnsi="Book Antiqua"/>
          <w:sz w:val="26"/>
          <w:szCs w:val="26"/>
        </w:rPr>
        <w:t xml:space="preserve">(3) </w:t>
      </w:r>
      <w:r w:rsidRPr="007C3CAC" w:rsidR="007C3CAC">
        <w:rPr>
          <w:rFonts w:ascii="Book Antiqua" w:hAnsi="Book Antiqua"/>
          <w:sz w:val="26"/>
          <w:szCs w:val="26"/>
        </w:rPr>
        <w:t xml:space="preserve">complete its </w:t>
      </w:r>
      <w:proofErr w:type="spellStart"/>
      <w:r w:rsidRPr="007C3CAC" w:rsidR="007C3CAC">
        <w:rPr>
          <w:rFonts w:ascii="Book Antiqua" w:hAnsi="Book Antiqua"/>
          <w:sz w:val="26"/>
          <w:szCs w:val="26"/>
        </w:rPr>
        <w:t>WiFi</w:t>
      </w:r>
      <w:proofErr w:type="spellEnd"/>
      <w:r w:rsidRPr="007C3CAC" w:rsidR="007C3CAC">
        <w:rPr>
          <w:rFonts w:ascii="Book Antiqua" w:hAnsi="Book Antiqua"/>
          <w:sz w:val="26"/>
          <w:szCs w:val="26"/>
        </w:rPr>
        <w:t xml:space="preserve"> community </w:t>
      </w:r>
      <w:r w:rsidR="00555C0B">
        <w:rPr>
          <w:rFonts w:ascii="Book Antiqua" w:hAnsi="Book Antiqua"/>
          <w:sz w:val="26"/>
          <w:szCs w:val="26"/>
        </w:rPr>
        <w:t>ac</w:t>
      </w:r>
      <w:r w:rsidRPr="007C3CAC" w:rsidR="007C3CAC">
        <w:rPr>
          <w:rFonts w:ascii="Book Antiqua" w:hAnsi="Book Antiqua"/>
          <w:sz w:val="26"/>
          <w:szCs w:val="26"/>
        </w:rPr>
        <w:t>cess commitment to 31</w:t>
      </w:r>
      <w:r w:rsidR="00AA0327">
        <w:rPr>
          <w:rFonts w:ascii="Book Antiqua" w:hAnsi="Book Antiqua"/>
          <w:sz w:val="26"/>
          <w:szCs w:val="26"/>
        </w:rPr>
        <w:t> </w:t>
      </w:r>
      <w:r w:rsidRPr="007C3CAC" w:rsidR="007C3CAC">
        <w:rPr>
          <w:rFonts w:ascii="Book Antiqua" w:hAnsi="Book Antiqua"/>
          <w:sz w:val="26"/>
          <w:szCs w:val="26"/>
        </w:rPr>
        <w:t xml:space="preserve">locations. </w:t>
      </w:r>
      <w:r w:rsidR="00AA0327">
        <w:rPr>
          <w:rFonts w:ascii="Book Antiqua" w:hAnsi="Book Antiqua"/>
          <w:sz w:val="26"/>
          <w:szCs w:val="26"/>
        </w:rPr>
        <w:t xml:space="preserve"> </w:t>
      </w:r>
      <w:r w:rsidR="0041211F">
        <w:rPr>
          <w:rFonts w:ascii="Book Antiqua" w:hAnsi="Book Antiqua"/>
          <w:sz w:val="26"/>
          <w:szCs w:val="26"/>
        </w:rPr>
        <w:t>Those provisions are sufficient to establish that the Restructuring</w:t>
      </w:r>
      <w:r w:rsidR="00555C0B">
        <w:rPr>
          <w:rFonts w:ascii="Book Antiqua" w:hAnsi="Book Antiqua"/>
          <w:sz w:val="26"/>
          <w:szCs w:val="26"/>
        </w:rPr>
        <w:t xml:space="preserve">, as supplemented by the </w:t>
      </w:r>
      <w:r w:rsidR="006D2A03">
        <w:rPr>
          <w:rFonts w:ascii="Book Antiqua" w:hAnsi="Book Antiqua"/>
          <w:sz w:val="26"/>
          <w:szCs w:val="26"/>
        </w:rPr>
        <w:t>Attachment 2</w:t>
      </w:r>
      <w:r w:rsidR="00555C0B">
        <w:rPr>
          <w:rFonts w:ascii="Book Antiqua" w:hAnsi="Book Antiqua"/>
          <w:sz w:val="26"/>
          <w:szCs w:val="26"/>
        </w:rPr>
        <w:t xml:space="preserve"> Settlement Agreement, </w:t>
      </w:r>
      <w:r w:rsidR="00AA1A76">
        <w:rPr>
          <w:rFonts w:ascii="Book Antiqua" w:hAnsi="Book Antiqua"/>
          <w:sz w:val="26"/>
          <w:szCs w:val="26"/>
        </w:rPr>
        <w:t>will provide</w:t>
      </w:r>
      <w:r w:rsidR="0041211F">
        <w:rPr>
          <w:rFonts w:ascii="Book Antiqua" w:hAnsi="Book Antiqua"/>
          <w:sz w:val="26"/>
          <w:szCs w:val="26"/>
        </w:rPr>
        <w:t xml:space="preserve"> </w:t>
      </w:r>
      <w:r w:rsidR="00AA1A76">
        <w:rPr>
          <w:rFonts w:ascii="Book Antiqua" w:hAnsi="Book Antiqua"/>
          <w:sz w:val="26"/>
          <w:szCs w:val="26"/>
        </w:rPr>
        <w:t xml:space="preserve">some </w:t>
      </w:r>
      <w:r w:rsidR="0041211F">
        <w:rPr>
          <w:rFonts w:ascii="Book Antiqua" w:hAnsi="Book Antiqua"/>
          <w:sz w:val="26"/>
          <w:szCs w:val="26"/>
        </w:rPr>
        <w:t>benefit</w:t>
      </w:r>
      <w:r w:rsidR="00AA1A76">
        <w:rPr>
          <w:rFonts w:ascii="Book Antiqua" w:hAnsi="Book Antiqua"/>
          <w:sz w:val="26"/>
          <w:szCs w:val="26"/>
        </w:rPr>
        <w:t>s to</w:t>
      </w:r>
      <w:r w:rsidR="0041211F">
        <w:rPr>
          <w:rFonts w:ascii="Book Antiqua" w:hAnsi="Book Antiqua"/>
          <w:sz w:val="26"/>
          <w:szCs w:val="26"/>
        </w:rPr>
        <w:t xml:space="preserve"> state and local economies and communities.</w:t>
      </w:r>
      <w:r w:rsidRPr="00B61017" w:rsidR="007E6F6B">
        <w:rPr>
          <w:rFonts w:ascii="Book Antiqua" w:hAnsi="Book Antiqua"/>
          <w:sz w:val="26"/>
          <w:szCs w:val="26"/>
        </w:rPr>
        <w:t xml:space="preserve"> </w:t>
      </w:r>
      <w:r w:rsidR="00AA0327">
        <w:rPr>
          <w:rFonts w:ascii="Book Antiqua" w:hAnsi="Book Antiqua"/>
          <w:sz w:val="26"/>
          <w:szCs w:val="26"/>
        </w:rPr>
        <w:t xml:space="preserve"> </w:t>
      </w:r>
      <w:r w:rsidR="005D08E7">
        <w:rPr>
          <w:rFonts w:ascii="Book Antiqua" w:hAnsi="Book Antiqua"/>
          <w:sz w:val="26"/>
          <w:szCs w:val="26"/>
        </w:rPr>
        <w:t>A</w:t>
      </w:r>
      <w:r w:rsidR="00EA3892">
        <w:rPr>
          <w:rFonts w:ascii="Book Antiqua" w:hAnsi="Book Antiqua"/>
          <w:sz w:val="26"/>
          <w:szCs w:val="26"/>
        </w:rPr>
        <w:t xml:space="preserve">s described in Section 4.1.11 below, the Attachment 3 Settlement Agreement provides specific benefits to the Yurok Tribe regarding the development of a middle-mile fiber and FTTP </w:t>
      </w:r>
      <w:r w:rsidR="005D08E7">
        <w:rPr>
          <w:rFonts w:ascii="Book Antiqua" w:hAnsi="Book Antiqua"/>
          <w:sz w:val="26"/>
          <w:szCs w:val="26"/>
        </w:rPr>
        <w:t>project, cost reimbursement, the designation of a Frontier tribal liaison, and a feasibility study regarding a potential acquisition of Frontier assets.</w:t>
      </w:r>
      <w:r w:rsidR="00AA0327">
        <w:rPr>
          <w:rFonts w:ascii="Book Antiqua" w:hAnsi="Book Antiqua"/>
          <w:sz w:val="26"/>
          <w:szCs w:val="26"/>
        </w:rPr>
        <w:t xml:space="preserve"> </w:t>
      </w:r>
      <w:r w:rsidR="005D08E7">
        <w:rPr>
          <w:rFonts w:ascii="Book Antiqua" w:hAnsi="Book Antiqua"/>
          <w:sz w:val="26"/>
          <w:szCs w:val="26"/>
        </w:rPr>
        <w:t xml:space="preserve"> </w:t>
      </w:r>
      <w:r w:rsidR="006D2A03">
        <w:rPr>
          <w:rFonts w:ascii="Book Antiqua" w:hAnsi="Book Antiqua"/>
          <w:sz w:val="26"/>
          <w:szCs w:val="26"/>
        </w:rPr>
        <w:t xml:space="preserve">In Section 4.1.11 below, we </w:t>
      </w:r>
      <w:r w:rsidR="005D08E7">
        <w:rPr>
          <w:rFonts w:ascii="Book Antiqua" w:hAnsi="Book Antiqua"/>
          <w:sz w:val="26"/>
          <w:szCs w:val="26"/>
        </w:rPr>
        <w:t xml:space="preserve">also </w:t>
      </w:r>
      <w:r w:rsidR="006D2A03">
        <w:rPr>
          <w:rFonts w:ascii="Book Antiqua" w:hAnsi="Book Antiqua"/>
          <w:sz w:val="26"/>
          <w:szCs w:val="26"/>
        </w:rPr>
        <w:t xml:space="preserve">analyze in detail whether the Restructuring will benefit </w:t>
      </w:r>
      <w:r w:rsidR="005D08E7">
        <w:rPr>
          <w:rFonts w:ascii="Book Antiqua" w:hAnsi="Book Antiqua"/>
          <w:sz w:val="26"/>
          <w:szCs w:val="26"/>
        </w:rPr>
        <w:t xml:space="preserve">California </w:t>
      </w:r>
      <w:r w:rsidR="006D2A03">
        <w:rPr>
          <w:rFonts w:ascii="Book Antiqua" w:hAnsi="Book Antiqua"/>
          <w:sz w:val="26"/>
          <w:szCs w:val="26"/>
        </w:rPr>
        <w:t xml:space="preserve">tribal communities, and in Section 4.1.12 we address whether local governments and tribal communities should have a right of first </w:t>
      </w:r>
      <w:r w:rsidR="00145FD3">
        <w:rPr>
          <w:rFonts w:ascii="Book Antiqua" w:hAnsi="Book Antiqua"/>
          <w:sz w:val="26"/>
          <w:szCs w:val="26"/>
        </w:rPr>
        <w:t xml:space="preserve">offer or first </w:t>
      </w:r>
      <w:r w:rsidR="006D2A03">
        <w:rPr>
          <w:rFonts w:ascii="Book Antiqua" w:hAnsi="Book Antiqua"/>
          <w:sz w:val="26"/>
          <w:szCs w:val="26"/>
        </w:rPr>
        <w:t>refusal</w:t>
      </w:r>
      <w:r w:rsidR="00145FD3">
        <w:rPr>
          <w:rFonts w:ascii="Book Antiqua" w:hAnsi="Book Antiqua"/>
          <w:sz w:val="26"/>
          <w:szCs w:val="26"/>
        </w:rPr>
        <w:t xml:space="preserve"> </w:t>
      </w:r>
      <w:r w:rsidR="006D2A03">
        <w:rPr>
          <w:rFonts w:ascii="Book Antiqua" w:hAnsi="Book Antiqua"/>
          <w:sz w:val="26"/>
          <w:szCs w:val="26"/>
        </w:rPr>
        <w:t>regarding proposed sales of property by Frontier within their jurisdiction.</w:t>
      </w:r>
    </w:p>
    <w:p w:rsidR="007E6F6B" w:rsidP="00AA0327" w:rsidRDefault="00F65D17" w14:paraId="17447073" w14:textId="5FEB6B94">
      <w:pPr>
        <w:pStyle w:val="Heading3"/>
      </w:pPr>
      <w:bookmarkStart w:name="_Toc67556518" w:id="24"/>
      <w:r>
        <w:t>Preservation of Commission Jurisdiction and Commission Cap</w:t>
      </w:r>
      <w:r w:rsidR="00555C0B">
        <w:t>ac</w:t>
      </w:r>
      <w:r>
        <w:t xml:space="preserve">ity to Effectively Regulate </w:t>
      </w:r>
      <w:r w:rsidR="00AA0327">
        <w:br/>
      </w:r>
      <w:r>
        <w:t xml:space="preserve">and Audit </w:t>
      </w:r>
      <w:proofErr w:type="gramStart"/>
      <w:r w:rsidR="00A2566B">
        <w:t>Frontier</w:t>
      </w:r>
      <w:bookmarkEnd w:id="24"/>
      <w:proofErr w:type="gramEnd"/>
      <w:r w:rsidR="007E6F6B">
        <w:t xml:space="preserve">  </w:t>
      </w:r>
    </w:p>
    <w:p w:rsidR="007E6F6B" w:rsidP="007E6F6B" w:rsidRDefault="00A2566B" w14:paraId="379A9C55" w14:textId="432740CD">
      <w:pPr>
        <w:pStyle w:val="Default"/>
        <w:spacing w:line="360" w:lineRule="auto"/>
        <w:ind w:firstLine="720"/>
        <w:rPr>
          <w:rFonts w:ascii="Book Antiqua" w:hAnsi="Book Antiqua"/>
          <w:sz w:val="26"/>
          <w:szCs w:val="26"/>
        </w:rPr>
      </w:pPr>
      <w:r>
        <w:rPr>
          <w:rFonts w:ascii="Book Antiqua" w:hAnsi="Book Antiqua"/>
          <w:sz w:val="26"/>
          <w:szCs w:val="26"/>
        </w:rPr>
        <w:t>Under Pub. Util. Code Section 854(c)(7), the Commission is directed to consider whether the Restructuring preserves its jurisdiction and cap</w:t>
      </w:r>
      <w:r w:rsidR="00555C0B">
        <w:rPr>
          <w:rFonts w:ascii="Book Antiqua" w:hAnsi="Book Antiqua"/>
          <w:sz w:val="26"/>
          <w:szCs w:val="26"/>
        </w:rPr>
        <w:t>ac</w:t>
      </w:r>
      <w:r>
        <w:rPr>
          <w:rFonts w:ascii="Book Antiqua" w:hAnsi="Book Antiqua"/>
          <w:sz w:val="26"/>
          <w:szCs w:val="26"/>
        </w:rPr>
        <w:t>ity to effectively regulate and audit Frontier.</w:t>
      </w:r>
      <w:r w:rsidR="00F4119E">
        <w:rPr>
          <w:rFonts w:ascii="Book Antiqua" w:hAnsi="Book Antiqua"/>
          <w:sz w:val="26"/>
          <w:szCs w:val="26"/>
        </w:rPr>
        <w:t xml:space="preserve"> </w:t>
      </w:r>
      <w:r>
        <w:rPr>
          <w:rFonts w:ascii="Book Antiqua" w:hAnsi="Book Antiqua"/>
          <w:sz w:val="26"/>
          <w:szCs w:val="26"/>
        </w:rPr>
        <w:t xml:space="preserve"> </w:t>
      </w:r>
      <w:r w:rsidR="00FF7A8A">
        <w:rPr>
          <w:rFonts w:ascii="Book Antiqua" w:hAnsi="Book Antiqua"/>
          <w:sz w:val="26"/>
          <w:szCs w:val="26"/>
        </w:rPr>
        <w:t>Frontier states that the Restructuring will not alter the Commission’s jurisdiction over its California subsidiaries.</w:t>
      </w:r>
      <w:r w:rsidR="00FF7A8A">
        <w:rPr>
          <w:rStyle w:val="FootnoteReference"/>
          <w:rFonts w:ascii="Book Antiqua" w:hAnsi="Book Antiqua"/>
          <w:sz w:val="26"/>
          <w:szCs w:val="26"/>
        </w:rPr>
        <w:footnoteReference w:id="83"/>
      </w:r>
      <w:r w:rsidR="00FF7A8A">
        <w:rPr>
          <w:rFonts w:ascii="Book Antiqua" w:hAnsi="Book Antiqua"/>
          <w:sz w:val="26"/>
          <w:szCs w:val="26"/>
        </w:rPr>
        <w:t xml:space="preserve"> </w:t>
      </w:r>
      <w:r>
        <w:rPr>
          <w:rFonts w:ascii="Book Antiqua" w:hAnsi="Book Antiqua"/>
          <w:sz w:val="26"/>
          <w:szCs w:val="26"/>
        </w:rPr>
        <w:t>We agree and therefore find that the Restructuring will preserve the Commission’s jurisdiction and cap</w:t>
      </w:r>
      <w:r w:rsidR="00555C0B">
        <w:rPr>
          <w:rFonts w:ascii="Book Antiqua" w:hAnsi="Book Antiqua"/>
          <w:sz w:val="26"/>
          <w:szCs w:val="26"/>
        </w:rPr>
        <w:t>ac</w:t>
      </w:r>
      <w:r>
        <w:rPr>
          <w:rFonts w:ascii="Book Antiqua" w:hAnsi="Book Antiqua"/>
          <w:sz w:val="26"/>
          <w:szCs w:val="26"/>
        </w:rPr>
        <w:t>ity to effectively regulate and audit Frontier.</w:t>
      </w:r>
      <w:r w:rsidRPr="00B61017" w:rsidR="007E6F6B">
        <w:rPr>
          <w:rFonts w:ascii="Book Antiqua" w:hAnsi="Book Antiqua"/>
          <w:sz w:val="26"/>
          <w:szCs w:val="26"/>
        </w:rPr>
        <w:t xml:space="preserve"> </w:t>
      </w:r>
    </w:p>
    <w:p w:rsidR="007E6F6B" w:rsidP="00AA0327" w:rsidRDefault="00F65D17" w14:paraId="416C3754" w14:textId="658AE494">
      <w:pPr>
        <w:pStyle w:val="Heading3"/>
      </w:pPr>
      <w:bookmarkStart w:name="_Toc67556519" w:id="25"/>
      <w:r>
        <w:t xml:space="preserve">Mitigation Measures to Prevent Significant </w:t>
      </w:r>
      <w:r w:rsidR="00AA0327">
        <w:br/>
      </w:r>
      <w:r>
        <w:t xml:space="preserve">Adverse </w:t>
      </w:r>
      <w:proofErr w:type="gramStart"/>
      <w:r>
        <w:t>Consequences</w:t>
      </w:r>
      <w:bookmarkEnd w:id="25"/>
      <w:proofErr w:type="gramEnd"/>
      <w:r w:rsidR="007E6F6B">
        <w:t xml:space="preserve">  </w:t>
      </w:r>
    </w:p>
    <w:p w:rsidR="006465E4" w:rsidP="007E6F6B" w:rsidRDefault="005573A0" w14:paraId="25A27543" w14:textId="703DCB7A">
      <w:pPr>
        <w:pStyle w:val="Default"/>
        <w:spacing w:line="360" w:lineRule="auto"/>
        <w:ind w:firstLine="720"/>
        <w:rPr>
          <w:rFonts w:ascii="Book Antiqua" w:hAnsi="Book Antiqua"/>
          <w:sz w:val="26"/>
          <w:szCs w:val="26"/>
        </w:rPr>
      </w:pPr>
      <w:r>
        <w:rPr>
          <w:rFonts w:ascii="Book Antiqua" w:hAnsi="Book Antiqua"/>
          <w:sz w:val="26"/>
          <w:szCs w:val="26"/>
        </w:rPr>
        <w:t xml:space="preserve">Pub. Util. Code Section 854(c)(8) provides that a determination whether the Restructuring is in the public interest requires consideration of mitigation </w:t>
      </w:r>
      <w:r>
        <w:rPr>
          <w:rFonts w:ascii="Book Antiqua" w:hAnsi="Book Antiqua"/>
          <w:sz w:val="26"/>
          <w:szCs w:val="26"/>
        </w:rPr>
        <w:lastRenderedPageBreak/>
        <w:t xml:space="preserve">measures to prevent significant adverse consequences. </w:t>
      </w:r>
      <w:r w:rsidR="00574CEF">
        <w:rPr>
          <w:rFonts w:ascii="Book Antiqua" w:hAnsi="Book Antiqua"/>
          <w:sz w:val="26"/>
          <w:szCs w:val="26"/>
        </w:rPr>
        <w:t xml:space="preserve"> </w:t>
      </w:r>
      <w:r w:rsidR="00354B93">
        <w:rPr>
          <w:rFonts w:ascii="Book Antiqua" w:hAnsi="Book Antiqua"/>
          <w:sz w:val="26"/>
          <w:szCs w:val="26"/>
        </w:rPr>
        <w:t xml:space="preserve">Elsewhere in this </w:t>
      </w:r>
      <w:r w:rsidR="00D870F7">
        <w:rPr>
          <w:rFonts w:ascii="Book Antiqua" w:hAnsi="Book Antiqua"/>
          <w:sz w:val="26"/>
          <w:szCs w:val="26"/>
        </w:rPr>
        <w:t>decision</w:t>
      </w:r>
      <w:r w:rsidR="00354B93">
        <w:rPr>
          <w:rFonts w:ascii="Book Antiqua" w:hAnsi="Book Antiqua"/>
          <w:sz w:val="26"/>
          <w:szCs w:val="26"/>
        </w:rPr>
        <w:t xml:space="preserve">, we </w:t>
      </w:r>
      <w:r w:rsidR="00D870F7">
        <w:rPr>
          <w:rFonts w:ascii="Book Antiqua" w:hAnsi="Book Antiqua"/>
          <w:sz w:val="26"/>
          <w:szCs w:val="26"/>
        </w:rPr>
        <w:t>approve</w:t>
      </w:r>
      <w:r w:rsidR="00354B93">
        <w:rPr>
          <w:rFonts w:ascii="Book Antiqua" w:hAnsi="Book Antiqua"/>
          <w:sz w:val="26"/>
          <w:szCs w:val="26"/>
        </w:rPr>
        <w:t xml:space="preserve"> the conditions set forth in the Settlement Agreements </w:t>
      </w:r>
      <w:r w:rsidR="000B603C">
        <w:rPr>
          <w:rFonts w:ascii="Book Antiqua" w:hAnsi="Book Antiqua"/>
          <w:sz w:val="26"/>
          <w:szCs w:val="26"/>
        </w:rPr>
        <w:t xml:space="preserve">and the additional conditions enumerated in this decision </w:t>
      </w:r>
      <w:r w:rsidR="00D870F7">
        <w:rPr>
          <w:rFonts w:ascii="Book Antiqua" w:hAnsi="Book Antiqua"/>
          <w:sz w:val="26"/>
          <w:szCs w:val="26"/>
        </w:rPr>
        <w:t xml:space="preserve">as being in the public interest. </w:t>
      </w:r>
      <w:r w:rsidR="00574CEF">
        <w:rPr>
          <w:rFonts w:ascii="Book Antiqua" w:hAnsi="Book Antiqua"/>
          <w:sz w:val="26"/>
          <w:szCs w:val="26"/>
        </w:rPr>
        <w:t xml:space="preserve"> </w:t>
      </w:r>
      <w:r w:rsidR="00D870F7">
        <w:rPr>
          <w:rFonts w:ascii="Book Antiqua" w:hAnsi="Book Antiqua"/>
          <w:sz w:val="26"/>
          <w:szCs w:val="26"/>
        </w:rPr>
        <w:t>In the absence of th</w:t>
      </w:r>
      <w:r w:rsidR="000B603C">
        <w:rPr>
          <w:rFonts w:ascii="Book Antiqua" w:hAnsi="Book Antiqua"/>
          <w:sz w:val="26"/>
          <w:szCs w:val="26"/>
        </w:rPr>
        <w:t>ose conditions</w:t>
      </w:r>
      <w:r w:rsidR="00D870F7">
        <w:rPr>
          <w:rFonts w:ascii="Book Antiqua" w:hAnsi="Book Antiqua"/>
          <w:sz w:val="26"/>
          <w:szCs w:val="26"/>
        </w:rPr>
        <w:t>, we believe that the Restructuring could have significant adverse consequences because of its failure to identify sufficient California-specific benefits</w:t>
      </w:r>
      <w:r w:rsidR="004351F9">
        <w:rPr>
          <w:rFonts w:ascii="Book Antiqua" w:hAnsi="Book Antiqua"/>
          <w:sz w:val="26"/>
          <w:szCs w:val="26"/>
        </w:rPr>
        <w:t>, its vagueness regarding</w:t>
      </w:r>
      <w:r w:rsidR="000B603C">
        <w:rPr>
          <w:rFonts w:ascii="Book Antiqua" w:hAnsi="Book Antiqua"/>
          <w:sz w:val="26"/>
          <w:szCs w:val="26"/>
        </w:rPr>
        <w:t xml:space="preserve"> </w:t>
      </w:r>
      <w:r w:rsidR="004351F9">
        <w:rPr>
          <w:rFonts w:ascii="Book Antiqua" w:hAnsi="Book Antiqua"/>
          <w:sz w:val="26"/>
          <w:szCs w:val="26"/>
        </w:rPr>
        <w:t>Frontier’s post</w:t>
      </w:r>
      <w:r w:rsidR="00574CEF">
        <w:rPr>
          <w:rFonts w:ascii="Book Antiqua" w:hAnsi="Book Antiqua"/>
          <w:sz w:val="26"/>
          <w:szCs w:val="26"/>
        </w:rPr>
        <w:noBreakHyphen/>
      </w:r>
      <w:r w:rsidR="004351F9">
        <w:rPr>
          <w:rFonts w:ascii="Book Antiqua" w:hAnsi="Book Antiqua"/>
          <w:sz w:val="26"/>
          <w:szCs w:val="26"/>
        </w:rPr>
        <w:t xml:space="preserve">Restructuring business plans, and </w:t>
      </w:r>
      <w:r w:rsidR="00DF7931">
        <w:rPr>
          <w:rFonts w:ascii="Book Antiqua" w:hAnsi="Book Antiqua"/>
          <w:sz w:val="26"/>
          <w:szCs w:val="26"/>
        </w:rPr>
        <w:t>its</w:t>
      </w:r>
      <w:r w:rsidR="004351F9">
        <w:rPr>
          <w:rFonts w:ascii="Book Antiqua" w:hAnsi="Book Antiqua"/>
          <w:sz w:val="26"/>
          <w:szCs w:val="26"/>
        </w:rPr>
        <w:t xml:space="preserve"> uncertainty </w:t>
      </w:r>
      <w:r w:rsidR="00DF7931">
        <w:rPr>
          <w:rFonts w:ascii="Book Antiqua" w:hAnsi="Book Antiqua"/>
          <w:sz w:val="26"/>
          <w:szCs w:val="26"/>
        </w:rPr>
        <w:t>concerning</w:t>
      </w:r>
      <w:r w:rsidR="004351F9">
        <w:rPr>
          <w:rFonts w:ascii="Book Antiqua" w:hAnsi="Book Antiqua"/>
          <w:sz w:val="26"/>
          <w:szCs w:val="26"/>
        </w:rPr>
        <w:t xml:space="preserve"> </w:t>
      </w:r>
      <w:r w:rsidR="006465E4">
        <w:rPr>
          <w:rFonts w:ascii="Book Antiqua" w:hAnsi="Book Antiqua"/>
          <w:sz w:val="26"/>
          <w:szCs w:val="26"/>
        </w:rPr>
        <w:t xml:space="preserve">the </w:t>
      </w:r>
      <w:r w:rsidR="004351F9">
        <w:rPr>
          <w:rFonts w:ascii="Book Antiqua" w:hAnsi="Book Antiqua"/>
          <w:sz w:val="26"/>
          <w:szCs w:val="26"/>
        </w:rPr>
        <w:t>Restructuring’s</w:t>
      </w:r>
      <w:r w:rsidR="000B603C">
        <w:rPr>
          <w:rFonts w:ascii="Book Antiqua" w:hAnsi="Book Antiqua"/>
          <w:sz w:val="26"/>
          <w:szCs w:val="26"/>
        </w:rPr>
        <w:t xml:space="preserve"> future effects</w:t>
      </w:r>
      <w:r w:rsidR="004351F9">
        <w:rPr>
          <w:rFonts w:ascii="Book Antiqua" w:hAnsi="Book Antiqua"/>
          <w:sz w:val="26"/>
          <w:szCs w:val="26"/>
        </w:rPr>
        <w:t>.</w:t>
      </w:r>
      <w:r w:rsidR="006465E4">
        <w:rPr>
          <w:rFonts w:ascii="Book Antiqua" w:hAnsi="Book Antiqua"/>
          <w:sz w:val="26"/>
          <w:szCs w:val="26"/>
        </w:rPr>
        <w:t xml:space="preserve"> </w:t>
      </w:r>
      <w:r w:rsidR="00574CEF">
        <w:rPr>
          <w:rFonts w:ascii="Book Antiqua" w:hAnsi="Book Antiqua"/>
          <w:sz w:val="26"/>
          <w:szCs w:val="26"/>
        </w:rPr>
        <w:t xml:space="preserve"> </w:t>
      </w:r>
      <w:r w:rsidR="006465E4">
        <w:rPr>
          <w:rFonts w:ascii="Book Antiqua" w:hAnsi="Book Antiqua"/>
          <w:sz w:val="26"/>
          <w:szCs w:val="26"/>
        </w:rPr>
        <w:t>Therefore, the conditions we impose in this decision are necessary mitigation measures</w:t>
      </w:r>
      <w:r w:rsidR="00354B93">
        <w:rPr>
          <w:rFonts w:ascii="Book Antiqua" w:hAnsi="Book Antiqua"/>
          <w:sz w:val="26"/>
          <w:szCs w:val="26"/>
        </w:rPr>
        <w:t>.</w:t>
      </w:r>
    </w:p>
    <w:p w:rsidR="000D1677" w:rsidP="007E6F6B" w:rsidRDefault="006465E4" w14:paraId="5FF56236" w14:textId="6717284F">
      <w:pPr>
        <w:pStyle w:val="Default"/>
        <w:spacing w:line="360" w:lineRule="auto"/>
        <w:ind w:firstLine="720"/>
        <w:rPr>
          <w:rFonts w:ascii="Book Antiqua" w:hAnsi="Book Antiqua"/>
          <w:sz w:val="26"/>
          <w:szCs w:val="26"/>
        </w:rPr>
      </w:pPr>
      <w:r>
        <w:rPr>
          <w:rFonts w:ascii="Book Antiqua" w:hAnsi="Book Antiqua"/>
          <w:sz w:val="26"/>
          <w:szCs w:val="26"/>
        </w:rPr>
        <w:t xml:space="preserve">The list of conditions required by this decision is extensive, </w:t>
      </w:r>
      <w:r w:rsidR="00EA1D98">
        <w:rPr>
          <w:rFonts w:ascii="Book Antiqua" w:hAnsi="Book Antiqua"/>
          <w:sz w:val="26"/>
          <w:szCs w:val="26"/>
        </w:rPr>
        <w:t>including</w:t>
      </w:r>
      <w:r>
        <w:rPr>
          <w:rFonts w:ascii="Book Antiqua" w:hAnsi="Book Antiqua"/>
          <w:sz w:val="26"/>
          <w:szCs w:val="26"/>
        </w:rPr>
        <w:t xml:space="preserve"> operational, financial, service, pricing, and employment matters</w:t>
      </w:r>
      <w:r w:rsidR="00A45DD1">
        <w:rPr>
          <w:rFonts w:ascii="Book Antiqua" w:hAnsi="Book Antiqua"/>
          <w:sz w:val="26"/>
          <w:szCs w:val="26"/>
        </w:rPr>
        <w:t xml:space="preserve">, and therefore the scope of the </w:t>
      </w:r>
      <w:r w:rsidR="006E003C">
        <w:rPr>
          <w:rFonts w:ascii="Book Antiqua" w:hAnsi="Book Antiqua"/>
          <w:sz w:val="26"/>
          <w:szCs w:val="26"/>
        </w:rPr>
        <w:t>effort to monitor</w:t>
      </w:r>
      <w:r w:rsidR="00A45DD1">
        <w:rPr>
          <w:rFonts w:ascii="Book Antiqua" w:hAnsi="Book Antiqua"/>
          <w:sz w:val="26"/>
          <w:szCs w:val="26"/>
        </w:rPr>
        <w:t xml:space="preserve"> Frontier’s compliance will be extremely challenging</w:t>
      </w:r>
      <w:r>
        <w:rPr>
          <w:rFonts w:ascii="Book Antiqua" w:hAnsi="Book Antiqua"/>
          <w:sz w:val="26"/>
          <w:szCs w:val="26"/>
        </w:rPr>
        <w:t>.</w:t>
      </w:r>
      <w:r w:rsidR="00574CEF">
        <w:rPr>
          <w:rFonts w:ascii="Book Antiqua" w:hAnsi="Book Antiqua"/>
          <w:sz w:val="26"/>
          <w:szCs w:val="26"/>
        </w:rPr>
        <w:t xml:space="preserve"> </w:t>
      </w:r>
      <w:r>
        <w:rPr>
          <w:rFonts w:ascii="Book Antiqua" w:hAnsi="Book Antiqua"/>
          <w:sz w:val="26"/>
          <w:szCs w:val="26"/>
        </w:rPr>
        <w:t xml:space="preserve"> </w:t>
      </w:r>
      <w:r w:rsidR="00DF7931">
        <w:rPr>
          <w:rFonts w:ascii="Book Antiqua" w:hAnsi="Book Antiqua"/>
          <w:sz w:val="26"/>
          <w:szCs w:val="26"/>
        </w:rPr>
        <w:t>Given the</w:t>
      </w:r>
      <w:r w:rsidR="00A45DD1">
        <w:rPr>
          <w:rFonts w:ascii="Book Antiqua" w:hAnsi="Book Antiqua"/>
          <w:sz w:val="26"/>
          <w:szCs w:val="26"/>
        </w:rPr>
        <w:t xml:space="preserve"> size</w:t>
      </w:r>
      <w:r w:rsidR="00DF7931">
        <w:rPr>
          <w:rFonts w:ascii="Book Antiqua" w:hAnsi="Book Antiqua"/>
          <w:sz w:val="26"/>
          <w:szCs w:val="26"/>
        </w:rPr>
        <w:t xml:space="preserve"> </w:t>
      </w:r>
      <w:r w:rsidR="00A45DD1">
        <w:rPr>
          <w:rFonts w:ascii="Book Antiqua" w:hAnsi="Book Antiqua"/>
          <w:sz w:val="26"/>
          <w:szCs w:val="26"/>
        </w:rPr>
        <w:t xml:space="preserve">of the task, the </w:t>
      </w:r>
      <w:r w:rsidR="00DF7931">
        <w:rPr>
          <w:rFonts w:ascii="Book Antiqua" w:hAnsi="Book Antiqua"/>
          <w:sz w:val="26"/>
          <w:szCs w:val="26"/>
        </w:rPr>
        <w:t xml:space="preserve">Commission’s </w:t>
      </w:r>
      <w:r w:rsidR="00A45DD1">
        <w:rPr>
          <w:rFonts w:ascii="Book Antiqua" w:hAnsi="Book Antiqua"/>
          <w:sz w:val="26"/>
          <w:szCs w:val="26"/>
        </w:rPr>
        <w:t>capable but not un</w:t>
      </w:r>
      <w:r w:rsidR="00DF7931">
        <w:rPr>
          <w:rFonts w:ascii="Book Antiqua" w:hAnsi="Book Antiqua"/>
          <w:sz w:val="26"/>
          <w:szCs w:val="26"/>
        </w:rPr>
        <w:t>limited resources</w:t>
      </w:r>
      <w:r w:rsidR="00A45DD1">
        <w:rPr>
          <w:rFonts w:ascii="Book Antiqua" w:hAnsi="Book Antiqua"/>
          <w:sz w:val="26"/>
          <w:szCs w:val="26"/>
        </w:rPr>
        <w:t>,</w:t>
      </w:r>
      <w:r w:rsidR="00DF7931">
        <w:rPr>
          <w:rFonts w:ascii="Book Antiqua" w:hAnsi="Book Antiqua"/>
          <w:sz w:val="26"/>
          <w:szCs w:val="26"/>
        </w:rPr>
        <w:t xml:space="preserve"> and the importance of the public intere</w:t>
      </w:r>
      <w:r w:rsidR="002B5DA6">
        <w:rPr>
          <w:rFonts w:ascii="Book Antiqua" w:hAnsi="Book Antiqua"/>
          <w:sz w:val="26"/>
          <w:szCs w:val="26"/>
        </w:rPr>
        <w:t xml:space="preserve">st in ensuring that Frontier fully </w:t>
      </w:r>
      <w:r w:rsidR="00A45DD1">
        <w:rPr>
          <w:rFonts w:ascii="Book Antiqua" w:hAnsi="Book Antiqua"/>
          <w:sz w:val="26"/>
          <w:szCs w:val="26"/>
        </w:rPr>
        <w:t>meets</w:t>
      </w:r>
      <w:r w:rsidR="002B5DA6">
        <w:rPr>
          <w:rFonts w:ascii="Book Antiqua" w:hAnsi="Book Antiqua"/>
          <w:sz w:val="26"/>
          <w:szCs w:val="26"/>
        </w:rPr>
        <w:t xml:space="preserve"> all requirements and conditions of this decision, we conclude that it is necessary to appoint an independent </w:t>
      </w:r>
      <w:r w:rsidR="00526477">
        <w:rPr>
          <w:rFonts w:ascii="Book Antiqua" w:hAnsi="Book Antiqua"/>
          <w:sz w:val="26"/>
          <w:szCs w:val="26"/>
        </w:rPr>
        <w:t>C</w:t>
      </w:r>
      <w:r w:rsidR="002B5DA6">
        <w:rPr>
          <w:rFonts w:ascii="Book Antiqua" w:hAnsi="Book Antiqua"/>
          <w:sz w:val="26"/>
          <w:szCs w:val="26"/>
        </w:rPr>
        <w:t xml:space="preserve">ompliance </w:t>
      </w:r>
      <w:r w:rsidR="00526477">
        <w:rPr>
          <w:rFonts w:ascii="Book Antiqua" w:hAnsi="Book Antiqua"/>
          <w:sz w:val="26"/>
          <w:szCs w:val="26"/>
        </w:rPr>
        <w:t>M</w:t>
      </w:r>
      <w:r w:rsidR="002B5DA6">
        <w:rPr>
          <w:rFonts w:ascii="Book Antiqua" w:hAnsi="Book Antiqua"/>
          <w:sz w:val="26"/>
          <w:szCs w:val="26"/>
        </w:rPr>
        <w:t>onitor</w:t>
      </w:r>
      <w:r w:rsidR="00145FD3">
        <w:rPr>
          <w:rFonts w:ascii="Book Antiqua" w:hAnsi="Book Antiqua"/>
          <w:sz w:val="26"/>
          <w:szCs w:val="26"/>
        </w:rPr>
        <w:t xml:space="preserve"> </w:t>
      </w:r>
      <w:r w:rsidR="002B5DA6">
        <w:rPr>
          <w:rFonts w:ascii="Book Antiqua" w:hAnsi="Book Antiqua"/>
          <w:sz w:val="26"/>
          <w:szCs w:val="26"/>
        </w:rPr>
        <w:t>to assist the Commission with enforcement</w:t>
      </w:r>
      <w:r w:rsidR="00F4119E">
        <w:rPr>
          <w:rFonts w:ascii="Book Antiqua" w:hAnsi="Book Antiqua"/>
          <w:sz w:val="26"/>
          <w:szCs w:val="26"/>
        </w:rPr>
        <w:t xml:space="preserve">.  </w:t>
      </w:r>
      <w:r w:rsidR="002B5DA6">
        <w:rPr>
          <w:rFonts w:ascii="Book Antiqua" w:hAnsi="Book Antiqua"/>
          <w:sz w:val="26"/>
          <w:szCs w:val="26"/>
        </w:rPr>
        <w:t xml:space="preserve">As a result, we will proceed with the hiring of a </w:t>
      </w:r>
      <w:r w:rsidR="00145FD3">
        <w:rPr>
          <w:rFonts w:ascii="Book Antiqua" w:hAnsi="Book Antiqua"/>
          <w:sz w:val="26"/>
          <w:szCs w:val="26"/>
        </w:rPr>
        <w:t>C</w:t>
      </w:r>
      <w:r w:rsidR="002B5DA6">
        <w:rPr>
          <w:rFonts w:ascii="Book Antiqua" w:hAnsi="Book Antiqua"/>
          <w:sz w:val="26"/>
          <w:szCs w:val="26"/>
        </w:rPr>
        <w:t xml:space="preserve">ompliance </w:t>
      </w:r>
      <w:r w:rsidR="00145FD3">
        <w:rPr>
          <w:rFonts w:ascii="Book Antiqua" w:hAnsi="Book Antiqua"/>
          <w:sz w:val="26"/>
          <w:szCs w:val="26"/>
        </w:rPr>
        <w:t>M</w:t>
      </w:r>
      <w:r w:rsidR="002B5DA6">
        <w:rPr>
          <w:rFonts w:ascii="Book Antiqua" w:hAnsi="Book Antiqua"/>
          <w:sz w:val="26"/>
          <w:szCs w:val="26"/>
        </w:rPr>
        <w:t xml:space="preserve">onitor to be funded by Frontier </w:t>
      </w:r>
      <w:r w:rsidR="006E003C">
        <w:rPr>
          <w:rFonts w:ascii="Book Antiqua" w:hAnsi="Book Antiqua"/>
          <w:sz w:val="26"/>
          <w:szCs w:val="26"/>
        </w:rPr>
        <w:t xml:space="preserve">and </w:t>
      </w:r>
      <w:r w:rsidR="002B5DA6">
        <w:rPr>
          <w:rFonts w:ascii="Book Antiqua" w:hAnsi="Book Antiqua"/>
          <w:sz w:val="26"/>
          <w:szCs w:val="26"/>
        </w:rPr>
        <w:t xml:space="preserve">with the duties described in Ordering Paragraph </w:t>
      </w:r>
      <w:r w:rsidR="002C1F2A">
        <w:rPr>
          <w:rFonts w:ascii="Book Antiqua" w:hAnsi="Book Antiqua"/>
          <w:sz w:val="26"/>
          <w:szCs w:val="26"/>
        </w:rPr>
        <w:t>4</w:t>
      </w:r>
      <w:r w:rsidR="002B5DA6">
        <w:rPr>
          <w:rFonts w:ascii="Book Antiqua" w:hAnsi="Book Antiqua"/>
          <w:sz w:val="26"/>
          <w:szCs w:val="26"/>
        </w:rPr>
        <w:t>.</w:t>
      </w:r>
    </w:p>
    <w:p w:rsidR="007E6F6B" w:rsidP="007E6F6B" w:rsidRDefault="00B97E7B" w14:paraId="6F93722C" w14:textId="410BC66B">
      <w:pPr>
        <w:pStyle w:val="Default"/>
        <w:spacing w:line="360" w:lineRule="auto"/>
        <w:ind w:firstLine="720"/>
        <w:rPr>
          <w:rFonts w:ascii="Book Antiqua" w:hAnsi="Book Antiqua"/>
          <w:sz w:val="26"/>
          <w:szCs w:val="26"/>
        </w:rPr>
      </w:pPr>
      <w:r>
        <w:rPr>
          <w:rFonts w:ascii="Book Antiqua" w:hAnsi="Book Antiqua"/>
          <w:sz w:val="26"/>
          <w:szCs w:val="26"/>
        </w:rPr>
        <w:t xml:space="preserve">We also note the large number of Frontier requirements in the Settlement Agreements and as additional conditions in this decision.  We conclude </w:t>
      </w:r>
      <w:r w:rsidR="00574B2F">
        <w:rPr>
          <w:rFonts w:ascii="Book Antiqua" w:hAnsi="Book Antiqua"/>
          <w:sz w:val="26"/>
          <w:szCs w:val="26"/>
        </w:rPr>
        <w:t xml:space="preserve">that </w:t>
      </w:r>
      <w:r>
        <w:rPr>
          <w:rFonts w:ascii="Book Antiqua" w:hAnsi="Book Antiqua"/>
          <w:sz w:val="26"/>
          <w:szCs w:val="26"/>
        </w:rPr>
        <w:t xml:space="preserve">those </w:t>
      </w:r>
      <w:r w:rsidR="002C179F">
        <w:rPr>
          <w:rFonts w:ascii="Book Antiqua" w:hAnsi="Book Antiqua"/>
          <w:sz w:val="26"/>
          <w:szCs w:val="26"/>
        </w:rPr>
        <w:t>requirements and conditions</w:t>
      </w:r>
      <w:r>
        <w:rPr>
          <w:rFonts w:ascii="Book Antiqua" w:hAnsi="Book Antiqua"/>
          <w:sz w:val="26"/>
          <w:szCs w:val="26"/>
        </w:rPr>
        <w:t xml:space="preserve"> are necessary in the public interest</w:t>
      </w:r>
      <w:r w:rsidR="00574B2F">
        <w:rPr>
          <w:rFonts w:ascii="Book Antiqua" w:hAnsi="Book Antiqua"/>
          <w:sz w:val="26"/>
          <w:szCs w:val="26"/>
        </w:rPr>
        <w:t xml:space="preserve"> and that </w:t>
      </w:r>
      <w:r w:rsidR="00A9645B">
        <w:rPr>
          <w:rFonts w:ascii="Book Antiqua" w:hAnsi="Book Antiqua"/>
          <w:sz w:val="26"/>
          <w:szCs w:val="26"/>
        </w:rPr>
        <w:t xml:space="preserve">it is imperative that </w:t>
      </w:r>
      <w:r w:rsidR="00BE14B2">
        <w:rPr>
          <w:rFonts w:ascii="Book Antiqua" w:hAnsi="Book Antiqua"/>
          <w:sz w:val="26"/>
          <w:szCs w:val="26"/>
        </w:rPr>
        <w:t xml:space="preserve">an effective enforcement mechanism be developed to ensure </w:t>
      </w:r>
      <w:r w:rsidR="00574B2F">
        <w:rPr>
          <w:rFonts w:ascii="Book Antiqua" w:hAnsi="Book Antiqua"/>
          <w:sz w:val="26"/>
          <w:szCs w:val="26"/>
        </w:rPr>
        <w:t>Frontier</w:t>
      </w:r>
      <w:r w:rsidR="00BE14B2">
        <w:rPr>
          <w:rFonts w:ascii="Book Antiqua" w:hAnsi="Book Antiqua"/>
          <w:sz w:val="26"/>
          <w:szCs w:val="26"/>
        </w:rPr>
        <w:t>’s</w:t>
      </w:r>
      <w:r w:rsidR="00574B2F">
        <w:rPr>
          <w:rFonts w:ascii="Book Antiqua" w:hAnsi="Book Antiqua"/>
          <w:sz w:val="26"/>
          <w:szCs w:val="26"/>
        </w:rPr>
        <w:t xml:space="preserve"> </w:t>
      </w:r>
      <w:r w:rsidR="0072346F">
        <w:rPr>
          <w:rFonts w:ascii="Book Antiqua" w:hAnsi="Book Antiqua"/>
          <w:sz w:val="26"/>
          <w:szCs w:val="26"/>
        </w:rPr>
        <w:t>compl</w:t>
      </w:r>
      <w:r w:rsidR="00BE14B2">
        <w:rPr>
          <w:rFonts w:ascii="Book Antiqua" w:hAnsi="Book Antiqua"/>
          <w:sz w:val="26"/>
          <w:szCs w:val="26"/>
        </w:rPr>
        <w:t>iance</w:t>
      </w:r>
      <w:r w:rsidR="00574B2F">
        <w:rPr>
          <w:rFonts w:ascii="Book Antiqua" w:hAnsi="Book Antiqua"/>
          <w:sz w:val="26"/>
          <w:szCs w:val="26"/>
        </w:rPr>
        <w:t xml:space="preserve"> </w:t>
      </w:r>
      <w:r w:rsidR="00A9645B">
        <w:rPr>
          <w:rFonts w:ascii="Book Antiqua" w:hAnsi="Book Antiqua"/>
          <w:sz w:val="26"/>
          <w:szCs w:val="26"/>
        </w:rPr>
        <w:t>with those requirements and conditions</w:t>
      </w:r>
      <w:r w:rsidR="00F4119E">
        <w:rPr>
          <w:rFonts w:ascii="Book Antiqua" w:hAnsi="Book Antiqua"/>
          <w:sz w:val="26"/>
          <w:szCs w:val="26"/>
        </w:rPr>
        <w:t xml:space="preserve">.  </w:t>
      </w:r>
      <w:r w:rsidR="00574B2F">
        <w:rPr>
          <w:rFonts w:ascii="Book Antiqua" w:hAnsi="Book Antiqua"/>
          <w:sz w:val="26"/>
          <w:szCs w:val="26"/>
        </w:rPr>
        <w:t>Therefore, we</w:t>
      </w:r>
      <w:r w:rsidR="00526477">
        <w:rPr>
          <w:rFonts w:ascii="Book Antiqua" w:hAnsi="Book Antiqua"/>
          <w:sz w:val="26"/>
          <w:szCs w:val="26"/>
        </w:rPr>
        <w:t xml:space="preserve"> set forth in Ordering Paragraph 4 the additional condition of </w:t>
      </w:r>
      <w:r w:rsidR="002C179F">
        <w:rPr>
          <w:rFonts w:ascii="Book Antiqua" w:hAnsi="Book Antiqua"/>
          <w:sz w:val="26"/>
          <w:szCs w:val="26"/>
        </w:rPr>
        <w:t>the development of a</w:t>
      </w:r>
      <w:r w:rsidR="003F65F9">
        <w:rPr>
          <w:rFonts w:ascii="Book Antiqua" w:hAnsi="Book Antiqua"/>
          <w:sz w:val="26"/>
          <w:szCs w:val="26"/>
        </w:rPr>
        <w:t>n</w:t>
      </w:r>
      <w:r w:rsidR="002C179F">
        <w:rPr>
          <w:rFonts w:ascii="Book Antiqua" w:hAnsi="Book Antiqua"/>
          <w:sz w:val="26"/>
          <w:szCs w:val="26"/>
        </w:rPr>
        <w:t xml:space="preserve"> </w:t>
      </w:r>
      <w:r w:rsidR="003F65F9">
        <w:rPr>
          <w:rFonts w:ascii="Book Antiqua" w:hAnsi="Book Antiqua"/>
          <w:sz w:val="26"/>
          <w:szCs w:val="26"/>
        </w:rPr>
        <w:t>enforcement</w:t>
      </w:r>
      <w:r w:rsidR="002C179F">
        <w:rPr>
          <w:rFonts w:ascii="Book Antiqua" w:hAnsi="Book Antiqua"/>
          <w:sz w:val="26"/>
          <w:szCs w:val="26"/>
        </w:rPr>
        <w:t xml:space="preserve"> program to enforce</w:t>
      </w:r>
      <w:r w:rsidR="0072346F">
        <w:rPr>
          <w:rFonts w:ascii="Book Antiqua" w:hAnsi="Book Antiqua"/>
          <w:sz w:val="26"/>
          <w:szCs w:val="26"/>
        </w:rPr>
        <w:t xml:space="preserve"> Frontier’s compliance with</w:t>
      </w:r>
      <w:r w:rsidR="002C179F">
        <w:rPr>
          <w:rFonts w:ascii="Book Antiqua" w:hAnsi="Book Antiqua"/>
          <w:sz w:val="26"/>
          <w:szCs w:val="26"/>
        </w:rPr>
        <w:t xml:space="preserve"> </w:t>
      </w:r>
      <w:r w:rsidR="00A9645B">
        <w:rPr>
          <w:rFonts w:ascii="Book Antiqua" w:hAnsi="Book Antiqua"/>
          <w:sz w:val="26"/>
          <w:szCs w:val="26"/>
        </w:rPr>
        <w:t>this decision</w:t>
      </w:r>
      <w:r w:rsidR="00526477">
        <w:rPr>
          <w:rFonts w:ascii="Book Antiqua" w:hAnsi="Book Antiqua"/>
          <w:sz w:val="26"/>
          <w:szCs w:val="26"/>
        </w:rPr>
        <w:t>.</w:t>
      </w:r>
      <w:r w:rsidR="002B5DA6">
        <w:rPr>
          <w:rFonts w:ascii="Book Antiqua" w:hAnsi="Book Antiqua"/>
          <w:sz w:val="26"/>
          <w:szCs w:val="26"/>
        </w:rPr>
        <w:t xml:space="preserve"> </w:t>
      </w:r>
    </w:p>
    <w:p w:rsidR="002C3635" w:rsidP="00574CEF" w:rsidRDefault="002C3635" w14:paraId="64F421AE" w14:textId="5E860196">
      <w:pPr>
        <w:pStyle w:val="Heading3"/>
        <w:ind w:left="2430" w:hanging="990"/>
      </w:pPr>
      <w:bookmarkStart w:name="_Toc67556520" w:id="26"/>
      <w:r>
        <w:lastRenderedPageBreak/>
        <w:t xml:space="preserve">Safety and Health Considerations, Including </w:t>
      </w:r>
      <w:r w:rsidR="00574CEF">
        <w:br/>
      </w:r>
      <w:r>
        <w:t xml:space="preserve">Effect on 911 </w:t>
      </w:r>
      <w:proofErr w:type="gramStart"/>
      <w:r>
        <w:t>Service</w:t>
      </w:r>
      <w:bookmarkEnd w:id="26"/>
      <w:proofErr w:type="gramEnd"/>
      <w:r>
        <w:t xml:space="preserve"> </w:t>
      </w:r>
    </w:p>
    <w:p w:rsidRPr="00FB73B3" w:rsidR="00BB7816" w:rsidP="00FB73B3" w:rsidRDefault="00FB73B3" w14:paraId="5D00B8B7" w14:textId="195CDADB">
      <w:pPr>
        <w:autoSpaceDE w:val="0"/>
        <w:autoSpaceDN w:val="0"/>
        <w:adjustRightInd w:val="0"/>
        <w:rPr>
          <w:rFonts w:ascii="BookAntiqua" w:hAnsi="BookAntiqua" w:cs="BookAntiqua"/>
          <w:szCs w:val="26"/>
        </w:rPr>
      </w:pPr>
      <w:r>
        <w:rPr>
          <w:szCs w:val="26"/>
        </w:rPr>
        <w:t xml:space="preserve">Scoping Memo Issue </w:t>
      </w:r>
      <w:r w:rsidR="00792784">
        <w:rPr>
          <w:szCs w:val="26"/>
        </w:rPr>
        <w:t>9</w:t>
      </w:r>
      <w:r>
        <w:rPr>
          <w:szCs w:val="26"/>
        </w:rPr>
        <w:t xml:space="preserve"> asks whether the Restructuring raises any safety or health considerations, including any effects on 911 service. </w:t>
      </w:r>
      <w:r w:rsidR="00574CEF">
        <w:rPr>
          <w:szCs w:val="26"/>
        </w:rPr>
        <w:t xml:space="preserve"> </w:t>
      </w:r>
      <w:r w:rsidR="002106F5">
        <w:rPr>
          <w:szCs w:val="26"/>
        </w:rPr>
        <w:t xml:space="preserve">The California Office of Emergency Services </w:t>
      </w:r>
      <w:r w:rsidR="00BB7816">
        <w:rPr>
          <w:szCs w:val="26"/>
        </w:rPr>
        <w:t>(</w:t>
      </w:r>
      <w:proofErr w:type="spellStart"/>
      <w:r w:rsidR="00BB7816">
        <w:rPr>
          <w:szCs w:val="26"/>
        </w:rPr>
        <w:t>CalOES</w:t>
      </w:r>
      <w:proofErr w:type="spellEnd"/>
      <w:r w:rsidR="00BB7816">
        <w:rPr>
          <w:szCs w:val="26"/>
        </w:rPr>
        <w:t xml:space="preserve">) </w:t>
      </w:r>
      <w:r w:rsidR="002106F5">
        <w:rPr>
          <w:szCs w:val="26"/>
        </w:rPr>
        <w:t xml:space="preserve">is constructing a Next Generation 911 (NG911) network in California. </w:t>
      </w:r>
      <w:r w:rsidR="00574CEF">
        <w:rPr>
          <w:szCs w:val="26"/>
        </w:rPr>
        <w:t xml:space="preserve"> </w:t>
      </w:r>
      <w:r w:rsidR="002106F5">
        <w:rPr>
          <w:szCs w:val="26"/>
        </w:rPr>
        <w:t xml:space="preserve">Frontier does not intend to be a NG911 carrier and did not bid </w:t>
      </w:r>
      <w:r w:rsidR="00BB7816">
        <w:rPr>
          <w:szCs w:val="26"/>
        </w:rPr>
        <w:t xml:space="preserve">for </w:t>
      </w:r>
      <w:proofErr w:type="spellStart"/>
      <w:r w:rsidR="00BB7816">
        <w:rPr>
          <w:szCs w:val="26"/>
        </w:rPr>
        <w:t>CalOES</w:t>
      </w:r>
      <w:proofErr w:type="spellEnd"/>
      <w:r w:rsidR="00BB7816">
        <w:rPr>
          <w:szCs w:val="26"/>
        </w:rPr>
        <w:t>’ contr</w:t>
      </w:r>
      <w:r w:rsidR="00A07FF7">
        <w:rPr>
          <w:szCs w:val="26"/>
        </w:rPr>
        <w:t>ac</w:t>
      </w:r>
      <w:r w:rsidR="00BB7816">
        <w:rPr>
          <w:szCs w:val="26"/>
        </w:rPr>
        <w:t xml:space="preserve">ts to provide NG911 service. </w:t>
      </w:r>
      <w:r w:rsidR="00574CEF">
        <w:rPr>
          <w:szCs w:val="26"/>
        </w:rPr>
        <w:t xml:space="preserve"> </w:t>
      </w:r>
      <w:r w:rsidR="00BB7816">
        <w:rPr>
          <w:szCs w:val="26"/>
        </w:rPr>
        <w:t>Frontier owns and operates selective routers in California that provide leg</w:t>
      </w:r>
      <w:r w:rsidR="00A07FF7">
        <w:rPr>
          <w:szCs w:val="26"/>
        </w:rPr>
        <w:t>ac</w:t>
      </w:r>
      <w:r w:rsidR="00BB7816">
        <w:rPr>
          <w:szCs w:val="26"/>
        </w:rPr>
        <w:t xml:space="preserve">y 911 service to Public Safety Answering Points. </w:t>
      </w:r>
      <w:r w:rsidR="00574CEF">
        <w:rPr>
          <w:szCs w:val="26"/>
        </w:rPr>
        <w:t xml:space="preserve"> </w:t>
      </w:r>
      <w:r w:rsidR="00BB7816">
        <w:rPr>
          <w:szCs w:val="26"/>
        </w:rPr>
        <w:t>Although Frontier s</w:t>
      </w:r>
      <w:r w:rsidR="005E2B70">
        <w:rPr>
          <w:szCs w:val="26"/>
        </w:rPr>
        <w:t>tates</w:t>
      </w:r>
      <w:r w:rsidR="00BB7816">
        <w:rPr>
          <w:szCs w:val="26"/>
        </w:rPr>
        <w:t xml:space="preserve"> that it will continue to provide 911 service to customers in the future, </w:t>
      </w:r>
      <w:proofErr w:type="spellStart"/>
      <w:r w:rsidR="00BB7816">
        <w:rPr>
          <w:szCs w:val="26"/>
        </w:rPr>
        <w:t>CalOES</w:t>
      </w:r>
      <w:proofErr w:type="spellEnd"/>
      <w:r w:rsidR="00BB7816">
        <w:rPr>
          <w:szCs w:val="26"/>
        </w:rPr>
        <w:t xml:space="preserve"> plans to retire the leg</w:t>
      </w:r>
      <w:r w:rsidR="00A07FF7">
        <w:rPr>
          <w:szCs w:val="26"/>
        </w:rPr>
        <w:t>ac</w:t>
      </w:r>
      <w:r w:rsidR="00BB7816">
        <w:rPr>
          <w:szCs w:val="26"/>
        </w:rPr>
        <w:t>y 911 service in 2022.</w:t>
      </w:r>
      <w:r w:rsidRPr="00BB7816" w:rsidR="00BB7816">
        <w:rPr>
          <w:rStyle w:val="FootnoteReference"/>
          <w:szCs w:val="26"/>
        </w:rPr>
        <w:t xml:space="preserve"> </w:t>
      </w:r>
      <w:r w:rsidR="00BB7816">
        <w:rPr>
          <w:rStyle w:val="FootnoteReference"/>
          <w:szCs w:val="26"/>
        </w:rPr>
        <w:footnoteReference w:id="84"/>
      </w:r>
    </w:p>
    <w:p w:rsidR="00762AC2" w:rsidP="002C3635" w:rsidRDefault="00762AC2" w14:paraId="7FC5B964" w14:textId="64187A0E">
      <w:pPr>
        <w:pStyle w:val="Default"/>
        <w:spacing w:line="360" w:lineRule="auto"/>
        <w:ind w:firstLine="720"/>
        <w:rPr>
          <w:rFonts w:ascii="Book Antiqua" w:hAnsi="Book Antiqua"/>
          <w:sz w:val="26"/>
          <w:szCs w:val="26"/>
        </w:rPr>
      </w:pPr>
      <w:r w:rsidRPr="00762AC2">
        <w:rPr>
          <w:rFonts w:ascii="Book Antiqua" w:hAnsi="Book Antiqua" w:cs="TimesNewRomanPSMT"/>
          <w:sz w:val="26"/>
          <w:szCs w:val="26"/>
        </w:rPr>
        <w:t>When the public dials 9</w:t>
      </w:r>
      <w:r w:rsidR="00131B9B">
        <w:rPr>
          <w:rFonts w:ascii="Book Antiqua" w:hAnsi="Book Antiqua" w:cs="TimesNewRomanPSMT"/>
          <w:sz w:val="26"/>
          <w:szCs w:val="26"/>
        </w:rPr>
        <w:t>11</w:t>
      </w:r>
      <w:r w:rsidRPr="00762AC2">
        <w:rPr>
          <w:rFonts w:ascii="Book Antiqua" w:hAnsi="Book Antiqua" w:cs="TimesNewRomanPSMT"/>
          <w:sz w:val="26"/>
          <w:szCs w:val="26"/>
        </w:rPr>
        <w:t>, they rely on th</w:t>
      </w:r>
      <w:r w:rsidR="00131B9B">
        <w:rPr>
          <w:rFonts w:ascii="Book Antiqua" w:hAnsi="Book Antiqua" w:cs="TimesNewRomanPSMT"/>
          <w:sz w:val="26"/>
          <w:szCs w:val="26"/>
        </w:rPr>
        <w:t>e</w:t>
      </w:r>
      <w:r w:rsidRPr="00762AC2">
        <w:rPr>
          <w:rFonts w:ascii="Book Antiqua" w:hAnsi="Book Antiqua" w:cs="TimesNewRomanPSMT"/>
          <w:sz w:val="26"/>
          <w:szCs w:val="26"/>
        </w:rPr>
        <w:t xml:space="preserve"> call going through to an emergency call center 100</w:t>
      </w:r>
      <w:r w:rsidR="00131B9B">
        <w:rPr>
          <w:rFonts w:ascii="Book Antiqua" w:hAnsi="Book Antiqua" w:cs="TimesNewRomanPSMT"/>
          <w:sz w:val="26"/>
          <w:szCs w:val="26"/>
        </w:rPr>
        <w:t xml:space="preserve"> percent</w:t>
      </w:r>
      <w:r w:rsidRPr="00762AC2">
        <w:rPr>
          <w:rFonts w:ascii="Book Antiqua" w:hAnsi="Book Antiqua" w:cs="TimesNewRomanPSMT"/>
          <w:sz w:val="26"/>
          <w:szCs w:val="26"/>
        </w:rPr>
        <w:t xml:space="preserve"> of the time</w:t>
      </w:r>
      <w:r w:rsidR="00F4119E">
        <w:rPr>
          <w:rFonts w:ascii="Book Antiqua" w:hAnsi="Book Antiqua" w:cs="TimesNewRomanPSMT"/>
          <w:sz w:val="26"/>
          <w:szCs w:val="26"/>
        </w:rPr>
        <w:t xml:space="preserve">.  </w:t>
      </w:r>
      <w:r w:rsidRPr="00762AC2">
        <w:rPr>
          <w:rFonts w:ascii="Book Antiqua" w:hAnsi="Book Antiqua" w:cs="TimesNewRomanPSMT"/>
          <w:sz w:val="26"/>
          <w:szCs w:val="26"/>
        </w:rPr>
        <w:t xml:space="preserve">Reliable </w:t>
      </w:r>
      <w:r w:rsidR="00A07FF7">
        <w:rPr>
          <w:rFonts w:ascii="Book Antiqua" w:hAnsi="Book Antiqua" w:cs="TimesNewRomanPSMT"/>
          <w:sz w:val="26"/>
          <w:szCs w:val="26"/>
        </w:rPr>
        <w:t>ac</w:t>
      </w:r>
      <w:r w:rsidRPr="00762AC2">
        <w:rPr>
          <w:rFonts w:ascii="Book Antiqua" w:hAnsi="Book Antiqua" w:cs="TimesNewRomanPSMT"/>
          <w:sz w:val="26"/>
          <w:szCs w:val="26"/>
        </w:rPr>
        <w:t xml:space="preserve">cess to </w:t>
      </w:r>
      <w:r w:rsidR="00131B9B">
        <w:rPr>
          <w:rFonts w:ascii="Book Antiqua" w:hAnsi="Book Antiqua" w:cs="TimesNewRomanPSMT"/>
          <w:sz w:val="26"/>
          <w:szCs w:val="26"/>
        </w:rPr>
        <w:t>911</w:t>
      </w:r>
      <w:r w:rsidRPr="00762AC2">
        <w:rPr>
          <w:rFonts w:ascii="Book Antiqua" w:hAnsi="Book Antiqua" w:cs="TimesNewRomanPSMT"/>
          <w:sz w:val="26"/>
          <w:szCs w:val="26"/>
        </w:rPr>
        <w:t xml:space="preserve"> services is a critical aspect of public safety. </w:t>
      </w:r>
      <w:r w:rsidR="00574CEF">
        <w:rPr>
          <w:rFonts w:ascii="Book Antiqua" w:hAnsi="Book Antiqua" w:cs="TimesNewRomanPSMT"/>
          <w:sz w:val="26"/>
          <w:szCs w:val="26"/>
        </w:rPr>
        <w:t xml:space="preserve"> </w:t>
      </w:r>
      <w:r w:rsidRPr="00762AC2">
        <w:rPr>
          <w:rFonts w:ascii="Book Antiqua" w:hAnsi="Book Antiqua" w:cs="TimesNewRomanPSMT"/>
          <w:sz w:val="26"/>
          <w:szCs w:val="26"/>
        </w:rPr>
        <w:t>Two elements of a reliable 9</w:t>
      </w:r>
      <w:r w:rsidR="00131B9B">
        <w:rPr>
          <w:rFonts w:ascii="Book Antiqua" w:hAnsi="Book Antiqua" w:cs="TimesNewRomanPSMT"/>
          <w:sz w:val="26"/>
          <w:szCs w:val="26"/>
        </w:rPr>
        <w:t>11</w:t>
      </w:r>
      <w:r w:rsidRPr="00762AC2">
        <w:rPr>
          <w:rFonts w:ascii="Book Antiqua" w:hAnsi="Book Antiqua" w:cs="TimesNewRomanPSMT"/>
          <w:sz w:val="26"/>
          <w:szCs w:val="26"/>
        </w:rPr>
        <w:t xml:space="preserve"> network are redundancy and route</w:t>
      </w:r>
      <w:r w:rsidR="00131B9B">
        <w:rPr>
          <w:rFonts w:ascii="Book Antiqua" w:hAnsi="Book Antiqua" w:cs="TimesNewRomanPSMT"/>
          <w:sz w:val="26"/>
          <w:szCs w:val="26"/>
        </w:rPr>
        <w:t xml:space="preserve"> </w:t>
      </w:r>
      <w:r w:rsidRPr="00762AC2">
        <w:rPr>
          <w:rFonts w:ascii="Book Antiqua" w:hAnsi="Book Antiqua" w:cs="TimesNewRomanPSMT"/>
          <w:sz w:val="26"/>
          <w:szCs w:val="26"/>
        </w:rPr>
        <w:t xml:space="preserve">diversity. </w:t>
      </w:r>
      <w:r w:rsidR="00574CEF">
        <w:rPr>
          <w:rFonts w:ascii="Book Antiqua" w:hAnsi="Book Antiqua" w:cs="TimesNewRomanPSMT"/>
          <w:sz w:val="26"/>
          <w:szCs w:val="26"/>
        </w:rPr>
        <w:t xml:space="preserve"> </w:t>
      </w:r>
      <w:r w:rsidRPr="00762AC2">
        <w:rPr>
          <w:rFonts w:ascii="Book Antiqua" w:hAnsi="Book Antiqua" w:cs="TimesNewRomanPSMT"/>
          <w:sz w:val="26"/>
          <w:szCs w:val="26"/>
        </w:rPr>
        <w:t>Redundant networks have extra components such as additional switching equipment, cable strands, and microwave radios that can carry traffic in the event the primary components fail.</w:t>
      </w:r>
      <w:r w:rsidR="00574CEF">
        <w:rPr>
          <w:rFonts w:ascii="Book Antiqua" w:hAnsi="Book Antiqua" w:cs="TimesNewRomanPSMT"/>
          <w:sz w:val="26"/>
          <w:szCs w:val="26"/>
        </w:rPr>
        <w:t xml:space="preserve">  </w:t>
      </w:r>
      <w:r w:rsidRPr="00762AC2">
        <w:rPr>
          <w:rFonts w:ascii="Book Antiqua" w:hAnsi="Book Antiqua" w:cs="TimesNewRomanPSMT"/>
          <w:sz w:val="26"/>
          <w:szCs w:val="26"/>
        </w:rPr>
        <w:t>Route</w:t>
      </w:r>
      <w:r w:rsidR="00131B9B">
        <w:rPr>
          <w:rFonts w:ascii="Book Antiqua" w:hAnsi="Book Antiqua" w:cs="TimesNewRomanPSMT"/>
          <w:sz w:val="26"/>
          <w:szCs w:val="26"/>
        </w:rPr>
        <w:t xml:space="preserve"> </w:t>
      </w:r>
      <w:r w:rsidRPr="00762AC2">
        <w:rPr>
          <w:rFonts w:ascii="Book Antiqua" w:hAnsi="Book Antiqua" w:cs="TimesNewRomanPSMT"/>
          <w:sz w:val="26"/>
          <w:szCs w:val="26"/>
        </w:rPr>
        <w:t xml:space="preserve">diverse networks are configured </w:t>
      </w:r>
      <w:r w:rsidR="00131B9B">
        <w:rPr>
          <w:rFonts w:ascii="Book Antiqua" w:hAnsi="Book Antiqua" w:cs="TimesNewRomanPSMT"/>
          <w:sz w:val="26"/>
          <w:szCs w:val="26"/>
        </w:rPr>
        <w:t>with</w:t>
      </w:r>
      <w:r w:rsidRPr="00762AC2">
        <w:rPr>
          <w:rFonts w:ascii="Book Antiqua" w:hAnsi="Book Antiqua" w:cs="TimesNewRomanPSMT"/>
          <w:sz w:val="26"/>
          <w:szCs w:val="26"/>
        </w:rPr>
        <w:t xml:space="preserve"> redundant network equipment in different physical locations so that a cable cut, fire, or other destructive event does not disable all redundant network components at once.</w:t>
      </w:r>
      <w:r>
        <w:rPr>
          <w:rFonts w:ascii="Book Antiqua" w:hAnsi="Book Antiqua" w:cs="TimesNewRomanPSMT"/>
          <w:sz w:val="26"/>
          <w:szCs w:val="26"/>
        </w:rPr>
        <w:t xml:space="preserve"> </w:t>
      </w:r>
      <w:r w:rsidR="00574CEF">
        <w:rPr>
          <w:rFonts w:ascii="Book Antiqua" w:hAnsi="Book Antiqua" w:cs="TimesNewRomanPSMT"/>
          <w:sz w:val="26"/>
          <w:szCs w:val="26"/>
        </w:rPr>
        <w:t xml:space="preserve"> </w:t>
      </w:r>
      <w:r w:rsidRPr="00762AC2">
        <w:rPr>
          <w:rFonts w:ascii="Book Antiqua" w:hAnsi="Book Antiqua" w:cs="TimesNewRomanPSMT"/>
          <w:sz w:val="26"/>
          <w:szCs w:val="26"/>
        </w:rPr>
        <w:t>Reliable telecommunications services are important for people trying to communicate with emergency responders and for emergency responders trying to communicate with customers and e</w:t>
      </w:r>
      <w:r w:rsidR="00A07FF7">
        <w:rPr>
          <w:rFonts w:ascii="Book Antiqua" w:hAnsi="Book Antiqua" w:cs="TimesNewRomanPSMT"/>
          <w:sz w:val="26"/>
          <w:szCs w:val="26"/>
        </w:rPr>
        <w:t>ac</w:t>
      </w:r>
      <w:r w:rsidRPr="00762AC2">
        <w:rPr>
          <w:rFonts w:ascii="Book Antiqua" w:hAnsi="Book Antiqua" w:cs="TimesNewRomanPSMT"/>
          <w:sz w:val="26"/>
          <w:szCs w:val="26"/>
        </w:rPr>
        <w:t>h other.</w:t>
      </w:r>
      <w:r>
        <w:rPr>
          <w:rStyle w:val="FootnoteReference"/>
          <w:rFonts w:ascii="Book Antiqua" w:hAnsi="Book Antiqua" w:cs="TimesNewRomanPSMT"/>
          <w:sz w:val="26"/>
          <w:szCs w:val="26"/>
        </w:rPr>
        <w:footnoteReference w:id="85"/>
      </w:r>
    </w:p>
    <w:p w:rsidR="007E6F6B" w:rsidP="007E6F6B" w:rsidRDefault="00792784" w14:paraId="59C2AA72" w14:textId="398DBF96">
      <w:pPr>
        <w:pStyle w:val="Default"/>
        <w:spacing w:line="360" w:lineRule="auto"/>
        <w:ind w:firstLine="720"/>
        <w:rPr>
          <w:rFonts w:ascii="Book Antiqua" w:hAnsi="Book Antiqua"/>
          <w:sz w:val="26"/>
          <w:szCs w:val="26"/>
        </w:rPr>
      </w:pPr>
      <w:r>
        <w:rPr>
          <w:rFonts w:ascii="Book Antiqua" w:hAnsi="Book Antiqua"/>
          <w:sz w:val="26"/>
          <w:szCs w:val="26"/>
        </w:rPr>
        <w:lastRenderedPageBreak/>
        <w:t xml:space="preserve">No intervenor presented evidence or </w:t>
      </w:r>
      <w:r w:rsidR="00976970">
        <w:rPr>
          <w:rFonts w:ascii="Book Antiqua" w:hAnsi="Book Antiqua"/>
          <w:sz w:val="26"/>
          <w:szCs w:val="26"/>
        </w:rPr>
        <w:t xml:space="preserve">made </w:t>
      </w:r>
      <w:r>
        <w:rPr>
          <w:rFonts w:ascii="Book Antiqua" w:hAnsi="Book Antiqua"/>
          <w:sz w:val="26"/>
          <w:szCs w:val="26"/>
        </w:rPr>
        <w:t xml:space="preserve">any argument that the Restructuring raises any adverse health or safety considerations that would be a basis for </w:t>
      </w:r>
      <w:r w:rsidR="00D169FE">
        <w:rPr>
          <w:rFonts w:ascii="Book Antiqua" w:hAnsi="Book Antiqua"/>
          <w:sz w:val="26"/>
          <w:szCs w:val="26"/>
        </w:rPr>
        <w:t xml:space="preserve">disapproval of the Application or the imposition of </w:t>
      </w:r>
      <w:proofErr w:type="gramStart"/>
      <w:r w:rsidR="00D169FE">
        <w:rPr>
          <w:rFonts w:ascii="Book Antiqua" w:hAnsi="Book Antiqua"/>
          <w:sz w:val="26"/>
          <w:szCs w:val="26"/>
        </w:rPr>
        <w:t>particular conditions</w:t>
      </w:r>
      <w:proofErr w:type="gramEnd"/>
      <w:r w:rsidR="00D169FE">
        <w:rPr>
          <w:rFonts w:ascii="Book Antiqua" w:hAnsi="Book Antiqua"/>
          <w:sz w:val="26"/>
          <w:szCs w:val="26"/>
        </w:rPr>
        <w:t xml:space="preserve">. </w:t>
      </w:r>
      <w:r w:rsidR="00574CEF">
        <w:rPr>
          <w:rFonts w:ascii="Book Antiqua" w:hAnsi="Book Antiqua"/>
          <w:sz w:val="26"/>
          <w:szCs w:val="26"/>
        </w:rPr>
        <w:t xml:space="preserve"> </w:t>
      </w:r>
      <w:r>
        <w:rPr>
          <w:rFonts w:ascii="Book Antiqua" w:hAnsi="Book Antiqua"/>
          <w:sz w:val="26"/>
          <w:szCs w:val="26"/>
        </w:rPr>
        <w:t xml:space="preserve">Given Frontier’s statement that </w:t>
      </w:r>
      <w:r w:rsidR="00A2017E">
        <w:rPr>
          <w:rFonts w:ascii="Book Antiqua" w:hAnsi="Book Antiqua"/>
          <w:sz w:val="26"/>
          <w:szCs w:val="26"/>
        </w:rPr>
        <w:t>it</w:t>
      </w:r>
      <w:r>
        <w:rPr>
          <w:rFonts w:ascii="Book Antiqua" w:hAnsi="Book Antiqua"/>
          <w:sz w:val="26"/>
          <w:szCs w:val="26"/>
        </w:rPr>
        <w:t xml:space="preserve"> intend</w:t>
      </w:r>
      <w:r w:rsidR="00A2017E">
        <w:rPr>
          <w:rFonts w:ascii="Book Antiqua" w:hAnsi="Book Antiqua"/>
          <w:sz w:val="26"/>
          <w:szCs w:val="26"/>
        </w:rPr>
        <w:t>s</w:t>
      </w:r>
      <w:r>
        <w:rPr>
          <w:rFonts w:ascii="Book Antiqua" w:hAnsi="Book Antiqua"/>
          <w:sz w:val="26"/>
          <w:szCs w:val="26"/>
        </w:rPr>
        <w:t xml:space="preserve"> to provide the same 911 service post-Restructuring, we do not find that the Restructuring presents any </w:t>
      </w:r>
      <w:r w:rsidR="00D169FE">
        <w:rPr>
          <w:rFonts w:ascii="Book Antiqua" w:hAnsi="Book Antiqua"/>
          <w:sz w:val="26"/>
          <w:szCs w:val="26"/>
        </w:rPr>
        <w:t xml:space="preserve">health or </w:t>
      </w:r>
      <w:r>
        <w:rPr>
          <w:rFonts w:ascii="Book Antiqua" w:hAnsi="Book Antiqua"/>
          <w:sz w:val="26"/>
          <w:szCs w:val="26"/>
        </w:rPr>
        <w:t>safety considerations</w:t>
      </w:r>
      <w:r w:rsidR="00D169FE">
        <w:rPr>
          <w:rFonts w:ascii="Book Antiqua" w:hAnsi="Book Antiqua"/>
          <w:sz w:val="26"/>
          <w:szCs w:val="26"/>
        </w:rPr>
        <w:t xml:space="preserve"> that merit Commission </w:t>
      </w:r>
      <w:r w:rsidR="00A07FF7">
        <w:rPr>
          <w:rFonts w:ascii="Book Antiqua" w:hAnsi="Book Antiqua"/>
          <w:sz w:val="26"/>
          <w:szCs w:val="26"/>
        </w:rPr>
        <w:t>ac</w:t>
      </w:r>
      <w:r w:rsidR="00D169FE">
        <w:rPr>
          <w:rFonts w:ascii="Book Antiqua" w:hAnsi="Book Antiqua"/>
          <w:sz w:val="26"/>
          <w:szCs w:val="26"/>
        </w:rPr>
        <w:t>tion in this decision.</w:t>
      </w:r>
    </w:p>
    <w:p w:rsidR="007E6F6B" w:rsidP="00574CEF" w:rsidRDefault="00AC196C" w14:paraId="1C11CEB4" w14:textId="0D7F12BE">
      <w:pPr>
        <w:pStyle w:val="Heading3"/>
        <w:ind w:left="2520" w:hanging="1080"/>
      </w:pPr>
      <w:bookmarkStart w:name="_Toc67556521" w:id="27"/>
      <w:r>
        <w:t xml:space="preserve">Benefits to Tribal Communities </w:t>
      </w:r>
      <w:r w:rsidR="00574CEF">
        <w:br/>
      </w:r>
      <w:r>
        <w:t xml:space="preserve">Served by </w:t>
      </w:r>
      <w:proofErr w:type="gramStart"/>
      <w:r w:rsidR="0077568B">
        <w:t>Frontier</w:t>
      </w:r>
      <w:bookmarkEnd w:id="27"/>
      <w:proofErr w:type="gramEnd"/>
      <w:r w:rsidR="007E6F6B">
        <w:t xml:space="preserve">  </w:t>
      </w:r>
    </w:p>
    <w:p w:rsidR="00FC259C" w:rsidP="00A154C6" w:rsidRDefault="00D169FE" w14:paraId="7DDFB8FD" w14:textId="1D492BF9">
      <w:pPr>
        <w:pStyle w:val="Default"/>
        <w:spacing w:line="360" w:lineRule="auto"/>
        <w:ind w:firstLine="720"/>
        <w:rPr>
          <w:rFonts w:ascii="Book Antiqua" w:hAnsi="Book Antiqua"/>
          <w:sz w:val="26"/>
          <w:szCs w:val="26"/>
        </w:rPr>
      </w:pPr>
      <w:r>
        <w:rPr>
          <w:rFonts w:ascii="Book Antiqua" w:hAnsi="Book Antiqua"/>
          <w:sz w:val="26"/>
          <w:szCs w:val="26"/>
        </w:rPr>
        <w:t>Scoping Memo Issue 10 asks whether the Restructuring provides economic and noneconomic benefits to the tribal communities in the area served by Frontier.</w:t>
      </w:r>
      <w:r w:rsidR="009E1C44">
        <w:rPr>
          <w:rFonts w:ascii="Book Antiqua" w:hAnsi="Book Antiqua"/>
          <w:sz w:val="26"/>
          <w:szCs w:val="26"/>
        </w:rPr>
        <w:t xml:space="preserve"> </w:t>
      </w:r>
      <w:r w:rsidR="00574CEF">
        <w:rPr>
          <w:rFonts w:ascii="Book Antiqua" w:hAnsi="Book Antiqua"/>
          <w:sz w:val="26"/>
          <w:szCs w:val="26"/>
        </w:rPr>
        <w:t xml:space="preserve"> </w:t>
      </w:r>
      <w:r w:rsidR="000963E0">
        <w:rPr>
          <w:rFonts w:ascii="Book Antiqua" w:hAnsi="Book Antiqua"/>
          <w:sz w:val="26"/>
          <w:szCs w:val="26"/>
        </w:rPr>
        <w:t>Frontier estimates that there are about 55,000 people in 24,000 households on tribal lands in Frontier’s California service territory.</w:t>
      </w:r>
      <w:r w:rsidR="000963E0">
        <w:rPr>
          <w:rStyle w:val="FootnoteReference"/>
          <w:rFonts w:ascii="Book Antiqua" w:hAnsi="Book Antiqua"/>
          <w:sz w:val="26"/>
          <w:szCs w:val="26"/>
        </w:rPr>
        <w:footnoteReference w:id="86"/>
      </w:r>
      <w:r w:rsidR="000963E0">
        <w:rPr>
          <w:rFonts w:ascii="Book Antiqua" w:hAnsi="Book Antiqua"/>
          <w:sz w:val="26"/>
          <w:szCs w:val="26"/>
        </w:rPr>
        <w:t xml:space="preserve"> </w:t>
      </w:r>
      <w:r w:rsidR="00574CEF">
        <w:rPr>
          <w:rFonts w:ascii="Book Antiqua" w:hAnsi="Book Antiqua"/>
          <w:sz w:val="26"/>
          <w:szCs w:val="26"/>
        </w:rPr>
        <w:t xml:space="preserve"> </w:t>
      </w:r>
      <w:r w:rsidR="009C3551">
        <w:rPr>
          <w:rFonts w:ascii="Book Antiqua" w:hAnsi="Book Antiqua"/>
          <w:sz w:val="26"/>
          <w:szCs w:val="26"/>
        </w:rPr>
        <w:t>According to the Yurok Tribe, a</w:t>
      </w:r>
      <w:r w:rsidR="000F0395">
        <w:rPr>
          <w:rFonts w:ascii="Book Antiqua" w:hAnsi="Book Antiqua"/>
          <w:sz w:val="26"/>
          <w:szCs w:val="26"/>
        </w:rPr>
        <w:t xml:space="preserve">t least 43 federally recognized tribes are within Frontier’s California service area, including the entire Yurok </w:t>
      </w:r>
      <w:r w:rsidR="00BD49BA">
        <w:rPr>
          <w:rFonts w:ascii="Book Antiqua" w:hAnsi="Book Antiqua"/>
          <w:sz w:val="26"/>
          <w:szCs w:val="26"/>
        </w:rPr>
        <w:t xml:space="preserve">Tribe </w:t>
      </w:r>
      <w:r w:rsidR="000F0395">
        <w:rPr>
          <w:rFonts w:ascii="Book Antiqua" w:hAnsi="Book Antiqua"/>
          <w:sz w:val="26"/>
          <w:szCs w:val="26"/>
        </w:rPr>
        <w:t xml:space="preserve">Reservation and the Yurok village of </w:t>
      </w:r>
      <w:proofErr w:type="spellStart"/>
      <w:r w:rsidR="000F0395">
        <w:rPr>
          <w:rFonts w:ascii="Book Antiqua" w:hAnsi="Book Antiqua"/>
          <w:sz w:val="26"/>
          <w:szCs w:val="26"/>
        </w:rPr>
        <w:t>Orick</w:t>
      </w:r>
      <w:proofErr w:type="spellEnd"/>
      <w:r w:rsidR="000F0395">
        <w:rPr>
          <w:rFonts w:ascii="Book Antiqua" w:hAnsi="Book Antiqua"/>
          <w:sz w:val="26"/>
          <w:szCs w:val="26"/>
        </w:rPr>
        <w:t>.</w:t>
      </w:r>
      <w:r w:rsidR="00BD49BA">
        <w:rPr>
          <w:rStyle w:val="FootnoteReference"/>
          <w:rFonts w:ascii="Book Antiqua" w:hAnsi="Book Antiqua"/>
          <w:sz w:val="26"/>
          <w:szCs w:val="26"/>
        </w:rPr>
        <w:footnoteReference w:id="87"/>
      </w:r>
      <w:r w:rsidR="000F0395">
        <w:rPr>
          <w:rFonts w:ascii="Book Antiqua" w:hAnsi="Book Antiqua"/>
          <w:sz w:val="26"/>
          <w:szCs w:val="26"/>
        </w:rPr>
        <w:t xml:space="preserve"> </w:t>
      </w:r>
      <w:r w:rsidR="00574CEF">
        <w:rPr>
          <w:rFonts w:ascii="Book Antiqua" w:hAnsi="Book Antiqua"/>
          <w:sz w:val="26"/>
          <w:szCs w:val="26"/>
        </w:rPr>
        <w:t xml:space="preserve"> </w:t>
      </w:r>
      <w:r w:rsidR="00A26D79">
        <w:rPr>
          <w:rFonts w:ascii="Book Antiqua" w:hAnsi="Book Antiqua"/>
          <w:sz w:val="26"/>
          <w:szCs w:val="26"/>
        </w:rPr>
        <w:t>The Yurok Tribe Reservation is in a rural area with limited available emergency services and with many communities having limited or no cell phone service.</w:t>
      </w:r>
      <w:r w:rsidR="00D2012D">
        <w:rPr>
          <w:rStyle w:val="FootnoteReference"/>
          <w:rFonts w:ascii="Book Antiqua" w:hAnsi="Book Antiqua"/>
          <w:sz w:val="26"/>
          <w:szCs w:val="26"/>
        </w:rPr>
        <w:footnoteReference w:id="88"/>
      </w:r>
      <w:r w:rsidR="00A26D79">
        <w:rPr>
          <w:rFonts w:ascii="Book Antiqua" w:hAnsi="Book Antiqua"/>
          <w:sz w:val="26"/>
          <w:szCs w:val="26"/>
        </w:rPr>
        <w:t xml:space="preserve"> </w:t>
      </w:r>
    </w:p>
    <w:p w:rsidR="00612F8F" w:rsidP="00A154C6" w:rsidRDefault="00E116C9" w14:paraId="46ED3AB8" w14:textId="64A3CE10">
      <w:pPr>
        <w:pStyle w:val="Default"/>
        <w:spacing w:line="360" w:lineRule="auto"/>
        <w:ind w:firstLine="720"/>
        <w:rPr>
          <w:rFonts w:ascii="Book Antiqua" w:hAnsi="Book Antiqua"/>
          <w:sz w:val="26"/>
          <w:szCs w:val="26"/>
        </w:rPr>
      </w:pPr>
      <w:r>
        <w:rPr>
          <w:rFonts w:ascii="Book Antiqua" w:hAnsi="Book Antiqua"/>
          <w:sz w:val="26"/>
          <w:szCs w:val="26"/>
        </w:rPr>
        <w:t xml:space="preserve">Yurok Connect, a wireless </w:t>
      </w:r>
      <w:r w:rsidR="00087EE3">
        <w:rPr>
          <w:rFonts w:ascii="Book Antiqua" w:hAnsi="Book Antiqua"/>
          <w:sz w:val="26"/>
          <w:szCs w:val="26"/>
        </w:rPr>
        <w:t>i</w:t>
      </w:r>
      <w:r>
        <w:rPr>
          <w:rFonts w:ascii="Book Antiqua" w:hAnsi="Book Antiqua"/>
          <w:sz w:val="26"/>
          <w:szCs w:val="26"/>
        </w:rPr>
        <w:t xml:space="preserve">nternet service provider created by the Yurok Tribe, </w:t>
      </w:r>
      <w:r w:rsidR="00087EE3">
        <w:rPr>
          <w:rFonts w:ascii="Book Antiqua" w:hAnsi="Book Antiqua"/>
          <w:sz w:val="26"/>
          <w:szCs w:val="26"/>
        </w:rPr>
        <w:t xml:space="preserve">purchases bandwidth from Frontier to </w:t>
      </w:r>
      <w:r>
        <w:rPr>
          <w:rFonts w:ascii="Book Antiqua" w:hAnsi="Book Antiqua"/>
          <w:sz w:val="26"/>
          <w:szCs w:val="26"/>
        </w:rPr>
        <w:t xml:space="preserve">provide </w:t>
      </w:r>
      <w:r w:rsidR="00087EE3">
        <w:rPr>
          <w:rFonts w:ascii="Book Antiqua" w:hAnsi="Book Antiqua"/>
          <w:sz w:val="26"/>
          <w:szCs w:val="26"/>
        </w:rPr>
        <w:t>i</w:t>
      </w:r>
      <w:r>
        <w:rPr>
          <w:rFonts w:ascii="Book Antiqua" w:hAnsi="Book Antiqua"/>
          <w:sz w:val="26"/>
          <w:szCs w:val="26"/>
        </w:rPr>
        <w:t xml:space="preserve">nternet service to Yurok </w:t>
      </w:r>
      <w:r w:rsidR="00087EE3">
        <w:rPr>
          <w:rFonts w:ascii="Book Antiqua" w:hAnsi="Book Antiqua"/>
          <w:sz w:val="26"/>
          <w:szCs w:val="26"/>
        </w:rPr>
        <w:t xml:space="preserve">Tribe </w:t>
      </w:r>
      <w:r>
        <w:rPr>
          <w:rFonts w:ascii="Book Antiqua" w:hAnsi="Book Antiqua"/>
          <w:sz w:val="26"/>
          <w:szCs w:val="26"/>
        </w:rPr>
        <w:t>community customers, businesses, offices</w:t>
      </w:r>
      <w:r w:rsidR="00087EE3">
        <w:rPr>
          <w:rFonts w:ascii="Book Antiqua" w:hAnsi="Book Antiqua"/>
          <w:sz w:val="26"/>
          <w:szCs w:val="26"/>
        </w:rPr>
        <w:t>, and employees through a virtual private network</w:t>
      </w:r>
      <w:r>
        <w:rPr>
          <w:rFonts w:ascii="Book Antiqua" w:hAnsi="Book Antiqua"/>
          <w:sz w:val="26"/>
          <w:szCs w:val="26"/>
        </w:rPr>
        <w:t>.</w:t>
      </w:r>
      <w:r w:rsidR="00574CEF">
        <w:rPr>
          <w:rFonts w:ascii="Book Antiqua" w:hAnsi="Book Antiqua"/>
          <w:sz w:val="26"/>
          <w:szCs w:val="26"/>
        </w:rPr>
        <w:t xml:space="preserve"> </w:t>
      </w:r>
      <w:r>
        <w:rPr>
          <w:rFonts w:ascii="Book Antiqua" w:hAnsi="Book Antiqua"/>
          <w:sz w:val="26"/>
          <w:szCs w:val="26"/>
        </w:rPr>
        <w:t xml:space="preserve"> </w:t>
      </w:r>
      <w:r w:rsidR="00087EE3">
        <w:rPr>
          <w:rFonts w:ascii="Book Antiqua" w:hAnsi="Book Antiqua"/>
          <w:sz w:val="26"/>
          <w:szCs w:val="26"/>
        </w:rPr>
        <w:t xml:space="preserve">Yurok Connect customers have been without internet services from Frontier outages that </w:t>
      </w:r>
      <w:r w:rsidR="00C11C35">
        <w:rPr>
          <w:rFonts w:ascii="Book Antiqua" w:hAnsi="Book Antiqua"/>
          <w:sz w:val="26"/>
          <w:szCs w:val="26"/>
        </w:rPr>
        <w:t>on occasion have lasted</w:t>
      </w:r>
      <w:r w:rsidR="00087EE3">
        <w:rPr>
          <w:rFonts w:ascii="Book Antiqua" w:hAnsi="Book Antiqua"/>
          <w:sz w:val="26"/>
          <w:szCs w:val="26"/>
        </w:rPr>
        <w:t xml:space="preserve"> for long periods of time. </w:t>
      </w:r>
      <w:r w:rsidR="00574CEF">
        <w:rPr>
          <w:rFonts w:ascii="Book Antiqua" w:hAnsi="Book Antiqua"/>
          <w:sz w:val="26"/>
          <w:szCs w:val="26"/>
        </w:rPr>
        <w:t xml:space="preserve"> </w:t>
      </w:r>
      <w:r w:rsidR="00363FFF">
        <w:rPr>
          <w:rFonts w:ascii="Book Antiqua" w:hAnsi="Book Antiqua"/>
          <w:sz w:val="26"/>
          <w:szCs w:val="26"/>
        </w:rPr>
        <w:t xml:space="preserve">A service disruption for three days in December 2020 impacted the Yurok Tribal </w:t>
      </w:r>
      <w:r w:rsidR="00363FFF">
        <w:rPr>
          <w:rFonts w:ascii="Book Antiqua" w:hAnsi="Book Antiqua"/>
          <w:sz w:val="26"/>
          <w:szCs w:val="26"/>
        </w:rPr>
        <w:lastRenderedPageBreak/>
        <w:t>government’s ability to perform its regular functions, the community’s access to the internet for employment and school purposes, and access to police, fire, and health care services.</w:t>
      </w:r>
      <w:r w:rsidR="00612F8F">
        <w:rPr>
          <w:rStyle w:val="FootnoteReference"/>
          <w:rFonts w:ascii="Book Antiqua" w:hAnsi="Book Antiqua"/>
          <w:sz w:val="26"/>
          <w:szCs w:val="26"/>
        </w:rPr>
        <w:footnoteReference w:id="89"/>
      </w:r>
      <w:r w:rsidR="00363FFF">
        <w:rPr>
          <w:rFonts w:ascii="Book Antiqua" w:hAnsi="Book Antiqua"/>
          <w:sz w:val="26"/>
          <w:szCs w:val="26"/>
        </w:rPr>
        <w:t xml:space="preserve"> </w:t>
      </w:r>
    </w:p>
    <w:p w:rsidR="00340C7B" w:rsidP="00FC259C" w:rsidRDefault="00593236" w14:paraId="0ED1DEB0" w14:textId="7A5E7CEE">
      <w:pPr>
        <w:pStyle w:val="Default"/>
        <w:spacing w:line="360" w:lineRule="auto"/>
        <w:ind w:firstLine="720"/>
        <w:rPr>
          <w:rFonts w:ascii="Book Antiqua" w:hAnsi="Book Antiqua"/>
          <w:sz w:val="26"/>
          <w:szCs w:val="26"/>
        </w:rPr>
      </w:pPr>
      <w:r>
        <w:rPr>
          <w:rFonts w:ascii="Book Antiqua" w:hAnsi="Book Antiqua"/>
          <w:sz w:val="26"/>
          <w:szCs w:val="26"/>
        </w:rPr>
        <w:t>The</w:t>
      </w:r>
      <w:r w:rsidR="00FC259C">
        <w:rPr>
          <w:rFonts w:ascii="Book Antiqua" w:hAnsi="Book Antiqua"/>
          <w:sz w:val="26"/>
          <w:szCs w:val="26"/>
        </w:rPr>
        <w:t>re is</w:t>
      </w:r>
      <w:r>
        <w:rPr>
          <w:rFonts w:ascii="Book Antiqua" w:hAnsi="Book Antiqua"/>
          <w:sz w:val="26"/>
          <w:szCs w:val="26"/>
        </w:rPr>
        <w:t xml:space="preserve"> an ongoing and significant disparity in bandwidth between tribal communities and Frontier’s other customers. </w:t>
      </w:r>
      <w:r w:rsidR="00574CEF">
        <w:rPr>
          <w:rFonts w:ascii="Book Antiqua" w:hAnsi="Book Antiqua"/>
          <w:sz w:val="26"/>
          <w:szCs w:val="26"/>
        </w:rPr>
        <w:t xml:space="preserve"> </w:t>
      </w:r>
      <w:r w:rsidR="00FC259C">
        <w:rPr>
          <w:rFonts w:ascii="Book Antiqua" w:hAnsi="Book Antiqua"/>
          <w:sz w:val="26"/>
          <w:szCs w:val="26"/>
        </w:rPr>
        <w:t>I</w:t>
      </w:r>
      <w:r>
        <w:rPr>
          <w:rFonts w:ascii="Book Antiqua" w:hAnsi="Book Antiqua"/>
          <w:sz w:val="26"/>
          <w:szCs w:val="26"/>
        </w:rPr>
        <w:t xml:space="preserve">n </w:t>
      </w:r>
      <w:r w:rsidR="00686E38">
        <w:rPr>
          <w:rFonts w:ascii="Book Antiqua" w:hAnsi="Book Antiqua"/>
          <w:sz w:val="26"/>
          <w:szCs w:val="26"/>
        </w:rPr>
        <w:t>2019, average broadband download speeds in tribal areas were slower than in non-tribal areas by 3.5</w:t>
      </w:r>
      <w:r w:rsidR="00574CEF">
        <w:rPr>
          <w:rFonts w:ascii="Book Antiqua" w:hAnsi="Book Antiqua"/>
          <w:sz w:val="26"/>
          <w:szCs w:val="26"/>
        </w:rPr>
        <w:t> </w:t>
      </w:r>
      <w:r w:rsidR="00686E38">
        <w:rPr>
          <w:rFonts w:ascii="Book Antiqua" w:hAnsi="Book Antiqua"/>
          <w:sz w:val="26"/>
          <w:szCs w:val="26"/>
        </w:rPr>
        <w:t>Mbps.</w:t>
      </w:r>
      <w:r w:rsidR="00686E38">
        <w:rPr>
          <w:rStyle w:val="FootnoteReference"/>
          <w:rFonts w:ascii="Book Antiqua" w:hAnsi="Book Antiqua"/>
          <w:sz w:val="26"/>
          <w:szCs w:val="26"/>
        </w:rPr>
        <w:footnoteReference w:id="90"/>
      </w:r>
      <w:r w:rsidR="00FC259C">
        <w:rPr>
          <w:rFonts w:ascii="Book Antiqua" w:hAnsi="Book Antiqua"/>
          <w:sz w:val="26"/>
          <w:szCs w:val="26"/>
        </w:rPr>
        <w:t xml:space="preserve"> </w:t>
      </w:r>
      <w:r w:rsidR="00574CEF">
        <w:rPr>
          <w:rFonts w:ascii="Book Antiqua" w:hAnsi="Book Antiqua"/>
          <w:sz w:val="26"/>
          <w:szCs w:val="26"/>
        </w:rPr>
        <w:t xml:space="preserve"> </w:t>
      </w:r>
      <w:r w:rsidR="0018066C">
        <w:rPr>
          <w:rFonts w:ascii="Book Antiqua" w:hAnsi="Book Antiqua"/>
          <w:sz w:val="26"/>
          <w:szCs w:val="26"/>
        </w:rPr>
        <w:t>According to Cal Advocates, Frontier has fallen behind its previous broadband deployment commitments in tribal areas.</w:t>
      </w:r>
      <w:r w:rsidR="0018066C">
        <w:rPr>
          <w:rStyle w:val="FootnoteReference"/>
          <w:rFonts w:ascii="Book Antiqua" w:hAnsi="Book Antiqua"/>
          <w:sz w:val="26"/>
          <w:szCs w:val="26"/>
        </w:rPr>
        <w:footnoteReference w:id="91"/>
      </w:r>
      <w:r w:rsidR="001A7393">
        <w:rPr>
          <w:rFonts w:ascii="Book Antiqua" w:hAnsi="Book Antiqua"/>
          <w:sz w:val="26"/>
          <w:szCs w:val="26"/>
        </w:rPr>
        <w:t xml:space="preserve"> </w:t>
      </w:r>
      <w:r w:rsidR="00574CEF">
        <w:rPr>
          <w:rFonts w:ascii="Book Antiqua" w:hAnsi="Book Antiqua"/>
          <w:sz w:val="26"/>
          <w:szCs w:val="26"/>
        </w:rPr>
        <w:t xml:space="preserve"> </w:t>
      </w:r>
      <w:r w:rsidR="00340C7B">
        <w:rPr>
          <w:rFonts w:ascii="Book Antiqua" w:hAnsi="Book Antiqua"/>
          <w:sz w:val="26"/>
          <w:szCs w:val="26"/>
        </w:rPr>
        <w:t xml:space="preserve">Cal Advocates would require Frontier to meet its broadband deployment obligations pursuant to the settlement in D.15-12-005, including a requirement to deploy broadband </w:t>
      </w:r>
      <w:r w:rsidR="001A7393">
        <w:rPr>
          <w:rFonts w:ascii="Book Antiqua" w:hAnsi="Book Antiqua"/>
          <w:sz w:val="26"/>
          <w:szCs w:val="26"/>
        </w:rPr>
        <w:t xml:space="preserve">at a minimum </w:t>
      </w:r>
      <w:r w:rsidR="00C11C35">
        <w:rPr>
          <w:rFonts w:ascii="Book Antiqua" w:hAnsi="Book Antiqua"/>
          <w:sz w:val="26"/>
          <w:szCs w:val="26"/>
        </w:rPr>
        <w:t xml:space="preserve">of </w:t>
      </w:r>
      <w:r w:rsidR="001A7393">
        <w:rPr>
          <w:rFonts w:ascii="Book Antiqua" w:hAnsi="Book Antiqua"/>
          <w:sz w:val="26"/>
          <w:szCs w:val="26"/>
        </w:rPr>
        <w:t xml:space="preserve">25/3 Mbps </w:t>
      </w:r>
      <w:r w:rsidR="00340C7B">
        <w:rPr>
          <w:rFonts w:ascii="Book Antiqua" w:hAnsi="Book Antiqua"/>
          <w:sz w:val="26"/>
          <w:szCs w:val="26"/>
        </w:rPr>
        <w:t>to 5,800 households in tribal areas.</w:t>
      </w:r>
      <w:r w:rsidR="00340C7B">
        <w:rPr>
          <w:rStyle w:val="FootnoteReference"/>
          <w:rFonts w:ascii="Book Antiqua" w:hAnsi="Book Antiqua"/>
          <w:sz w:val="26"/>
          <w:szCs w:val="26"/>
        </w:rPr>
        <w:footnoteReference w:id="92"/>
      </w:r>
      <w:r w:rsidR="00340C7B">
        <w:rPr>
          <w:rFonts w:ascii="Book Antiqua" w:hAnsi="Book Antiqua"/>
          <w:sz w:val="26"/>
          <w:szCs w:val="26"/>
        </w:rPr>
        <w:t xml:space="preserve"> </w:t>
      </w:r>
      <w:r w:rsidR="00574CEF">
        <w:rPr>
          <w:rFonts w:ascii="Book Antiqua" w:hAnsi="Book Antiqua"/>
          <w:sz w:val="26"/>
          <w:szCs w:val="26"/>
        </w:rPr>
        <w:t xml:space="preserve"> </w:t>
      </w:r>
      <w:r w:rsidR="00340C7B">
        <w:rPr>
          <w:rFonts w:ascii="Book Antiqua" w:hAnsi="Book Antiqua"/>
          <w:sz w:val="26"/>
          <w:szCs w:val="26"/>
        </w:rPr>
        <w:t xml:space="preserve">Cal Advocates determined the recommended number of broadband deployments to tribal areas based upon the total number of remaining broadband deployments required under the settlement in D.15-12-005 multiplied by the percentage of </w:t>
      </w:r>
      <w:r w:rsidR="001A7393">
        <w:rPr>
          <w:rFonts w:ascii="Book Antiqua" w:hAnsi="Book Antiqua"/>
          <w:sz w:val="26"/>
          <w:szCs w:val="26"/>
        </w:rPr>
        <w:t>ac</w:t>
      </w:r>
      <w:r w:rsidR="00340C7B">
        <w:rPr>
          <w:rFonts w:ascii="Book Antiqua" w:hAnsi="Book Antiqua"/>
          <w:sz w:val="26"/>
          <w:szCs w:val="26"/>
        </w:rPr>
        <w:t>tual broadband deployments made in tribal areas to date under the settlement.</w:t>
      </w:r>
      <w:r w:rsidR="00340C7B">
        <w:rPr>
          <w:rStyle w:val="FootnoteReference"/>
          <w:rFonts w:ascii="Book Antiqua" w:hAnsi="Book Antiqua"/>
          <w:sz w:val="26"/>
          <w:szCs w:val="26"/>
        </w:rPr>
        <w:footnoteReference w:id="93"/>
      </w:r>
    </w:p>
    <w:p w:rsidR="00127225" w:rsidP="00127225" w:rsidRDefault="00127225" w14:paraId="3AFFE694" w14:textId="5A257397">
      <w:pPr>
        <w:pStyle w:val="Default"/>
        <w:spacing w:line="360" w:lineRule="auto"/>
        <w:ind w:firstLine="720"/>
        <w:rPr>
          <w:rFonts w:ascii="Book Antiqua" w:hAnsi="Book Antiqua"/>
          <w:sz w:val="26"/>
          <w:szCs w:val="26"/>
        </w:rPr>
      </w:pPr>
      <w:r>
        <w:rPr>
          <w:rFonts w:ascii="Book Antiqua" w:hAnsi="Book Antiqua"/>
          <w:sz w:val="26"/>
          <w:szCs w:val="26"/>
        </w:rPr>
        <w:t xml:space="preserve">Frontier </w:t>
      </w:r>
      <w:r w:rsidR="00436BEA">
        <w:rPr>
          <w:rFonts w:ascii="Book Antiqua" w:hAnsi="Book Antiqua"/>
          <w:sz w:val="26"/>
          <w:szCs w:val="26"/>
        </w:rPr>
        <w:t>asserts that it has worked</w:t>
      </w:r>
      <w:r>
        <w:rPr>
          <w:rFonts w:ascii="Book Antiqua" w:hAnsi="Book Antiqua"/>
          <w:sz w:val="26"/>
          <w:szCs w:val="26"/>
        </w:rPr>
        <w:t xml:space="preserve"> to improve service and reliability in rural and tribal communities and references the challenge posed by high investment costs in providing broadband to low-density rural areas</w:t>
      </w:r>
      <w:r w:rsidR="00F4119E">
        <w:rPr>
          <w:rFonts w:ascii="Book Antiqua" w:hAnsi="Book Antiqua"/>
          <w:sz w:val="26"/>
          <w:szCs w:val="26"/>
        </w:rPr>
        <w:t xml:space="preserve">.  </w:t>
      </w:r>
      <w:r>
        <w:rPr>
          <w:rFonts w:ascii="Book Antiqua" w:hAnsi="Book Antiqua"/>
          <w:sz w:val="26"/>
          <w:szCs w:val="26"/>
        </w:rPr>
        <w:t xml:space="preserve">Frontier claims that Cal Advocates’ proposed requirements regarding tribal communities go beyond Frontier’s settlement agreement in the Verizon </w:t>
      </w:r>
      <w:r w:rsidR="00555C0B">
        <w:rPr>
          <w:rFonts w:ascii="Book Antiqua" w:hAnsi="Book Antiqua"/>
          <w:sz w:val="26"/>
          <w:szCs w:val="26"/>
        </w:rPr>
        <w:t>A</w:t>
      </w:r>
      <w:r w:rsidR="001A7393">
        <w:rPr>
          <w:rFonts w:ascii="Book Antiqua" w:hAnsi="Book Antiqua"/>
          <w:sz w:val="26"/>
          <w:szCs w:val="26"/>
        </w:rPr>
        <w:t>c</w:t>
      </w:r>
      <w:r>
        <w:rPr>
          <w:rFonts w:ascii="Book Antiqua" w:hAnsi="Book Antiqua"/>
          <w:sz w:val="26"/>
          <w:szCs w:val="26"/>
        </w:rPr>
        <w:t xml:space="preserve">quisition, which </w:t>
      </w:r>
      <w:r>
        <w:rPr>
          <w:rFonts w:ascii="Book Antiqua" w:hAnsi="Book Antiqua"/>
          <w:sz w:val="26"/>
          <w:szCs w:val="26"/>
        </w:rPr>
        <w:lastRenderedPageBreak/>
        <w:t>do</w:t>
      </w:r>
      <w:r w:rsidR="003F7C83">
        <w:rPr>
          <w:rFonts w:ascii="Book Antiqua" w:hAnsi="Book Antiqua"/>
          <w:sz w:val="26"/>
          <w:szCs w:val="26"/>
        </w:rPr>
        <w:t>es</w:t>
      </w:r>
      <w:r>
        <w:rPr>
          <w:rFonts w:ascii="Book Antiqua" w:hAnsi="Book Antiqua"/>
          <w:sz w:val="26"/>
          <w:szCs w:val="26"/>
        </w:rPr>
        <w:t xml:space="preserve"> not require broadband commitments to a set number of tribal households at specific speeds.</w:t>
      </w:r>
      <w:r>
        <w:rPr>
          <w:rStyle w:val="FootnoteReference"/>
          <w:rFonts w:ascii="Book Antiqua" w:hAnsi="Book Antiqua"/>
          <w:sz w:val="26"/>
          <w:szCs w:val="26"/>
        </w:rPr>
        <w:footnoteReference w:id="94"/>
      </w:r>
    </w:p>
    <w:p w:rsidR="00EA1F5B" w:rsidP="007E6F6B" w:rsidRDefault="00436BEA" w14:paraId="0CC4AECB" w14:textId="77777777">
      <w:pPr>
        <w:pStyle w:val="Default"/>
        <w:spacing w:line="360" w:lineRule="auto"/>
        <w:ind w:firstLine="720"/>
        <w:rPr>
          <w:rFonts w:ascii="Book Antiqua" w:hAnsi="Book Antiqua"/>
          <w:sz w:val="26"/>
          <w:szCs w:val="26"/>
        </w:rPr>
      </w:pPr>
      <w:r>
        <w:rPr>
          <w:rFonts w:ascii="Book Antiqua" w:hAnsi="Book Antiqua"/>
          <w:sz w:val="26"/>
          <w:szCs w:val="26"/>
        </w:rPr>
        <w:t>T</w:t>
      </w:r>
      <w:r w:rsidR="0077568B">
        <w:rPr>
          <w:rFonts w:ascii="Book Antiqua" w:hAnsi="Book Antiqua"/>
          <w:sz w:val="26"/>
          <w:szCs w:val="26"/>
        </w:rPr>
        <w:t>he Restructuring proposed by Frontier is noticeably deficient in</w:t>
      </w:r>
      <w:r w:rsidR="009E5DC6">
        <w:rPr>
          <w:rFonts w:ascii="Book Antiqua" w:hAnsi="Book Antiqua"/>
          <w:sz w:val="26"/>
          <w:szCs w:val="26"/>
        </w:rPr>
        <w:t xml:space="preserve"> providing </w:t>
      </w:r>
      <w:r w:rsidR="0077568B">
        <w:rPr>
          <w:rFonts w:ascii="Book Antiqua" w:hAnsi="Book Antiqua"/>
          <w:sz w:val="26"/>
          <w:szCs w:val="26"/>
        </w:rPr>
        <w:t>specific benefits to tribal communities</w:t>
      </w:r>
      <w:r>
        <w:rPr>
          <w:rFonts w:ascii="Book Antiqua" w:hAnsi="Book Antiqua"/>
          <w:sz w:val="26"/>
          <w:szCs w:val="26"/>
        </w:rPr>
        <w:t xml:space="preserve">. </w:t>
      </w:r>
      <w:r w:rsidR="00574CEF">
        <w:rPr>
          <w:rFonts w:ascii="Book Antiqua" w:hAnsi="Book Antiqua"/>
          <w:sz w:val="26"/>
          <w:szCs w:val="26"/>
        </w:rPr>
        <w:t xml:space="preserve"> </w:t>
      </w:r>
      <w:r>
        <w:rPr>
          <w:rFonts w:ascii="Book Antiqua" w:hAnsi="Book Antiqua"/>
          <w:sz w:val="26"/>
          <w:szCs w:val="26"/>
        </w:rPr>
        <w:t>However, the Attachment 1 Settlement Agreement</w:t>
      </w:r>
      <w:r w:rsidR="009E5DC6">
        <w:rPr>
          <w:rFonts w:ascii="Book Antiqua" w:hAnsi="Book Antiqua"/>
          <w:sz w:val="26"/>
          <w:szCs w:val="26"/>
        </w:rPr>
        <w:t xml:space="preserve"> </w:t>
      </w:r>
      <w:r w:rsidR="0099027A">
        <w:rPr>
          <w:rFonts w:ascii="Book Antiqua" w:hAnsi="Book Antiqua"/>
          <w:sz w:val="26"/>
          <w:szCs w:val="26"/>
        </w:rPr>
        <w:t>provide</w:t>
      </w:r>
      <w:r>
        <w:rPr>
          <w:rFonts w:ascii="Book Antiqua" w:hAnsi="Book Antiqua"/>
          <w:sz w:val="26"/>
          <w:szCs w:val="26"/>
        </w:rPr>
        <w:t>s</w:t>
      </w:r>
      <w:r w:rsidR="0099027A">
        <w:rPr>
          <w:rFonts w:ascii="Book Antiqua" w:hAnsi="Book Antiqua"/>
          <w:sz w:val="26"/>
          <w:szCs w:val="26"/>
        </w:rPr>
        <w:t xml:space="preserve"> </w:t>
      </w:r>
      <w:r>
        <w:rPr>
          <w:rFonts w:ascii="Book Antiqua" w:hAnsi="Book Antiqua"/>
          <w:sz w:val="26"/>
          <w:szCs w:val="26"/>
        </w:rPr>
        <w:t xml:space="preserve">for </w:t>
      </w:r>
      <w:r w:rsidR="0099027A">
        <w:rPr>
          <w:rFonts w:ascii="Book Antiqua" w:hAnsi="Book Antiqua"/>
          <w:sz w:val="26"/>
          <w:szCs w:val="26"/>
        </w:rPr>
        <w:t xml:space="preserve">a $10 per day credit for customers in tribal lands for OOS outages beyond 24 hours, </w:t>
      </w:r>
      <w:r>
        <w:rPr>
          <w:rFonts w:ascii="Book Antiqua" w:hAnsi="Book Antiqua"/>
          <w:sz w:val="26"/>
          <w:szCs w:val="26"/>
        </w:rPr>
        <w:t>the</w:t>
      </w:r>
      <w:r w:rsidR="0099027A">
        <w:rPr>
          <w:rFonts w:ascii="Book Antiqua" w:hAnsi="Book Antiqua"/>
          <w:sz w:val="26"/>
          <w:szCs w:val="26"/>
        </w:rPr>
        <w:t xml:space="preserve"> hir</w:t>
      </w:r>
      <w:r>
        <w:rPr>
          <w:rFonts w:ascii="Book Antiqua" w:hAnsi="Book Antiqua"/>
          <w:sz w:val="26"/>
          <w:szCs w:val="26"/>
        </w:rPr>
        <w:t>ing of</w:t>
      </w:r>
      <w:r w:rsidR="0099027A">
        <w:rPr>
          <w:rFonts w:ascii="Book Antiqua" w:hAnsi="Book Antiqua"/>
          <w:sz w:val="26"/>
          <w:szCs w:val="26"/>
        </w:rPr>
        <w:t xml:space="preserve"> two </w:t>
      </w:r>
      <w:r>
        <w:rPr>
          <w:rFonts w:ascii="Book Antiqua" w:hAnsi="Book Antiqua"/>
          <w:sz w:val="26"/>
          <w:szCs w:val="26"/>
        </w:rPr>
        <w:t xml:space="preserve">Frontier </w:t>
      </w:r>
      <w:r w:rsidR="0099027A">
        <w:rPr>
          <w:rFonts w:ascii="Book Antiqua" w:hAnsi="Book Antiqua"/>
          <w:sz w:val="26"/>
          <w:szCs w:val="26"/>
        </w:rPr>
        <w:t xml:space="preserve">tribal liaisons to improve customer service on tribal lands, </w:t>
      </w:r>
      <w:r>
        <w:rPr>
          <w:rFonts w:ascii="Book Antiqua" w:hAnsi="Book Antiqua"/>
          <w:sz w:val="26"/>
          <w:szCs w:val="26"/>
        </w:rPr>
        <w:t xml:space="preserve">and </w:t>
      </w:r>
      <w:r w:rsidR="0099027A">
        <w:rPr>
          <w:rFonts w:ascii="Book Antiqua" w:hAnsi="Book Antiqua"/>
          <w:sz w:val="26"/>
          <w:szCs w:val="26"/>
        </w:rPr>
        <w:t>$11.6 million in capital expenditures over four years to deploy broadband with minimum speeds of 25/2-3 Mbps to at least 4,000 locations in tribal lands</w:t>
      </w:r>
      <w:r w:rsidR="00F4119E">
        <w:rPr>
          <w:rFonts w:ascii="Book Antiqua" w:hAnsi="Book Antiqua"/>
          <w:sz w:val="26"/>
          <w:szCs w:val="26"/>
        </w:rPr>
        <w:t xml:space="preserve">.  </w:t>
      </w:r>
      <w:r w:rsidR="001E6BF0">
        <w:rPr>
          <w:rFonts w:ascii="Book Antiqua" w:hAnsi="Book Antiqua"/>
          <w:sz w:val="26"/>
          <w:szCs w:val="26"/>
        </w:rPr>
        <w:t>Under t</w:t>
      </w:r>
      <w:r>
        <w:rPr>
          <w:rFonts w:ascii="Book Antiqua" w:hAnsi="Book Antiqua"/>
          <w:sz w:val="26"/>
          <w:szCs w:val="26"/>
        </w:rPr>
        <w:t>he Attachment 2 Settlement Agreement</w:t>
      </w:r>
      <w:r w:rsidR="001E6BF0">
        <w:rPr>
          <w:rFonts w:ascii="Book Antiqua" w:hAnsi="Book Antiqua"/>
          <w:sz w:val="26"/>
          <w:szCs w:val="26"/>
        </w:rPr>
        <w:t>, Frontier will</w:t>
      </w:r>
      <w:r>
        <w:rPr>
          <w:rFonts w:ascii="Book Antiqua" w:hAnsi="Book Antiqua"/>
          <w:sz w:val="26"/>
          <w:szCs w:val="26"/>
        </w:rPr>
        <w:t xml:space="preserve"> </w:t>
      </w:r>
      <w:r w:rsidR="00F47424">
        <w:rPr>
          <w:rFonts w:ascii="Book Antiqua" w:hAnsi="Book Antiqua"/>
          <w:sz w:val="26"/>
          <w:szCs w:val="26"/>
        </w:rPr>
        <w:t xml:space="preserve">purchase at least 4,000 </w:t>
      </w:r>
      <w:proofErr w:type="spellStart"/>
      <w:r w:rsidR="00F47424">
        <w:rPr>
          <w:rFonts w:ascii="Book Antiqua" w:hAnsi="Book Antiqua"/>
          <w:sz w:val="26"/>
          <w:szCs w:val="26"/>
        </w:rPr>
        <w:t>WiFi</w:t>
      </w:r>
      <w:proofErr w:type="spellEnd"/>
      <w:r w:rsidR="00F47424">
        <w:rPr>
          <w:rFonts w:ascii="Book Antiqua" w:hAnsi="Book Antiqua"/>
          <w:sz w:val="26"/>
          <w:szCs w:val="26"/>
        </w:rPr>
        <w:t xml:space="preserve">-capable devices for distribution to tribal communities and prioritize tribal locations for </w:t>
      </w:r>
      <w:proofErr w:type="spellStart"/>
      <w:r w:rsidR="00F47424">
        <w:rPr>
          <w:rFonts w:ascii="Book Antiqua" w:hAnsi="Book Antiqua"/>
          <w:sz w:val="26"/>
          <w:szCs w:val="26"/>
        </w:rPr>
        <w:t>WiFi</w:t>
      </w:r>
      <w:proofErr w:type="spellEnd"/>
      <w:r w:rsidR="00F47424">
        <w:rPr>
          <w:rFonts w:ascii="Book Antiqua" w:hAnsi="Book Antiqua"/>
          <w:sz w:val="26"/>
          <w:szCs w:val="26"/>
        </w:rPr>
        <w:t xml:space="preserve"> hotspot deployments.</w:t>
      </w:r>
      <w:r w:rsidR="00574CEF">
        <w:rPr>
          <w:rFonts w:ascii="Book Antiqua" w:hAnsi="Book Antiqua"/>
          <w:sz w:val="26"/>
          <w:szCs w:val="26"/>
        </w:rPr>
        <w:t xml:space="preserve"> </w:t>
      </w:r>
      <w:r w:rsidR="00F47424">
        <w:rPr>
          <w:rFonts w:ascii="Book Antiqua" w:hAnsi="Book Antiqua"/>
          <w:sz w:val="26"/>
          <w:szCs w:val="26"/>
        </w:rPr>
        <w:t xml:space="preserve"> </w:t>
      </w:r>
      <w:r w:rsidR="001E6BF0">
        <w:rPr>
          <w:rFonts w:ascii="Book Antiqua" w:hAnsi="Book Antiqua"/>
          <w:sz w:val="26"/>
          <w:szCs w:val="26"/>
        </w:rPr>
        <w:t>In the Attachment 3 Settlement Agreement, Frontier agrees to contribute up to $5 million to collaborate with the Yurok Tribe on a middle-mile fiber and FTTP project</w:t>
      </w:r>
      <w:r w:rsidR="00F56508">
        <w:rPr>
          <w:rFonts w:ascii="Book Antiqua" w:hAnsi="Book Antiqua"/>
          <w:sz w:val="26"/>
          <w:szCs w:val="26"/>
        </w:rPr>
        <w:t>, provide at least $400,000 in costs reimbursement, designate a tribal liaison to provide OOS response, customer service, and information sharing, and assist in a feasibility study regarding the Yurok Tribe’s potential acquisition of Frontier facilities.</w:t>
      </w:r>
      <w:r w:rsidR="00F56508">
        <w:rPr>
          <w:rStyle w:val="FootnoteReference"/>
          <w:rFonts w:ascii="Book Antiqua" w:hAnsi="Book Antiqua"/>
          <w:sz w:val="26"/>
          <w:szCs w:val="26"/>
        </w:rPr>
        <w:footnoteReference w:id="95"/>
      </w:r>
      <w:r w:rsidR="00F56508">
        <w:rPr>
          <w:rFonts w:ascii="Book Antiqua" w:hAnsi="Book Antiqua"/>
          <w:sz w:val="26"/>
          <w:szCs w:val="26"/>
        </w:rPr>
        <w:t xml:space="preserve"> </w:t>
      </w:r>
      <w:r w:rsidR="00574CEF">
        <w:rPr>
          <w:rFonts w:ascii="Book Antiqua" w:hAnsi="Book Antiqua"/>
          <w:sz w:val="26"/>
          <w:szCs w:val="26"/>
        </w:rPr>
        <w:t xml:space="preserve"> </w:t>
      </w:r>
      <w:r w:rsidR="00275088">
        <w:rPr>
          <w:rFonts w:ascii="Book Antiqua" w:hAnsi="Book Antiqua"/>
          <w:sz w:val="26"/>
          <w:szCs w:val="26"/>
        </w:rPr>
        <w:t>T</w:t>
      </w:r>
      <w:r w:rsidR="005920C7">
        <w:rPr>
          <w:rFonts w:ascii="Book Antiqua" w:hAnsi="Book Antiqua"/>
          <w:sz w:val="26"/>
          <w:szCs w:val="26"/>
        </w:rPr>
        <w:t>hese</w:t>
      </w:r>
      <w:r w:rsidR="00F47424">
        <w:rPr>
          <w:rFonts w:ascii="Book Antiqua" w:hAnsi="Book Antiqua"/>
          <w:sz w:val="26"/>
          <w:szCs w:val="26"/>
        </w:rPr>
        <w:t xml:space="preserve"> specific Frontier commitments</w:t>
      </w:r>
      <w:r w:rsidR="005920C7">
        <w:rPr>
          <w:rFonts w:ascii="Book Antiqua" w:hAnsi="Book Antiqua"/>
          <w:sz w:val="26"/>
          <w:szCs w:val="26"/>
        </w:rPr>
        <w:t xml:space="preserve"> </w:t>
      </w:r>
      <w:r w:rsidR="00F47424">
        <w:rPr>
          <w:rFonts w:ascii="Book Antiqua" w:hAnsi="Book Antiqua"/>
          <w:sz w:val="26"/>
          <w:szCs w:val="26"/>
        </w:rPr>
        <w:t>will benefit tribal communities</w:t>
      </w:r>
      <w:r w:rsidR="000122E5">
        <w:rPr>
          <w:rFonts w:ascii="Book Antiqua" w:hAnsi="Book Antiqua"/>
          <w:sz w:val="26"/>
          <w:szCs w:val="26"/>
        </w:rPr>
        <w:t xml:space="preserve"> and are in the public interest</w:t>
      </w:r>
      <w:r w:rsidR="00F4119E">
        <w:rPr>
          <w:rFonts w:ascii="Book Antiqua" w:hAnsi="Book Antiqua"/>
          <w:sz w:val="26"/>
          <w:szCs w:val="26"/>
        </w:rPr>
        <w:t xml:space="preserve">.  </w:t>
      </w:r>
      <w:r w:rsidR="005920C7">
        <w:rPr>
          <w:rFonts w:ascii="Book Antiqua" w:hAnsi="Book Antiqua"/>
          <w:sz w:val="26"/>
          <w:szCs w:val="26"/>
        </w:rPr>
        <w:t>However,</w:t>
      </w:r>
      <w:r w:rsidR="00F47424">
        <w:rPr>
          <w:rFonts w:ascii="Book Antiqua" w:hAnsi="Book Antiqua"/>
          <w:sz w:val="26"/>
          <w:szCs w:val="26"/>
        </w:rPr>
        <w:t xml:space="preserve"> they are not sufficient</w:t>
      </w:r>
      <w:r w:rsidR="00D70F78">
        <w:rPr>
          <w:rFonts w:ascii="Book Antiqua" w:hAnsi="Book Antiqua"/>
          <w:sz w:val="26"/>
          <w:szCs w:val="26"/>
        </w:rPr>
        <w:t xml:space="preserve">. </w:t>
      </w:r>
      <w:r w:rsidR="00574CEF">
        <w:rPr>
          <w:rFonts w:ascii="Book Antiqua" w:hAnsi="Book Antiqua"/>
          <w:sz w:val="26"/>
          <w:szCs w:val="26"/>
        </w:rPr>
        <w:t xml:space="preserve"> </w:t>
      </w:r>
    </w:p>
    <w:p w:rsidR="007E6F6B" w:rsidP="007E6F6B" w:rsidRDefault="00D70F78" w14:paraId="72338975" w14:textId="2431277D">
      <w:pPr>
        <w:pStyle w:val="Default"/>
        <w:spacing w:line="360" w:lineRule="auto"/>
        <w:ind w:firstLine="720"/>
        <w:rPr>
          <w:rFonts w:ascii="Book Antiqua" w:hAnsi="Book Antiqua"/>
          <w:sz w:val="26"/>
          <w:szCs w:val="26"/>
        </w:rPr>
      </w:pPr>
      <w:r>
        <w:rPr>
          <w:rFonts w:ascii="Book Antiqua" w:hAnsi="Book Antiqua"/>
          <w:sz w:val="26"/>
          <w:szCs w:val="26"/>
        </w:rPr>
        <w:t>I</w:t>
      </w:r>
      <w:r w:rsidR="005920C7">
        <w:rPr>
          <w:rFonts w:ascii="Book Antiqua" w:hAnsi="Book Antiqua"/>
          <w:sz w:val="26"/>
          <w:szCs w:val="26"/>
        </w:rPr>
        <w:t>n the following subsection</w:t>
      </w:r>
      <w:r>
        <w:rPr>
          <w:rFonts w:ascii="Book Antiqua" w:hAnsi="Book Antiqua"/>
          <w:sz w:val="26"/>
          <w:szCs w:val="26"/>
        </w:rPr>
        <w:t xml:space="preserve">, we recognize </w:t>
      </w:r>
      <w:r w:rsidR="00D756B8">
        <w:rPr>
          <w:rFonts w:ascii="Book Antiqua" w:hAnsi="Book Antiqua"/>
          <w:sz w:val="26"/>
          <w:szCs w:val="26"/>
        </w:rPr>
        <w:t xml:space="preserve">and grant to each tribal community </w:t>
      </w:r>
      <w:r>
        <w:rPr>
          <w:rFonts w:ascii="Book Antiqua" w:hAnsi="Book Antiqua"/>
          <w:sz w:val="26"/>
          <w:szCs w:val="26"/>
        </w:rPr>
        <w:t xml:space="preserve">a right of first </w:t>
      </w:r>
      <w:r w:rsidR="00145FD3">
        <w:rPr>
          <w:rFonts w:ascii="Book Antiqua" w:hAnsi="Book Antiqua"/>
          <w:sz w:val="26"/>
          <w:szCs w:val="26"/>
        </w:rPr>
        <w:t>offer</w:t>
      </w:r>
      <w:r w:rsidR="005920C7">
        <w:rPr>
          <w:rFonts w:ascii="Book Antiqua" w:hAnsi="Book Antiqua"/>
          <w:sz w:val="26"/>
          <w:szCs w:val="26"/>
        </w:rPr>
        <w:t xml:space="preserve"> regarding </w:t>
      </w:r>
      <w:r>
        <w:rPr>
          <w:rFonts w:ascii="Book Antiqua" w:hAnsi="Book Antiqua"/>
          <w:sz w:val="26"/>
          <w:szCs w:val="26"/>
        </w:rPr>
        <w:t>a proposed sale by Frontier of assets located in</w:t>
      </w:r>
      <w:r w:rsidR="00D756B8">
        <w:rPr>
          <w:rFonts w:ascii="Book Antiqua" w:hAnsi="Book Antiqua"/>
          <w:sz w:val="26"/>
          <w:szCs w:val="26"/>
        </w:rPr>
        <w:t xml:space="preserve"> the tribal community’s jurisdiction</w:t>
      </w:r>
      <w:r w:rsidR="009442BD">
        <w:rPr>
          <w:rFonts w:ascii="Book Antiqua" w:hAnsi="Book Antiqua"/>
          <w:sz w:val="26"/>
          <w:szCs w:val="26"/>
        </w:rPr>
        <w:t>.</w:t>
      </w:r>
      <w:r w:rsidR="00A558E7">
        <w:rPr>
          <w:rFonts w:ascii="Book Antiqua" w:hAnsi="Book Antiqua"/>
          <w:sz w:val="26"/>
          <w:szCs w:val="26"/>
        </w:rPr>
        <w:t xml:space="preserve"> </w:t>
      </w:r>
      <w:r w:rsidR="00574CEF">
        <w:rPr>
          <w:rFonts w:ascii="Book Antiqua" w:hAnsi="Book Antiqua"/>
          <w:sz w:val="26"/>
          <w:szCs w:val="26"/>
        </w:rPr>
        <w:t xml:space="preserve"> </w:t>
      </w:r>
      <w:r w:rsidR="009234A9">
        <w:rPr>
          <w:rFonts w:ascii="Book Antiqua" w:hAnsi="Book Antiqua"/>
          <w:sz w:val="26"/>
          <w:szCs w:val="26"/>
        </w:rPr>
        <w:t xml:space="preserve">In addition, </w:t>
      </w:r>
      <w:r w:rsidR="00D41626">
        <w:rPr>
          <w:rFonts w:ascii="Book Antiqua" w:hAnsi="Book Antiqua"/>
          <w:sz w:val="26"/>
          <w:szCs w:val="26"/>
        </w:rPr>
        <w:t>the public interest supports</w:t>
      </w:r>
      <w:r w:rsidR="009234A9">
        <w:rPr>
          <w:rFonts w:ascii="Book Antiqua" w:hAnsi="Book Antiqua"/>
          <w:sz w:val="26"/>
          <w:szCs w:val="26"/>
        </w:rPr>
        <w:t xml:space="preserve"> </w:t>
      </w:r>
      <w:r w:rsidR="00AD0003">
        <w:rPr>
          <w:rFonts w:ascii="Book Antiqua" w:hAnsi="Book Antiqua"/>
          <w:sz w:val="26"/>
          <w:szCs w:val="26"/>
        </w:rPr>
        <w:t>the following conditions</w:t>
      </w:r>
      <w:r w:rsidR="00D41626">
        <w:rPr>
          <w:rFonts w:ascii="Book Antiqua" w:hAnsi="Book Antiqua"/>
          <w:sz w:val="26"/>
          <w:szCs w:val="26"/>
        </w:rPr>
        <w:t xml:space="preserve"> that will benefit all tribal communities in </w:t>
      </w:r>
      <w:r w:rsidR="00D41626">
        <w:rPr>
          <w:rFonts w:ascii="Book Antiqua" w:hAnsi="Book Antiqua"/>
          <w:sz w:val="26"/>
          <w:szCs w:val="26"/>
        </w:rPr>
        <w:lastRenderedPageBreak/>
        <w:t>California</w:t>
      </w:r>
      <w:r w:rsidR="00AD0003">
        <w:rPr>
          <w:rFonts w:ascii="Book Antiqua" w:hAnsi="Book Antiqua"/>
          <w:sz w:val="26"/>
          <w:szCs w:val="26"/>
        </w:rPr>
        <w:t xml:space="preserve">: </w:t>
      </w:r>
      <w:r w:rsidR="00574CEF">
        <w:rPr>
          <w:rFonts w:ascii="Book Antiqua" w:hAnsi="Book Antiqua"/>
          <w:sz w:val="26"/>
          <w:szCs w:val="26"/>
        </w:rPr>
        <w:t xml:space="preserve"> </w:t>
      </w:r>
      <w:r w:rsidR="00AD0003">
        <w:rPr>
          <w:rFonts w:ascii="Book Antiqua" w:hAnsi="Book Antiqua"/>
          <w:sz w:val="26"/>
          <w:szCs w:val="26"/>
        </w:rPr>
        <w:t xml:space="preserve">(1) Frontier shall work with the Native American Heritage Commission to identify all tribes within its California service territory that have either a reservation or land in trust; </w:t>
      </w:r>
      <w:r w:rsidR="00574CEF">
        <w:rPr>
          <w:rFonts w:ascii="Book Antiqua" w:hAnsi="Book Antiqua"/>
          <w:sz w:val="26"/>
          <w:szCs w:val="26"/>
        </w:rPr>
        <w:t xml:space="preserve"> </w:t>
      </w:r>
      <w:r w:rsidR="00AD0003">
        <w:rPr>
          <w:rFonts w:ascii="Book Antiqua" w:hAnsi="Book Antiqua"/>
          <w:sz w:val="26"/>
          <w:szCs w:val="26"/>
        </w:rPr>
        <w:t>(2) Frontier shall provide all identified tribes within its California service territory with existing local maps of, and information on, Frontier’s owne</w:t>
      </w:r>
      <w:r w:rsidR="00C20549">
        <w:rPr>
          <w:rFonts w:ascii="Book Antiqua" w:hAnsi="Book Antiqua"/>
          <w:sz w:val="26"/>
          <w:szCs w:val="26"/>
        </w:rPr>
        <w:t>d</w:t>
      </w:r>
      <w:r w:rsidR="00AD0003">
        <w:rPr>
          <w:rFonts w:ascii="Book Antiqua" w:hAnsi="Book Antiqua"/>
          <w:sz w:val="26"/>
          <w:szCs w:val="26"/>
        </w:rPr>
        <w:t xml:space="preserve">, leased, and operated facilities in and around the tribes’ ancestral territory and any existing maps of adjacent areas that identify points of integration of those facilities with the remainder of Frontier’s system; </w:t>
      </w:r>
      <w:r w:rsidR="00574CEF">
        <w:rPr>
          <w:rFonts w:ascii="Book Antiqua" w:hAnsi="Book Antiqua"/>
          <w:sz w:val="26"/>
          <w:szCs w:val="26"/>
        </w:rPr>
        <w:t xml:space="preserve"> </w:t>
      </w:r>
      <w:r w:rsidR="00AD0003">
        <w:rPr>
          <w:rFonts w:ascii="Book Antiqua" w:hAnsi="Book Antiqua"/>
          <w:sz w:val="26"/>
          <w:szCs w:val="26"/>
        </w:rPr>
        <w:t xml:space="preserve">and (3) </w:t>
      </w:r>
      <w:r w:rsidR="00C20549">
        <w:rPr>
          <w:rFonts w:ascii="Book Antiqua" w:hAnsi="Book Antiqua"/>
          <w:sz w:val="26"/>
          <w:szCs w:val="26"/>
        </w:rPr>
        <w:t xml:space="preserve">In every California county that Frontier serves, Frontier will appoint a high-level employee as a tribal liaison to provide OOS response, customer service, and information sharing. </w:t>
      </w:r>
      <w:r w:rsidR="00574CEF">
        <w:rPr>
          <w:rFonts w:ascii="Book Antiqua" w:hAnsi="Book Antiqua"/>
          <w:sz w:val="26"/>
          <w:szCs w:val="26"/>
        </w:rPr>
        <w:t xml:space="preserve"> </w:t>
      </w:r>
      <w:r w:rsidR="00C20549">
        <w:rPr>
          <w:rFonts w:ascii="Book Antiqua" w:hAnsi="Book Antiqua"/>
          <w:sz w:val="26"/>
          <w:szCs w:val="26"/>
        </w:rPr>
        <w:t xml:space="preserve">Each tribe shall have direct access to the tribal liaison via phone and email, and the tribal liaison shall have the availability, access, and authority to respond to the tribes and address their concerns. </w:t>
      </w:r>
      <w:r w:rsidR="00573375">
        <w:rPr>
          <w:rFonts w:ascii="Book Antiqua" w:hAnsi="Book Antiqua"/>
          <w:sz w:val="26"/>
          <w:szCs w:val="26"/>
        </w:rPr>
        <w:t xml:space="preserve"> </w:t>
      </w:r>
      <w:r w:rsidR="0099027A">
        <w:rPr>
          <w:rFonts w:ascii="Book Antiqua" w:hAnsi="Book Antiqua"/>
          <w:sz w:val="26"/>
          <w:szCs w:val="26"/>
        </w:rPr>
        <w:t xml:space="preserve"> </w:t>
      </w:r>
    </w:p>
    <w:p w:rsidR="007E6F6B" w:rsidP="00574CEF" w:rsidRDefault="00AC196C" w14:paraId="3E2D44F1" w14:textId="21027BD1">
      <w:pPr>
        <w:pStyle w:val="Heading3"/>
        <w:ind w:left="2430" w:hanging="990"/>
      </w:pPr>
      <w:bookmarkStart w:name="_Toc67556522" w:id="28"/>
      <w:r>
        <w:t xml:space="preserve">Transfer of </w:t>
      </w:r>
      <w:r w:rsidR="0077568B">
        <w:t>Frontier’s</w:t>
      </w:r>
      <w:r>
        <w:t xml:space="preserve"> Assets</w:t>
      </w:r>
      <w:bookmarkEnd w:id="28"/>
      <w:r w:rsidR="007E6F6B">
        <w:t xml:space="preserve">  </w:t>
      </w:r>
    </w:p>
    <w:p w:rsidR="00940398" w:rsidP="003B733F" w:rsidRDefault="005920C7" w14:paraId="37CEA7B8" w14:textId="518F83EC">
      <w:pPr>
        <w:pStyle w:val="Default"/>
        <w:spacing w:line="360" w:lineRule="auto"/>
        <w:ind w:firstLine="720"/>
        <w:rPr>
          <w:rFonts w:ascii="Book Antiqua" w:hAnsi="Book Antiqua"/>
          <w:sz w:val="26"/>
          <w:szCs w:val="26"/>
        </w:rPr>
      </w:pPr>
      <w:r>
        <w:rPr>
          <w:rFonts w:ascii="Book Antiqua" w:hAnsi="Book Antiqua"/>
          <w:sz w:val="26"/>
          <w:szCs w:val="26"/>
        </w:rPr>
        <w:t>Scoping Memo Issue 11 inquires whether the Restructuring will result in the transfer or disposal of Frontier’s assets and whether Commission approval should require that local or tribal governments</w:t>
      </w:r>
      <w:r w:rsidR="00242214">
        <w:rPr>
          <w:rFonts w:ascii="Book Antiqua" w:hAnsi="Book Antiqua"/>
          <w:sz w:val="26"/>
          <w:szCs w:val="26"/>
        </w:rPr>
        <w:t xml:space="preserve"> have a right of first offer or a right of first refusal regarding any transfer or disposal of Frontier’s assets</w:t>
      </w:r>
      <w:r w:rsidR="00F4119E">
        <w:rPr>
          <w:rFonts w:ascii="Book Antiqua" w:hAnsi="Book Antiqua"/>
          <w:sz w:val="26"/>
          <w:szCs w:val="26"/>
        </w:rPr>
        <w:t xml:space="preserve">.  </w:t>
      </w:r>
      <w:r w:rsidR="00EB3326">
        <w:rPr>
          <w:rFonts w:ascii="Book Antiqua" w:hAnsi="Book Antiqua"/>
          <w:sz w:val="26"/>
          <w:szCs w:val="26"/>
        </w:rPr>
        <w:t>Frontier states that it is assessing the costs to pursue a physical network separation, IT systems separation, and disaggregation of shared services as part of a divestiture of certain operations.</w:t>
      </w:r>
      <w:r w:rsidR="00EB3326">
        <w:rPr>
          <w:rStyle w:val="FootnoteReference"/>
          <w:rFonts w:ascii="Book Antiqua" w:hAnsi="Book Antiqua"/>
          <w:sz w:val="26"/>
          <w:szCs w:val="26"/>
        </w:rPr>
        <w:footnoteReference w:id="96"/>
      </w:r>
      <w:r w:rsidR="00EB3326">
        <w:rPr>
          <w:rFonts w:ascii="Book Antiqua" w:hAnsi="Book Antiqua"/>
          <w:sz w:val="26"/>
          <w:szCs w:val="26"/>
        </w:rPr>
        <w:t xml:space="preserve"> </w:t>
      </w:r>
      <w:r w:rsidR="00574CEF">
        <w:rPr>
          <w:rFonts w:ascii="Book Antiqua" w:hAnsi="Book Antiqua"/>
          <w:sz w:val="26"/>
          <w:szCs w:val="26"/>
        </w:rPr>
        <w:t xml:space="preserve"> </w:t>
      </w:r>
      <w:r w:rsidR="00EB3326">
        <w:rPr>
          <w:rFonts w:ascii="Book Antiqua" w:hAnsi="Book Antiqua"/>
          <w:sz w:val="26"/>
          <w:szCs w:val="26"/>
        </w:rPr>
        <w:t>Although Frontier states that it has no current plans to divest any of its operations,</w:t>
      </w:r>
      <w:r w:rsidR="00EB3326">
        <w:rPr>
          <w:rStyle w:val="FootnoteReference"/>
          <w:rFonts w:ascii="Book Antiqua" w:hAnsi="Book Antiqua"/>
          <w:sz w:val="26"/>
          <w:szCs w:val="26"/>
        </w:rPr>
        <w:footnoteReference w:id="97"/>
      </w:r>
      <w:r w:rsidR="00EB3326">
        <w:rPr>
          <w:rFonts w:ascii="Book Antiqua" w:hAnsi="Book Antiqua"/>
          <w:sz w:val="26"/>
          <w:szCs w:val="26"/>
        </w:rPr>
        <w:t xml:space="preserve"> </w:t>
      </w:r>
      <w:r w:rsidR="003007C4">
        <w:rPr>
          <w:rFonts w:ascii="Book Antiqua" w:hAnsi="Book Antiqua"/>
          <w:sz w:val="26"/>
          <w:szCs w:val="26"/>
        </w:rPr>
        <w:t>the cost assessment reflects</w:t>
      </w:r>
      <w:r w:rsidR="00EB3326">
        <w:rPr>
          <w:rFonts w:ascii="Book Antiqua" w:hAnsi="Book Antiqua"/>
          <w:sz w:val="26"/>
          <w:szCs w:val="26"/>
        </w:rPr>
        <w:t xml:space="preserve"> the possibility of a sale of some of its assets.</w:t>
      </w:r>
    </w:p>
    <w:p w:rsidR="00940398" w:rsidP="00940398" w:rsidRDefault="00F72769" w14:paraId="0E050D1F" w14:textId="5A393684">
      <w:pPr>
        <w:pStyle w:val="Default"/>
        <w:spacing w:line="360" w:lineRule="auto"/>
        <w:ind w:firstLine="720"/>
        <w:rPr>
          <w:rFonts w:ascii="Book Antiqua" w:hAnsi="Book Antiqua"/>
          <w:sz w:val="26"/>
          <w:szCs w:val="26"/>
        </w:rPr>
      </w:pPr>
      <w:r>
        <w:rPr>
          <w:rFonts w:ascii="Book Antiqua" w:hAnsi="Book Antiqua"/>
          <w:sz w:val="26"/>
          <w:szCs w:val="26"/>
        </w:rPr>
        <w:lastRenderedPageBreak/>
        <w:t>In Sections 4.1.7 and 4.1.11 above, we describe</w:t>
      </w:r>
      <w:r w:rsidR="005545C0">
        <w:rPr>
          <w:rFonts w:ascii="Book Antiqua" w:hAnsi="Book Antiqua"/>
          <w:sz w:val="26"/>
          <w:szCs w:val="26"/>
        </w:rPr>
        <w:t xml:space="preserve"> the critical importance of </w:t>
      </w:r>
      <w:r w:rsidR="00144C59">
        <w:rPr>
          <w:rFonts w:ascii="Book Antiqua" w:hAnsi="Book Antiqua"/>
          <w:sz w:val="26"/>
          <w:szCs w:val="26"/>
        </w:rPr>
        <w:t xml:space="preserve">Frontier’s asset commitments </w:t>
      </w:r>
      <w:r w:rsidR="003C46C4">
        <w:rPr>
          <w:rFonts w:ascii="Book Antiqua" w:hAnsi="Book Antiqua"/>
          <w:sz w:val="26"/>
          <w:szCs w:val="26"/>
        </w:rPr>
        <w:t>to communities</w:t>
      </w:r>
      <w:r w:rsidR="00144C59">
        <w:rPr>
          <w:rFonts w:ascii="Book Antiqua" w:hAnsi="Book Antiqua"/>
          <w:sz w:val="26"/>
          <w:szCs w:val="26"/>
        </w:rPr>
        <w:t xml:space="preserve">. </w:t>
      </w:r>
      <w:r w:rsidR="003C46C4">
        <w:rPr>
          <w:rFonts w:ascii="Book Antiqua" w:hAnsi="Book Antiqua"/>
          <w:sz w:val="26"/>
          <w:szCs w:val="26"/>
        </w:rPr>
        <w:t xml:space="preserve">The Attachment 2 Settlement Agreement exemplifies both the magnitude and significance of Frontier’s role in bridging the digital divide at a local level. </w:t>
      </w:r>
      <w:r w:rsidR="00144C59">
        <w:rPr>
          <w:rFonts w:ascii="Book Antiqua" w:hAnsi="Book Antiqua"/>
          <w:sz w:val="26"/>
          <w:szCs w:val="26"/>
        </w:rPr>
        <w:t>Without Frontier’s commitments</w:t>
      </w:r>
      <w:r w:rsidR="00C76801">
        <w:rPr>
          <w:rFonts w:ascii="Book Antiqua" w:hAnsi="Book Antiqua"/>
          <w:sz w:val="26"/>
          <w:szCs w:val="26"/>
        </w:rPr>
        <w:t xml:space="preserve"> in th</w:t>
      </w:r>
      <w:r w:rsidR="003C46C4">
        <w:rPr>
          <w:rFonts w:ascii="Book Antiqua" w:hAnsi="Book Antiqua"/>
          <w:sz w:val="26"/>
          <w:szCs w:val="26"/>
        </w:rPr>
        <w:t>at</w:t>
      </w:r>
      <w:r w:rsidR="00C76801">
        <w:rPr>
          <w:rFonts w:ascii="Book Antiqua" w:hAnsi="Book Antiqua"/>
          <w:sz w:val="26"/>
          <w:szCs w:val="26"/>
        </w:rPr>
        <w:t xml:space="preserve"> agreement</w:t>
      </w:r>
      <w:r w:rsidR="00144C59">
        <w:rPr>
          <w:rFonts w:ascii="Book Antiqua" w:hAnsi="Book Antiqua"/>
          <w:sz w:val="26"/>
          <w:szCs w:val="26"/>
        </w:rPr>
        <w:t>, thousands of low-income students would not have devices for accessing the internet</w:t>
      </w:r>
      <w:r w:rsidR="00F75698">
        <w:rPr>
          <w:rFonts w:ascii="Book Antiqua" w:hAnsi="Book Antiqua"/>
          <w:sz w:val="26"/>
          <w:szCs w:val="26"/>
        </w:rPr>
        <w:t xml:space="preserve"> and localities would not </w:t>
      </w:r>
      <w:r w:rsidR="0051223B">
        <w:rPr>
          <w:rFonts w:ascii="Book Antiqua" w:hAnsi="Book Antiqua"/>
          <w:sz w:val="26"/>
          <w:szCs w:val="26"/>
        </w:rPr>
        <w:t xml:space="preserve">have </w:t>
      </w:r>
      <w:proofErr w:type="spellStart"/>
      <w:r w:rsidR="00F75698">
        <w:rPr>
          <w:rFonts w:ascii="Book Antiqua" w:hAnsi="Book Antiqua"/>
          <w:sz w:val="26"/>
          <w:szCs w:val="26"/>
        </w:rPr>
        <w:t>WiFi</w:t>
      </w:r>
      <w:proofErr w:type="spellEnd"/>
      <w:r w:rsidR="00F75698">
        <w:rPr>
          <w:rFonts w:ascii="Book Antiqua" w:hAnsi="Book Antiqua"/>
          <w:sz w:val="26"/>
          <w:szCs w:val="26"/>
        </w:rPr>
        <w:t xml:space="preserve"> hotspots and community access.  </w:t>
      </w:r>
      <w:r w:rsidR="00C76801">
        <w:rPr>
          <w:rFonts w:ascii="Book Antiqua" w:hAnsi="Book Antiqua"/>
          <w:sz w:val="26"/>
          <w:szCs w:val="26"/>
        </w:rPr>
        <w:t xml:space="preserve">Similarly, Frontier’s telecommunications </w:t>
      </w:r>
      <w:r>
        <w:rPr>
          <w:rFonts w:ascii="Book Antiqua" w:hAnsi="Book Antiqua"/>
          <w:sz w:val="26"/>
          <w:szCs w:val="26"/>
        </w:rPr>
        <w:t>facilities provide essential voice and broadband services to localities, often in rural areas</w:t>
      </w:r>
      <w:r w:rsidR="003C46C4">
        <w:rPr>
          <w:rFonts w:ascii="Book Antiqua" w:hAnsi="Book Antiqua"/>
          <w:sz w:val="26"/>
          <w:szCs w:val="26"/>
        </w:rPr>
        <w:t>.</w:t>
      </w:r>
      <w:r w:rsidR="000201EF">
        <w:rPr>
          <w:rFonts w:ascii="Book Antiqua" w:hAnsi="Book Antiqua"/>
          <w:sz w:val="26"/>
          <w:szCs w:val="26"/>
        </w:rPr>
        <w:t xml:space="preserve"> </w:t>
      </w:r>
      <w:r w:rsidR="003C46C4">
        <w:rPr>
          <w:rFonts w:ascii="Book Antiqua" w:hAnsi="Book Antiqua"/>
          <w:sz w:val="26"/>
          <w:szCs w:val="26"/>
        </w:rPr>
        <w:t xml:space="preserve"> </w:t>
      </w:r>
      <w:r w:rsidR="00AF21A5">
        <w:rPr>
          <w:rFonts w:ascii="Book Antiqua" w:hAnsi="Book Antiqua"/>
          <w:sz w:val="26"/>
          <w:szCs w:val="26"/>
        </w:rPr>
        <w:t xml:space="preserve">Given the </w:t>
      </w:r>
      <w:r w:rsidR="008349D5">
        <w:rPr>
          <w:rFonts w:ascii="Book Antiqua" w:hAnsi="Book Antiqua"/>
          <w:sz w:val="26"/>
          <w:szCs w:val="26"/>
        </w:rPr>
        <w:t>importance of Frontier’s facilities to local communities, the Commission should consider whether local governments, as the representatives of those communities, should have a right of first offer or a right of first refusal when Frontier proposes to transfer or dispose of those assets.</w:t>
      </w:r>
      <w:r w:rsidRPr="007C3CAC" w:rsidR="00940398">
        <w:rPr>
          <w:rFonts w:ascii="Book Antiqua" w:hAnsi="Book Antiqua"/>
          <w:sz w:val="26"/>
          <w:szCs w:val="26"/>
        </w:rPr>
        <w:t xml:space="preserve"> </w:t>
      </w:r>
      <w:r w:rsidR="00940398">
        <w:rPr>
          <w:rFonts w:ascii="Book Antiqua" w:hAnsi="Book Antiqua"/>
          <w:sz w:val="26"/>
          <w:szCs w:val="26"/>
        </w:rPr>
        <w:t xml:space="preserve"> </w:t>
      </w:r>
    </w:p>
    <w:p w:rsidR="009D3A8D" w:rsidP="00331378" w:rsidRDefault="00242214" w14:paraId="2ADA6C71" w14:textId="664D1FED">
      <w:pPr>
        <w:pStyle w:val="Default"/>
        <w:spacing w:line="360" w:lineRule="auto"/>
        <w:ind w:firstLine="720"/>
        <w:rPr>
          <w:rFonts w:ascii="Book Antiqua" w:hAnsi="Book Antiqua"/>
          <w:sz w:val="26"/>
          <w:szCs w:val="26"/>
        </w:rPr>
      </w:pPr>
      <w:r>
        <w:rPr>
          <w:rFonts w:ascii="Book Antiqua" w:hAnsi="Book Antiqua"/>
          <w:sz w:val="26"/>
          <w:szCs w:val="26"/>
        </w:rPr>
        <w:t>The Yurok Tribe ha</w:t>
      </w:r>
      <w:r w:rsidR="001C6857">
        <w:rPr>
          <w:rFonts w:ascii="Book Antiqua" w:hAnsi="Book Antiqua"/>
          <w:sz w:val="26"/>
          <w:szCs w:val="26"/>
        </w:rPr>
        <w:t>d</w:t>
      </w:r>
      <w:r>
        <w:rPr>
          <w:rFonts w:ascii="Book Antiqua" w:hAnsi="Book Antiqua"/>
          <w:sz w:val="26"/>
          <w:szCs w:val="26"/>
        </w:rPr>
        <w:t xml:space="preserve"> proposed that Frontier provide a right of first refusal regarding a future transfer or disposal of Frontier assets.</w:t>
      </w:r>
      <w:r>
        <w:rPr>
          <w:rStyle w:val="FootnoteReference"/>
          <w:rFonts w:ascii="Book Antiqua" w:hAnsi="Book Antiqua"/>
          <w:sz w:val="26"/>
          <w:szCs w:val="26"/>
        </w:rPr>
        <w:footnoteReference w:id="98"/>
      </w:r>
      <w:r>
        <w:rPr>
          <w:rFonts w:ascii="Book Antiqua" w:hAnsi="Book Antiqua"/>
          <w:sz w:val="26"/>
          <w:szCs w:val="26"/>
        </w:rPr>
        <w:t xml:space="preserve"> </w:t>
      </w:r>
      <w:r w:rsidR="00574CEF">
        <w:rPr>
          <w:rFonts w:ascii="Book Antiqua" w:hAnsi="Book Antiqua"/>
          <w:sz w:val="26"/>
          <w:szCs w:val="26"/>
        </w:rPr>
        <w:t xml:space="preserve"> </w:t>
      </w:r>
      <w:r w:rsidR="00D41626">
        <w:rPr>
          <w:rFonts w:ascii="Book Antiqua" w:hAnsi="Book Antiqua"/>
          <w:sz w:val="26"/>
          <w:szCs w:val="26"/>
        </w:rPr>
        <w:t>In the Attachment 3 Settlement Agreement, Frontier agreed to work with the Yurok Tribe regarding a feasibility study for a potential acquisition of Frontier facilities.</w:t>
      </w:r>
      <w:r w:rsidR="00527DFF">
        <w:rPr>
          <w:rStyle w:val="FootnoteReference"/>
          <w:rFonts w:ascii="Book Antiqua" w:hAnsi="Book Antiqua"/>
          <w:sz w:val="26"/>
          <w:szCs w:val="26"/>
        </w:rPr>
        <w:footnoteReference w:id="99"/>
      </w:r>
      <w:r w:rsidR="00D41626">
        <w:rPr>
          <w:rFonts w:ascii="Book Antiqua" w:hAnsi="Book Antiqua"/>
          <w:sz w:val="26"/>
          <w:szCs w:val="26"/>
        </w:rPr>
        <w:t xml:space="preserve"> </w:t>
      </w:r>
      <w:r w:rsidR="00574CEF">
        <w:rPr>
          <w:rFonts w:ascii="Book Antiqua" w:hAnsi="Book Antiqua"/>
          <w:sz w:val="26"/>
          <w:szCs w:val="26"/>
        </w:rPr>
        <w:t xml:space="preserve"> </w:t>
      </w:r>
      <w:r w:rsidR="00527DFF">
        <w:rPr>
          <w:rFonts w:ascii="Book Antiqua" w:hAnsi="Book Antiqua"/>
          <w:sz w:val="26"/>
          <w:szCs w:val="26"/>
        </w:rPr>
        <w:t xml:space="preserve">As set forth in Section 4.2.2 below, we find the terms of the Attachment 3 Settlement Agreement, including the feasibility study provision, to be reasonable and in the public interest. </w:t>
      </w:r>
      <w:r w:rsidR="00D45699">
        <w:rPr>
          <w:rFonts w:ascii="Book Antiqua" w:hAnsi="Book Antiqua"/>
          <w:sz w:val="26"/>
          <w:szCs w:val="26"/>
        </w:rPr>
        <w:t xml:space="preserve"> </w:t>
      </w:r>
      <w:r w:rsidR="00527DFF">
        <w:rPr>
          <w:rFonts w:ascii="Book Antiqua" w:hAnsi="Book Antiqua"/>
          <w:sz w:val="26"/>
          <w:szCs w:val="26"/>
        </w:rPr>
        <w:t>However, the issue of the transfer of Frontier’s assets is not limited</w:t>
      </w:r>
      <w:r w:rsidR="009D3A8D">
        <w:rPr>
          <w:rFonts w:ascii="Book Antiqua" w:hAnsi="Book Antiqua"/>
          <w:sz w:val="26"/>
          <w:szCs w:val="26"/>
        </w:rPr>
        <w:t xml:space="preserve"> to </w:t>
      </w:r>
      <w:r w:rsidR="00C51802">
        <w:rPr>
          <w:rFonts w:ascii="Book Antiqua" w:hAnsi="Book Antiqua"/>
          <w:sz w:val="26"/>
          <w:szCs w:val="26"/>
        </w:rPr>
        <w:t xml:space="preserve">those assets of relevance to </w:t>
      </w:r>
      <w:r w:rsidR="00527DFF">
        <w:rPr>
          <w:rFonts w:ascii="Book Antiqua" w:hAnsi="Book Antiqua"/>
          <w:sz w:val="26"/>
          <w:szCs w:val="26"/>
        </w:rPr>
        <w:t xml:space="preserve">the Yurok Tribe but must </w:t>
      </w:r>
      <w:r w:rsidR="009D3A8D">
        <w:rPr>
          <w:rFonts w:ascii="Book Antiqua" w:hAnsi="Book Antiqua"/>
          <w:sz w:val="26"/>
          <w:szCs w:val="26"/>
        </w:rPr>
        <w:t xml:space="preserve">consider all Frontier assets and the </w:t>
      </w:r>
      <w:r w:rsidR="001978BB">
        <w:rPr>
          <w:rFonts w:ascii="Book Antiqua" w:hAnsi="Book Antiqua"/>
          <w:sz w:val="26"/>
          <w:szCs w:val="26"/>
        </w:rPr>
        <w:t>possible recognition of rights of first offer or rights of first refusal</w:t>
      </w:r>
      <w:r w:rsidR="004B505B">
        <w:rPr>
          <w:rFonts w:ascii="Book Antiqua" w:hAnsi="Book Antiqua"/>
          <w:sz w:val="26"/>
          <w:szCs w:val="26"/>
        </w:rPr>
        <w:t xml:space="preserve"> in all tribal and local governments</w:t>
      </w:r>
      <w:r w:rsidR="009D3A8D">
        <w:rPr>
          <w:rFonts w:ascii="Book Antiqua" w:hAnsi="Book Antiqua"/>
          <w:sz w:val="26"/>
          <w:szCs w:val="26"/>
        </w:rPr>
        <w:t>.</w:t>
      </w:r>
      <w:r w:rsidR="00275ECF">
        <w:rPr>
          <w:rFonts w:ascii="Book Antiqua" w:hAnsi="Book Antiqua"/>
          <w:sz w:val="26"/>
          <w:szCs w:val="26"/>
        </w:rPr>
        <w:t xml:space="preserve"> </w:t>
      </w:r>
    </w:p>
    <w:p w:rsidR="001978BB" w:rsidP="00331378" w:rsidRDefault="00242214" w14:paraId="67844B0C" w14:textId="2F4E89B2">
      <w:pPr>
        <w:pStyle w:val="Default"/>
        <w:spacing w:line="360" w:lineRule="auto"/>
        <w:ind w:firstLine="720"/>
        <w:rPr>
          <w:rFonts w:ascii="Book Antiqua" w:hAnsi="Book Antiqua"/>
          <w:sz w:val="26"/>
          <w:szCs w:val="26"/>
        </w:rPr>
      </w:pPr>
      <w:r>
        <w:rPr>
          <w:rFonts w:ascii="Book Antiqua" w:hAnsi="Book Antiqua"/>
          <w:sz w:val="26"/>
          <w:szCs w:val="26"/>
        </w:rPr>
        <w:lastRenderedPageBreak/>
        <w:t xml:space="preserve">Commission approval under Pub. Util. Code Section 851 is required for sales or disposals of property by Frontier, and the Commission would have the opportunity </w:t>
      </w:r>
      <w:r w:rsidR="0072398D">
        <w:rPr>
          <w:rFonts w:ascii="Book Antiqua" w:hAnsi="Book Antiqua"/>
          <w:sz w:val="26"/>
          <w:szCs w:val="26"/>
        </w:rPr>
        <w:t xml:space="preserve">in </w:t>
      </w:r>
      <w:r w:rsidR="00F10EF8">
        <w:rPr>
          <w:rFonts w:ascii="Book Antiqua" w:hAnsi="Book Antiqua"/>
          <w:sz w:val="26"/>
          <w:szCs w:val="26"/>
        </w:rPr>
        <w:t>a</w:t>
      </w:r>
      <w:r w:rsidR="0072398D">
        <w:rPr>
          <w:rFonts w:ascii="Book Antiqua" w:hAnsi="Book Antiqua"/>
          <w:sz w:val="26"/>
          <w:szCs w:val="26"/>
        </w:rPr>
        <w:t xml:space="preserve"> proceeding </w:t>
      </w:r>
      <w:r w:rsidR="00F10EF8">
        <w:rPr>
          <w:rFonts w:ascii="Book Antiqua" w:hAnsi="Book Antiqua"/>
          <w:sz w:val="26"/>
          <w:szCs w:val="26"/>
        </w:rPr>
        <w:t xml:space="preserve">under Pub. Util. Code Section 851 </w:t>
      </w:r>
      <w:r>
        <w:rPr>
          <w:rFonts w:ascii="Book Antiqua" w:hAnsi="Book Antiqua"/>
          <w:sz w:val="26"/>
          <w:szCs w:val="26"/>
        </w:rPr>
        <w:t xml:space="preserve">to consider the rights of </w:t>
      </w:r>
      <w:r w:rsidR="001978BB">
        <w:rPr>
          <w:rFonts w:ascii="Book Antiqua" w:hAnsi="Book Antiqua"/>
          <w:sz w:val="26"/>
          <w:szCs w:val="26"/>
        </w:rPr>
        <w:t>an entity, including a tribe or local government,</w:t>
      </w:r>
      <w:r>
        <w:rPr>
          <w:rFonts w:ascii="Book Antiqua" w:hAnsi="Book Antiqua"/>
          <w:sz w:val="26"/>
          <w:szCs w:val="26"/>
        </w:rPr>
        <w:t xml:space="preserve"> regarding a proposed Frontier sale to a third party. </w:t>
      </w:r>
      <w:r w:rsidR="00D45699">
        <w:rPr>
          <w:rFonts w:ascii="Book Antiqua" w:hAnsi="Book Antiqua"/>
          <w:sz w:val="26"/>
          <w:szCs w:val="26"/>
        </w:rPr>
        <w:t xml:space="preserve"> </w:t>
      </w:r>
      <w:r>
        <w:rPr>
          <w:rFonts w:ascii="Book Antiqua" w:hAnsi="Book Antiqua"/>
          <w:sz w:val="26"/>
          <w:szCs w:val="26"/>
        </w:rPr>
        <w:t xml:space="preserve">However, </w:t>
      </w:r>
      <w:proofErr w:type="gramStart"/>
      <w:r w:rsidR="00F10EF8">
        <w:rPr>
          <w:rFonts w:ascii="Book Antiqua" w:hAnsi="Book Antiqua"/>
          <w:sz w:val="26"/>
          <w:szCs w:val="26"/>
        </w:rPr>
        <w:t>local</w:t>
      </w:r>
      <w:proofErr w:type="gramEnd"/>
      <w:r w:rsidR="00F10EF8">
        <w:rPr>
          <w:rFonts w:ascii="Book Antiqua" w:hAnsi="Book Antiqua"/>
          <w:sz w:val="26"/>
          <w:szCs w:val="26"/>
        </w:rPr>
        <w:t xml:space="preserve"> and tribal communities </w:t>
      </w:r>
      <w:r w:rsidR="00D70F78">
        <w:rPr>
          <w:rFonts w:ascii="Book Antiqua" w:hAnsi="Book Antiqua"/>
          <w:sz w:val="26"/>
          <w:szCs w:val="26"/>
        </w:rPr>
        <w:t xml:space="preserve">are more likely to </w:t>
      </w:r>
      <w:r w:rsidR="00C16532">
        <w:rPr>
          <w:rFonts w:ascii="Book Antiqua" w:hAnsi="Book Antiqua"/>
          <w:sz w:val="26"/>
          <w:szCs w:val="26"/>
        </w:rPr>
        <w:t xml:space="preserve">face elevated risks from a loss of telecommunications services due to their location in rural and remote areas, the lack of alternative service providers, and their lower income levels. </w:t>
      </w:r>
      <w:r w:rsidR="00D45699">
        <w:rPr>
          <w:rFonts w:ascii="Book Antiqua" w:hAnsi="Book Antiqua"/>
          <w:sz w:val="26"/>
          <w:szCs w:val="26"/>
        </w:rPr>
        <w:t xml:space="preserve"> </w:t>
      </w:r>
      <w:r w:rsidR="007303C2">
        <w:rPr>
          <w:rFonts w:ascii="Book Antiqua" w:hAnsi="Book Antiqua"/>
          <w:sz w:val="26"/>
          <w:szCs w:val="26"/>
        </w:rPr>
        <w:t>T</w:t>
      </w:r>
      <w:r>
        <w:rPr>
          <w:rFonts w:ascii="Book Antiqua" w:hAnsi="Book Antiqua"/>
          <w:sz w:val="26"/>
          <w:szCs w:val="26"/>
        </w:rPr>
        <w:t>he fundamental necessity of telecommunications services to the economic and social well-being of tribal</w:t>
      </w:r>
      <w:r w:rsidR="0072398D">
        <w:rPr>
          <w:rFonts w:ascii="Book Antiqua" w:hAnsi="Book Antiqua"/>
          <w:sz w:val="26"/>
          <w:szCs w:val="26"/>
        </w:rPr>
        <w:t xml:space="preserve"> and local</w:t>
      </w:r>
      <w:r>
        <w:rPr>
          <w:rFonts w:ascii="Book Antiqua" w:hAnsi="Book Antiqua"/>
          <w:sz w:val="26"/>
          <w:szCs w:val="26"/>
        </w:rPr>
        <w:t xml:space="preserve"> </w:t>
      </w:r>
      <w:proofErr w:type="gramStart"/>
      <w:r>
        <w:rPr>
          <w:rFonts w:ascii="Book Antiqua" w:hAnsi="Book Antiqua"/>
          <w:sz w:val="26"/>
          <w:szCs w:val="26"/>
        </w:rPr>
        <w:t>communities</w:t>
      </w:r>
      <w:proofErr w:type="gramEnd"/>
      <w:r>
        <w:rPr>
          <w:rFonts w:ascii="Book Antiqua" w:hAnsi="Book Antiqua"/>
          <w:sz w:val="26"/>
          <w:szCs w:val="26"/>
        </w:rPr>
        <w:t xml:space="preserve"> merit</w:t>
      </w:r>
      <w:r w:rsidR="001978BB">
        <w:rPr>
          <w:rFonts w:ascii="Book Antiqua" w:hAnsi="Book Antiqua"/>
          <w:sz w:val="26"/>
          <w:szCs w:val="26"/>
        </w:rPr>
        <w:t>s</w:t>
      </w:r>
      <w:r>
        <w:rPr>
          <w:rFonts w:ascii="Book Antiqua" w:hAnsi="Book Antiqua"/>
          <w:sz w:val="26"/>
          <w:szCs w:val="26"/>
        </w:rPr>
        <w:t xml:space="preserve"> Commission recognition of a tangible, defined </w:t>
      </w:r>
      <w:r w:rsidR="003F7C83">
        <w:rPr>
          <w:rFonts w:ascii="Book Antiqua" w:hAnsi="Book Antiqua"/>
          <w:sz w:val="26"/>
          <w:szCs w:val="26"/>
        </w:rPr>
        <w:t xml:space="preserve">purchase </w:t>
      </w:r>
      <w:r>
        <w:rPr>
          <w:rFonts w:ascii="Book Antiqua" w:hAnsi="Book Antiqua"/>
          <w:sz w:val="26"/>
          <w:szCs w:val="26"/>
        </w:rPr>
        <w:t>right that is not merely trans</w:t>
      </w:r>
      <w:r w:rsidR="0072398D">
        <w:rPr>
          <w:rFonts w:ascii="Book Antiqua" w:hAnsi="Book Antiqua"/>
          <w:sz w:val="26"/>
          <w:szCs w:val="26"/>
        </w:rPr>
        <w:t>ac</w:t>
      </w:r>
      <w:r>
        <w:rPr>
          <w:rFonts w:ascii="Book Antiqua" w:hAnsi="Book Antiqua"/>
          <w:sz w:val="26"/>
          <w:szCs w:val="26"/>
        </w:rPr>
        <w:t>tional.</w:t>
      </w:r>
    </w:p>
    <w:p w:rsidR="007303C2" w:rsidP="00331378" w:rsidRDefault="007303C2" w14:paraId="0D52B95F" w14:textId="34B3378E">
      <w:pPr>
        <w:pStyle w:val="Default"/>
        <w:spacing w:line="360" w:lineRule="auto"/>
        <w:ind w:firstLine="720"/>
        <w:rPr>
          <w:rFonts w:ascii="Book Antiqua" w:hAnsi="Book Antiqua"/>
          <w:sz w:val="26"/>
          <w:szCs w:val="26"/>
        </w:rPr>
      </w:pPr>
      <w:r>
        <w:rPr>
          <w:rFonts w:ascii="Book Antiqua" w:hAnsi="Book Antiqua"/>
          <w:sz w:val="26"/>
          <w:szCs w:val="26"/>
        </w:rPr>
        <w:t>In Resolution E-5076 issued on January 20, 2021, the Commission provided guidelines to implement the Commission’s Tribal Lands Transfer Policy</w:t>
      </w:r>
      <w:r w:rsidR="00902403">
        <w:rPr>
          <w:rFonts w:ascii="Book Antiqua" w:hAnsi="Book Antiqua"/>
          <w:sz w:val="26"/>
          <w:szCs w:val="26"/>
        </w:rPr>
        <w:t xml:space="preserve"> (TLTP)</w:t>
      </w:r>
      <w:r w:rsidR="00F4119E">
        <w:rPr>
          <w:rFonts w:ascii="Book Antiqua" w:hAnsi="Book Antiqua"/>
          <w:sz w:val="26"/>
          <w:szCs w:val="26"/>
        </w:rPr>
        <w:t xml:space="preserve">.  </w:t>
      </w:r>
      <w:r w:rsidR="00902403">
        <w:rPr>
          <w:rFonts w:ascii="Book Antiqua" w:hAnsi="Book Antiqua"/>
          <w:sz w:val="26"/>
          <w:szCs w:val="26"/>
        </w:rPr>
        <w:t>The TLTP establishes a Commission preference for the transfer of real property to tribes when an investor-owned utility plans to dispose of the real property within a tribe’s ancestral territory.</w:t>
      </w:r>
      <w:r w:rsidR="00902403">
        <w:rPr>
          <w:rStyle w:val="FootnoteReference"/>
          <w:rFonts w:ascii="Book Antiqua" w:hAnsi="Book Antiqua"/>
          <w:sz w:val="26"/>
          <w:szCs w:val="26"/>
        </w:rPr>
        <w:footnoteReference w:id="100"/>
      </w:r>
      <w:r>
        <w:rPr>
          <w:rFonts w:ascii="Book Antiqua" w:hAnsi="Book Antiqua"/>
          <w:sz w:val="26"/>
          <w:szCs w:val="26"/>
        </w:rPr>
        <w:t xml:space="preserve"> </w:t>
      </w:r>
      <w:r w:rsidR="00392FE0">
        <w:rPr>
          <w:rFonts w:ascii="Book Antiqua" w:hAnsi="Book Antiqua"/>
          <w:sz w:val="26"/>
          <w:szCs w:val="26"/>
        </w:rPr>
        <w:t xml:space="preserve"> </w:t>
      </w:r>
      <w:r w:rsidR="00C50E93">
        <w:rPr>
          <w:rFonts w:ascii="Book Antiqua" w:hAnsi="Book Antiqua"/>
          <w:sz w:val="26"/>
          <w:szCs w:val="26"/>
        </w:rPr>
        <w:t>The Resolution guidelines are mandatory for electrical, gas, and water corporations but are not mandatory for other public utilities, including Frontier.</w:t>
      </w:r>
      <w:r w:rsidR="00C50E93">
        <w:rPr>
          <w:rStyle w:val="FootnoteReference"/>
          <w:rFonts w:ascii="Book Antiqua" w:hAnsi="Book Antiqua"/>
          <w:sz w:val="26"/>
          <w:szCs w:val="26"/>
        </w:rPr>
        <w:footnoteReference w:id="101"/>
      </w:r>
      <w:r w:rsidR="00C50E93">
        <w:rPr>
          <w:rFonts w:ascii="Book Antiqua" w:hAnsi="Book Antiqua"/>
          <w:sz w:val="26"/>
          <w:szCs w:val="26"/>
        </w:rPr>
        <w:t xml:space="preserve"> </w:t>
      </w:r>
      <w:r w:rsidR="00392FE0">
        <w:rPr>
          <w:rFonts w:ascii="Book Antiqua" w:hAnsi="Book Antiqua"/>
          <w:sz w:val="26"/>
          <w:szCs w:val="26"/>
        </w:rPr>
        <w:t xml:space="preserve"> </w:t>
      </w:r>
      <w:r w:rsidR="00C50E93">
        <w:rPr>
          <w:rFonts w:ascii="Book Antiqua" w:hAnsi="Book Antiqua"/>
          <w:sz w:val="26"/>
          <w:szCs w:val="26"/>
        </w:rPr>
        <w:t xml:space="preserve">In addition, the guidelines apply to transfers of </w:t>
      </w:r>
      <w:r w:rsidR="003D2470">
        <w:rPr>
          <w:rFonts w:ascii="Book Antiqua" w:hAnsi="Book Antiqua"/>
          <w:sz w:val="26"/>
          <w:szCs w:val="26"/>
        </w:rPr>
        <w:t>fee</w:t>
      </w:r>
      <w:r w:rsidR="00D45699">
        <w:rPr>
          <w:rFonts w:ascii="Book Antiqua" w:hAnsi="Book Antiqua"/>
          <w:sz w:val="26"/>
          <w:szCs w:val="26"/>
        </w:rPr>
        <w:noBreakHyphen/>
      </w:r>
      <w:r w:rsidR="003D2470">
        <w:rPr>
          <w:rFonts w:ascii="Book Antiqua" w:hAnsi="Book Antiqua"/>
          <w:sz w:val="26"/>
          <w:szCs w:val="26"/>
        </w:rPr>
        <w:t xml:space="preserve">owned </w:t>
      </w:r>
      <w:r w:rsidR="00C50E93">
        <w:rPr>
          <w:rFonts w:ascii="Book Antiqua" w:hAnsi="Book Antiqua"/>
          <w:sz w:val="26"/>
          <w:szCs w:val="26"/>
        </w:rPr>
        <w:t>real property</w:t>
      </w:r>
      <w:r w:rsidR="007E5641">
        <w:rPr>
          <w:rFonts w:ascii="Book Antiqua" w:hAnsi="Book Antiqua"/>
          <w:sz w:val="26"/>
          <w:szCs w:val="26"/>
        </w:rPr>
        <w:t xml:space="preserve"> under Pub. Util. Code Section 851 </w:t>
      </w:r>
      <w:r w:rsidR="003D2470">
        <w:rPr>
          <w:rFonts w:ascii="Book Antiqua" w:hAnsi="Book Antiqua"/>
          <w:sz w:val="26"/>
          <w:szCs w:val="26"/>
        </w:rPr>
        <w:t>but not to easements.</w:t>
      </w:r>
      <w:r w:rsidR="003D2470">
        <w:rPr>
          <w:rStyle w:val="FootnoteReference"/>
          <w:rFonts w:ascii="Book Antiqua" w:hAnsi="Book Antiqua"/>
          <w:sz w:val="26"/>
          <w:szCs w:val="26"/>
        </w:rPr>
        <w:footnoteReference w:id="102"/>
      </w:r>
      <w:r w:rsidR="003D2470">
        <w:rPr>
          <w:rFonts w:ascii="Book Antiqua" w:hAnsi="Book Antiqua"/>
          <w:sz w:val="26"/>
          <w:szCs w:val="26"/>
        </w:rPr>
        <w:t xml:space="preserve"> </w:t>
      </w:r>
      <w:r w:rsidR="00392FE0">
        <w:rPr>
          <w:rFonts w:ascii="Book Antiqua" w:hAnsi="Book Antiqua"/>
          <w:sz w:val="26"/>
          <w:szCs w:val="26"/>
        </w:rPr>
        <w:t xml:space="preserve"> </w:t>
      </w:r>
      <w:r w:rsidR="003D2470">
        <w:rPr>
          <w:rFonts w:ascii="Book Antiqua" w:hAnsi="Book Antiqua"/>
          <w:sz w:val="26"/>
          <w:szCs w:val="26"/>
        </w:rPr>
        <w:t xml:space="preserve">We note that </w:t>
      </w:r>
      <w:r w:rsidR="008136D9">
        <w:rPr>
          <w:rFonts w:ascii="Book Antiqua" w:hAnsi="Book Antiqua"/>
          <w:sz w:val="26"/>
          <w:szCs w:val="26"/>
        </w:rPr>
        <w:t>Pub. Util. Code Section 851 covers sales of a “line, plant, system, or other property necessary or useful in the performance of its duties to the public,”</w:t>
      </w:r>
      <w:r w:rsidR="008136D9">
        <w:rPr>
          <w:rStyle w:val="FootnoteReference"/>
          <w:rFonts w:ascii="Book Antiqua" w:hAnsi="Book Antiqua"/>
          <w:sz w:val="26"/>
          <w:szCs w:val="26"/>
        </w:rPr>
        <w:footnoteReference w:id="103"/>
      </w:r>
      <w:r w:rsidR="008136D9">
        <w:rPr>
          <w:rFonts w:ascii="Book Antiqua" w:hAnsi="Book Antiqua"/>
          <w:sz w:val="26"/>
          <w:szCs w:val="26"/>
        </w:rPr>
        <w:t xml:space="preserve"> and </w:t>
      </w:r>
      <w:r w:rsidR="003D2470">
        <w:rPr>
          <w:rFonts w:ascii="Book Antiqua" w:hAnsi="Book Antiqua"/>
          <w:sz w:val="26"/>
          <w:szCs w:val="26"/>
        </w:rPr>
        <w:t xml:space="preserve">the feasibility study in the Attachment 3 Settlement </w:t>
      </w:r>
      <w:r w:rsidR="003D2470">
        <w:rPr>
          <w:rFonts w:ascii="Book Antiqua" w:hAnsi="Book Antiqua"/>
          <w:sz w:val="26"/>
          <w:szCs w:val="26"/>
        </w:rPr>
        <w:lastRenderedPageBreak/>
        <w:t>Agreement concerns a potential acquisition of “infrastructure, staffing, equipment, assets, licenses and authorizations related to Frontier’s seven (7) wire centers/exchanges</w:t>
      </w:r>
      <w:r w:rsidR="008136D9">
        <w:rPr>
          <w:rFonts w:ascii="Book Antiqua" w:hAnsi="Book Antiqua"/>
          <w:sz w:val="26"/>
          <w:szCs w:val="26"/>
        </w:rPr>
        <w:t>.</w:t>
      </w:r>
      <w:r w:rsidR="003D2470">
        <w:rPr>
          <w:rFonts w:ascii="Book Antiqua" w:hAnsi="Book Antiqua"/>
          <w:sz w:val="26"/>
          <w:szCs w:val="26"/>
        </w:rPr>
        <w:t>”</w:t>
      </w:r>
      <w:r w:rsidR="008136D9">
        <w:rPr>
          <w:rStyle w:val="FootnoteReference"/>
          <w:rFonts w:ascii="Book Antiqua" w:hAnsi="Book Antiqua"/>
          <w:sz w:val="26"/>
          <w:szCs w:val="26"/>
        </w:rPr>
        <w:footnoteReference w:id="104"/>
      </w:r>
      <w:r w:rsidR="003D2470">
        <w:rPr>
          <w:rFonts w:ascii="Book Antiqua" w:hAnsi="Book Antiqua"/>
          <w:sz w:val="26"/>
          <w:szCs w:val="26"/>
        </w:rPr>
        <w:t xml:space="preserve"> </w:t>
      </w:r>
      <w:r w:rsidR="00D45699">
        <w:rPr>
          <w:rFonts w:ascii="Book Antiqua" w:hAnsi="Book Antiqua"/>
          <w:sz w:val="26"/>
          <w:szCs w:val="26"/>
        </w:rPr>
        <w:t xml:space="preserve"> </w:t>
      </w:r>
      <w:r w:rsidR="001505C0">
        <w:rPr>
          <w:rFonts w:ascii="Book Antiqua" w:hAnsi="Book Antiqua"/>
          <w:sz w:val="26"/>
          <w:szCs w:val="26"/>
        </w:rPr>
        <w:t>Moreover, it may be that a purchase rights holder will want to acquire an easement</w:t>
      </w:r>
      <w:r w:rsidR="00D20380">
        <w:rPr>
          <w:rFonts w:ascii="Book Antiqua" w:hAnsi="Book Antiqua"/>
          <w:sz w:val="26"/>
          <w:szCs w:val="26"/>
        </w:rPr>
        <w:t xml:space="preserve"> as part of the same transaction in which it purchases infrastructure or other assets that are not fee-owned real property</w:t>
      </w:r>
      <w:r w:rsidR="00F4119E">
        <w:rPr>
          <w:rFonts w:ascii="Book Antiqua" w:hAnsi="Book Antiqua"/>
          <w:sz w:val="26"/>
          <w:szCs w:val="26"/>
        </w:rPr>
        <w:t xml:space="preserve">.  </w:t>
      </w:r>
      <w:r w:rsidR="008136D9">
        <w:rPr>
          <w:rFonts w:ascii="Book Antiqua" w:hAnsi="Book Antiqua"/>
          <w:sz w:val="26"/>
          <w:szCs w:val="26"/>
        </w:rPr>
        <w:t>T</w:t>
      </w:r>
      <w:r w:rsidR="003D2470">
        <w:rPr>
          <w:rFonts w:ascii="Book Antiqua" w:hAnsi="Book Antiqua"/>
          <w:sz w:val="26"/>
          <w:szCs w:val="26"/>
        </w:rPr>
        <w:t>herefore</w:t>
      </w:r>
      <w:r w:rsidR="008136D9">
        <w:rPr>
          <w:rFonts w:ascii="Book Antiqua" w:hAnsi="Book Antiqua"/>
          <w:sz w:val="26"/>
          <w:szCs w:val="26"/>
        </w:rPr>
        <w:t>,</w:t>
      </w:r>
      <w:r w:rsidR="003D2470">
        <w:rPr>
          <w:rFonts w:ascii="Book Antiqua" w:hAnsi="Book Antiqua"/>
          <w:sz w:val="26"/>
          <w:szCs w:val="26"/>
        </w:rPr>
        <w:t xml:space="preserve"> </w:t>
      </w:r>
      <w:r w:rsidR="00944FD7">
        <w:rPr>
          <w:rFonts w:ascii="Book Antiqua" w:hAnsi="Book Antiqua"/>
          <w:sz w:val="26"/>
          <w:szCs w:val="26"/>
        </w:rPr>
        <w:t xml:space="preserve">the potential purchases covered by a right of first offer or first refusal in this proceeding will be broader in scope than in the Resolution guidelines.  </w:t>
      </w:r>
    </w:p>
    <w:p w:rsidR="001978BB" w:rsidP="00331378" w:rsidRDefault="001978BB" w14:paraId="0667C340" w14:textId="797665E2">
      <w:pPr>
        <w:pStyle w:val="Default"/>
        <w:spacing w:line="360" w:lineRule="auto"/>
        <w:ind w:firstLine="720"/>
        <w:rPr>
          <w:rFonts w:ascii="Book Antiqua" w:hAnsi="Book Antiqua"/>
          <w:sz w:val="26"/>
          <w:szCs w:val="26"/>
        </w:rPr>
      </w:pPr>
      <w:r>
        <w:rPr>
          <w:rFonts w:ascii="Book Antiqua" w:hAnsi="Book Antiqua"/>
          <w:sz w:val="26"/>
          <w:szCs w:val="26"/>
        </w:rPr>
        <w:t xml:space="preserve">A right of first offer requires the property seller to engage in good faith sales discussions with the holder of the right and determine </w:t>
      </w:r>
      <w:proofErr w:type="gramStart"/>
      <w:r>
        <w:rPr>
          <w:rFonts w:ascii="Book Antiqua" w:hAnsi="Book Antiqua"/>
          <w:sz w:val="26"/>
          <w:szCs w:val="26"/>
        </w:rPr>
        <w:t>whether or not</w:t>
      </w:r>
      <w:proofErr w:type="gramEnd"/>
      <w:r>
        <w:rPr>
          <w:rFonts w:ascii="Book Antiqua" w:hAnsi="Book Antiqua"/>
          <w:sz w:val="26"/>
          <w:szCs w:val="26"/>
        </w:rPr>
        <w:t xml:space="preserve"> a sales agreement can be reached before the seller attempts</w:t>
      </w:r>
      <w:r w:rsidR="00D54260">
        <w:rPr>
          <w:rFonts w:ascii="Book Antiqua" w:hAnsi="Book Antiqua"/>
          <w:sz w:val="26"/>
          <w:szCs w:val="26"/>
        </w:rPr>
        <w:t xml:space="preserve"> to sell to someone else</w:t>
      </w:r>
      <w:r w:rsidR="00F4119E">
        <w:rPr>
          <w:rFonts w:ascii="Book Antiqua" w:hAnsi="Book Antiqua"/>
          <w:sz w:val="26"/>
          <w:szCs w:val="26"/>
        </w:rPr>
        <w:t xml:space="preserve">.  </w:t>
      </w:r>
      <w:r w:rsidR="00D54260">
        <w:rPr>
          <w:rFonts w:ascii="Book Antiqua" w:hAnsi="Book Antiqua"/>
          <w:sz w:val="26"/>
          <w:szCs w:val="26"/>
        </w:rPr>
        <w:t>A right of first refusal gives the rights holder a priority to purchase property on the same terms as an agreement between the seller and a third</w:t>
      </w:r>
      <w:r w:rsidR="000C58C4">
        <w:rPr>
          <w:rFonts w:ascii="Book Antiqua" w:hAnsi="Book Antiqua"/>
          <w:sz w:val="26"/>
          <w:szCs w:val="26"/>
        </w:rPr>
        <w:t>-</w:t>
      </w:r>
      <w:r w:rsidR="00D54260">
        <w:rPr>
          <w:rFonts w:ascii="Book Antiqua" w:hAnsi="Book Antiqua"/>
          <w:sz w:val="26"/>
          <w:szCs w:val="26"/>
        </w:rPr>
        <w:t>party potential purchaser</w:t>
      </w:r>
      <w:r w:rsidR="00F4119E">
        <w:rPr>
          <w:rFonts w:ascii="Book Antiqua" w:hAnsi="Book Antiqua"/>
          <w:sz w:val="26"/>
          <w:szCs w:val="26"/>
        </w:rPr>
        <w:t xml:space="preserve">.  </w:t>
      </w:r>
      <w:r w:rsidR="000C58C4">
        <w:rPr>
          <w:rFonts w:ascii="Book Antiqua" w:hAnsi="Book Antiqua"/>
          <w:sz w:val="26"/>
          <w:szCs w:val="26"/>
        </w:rPr>
        <w:t>In Resolution E-5076,</w:t>
      </w:r>
      <w:r w:rsidR="0075230C">
        <w:rPr>
          <w:rFonts w:ascii="Book Antiqua" w:hAnsi="Book Antiqua"/>
          <w:sz w:val="26"/>
          <w:szCs w:val="26"/>
        </w:rPr>
        <w:t xml:space="preserve"> </w:t>
      </w:r>
      <w:r w:rsidR="000C58C4">
        <w:rPr>
          <w:rFonts w:ascii="Book Antiqua" w:hAnsi="Book Antiqua"/>
          <w:sz w:val="26"/>
          <w:szCs w:val="26"/>
        </w:rPr>
        <w:t>the Commission adopted a right of first offer and not a right of first refusal because third parties are less likely to be willing to negotiate for the acquisition of property before a tribe confirms it has no interest in that property.</w:t>
      </w:r>
      <w:r w:rsidR="000C58C4">
        <w:rPr>
          <w:rStyle w:val="FootnoteReference"/>
          <w:rFonts w:ascii="Book Antiqua" w:hAnsi="Book Antiqua"/>
          <w:sz w:val="26"/>
          <w:szCs w:val="26"/>
        </w:rPr>
        <w:footnoteReference w:id="105"/>
      </w:r>
      <w:r w:rsidR="000C58C4">
        <w:rPr>
          <w:rFonts w:ascii="Book Antiqua" w:hAnsi="Book Antiqua"/>
          <w:sz w:val="26"/>
          <w:szCs w:val="26"/>
        </w:rPr>
        <w:t xml:space="preserve"> </w:t>
      </w:r>
      <w:r w:rsidR="00D45699">
        <w:rPr>
          <w:rFonts w:ascii="Book Antiqua" w:hAnsi="Book Antiqua"/>
          <w:sz w:val="26"/>
          <w:szCs w:val="26"/>
        </w:rPr>
        <w:t xml:space="preserve"> </w:t>
      </w:r>
      <w:r w:rsidR="008917A2">
        <w:rPr>
          <w:rFonts w:ascii="Book Antiqua" w:hAnsi="Book Antiqua"/>
          <w:sz w:val="26"/>
          <w:szCs w:val="26"/>
        </w:rPr>
        <w:t>Similarly, a right of first offer</w:t>
      </w:r>
      <w:r w:rsidR="006E3ADF">
        <w:rPr>
          <w:rFonts w:ascii="Book Antiqua" w:hAnsi="Book Antiqua"/>
          <w:sz w:val="26"/>
          <w:szCs w:val="26"/>
        </w:rPr>
        <w:t xml:space="preserve"> is preferable to a right of first refusal</w:t>
      </w:r>
      <w:r w:rsidR="0075230C">
        <w:rPr>
          <w:rFonts w:ascii="Book Antiqua" w:hAnsi="Book Antiqua"/>
          <w:sz w:val="26"/>
          <w:szCs w:val="26"/>
        </w:rPr>
        <w:t xml:space="preserve"> regarding possible Frontier asset transfers</w:t>
      </w:r>
      <w:r w:rsidR="006E3ADF">
        <w:rPr>
          <w:rFonts w:ascii="Book Antiqua" w:hAnsi="Book Antiqua"/>
          <w:sz w:val="26"/>
          <w:szCs w:val="26"/>
        </w:rPr>
        <w:t xml:space="preserve">. </w:t>
      </w:r>
    </w:p>
    <w:p w:rsidR="007E6F6B" w:rsidP="00331378" w:rsidRDefault="006E3ADF" w14:paraId="69BA99B4" w14:textId="00CC551B">
      <w:pPr>
        <w:pStyle w:val="Default"/>
        <w:spacing w:line="360" w:lineRule="auto"/>
        <w:ind w:firstLine="720"/>
        <w:rPr>
          <w:rFonts w:ascii="Book Antiqua" w:hAnsi="Book Antiqua"/>
          <w:sz w:val="26"/>
          <w:szCs w:val="26"/>
        </w:rPr>
      </w:pPr>
      <w:r>
        <w:rPr>
          <w:rFonts w:ascii="Book Antiqua" w:hAnsi="Book Antiqua"/>
          <w:sz w:val="26"/>
          <w:szCs w:val="26"/>
        </w:rPr>
        <w:t>For the reasons set forth above, we conclude that a</w:t>
      </w:r>
      <w:r w:rsidR="00242214">
        <w:rPr>
          <w:rFonts w:ascii="Book Antiqua" w:hAnsi="Book Antiqua"/>
          <w:sz w:val="26"/>
          <w:szCs w:val="26"/>
        </w:rPr>
        <w:t xml:space="preserve"> right of first </w:t>
      </w:r>
      <w:r>
        <w:rPr>
          <w:rFonts w:ascii="Book Antiqua" w:hAnsi="Book Antiqua"/>
          <w:sz w:val="26"/>
          <w:szCs w:val="26"/>
        </w:rPr>
        <w:t>offer</w:t>
      </w:r>
      <w:r w:rsidR="00242214">
        <w:rPr>
          <w:rFonts w:ascii="Book Antiqua" w:hAnsi="Book Antiqua"/>
          <w:sz w:val="26"/>
          <w:szCs w:val="26"/>
        </w:rPr>
        <w:t xml:space="preserve"> regarding </w:t>
      </w:r>
      <w:r w:rsidR="005F4805">
        <w:rPr>
          <w:rFonts w:ascii="Book Antiqua" w:hAnsi="Book Antiqua"/>
          <w:sz w:val="26"/>
          <w:szCs w:val="26"/>
        </w:rPr>
        <w:t xml:space="preserve">a proposed </w:t>
      </w:r>
      <w:r w:rsidR="00242214">
        <w:rPr>
          <w:rFonts w:ascii="Book Antiqua" w:hAnsi="Book Antiqua"/>
          <w:sz w:val="26"/>
          <w:szCs w:val="26"/>
        </w:rPr>
        <w:t xml:space="preserve">Frontier property sale </w:t>
      </w:r>
      <w:r w:rsidR="005F4805">
        <w:rPr>
          <w:rFonts w:ascii="Book Antiqua" w:hAnsi="Book Antiqua"/>
          <w:sz w:val="26"/>
          <w:szCs w:val="26"/>
        </w:rPr>
        <w:t xml:space="preserve">or disposal </w:t>
      </w:r>
      <w:r>
        <w:rPr>
          <w:rFonts w:ascii="Book Antiqua" w:hAnsi="Book Antiqua"/>
          <w:sz w:val="26"/>
          <w:szCs w:val="26"/>
        </w:rPr>
        <w:t xml:space="preserve">that is subject to Commission approval under Pub. Util. Code Section 851 </w:t>
      </w:r>
      <w:r w:rsidR="00242214">
        <w:rPr>
          <w:rFonts w:ascii="Book Antiqua" w:hAnsi="Book Antiqua"/>
          <w:sz w:val="26"/>
          <w:szCs w:val="26"/>
        </w:rPr>
        <w:t>should extend to</w:t>
      </w:r>
      <w:r w:rsidR="00F33CF9">
        <w:rPr>
          <w:rFonts w:ascii="Book Antiqua" w:hAnsi="Book Antiqua"/>
          <w:sz w:val="26"/>
          <w:szCs w:val="26"/>
        </w:rPr>
        <w:t xml:space="preserve"> trib</w:t>
      </w:r>
      <w:r w:rsidR="005F4805">
        <w:rPr>
          <w:rFonts w:ascii="Book Antiqua" w:hAnsi="Book Antiqua"/>
          <w:sz w:val="26"/>
          <w:szCs w:val="26"/>
        </w:rPr>
        <w:t>es</w:t>
      </w:r>
      <w:r w:rsidR="00F33CF9">
        <w:rPr>
          <w:rFonts w:ascii="Book Antiqua" w:hAnsi="Book Antiqua"/>
          <w:sz w:val="26"/>
          <w:szCs w:val="26"/>
        </w:rPr>
        <w:t xml:space="preserve"> </w:t>
      </w:r>
      <w:r w:rsidR="0072398D">
        <w:rPr>
          <w:rFonts w:ascii="Book Antiqua" w:hAnsi="Book Antiqua"/>
          <w:sz w:val="26"/>
          <w:szCs w:val="26"/>
        </w:rPr>
        <w:t xml:space="preserve">and local </w:t>
      </w:r>
      <w:r w:rsidR="005F4805">
        <w:rPr>
          <w:rFonts w:ascii="Book Antiqua" w:hAnsi="Book Antiqua"/>
          <w:sz w:val="26"/>
          <w:szCs w:val="26"/>
        </w:rPr>
        <w:t>government</w:t>
      </w:r>
      <w:r w:rsidR="00EC1FD1">
        <w:rPr>
          <w:rFonts w:ascii="Book Antiqua" w:hAnsi="Book Antiqua"/>
          <w:sz w:val="26"/>
          <w:szCs w:val="26"/>
        </w:rPr>
        <w:t>s</w:t>
      </w:r>
      <w:r w:rsidR="00F33CF9">
        <w:rPr>
          <w:rFonts w:ascii="Book Antiqua" w:hAnsi="Book Antiqua"/>
          <w:sz w:val="26"/>
          <w:szCs w:val="26"/>
        </w:rPr>
        <w:t>.</w:t>
      </w:r>
      <w:r w:rsidR="00D45699">
        <w:rPr>
          <w:rFonts w:ascii="Book Antiqua" w:hAnsi="Book Antiqua"/>
          <w:sz w:val="26"/>
          <w:szCs w:val="26"/>
        </w:rPr>
        <w:t xml:space="preserve"> </w:t>
      </w:r>
      <w:r w:rsidR="00F33CF9">
        <w:rPr>
          <w:rFonts w:ascii="Book Antiqua" w:hAnsi="Book Antiqua"/>
          <w:sz w:val="26"/>
          <w:szCs w:val="26"/>
        </w:rPr>
        <w:t xml:space="preserve"> </w:t>
      </w:r>
      <w:r w:rsidR="004D2A18">
        <w:rPr>
          <w:rFonts w:ascii="Book Antiqua" w:hAnsi="Book Antiqua"/>
          <w:sz w:val="26"/>
          <w:szCs w:val="26"/>
        </w:rPr>
        <w:t xml:space="preserve">Although not </w:t>
      </w:r>
      <w:proofErr w:type="gramStart"/>
      <w:r w:rsidR="004D2A18">
        <w:rPr>
          <w:rFonts w:ascii="Book Antiqua" w:hAnsi="Book Antiqua"/>
          <w:sz w:val="26"/>
          <w:szCs w:val="26"/>
        </w:rPr>
        <w:t>all of</w:t>
      </w:r>
      <w:proofErr w:type="gramEnd"/>
      <w:r w:rsidR="004D2A18">
        <w:rPr>
          <w:rFonts w:ascii="Book Antiqua" w:hAnsi="Book Antiqua"/>
          <w:sz w:val="26"/>
          <w:szCs w:val="26"/>
        </w:rPr>
        <w:t xml:space="preserve"> its provisions apply here, w</w:t>
      </w:r>
      <w:r>
        <w:rPr>
          <w:rFonts w:ascii="Book Antiqua" w:hAnsi="Book Antiqua"/>
          <w:sz w:val="26"/>
          <w:szCs w:val="26"/>
        </w:rPr>
        <w:t>e find that Resolution E-5076</w:t>
      </w:r>
      <w:r w:rsidR="004D2A18">
        <w:rPr>
          <w:rFonts w:ascii="Book Antiqua" w:hAnsi="Book Antiqua"/>
          <w:sz w:val="26"/>
          <w:szCs w:val="26"/>
        </w:rPr>
        <w:t xml:space="preserve"> provides useful guidance</w:t>
      </w:r>
      <w:r w:rsidR="009E576C">
        <w:rPr>
          <w:rFonts w:ascii="Book Antiqua" w:hAnsi="Book Antiqua"/>
          <w:sz w:val="26"/>
          <w:szCs w:val="26"/>
        </w:rPr>
        <w:t xml:space="preserve"> to identify </w:t>
      </w:r>
      <w:r w:rsidR="00F47B2E">
        <w:rPr>
          <w:rFonts w:ascii="Book Antiqua" w:hAnsi="Book Antiqua"/>
          <w:sz w:val="26"/>
          <w:szCs w:val="26"/>
        </w:rPr>
        <w:t xml:space="preserve">which tribe or tribes have a right of first offer to particular Frontier assets for sale and to resolve </w:t>
      </w:r>
      <w:r w:rsidR="00F47B2E">
        <w:rPr>
          <w:rFonts w:ascii="Book Antiqua" w:hAnsi="Book Antiqua"/>
          <w:sz w:val="26"/>
          <w:szCs w:val="26"/>
        </w:rPr>
        <w:lastRenderedPageBreak/>
        <w:t>competing asset claims.</w:t>
      </w:r>
      <w:r>
        <w:rPr>
          <w:rFonts w:ascii="Book Antiqua" w:hAnsi="Book Antiqua"/>
          <w:sz w:val="26"/>
          <w:szCs w:val="26"/>
        </w:rPr>
        <w:t xml:space="preserve"> </w:t>
      </w:r>
      <w:r w:rsidR="00D45699">
        <w:rPr>
          <w:rFonts w:ascii="Book Antiqua" w:hAnsi="Book Antiqua"/>
          <w:sz w:val="26"/>
          <w:szCs w:val="26"/>
        </w:rPr>
        <w:t xml:space="preserve"> </w:t>
      </w:r>
      <w:r w:rsidR="00176554">
        <w:rPr>
          <w:rFonts w:ascii="Book Antiqua" w:hAnsi="Book Antiqua"/>
          <w:sz w:val="26"/>
          <w:szCs w:val="26"/>
        </w:rPr>
        <w:t xml:space="preserve">After review of the parties’ comments </w:t>
      </w:r>
      <w:r w:rsidR="003A1BC0">
        <w:rPr>
          <w:rFonts w:ascii="Book Antiqua" w:hAnsi="Book Antiqua"/>
          <w:sz w:val="26"/>
          <w:szCs w:val="26"/>
        </w:rPr>
        <w:t xml:space="preserve">to the February 12, 2021 proposed decision </w:t>
      </w:r>
      <w:r w:rsidR="00176554">
        <w:rPr>
          <w:rFonts w:ascii="Book Antiqua" w:hAnsi="Book Antiqua"/>
          <w:sz w:val="26"/>
          <w:szCs w:val="26"/>
        </w:rPr>
        <w:t>and further consideration when a tribe and a local government have a competing claim for the same property, we believe it is appropriate to reflect the TLTP’s established preference for tribes by clarifying that a tribe will have a p</w:t>
      </w:r>
      <w:r w:rsidR="00D00798">
        <w:rPr>
          <w:rFonts w:ascii="Book Antiqua" w:hAnsi="Book Antiqua"/>
          <w:sz w:val="26"/>
          <w:szCs w:val="26"/>
        </w:rPr>
        <w:t>riority over</w:t>
      </w:r>
      <w:r w:rsidR="00176554">
        <w:rPr>
          <w:rFonts w:ascii="Book Antiqua" w:hAnsi="Book Antiqua"/>
          <w:sz w:val="26"/>
          <w:szCs w:val="26"/>
        </w:rPr>
        <w:t xml:space="preserve"> a local government regarding a competing claim to the same property.  </w:t>
      </w:r>
      <w:r w:rsidR="00242214">
        <w:rPr>
          <w:rFonts w:ascii="Book Antiqua" w:hAnsi="Book Antiqua"/>
          <w:sz w:val="26"/>
          <w:szCs w:val="26"/>
        </w:rPr>
        <w:t xml:space="preserve">Therefore, </w:t>
      </w:r>
      <w:r w:rsidR="00331378">
        <w:rPr>
          <w:rFonts w:ascii="Book Antiqua" w:hAnsi="Book Antiqua"/>
          <w:sz w:val="26"/>
          <w:szCs w:val="26"/>
        </w:rPr>
        <w:t xml:space="preserve">as set forth in Ordering Paragraph </w:t>
      </w:r>
      <w:r w:rsidR="002C1F2A">
        <w:rPr>
          <w:rFonts w:ascii="Book Antiqua" w:hAnsi="Book Antiqua"/>
          <w:sz w:val="26"/>
          <w:szCs w:val="26"/>
        </w:rPr>
        <w:t>4</w:t>
      </w:r>
      <w:r w:rsidR="00331378">
        <w:rPr>
          <w:rFonts w:ascii="Book Antiqua" w:hAnsi="Book Antiqua"/>
          <w:sz w:val="26"/>
          <w:szCs w:val="26"/>
        </w:rPr>
        <w:t xml:space="preserve">, </w:t>
      </w:r>
      <w:r w:rsidR="00C16532">
        <w:rPr>
          <w:rFonts w:ascii="Book Antiqua" w:hAnsi="Book Antiqua"/>
          <w:sz w:val="26"/>
          <w:szCs w:val="26"/>
        </w:rPr>
        <w:t>we</w:t>
      </w:r>
      <w:r w:rsidR="0080731C">
        <w:rPr>
          <w:rFonts w:ascii="Book Antiqua" w:hAnsi="Book Antiqua"/>
          <w:sz w:val="26"/>
          <w:szCs w:val="26"/>
        </w:rPr>
        <w:t xml:space="preserve"> condition </w:t>
      </w:r>
      <w:r w:rsidR="00242214">
        <w:rPr>
          <w:rFonts w:ascii="Book Antiqua" w:hAnsi="Book Antiqua"/>
          <w:sz w:val="26"/>
          <w:szCs w:val="26"/>
        </w:rPr>
        <w:t>Commission approval of the Restructuring</w:t>
      </w:r>
      <w:r w:rsidR="00D70F78">
        <w:rPr>
          <w:rFonts w:ascii="Book Antiqua" w:hAnsi="Book Antiqua"/>
          <w:sz w:val="26"/>
          <w:szCs w:val="26"/>
        </w:rPr>
        <w:t xml:space="preserve"> on the</w:t>
      </w:r>
      <w:r w:rsidR="00F47B2E">
        <w:rPr>
          <w:rFonts w:ascii="Book Antiqua" w:hAnsi="Book Antiqua"/>
          <w:sz w:val="26"/>
          <w:szCs w:val="26"/>
        </w:rPr>
        <w:t xml:space="preserve"> recognition of a right of first offer to</w:t>
      </w:r>
      <w:r w:rsidR="00D70F78">
        <w:rPr>
          <w:rFonts w:ascii="Book Antiqua" w:hAnsi="Book Antiqua"/>
          <w:sz w:val="26"/>
          <w:szCs w:val="26"/>
        </w:rPr>
        <w:t xml:space="preserve"> </w:t>
      </w:r>
      <w:r w:rsidR="00F47B2E">
        <w:rPr>
          <w:rFonts w:ascii="Book Antiqua" w:hAnsi="Book Antiqua"/>
          <w:sz w:val="26"/>
          <w:szCs w:val="26"/>
        </w:rPr>
        <w:t xml:space="preserve">tribes and </w:t>
      </w:r>
      <w:r w:rsidR="008B164D">
        <w:rPr>
          <w:rFonts w:ascii="Book Antiqua" w:hAnsi="Book Antiqua"/>
          <w:sz w:val="26"/>
          <w:szCs w:val="26"/>
        </w:rPr>
        <w:t>local governments</w:t>
      </w:r>
      <w:r w:rsidR="00D70F78">
        <w:rPr>
          <w:rFonts w:ascii="Book Antiqua" w:hAnsi="Book Antiqua"/>
          <w:sz w:val="26"/>
          <w:szCs w:val="26"/>
        </w:rPr>
        <w:t xml:space="preserve"> regarding a proposed sale or disposal of property by Frontier under Pub. Util</w:t>
      </w:r>
      <w:r w:rsidR="00F47B2E">
        <w:rPr>
          <w:rFonts w:ascii="Book Antiqua" w:hAnsi="Book Antiqua"/>
          <w:sz w:val="26"/>
          <w:szCs w:val="26"/>
        </w:rPr>
        <w:t>.</w:t>
      </w:r>
      <w:r w:rsidR="00D70F78">
        <w:rPr>
          <w:rFonts w:ascii="Book Antiqua" w:hAnsi="Book Antiqua"/>
          <w:sz w:val="26"/>
          <w:szCs w:val="26"/>
        </w:rPr>
        <w:t xml:space="preserve"> Code Section 851.</w:t>
      </w:r>
      <w:r w:rsidR="0080731C">
        <w:rPr>
          <w:rFonts w:ascii="Book Antiqua" w:hAnsi="Book Antiqua"/>
          <w:sz w:val="26"/>
          <w:szCs w:val="26"/>
        </w:rPr>
        <w:t xml:space="preserve"> </w:t>
      </w:r>
    </w:p>
    <w:p w:rsidR="007E6F6B" w:rsidP="00D45699" w:rsidRDefault="00AC196C" w14:paraId="36A78B86" w14:textId="6B3AA2B9">
      <w:pPr>
        <w:pStyle w:val="Heading3"/>
        <w:ind w:left="2430" w:hanging="990"/>
      </w:pPr>
      <w:bookmarkStart w:name="_Toc67556523" w:id="29"/>
      <w:r>
        <w:t xml:space="preserve">Effect on Performance of </w:t>
      </w:r>
      <w:r w:rsidR="007C373E">
        <w:t>Frontier’s</w:t>
      </w:r>
      <w:r>
        <w:t xml:space="preserve"> Legal Obligations</w:t>
      </w:r>
      <w:r w:rsidR="00A73FFF">
        <w:t xml:space="preserve"> and Obligations as Carrier of Last Resort and Eligible Telecommunications Carrier</w:t>
      </w:r>
      <w:bookmarkEnd w:id="29"/>
      <w:r w:rsidR="007E6F6B">
        <w:t xml:space="preserve">  </w:t>
      </w:r>
    </w:p>
    <w:p w:rsidR="007E6F6B" w:rsidP="00F8112F" w:rsidRDefault="007C373E" w14:paraId="25CAC4B4" w14:textId="04D45CAE">
      <w:pPr>
        <w:pStyle w:val="Default"/>
        <w:spacing w:line="360" w:lineRule="auto"/>
        <w:ind w:firstLine="720"/>
      </w:pPr>
      <w:r>
        <w:rPr>
          <w:rFonts w:ascii="Book Antiqua" w:hAnsi="Book Antiqua"/>
          <w:sz w:val="26"/>
          <w:szCs w:val="26"/>
        </w:rPr>
        <w:t>Scoping Memo Issue 12 asks whether the Restructuring affects the performance of Frontier’s obligations under and compliance with the terms and conditions of laws and Commission decisions, rules, orders, and resolutions</w:t>
      </w:r>
      <w:r w:rsidR="00275863">
        <w:rPr>
          <w:rFonts w:ascii="Book Antiqua" w:hAnsi="Book Antiqua"/>
          <w:sz w:val="26"/>
          <w:szCs w:val="26"/>
        </w:rPr>
        <w:t>, and Scoping Memo Issue 13 inquires whether the Restructuring affects the performance of Frontier’s obligations relating to its status as a Carrier of Last Resort and an Eligible Telecommunications Carrier</w:t>
      </w:r>
      <w:r w:rsidR="00F4119E">
        <w:rPr>
          <w:rFonts w:ascii="Book Antiqua" w:hAnsi="Book Antiqua"/>
          <w:sz w:val="26"/>
          <w:szCs w:val="26"/>
        </w:rPr>
        <w:t xml:space="preserve">.  </w:t>
      </w:r>
      <w:r w:rsidR="00574FE6">
        <w:rPr>
          <w:rFonts w:ascii="Book Antiqua" w:hAnsi="Book Antiqua"/>
          <w:sz w:val="26"/>
          <w:szCs w:val="26"/>
        </w:rPr>
        <w:t xml:space="preserve">Frontier states that it will continue to operate in </w:t>
      </w:r>
      <w:r w:rsidR="00262096">
        <w:rPr>
          <w:rFonts w:ascii="Book Antiqua" w:hAnsi="Book Antiqua"/>
          <w:sz w:val="26"/>
          <w:szCs w:val="26"/>
        </w:rPr>
        <w:t>ac</w:t>
      </w:r>
      <w:r w:rsidR="00574FE6">
        <w:rPr>
          <w:rFonts w:ascii="Book Antiqua" w:hAnsi="Book Antiqua"/>
          <w:sz w:val="26"/>
          <w:szCs w:val="26"/>
        </w:rPr>
        <w:t>cordance with the Commission’s decisions, policies, rules, and regulations.</w:t>
      </w:r>
      <w:r w:rsidR="00574FE6">
        <w:rPr>
          <w:rStyle w:val="FootnoteReference"/>
          <w:rFonts w:ascii="Book Antiqua" w:hAnsi="Book Antiqua"/>
          <w:sz w:val="26"/>
          <w:szCs w:val="26"/>
        </w:rPr>
        <w:footnoteReference w:id="106"/>
      </w:r>
      <w:r w:rsidR="00574FE6">
        <w:rPr>
          <w:rFonts w:ascii="Book Antiqua" w:hAnsi="Book Antiqua"/>
          <w:sz w:val="26"/>
          <w:szCs w:val="26"/>
        </w:rPr>
        <w:t xml:space="preserve"> </w:t>
      </w:r>
      <w:r w:rsidR="00D45699">
        <w:rPr>
          <w:rFonts w:ascii="Book Antiqua" w:hAnsi="Book Antiqua"/>
          <w:sz w:val="26"/>
          <w:szCs w:val="26"/>
        </w:rPr>
        <w:t xml:space="preserve"> </w:t>
      </w:r>
      <w:r w:rsidR="00DE1E5D">
        <w:rPr>
          <w:rFonts w:ascii="Book Antiqua" w:hAnsi="Book Antiqua"/>
          <w:sz w:val="26"/>
          <w:szCs w:val="26"/>
        </w:rPr>
        <w:t xml:space="preserve">Frontier </w:t>
      </w:r>
      <w:r w:rsidR="00425512">
        <w:rPr>
          <w:rFonts w:ascii="Book Antiqua" w:hAnsi="Book Antiqua"/>
          <w:sz w:val="26"/>
          <w:szCs w:val="26"/>
        </w:rPr>
        <w:t xml:space="preserve">also </w:t>
      </w:r>
      <w:r w:rsidR="00DE1E5D">
        <w:rPr>
          <w:rFonts w:ascii="Book Antiqua" w:hAnsi="Book Antiqua"/>
          <w:sz w:val="26"/>
          <w:szCs w:val="26"/>
        </w:rPr>
        <w:t xml:space="preserve">states that it intends to </w:t>
      </w:r>
      <w:r w:rsidR="00262096">
        <w:rPr>
          <w:rFonts w:ascii="Book Antiqua" w:hAnsi="Book Antiqua"/>
          <w:sz w:val="26"/>
          <w:szCs w:val="26"/>
        </w:rPr>
        <w:t>ac</w:t>
      </w:r>
      <w:r w:rsidR="00DE1E5D">
        <w:rPr>
          <w:rFonts w:ascii="Book Antiqua" w:hAnsi="Book Antiqua"/>
          <w:sz w:val="26"/>
          <w:szCs w:val="26"/>
        </w:rPr>
        <w:t xml:space="preserve">t in </w:t>
      </w:r>
      <w:r w:rsidR="00262096">
        <w:rPr>
          <w:rFonts w:ascii="Book Antiqua" w:hAnsi="Book Antiqua"/>
          <w:sz w:val="26"/>
          <w:szCs w:val="26"/>
        </w:rPr>
        <w:t>ac</w:t>
      </w:r>
      <w:r w:rsidR="00DE1E5D">
        <w:rPr>
          <w:rFonts w:ascii="Book Antiqua" w:hAnsi="Book Antiqua"/>
          <w:sz w:val="26"/>
          <w:szCs w:val="26"/>
        </w:rPr>
        <w:t>cordance with the remaining applicable terms of the October 23, 2015 Memorandum of Understanding with CETF, the July 22, 2016 Implementation Agreement between Frontier and CETF, and the January 14, 2019 Settlement Agreement approved in D.19-03-017.</w:t>
      </w:r>
      <w:r w:rsidR="00DE1E5D">
        <w:rPr>
          <w:rStyle w:val="FootnoteReference"/>
          <w:rFonts w:ascii="Book Antiqua" w:hAnsi="Book Antiqua"/>
          <w:sz w:val="26"/>
          <w:szCs w:val="26"/>
        </w:rPr>
        <w:footnoteReference w:id="107"/>
      </w:r>
      <w:r w:rsidR="00DE1E5D">
        <w:rPr>
          <w:rFonts w:ascii="Book Antiqua" w:hAnsi="Book Antiqua"/>
          <w:sz w:val="26"/>
          <w:szCs w:val="26"/>
        </w:rPr>
        <w:t xml:space="preserve"> </w:t>
      </w:r>
      <w:r w:rsidR="00D45699">
        <w:rPr>
          <w:rFonts w:ascii="Book Antiqua" w:hAnsi="Book Antiqua"/>
          <w:sz w:val="26"/>
          <w:szCs w:val="26"/>
        </w:rPr>
        <w:t xml:space="preserve"> </w:t>
      </w:r>
      <w:r w:rsidR="00DE1E5D">
        <w:rPr>
          <w:rFonts w:ascii="Book Antiqua" w:hAnsi="Book Antiqua"/>
          <w:sz w:val="26"/>
          <w:szCs w:val="26"/>
        </w:rPr>
        <w:t xml:space="preserve">In addition, the Plan confirmed by the Bankruptcy Court on </w:t>
      </w:r>
      <w:r w:rsidR="00DE1E5D">
        <w:rPr>
          <w:rFonts w:ascii="Book Antiqua" w:hAnsi="Book Antiqua"/>
          <w:sz w:val="26"/>
          <w:szCs w:val="26"/>
        </w:rPr>
        <w:lastRenderedPageBreak/>
        <w:t>August 27, 2020 provides for Frontier’s assumption of all executory contr</w:t>
      </w:r>
      <w:r w:rsidR="00262096">
        <w:rPr>
          <w:rFonts w:ascii="Book Antiqua" w:hAnsi="Book Antiqua"/>
          <w:sz w:val="26"/>
          <w:szCs w:val="26"/>
        </w:rPr>
        <w:t>ac</w:t>
      </w:r>
      <w:r w:rsidR="00DE1E5D">
        <w:rPr>
          <w:rFonts w:ascii="Book Antiqua" w:hAnsi="Book Antiqua"/>
          <w:sz w:val="26"/>
          <w:szCs w:val="26"/>
        </w:rPr>
        <w:t xml:space="preserve">ts as of the </w:t>
      </w:r>
      <w:r w:rsidR="004B18BA">
        <w:rPr>
          <w:rFonts w:ascii="Book Antiqua" w:hAnsi="Book Antiqua"/>
          <w:sz w:val="26"/>
          <w:szCs w:val="26"/>
        </w:rPr>
        <w:t>E</w:t>
      </w:r>
      <w:r w:rsidR="00DE1E5D">
        <w:rPr>
          <w:rFonts w:ascii="Book Antiqua" w:hAnsi="Book Antiqua"/>
          <w:sz w:val="26"/>
          <w:szCs w:val="26"/>
        </w:rPr>
        <w:t xml:space="preserve">ffective </w:t>
      </w:r>
      <w:r w:rsidR="004B18BA">
        <w:rPr>
          <w:rFonts w:ascii="Book Antiqua" w:hAnsi="Book Antiqua"/>
          <w:sz w:val="26"/>
          <w:szCs w:val="26"/>
        </w:rPr>
        <w:t>D</w:t>
      </w:r>
      <w:r w:rsidR="00DE1E5D">
        <w:rPr>
          <w:rFonts w:ascii="Book Antiqua" w:hAnsi="Book Antiqua"/>
          <w:sz w:val="26"/>
          <w:szCs w:val="26"/>
        </w:rPr>
        <w:t xml:space="preserve">ate </w:t>
      </w:r>
      <w:r w:rsidR="00826C5B">
        <w:rPr>
          <w:rFonts w:ascii="Book Antiqua" w:hAnsi="Book Antiqua"/>
          <w:sz w:val="26"/>
          <w:szCs w:val="26"/>
        </w:rPr>
        <w:t>of the Restructuring.</w:t>
      </w:r>
      <w:r w:rsidR="00826C5B">
        <w:rPr>
          <w:rStyle w:val="FootnoteReference"/>
          <w:rFonts w:ascii="Book Antiqua" w:hAnsi="Book Antiqua"/>
          <w:sz w:val="26"/>
          <w:szCs w:val="26"/>
        </w:rPr>
        <w:footnoteReference w:id="108"/>
      </w:r>
      <w:r w:rsidR="00826C5B">
        <w:rPr>
          <w:rFonts w:ascii="Book Antiqua" w:hAnsi="Book Antiqua"/>
          <w:sz w:val="26"/>
          <w:szCs w:val="26"/>
        </w:rPr>
        <w:t xml:space="preserve"> </w:t>
      </w:r>
      <w:r w:rsidR="00D45699">
        <w:rPr>
          <w:rFonts w:ascii="Book Antiqua" w:hAnsi="Book Antiqua"/>
          <w:sz w:val="26"/>
          <w:szCs w:val="26"/>
        </w:rPr>
        <w:t xml:space="preserve"> </w:t>
      </w:r>
      <w:r w:rsidR="00F8112F">
        <w:rPr>
          <w:rFonts w:ascii="Book Antiqua" w:hAnsi="Book Antiqua"/>
          <w:sz w:val="26"/>
          <w:szCs w:val="26"/>
        </w:rPr>
        <w:t>Frontier has also state</w:t>
      </w:r>
      <w:r w:rsidR="00425512">
        <w:rPr>
          <w:rFonts w:ascii="Book Antiqua" w:hAnsi="Book Antiqua"/>
          <w:sz w:val="26"/>
          <w:szCs w:val="26"/>
        </w:rPr>
        <w:t>d</w:t>
      </w:r>
      <w:r w:rsidR="00F8112F">
        <w:rPr>
          <w:rFonts w:ascii="Book Antiqua" w:hAnsi="Book Antiqua"/>
          <w:sz w:val="26"/>
          <w:szCs w:val="26"/>
        </w:rPr>
        <w:t xml:space="preserve"> that it intends to fulfill its remaining applicable broadband-related commitments reflected in D.15-12-005, the decision approving the settlements in the Verizon </w:t>
      </w:r>
      <w:r w:rsidR="00555C0B">
        <w:rPr>
          <w:rFonts w:ascii="Book Antiqua" w:hAnsi="Book Antiqua"/>
          <w:sz w:val="26"/>
          <w:szCs w:val="26"/>
        </w:rPr>
        <w:t>A</w:t>
      </w:r>
      <w:r w:rsidR="005B14D3">
        <w:rPr>
          <w:rFonts w:ascii="Book Antiqua" w:hAnsi="Book Antiqua"/>
          <w:sz w:val="26"/>
          <w:szCs w:val="26"/>
        </w:rPr>
        <w:t>c</w:t>
      </w:r>
      <w:r w:rsidR="00F8112F">
        <w:rPr>
          <w:rFonts w:ascii="Book Antiqua" w:hAnsi="Book Antiqua"/>
          <w:sz w:val="26"/>
          <w:szCs w:val="26"/>
        </w:rPr>
        <w:t>quisition proceeding.</w:t>
      </w:r>
      <w:r w:rsidR="00F8112F">
        <w:rPr>
          <w:rStyle w:val="FootnoteReference"/>
          <w:rFonts w:ascii="Book Antiqua" w:hAnsi="Book Antiqua"/>
          <w:sz w:val="26"/>
          <w:szCs w:val="26"/>
        </w:rPr>
        <w:footnoteReference w:id="109"/>
      </w:r>
      <w:r w:rsidR="00574FE6">
        <w:rPr>
          <w:rFonts w:ascii="Book Antiqua" w:hAnsi="Book Antiqua"/>
          <w:sz w:val="26"/>
          <w:szCs w:val="26"/>
        </w:rPr>
        <w:t xml:space="preserve"> </w:t>
      </w:r>
      <w:r w:rsidR="007E6F6B">
        <w:t xml:space="preserve"> </w:t>
      </w:r>
    </w:p>
    <w:p w:rsidR="007E6F6B" w:rsidP="00275863" w:rsidRDefault="002D6649" w14:paraId="6EE8EC41" w14:textId="5A670EF0">
      <w:pPr>
        <w:autoSpaceDE w:val="0"/>
        <w:autoSpaceDN w:val="0"/>
        <w:adjustRightInd w:val="0"/>
        <w:rPr>
          <w:rFonts w:cs="Times New Roman"/>
          <w:szCs w:val="26"/>
        </w:rPr>
      </w:pPr>
      <w:r>
        <w:rPr>
          <w:rFonts w:cs="Times New Roman"/>
          <w:szCs w:val="26"/>
        </w:rPr>
        <w:t xml:space="preserve">Frontier recognizes the following commitments made pursuant to a settlement agreement </w:t>
      </w:r>
      <w:r w:rsidRPr="002D6649">
        <w:rPr>
          <w:rFonts w:cs="Times New Roman"/>
          <w:szCs w:val="26"/>
        </w:rPr>
        <w:t>re</w:t>
      </w:r>
      <w:r>
        <w:rPr>
          <w:rFonts w:cs="Times New Roman"/>
          <w:szCs w:val="26"/>
        </w:rPr>
        <w:t>garding</w:t>
      </w:r>
      <w:r w:rsidRPr="002D6649">
        <w:rPr>
          <w:rFonts w:cs="Times New Roman"/>
          <w:szCs w:val="26"/>
        </w:rPr>
        <w:t xml:space="preserve"> the </w:t>
      </w:r>
      <w:r>
        <w:rPr>
          <w:rFonts w:cs="Times New Roman"/>
          <w:szCs w:val="26"/>
        </w:rPr>
        <w:t xml:space="preserve">Verizon </w:t>
      </w:r>
      <w:r w:rsidR="00555C0B">
        <w:rPr>
          <w:rFonts w:cs="Times New Roman"/>
          <w:szCs w:val="26"/>
        </w:rPr>
        <w:t>A</w:t>
      </w:r>
      <w:r w:rsidR="005B14D3">
        <w:rPr>
          <w:rFonts w:cs="Times New Roman"/>
          <w:szCs w:val="26"/>
        </w:rPr>
        <w:t>c</w:t>
      </w:r>
      <w:r>
        <w:rPr>
          <w:rFonts w:cs="Times New Roman"/>
          <w:szCs w:val="26"/>
        </w:rPr>
        <w:t xml:space="preserve">quisition: </w:t>
      </w:r>
      <w:r w:rsidRPr="002D6649">
        <w:rPr>
          <w:rFonts w:cs="Times New Roman"/>
          <w:szCs w:val="26"/>
        </w:rPr>
        <w:t xml:space="preserve">(1) </w:t>
      </w:r>
      <w:r w:rsidR="005B14D3">
        <w:rPr>
          <w:rFonts w:cs="Times New Roman"/>
          <w:szCs w:val="26"/>
        </w:rPr>
        <w:t>ac</w:t>
      </w:r>
      <w:r w:rsidRPr="002D6649">
        <w:rPr>
          <w:rFonts w:cs="Times New Roman"/>
          <w:szCs w:val="26"/>
        </w:rPr>
        <w:t>cept</w:t>
      </w:r>
      <w:r w:rsidR="005B14D3">
        <w:rPr>
          <w:rFonts w:cs="Times New Roman"/>
          <w:szCs w:val="26"/>
        </w:rPr>
        <w:t>ance of</w:t>
      </w:r>
      <w:r w:rsidRPr="002D6649">
        <w:rPr>
          <w:rFonts w:cs="Times New Roman"/>
          <w:szCs w:val="26"/>
        </w:rPr>
        <w:t xml:space="preserve"> CAF II funding to upgrade 90,000</w:t>
      </w:r>
      <w:r>
        <w:rPr>
          <w:rFonts w:cs="Times New Roman"/>
          <w:szCs w:val="26"/>
        </w:rPr>
        <w:t xml:space="preserve"> </w:t>
      </w:r>
      <w:r w:rsidRPr="002D6649">
        <w:rPr>
          <w:rFonts w:cs="Times New Roman"/>
          <w:szCs w:val="26"/>
        </w:rPr>
        <w:t xml:space="preserve">locations in California; (2) broadband </w:t>
      </w:r>
      <w:r w:rsidR="005B14D3">
        <w:rPr>
          <w:rFonts w:cs="Times New Roman"/>
          <w:szCs w:val="26"/>
        </w:rPr>
        <w:t xml:space="preserve">deployment </w:t>
      </w:r>
      <w:r w:rsidRPr="002D6649">
        <w:rPr>
          <w:rFonts w:cs="Times New Roman"/>
          <w:szCs w:val="26"/>
        </w:rPr>
        <w:t>to an additional 100,000</w:t>
      </w:r>
      <w:r>
        <w:rPr>
          <w:rFonts w:cs="Times New Roman"/>
          <w:szCs w:val="26"/>
        </w:rPr>
        <w:t xml:space="preserve"> </w:t>
      </w:r>
      <w:r w:rsidRPr="002D6649">
        <w:rPr>
          <w:rFonts w:cs="Times New Roman"/>
          <w:szCs w:val="26"/>
        </w:rPr>
        <w:t>households at 10</w:t>
      </w:r>
      <w:r w:rsidR="005B14D3">
        <w:rPr>
          <w:rFonts w:cs="Times New Roman"/>
          <w:szCs w:val="26"/>
        </w:rPr>
        <w:t>/1</w:t>
      </w:r>
      <w:r w:rsidRPr="002D6649">
        <w:rPr>
          <w:rFonts w:cs="Times New Roman"/>
          <w:szCs w:val="26"/>
        </w:rPr>
        <w:t xml:space="preserve"> Mbp</w:t>
      </w:r>
      <w:r w:rsidR="005B14D3">
        <w:rPr>
          <w:rFonts w:cs="Times New Roman"/>
          <w:szCs w:val="26"/>
        </w:rPr>
        <w:t>s</w:t>
      </w:r>
      <w:r w:rsidRPr="002D6649">
        <w:rPr>
          <w:rFonts w:cs="Times New Roman"/>
          <w:szCs w:val="26"/>
        </w:rPr>
        <w:t xml:space="preserve"> by 2020; (</w:t>
      </w:r>
      <w:r w:rsidR="006B58E9">
        <w:rPr>
          <w:rFonts w:cs="Times New Roman"/>
          <w:szCs w:val="26"/>
        </w:rPr>
        <w:t>3</w:t>
      </w:r>
      <w:r w:rsidRPr="002D6649">
        <w:rPr>
          <w:rFonts w:cs="Times New Roman"/>
          <w:szCs w:val="26"/>
        </w:rPr>
        <w:t xml:space="preserve">) broadband speed </w:t>
      </w:r>
      <w:r w:rsidR="005B14D3">
        <w:rPr>
          <w:rFonts w:cs="Times New Roman"/>
          <w:szCs w:val="26"/>
        </w:rPr>
        <w:t xml:space="preserve">augmentation </w:t>
      </w:r>
      <w:r w:rsidRPr="002D6649">
        <w:rPr>
          <w:rFonts w:cs="Times New Roman"/>
          <w:szCs w:val="26"/>
        </w:rPr>
        <w:t>for 250,000 households to</w:t>
      </w:r>
      <w:r>
        <w:rPr>
          <w:rFonts w:cs="Times New Roman"/>
          <w:szCs w:val="26"/>
        </w:rPr>
        <w:t xml:space="preserve"> </w:t>
      </w:r>
      <w:r w:rsidRPr="002D6649">
        <w:rPr>
          <w:rFonts w:cs="Times New Roman"/>
          <w:szCs w:val="26"/>
        </w:rPr>
        <w:t>6/1 Mbps by 2022; and (</w:t>
      </w:r>
      <w:r w:rsidR="006B58E9">
        <w:rPr>
          <w:rFonts w:cs="Times New Roman"/>
          <w:szCs w:val="26"/>
        </w:rPr>
        <w:t>4</w:t>
      </w:r>
      <w:r w:rsidRPr="002D6649">
        <w:rPr>
          <w:rFonts w:cs="Times New Roman"/>
          <w:szCs w:val="26"/>
        </w:rPr>
        <w:t>) broadband speed</w:t>
      </w:r>
      <w:r w:rsidR="005B14D3">
        <w:rPr>
          <w:rFonts w:cs="Times New Roman"/>
          <w:szCs w:val="26"/>
        </w:rPr>
        <w:t xml:space="preserve"> augmentation</w:t>
      </w:r>
      <w:r w:rsidRPr="002D6649">
        <w:rPr>
          <w:rFonts w:cs="Times New Roman"/>
          <w:szCs w:val="26"/>
        </w:rPr>
        <w:t xml:space="preserve"> for an additional 400,000</w:t>
      </w:r>
      <w:r>
        <w:rPr>
          <w:rFonts w:cs="Times New Roman"/>
          <w:szCs w:val="26"/>
        </w:rPr>
        <w:t xml:space="preserve"> </w:t>
      </w:r>
      <w:r w:rsidRPr="002D6649">
        <w:rPr>
          <w:rFonts w:cs="Times New Roman"/>
          <w:szCs w:val="26"/>
        </w:rPr>
        <w:t>households up to 25/2 Mbps by 2022.</w:t>
      </w:r>
      <w:r w:rsidR="00D45699">
        <w:rPr>
          <w:rFonts w:cs="Times New Roman"/>
          <w:szCs w:val="26"/>
        </w:rPr>
        <w:t xml:space="preserve"> </w:t>
      </w:r>
      <w:r w:rsidR="006B58E9">
        <w:rPr>
          <w:rFonts w:cs="Times New Roman"/>
          <w:szCs w:val="26"/>
        </w:rPr>
        <w:t xml:space="preserve"> Frontier states that it has met or is on tr</w:t>
      </w:r>
      <w:r w:rsidR="005B14D3">
        <w:rPr>
          <w:rFonts w:cs="Times New Roman"/>
          <w:szCs w:val="26"/>
        </w:rPr>
        <w:t>ac</w:t>
      </w:r>
      <w:r w:rsidR="006B58E9">
        <w:rPr>
          <w:rFonts w:cs="Times New Roman"/>
          <w:szCs w:val="26"/>
        </w:rPr>
        <w:t>k to complete these commitments.</w:t>
      </w:r>
      <w:r>
        <w:rPr>
          <w:rStyle w:val="FootnoteReference"/>
          <w:rFonts w:cs="Times New Roman"/>
          <w:szCs w:val="26"/>
        </w:rPr>
        <w:footnoteReference w:id="110"/>
      </w:r>
      <w:r w:rsidR="001509D2">
        <w:rPr>
          <w:rFonts w:cs="Times New Roman"/>
          <w:szCs w:val="26"/>
        </w:rPr>
        <w:t xml:space="preserve"> </w:t>
      </w:r>
      <w:r w:rsidR="00392FE0">
        <w:rPr>
          <w:rFonts w:cs="Times New Roman"/>
          <w:szCs w:val="26"/>
        </w:rPr>
        <w:t xml:space="preserve"> </w:t>
      </w:r>
      <w:r w:rsidR="001509D2">
        <w:rPr>
          <w:rFonts w:cs="Times New Roman"/>
          <w:szCs w:val="26"/>
        </w:rPr>
        <w:t xml:space="preserve">However, Frontier does not believe it is proper to revise the issues and commitments made in the Verizon </w:t>
      </w:r>
      <w:r w:rsidR="00555C0B">
        <w:rPr>
          <w:rFonts w:cs="Times New Roman"/>
          <w:szCs w:val="26"/>
        </w:rPr>
        <w:t>A</w:t>
      </w:r>
      <w:r w:rsidR="005B14D3">
        <w:rPr>
          <w:rFonts w:cs="Times New Roman"/>
          <w:szCs w:val="26"/>
        </w:rPr>
        <w:t>c</w:t>
      </w:r>
      <w:r w:rsidR="001509D2">
        <w:rPr>
          <w:rFonts w:cs="Times New Roman"/>
          <w:szCs w:val="26"/>
        </w:rPr>
        <w:t>quisition.</w:t>
      </w:r>
      <w:r w:rsidR="001509D2">
        <w:rPr>
          <w:rStyle w:val="FootnoteReference"/>
          <w:rFonts w:cs="Times New Roman"/>
          <w:szCs w:val="26"/>
        </w:rPr>
        <w:footnoteReference w:id="111"/>
      </w:r>
    </w:p>
    <w:p w:rsidRPr="002D6649" w:rsidR="00275863" w:rsidP="00275863" w:rsidRDefault="00275863" w14:paraId="63320EEE" w14:textId="563332F2">
      <w:pPr>
        <w:autoSpaceDE w:val="0"/>
        <w:autoSpaceDN w:val="0"/>
        <w:adjustRightInd w:val="0"/>
        <w:rPr>
          <w:rFonts w:cs="Times New Roman"/>
          <w:szCs w:val="26"/>
        </w:rPr>
      </w:pPr>
      <w:r>
        <w:rPr>
          <w:rFonts w:cs="Times New Roman"/>
          <w:szCs w:val="26"/>
        </w:rPr>
        <w:t>The evidentiary record does not reflect that the Restructuring will adversely affect Frontier’s performance of its legal obligatio</w:t>
      </w:r>
      <w:r w:rsidR="00D53B01">
        <w:rPr>
          <w:rFonts w:cs="Times New Roman"/>
          <w:szCs w:val="26"/>
        </w:rPr>
        <w:t>ns,</w:t>
      </w:r>
      <w:r w:rsidR="00A73FFF">
        <w:rPr>
          <w:rFonts w:cs="Times New Roman"/>
          <w:szCs w:val="26"/>
        </w:rPr>
        <w:t xml:space="preserve"> </w:t>
      </w:r>
      <w:r w:rsidR="00D53B01">
        <w:rPr>
          <w:rFonts w:cs="Times New Roman"/>
          <w:szCs w:val="26"/>
        </w:rPr>
        <w:t>including its</w:t>
      </w:r>
      <w:r w:rsidR="00A73FFF">
        <w:rPr>
          <w:rFonts w:cs="Times New Roman"/>
          <w:szCs w:val="26"/>
        </w:rPr>
        <w:t xml:space="preserve"> obligations as a Carrier of Last Resort and an Eligible Telecommunications Carrier</w:t>
      </w:r>
      <w:r>
        <w:rPr>
          <w:rFonts w:cs="Times New Roman"/>
          <w:szCs w:val="26"/>
        </w:rPr>
        <w:t>.</w:t>
      </w:r>
    </w:p>
    <w:p w:rsidR="007E6F6B" w:rsidP="00D45699" w:rsidRDefault="007E6F6B" w14:paraId="78BC62A9" w14:textId="71A0C55D">
      <w:pPr>
        <w:pStyle w:val="Heading3"/>
        <w:ind w:left="2520" w:hanging="1080"/>
      </w:pPr>
      <w:bookmarkStart w:name="_Toc67556524" w:id="30"/>
      <w:r>
        <w:t>E</w:t>
      </w:r>
      <w:r w:rsidR="00AC196C">
        <w:t>ffect on Rates and Prices Charge</w:t>
      </w:r>
      <w:r w:rsidR="00FE1B35">
        <w:t>d</w:t>
      </w:r>
      <w:r w:rsidR="00AC196C">
        <w:t xml:space="preserve"> </w:t>
      </w:r>
      <w:r w:rsidR="00D45699">
        <w:br/>
      </w:r>
      <w:r w:rsidR="00AC196C">
        <w:t xml:space="preserve">to Ratepayers and </w:t>
      </w:r>
      <w:proofErr w:type="gramStart"/>
      <w:r w:rsidR="00AC196C">
        <w:t>Customers</w:t>
      </w:r>
      <w:bookmarkEnd w:id="30"/>
      <w:proofErr w:type="gramEnd"/>
      <w:r>
        <w:t xml:space="preserve">  </w:t>
      </w:r>
    </w:p>
    <w:p w:rsidR="00D53B01" w:rsidP="00D53B01" w:rsidRDefault="00275863" w14:paraId="40430F6F" w14:textId="4E2F771A">
      <w:pPr>
        <w:pStyle w:val="Default"/>
        <w:spacing w:line="360" w:lineRule="auto"/>
        <w:ind w:firstLine="720"/>
        <w:rPr>
          <w:rFonts w:ascii="Book Antiqua" w:hAnsi="Book Antiqua"/>
          <w:sz w:val="26"/>
          <w:szCs w:val="26"/>
        </w:rPr>
      </w:pPr>
      <w:r>
        <w:rPr>
          <w:rFonts w:ascii="Book Antiqua" w:hAnsi="Book Antiqua"/>
          <w:sz w:val="26"/>
          <w:szCs w:val="26"/>
        </w:rPr>
        <w:t xml:space="preserve">Scoping Memo Issue </w:t>
      </w:r>
      <w:r w:rsidR="00A73FFF">
        <w:rPr>
          <w:rFonts w:ascii="Book Antiqua" w:hAnsi="Book Antiqua"/>
          <w:sz w:val="26"/>
          <w:szCs w:val="26"/>
        </w:rPr>
        <w:t>14 asks whether the Restructuring affects the rate or price charged to Frontier ratepayer</w:t>
      </w:r>
      <w:r w:rsidR="00D53B01">
        <w:rPr>
          <w:rFonts w:ascii="Book Antiqua" w:hAnsi="Book Antiqua"/>
          <w:sz w:val="26"/>
          <w:szCs w:val="26"/>
        </w:rPr>
        <w:t>s</w:t>
      </w:r>
      <w:r w:rsidR="00A73FFF">
        <w:rPr>
          <w:rFonts w:ascii="Book Antiqua" w:hAnsi="Book Antiqua"/>
          <w:sz w:val="26"/>
          <w:szCs w:val="26"/>
        </w:rPr>
        <w:t xml:space="preserve"> or customer</w:t>
      </w:r>
      <w:r w:rsidR="00D53B01">
        <w:rPr>
          <w:rFonts w:ascii="Book Antiqua" w:hAnsi="Book Antiqua"/>
          <w:sz w:val="26"/>
          <w:szCs w:val="26"/>
        </w:rPr>
        <w:t>s</w:t>
      </w:r>
      <w:r w:rsidR="00A73FFF">
        <w:rPr>
          <w:rFonts w:ascii="Book Antiqua" w:hAnsi="Book Antiqua"/>
          <w:sz w:val="26"/>
          <w:szCs w:val="26"/>
        </w:rPr>
        <w:t>.</w:t>
      </w:r>
      <w:r w:rsidR="00D53B01">
        <w:rPr>
          <w:rFonts w:ascii="Book Antiqua" w:hAnsi="Book Antiqua"/>
          <w:sz w:val="26"/>
          <w:szCs w:val="26"/>
        </w:rPr>
        <w:t xml:space="preserve"> </w:t>
      </w:r>
      <w:r w:rsidR="00D45699">
        <w:rPr>
          <w:rFonts w:ascii="Book Antiqua" w:hAnsi="Book Antiqua"/>
          <w:sz w:val="26"/>
          <w:szCs w:val="26"/>
        </w:rPr>
        <w:t xml:space="preserve"> </w:t>
      </w:r>
      <w:r w:rsidR="00D53B01">
        <w:rPr>
          <w:rFonts w:ascii="Book Antiqua" w:hAnsi="Book Antiqua"/>
          <w:sz w:val="26"/>
          <w:szCs w:val="26"/>
        </w:rPr>
        <w:t xml:space="preserve">Before the Settlement </w:t>
      </w:r>
      <w:r w:rsidR="00D53B01">
        <w:rPr>
          <w:rFonts w:ascii="Book Antiqua" w:hAnsi="Book Antiqua"/>
          <w:sz w:val="26"/>
          <w:szCs w:val="26"/>
        </w:rPr>
        <w:lastRenderedPageBreak/>
        <w:t>Agreements, Cal Advocates proposed that Frontier be required to maintain its current rates for its low-income broadband plans</w:t>
      </w:r>
      <w:r w:rsidR="00D53B01">
        <w:rPr>
          <w:rStyle w:val="FootnoteReference"/>
          <w:rFonts w:ascii="Book Antiqua" w:hAnsi="Book Antiqua"/>
          <w:sz w:val="26"/>
          <w:szCs w:val="26"/>
        </w:rPr>
        <w:footnoteReference w:id="112"/>
      </w:r>
      <w:r w:rsidR="00D53B01">
        <w:rPr>
          <w:rFonts w:ascii="Book Antiqua" w:hAnsi="Book Antiqua"/>
          <w:sz w:val="26"/>
          <w:szCs w:val="26"/>
        </w:rPr>
        <w:t xml:space="preserve"> for at least three years after Commission approval of the Restructuring while ensuring Internet speeds at or greater than the Federal Communications Commission </w:t>
      </w:r>
      <w:r w:rsidR="005B14D3">
        <w:rPr>
          <w:rFonts w:ascii="Book Antiqua" w:hAnsi="Book Antiqua"/>
          <w:sz w:val="26"/>
          <w:szCs w:val="26"/>
        </w:rPr>
        <w:t xml:space="preserve">(FCC) </w:t>
      </w:r>
      <w:r w:rsidR="0010368D">
        <w:rPr>
          <w:rFonts w:ascii="Book Antiqua" w:hAnsi="Book Antiqua"/>
          <w:sz w:val="26"/>
          <w:szCs w:val="26"/>
        </w:rPr>
        <w:t xml:space="preserve">Lifeline </w:t>
      </w:r>
      <w:r w:rsidR="00D53B01">
        <w:rPr>
          <w:rFonts w:ascii="Book Antiqua" w:hAnsi="Book Antiqua"/>
          <w:sz w:val="26"/>
          <w:szCs w:val="26"/>
        </w:rPr>
        <w:t>program.</w:t>
      </w:r>
      <w:r w:rsidR="00D53B01">
        <w:rPr>
          <w:rStyle w:val="FootnoteReference"/>
          <w:rFonts w:ascii="Book Antiqua" w:hAnsi="Book Antiqua"/>
          <w:sz w:val="26"/>
          <w:szCs w:val="26"/>
        </w:rPr>
        <w:footnoteReference w:id="113"/>
      </w:r>
      <w:r w:rsidR="00D53B01">
        <w:rPr>
          <w:rFonts w:ascii="Book Antiqua" w:hAnsi="Book Antiqua"/>
          <w:sz w:val="26"/>
          <w:szCs w:val="26"/>
        </w:rPr>
        <w:t xml:space="preserve"> </w:t>
      </w:r>
      <w:r w:rsidR="00D45699">
        <w:rPr>
          <w:rFonts w:ascii="Book Antiqua" w:hAnsi="Book Antiqua"/>
          <w:sz w:val="26"/>
          <w:szCs w:val="26"/>
        </w:rPr>
        <w:t xml:space="preserve"> </w:t>
      </w:r>
      <w:r w:rsidR="00D53B01">
        <w:rPr>
          <w:rFonts w:ascii="Book Antiqua" w:hAnsi="Book Antiqua"/>
          <w:sz w:val="26"/>
          <w:szCs w:val="26"/>
        </w:rPr>
        <w:t>Cal Advocates also proposed that Frontier maintain its current rates for broadband only and bundled voice and broadband basic services for at least one year after Commission approval of the Restructuring.</w:t>
      </w:r>
      <w:r w:rsidR="00D53B01">
        <w:rPr>
          <w:rStyle w:val="FootnoteReference"/>
          <w:rFonts w:ascii="Book Antiqua" w:hAnsi="Book Antiqua"/>
          <w:sz w:val="26"/>
          <w:szCs w:val="26"/>
        </w:rPr>
        <w:footnoteReference w:id="114"/>
      </w:r>
    </w:p>
    <w:p w:rsidR="00D53B01" w:rsidP="00D53B01" w:rsidRDefault="00D53B01" w14:paraId="67B3F7DA" w14:textId="6D458153">
      <w:pPr>
        <w:pStyle w:val="Default"/>
        <w:spacing w:line="360" w:lineRule="auto"/>
        <w:ind w:firstLine="720"/>
        <w:rPr>
          <w:rFonts w:ascii="Book Antiqua" w:hAnsi="Book Antiqua"/>
          <w:sz w:val="26"/>
          <w:szCs w:val="26"/>
        </w:rPr>
      </w:pPr>
      <w:r>
        <w:rPr>
          <w:rFonts w:ascii="Book Antiqua" w:hAnsi="Book Antiqua"/>
          <w:sz w:val="26"/>
          <w:szCs w:val="26"/>
        </w:rPr>
        <w:t xml:space="preserve">Before the Settlement Agreements, TURN supported Cal </w:t>
      </w:r>
      <w:r w:rsidR="008B164D">
        <w:rPr>
          <w:rFonts w:ascii="Book Antiqua" w:hAnsi="Book Antiqua"/>
          <w:sz w:val="26"/>
          <w:szCs w:val="26"/>
        </w:rPr>
        <w:t>Advocates’</w:t>
      </w:r>
      <w:r>
        <w:rPr>
          <w:rFonts w:ascii="Book Antiqua" w:hAnsi="Book Antiqua"/>
          <w:sz w:val="26"/>
          <w:szCs w:val="26"/>
        </w:rPr>
        <w:t xml:space="preserve"> proposed price freeze on Frontier’s current low-income plans at the same or better speeds and performance.</w:t>
      </w:r>
      <w:r w:rsidR="00D45699">
        <w:rPr>
          <w:rFonts w:ascii="Book Antiqua" w:hAnsi="Book Antiqua"/>
          <w:sz w:val="26"/>
          <w:szCs w:val="26"/>
        </w:rPr>
        <w:t xml:space="preserve"> </w:t>
      </w:r>
      <w:r>
        <w:rPr>
          <w:rFonts w:ascii="Book Antiqua" w:hAnsi="Book Antiqua"/>
          <w:sz w:val="26"/>
          <w:szCs w:val="26"/>
        </w:rPr>
        <w:t xml:space="preserve"> TURN also proposed a one-year price freeze on all Frontier voice and broadband plans in California.</w:t>
      </w:r>
      <w:r>
        <w:rPr>
          <w:rStyle w:val="FootnoteReference"/>
          <w:rFonts w:ascii="Book Antiqua" w:hAnsi="Book Antiqua"/>
          <w:sz w:val="26"/>
          <w:szCs w:val="26"/>
        </w:rPr>
        <w:footnoteReference w:id="115"/>
      </w:r>
      <w:r>
        <w:rPr>
          <w:rFonts w:ascii="Book Antiqua" w:hAnsi="Book Antiqua"/>
          <w:sz w:val="26"/>
          <w:szCs w:val="26"/>
        </w:rPr>
        <w:t xml:space="preserve"> </w:t>
      </w:r>
      <w:r w:rsidR="00D45699">
        <w:rPr>
          <w:rFonts w:ascii="Book Antiqua" w:hAnsi="Book Antiqua"/>
          <w:sz w:val="26"/>
          <w:szCs w:val="26"/>
        </w:rPr>
        <w:t xml:space="preserve"> </w:t>
      </w:r>
      <w:r>
        <w:rPr>
          <w:rFonts w:ascii="Book Antiqua" w:hAnsi="Book Antiqua"/>
          <w:sz w:val="26"/>
          <w:szCs w:val="26"/>
        </w:rPr>
        <w:t xml:space="preserve">TURN proposed that Frontier be required to continue its commitment to its low-income broadband programs developed as part of the Verizon </w:t>
      </w:r>
      <w:r w:rsidR="00555C0B">
        <w:rPr>
          <w:rFonts w:ascii="Book Antiqua" w:hAnsi="Book Antiqua"/>
          <w:sz w:val="26"/>
          <w:szCs w:val="26"/>
        </w:rPr>
        <w:t>A</w:t>
      </w:r>
      <w:r w:rsidR="00530373">
        <w:rPr>
          <w:rFonts w:ascii="Book Antiqua" w:hAnsi="Book Antiqua"/>
          <w:sz w:val="26"/>
          <w:szCs w:val="26"/>
        </w:rPr>
        <w:t>c</w:t>
      </w:r>
      <w:r>
        <w:rPr>
          <w:rFonts w:ascii="Book Antiqua" w:hAnsi="Book Antiqua"/>
          <w:sz w:val="26"/>
          <w:szCs w:val="26"/>
        </w:rPr>
        <w:t>quisition.</w:t>
      </w:r>
      <w:r>
        <w:rPr>
          <w:rStyle w:val="FootnoteReference"/>
          <w:rFonts w:ascii="Book Antiqua" w:hAnsi="Book Antiqua"/>
          <w:sz w:val="26"/>
          <w:szCs w:val="26"/>
        </w:rPr>
        <w:footnoteReference w:id="116"/>
      </w:r>
    </w:p>
    <w:p w:rsidR="00D53B01" w:rsidP="00D53B01" w:rsidRDefault="00D53B01" w14:paraId="6FC50602" w14:textId="11E113A1">
      <w:pPr>
        <w:pStyle w:val="Default"/>
        <w:spacing w:line="360" w:lineRule="auto"/>
        <w:ind w:firstLine="720"/>
        <w:rPr>
          <w:rFonts w:ascii="Book Antiqua" w:hAnsi="Book Antiqua"/>
          <w:sz w:val="26"/>
          <w:szCs w:val="26"/>
        </w:rPr>
      </w:pPr>
      <w:r>
        <w:rPr>
          <w:rFonts w:ascii="Book Antiqua" w:hAnsi="Book Antiqua"/>
          <w:sz w:val="26"/>
          <w:szCs w:val="26"/>
        </w:rPr>
        <w:t>Before the Settlement Agreements, Frontier objected to any requirement to maintain its broadband only, bundled service, and low-income broadband rates for a set period after Commission approval, arguing that fixing rates jeopardize</w:t>
      </w:r>
      <w:r w:rsidR="00530373">
        <w:rPr>
          <w:rFonts w:ascii="Book Antiqua" w:hAnsi="Book Antiqua"/>
          <w:sz w:val="26"/>
          <w:szCs w:val="26"/>
        </w:rPr>
        <w:t>d</w:t>
      </w:r>
      <w:r>
        <w:rPr>
          <w:rFonts w:ascii="Book Antiqua" w:hAnsi="Book Antiqua"/>
          <w:sz w:val="26"/>
          <w:szCs w:val="26"/>
        </w:rPr>
        <w:t xml:space="preserve"> Frontier’s ability to respond in a highly competitive marketpl</w:t>
      </w:r>
      <w:r w:rsidR="00530373">
        <w:rPr>
          <w:rFonts w:ascii="Book Antiqua" w:hAnsi="Book Antiqua"/>
          <w:sz w:val="26"/>
          <w:szCs w:val="26"/>
        </w:rPr>
        <w:t>ac</w:t>
      </w:r>
      <w:r>
        <w:rPr>
          <w:rFonts w:ascii="Book Antiqua" w:hAnsi="Book Antiqua"/>
          <w:sz w:val="26"/>
          <w:szCs w:val="26"/>
        </w:rPr>
        <w:t xml:space="preserve">e. </w:t>
      </w:r>
      <w:r w:rsidR="00D45699">
        <w:rPr>
          <w:rFonts w:ascii="Book Antiqua" w:hAnsi="Book Antiqua"/>
          <w:sz w:val="26"/>
          <w:szCs w:val="26"/>
        </w:rPr>
        <w:t xml:space="preserve"> </w:t>
      </w:r>
      <w:r>
        <w:rPr>
          <w:rFonts w:ascii="Book Antiqua" w:hAnsi="Book Antiqua"/>
          <w:sz w:val="26"/>
          <w:szCs w:val="26"/>
        </w:rPr>
        <w:t>Frontier also argued that freezing prices somehow impede</w:t>
      </w:r>
      <w:r w:rsidR="00530373">
        <w:rPr>
          <w:rFonts w:ascii="Book Antiqua" w:hAnsi="Book Antiqua"/>
          <w:sz w:val="26"/>
          <w:szCs w:val="26"/>
        </w:rPr>
        <w:t>d</w:t>
      </w:r>
      <w:r>
        <w:rPr>
          <w:rFonts w:ascii="Book Antiqua" w:hAnsi="Book Antiqua"/>
          <w:sz w:val="26"/>
          <w:szCs w:val="26"/>
        </w:rPr>
        <w:t xml:space="preserve"> the introduction of new products.</w:t>
      </w:r>
      <w:r>
        <w:rPr>
          <w:rStyle w:val="FootnoteReference"/>
          <w:rFonts w:ascii="Book Antiqua" w:hAnsi="Book Antiqua"/>
          <w:sz w:val="26"/>
          <w:szCs w:val="26"/>
        </w:rPr>
        <w:footnoteReference w:id="117"/>
      </w:r>
      <w:r>
        <w:rPr>
          <w:rFonts w:ascii="Book Antiqua" w:hAnsi="Book Antiqua"/>
          <w:sz w:val="26"/>
          <w:szCs w:val="26"/>
        </w:rPr>
        <w:t xml:space="preserve"> </w:t>
      </w:r>
      <w:r w:rsidR="00D45699">
        <w:rPr>
          <w:rFonts w:ascii="Book Antiqua" w:hAnsi="Book Antiqua"/>
          <w:sz w:val="26"/>
          <w:szCs w:val="26"/>
        </w:rPr>
        <w:t xml:space="preserve"> </w:t>
      </w:r>
      <w:r>
        <w:rPr>
          <w:rFonts w:ascii="Book Antiqua" w:hAnsi="Book Antiqua"/>
          <w:sz w:val="26"/>
          <w:szCs w:val="26"/>
        </w:rPr>
        <w:t xml:space="preserve">Frontier asserted that a price freeze on video products is </w:t>
      </w:r>
      <w:r>
        <w:rPr>
          <w:rFonts w:ascii="Book Antiqua" w:hAnsi="Book Antiqua"/>
          <w:sz w:val="26"/>
          <w:szCs w:val="26"/>
        </w:rPr>
        <w:lastRenderedPageBreak/>
        <w:t>unreasonable given the rising costs and intense competition in the video market.</w:t>
      </w:r>
      <w:r>
        <w:rPr>
          <w:rStyle w:val="FootnoteReference"/>
          <w:rFonts w:ascii="Book Antiqua" w:hAnsi="Book Antiqua"/>
          <w:sz w:val="26"/>
          <w:szCs w:val="26"/>
        </w:rPr>
        <w:footnoteReference w:id="118"/>
      </w:r>
    </w:p>
    <w:p w:rsidR="005255D3" w:rsidP="007E6F6B" w:rsidRDefault="00D53B01" w14:paraId="0F479C22" w14:textId="0DFBAE0B">
      <w:pPr>
        <w:pStyle w:val="Default"/>
        <w:spacing w:line="360" w:lineRule="auto"/>
        <w:ind w:firstLine="720"/>
        <w:rPr>
          <w:rFonts w:ascii="Book Antiqua" w:hAnsi="Book Antiqua"/>
          <w:sz w:val="26"/>
          <w:szCs w:val="26"/>
        </w:rPr>
      </w:pPr>
      <w:r>
        <w:rPr>
          <w:rFonts w:ascii="Book Antiqua" w:hAnsi="Book Antiqua"/>
          <w:sz w:val="26"/>
          <w:szCs w:val="26"/>
        </w:rPr>
        <w:t xml:space="preserve">In the </w:t>
      </w:r>
      <w:r w:rsidR="00331378">
        <w:rPr>
          <w:rFonts w:ascii="Book Antiqua" w:hAnsi="Book Antiqua"/>
          <w:sz w:val="26"/>
          <w:szCs w:val="26"/>
        </w:rPr>
        <w:t>Attachment 1</w:t>
      </w:r>
      <w:r>
        <w:rPr>
          <w:rFonts w:ascii="Book Antiqua" w:hAnsi="Book Antiqua"/>
          <w:sz w:val="26"/>
          <w:szCs w:val="26"/>
        </w:rPr>
        <w:t xml:space="preserve"> Settlement Agreement, Frontier, Cal Advocates, TURN, and CWA agreed that Frontier</w:t>
      </w:r>
      <w:r w:rsidR="00974FD0">
        <w:rPr>
          <w:rFonts w:ascii="Book Antiqua" w:hAnsi="Book Antiqua"/>
          <w:sz w:val="26"/>
          <w:szCs w:val="26"/>
        </w:rPr>
        <w:t xml:space="preserve"> would continue to offer its two existing low-income broadband plans at the current rates or lower and at the same or higher speeds as required under the </w:t>
      </w:r>
      <w:r w:rsidR="00555C0B">
        <w:rPr>
          <w:rFonts w:ascii="Book Antiqua" w:hAnsi="Book Antiqua"/>
          <w:sz w:val="26"/>
          <w:szCs w:val="26"/>
        </w:rPr>
        <w:t>FC</w:t>
      </w:r>
      <w:r w:rsidR="00974FD0">
        <w:rPr>
          <w:rFonts w:ascii="Book Antiqua" w:hAnsi="Book Antiqua"/>
          <w:sz w:val="26"/>
          <w:szCs w:val="26"/>
        </w:rPr>
        <w:t>C’s Life</w:t>
      </w:r>
      <w:r w:rsidR="005A6F3B">
        <w:rPr>
          <w:rFonts w:ascii="Book Antiqua" w:hAnsi="Book Antiqua"/>
          <w:sz w:val="26"/>
          <w:szCs w:val="26"/>
        </w:rPr>
        <w:t>l</w:t>
      </w:r>
      <w:r w:rsidR="00974FD0">
        <w:rPr>
          <w:rFonts w:ascii="Book Antiqua" w:hAnsi="Book Antiqua"/>
          <w:sz w:val="26"/>
          <w:szCs w:val="26"/>
        </w:rPr>
        <w:t>ine program through December</w:t>
      </w:r>
      <w:r w:rsidR="00D45699">
        <w:rPr>
          <w:rFonts w:ascii="Book Antiqua" w:hAnsi="Book Antiqua"/>
          <w:sz w:val="26"/>
          <w:szCs w:val="26"/>
        </w:rPr>
        <w:t> </w:t>
      </w:r>
      <w:r w:rsidR="00974FD0">
        <w:rPr>
          <w:rFonts w:ascii="Book Antiqua" w:hAnsi="Book Antiqua"/>
          <w:sz w:val="26"/>
          <w:szCs w:val="26"/>
        </w:rPr>
        <w:t>31, 2023.</w:t>
      </w:r>
      <w:r w:rsidR="002D07E7">
        <w:rPr>
          <w:rStyle w:val="FootnoteReference"/>
          <w:rFonts w:ascii="Book Antiqua" w:hAnsi="Book Antiqua"/>
          <w:sz w:val="26"/>
          <w:szCs w:val="26"/>
        </w:rPr>
        <w:footnoteReference w:id="119"/>
      </w:r>
      <w:r w:rsidR="00974FD0">
        <w:rPr>
          <w:rFonts w:ascii="Book Antiqua" w:hAnsi="Book Antiqua"/>
          <w:sz w:val="26"/>
          <w:szCs w:val="26"/>
        </w:rPr>
        <w:t xml:space="preserve"> </w:t>
      </w:r>
      <w:r w:rsidR="00D45699">
        <w:rPr>
          <w:rFonts w:ascii="Book Antiqua" w:hAnsi="Book Antiqua"/>
          <w:sz w:val="26"/>
          <w:szCs w:val="26"/>
        </w:rPr>
        <w:t xml:space="preserve"> </w:t>
      </w:r>
      <w:r w:rsidR="00974FD0">
        <w:rPr>
          <w:rFonts w:ascii="Book Antiqua" w:hAnsi="Book Antiqua"/>
          <w:sz w:val="26"/>
          <w:szCs w:val="26"/>
        </w:rPr>
        <w:t xml:space="preserve">The parties to the </w:t>
      </w:r>
      <w:r w:rsidR="00331378">
        <w:rPr>
          <w:rFonts w:ascii="Book Antiqua" w:hAnsi="Book Antiqua"/>
          <w:sz w:val="26"/>
          <w:szCs w:val="26"/>
        </w:rPr>
        <w:t>Attachment 1</w:t>
      </w:r>
      <w:r w:rsidR="00974FD0">
        <w:rPr>
          <w:rFonts w:ascii="Book Antiqua" w:hAnsi="Book Antiqua"/>
          <w:sz w:val="26"/>
          <w:szCs w:val="26"/>
        </w:rPr>
        <w:t xml:space="preserve"> Settlement Agreement also agreed that Frontier would maintain its current residential rates for copper</w:t>
      </w:r>
      <w:r w:rsidR="00D45699">
        <w:rPr>
          <w:rFonts w:ascii="Book Antiqua" w:hAnsi="Book Antiqua"/>
          <w:sz w:val="26"/>
          <w:szCs w:val="26"/>
        </w:rPr>
        <w:noBreakHyphen/>
      </w:r>
      <w:r w:rsidR="00974FD0">
        <w:rPr>
          <w:rFonts w:ascii="Book Antiqua" w:hAnsi="Book Antiqua"/>
          <w:sz w:val="26"/>
          <w:szCs w:val="26"/>
        </w:rPr>
        <w:t>based standalone voice, fiber-based standalone basic primary voice, copper-based broadband, and copper-based voice/broadband bundles through December 31, 2021.</w:t>
      </w:r>
      <w:r w:rsidR="002D07E7">
        <w:rPr>
          <w:rStyle w:val="FootnoteReference"/>
          <w:rFonts w:ascii="Book Antiqua" w:hAnsi="Book Antiqua"/>
          <w:sz w:val="26"/>
          <w:szCs w:val="26"/>
        </w:rPr>
        <w:footnoteReference w:id="120"/>
      </w:r>
      <w:r w:rsidR="00974FD0">
        <w:rPr>
          <w:rFonts w:ascii="Book Antiqua" w:hAnsi="Book Antiqua"/>
          <w:sz w:val="26"/>
          <w:szCs w:val="26"/>
        </w:rPr>
        <w:t xml:space="preserve"> </w:t>
      </w:r>
      <w:r w:rsidR="00D45699">
        <w:rPr>
          <w:rFonts w:ascii="Book Antiqua" w:hAnsi="Book Antiqua"/>
          <w:sz w:val="26"/>
          <w:szCs w:val="26"/>
        </w:rPr>
        <w:t xml:space="preserve"> </w:t>
      </w:r>
      <w:r w:rsidR="00974FD0">
        <w:rPr>
          <w:rFonts w:ascii="Book Antiqua" w:hAnsi="Book Antiqua"/>
          <w:sz w:val="26"/>
          <w:szCs w:val="26"/>
        </w:rPr>
        <w:t xml:space="preserve">In the </w:t>
      </w:r>
      <w:r w:rsidR="00331378">
        <w:rPr>
          <w:rFonts w:ascii="Book Antiqua" w:hAnsi="Book Antiqua"/>
          <w:sz w:val="26"/>
          <w:szCs w:val="26"/>
        </w:rPr>
        <w:t>Attachment 2</w:t>
      </w:r>
      <w:r w:rsidR="00555C0B">
        <w:rPr>
          <w:rFonts w:ascii="Book Antiqua" w:hAnsi="Book Antiqua"/>
          <w:sz w:val="26"/>
          <w:szCs w:val="26"/>
        </w:rPr>
        <w:t xml:space="preserve"> Settlement Agreement</w:t>
      </w:r>
      <w:r w:rsidR="00974FD0">
        <w:rPr>
          <w:rFonts w:ascii="Book Antiqua" w:hAnsi="Book Antiqua"/>
          <w:sz w:val="26"/>
          <w:szCs w:val="26"/>
        </w:rPr>
        <w:t>, Frontier and CETF agreed that Frontier will continue to offer its low-income broadband plans</w:t>
      </w:r>
      <w:r w:rsidR="005255D3">
        <w:rPr>
          <w:rFonts w:ascii="Book Antiqua" w:hAnsi="Book Antiqua"/>
          <w:sz w:val="26"/>
          <w:szCs w:val="26"/>
        </w:rPr>
        <w:t xml:space="preserve"> at rates equal to or lower than current rates through December 31, 2023.</w:t>
      </w:r>
      <w:r w:rsidR="002D07E7">
        <w:rPr>
          <w:rStyle w:val="FootnoteReference"/>
          <w:rFonts w:ascii="Book Antiqua" w:hAnsi="Book Antiqua"/>
          <w:sz w:val="26"/>
          <w:szCs w:val="26"/>
        </w:rPr>
        <w:footnoteReference w:id="121"/>
      </w:r>
    </w:p>
    <w:p w:rsidR="007E6F6B" w:rsidP="007E6F6B" w:rsidRDefault="005255D3" w14:paraId="6E21E0B5" w14:textId="2CEAC2D9">
      <w:pPr>
        <w:pStyle w:val="Default"/>
        <w:spacing w:line="360" w:lineRule="auto"/>
        <w:ind w:firstLine="720"/>
        <w:rPr>
          <w:rFonts w:ascii="Book Antiqua" w:hAnsi="Book Antiqua"/>
          <w:sz w:val="26"/>
          <w:szCs w:val="26"/>
        </w:rPr>
      </w:pPr>
      <w:r>
        <w:rPr>
          <w:rFonts w:ascii="Book Antiqua" w:hAnsi="Book Antiqua"/>
          <w:sz w:val="26"/>
          <w:szCs w:val="26"/>
        </w:rPr>
        <w:t xml:space="preserve">We find the customer rate stability provisions of the Settlement Agreements to be a significant benefit to Frontier’s low-income and residential customers, </w:t>
      </w:r>
      <w:r w:rsidR="0092563C">
        <w:rPr>
          <w:rFonts w:ascii="Book Antiqua" w:hAnsi="Book Antiqua"/>
          <w:sz w:val="26"/>
          <w:szCs w:val="26"/>
        </w:rPr>
        <w:t>especially</w:t>
      </w:r>
      <w:r>
        <w:rPr>
          <w:rFonts w:ascii="Book Antiqua" w:hAnsi="Book Antiqua"/>
          <w:sz w:val="26"/>
          <w:szCs w:val="26"/>
        </w:rPr>
        <w:t xml:space="preserve"> in this period of economic and employment uncertainty</w:t>
      </w:r>
      <w:r w:rsidR="00F4119E">
        <w:rPr>
          <w:rFonts w:ascii="Book Antiqua" w:hAnsi="Book Antiqua"/>
          <w:sz w:val="26"/>
          <w:szCs w:val="26"/>
        </w:rPr>
        <w:t xml:space="preserve">.  </w:t>
      </w:r>
      <w:r w:rsidR="00BD10D7">
        <w:rPr>
          <w:rFonts w:ascii="Book Antiqua" w:hAnsi="Book Antiqua"/>
          <w:sz w:val="26"/>
          <w:szCs w:val="26"/>
        </w:rPr>
        <w:t>Contrary to Frontier’s argument before the Settlement Agreements that fixing prices would somehow jeopardize its competitive position, we believe that providing rate assurance will enhance Frontier’s ability to</w:t>
      </w:r>
      <w:r w:rsidR="000A3E82">
        <w:rPr>
          <w:rFonts w:ascii="Book Antiqua" w:hAnsi="Book Antiqua"/>
          <w:sz w:val="26"/>
          <w:szCs w:val="26"/>
        </w:rPr>
        <w:t xml:space="preserve"> retain current customers and attr</w:t>
      </w:r>
      <w:r w:rsidR="00555C0B">
        <w:rPr>
          <w:rFonts w:ascii="Book Antiqua" w:hAnsi="Book Antiqua"/>
          <w:sz w:val="26"/>
          <w:szCs w:val="26"/>
        </w:rPr>
        <w:t>ac</w:t>
      </w:r>
      <w:r w:rsidR="000A3E82">
        <w:rPr>
          <w:rFonts w:ascii="Book Antiqua" w:hAnsi="Book Antiqua"/>
          <w:sz w:val="26"/>
          <w:szCs w:val="26"/>
        </w:rPr>
        <w:t>t new customers for its various</w:t>
      </w:r>
      <w:r w:rsidR="00BD10D7">
        <w:rPr>
          <w:rFonts w:ascii="Book Antiqua" w:hAnsi="Book Antiqua"/>
          <w:sz w:val="26"/>
          <w:szCs w:val="26"/>
        </w:rPr>
        <w:t xml:space="preserve"> telecommunications service</w:t>
      </w:r>
      <w:r w:rsidR="000A3E82">
        <w:rPr>
          <w:rFonts w:ascii="Book Antiqua" w:hAnsi="Book Antiqua"/>
          <w:sz w:val="26"/>
          <w:szCs w:val="26"/>
        </w:rPr>
        <w:t xml:space="preserve"> offerings, particularly low-income customers who are more likely to need and gravitate toward services in which</w:t>
      </w:r>
      <w:r w:rsidR="0092563C">
        <w:rPr>
          <w:rFonts w:ascii="Book Antiqua" w:hAnsi="Book Antiqua"/>
          <w:sz w:val="26"/>
          <w:szCs w:val="26"/>
        </w:rPr>
        <w:t xml:space="preserve"> the risk of price shocks has been </w:t>
      </w:r>
      <w:r w:rsidR="00331378">
        <w:rPr>
          <w:rFonts w:ascii="Book Antiqua" w:hAnsi="Book Antiqua"/>
          <w:sz w:val="26"/>
          <w:szCs w:val="26"/>
        </w:rPr>
        <w:t>mitig</w:t>
      </w:r>
      <w:r w:rsidR="0092563C">
        <w:rPr>
          <w:rFonts w:ascii="Book Antiqua" w:hAnsi="Book Antiqua"/>
          <w:sz w:val="26"/>
          <w:szCs w:val="26"/>
        </w:rPr>
        <w:t>ated</w:t>
      </w:r>
      <w:r w:rsidR="00F4119E">
        <w:rPr>
          <w:rFonts w:ascii="Book Antiqua" w:hAnsi="Book Antiqua"/>
          <w:sz w:val="26"/>
          <w:szCs w:val="26"/>
        </w:rPr>
        <w:t xml:space="preserve">.  </w:t>
      </w:r>
      <w:r w:rsidR="002B37CC">
        <w:rPr>
          <w:rFonts w:ascii="Book Antiqua" w:hAnsi="Book Antiqua"/>
          <w:sz w:val="26"/>
          <w:szCs w:val="26"/>
        </w:rPr>
        <w:lastRenderedPageBreak/>
        <w:t xml:space="preserve">To monitor Frontier’s commitments to maintain residential rates and prices on its low-income broadband plans, we require Frontier to submit annual subscriber information reports to the Commission as set forth in Ordering Paragraph 4. </w:t>
      </w:r>
      <w:r w:rsidR="00BD10D7">
        <w:rPr>
          <w:rFonts w:ascii="Book Antiqua" w:hAnsi="Book Antiqua"/>
          <w:sz w:val="26"/>
          <w:szCs w:val="26"/>
        </w:rPr>
        <w:t xml:space="preserve">  </w:t>
      </w:r>
      <w:r w:rsidR="00974FD0">
        <w:rPr>
          <w:rFonts w:ascii="Book Antiqua" w:hAnsi="Book Antiqua"/>
          <w:sz w:val="26"/>
          <w:szCs w:val="26"/>
        </w:rPr>
        <w:t xml:space="preserve">  </w:t>
      </w:r>
    </w:p>
    <w:p w:rsidR="007E6F6B" w:rsidP="00D45699" w:rsidRDefault="007E6F6B" w14:paraId="24B66E93" w14:textId="11E067D1">
      <w:pPr>
        <w:pStyle w:val="Heading3"/>
        <w:ind w:left="2430" w:hanging="990"/>
      </w:pPr>
      <w:bookmarkStart w:name="_Toc67556525" w:id="31"/>
      <w:r>
        <w:t>E</w:t>
      </w:r>
      <w:r w:rsidR="00AC196C">
        <w:t xml:space="preserve">ffect on </w:t>
      </w:r>
      <w:r w:rsidR="00CB0F25">
        <w:t>Frontier’s</w:t>
      </w:r>
      <w:r w:rsidR="00251213">
        <w:t xml:space="preserve"> </w:t>
      </w:r>
      <w:r w:rsidR="00AC196C">
        <w:t>Performance of</w:t>
      </w:r>
      <w:r w:rsidR="00251213">
        <w:t xml:space="preserve"> Terms and Conditions of Service to Ratepayers and Customers</w:t>
      </w:r>
      <w:bookmarkEnd w:id="31"/>
      <w:r>
        <w:t xml:space="preserve">  </w:t>
      </w:r>
    </w:p>
    <w:p w:rsidR="007E6F6B" w:rsidP="007E6F6B" w:rsidRDefault="00D91FAF" w14:paraId="05BCC9C2" w14:textId="3EB4EA8C">
      <w:pPr>
        <w:pStyle w:val="Default"/>
        <w:spacing w:line="360" w:lineRule="auto"/>
        <w:ind w:firstLine="720"/>
        <w:rPr>
          <w:rFonts w:ascii="Book Antiqua" w:hAnsi="Book Antiqua"/>
          <w:sz w:val="26"/>
          <w:szCs w:val="26"/>
        </w:rPr>
      </w:pPr>
      <w:r>
        <w:rPr>
          <w:rFonts w:ascii="Book Antiqua" w:hAnsi="Book Antiqua"/>
          <w:sz w:val="26"/>
          <w:szCs w:val="26"/>
        </w:rPr>
        <w:t>Scoping Memo Issue 15 asks whether the Restructuring affects Frontier’s performance or compliance with its terms and conditions of service to ratepayers and customers</w:t>
      </w:r>
      <w:r w:rsidR="00F4119E">
        <w:rPr>
          <w:rFonts w:ascii="Book Antiqua" w:hAnsi="Book Antiqua"/>
          <w:sz w:val="26"/>
          <w:szCs w:val="26"/>
        </w:rPr>
        <w:t xml:space="preserve">.  </w:t>
      </w:r>
      <w:r w:rsidR="008D3F94">
        <w:rPr>
          <w:rFonts w:ascii="Book Antiqua" w:hAnsi="Book Antiqua"/>
          <w:sz w:val="26"/>
          <w:szCs w:val="26"/>
        </w:rPr>
        <w:t xml:space="preserve">Frontier has stated </w:t>
      </w:r>
      <w:r w:rsidR="00CE1253">
        <w:rPr>
          <w:rFonts w:ascii="Book Antiqua" w:hAnsi="Book Antiqua"/>
          <w:sz w:val="26"/>
          <w:szCs w:val="26"/>
        </w:rPr>
        <w:t xml:space="preserve">unequivocally that its California </w:t>
      </w:r>
      <w:r w:rsidR="00530373">
        <w:rPr>
          <w:rFonts w:ascii="Book Antiqua" w:hAnsi="Book Antiqua"/>
          <w:sz w:val="26"/>
          <w:szCs w:val="26"/>
        </w:rPr>
        <w:t>S</w:t>
      </w:r>
      <w:r w:rsidR="00CE1253">
        <w:rPr>
          <w:rFonts w:ascii="Book Antiqua" w:hAnsi="Book Antiqua"/>
          <w:sz w:val="26"/>
          <w:szCs w:val="26"/>
        </w:rPr>
        <w:t>ubsidiaries “will continue to provide service to their existing customers pursuant to existing rates, terms, and conditions, and the Restructuring will be, for all pr</w:t>
      </w:r>
      <w:r w:rsidR="00555C0B">
        <w:rPr>
          <w:rFonts w:ascii="Book Antiqua" w:hAnsi="Book Antiqua"/>
          <w:sz w:val="26"/>
          <w:szCs w:val="26"/>
        </w:rPr>
        <w:t>ac</w:t>
      </w:r>
      <w:r w:rsidR="00CE1253">
        <w:rPr>
          <w:rFonts w:ascii="Book Antiqua" w:hAnsi="Book Antiqua"/>
          <w:sz w:val="26"/>
          <w:szCs w:val="26"/>
        </w:rPr>
        <w:t>tical purposes, imperceptible to customers.”</w:t>
      </w:r>
      <w:r w:rsidR="00CE1253">
        <w:rPr>
          <w:rStyle w:val="FootnoteReference"/>
          <w:rFonts w:ascii="Book Antiqua" w:hAnsi="Book Antiqua"/>
          <w:sz w:val="26"/>
          <w:szCs w:val="26"/>
        </w:rPr>
        <w:footnoteReference w:id="122"/>
      </w:r>
      <w:r w:rsidR="00CE1253">
        <w:rPr>
          <w:rFonts w:ascii="Book Antiqua" w:hAnsi="Book Antiqua"/>
          <w:sz w:val="26"/>
          <w:szCs w:val="26"/>
        </w:rPr>
        <w:t xml:space="preserve"> </w:t>
      </w:r>
      <w:r w:rsidR="00392FE0">
        <w:rPr>
          <w:rFonts w:ascii="Book Antiqua" w:hAnsi="Book Antiqua"/>
          <w:sz w:val="26"/>
          <w:szCs w:val="26"/>
        </w:rPr>
        <w:t xml:space="preserve"> </w:t>
      </w:r>
      <w:r w:rsidR="00CE1253">
        <w:rPr>
          <w:rFonts w:ascii="Book Antiqua" w:hAnsi="Book Antiqua"/>
          <w:sz w:val="26"/>
          <w:szCs w:val="26"/>
        </w:rPr>
        <w:t>No evidence was presented that would suggest that the Restructuring would cause Frontier to bre</w:t>
      </w:r>
      <w:r w:rsidR="00555C0B">
        <w:rPr>
          <w:rFonts w:ascii="Book Antiqua" w:hAnsi="Book Antiqua"/>
          <w:sz w:val="26"/>
          <w:szCs w:val="26"/>
        </w:rPr>
        <w:t>ac</w:t>
      </w:r>
      <w:r w:rsidR="00CE1253">
        <w:rPr>
          <w:rFonts w:ascii="Book Antiqua" w:hAnsi="Book Antiqua"/>
          <w:sz w:val="26"/>
          <w:szCs w:val="26"/>
        </w:rPr>
        <w:t>h its terms and conditions of service</w:t>
      </w:r>
      <w:r w:rsidR="00434D50">
        <w:rPr>
          <w:rFonts w:ascii="Book Antiqua" w:hAnsi="Book Antiqua"/>
          <w:sz w:val="26"/>
          <w:szCs w:val="26"/>
        </w:rPr>
        <w:t xml:space="preserve"> to ratepayers and customers</w:t>
      </w:r>
      <w:r w:rsidR="00CE1253">
        <w:rPr>
          <w:rFonts w:ascii="Book Antiqua" w:hAnsi="Book Antiqua"/>
          <w:sz w:val="26"/>
          <w:szCs w:val="26"/>
        </w:rPr>
        <w:t>.</w:t>
      </w:r>
    </w:p>
    <w:p w:rsidR="007E6F6B" w:rsidP="00D45699" w:rsidRDefault="007E6F6B" w14:paraId="3694CE7A" w14:textId="15ACD549">
      <w:pPr>
        <w:pStyle w:val="Heading3"/>
        <w:ind w:left="2430" w:hanging="990"/>
      </w:pPr>
      <w:bookmarkStart w:name="_Toc67556526" w:id="32"/>
      <w:r>
        <w:t>E</w:t>
      </w:r>
      <w:r w:rsidR="00251213">
        <w:t xml:space="preserve">ffect on </w:t>
      </w:r>
      <w:r w:rsidR="00D91FAF">
        <w:t>Frontier’s</w:t>
      </w:r>
      <w:r w:rsidR="00251213">
        <w:t xml:space="preserve"> Network Infrastructure</w:t>
      </w:r>
      <w:r w:rsidR="00D91FAF">
        <w:t xml:space="preserve"> and Broadband Deployment</w:t>
      </w:r>
      <w:bookmarkEnd w:id="32"/>
      <w:r>
        <w:t xml:space="preserve">  </w:t>
      </w:r>
    </w:p>
    <w:p w:rsidR="009F7E99" w:rsidP="009F7E99" w:rsidRDefault="006D594C" w14:paraId="24716548" w14:textId="77777777">
      <w:pPr>
        <w:pStyle w:val="Default"/>
        <w:spacing w:line="360" w:lineRule="auto"/>
        <w:ind w:firstLine="720"/>
      </w:pPr>
      <w:r>
        <w:rPr>
          <w:rFonts w:ascii="Book Antiqua" w:hAnsi="Book Antiqua"/>
          <w:sz w:val="26"/>
          <w:szCs w:val="26"/>
        </w:rPr>
        <w:t xml:space="preserve">Scoping Memo Issue 16 asks whether </w:t>
      </w:r>
      <w:r w:rsidR="009F7E99">
        <w:rPr>
          <w:rFonts w:ascii="Book Antiqua" w:hAnsi="Book Antiqua"/>
          <w:sz w:val="26"/>
          <w:szCs w:val="26"/>
        </w:rPr>
        <w:t>the Restructuring affects Frontier’s network infrastructure, and Scoping Memo Issue 17 inquires whether the Restructuring affects Frontier’s broadband deployment.</w:t>
      </w:r>
      <w:r w:rsidR="007E6F6B">
        <w:t xml:space="preserve"> </w:t>
      </w:r>
    </w:p>
    <w:p w:rsidR="0081177B" w:rsidP="0081177B" w:rsidRDefault="0081177B" w14:paraId="4FEDDD2C" w14:textId="109FFCB2">
      <w:pPr>
        <w:pStyle w:val="Default"/>
        <w:spacing w:line="360" w:lineRule="auto"/>
        <w:ind w:firstLine="720"/>
        <w:rPr>
          <w:rFonts w:ascii="Book Antiqua" w:hAnsi="Book Antiqua"/>
          <w:sz w:val="26"/>
          <w:szCs w:val="26"/>
        </w:rPr>
      </w:pPr>
      <w:r>
        <w:rPr>
          <w:rFonts w:ascii="Book Antiqua" w:hAnsi="Book Antiqua"/>
          <w:sz w:val="26"/>
          <w:szCs w:val="26"/>
        </w:rPr>
        <w:t xml:space="preserve">Before the Settlement Agreements, Cal Advocates proposed that Frontier be required to commit to annual capital expenditures of $486 million from 2021 through 2024, excluding any winning bids from the </w:t>
      </w:r>
      <w:r w:rsidR="00976970">
        <w:rPr>
          <w:rFonts w:ascii="Book Antiqua" w:hAnsi="Book Antiqua"/>
          <w:sz w:val="26"/>
          <w:szCs w:val="26"/>
        </w:rPr>
        <w:t>F</w:t>
      </w:r>
      <w:r w:rsidR="00555C0B">
        <w:rPr>
          <w:rFonts w:ascii="Book Antiqua" w:hAnsi="Book Antiqua"/>
          <w:sz w:val="26"/>
          <w:szCs w:val="26"/>
        </w:rPr>
        <w:t>C</w:t>
      </w:r>
      <w:r w:rsidR="006A5DB0">
        <w:rPr>
          <w:rFonts w:ascii="Book Antiqua" w:hAnsi="Book Antiqua"/>
          <w:sz w:val="26"/>
          <w:szCs w:val="26"/>
        </w:rPr>
        <w:t>C</w:t>
      </w:r>
      <w:r>
        <w:rPr>
          <w:rFonts w:ascii="Book Antiqua" w:hAnsi="Book Antiqua"/>
          <w:sz w:val="26"/>
          <w:szCs w:val="26"/>
        </w:rPr>
        <w:t xml:space="preserve">’s Rural Development Opportunity Fund </w:t>
      </w:r>
      <w:r w:rsidR="00434D50">
        <w:rPr>
          <w:rFonts w:ascii="Book Antiqua" w:hAnsi="Book Antiqua"/>
          <w:sz w:val="26"/>
          <w:szCs w:val="26"/>
        </w:rPr>
        <w:t xml:space="preserve">(RDOF) </w:t>
      </w:r>
      <w:r>
        <w:rPr>
          <w:rFonts w:ascii="Book Antiqua" w:hAnsi="Book Antiqua"/>
          <w:sz w:val="26"/>
          <w:szCs w:val="26"/>
        </w:rPr>
        <w:t xml:space="preserve">auction but including a minimum </w:t>
      </w:r>
      <w:r w:rsidR="00272E0D">
        <w:rPr>
          <w:rFonts w:ascii="Book Antiqua" w:hAnsi="Book Antiqua"/>
          <w:sz w:val="26"/>
          <w:szCs w:val="26"/>
        </w:rPr>
        <w:t>of $279 million</w:t>
      </w:r>
      <w:r>
        <w:rPr>
          <w:rStyle w:val="FootnoteReference"/>
          <w:rFonts w:ascii="Book Antiqua" w:hAnsi="Book Antiqua"/>
          <w:sz w:val="26"/>
          <w:szCs w:val="26"/>
        </w:rPr>
        <w:footnoteReference w:id="123"/>
      </w:r>
      <w:r>
        <w:rPr>
          <w:rFonts w:ascii="Book Antiqua" w:hAnsi="Book Antiqua"/>
          <w:sz w:val="26"/>
          <w:szCs w:val="26"/>
        </w:rPr>
        <w:t xml:space="preserve"> </w:t>
      </w:r>
      <w:r>
        <w:rPr>
          <w:rFonts w:ascii="Book Antiqua" w:hAnsi="Book Antiqua"/>
          <w:sz w:val="26"/>
          <w:szCs w:val="26"/>
        </w:rPr>
        <w:lastRenderedPageBreak/>
        <w:t>in service quality investments over those four years.</w:t>
      </w:r>
      <w:r>
        <w:rPr>
          <w:rStyle w:val="FootnoteReference"/>
          <w:rFonts w:ascii="Book Antiqua" w:hAnsi="Book Antiqua"/>
          <w:sz w:val="26"/>
          <w:szCs w:val="26"/>
        </w:rPr>
        <w:footnoteReference w:id="124"/>
      </w:r>
      <w:r>
        <w:rPr>
          <w:rFonts w:ascii="Book Antiqua" w:hAnsi="Book Antiqua"/>
          <w:sz w:val="26"/>
          <w:szCs w:val="26"/>
        </w:rPr>
        <w:t xml:space="preserve"> </w:t>
      </w:r>
      <w:r w:rsidR="00D45699">
        <w:rPr>
          <w:rFonts w:ascii="Book Antiqua" w:hAnsi="Book Antiqua"/>
          <w:sz w:val="26"/>
          <w:szCs w:val="26"/>
        </w:rPr>
        <w:t xml:space="preserve"> </w:t>
      </w:r>
      <w:r w:rsidR="001465BB">
        <w:rPr>
          <w:rFonts w:ascii="Book Antiqua" w:hAnsi="Book Antiqua"/>
          <w:sz w:val="26"/>
          <w:szCs w:val="26"/>
        </w:rPr>
        <w:t>Cal Advocates recommend</w:t>
      </w:r>
      <w:r w:rsidR="00B344D9">
        <w:rPr>
          <w:rFonts w:ascii="Book Antiqua" w:hAnsi="Book Antiqua"/>
          <w:sz w:val="26"/>
          <w:szCs w:val="26"/>
        </w:rPr>
        <w:t>ed</w:t>
      </w:r>
      <w:r w:rsidR="001465BB">
        <w:rPr>
          <w:rFonts w:ascii="Book Antiqua" w:hAnsi="Book Antiqua"/>
          <w:sz w:val="26"/>
          <w:szCs w:val="26"/>
        </w:rPr>
        <w:t xml:space="preserve"> that the Commission require Frontier to allocate at least $337 million per year, or 25 percent of Frontier’s annual savings from the Restructuring, to support capital expenditures, broadband deployment, and service quality for Frontier’s California </w:t>
      </w:r>
      <w:r w:rsidR="00976970">
        <w:rPr>
          <w:rFonts w:ascii="Book Antiqua" w:hAnsi="Book Antiqua"/>
          <w:sz w:val="26"/>
          <w:szCs w:val="26"/>
        </w:rPr>
        <w:t>S</w:t>
      </w:r>
      <w:r w:rsidR="001465BB">
        <w:rPr>
          <w:rFonts w:ascii="Book Antiqua" w:hAnsi="Book Antiqua"/>
          <w:sz w:val="26"/>
          <w:szCs w:val="26"/>
        </w:rPr>
        <w:t>ubsidiaries.</w:t>
      </w:r>
      <w:r w:rsidR="001465BB">
        <w:rPr>
          <w:rStyle w:val="FootnoteReference"/>
          <w:rFonts w:ascii="Book Antiqua" w:hAnsi="Book Antiqua"/>
          <w:sz w:val="26"/>
          <w:szCs w:val="26"/>
        </w:rPr>
        <w:footnoteReference w:id="125"/>
      </w:r>
      <w:r w:rsidR="001465BB">
        <w:rPr>
          <w:rFonts w:ascii="Book Antiqua" w:hAnsi="Book Antiqua"/>
          <w:sz w:val="26"/>
          <w:szCs w:val="26"/>
        </w:rPr>
        <w:t xml:space="preserve"> </w:t>
      </w:r>
      <w:r w:rsidR="00D45699">
        <w:rPr>
          <w:rFonts w:ascii="Book Antiqua" w:hAnsi="Book Antiqua"/>
          <w:sz w:val="26"/>
          <w:szCs w:val="26"/>
        </w:rPr>
        <w:t xml:space="preserve"> </w:t>
      </w:r>
      <w:r>
        <w:rPr>
          <w:rFonts w:ascii="Book Antiqua" w:hAnsi="Book Antiqua"/>
          <w:sz w:val="26"/>
          <w:szCs w:val="26"/>
        </w:rPr>
        <w:t>TURN support</w:t>
      </w:r>
      <w:r w:rsidR="00434D50">
        <w:rPr>
          <w:rFonts w:ascii="Book Antiqua" w:hAnsi="Book Antiqua"/>
          <w:sz w:val="26"/>
          <w:szCs w:val="26"/>
        </w:rPr>
        <w:t>ed</w:t>
      </w:r>
      <w:r>
        <w:rPr>
          <w:rFonts w:ascii="Book Antiqua" w:hAnsi="Book Antiqua"/>
          <w:sz w:val="26"/>
          <w:szCs w:val="26"/>
        </w:rPr>
        <w:t xml:space="preserve"> the capital commitments proposed by Cal Advocates.</w:t>
      </w:r>
      <w:r w:rsidR="00D45699">
        <w:rPr>
          <w:rFonts w:ascii="Book Antiqua" w:hAnsi="Book Antiqua"/>
          <w:sz w:val="26"/>
          <w:szCs w:val="26"/>
        </w:rPr>
        <w:t xml:space="preserve"> </w:t>
      </w:r>
      <w:r>
        <w:rPr>
          <w:rFonts w:ascii="Book Antiqua" w:hAnsi="Book Antiqua"/>
          <w:sz w:val="26"/>
          <w:szCs w:val="26"/>
        </w:rPr>
        <w:t xml:space="preserve"> TURN assert</w:t>
      </w:r>
      <w:r w:rsidR="00434D50">
        <w:rPr>
          <w:rFonts w:ascii="Book Antiqua" w:hAnsi="Book Antiqua"/>
          <w:sz w:val="26"/>
          <w:szCs w:val="26"/>
        </w:rPr>
        <w:t>ed</w:t>
      </w:r>
      <w:r>
        <w:rPr>
          <w:rFonts w:ascii="Book Antiqua" w:hAnsi="Book Antiqua"/>
          <w:sz w:val="26"/>
          <w:szCs w:val="26"/>
        </w:rPr>
        <w:t xml:space="preserve"> that Frontier’s capital commitments should be in addition to any public funding Frontier may receive and propose</w:t>
      </w:r>
      <w:r w:rsidR="00434D50">
        <w:rPr>
          <w:rFonts w:ascii="Book Antiqua" w:hAnsi="Book Antiqua"/>
          <w:sz w:val="26"/>
          <w:szCs w:val="26"/>
        </w:rPr>
        <w:t>d</w:t>
      </w:r>
      <w:r>
        <w:rPr>
          <w:rFonts w:ascii="Book Antiqua" w:hAnsi="Book Antiqua"/>
          <w:sz w:val="26"/>
          <w:szCs w:val="26"/>
        </w:rPr>
        <w:t xml:space="preserve"> that Frontier be required to demonstrate that its public support funding is spent over and above Frontier’s California baseline capital expenditure projections.</w:t>
      </w:r>
      <w:r>
        <w:rPr>
          <w:rStyle w:val="FootnoteReference"/>
          <w:rFonts w:ascii="Book Antiqua" w:hAnsi="Book Antiqua"/>
          <w:sz w:val="26"/>
          <w:szCs w:val="26"/>
        </w:rPr>
        <w:footnoteReference w:id="126"/>
      </w:r>
      <w:r>
        <w:rPr>
          <w:rFonts w:ascii="Book Antiqua" w:hAnsi="Book Antiqua"/>
          <w:sz w:val="26"/>
          <w:szCs w:val="26"/>
        </w:rPr>
        <w:t xml:space="preserve"> </w:t>
      </w:r>
      <w:r w:rsidR="00D45699">
        <w:rPr>
          <w:rFonts w:ascii="Book Antiqua" w:hAnsi="Book Antiqua"/>
          <w:sz w:val="26"/>
          <w:szCs w:val="26"/>
        </w:rPr>
        <w:t xml:space="preserve"> </w:t>
      </w:r>
      <w:r>
        <w:rPr>
          <w:rFonts w:ascii="Book Antiqua" w:hAnsi="Book Antiqua"/>
          <w:sz w:val="26"/>
          <w:szCs w:val="26"/>
        </w:rPr>
        <w:t>Although Frontier described various reinvestment scenarios, TURN claim</w:t>
      </w:r>
      <w:r w:rsidR="00434D50">
        <w:rPr>
          <w:rFonts w:ascii="Book Antiqua" w:hAnsi="Book Antiqua"/>
          <w:sz w:val="26"/>
          <w:szCs w:val="26"/>
        </w:rPr>
        <w:t>ed</w:t>
      </w:r>
      <w:r>
        <w:rPr>
          <w:rFonts w:ascii="Book Antiqua" w:hAnsi="Book Antiqua"/>
          <w:sz w:val="26"/>
          <w:szCs w:val="26"/>
        </w:rPr>
        <w:t xml:space="preserve"> that Frontier d</w:t>
      </w:r>
      <w:r w:rsidR="00272E0D">
        <w:rPr>
          <w:rFonts w:ascii="Book Antiqua" w:hAnsi="Book Antiqua"/>
          <w:sz w:val="26"/>
          <w:szCs w:val="26"/>
        </w:rPr>
        <w:t>id</w:t>
      </w:r>
      <w:r>
        <w:rPr>
          <w:rFonts w:ascii="Book Antiqua" w:hAnsi="Book Antiqua"/>
          <w:sz w:val="26"/>
          <w:szCs w:val="26"/>
        </w:rPr>
        <w:t xml:space="preserve"> not make clear the division between California and other Frontier states.</w:t>
      </w:r>
      <w:r>
        <w:rPr>
          <w:rStyle w:val="FootnoteReference"/>
          <w:rFonts w:ascii="Book Antiqua" w:hAnsi="Book Antiqua"/>
          <w:sz w:val="26"/>
          <w:szCs w:val="26"/>
        </w:rPr>
        <w:footnoteReference w:id="127"/>
      </w:r>
      <w:r>
        <w:rPr>
          <w:rFonts w:ascii="Book Antiqua" w:hAnsi="Book Antiqua"/>
          <w:sz w:val="26"/>
          <w:szCs w:val="26"/>
        </w:rPr>
        <w:t xml:space="preserve"> </w:t>
      </w:r>
      <w:r w:rsidR="00D45699">
        <w:rPr>
          <w:rFonts w:ascii="Book Antiqua" w:hAnsi="Book Antiqua"/>
          <w:sz w:val="26"/>
          <w:szCs w:val="26"/>
        </w:rPr>
        <w:t xml:space="preserve"> </w:t>
      </w:r>
      <w:r>
        <w:rPr>
          <w:rFonts w:ascii="Book Antiqua" w:hAnsi="Book Antiqua"/>
          <w:sz w:val="26"/>
          <w:szCs w:val="26"/>
        </w:rPr>
        <w:t>TURN assert</w:t>
      </w:r>
      <w:r w:rsidR="00434D50">
        <w:rPr>
          <w:rFonts w:ascii="Book Antiqua" w:hAnsi="Book Antiqua"/>
          <w:sz w:val="26"/>
          <w:szCs w:val="26"/>
        </w:rPr>
        <w:t>ed</w:t>
      </w:r>
      <w:r>
        <w:rPr>
          <w:rFonts w:ascii="Book Antiqua" w:hAnsi="Book Antiqua"/>
          <w:sz w:val="26"/>
          <w:szCs w:val="26"/>
        </w:rPr>
        <w:t xml:space="preserve"> that Frontier has not stated the level of California capital expenditures that California consumers and the Commission can expect.</w:t>
      </w:r>
      <w:r>
        <w:rPr>
          <w:rStyle w:val="FootnoteReference"/>
          <w:rFonts w:ascii="Book Antiqua" w:hAnsi="Book Antiqua"/>
          <w:sz w:val="26"/>
          <w:szCs w:val="26"/>
        </w:rPr>
        <w:footnoteReference w:id="128"/>
      </w:r>
    </w:p>
    <w:p w:rsidRPr="00F32AFB" w:rsidR="007E6F6B" w:rsidP="00F32AFB" w:rsidRDefault="0081177B" w14:paraId="79777B4F" w14:textId="2594FE97">
      <w:pPr>
        <w:pStyle w:val="Default"/>
        <w:spacing w:line="360" w:lineRule="auto"/>
        <w:ind w:firstLine="720"/>
        <w:rPr>
          <w:rFonts w:ascii="Book Antiqua" w:hAnsi="Book Antiqua"/>
          <w:sz w:val="26"/>
          <w:szCs w:val="26"/>
        </w:rPr>
      </w:pPr>
      <w:r>
        <w:rPr>
          <w:rFonts w:ascii="Book Antiqua" w:hAnsi="Book Antiqua"/>
          <w:sz w:val="26"/>
          <w:szCs w:val="26"/>
        </w:rPr>
        <w:t>Before the Settlement Agreements, Frontier objected to capital expenditure requirements because it assert</w:t>
      </w:r>
      <w:r w:rsidR="00434D50">
        <w:rPr>
          <w:rFonts w:ascii="Book Antiqua" w:hAnsi="Book Antiqua"/>
          <w:sz w:val="26"/>
          <w:szCs w:val="26"/>
        </w:rPr>
        <w:t>ed</w:t>
      </w:r>
      <w:r>
        <w:rPr>
          <w:rFonts w:ascii="Book Antiqua" w:hAnsi="Book Antiqua"/>
          <w:sz w:val="26"/>
          <w:szCs w:val="26"/>
        </w:rPr>
        <w:t xml:space="preserve"> the need to retain flexibility regarding its operating and capital allocation plans.</w:t>
      </w:r>
      <w:r>
        <w:rPr>
          <w:rStyle w:val="FootnoteReference"/>
          <w:rFonts w:ascii="Book Antiqua" w:hAnsi="Book Antiqua"/>
          <w:sz w:val="26"/>
          <w:szCs w:val="26"/>
        </w:rPr>
        <w:footnoteReference w:id="129"/>
      </w:r>
      <w:r>
        <w:rPr>
          <w:rFonts w:ascii="Book Antiqua" w:hAnsi="Book Antiqua"/>
          <w:sz w:val="26"/>
          <w:szCs w:val="26"/>
        </w:rPr>
        <w:t xml:space="preserve"> </w:t>
      </w:r>
      <w:r w:rsidR="00D45699">
        <w:rPr>
          <w:rFonts w:ascii="Book Antiqua" w:hAnsi="Book Antiqua"/>
          <w:sz w:val="26"/>
          <w:szCs w:val="26"/>
        </w:rPr>
        <w:t xml:space="preserve"> </w:t>
      </w:r>
      <w:r>
        <w:rPr>
          <w:rFonts w:ascii="Book Antiqua" w:hAnsi="Book Antiqua"/>
          <w:sz w:val="26"/>
          <w:szCs w:val="26"/>
        </w:rPr>
        <w:t>Frontier contended that capital allocation decisions should be driven by market forces that will result in a reasonable allocation of capital to improve the customer experience.</w:t>
      </w:r>
      <w:r>
        <w:rPr>
          <w:rStyle w:val="FootnoteReference"/>
          <w:rFonts w:ascii="Book Antiqua" w:hAnsi="Book Antiqua"/>
          <w:sz w:val="26"/>
          <w:szCs w:val="26"/>
        </w:rPr>
        <w:footnoteReference w:id="130"/>
      </w:r>
      <w:r w:rsidR="00434D50">
        <w:rPr>
          <w:rFonts w:ascii="Book Antiqua" w:hAnsi="Book Antiqua"/>
          <w:sz w:val="26"/>
          <w:szCs w:val="26"/>
        </w:rPr>
        <w:t xml:space="preserve"> </w:t>
      </w:r>
      <w:r w:rsidR="00D45699">
        <w:rPr>
          <w:rFonts w:ascii="Book Antiqua" w:hAnsi="Book Antiqua"/>
          <w:sz w:val="26"/>
          <w:szCs w:val="26"/>
        </w:rPr>
        <w:t xml:space="preserve"> </w:t>
      </w:r>
      <w:r>
        <w:rPr>
          <w:rFonts w:ascii="Book Antiqua" w:hAnsi="Book Antiqua"/>
          <w:sz w:val="26"/>
          <w:szCs w:val="26"/>
        </w:rPr>
        <w:t xml:space="preserve">Frontier </w:t>
      </w:r>
      <w:r>
        <w:rPr>
          <w:rFonts w:ascii="Book Antiqua" w:hAnsi="Book Antiqua"/>
          <w:sz w:val="26"/>
          <w:szCs w:val="26"/>
        </w:rPr>
        <w:lastRenderedPageBreak/>
        <w:t>also claim</w:t>
      </w:r>
      <w:r w:rsidR="00434D50">
        <w:rPr>
          <w:rFonts w:ascii="Book Antiqua" w:hAnsi="Book Antiqua"/>
          <w:sz w:val="26"/>
          <w:szCs w:val="26"/>
        </w:rPr>
        <w:t>ed</w:t>
      </w:r>
      <w:r>
        <w:rPr>
          <w:rFonts w:ascii="Book Antiqua" w:hAnsi="Book Antiqua"/>
          <w:sz w:val="26"/>
          <w:szCs w:val="26"/>
        </w:rPr>
        <w:t xml:space="preserve"> that Cal Advocates inappropriately included prior operating expenses as a future capital expenditure obligation and that Cal Advocates has included duplicative amounts in its proposed capital expenditure obligation.</w:t>
      </w:r>
      <w:r>
        <w:rPr>
          <w:rStyle w:val="FootnoteReference"/>
          <w:rFonts w:ascii="Book Antiqua" w:hAnsi="Book Antiqua"/>
          <w:sz w:val="26"/>
          <w:szCs w:val="26"/>
        </w:rPr>
        <w:footnoteReference w:id="131"/>
      </w:r>
      <w:r>
        <w:rPr>
          <w:rFonts w:ascii="Book Antiqua" w:hAnsi="Book Antiqua"/>
          <w:sz w:val="26"/>
          <w:szCs w:val="26"/>
        </w:rPr>
        <w:t xml:space="preserve"> In addition, Frontier d</w:t>
      </w:r>
      <w:r w:rsidR="00434D50">
        <w:rPr>
          <w:rFonts w:ascii="Book Antiqua" w:hAnsi="Book Antiqua"/>
          <w:sz w:val="26"/>
          <w:szCs w:val="26"/>
        </w:rPr>
        <w:t>id</w:t>
      </w:r>
      <w:r>
        <w:rPr>
          <w:rFonts w:ascii="Book Antiqua" w:hAnsi="Book Antiqua"/>
          <w:sz w:val="26"/>
          <w:szCs w:val="26"/>
        </w:rPr>
        <w:t xml:space="preserve"> not agree that RDOF funding should be excluded from any capital commitment, in part because the RDOF program requires significant risk regarding capital expenditures, ongoing buildout, and regulatory requirements.</w:t>
      </w:r>
      <w:r>
        <w:rPr>
          <w:rStyle w:val="FootnoteReference"/>
          <w:rFonts w:ascii="Book Antiqua" w:hAnsi="Book Antiqua"/>
          <w:sz w:val="26"/>
          <w:szCs w:val="26"/>
        </w:rPr>
        <w:footnoteReference w:id="132"/>
      </w:r>
    </w:p>
    <w:p w:rsidR="00864BE9" w:rsidP="00864BE9" w:rsidRDefault="009C41D2" w14:paraId="714CC1AD" w14:textId="3AC5AB15">
      <w:pPr>
        <w:pStyle w:val="Default"/>
        <w:spacing w:line="360" w:lineRule="auto"/>
        <w:ind w:firstLine="720"/>
        <w:rPr>
          <w:rFonts w:ascii="Book Antiqua" w:hAnsi="Book Antiqua"/>
          <w:sz w:val="26"/>
          <w:szCs w:val="26"/>
        </w:rPr>
      </w:pPr>
      <w:r>
        <w:rPr>
          <w:rFonts w:ascii="Book Antiqua" w:hAnsi="Book Antiqua"/>
          <w:sz w:val="26"/>
          <w:szCs w:val="26"/>
        </w:rPr>
        <w:t xml:space="preserve">Before the Settlement Agreements, </w:t>
      </w:r>
      <w:r w:rsidR="00851D37">
        <w:rPr>
          <w:rFonts w:ascii="Book Antiqua" w:hAnsi="Book Antiqua"/>
          <w:sz w:val="26"/>
          <w:szCs w:val="26"/>
        </w:rPr>
        <w:t xml:space="preserve">Cal Advocates stated that Frontier failed to include detailed plans regarding its broadband deployment </w:t>
      </w:r>
      <w:r w:rsidR="00BB7D65">
        <w:rPr>
          <w:rFonts w:ascii="Book Antiqua" w:hAnsi="Book Antiqua"/>
          <w:sz w:val="26"/>
          <w:szCs w:val="26"/>
        </w:rPr>
        <w:t>ac</w:t>
      </w:r>
      <w:r w:rsidR="00851D37">
        <w:rPr>
          <w:rFonts w:ascii="Book Antiqua" w:hAnsi="Book Antiqua"/>
          <w:sz w:val="26"/>
          <w:szCs w:val="26"/>
        </w:rPr>
        <w:t>tivities in California.</w:t>
      </w:r>
      <w:r w:rsidR="00851D37">
        <w:rPr>
          <w:rStyle w:val="FootnoteReference"/>
          <w:rFonts w:ascii="Book Antiqua" w:hAnsi="Book Antiqua"/>
          <w:sz w:val="26"/>
          <w:szCs w:val="26"/>
        </w:rPr>
        <w:footnoteReference w:id="133"/>
      </w:r>
      <w:r w:rsidR="00851D37">
        <w:rPr>
          <w:rFonts w:ascii="Book Antiqua" w:hAnsi="Book Antiqua"/>
          <w:sz w:val="26"/>
          <w:szCs w:val="26"/>
        </w:rPr>
        <w:t xml:space="preserve">  Cal Advocates found that 421,000 of the 455,000 copper locations Frontier identified as having an internal rate of return </w:t>
      </w:r>
      <w:r w:rsidR="00907E1A">
        <w:rPr>
          <w:rFonts w:ascii="Book Antiqua" w:hAnsi="Book Antiqua"/>
          <w:sz w:val="26"/>
          <w:szCs w:val="26"/>
        </w:rPr>
        <w:t xml:space="preserve">(IRR) </w:t>
      </w:r>
      <w:r w:rsidR="00851D37">
        <w:rPr>
          <w:rFonts w:ascii="Book Antiqua" w:hAnsi="Book Antiqua"/>
          <w:sz w:val="26"/>
          <w:szCs w:val="26"/>
        </w:rPr>
        <w:t>of 20 percent or greater are in the Los Angeles-Long Be</w:t>
      </w:r>
      <w:r w:rsidR="00BB7D65">
        <w:rPr>
          <w:rFonts w:ascii="Book Antiqua" w:hAnsi="Book Antiqua"/>
          <w:sz w:val="26"/>
          <w:szCs w:val="26"/>
        </w:rPr>
        <w:t>ac</w:t>
      </w:r>
      <w:r w:rsidR="00851D37">
        <w:rPr>
          <w:rFonts w:ascii="Book Antiqua" w:hAnsi="Book Antiqua"/>
          <w:sz w:val="26"/>
          <w:szCs w:val="26"/>
        </w:rPr>
        <w:t>h-Anaheim, Santa Maria-Santa Barbara, and Riverside-San Bernardino-Ontario metro areas, and therefore about 92.5</w:t>
      </w:r>
      <w:r w:rsidR="00D45699">
        <w:rPr>
          <w:rFonts w:ascii="Book Antiqua" w:hAnsi="Book Antiqua"/>
          <w:sz w:val="26"/>
          <w:szCs w:val="26"/>
        </w:rPr>
        <w:t> </w:t>
      </w:r>
      <w:r w:rsidR="00851D37">
        <w:rPr>
          <w:rFonts w:ascii="Book Antiqua" w:hAnsi="Book Antiqua"/>
          <w:sz w:val="26"/>
          <w:szCs w:val="26"/>
        </w:rPr>
        <w:t>percent of Frontier’s investment will likely be in those three metro areas.</w:t>
      </w:r>
      <w:r w:rsidR="00851D37">
        <w:rPr>
          <w:rStyle w:val="FootnoteReference"/>
          <w:rFonts w:ascii="Book Antiqua" w:hAnsi="Book Antiqua"/>
          <w:sz w:val="26"/>
          <w:szCs w:val="26"/>
        </w:rPr>
        <w:footnoteReference w:id="134"/>
      </w:r>
      <w:r w:rsidR="00864BE9">
        <w:rPr>
          <w:rFonts w:ascii="Book Antiqua" w:hAnsi="Book Antiqua"/>
          <w:sz w:val="26"/>
          <w:szCs w:val="26"/>
        </w:rPr>
        <w:t xml:space="preserve"> </w:t>
      </w:r>
      <w:r w:rsidR="00B344D9">
        <w:rPr>
          <w:rFonts w:ascii="Book Antiqua" w:hAnsi="Book Antiqua"/>
          <w:sz w:val="26"/>
          <w:szCs w:val="26"/>
        </w:rPr>
        <w:t>Cal Advocates propose</w:t>
      </w:r>
      <w:r>
        <w:rPr>
          <w:rFonts w:ascii="Book Antiqua" w:hAnsi="Book Antiqua"/>
          <w:sz w:val="26"/>
          <w:szCs w:val="26"/>
        </w:rPr>
        <w:t>d that</w:t>
      </w:r>
      <w:r w:rsidR="00B344D9">
        <w:rPr>
          <w:rFonts w:ascii="Book Antiqua" w:hAnsi="Book Antiqua"/>
          <w:sz w:val="26"/>
          <w:szCs w:val="26"/>
        </w:rPr>
        <w:t xml:space="preserve"> Frontier</w:t>
      </w:r>
      <w:r>
        <w:rPr>
          <w:rFonts w:ascii="Book Antiqua" w:hAnsi="Book Antiqua"/>
          <w:sz w:val="26"/>
          <w:szCs w:val="26"/>
        </w:rPr>
        <w:t xml:space="preserve"> be required</w:t>
      </w:r>
      <w:r w:rsidR="00B344D9">
        <w:rPr>
          <w:rFonts w:ascii="Book Antiqua" w:hAnsi="Book Antiqua"/>
          <w:sz w:val="26"/>
          <w:szCs w:val="26"/>
        </w:rPr>
        <w:t xml:space="preserve"> to deploy fiber to at least 150,000 California copper locations with an IRR of less than 20 percent and at least 455,000 California copper locations with an IRR of greater than 20 percent from 2021 through 2031, with Frontier being allowed to use the </w:t>
      </w:r>
      <w:r>
        <w:rPr>
          <w:rFonts w:ascii="Book Antiqua" w:hAnsi="Book Antiqua"/>
          <w:sz w:val="26"/>
          <w:szCs w:val="26"/>
        </w:rPr>
        <w:t xml:space="preserve">debt reduction savings from the </w:t>
      </w:r>
      <w:r w:rsidR="00B344D9">
        <w:rPr>
          <w:rFonts w:ascii="Book Antiqua" w:hAnsi="Book Antiqua"/>
          <w:sz w:val="26"/>
          <w:szCs w:val="26"/>
        </w:rPr>
        <w:t>Restructuring to meet those requirements.</w:t>
      </w:r>
      <w:r w:rsidR="00B344D9">
        <w:rPr>
          <w:rStyle w:val="FootnoteReference"/>
          <w:rFonts w:ascii="Book Antiqua" w:hAnsi="Book Antiqua"/>
          <w:sz w:val="26"/>
          <w:szCs w:val="26"/>
        </w:rPr>
        <w:footnoteReference w:id="135"/>
      </w:r>
      <w:r w:rsidR="00B344D9">
        <w:rPr>
          <w:rFonts w:ascii="Book Antiqua" w:hAnsi="Book Antiqua"/>
          <w:sz w:val="26"/>
          <w:szCs w:val="26"/>
        </w:rPr>
        <w:t xml:space="preserve"> </w:t>
      </w:r>
    </w:p>
    <w:p w:rsidR="00B344D9" w:rsidP="00864BE9" w:rsidRDefault="00B344D9" w14:paraId="4434059B" w14:textId="1911AFEB">
      <w:pPr>
        <w:pStyle w:val="Default"/>
        <w:spacing w:line="360" w:lineRule="auto"/>
        <w:ind w:firstLine="720"/>
        <w:rPr>
          <w:rFonts w:ascii="Book Antiqua" w:hAnsi="Book Antiqua"/>
          <w:sz w:val="26"/>
          <w:szCs w:val="26"/>
        </w:rPr>
      </w:pPr>
      <w:r>
        <w:rPr>
          <w:rFonts w:ascii="Book Antiqua" w:hAnsi="Book Antiqua"/>
          <w:sz w:val="26"/>
          <w:szCs w:val="26"/>
        </w:rPr>
        <w:t>Cal Advocates also propose</w:t>
      </w:r>
      <w:r w:rsidR="009C41D2">
        <w:rPr>
          <w:rFonts w:ascii="Book Antiqua" w:hAnsi="Book Antiqua"/>
          <w:sz w:val="26"/>
          <w:szCs w:val="26"/>
        </w:rPr>
        <w:t>d</w:t>
      </w:r>
      <w:r>
        <w:rPr>
          <w:rFonts w:ascii="Book Antiqua" w:hAnsi="Book Antiqua"/>
          <w:sz w:val="26"/>
          <w:szCs w:val="26"/>
        </w:rPr>
        <w:t xml:space="preserve"> that Frontier provide minimum Internet and data speeds of 25/3 Mbps “for all remaining 2015 unmet broadband deployment </w:t>
      </w:r>
      <w:r>
        <w:rPr>
          <w:rFonts w:ascii="Book Antiqua" w:hAnsi="Book Antiqua"/>
          <w:sz w:val="26"/>
          <w:szCs w:val="26"/>
        </w:rPr>
        <w:lastRenderedPageBreak/>
        <w:t xml:space="preserve">conditions” and no less than the speeds required by the </w:t>
      </w:r>
      <w:r w:rsidR="00BB7D65">
        <w:rPr>
          <w:rFonts w:ascii="Book Antiqua" w:hAnsi="Book Antiqua"/>
          <w:sz w:val="26"/>
          <w:szCs w:val="26"/>
        </w:rPr>
        <w:t>F</w:t>
      </w:r>
      <w:r w:rsidR="00555C0B">
        <w:rPr>
          <w:rFonts w:ascii="Book Antiqua" w:hAnsi="Book Antiqua"/>
          <w:sz w:val="26"/>
          <w:szCs w:val="26"/>
        </w:rPr>
        <w:t>C</w:t>
      </w:r>
      <w:r>
        <w:rPr>
          <w:rFonts w:ascii="Book Antiqua" w:hAnsi="Book Antiqua"/>
          <w:sz w:val="26"/>
          <w:szCs w:val="26"/>
        </w:rPr>
        <w:t>C’s Life</w:t>
      </w:r>
      <w:r w:rsidR="0021762D">
        <w:rPr>
          <w:rFonts w:ascii="Book Antiqua" w:hAnsi="Book Antiqua"/>
          <w:sz w:val="26"/>
          <w:szCs w:val="26"/>
        </w:rPr>
        <w:t>l</w:t>
      </w:r>
      <w:r>
        <w:rPr>
          <w:rFonts w:ascii="Book Antiqua" w:hAnsi="Book Antiqua"/>
          <w:sz w:val="26"/>
          <w:szCs w:val="26"/>
        </w:rPr>
        <w:t>ine program.</w:t>
      </w:r>
      <w:r>
        <w:rPr>
          <w:rStyle w:val="FootnoteReference"/>
          <w:rFonts w:ascii="Book Antiqua" w:hAnsi="Book Antiqua"/>
          <w:sz w:val="26"/>
          <w:szCs w:val="26"/>
        </w:rPr>
        <w:footnoteReference w:id="136"/>
      </w:r>
      <w:r>
        <w:rPr>
          <w:rFonts w:ascii="Book Antiqua" w:hAnsi="Book Antiqua"/>
          <w:sz w:val="26"/>
          <w:szCs w:val="26"/>
        </w:rPr>
        <w:t xml:space="preserve"> </w:t>
      </w:r>
      <w:r w:rsidR="00D45699">
        <w:rPr>
          <w:rFonts w:ascii="Book Antiqua" w:hAnsi="Book Antiqua"/>
          <w:sz w:val="26"/>
          <w:szCs w:val="26"/>
        </w:rPr>
        <w:t xml:space="preserve"> </w:t>
      </w:r>
      <w:r>
        <w:rPr>
          <w:rFonts w:ascii="Book Antiqua" w:hAnsi="Book Antiqua"/>
          <w:sz w:val="26"/>
          <w:szCs w:val="26"/>
        </w:rPr>
        <w:t xml:space="preserve">In addition, Cal Advocates </w:t>
      </w:r>
      <w:r w:rsidR="009C41D2">
        <w:rPr>
          <w:rFonts w:ascii="Book Antiqua" w:hAnsi="Book Antiqua"/>
          <w:sz w:val="26"/>
          <w:szCs w:val="26"/>
        </w:rPr>
        <w:t>proposed to</w:t>
      </w:r>
      <w:r>
        <w:rPr>
          <w:rFonts w:ascii="Book Antiqua" w:hAnsi="Book Antiqua"/>
          <w:sz w:val="26"/>
          <w:szCs w:val="26"/>
        </w:rPr>
        <w:t xml:space="preserve"> require Frontier to meet its broadband deployment obligations pursuant to the settlement in D.15-12-005, including a requirement to deploy broadband to 5,800 households in tribal areas.</w:t>
      </w:r>
      <w:r>
        <w:rPr>
          <w:rStyle w:val="FootnoteReference"/>
          <w:rFonts w:ascii="Book Antiqua" w:hAnsi="Book Antiqua"/>
          <w:sz w:val="26"/>
          <w:szCs w:val="26"/>
        </w:rPr>
        <w:footnoteReference w:id="137"/>
      </w:r>
      <w:r>
        <w:rPr>
          <w:rFonts w:ascii="Book Antiqua" w:hAnsi="Book Antiqua"/>
          <w:sz w:val="26"/>
          <w:szCs w:val="26"/>
        </w:rPr>
        <w:t xml:space="preserve"> </w:t>
      </w:r>
      <w:r w:rsidR="00D45699">
        <w:rPr>
          <w:rFonts w:ascii="Book Antiqua" w:hAnsi="Book Antiqua"/>
          <w:sz w:val="26"/>
          <w:szCs w:val="26"/>
        </w:rPr>
        <w:t xml:space="preserve"> </w:t>
      </w:r>
    </w:p>
    <w:p w:rsidR="00B344D9" w:rsidP="00B344D9" w:rsidRDefault="00B344D9" w14:paraId="1AC7F556" w14:textId="4820AAAB">
      <w:pPr>
        <w:pStyle w:val="Default"/>
        <w:spacing w:line="360" w:lineRule="auto"/>
        <w:ind w:firstLine="720"/>
        <w:rPr>
          <w:rFonts w:ascii="Book Antiqua" w:hAnsi="Book Antiqua"/>
          <w:sz w:val="26"/>
          <w:szCs w:val="26"/>
        </w:rPr>
      </w:pPr>
      <w:r>
        <w:rPr>
          <w:rFonts w:ascii="Book Antiqua" w:hAnsi="Book Antiqua"/>
          <w:sz w:val="26"/>
          <w:szCs w:val="26"/>
        </w:rPr>
        <w:t>TURN support</w:t>
      </w:r>
      <w:r w:rsidR="009C41D2">
        <w:rPr>
          <w:rFonts w:ascii="Book Antiqua" w:hAnsi="Book Antiqua"/>
          <w:sz w:val="26"/>
          <w:szCs w:val="26"/>
        </w:rPr>
        <w:t>ed</w:t>
      </w:r>
      <w:r>
        <w:rPr>
          <w:rFonts w:ascii="Book Antiqua" w:hAnsi="Book Antiqua"/>
          <w:sz w:val="26"/>
          <w:szCs w:val="26"/>
        </w:rPr>
        <w:t xml:space="preserve"> Cal Advocates’ proposal that Frontier increase the speed and performance of planned projects from the 2016 Verizon </w:t>
      </w:r>
      <w:r w:rsidR="00555C0B">
        <w:rPr>
          <w:rFonts w:ascii="Book Antiqua" w:hAnsi="Book Antiqua"/>
          <w:sz w:val="26"/>
          <w:szCs w:val="26"/>
        </w:rPr>
        <w:t>A</w:t>
      </w:r>
      <w:r w:rsidR="00990191">
        <w:rPr>
          <w:rFonts w:ascii="Book Antiqua" w:hAnsi="Book Antiqua"/>
          <w:sz w:val="26"/>
          <w:szCs w:val="26"/>
        </w:rPr>
        <w:t>c</w:t>
      </w:r>
      <w:r>
        <w:rPr>
          <w:rFonts w:ascii="Book Antiqua" w:hAnsi="Book Antiqua"/>
          <w:sz w:val="26"/>
          <w:szCs w:val="26"/>
        </w:rPr>
        <w:t xml:space="preserve">quisition commitments to 25/3 </w:t>
      </w:r>
      <w:r w:rsidR="009C41D2">
        <w:rPr>
          <w:rFonts w:ascii="Book Antiqua" w:hAnsi="Book Antiqua"/>
          <w:sz w:val="26"/>
          <w:szCs w:val="26"/>
        </w:rPr>
        <w:t>Mbps</w:t>
      </w:r>
      <w:r>
        <w:rPr>
          <w:rFonts w:ascii="Book Antiqua" w:hAnsi="Book Antiqua"/>
          <w:sz w:val="26"/>
          <w:szCs w:val="26"/>
        </w:rPr>
        <w:t>.</w:t>
      </w:r>
      <w:r>
        <w:rPr>
          <w:rStyle w:val="FootnoteReference"/>
          <w:rFonts w:ascii="Book Antiqua" w:hAnsi="Book Antiqua"/>
          <w:sz w:val="26"/>
          <w:szCs w:val="26"/>
        </w:rPr>
        <w:footnoteReference w:id="138"/>
      </w:r>
      <w:r>
        <w:rPr>
          <w:rFonts w:ascii="Book Antiqua" w:hAnsi="Book Antiqua"/>
          <w:sz w:val="26"/>
          <w:szCs w:val="26"/>
        </w:rPr>
        <w:t xml:space="preserve"> </w:t>
      </w:r>
      <w:r w:rsidR="00D45699">
        <w:rPr>
          <w:rFonts w:ascii="Book Antiqua" w:hAnsi="Book Antiqua"/>
          <w:sz w:val="26"/>
          <w:szCs w:val="26"/>
        </w:rPr>
        <w:t xml:space="preserve"> </w:t>
      </w:r>
      <w:r>
        <w:rPr>
          <w:rFonts w:ascii="Book Antiqua" w:hAnsi="Book Antiqua"/>
          <w:sz w:val="26"/>
          <w:szCs w:val="26"/>
        </w:rPr>
        <w:t>TURN propose</w:t>
      </w:r>
      <w:r w:rsidR="00BC0874">
        <w:rPr>
          <w:rFonts w:ascii="Book Antiqua" w:hAnsi="Book Antiqua"/>
          <w:sz w:val="26"/>
          <w:szCs w:val="26"/>
        </w:rPr>
        <w:t>d</w:t>
      </w:r>
      <w:r>
        <w:rPr>
          <w:rFonts w:ascii="Book Antiqua" w:hAnsi="Book Antiqua"/>
          <w:sz w:val="26"/>
          <w:szCs w:val="26"/>
        </w:rPr>
        <w:t xml:space="preserve"> a Commission requirement that Frontier reaffirm its commitments from the Verizon </w:t>
      </w:r>
      <w:r w:rsidR="00555C0B">
        <w:rPr>
          <w:rFonts w:ascii="Book Antiqua" w:hAnsi="Book Antiqua"/>
          <w:sz w:val="26"/>
          <w:szCs w:val="26"/>
        </w:rPr>
        <w:t>A</w:t>
      </w:r>
      <w:r w:rsidR="00990191">
        <w:rPr>
          <w:rFonts w:ascii="Book Antiqua" w:hAnsi="Book Antiqua"/>
          <w:sz w:val="26"/>
          <w:szCs w:val="26"/>
        </w:rPr>
        <w:t>c</w:t>
      </w:r>
      <w:r>
        <w:rPr>
          <w:rFonts w:ascii="Book Antiqua" w:hAnsi="Book Antiqua"/>
          <w:sz w:val="26"/>
          <w:szCs w:val="26"/>
        </w:rPr>
        <w:t>quisition and “extend them.”</w:t>
      </w:r>
      <w:r>
        <w:rPr>
          <w:rStyle w:val="FootnoteReference"/>
          <w:rFonts w:ascii="Book Antiqua" w:hAnsi="Book Antiqua"/>
          <w:sz w:val="26"/>
          <w:szCs w:val="26"/>
        </w:rPr>
        <w:footnoteReference w:id="139"/>
      </w:r>
    </w:p>
    <w:p w:rsidR="00BC0874" w:rsidP="00037B89" w:rsidRDefault="00BC0874" w14:paraId="40B7D645" w14:textId="3D96E323">
      <w:pPr>
        <w:pStyle w:val="Default"/>
        <w:spacing w:line="360" w:lineRule="auto"/>
        <w:ind w:firstLine="720"/>
        <w:rPr>
          <w:rFonts w:ascii="Book Antiqua" w:hAnsi="Book Antiqua"/>
          <w:sz w:val="26"/>
          <w:szCs w:val="26"/>
        </w:rPr>
      </w:pPr>
      <w:r>
        <w:rPr>
          <w:rFonts w:ascii="Book Antiqua" w:hAnsi="Book Antiqua"/>
          <w:sz w:val="26"/>
          <w:szCs w:val="26"/>
        </w:rPr>
        <w:t>Before the Settlement Agreements, Frontier stated that it intends to expand fiber deployment</w:t>
      </w:r>
      <w:r w:rsidR="00ED3F9C">
        <w:rPr>
          <w:rFonts w:ascii="Book Antiqua" w:hAnsi="Book Antiqua"/>
          <w:sz w:val="26"/>
          <w:szCs w:val="26"/>
        </w:rPr>
        <w:t>s</w:t>
      </w:r>
      <w:r>
        <w:rPr>
          <w:rFonts w:ascii="Book Antiqua" w:hAnsi="Book Antiqua"/>
          <w:sz w:val="26"/>
          <w:szCs w:val="26"/>
        </w:rPr>
        <w:t xml:space="preserve"> in California,</w:t>
      </w:r>
      <w:r>
        <w:rPr>
          <w:rStyle w:val="FootnoteReference"/>
          <w:rFonts w:ascii="Book Antiqua" w:hAnsi="Book Antiqua"/>
          <w:sz w:val="26"/>
          <w:szCs w:val="26"/>
        </w:rPr>
        <w:footnoteReference w:id="140"/>
      </w:r>
      <w:r>
        <w:rPr>
          <w:rFonts w:ascii="Book Antiqua" w:hAnsi="Book Antiqua"/>
          <w:sz w:val="26"/>
          <w:szCs w:val="26"/>
        </w:rPr>
        <w:t xml:space="preserve"> but it admitted that its prospective fiber deployments in California are still being defined.</w:t>
      </w:r>
      <w:r>
        <w:rPr>
          <w:rStyle w:val="FootnoteReference"/>
          <w:rFonts w:ascii="Book Antiqua" w:hAnsi="Book Antiqua"/>
          <w:sz w:val="26"/>
          <w:szCs w:val="26"/>
        </w:rPr>
        <w:footnoteReference w:id="141"/>
      </w:r>
      <w:r>
        <w:rPr>
          <w:rFonts w:ascii="Book Antiqua" w:hAnsi="Book Antiqua"/>
          <w:sz w:val="26"/>
          <w:szCs w:val="26"/>
        </w:rPr>
        <w:t xml:space="preserve"> </w:t>
      </w:r>
      <w:r w:rsidR="00D45699">
        <w:rPr>
          <w:rFonts w:ascii="Book Antiqua" w:hAnsi="Book Antiqua"/>
          <w:sz w:val="26"/>
          <w:szCs w:val="26"/>
        </w:rPr>
        <w:t xml:space="preserve"> </w:t>
      </w:r>
      <w:r>
        <w:rPr>
          <w:rFonts w:ascii="Book Antiqua" w:hAnsi="Book Antiqua"/>
          <w:sz w:val="26"/>
          <w:szCs w:val="26"/>
        </w:rPr>
        <w:t>Although Frontier’s R</w:t>
      </w:r>
      <w:r w:rsidR="00990191">
        <w:rPr>
          <w:rFonts w:ascii="Book Antiqua" w:hAnsi="Book Antiqua"/>
          <w:sz w:val="26"/>
          <w:szCs w:val="26"/>
        </w:rPr>
        <w:t>SA</w:t>
      </w:r>
      <w:r>
        <w:rPr>
          <w:rFonts w:ascii="Book Antiqua" w:hAnsi="Book Antiqua"/>
          <w:sz w:val="26"/>
          <w:szCs w:val="26"/>
        </w:rPr>
        <w:t xml:space="preserve"> reflects a possible division of Frontier territories between those with fiber deployment for broadband expansion identified as </w:t>
      </w:r>
      <w:proofErr w:type="spellStart"/>
      <w:r>
        <w:rPr>
          <w:rFonts w:ascii="Book Antiqua" w:hAnsi="Book Antiqua"/>
          <w:sz w:val="26"/>
          <w:szCs w:val="26"/>
        </w:rPr>
        <w:t>InvestCo</w:t>
      </w:r>
      <w:proofErr w:type="spellEnd"/>
      <w:r>
        <w:rPr>
          <w:rFonts w:ascii="Book Antiqua" w:hAnsi="Book Antiqua"/>
          <w:sz w:val="26"/>
          <w:szCs w:val="26"/>
        </w:rPr>
        <w:t xml:space="preserve"> and those limited to broadband upgrades and operational improvements identified as </w:t>
      </w:r>
      <w:proofErr w:type="spellStart"/>
      <w:r>
        <w:rPr>
          <w:rFonts w:ascii="Book Antiqua" w:hAnsi="Book Antiqua"/>
          <w:sz w:val="26"/>
          <w:szCs w:val="26"/>
        </w:rPr>
        <w:t>ImproveCo</w:t>
      </w:r>
      <w:proofErr w:type="spellEnd"/>
      <w:r>
        <w:rPr>
          <w:rFonts w:ascii="Book Antiqua" w:hAnsi="Book Antiqua"/>
          <w:sz w:val="26"/>
          <w:szCs w:val="26"/>
        </w:rPr>
        <w:t>,</w:t>
      </w:r>
      <w:r>
        <w:rPr>
          <w:rStyle w:val="FootnoteReference"/>
          <w:rFonts w:ascii="Book Antiqua" w:hAnsi="Book Antiqua"/>
          <w:sz w:val="26"/>
          <w:szCs w:val="26"/>
        </w:rPr>
        <w:footnoteReference w:id="142"/>
      </w:r>
      <w:r>
        <w:rPr>
          <w:rFonts w:ascii="Book Antiqua" w:hAnsi="Book Antiqua"/>
          <w:sz w:val="26"/>
          <w:szCs w:val="26"/>
        </w:rPr>
        <w:t xml:space="preserve"> Frontier had not identified the California areas that fall within </w:t>
      </w:r>
      <w:proofErr w:type="spellStart"/>
      <w:r>
        <w:rPr>
          <w:rFonts w:ascii="Book Antiqua" w:hAnsi="Book Antiqua"/>
          <w:sz w:val="26"/>
          <w:szCs w:val="26"/>
        </w:rPr>
        <w:t>InvestCo</w:t>
      </w:r>
      <w:proofErr w:type="spellEnd"/>
      <w:r>
        <w:rPr>
          <w:rFonts w:ascii="Book Antiqua" w:hAnsi="Book Antiqua"/>
          <w:sz w:val="26"/>
          <w:szCs w:val="26"/>
        </w:rPr>
        <w:t xml:space="preserve"> and </w:t>
      </w:r>
      <w:proofErr w:type="spellStart"/>
      <w:r>
        <w:rPr>
          <w:rFonts w:ascii="Book Antiqua" w:hAnsi="Book Antiqua"/>
          <w:sz w:val="26"/>
          <w:szCs w:val="26"/>
        </w:rPr>
        <w:t>ImproveCo</w:t>
      </w:r>
      <w:proofErr w:type="spellEnd"/>
      <w:r>
        <w:rPr>
          <w:rFonts w:ascii="Book Antiqua" w:hAnsi="Book Antiqua"/>
          <w:sz w:val="26"/>
          <w:szCs w:val="26"/>
        </w:rPr>
        <w:t xml:space="preserve">. </w:t>
      </w:r>
      <w:r w:rsidR="00D45699">
        <w:rPr>
          <w:rFonts w:ascii="Book Antiqua" w:hAnsi="Book Antiqua"/>
          <w:sz w:val="26"/>
          <w:szCs w:val="26"/>
        </w:rPr>
        <w:t xml:space="preserve"> </w:t>
      </w:r>
      <w:r>
        <w:rPr>
          <w:rFonts w:ascii="Book Antiqua" w:hAnsi="Book Antiqua"/>
          <w:sz w:val="26"/>
          <w:szCs w:val="26"/>
        </w:rPr>
        <w:t xml:space="preserve">TURN asserted that Frontier should be transparent about which </w:t>
      </w:r>
      <w:r>
        <w:rPr>
          <w:rFonts w:ascii="Book Antiqua" w:hAnsi="Book Antiqua"/>
          <w:sz w:val="26"/>
          <w:szCs w:val="26"/>
        </w:rPr>
        <w:lastRenderedPageBreak/>
        <w:t>areas will have fiber deployment and which will not.</w:t>
      </w:r>
      <w:r>
        <w:rPr>
          <w:rStyle w:val="FootnoteReference"/>
          <w:rFonts w:ascii="Book Antiqua" w:hAnsi="Book Antiqua"/>
          <w:sz w:val="26"/>
          <w:szCs w:val="26"/>
        </w:rPr>
        <w:footnoteReference w:id="143"/>
      </w:r>
      <w:r>
        <w:rPr>
          <w:rFonts w:ascii="Book Antiqua" w:hAnsi="Book Antiqua"/>
          <w:sz w:val="26"/>
          <w:szCs w:val="26"/>
        </w:rPr>
        <w:t xml:space="preserve"> </w:t>
      </w:r>
      <w:r w:rsidR="00D45699">
        <w:rPr>
          <w:rFonts w:ascii="Book Antiqua" w:hAnsi="Book Antiqua"/>
          <w:sz w:val="26"/>
          <w:szCs w:val="26"/>
        </w:rPr>
        <w:t xml:space="preserve"> </w:t>
      </w:r>
      <w:r w:rsidR="00037B89">
        <w:rPr>
          <w:rFonts w:ascii="Book Antiqua" w:hAnsi="Book Antiqua"/>
          <w:sz w:val="26"/>
          <w:szCs w:val="26"/>
        </w:rPr>
        <w:t>TURN would also require Frontier to prepare a full virtual separation report upon its emergence from bankruptcy, including a clear description of e</w:t>
      </w:r>
      <w:r w:rsidR="00990191">
        <w:rPr>
          <w:rFonts w:ascii="Book Antiqua" w:hAnsi="Book Antiqua"/>
          <w:sz w:val="26"/>
          <w:szCs w:val="26"/>
        </w:rPr>
        <w:t>ac</w:t>
      </w:r>
      <w:r w:rsidR="00037B89">
        <w:rPr>
          <w:rFonts w:ascii="Book Antiqua" w:hAnsi="Book Antiqua"/>
          <w:sz w:val="26"/>
          <w:szCs w:val="26"/>
        </w:rPr>
        <w:t xml:space="preserve">h location to be included in </w:t>
      </w:r>
      <w:proofErr w:type="spellStart"/>
      <w:r w:rsidR="00037B89">
        <w:rPr>
          <w:rFonts w:ascii="Book Antiqua" w:hAnsi="Book Antiqua"/>
          <w:sz w:val="26"/>
          <w:szCs w:val="26"/>
        </w:rPr>
        <w:t>InvestCo</w:t>
      </w:r>
      <w:proofErr w:type="spellEnd"/>
      <w:r w:rsidR="00037B89">
        <w:rPr>
          <w:rFonts w:ascii="Book Antiqua" w:hAnsi="Book Antiqua"/>
          <w:sz w:val="26"/>
          <w:szCs w:val="26"/>
        </w:rPr>
        <w:t xml:space="preserve"> and </w:t>
      </w:r>
      <w:proofErr w:type="spellStart"/>
      <w:r w:rsidR="00037B89">
        <w:rPr>
          <w:rFonts w:ascii="Book Antiqua" w:hAnsi="Book Antiqua"/>
          <w:sz w:val="26"/>
          <w:szCs w:val="26"/>
        </w:rPr>
        <w:t>ImproveCo</w:t>
      </w:r>
      <w:proofErr w:type="spellEnd"/>
      <w:r w:rsidR="00037B89">
        <w:rPr>
          <w:rFonts w:ascii="Book Antiqua" w:hAnsi="Book Antiqua"/>
          <w:sz w:val="26"/>
          <w:szCs w:val="26"/>
        </w:rPr>
        <w:t>.</w:t>
      </w:r>
      <w:r w:rsidR="00037B89">
        <w:rPr>
          <w:rStyle w:val="FootnoteReference"/>
          <w:rFonts w:ascii="Book Antiqua" w:hAnsi="Book Antiqua"/>
          <w:sz w:val="26"/>
          <w:szCs w:val="26"/>
        </w:rPr>
        <w:footnoteReference w:id="144"/>
      </w:r>
      <w:r w:rsidR="00037B89">
        <w:rPr>
          <w:rFonts w:ascii="Book Antiqua" w:hAnsi="Book Antiqua"/>
          <w:sz w:val="26"/>
          <w:szCs w:val="26"/>
        </w:rPr>
        <w:t xml:space="preserve"> </w:t>
      </w:r>
      <w:r w:rsidR="00D45699">
        <w:rPr>
          <w:rFonts w:ascii="Book Antiqua" w:hAnsi="Book Antiqua"/>
          <w:sz w:val="26"/>
          <w:szCs w:val="26"/>
        </w:rPr>
        <w:t xml:space="preserve"> </w:t>
      </w:r>
      <w:r w:rsidR="00037B89">
        <w:rPr>
          <w:rFonts w:ascii="Book Antiqua" w:hAnsi="Book Antiqua"/>
          <w:sz w:val="26"/>
          <w:szCs w:val="26"/>
        </w:rPr>
        <w:t>In addition, TURN asks the Commission to require e</w:t>
      </w:r>
      <w:r w:rsidR="00990191">
        <w:rPr>
          <w:rFonts w:ascii="Book Antiqua" w:hAnsi="Book Antiqua"/>
          <w:sz w:val="26"/>
          <w:szCs w:val="26"/>
        </w:rPr>
        <w:t>ac</w:t>
      </w:r>
      <w:r w:rsidR="00037B89">
        <w:rPr>
          <w:rFonts w:ascii="Book Antiqua" w:hAnsi="Book Antiqua"/>
          <w:sz w:val="26"/>
          <w:szCs w:val="26"/>
        </w:rPr>
        <w:t>h Frontier California ILEC to provide quarterly broadband improvement reports.</w:t>
      </w:r>
      <w:r w:rsidR="00037B89">
        <w:rPr>
          <w:rStyle w:val="FootnoteReference"/>
          <w:rFonts w:ascii="Book Antiqua" w:hAnsi="Book Antiqua"/>
          <w:sz w:val="26"/>
          <w:szCs w:val="26"/>
        </w:rPr>
        <w:footnoteReference w:id="145"/>
      </w:r>
      <w:r w:rsidR="00037B89">
        <w:rPr>
          <w:rFonts w:ascii="Book Antiqua" w:hAnsi="Book Antiqua"/>
          <w:sz w:val="26"/>
          <w:szCs w:val="26"/>
        </w:rPr>
        <w:t xml:space="preserve"> </w:t>
      </w:r>
      <w:r w:rsidR="00392FE0">
        <w:rPr>
          <w:rFonts w:ascii="Book Antiqua" w:hAnsi="Book Antiqua"/>
          <w:sz w:val="26"/>
          <w:szCs w:val="26"/>
        </w:rPr>
        <w:t xml:space="preserve"> </w:t>
      </w:r>
      <w:r w:rsidR="00037B89">
        <w:rPr>
          <w:rFonts w:ascii="Book Antiqua" w:hAnsi="Book Antiqua"/>
          <w:sz w:val="26"/>
          <w:szCs w:val="26"/>
        </w:rPr>
        <w:t>TURN also proposes that Frontier report the specific California locations in which it had pl</w:t>
      </w:r>
      <w:r w:rsidR="00990191">
        <w:rPr>
          <w:rFonts w:ascii="Book Antiqua" w:hAnsi="Book Antiqua"/>
          <w:sz w:val="26"/>
          <w:szCs w:val="26"/>
        </w:rPr>
        <w:t>ac</w:t>
      </w:r>
      <w:r w:rsidR="00037B89">
        <w:rPr>
          <w:rFonts w:ascii="Book Antiqua" w:hAnsi="Book Antiqua"/>
          <w:sz w:val="26"/>
          <w:szCs w:val="26"/>
        </w:rPr>
        <w:t>ed RDOF bids and the bid amounts</w:t>
      </w:r>
      <w:r w:rsidR="00037B89">
        <w:rPr>
          <w:rStyle w:val="FootnoteReference"/>
          <w:rFonts w:ascii="Book Antiqua" w:hAnsi="Book Antiqua"/>
          <w:sz w:val="26"/>
          <w:szCs w:val="26"/>
        </w:rPr>
        <w:footnoteReference w:id="146"/>
      </w:r>
      <w:r w:rsidR="00037B89">
        <w:rPr>
          <w:rFonts w:ascii="Book Antiqua" w:hAnsi="Book Antiqua"/>
          <w:sz w:val="26"/>
          <w:szCs w:val="26"/>
        </w:rPr>
        <w:t xml:space="preserve"> and e</w:t>
      </w:r>
      <w:r w:rsidR="00990191">
        <w:rPr>
          <w:rFonts w:ascii="Book Antiqua" w:hAnsi="Book Antiqua"/>
          <w:sz w:val="26"/>
          <w:szCs w:val="26"/>
        </w:rPr>
        <w:t>ac</w:t>
      </w:r>
      <w:r w:rsidR="00037B89">
        <w:rPr>
          <w:rFonts w:ascii="Book Antiqua" w:hAnsi="Book Antiqua"/>
          <w:sz w:val="26"/>
          <w:szCs w:val="26"/>
        </w:rPr>
        <w:t>h California-specific modernization item in Frontier’s modernization report.</w:t>
      </w:r>
      <w:r w:rsidR="00037B89">
        <w:rPr>
          <w:rStyle w:val="FootnoteReference"/>
          <w:rFonts w:ascii="Book Antiqua" w:hAnsi="Book Antiqua"/>
          <w:sz w:val="26"/>
          <w:szCs w:val="26"/>
        </w:rPr>
        <w:footnoteReference w:id="147"/>
      </w:r>
    </w:p>
    <w:p w:rsidR="00FF0A9A" w:rsidP="00B344D9" w:rsidRDefault="00BC0874" w14:paraId="38321A8E" w14:textId="5EB4EE7E">
      <w:pPr>
        <w:pStyle w:val="Default"/>
        <w:spacing w:line="360" w:lineRule="auto"/>
        <w:ind w:firstLine="720"/>
        <w:rPr>
          <w:rFonts w:ascii="Book Antiqua" w:hAnsi="Book Antiqua"/>
          <w:sz w:val="26"/>
          <w:szCs w:val="26"/>
        </w:rPr>
      </w:pPr>
      <w:r>
        <w:rPr>
          <w:rFonts w:ascii="Book Antiqua" w:hAnsi="Book Antiqua"/>
          <w:sz w:val="26"/>
          <w:szCs w:val="26"/>
        </w:rPr>
        <w:t xml:space="preserve">Before the Settlement Agreements, </w:t>
      </w:r>
      <w:r w:rsidR="00B344D9">
        <w:rPr>
          <w:rFonts w:ascii="Book Antiqua" w:hAnsi="Book Antiqua"/>
          <w:sz w:val="26"/>
          <w:szCs w:val="26"/>
        </w:rPr>
        <w:t>Frontier d</w:t>
      </w:r>
      <w:r w:rsidR="00ED3F9C">
        <w:rPr>
          <w:rFonts w:ascii="Book Antiqua" w:hAnsi="Book Antiqua"/>
          <w:sz w:val="26"/>
          <w:szCs w:val="26"/>
        </w:rPr>
        <w:t>id</w:t>
      </w:r>
      <w:r w:rsidR="00B344D9">
        <w:rPr>
          <w:rFonts w:ascii="Book Antiqua" w:hAnsi="Book Antiqua"/>
          <w:sz w:val="26"/>
          <w:szCs w:val="26"/>
        </w:rPr>
        <w:t xml:space="preserve"> not agree with Cal Advocates’ proposal to require the deployment of </w:t>
      </w:r>
      <w:r w:rsidR="00990191">
        <w:rPr>
          <w:rFonts w:ascii="Book Antiqua" w:hAnsi="Book Antiqua"/>
          <w:sz w:val="26"/>
          <w:szCs w:val="26"/>
        </w:rPr>
        <w:t>fiber to the home (</w:t>
      </w:r>
      <w:r w:rsidR="00B344D9">
        <w:rPr>
          <w:rFonts w:ascii="Book Antiqua" w:hAnsi="Book Antiqua"/>
          <w:sz w:val="26"/>
          <w:szCs w:val="26"/>
        </w:rPr>
        <w:t>FTTH</w:t>
      </w:r>
      <w:r w:rsidR="00990191">
        <w:rPr>
          <w:rFonts w:ascii="Book Antiqua" w:hAnsi="Book Antiqua"/>
          <w:sz w:val="26"/>
          <w:szCs w:val="26"/>
        </w:rPr>
        <w:t>)</w:t>
      </w:r>
      <w:r w:rsidR="00B344D9">
        <w:rPr>
          <w:rFonts w:ascii="Book Antiqua" w:hAnsi="Book Antiqua"/>
          <w:sz w:val="26"/>
          <w:szCs w:val="26"/>
        </w:rPr>
        <w:t xml:space="preserve"> to a</w:t>
      </w:r>
      <w:r w:rsidR="00ED3F9C">
        <w:rPr>
          <w:rFonts w:ascii="Book Antiqua" w:hAnsi="Book Antiqua"/>
          <w:sz w:val="26"/>
          <w:szCs w:val="26"/>
        </w:rPr>
        <w:t xml:space="preserve"> specific number of additional</w:t>
      </w:r>
      <w:r w:rsidR="00B344D9">
        <w:rPr>
          <w:rFonts w:ascii="Book Antiqua" w:hAnsi="Book Antiqua"/>
          <w:sz w:val="26"/>
          <w:szCs w:val="26"/>
        </w:rPr>
        <w:t xml:space="preserve"> California locations served by copper f</w:t>
      </w:r>
      <w:r w:rsidR="00450FD9">
        <w:rPr>
          <w:rFonts w:ascii="Book Antiqua" w:hAnsi="Book Antiqua"/>
          <w:sz w:val="26"/>
          <w:szCs w:val="26"/>
        </w:rPr>
        <w:t>ac</w:t>
      </w:r>
      <w:r w:rsidR="00B344D9">
        <w:rPr>
          <w:rFonts w:ascii="Book Antiqua" w:hAnsi="Book Antiqua"/>
          <w:sz w:val="26"/>
          <w:szCs w:val="26"/>
        </w:rPr>
        <w:t>ilities between 2021 and 2031.</w:t>
      </w:r>
      <w:r w:rsidR="00F4119E">
        <w:rPr>
          <w:rFonts w:ascii="Book Antiqua" w:hAnsi="Book Antiqua"/>
          <w:sz w:val="26"/>
          <w:szCs w:val="26"/>
        </w:rPr>
        <w:t xml:space="preserve">  </w:t>
      </w:r>
      <w:r w:rsidR="00B344D9">
        <w:rPr>
          <w:rFonts w:ascii="Book Antiqua" w:hAnsi="Book Antiqua"/>
          <w:sz w:val="26"/>
          <w:szCs w:val="26"/>
        </w:rPr>
        <w:t>Frontier state</w:t>
      </w:r>
      <w:r w:rsidR="00ED3F9C">
        <w:rPr>
          <w:rFonts w:ascii="Book Antiqua" w:hAnsi="Book Antiqua"/>
          <w:sz w:val="26"/>
          <w:szCs w:val="26"/>
        </w:rPr>
        <w:t>d</w:t>
      </w:r>
      <w:r w:rsidR="00B344D9">
        <w:rPr>
          <w:rFonts w:ascii="Book Antiqua" w:hAnsi="Book Antiqua"/>
          <w:sz w:val="26"/>
          <w:szCs w:val="26"/>
        </w:rPr>
        <w:t xml:space="preserve"> that it has not yet planned or identified the specific number of locations to which it will deploy FTTH in 2021 or over the 10 years through 2031.</w:t>
      </w:r>
      <w:r w:rsidR="00D45699">
        <w:rPr>
          <w:rFonts w:ascii="Book Antiqua" w:hAnsi="Book Antiqua"/>
          <w:sz w:val="26"/>
          <w:szCs w:val="26"/>
        </w:rPr>
        <w:t xml:space="preserve"> </w:t>
      </w:r>
      <w:r w:rsidR="00B344D9">
        <w:rPr>
          <w:rFonts w:ascii="Book Antiqua" w:hAnsi="Book Antiqua"/>
          <w:sz w:val="26"/>
          <w:szCs w:val="26"/>
        </w:rPr>
        <w:t xml:space="preserve"> Before pursuing the deployments recommended by Cal</w:t>
      </w:r>
      <w:r w:rsidR="00D45699">
        <w:rPr>
          <w:rFonts w:ascii="Book Antiqua" w:hAnsi="Book Antiqua"/>
          <w:sz w:val="26"/>
          <w:szCs w:val="26"/>
        </w:rPr>
        <w:t> </w:t>
      </w:r>
      <w:r w:rsidR="00B344D9">
        <w:rPr>
          <w:rFonts w:ascii="Book Antiqua" w:hAnsi="Book Antiqua"/>
          <w:sz w:val="26"/>
          <w:szCs w:val="26"/>
        </w:rPr>
        <w:t>Advocates, Frontier assert</w:t>
      </w:r>
      <w:r w:rsidR="00ED3F9C">
        <w:rPr>
          <w:rFonts w:ascii="Book Antiqua" w:hAnsi="Book Antiqua"/>
          <w:sz w:val="26"/>
          <w:szCs w:val="26"/>
        </w:rPr>
        <w:t>ed</w:t>
      </w:r>
      <w:r w:rsidR="00B344D9">
        <w:rPr>
          <w:rFonts w:ascii="Book Antiqua" w:hAnsi="Book Antiqua"/>
          <w:sz w:val="26"/>
          <w:szCs w:val="26"/>
        </w:rPr>
        <w:t xml:space="preserve"> that it </w:t>
      </w:r>
      <w:proofErr w:type="gramStart"/>
      <w:r w:rsidR="00B344D9">
        <w:rPr>
          <w:rFonts w:ascii="Book Antiqua" w:hAnsi="Book Antiqua"/>
          <w:sz w:val="26"/>
          <w:szCs w:val="26"/>
        </w:rPr>
        <w:t>will</w:t>
      </w:r>
      <w:proofErr w:type="gramEnd"/>
      <w:r w:rsidR="00B344D9">
        <w:rPr>
          <w:rFonts w:ascii="Book Antiqua" w:hAnsi="Book Antiqua"/>
          <w:sz w:val="26"/>
          <w:szCs w:val="26"/>
        </w:rPr>
        <w:t xml:space="preserve"> need to undertake a rigorous network engineering and capital expenditure budgeting process to determine its investment. </w:t>
      </w:r>
      <w:r w:rsidR="00D45699">
        <w:rPr>
          <w:rFonts w:ascii="Book Antiqua" w:hAnsi="Book Antiqua"/>
          <w:sz w:val="26"/>
          <w:szCs w:val="26"/>
        </w:rPr>
        <w:t xml:space="preserve"> </w:t>
      </w:r>
      <w:r w:rsidR="00B344D9">
        <w:rPr>
          <w:rFonts w:ascii="Book Antiqua" w:hAnsi="Book Antiqua"/>
          <w:sz w:val="26"/>
          <w:szCs w:val="26"/>
        </w:rPr>
        <w:t>As a result, Frontier argue</w:t>
      </w:r>
      <w:r w:rsidR="00ED3F9C">
        <w:rPr>
          <w:rFonts w:ascii="Book Antiqua" w:hAnsi="Book Antiqua"/>
          <w:sz w:val="26"/>
          <w:szCs w:val="26"/>
        </w:rPr>
        <w:t>d</w:t>
      </w:r>
      <w:r w:rsidR="00B344D9">
        <w:rPr>
          <w:rFonts w:ascii="Book Antiqua" w:hAnsi="Book Antiqua"/>
          <w:sz w:val="26"/>
          <w:szCs w:val="26"/>
        </w:rPr>
        <w:t xml:space="preserve"> that</w:t>
      </w:r>
      <w:r w:rsidR="00D675A2">
        <w:rPr>
          <w:rFonts w:ascii="Book Antiqua" w:hAnsi="Book Antiqua"/>
          <w:sz w:val="26"/>
          <w:szCs w:val="26"/>
        </w:rPr>
        <w:t xml:space="preserve"> a</w:t>
      </w:r>
      <w:r w:rsidR="00B344D9">
        <w:rPr>
          <w:rFonts w:ascii="Book Antiqua" w:hAnsi="Book Antiqua"/>
          <w:sz w:val="26"/>
          <w:szCs w:val="26"/>
        </w:rPr>
        <w:t xml:space="preserve"> require</w:t>
      </w:r>
      <w:r w:rsidR="00D675A2">
        <w:rPr>
          <w:rFonts w:ascii="Book Antiqua" w:hAnsi="Book Antiqua"/>
          <w:sz w:val="26"/>
          <w:szCs w:val="26"/>
        </w:rPr>
        <w:t>ment</w:t>
      </w:r>
      <w:r w:rsidR="00B344D9">
        <w:rPr>
          <w:rFonts w:ascii="Book Antiqua" w:hAnsi="Book Antiqua"/>
          <w:sz w:val="26"/>
          <w:szCs w:val="26"/>
        </w:rPr>
        <w:t xml:space="preserve"> to commit to future levels of FTTH deployment, particularly a 10-year commitment</w:t>
      </w:r>
      <w:r w:rsidR="00D675A2">
        <w:rPr>
          <w:rFonts w:ascii="Book Antiqua" w:hAnsi="Book Antiqua"/>
          <w:sz w:val="26"/>
          <w:szCs w:val="26"/>
        </w:rPr>
        <w:t>, is not appropriate</w:t>
      </w:r>
      <w:r w:rsidR="00B344D9">
        <w:rPr>
          <w:rFonts w:ascii="Book Antiqua" w:hAnsi="Book Antiqua"/>
          <w:sz w:val="26"/>
          <w:szCs w:val="26"/>
        </w:rPr>
        <w:t>.</w:t>
      </w:r>
      <w:r w:rsidR="00B344D9">
        <w:rPr>
          <w:rStyle w:val="FootnoteReference"/>
          <w:rFonts w:ascii="Book Antiqua" w:hAnsi="Book Antiqua"/>
          <w:sz w:val="26"/>
          <w:szCs w:val="26"/>
        </w:rPr>
        <w:footnoteReference w:id="148"/>
      </w:r>
      <w:r w:rsidR="00B344D9">
        <w:rPr>
          <w:rFonts w:ascii="Book Antiqua" w:hAnsi="Book Antiqua"/>
          <w:sz w:val="26"/>
          <w:szCs w:val="26"/>
        </w:rPr>
        <w:t xml:space="preserve"> </w:t>
      </w:r>
      <w:r w:rsidR="00D45699">
        <w:rPr>
          <w:rFonts w:ascii="Book Antiqua" w:hAnsi="Book Antiqua"/>
          <w:sz w:val="26"/>
          <w:szCs w:val="26"/>
        </w:rPr>
        <w:t xml:space="preserve"> </w:t>
      </w:r>
      <w:r w:rsidR="00B344D9">
        <w:rPr>
          <w:rFonts w:ascii="Book Antiqua" w:hAnsi="Book Antiqua"/>
          <w:sz w:val="26"/>
          <w:szCs w:val="26"/>
        </w:rPr>
        <w:t>In addition, Frontier contend</w:t>
      </w:r>
      <w:r w:rsidR="00ED3F9C">
        <w:rPr>
          <w:rFonts w:ascii="Book Antiqua" w:hAnsi="Book Antiqua"/>
          <w:sz w:val="26"/>
          <w:szCs w:val="26"/>
        </w:rPr>
        <w:t>ed</w:t>
      </w:r>
      <w:r w:rsidR="00B344D9">
        <w:rPr>
          <w:rFonts w:ascii="Book Antiqua" w:hAnsi="Book Antiqua"/>
          <w:sz w:val="26"/>
          <w:szCs w:val="26"/>
        </w:rPr>
        <w:t xml:space="preserve"> that it is not reasonable to pick an arbitrary number of households to which fiber should be deployed without </w:t>
      </w:r>
      <w:r w:rsidR="00B344D9">
        <w:rPr>
          <w:rFonts w:ascii="Book Antiqua" w:hAnsi="Book Antiqua"/>
          <w:sz w:val="26"/>
          <w:szCs w:val="26"/>
        </w:rPr>
        <w:lastRenderedPageBreak/>
        <w:t xml:space="preserve">considering how difficult or costly it would be to </w:t>
      </w:r>
      <w:r w:rsidR="00450FD9">
        <w:rPr>
          <w:rFonts w:ascii="Book Antiqua" w:hAnsi="Book Antiqua"/>
          <w:sz w:val="26"/>
          <w:szCs w:val="26"/>
        </w:rPr>
        <w:t>ac</w:t>
      </w:r>
      <w:r w:rsidR="00B344D9">
        <w:rPr>
          <w:rFonts w:ascii="Book Antiqua" w:hAnsi="Book Antiqua"/>
          <w:sz w:val="26"/>
          <w:szCs w:val="26"/>
        </w:rPr>
        <w:t>hieve broadband deployment.</w:t>
      </w:r>
      <w:r w:rsidR="00B344D9">
        <w:rPr>
          <w:rStyle w:val="FootnoteReference"/>
          <w:rFonts w:ascii="Book Antiqua" w:hAnsi="Book Antiqua"/>
          <w:sz w:val="26"/>
          <w:szCs w:val="26"/>
        </w:rPr>
        <w:footnoteReference w:id="149"/>
      </w:r>
      <w:r w:rsidR="00B344D9">
        <w:rPr>
          <w:rFonts w:ascii="Book Antiqua" w:hAnsi="Book Antiqua"/>
          <w:sz w:val="26"/>
          <w:szCs w:val="26"/>
        </w:rPr>
        <w:t xml:space="preserve"> </w:t>
      </w:r>
    </w:p>
    <w:p w:rsidR="00B344D9" w:rsidP="00FF0A9A" w:rsidRDefault="00B344D9" w14:paraId="041B988C" w14:textId="0CE3BB72">
      <w:pPr>
        <w:pStyle w:val="Default"/>
        <w:spacing w:line="360" w:lineRule="auto"/>
        <w:ind w:firstLine="720"/>
        <w:rPr>
          <w:rFonts w:ascii="Book Antiqua" w:hAnsi="Book Antiqua"/>
          <w:sz w:val="26"/>
          <w:szCs w:val="26"/>
        </w:rPr>
      </w:pPr>
      <w:r>
        <w:rPr>
          <w:rFonts w:ascii="Book Antiqua" w:hAnsi="Book Antiqua"/>
          <w:sz w:val="26"/>
          <w:szCs w:val="26"/>
        </w:rPr>
        <w:t xml:space="preserve">Frontier </w:t>
      </w:r>
      <w:r w:rsidR="00ED3F9C">
        <w:rPr>
          <w:rFonts w:ascii="Book Antiqua" w:hAnsi="Book Antiqua"/>
          <w:sz w:val="26"/>
          <w:szCs w:val="26"/>
        </w:rPr>
        <w:t xml:space="preserve">also </w:t>
      </w:r>
      <w:r>
        <w:rPr>
          <w:rFonts w:ascii="Book Antiqua" w:hAnsi="Book Antiqua"/>
          <w:sz w:val="26"/>
          <w:szCs w:val="26"/>
        </w:rPr>
        <w:t>d</w:t>
      </w:r>
      <w:r w:rsidR="00ED3F9C">
        <w:rPr>
          <w:rFonts w:ascii="Book Antiqua" w:hAnsi="Book Antiqua"/>
          <w:sz w:val="26"/>
          <w:szCs w:val="26"/>
        </w:rPr>
        <w:t>id</w:t>
      </w:r>
      <w:r>
        <w:rPr>
          <w:rFonts w:ascii="Book Antiqua" w:hAnsi="Book Antiqua"/>
          <w:sz w:val="26"/>
          <w:szCs w:val="26"/>
        </w:rPr>
        <w:t xml:space="preserve"> not agree with Cal Advocates’ proposal to require broadband speeds of 25/3 Mbps for all remaining unmet deployment commitments from the Verizon </w:t>
      </w:r>
      <w:r w:rsidR="00555C0B">
        <w:rPr>
          <w:rFonts w:ascii="Book Antiqua" w:hAnsi="Book Antiqua"/>
          <w:sz w:val="26"/>
          <w:szCs w:val="26"/>
        </w:rPr>
        <w:t>A</w:t>
      </w:r>
      <w:r w:rsidR="00450FD9">
        <w:rPr>
          <w:rFonts w:ascii="Book Antiqua" w:hAnsi="Book Antiqua"/>
          <w:sz w:val="26"/>
          <w:szCs w:val="26"/>
        </w:rPr>
        <w:t>c</w:t>
      </w:r>
      <w:r>
        <w:rPr>
          <w:rFonts w:ascii="Book Antiqua" w:hAnsi="Book Antiqua"/>
          <w:sz w:val="26"/>
          <w:szCs w:val="26"/>
        </w:rPr>
        <w:t xml:space="preserve">quisition. </w:t>
      </w:r>
      <w:r w:rsidR="00D45699">
        <w:rPr>
          <w:rFonts w:ascii="Book Antiqua" w:hAnsi="Book Antiqua"/>
          <w:sz w:val="26"/>
          <w:szCs w:val="26"/>
        </w:rPr>
        <w:t xml:space="preserve"> </w:t>
      </w:r>
      <w:r>
        <w:rPr>
          <w:rFonts w:ascii="Book Antiqua" w:hAnsi="Book Antiqua"/>
          <w:sz w:val="26"/>
          <w:szCs w:val="26"/>
        </w:rPr>
        <w:t>Frontier assert</w:t>
      </w:r>
      <w:r w:rsidR="00ED3F9C">
        <w:rPr>
          <w:rFonts w:ascii="Book Antiqua" w:hAnsi="Book Antiqua"/>
          <w:sz w:val="26"/>
          <w:szCs w:val="26"/>
        </w:rPr>
        <w:t>ed</w:t>
      </w:r>
      <w:r>
        <w:rPr>
          <w:rFonts w:ascii="Book Antiqua" w:hAnsi="Book Antiqua"/>
          <w:sz w:val="26"/>
          <w:szCs w:val="26"/>
        </w:rPr>
        <w:t xml:space="preserve"> that it is working diligently to complete its broadband commitments at 10/1 Mbps by the end of 2020 and that it is not in the public interest for Cal Advocates to retro</w:t>
      </w:r>
      <w:r w:rsidR="00450FD9">
        <w:rPr>
          <w:rFonts w:ascii="Book Antiqua" w:hAnsi="Book Antiqua"/>
          <w:sz w:val="26"/>
          <w:szCs w:val="26"/>
        </w:rPr>
        <w:t>ac</w:t>
      </w:r>
      <w:r>
        <w:rPr>
          <w:rFonts w:ascii="Book Antiqua" w:hAnsi="Book Antiqua"/>
          <w:sz w:val="26"/>
          <w:szCs w:val="26"/>
        </w:rPr>
        <w:t xml:space="preserve">tively </w:t>
      </w:r>
      <w:r w:rsidR="00851D37">
        <w:rPr>
          <w:rFonts w:ascii="Book Antiqua" w:hAnsi="Book Antiqua"/>
          <w:sz w:val="26"/>
          <w:szCs w:val="26"/>
        </w:rPr>
        <w:t xml:space="preserve">propose the </w:t>
      </w:r>
      <w:r>
        <w:rPr>
          <w:rFonts w:ascii="Book Antiqua" w:hAnsi="Book Antiqua"/>
          <w:sz w:val="26"/>
          <w:szCs w:val="26"/>
        </w:rPr>
        <w:t>impos</w:t>
      </w:r>
      <w:r w:rsidR="00851D37">
        <w:rPr>
          <w:rFonts w:ascii="Book Antiqua" w:hAnsi="Book Antiqua"/>
          <w:sz w:val="26"/>
          <w:szCs w:val="26"/>
        </w:rPr>
        <w:t>ition of</w:t>
      </w:r>
      <w:r>
        <w:rPr>
          <w:rFonts w:ascii="Book Antiqua" w:hAnsi="Book Antiqua"/>
          <w:sz w:val="26"/>
          <w:szCs w:val="26"/>
        </w:rPr>
        <w:t xml:space="preserve"> a new speed obligation five years after a settlement agreement.</w:t>
      </w:r>
      <w:r>
        <w:rPr>
          <w:rStyle w:val="FootnoteReference"/>
          <w:rFonts w:ascii="Book Antiqua" w:hAnsi="Book Antiqua"/>
          <w:sz w:val="26"/>
          <w:szCs w:val="26"/>
        </w:rPr>
        <w:footnoteReference w:id="150"/>
      </w:r>
      <w:r>
        <w:rPr>
          <w:rFonts w:ascii="Book Antiqua" w:hAnsi="Book Antiqua"/>
          <w:sz w:val="26"/>
          <w:szCs w:val="26"/>
        </w:rPr>
        <w:t xml:space="preserve"> </w:t>
      </w:r>
      <w:r w:rsidR="00D45699">
        <w:rPr>
          <w:rFonts w:ascii="Book Antiqua" w:hAnsi="Book Antiqua"/>
          <w:sz w:val="26"/>
          <w:szCs w:val="26"/>
        </w:rPr>
        <w:t xml:space="preserve"> </w:t>
      </w:r>
      <w:r>
        <w:rPr>
          <w:rFonts w:ascii="Book Antiqua" w:hAnsi="Book Antiqua"/>
          <w:sz w:val="26"/>
          <w:szCs w:val="26"/>
        </w:rPr>
        <w:t xml:space="preserve">Further, the </w:t>
      </w:r>
      <w:r w:rsidR="00450FD9">
        <w:rPr>
          <w:rFonts w:ascii="Book Antiqua" w:hAnsi="Book Antiqua"/>
          <w:sz w:val="26"/>
          <w:szCs w:val="26"/>
        </w:rPr>
        <w:t>F</w:t>
      </w:r>
      <w:r w:rsidR="00555C0B">
        <w:rPr>
          <w:rFonts w:ascii="Book Antiqua" w:hAnsi="Book Antiqua"/>
          <w:sz w:val="26"/>
          <w:szCs w:val="26"/>
        </w:rPr>
        <w:t>C</w:t>
      </w:r>
      <w:r>
        <w:rPr>
          <w:rFonts w:ascii="Book Antiqua" w:hAnsi="Book Antiqua"/>
          <w:sz w:val="26"/>
          <w:szCs w:val="26"/>
        </w:rPr>
        <w:t>C required broadband speeds of 10/1 Mbps for the CAF II buildout, and Frontier state</w:t>
      </w:r>
      <w:r w:rsidR="00ED3F9C">
        <w:rPr>
          <w:rFonts w:ascii="Book Antiqua" w:hAnsi="Book Antiqua"/>
          <w:sz w:val="26"/>
          <w:szCs w:val="26"/>
        </w:rPr>
        <w:t>d</w:t>
      </w:r>
      <w:r>
        <w:rPr>
          <w:rFonts w:ascii="Book Antiqua" w:hAnsi="Book Antiqua"/>
          <w:sz w:val="26"/>
          <w:szCs w:val="26"/>
        </w:rPr>
        <w:t xml:space="preserve"> that there is no basis for the Commission to change that requirement to 25/3 Mbps as proposed by Cal Advocates.</w:t>
      </w:r>
      <w:r>
        <w:rPr>
          <w:rStyle w:val="FootnoteReference"/>
          <w:rFonts w:ascii="Book Antiqua" w:hAnsi="Book Antiqua"/>
          <w:sz w:val="26"/>
          <w:szCs w:val="26"/>
        </w:rPr>
        <w:footnoteReference w:id="151"/>
      </w:r>
      <w:r>
        <w:rPr>
          <w:rFonts w:ascii="Book Antiqua" w:hAnsi="Book Antiqua"/>
          <w:sz w:val="26"/>
          <w:szCs w:val="26"/>
        </w:rPr>
        <w:t xml:space="preserve"> </w:t>
      </w:r>
      <w:r w:rsidR="00D45699">
        <w:rPr>
          <w:rFonts w:ascii="Book Antiqua" w:hAnsi="Book Antiqua"/>
          <w:sz w:val="26"/>
          <w:szCs w:val="26"/>
        </w:rPr>
        <w:t xml:space="preserve"> </w:t>
      </w:r>
      <w:r>
        <w:rPr>
          <w:rFonts w:ascii="Book Antiqua" w:hAnsi="Book Antiqua"/>
          <w:sz w:val="26"/>
          <w:szCs w:val="26"/>
        </w:rPr>
        <w:t>Frontier estimate</w:t>
      </w:r>
      <w:r w:rsidR="00ED3F9C">
        <w:rPr>
          <w:rFonts w:ascii="Book Antiqua" w:hAnsi="Book Antiqua"/>
          <w:sz w:val="26"/>
          <w:szCs w:val="26"/>
        </w:rPr>
        <w:t>d</w:t>
      </w:r>
      <w:r>
        <w:rPr>
          <w:rFonts w:ascii="Book Antiqua" w:hAnsi="Book Antiqua"/>
          <w:sz w:val="26"/>
          <w:szCs w:val="26"/>
        </w:rPr>
        <w:t xml:space="preserve"> that it would cost 21 times more to re</w:t>
      </w:r>
      <w:r w:rsidR="00450FD9">
        <w:rPr>
          <w:rFonts w:ascii="Book Antiqua" w:hAnsi="Book Antiqua"/>
          <w:sz w:val="26"/>
          <w:szCs w:val="26"/>
        </w:rPr>
        <w:t>ac</w:t>
      </w:r>
      <w:r>
        <w:rPr>
          <w:rFonts w:ascii="Book Antiqua" w:hAnsi="Book Antiqua"/>
          <w:sz w:val="26"/>
          <w:szCs w:val="26"/>
        </w:rPr>
        <w:t xml:space="preserve">h all remaining CAF II locations with 25/3 Mbps service versus the </w:t>
      </w:r>
      <w:r w:rsidR="00450FD9">
        <w:rPr>
          <w:rFonts w:ascii="Book Antiqua" w:hAnsi="Book Antiqua"/>
          <w:sz w:val="26"/>
          <w:szCs w:val="26"/>
        </w:rPr>
        <w:t>F</w:t>
      </w:r>
      <w:r w:rsidR="00555C0B">
        <w:rPr>
          <w:rFonts w:ascii="Book Antiqua" w:hAnsi="Book Antiqua"/>
          <w:sz w:val="26"/>
          <w:szCs w:val="26"/>
        </w:rPr>
        <w:t>C</w:t>
      </w:r>
      <w:r>
        <w:rPr>
          <w:rFonts w:ascii="Book Antiqua" w:hAnsi="Book Antiqua"/>
          <w:sz w:val="26"/>
          <w:szCs w:val="26"/>
        </w:rPr>
        <w:t>C program requirement of 10/1</w:t>
      </w:r>
      <w:r w:rsidR="00D45699">
        <w:rPr>
          <w:rFonts w:ascii="Book Antiqua" w:hAnsi="Book Antiqua"/>
          <w:sz w:val="26"/>
          <w:szCs w:val="26"/>
        </w:rPr>
        <w:t> </w:t>
      </w:r>
      <w:r>
        <w:rPr>
          <w:rFonts w:ascii="Book Antiqua" w:hAnsi="Book Antiqua"/>
          <w:sz w:val="26"/>
          <w:szCs w:val="26"/>
        </w:rPr>
        <w:t>Mbps.</w:t>
      </w:r>
      <w:r>
        <w:rPr>
          <w:rStyle w:val="FootnoteReference"/>
          <w:rFonts w:ascii="Book Antiqua" w:hAnsi="Book Antiqua"/>
          <w:sz w:val="26"/>
          <w:szCs w:val="26"/>
        </w:rPr>
        <w:footnoteReference w:id="152"/>
      </w:r>
      <w:r>
        <w:rPr>
          <w:rFonts w:ascii="Book Antiqua" w:hAnsi="Book Antiqua"/>
          <w:sz w:val="26"/>
          <w:szCs w:val="26"/>
        </w:rPr>
        <w:t xml:space="preserve"> </w:t>
      </w:r>
      <w:r w:rsidR="00D45699">
        <w:rPr>
          <w:rFonts w:ascii="Book Antiqua" w:hAnsi="Book Antiqua"/>
          <w:sz w:val="26"/>
          <w:szCs w:val="26"/>
        </w:rPr>
        <w:t xml:space="preserve"> </w:t>
      </w:r>
      <w:r w:rsidR="00FF0A9A">
        <w:rPr>
          <w:rFonts w:ascii="Book Antiqua" w:hAnsi="Book Antiqua"/>
          <w:sz w:val="26"/>
          <w:szCs w:val="26"/>
        </w:rPr>
        <w:t>Frontier also argued that it is unlikely that there will be widespread adoption in rural areas of broadband service at 25/3 Mbps.</w:t>
      </w:r>
      <w:r w:rsidR="00FF0A9A">
        <w:rPr>
          <w:rStyle w:val="FootnoteReference"/>
          <w:rFonts w:ascii="Book Antiqua" w:hAnsi="Book Antiqua"/>
          <w:sz w:val="26"/>
          <w:szCs w:val="26"/>
        </w:rPr>
        <w:footnoteReference w:id="153"/>
      </w:r>
    </w:p>
    <w:p w:rsidR="00431356" w:rsidP="00B344D9" w:rsidRDefault="00B344D9" w14:paraId="2E7536D3" w14:textId="179AC022">
      <w:pPr>
        <w:pStyle w:val="Default"/>
        <w:spacing w:line="360" w:lineRule="auto"/>
        <w:ind w:firstLine="720"/>
        <w:rPr>
          <w:rFonts w:ascii="Book Antiqua" w:hAnsi="Book Antiqua"/>
          <w:sz w:val="26"/>
          <w:szCs w:val="26"/>
        </w:rPr>
      </w:pPr>
      <w:r>
        <w:rPr>
          <w:rFonts w:ascii="Book Antiqua" w:hAnsi="Book Antiqua"/>
          <w:sz w:val="26"/>
          <w:szCs w:val="26"/>
        </w:rPr>
        <w:t>Frontier also reference</w:t>
      </w:r>
      <w:r w:rsidR="00FF0A9A">
        <w:rPr>
          <w:rFonts w:ascii="Book Antiqua" w:hAnsi="Book Antiqua"/>
          <w:sz w:val="26"/>
          <w:szCs w:val="26"/>
        </w:rPr>
        <w:t>d</w:t>
      </w:r>
      <w:r>
        <w:rPr>
          <w:rFonts w:ascii="Book Antiqua" w:hAnsi="Book Antiqua"/>
          <w:sz w:val="26"/>
          <w:szCs w:val="26"/>
        </w:rPr>
        <w:t xml:space="preserve"> California Executive Order N-73-20 directing California state agencies and local governments to pursue a minimum download broadband speed of 100 Mbps and the Commission’s rulemaking proceeding R.20-09-001 to </w:t>
      </w:r>
      <w:r w:rsidR="00450FD9">
        <w:rPr>
          <w:rFonts w:ascii="Book Antiqua" w:hAnsi="Book Antiqua"/>
          <w:sz w:val="26"/>
          <w:szCs w:val="26"/>
        </w:rPr>
        <w:t>ac</w:t>
      </w:r>
      <w:r>
        <w:rPr>
          <w:rFonts w:ascii="Book Antiqua" w:hAnsi="Book Antiqua"/>
          <w:sz w:val="26"/>
          <w:szCs w:val="26"/>
        </w:rPr>
        <w:t xml:space="preserve">celerate deployment of reliable, fast, and affordable broadband internet </w:t>
      </w:r>
      <w:r w:rsidR="00450FD9">
        <w:rPr>
          <w:rFonts w:ascii="Book Antiqua" w:hAnsi="Book Antiqua"/>
          <w:sz w:val="26"/>
          <w:szCs w:val="26"/>
        </w:rPr>
        <w:t>ac</w:t>
      </w:r>
      <w:r>
        <w:rPr>
          <w:rFonts w:ascii="Book Antiqua" w:hAnsi="Book Antiqua"/>
          <w:sz w:val="26"/>
          <w:szCs w:val="26"/>
        </w:rPr>
        <w:t xml:space="preserve">cess for all Californians. </w:t>
      </w:r>
      <w:r w:rsidR="00D45699">
        <w:rPr>
          <w:rFonts w:ascii="Book Antiqua" w:hAnsi="Book Antiqua"/>
          <w:sz w:val="26"/>
          <w:szCs w:val="26"/>
        </w:rPr>
        <w:t xml:space="preserve"> </w:t>
      </w:r>
      <w:r>
        <w:rPr>
          <w:rFonts w:ascii="Book Antiqua" w:hAnsi="Book Antiqua"/>
          <w:sz w:val="26"/>
          <w:szCs w:val="26"/>
        </w:rPr>
        <w:t xml:space="preserve">Frontier </w:t>
      </w:r>
      <w:r w:rsidR="00851D37">
        <w:rPr>
          <w:rFonts w:ascii="Book Antiqua" w:hAnsi="Book Antiqua"/>
          <w:sz w:val="26"/>
          <w:szCs w:val="26"/>
        </w:rPr>
        <w:t>asserted</w:t>
      </w:r>
      <w:r w:rsidR="008B164D">
        <w:rPr>
          <w:rFonts w:ascii="Book Antiqua" w:hAnsi="Book Antiqua"/>
          <w:sz w:val="26"/>
          <w:szCs w:val="26"/>
        </w:rPr>
        <w:t>,</w:t>
      </w:r>
      <w:r>
        <w:rPr>
          <w:rFonts w:ascii="Book Antiqua" w:hAnsi="Book Antiqua"/>
          <w:sz w:val="26"/>
          <w:szCs w:val="26"/>
        </w:rPr>
        <w:t xml:space="preserve"> “</w:t>
      </w:r>
      <w:r w:rsidR="008B164D">
        <w:rPr>
          <w:rFonts w:ascii="Book Antiqua" w:hAnsi="Book Antiqua"/>
          <w:sz w:val="26"/>
          <w:szCs w:val="26"/>
        </w:rPr>
        <w:t>B</w:t>
      </w:r>
      <w:r>
        <w:rPr>
          <w:rFonts w:ascii="Book Antiqua" w:hAnsi="Book Antiqua"/>
          <w:sz w:val="26"/>
          <w:szCs w:val="26"/>
        </w:rPr>
        <w:t>ecause California policymakers are in the process of assessing a comprehensive appro</w:t>
      </w:r>
      <w:r w:rsidR="00450FD9">
        <w:rPr>
          <w:rFonts w:ascii="Book Antiqua" w:hAnsi="Book Antiqua"/>
          <w:sz w:val="26"/>
          <w:szCs w:val="26"/>
        </w:rPr>
        <w:t>ac</w:t>
      </w:r>
      <w:r>
        <w:rPr>
          <w:rFonts w:ascii="Book Antiqua" w:hAnsi="Book Antiqua"/>
          <w:sz w:val="26"/>
          <w:szCs w:val="26"/>
        </w:rPr>
        <w:t xml:space="preserve">h to more </w:t>
      </w:r>
      <w:r>
        <w:rPr>
          <w:rFonts w:ascii="Book Antiqua" w:hAnsi="Book Antiqua"/>
          <w:sz w:val="26"/>
          <w:szCs w:val="26"/>
        </w:rPr>
        <w:lastRenderedPageBreak/>
        <w:t>ubiquitous broadband services, it is premature and counterproductive to require Frontier, as part of this proceeding, to commit to specific new policy-based network upgrades.”</w:t>
      </w:r>
      <w:r>
        <w:rPr>
          <w:rStyle w:val="FootnoteReference"/>
          <w:rFonts w:ascii="Book Antiqua" w:hAnsi="Book Antiqua"/>
          <w:sz w:val="26"/>
          <w:szCs w:val="26"/>
        </w:rPr>
        <w:footnoteReference w:id="154"/>
      </w:r>
    </w:p>
    <w:p w:rsidR="00B344D9" w:rsidP="00431356" w:rsidRDefault="00431356" w14:paraId="31B7DE18" w14:textId="4BB6CE80">
      <w:pPr>
        <w:pStyle w:val="Default"/>
        <w:spacing w:line="360" w:lineRule="auto"/>
        <w:ind w:firstLine="720"/>
        <w:rPr>
          <w:rFonts w:ascii="Book Antiqua" w:hAnsi="Book Antiqua"/>
          <w:sz w:val="26"/>
          <w:szCs w:val="26"/>
        </w:rPr>
      </w:pPr>
      <w:r>
        <w:rPr>
          <w:rFonts w:ascii="Book Antiqua" w:hAnsi="Book Antiqua"/>
          <w:sz w:val="26"/>
          <w:szCs w:val="26"/>
        </w:rPr>
        <w:t>Frontier object</w:t>
      </w:r>
      <w:r w:rsidR="00450FD9">
        <w:rPr>
          <w:rFonts w:ascii="Book Antiqua" w:hAnsi="Book Antiqua"/>
          <w:sz w:val="26"/>
          <w:szCs w:val="26"/>
        </w:rPr>
        <w:t>ed</w:t>
      </w:r>
      <w:r>
        <w:rPr>
          <w:rFonts w:ascii="Book Antiqua" w:hAnsi="Book Antiqua"/>
          <w:sz w:val="26"/>
          <w:szCs w:val="26"/>
        </w:rPr>
        <w:t xml:space="preserve"> to TURN’s proposed virtual separation reporting requirements because its virtual separation report is not expected to be provided in an initial report until Frontier’s emergence from Chapter 11. </w:t>
      </w:r>
      <w:r w:rsidR="00D45699">
        <w:rPr>
          <w:rFonts w:ascii="Book Antiqua" w:hAnsi="Book Antiqua"/>
          <w:sz w:val="26"/>
          <w:szCs w:val="26"/>
        </w:rPr>
        <w:t xml:space="preserve"> </w:t>
      </w:r>
      <w:r>
        <w:rPr>
          <w:rFonts w:ascii="Book Antiqua" w:hAnsi="Book Antiqua"/>
          <w:sz w:val="26"/>
          <w:szCs w:val="26"/>
        </w:rPr>
        <w:t xml:space="preserve">Frontier will agree to provide the virtual separation report when finalized and information related to RDOF when </w:t>
      </w:r>
      <w:r w:rsidR="00450FD9">
        <w:rPr>
          <w:rFonts w:ascii="Book Antiqua" w:hAnsi="Book Antiqua"/>
          <w:sz w:val="26"/>
          <w:szCs w:val="26"/>
        </w:rPr>
        <w:t>F</w:t>
      </w:r>
      <w:r w:rsidR="00555C0B">
        <w:rPr>
          <w:rFonts w:ascii="Book Antiqua" w:hAnsi="Book Antiqua"/>
          <w:sz w:val="26"/>
          <w:szCs w:val="26"/>
        </w:rPr>
        <w:t>C</w:t>
      </w:r>
      <w:r>
        <w:rPr>
          <w:rFonts w:ascii="Book Antiqua" w:hAnsi="Book Antiqua"/>
          <w:sz w:val="26"/>
          <w:szCs w:val="26"/>
        </w:rPr>
        <w:t>C rules permit its disclosure.</w:t>
      </w:r>
      <w:r>
        <w:rPr>
          <w:rStyle w:val="FootnoteReference"/>
          <w:rFonts w:ascii="Book Antiqua" w:hAnsi="Book Antiqua"/>
          <w:sz w:val="26"/>
          <w:szCs w:val="26"/>
        </w:rPr>
        <w:footnoteReference w:id="155"/>
      </w:r>
      <w:r>
        <w:rPr>
          <w:rFonts w:ascii="Book Antiqua" w:hAnsi="Book Antiqua"/>
          <w:sz w:val="26"/>
          <w:szCs w:val="26"/>
        </w:rPr>
        <w:t xml:space="preserve">  Frontier object</w:t>
      </w:r>
      <w:r w:rsidR="00450FD9">
        <w:rPr>
          <w:rFonts w:ascii="Book Antiqua" w:hAnsi="Book Antiqua"/>
          <w:sz w:val="26"/>
          <w:szCs w:val="26"/>
        </w:rPr>
        <w:t>ed</w:t>
      </w:r>
      <w:r>
        <w:rPr>
          <w:rFonts w:ascii="Book Antiqua" w:hAnsi="Book Antiqua"/>
          <w:sz w:val="26"/>
          <w:szCs w:val="26"/>
        </w:rPr>
        <w:t xml:space="preserve"> to any new Commission requirement that it provide financial statements for its California </w:t>
      </w:r>
      <w:r w:rsidR="00450FD9">
        <w:rPr>
          <w:rFonts w:ascii="Book Antiqua" w:hAnsi="Book Antiqua"/>
          <w:sz w:val="26"/>
          <w:szCs w:val="26"/>
        </w:rPr>
        <w:t>S</w:t>
      </w:r>
      <w:r>
        <w:rPr>
          <w:rFonts w:ascii="Book Antiqua" w:hAnsi="Book Antiqua"/>
          <w:sz w:val="26"/>
          <w:szCs w:val="26"/>
        </w:rPr>
        <w:t>ubsidiaries to show before and after virtual separation because it will create unnecessary costs.</w:t>
      </w:r>
      <w:r>
        <w:rPr>
          <w:rStyle w:val="FootnoteReference"/>
          <w:rFonts w:ascii="Book Antiqua" w:hAnsi="Book Antiqua"/>
          <w:sz w:val="26"/>
          <w:szCs w:val="26"/>
        </w:rPr>
        <w:footnoteReference w:id="156"/>
      </w:r>
      <w:r w:rsidR="00D45699">
        <w:rPr>
          <w:rFonts w:ascii="Book Antiqua" w:hAnsi="Book Antiqua"/>
          <w:sz w:val="26"/>
          <w:szCs w:val="26"/>
        </w:rPr>
        <w:t xml:space="preserve"> </w:t>
      </w:r>
      <w:r>
        <w:rPr>
          <w:rFonts w:ascii="Book Antiqua" w:hAnsi="Book Antiqua"/>
          <w:sz w:val="26"/>
          <w:szCs w:val="26"/>
        </w:rPr>
        <w:t xml:space="preserve"> Frontier will agree to provide a report summarizing its quarterly broadband deployment information.</w:t>
      </w:r>
      <w:r>
        <w:rPr>
          <w:rStyle w:val="FootnoteReference"/>
          <w:rFonts w:ascii="Book Antiqua" w:hAnsi="Book Antiqua"/>
          <w:sz w:val="26"/>
          <w:szCs w:val="26"/>
        </w:rPr>
        <w:footnoteReference w:id="157"/>
      </w:r>
      <w:r>
        <w:rPr>
          <w:rFonts w:ascii="Book Antiqua" w:hAnsi="Book Antiqua"/>
          <w:sz w:val="26"/>
          <w:szCs w:val="26"/>
        </w:rPr>
        <w:t xml:space="preserve"> </w:t>
      </w:r>
      <w:r w:rsidRPr="00B61017">
        <w:rPr>
          <w:rFonts w:ascii="Book Antiqua" w:hAnsi="Book Antiqua"/>
          <w:sz w:val="26"/>
          <w:szCs w:val="26"/>
        </w:rPr>
        <w:t xml:space="preserve"> </w:t>
      </w:r>
      <w:r w:rsidR="00B344D9">
        <w:rPr>
          <w:rFonts w:ascii="Book Antiqua" w:hAnsi="Book Antiqua"/>
          <w:sz w:val="26"/>
          <w:szCs w:val="26"/>
        </w:rPr>
        <w:t xml:space="preserve"> </w:t>
      </w:r>
    </w:p>
    <w:p w:rsidR="00BC0874" w:rsidP="00BC0874" w:rsidRDefault="00BC0874" w14:paraId="1115649F" w14:textId="6B166207">
      <w:pPr>
        <w:pStyle w:val="Default"/>
        <w:spacing w:line="360" w:lineRule="auto"/>
        <w:ind w:firstLine="720"/>
        <w:rPr>
          <w:rFonts w:ascii="Book Antiqua" w:hAnsi="Book Antiqua"/>
          <w:sz w:val="26"/>
          <w:szCs w:val="26"/>
        </w:rPr>
      </w:pPr>
      <w:r>
        <w:rPr>
          <w:rFonts w:ascii="Book Antiqua" w:hAnsi="Book Antiqua"/>
          <w:sz w:val="26"/>
          <w:szCs w:val="26"/>
        </w:rPr>
        <w:t>In its Opening Brief, Frontier</w:t>
      </w:r>
      <w:r w:rsidR="00450FD9">
        <w:rPr>
          <w:rFonts w:ascii="Book Antiqua" w:hAnsi="Book Antiqua"/>
          <w:sz w:val="26"/>
          <w:szCs w:val="26"/>
        </w:rPr>
        <w:t xml:space="preserve"> retreated from</w:t>
      </w:r>
      <w:r>
        <w:rPr>
          <w:rFonts w:ascii="Book Antiqua" w:hAnsi="Book Antiqua"/>
          <w:sz w:val="26"/>
          <w:szCs w:val="26"/>
        </w:rPr>
        <w:t xml:space="preserve"> some of the positions it had taken in its prepared testimony.</w:t>
      </w:r>
      <w:r w:rsidR="00D45699">
        <w:rPr>
          <w:rFonts w:ascii="Book Antiqua" w:hAnsi="Book Antiqua"/>
          <w:sz w:val="26"/>
          <w:szCs w:val="26"/>
        </w:rPr>
        <w:t xml:space="preserve"> </w:t>
      </w:r>
      <w:r>
        <w:rPr>
          <w:rFonts w:ascii="Book Antiqua" w:hAnsi="Book Antiqua"/>
          <w:sz w:val="26"/>
          <w:szCs w:val="26"/>
        </w:rPr>
        <w:t xml:space="preserve"> Frontier committed to expand and enhance broadband service to 840,000 households by the end of 2022 pursuant to the 2016 Verizon settlement approved in D.15-12-005.</w:t>
      </w:r>
      <w:r w:rsidR="00D45699">
        <w:rPr>
          <w:rFonts w:ascii="Book Antiqua" w:hAnsi="Book Antiqua"/>
          <w:sz w:val="26"/>
          <w:szCs w:val="26"/>
        </w:rPr>
        <w:t xml:space="preserve"> </w:t>
      </w:r>
      <w:r>
        <w:rPr>
          <w:rFonts w:ascii="Book Antiqua" w:hAnsi="Book Antiqua"/>
          <w:sz w:val="26"/>
          <w:szCs w:val="26"/>
        </w:rPr>
        <w:t xml:space="preserve"> In addition, Frontier committed to bring F</w:t>
      </w:r>
      <w:r w:rsidR="00E33B7F">
        <w:rPr>
          <w:rFonts w:ascii="Book Antiqua" w:hAnsi="Book Antiqua"/>
          <w:sz w:val="26"/>
          <w:szCs w:val="26"/>
        </w:rPr>
        <w:t>TTP</w:t>
      </w:r>
      <w:r>
        <w:rPr>
          <w:rFonts w:ascii="Book Antiqua" w:hAnsi="Book Antiqua"/>
          <w:sz w:val="26"/>
          <w:szCs w:val="26"/>
        </w:rPr>
        <w:t xml:space="preserve"> to at least 150,000 additional </w:t>
      </w:r>
      <w:r w:rsidR="00D675A2">
        <w:rPr>
          <w:rFonts w:ascii="Book Antiqua" w:hAnsi="Book Antiqua"/>
          <w:sz w:val="26"/>
          <w:szCs w:val="26"/>
        </w:rPr>
        <w:t xml:space="preserve">California </w:t>
      </w:r>
      <w:r>
        <w:rPr>
          <w:rFonts w:ascii="Book Antiqua" w:hAnsi="Book Antiqua"/>
          <w:sz w:val="26"/>
          <w:szCs w:val="26"/>
        </w:rPr>
        <w:t>households within four years after Commission approval of the Restructuring.</w:t>
      </w:r>
      <w:r>
        <w:rPr>
          <w:rStyle w:val="FootnoteReference"/>
          <w:rFonts w:ascii="Book Antiqua" w:hAnsi="Book Antiqua"/>
          <w:sz w:val="26"/>
          <w:szCs w:val="26"/>
        </w:rPr>
        <w:footnoteReference w:id="158"/>
      </w:r>
    </w:p>
    <w:p w:rsidR="00B344D9" w:rsidP="00B344D9" w:rsidRDefault="00B344D9" w14:paraId="26B076BD" w14:textId="5C1AF427">
      <w:pPr>
        <w:pStyle w:val="Default"/>
        <w:spacing w:line="360" w:lineRule="auto"/>
        <w:ind w:firstLine="720"/>
        <w:rPr>
          <w:rFonts w:ascii="Book Antiqua" w:hAnsi="Book Antiqua"/>
          <w:sz w:val="26"/>
          <w:szCs w:val="26"/>
        </w:rPr>
      </w:pPr>
      <w:r>
        <w:rPr>
          <w:rFonts w:ascii="Book Antiqua" w:hAnsi="Book Antiqua"/>
          <w:sz w:val="26"/>
          <w:szCs w:val="26"/>
        </w:rPr>
        <w:t xml:space="preserve">CETF does not support Cal Advocates’ proposal to require Frontier to provide minimum speeds of 25/3 Mbps for all remaining unmet conditions from </w:t>
      </w:r>
      <w:r>
        <w:rPr>
          <w:rFonts w:ascii="Book Antiqua" w:hAnsi="Book Antiqua"/>
          <w:sz w:val="26"/>
          <w:szCs w:val="26"/>
        </w:rPr>
        <w:lastRenderedPageBreak/>
        <w:t>the Verizon settlement, stating that it is not simple for Frontier to increase speeds.</w:t>
      </w:r>
      <w:r>
        <w:rPr>
          <w:rStyle w:val="FootnoteReference"/>
          <w:rFonts w:ascii="Book Antiqua" w:hAnsi="Book Antiqua"/>
          <w:sz w:val="26"/>
          <w:szCs w:val="26"/>
        </w:rPr>
        <w:footnoteReference w:id="159"/>
      </w:r>
    </w:p>
    <w:p w:rsidR="007E6F6B" w:rsidP="00F4480F" w:rsidRDefault="00864BE9" w14:paraId="77C28BE5" w14:textId="47B13DCD">
      <w:pPr>
        <w:pStyle w:val="Default"/>
        <w:spacing w:line="360" w:lineRule="auto"/>
        <w:ind w:firstLine="720"/>
        <w:rPr>
          <w:rFonts w:ascii="Book Antiqua" w:hAnsi="Book Antiqua"/>
          <w:sz w:val="26"/>
          <w:szCs w:val="26"/>
        </w:rPr>
      </w:pPr>
      <w:r>
        <w:rPr>
          <w:rFonts w:ascii="Book Antiqua" w:hAnsi="Book Antiqua"/>
          <w:sz w:val="26"/>
          <w:szCs w:val="26"/>
        </w:rPr>
        <w:t xml:space="preserve">The </w:t>
      </w:r>
      <w:r w:rsidR="00D675A2">
        <w:rPr>
          <w:rFonts w:ascii="Book Antiqua" w:hAnsi="Book Antiqua"/>
          <w:sz w:val="26"/>
          <w:szCs w:val="26"/>
        </w:rPr>
        <w:t>Attachment 1</w:t>
      </w:r>
      <w:r w:rsidR="006F3801">
        <w:rPr>
          <w:rFonts w:ascii="Book Antiqua" w:hAnsi="Book Antiqua"/>
          <w:sz w:val="26"/>
          <w:szCs w:val="26"/>
        </w:rPr>
        <w:t xml:space="preserve"> </w:t>
      </w:r>
      <w:r>
        <w:rPr>
          <w:rFonts w:ascii="Book Antiqua" w:hAnsi="Book Antiqua"/>
          <w:sz w:val="26"/>
          <w:szCs w:val="26"/>
        </w:rPr>
        <w:t>Settlement Agreement reflect</w:t>
      </w:r>
      <w:r w:rsidR="006F3801">
        <w:rPr>
          <w:rFonts w:ascii="Book Antiqua" w:hAnsi="Book Antiqua"/>
          <w:sz w:val="26"/>
          <w:szCs w:val="26"/>
        </w:rPr>
        <w:t>s</w:t>
      </w:r>
      <w:r>
        <w:rPr>
          <w:rFonts w:ascii="Book Antiqua" w:hAnsi="Book Antiqua"/>
          <w:sz w:val="26"/>
          <w:szCs w:val="26"/>
        </w:rPr>
        <w:t xml:space="preserve"> compromises by </w:t>
      </w:r>
      <w:r w:rsidR="00E33B7F">
        <w:rPr>
          <w:rFonts w:ascii="Book Antiqua" w:hAnsi="Book Antiqua"/>
          <w:sz w:val="26"/>
          <w:szCs w:val="26"/>
        </w:rPr>
        <w:t>all</w:t>
      </w:r>
      <w:r>
        <w:rPr>
          <w:rFonts w:ascii="Book Antiqua" w:hAnsi="Book Antiqua"/>
          <w:sz w:val="26"/>
          <w:szCs w:val="26"/>
        </w:rPr>
        <w:t xml:space="preserve"> settling parties regarding the above-described issues. </w:t>
      </w:r>
      <w:r w:rsidR="00D45699">
        <w:rPr>
          <w:rFonts w:ascii="Book Antiqua" w:hAnsi="Book Antiqua"/>
          <w:sz w:val="26"/>
          <w:szCs w:val="26"/>
        </w:rPr>
        <w:t xml:space="preserve"> </w:t>
      </w:r>
      <w:r>
        <w:rPr>
          <w:rFonts w:ascii="Book Antiqua" w:hAnsi="Book Antiqua"/>
          <w:sz w:val="26"/>
          <w:szCs w:val="26"/>
        </w:rPr>
        <w:t>Under th</w:t>
      </w:r>
      <w:r w:rsidR="00D675A2">
        <w:rPr>
          <w:rFonts w:ascii="Book Antiqua" w:hAnsi="Book Antiqua"/>
          <w:sz w:val="26"/>
          <w:szCs w:val="26"/>
        </w:rPr>
        <w:t>at agreement</w:t>
      </w:r>
      <w:r>
        <w:rPr>
          <w:rFonts w:ascii="Book Antiqua" w:hAnsi="Book Antiqua"/>
          <w:sz w:val="26"/>
          <w:szCs w:val="26"/>
        </w:rPr>
        <w:t xml:space="preserve">, </w:t>
      </w:r>
      <w:r w:rsidR="006F3801">
        <w:rPr>
          <w:rFonts w:ascii="Book Antiqua" w:hAnsi="Book Antiqua"/>
          <w:sz w:val="26"/>
          <w:szCs w:val="26"/>
        </w:rPr>
        <w:t xml:space="preserve">Frontier </w:t>
      </w:r>
      <w:r>
        <w:rPr>
          <w:rFonts w:ascii="Book Antiqua" w:hAnsi="Book Antiqua"/>
          <w:sz w:val="26"/>
          <w:szCs w:val="26"/>
        </w:rPr>
        <w:t>(1)</w:t>
      </w:r>
      <w:r w:rsidR="005332A0">
        <w:rPr>
          <w:rFonts w:ascii="Book Antiqua" w:hAnsi="Book Antiqua"/>
          <w:sz w:val="26"/>
          <w:szCs w:val="26"/>
        </w:rPr>
        <w:t xml:space="preserve"> </w:t>
      </w:r>
      <w:r w:rsidR="006F3801">
        <w:rPr>
          <w:rFonts w:ascii="Book Antiqua" w:hAnsi="Book Antiqua"/>
          <w:sz w:val="26"/>
          <w:szCs w:val="26"/>
        </w:rPr>
        <w:t>commits</w:t>
      </w:r>
      <w:r w:rsidR="005332A0">
        <w:rPr>
          <w:rFonts w:ascii="Book Antiqua" w:hAnsi="Book Antiqua"/>
          <w:sz w:val="26"/>
          <w:szCs w:val="26"/>
        </w:rPr>
        <w:t xml:space="preserve"> to capital expenditures of $1.75 billion from 2021 through 2024, with a maximum of $175 million from RDOF or </w:t>
      </w:r>
      <w:r w:rsidR="00E33B7F">
        <w:rPr>
          <w:rFonts w:ascii="Book Antiqua" w:hAnsi="Book Antiqua"/>
          <w:sz w:val="26"/>
          <w:szCs w:val="26"/>
        </w:rPr>
        <w:t>the California Advanced Services Fund (</w:t>
      </w:r>
      <w:r w:rsidR="005332A0">
        <w:rPr>
          <w:rFonts w:ascii="Book Antiqua" w:hAnsi="Book Antiqua"/>
          <w:sz w:val="26"/>
          <w:szCs w:val="26"/>
        </w:rPr>
        <w:t>CAS</w:t>
      </w:r>
      <w:r w:rsidR="00E33B7F">
        <w:rPr>
          <w:rFonts w:ascii="Book Antiqua" w:hAnsi="Book Antiqua"/>
          <w:sz w:val="26"/>
          <w:szCs w:val="26"/>
        </w:rPr>
        <w:t>F)</w:t>
      </w:r>
      <w:r w:rsidR="005332A0">
        <w:rPr>
          <w:rFonts w:ascii="Book Antiqua" w:hAnsi="Book Antiqua"/>
          <w:sz w:val="26"/>
          <w:szCs w:val="26"/>
        </w:rPr>
        <w:t>,</w:t>
      </w:r>
      <w:r w:rsidR="008B1139">
        <w:rPr>
          <w:rStyle w:val="FootnoteReference"/>
          <w:rFonts w:ascii="Book Antiqua" w:hAnsi="Book Antiqua"/>
          <w:sz w:val="26"/>
          <w:szCs w:val="26"/>
        </w:rPr>
        <w:footnoteReference w:id="160"/>
      </w:r>
      <w:r w:rsidR="005332A0">
        <w:rPr>
          <w:rFonts w:ascii="Book Antiqua" w:hAnsi="Book Antiqua"/>
          <w:sz w:val="26"/>
          <w:szCs w:val="26"/>
        </w:rPr>
        <w:t xml:space="preserve"> (2) will classify all California operations as </w:t>
      </w:r>
      <w:proofErr w:type="spellStart"/>
      <w:r w:rsidR="005332A0">
        <w:rPr>
          <w:rFonts w:ascii="Book Antiqua" w:hAnsi="Book Antiqua"/>
          <w:sz w:val="26"/>
          <w:szCs w:val="26"/>
        </w:rPr>
        <w:t>InvestCo</w:t>
      </w:r>
      <w:proofErr w:type="spellEnd"/>
      <w:r w:rsidR="005332A0">
        <w:rPr>
          <w:rFonts w:ascii="Book Antiqua" w:hAnsi="Book Antiqua"/>
          <w:sz w:val="26"/>
          <w:szCs w:val="26"/>
        </w:rPr>
        <w:t>,</w:t>
      </w:r>
      <w:r w:rsidR="008B1139">
        <w:rPr>
          <w:rStyle w:val="FootnoteReference"/>
          <w:rFonts w:ascii="Book Antiqua" w:hAnsi="Book Antiqua"/>
          <w:sz w:val="26"/>
          <w:szCs w:val="26"/>
        </w:rPr>
        <w:footnoteReference w:id="161"/>
      </w:r>
      <w:r w:rsidR="005332A0">
        <w:rPr>
          <w:rFonts w:ascii="Book Antiqua" w:hAnsi="Book Antiqua"/>
          <w:sz w:val="26"/>
          <w:szCs w:val="26"/>
        </w:rPr>
        <w:t xml:space="preserve"> (3) commits to FTTP to at least 350,000 locations by December 31,</w:t>
      </w:r>
      <w:r w:rsidR="00E33B7F">
        <w:rPr>
          <w:rFonts w:ascii="Book Antiqua" w:hAnsi="Book Antiqua"/>
          <w:sz w:val="26"/>
          <w:szCs w:val="26"/>
        </w:rPr>
        <w:t xml:space="preserve"> </w:t>
      </w:r>
      <w:r w:rsidR="005332A0">
        <w:rPr>
          <w:rFonts w:ascii="Book Antiqua" w:hAnsi="Book Antiqua"/>
          <w:sz w:val="26"/>
          <w:szCs w:val="26"/>
        </w:rPr>
        <w:t>2026, with at least 150,000 having an IRR of 20 percent or less,</w:t>
      </w:r>
      <w:r w:rsidR="008B1139">
        <w:rPr>
          <w:rStyle w:val="FootnoteReference"/>
          <w:rFonts w:ascii="Book Antiqua" w:hAnsi="Book Antiqua"/>
          <w:sz w:val="26"/>
          <w:szCs w:val="26"/>
        </w:rPr>
        <w:footnoteReference w:id="162"/>
      </w:r>
      <w:r w:rsidR="005332A0">
        <w:rPr>
          <w:rFonts w:ascii="Book Antiqua" w:hAnsi="Book Antiqua"/>
          <w:sz w:val="26"/>
          <w:szCs w:val="26"/>
        </w:rPr>
        <w:t xml:space="preserve"> and (</w:t>
      </w:r>
      <w:r w:rsidR="008516E1">
        <w:rPr>
          <w:rFonts w:ascii="Book Antiqua" w:hAnsi="Book Antiqua"/>
          <w:sz w:val="26"/>
          <w:szCs w:val="26"/>
        </w:rPr>
        <w:t>4</w:t>
      </w:r>
      <w:r w:rsidR="005332A0">
        <w:rPr>
          <w:rFonts w:ascii="Book Antiqua" w:hAnsi="Book Antiqua"/>
          <w:sz w:val="26"/>
          <w:szCs w:val="26"/>
        </w:rPr>
        <w:t xml:space="preserve">) will fulfill its remaining broadband commitments under the </w:t>
      </w:r>
      <w:r w:rsidR="008516E1">
        <w:rPr>
          <w:rFonts w:ascii="Book Antiqua" w:hAnsi="Book Antiqua"/>
          <w:sz w:val="26"/>
          <w:szCs w:val="26"/>
        </w:rPr>
        <w:t>2015 Verizon settlement as a separate obligation from the 350,000 location commitment</w:t>
      </w:r>
      <w:r w:rsidR="006F3801">
        <w:rPr>
          <w:rFonts w:ascii="Book Antiqua" w:hAnsi="Book Antiqua"/>
          <w:sz w:val="26"/>
          <w:szCs w:val="26"/>
        </w:rPr>
        <w:t>,</w:t>
      </w:r>
      <w:r w:rsidR="008516E1">
        <w:rPr>
          <w:rFonts w:ascii="Book Antiqua" w:hAnsi="Book Antiqua"/>
          <w:sz w:val="26"/>
          <w:szCs w:val="26"/>
        </w:rPr>
        <w:t xml:space="preserve"> except that FTTP upgrades from the previous 6/1 Mbps and 10/1 Mbps deployments under the 2015 Verizon settlements will count toward the 350,000 location commitment.</w:t>
      </w:r>
      <w:r w:rsidR="008B1139">
        <w:rPr>
          <w:rStyle w:val="FootnoteReference"/>
          <w:rFonts w:ascii="Book Antiqua" w:hAnsi="Book Antiqua"/>
          <w:sz w:val="26"/>
          <w:szCs w:val="26"/>
        </w:rPr>
        <w:footnoteReference w:id="163"/>
      </w:r>
      <w:r w:rsidR="006F3801">
        <w:rPr>
          <w:rFonts w:ascii="Book Antiqua" w:hAnsi="Book Antiqua"/>
          <w:sz w:val="26"/>
          <w:szCs w:val="26"/>
        </w:rPr>
        <w:t xml:space="preserve"> </w:t>
      </w:r>
      <w:r w:rsidR="001C6857">
        <w:rPr>
          <w:rFonts w:ascii="Book Antiqua" w:hAnsi="Book Antiqua"/>
          <w:sz w:val="26"/>
          <w:szCs w:val="26"/>
        </w:rPr>
        <w:t>In addition, the Attachment 3 Settlement Agreement proposes a collaboration between Frontier and the Yurok Tribe on the development of a middle-mile fiber and FTTP project in which Frontier will contribute one-half of the costs up to $5</w:t>
      </w:r>
      <w:r w:rsidR="00233882">
        <w:rPr>
          <w:rFonts w:ascii="Book Antiqua" w:hAnsi="Book Antiqua"/>
          <w:sz w:val="26"/>
          <w:szCs w:val="26"/>
        </w:rPr>
        <w:t> </w:t>
      </w:r>
      <w:r w:rsidR="001C6857">
        <w:rPr>
          <w:rFonts w:ascii="Book Antiqua" w:hAnsi="Book Antiqua"/>
          <w:sz w:val="26"/>
          <w:szCs w:val="26"/>
        </w:rPr>
        <w:t>million.</w:t>
      </w:r>
      <w:r w:rsidR="008B1139">
        <w:rPr>
          <w:rStyle w:val="FootnoteReference"/>
          <w:rFonts w:ascii="Book Antiqua" w:hAnsi="Book Antiqua"/>
          <w:sz w:val="26"/>
          <w:szCs w:val="26"/>
        </w:rPr>
        <w:footnoteReference w:id="164"/>
      </w:r>
      <w:r w:rsidR="001C6857">
        <w:rPr>
          <w:rFonts w:ascii="Book Antiqua" w:hAnsi="Book Antiqua"/>
          <w:sz w:val="26"/>
          <w:szCs w:val="26"/>
        </w:rPr>
        <w:t xml:space="preserve"> </w:t>
      </w:r>
      <w:r w:rsidR="00233882">
        <w:rPr>
          <w:rFonts w:ascii="Book Antiqua" w:hAnsi="Book Antiqua"/>
          <w:sz w:val="26"/>
          <w:szCs w:val="26"/>
        </w:rPr>
        <w:t xml:space="preserve"> </w:t>
      </w:r>
      <w:r w:rsidR="006F3801">
        <w:rPr>
          <w:rFonts w:ascii="Book Antiqua" w:hAnsi="Book Antiqua"/>
          <w:sz w:val="26"/>
          <w:szCs w:val="26"/>
        </w:rPr>
        <w:t>On balance, we conclude that the</w:t>
      </w:r>
      <w:r w:rsidR="006E77B1">
        <w:rPr>
          <w:rFonts w:ascii="Book Antiqua" w:hAnsi="Book Antiqua"/>
          <w:sz w:val="26"/>
          <w:szCs w:val="26"/>
        </w:rPr>
        <w:t xml:space="preserve"> </w:t>
      </w:r>
      <w:r w:rsidR="001C6857">
        <w:rPr>
          <w:rFonts w:ascii="Book Antiqua" w:hAnsi="Book Antiqua"/>
          <w:sz w:val="26"/>
          <w:szCs w:val="26"/>
        </w:rPr>
        <w:t xml:space="preserve">provisions of the </w:t>
      </w:r>
      <w:r w:rsidR="008A0537">
        <w:rPr>
          <w:rFonts w:ascii="Book Antiqua" w:hAnsi="Book Antiqua"/>
          <w:sz w:val="26"/>
          <w:szCs w:val="26"/>
        </w:rPr>
        <w:t>Attachment 1</w:t>
      </w:r>
      <w:r w:rsidR="006E77B1">
        <w:rPr>
          <w:rFonts w:ascii="Book Antiqua" w:hAnsi="Book Antiqua"/>
          <w:sz w:val="26"/>
          <w:szCs w:val="26"/>
        </w:rPr>
        <w:t xml:space="preserve"> Settlement Agreement</w:t>
      </w:r>
      <w:r w:rsidR="006F3801">
        <w:rPr>
          <w:rFonts w:ascii="Book Antiqua" w:hAnsi="Book Antiqua"/>
          <w:sz w:val="26"/>
          <w:szCs w:val="26"/>
        </w:rPr>
        <w:t xml:space="preserve"> </w:t>
      </w:r>
      <w:r w:rsidR="001C6857">
        <w:rPr>
          <w:rFonts w:ascii="Book Antiqua" w:hAnsi="Book Antiqua"/>
          <w:sz w:val="26"/>
          <w:szCs w:val="26"/>
        </w:rPr>
        <w:t xml:space="preserve">and </w:t>
      </w:r>
      <w:r w:rsidR="001678DC">
        <w:rPr>
          <w:rFonts w:ascii="Book Antiqua" w:hAnsi="Book Antiqua"/>
          <w:sz w:val="26"/>
          <w:szCs w:val="26"/>
        </w:rPr>
        <w:t xml:space="preserve">the </w:t>
      </w:r>
      <w:r w:rsidR="001C6857">
        <w:rPr>
          <w:rFonts w:ascii="Book Antiqua" w:hAnsi="Book Antiqua"/>
          <w:sz w:val="26"/>
          <w:szCs w:val="26"/>
        </w:rPr>
        <w:t>Attachment 3 Settlement Agreement</w:t>
      </w:r>
      <w:r w:rsidR="006F3801">
        <w:rPr>
          <w:rFonts w:ascii="Book Antiqua" w:hAnsi="Book Antiqua"/>
          <w:sz w:val="26"/>
          <w:szCs w:val="26"/>
        </w:rPr>
        <w:t xml:space="preserve"> regarding Frontier’s capital expenditures and broadband deployment are reasonable, in the public interest, and should be adopted as conditions for approval of the </w:t>
      </w:r>
      <w:r w:rsidR="006F3801">
        <w:rPr>
          <w:rFonts w:ascii="Book Antiqua" w:hAnsi="Book Antiqua"/>
          <w:sz w:val="26"/>
          <w:szCs w:val="26"/>
        </w:rPr>
        <w:lastRenderedPageBreak/>
        <w:t>Application</w:t>
      </w:r>
      <w:r w:rsidR="00F4119E">
        <w:rPr>
          <w:rFonts w:ascii="Book Antiqua" w:hAnsi="Book Antiqua"/>
          <w:sz w:val="26"/>
          <w:szCs w:val="26"/>
        </w:rPr>
        <w:t xml:space="preserve">.  </w:t>
      </w:r>
      <w:r w:rsidR="00D1061B">
        <w:rPr>
          <w:rFonts w:ascii="Book Antiqua" w:hAnsi="Book Antiqua"/>
          <w:sz w:val="26"/>
          <w:szCs w:val="26"/>
        </w:rPr>
        <w:t xml:space="preserve">We also conclude that the following additional requirements are in the public interest and should be imposed as conditions for approval of the Application: </w:t>
      </w:r>
      <w:r w:rsidR="00233882">
        <w:rPr>
          <w:rFonts w:ascii="Book Antiqua" w:hAnsi="Book Antiqua"/>
          <w:sz w:val="26"/>
          <w:szCs w:val="26"/>
        </w:rPr>
        <w:t xml:space="preserve"> </w:t>
      </w:r>
      <w:r w:rsidR="00D1061B">
        <w:rPr>
          <w:rFonts w:ascii="Book Antiqua" w:hAnsi="Book Antiqua"/>
          <w:sz w:val="26"/>
          <w:szCs w:val="26"/>
        </w:rPr>
        <w:t xml:space="preserve">(1) Within 60 days of the effective date of this decision, Frontier shall open consultations with the Commission’s Digital Infrastructure and Video Competition Act (DIVCA) staff to refine and improve the Commission’s DIVCA map; (2) Within 60 days of the effective date of this decision, Frontier shall open consultations with the Commission’s Communications </w:t>
      </w:r>
      <w:r w:rsidR="00A42445">
        <w:rPr>
          <w:rFonts w:ascii="Book Antiqua" w:hAnsi="Book Antiqua"/>
          <w:sz w:val="26"/>
          <w:szCs w:val="26"/>
        </w:rPr>
        <w:t xml:space="preserve">Division </w:t>
      </w:r>
      <w:r w:rsidR="00D1061B">
        <w:rPr>
          <w:rFonts w:ascii="Book Antiqua" w:hAnsi="Book Antiqua"/>
          <w:sz w:val="26"/>
          <w:szCs w:val="26"/>
        </w:rPr>
        <w:t xml:space="preserve">staff </w:t>
      </w:r>
      <w:r w:rsidR="00072EBC">
        <w:rPr>
          <w:rFonts w:ascii="Book Antiqua" w:hAnsi="Book Antiqua"/>
          <w:sz w:val="26"/>
          <w:szCs w:val="26"/>
        </w:rPr>
        <w:t>for the purpose of providing more granular voice, video, and broadband availability and subscribership data</w:t>
      </w:r>
      <w:r w:rsidR="005574E4">
        <w:rPr>
          <w:rFonts w:ascii="Book Antiqua" w:hAnsi="Book Antiqua"/>
          <w:sz w:val="26"/>
          <w:szCs w:val="26"/>
        </w:rPr>
        <w:t>; and (3)</w:t>
      </w:r>
      <w:bookmarkStart w:name="_Hlk66211378" w:id="33"/>
      <w:r w:rsidR="00657D99">
        <w:rPr>
          <w:rFonts w:ascii="Book Antiqua" w:hAnsi="Book Antiqua"/>
          <w:sz w:val="26"/>
          <w:szCs w:val="26"/>
        </w:rPr>
        <w:t xml:space="preserve"> </w:t>
      </w:r>
      <w:r w:rsidR="0032693F">
        <w:rPr>
          <w:rFonts w:ascii="Book Antiqua" w:hAnsi="Book Antiqua"/>
          <w:sz w:val="26"/>
          <w:szCs w:val="26"/>
        </w:rPr>
        <w:t>A</w:t>
      </w:r>
      <w:r w:rsidR="00F4480F">
        <w:rPr>
          <w:rFonts w:ascii="Book Antiqua" w:hAnsi="Book Antiqua"/>
          <w:sz w:val="26"/>
          <w:szCs w:val="26"/>
        </w:rPr>
        <w:t>t least 10 percent</w:t>
      </w:r>
      <w:r w:rsidR="005574E4">
        <w:rPr>
          <w:rFonts w:ascii="Book Antiqua" w:hAnsi="Book Antiqua"/>
          <w:sz w:val="26"/>
          <w:szCs w:val="26"/>
        </w:rPr>
        <w:t xml:space="preserve"> </w:t>
      </w:r>
      <w:r w:rsidRPr="00CC3377" w:rsidR="005574E4">
        <w:rPr>
          <w:rFonts w:ascii="Book Antiqua" w:hAnsi="Book Antiqua"/>
          <w:sz w:val="26"/>
          <w:szCs w:val="26"/>
        </w:rPr>
        <w:t xml:space="preserve">of Frontier’s planned fiber buildout to the 150,000 locations with an IRR of 20 percent or less shall </w:t>
      </w:r>
      <w:r w:rsidR="005574E4">
        <w:rPr>
          <w:rFonts w:ascii="Book Antiqua" w:hAnsi="Book Antiqua"/>
          <w:sz w:val="26"/>
          <w:szCs w:val="26"/>
        </w:rPr>
        <w:t xml:space="preserve">be in </w:t>
      </w:r>
      <w:r w:rsidRPr="00CC3377" w:rsidR="005574E4">
        <w:rPr>
          <w:rFonts w:ascii="Book Antiqua" w:hAnsi="Book Antiqua"/>
          <w:sz w:val="26"/>
          <w:szCs w:val="26"/>
        </w:rPr>
        <w:t>locations in which Frontier is the only service provider.</w:t>
      </w:r>
      <w:r w:rsidRPr="00131A8D" w:rsidR="00131A8D">
        <w:rPr>
          <w:rStyle w:val="FootnoteReference"/>
          <w:rFonts w:ascii="Book Antiqua" w:hAnsi="Book Antiqua"/>
          <w:sz w:val="26"/>
          <w:szCs w:val="26"/>
        </w:rPr>
        <w:t xml:space="preserve"> </w:t>
      </w:r>
      <w:r w:rsidR="00131A8D">
        <w:rPr>
          <w:rStyle w:val="FootnoteReference"/>
          <w:rFonts w:ascii="Book Antiqua" w:hAnsi="Book Antiqua"/>
          <w:sz w:val="26"/>
          <w:szCs w:val="26"/>
        </w:rPr>
        <w:footnoteReference w:id="165"/>
      </w:r>
      <w:r w:rsidR="005574E4">
        <w:rPr>
          <w:rFonts w:ascii="Book Antiqua" w:hAnsi="Book Antiqua"/>
          <w:sz w:val="26"/>
          <w:szCs w:val="26"/>
        </w:rPr>
        <w:t xml:space="preserve">  Frontier shall use the California Interactive Broadband Map</w:t>
      </w:r>
      <w:r w:rsidR="005574E4">
        <w:rPr>
          <w:rStyle w:val="FootnoteReference"/>
          <w:rFonts w:ascii="Book Antiqua" w:hAnsi="Book Antiqua"/>
          <w:sz w:val="26"/>
          <w:szCs w:val="26"/>
        </w:rPr>
        <w:footnoteReference w:id="166"/>
      </w:r>
      <w:r w:rsidR="005574E4">
        <w:rPr>
          <w:rFonts w:ascii="Book Antiqua" w:hAnsi="Book Antiqua"/>
          <w:sz w:val="26"/>
          <w:szCs w:val="26"/>
        </w:rPr>
        <w:t xml:space="preserve"> to identify areas with only one service provider, unless it is able to show that the Map is inaccurate.  </w:t>
      </w:r>
      <w:r w:rsidRPr="008F405A" w:rsidR="005574E4">
        <w:rPr>
          <w:rFonts w:ascii="Book Antiqua" w:hAnsi="Book Antiqua"/>
          <w:sz w:val="26"/>
          <w:szCs w:val="26"/>
        </w:rPr>
        <w:t>At least 10</w:t>
      </w:r>
      <w:r w:rsidR="00275B66">
        <w:rPr>
          <w:rFonts w:ascii="Book Antiqua" w:hAnsi="Book Antiqua"/>
          <w:sz w:val="26"/>
          <w:szCs w:val="26"/>
        </w:rPr>
        <w:t xml:space="preserve"> percent</w:t>
      </w:r>
      <w:r w:rsidRPr="008F405A" w:rsidR="005574E4">
        <w:rPr>
          <w:rFonts w:ascii="Book Antiqua" w:hAnsi="Book Antiqua"/>
          <w:sz w:val="26"/>
          <w:szCs w:val="26"/>
        </w:rPr>
        <w:t xml:space="preserve"> of the funds Frontier allocates to th</w:t>
      </w:r>
      <w:r w:rsidR="003B733F">
        <w:rPr>
          <w:rFonts w:ascii="Book Antiqua" w:hAnsi="Book Antiqua"/>
          <w:sz w:val="26"/>
          <w:szCs w:val="26"/>
        </w:rPr>
        <w:t>e</w:t>
      </w:r>
      <w:r w:rsidRPr="008F405A" w:rsidR="005574E4">
        <w:rPr>
          <w:rFonts w:ascii="Book Antiqua" w:hAnsi="Book Antiqua"/>
          <w:sz w:val="26"/>
          <w:szCs w:val="26"/>
        </w:rPr>
        <w:t xml:space="preserve"> fiber buildout </w:t>
      </w:r>
      <w:r w:rsidR="003B733F">
        <w:rPr>
          <w:rFonts w:ascii="Book Antiqua" w:hAnsi="Book Antiqua"/>
          <w:sz w:val="26"/>
          <w:szCs w:val="26"/>
        </w:rPr>
        <w:t xml:space="preserve">to the 150,000 locations </w:t>
      </w:r>
      <w:r w:rsidRPr="008F405A" w:rsidR="005574E4">
        <w:rPr>
          <w:rFonts w:ascii="Book Antiqua" w:hAnsi="Book Antiqua"/>
          <w:sz w:val="26"/>
          <w:szCs w:val="26"/>
        </w:rPr>
        <w:t>shall go to locations outside of Urbanized Areas, as defined by the U.S. Census Bureau as areas with fewer than 50,000 people.</w:t>
      </w:r>
      <w:r w:rsidR="005574E4">
        <w:rPr>
          <w:rStyle w:val="FootnoteReference"/>
          <w:rFonts w:ascii="Book Antiqua" w:hAnsi="Book Antiqua"/>
          <w:sz w:val="26"/>
          <w:szCs w:val="26"/>
        </w:rPr>
        <w:footnoteReference w:id="167"/>
      </w:r>
      <w:bookmarkEnd w:id="33"/>
      <w:r w:rsidR="00D1061B">
        <w:rPr>
          <w:rFonts w:ascii="Book Antiqua" w:hAnsi="Book Antiqua"/>
          <w:sz w:val="26"/>
          <w:szCs w:val="26"/>
        </w:rPr>
        <w:t xml:space="preserve"> </w:t>
      </w:r>
    </w:p>
    <w:p w:rsidR="007E6F6B" w:rsidP="00233882" w:rsidRDefault="007E6F6B" w14:paraId="7D7DB651" w14:textId="787F3309">
      <w:pPr>
        <w:pStyle w:val="Heading3"/>
        <w:ind w:left="2430" w:hanging="990"/>
      </w:pPr>
      <w:bookmarkStart w:name="_Toc67556527" w:id="34"/>
      <w:r>
        <w:lastRenderedPageBreak/>
        <w:t>E</w:t>
      </w:r>
      <w:r w:rsidR="00251213">
        <w:t xml:space="preserve">ffect on </w:t>
      </w:r>
      <w:r w:rsidR="006E77B1">
        <w:t>Frontier’s</w:t>
      </w:r>
      <w:r w:rsidR="00251213">
        <w:t xml:space="preserve"> Performance of Obligations Under and Future Participation in Universal Service and Public Service Programs</w:t>
      </w:r>
      <w:bookmarkEnd w:id="34"/>
      <w:r>
        <w:t xml:space="preserve">  </w:t>
      </w:r>
    </w:p>
    <w:p w:rsidR="00F17938" w:rsidP="007E6F6B" w:rsidRDefault="006E77B1" w14:paraId="3027226A" w14:textId="1EF476DA">
      <w:pPr>
        <w:pStyle w:val="Default"/>
        <w:spacing w:line="360" w:lineRule="auto"/>
        <w:ind w:firstLine="720"/>
        <w:rPr>
          <w:rFonts w:ascii="Book Antiqua" w:hAnsi="Book Antiqua"/>
          <w:sz w:val="26"/>
          <w:szCs w:val="26"/>
        </w:rPr>
      </w:pPr>
      <w:r>
        <w:rPr>
          <w:rFonts w:ascii="Book Antiqua" w:hAnsi="Book Antiqua"/>
          <w:sz w:val="26"/>
          <w:szCs w:val="26"/>
        </w:rPr>
        <w:t>Scoping Memo Issue 18</w:t>
      </w:r>
      <w:r w:rsidR="00DB4D67">
        <w:rPr>
          <w:rFonts w:ascii="Book Antiqua" w:hAnsi="Book Antiqua"/>
          <w:sz w:val="26"/>
          <w:szCs w:val="26"/>
        </w:rPr>
        <w:t xml:space="preserve"> asks whether the Restructuring affects the performance of Frontier’s obligations under, compliance with the terms and conditions of, and future participation in universal service and public purpose programs. </w:t>
      </w:r>
      <w:r w:rsidR="00233882">
        <w:rPr>
          <w:rFonts w:ascii="Book Antiqua" w:hAnsi="Book Antiqua"/>
          <w:sz w:val="26"/>
          <w:szCs w:val="26"/>
        </w:rPr>
        <w:t xml:space="preserve"> </w:t>
      </w:r>
      <w:r w:rsidR="00F65C32">
        <w:rPr>
          <w:rFonts w:ascii="Book Antiqua" w:hAnsi="Book Antiqua"/>
          <w:sz w:val="26"/>
          <w:szCs w:val="26"/>
        </w:rPr>
        <w:t>Frontier states that the Restructuring will not change its participation in California’s public purpose and universal service programs.</w:t>
      </w:r>
      <w:r w:rsidR="00F65C32">
        <w:rPr>
          <w:rStyle w:val="FootnoteReference"/>
          <w:rFonts w:ascii="Book Antiqua" w:hAnsi="Book Antiqua"/>
          <w:sz w:val="26"/>
          <w:szCs w:val="26"/>
        </w:rPr>
        <w:footnoteReference w:id="168"/>
      </w:r>
      <w:r w:rsidR="00F65C32">
        <w:rPr>
          <w:rFonts w:ascii="Book Antiqua" w:hAnsi="Book Antiqua"/>
          <w:sz w:val="26"/>
          <w:szCs w:val="26"/>
        </w:rPr>
        <w:t xml:space="preserve"> </w:t>
      </w:r>
      <w:r w:rsidR="00233882">
        <w:rPr>
          <w:rFonts w:ascii="Book Antiqua" w:hAnsi="Book Antiqua"/>
          <w:sz w:val="26"/>
          <w:szCs w:val="26"/>
        </w:rPr>
        <w:t xml:space="preserve"> </w:t>
      </w:r>
      <w:r w:rsidR="009F7E99">
        <w:rPr>
          <w:rFonts w:ascii="Book Antiqua" w:hAnsi="Book Antiqua"/>
          <w:sz w:val="26"/>
          <w:szCs w:val="26"/>
        </w:rPr>
        <w:t>Frontier participates in the CASF program and filed applications for 10 additional grants on May 1, 2020.</w:t>
      </w:r>
      <w:r w:rsidR="009F7E99">
        <w:rPr>
          <w:rStyle w:val="FootnoteReference"/>
          <w:rFonts w:ascii="Book Antiqua" w:hAnsi="Book Antiqua"/>
          <w:sz w:val="26"/>
          <w:szCs w:val="26"/>
        </w:rPr>
        <w:footnoteReference w:id="169"/>
      </w:r>
      <w:r w:rsidR="003A0A74">
        <w:rPr>
          <w:rFonts w:ascii="Book Antiqua" w:hAnsi="Book Antiqua"/>
          <w:sz w:val="26"/>
          <w:szCs w:val="26"/>
        </w:rPr>
        <w:t xml:space="preserve"> </w:t>
      </w:r>
      <w:r w:rsidR="00233882">
        <w:rPr>
          <w:rFonts w:ascii="Book Antiqua" w:hAnsi="Book Antiqua"/>
          <w:sz w:val="26"/>
          <w:szCs w:val="26"/>
        </w:rPr>
        <w:t xml:space="preserve"> </w:t>
      </w:r>
      <w:r w:rsidR="003A0A74">
        <w:rPr>
          <w:rFonts w:ascii="Book Antiqua" w:hAnsi="Book Antiqua"/>
          <w:sz w:val="26"/>
          <w:szCs w:val="26"/>
        </w:rPr>
        <w:t xml:space="preserve">In the </w:t>
      </w:r>
      <w:r w:rsidR="008A0537">
        <w:rPr>
          <w:rFonts w:ascii="Book Antiqua" w:hAnsi="Book Antiqua"/>
          <w:sz w:val="26"/>
          <w:szCs w:val="26"/>
        </w:rPr>
        <w:t>Attachment 1</w:t>
      </w:r>
      <w:r w:rsidR="003A0A74">
        <w:rPr>
          <w:rFonts w:ascii="Book Antiqua" w:hAnsi="Book Antiqua"/>
          <w:sz w:val="26"/>
          <w:szCs w:val="26"/>
        </w:rPr>
        <w:t xml:space="preserve"> Settlement Agreement, Frontier committed to continue to </w:t>
      </w:r>
      <w:r w:rsidR="00E33B7F">
        <w:rPr>
          <w:rFonts w:ascii="Book Antiqua" w:hAnsi="Book Antiqua"/>
          <w:sz w:val="26"/>
          <w:szCs w:val="26"/>
        </w:rPr>
        <w:t>ac</w:t>
      </w:r>
      <w:r w:rsidR="003A0A74">
        <w:rPr>
          <w:rFonts w:ascii="Book Antiqua" w:hAnsi="Book Antiqua"/>
          <w:sz w:val="26"/>
          <w:szCs w:val="26"/>
        </w:rPr>
        <w:t>tively participate in the CASF program</w:t>
      </w:r>
      <w:r w:rsidR="003A0A74">
        <w:rPr>
          <w:rStyle w:val="FootnoteReference"/>
          <w:rFonts w:ascii="Book Antiqua" w:hAnsi="Book Antiqua"/>
          <w:sz w:val="26"/>
          <w:szCs w:val="26"/>
        </w:rPr>
        <w:footnoteReference w:id="170"/>
      </w:r>
      <w:r w:rsidR="003A0A74">
        <w:rPr>
          <w:rFonts w:ascii="Book Antiqua" w:hAnsi="Book Antiqua"/>
          <w:sz w:val="26"/>
          <w:szCs w:val="26"/>
        </w:rPr>
        <w:t xml:space="preserve"> and will fulfill its remaining CAF II obligations.</w:t>
      </w:r>
      <w:r w:rsidR="003A0A74">
        <w:rPr>
          <w:rStyle w:val="FootnoteReference"/>
          <w:rFonts w:ascii="Book Antiqua" w:hAnsi="Book Antiqua"/>
          <w:sz w:val="26"/>
          <w:szCs w:val="26"/>
        </w:rPr>
        <w:footnoteReference w:id="171"/>
      </w:r>
      <w:r w:rsidR="003A0A74">
        <w:rPr>
          <w:rFonts w:ascii="Book Antiqua" w:hAnsi="Book Antiqua"/>
          <w:sz w:val="26"/>
          <w:szCs w:val="26"/>
        </w:rPr>
        <w:t xml:space="preserve"> </w:t>
      </w:r>
    </w:p>
    <w:p w:rsidR="007E6F6B" w:rsidP="007E6F6B" w:rsidRDefault="00DB4D67" w14:paraId="5AC83171" w14:textId="2564B5A9">
      <w:pPr>
        <w:pStyle w:val="Default"/>
        <w:spacing w:line="360" w:lineRule="auto"/>
        <w:ind w:firstLine="720"/>
        <w:rPr>
          <w:rFonts w:ascii="Book Antiqua" w:hAnsi="Book Antiqua"/>
          <w:sz w:val="26"/>
          <w:szCs w:val="26"/>
        </w:rPr>
      </w:pPr>
      <w:r>
        <w:rPr>
          <w:rFonts w:ascii="Book Antiqua" w:hAnsi="Book Antiqua"/>
          <w:sz w:val="26"/>
          <w:szCs w:val="26"/>
        </w:rPr>
        <w:t>The evidence does not reflect that the Restructuring will have an adverse effect on Frontier’s performance of its obligations under, compliance with the terms and conditions of, and future participation in universal service and public purpose programs.</w:t>
      </w:r>
      <w:r w:rsidR="00F17938">
        <w:rPr>
          <w:rFonts w:ascii="Book Antiqua" w:hAnsi="Book Antiqua"/>
          <w:sz w:val="26"/>
          <w:szCs w:val="26"/>
        </w:rPr>
        <w:t xml:space="preserve"> </w:t>
      </w:r>
      <w:r w:rsidR="00233882">
        <w:rPr>
          <w:rFonts w:ascii="Book Antiqua" w:hAnsi="Book Antiqua"/>
          <w:sz w:val="26"/>
          <w:szCs w:val="26"/>
        </w:rPr>
        <w:t xml:space="preserve"> </w:t>
      </w:r>
      <w:r w:rsidR="007A53F8">
        <w:rPr>
          <w:rFonts w:ascii="Book Antiqua" w:hAnsi="Book Antiqua"/>
          <w:sz w:val="26"/>
          <w:szCs w:val="26"/>
        </w:rPr>
        <w:t xml:space="preserve">However, we find that the public interest does require additional Frontier broadband commitments for specific CASF projects to further bridge the “digital divide” in unserved and underserved areas. </w:t>
      </w:r>
      <w:r w:rsidR="00233882">
        <w:rPr>
          <w:rFonts w:ascii="Book Antiqua" w:hAnsi="Book Antiqua"/>
          <w:sz w:val="26"/>
          <w:szCs w:val="26"/>
        </w:rPr>
        <w:t xml:space="preserve"> </w:t>
      </w:r>
      <w:r w:rsidR="00D232BC">
        <w:rPr>
          <w:rFonts w:ascii="Book Antiqua" w:hAnsi="Book Antiqua"/>
          <w:sz w:val="26"/>
          <w:szCs w:val="26"/>
        </w:rPr>
        <w:t xml:space="preserve">In addition, </w:t>
      </w:r>
      <w:r w:rsidR="00757587">
        <w:rPr>
          <w:rFonts w:ascii="Book Antiqua" w:hAnsi="Book Antiqua"/>
          <w:sz w:val="26"/>
          <w:szCs w:val="26"/>
        </w:rPr>
        <w:t xml:space="preserve">California’s public interest benefits from </w:t>
      </w:r>
      <w:r w:rsidR="00D232BC">
        <w:rPr>
          <w:rFonts w:ascii="Book Antiqua" w:hAnsi="Book Antiqua"/>
          <w:sz w:val="26"/>
          <w:szCs w:val="26"/>
        </w:rPr>
        <w:t>a requirement to allow independent service providers non-discriminatory access to identified Frontier CASF project</w:t>
      </w:r>
      <w:r w:rsidR="00757587">
        <w:rPr>
          <w:rFonts w:ascii="Book Antiqua" w:hAnsi="Book Antiqua"/>
          <w:sz w:val="26"/>
          <w:szCs w:val="26"/>
        </w:rPr>
        <w:t xml:space="preserve"> infrastructure provided that the terms of access are fair. </w:t>
      </w:r>
      <w:r w:rsidR="00233882">
        <w:rPr>
          <w:rFonts w:ascii="Book Antiqua" w:hAnsi="Book Antiqua"/>
          <w:sz w:val="26"/>
          <w:szCs w:val="26"/>
        </w:rPr>
        <w:t xml:space="preserve"> </w:t>
      </w:r>
      <w:r w:rsidR="00757587">
        <w:rPr>
          <w:rFonts w:ascii="Book Antiqua" w:hAnsi="Book Antiqua"/>
          <w:sz w:val="26"/>
          <w:szCs w:val="26"/>
        </w:rPr>
        <w:t xml:space="preserve">Therefore, we identify specific Frontier CASF projects in Ordering Paragraph 4 with those requirements.  </w:t>
      </w:r>
      <w:r w:rsidR="00281DE0">
        <w:rPr>
          <w:rFonts w:ascii="Book Antiqua" w:hAnsi="Book Antiqua"/>
          <w:sz w:val="26"/>
          <w:szCs w:val="26"/>
        </w:rPr>
        <w:t>W</w:t>
      </w:r>
      <w:r w:rsidR="00F17938">
        <w:rPr>
          <w:rFonts w:ascii="Book Antiqua" w:hAnsi="Book Antiqua"/>
          <w:sz w:val="26"/>
          <w:szCs w:val="26"/>
        </w:rPr>
        <w:t xml:space="preserve">ith </w:t>
      </w:r>
      <w:r w:rsidR="00757587">
        <w:rPr>
          <w:rFonts w:ascii="Book Antiqua" w:hAnsi="Book Antiqua"/>
          <w:sz w:val="26"/>
          <w:szCs w:val="26"/>
        </w:rPr>
        <w:t xml:space="preserve">those additional commitments and </w:t>
      </w:r>
      <w:r w:rsidR="00021519">
        <w:rPr>
          <w:rFonts w:ascii="Book Antiqua" w:hAnsi="Book Antiqua"/>
          <w:sz w:val="26"/>
          <w:szCs w:val="26"/>
        </w:rPr>
        <w:t xml:space="preserve">Frontier’s </w:t>
      </w:r>
      <w:r w:rsidR="00757587">
        <w:rPr>
          <w:rFonts w:ascii="Book Antiqua" w:hAnsi="Book Antiqua"/>
          <w:sz w:val="26"/>
          <w:szCs w:val="26"/>
        </w:rPr>
        <w:t xml:space="preserve">promise of </w:t>
      </w:r>
      <w:r w:rsidR="00021519">
        <w:rPr>
          <w:rFonts w:ascii="Book Antiqua" w:hAnsi="Book Antiqua"/>
          <w:sz w:val="26"/>
          <w:szCs w:val="26"/>
        </w:rPr>
        <w:lastRenderedPageBreak/>
        <w:t xml:space="preserve">continued </w:t>
      </w:r>
      <w:r w:rsidR="00281DE0">
        <w:rPr>
          <w:rFonts w:ascii="Book Antiqua" w:hAnsi="Book Antiqua"/>
          <w:sz w:val="26"/>
          <w:szCs w:val="26"/>
        </w:rPr>
        <w:t>CASF pro</w:t>
      </w:r>
      <w:r w:rsidR="00021519">
        <w:rPr>
          <w:rFonts w:ascii="Book Antiqua" w:hAnsi="Book Antiqua"/>
          <w:sz w:val="26"/>
          <w:szCs w:val="26"/>
        </w:rPr>
        <w:t>gram participation</w:t>
      </w:r>
      <w:r w:rsidR="00F17938">
        <w:rPr>
          <w:rFonts w:ascii="Book Antiqua" w:hAnsi="Book Antiqua"/>
          <w:sz w:val="26"/>
          <w:szCs w:val="26"/>
        </w:rPr>
        <w:t xml:space="preserve">, </w:t>
      </w:r>
      <w:r w:rsidR="00281DE0">
        <w:rPr>
          <w:rFonts w:ascii="Book Antiqua" w:hAnsi="Book Antiqua"/>
          <w:sz w:val="26"/>
          <w:szCs w:val="26"/>
        </w:rPr>
        <w:t xml:space="preserve">we find </w:t>
      </w:r>
      <w:r w:rsidR="005C2DDD">
        <w:rPr>
          <w:rFonts w:ascii="Book Antiqua" w:hAnsi="Book Antiqua"/>
          <w:sz w:val="26"/>
          <w:szCs w:val="26"/>
        </w:rPr>
        <w:t>this criteri</w:t>
      </w:r>
      <w:r w:rsidR="005A4433">
        <w:rPr>
          <w:rFonts w:ascii="Book Antiqua" w:hAnsi="Book Antiqua"/>
          <w:sz w:val="26"/>
          <w:szCs w:val="26"/>
        </w:rPr>
        <w:t>on to be</w:t>
      </w:r>
      <w:r w:rsidR="005C2DDD">
        <w:rPr>
          <w:rFonts w:ascii="Book Antiqua" w:hAnsi="Book Antiqua"/>
          <w:sz w:val="26"/>
          <w:szCs w:val="26"/>
        </w:rPr>
        <w:t xml:space="preserve"> in the public interest.</w:t>
      </w:r>
    </w:p>
    <w:p w:rsidR="007E6F6B" w:rsidP="00115199" w:rsidRDefault="0086404A" w14:paraId="4D1DAB2B" w14:textId="2D5BC4FE">
      <w:pPr>
        <w:pStyle w:val="Heading3"/>
        <w:ind w:left="2430" w:hanging="990"/>
      </w:pPr>
      <w:bookmarkStart w:name="_Toc67556528" w:id="35"/>
      <w:r>
        <w:t>Potential Environmental Imp</w:t>
      </w:r>
      <w:r w:rsidR="00B51933">
        <w:t>ac</w:t>
      </w:r>
      <w:r>
        <w:t>t</w:t>
      </w:r>
      <w:bookmarkEnd w:id="35"/>
      <w:r w:rsidR="007E6F6B">
        <w:t xml:space="preserve">  </w:t>
      </w:r>
    </w:p>
    <w:p w:rsidR="007E6F6B" w:rsidP="007E6F6B" w:rsidRDefault="00DB4D67" w14:paraId="063C78C6" w14:textId="36D282E1">
      <w:pPr>
        <w:pStyle w:val="Default"/>
        <w:spacing w:line="360" w:lineRule="auto"/>
        <w:ind w:firstLine="720"/>
        <w:rPr>
          <w:rFonts w:ascii="Book Antiqua" w:hAnsi="Book Antiqua"/>
          <w:sz w:val="26"/>
          <w:szCs w:val="26"/>
        </w:rPr>
      </w:pPr>
      <w:r>
        <w:rPr>
          <w:rFonts w:ascii="Book Antiqua" w:hAnsi="Book Antiqua"/>
          <w:sz w:val="26"/>
          <w:szCs w:val="26"/>
        </w:rPr>
        <w:t>Scoping Memo Issue 19 inquires whether the Restructuring has any potential environmental imp</w:t>
      </w:r>
      <w:r w:rsidR="00B51933">
        <w:rPr>
          <w:rFonts w:ascii="Book Antiqua" w:hAnsi="Book Antiqua"/>
          <w:sz w:val="26"/>
          <w:szCs w:val="26"/>
        </w:rPr>
        <w:t>ac</w:t>
      </w:r>
      <w:r>
        <w:rPr>
          <w:rFonts w:ascii="Book Antiqua" w:hAnsi="Book Antiqua"/>
          <w:sz w:val="26"/>
          <w:szCs w:val="26"/>
        </w:rPr>
        <w:t xml:space="preserve">t requiring consideration under the California Environmental Quality </w:t>
      </w:r>
      <w:r w:rsidR="00555C0B">
        <w:rPr>
          <w:rFonts w:ascii="Book Antiqua" w:hAnsi="Book Antiqua"/>
          <w:sz w:val="26"/>
          <w:szCs w:val="26"/>
        </w:rPr>
        <w:t>A</w:t>
      </w:r>
      <w:r w:rsidR="00B51933">
        <w:rPr>
          <w:rFonts w:ascii="Book Antiqua" w:hAnsi="Book Antiqua"/>
          <w:sz w:val="26"/>
          <w:szCs w:val="26"/>
        </w:rPr>
        <w:t>c</w:t>
      </w:r>
      <w:r>
        <w:rPr>
          <w:rFonts w:ascii="Book Antiqua" w:hAnsi="Book Antiqua"/>
          <w:sz w:val="26"/>
          <w:szCs w:val="26"/>
        </w:rPr>
        <w:t>t</w:t>
      </w:r>
      <w:r w:rsidR="00FE62E0">
        <w:rPr>
          <w:rFonts w:ascii="Book Antiqua" w:hAnsi="Book Antiqua"/>
          <w:sz w:val="26"/>
          <w:szCs w:val="26"/>
        </w:rPr>
        <w:t xml:space="preserve"> (CEQA)</w:t>
      </w:r>
      <w:r w:rsidR="00F4119E">
        <w:rPr>
          <w:rFonts w:ascii="Book Antiqua" w:hAnsi="Book Antiqua"/>
          <w:sz w:val="26"/>
          <w:szCs w:val="26"/>
        </w:rPr>
        <w:t xml:space="preserve">.  </w:t>
      </w:r>
      <w:r w:rsidR="00CC377E">
        <w:rPr>
          <w:rFonts w:ascii="Book Antiqua" w:hAnsi="Book Antiqua"/>
          <w:sz w:val="26"/>
          <w:szCs w:val="26"/>
        </w:rPr>
        <w:t xml:space="preserve">Under Commission Rule of Practice and Procedure </w:t>
      </w:r>
      <w:r w:rsidR="004E1E23">
        <w:rPr>
          <w:rFonts w:ascii="Book Antiqua" w:hAnsi="Book Antiqua"/>
          <w:sz w:val="26"/>
          <w:szCs w:val="26"/>
        </w:rPr>
        <w:t xml:space="preserve">(Rule) </w:t>
      </w:r>
      <w:r w:rsidR="00CC377E">
        <w:rPr>
          <w:rFonts w:ascii="Book Antiqua" w:hAnsi="Book Antiqua"/>
          <w:sz w:val="26"/>
          <w:szCs w:val="26"/>
        </w:rPr>
        <w:t>2.4(a), applications for authority to undertake a project are subject to CEQA review</w:t>
      </w:r>
      <w:r w:rsidR="00F4119E">
        <w:rPr>
          <w:rFonts w:ascii="Book Antiqua" w:hAnsi="Book Antiqua"/>
          <w:sz w:val="26"/>
          <w:szCs w:val="26"/>
        </w:rPr>
        <w:t xml:space="preserve">.  </w:t>
      </w:r>
      <w:r w:rsidR="00CC377E">
        <w:rPr>
          <w:rFonts w:ascii="Book Antiqua" w:hAnsi="Book Antiqua"/>
          <w:sz w:val="26"/>
          <w:szCs w:val="26"/>
        </w:rPr>
        <w:t>However, t</w:t>
      </w:r>
      <w:r>
        <w:rPr>
          <w:rFonts w:ascii="Book Antiqua" w:hAnsi="Book Antiqua"/>
          <w:sz w:val="26"/>
          <w:szCs w:val="26"/>
        </w:rPr>
        <w:t>h</w:t>
      </w:r>
      <w:r w:rsidR="005A4433">
        <w:rPr>
          <w:rFonts w:ascii="Book Antiqua" w:hAnsi="Book Antiqua"/>
          <w:sz w:val="26"/>
          <w:szCs w:val="26"/>
        </w:rPr>
        <w:t>is Application seeks Commission approval of</w:t>
      </w:r>
      <w:r>
        <w:rPr>
          <w:rFonts w:ascii="Book Antiqua" w:hAnsi="Book Antiqua"/>
          <w:sz w:val="26"/>
          <w:szCs w:val="26"/>
        </w:rPr>
        <w:t xml:space="preserve"> a corporate reorganization</w:t>
      </w:r>
      <w:r w:rsidR="00CC377E">
        <w:rPr>
          <w:rFonts w:ascii="Book Antiqua" w:hAnsi="Book Antiqua"/>
          <w:sz w:val="26"/>
          <w:szCs w:val="26"/>
        </w:rPr>
        <w:t>, not authority to undertake a particular project</w:t>
      </w:r>
      <w:r w:rsidR="00FE62E0">
        <w:rPr>
          <w:rFonts w:ascii="Book Antiqua" w:hAnsi="Book Antiqua"/>
          <w:sz w:val="26"/>
          <w:szCs w:val="26"/>
        </w:rPr>
        <w:t xml:space="preserve">. </w:t>
      </w:r>
      <w:r w:rsidR="00F4119E">
        <w:rPr>
          <w:rFonts w:ascii="Book Antiqua" w:hAnsi="Book Antiqua"/>
          <w:sz w:val="26"/>
          <w:szCs w:val="26"/>
        </w:rPr>
        <w:t xml:space="preserve"> </w:t>
      </w:r>
      <w:r w:rsidR="00FE62E0">
        <w:rPr>
          <w:rFonts w:ascii="Book Antiqua" w:hAnsi="Book Antiqua"/>
          <w:sz w:val="26"/>
          <w:szCs w:val="26"/>
        </w:rPr>
        <w:t xml:space="preserve">No party offered evidence or argued that the Restructuring </w:t>
      </w:r>
      <w:r w:rsidR="00CC377E">
        <w:rPr>
          <w:rFonts w:ascii="Book Antiqua" w:hAnsi="Book Antiqua"/>
          <w:sz w:val="26"/>
          <w:szCs w:val="26"/>
        </w:rPr>
        <w:t xml:space="preserve">itself </w:t>
      </w:r>
      <w:r w:rsidR="00FE62E0">
        <w:rPr>
          <w:rFonts w:ascii="Book Antiqua" w:hAnsi="Book Antiqua"/>
          <w:sz w:val="26"/>
          <w:szCs w:val="26"/>
        </w:rPr>
        <w:t>has any environmental imp</w:t>
      </w:r>
      <w:r w:rsidR="00B51933">
        <w:rPr>
          <w:rFonts w:ascii="Book Antiqua" w:hAnsi="Book Antiqua"/>
          <w:sz w:val="26"/>
          <w:szCs w:val="26"/>
        </w:rPr>
        <w:t>ac</w:t>
      </w:r>
      <w:r w:rsidR="00FE62E0">
        <w:rPr>
          <w:rFonts w:ascii="Book Antiqua" w:hAnsi="Book Antiqua"/>
          <w:sz w:val="26"/>
          <w:szCs w:val="26"/>
        </w:rPr>
        <w:t>t requiring CEQA consideration</w:t>
      </w:r>
      <w:r w:rsidR="00F4119E">
        <w:rPr>
          <w:rFonts w:ascii="Book Antiqua" w:hAnsi="Book Antiqua"/>
          <w:sz w:val="26"/>
          <w:szCs w:val="26"/>
        </w:rPr>
        <w:t xml:space="preserve">.  </w:t>
      </w:r>
      <w:r w:rsidR="003C7262">
        <w:rPr>
          <w:rFonts w:ascii="Book Antiqua" w:hAnsi="Book Antiqua"/>
          <w:sz w:val="26"/>
          <w:szCs w:val="26"/>
        </w:rPr>
        <w:t>T</w:t>
      </w:r>
      <w:r w:rsidR="00CC377E">
        <w:rPr>
          <w:rFonts w:ascii="Book Antiqua" w:hAnsi="Book Antiqua"/>
          <w:sz w:val="26"/>
          <w:szCs w:val="26"/>
        </w:rPr>
        <w:t>herefor</w:t>
      </w:r>
      <w:r w:rsidR="00FE62E0">
        <w:rPr>
          <w:rFonts w:ascii="Book Antiqua" w:hAnsi="Book Antiqua"/>
          <w:sz w:val="26"/>
          <w:szCs w:val="26"/>
        </w:rPr>
        <w:t>e</w:t>
      </w:r>
      <w:r w:rsidR="003C7262">
        <w:rPr>
          <w:rFonts w:ascii="Book Antiqua" w:hAnsi="Book Antiqua"/>
          <w:sz w:val="26"/>
          <w:szCs w:val="26"/>
        </w:rPr>
        <w:t>,</w:t>
      </w:r>
      <w:r w:rsidR="00FE62E0">
        <w:rPr>
          <w:rFonts w:ascii="Book Antiqua" w:hAnsi="Book Antiqua"/>
          <w:sz w:val="26"/>
          <w:szCs w:val="26"/>
        </w:rPr>
        <w:t xml:space="preserve"> </w:t>
      </w:r>
      <w:r w:rsidR="00CC377E">
        <w:rPr>
          <w:rFonts w:ascii="Book Antiqua" w:hAnsi="Book Antiqua"/>
          <w:sz w:val="26"/>
          <w:szCs w:val="26"/>
        </w:rPr>
        <w:t xml:space="preserve">we </w:t>
      </w:r>
      <w:r w:rsidR="00FE62E0">
        <w:rPr>
          <w:rFonts w:ascii="Book Antiqua" w:hAnsi="Book Antiqua"/>
          <w:sz w:val="26"/>
          <w:szCs w:val="26"/>
        </w:rPr>
        <w:t xml:space="preserve">conclude that </w:t>
      </w:r>
      <w:r w:rsidR="00CC377E">
        <w:rPr>
          <w:rFonts w:ascii="Book Antiqua" w:hAnsi="Book Antiqua"/>
          <w:sz w:val="26"/>
          <w:szCs w:val="26"/>
        </w:rPr>
        <w:t>the Restructuring does not raise any environmental impact triggering a CEQA review</w:t>
      </w:r>
      <w:r w:rsidR="00B06ABF">
        <w:rPr>
          <w:rFonts w:ascii="Book Antiqua" w:hAnsi="Book Antiqua"/>
          <w:sz w:val="26"/>
          <w:szCs w:val="26"/>
        </w:rPr>
        <w:t>.</w:t>
      </w:r>
      <w:r w:rsidRPr="00B61017" w:rsidR="007E6F6B">
        <w:rPr>
          <w:rFonts w:ascii="Book Antiqua" w:hAnsi="Book Antiqua"/>
          <w:sz w:val="26"/>
          <w:szCs w:val="26"/>
        </w:rPr>
        <w:t xml:space="preserve"> </w:t>
      </w:r>
    </w:p>
    <w:p w:rsidR="007E6F6B" w:rsidP="00115199" w:rsidRDefault="007E6F6B" w14:paraId="58F209D6" w14:textId="5E33F5EE">
      <w:pPr>
        <w:pStyle w:val="Heading3"/>
        <w:ind w:left="2430" w:hanging="990"/>
      </w:pPr>
      <w:bookmarkStart w:name="_Toc67556529" w:id="36"/>
      <w:r>
        <w:t>E</w:t>
      </w:r>
      <w:r w:rsidR="0086404A">
        <w:t xml:space="preserve">ffect on Applicants’ Provision of Special </w:t>
      </w:r>
      <w:r w:rsidR="00555C0B">
        <w:t>A</w:t>
      </w:r>
      <w:r w:rsidR="00B51933">
        <w:t>c</w:t>
      </w:r>
      <w:r w:rsidR="0086404A">
        <w:t>cess Services, Including B</w:t>
      </w:r>
      <w:r w:rsidR="00B51933">
        <w:t>ac</w:t>
      </w:r>
      <w:r w:rsidR="0086404A">
        <w:t>khaul Service.</w:t>
      </w:r>
      <w:bookmarkEnd w:id="36"/>
      <w:r>
        <w:t xml:space="preserve">  </w:t>
      </w:r>
    </w:p>
    <w:p w:rsidR="007E6F6B" w:rsidP="007E6F6B" w:rsidRDefault="00B06ABF" w14:paraId="587042A3" w14:textId="4AD84D4E">
      <w:pPr>
        <w:pStyle w:val="Default"/>
        <w:spacing w:line="360" w:lineRule="auto"/>
        <w:ind w:firstLine="720"/>
        <w:rPr>
          <w:rFonts w:ascii="Book Antiqua" w:hAnsi="Book Antiqua"/>
          <w:sz w:val="26"/>
          <w:szCs w:val="26"/>
        </w:rPr>
      </w:pPr>
      <w:r>
        <w:rPr>
          <w:rFonts w:ascii="Book Antiqua" w:hAnsi="Book Antiqua"/>
          <w:sz w:val="26"/>
          <w:szCs w:val="26"/>
        </w:rPr>
        <w:t xml:space="preserve">Scoping Memo Issue </w:t>
      </w:r>
      <w:r w:rsidR="00756255">
        <w:rPr>
          <w:rFonts w:ascii="Book Antiqua" w:hAnsi="Book Antiqua"/>
          <w:sz w:val="26"/>
          <w:szCs w:val="26"/>
        </w:rPr>
        <w:t xml:space="preserve">20 asks whether the Restructuring affects Frontier’s provision of special </w:t>
      </w:r>
      <w:r w:rsidR="00B51933">
        <w:rPr>
          <w:rFonts w:ascii="Book Antiqua" w:hAnsi="Book Antiqua"/>
          <w:sz w:val="26"/>
          <w:szCs w:val="26"/>
        </w:rPr>
        <w:t>ac</w:t>
      </w:r>
      <w:r w:rsidR="00756255">
        <w:rPr>
          <w:rFonts w:ascii="Book Antiqua" w:hAnsi="Book Antiqua"/>
          <w:sz w:val="26"/>
          <w:szCs w:val="26"/>
        </w:rPr>
        <w:t>cess services, including b</w:t>
      </w:r>
      <w:r w:rsidR="00B51933">
        <w:rPr>
          <w:rFonts w:ascii="Book Antiqua" w:hAnsi="Book Antiqua"/>
          <w:sz w:val="26"/>
          <w:szCs w:val="26"/>
        </w:rPr>
        <w:t>ac</w:t>
      </w:r>
      <w:r w:rsidR="00756255">
        <w:rPr>
          <w:rFonts w:ascii="Book Antiqua" w:hAnsi="Book Antiqua"/>
          <w:sz w:val="26"/>
          <w:szCs w:val="26"/>
        </w:rPr>
        <w:t>khaul services</w:t>
      </w:r>
      <w:r w:rsidR="00F4119E">
        <w:rPr>
          <w:rFonts w:ascii="Book Antiqua" w:hAnsi="Book Antiqua"/>
          <w:sz w:val="26"/>
          <w:szCs w:val="26"/>
        </w:rPr>
        <w:t xml:space="preserve">.  </w:t>
      </w:r>
      <w:r w:rsidR="00640E6C">
        <w:rPr>
          <w:rFonts w:ascii="Book Antiqua" w:hAnsi="Book Antiqua"/>
          <w:sz w:val="26"/>
          <w:szCs w:val="26"/>
        </w:rPr>
        <w:t>Frontier’s network provides b</w:t>
      </w:r>
      <w:r w:rsidR="00B51933">
        <w:rPr>
          <w:rFonts w:ascii="Book Antiqua" w:hAnsi="Book Antiqua"/>
          <w:sz w:val="26"/>
          <w:szCs w:val="26"/>
        </w:rPr>
        <w:t>ac</w:t>
      </w:r>
      <w:r w:rsidR="00640E6C">
        <w:rPr>
          <w:rFonts w:ascii="Book Antiqua" w:hAnsi="Book Antiqua"/>
          <w:sz w:val="26"/>
          <w:szCs w:val="26"/>
        </w:rPr>
        <w:t xml:space="preserve">khaul to cell towers, which enables wireless carriers </w:t>
      </w:r>
      <w:r w:rsidR="00A12401">
        <w:rPr>
          <w:rFonts w:ascii="Book Antiqua" w:hAnsi="Book Antiqua"/>
          <w:sz w:val="26"/>
          <w:szCs w:val="26"/>
        </w:rPr>
        <w:t xml:space="preserve">to deliver service in the areas served by Frontier’s California </w:t>
      </w:r>
      <w:r w:rsidR="00B51933">
        <w:rPr>
          <w:rFonts w:ascii="Book Antiqua" w:hAnsi="Book Antiqua"/>
          <w:sz w:val="26"/>
          <w:szCs w:val="26"/>
        </w:rPr>
        <w:t>S</w:t>
      </w:r>
      <w:r w:rsidR="00A12401">
        <w:rPr>
          <w:rFonts w:ascii="Book Antiqua" w:hAnsi="Book Antiqua"/>
          <w:sz w:val="26"/>
          <w:szCs w:val="26"/>
        </w:rPr>
        <w:t>ubsidiaries.</w:t>
      </w:r>
      <w:r w:rsidR="00A12401">
        <w:rPr>
          <w:rStyle w:val="FootnoteReference"/>
          <w:rFonts w:ascii="Book Antiqua" w:hAnsi="Book Antiqua"/>
          <w:sz w:val="26"/>
          <w:szCs w:val="26"/>
        </w:rPr>
        <w:footnoteReference w:id="172"/>
      </w:r>
      <w:r w:rsidR="00A12401">
        <w:rPr>
          <w:rFonts w:ascii="Book Antiqua" w:hAnsi="Book Antiqua"/>
          <w:sz w:val="26"/>
          <w:szCs w:val="26"/>
        </w:rPr>
        <w:t xml:space="preserve"> </w:t>
      </w:r>
      <w:r w:rsidR="00FC7425">
        <w:rPr>
          <w:rFonts w:ascii="Book Antiqua" w:hAnsi="Book Antiqua"/>
          <w:sz w:val="26"/>
          <w:szCs w:val="26"/>
        </w:rPr>
        <w:t>Frontier states that the Restructuring will not have any adverse imp</w:t>
      </w:r>
      <w:r w:rsidR="00B51933">
        <w:rPr>
          <w:rFonts w:ascii="Book Antiqua" w:hAnsi="Book Antiqua"/>
          <w:sz w:val="26"/>
          <w:szCs w:val="26"/>
        </w:rPr>
        <w:t>ac</w:t>
      </w:r>
      <w:r w:rsidR="00FC7425">
        <w:rPr>
          <w:rFonts w:ascii="Book Antiqua" w:hAnsi="Book Antiqua"/>
          <w:sz w:val="26"/>
          <w:szCs w:val="26"/>
        </w:rPr>
        <w:t>t on wholesale services or the purchasers of such services in California</w:t>
      </w:r>
      <w:r w:rsidR="00406ADF">
        <w:rPr>
          <w:rFonts w:ascii="Book Antiqua" w:hAnsi="Book Antiqua"/>
          <w:sz w:val="26"/>
          <w:szCs w:val="26"/>
        </w:rPr>
        <w:t>,</w:t>
      </w:r>
      <w:r w:rsidR="00FC7425">
        <w:rPr>
          <w:rStyle w:val="FootnoteReference"/>
          <w:rFonts w:ascii="Book Antiqua" w:hAnsi="Book Antiqua"/>
          <w:sz w:val="26"/>
          <w:szCs w:val="26"/>
        </w:rPr>
        <w:footnoteReference w:id="173"/>
      </w:r>
      <w:r w:rsidR="00406ADF">
        <w:rPr>
          <w:rFonts w:ascii="Book Antiqua" w:hAnsi="Book Antiqua"/>
          <w:sz w:val="26"/>
          <w:szCs w:val="26"/>
        </w:rPr>
        <w:t xml:space="preserve"> and no evidence was presented to the contrary</w:t>
      </w:r>
      <w:r w:rsidR="00F4119E">
        <w:rPr>
          <w:rFonts w:ascii="Book Antiqua" w:hAnsi="Book Antiqua"/>
          <w:sz w:val="26"/>
          <w:szCs w:val="26"/>
        </w:rPr>
        <w:t xml:space="preserve">.  </w:t>
      </w:r>
      <w:r w:rsidR="00406ADF">
        <w:rPr>
          <w:rFonts w:ascii="Book Antiqua" w:hAnsi="Book Antiqua"/>
          <w:sz w:val="26"/>
          <w:szCs w:val="26"/>
        </w:rPr>
        <w:t xml:space="preserve">We conclude that the Restructuring will not have a negative effect on Frontier’s provision of special </w:t>
      </w:r>
      <w:r w:rsidR="00B51933">
        <w:rPr>
          <w:rFonts w:ascii="Book Antiqua" w:hAnsi="Book Antiqua"/>
          <w:sz w:val="26"/>
          <w:szCs w:val="26"/>
        </w:rPr>
        <w:t>ac</w:t>
      </w:r>
      <w:r w:rsidR="00406ADF">
        <w:rPr>
          <w:rFonts w:ascii="Book Antiqua" w:hAnsi="Book Antiqua"/>
          <w:sz w:val="26"/>
          <w:szCs w:val="26"/>
        </w:rPr>
        <w:t>cess services, including b</w:t>
      </w:r>
      <w:r w:rsidR="00B51933">
        <w:rPr>
          <w:rFonts w:ascii="Book Antiqua" w:hAnsi="Book Antiqua"/>
          <w:sz w:val="26"/>
          <w:szCs w:val="26"/>
        </w:rPr>
        <w:t>ac</w:t>
      </w:r>
      <w:r w:rsidR="00406ADF">
        <w:rPr>
          <w:rFonts w:ascii="Book Antiqua" w:hAnsi="Book Antiqua"/>
          <w:sz w:val="26"/>
          <w:szCs w:val="26"/>
        </w:rPr>
        <w:t>khaul service.</w:t>
      </w:r>
      <w:r w:rsidRPr="00B61017" w:rsidR="007E6F6B">
        <w:rPr>
          <w:rFonts w:ascii="Book Antiqua" w:hAnsi="Book Antiqua"/>
          <w:sz w:val="26"/>
          <w:szCs w:val="26"/>
        </w:rPr>
        <w:t xml:space="preserve"> </w:t>
      </w:r>
    </w:p>
    <w:p w:rsidR="007E6F6B" w:rsidP="00233882" w:rsidRDefault="007E6F6B" w14:paraId="65B956A2" w14:textId="49FD18CF">
      <w:pPr>
        <w:pStyle w:val="Heading3"/>
        <w:ind w:left="2430" w:hanging="990"/>
      </w:pPr>
      <w:bookmarkStart w:name="_Toc67556530" w:id="37"/>
      <w:r>
        <w:lastRenderedPageBreak/>
        <w:t>E</w:t>
      </w:r>
      <w:r w:rsidR="0086404A">
        <w:t xml:space="preserve">ffect on Commission Responsibilities Regarding Regulation of </w:t>
      </w:r>
      <w:r w:rsidR="000E0442">
        <w:t>Frontier</w:t>
      </w:r>
      <w:bookmarkEnd w:id="37"/>
      <w:r>
        <w:t xml:space="preserve">  </w:t>
      </w:r>
    </w:p>
    <w:p w:rsidR="007E6F6B" w:rsidP="007E6F6B" w:rsidRDefault="00406ADF" w14:paraId="123D6284" w14:textId="4B6299E0">
      <w:pPr>
        <w:pStyle w:val="Default"/>
        <w:spacing w:line="360" w:lineRule="auto"/>
        <w:ind w:firstLine="720"/>
        <w:rPr>
          <w:rFonts w:ascii="Book Antiqua" w:hAnsi="Book Antiqua"/>
          <w:sz w:val="26"/>
          <w:szCs w:val="26"/>
        </w:rPr>
      </w:pPr>
      <w:r>
        <w:rPr>
          <w:rFonts w:ascii="Book Antiqua" w:hAnsi="Book Antiqua"/>
          <w:sz w:val="26"/>
          <w:szCs w:val="26"/>
        </w:rPr>
        <w:t xml:space="preserve">Scoping Memo Issue 21 asks whether the Restructuring will increase, modify, or affect the Commission’s responsibilities regarding the regulation of Frontier. </w:t>
      </w:r>
      <w:r w:rsidR="00233882">
        <w:rPr>
          <w:rFonts w:ascii="Book Antiqua" w:hAnsi="Book Antiqua"/>
          <w:sz w:val="26"/>
          <w:szCs w:val="26"/>
        </w:rPr>
        <w:t xml:space="preserve"> </w:t>
      </w:r>
      <w:r w:rsidR="000E0442">
        <w:rPr>
          <w:rFonts w:ascii="Book Antiqua" w:hAnsi="Book Antiqua"/>
          <w:sz w:val="26"/>
          <w:szCs w:val="26"/>
        </w:rPr>
        <w:t xml:space="preserve">The Restructuring does not involve any fundamental change in Frontier’s business as a telecommunications provider </w:t>
      </w:r>
      <w:r w:rsidR="009A279B">
        <w:rPr>
          <w:rFonts w:ascii="Book Antiqua" w:hAnsi="Book Antiqua"/>
          <w:sz w:val="26"/>
          <w:szCs w:val="26"/>
        </w:rPr>
        <w:t xml:space="preserve">that would alter the Commission’s regulatory duties. </w:t>
      </w:r>
      <w:r w:rsidR="00233882">
        <w:rPr>
          <w:rFonts w:ascii="Book Antiqua" w:hAnsi="Book Antiqua"/>
          <w:sz w:val="26"/>
          <w:szCs w:val="26"/>
        </w:rPr>
        <w:t xml:space="preserve"> </w:t>
      </w:r>
      <w:r w:rsidR="009A279B">
        <w:rPr>
          <w:rFonts w:ascii="Book Antiqua" w:hAnsi="Book Antiqua"/>
          <w:sz w:val="26"/>
          <w:szCs w:val="26"/>
        </w:rPr>
        <w:t>Some conditions for approval of the Restructuring set forth in this decision will result in additional Commission oversight</w:t>
      </w:r>
      <w:r w:rsidRPr="00B61017" w:rsidR="007E6F6B">
        <w:rPr>
          <w:rFonts w:ascii="Book Antiqua" w:hAnsi="Book Antiqua"/>
          <w:sz w:val="26"/>
          <w:szCs w:val="26"/>
        </w:rPr>
        <w:t xml:space="preserve"> </w:t>
      </w:r>
      <w:r w:rsidR="009A279B">
        <w:rPr>
          <w:rFonts w:ascii="Book Antiqua" w:hAnsi="Book Antiqua"/>
          <w:sz w:val="26"/>
          <w:szCs w:val="26"/>
        </w:rPr>
        <w:t>of Frontier</w:t>
      </w:r>
      <w:r w:rsidR="00571119">
        <w:rPr>
          <w:rFonts w:ascii="Book Antiqua" w:hAnsi="Book Antiqua"/>
          <w:sz w:val="26"/>
          <w:szCs w:val="26"/>
        </w:rPr>
        <w:t>.</w:t>
      </w:r>
      <w:r w:rsidR="004047B7">
        <w:rPr>
          <w:rFonts w:ascii="Book Antiqua" w:hAnsi="Book Antiqua"/>
          <w:sz w:val="26"/>
          <w:szCs w:val="26"/>
        </w:rPr>
        <w:t xml:space="preserve"> </w:t>
      </w:r>
      <w:r w:rsidR="00233882">
        <w:rPr>
          <w:rFonts w:ascii="Book Antiqua" w:hAnsi="Book Antiqua"/>
          <w:sz w:val="26"/>
          <w:szCs w:val="26"/>
        </w:rPr>
        <w:t xml:space="preserve"> </w:t>
      </w:r>
      <w:r w:rsidR="00E94785">
        <w:rPr>
          <w:rFonts w:ascii="Book Antiqua" w:hAnsi="Book Antiqua"/>
          <w:sz w:val="26"/>
          <w:szCs w:val="26"/>
        </w:rPr>
        <w:t>As a result,</w:t>
      </w:r>
      <w:r w:rsidR="003C7262">
        <w:rPr>
          <w:rFonts w:ascii="Book Antiqua" w:hAnsi="Book Antiqua"/>
          <w:sz w:val="26"/>
          <w:szCs w:val="26"/>
        </w:rPr>
        <w:t xml:space="preserve"> the Commission will appoint a Compliance Monitor to assist with the enforcement of this decision. </w:t>
      </w:r>
      <w:r w:rsidR="00233882">
        <w:rPr>
          <w:rFonts w:ascii="Book Antiqua" w:hAnsi="Book Antiqua"/>
          <w:sz w:val="26"/>
          <w:szCs w:val="26"/>
        </w:rPr>
        <w:t xml:space="preserve"> </w:t>
      </w:r>
      <w:r w:rsidR="00E94785">
        <w:rPr>
          <w:rFonts w:ascii="Book Antiqua" w:hAnsi="Book Antiqua"/>
          <w:sz w:val="26"/>
          <w:szCs w:val="26"/>
        </w:rPr>
        <w:t>With that assistance, we conclude that</w:t>
      </w:r>
      <w:r w:rsidR="004047B7">
        <w:rPr>
          <w:rFonts w:ascii="Book Antiqua" w:hAnsi="Book Antiqua"/>
          <w:sz w:val="26"/>
          <w:szCs w:val="26"/>
        </w:rPr>
        <w:t xml:space="preserve"> the Restructuring will not have a harmful effect on the Commission’s responsibilities regarding the regulation of Frontier.</w:t>
      </w:r>
    </w:p>
    <w:p w:rsidR="007E6F6B" w:rsidP="00233882" w:rsidRDefault="000E0442" w14:paraId="57F91760" w14:textId="569679F3">
      <w:pPr>
        <w:pStyle w:val="Heading3"/>
        <w:ind w:left="2430" w:hanging="990"/>
      </w:pPr>
      <w:bookmarkStart w:name="_Toc67556531" w:id="38"/>
      <w:r>
        <w:t>Summary</w:t>
      </w:r>
      <w:r w:rsidR="002C3635">
        <w:t xml:space="preserve"> of </w:t>
      </w:r>
      <w:r w:rsidR="00802E18">
        <w:t>Section 4.1</w:t>
      </w:r>
      <w:r w:rsidR="002C3635">
        <w:t xml:space="preserve"> F</w:t>
      </w:r>
      <w:r w:rsidR="00B51933">
        <w:t>ac</w:t>
      </w:r>
      <w:r w:rsidR="002C3635">
        <w:t>tors</w:t>
      </w:r>
      <w:bookmarkEnd w:id="38"/>
      <w:r w:rsidR="007E6F6B">
        <w:t xml:space="preserve">  </w:t>
      </w:r>
    </w:p>
    <w:p w:rsidR="00DB72DB" w:rsidP="00DB72DB" w:rsidRDefault="0076115A" w14:paraId="01A042B3" w14:textId="00F31255">
      <w:pPr>
        <w:pStyle w:val="Default"/>
        <w:spacing w:line="360" w:lineRule="auto"/>
        <w:ind w:firstLine="720"/>
        <w:rPr>
          <w:rFonts w:ascii="Book Antiqua" w:hAnsi="Book Antiqua"/>
          <w:sz w:val="26"/>
          <w:szCs w:val="26"/>
        </w:rPr>
      </w:pPr>
      <w:r>
        <w:rPr>
          <w:rFonts w:ascii="Book Antiqua" w:hAnsi="Book Antiqua"/>
          <w:sz w:val="26"/>
          <w:szCs w:val="26"/>
        </w:rPr>
        <w:t xml:space="preserve">The </w:t>
      </w:r>
      <w:r w:rsidR="003D355B">
        <w:rPr>
          <w:rFonts w:ascii="Book Antiqua" w:hAnsi="Book Antiqua"/>
          <w:sz w:val="26"/>
          <w:szCs w:val="26"/>
        </w:rPr>
        <w:t>preceding</w:t>
      </w:r>
      <w:r>
        <w:rPr>
          <w:rFonts w:ascii="Book Antiqua" w:hAnsi="Book Antiqua"/>
          <w:sz w:val="26"/>
          <w:szCs w:val="26"/>
        </w:rPr>
        <w:t xml:space="preserve"> analysis</w:t>
      </w:r>
      <w:r w:rsidR="004257F1">
        <w:rPr>
          <w:rFonts w:ascii="Book Antiqua" w:hAnsi="Book Antiqua"/>
          <w:sz w:val="26"/>
          <w:szCs w:val="26"/>
        </w:rPr>
        <w:t xml:space="preserve"> establishes that</w:t>
      </w:r>
      <w:r w:rsidR="0023380D">
        <w:rPr>
          <w:rFonts w:ascii="Book Antiqua" w:hAnsi="Book Antiqua"/>
          <w:sz w:val="26"/>
          <w:szCs w:val="26"/>
        </w:rPr>
        <w:t>,</w:t>
      </w:r>
      <w:r w:rsidR="004257F1">
        <w:rPr>
          <w:rFonts w:ascii="Book Antiqua" w:hAnsi="Book Antiqua"/>
          <w:sz w:val="26"/>
          <w:szCs w:val="26"/>
        </w:rPr>
        <w:t xml:space="preserve"> without consideration of the Settlement Agreements and without the imposition of additional conditions, </w:t>
      </w:r>
      <w:r w:rsidR="003D355B">
        <w:rPr>
          <w:rFonts w:ascii="Book Antiqua" w:hAnsi="Book Antiqua"/>
          <w:sz w:val="26"/>
          <w:szCs w:val="26"/>
        </w:rPr>
        <w:t xml:space="preserve">the Restructuring </w:t>
      </w:r>
      <w:r w:rsidR="004257F1">
        <w:rPr>
          <w:rFonts w:ascii="Book Antiqua" w:hAnsi="Book Antiqua"/>
          <w:sz w:val="26"/>
          <w:szCs w:val="26"/>
        </w:rPr>
        <w:t xml:space="preserve">is not in California’s public interest. </w:t>
      </w:r>
      <w:r w:rsidR="00233882">
        <w:rPr>
          <w:rFonts w:ascii="Book Antiqua" w:hAnsi="Book Antiqua"/>
          <w:sz w:val="26"/>
          <w:szCs w:val="26"/>
        </w:rPr>
        <w:t xml:space="preserve"> </w:t>
      </w:r>
      <w:r w:rsidR="00A468CB">
        <w:rPr>
          <w:rFonts w:ascii="Book Antiqua" w:hAnsi="Book Antiqua"/>
          <w:sz w:val="26"/>
          <w:szCs w:val="26"/>
        </w:rPr>
        <w:t xml:space="preserve">The Restructuring </w:t>
      </w:r>
      <w:r w:rsidR="00EE47A3">
        <w:rPr>
          <w:rFonts w:ascii="Book Antiqua" w:hAnsi="Book Antiqua"/>
          <w:sz w:val="26"/>
          <w:szCs w:val="26"/>
        </w:rPr>
        <w:t xml:space="preserve">either </w:t>
      </w:r>
      <w:r w:rsidR="00A468CB">
        <w:rPr>
          <w:rFonts w:ascii="Book Antiqua" w:hAnsi="Book Antiqua"/>
          <w:sz w:val="26"/>
          <w:szCs w:val="26"/>
        </w:rPr>
        <w:t>benef</w:t>
      </w:r>
      <w:r w:rsidR="00EE47A3">
        <w:rPr>
          <w:rFonts w:ascii="Book Antiqua" w:hAnsi="Book Antiqua"/>
          <w:sz w:val="26"/>
          <w:szCs w:val="26"/>
        </w:rPr>
        <w:t xml:space="preserve">its or does not adversely affect the public interest for </w:t>
      </w:r>
      <w:r w:rsidR="003D355B">
        <w:rPr>
          <w:rFonts w:ascii="Book Antiqua" w:hAnsi="Book Antiqua"/>
          <w:sz w:val="26"/>
          <w:szCs w:val="26"/>
        </w:rPr>
        <w:t>just</w:t>
      </w:r>
      <w:r w:rsidR="00A468CB">
        <w:rPr>
          <w:rFonts w:ascii="Book Antiqua" w:hAnsi="Book Antiqua"/>
          <w:sz w:val="26"/>
          <w:szCs w:val="26"/>
        </w:rPr>
        <w:t xml:space="preserve"> nine of the 21</w:t>
      </w:r>
      <w:r w:rsidR="00F4119E">
        <w:rPr>
          <w:rFonts w:ascii="Book Antiqua" w:hAnsi="Book Antiqua"/>
          <w:sz w:val="26"/>
          <w:szCs w:val="26"/>
        </w:rPr>
        <w:t> </w:t>
      </w:r>
      <w:r w:rsidR="00EE47A3">
        <w:rPr>
          <w:rFonts w:ascii="Book Antiqua" w:hAnsi="Book Antiqua"/>
          <w:sz w:val="26"/>
          <w:szCs w:val="26"/>
        </w:rPr>
        <w:t>criteria</w:t>
      </w:r>
      <w:r w:rsidR="00A468CB">
        <w:rPr>
          <w:rFonts w:ascii="Book Antiqua" w:hAnsi="Book Antiqua"/>
          <w:sz w:val="26"/>
          <w:szCs w:val="26"/>
        </w:rPr>
        <w:t xml:space="preserve"> listed in the Scoping Memo</w:t>
      </w:r>
      <w:r w:rsidR="00EE47A3">
        <w:rPr>
          <w:rFonts w:ascii="Book Antiqua" w:hAnsi="Book Antiqua"/>
          <w:sz w:val="26"/>
          <w:szCs w:val="26"/>
        </w:rPr>
        <w:t>.</w:t>
      </w:r>
      <w:r w:rsidR="00233882">
        <w:rPr>
          <w:rFonts w:ascii="Book Antiqua" w:hAnsi="Book Antiqua"/>
          <w:sz w:val="26"/>
          <w:szCs w:val="26"/>
        </w:rPr>
        <w:t xml:space="preserve"> </w:t>
      </w:r>
      <w:r w:rsidR="0023380D">
        <w:rPr>
          <w:rFonts w:ascii="Book Antiqua" w:hAnsi="Book Antiqua"/>
          <w:sz w:val="26"/>
          <w:szCs w:val="26"/>
        </w:rPr>
        <w:t xml:space="preserve"> </w:t>
      </w:r>
      <w:r w:rsidR="001D301B">
        <w:rPr>
          <w:rFonts w:ascii="Book Antiqua" w:hAnsi="Book Antiqua"/>
          <w:sz w:val="26"/>
          <w:szCs w:val="26"/>
        </w:rPr>
        <w:t xml:space="preserve">The </w:t>
      </w:r>
      <w:r w:rsidR="00A76C94">
        <w:rPr>
          <w:rFonts w:ascii="Book Antiqua" w:hAnsi="Book Antiqua"/>
          <w:sz w:val="26"/>
          <w:szCs w:val="26"/>
        </w:rPr>
        <w:t>evidentiary record</w:t>
      </w:r>
      <w:r w:rsidR="001D301B">
        <w:rPr>
          <w:rFonts w:ascii="Book Antiqua" w:hAnsi="Book Antiqua"/>
          <w:sz w:val="26"/>
          <w:szCs w:val="26"/>
        </w:rPr>
        <w:t xml:space="preserve"> is deficient in three principal ways</w:t>
      </w:r>
      <w:r w:rsidR="008B64C8">
        <w:rPr>
          <w:rFonts w:ascii="Book Antiqua" w:hAnsi="Book Antiqua"/>
          <w:sz w:val="26"/>
          <w:szCs w:val="26"/>
        </w:rPr>
        <w:t xml:space="preserve">. </w:t>
      </w:r>
      <w:r w:rsidR="00233882">
        <w:rPr>
          <w:rFonts w:ascii="Book Antiqua" w:hAnsi="Book Antiqua"/>
          <w:sz w:val="26"/>
          <w:szCs w:val="26"/>
        </w:rPr>
        <w:t xml:space="preserve"> </w:t>
      </w:r>
      <w:r w:rsidR="008B64C8">
        <w:rPr>
          <w:rFonts w:ascii="Book Antiqua" w:hAnsi="Book Antiqua"/>
          <w:sz w:val="26"/>
          <w:szCs w:val="26"/>
        </w:rPr>
        <w:t>First,</w:t>
      </w:r>
      <w:r w:rsidR="00284242">
        <w:rPr>
          <w:rFonts w:ascii="Book Antiqua" w:hAnsi="Book Antiqua"/>
          <w:sz w:val="26"/>
          <w:szCs w:val="26"/>
        </w:rPr>
        <w:t xml:space="preserve"> </w:t>
      </w:r>
      <w:r w:rsidR="00DE4E91">
        <w:rPr>
          <w:rFonts w:ascii="Book Antiqua" w:hAnsi="Book Antiqua"/>
          <w:sz w:val="26"/>
          <w:szCs w:val="26"/>
        </w:rPr>
        <w:t>before</w:t>
      </w:r>
      <w:r w:rsidR="00863661">
        <w:rPr>
          <w:rFonts w:ascii="Book Antiqua" w:hAnsi="Book Antiqua"/>
          <w:sz w:val="26"/>
          <w:szCs w:val="26"/>
        </w:rPr>
        <w:t xml:space="preserve"> the Settlement Agreements, </w:t>
      </w:r>
      <w:r w:rsidR="00A76C94">
        <w:rPr>
          <w:rFonts w:ascii="Book Antiqua" w:hAnsi="Book Antiqua"/>
          <w:sz w:val="26"/>
          <w:szCs w:val="26"/>
        </w:rPr>
        <w:t>Frontier d</w:t>
      </w:r>
      <w:r w:rsidR="00863661">
        <w:rPr>
          <w:rFonts w:ascii="Book Antiqua" w:hAnsi="Book Antiqua"/>
          <w:sz w:val="26"/>
          <w:szCs w:val="26"/>
        </w:rPr>
        <w:t>id</w:t>
      </w:r>
      <w:r w:rsidR="00A76C94">
        <w:rPr>
          <w:rFonts w:ascii="Book Antiqua" w:hAnsi="Book Antiqua"/>
          <w:sz w:val="26"/>
          <w:szCs w:val="26"/>
        </w:rPr>
        <w:t xml:space="preserve"> not</w:t>
      </w:r>
      <w:r w:rsidR="001D301B">
        <w:rPr>
          <w:rFonts w:ascii="Book Antiqua" w:hAnsi="Book Antiqua"/>
          <w:sz w:val="26"/>
          <w:szCs w:val="26"/>
        </w:rPr>
        <w:t xml:space="preserve"> sufficiently identify the </w:t>
      </w:r>
      <w:r w:rsidR="00966D46">
        <w:rPr>
          <w:rFonts w:ascii="Book Antiqua" w:hAnsi="Book Antiqua"/>
          <w:sz w:val="26"/>
          <w:szCs w:val="26"/>
        </w:rPr>
        <w:t xml:space="preserve">Restructuring’s </w:t>
      </w:r>
      <w:r w:rsidR="00355FB2">
        <w:rPr>
          <w:rFonts w:ascii="Book Antiqua" w:hAnsi="Book Antiqua"/>
          <w:sz w:val="26"/>
          <w:szCs w:val="26"/>
        </w:rPr>
        <w:t>California-</w:t>
      </w:r>
      <w:r w:rsidR="001D301B">
        <w:rPr>
          <w:rFonts w:ascii="Book Antiqua" w:hAnsi="Book Antiqua"/>
          <w:sz w:val="26"/>
          <w:szCs w:val="26"/>
        </w:rPr>
        <w:t>specific benefits</w:t>
      </w:r>
      <w:r w:rsidR="008B64C8">
        <w:rPr>
          <w:rFonts w:ascii="Book Antiqua" w:hAnsi="Book Antiqua"/>
          <w:sz w:val="26"/>
          <w:szCs w:val="26"/>
        </w:rPr>
        <w:t xml:space="preserve">. </w:t>
      </w:r>
      <w:r w:rsidR="00233882">
        <w:rPr>
          <w:rFonts w:ascii="Book Antiqua" w:hAnsi="Book Antiqua"/>
          <w:sz w:val="26"/>
          <w:szCs w:val="26"/>
        </w:rPr>
        <w:t xml:space="preserve"> </w:t>
      </w:r>
      <w:r w:rsidR="00355FB2">
        <w:rPr>
          <w:rFonts w:ascii="Book Antiqua" w:hAnsi="Book Antiqua"/>
          <w:sz w:val="26"/>
          <w:szCs w:val="26"/>
        </w:rPr>
        <w:t>The</w:t>
      </w:r>
      <w:r w:rsidR="008B64C8">
        <w:rPr>
          <w:rFonts w:ascii="Book Antiqua" w:hAnsi="Book Antiqua"/>
          <w:sz w:val="26"/>
          <w:szCs w:val="26"/>
        </w:rPr>
        <w:t xml:space="preserve"> bankruptcy court Plan does not focus on Frontier</w:t>
      </w:r>
      <w:r w:rsidR="00355FB2">
        <w:rPr>
          <w:rFonts w:ascii="Book Antiqua" w:hAnsi="Book Antiqua"/>
          <w:sz w:val="26"/>
          <w:szCs w:val="26"/>
        </w:rPr>
        <w:t>’s</w:t>
      </w:r>
      <w:r w:rsidR="008B64C8">
        <w:rPr>
          <w:rFonts w:ascii="Book Antiqua" w:hAnsi="Book Antiqua"/>
          <w:sz w:val="26"/>
          <w:szCs w:val="26"/>
        </w:rPr>
        <w:t xml:space="preserve"> compliance with its California public utility obligations or its long-term investments and commitment to its customers and communities.</w:t>
      </w:r>
      <w:r w:rsidR="008B64C8">
        <w:rPr>
          <w:rStyle w:val="FootnoteReference"/>
          <w:rFonts w:ascii="Book Antiqua" w:hAnsi="Book Antiqua"/>
          <w:sz w:val="26"/>
          <w:szCs w:val="26"/>
        </w:rPr>
        <w:footnoteReference w:id="174"/>
      </w:r>
      <w:r w:rsidR="001D301B">
        <w:rPr>
          <w:rFonts w:ascii="Book Antiqua" w:hAnsi="Book Antiqua"/>
          <w:sz w:val="26"/>
          <w:szCs w:val="26"/>
        </w:rPr>
        <w:t xml:space="preserve"> </w:t>
      </w:r>
      <w:r w:rsidR="00233882">
        <w:rPr>
          <w:rFonts w:ascii="Book Antiqua" w:hAnsi="Book Antiqua"/>
          <w:sz w:val="26"/>
          <w:szCs w:val="26"/>
        </w:rPr>
        <w:t xml:space="preserve"> </w:t>
      </w:r>
      <w:r w:rsidR="00BA4062">
        <w:rPr>
          <w:rFonts w:ascii="Book Antiqua" w:hAnsi="Book Antiqua"/>
          <w:sz w:val="26"/>
          <w:szCs w:val="26"/>
        </w:rPr>
        <w:t>A</w:t>
      </w:r>
      <w:r w:rsidR="00C71CA7">
        <w:rPr>
          <w:rFonts w:ascii="Book Antiqua" w:hAnsi="Book Antiqua"/>
          <w:sz w:val="26"/>
          <w:szCs w:val="26"/>
        </w:rPr>
        <w:t xml:space="preserve">lthough Frontier </w:t>
      </w:r>
      <w:r w:rsidR="00E94BAF">
        <w:rPr>
          <w:rFonts w:ascii="Book Antiqua" w:hAnsi="Book Antiqua"/>
          <w:sz w:val="26"/>
          <w:szCs w:val="26"/>
        </w:rPr>
        <w:t>asserts</w:t>
      </w:r>
      <w:r w:rsidR="00C71CA7">
        <w:rPr>
          <w:rFonts w:ascii="Book Antiqua" w:hAnsi="Book Antiqua"/>
          <w:sz w:val="26"/>
          <w:szCs w:val="26"/>
        </w:rPr>
        <w:t xml:space="preserve"> that </w:t>
      </w:r>
      <w:r w:rsidR="00E94BAF">
        <w:rPr>
          <w:rFonts w:ascii="Book Antiqua" w:hAnsi="Book Antiqua"/>
          <w:sz w:val="26"/>
          <w:szCs w:val="26"/>
        </w:rPr>
        <w:t>the</w:t>
      </w:r>
      <w:r w:rsidR="00C71CA7">
        <w:rPr>
          <w:rFonts w:ascii="Book Antiqua" w:hAnsi="Book Antiqua"/>
          <w:sz w:val="26"/>
          <w:szCs w:val="26"/>
        </w:rPr>
        <w:t xml:space="preserve"> California Subsidiaries </w:t>
      </w:r>
      <w:r w:rsidR="00E94BAF">
        <w:rPr>
          <w:rFonts w:ascii="Book Antiqua" w:hAnsi="Book Antiqua"/>
          <w:sz w:val="26"/>
          <w:szCs w:val="26"/>
        </w:rPr>
        <w:t>“</w:t>
      </w:r>
      <w:r w:rsidR="00C71CA7">
        <w:rPr>
          <w:rFonts w:ascii="Book Antiqua" w:hAnsi="Book Antiqua"/>
          <w:sz w:val="26"/>
          <w:szCs w:val="26"/>
        </w:rPr>
        <w:t xml:space="preserve">will be much stronger communications providers in California because Frontier will shed over $10 billion in debt and nearly $1 billion in annual </w:t>
      </w:r>
      <w:r w:rsidR="00C71CA7">
        <w:rPr>
          <w:rFonts w:ascii="Book Antiqua" w:hAnsi="Book Antiqua"/>
          <w:sz w:val="26"/>
          <w:szCs w:val="26"/>
        </w:rPr>
        <w:lastRenderedPageBreak/>
        <w:t>interest payments,”</w:t>
      </w:r>
      <w:r w:rsidR="00C71CA7">
        <w:rPr>
          <w:rStyle w:val="FootnoteReference"/>
          <w:rFonts w:ascii="Book Antiqua" w:hAnsi="Book Antiqua"/>
          <w:sz w:val="26"/>
          <w:szCs w:val="26"/>
        </w:rPr>
        <w:footnoteReference w:id="175"/>
      </w:r>
      <w:r w:rsidR="00BA4062">
        <w:rPr>
          <w:rFonts w:ascii="Book Antiqua" w:hAnsi="Book Antiqua"/>
          <w:sz w:val="26"/>
          <w:szCs w:val="26"/>
        </w:rPr>
        <w:t xml:space="preserve"> </w:t>
      </w:r>
      <w:r w:rsidR="00E94BAF">
        <w:rPr>
          <w:rFonts w:ascii="Book Antiqua" w:hAnsi="Book Antiqua"/>
          <w:sz w:val="26"/>
          <w:szCs w:val="26"/>
        </w:rPr>
        <w:t>it</w:t>
      </w:r>
      <w:r w:rsidR="00BA4062">
        <w:rPr>
          <w:rFonts w:ascii="Book Antiqua" w:hAnsi="Book Antiqua"/>
          <w:sz w:val="26"/>
          <w:szCs w:val="26"/>
        </w:rPr>
        <w:t xml:space="preserve"> </w:t>
      </w:r>
      <w:r w:rsidR="00E94BAF">
        <w:rPr>
          <w:rFonts w:ascii="Book Antiqua" w:hAnsi="Book Antiqua"/>
          <w:sz w:val="26"/>
          <w:szCs w:val="26"/>
        </w:rPr>
        <w:t>contradicts that assertion by</w:t>
      </w:r>
      <w:r w:rsidR="00AE77F1">
        <w:rPr>
          <w:rFonts w:ascii="Book Antiqua" w:hAnsi="Book Antiqua"/>
          <w:sz w:val="26"/>
          <w:szCs w:val="26"/>
        </w:rPr>
        <w:t xml:space="preserve"> maintaining that the California Subsidiaries will not directly benefit from th</w:t>
      </w:r>
      <w:r w:rsidR="00620342">
        <w:rPr>
          <w:rFonts w:ascii="Book Antiqua" w:hAnsi="Book Antiqua"/>
          <w:sz w:val="26"/>
          <w:szCs w:val="26"/>
        </w:rPr>
        <w:t>e</w:t>
      </w:r>
      <w:r w:rsidR="00AE77F1">
        <w:rPr>
          <w:rFonts w:ascii="Book Antiqua" w:hAnsi="Book Antiqua"/>
          <w:sz w:val="26"/>
          <w:szCs w:val="26"/>
        </w:rPr>
        <w:t xml:space="preserve"> reduction</w:t>
      </w:r>
      <w:r w:rsidR="00620342">
        <w:rPr>
          <w:rFonts w:ascii="Book Antiqua" w:hAnsi="Book Antiqua"/>
          <w:sz w:val="26"/>
          <w:szCs w:val="26"/>
        </w:rPr>
        <w:t xml:space="preserve"> of debt held solely by</w:t>
      </w:r>
      <w:r w:rsidR="00C747EA">
        <w:rPr>
          <w:rFonts w:ascii="Book Antiqua" w:hAnsi="Book Antiqua"/>
          <w:sz w:val="26"/>
          <w:szCs w:val="26"/>
        </w:rPr>
        <w:t xml:space="preserve"> Frontier’s Delaware-incorporated parent.</w:t>
      </w:r>
      <w:r w:rsidR="00620342">
        <w:rPr>
          <w:rStyle w:val="FootnoteReference"/>
          <w:rFonts w:ascii="Book Antiqua" w:hAnsi="Book Antiqua"/>
          <w:sz w:val="26"/>
          <w:szCs w:val="26"/>
        </w:rPr>
        <w:footnoteReference w:id="176"/>
      </w:r>
      <w:r w:rsidR="00C747EA">
        <w:rPr>
          <w:rFonts w:ascii="Book Antiqua" w:hAnsi="Book Antiqua"/>
          <w:sz w:val="26"/>
          <w:szCs w:val="26"/>
        </w:rPr>
        <w:t xml:space="preserve"> </w:t>
      </w:r>
      <w:r w:rsidR="00233882">
        <w:rPr>
          <w:rFonts w:ascii="Book Antiqua" w:hAnsi="Book Antiqua"/>
          <w:sz w:val="26"/>
          <w:szCs w:val="26"/>
        </w:rPr>
        <w:t xml:space="preserve"> </w:t>
      </w:r>
      <w:r w:rsidR="00C747EA">
        <w:rPr>
          <w:rFonts w:ascii="Book Antiqua" w:hAnsi="Book Antiqua"/>
          <w:sz w:val="26"/>
          <w:szCs w:val="26"/>
        </w:rPr>
        <w:t>As Cal Advocates has stated, releasing debt and lowering interest payments is not automatically in the public interest unless specific, concrete benefits accrue to customers.</w:t>
      </w:r>
      <w:r w:rsidR="00C747EA">
        <w:rPr>
          <w:rStyle w:val="FootnoteReference"/>
          <w:rFonts w:ascii="Book Antiqua" w:hAnsi="Book Antiqua"/>
          <w:sz w:val="26"/>
          <w:szCs w:val="26"/>
        </w:rPr>
        <w:footnoteReference w:id="177"/>
      </w:r>
      <w:r w:rsidR="00DB72DB">
        <w:rPr>
          <w:rFonts w:ascii="Book Antiqua" w:hAnsi="Book Antiqua"/>
          <w:sz w:val="26"/>
          <w:szCs w:val="26"/>
        </w:rPr>
        <w:t xml:space="preserve"> </w:t>
      </w:r>
    </w:p>
    <w:p w:rsidR="00F65132" w:rsidP="00DB72DB" w:rsidRDefault="008B64C8" w14:paraId="7353B729" w14:textId="7FFC43DA">
      <w:pPr>
        <w:pStyle w:val="Default"/>
        <w:spacing w:line="360" w:lineRule="auto"/>
        <w:ind w:firstLine="720"/>
        <w:rPr>
          <w:rFonts w:ascii="Book Antiqua" w:hAnsi="Book Antiqua"/>
          <w:sz w:val="26"/>
          <w:szCs w:val="26"/>
        </w:rPr>
      </w:pPr>
      <w:r>
        <w:rPr>
          <w:rFonts w:ascii="Book Antiqua" w:hAnsi="Book Antiqua"/>
          <w:sz w:val="26"/>
          <w:szCs w:val="26"/>
        </w:rPr>
        <w:t>Second,</w:t>
      </w:r>
      <w:r w:rsidR="00284242">
        <w:rPr>
          <w:rFonts w:ascii="Book Antiqua" w:hAnsi="Book Antiqua"/>
          <w:sz w:val="26"/>
          <w:szCs w:val="26"/>
        </w:rPr>
        <w:t xml:space="preserve"> </w:t>
      </w:r>
      <w:r w:rsidR="00863661">
        <w:rPr>
          <w:rFonts w:ascii="Book Antiqua" w:hAnsi="Book Antiqua"/>
          <w:sz w:val="26"/>
          <w:szCs w:val="26"/>
        </w:rPr>
        <w:t xml:space="preserve">before the Settlement Agreements, </w:t>
      </w:r>
      <w:r w:rsidR="00C747EA">
        <w:rPr>
          <w:rFonts w:ascii="Book Antiqua" w:hAnsi="Book Antiqua"/>
          <w:sz w:val="26"/>
          <w:szCs w:val="26"/>
        </w:rPr>
        <w:t>Frontier fail</w:t>
      </w:r>
      <w:r w:rsidR="00863661">
        <w:rPr>
          <w:rFonts w:ascii="Book Antiqua" w:hAnsi="Book Antiqua"/>
          <w:sz w:val="26"/>
          <w:szCs w:val="26"/>
        </w:rPr>
        <w:t>ed</w:t>
      </w:r>
      <w:r w:rsidR="001D301B">
        <w:rPr>
          <w:rFonts w:ascii="Book Antiqua" w:hAnsi="Book Antiqua"/>
          <w:sz w:val="26"/>
          <w:szCs w:val="26"/>
        </w:rPr>
        <w:t xml:space="preserve"> to </w:t>
      </w:r>
      <w:r w:rsidR="00D6288B">
        <w:rPr>
          <w:rFonts w:ascii="Book Antiqua" w:hAnsi="Book Antiqua"/>
          <w:sz w:val="26"/>
          <w:szCs w:val="26"/>
        </w:rPr>
        <w:t xml:space="preserve">sufficiently </w:t>
      </w:r>
      <w:r w:rsidR="00DB72DB">
        <w:rPr>
          <w:rFonts w:ascii="Book Antiqua" w:hAnsi="Book Antiqua"/>
          <w:sz w:val="26"/>
          <w:szCs w:val="26"/>
        </w:rPr>
        <w:t>address</w:t>
      </w:r>
      <w:r w:rsidR="00D6288B">
        <w:rPr>
          <w:rFonts w:ascii="Book Antiqua" w:hAnsi="Book Antiqua"/>
          <w:sz w:val="26"/>
          <w:szCs w:val="26"/>
        </w:rPr>
        <w:t xml:space="preserve"> </w:t>
      </w:r>
      <w:r w:rsidR="00C747EA">
        <w:rPr>
          <w:rFonts w:ascii="Book Antiqua" w:hAnsi="Book Antiqua"/>
          <w:sz w:val="26"/>
          <w:szCs w:val="26"/>
        </w:rPr>
        <w:t xml:space="preserve">the Restructuring’s </w:t>
      </w:r>
      <w:r w:rsidR="00D6288B">
        <w:rPr>
          <w:rFonts w:ascii="Book Antiqua" w:hAnsi="Book Antiqua"/>
          <w:sz w:val="26"/>
          <w:szCs w:val="26"/>
        </w:rPr>
        <w:t>future effects</w:t>
      </w:r>
      <w:r w:rsidR="00DB72DB">
        <w:rPr>
          <w:rFonts w:ascii="Book Antiqua" w:hAnsi="Book Antiqua"/>
          <w:sz w:val="26"/>
          <w:szCs w:val="26"/>
        </w:rPr>
        <w:t xml:space="preserve">, including short-term and long-term economic benefits, financial condition, service quality, and benefits to local and tribal communities. </w:t>
      </w:r>
      <w:r w:rsidR="00233882">
        <w:rPr>
          <w:rFonts w:ascii="Book Antiqua" w:hAnsi="Book Antiqua"/>
          <w:sz w:val="26"/>
          <w:szCs w:val="26"/>
        </w:rPr>
        <w:t xml:space="preserve"> </w:t>
      </w:r>
      <w:r w:rsidR="000D46D9">
        <w:rPr>
          <w:rFonts w:ascii="Book Antiqua" w:hAnsi="Book Antiqua"/>
          <w:sz w:val="26"/>
          <w:szCs w:val="26"/>
        </w:rPr>
        <w:t xml:space="preserve">In addition, </w:t>
      </w:r>
      <w:r w:rsidR="00DB72DB">
        <w:rPr>
          <w:rFonts w:ascii="Book Antiqua" w:hAnsi="Book Antiqua"/>
          <w:sz w:val="26"/>
          <w:szCs w:val="26"/>
        </w:rPr>
        <w:t xml:space="preserve">Frontier </w:t>
      </w:r>
      <w:r w:rsidR="000D46D9">
        <w:rPr>
          <w:rFonts w:ascii="Book Antiqua" w:hAnsi="Book Antiqua"/>
          <w:sz w:val="26"/>
          <w:szCs w:val="26"/>
        </w:rPr>
        <w:t>had argued</w:t>
      </w:r>
      <w:r w:rsidR="00DB72DB">
        <w:rPr>
          <w:rFonts w:ascii="Book Antiqua" w:hAnsi="Book Antiqua"/>
          <w:sz w:val="26"/>
          <w:szCs w:val="26"/>
        </w:rPr>
        <w:t xml:space="preserve"> that the Restructuring would be overwhelmingly positive for customers but</w:t>
      </w:r>
      <w:r w:rsidR="000D46D9">
        <w:rPr>
          <w:rFonts w:ascii="Book Antiqua" w:hAnsi="Book Antiqua"/>
          <w:sz w:val="26"/>
          <w:szCs w:val="26"/>
        </w:rPr>
        <w:t xml:space="preserve"> had</w:t>
      </w:r>
      <w:r w:rsidR="00DB72DB">
        <w:rPr>
          <w:rFonts w:ascii="Book Antiqua" w:hAnsi="Book Antiqua"/>
          <w:sz w:val="26"/>
          <w:szCs w:val="26"/>
        </w:rPr>
        <w:t xml:space="preserve"> state</w:t>
      </w:r>
      <w:r w:rsidR="000D46D9">
        <w:rPr>
          <w:rFonts w:ascii="Book Antiqua" w:hAnsi="Book Antiqua"/>
          <w:sz w:val="26"/>
          <w:szCs w:val="26"/>
        </w:rPr>
        <w:t>d elsewhere</w:t>
      </w:r>
      <w:r w:rsidR="00DB72DB">
        <w:rPr>
          <w:rFonts w:ascii="Book Antiqua" w:hAnsi="Book Antiqua"/>
          <w:sz w:val="26"/>
          <w:szCs w:val="26"/>
        </w:rPr>
        <w:t xml:space="preserve"> that the Restructuring would have no material impact on its California day-to-day operations or consumers</w:t>
      </w:r>
      <w:r w:rsidR="000D46D9">
        <w:rPr>
          <w:rFonts w:ascii="Book Antiqua" w:hAnsi="Book Antiqua"/>
          <w:sz w:val="26"/>
          <w:szCs w:val="26"/>
        </w:rPr>
        <w:t>, thereby creating more uncertainty regarding the Restructuring’s future effects</w:t>
      </w:r>
      <w:r w:rsidR="00DB72DB">
        <w:rPr>
          <w:rFonts w:ascii="Book Antiqua" w:hAnsi="Book Antiqua"/>
          <w:sz w:val="26"/>
          <w:szCs w:val="26"/>
        </w:rPr>
        <w:t xml:space="preserve">. </w:t>
      </w:r>
      <w:r w:rsidR="00693256">
        <w:rPr>
          <w:rFonts w:ascii="Book Antiqua" w:hAnsi="Book Antiqua"/>
          <w:sz w:val="26"/>
          <w:szCs w:val="26"/>
        </w:rPr>
        <w:t xml:space="preserve"> </w:t>
      </w:r>
    </w:p>
    <w:p w:rsidR="00A7385B" w:rsidP="000D59DD" w:rsidRDefault="004F43EF" w14:paraId="6F769EB1" w14:textId="6346C519">
      <w:pPr>
        <w:pStyle w:val="Default"/>
        <w:spacing w:line="360" w:lineRule="auto"/>
        <w:ind w:firstLine="720"/>
        <w:rPr>
          <w:rFonts w:ascii="Book Antiqua" w:hAnsi="Book Antiqua"/>
          <w:sz w:val="26"/>
          <w:szCs w:val="26"/>
        </w:rPr>
      </w:pPr>
      <w:r>
        <w:rPr>
          <w:rFonts w:ascii="Book Antiqua" w:hAnsi="Book Antiqua"/>
          <w:sz w:val="26"/>
          <w:szCs w:val="26"/>
        </w:rPr>
        <w:t>Third</w:t>
      </w:r>
      <w:r w:rsidR="00284242">
        <w:rPr>
          <w:rFonts w:ascii="Book Antiqua" w:hAnsi="Book Antiqua"/>
          <w:sz w:val="26"/>
          <w:szCs w:val="26"/>
        </w:rPr>
        <w:t xml:space="preserve">, </w:t>
      </w:r>
      <w:r>
        <w:rPr>
          <w:rFonts w:ascii="Book Antiqua" w:hAnsi="Book Antiqua"/>
          <w:sz w:val="26"/>
          <w:szCs w:val="26"/>
        </w:rPr>
        <w:t>Frontier</w:t>
      </w:r>
      <w:r w:rsidR="00D6288B">
        <w:rPr>
          <w:rFonts w:ascii="Book Antiqua" w:hAnsi="Book Antiqua"/>
          <w:sz w:val="26"/>
          <w:szCs w:val="26"/>
        </w:rPr>
        <w:t xml:space="preserve"> </w:t>
      </w:r>
      <w:r w:rsidR="003868F2">
        <w:rPr>
          <w:rFonts w:ascii="Book Antiqua" w:hAnsi="Book Antiqua"/>
          <w:sz w:val="26"/>
          <w:szCs w:val="26"/>
        </w:rPr>
        <w:t>d</w:t>
      </w:r>
      <w:r w:rsidR="00863661">
        <w:rPr>
          <w:rFonts w:ascii="Book Antiqua" w:hAnsi="Book Antiqua"/>
          <w:sz w:val="26"/>
          <w:szCs w:val="26"/>
        </w:rPr>
        <w:t>id</w:t>
      </w:r>
      <w:r w:rsidR="003868F2">
        <w:rPr>
          <w:rFonts w:ascii="Book Antiqua" w:hAnsi="Book Antiqua"/>
          <w:sz w:val="26"/>
          <w:szCs w:val="26"/>
        </w:rPr>
        <w:t xml:space="preserve"> not</w:t>
      </w:r>
      <w:r w:rsidR="001D301B">
        <w:rPr>
          <w:rFonts w:ascii="Book Antiqua" w:hAnsi="Book Antiqua"/>
          <w:sz w:val="26"/>
          <w:szCs w:val="26"/>
        </w:rPr>
        <w:t xml:space="preserve"> </w:t>
      </w:r>
      <w:r w:rsidR="00D6288B">
        <w:rPr>
          <w:rFonts w:ascii="Book Antiqua" w:hAnsi="Book Antiqua"/>
          <w:sz w:val="26"/>
          <w:szCs w:val="26"/>
        </w:rPr>
        <w:t xml:space="preserve">sufficiently </w:t>
      </w:r>
      <w:r w:rsidR="00A76C94">
        <w:rPr>
          <w:rFonts w:ascii="Book Antiqua" w:hAnsi="Book Antiqua"/>
          <w:sz w:val="26"/>
          <w:szCs w:val="26"/>
        </w:rPr>
        <w:t>specify</w:t>
      </w:r>
      <w:r>
        <w:rPr>
          <w:rFonts w:ascii="Book Antiqua" w:hAnsi="Book Antiqua"/>
          <w:sz w:val="26"/>
          <w:szCs w:val="26"/>
        </w:rPr>
        <w:t xml:space="preserve"> its</w:t>
      </w:r>
      <w:r w:rsidR="008B64C8">
        <w:rPr>
          <w:rFonts w:ascii="Book Antiqua" w:hAnsi="Book Antiqua"/>
          <w:sz w:val="26"/>
          <w:szCs w:val="26"/>
        </w:rPr>
        <w:t xml:space="preserve"> </w:t>
      </w:r>
      <w:r w:rsidR="00284242">
        <w:rPr>
          <w:rFonts w:ascii="Book Antiqua" w:hAnsi="Book Antiqua"/>
          <w:sz w:val="26"/>
          <w:szCs w:val="26"/>
        </w:rPr>
        <w:t xml:space="preserve">future business </w:t>
      </w:r>
      <w:r w:rsidR="008B64C8">
        <w:rPr>
          <w:rFonts w:ascii="Book Antiqua" w:hAnsi="Book Antiqua"/>
          <w:sz w:val="26"/>
          <w:szCs w:val="26"/>
        </w:rPr>
        <w:t>plans</w:t>
      </w:r>
      <w:r w:rsidR="00863661">
        <w:rPr>
          <w:rFonts w:ascii="Book Antiqua" w:hAnsi="Book Antiqua"/>
          <w:sz w:val="26"/>
          <w:szCs w:val="26"/>
        </w:rPr>
        <w:t xml:space="preserve"> regarding the Restructuring before it entered into the Settlement Agreements</w:t>
      </w:r>
      <w:r w:rsidR="008B64C8">
        <w:rPr>
          <w:rFonts w:ascii="Book Antiqua" w:hAnsi="Book Antiqua"/>
          <w:sz w:val="26"/>
          <w:szCs w:val="26"/>
        </w:rPr>
        <w:t xml:space="preserve">. </w:t>
      </w:r>
      <w:r w:rsidR="009D6DC5">
        <w:rPr>
          <w:rFonts w:ascii="Book Antiqua" w:hAnsi="Book Antiqua"/>
          <w:sz w:val="26"/>
          <w:szCs w:val="26"/>
        </w:rPr>
        <w:t xml:space="preserve"> </w:t>
      </w:r>
      <w:r w:rsidR="003868F2">
        <w:rPr>
          <w:rFonts w:ascii="Book Antiqua" w:hAnsi="Book Antiqua"/>
          <w:sz w:val="26"/>
          <w:szCs w:val="26"/>
        </w:rPr>
        <w:t>It fail</w:t>
      </w:r>
      <w:r w:rsidR="00863661">
        <w:rPr>
          <w:rFonts w:ascii="Book Antiqua" w:hAnsi="Book Antiqua"/>
          <w:sz w:val="26"/>
          <w:szCs w:val="26"/>
        </w:rPr>
        <w:t>ed</w:t>
      </w:r>
      <w:r w:rsidR="003868F2">
        <w:rPr>
          <w:rFonts w:ascii="Book Antiqua" w:hAnsi="Book Antiqua"/>
          <w:sz w:val="26"/>
          <w:szCs w:val="26"/>
        </w:rPr>
        <w:t xml:space="preserve"> to clarify whether California operations would be classified as </w:t>
      </w:r>
      <w:proofErr w:type="spellStart"/>
      <w:r w:rsidR="003868F2">
        <w:rPr>
          <w:rFonts w:ascii="Book Antiqua" w:hAnsi="Book Antiqua"/>
          <w:sz w:val="26"/>
          <w:szCs w:val="26"/>
        </w:rPr>
        <w:t>InvestCo</w:t>
      </w:r>
      <w:proofErr w:type="spellEnd"/>
      <w:r w:rsidR="003868F2">
        <w:rPr>
          <w:rFonts w:ascii="Book Antiqua" w:hAnsi="Book Antiqua"/>
          <w:sz w:val="26"/>
          <w:szCs w:val="26"/>
        </w:rPr>
        <w:t xml:space="preserve"> or </w:t>
      </w:r>
      <w:proofErr w:type="spellStart"/>
      <w:r w:rsidR="003868F2">
        <w:rPr>
          <w:rFonts w:ascii="Book Antiqua" w:hAnsi="Book Antiqua"/>
          <w:sz w:val="26"/>
          <w:szCs w:val="26"/>
        </w:rPr>
        <w:t>Improve</w:t>
      </w:r>
      <w:r w:rsidR="00DF3282">
        <w:rPr>
          <w:rFonts w:ascii="Book Antiqua" w:hAnsi="Book Antiqua"/>
          <w:sz w:val="26"/>
          <w:szCs w:val="26"/>
        </w:rPr>
        <w:t>Co</w:t>
      </w:r>
      <w:proofErr w:type="spellEnd"/>
      <w:r w:rsidR="00DF3282">
        <w:rPr>
          <w:rFonts w:ascii="Book Antiqua" w:hAnsi="Book Antiqua"/>
          <w:sz w:val="26"/>
          <w:szCs w:val="26"/>
        </w:rPr>
        <w:t>.</w:t>
      </w:r>
      <w:r w:rsidR="00233882">
        <w:rPr>
          <w:rFonts w:ascii="Book Antiqua" w:hAnsi="Book Antiqua"/>
          <w:sz w:val="26"/>
          <w:szCs w:val="26"/>
        </w:rPr>
        <w:t xml:space="preserve"> </w:t>
      </w:r>
      <w:r w:rsidR="00DF3282">
        <w:rPr>
          <w:rFonts w:ascii="Book Antiqua" w:hAnsi="Book Antiqua"/>
          <w:sz w:val="26"/>
          <w:szCs w:val="26"/>
        </w:rPr>
        <w:t xml:space="preserve"> Frontier</w:t>
      </w:r>
      <w:r w:rsidR="009D6DC5">
        <w:rPr>
          <w:rFonts w:ascii="Book Antiqua" w:hAnsi="Book Antiqua"/>
          <w:sz w:val="26"/>
          <w:szCs w:val="26"/>
        </w:rPr>
        <w:t xml:space="preserve"> </w:t>
      </w:r>
      <w:r w:rsidR="00B51933">
        <w:rPr>
          <w:rFonts w:ascii="Book Antiqua" w:hAnsi="Book Antiqua"/>
          <w:sz w:val="26"/>
          <w:szCs w:val="26"/>
        </w:rPr>
        <w:t>ac</w:t>
      </w:r>
      <w:r w:rsidR="009D6DC5">
        <w:rPr>
          <w:rFonts w:ascii="Book Antiqua" w:hAnsi="Book Antiqua"/>
          <w:sz w:val="26"/>
          <w:szCs w:val="26"/>
        </w:rPr>
        <w:t>knowledge</w:t>
      </w:r>
      <w:r w:rsidR="00863661">
        <w:rPr>
          <w:rFonts w:ascii="Book Antiqua" w:hAnsi="Book Antiqua"/>
          <w:sz w:val="26"/>
          <w:szCs w:val="26"/>
        </w:rPr>
        <w:t>d</w:t>
      </w:r>
      <w:r w:rsidR="009D6DC5">
        <w:rPr>
          <w:rFonts w:ascii="Book Antiqua" w:hAnsi="Book Antiqua"/>
          <w:sz w:val="26"/>
          <w:szCs w:val="26"/>
        </w:rPr>
        <w:t xml:space="preserve"> that its future business case scenarios presented to the Bankruptcy Court and its latest network modernization plan </w:t>
      </w:r>
      <w:r w:rsidR="00DF3282">
        <w:rPr>
          <w:rFonts w:ascii="Book Antiqua" w:hAnsi="Book Antiqua"/>
          <w:sz w:val="26"/>
          <w:szCs w:val="26"/>
        </w:rPr>
        <w:t xml:space="preserve">had not been tested, </w:t>
      </w:r>
      <w:r w:rsidR="00693256">
        <w:rPr>
          <w:rFonts w:ascii="Book Antiqua" w:hAnsi="Book Antiqua"/>
          <w:sz w:val="26"/>
          <w:szCs w:val="26"/>
        </w:rPr>
        <w:t>and it admit</w:t>
      </w:r>
      <w:r w:rsidR="008932EC">
        <w:rPr>
          <w:rFonts w:ascii="Book Antiqua" w:hAnsi="Book Antiqua"/>
          <w:sz w:val="26"/>
          <w:szCs w:val="26"/>
        </w:rPr>
        <w:t>s</w:t>
      </w:r>
      <w:r w:rsidR="00693256">
        <w:rPr>
          <w:rFonts w:ascii="Book Antiqua" w:hAnsi="Book Antiqua"/>
          <w:sz w:val="26"/>
          <w:szCs w:val="26"/>
        </w:rPr>
        <w:t xml:space="preserve"> it would likely modify its plans even if it could identify them.</w:t>
      </w:r>
      <w:r w:rsidR="004F5DFB">
        <w:rPr>
          <w:rFonts w:ascii="Book Antiqua" w:hAnsi="Book Antiqua"/>
          <w:sz w:val="26"/>
          <w:szCs w:val="26"/>
        </w:rPr>
        <w:t xml:space="preserve"> </w:t>
      </w:r>
    </w:p>
    <w:p w:rsidR="00FB47CC" w:rsidP="00330687" w:rsidRDefault="00D0078B" w14:paraId="0A0E5EBC" w14:textId="65D1463A">
      <w:pPr>
        <w:pStyle w:val="Default"/>
        <w:spacing w:line="360" w:lineRule="auto"/>
        <w:ind w:firstLine="720"/>
        <w:rPr>
          <w:rFonts w:ascii="Book Antiqua" w:hAnsi="Book Antiqua"/>
          <w:sz w:val="26"/>
          <w:szCs w:val="26"/>
        </w:rPr>
      </w:pPr>
      <w:r>
        <w:rPr>
          <w:rFonts w:ascii="Book Antiqua" w:hAnsi="Book Antiqua"/>
          <w:sz w:val="26"/>
          <w:szCs w:val="26"/>
        </w:rPr>
        <w:t xml:space="preserve">The Settlement Agreements remedy </w:t>
      </w:r>
      <w:r w:rsidR="00DE4A1C">
        <w:rPr>
          <w:rFonts w:ascii="Book Antiqua" w:hAnsi="Book Antiqua"/>
          <w:sz w:val="26"/>
          <w:szCs w:val="26"/>
        </w:rPr>
        <w:t xml:space="preserve">some of </w:t>
      </w:r>
      <w:r>
        <w:rPr>
          <w:rFonts w:ascii="Book Antiqua" w:hAnsi="Book Antiqua"/>
          <w:sz w:val="26"/>
          <w:szCs w:val="26"/>
        </w:rPr>
        <w:t>the numerous public interest deficiencies of the Restructuring.</w:t>
      </w:r>
      <w:r w:rsidR="00D768A8">
        <w:rPr>
          <w:rFonts w:ascii="Book Antiqua" w:hAnsi="Book Antiqua"/>
          <w:sz w:val="26"/>
          <w:szCs w:val="26"/>
        </w:rPr>
        <w:t xml:space="preserve"> </w:t>
      </w:r>
      <w:r w:rsidR="00233882">
        <w:rPr>
          <w:rFonts w:ascii="Book Antiqua" w:hAnsi="Book Antiqua"/>
          <w:sz w:val="26"/>
          <w:szCs w:val="26"/>
        </w:rPr>
        <w:t xml:space="preserve"> </w:t>
      </w:r>
      <w:r w:rsidR="00966D46">
        <w:rPr>
          <w:rFonts w:ascii="Book Antiqua" w:hAnsi="Book Antiqua"/>
          <w:sz w:val="26"/>
          <w:szCs w:val="26"/>
        </w:rPr>
        <w:t>For example, t</w:t>
      </w:r>
      <w:r w:rsidR="00D768A8">
        <w:rPr>
          <w:rFonts w:ascii="Book Antiqua" w:hAnsi="Book Antiqua"/>
          <w:sz w:val="26"/>
          <w:szCs w:val="26"/>
        </w:rPr>
        <w:t xml:space="preserve">he terms of the </w:t>
      </w:r>
      <w:r w:rsidR="00F926CC">
        <w:rPr>
          <w:rFonts w:ascii="Book Antiqua" w:hAnsi="Book Antiqua"/>
          <w:sz w:val="26"/>
          <w:szCs w:val="26"/>
        </w:rPr>
        <w:t>Attachment 1</w:t>
      </w:r>
      <w:r w:rsidR="00D768A8">
        <w:rPr>
          <w:rFonts w:ascii="Book Antiqua" w:hAnsi="Book Antiqua"/>
          <w:sz w:val="26"/>
          <w:szCs w:val="26"/>
        </w:rPr>
        <w:t xml:space="preserve"> Settlement Agreement regarding rate maintenance and technician staffing</w:t>
      </w:r>
      <w:r>
        <w:rPr>
          <w:rFonts w:ascii="Book Antiqua" w:hAnsi="Book Antiqua"/>
          <w:sz w:val="26"/>
          <w:szCs w:val="26"/>
        </w:rPr>
        <w:t xml:space="preserve"> </w:t>
      </w:r>
      <w:r w:rsidR="00D768A8">
        <w:rPr>
          <w:rFonts w:ascii="Book Antiqua" w:hAnsi="Book Antiqua"/>
          <w:sz w:val="26"/>
          <w:szCs w:val="26"/>
        </w:rPr>
        <w:lastRenderedPageBreak/>
        <w:t xml:space="preserve">provide short-term and long-term economic benefits to ratepayers and </w:t>
      </w:r>
      <w:r w:rsidR="001154B0">
        <w:rPr>
          <w:rFonts w:ascii="Book Antiqua" w:hAnsi="Book Antiqua"/>
          <w:sz w:val="26"/>
          <w:szCs w:val="26"/>
        </w:rPr>
        <w:t>fairness</w:t>
      </w:r>
      <w:r w:rsidR="00D768A8">
        <w:rPr>
          <w:rFonts w:ascii="Book Antiqua" w:hAnsi="Book Antiqua"/>
          <w:sz w:val="26"/>
          <w:szCs w:val="26"/>
        </w:rPr>
        <w:t xml:space="preserve"> to Frontier employees, and its </w:t>
      </w:r>
      <w:r w:rsidR="00366DF1">
        <w:rPr>
          <w:rFonts w:ascii="Book Antiqua" w:hAnsi="Book Antiqua"/>
          <w:sz w:val="26"/>
          <w:szCs w:val="26"/>
        </w:rPr>
        <w:t>capital expenditure</w:t>
      </w:r>
      <w:r w:rsidR="008870F6">
        <w:rPr>
          <w:rFonts w:ascii="Book Antiqua" w:hAnsi="Book Antiqua"/>
          <w:sz w:val="26"/>
          <w:szCs w:val="26"/>
        </w:rPr>
        <w:t>,</w:t>
      </w:r>
      <w:r w:rsidR="00366DF1">
        <w:rPr>
          <w:rFonts w:ascii="Book Antiqua" w:hAnsi="Book Antiqua"/>
          <w:sz w:val="26"/>
          <w:szCs w:val="26"/>
        </w:rPr>
        <w:t xml:space="preserve"> broadband deployment</w:t>
      </w:r>
      <w:r w:rsidR="008870F6">
        <w:rPr>
          <w:rFonts w:ascii="Book Antiqua" w:hAnsi="Book Antiqua"/>
          <w:sz w:val="26"/>
          <w:szCs w:val="26"/>
        </w:rPr>
        <w:t>, and tribal liaison hiring</w:t>
      </w:r>
      <w:r w:rsidR="00366DF1">
        <w:rPr>
          <w:rFonts w:ascii="Book Antiqua" w:hAnsi="Book Antiqua"/>
          <w:sz w:val="26"/>
          <w:szCs w:val="26"/>
        </w:rPr>
        <w:t xml:space="preserve"> requirements</w:t>
      </w:r>
      <w:r w:rsidR="00DE4A1C">
        <w:rPr>
          <w:rFonts w:ascii="Book Antiqua" w:hAnsi="Book Antiqua"/>
          <w:sz w:val="26"/>
          <w:szCs w:val="26"/>
        </w:rPr>
        <w:t xml:space="preserve"> benefit </w:t>
      </w:r>
      <w:r w:rsidR="00955165">
        <w:rPr>
          <w:rFonts w:ascii="Book Antiqua" w:hAnsi="Book Antiqua"/>
          <w:sz w:val="26"/>
          <w:szCs w:val="26"/>
        </w:rPr>
        <w:t>Frontier’s</w:t>
      </w:r>
      <w:r w:rsidR="00DE4A1C">
        <w:rPr>
          <w:rFonts w:ascii="Book Antiqua" w:hAnsi="Book Antiqua"/>
          <w:sz w:val="26"/>
          <w:szCs w:val="26"/>
        </w:rPr>
        <w:t xml:space="preserve"> network infrastructure</w:t>
      </w:r>
      <w:r w:rsidR="00115A9D">
        <w:rPr>
          <w:rFonts w:ascii="Book Antiqua" w:hAnsi="Book Antiqua"/>
          <w:sz w:val="26"/>
          <w:szCs w:val="26"/>
        </w:rPr>
        <w:t xml:space="preserve"> and local and tribal communities.</w:t>
      </w:r>
      <w:r w:rsidR="00C65DF8">
        <w:rPr>
          <w:rFonts w:ascii="Book Antiqua" w:hAnsi="Book Antiqua"/>
          <w:sz w:val="26"/>
          <w:szCs w:val="26"/>
        </w:rPr>
        <w:t xml:space="preserve"> </w:t>
      </w:r>
      <w:r w:rsidR="00233882">
        <w:rPr>
          <w:rFonts w:ascii="Book Antiqua" w:hAnsi="Book Antiqua"/>
          <w:sz w:val="26"/>
          <w:szCs w:val="26"/>
        </w:rPr>
        <w:t xml:space="preserve"> </w:t>
      </w:r>
      <w:r w:rsidR="001154B0">
        <w:rPr>
          <w:rFonts w:ascii="Book Antiqua" w:hAnsi="Book Antiqua"/>
          <w:sz w:val="26"/>
          <w:szCs w:val="26"/>
        </w:rPr>
        <w:t xml:space="preserve">The </w:t>
      </w:r>
      <w:r w:rsidR="00F926CC">
        <w:rPr>
          <w:rFonts w:ascii="Book Antiqua" w:hAnsi="Book Antiqua"/>
          <w:sz w:val="26"/>
          <w:szCs w:val="26"/>
        </w:rPr>
        <w:t>Attachment 1</w:t>
      </w:r>
      <w:r w:rsidR="001154B0">
        <w:rPr>
          <w:rFonts w:ascii="Book Antiqua" w:hAnsi="Book Antiqua"/>
          <w:sz w:val="26"/>
          <w:szCs w:val="26"/>
        </w:rPr>
        <w:t xml:space="preserve"> Settlement Agreement removes uncertainty</w:t>
      </w:r>
      <w:r w:rsidR="00966D46">
        <w:rPr>
          <w:rFonts w:ascii="Book Antiqua" w:hAnsi="Book Antiqua"/>
          <w:sz w:val="26"/>
          <w:szCs w:val="26"/>
        </w:rPr>
        <w:t xml:space="preserve"> by </w:t>
      </w:r>
      <w:r w:rsidR="001154B0">
        <w:rPr>
          <w:rFonts w:ascii="Book Antiqua" w:hAnsi="Book Antiqua"/>
          <w:sz w:val="26"/>
          <w:szCs w:val="26"/>
        </w:rPr>
        <w:t>stat</w:t>
      </w:r>
      <w:r w:rsidR="00966D46">
        <w:rPr>
          <w:rFonts w:ascii="Book Antiqua" w:hAnsi="Book Antiqua"/>
          <w:sz w:val="26"/>
          <w:szCs w:val="26"/>
        </w:rPr>
        <w:t>ing</w:t>
      </w:r>
      <w:r w:rsidR="001154B0">
        <w:rPr>
          <w:rFonts w:ascii="Book Antiqua" w:hAnsi="Book Antiqua"/>
          <w:sz w:val="26"/>
          <w:szCs w:val="26"/>
        </w:rPr>
        <w:t xml:space="preserve"> that all Frontier California operations will be classified as </w:t>
      </w:r>
      <w:proofErr w:type="spellStart"/>
      <w:r w:rsidR="001154B0">
        <w:rPr>
          <w:rFonts w:ascii="Book Antiqua" w:hAnsi="Book Antiqua"/>
          <w:sz w:val="26"/>
          <w:szCs w:val="26"/>
        </w:rPr>
        <w:t>InvestCo</w:t>
      </w:r>
      <w:proofErr w:type="spellEnd"/>
      <w:r w:rsidR="00966D46">
        <w:rPr>
          <w:rFonts w:ascii="Book Antiqua" w:hAnsi="Book Antiqua"/>
          <w:sz w:val="26"/>
          <w:szCs w:val="26"/>
        </w:rPr>
        <w:t>.</w:t>
      </w:r>
      <w:r w:rsidR="001154B0">
        <w:rPr>
          <w:rFonts w:ascii="Book Antiqua" w:hAnsi="Book Antiqua"/>
          <w:sz w:val="26"/>
          <w:szCs w:val="26"/>
        </w:rPr>
        <w:t xml:space="preserve"> </w:t>
      </w:r>
      <w:r w:rsidR="00233882">
        <w:rPr>
          <w:rFonts w:ascii="Book Antiqua" w:hAnsi="Book Antiqua"/>
          <w:sz w:val="26"/>
          <w:szCs w:val="26"/>
        </w:rPr>
        <w:t xml:space="preserve"> </w:t>
      </w:r>
      <w:r w:rsidR="00C65DF8">
        <w:rPr>
          <w:rFonts w:ascii="Book Antiqua" w:hAnsi="Book Antiqua"/>
          <w:sz w:val="26"/>
          <w:szCs w:val="26"/>
        </w:rPr>
        <w:t xml:space="preserve">The </w:t>
      </w:r>
      <w:r w:rsidR="00F926CC">
        <w:rPr>
          <w:rFonts w:ascii="Book Antiqua" w:hAnsi="Book Antiqua"/>
          <w:sz w:val="26"/>
          <w:szCs w:val="26"/>
        </w:rPr>
        <w:t>Attachment 2</w:t>
      </w:r>
      <w:r w:rsidR="00C65DF8">
        <w:rPr>
          <w:rFonts w:ascii="Book Antiqua" w:hAnsi="Book Antiqua"/>
          <w:sz w:val="26"/>
          <w:szCs w:val="26"/>
        </w:rPr>
        <w:t xml:space="preserve"> Settlement Agreement</w:t>
      </w:r>
      <w:r w:rsidR="00955165">
        <w:rPr>
          <w:rFonts w:ascii="Book Antiqua" w:hAnsi="Book Antiqua"/>
          <w:sz w:val="26"/>
          <w:szCs w:val="26"/>
        </w:rPr>
        <w:t>’s</w:t>
      </w:r>
      <w:r w:rsidR="00C65DF8">
        <w:rPr>
          <w:rFonts w:ascii="Book Antiqua" w:hAnsi="Book Antiqua"/>
          <w:sz w:val="26"/>
          <w:szCs w:val="26"/>
        </w:rPr>
        <w:t xml:space="preserve"> provisions</w:t>
      </w:r>
      <w:r w:rsidR="00737833">
        <w:rPr>
          <w:rFonts w:ascii="Book Antiqua" w:hAnsi="Book Antiqua"/>
          <w:sz w:val="26"/>
          <w:szCs w:val="26"/>
        </w:rPr>
        <w:t xml:space="preserve"> for</w:t>
      </w:r>
      <w:r w:rsidR="00C65DF8">
        <w:rPr>
          <w:rFonts w:ascii="Book Antiqua" w:hAnsi="Book Antiqua"/>
          <w:sz w:val="26"/>
          <w:szCs w:val="26"/>
        </w:rPr>
        <w:t xml:space="preserve"> </w:t>
      </w:r>
      <w:proofErr w:type="spellStart"/>
      <w:r w:rsidR="008870F6">
        <w:rPr>
          <w:rFonts w:ascii="Book Antiqua" w:hAnsi="Book Antiqua"/>
          <w:sz w:val="26"/>
          <w:szCs w:val="26"/>
        </w:rPr>
        <w:t>WiFi</w:t>
      </w:r>
      <w:proofErr w:type="spellEnd"/>
      <w:r w:rsidR="008870F6">
        <w:rPr>
          <w:rFonts w:ascii="Book Antiqua" w:hAnsi="Book Antiqua"/>
          <w:sz w:val="26"/>
          <w:szCs w:val="26"/>
        </w:rPr>
        <w:t xml:space="preserve"> device</w:t>
      </w:r>
      <w:r w:rsidR="00737833">
        <w:rPr>
          <w:rFonts w:ascii="Book Antiqua" w:hAnsi="Book Antiqua"/>
          <w:sz w:val="26"/>
          <w:szCs w:val="26"/>
        </w:rPr>
        <w:t xml:space="preserve"> purchases,</w:t>
      </w:r>
      <w:r w:rsidR="008870F6">
        <w:rPr>
          <w:rFonts w:ascii="Book Antiqua" w:hAnsi="Book Antiqua"/>
          <w:sz w:val="26"/>
          <w:szCs w:val="26"/>
        </w:rPr>
        <w:t xml:space="preserve"> </w:t>
      </w:r>
      <w:proofErr w:type="spellStart"/>
      <w:r w:rsidR="008870F6">
        <w:rPr>
          <w:rFonts w:ascii="Book Antiqua" w:hAnsi="Book Antiqua"/>
          <w:sz w:val="26"/>
          <w:szCs w:val="26"/>
        </w:rPr>
        <w:t>WiFi</w:t>
      </w:r>
      <w:proofErr w:type="spellEnd"/>
      <w:r w:rsidR="008870F6">
        <w:rPr>
          <w:rFonts w:ascii="Book Antiqua" w:hAnsi="Book Antiqua"/>
          <w:sz w:val="26"/>
          <w:szCs w:val="26"/>
        </w:rPr>
        <w:t xml:space="preserve"> community access</w:t>
      </w:r>
      <w:r w:rsidR="00737833">
        <w:rPr>
          <w:rFonts w:ascii="Book Antiqua" w:hAnsi="Book Antiqua"/>
          <w:sz w:val="26"/>
          <w:szCs w:val="26"/>
        </w:rPr>
        <w:t>, and broadband rate maintenance</w:t>
      </w:r>
      <w:r w:rsidR="008870F6">
        <w:rPr>
          <w:rFonts w:ascii="Book Antiqua" w:hAnsi="Book Antiqua"/>
          <w:sz w:val="26"/>
          <w:szCs w:val="26"/>
        </w:rPr>
        <w:t xml:space="preserve"> </w:t>
      </w:r>
      <w:r w:rsidR="00F926CC">
        <w:rPr>
          <w:rFonts w:ascii="Book Antiqua" w:hAnsi="Book Antiqua"/>
          <w:sz w:val="26"/>
          <w:szCs w:val="26"/>
        </w:rPr>
        <w:t xml:space="preserve">provide </w:t>
      </w:r>
      <w:r w:rsidR="008870F6">
        <w:rPr>
          <w:rFonts w:ascii="Book Antiqua" w:hAnsi="Book Antiqua"/>
          <w:sz w:val="26"/>
          <w:szCs w:val="26"/>
        </w:rPr>
        <w:t>benefit</w:t>
      </w:r>
      <w:r w:rsidR="00F926CC">
        <w:rPr>
          <w:rFonts w:ascii="Book Antiqua" w:hAnsi="Book Antiqua"/>
          <w:sz w:val="26"/>
          <w:szCs w:val="26"/>
        </w:rPr>
        <w:t>s</w:t>
      </w:r>
      <w:r w:rsidR="008870F6">
        <w:rPr>
          <w:rFonts w:ascii="Book Antiqua" w:hAnsi="Book Antiqua"/>
          <w:sz w:val="26"/>
          <w:szCs w:val="26"/>
        </w:rPr>
        <w:t xml:space="preserve"> </w:t>
      </w:r>
      <w:r w:rsidR="00F926CC">
        <w:rPr>
          <w:rFonts w:ascii="Book Antiqua" w:hAnsi="Book Antiqua"/>
          <w:sz w:val="26"/>
          <w:szCs w:val="26"/>
        </w:rPr>
        <w:t xml:space="preserve">to </w:t>
      </w:r>
      <w:r w:rsidR="008870F6">
        <w:rPr>
          <w:rFonts w:ascii="Book Antiqua" w:hAnsi="Book Antiqua"/>
          <w:sz w:val="26"/>
          <w:szCs w:val="26"/>
        </w:rPr>
        <w:t xml:space="preserve">low-income </w:t>
      </w:r>
      <w:r w:rsidR="00802E18">
        <w:rPr>
          <w:rFonts w:ascii="Book Antiqua" w:hAnsi="Book Antiqua"/>
          <w:sz w:val="26"/>
          <w:szCs w:val="26"/>
        </w:rPr>
        <w:t>households</w:t>
      </w:r>
      <w:r w:rsidR="00366DF1">
        <w:rPr>
          <w:rFonts w:ascii="Book Antiqua" w:hAnsi="Book Antiqua"/>
          <w:sz w:val="26"/>
          <w:szCs w:val="26"/>
        </w:rPr>
        <w:t xml:space="preserve"> </w:t>
      </w:r>
      <w:r w:rsidR="008870F6">
        <w:rPr>
          <w:rFonts w:ascii="Book Antiqua" w:hAnsi="Book Antiqua"/>
          <w:sz w:val="26"/>
          <w:szCs w:val="26"/>
        </w:rPr>
        <w:t>and local and tribal communities</w:t>
      </w:r>
      <w:r w:rsidR="00F926CC">
        <w:rPr>
          <w:rFonts w:ascii="Book Antiqua" w:hAnsi="Book Antiqua"/>
          <w:sz w:val="26"/>
          <w:szCs w:val="26"/>
        </w:rPr>
        <w:t xml:space="preserve"> that were not part of Frontier’s Restructuring</w:t>
      </w:r>
      <w:r w:rsidR="008870F6">
        <w:rPr>
          <w:rFonts w:ascii="Book Antiqua" w:hAnsi="Book Antiqua"/>
          <w:sz w:val="26"/>
          <w:szCs w:val="26"/>
        </w:rPr>
        <w:t>.</w:t>
      </w:r>
      <w:r w:rsidR="00233882">
        <w:rPr>
          <w:rFonts w:ascii="Book Antiqua" w:hAnsi="Book Antiqua"/>
          <w:sz w:val="26"/>
          <w:szCs w:val="26"/>
        </w:rPr>
        <w:t xml:space="preserve"> </w:t>
      </w:r>
      <w:r w:rsidR="00112B38">
        <w:rPr>
          <w:rFonts w:ascii="Book Antiqua" w:hAnsi="Book Antiqua"/>
          <w:sz w:val="26"/>
          <w:szCs w:val="26"/>
        </w:rPr>
        <w:t xml:space="preserve"> The Attachment 3 Settlement Agreement contains middle-mile and FTTP project development, tribal liaison, and asset acquisition study provisions that provide specific benefits to the Yurok Tribe.</w:t>
      </w:r>
    </w:p>
    <w:p w:rsidR="00ED55C9" w:rsidP="00330687" w:rsidRDefault="00511574" w14:paraId="200FA862" w14:textId="383CFA5D">
      <w:pPr>
        <w:pStyle w:val="Default"/>
        <w:spacing w:line="360" w:lineRule="auto"/>
        <w:ind w:firstLine="720"/>
        <w:rPr>
          <w:rFonts w:ascii="Book Antiqua" w:hAnsi="Book Antiqua"/>
          <w:sz w:val="26"/>
          <w:szCs w:val="26"/>
        </w:rPr>
      </w:pPr>
      <w:r>
        <w:rPr>
          <w:rFonts w:ascii="Book Antiqua" w:hAnsi="Book Antiqua"/>
          <w:sz w:val="26"/>
          <w:szCs w:val="26"/>
        </w:rPr>
        <w:t xml:space="preserve">In Section 4.2.2 below, we find that the Settlement Agreements are in the public interest. </w:t>
      </w:r>
      <w:r w:rsidR="00233882">
        <w:rPr>
          <w:rFonts w:ascii="Book Antiqua" w:hAnsi="Book Antiqua"/>
          <w:sz w:val="26"/>
          <w:szCs w:val="26"/>
        </w:rPr>
        <w:t xml:space="preserve"> </w:t>
      </w:r>
      <w:r>
        <w:rPr>
          <w:rFonts w:ascii="Book Antiqua" w:hAnsi="Book Antiqua"/>
          <w:sz w:val="26"/>
          <w:szCs w:val="26"/>
        </w:rPr>
        <w:t xml:space="preserve">However, the Settlement Agreements are insufficient to establish that approval of this Application is in the public interest. </w:t>
      </w:r>
      <w:r w:rsidR="00233882">
        <w:rPr>
          <w:rFonts w:ascii="Book Antiqua" w:hAnsi="Book Antiqua"/>
          <w:sz w:val="26"/>
          <w:szCs w:val="26"/>
        </w:rPr>
        <w:t xml:space="preserve"> </w:t>
      </w:r>
      <w:r w:rsidR="008932EC">
        <w:rPr>
          <w:rFonts w:ascii="Book Antiqua" w:hAnsi="Book Antiqua"/>
          <w:sz w:val="26"/>
          <w:szCs w:val="26"/>
        </w:rPr>
        <w:t xml:space="preserve">To address those remaining deficiencies, </w:t>
      </w:r>
      <w:r w:rsidR="00FB47CC">
        <w:rPr>
          <w:rFonts w:ascii="Book Antiqua" w:hAnsi="Book Antiqua"/>
          <w:sz w:val="26"/>
          <w:szCs w:val="26"/>
        </w:rPr>
        <w:t xml:space="preserve">we </w:t>
      </w:r>
      <w:r w:rsidR="00587A87">
        <w:rPr>
          <w:rFonts w:ascii="Book Antiqua" w:hAnsi="Book Antiqua"/>
          <w:sz w:val="26"/>
          <w:szCs w:val="26"/>
        </w:rPr>
        <w:t>describe</w:t>
      </w:r>
      <w:r w:rsidR="00FB47CC">
        <w:rPr>
          <w:rFonts w:ascii="Book Antiqua" w:hAnsi="Book Antiqua"/>
          <w:sz w:val="26"/>
          <w:szCs w:val="26"/>
        </w:rPr>
        <w:t xml:space="preserve"> in the previous subsections of Section 4.1 and </w:t>
      </w:r>
      <w:r w:rsidR="00D258C8">
        <w:rPr>
          <w:rFonts w:ascii="Book Antiqua" w:hAnsi="Book Antiqua"/>
          <w:sz w:val="26"/>
          <w:szCs w:val="26"/>
        </w:rPr>
        <w:t>identify</w:t>
      </w:r>
      <w:r w:rsidR="00FB47CC">
        <w:rPr>
          <w:rFonts w:ascii="Book Antiqua" w:hAnsi="Book Antiqua"/>
          <w:sz w:val="26"/>
          <w:szCs w:val="26"/>
        </w:rPr>
        <w:t xml:space="preserve"> in Ordering Paragraph </w:t>
      </w:r>
      <w:r w:rsidR="002C1F2A">
        <w:rPr>
          <w:rFonts w:ascii="Book Antiqua" w:hAnsi="Book Antiqua"/>
          <w:sz w:val="26"/>
          <w:szCs w:val="26"/>
        </w:rPr>
        <w:t>4</w:t>
      </w:r>
      <w:r w:rsidR="00FB47CC">
        <w:rPr>
          <w:rFonts w:ascii="Book Antiqua" w:hAnsi="Book Antiqua"/>
          <w:sz w:val="26"/>
          <w:szCs w:val="26"/>
        </w:rPr>
        <w:t xml:space="preserve"> the</w:t>
      </w:r>
      <w:r w:rsidR="008932EC">
        <w:rPr>
          <w:rFonts w:ascii="Book Antiqua" w:hAnsi="Book Antiqua"/>
          <w:sz w:val="26"/>
          <w:szCs w:val="26"/>
        </w:rPr>
        <w:t xml:space="preserve"> additional conditions that we find necessary for this Application to be in the public interest.</w:t>
      </w:r>
      <w:r w:rsidR="00233882">
        <w:rPr>
          <w:rFonts w:ascii="Book Antiqua" w:hAnsi="Book Antiqua"/>
          <w:sz w:val="26"/>
          <w:szCs w:val="26"/>
        </w:rPr>
        <w:t xml:space="preserve"> </w:t>
      </w:r>
      <w:r w:rsidR="00D258C8">
        <w:rPr>
          <w:rFonts w:ascii="Book Antiqua" w:hAnsi="Book Antiqua"/>
          <w:sz w:val="26"/>
          <w:szCs w:val="26"/>
        </w:rPr>
        <w:t xml:space="preserve"> </w:t>
      </w:r>
      <w:proofErr w:type="gramStart"/>
      <w:r w:rsidR="00D258C8">
        <w:rPr>
          <w:rFonts w:ascii="Book Antiqua" w:hAnsi="Book Antiqua"/>
          <w:sz w:val="26"/>
          <w:szCs w:val="26"/>
        </w:rPr>
        <w:t>In particular, we</w:t>
      </w:r>
      <w:proofErr w:type="gramEnd"/>
      <w:r w:rsidR="00D258C8">
        <w:rPr>
          <w:rFonts w:ascii="Book Antiqua" w:hAnsi="Book Antiqua"/>
          <w:sz w:val="26"/>
          <w:szCs w:val="26"/>
        </w:rPr>
        <w:t xml:space="preserve"> note the necessity of appointing a Compliance Monitor to ensure that Frontier strictly complies with </w:t>
      </w:r>
      <w:r w:rsidR="00ED55C9">
        <w:rPr>
          <w:rFonts w:ascii="Book Antiqua" w:hAnsi="Book Antiqua"/>
          <w:sz w:val="26"/>
          <w:szCs w:val="26"/>
        </w:rPr>
        <w:t>the numerous</w:t>
      </w:r>
      <w:r w:rsidR="00D258C8">
        <w:rPr>
          <w:rFonts w:ascii="Book Antiqua" w:hAnsi="Book Antiqua"/>
          <w:sz w:val="26"/>
          <w:szCs w:val="26"/>
        </w:rPr>
        <w:t xml:space="preserve"> requirements and conditions </w:t>
      </w:r>
      <w:r w:rsidR="00ED55C9">
        <w:rPr>
          <w:rFonts w:ascii="Book Antiqua" w:hAnsi="Book Antiqua"/>
          <w:sz w:val="26"/>
          <w:szCs w:val="26"/>
        </w:rPr>
        <w:t xml:space="preserve">of the Settlement Agreements and the additional mandates of this decision, and we reference the compelling public interest in recognizing the value to local governments and tribal communities in having a measure of control over the future ownership of telecommunications property in their jurisdiction through a right of first </w:t>
      </w:r>
      <w:r w:rsidR="00902403">
        <w:rPr>
          <w:rFonts w:ascii="Book Antiqua" w:hAnsi="Book Antiqua"/>
          <w:sz w:val="26"/>
          <w:szCs w:val="26"/>
        </w:rPr>
        <w:t>offer</w:t>
      </w:r>
      <w:r w:rsidR="00ED55C9">
        <w:rPr>
          <w:rFonts w:ascii="Book Antiqua" w:hAnsi="Book Antiqua"/>
          <w:sz w:val="26"/>
          <w:szCs w:val="26"/>
        </w:rPr>
        <w:t>.</w:t>
      </w:r>
    </w:p>
    <w:p w:rsidRPr="00330687" w:rsidR="00624E04" w:rsidP="00330687" w:rsidRDefault="00725F62" w14:paraId="5A69EB8A" w14:textId="28800EF1">
      <w:pPr>
        <w:pStyle w:val="Default"/>
        <w:spacing w:line="360" w:lineRule="auto"/>
        <w:ind w:firstLine="720"/>
        <w:rPr>
          <w:rFonts w:ascii="Book Antiqua" w:hAnsi="Book Antiqua"/>
          <w:sz w:val="26"/>
          <w:szCs w:val="26"/>
        </w:rPr>
      </w:pPr>
      <w:r>
        <w:rPr>
          <w:rFonts w:ascii="Book Antiqua" w:hAnsi="Book Antiqua"/>
          <w:sz w:val="26"/>
          <w:szCs w:val="26"/>
        </w:rPr>
        <w:t>After review of the factors set forth in Pub. Util. Code Section 854 and the Scoping Memo,</w:t>
      </w:r>
      <w:r w:rsidR="004E1E23">
        <w:rPr>
          <w:rFonts w:ascii="Book Antiqua" w:hAnsi="Book Antiqua"/>
          <w:sz w:val="26"/>
          <w:szCs w:val="26"/>
        </w:rPr>
        <w:t xml:space="preserve"> we find that the Restructuring, as supplemented with the </w:t>
      </w:r>
      <w:r w:rsidR="004E1E23">
        <w:rPr>
          <w:rFonts w:ascii="Book Antiqua" w:hAnsi="Book Antiqua"/>
          <w:sz w:val="26"/>
          <w:szCs w:val="26"/>
        </w:rPr>
        <w:lastRenderedPageBreak/>
        <w:t xml:space="preserve">requirements and conditions of the Settlement Agreements and Ordering Paragraph </w:t>
      </w:r>
      <w:r w:rsidR="002C1F2A">
        <w:rPr>
          <w:rFonts w:ascii="Book Antiqua" w:hAnsi="Book Antiqua"/>
          <w:sz w:val="26"/>
          <w:szCs w:val="26"/>
        </w:rPr>
        <w:t>4</w:t>
      </w:r>
      <w:r w:rsidR="004E1E23">
        <w:rPr>
          <w:rFonts w:ascii="Book Antiqua" w:hAnsi="Book Antiqua"/>
          <w:sz w:val="26"/>
          <w:szCs w:val="26"/>
        </w:rPr>
        <w:t>, is in the public interest and should be approved.</w:t>
      </w:r>
      <w:r>
        <w:rPr>
          <w:rFonts w:ascii="Book Antiqua" w:hAnsi="Book Antiqua"/>
          <w:sz w:val="26"/>
          <w:szCs w:val="26"/>
        </w:rPr>
        <w:t xml:space="preserve"> </w:t>
      </w:r>
      <w:r w:rsidR="00ED55C9">
        <w:rPr>
          <w:rFonts w:ascii="Book Antiqua" w:hAnsi="Book Antiqua"/>
          <w:sz w:val="26"/>
          <w:szCs w:val="26"/>
        </w:rPr>
        <w:t xml:space="preserve"> </w:t>
      </w:r>
      <w:r w:rsidR="008932EC">
        <w:rPr>
          <w:rFonts w:ascii="Book Antiqua" w:hAnsi="Book Antiqua"/>
          <w:sz w:val="26"/>
          <w:szCs w:val="26"/>
        </w:rPr>
        <w:t xml:space="preserve"> </w:t>
      </w:r>
    </w:p>
    <w:p w:rsidR="00936FA8" w:rsidP="00233882" w:rsidRDefault="00936FA8" w14:paraId="431C2A20" w14:textId="77777777">
      <w:pPr>
        <w:pStyle w:val="Heading2"/>
      </w:pPr>
      <w:bookmarkStart w:name="_Toc67556532" w:id="39"/>
      <w:r w:rsidRPr="00233882">
        <w:t>Motions</w:t>
      </w:r>
      <w:bookmarkEnd w:id="39"/>
    </w:p>
    <w:p w:rsidRPr="00233882" w:rsidR="00936FA8" w:rsidP="00233882" w:rsidRDefault="00936FA8" w14:paraId="6024BD69" w14:textId="24A38EF5">
      <w:pPr>
        <w:pStyle w:val="Heading3"/>
      </w:pPr>
      <w:bookmarkStart w:name="_Toc67556533" w:id="40"/>
      <w:r>
        <w:t>Motion for Leave to File Confidential Portions of Application under Seal</w:t>
      </w:r>
      <w:bookmarkEnd w:id="40"/>
    </w:p>
    <w:p w:rsidRPr="007161AC" w:rsidR="00936FA8" w:rsidP="00936FA8" w:rsidRDefault="00936FA8" w14:paraId="7C835409" w14:textId="73808A3B">
      <w:pPr>
        <w:rPr>
          <w:rFonts w:cs="Times New Roman"/>
          <w:color w:val="000000"/>
          <w:szCs w:val="26"/>
        </w:rPr>
      </w:pPr>
      <w:r w:rsidRPr="007161AC">
        <w:rPr>
          <w:rFonts w:cs="Times New Roman"/>
          <w:color w:val="000000"/>
          <w:szCs w:val="26"/>
        </w:rPr>
        <w:t>Frontier’s May 22, 2020 Motion for Leave to File Confidential Portions of Application under Seal seeks to keep confidential and file under seal Exhibit G of the Application</w:t>
      </w:r>
      <w:r w:rsidR="00F4119E">
        <w:rPr>
          <w:rFonts w:cs="Times New Roman"/>
          <w:color w:val="000000"/>
          <w:szCs w:val="26"/>
        </w:rPr>
        <w:t xml:space="preserve">.  </w:t>
      </w:r>
      <w:r w:rsidRPr="007161AC">
        <w:rPr>
          <w:rFonts w:cs="Times New Roman"/>
          <w:color w:val="000000"/>
          <w:szCs w:val="26"/>
        </w:rPr>
        <w:t xml:space="preserve">Exhibit G contains financial information, including balance sheets and income statements, relating to Frontier’s </w:t>
      </w:r>
      <w:r w:rsidRPr="007161AC" w:rsidR="00C052F2">
        <w:rPr>
          <w:rFonts w:cs="Times New Roman"/>
          <w:color w:val="000000"/>
          <w:szCs w:val="26"/>
        </w:rPr>
        <w:t>California S</w:t>
      </w:r>
      <w:r w:rsidRPr="007161AC">
        <w:rPr>
          <w:rFonts w:cs="Times New Roman"/>
          <w:color w:val="000000"/>
          <w:szCs w:val="26"/>
        </w:rPr>
        <w:t xml:space="preserve">ubsidiaries that are not released as part of Frontier’s public financial reports. </w:t>
      </w:r>
      <w:r w:rsidR="00233882">
        <w:rPr>
          <w:rFonts w:cs="Times New Roman"/>
          <w:color w:val="000000"/>
          <w:szCs w:val="26"/>
        </w:rPr>
        <w:t xml:space="preserve"> </w:t>
      </w:r>
      <w:r w:rsidRPr="007161AC">
        <w:rPr>
          <w:rFonts w:cs="Times New Roman"/>
          <w:color w:val="000000"/>
          <w:szCs w:val="26"/>
        </w:rPr>
        <w:t>As a result, Exhibit</w:t>
      </w:r>
      <w:r w:rsidR="00233882">
        <w:rPr>
          <w:rFonts w:cs="Times New Roman"/>
          <w:color w:val="000000"/>
          <w:szCs w:val="26"/>
        </w:rPr>
        <w:t> </w:t>
      </w:r>
      <w:r w:rsidRPr="007161AC">
        <w:rPr>
          <w:rFonts w:cs="Times New Roman"/>
          <w:color w:val="000000"/>
          <w:szCs w:val="26"/>
        </w:rPr>
        <w:t>G falls within the definition of a protected trade secret under Civil Code Section</w:t>
      </w:r>
      <w:r w:rsidR="00233882">
        <w:rPr>
          <w:rFonts w:cs="Times New Roman"/>
          <w:color w:val="000000"/>
          <w:szCs w:val="26"/>
        </w:rPr>
        <w:t> </w:t>
      </w:r>
      <w:r w:rsidRPr="007161AC">
        <w:rPr>
          <w:rFonts w:cs="Times New Roman"/>
          <w:color w:val="000000"/>
          <w:szCs w:val="26"/>
        </w:rPr>
        <w:t xml:space="preserve">3426.1(d) because it derives independent economic value from not being generally known to the public and Frontier has made reasonable efforts to maintain its secrecy. </w:t>
      </w:r>
      <w:r w:rsidR="00233882">
        <w:rPr>
          <w:rFonts w:cs="Times New Roman"/>
          <w:color w:val="000000"/>
          <w:szCs w:val="26"/>
        </w:rPr>
        <w:t xml:space="preserve"> </w:t>
      </w:r>
      <w:r w:rsidRPr="007161AC" w:rsidR="00C052F2">
        <w:rPr>
          <w:rFonts w:cs="Times New Roman"/>
          <w:color w:val="000000"/>
          <w:szCs w:val="26"/>
        </w:rPr>
        <w:t>N</w:t>
      </w:r>
      <w:r w:rsidRPr="007161AC">
        <w:rPr>
          <w:rFonts w:cs="Times New Roman"/>
          <w:color w:val="000000"/>
          <w:szCs w:val="26"/>
        </w:rPr>
        <w:t xml:space="preserve">o response or other objection to the motion was filed by any party. </w:t>
      </w:r>
      <w:r w:rsidR="00233882">
        <w:rPr>
          <w:rFonts w:cs="Times New Roman"/>
          <w:color w:val="000000"/>
          <w:szCs w:val="26"/>
        </w:rPr>
        <w:t xml:space="preserve"> </w:t>
      </w:r>
      <w:r w:rsidRPr="007161AC">
        <w:rPr>
          <w:rFonts w:cs="Times New Roman"/>
          <w:color w:val="000000"/>
          <w:szCs w:val="26"/>
        </w:rPr>
        <w:t>Therefore, we grant the motion and direct that Exhibit G to the Application be filed under seal</w:t>
      </w:r>
      <w:r w:rsidR="007663CF">
        <w:rPr>
          <w:rFonts w:cs="Times New Roman"/>
          <w:color w:val="000000"/>
          <w:szCs w:val="26"/>
        </w:rPr>
        <w:t xml:space="preserve"> </w:t>
      </w:r>
      <w:r w:rsidR="00A6505F">
        <w:rPr>
          <w:rFonts w:cs="Times New Roman"/>
          <w:color w:val="000000"/>
          <w:szCs w:val="26"/>
        </w:rPr>
        <w:t>pursuant to the terms and</w:t>
      </w:r>
      <w:r w:rsidR="007663CF">
        <w:rPr>
          <w:rFonts w:cs="Times New Roman"/>
          <w:color w:val="000000"/>
          <w:szCs w:val="26"/>
        </w:rPr>
        <w:t xml:space="preserve"> provisions set forth in Ordering Paragraph 4</w:t>
      </w:r>
      <w:r w:rsidRPr="007161AC">
        <w:rPr>
          <w:rFonts w:cs="Times New Roman"/>
          <w:color w:val="000000"/>
          <w:szCs w:val="26"/>
        </w:rPr>
        <w:t>.</w:t>
      </w:r>
    </w:p>
    <w:p w:rsidRPr="00233882" w:rsidR="00936FA8" w:rsidP="00233882" w:rsidRDefault="00936FA8" w14:paraId="73AF4815" w14:textId="41CA82D9">
      <w:pPr>
        <w:pStyle w:val="Heading3"/>
      </w:pPr>
      <w:bookmarkStart w:name="_Toc67556534" w:id="41"/>
      <w:r w:rsidRPr="007161AC">
        <w:t>Joint Motion</w:t>
      </w:r>
      <w:r w:rsidRPr="007161AC" w:rsidR="004C300F">
        <w:t>s</w:t>
      </w:r>
      <w:r w:rsidRPr="007161AC">
        <w:t xml:space="preserve"> for Adoption </w:t>
      </w:r>
      <w:r w:rsidRPr="007161AC" w:rsidR="008B164D">
        <w:t xml:space="preserve">of </w:t>
      </w:r>
      <w:r w:rsidR="00233882">
        <w:br/>
      </w:r>
      <w:r w:rsidRPr="007161AC" w:rsidR="008B164D">
        <w:t>Settlement</w:t>
      </w:r>
      <w:r w:rsidRPr="007161AC">
        <w:t xml:space="preserve"> Agreement</w:t>
      </w:r>
      <w:r w:rsidRPr="007161AC" w:rsidR="004C300F">
        <w:t>s</w:t>
      </w:r>
      <w:bookmarkEnd w:id="41"/>
    </w:p>
    <w:p w:rsidR="00936FA8" w:rsidP="00936FA8" w:rsidRDefault="00936FA8" w14:paraId="266D3F5F" w14:textId="78D23BC3">
      <w:pPr>
        <w:pStyle w:val="Standard"/>
      </w:pPr>
      <w:r w:rsidRPr="007161AC">
        <w:rPr>
          <w:rFonts w:cs="Times New Roman"/>
          <w:color w:val="000000"/>
          <w:szCs w:val="26"/>
        </w:rPr>
        <w:t>Frontier, Cal Advocates, TURN, and CWA have filed a joint motion seeking the Commission’s a</w:t>
      </w:r>
      <w:r w:rsidR="00835C75">
        <w:rPr>
          <w:rFonts w:cs="Times New Roman"/>
          <w:color w:val="000000"/>
          <w:szCs w:val="26"/>
        </w:rPr>
        <w:t>pproval</w:t>
      </w:r>
      <w:r w:rsidRPr="007161AC">
        <w:rPr>
          <w:rFonts w:cs="Times New Roman"/>
          <w:color w:val="000000"/>
          <w:szCs w:val="26"/>
        </w:rPr>
        <w:t xml:space="preserve"> of the</w:t>
      </w:r>
      <w:r w:rsidRPr="007161AC" w:rsidR="00630613">
        <w:rPr>
          <w:rFonts w:cs="Times New Roman"/>
          <w:color w:val="000000"/>
          <w:szCs w:val="26"/>
        </w:rPr>
        <w:t xml:space="preserve"> </w:t>
      </w:r>
      <w:r w:rsidRPr="007161AC" w:rsidR="004E1E23">
        <w:rPr>
          <w:rFonts w:cs="Times New Roman"/>
          <w:color w:val="000000"/>
          <w:szCs w:val="26"/>
        </w:rPr>
        <w:t>Attachment 1</w:t>
      </w:r>
      <w:r w:rsidRPr="007161AC">
        <w:rPr>
          <w:rFonts w:cs="Times New Roman"/>
          <w:color w:val="000000"/>
          <w:szCs w:val="26"/>
        </w:rPr>
        <w:t xml:space="preserve"> Settlement Agreement.</w:t>
      </w:r>
      <w:r>
        <w:t xml:space="preserve"> </w:t>
      </w:r>
      <w:r w:rsidR="00233882">
        <w:t xml:space="preserve"> </w:t>
      </w:r>
      <w:r>
        <w:t xml:space="preserve">The </w:t>
      </w:r>
      <w:r w:rsidR="004E1E23">
        <w:t>Attachment 1</w:t>
      </w:r>
      <w:r>
        <w:t xml:space="preserve"> Settlement Agreement contains numerous California-specific Frontier requirements addressing Restructuring issues raised by </w:t>
      </w:r>
      <w:r w:rsidR="006E3C22">
        <w:t>the settling parties</w:t>
      </w:r>
      <w:r>
        <w:t>, including (1) capital expenditures of $1.75 billion from 2021 through 2024,</w:t>
      </w:r>
      <w:r w:rsidR="008D6F69">
        <w:rPr>
          <w:rStyle w:val="FootnoteReference"/>
        </w:rPr>
        <w:footnoteReference w:id="178"/>
      </w:r>
      <w:r>
        <w:t xml:space="preserve"> (2) for three years after Frontier’s emergence from bankruptcy, a credit of </w:t>
      </w:r>
      <w:r>
        <w:lastRenderedPageBreak/>
        <w:t>$5 per day for all customers and $10 per day for customers in tribal lands for any OOS outage of more than 24 hours,</w:t>
      </w:r>
      <w:r w:rsidR="008D6F69">
        <w:rPr>
          <w:rStyle w:val="FootnoteReference"/>
        </w:rPr>
        <w:footnoteReference w:id="179"/>
      </w:r>
      <w:r>
        <w:t xml:space="preserve"> (3) meeting 80 percent of the </w:t>
      </w:r>
      <w:r w:rsidR="00A312E5">
        <w:t>GO</w:t>
      </w:r>
      <w:r>
        <w:t xml:space="preserve"> 133-D OOS standard for e</w:t>
      </w:r>
      <w:r w:rsidR="00A312E5">
        <w:t>ac</w:t>
      </w:r>
      <w:r>
        <w:t xml:space="preserve">h California ILEC in 2022 and 90 percent in 2023 and 2024, with monthly penalties </w:t>
      </w:r>
      <w:r w:rsidR="00A312E5">
        <w:t>in addition to those in</w:t>
      </w:r>
      <w:r>
        <w:t xml:space="preserve"> G</w:t>
      </w:r>
      <w:r w:rsidR="00A312E5">
        <w:t>O</w:t>
      </w:r>
      <w:r>
        <w:t xml:space="preserve"> 133-D,</w:t>
      </w:r>
      <w:r w:rsidR="008D6F69">
        <w:rPr>
          <w:rStyle w:val="FootnoteReference"/>
        </w:rPr>
        <w:footnoteReference w:id="180"/>
      </w:r>
      <w:r>
        <w:t xml:space="preserve"> (4) no decrease in total employee technician staffing through December 31, 2023,</w:t>
      </w:r>
      <w:r w:rsidR="008D6F69">
        <w:rPr>
          <w:rStyle w:val="FootnoteReference"/>
        </w:rPr>
        <w:footnoteReference w:id="181"/>
      </w:r>
      <w:r>
        <w:t xml:space="preserve"> (5)</w:t>
      </w:r>
      <w:r w:rsidR="00661B30">
        <w:t> </w:t>
      </w:r>
      <w:r>
        <w:t>specified call center operations to be kept open through December 31, 2023,</w:t>
      </w:r>
      <w:r w:rsidR="005F2A5C">
        <w:rPr>
          <w:rStyle w:val="FootnoteReference"/>
        </w:rPr>
        <w:footnoteReference w:id="182"/>
      </w:r>
      <w:r>
        <w:t xml:space="preserve"> (6) hiring two tribal liaisons to improve customer service on tribal lands,</w:t>
      </w:r>
      <w:r w:rsidR="005F2A5C">
        <w:rPr>
          <w:rStyle w:val="FootnoteReference"/>
        </w:rPr>
        <w:footnoteReference w:id="183"/>
      </w:r>
      <w:r>
        <w:t xml:space="preserve"> (7)</w:t>
      </w:r>
      <w:r w:rsidR="00661B30">
        <w:t> </w:t>
      </w:r>
      <w:r>
        <w:t>$11.6 million in capital expenditure</w:t>
      </w:r>
      <w:r w:rsidR="00B7477B">
        <w:t>s</w:t>
      </w:r>
      <w:r>
        <w:t xml:space="preserve"> </w:t>
      </w:r>
      <w:r w:rsidR="00B7477B">
        <w:t xml:space="preserve">for </w:t>
      </w:r>
      <w:r>
        <w:t xml:space="preserve">broadband deployment over four years </w:t>
      </w:r>
      <w:r w:rsidR="00EB1295">
        <w:t>at</w:t>
      </w:r>
      <w:r>
        <w:t xml:space="preserve"> a minimum 25/3 Mbps to at least 4,000 tribal lands locations,</w:t>
      </w:r>
      <w:r w:rsidR="005F2A5C">
        <w:rPr>
          <w:rStyle w:val="FootnoteReference"/>
        </w:rPr>
        <w:footnoteReference w:id="184"/>
      </w:r>
      <w:r>
        <w:t xml:space="preserve"> (8) FTTP to at least 350,000 locations within six years,</w:t>
      </w:r>
      <w:r w:rsidR="005F2A5C">
        <w:rPr>
          <w:rStyle w:val="FootnoteReference"/>
        </w:rPr>
        <w:footnoteReference w:id="185"/>
      </w:r>
      <w:r>
        <w:t xml:space="preserve"> (9) offering its low-income broadband plans at current rates or lower through December 31, 2023 and no residential rate increases for specified copper- and fiber-based voice and broadband services through December 31, 2021,</w:t>
      </w:r>
      <w:r w:rsidR="005F2A5C">
        <w:rPr>
          <w:rStyle w:val="FootnoteReference"/>
        </w:rPr>
        <w:footnoteReference w:id="186"/>
      </w:r>
      <w:r>
        <w:t xml:space="preserve"> and (10) providing specified financial reports.</w:t>
      </w:r>
      <w:r w:rsidR="005F2A5C">
        <w:rPr>
          <w:rStyle w:val="FootnoteReference"/>
        </w:rPr>
        <w:footnoteReference w:id="187"/>
      </w:r>
      <w:r>
        <w:t xml:space="preserve">    </w:t>
      </w:r>
    </w:p>
    <w:p w:rsidR="004C300F" w:rsidP="00936FA8" w:rsidRDefault="004C300F" w14:paraId="146B5687" w14:textId="344B9A68">
      <w:pPr>
        <w:pStyle w:val="Standard"/>
      </w:pPr>
      <w:r>
        <w:t xml:space="preserve">Frontier </w:t>
      </w:r>
      <w:r w:rsidR="007B6B2C">
        <w:t>has also filed a joint motion with CETF for Commission a</w:t>
      </w:r>
      <w:r w:rsidR="00835C75">
        <w:t>pproval</w:t>
      </w:r>
      <w:r w:rsidR="007B6B2C">
        <w:t xml:space="preserve"> of their</w:t>
      </w:r>
      <w:r>
        <w:t xml:space="preserve"> </w:t>
      </w:r>
      <w:r w:rsidR="004E1E23">
        <w:t>Attachment 2</w:t>
      </w:r>
      <w:r>
        <w:t xml:space="preserve"> Settlement Agreement. </w:t>
      </w:r>
      <w:r w:rsidR="00661B30">
        <w:t xml:space="preserve"> </w:t>
      </w:r>
      <w:r>
        <w:t xml:space="preserve">The </w:t>
      </w:r>
      <w:r w:rsidR="004E1E23">
        <w:t>Attachment 2</w:t>
      </w:r>
      <w:r>
        <w:t xml:space="preserve"> Settlement Agreement builds on the previous agreements between Frontier and CETF related to the Verizon Acquisition, including provisions that require Frontier to (1) purchase by September 1, 2021 over 20,000 </w:t>
      </w:r>
      <w:proofErr w:type="spellStart"/>
      <w:r>
        <w:t>WiFi</w:t>
      </w:r>
      <w:proofErr w:type="spellEnd"/>
      <w:r>
        <w:t xml:space="preserve">-capable devices for </w:t>
      </w:r>
      <w:r>
        <w:lastRenderedPageBreak/>
        <w:t>distribution to low-income students, including at least 4,000 devices to tribal communities,</w:t>
      </w:r>
      <w:r w:rsidR="00890868">
        <w:rPr>
          <w:rStyle w:val="FootnoteReference"/>
        </w:rPr>
        <w:footnoteReference w:id="188"/>
      </w:r>
      <w:r>
        <w:t xml:space="preserve"> (2) continue to offer low-income broadband plans at rates equal to or lower than current rates through December 31, 2023,</w:t>
      </w:r>
      <w:r w:rsidR="00890868">
        <w:rPr>
          <w:rStyle w:val="FootnoteReference"/>
        </w:rPr>
        <w:footnoteReference w:id="189"/>
      </w:r>
      <w:r>
        <w:t xml:space="preserve"> (3) expand the locations eligible for public </w:t>
      </w:r>
      <w:proofErr w:type="spellStart"/>
      <w:r>
        <w:t>WiFi</w:t>
      </w:r>
      <w:proofErr w:type="spellEnd"/>
      <w:r>
        <w:t xml:space="preserve"> and prioritize tribal locations for </w:t>
      </w:r>
      <w:proofErr w:type="spellStart"/>
      <w:r>
        <w:t>WiFi</w:t>
      </w:r>
      <w:proofErr w:type="spellEnd"/>
      <w:r>
        <w:t xml:space="preserve"> hotspot deployments,</w:t>
      </w:r>
      <w:r w:rsidR="00890868">
        <w:rPr>
          <w:rStyle w:val="FootnoteReference"/>
        </w:rPr>
        <w:footnoteReference w:id="190"/>
      </w:r>
      <w:r>
        <w:t xml:space="preserve"> and (4) work in good faith to complete its </w:t>
      </w:r>
      <w:proofErr w:type="spellStart"/>
      <w:r>
        <w:t>WiFi</w:t>
      </w:r>
      <w:proofErr w:type="spellEnd"/>
      <w:r>
        <w:t xml:space="preserve"> community </w:t>
      </w:r>
      <w:r w:rsidR="00123155">
        <w:t>ac</w:t>
      </w:r>
      <w:r>
        <w:t>cess commitment to 31 locations by December 31, 2021.</w:t>
      </w:r>
      <w:r w:rsidR="00890868">
        <w:rPr>
          <w:rStyle w:val="FootnoteReference"/>
        </w:rPr>
        <w:footnoteReference w:id="191"/>
      </w:r>
    </w:p>
    <w:p w:rsidR="00112B38" w:rsidP="00936FA8" w:rsidRDefault="00466605" w14:paraId="17287124" w14:textId="120680CE">
      <w:pPr>
        <w:pStyle w:val="Standard"/>
      </w:pPr>
      <w:r>
        <w:t xml:space="preserve">In addition, </w:t>
      </w:r>
      <w:r w:rsidR="00112B38">
        <w:t xml:space="preserve">Frontier </w:t>
      </w:r>
      <w:r w:rsidR="00796AF4">
        <w:t xml:space="preserve">has filed a joint motion with </w:t>
      </w:r>
      <w:r w:rsidR="00112B38">
        <w:t>the Yurok Tribe</w:t>
      </w:r>
      <w:r w:rsidR="00796AF4">
        <w:t xml:space="preserve"> for a</w:t>
      </w:r>
      <w:r w:rsidR="00835C75">
        <w:t>pproval</w:t>
      </w:r>
      <w:r w:rsidR="00796AF4">
        <w:t xml:space="preserve"> of the Attachment 3 Settlement Agreement. </w:t>
      </w:r>
      <w:r w:rsidR="00661B30">
        <w:t xml:space="preserve"> </w:t>
      </w:r>
      <w:r w:rsidR="00796AF4">
        <w:t xml:space="preserve">That settlement agreement provides for the parties’ evaluation and potential deployment of a middle-mile fiber and FTTP project in which Frontier would contribute one-half of the costs up to a maximum of $5 million. </w:t>
      </w:r>
      <w:r w:rsidR="00661B30">
        <w:t xml:space="preserve"> </w:t>
      </w:r>
      <w:r w:rsidR="00796AF4">
        <w:t>Upon completion, the Yurok Tribe would have ownership and use of the constructed fiber capacity proportionate to its financial contribution to the project.</w:t>
      </w:r>
      <w:r w:rsidR="00890868">
        <w:rPr>
          <w:rStyle w:val="FootnoteReference"/>
        </w:rPr>
        <w:footnoteReference w:id="192"/>
      </w:r>
      <w:r w:rsidR="00796AF4">
        <w:t xml:space="preserve"> </w:t>
      </w:r>
      <w:r w:rsidR="00661B30">
        <w:t xml:space="preserve"> </w:t>
      </w:r>
      <w:r w:rsidR="00F16BC6">
        <w:t>In addition to Frontier’s reimbursement of at least $400,000 in Yurok Tribe costs,</w:t>
      </w:r>
      <w:r w:rsidR="00890868">
        <w:rPr>
          <w:rStyle w:val="FootnoteReference"/>
        </w:rPr>
        <w:footnoteReference w:id="193"/>
      </w:r>
      <w:r w:rsidR="00F16BC6">
        <w:t xml:space="preserve"> the Attachment 3 Settlement Agreement</w:t>
      </w:r>
      <w:r w:rsidR="00522C0C">
        <w:t xml:space="preserve"> provides for Frontier to hire a tribal liaison to respond to OOS, customer service, and information sharing matters</w:t>
      </w:r>
      <w:r w:rsidR="00890868">
        <w:rPr>
          <w:rStyle w:val="FootnoteReference"/>
        </w:rPr>
        <w:footnoteReference w:id="194"/>
      </w:r>
      <w:r w:rsidR="00522C0C">
        <w:t xml:space="preserve"> </w:t>
      </w:r>
      <w:r w:rsidR="00413BA7">
        <w:t>and</w:t>
      </w:r>
      <w:r w:rsidR="00522C0C">
        <w:t xml:space="preserve"> a feasibility study to evaluate a potential acquisition of Frontier facilities.</w:t>
      </w:r>
      <w:r w:rsidR="00890868">
        <w:rPr>
          <w:rStyle w:val="FootnoteReference"/>
        </w:rPr>
        <w:footnoteReference w:id="195"/>
      </w:r>
      <w:r w:rsidR="00796AF4">
        <w:t xml:space="preserve"> </w:t>
      </w:r>
    </w:p>
    <w:p w:rsidR="00123155" w:rsidP="00936FA8" w:rsidRDefault="00936FA8" w14:paraId="4DACCBC6" w14:textId="36B1100F">
      <w:pPr>
        <w:pStyle w:val="Standard"/>
      </w:pPr>
      <w:r>
        <w:lastRenderedPageBreak/>
        <w:t xml:space="preserve">Under Rule 12.1(d), the Commission will not approve a settlement unless it is reasonable </w:t>
      </w:r>
      <w:proofErr w:type="gramStart"/>
      <w:r>
        <w:t>in light of</w:t>
      </w:r>
      <w:proofErr w:type="gramEnd"/>
      <w:r>
        <w:t xml:space="preserve"> the whole record, consistent with law, and in the public interest.  California has a strong public policy favoring settlements because they reduce litigation expenses, conserve scarce resources of parties and the Commission, and allow parties to reduce the risk that litigation will produce un</w:t>
      </w:r>
      <w:r w:rsidR="00EB1295">
        <w:t>ac</w:t>
      </w:r>
      <w:r>
        <w:t>ceptable results.</w:t>
      </w:r>
      <w:r>
        <w:rPr>
          <w:rStyle w:val="FootnoteReference"/>
        </w:rPr>
        <w:footnoteReference w:id="196"/>
      </w:r>
      <w:r w:rsidR="00123155">
        <w:t xml:space="preserve"> </w:t>
      </w:r>
      <w:r w:rsidR="00661B30">
        <w:t xml:space="preserve"> </w:t>
      </w:r>
      <w:r w:rsidR="00123155">
        <w:t>Settlements benefit the Commission, the parties, and the public at large by reducing the amount of Commission time and resources dedicated to the proceeding, thereby allowing the Commission to focus on other matters.  Settlement can also serve as a model for earlier resolution of other proceedings by demonstrating the tangible benefits of effective communication and a practical mindset.</w:t>
      </w:r>
      <w:r>
        <w:t xml:space="preserve"> </w:t>
      </w:r>
    </w:p>
    <w:p w:rsidR="00936FA8" w:rsidP="00936FA8" w:rsidRDefault="00936FA8" w14:paraId="4824EF29" w14:textId="41C1DECC">
      <w:pPr>
        <w:pStyle w:val="Standard"/>
      </w:pPr>
      <w:r>
        <w:t xml:space="preserve">Under Rule 12.4, the Commission may reject a proposed settlement whenever it determines that the settlement is not in the public interest. </w:t>
      </w:r>
      <w:r w:rsidR="00661B30">
        <w:t xml:space="preserve"> </w:t>
      </w:r>
      <w:r>
        <w:t xml:space="preserve">Under Rule 12.4(c), the Commission may reject a settlement and propose alternative terms to the settling parties that are </w:t>
      </w:r>
      <w:r w:rsidR="00DB1F3D">
        <w:t>ac</w:t>
      </w:r>
      <w:r>
        <w:t xml:space="preserve">ceptable to the Commission and allow the parties reasonable time to </w:t>
      </w:r>
      <w:r w:rsidR="00DB1F3D">
        <w:t>ac</w:t>
      </w:r>
      <w:r>
        <w:t xml:space="preserve">cept those terms or request other relief. </w:t>
      </w:r>
    </w:p>
    <w:p w:rsidR="00936FA8" w:rsidP="00936FA8" w:rsidRDefault="00936FA8" w14:paraId="4BF7D4F4" w14:textId="20757EE2">
      <w:pPr>
        <w:pStyle w:val="Standard"/>
      </w:pPr>
      <w:r>
        <w:t xml:space="preserve">The </w:t>
      </w:r>
      <w:r w:rsidR="004E1E23">
        <w:t>Attachment 1</w:t>
      </w:r>
      <w:r>
        <w:t xml:space="preserve"> </w:t>
      </w:r>
      <w:r w:rsidRPr="00512EF1">
        <w:t>Settlement</w:t>
      </w:r>
      <w:r>
        <w:t xml:space="preserve"> Agreement reflects </w:t>
      </w:r>
      <w:r w:rsidR="007B1483">
        <w:t xml:space="preserve">reasonable </w:t>
      </w:r>
      <w:r>
        <w:t>compromise</w:t>
      </w:r>
      <w:r w:rsidR="00265EA0">
        <w:t>s</w:t>
      </w:r>
      <w:r>
        <w:t xml:space="preserve"> of the settling parties’ positions set forth in their briefs</w:t>
      </w:r>
      <w:r w:rsidR="007B6B2C">
        <w:t>, and the settlement terms are</w:t>
      </w:r>
      <w:r w:rsidR="007B1483">
        <w:t xml:space="preserve"> soundly based in the evidentiary record</w:t>
      </w:r>
      <w:r w:rsidR="00F4119E">
        <w:t xml:space="preserve">.  </w:t>
      </w:r>
      <w:r>
        <w:t>Frontier’s $1.75 billion capital expenditure commitment is 90 percent of the $1.944 billion proposed by Cal</w:t>
      </w:r>
      <w:r w:rsidR="00661B30">
        <w:t> </w:t>
      </w:r>
      <w:r>
        <w:t>Advocates.</w:t>
      </w:r>
      <w:r>
        <w:rPr>
          <w:rStyle w:val="FootnoteReference"/>
        </w:rPr>
        <w:footnoteReference w:id="197"/>
      </w:r>
      <w:r>
        <w:t xml:space="preserve"> </w:t>
      </w:r>
      <w:r w:rsidR="00661B30">
        <w:t xml:space="preserve"> </w:t>
      </w:r>
      <w:r w:rsidR="00265EA0">
        <w:t>Frontier had initially argued against any employee staffing mandates,</w:t>
      </w:r>
      <w:r w:rsidR="00D835DA">
        <w:rPr>
          <w:rStyle w:val="FootnoteReference"/>
        </w:rPr>
        <w:footnoteReference w:id="198"/>
      </w:r>
      <w:r w:rsidR="00265EA0">
        <w:t xml:space="preserve"> while CWA had proposed maintenance of Frontier’s </w:t>
      </w:r>
      <w:r w:rsidR="004E1E23">
        <w:t xml:space="preserve">entire </w:t>
      </w:r>
      <w:r w:rsidR="00265EA0">
        <w:lastRenderedPageBreak/>
        <w:t>California workforce;</w:t>
      </w:r>
      <w:r w:rsidR="00D835DA">
        <w:rPr>
          <w:rStyle w:val="FootnoteReference"/>
        </w:rPr>
        <w:footnoteReference w:id="199"/>
      </w:r>
      <w:r w:rsidR="00265EA0">
        <w:t xml:space="preserve"> the parties agreed that Frontier would not decrease technician staffing for three years.</w:t>
      </w:r>
      <w:r w:rsidR="00661B30">
        <w:t xml:space="preserve"> </w:t>
      </w:r>
      <w:r w:rsidR="00265EA0">
        <w:t xml:space="preserve"> </w:t>
      </w:r>
      <w:r>
        <w:t>Cal Advocates had proposed tribal lands broadband deployment of 25/3 Mbps to 5,800 locations,</w:t>
      </w:r>
      <w:r>
        <w:rPr>
          <w:rStyle w:val="FootnoteReference"/>
        </w:rPr>
        <w:footnoteReference w:id="200"/>
      </w:r>
      <w:r>
        <w:t xml:space="preserve"> and Frontier agreed to deploy to 4,000 locations. </w:t>
      </w:r>
      <w:r w:rsidR="00661B30">
        <w:t xml:space="preserve"> </w:t>
      </w:r>
      <w:r w:rsidR="00265EA0">
        <w:t>T</w:t>
      </w:r>
      <w:r w:rsidR="002F480E">
        <w:t>he evidentiary record cited in Section 4.1 above fully supports t</w:t>
      </w:r>
      <w:r w:rsidR="005115CA">
        <w:t>hose</w:t>
      </w:r>
      <w:r w:rsidR="002F480E">
        <w:t xml:space="preserve"> provisions</w:t>
      </w:r>
      <w:r w:rsidR="005115CA">
        <w:t xml:space="preserve"> as well as</w:t>
      </w:r>
      <w:r>
        <w:t xml:space="preserve"> </w:t>
      </w:r>
      <w:r w:rsidR="005115CA">
        <w:t xml:space="preserve">the </w:t>
      </w:r>
      <w:r w:rsidR="00017B9B">
        <w:t>Attachment 1</w:t>
      </w:r>
      <w:r w:rsidR="005115CA">
        <w:t xml:space="preserve"> Settlement Agreement’s terms regarding service quality standards, </w:t>
      </w:r>
      <w:r>
        <w:t>price maintenance</w:t>
      </w:r>
      <w:r w:rsidR="005115CA">
        <w:t xml:space="preserve">, tribal liaison hiring, call center operations continuity, and </w:t>
      </w:r>
      <w:r>
        <w:t xml:space="preserve">financial reporting. </w:t>
      </w:r>
      <w:r w:rsidR="00661B30">
        <w:t xml:space="preserve"> </w:t>
      </w:r>
      <w:r w:rsidR="00466605">
        <w:t xml:space="preserve">In Ordering Paragraph 4, </w:t>
      </w:r>
      <w:r w:rsidR="00D556CA">
        <w:t>our clarification of</w:t>
      </w:r>
      <w:r w:rsidR="00466605">
        <w:t xml:space="preserve"> several references in the Attachment 1 Settlement Agreement </w:t>
      </w:r>
      <w:r w:rsidR="00D556CA">
        <w:t xml:space="preserve">furthers our conclusion that the agreement’s terms are reasonable and soundly based. </w:t>
      </w:r>
      <w:r w:rsidR="00661B30">
        <w:t xml:space="preserve"> </w:t>
      </w:r>
      <w:r>
        <w:t xml:space="preserve">On balance, </w:t>
      </w:r>
      <w:r w:rsidR="00265EA0">
        <w:t xml:space="preserve">after taking into consideration the admitted evidence and </w:t>
      </w:r>
      <w:r>
        <w:t xml:space="preserve">the </w:t>
      </w:r>
      <w:r w:rsidR="00265EA0">
        <w:t xml:space="preserve">parties’ positions taken in their briefs, the </w:t>
      </w:r>
      <w:r>
        <w:t xml:space="preserve">evidence supports the conclusion that the terms of the </w:t>
      </w:r>
      <w:r w:rsidR="00017B9B">
        <w:t>Attachment 1</w:t>
      </w:r>
      <w:r>
        <w:t xml:space="preserve"> Settlement Agreement are reasonable </w:t>
      </w:r>
      <w:proofErr w:type="gramStart"/>
      <w:r>
        <w:t>in light of</w:t>
      </w:r>
      <w:proofErr w:type="gramEnd"/>
      <w:r>
        <w:t xml:space="preserve"> the whole record.</w:t>
      </w:r>
    </w:p>
    <w:p w:rsidR="003E1110" w:rsidP="00936FA8" w:rsidRDefault="003E1110" w14:paraId="677E3F48" w14:textId="3AFB75F0">
      <w:pPr>
        <w:pStyle w:val="Standard"/>
      </w:pPr>
      <w:r>
        <w:t xml:space="preserve">In determining whether the </w:t>
      </w:r>
      <w:r w:rsidR="00017B9B">
        <w:t>Attachment 2</w:t>
      </w:r>
      <w:r>
        <w:t xml:space="preserve"> Settlement Agreement is reasonable </w:t>
      </w:r>
      <w:proofErr w:type="gramStart"/>
      <w:r>
        <w:t>in light of</w:t>
      </w:r>
      <w:proofErr w:type="gramEnd"/>
      <w:r>
        <w:t xml:space="preserve"> the entire record, we note that </w:t>
      </w:r>
      <w:r w:rsidR="003D3514">
        <w:t>the record cited in Sections</w:t>
      </w:r>
      <w:r w:rsidR="00F82434">
        <w:t> </w:t>
      </w:r>
      <w:r w:rsidR="003D3514">
        <w:t xml:space="preserve">4.1.7 and 4.1.11 </w:t>
      </w:r>
      <w:r w:rsidR="007003B4">
        <w:t xml:space="preserve">above </w:t>
      </w:r>
      <w:r w:rsidR="003D3514">
        <w:t xml:space="preserve">reflects an ongoing need to address the substantial “digital divide” that exists in California, particularly the lack of robust, reliable, and affordable telecommunications services to low-income customers, rural areas, tribal lands, and other local communities. </w:t>
      </w:r>
      <w:r w:rsidR="00661B30">
        <w:t xml:space="preserve"> </w:t>
      </w:r>
      <w:r>
        <w:t xml:space="preserve">The </w:t>
      </w:r>
      <w:r w:rsidR="00017B9B">
        <w:t>Attachment 2</w:t>
      </w:r>
      <w:r>
        <w:t xml:space="preserve"> Settlement Agreement </w:t>
      </w:r>
      <w:r w:rsidR="007003B4">
        <w:t>specifically benefits those groups</w:t>
      </w:r>
      <w:r>
        <w:t xml:space="preserve"> with </w:t>
      </w:r>
      <w:r w:rsidR="003D3514">
        <w:t xml:space="preserve">Frontier requirements regarding the purchase or installation of </w:t>
      </w:r>
      <w:proofErr w:type="spellStart"/>
      <w:r w:rsidR="003D3514">
        <w:t>WiFi</w:t>
      </w:r>
      <w:proofErr w:type="spellEnd"/>
      <w:r w:rsidR="003D3514">
        <w:t xml:space="preserve">-capable devices and </w:t>
      </w:r>
      <w:proofErr w:type="spellStart"/>
      <w:r w:rsidR="003D3514">
        <w:t>WiFi</w:t>
      </w:r>
      <w:proofErr w:type="spellEnd"/>
      <w:r w:rsidR="003D3514">
        <w:t xml:space="preserve"> access</w:t>
      </w:r>
      <w:r w:rsidR="00F4119E">
        <w:t xml:space="preserve">.  </w:t>
      </w:r>
      <w:r w:rsidR="007003B4">
        <w:t>Therefor</w:t>
      </w:r>
      <w:r w:rsidR="001C4DCC">
        <w:t>e</w:t>
      </w:r>
      <w:r w:rsidR="007003B4">
        <w:t>, we</w:t>
      </w:r>
      <w:r w:rsidR="001C4DCC">
        <w:t xml:space="preserve"> find that the </w:t>
      </w:r>
      <w:r w:rsidR="00017B9B">
        <w:t>Attachment 2</w:t>
      </w:r>
      <w:r w:rsidR="001C4DCC">
        <w:t xml:space="preserve"> Settlement Agreement is reasonable </w:t>
      </w:r>
      <w:proofErr w:type="gramStart"/>
      <w:r w:rsidR="001C4DCC">
        <w:t>in light of</w:t>
      </w:r>
      <w:proofErr w:type="gramEnd"/>
      <w:r w:rsidR="001C4DCC">
        <w:t xml:space="preserve"> the whole record.</w:t>
      </w:r>
    </w:p>
    <w:p w:rsidR="00522C0C" w:rsidP="00936FA8" w:rsidRDefault="00522C0C" w14:paraId="025A97C2" w14:textId="24530C6F">
      <w:pPr>
        <w:pStyle w:val="Standard"/>
      </w:pPr>
      <w:r>
        <w:lastRenderedPageBreak/>
        <w:t xml:space="preserve">In its Opening Brief, the Yurok Tribe had proposed </w:t>
      </w:r>
      <w:r w:rsidR="00413BA7">
        <w:t xml:space="preserve">numerous Frontier commitments, including </w:t>
      </w:r>
      <w:r w:rsidR="00A056D7">
        <w:t>a</w:t>
      </w:r>
      <w:r w:rsidR="00413BA7">
        <w:t xml:space="preserve"> middle-mile </w:t>
      </w:r>
      <w:r w:rsidR="004B0244">
        <w:t xml:space="preserve">fiber </w:t>
      </w:r>
      <w:r w:rsidR="00413BA7">
        <w:t xml:space="preserve">and FTTP buildout, local tribal liaisons within each service hub, and </w:t>
      </w:r>
      <w:r w:rsidR="00A056D7">
        <w:t xml:space="preserve">a right of first refusal regarding any transfer or disposal of Frontier’s local assets. </w:t>
      </w:r>
      <w:r w:rsidR="00661B30">
        <w:t xml:space="preserve"> </w:t>
      </w:r>
      <w:r w:rsidR="004B0244">
        <w:t>The Yurok Tribe agreed to drop many of its proposed Frontier commitments to reach a settlement, and the Attachment 3 Settlement Agreement reflects compromises in which Frontier will pay 50 percent of the costs of a middle-mile fiber and FTTP buildout up to $</w:t>
      </w:r>
      <w:r w:rsidRPr="00661B30" w:rsidR="004B0244">
        <w:t>5</w:t>
      </w:r>
      <w:r w:rsidR="00661B30">
        <w:t> </w:t>
      </w:r>
      <w:r w:rsidRPr="00661B30" w:rsidR="004B0244">
        <w:t>million</w:t>
      </w:r>
      <w:r w:rsidR="004B0244">
        <w:t>, one designated tribal liaison, and a feasibility study regarding a potential acquisition of Frontier facilities</w:t>
      </w:r>
      <w:r w:rsidR="00F103A9">
        <w:t>.</w:t>
      </w:r>
      <w:r w:rsidR="004B0244">
        <w:t xml:space="preserve"> </w:t>
      </w:r>
      <w:r w:rsidR="00661B30">
        <w:t xml:space="preserve"> </w:t>
      </w:r>
      <w:r w:rsidR="00A300FB">
        <w:t>As with the Attachment 2 Settlement Agreement, t</w:t>
      </w:r>
      <w:r w:rsidR="004B0244">
        <w:t xml:space="preserve">he evidentiary record supports the need for </w:t>
      </w:r>
      <w:r w:rsidR="00F7475E">
        <w:t xml:space="preserve">the </w:t>
      </w:r>
      <w:r w:rsidR="004B0244">
        <w:t>improvements in bandwidth, reliability, and</w:t>
      </w:r>
      <w:r w:rsidR="00F7475E">
        <w:t xml:space="preserve"> service reflected in the Attachment 3 Settlement Agreement. </w:t>
      </w:r>
      <w:r w:rsidR="00661B30">
        <w:t xml:space="preserve"> </w:t>
      </w:r>
      <w:r w:rsidR="00F7475E">
        <w:t xml:space="preserve">As a result, the Attachment 3 Settlement Agreement is reasonable </w:t>
      </w:r>
      <w:proofErr w:type="gramStart"/>
      <w:r w:rsidR="00F7475E">
        <w:t>in light of</w:t>
      </w:r>
      <w:proofErr w:type="gramEnd"/>
      <w:r w:rsidR="00F7475E">
        <w:t xml:space="preserve"> the whole record.</w:t>
      </w:r>
      <w:r w:rsidR="004B0244">
        <w:t xml:space="preserve">  </w:t>
      </w:r>
    </w:p>
    <w:p w:rsidR="004A6394" w:rsidP="009A19C4" w:rsidRDefault="00936FA8" w14:paraId="0C4230C6" w14:textId="23A36F8A">
      <w:pPr>
        <w:pStyle w:val="Standard"/>
      </w:pPr>
      <w:r>
        <w:t>Rule 12.1(d) also requires that the Settlement Agreement</w:t>
      </w:r>
      <w:r w:rsidR="00225AF0">
        <w:t>s</w:t>
      </w:r>
      <w:r>
        <w:t xml:space="preserve"> </w:t>
      </w:r>
      <w:r w:rsidR="00A73DD9">
        <w:t>be</w:t>
      </w:r>
      <w:r>
        <w:t xml:space="preserve"> consistent with law</w:t>
      </w:r>
      <w:r w:rsidR="00F4119E">
        <w:t xml:space="preserve">.  </w:t>
      </w:r>
      <w:r w:rsidR="004268D7">
        <w:t>Frontier’s</w:t>
      </w:r>
      <w:r w:rsidR="00227DFE">
        <w:t xml:space="preserve"> Settlement Agreements </w:t>
      </w:r>
      <w:r w:rsidR="00017B9B">
        <w:t xml:space="preserve">commitments </w:t>
      </w:r>
      <w:r w:rsidR="004268D7">
        <w:t xml:space="preserve">comply with all applicable laws and Commission decisions, and the evidentiary record does not show that any settlement terms </w:t>
      </w:r>
      <w:r w:rsidR="002D384E">
        <w:t>violate any corporate or contractual limitations on Frontier’s authority.</w:t>
      </w:r>
      <w:r w:rsidR="004268D7">
        <w:t xml:space="preserve"> </w:t>
      </w:r>
    </w:p>
    <w:p w:rsidR="00B118EF" w:rsidP="009A19C4" w:rsidRDefault="006D7B18" w14:paraId="763B1C96" w14:textId="630EB264">
      <w:pPr>
        <w:pStyle w:val="Standard"/>
      </w:pPr>
      <w:r>
        <w:t>U</w:t>
      </w:r>
      <w:r w:rsidR="00A82157">
        <w:t xml:space="preserve">nder </w:t>
      </w:r>
      <w:r w:rsidR="004A6394">
        <w:t>Rule 12.1(d)</w:t>
      </w:r>
      <w:r w:rsidR="00A82157">
        <w:t>,</w:t>
      </w:r>
      <w:r w:rsidR="004A6394">
        <w:t xml:space="preserve"> the Settlement Agreements </w:t>
      </w:r>
      <w:r w:rsidR="00A82157">
        <w:t xml:space="preserve">must </w:t>
      </w:r>
      <w:r>
        <w:t xml:space="preserve">also </w:t>
      </w:r>
      <w:r w:rsidR="00A82157">
        <w:t>be</w:t>
      </w:r>
      <w:r w:rsidR="004A6394">
        <w:t xml:space="preserve"> in the public interest</w:t>
      </w:r>
      <w:r w:rsidR="007B6B2C">
        <w:t xml:space="preserve">, the same standard analyzed in Section 4.1 above </w:t>
      </w:r>
      <w:r w:rsidR="00936FA8">
        <w:t xml:space="preserve">under Pub. Util. Code Section 854. </w:t>
      </w:r>
      <w:r w:rsidR="00661B30">
        <w:t xml:space="preserve"> </w:t>
      </w:r>
      <w:r w:rsidR="00966581">
        <w:t>T</w:t>
      </w:r>
      <w:r w:rsidR="00936FA8">
        <w:t xml:space="preserve">he </w:t>
      </w:r>
      <w:r w:rsidR="00017B9B">
        <w:t>Attachment 1</w:t>
      </w:r>
      <w:r w:rsidR="00936FA8">
        <w:t xml:space="preserve"> Settlement Agreement’s broadband deployment, service quality, price maintenance, and financial reporting terms provide significant, tangible benefits to the customers and communities served by Frontier. </w:t>
      </w:r>
      <w:r w:rsidR="00661B30">
        <w:t xml:space="preserve"> </w:t>
      </w:r>
      <w:r>
        <w:t xml:space="preserve">The </w:t>
      </w:r>
      <w:r w:rsidR="00017B9B">
        <w:t>Attachment 2</w:t>
      </w:r>
      <w:r>
        <w:t xml:space="preserve"> Settlement Agreement </w:t>
      </w:r>
      <w:r w:rsidR="007003B4">
        <w:t xml:space="preserve">benefits the public interest by its inclusion of Frontier </w:t>
      </w:r>
      <w:proofErr w:type="spellStart"/>
      <w:r w:rsidR="007003B4">
        <w:t>WiFi</w:t>
      </w:r>
      <w:proofErr w:type="spellEnd"/>
      <w:r w:rsidR="007003B4">
        <w:t xml:space="preserve"> device and access requirements </w:t>
      </w:r>
      <w:r w:rsidR="008F3D0C">
        <w:t>targeting low</w:t>
      </w:r>
      <w:r w:rsidR="00661B30">
        <w:noBreakHyphen/>
      </w:r>
      <w:r w:rsidR="008F3D0C">
        <w:t>income students and tribal and other local communities</w:t>
      </w:r>
      <w:r w:rsidR="00F4119E">
        <w:t xml:space="preserve">.  </w:t>
      </w:r>
      <w:r>
        <w:t xml:space="preserve">In addition, the </w:t>
      </w:r>
      <w:r w:rsidR="00017B9B">
        <w:lastRenderedPageBreak/>
        <w:t>Attachment 2</w:t>
      </w:r>
      <w:r>
        <w:t xml:space="preserve"> Settlement Agreement’s price maintenance </w:t>
      </w:r>
      <w:r w:rsidR="00774B0F">
        <w:t xml:space="preserve">provision </w:t>
      </w:r>
      <w:r>
        <w:t>for low</w:t>
      </w:r>
      <w:r w:rsidR="00661B30">
        <w:noBreakHyphen/>
      </w:r>
      <w:r>
        <w:t xml:space="preserve">income broadband plans </w:t>
      </w:r>
      <w:proofErr w:type="gramStart"/>
      <w:r>
        <w:t>addresses</w:t>
      </w:r>
      <w:proofErr w:type="gramEnd"/>
      <w:r>
        <w:t xml:space="preserve"> the important public interest consideration of the Restructuring’s effect on prices charged to customers.</w:t>
      </w:r>
      <w:r w:rsidR="00F7475E">
        <w:t xml:space="preserve"> </w:t>
      </w:r>
      <w:r w:rsidR="00661B30">
        <w:t xml:space="preserve"> </w:t>
      </w:r>
      <w:r w:rsidR="00F7475E">
        <w:t>The Attachment 3 Settlement Agreement provides broadband deployment and service benefits and the possibility of ownership of telecommunications facilities by the Yurok Tribe that we found to be in the public interest in Section 4.1.11 above.</w:t>
      </w:r>
    </w:p>
    <w:p w:rsidR="002C2E08" w:rsidP="009A19C4" w:rsidRDefault="002C2E08" w14:paraId="390C4338" w14:textId="4B398253">
      <w:pPr>
        <w:pStyle w:val="Standard"/>
      </w:pPr>
      <w:r>
        <w:t>The Yurok Tribe filed comments that support the Commission’s a</w:t>
      </w:r>
      <w:r w:rsidR="00835C75">
        <w:t>pproval</w:t>
      </w:r>
      <w:r>
        <w:t xml:space="preserve"> of the Attachment 1 Settlement Agreement and the Attachment 2 Settlement Agreement</w:t>
      </w:r>
      <w:r w:rsidR="00F4119E">
        <w:t xml:space="preserve">.  </w:t>
      </w:r>
      <w:r w:rsidR="000045C6">
        <w:t xml:space="preserve">Greenlining and </w:t>
      </w:r>
      <w:proofErr w:type="spellStart"/>
      <w:r w:rsidR="000045C6">
        <w:t>CforAT</w:t>
      </w:r>
      <w:proofErr w:type="spellEnd"/>
      <w:r w:rsidR="000045C6">
        <w:t xml:space="preserve"> filed comments that were generally supportive of the Attachment 1 Settlement Agreement except that it did not contain specific requirements to ensure that consumers of color and consumers with disabilities will benefit.</w:t>
      </w:r>
      <w:r w:rsidR="000045C6">
        <w:rPr>
          <w:rStyle w:val="FootnoteReference"/>
        </w:rPr>
        <w:footnoteReference w:id="201"/>
      </w:r>
      <w:r w:rsidR="000045C6">
        <w:t xml:space="preserve"> </w:t>
      </w:r>
      <w:r w:rsidR="00F82434">
        <w:t xml:space="preserve"> </w:t>
      </w:r>
      <w:r w:rsidR="00A3497E">
        <w:t xml:space="preserve">However, </w:t>
      </w:r>
      <w:r w:rsidR="000045C6">
        <w:t xml:space="preserve">Greenlining and </w:t>
      </w:r>
      <w:proofErr w:type="spellStart"/>
      <w:r w:rsidR="000045C6">
        <w:t>CforAT</w:t>
      </w:r>
      <w:proofErr w:type="spellEnd"/>
      <w:r w:rsidR="000045C6">
        <w:t xml:space="preserve"> </w:t>
      </w:r>
      <w:r w:rsidR="00584F22">
        <w:t xml:space="preserve">(1) </w:t>
      </w:r>
      <w:r w:rsidR="000045C6">
        <w:t xml:space="preserve">did not </w:t>
      </w:r>
      <w:r w:rsidR="00A20CEB">
        <w:t>provide specific proposed language to modify the Attachment 1 Settlement Agreement, (2) did not submit any motion to admit evidence, (3) did not submit any opening or reply brief, and (4) did not assert that there are disputed material facts that would require a hearing</w:t>
      </w:r>
      <w:r w:rsidR="00BE31AD">
        <w:t xml:space="preserve"> regarding the Attachment 1 Settlement Agreement.</w:t>
      </w:r>
      <w:r w:rsidR="00A3497E">
        <w:t xml:space="preserve"> </w:t>
      </w:r>
      <w:r w:rsidR="00F82434">
        <w:t xml:space="preserve"> </w:t>
      </w:r>
      <w:r w:rsidR="00A3497E">
        <w:t xml:space="preserve">Although </w:t>
      </w:r>
      <w:r w:rsidR="007719E9">
        <w:t xml:space="preserve">the Commission shares their concerns regarding consumers of color and consumers with disabilities, </w:t>
      </w:r>
      <w:r w:rsidR="00A3497E">
        <w:t xml:space="preserve">Greenlining and </w:t>
      </w:r>
      <w:proofErr w:type="spellStart"/>
      <w:r w:rsidR="00A3497E">
        <w:t>CforAT</w:t>
      </w:r>
      <w:proofErr w:type="spellEnd"/>
      <w:r w:rsidR="00A3497E">
        <w:t xml:space="preserve"> have not made a sufficient showing </w:t>
      </w:r>
      <w:r w:rsidR="00586AA9">
        <w:t>that the Attachment 1 Settlement Agreement must be modified to be in the public interest.</w:t>
      </w:r>
      <w:r w:rsidR="00586AA9">
        <w:rPr>
          <w:rStyle w:val="FootnoteReference"/>
        </w:rPr>
        <w:footnoteReference w:id="202"/>
      </w:r>
      <w:r w:rsidR="002E2F03">
        <w:t xml:space="preserve"> CETF filed comments to support the Commission’s a</w:t>
      </w:r>
      <w:r w:rsidR="00835C75">
        <w:t>pproval</w:t>
      </w:r>
      <w:r w:rsidR="002E2F03">
        <w:t xml:space="preserve"> of the Attachment 3 Settlement Agreement.</w:t>
      </w:r>
    </w:p>
    <w:p w:rsidRPr="00DF7F3A" w:rsidR="000E4125" w:rsidP="00ED502A" w:rsidRDefault="00B118EF" w14:paraId="4C90A33F" w14:textId="72CD8D46">
      <w:pPr>
        <w:pStyle w:val="Standard"/>
      </w:pPr>
      <w:r>
        <w:lastRenderedPageBreak/>
        <w:t>In Section 4.1 above, we conclude</w:t>
      </w:r>
      <w:r w:rsidR="00037DA8">
        <w:t xml:space="preserve"> that</w:t>
      </w:r>
      <w:r>
        <w:t xml:space="preserve"> the public interest requires the imposition of additional conditions that are not found in either the Restructuring or the t</w:t>
      </w:r>
      <w:r w:rsidR="00CE295A">
        <w:t>hree</w:t>
      </w:r>
      <w:r>
        <w:t xml:space="preserve"> Settlement Agreements.</w:t>
      </w:r>
      <w:r w:rsidR="00E11798">
        <w:t xml:space="preserve"> </w:t>
      </w:r>
      <w:r w:rsidR="0022721A">
        <w:t xml:space="preserve"> </w:t>
      </w:r>
      <w:r w:rsidR="00A906F7">
        <w:t>Those additional conditions, which are set forth in Ordering Paragraph</w:t>
      </w:r>
      <w:r w:rsidR="00017B9B">
        <w:t xml:space="preserve"> </w:t>
      </w:r>
      <w:r w:rsidR="002C1F2A">
        <w:t>4</w:t>
      </w:r>
      <w:r w:rsidR="00A906F7">
        <w:t xml:space="preserve">, supplement and extend the provisions of the Settlement Agreements. </w:t>
      </w:r>
      <w:r w:rsidR="0022721A">
        <w:t xml:space="preserve"> </w:t>
      </w:r>
      <w:r w:rsidR="004D60A1">
        <w:t>Under Rule 12.4, a settlement agreement may be rejected if it is not in the public interest</w:t>
      </w:r>
      <w:r w:rsidR="00F4119E">
        <w:t xml:space="preserve">.  </w:t>
      </w:r>
      <w:r w:rsidR="0060725B">
        <w:t>T</w:t>
      </w:r>
      <w:r w:rsidR="00C1071F">
        <w:t>h</w:t>
      </w:r>
      <w:r w:rsidR="004D60A1">
        <w:t>e</w:t>
      </w:r>
      <w:r w:rsidR="00C1071F">
        <w:t xml:space="preserve"> additional conditions </w:t>
      </w:r>
      <w:r w:rsidR="004D60A1">
        <w:t xml:space="preserve">we impose in this decision </w:t>
      </w:r>
      <w:r w:rsidR="00C1071F">
        <w:t xml:space="preserve">are </w:t>
      </w:r>
      <w:r w:rsidR="00A906F7">
        <w:t xml:space="preserve">not inconsistent with and do not constitute a rejection of the terms of the Settlement Agreements. </w:t>
      </w:r>
      <w:r w:rsidR="00F82434">
        <w:t xml:space="preserve"> </w:t>
      </w:r>
      <w:r w:rsidR="00A906F7">
        <w:t>To the contrary,</w:t>
      </w:r>
      <w:r w:rsidR="00BD0705">
        <w:t xml:space="preserve"> the</w:t>
      </w:r>
      <w:r w:rsidR="00A906F7">
        <w:t xml:space="preserve"> Settlement Agreements </w:t>
      </w:r>
      <w:r w:rsidR="006A3518">
        <w:t>and the additional conditions are</w:t>
      </w:r>
      <w:r w:rsidR="00991A83">
        <w:t xml:space="preserve"> in the public interest and</w:t>
      </w:r>
      <w:r w:rsidR="006A3518">
        <w:t xml:space="preserve"> essential </w:t>
      </w:r>
      <w:r w:rsidR="00ED502A">
        <w:t>for approval of the Application</w:t>
      </w:r>
      <w:r w:rsidR="006A3518">
        <w:t>.</w:t>
      </w:r>
      <w:r w:rsidR="00ED502A">
        <w:t xml:space="preserve"> </w:t>
      </w:r>
      <w:r w:rsidR="0022721A">
        <w:t xml:space="preserve"> </w:t>
      </w:r>
      <w:r w:rsidR="00ED502A">
        <w:t>Therefore, the t</w:t>
      </w:r>
      <w:r w:rsidR="004B0244">
        <w:t>hree</w:t>
      </w:r>
      <w:r w:rsidR="00ED502A">
        <w:t xml:space="preserve"> Settlement Agreements are </w:t>
      </w:r>
      <w:r w:rsidR="006A3518">
        <w:t xml:space="preserve">reasonable </w:t>
      </w:r>
      <w:proofErr w:type="gramStart"/>
      <w:r w:rsidR="006A3518">
        <w:t>in light of</w:t>
      </w:r>
      <w:proofErr w:type="gramEnd"/>
      <w:r w:rsidR="006A3518">
        <w:t xml:space="preserve"> the record, consistent with law, in the public interest, and should be a</w:t>
      </w:r>
      <w:r w:rsidR="00835C75">
        <w:t>pproved</w:t>
      </w:r>
      <w:r w:rsidR="006A3518">
        <w:t xml:space="preserve">. </w:t>
      </w:r>
      <w:bookmarkStart w:name="_Toc8123723" w:id="42"/>
      <w:bookmarkEnd w:id="14"/>
    </w:p>
    <w:p w:rsidR="005939A5" w:rsidP="00F82434" w:rsidRDefault="005939A5" w14:paraId="292BD365" w14:textId="3956024C">
      <w:pPr>
        <w:pStyle w:val="Heading1"/>
      </w:pPr>
      <w:bookmarkStart w:name="_Toc67556535" w:id="43"/>
      <w:r w:rsidRPr="000E4125">
        <w:t>Comments on Proposed Decision</w:t>
      </w:r>
      <w:bookmarkEnd w:id="42"/>
      <w:bookmarkEnd w:id="43"/>
    </w:p>
    <w:p w:rsidR="003E2EBB" w:rsidP="00BF62F1" w:rsidRDefault="003E2EBB" w14:paraId="0074CFEA" w14:textId="187459BE">
      <w:r>
        <w:t xml:space="preserve">The proposed decision </w:t>
      </w:r>
      <w:r w:rsidR="00F82434">
        <w:t xml:space="preserve">of Administrative Law Judge Peter Wercinski </w:t>
      </w:r>
      <w:r>
        <w:t xml:space="preserve">was </w:t>
      </w:r>
      <w:r w:rsidR="00741E7E">
        <w:t>mailed to the parties</w:t>
      </w:r>
      <w:r>
        <w:t xml:space="preserve"> in accordance with Pub. Util. Code Section 311.</w:t>
      </w:r>
      <w:r w:rsidRPr="00666087">
        <w:t xml:space="preserve">  </w:t>
      </w:r>
      <w:r>
        <w:t>Pursuant to Rule 14.6(b), all parties agreed to reduce the 30</w:t>
      </w:r>
      <w:r>
        <w:noBreakHyphen/>
        <w:t xml:space="preserve">day public review and comment period required by Pub. Util. Code Section 311. </w:t>
      </w:r>
      <w:r w:rsidR="00912067">
        <w:t xml:space="preserve"> </w:t>
      </w:r>
      <w:r w:rsidR="003473F9">
        <w:t>Frontier, Cal Advocates, TURN, CWA, and CETF</w:t>
      </w:r>
      <w:r>
        <w:t xml:space="preserve"> filed opening comments on</w:t>
      </w:r>
      <w:r w:rsidR="003473F9">
        <w:t xml:space="preserve"> April 5, 2021. No party filed reply comments.  We decline to incorporate the parties’ recommended changes because the issues raised in the opening comments have been adequately addressed in the proposed decision.</w:t>
      </w:r>
    </w:p>
    <w:p w:rsidR="005939A5" w:rsidP="00F82434" w:rsidRDefault="00C93441" w14:paraId="34FD9FEF" w14:textId="6DBAE6E1">
      <w:pPr>
        <w:pStyle w:val="Heading1"/>
      </w:pPr>
      <w:r>
        <w:t xml:space="preserve"> </w:t>
      </w:r>
      <w:bookmarkStart w:name="_Toc8123724" w:id="44"/>
      <w:bookmarkStart w:name="_Toc67556536" w:id="45"/>
      <w:r w:rsidRPr="000E4125" w:rsidR="005939A5">
        <w:t>Assignment of Proceeding</w:t>
      </w:r>
      <w:bookmarkEnd w:id="44"/>
      <w:bookmarkEnd w:id="45"/>
    </w:p>
    <w:p w:rsidR="00777615" w:rsidP="00B43C79" w:rsidRDefault="0054009F" w14:paraId="3328E438" w14:textId="72A0623A">
      <w:pPr>
        <w:pStyle w:val="Standard"/>
      </w:pPr>
      <w:r>
        <w:t>Martha Guzman</w:t>
      </w:r>
      <w:r w:rsidR="009D2F77">
        <w:t xml:space="preserve"> </w:t>
      </w:r>
      <w:r w:rsidR="00555C0B">
        <w:t>A</w:t>
      </w:r>
      <w:r w:rsidR="00ED502A">
        <w:t>c</w:t>
      </w:r>
      <w:r>
        <w:t xml:space="preserve">eves </w:t>
      </w:r>
      <w:r w:rsidR="005939A5">
        <w:t>is the assigned Commissioner</w:t>
      </w:r>
      <w:r>
        <w:t xml:space="preserve"> </w:t>
      </w:r>
      <w:r w:rsidR="009A11E9">
        <w:t xml:space="preserve">and Peter Wercinski </w:t>
      </w:r>
      <w:r w:rsidR="00C47D8B">
        <w:t>is</w:t>
      </w:r>
      <w:r w:rsidR="005939A5">
        <w:t xml:space="preserve"> the assigned Administrative Law Judge in this proceeding.</w:t>
      </w:r>
      <w:bookmarkStart w:name="_Toc8123725" w:id="46"/>
    </w:p>
    <w:p w:rsidRPr="00511574" w:rsidR="00511574" w:rsidP="009D2491" w:rsidRDefault="005939A5" w14:paraId="7547B8BC" w14:textId="1857D6A7">
      <w:pPr>
        <w:pStyle w:val="Dummy"/>
      </w:pPr>
      <w:bookmarkStart w:name="_Toc67556537" w:id="47"/>
      <w:r w:rsidRPr="00511574">
        <w:lastRenderedPageBreak/>
        <w:t>Findings of F</w:t>
      </w:r>
      <w:r w:rsidRPr="00511574" w:rsidR="00ED502A">
        <w:t>ac</w:t>
      </w:r>
      <w:r w:rsidRPr="00511574">
        <w:t>t</w:t>
      </w:r>
      <w:bookmarkEnd w:id="46"/>
      <w:bookmarkEnd w:id="47"/>
    </w:p>
    <w:p w:rsidRPr="00B06D16" w:rsidR="00B06D16" w:rsidP="00F82434" w:rsidRDefault="00B06D16" w14:paraId="139A3933" w14:textId="5695936E">
      <w:pPr>
        <w:pStyle w:val="FoF"/>
      </w:pPr>
      <w:r>
        <w:t>The Restructuring</w:t>
      </w:r>
      <w:r w:rsidR="00017B9B">
        <w:t>,</w:t>
      </w:r>
      <w:r>
        <w:t xml:space="preserve"> </w:t>
      </w:r>
      <w:r w:rsidR="00017B9B">
        <w:t xml:space="preserve">as supplemented by the Settlement Agreements and the additional </w:t>
      </w:r>
      <w:r w:rsidR="00CE295A">
        <w:t xml:space="preserve">terms, </w:t>
      </w:r>
      <w:r w:rsidR="00017B9B">
        <w:t>requirements</w:t>
      </w:r>
      <w:r w:rsidR="00CE295A">
        <w:t>,</w:t>
      </w:r>
      <w:r w:rsidR="00017B9B">
        <w:t xml:space="preserve"> and conditions</w:t>
      </w:r>
      <w:r w:rsidR="003D7187">
        <w:t xml:space="preserve"> in Ordering Paragraph </w:t>
      </w:r>
      <w:r w:rsidR="002C1F2A">
        <w:t>4</w:t>
      </w:r>
      <w:r w:rsidR="003D7187">
        <w:t xml:space="preserve">, </w:t>
      </w:r>
      <w:r>
        <w:t>provides short-term and long-term economic benefits to ratepayers.</w:t>
      </w:r>
    </w:p>
    <w:p w:rsidRPr="00511574" w:rsidR="00511574" w:rsidP="00F82434" w:rsidRDefault="00414D50" w14:paraId="2386ABE4" w14:textId="77777777">
      <w:pPr>
        <w:pStyle w:val="FoF"/>
      </w:pPr>
      <w:r w:rsidRPr="00511574">
        <w:rPr>
          <w:rFonts w:cs="BookAntiqua,Italic"/>
          <w:color w:val="000000"/>
          <w:szCs w:val="26"/>
        </w:rPr>
        <w:t>Exhibit G to the Application contains financial information, including balance sheets and income statements, relating to Frontier’s California Subsidiaries that is not generally known to the public.</w:t>
      </w:r>
    </w:p>
    <w:p w:rsidRPr="001D6DBF" w:rsidR="0009211B" w:rsidP="00F82434" w:rsidRDefault="00511574" w14:paraId="58902427" w14:textId="7F751324">
      <w:pPr>
        <w:pStyle w:val="FoF"/>
      </w:pPr>
      <w:r>
        <w:t>Frontier has made reasonable efforts to maintain the secrecy</w:t>
      </w:r>
      <w:r w:rsidR="00B06D16">
        <w:t xml:space="preserve"> of the financial information in Exhibit G to the Application.</w:t>
      </w:r>
    </w:p>
    <w:p w:rsidR="00371F94" w:rsidP="009D621B" w:rsidRDefault="00DF7F3A" w14:paraId="68CE6FA4" w14:textId="62FF28F7">
      <w:pPr>
        <w:pStyle w:val="Dummy"/>
      </w:pPr>
      <w:bookmarkStart w:name="_Toc409172353" w:id="48"/>
      <w:bookmarkStart w:name="_Toc530991179" w:id="49"/>
      <w:bookmarkStart w:name="_Toc25740443" w:id="50"/>
      <w:bookmarkStart w:name="_Toc25740553" w:id="51"/>
      <w:bookmarkStart w:name="_Toc25740657" w:id="52"/>
      <w:bookmarkStart w:name="_Toc67556538" w:id="53"/>
      <w:r w:rsidRPr="00BF62F1">
        <w:t>Conclusions</w:t>
      </w:r>
      <w:r w:rsidRPr="00666087">
        <w:t xml:space="preserve"> of Law</w:t>
      </w:r>
      <w:bookmarkEnd w:id="48"/>
      <w:bookmarkEnd w:id="49"/>
      <w:bookmarkEnd w:id="50"/>
      <w:bookmarkEnd w:id="51"/>
      <w:bookmarkEnd w:id="52"/>
      <w:bookmarkEnd w:id="53"/>
    </w:p>
    <w:p w:rsidR="00666DBF" w:rsidP="009D621B" w:rsidRDefault="00666DBF" w14:paraId="7561D9FA" w14:textId="1349101F">
      <w:pPr>
        <w:pStyle w:val="CoL"/>
        <w:keepNext/>
        <w:keepLines/>
        <w:numPr>
          <w:ilvl w:val="0"/>
          <w:numId w:val="11"/>
        </w:numPr>
        <w:ind w:firstLine="360"/>
      </w:pPr>
      <w:r>
        <w:t xml:space="preserve">The Settlement Agreements are reasonable </w:t>
      </w:r>
      <w:proofErr w:type="gramStart"/>
      <w:r>
        <w:t>in light of</w:t>
      </w:r>
      <w:proofErr w:type="gramEnd"/>
      <w:r>
        <w:t xml:space="preserve"> the whole record, consistent with law, in the public interest</w:t>
      </w:r>
      <w:r w:rsidR="004A6607">
        <w:t>, and should be a</w:t>
      </w:r>
      <w:r w:rsidR="00835C75">
        <w:t>pproved</w:t>
      </w:r>
      <w:r>
        <w:t>.</w:t>
      </w:r>
    </w:p>
    <w:p w:rsidR="004A6607" w:rsidP="00EB6F7D" w:rsidRDefault="004A6607" w14:paraId="2AD82831" w14:textId="77A697FD">
      <w:pPr>
        <w:pStyle w:val="CoL"/>
        <w:numPr>
          <w:ilvl w:val="0"/>
          <w:numId w:val="11"/>
        </w:numPr>
        <w:ind w:firstLine="360"/>
      </w:pPr>
      <w:r>
        <w:t xml:space="preserve">The </w:t>
      </w:r>
      <w:r w:rsidR="00777615">
        <w:t xml:space="preserve">Settlement Agreements and the additional </w:t>
      </w:r>
      <w:r w:rsidR="00CE295A">
        <w:t xml:space="preserve">terms, </w:t>
      </w:r>
      <w:r w:rsidR="00017B9B">
        <w:t>requirements</w:t>
      </w:r>
      <w:r w:rsidR="00CE295A">
        <w:t>,</w:t>
      </w:r>
      <w:r w:rsidR="00017B9B">
        <w:t xml:space="preserve"> and </w:t>
      </w:r>
      <w:r>
        <w:t xml:space="preserve">conditions in Ordering Paragraph </w:t>
      </w:r>
      <w:r w:rsidR="002C1F2A">
        <w:t>4</w:t>
      </w:r>
      <w:r>
        <w:t xml:space="preserve"> are necessary to find</w:t>
      </w:r>
      <w:r w:rsidR="00371F94">
        <w:t xml:space="preserve"> that the Restructuring is in the public interest.</w:t>
      </w:r>
    </w:p>
    <w:p w:rsidR="00E62D1D" w:rsidP="00EB6F7D" w:rsidRDefault="00017B9B" w14:paraId="6F95CB7A" w14:textId="74FC2F7A">
      <w:pPr>
        <w:pStyle w:val="CoL"/>
        <w:numPr>
          <w:ilvl w:val="0"/>
          <w:numId w:val="11"/>
        </w:numPr>
        <w:ind w:firstLine="360"/>
      </w:pPr>
      <w:r>
        <w:t>T</w:t>
      </w:r>
      <w:r w:rsidR="008A65EC">
        <w:t>he Restructuring</w:t>
      </w:r>
      <w:r>
        <w:t xml:space="preserve">, as supplemented by the </w:t>
      </w:r>
      <w:r w:rsidR="00777615">
        <w:t xml:space="preserve">Settlement Agreements and the additional </w:t>
      </w:r>
      <w:r w:rsidR="00CE295A">
        <w:t xml:space="preserve">terms, </w:t>
      </w:r>
      <w:r>
        <w:t>requirements</w:t>
      </w:r>
      <w:r w:rsidR="00CE295A">
        <w:t>,</w:t>
      </w:r>
      <w:r>
        <w:t xml:space="preserve"> and conditions in Ordering Paragraph </w:t>
      </w:r>
      <w:r w:rsidR="002C1F2A">
        <w:t>4</w:t>
      </w:r>
      <w:r>
        <w:t>,</w:t>
      </w:r>
      <w:r w:rsidR="008A65EC">
        <w:t xml:space="preserve"> is in the public interest</w:t>
      </w:r>
      <w:r w:rsidR="006E3E35">
        <w:t xml:space="preserve"> and should be approved</w:t>
      </w:r>
      <w:r w:rsidR="008A65EC">
        <w:t>.</w:t>
      </w:r>
    </w:p>
    <w:p w:rsidR="00E62D1D" w:rsidP="00EB6F7D" w:rsidRDefault="00E62D1D" w14:paraId="66B0E8EC" w14:textId="5649C0F9">
      <w:pPr>
        <w:pStyle w:val="CoL"/>
        <w:numPr>
          <w:ilvl w:val="0"/>
          <w:numId w:val="11"/>
        </w:numPr>
        <w:ind w:firstLine="360"/>
      </w:pPr>
      <w:r>
        <w:t xml:space="preserve">Exhibit G to the Application contains protected trade secrets and should be kept confidential, and Frontier’s </w:t>
      </w:r>
      <w:r w:rsidRPr="00530FDD">
        <w:rPr>
          <w:rFonts w:cs="Times New Roman"/>
          <w:color w:val="000000"/>
          <w:szCs w:val="26"/>
        </w:rPr>
        <w:t>Motion for Leave to File Confidential Portions of Application under Seal</w:t>
      </w:r>
      <w:r>
        <w:t xml:space="preserve"> should be granted pursuant to the terms and provisions of Ordering Paragraph 4.</w:t>
      </w:r>
    </w:p>
    <w:p w:rsidR="0091141F" w:rsidP="00E4607F" w:rsidRDefault="0091141F" w14:paraId="571D70B8" w14:textId="4236764C">
      <w:pPr>
        <w:pStyle w:val="CoL"/>
        <w:ind w:left="547" w:firstLine="0"/>
      </w:pPr>
    </w:p>
    <w:p w:rsidRPr="00666087" w:rsidR="00DF7F3A" w:rsidP="00F82434" w:rsidRDefault="00DF7F3A" w14:paraId="73D9970A" w14:textId="77777777">
      <w:pPr>
        <w:pStyle w:val="Mainex"/>
        <w:keepLines/>
      </w:pPr>
      <w:bookmarkStart w:name="_Toc409172354" w:id="54"/>
      <w:bookmarkStart w:name="_Toc530991180" w:id="55"/>
      <w:bookmarkStart w:name="_Toc25740444" w:id="56"/>
      <w:bookmarkStart w:name="_Toc25740554" w:id="57"/>
      <w:bookmarkStart w:name="_Toc25740658" w:id="58"/>
      <w:bookmarkStart w:name="_Toc67556539" w:id="59"/>
      <w:r w:rsidRPr="00942339">
        <w:lastRenderedPageBreak/>
        <w:t>ORDER</w:t>
      </w:r>
      <w:bookmarkEnd w:id="54"/>
      <w:bookmarkEnd w:id="55"/>
      <w:bookmarkEnd w:id="56"/>
      <w:bookmarkEnd w:id="57"/>
      <w:bookmarkEnd w:id="58"/>
      <w:bookmarkEnd w:id="59"/>
    </w:p>
    <w:p w:rsidR="00134A76" w:rsidP="00F82434" w:rsidRDefault="00DF7F3A" w14:paraId="25A91B0D" w14:textId="77777777">
      <w:pPr>
        <w:pStyle w:val="standard0"/>
        <w:keepNext/>
        <w:keepLines/>
        <w:rPr>
          <w:rFonts w:ascii="Book Antiqua" w:hAnsi="Book Antiqua"/>
        </w:rPr>
      </w:pPr>
      <w:r w:rsidRPr="00666087">
        <w:rPr>
          <w:rFonts w:ascii="Book Antiqua" w:hAnsi="Book Antiqua"/>
          <w:b/>
        </w:rPr>
        <w:t>IT IS ORDERED</w:t>
      </w:r>
      <w:r w:rsidRPr="00666087">
        <w:rPr>
          <w:rFonts w:ascii="Book Antiqua" w:hAnsi="Book Antiqua"/>
        </w:rPr>
        <w:t xml:space="preserve"> that:</w:t>
      </w:r>
    </w:p>
    <w:p w:rsidR="00BA1124" w:rsidP="00F82434" w:rsidRDefault="0091141F" w14:paraId="026CE8BB" w14:textId="2EC9D7DF">
      <w:pPr>
        <w:pStyle w:val="OP"/>
        <w:keepNext/>
        <w:keepLines/>
        <w:autoSpaceDE w:val="0"/>
        <w:autoSpaceDN w:val="0"/>
        <w:adjustRightInd w:val="0"/>
        <w:rPr>
          <w:rFonts w:cs="Times New Roman"/>
          <w:szCs w:val="26"/>
        </w:rPr>
      </w:pPr>
      <w:r w:rsidRPr="0091141F">
        <w:rPr>
          <w:szCs w:val="26"/>
        </w:rPr>
        <w:t>The December 24, 2020 Joint Motion for Adoption of Settlement Agreement</w:t>
      </w:r>
      <w:r w:rsidR="00BA1124">
        <w:rPr>
          <w:szCs w:val="26"/>
        </w:rPr>
        <w:t xml:space="preserve"> </w:t>
      </w:r>
      <w:r w:rsidRPr="0091141F">
        <w:rPr>
          <w:szCs w:val="26"/>
        </w:rPr>
        <w:t xml:space="preserve">by </w:t>
      </w:r>
      <w:r w:rsidRPr="0091141F">
        <w:rPr>
          <w:rFonts w:cs="Times New Roman"/>
          <w:szCs w:val="26"/>
        </w:rPr>
        <w:t>Frontier Communications Corporation</w:t>
      </w:r>
      <w:r>
        <w:rPr>
          <w:rFonts w:cs="Times New Roman"/>
          <w:szCs w:val="26"/>
        </w:rPr>
        <w:t>,</w:t>
      </w:r>
      <w:r w:rsidRPr="0091141F">
        <w:rPr>
          <w:rFonts w:cs="Times New Roman"/>
          <w:szCs w:val="26"/>
        </w:rPr>
        <w:t xml:space="preserve"> Frontier California Inc., Citizens Telecommunications Company of California Inc., Frontier</w:t>
      </w:r>
      <w:r w:rsidR="00BA1124">
        <w:rPr>
          <w:rFonts w:cs="Times New Roman"/>
          <w:szCs w:val="26"/>
        </w:rPr>
        <w:t xml:space="preserve"> </w:t>
      </w:r>
      <w:r w:rsidRPr="00BA1124">
        <w:rPr>
          <w:rFonts w:cs="Times New Roman"/>
          <w:szCs w:val="26"/>
        </w:rPr>
        <w:t>Communications of the Southwest Inc., Frontier Communications Online and Long Distance Inc., Frontier Communications of America, Inc., the Public Advocates Office at the California Public Utilities Commission, The Utility Reform Network, and the</w:t>
      </w:r>
      <w:r w:rsidRPr="00BA1124" w:rsidR="00BA1124">
        <w:rPr>
          <w:rFonts w:cs="Times New Roman"/>
          <w:szCs w:val="26"/>
        </w:rPr>
        <w:t xml:space="preserve"> </w:t>
      </w:r>
      <w:r w:rsidRPr="00BA1124">
        <w:rPr>
          <w:rFonts w:cs="Times New Roman"/>
          <w:szCs w:val="26"/>
        </w:rPr>
        <w:t>Communications Workers of America, District 9</w:t>
      </w:r>
      <w:r w:rsidRPr="00BA1124" w:rsidR="00BA1124">
        <w:rPr>
          <w:rFonts w:cs="Times New Roman"/>
          <w:szCs w:val="26"/>
        </w:rPr>
        <w:t xml:space="preserve"> </w:t>
      </w:r>
      <w:r w:rsidR="00BA1124">
        <w:rPr>
          <w:rFonts w:cs="Times New Roman"/>
          <w:szCs w:val="26"/>
        </w:rPr>
        <w:t>is granted, and the December 24, 2020 Settlement Agreement att</w:t>
      </w:r>
      <w:r w:rsidR="00ED502A">
        <w:rPr>
          <w:rFonts w:cs="Times New Roman"/>
          <w:szCs w:val="26"/>
        </w:rPr>
        <w:t>ac</w:t>
      </w:r>
      <w:r w:rsidR="00BA1124">
        <w:rPr>
          <w:rFonts w:cs="Times New Roman"/>
          <w:szCs w:val="26"/>
        </w:rPr>
        <w:t>hed to this decision as A</w:t>
      </w:r>
      <w:r w:rsidR="001B6C40">
        <w:rPr>
          <w:rFonts w:cs="Times New Roman"/>
          <w:szCs w:val="26"/>
        </w:rPr>
        <w:t>ttachment 1</w:t>
      </w:r>
      <w:r w:rsidR="00BA1124">
        <w:rPr>
          <w:rFonts w:cs="Times New Roman"/>
          <w:szCs w:val="26"/>
        </w:rPr>
        <w:t xml:space="preserve"> is a</w:t>
      </w:r>
      <w:r w:rsidR="00835C75">
        <w:rPr>
          <w:rFonts w:cs="Times New Roman"/>
          <w:szCs w:val="26"/>
        </w:rPr>
        <w:t>pproved</w:t>
      </w:r>
      <w:r w:rsidR="00BA1124">
        <w:rPr>
          <w:rFonts w:cs="Times New Roman"/>
          <w:szCs w:val="26"/>
        </w:rPr>
        <w:t xml:space="preserve"> in its entirety.</w:t>
      </w:r>
    </w:p>
    <w:p w:rsidR="00BA1124" w:rsidP="00BA1124" w:rsidRDefault="00BA1124" w14:paraId="551C1373" w14:textId="106B579D">
      <w:pPr>
        <w:pStyle w:val="OP"/>
        <w:autoSpaceDE w:val="0"/>
        <w:autoSpaceDN w:val="0"/>
        <w:adjustRightInd w:val="0"/>
        <w:rPr>
          <w:rFonts w:cs="Times New Roman"/>
          <w:szCs w:val="26"/>
        </w:rPr>
      </w:pPr>
      <w:r w:rsidRPr="0091141F">
        <w:rPr>
          <w:szCs w:val="26"/>
        </w:rPr>
        <w:t>The December 2</w:t>
      </w:r>
      <w:r>
        <w:rPr>
          <w:szCs w:val="26"/>
        </w:rPr>
        <w:t>9</w:t>
      </w:r>
      <w:r w:rsidRPr="0091141F">
        <w:rPr>
          <w:szCs w:val="26"/>
        </w:rPr>
        <w:t xml:space="preserve">, 2020 Joint Motion </w:t>
      </w:r>
      <w:r w:rsidR="00F5000B">
        <w:rPr>
          <w:szCs w:val="26"/>
        </w:rPr>
        <w:t xml:space="preserve">of </w:t>
      </w:r>
      <w:r w:rsidRPr="0091141F">
        <w:rPr>
          <w:rFonts w:cs="Times New Roman"/>
          <w:szCs w:val="26"/>
        </w:rPr>
        <w:t>Frontier Communications Corporation</w:t>
      </w:r>
      <w:r>
        <w:rPr>
          <w:rFonts w:cs="Times New Roman"/>
          <w:szCs w:val="26"/>
        </w:rPr>
        <w:t>,</w:t>
      </w:r>
      <w:r w:rsidRPr="0091141F">
        <w:rPr>
          <w:rFonts w:cs="Times New Roman"/>
          <w:szCs w:val="26"/>
        </w:rPr>
        <w:t xml:space="preserve"> Frontier California Inc., Citizens Telecommunications Company of California Inc., Frontier</w:t>
      </w:r>
      <w:r>
        <w:rPr>
          <w:rFonts w:cs="Times New Roman"/>
          <w:szCs w:val="26"/>
        </w:rPr>
        <w:t xml:space="preserve"> </w:t>
      </w:r>
      <w:r w:rsidRPr="00BA1124">
        <w:rPr>
          <w:rFonts w:cs="Times New Roman"/>
          <w:szCs w:val="26"/>
        </w:rPr>
        <w:t xml:space="preserve">Communications of the Southwest Inc., Frontier Communications Online and Long Distance Inc., Frontier Communications of America, Inc., </w:t>
      </w:r>
      <w:r w:rsidR="00F5000B">
        <w:rPr>
          <w:rFonts w:cs="Times New Roman"/>
          <w:szCs w:val="26"/>
        </w:rPr>
        <w:t xml:space="preserve">and the California Emerging Technology Fund for Adoption of Settlement Agreement is granted, </w:t>
      </w:r>
      <w:r>
        <w:rPr>
          <w:rFonts w:cs="Times New Roman"/>
          <w:szCs w:val="26"/>
        </w:rPr>
        <w:t xml:space="preserve">and the December </w:t>
      </w:r>
      <w:r w:rsidR="00372BC6">
        <w:rPr>
          <w:rFonts w:cs="Times New Roman"/>
          <w:szCs w:val="26"/>
        </w:rPr>
        <w:t>12</w:t>
      </w:r>
      <w:r>
        <w:rPr>
          <w:rFonts w:cs="Times New Roman"/>
          <w:szCs w:val="26"/>
        </w:rPr>
        <w:t>, 2020 Settlement Agreement att</w:t>
      </w:r>
      <w:r w:rsidR="00ED502A">
        <w:rPr>
          <w:rFonts w:cs="Times New Roman"/>
          <w:szCs w:val="26"/>
        </w:rPr>
        <w:t>ac</w:t>
      </w:r>
      <w:r>
        <w:rPr>
          <w:rFonts w:cs="Times New Roman"/>
          <w:szCs w:val="26"/>
        </w:rPr>
        <w:t>hed to this decision as A</w:t>
      </w:r>
      <w:r w:rsidR="001B6C40">
        <w:rPr>
          <w:rFonts w:cs="Times New Roman"/>
          <w:szCs w:val="26"/>
        </w:rPr>
        <w:t>ttachment 2</w:t>
      </w:r>
      <w:r>
        <w:rPr>
          <w:rFonts w:cs="Times New Roman"/>
          <w:szCs w:val="26"/>
        </w:rPr>
        <w:t xml:space="preserve"> is a</w:t>
      </w:r>
      <w:r w:rsidR="00835C75">
        <w:rPr>
          <w:rFonts w:cs="Times New Roman"/>
          <w:szCs w:val="26"/>
        </w:rPr>
        <w:t>pproved</w:t>
      </w:r>
      <w:r>
        <w:rPr>
          <w:rFonts w:cs="Times New Roman"/>
          <w:szCs w:val="26"/>
        </w:rPr>
        <w:t xml:space="preserve"> in its entirety.</w:t>
      </w:r>
    </w:p>
    <w:p w:rsidRPr="006E3E35" w:rsidR="006E3E35" w:rsidP="006E3E35" w:rsidRDefault="006E3E35" w14:paraId="4C4A48C1" w14:textId="010CCE19">
      <w:pPr>
        <w:pStyle w:val="OP"/>
        <w:autoSpaceDE w:val="0"/>
        <w:autoSpaceDN w:val="0"/>
        <w:adjustRightInd w:val="0"/>
        <w:rPr>
          <w:rFonts w:cs="Times New Roman"/>
          <w:szCs w:val="26"/>
        </w:rPr>
      </w:pPr>
      <w:r w:rsidRPr="0091141F">
        <w:rPr>
          <w:szCs w:val="26"/>
        </w:rPr>
        <w:t xml:space="preserve">The </w:t>
      </w:r>
      <w:r>
        <w:rPr>
          <w:szCs w:val="26"/>
        </w:rPr>
        <w:t>January 19</w:t>
      </w:r>
      <w:r w:rsidRPr="0091141F">
        <w:rPr>
          <w:szCs w:val="26"/>
        </w:rPr>
        <w:t>, 202</w:t>
      </w:r>
      <w:r>
        <w:rPr>
          <w:szCs w:val="26"/>
        </w:rPr>
        <w:t>1</w:t>
      </w:r>
      <w:r w:rsidRPr="0091141F">
        <w:rPr>
          <w:szCs w:val="26"/>
        </w:rPr>
        <w:t xml:space="preserve"> Joint Motion </w:t>
      </w:r>
      <w:r>
        <w:rPr>
          <w:szCs w:val="26"/>
        </w:rPr>
        <w:t xml:space="preserve">of </w:t>
      </w:r>
      <w:r w:rsidRPr="0091141F">
        <w:rPr>
          <w:rFonts w:cs="Times New Roman"/>
          <w:szCs w:val="26"/>
        </w:rPr>
        <w:t>Frontier Communications Corporation</w:t>
      </w:r>
      <w:r>
        <w:rPr>
          <w:rFonts w:cs="Times New Roman"/>
          <w:szCs w:val="26"/>
        </w:rPr>
        <w:t>,</w:t>
      </w:r>
      <w:r w:rsidRPr="0091141F">
        <w:rPr>
          <w:rFonts w:cs="Times New Roman"/>
          <w:szCs w:val="26"/>
        </w:rPr>
        <w:t xml:space="preserve"> Frontier California Inc., Citizens Telecommunications Company of California Inc., Frontier</w:t>
      </w:r>
      <w:r>
        <w:rPr>
          <w:rFonts w:cs="Times New Roman"/>
          <w:szCs w:val="26"/>
        </w:rPr>
        <w:t xml:space="preserve"> </w:t>
      </w:r>
      <w:r w:rsidRPr="00BA1124">
        <w:rPr>
          <w:rFonts w:cs="Times New Roman"/>
          <w:szCs w:val="26"/>
        </w:rPr>
        <w:t xml:space="preserve">Communications of the Southwest Inc., Frontier Communications Online and Long Distance Inc., Frontier Communications of America, Inc., </w:t>
      </w:r>
      <w:r>
        <w:rPr>
          <w:rFonts w:cs="Times New Roman"/>
          <w:szCs w:val="26"/>
        </w:rPr>
        <w:t>and the Yurok Tribe for Adoption of Settlement Agreement is granted, and the January 19, 2021 Settlement Agreement attached to this decision as Attachment 3 is a</w:t>
      </w:r>
      <w:r w:rsidR="00835C75">
        <w:rPr>
          <w:rFonts w:cs="Times New Roman"/>
          <w:szCs w:val="26"/>
        </w:rPr>
        <w:t>pproved</w:t>
      </w:r>
      <w:r>
        <w:rPr>
          <w:rFonts w:cs="Times New Roman"/>
          <w:szCs w:val="26"/>
        </w:rPr>
        <w:t xml:space="preserve"> in its entirety.</w:t>
      </w:r>
    </w:p>
    <w:p w:rsidR="001E1119" w:rsidP="00BA1124" w:rsidRDefault="001E1119" w14:paraId="7F2F6604" w14:textId="19E28385">
      <w:pPr>
        <w:pStyle w:val="OP"/>
        <w:autoSpaceDE w:val="0"/>
        <w:autoSpaceDN w:val="0"/>
        <w:adjustRightInd w:val="0"/>
        <w:rPr>
          <w:rFonts w:cs="Times New Roman"/>
          <w:szCs w:val="26"/>
        </w:rPr>
      </w:pPr>
      <w:r>
        <w:rPr>
          <w:rFonts w:cs="Times New Roman"/>
          <w:szCs w:val="26"/>
        </w:rPr>
        <w:lastRenderedPageBreak/>
        <w:t xml:space="preserve">The corporate restructuring </w:t>
      </w:r>
      <w:r w:rsidR="0060122D">
        <w:rPr>
          <w:rFonts w:cs="Times New Roman"/>
          <w:szCs w:val="26"/>
        </w:rPr>
        <w:t xml:space="preserve">of </w:t>
      </w:r>
      <w:r w:rsidRPr="0091141F" w:rsidR="0060122D">
        <w:rPr>
          <w:rFonts w:cs="Times New Roman"/>
          <w:szCs w:val="26"/>
        </w:rPr>
        <w:t>Frontier Communications Corporation</w:t>
      </w:r>
      <w:r w:rsidR="0060122D">
        <w:rPr>
          <w:rFonts w:cs="Times New Roman"/>
          <w:szCs w:val="26"/>
        </w:rPr>
        <w:t>,</w:t>
      </w:r>
      <w:r w:rsidRPr="0091141F" w:rsidR="0060122D">
        <w:rPr>
          <w:rFonts w:cs="Times New Roman"/>
          <w:szCs w:val="26"/>
        </w:rPr>
        <w:t xml:space="preserve"> Frontier California Inc., Citizens Telecommunications Company of California Inc., Frontier</w:t>
      </w:r>
      <w:r w:rsidR="0060122D">
        <w:rPr>
          <w:rFonts w:cs="Times New Roman"/>
          <w:szCs w:val="26"/>
        </w:rPr>
        <w:t xml:space="preserve"> </w:t>
      </w:r>
      <w:r w:rsidRPr="00BA1124" w:rsidR="0060122D">
        <w:rPr>
          <w:rFonts w:cs="Times New Roman"/>
          <w:szCs w:val="26"/>
        </w:rPr>
        <w:t xml:space="preserve">Communications of the Southwest Inc., Frontier Communications Online and Long Distance Inc., </w:t>
      </w:r>
      <w:r w:rsidR="0060122D">
        <w:rPr>
          <w:rFonts w:cs="Times New Roman"/>
          <w:szCs w:val="26"/>
        </w:rPr>
        <w:t xml:space="preserve">and </w:t>
      </w:r>
      <w:r w:rsidRPr="00BA1124" w:rsidR="0060122D">
        <w:rPr>
          <w:rFonts w:cs="Times New Roman"/>
          <w:szCs w:val="26"/>
        </w:rPr>
        <w:t>Frontier Communications of America, Inc.</w:t>
      </w:r>
      <w:r w:rsidR="0060122D">
        <w:rPr>
          <w:rFonts w:cs="Times New Roman"/>
          <w:szCs w:val="26"/>
        </w:rPr>
        <w:t xml:space="preserve"> (collectively Frontier) </w:t>
      </w:r>
      <w:r>
        <w:rPr>
          <w:rFonts w:cs="Times New Roman"/>
          <w:szCs w:val="26"/>
        </w:rPr>
        <w:t>described in the Application</w:t>
      </w:r>
      <w:r w:rsidR="00173AC2">
        <w:rPr>
          <w:rFonts w:cs="Times New Roman"/>
          <w:szCs w:val="26"/>
        </w:rPr>
        <w:t xml:space="preserve"> </w:t>
      </w:r>
      <w:r>
        <w:rPr>
          <w:rFonts w:cs="Times New Roman"/>
          <w:szCs w:val="26"/>
        </w:rPr>
        <w:t xml:space="preserve">is approved subject to the following </w:t>
      </w:r>
      <w:r w:rsidR="00CE295A">
        <w:rPr>
          <w:rFonts w:cs="Times New Roman"/>
          <w:szCs w:val="26"/>
        </w:rPr>
        <w:t xml:space="preserve">terms, </w:t>
      </w:r>
      <w:r w:rsidR="00A52DEE">
        <w:rPr>
          <w:rFonts w:cs="Times New Roman"/>
          <w:szCs w:val="26"/>
        </w:rPr>
        <w:t>requirements</w:t>
      </w:r>
      <w:r w:rsidR="00CE295A">
        <w:rPr>
          <w:rFonts w:cs="Times New Roman"/>
          <w:szCs w:val="26"/>
        </w:rPr>
        <w:t>,</w:t>
      </w:r>
      <w:r w:rsidR="00A52DEE">
        <w:rPr>
          <w:rFonts w:cs="Times New Roman"/>
          <w:szCs w:val="26"/>
        </w:rPr>
        <w:t xml:space="preserve"> and </w:t>
      </w:r>
      <w:r>
        <w:rPr>
          <w:rFonts w:cs="Times New Roman"/>
          <w:szCs w:val="26"/>
        </w:rPr>
        <w:t>conditions:</w:t>
      </w:r>
    </w:p>
    <w:p w:rsidR="00D82390" w:rsidP="0022721A" w:rsidRDefault="00D82390" w14:paraId="6A01F0B4" w14:textId="4F5E4800">
      <w:pPr>
        <w:pStyle w:val="ListAlpha"/>
        <w:numPr>
          <w:ilvl w:val="7"/>
          <w:numId w:val="29"/>
        </w:numPr>
      </w:pPr>
      <w:r>
        <w:t>The parties to the December 24, 2020 Settlement Agreement att</w:t>
      </w:r>
      <w:r w:rsidR="00ED502A">
        <w:t>ac</w:t>
      </w:r>
      <w:r>
        <w:t>hed to this decision as A</w:t>
      </w:r>
      <w:r w:rsidR="001B6C40">
        <w:t>ttachment 1</w:t>
      </w:r>
      <w:r>
        <w:t xml:space="preserve"> </w:t>
      </w:r>
      <w:r w:rsidR="00F942CA">
        <w:t>(A</w:t>
      </w:r>
      <w:r w:rsidR="001B6C40">
        <w:t>ttachment 1</w:t>
      </w:r>
      <w:r w:rsidR="00F942CA">
        <w:t xml:space="preserve"> Settlement Agreement) </w:t>
      </w:r>
      <w:r>
        <w:t xml:space="preserve">shall fully comply with all </w:t>
      </w:r>
      <w:r w:rsidR="006B12A9">
        <w:t xml:space="preserve">terms, </w:t>
      </w:r>
      <w:r w:rsidR="00A52DEE">
        <w:t>requirements</w:t>
      </w:r>
      <w:r w:rsidR="006B12A9">
        <w:t>,</w:t>
      </w:r>
      <w:r w:rsidR="00A52DEE">
        <w:t xml:space="preserve"> and conditions of the Attachment 1 Settlement Agreement </w:t>
      </w:r>
      <w:proofErr w:type="gramStart"/>
      <w:r w:rsidR="00A52DEE">
        <w:t>whether or not</w:t>
      </w:r>
      <w:proofErr w:type="gramEnd"/>
      <w:r w:rsidR="00A52DEE">
        <w:t xml:space="preserve"> the Attachment 1 Settlement Agreement terminates for any reason. T</w:t>
      </w:r>
      <w:r>
        <w:t xml:space="preserve">he California Public Utilities Commission (Commission) </w:t>
      </w:r>
      <w:r w:rsidR="000662C2">
        <w:t>shall have all rights and benefits of</w:t>
      </w:r>
      <w:r w:rsidR="00F942CA">
        <w:t xml:space="preserve"> a party under the A</w:t>
      </w:r>
      <w:r w:rsidR="001B6C40">
        <w:t>ttachment 1</w:t>
      </w:r>
      <w:r w:rsidR="00F942CA">
        <w:t xml:space="preserve"> Settlement Agreement and all authority vested in the Commission to enforce the terms</w:t>
      </w:r>
      <w:r w:rsidR="006B12A9">
        <w:t>, requirements, and conditions</w:t>
      </w:r>
      <w:r w:rsidR="00721D4E">
        <w:t xml:space="preserve"> of and otherwise </w:t>
      </w:r>
      <w:proofErr w:type="gramStart"/>
      <w:r w:rsidR="00721D4E">
        <w:t>take action</w:t>
      </w:r>
      <w:proofErr w:type="gramEnd"/>
      <w:r w:rsidR="00721D4E">
        <w:t xml:space="preserve"> regarding the A</w:t>
      </w:r>
      <w:r w:rsidR="001B6C40">
        <w:t>ttachment 1</w:t>
      </w:r>
      <w:r w:rsidR="00721D4E">
        <w:t xml:space="preserve"> Settlement Agreement</w:t>
      </w:r>
      <w:r w:rsidR="00E5099D">
        <w:t>.</w:t>
      </w:r>
    </w:p>
    <w:p w:rsidR="00F50B83" w:rsidP="0022721A" w:rsidRDefault="00F50B83" w14:paraId="1239EAB5" w14:textId="77777777">
      <w:pPr>
        <w:pStyle w:val="ListAlpha"/>
        <w:numPr>
          <w:ilvl w:val="7"/>
          <w:numId w:val="29"/>
        </w:numPr>
      </w:pPr>
      <w:r>
        <w:t>The following clarifications apply to the Attachment 1 Settlement Agreement:</w:t>
      </w:r>
    </w:p>
    <w:p w:rsidR="00F50B83" w:rsidP="0022721A" w:rsidRDefault="00F50B83" w14:paraId="5BB4085A" w14:textId="711C9900">
      <w:pPr>
        <w:pStyle w:val="OP"/>
        <w:numPr>
          <w:ilvl w:val="0"/>
          <w:numId w:val="0"/>
        </w:numPr>
        <w:autoSpaceDE w:val="0"/>
        <w:autoSpaceDN w:val="0"/>
        <w:adjustRightInd w:val="0"/>
        <w:spacing w:after="120" w:line="240" w:lineRule="auto"/>
        <w:ind w:left="1620" w:hanging="540"/>
        <w:rPr>
          <w:rFonts w:cs="Times New Roman"/>
          <w:szCs w:val="26"/>
        </w:rPr>
      </w:pPr>
      <w:r>
        <w:rPr>
          <w:rFonts w:cs="Times New Roman"/>
          <w:szCs w:val="26"/>
        </w:rPr>
        <w:t>(</w:t>
      </w:r>
      <w:proofErr w:type="spellStart"/>
      <w:r>
        <w:rPr>
          <w:rFonts w:cs="Times New Roman"/>
          <w:szCs w:val="26"/>
        </w:rPr>
        <w:t>i</w:t>
      </w:r>
      <w:proofErr w:type="spellEnd"/>
      <w:r>
        <w:rPr>
          <w:rFonts w:cs="Times New Roman"/>
          <w:szCs w:val="26"/>
        </w:rPr>
        <w:t>)</w:t>
      </w:r>
      <w:r>
        <w:rPr>
          <w:rFonts w:cs="Times New Roman"/>
          <w:szCs w:val="26"/>
        </w:rPr>
        <w:tab/>
        <w:t xml:space="preserve">The penalty set forth in paragraph 6 shall be </w:t>
      </w:r>
      <w:r w:rsidR="004D7EE3">
        <w:rPr>
          <w:rFonts w:cs="Times New Roman"/>
          <w:szCs w:val="26"/>
        </w:rPr>
        <w:t>calculated using the framework in the Attachment 1 Settlement Agreement augmenting the standard set forth by General Order (GO) 133-D and using data from</w:t>
      </w:r>
      <w:r>
        <w:rPr>
          <w:rFonts w:cs="Times New Roman"/>
          <w:szCs w:val="26"/>
        </w:rPr>
        <w:t xml:space="preserve"> </w:t>
      </w:r>
      <w:r w:rsidR="00DB23EB">
        <w:rPr>
          <w:rFonts w:cs="Times New Roman"/>
          <w:szCs w:val="26"/>
        </w:rPr>
        <w:t xml:space="preserve">Frontier’s </w:t>
      </w:r>
      <w:r w:rsidR="004D7EE3">
        <w:rPr>
          <w:rFonts w:cs="Times New Roman"/>
          <w:szCs w:val="26"/>
        </w:rPr>
        <w:t xml:space="preserve">reports of its </w:t>
      </w:r>
      <w:r w:rsidR="00DB23EB">
        <w:rPr>
          <w:rFonts w:cs="Times New Roman"/>
          <w:szCs w:val="26"/>
        </w:rPr>
        <w:t xml:space="preserve">level of compliance with </w:t>
      </w:r>
      <w:r>
        <w:rPr>
          <w:rFonts w:cs="Times New Roman"/>
          <w:szCs w:val="26"/>
        </w:rPr>
        <w:t xml:space="preserve">the Out of Service (OOS) standard </w:t>
      </w:r>
      <w:r w:rsidR="004D7EE3">
        <w:rPr>
          <w:rFonts w:cs="Times New Roman"/>
          <w:szCs w:val="26"/>
        </w:rPr>
        <w:t xml:space="preserve">as required </w:t>
      </w:r>
      <w:proofErr w:type="gramStart"/>
      <w:r>
        <w:rPr>
          <w:rFonts w:cs="Times New Roman"/>
          <w:szCs w:val="26"/>
        </w:rPr>
        <w:t>under GO</w:t>
      </w:r>
      <w:proofErr w:type="gramEnd"/>
      <w:r>
        <w:rPr>
          <w:rFonts w:cs="Times New Roman"/>
          <w:szCs w:val="26"/>
        </w:rPr>
        <w:t xml:space="preserve"> 133-D and any successor OOS standard adopted by the Commission.</w:t>
      </w:r>
    </w:p>
    <w:p w:rsidR="006E6BE4" w:rsidP="0022721A" w:rsidRDefault="00F50B83" w14:paraId="1338E6F8" w14:textId="6B454EC3">
      <w:pPr>
        <w:pStyle w:val="OP"/>
        <w:numPr>
          <w:ilvl w:val="0"/>
          <w:numId w:val="0"/>
        </w:numPr>
        <w:autoSpaceDE w:val="0"/>
        <w:autoSpaceDN w:val="0"/>
        <w:adjustRightInd w:val="0"/>
        <w:spacing w:after="120" w:line="240" w:lineRule="auto"/>
        <w:ind w:left="1620" w:hanging="540"/>
        <w:rPr>
          <w:rFonts w:cs="Times New Roman"/>
          <w:szCs w:val="26"/>
        </w:rPr>
      </w:pPr>
      <w:r>
        <w:rPr>
          <w:rFonts w:cs="Times New Roman"/>
          <w:szCs w:val="26"/>
        </w:rPr>
        <w:t>(ii)</w:t>
      </w:r>
      <w:r>
        <w:rPr>
          <w:rFonts w:cs="Times New Roman"/>
          <w:szCs w:val="26"/>
        </w:rPr>
        <w:tab/>
        <w:t xml:space="preserve">All references to the Commission’s Communications Division shall be construed to refer to the Commission’s </w:t>
      </w:r>
      <w:r w:rsidR="006E6BE4">
        <w:rPr>
          <w:rFonts w:cs="Times New Roman"/>
          <w:szCs w:val="26"/>
        </w:rPr>
        <w:t xml:space="preserve">Communications Division </w:t>
      </w:r>
      <w:r w:rsidR="00A97872">
        <w:rPr>
          <w:rFonts w:cs="Times New Roman"/>
          <w:szCs w:val="26"/>
        </w:rPr>
        <w:t>and any</w:t>
      </w:r>
      <w:r w:rsidR="006E6BE4">
        <w:rPr>
          <w:rFonts w:cs="Times New Roman"/>
          <w:szCs w:val="26"/>
        </w:rPr>
        <w:t xml:space="preserve"> designee</w:t>
      </w:r>
      <w:r w:rsidR="00A97872">
        <w:rPr>
          <w:rFonts w:cs="Times New Roman"/>
          <w:szCs w:val="26"/>
        </w:rPr>
        <w:t xml:space="preserve"> or successor</w:t>
      </w:r>
      <w:r w:rsidR="006E6BE4">
        <w:rPr>
          <w:rFonts w:cs="Times New Roman"/>
          <w:szCs w:val="26"/>
        </w:rPr>
        <w:t>.</w:t>
      </w:r>
    </w:p>
    <w:p w:rsidR="006E6BE4" w:rsidP="0022721A" w:rsidRDefault="006E6BE4" w14:paraId="1AA50C33" w14:textId="37DB4EC2">
      <w:pPr>
        <w:pStyle w:val="OP"/>
        <w:numPr>
          <w:ilvl w:val="0"/>
          <w:numId w:val="0"/>
        </w:numPr>
        <w:autoSpaceDE w:val="0"/>
        <w:autoSpaceDN w:val="0"/>
        <w:adjustRightInd w:val="0"/>
        <w:spacing w:after="120" w:line="240" w:lineRule="auto"/>
        <w:ind w:left="1620" w:hanging="540"/>
        <w:rPr>
          <w:rFonts w:cs="Times New Roman"/>
          <w:szCs w:val="26"/>
        </w:rPr>
      </w:pPr>
      <w:r>
        <w:rPr>
          <w:rFonts w:cs="Times New Roman"/>
          <w:szCs w:val="26"/>
        </w:rPr>
        <w:t>(iii)</w:t>
      </w:r>
      <w:r w:rsidR="0022721A">
        <w:rPr>
          <w:rFonts w:cs="Times New Roman"/>
          <w:szCs w:val="26"/>
        </w:rPr>
        <w:tab/>
      </w:r>
      <w:r>
        <w:rPr>
          <w:rFonts w:cs="Times New Roman"/>
          <w:szCs w:val="26"/>
        </w:rPr>
        <w:t>In paragraph 35, “Frontier will file a Tier 2 Advice Letter with the Commission describing” is clarified to state, “Frontier will submit to the Commission’s Communications Division, Cal Advocates, TURN, and CWA separate reports describing the material change and.”</w:t>
      </w:r>
    </w:p>
    <w:p w:rsidR="006E6BE4" w:rsidP="0022721A" w:rsidRDefault="006E6BE4" w14:paraId="104B2096" w14:textId="7369350D">
      <w:pPr>
        <w:pStyle w:val="OP"/>
        <w:numPr>
          <w:ilvl w:val="0"/>
          <w:numId w:val="0"/>
        </w:numPr>
        <w:autoSpaceDE w:val="0"/>
        <w:autoSpaceDN w:val="0"/>
        <w:adjustRightInd w:val="0"/>
        <w:spacing w:after="120" w:line="240" w:lineRule="auto"/>
        <w:ind w:left="1620" w:hanging="540"/>
        <w:rPr>
          <w:rFonts w:cs="Times New Roman"/>
          <w:szCs w:val="26"/>
        </w:rPr>
      </w:pPr>
      <w:r>
        <w:rPr>
          <w:rFonts w:cs="Times New Roman"/>
          <w:szCs w:val="26"/>
        </w:rPr>
        <w:lastRenderedPageBreak/>
        <w:t>(iv)</w:t>
      </w:r>
      <w:r w:rsidR="0022721A">
        <w:rPr>
          <w:rFonts w:cs="Times New Roman"/>
          <w:szCs w:val="26"/>
        </w:rPr>
        <w:tab/>
      </w:r>
      <w:r>
        <w:rPr>
          <w:rFonts w:cs="Times New Roman"/>
          <w:szCs w:val="26"/>
        </w:rPr>
        <w:t xml:space="preserve">The notification by Frontier to the Commission’s Communications Division in Paragraph 36 shall be by email to </w:t>
      </w:r>
      <w:hyperlink w:history="1" r:id="rId17">
        <w:r w:rsidRPr="002D54AC">
          <w:rPr>
            <w:rStyle w:val="Hyperlink"/>
            <w:rFonts w:cs="Times New Roman"/>
            <w:szCs w:val="26"/>
          </w:rPr>
          <w:t>cdcompliance@cpuc.ca.gov</w:t>
        </w:r>
      </w:hyperlink>
      <w:r>
        <w:rPr>
          <w:rFonts w:cs="Times New Roman"/>
          <w:szCs w:val="26"/>
        </w:rPr>
        <w:t>.</w:t>
      </w:r>
    </w:p>
    <w:p w:rsidRPr="00F50B83" w:rsidR="00F50B83" w:rsidP="0022721A" w:rsidRDefault="006E6BE4" w14:paraId="44406874" w14:textId="6E1141AF">
      <w:pPr>
        <w:pStyle w:val="OP"/>
        <w:numPr>
          <w:ilvl w:val="0"/>
          <w:numId w:val="0"/>
        </w:numPr>
        <w:autoSpaceDE w:val="0"/>
        <w:autoSpaceDN w:val="0"/>
        <w:adjustRightInd w:val="0"/>
        <w:spacing w:after="120" w:line="240" w:lineRule="auto"/>
        <w:ind w:left="1620" w:hanging="540"/>
        <w:rPr>
          <w:rFonts w:cs="Times New Roman"/>
          <w:szCs w:val="26"/>
        </w:rPr>
      </w:pPr>
      <w:r>
        <w:rPr>
          <w:rFonts w:cs="Times New Roman"/>
          <w:szCs w:val="26"/>
        </w:rPr>
        <w:t>(v)</w:t>
      </w:r>
      <w:r>
        <w:rPr>
          <w:rFonts w:cs="Times New Roman"/>
          <w:szCs w:val="26"/>
        </w:rPr>
        <w:tab/>
        <w:t xml:space="preserve">All documents that Frontier intends the Commission to treat as confidential shall be submitted to the Commission website </w:t>
      </w:r>
      <w:hyperlink w:history="1" r:id="rId18">
        <w:r w:rsidRPr="002D54AC">
          <w:rPr>
            <w:rStyle w:val="Hyperlink"/>
            <w:rFonts w:cs="Times New Roman"/>
            <w:szCs w:val="26"/>
          </w:rPr>
          <w:t>https://cpucftp.cpuc.ca.gov</w:t>
        </w:r>
      </w:hyperlink>
      <w:r>
        <w:rPr>
          <w:rFonts w:cs="Times New Roman"/>
          <w:szCs w:val="26"/>
        </w:rPr>
        <w:t xml:space="preserve">. </w:t>
      </w:r>
    </w:p>
    <w:p w:rsidR="00466F53" w:rsidP="0022721A" w:rsidRDefault="00173AC2" w14:paraId="0F2279B6" w14:textId="1442EAD5">
      <w:pPr>
        <w:pStyle w:val="ListAlpha"/>
        <w:numPr>
          <w:ilvl w:val="7"/>
          <w:numId w:val="30"/>
        </w:numPr>
        <w:ind w:left="1260" w:hanging="540"/>
      </w:pPr>
      <w:r>
        <w:t>The parties to the December 12, 2020 Settlement Agreement att</w:t>
      </w:r>
      <w:r w:rsidR="00ED502A">
        <w:t>ac</w:t>
      </w:r>
      <w:r>
        <w:t>hed to this decision as A</w:t>
      </w:r>
      <w:r w:rsidR="001B6C40">
        <w:t>ttachment 2</w:t>
      </w:r>
      <w:r>
        <w:t xml:space="preserve"> </w:t>
      </w:r>
      <w:r w:rsidR="00F942CA">
        <w:t>(A</w:t>
      </w:r>
      <w:r w:rsidR="001B6C40">
        <w:t>ttachment 2</w:t>
      </w:r>
      <w:r w:rsidR="00F942CA">
        <w:t xml:space="preserve"> Settlement Agreement) </w:t>
      </w:r>
      <w:r>
        <w:t xml:space="preserve">shall fully comply with all </w:t>
      </w:r>
      <w:r w:rsidR="006B12A9">
        <w:t>term</w:t>
      </w:r>
      <w:r w:rsidR="002E54B0">
        <w:t>s</w:t>
      </w:r>
      <w:r w:rsidR="006B12A9">
        <w:t xml:space="preserve">, </w:t>
      </w:r>
      <w:r w:rsidR="00A52DEE">
        <w:t>requirements</w:t>
      </w:r>
      <w:r w:rsidR="006B12A9">
        <w:t>,</w:t>
      </w:r>
      <w:r w:rsidR="00A52DEE">
        <w:t xml:space="preserve"> and conditions of the Attachment 2 Settlement Agreement </w:t>
      </w:r>
      <w:proofErr w:type="gramStart"/>
      <w:r w:rsidR="00A52DEE">
        <w:t>whether or not</w:t>
      </w:r>
      <w:proofErr w:type="gramEnd"/>
      <w:r w:rsidR="00A52DEE">
        <w:t xml:space="preserve"> the Attachment 2 Settlement Agreement terminates for any reason</w:t>
      </w:r>
      <w:r w:rsidR="00F4119E">
        <w:t xml:space="preserve">.  </w:t>
      </w:r>
      <w:r w:rsidR="00A52DEE">
        <w:t>T</w:t>
      </w:r>
      <w:r>
        <w:t xml:space="preserve">he Commission </w:t>
      </w:r>
      <w:r w:rsidR="00F942CA">
        <w:t>shall have all rights and benefits of a party under the A</w:t>
      </w:r>
      <w:r w:rsidR="001B6C40">
        <w:t>ttachment 2</w:t>
      </w:r>
      <w:r w:rsidR="00F942CA">
        <w:t xml:space="preserve"> Settlement Agreement</w:t>
      </w:r>
      <w:r w:rsidR="00721D4E">
        <w:t xml:space="preserve"> and all authority vested in the Commission to enforce the terms</w:t>
      </w:r>
      <w:r w:rsidR="006B12A9">
        <w:t>, requirements, and conditions</w:t>
      </w:r>
      <w:r w:rsidR="00721D4E">
        <w:t xml:space="preserve"> of and otherwise </w:t>
      </w:r>
      <w:proofErr w:type="gramStart"/>
      <w:r w:rsidR="00721D4E">
        <w:t>take action</w:t>
      </w:r>
      <w:proofErr w:type="gramEnd"/>
      <w:r w:rsidR="00721D4E">
        <w:t xml:space="preserve"> regarding the A</w:t>
      </w:r>
      <w:r w:rsidR="00602CC2">
        <w:t>ttachment 2</w:t>
      </w:r>
      <w:r w:rsidR="00721D4E">
        <w:t xml:space="preserve"> Settlement Agre</w:t>
      </w:r>
      <w:r w:rsidR="001B6C40">
        <w:t>e</w:t>
      </w:r>
      <w:r w:rsidR="00721D4E">
        <w:t>ment</w:t>
      </w:r>
      <w:r w:rsidR="00E5099D">
        <w:t>.</w:t>
      </w:r>
    </w:p>
    <w:p w:rsidRPr="0051650B" w:rsidR="00CF7CAD" w:rsidP="0022721A" w:rsidRDefault="006E3E35" w14:paraId="2ADE7371" w14:textId="0F814300">
      <w:pPr>
        <w:pStyle w:val="ListAlpha"/>
        <w:numPr>
          <w:ilvl w:val="7"/>
          <w:numId w:val="30"/>
        </w:numPr>
        <w:ind w:left="1260" w:hanging="540"/>
      </w:pPr>
      <w:r>
        <w:t>The parties to the January 19, 2021 Settlement Agreement attached to this decision as Attachment 3 (Attachment 3 Settlement Agreement)</w:t>
      </w:r>
      <w:r w:rsidR="008900B2">
        <w:t xml:space="preserve"> (the Attachment 1 Settlement Agreement, Attachment 2 Settlement Agreement, and Attachment 3 Settlement Agreement collectively the Settlement Agreements) </w:t>
      </w:r>
      <w:r>
        <w:t xml:space="preserve">shall fully comply with all </w:t>
      </w:r>
      <w:r w:rsidR="006B12A9">
        <w:t xml:space="preserve">terms, requirements, and conditions of the Attachment 3 Settlement Agreement </w:t>
      </w:r>
      <w:proofErr w:type="gramStart"/>
      <w:r w:rsidR="006B12A9">
        <w:t>whether or not</w:t>
      </w:r>
      <w:proofErr w:type="gramEnd"/>
      <w:r w:rsidR="006B12A9">
        <w:t xml:space="preserve"> the Attachment 3 Settlement Agreement terminates for any reason</w:t>
      </w:r>
      <w:r w:rsidR="00F4119E">
        <w:t xml:space="preserve">.  </w:t>
      </w:r>
      <w:r w:rsidR="006B12A9">
        <w:t>T</w:t>
      </w:r>
      <w:r>
        <w:t>he Commission shall have all rights and benefits of a party under the Attachment 3 Settlement Agreement and all authority vested in the Commission to enforce the terms</w:t>
      </w:r>
      <w:r w:rsidR="006B12A9">
        <w:t>, requirements, and conditions</w:t>
      </w:r>
      <w:r>
        <w:t xml:space="preserve"> of and otherwise </w:t>
      </w:r>
      <w:proofErr w:type="gramStart"/>
      <w:r>
        <w:t>take action</w:t>
      </w:r>
      <w:proofErr w:type="gramEnd"/>
      <w:r>
        <w:t xml:space="preserve"> regarding the Attachment 3 Settlement Agreement</w:t>
      </w:r>
      <w:r w:rsidR="00E5099D">
        <w:t>.</w:t>
      </w:r>
    </w:p>
    <w:p w:rsidRPr="005F1808" w:rsidR="005F1808" w:rsidP="0022721A" w:rsidRDefault="00466F53" w14:paraId="4E5641EC" w14:textId="23E8316A">
      <w:pPr>
        <w:pStyle w:val="ListAlpha"/>
        <w:numPr>
          <w:ilvl w:val="7"/>
          <w:numId w:val="30"/>
        </w:numPr>
        <w:ind w:left="1260" w:hanging="540"/>
      </w:pPr>
      <w:r w:rsidRPr="00466F53">
        <w:rPr>
          <w:u w:val="single"/>
        </w:rPr>
        <w:t>Compliance Monitor</w:t>
      </w:r>
      <w:r w:rsidR="00F4119E">
        <w:rPr>
          <w:u w:val="single"/>
        </w:rPr>
        <w:t xml:space="preserve">.  </w:t>
      </w:r>
      <w:r>
        <w:t xml:space="preserve">At </w:t>
      </w:r>
      <w:r w:rsidR="00506527">
        <w:t>the</w:t>
      </w:r>
      <w:r>
        <w:t xml:space="preserve"> expense</w:t>
      </w:r>
      <w:r w:rsidR="00506527">
        <w:t xml:space="preserve"> of </w:t>
      </w:r>
      <w:r w:rsidRPr="0091141F" w:rsidR="00506527">
        <w:t>Frontier</w:t>
      </w:r>
      <w:r w:rsidR="00506527">
        <w:t>,</w:t>
      </w:r>
      <w:r>
        <w:t xml:space="preserve"> the Commission shall hire</w:t>
      </w:r>
      <w:r w:rsidRPr="00466F53">
        <w:t xml:space="preserve"> an independent monitor </w:t>
      </w:r>
      <w:r w:rsidR="00027C7C">
        <w:t xml:space="preserve">(Compliance Monitor) </w:t>
      </w:r>
      <w:r w:rsidRPr="00466F53">
        <w:t xml:space="preserve">to review </w:t>
      </w:r>
      <w:r w:rsidR="00506527">
        <w:t>Frontier’s</w:t>
      </w:r>
      <w:r w:rsidRPr="00466F53">
        <w:t xml:space="preserve"> compliance with </w:t>
      </w:r>
      <w:r w:rsidR="00354C1F">
        <w:t>the</w:t>
      </w:r>
      <w:r w:rsidRPr="00466F53">
        <w:t xml:space="preserve"> </w:t>
      </w:r>
      <w:r w:rsidR="0071561B">
        <w:t xml:space="preserve">terms, </w:t>
      </w:r>
      <w:r>
        <w:t>requirements</w:t>
      </w:r>
      <w:r w:rsidR="0071561B">
        <w:t>,</w:t>
      </w:r>
      <w:r>
        <w:t xml:space="preserve"> and conditions of th</w:t>
      </w:r>
      <w:r w:rsidR="00027C7C">
        <w:t>is</w:t>
      </w:r>
      <w:r>
        <w:t xml:space="preserve"> Ordering Paragraph</w:t>
      </w:r>
      <w:r w:rsidR="00F4119E">
        <w:t xml:space="preserve">.  </w:t>
      </w:r>
      <w:r w:rsidR="004406B0">
        <w:t xml:space="preserve">Within </w:t>
      </w:r>
      <w:r w:rsidR="00231C27">
        <w:t>15</w:t>
      </w:r>
      <w:r w:rsidR="004406B0">
        <w:t xml:space="preserve"> days after receipt of notice from the Commission</w:t>
      </w:r>
      <w:r w:rsidR="0040295B">
        <w:t xml:space="preserve">’s </w:t>
      </w:r>
      <w:r w:rsidR="004406B0">
        <w:t xml:space="preserve">Communications Division (CD) staff, Frontier shall deposit into </w:t>
      </w:r>
      <w:r w:rsidR="006B12A9">
        <w:t>a</w:t>
      </w:r>
      <w:r w:rsidR="004406B0">
        <w:t xml:space="preserve"> reimbursable account </w:t>
      </w:r>
      <w:r w:rsidR="006B12A9">
        <w:t xml:space="preserve">(A.20-05-010 </w:t>
      </w:r>
      <w:r w:rsidR="005A23A6">
        <w:t xml:space="preserve">General </w:t>
      </w:r>
      <w:r w:rsidR="006B12A9">
        <w:t xml:space="preserve">Reimbursable Account) </w:t>
      </w:r>
      <w:r w:rsidR="004406B0">
        <w:t>the amounts specified by CD staff reflecting the fees and expenses of the Compliance Monitor</w:t>
      </w:r>
      <w:r w:rsidR="00F4119E">
        <w:t xml:space="preserve">.  </w:t>
      </w:r>
      <w:r w:rsidR="004E7C0B">
        <w:t xml:space="preserve">Within </w:t>
      </w:r>
      <w:r w:rsidR="00D54310">
        <w:t>4</w:t>
      </w:r>
      <w:r w:rsidR="004E7C0B">
        <w:t xml:space="preserve">5 days after the end of each calendar quarter, Frontier shall submit to the Compliance Monitor and to </w:t>
      </w:r>
      <w:hyperlink w:history="1" r:id="rId19">
        <w:r w:rsidRPr="007D5D12" w:rsidR="004E7C0B">
          <w:rPr>
            <w:rStyle w:val="Hyperlink"/>
            <w:szCs w:val="26"/>
          </w:rPr>
          <w:t>cdcompliance@cpuc.ca.gov</w:t>
        </w:r>
      </w:hyperlink>
      <w:r w:rsidR="004E7C0B">
        <w:t xml:space="preserve"> </w:t>
      </w:r>
      <w:r w:rsidR="0051650B">
        <w:t xml:space="preserve">a </w:t>
      </w:r>
      <w:r w:rsidR="004E7C0B">
        <w:t xml:space="preserve">compliance </w:t>
      </w:r>
      <w:r w:rsidR="004E7C0B">
        <w:lastRenderedPageBreak/>
        <w:t>report in a format designed by CD staff that will be treated as public information</w:t>
      </w:r>
      <w:r w:rsidR="00F4119E">
        <w:t xml:space="preserve">.  </w:t>
      </w:r>
      <w:r w:rsidRPr="00466F53">
        <w:t xml:space="preserve">The </w:t>
      </w:r>
      <w:r w:rsidR="00027C7C">
        <w:t>C</w:t>
      </w:r>
      <w:r w:rsidRPr="00466F53">
        <w:t xml:space="preserve">ompliance </w:t>
      </w:r>
      <w:r w:rsidR="00027C7C">
        <w:t>M</w:t>
      </w:r>
      <w:r w:rsidRPr="00466F53">
        <w:t xml:space="preserve">onitor shall meet with </w:t>
      </w:r>
      <w:r w:rsidR="00C84AA6">
        <w:t xml:space="preserve">Commission </w:t>
      </w:r>
      <w:r w:rsidR="00354C1F">
        <w:t xml:space="preserve">CD </w:t>
      </w:r>
      <w:r w:rsidR="00C84AA6">
        <w:t>s</w:t>
      </w:r>
      <w:r w:rsidRPr="00466F53">
        <w:t xml:space="preserve">taff at least </w:t>
      </w:r>
      <w:r w:rsidR="00354C1F">
        <w:t>four times per year and at other times as requested by CD staff</w:t>
      </w:r>
      <w:r w:rsidRPr="00466F53">
        <w:t xml:space="preserve"> to report on</w:t>
      </w:r>
      <w:r w:rsidR="00354C1F">
        <w:t xml:space="preserve"> </w:t>
      </w:r>
      <w:r w:rsidR="00506527">
        <w:t>Frontier’s</w:t>
      </w:r>
      <w:r w:rsidR="00354C1F">
        <w:t xml:space="preserve"> compliance with the </w:t>
      </w:r>
      <w:r w:rsidR="0071561B">
        <w:t xml:space="preserve">terms, </w:t>
      </w:r>
      <w:r w:rsidR="00354C1F">
        <w:t>requirements</w:t>
      </w:r>
      <w:r w:rsidR="0071561B">
        <w:t>,</w:t>
      </w:r>
      <w:r w:rsidR="00354C1F">
        <w:t xml:space="preserve"> and conditions</w:t>
      </w:r>
      <w:r w:rsidR="004157F8">
        <w:t xml:space="preserve"> of this Ordering Paragraph</w:t>
      </w:r>
      <w:r w:rsidR="00354C1F">
        <w:t xml:space="preserve"> </w:t>
      </w:r>
      <w:r w:rsidR="00027C7C">
        <w:t xml:space="preserve">and </w:t>
      </w:r>
      <w:r w:rsidR="004157F8">
        <w:t xml:space="preserve">shall </w:t>
      </w:r>
      <w:r w:rsidR="00027C7C">
        <w:t xml:space="preserve">submit semi-annual reports to CD staff </w:t>
      </w:r>
      <w:r w:rsidR="0043057D">
        <w:t xml:space="preserve">and reports at other times as requested by CD staff </w:t>
      </w:r>
      <w:r w:rsidR="00027C7C">
        <w:t xml:space="preserve">regarding </w:t>
      </w:r>
      <w:r w:rsidR="00506527">
        <w:t>Frontier’s</w:t>
      </w:r>
      <w:r w:rsidR="00027C7C">
        <w:t xml:space="preserve"> compliance with the requirements and conditions of this Ordering Paragraph</w:t>
      </w:r>
      <w:r w:rsidR="00F4119E">
        <w:t xml:space="preserve">.  </w:t>
      </w:r>
      <w:proofErr w:type="gramStart"/>
      <w:r w:rsidR="0006612D">
        <w:t>If and when</w:t>
      </w:r>
      <w:proofErr w:type="gramEnd"/>
      <w:r w:rsidR="00D44ACA">
        <w:t xml:space="preserve"> the Compliance Monitor concludes that</w:t>
      </w:r>
      <w:r w:rsidR="00027C7C">
        <w:t xml:space="preserve"> </w:t>
      </w:r>
      <w:r w:rsidR="00506527">
        <w:t>Frontier is</w:t>
      </w:r>
      <w:r w:rsidR="00027C7C">
        <w:t xml:space="preserve"> not in compliance with any requirement or condition of this Ordering Paragraph, the Compliance Monitor </w:t>
      </w:r>
      <w:r w:rsidR="00D44ACA">
        <w:t xml:space="preserve">may </w:t>
      </w:r>
      <w:r w:rsidR="00027C7C">
        <w:t xml:space="preserve">recommend a </w:t>
      </w:r>
      <w:r w:rsidRPr="00027C7C">
        <w:t xml:space="preserve">penalty to bring </w:t>
      </w:r>
      <w:r w:rsidR="00506527">
        <w:t>Frontier</w:t>
      </w:r>
      <w:r w:rsidRPr="00027C7C">
        <w:t xml:space="preserve"> into compliance and forward findings and </w:t>
      </w:r>
      <w:r w:rsidR="004157F8">
        <w:t>a</w:t>
      </w:r>
      <w:r w:rsidR="00027C7C">
        <w:t xml:space="preserve"> </w:t>
      </w:r>
      <w:r w:rsidRPr="00027C7C">
        <w:t xml:space="preserve">recommendation to the </w:t>
      </w:r>
      <w:r w:rsidR="00027C7C">
        <w:t>Commission</w:t>
      </w:r>
      <w:r w:rsidR="00706BE0">
        <w:t>’s</w:t>
      </w:r>
      <w:r w:rsidR="00027C7C">
        <w:t xml:space="preserve"> CD </w:t>
      </w:r>
      <w:r w:rsidRPr="00027C7C">
        <w:t>Director</w:t>
      </w:r>
      <w:r w:rsidR="003D4795">
        <w:t xml:space="preserve"> at cdcompliance@cpuc.ca.gov</w:t>
      </w:r>
      <w:r w:rsidR="00F4119E">
        <w:t xml:space="preserve">.  </w:t>
      </w:r>
      <w:r w:rsidR="004D7EE3">
        <w:t xml:space="preserve">Any recommended penalty shall be addressed consistent with the procedures and maximum penalty established under subparagraph (f). </w:t>
      </w:r>
      <w:r w:rsidR="00B475FC">
        <w:t xml:space="preserve"> </w:t>
      </w:r>
      <w:r w:rsidR="004A0664">
        <w:t xml:space="preserve">The </w:t>
      </w:r>
      <w:r w:rsidR="00D54310">
        <w:t xml:space="preserve">Commission may request the </w:t>
      </w:r>
      <w:r w:rsidR="004A0664">
        <w:t xml:space="preserve">Attorney General </w:t>
      </w:r>
      <w:r w:rsidR="00D54310">
        <w:t>to</w:t>
      </w:r>
      <w:r w:rsidR="004A0664">
        <w:t xml:space="preserve"> enforce this Order either pursuant to Public Utilities Code Sections 702 and 2101, or under its independent authority, and such enforcement actions would not interfere with the Commission’s authority but would be complementary.</w:t>
      </w:r>
    </w:p>
    <w:p w:rsidRPr="00D6124F" w:rsidR="005F1808" w:rsidP="0022721A" w:rsidRDefault="00D54310" w14:paraId="4588F685" w14:textId="7B702234">
      <w:pPr>
        <w:pStyle w:val="ListAlpha"/>
        <w:numPr>
          <w:ilvl w:val="7"/>
          <w:numId w:val="30"/>
        </w:numPr>
        <w:ind w:left="1260" w:hanging="540"/>
        <w:rPr>
          <w:u w:val="single"/>
        </w:rPr>
      </w:pPr>
      <w:r>
        <w:rPr>
          <w:u w:val="single"/>
        </w:rPr>
        <w:t>Enforcement</w:t>
      </w:r>
      <w:r w:rsidR="005F1808">
        <w:rPr>
          <w:u w:val="single"/>
        </w:rPr>
        <w:t xml:space="preserve"> Program</w:t>
      </w:r>
      <w:r w:rsidR="00F4119E">
        <w:rPr>
          <w:u w:val="single"/>
        </w:rPr>
        <w:t xml:space="preserve">.  </w:t>
      </w:r>
      <w:r w:rsidR="00943D8B">
        <w:t xml:space="preserve">The Commission’s CD shall draft a Resolution </w:t>
      </w:r>
      <w:r w:rsidR="001C145E">
        <w:t>reflecting a</w:t>
      </w:r>
      <w:r>
        <w:t>n</w:t>
      </w:r>
      <w:r w:rsidR="001C145E">
        <w:t xml:space="preserve"> </w:t>
      </w:r>
      <w:r>
        <w:t>enforcement</w:t>
      </w:r>
      <w:r w:rsidR="001C145E">
        <w:t xml:space="preserve"> program</w:t>
      </w:r>
      <w:r w:rsidR="00F13EFB">
        <w:t xml:space="preserve"> that covers</w:t>
      </w:r>
      <w:r w:rsidR="00E91C44">
        <w:t xml:space="preserve"> compliance with the terms of this Ordering Paragraph, including, without limitation, Frontier’s reporting requirements, service quality requirements, infrastructure investment requirements, and the terms of the Settlement Agreements.  </w:t>
      </w:r>
      <w:r w:rsidR="00F56034">
        <w:t xml:space="preserve">The proposed </w:t>
      </w:r>
      <w:r>
        <w:t>enforcement</w:t>
      </w:r>
      <w:r w:rsidR="00943D8B">
        <w:t xml:space="preserve"> program </w:t>
      </w:r>
      <w:r w:rsidR="00F56034">
        <w:t xml:space="preserve">will </w:t>
      </w:r>
      <w:r w:rsidR="00A32462">
        <w:t>specify</w:t>
      </w:r>
      <w:r w:rsidR="00943D8B">
        <w:t xml:space="preserve"> a citation amount for each term and proposed remedies for lack of compliance and shall</w:t>
      </w:r>
      <w:r w:rsidR="00F56034">
        <w:t xml:space="preserve"> be</w:t>
      </w:r>
      <w:r w:rsidR="00943D8B">
        <w:t xml:space="preserve"> put before the Commission</w:t>
      </w:r>
      <w:r w:rsidR="006A64F4">
        <w:t xml:space="preserve"> for consideration</w:t>
      </w:r>
      <w:r w:rsidR="00F4119E">
        <w:t xml:space="preserve">.  </w:t>
      </w:r>
      <w:r w:rsidR="006A64F4">
        <w:t xml:space="preserve">The Commission’s CD shall explore penalty mechanisms, including monetary fines and community investment mechanisms. </w:t>
      </w:r>
      <w:r w:rsidR="00523551">
        <w:t xml:space="preserve"> </w:t>
      </w:r>
      <w:r>
        <w:t>Enforcement</w:t>
      </w:r>
      <w:r w:rsidR="00523551">
        <w:t xml:space="preserve"> program appeals will be pursuant to Resolution ALJ-377 or its successor.   </w:t>
      </w:r>
    </w:p>
    <w:p w:rsidRPr="00C2031D" w:rsidR="00E5099D" w:rsidP="0022721A" w:rsidRDefault="00506527" w14:paraId="6FD2F319" w14:textId="712678BA">
      <w:pPr>
        <w:pStyle w:val="ListAlpha"/>
        <w:numPr>
          <w:ilvl w:val="7"/>
          <w:numId w:val="30"/>
        </w:numPr>
        <w:ind w:left="1260" w:hanging="540"/>
      </w:pPr>
      <w:r>
        <w:rPr>
          <w:u w:val="single"/>
        </w:rPr>
        <w:t xml:space="preserve">Right of First </w:t>
      </w:r>
      <w:r w:rsidR="00A27C71">
        <w:rPr>
          <w:u w:val="single"/>
        </w:rPr>
        <w:t>Offer</w:t>
      </w:r>
      <w:r w:rsidR="002523C0">
        <w:rPr>
          <w:u w:val="single"/>
        </w:rPr>
        <w:t xml:space="preserve"> to Tribes and Local Governments</w:t>
      </w:r>
      <w:r w:rsidR="00F4119E">
        <w:rPr>
          <w:u w:val="single"/>
        </w:rPr>
        <w:t xml:space="preserve">.  </w:t>
      </w:r>
      <w:r w:rsidR="00384B7E">
        <w:t xml:space="preserve">Every tribe and local government shall have </w:t>
      </w:r>
      <w:r w:rsidR="00FE2C08">
        <w:t>a</w:t>
      </w:r>
      <w:r w:rsidR="00384B7E">
        <w:t xml:space="preserve"> right </w:t>
      </w:r>
      <w:r w:rsidR="00FE2C08">
        <w:t xml:space="preserve">of first offer (ROFO) </w:t>
      </w:r>
      <w:r w:rsidR="00384B7E">
        <w:t xml:space="preserve">to purchase property that Frontier proposes to sell </w:t>
      </w:r>
      <w:r w:rsidR="00CE6F5D">
        <w:t>or dispose of</w:t>
      </w:r>
      <w:r w:rsidR="00384B7E">
        <w:t xml:space="preserve"> and for which Commission approval is required under Public Utilities (Pub. Util.) Code Section 851</w:t>
      </w:r>
      <w:r w:rsidR="00F36824">
        <w:t xml:space="preserve"> pursuant to the provisions of this </w:t>
      </w:r>
      <w:r w:rsidR="004157F8">
        <w:t>sub</w:t>
      </w:r>
      <w:r w:rsidR="00F36824">
        <w:t>paragraph</w:t>
      </w:r>
      <w:r w:rsidR="00F4119E">
        <w:t xml:space="preserve">.  </w:t>
      </w:r>
      <w:r w:rsidR="00FE2C08">
        <w:t xml:space="preserve">To the maximum possible extent that is not inconsistent with this </w:t>
      </w:r>
      <w:r w:rsidR="00FE2C08">
        <w:lastRenderedPageBreak/>
        <w:t xml:space="preserve">subparagraph, the “Guidelines to Implement the CPUC Tribal Land Policy” identified as Attachment A to Resolution E-5076 (Guidelines) shall apply to the ROFO, </w:t>
      </w:r>
      <w:r w:rsidR="004134DD">
        <w:t>provided that (</w:t>
      </w:r>
      <w:proofErr w:type="spellStart"/>
      <w:r w:rsidR="004134DD">
        <w:t>i</w:t>
      </w:r>
      <w:proofErr w:type="spellEnd"/>
      <w:r w:rsidR="004134DD">
        <w:t xml:space="preserve">) </w:t>
      </w:r>
      <w:r w:rsidR="004B5B7B">
        <w:t xml:space="preserve">in addition to its application to tribes, </w:t>
      </w:r>
      <w:r w:rsidR="00656BC9">
        <w:t xml:space="preserve">the Guidelines </w:t>
      </w:r>
      <w:r w:rsidR="004134DD">
        <w:t xml:space="preserve">shall </w:t>
      </w:r>
      <w:r w:rsidR="004B5B7B">
        <w:t>also</w:t>
      </w:r>
      <w:r w:rsidR="004134DD">
        <w:t xml:space="preserve"> apply </w:t>
      </w:r>
      <w:r w:rsidR="00656BC9">
        <w:t xml:space="preserve">to a local government </w:t>
      </w:r>
      <w:r w:rsidR="00FE2C08">
        <w:t xml:space="preserve">wherever possible </w:t>
      </w:r>
      <w:r w:rsidR="00656BC9">
        <w:t xml:space="preserve">by </w:t>
      </w:r>
      <w:r w:rsidR="004B5B7B">
        <w:t>construing</w:t>
      </w:r>
      <w:r w:rsidR="00656BC9">
        <w:t xml:space="preserve"> a Guidelines reference to “Tribe” to refer to the local government and a Guidelines reference to “ancestral territory”</w:t>
      </w:r>
      <w:r w:rsidR="00C506D9">
        <w:t xml:space="preserve"> or “Indian country” to refer to the legally recognized jurisdiction of the local government</w:t>
      </w:r>
      <w:r w:rsidR="004134DD">
        <w:t xml:space="preserve">, (ii) “disposition” shall mean all sales or disposals of property under Pub. Util. Code Section 851 and not </w:t>
      </w:r>
      <w:r w:rsidR="009C1F90">
        <w:t>have the meaning set forth</w:t>
      </w:r>
      <w:r w:rsidR="004134DD">
        <w:t xml:space="preserve"> in Section 1.3.d of the Guidelines, (iii) </w:t>
      </w:r>
      <w:r w:rsidR="009C1F90">
        <w:t>“investor-owned utility (IOU)” shall mean Frontier and not have the meaning set forth in Section 1.3.f of the Guidelines</w:t>
      </w:r>
      <w:r w:rsidR="00F0035E">
        <w:t>, and (iv) if a tribe and a local government have a ROFO under this subparagraph to the same property, the tribe</w:t>
      </w:r>
      <w:r w:rsidR="00F8687B">
        <w:t xml:space="preserve">’s ROFO shall precede and be </w:t>
      </w:r>
      <w:r w:rsidR="00176554">
        <w:t>preferred</w:t>
      </w:r>
      <w:r w:rsidR="00F8687B">
        <w:t xml:space="preserve"> to the local government’s ROFO</w:t>
      </w:r>
      <w:r w:rsidR="004B5B7B">
        <w:t>.</w:t>
      </w:r>
      <w:r w:rsidR="004134DD">
        <w:t xml:space="preserve"> </w:t>
      </w:r>
      <w:r w:rsidR="00B475FC">
        <w:t xml:space="preserve">  This subparagraph shall not interfere with the terms of the Attachment 3 Settlement Agreement, including the potential acquisition described in Section 7 of the Attachment 3 Settlement Agreement.</w:t>
      </w:r>
    </w:p>
    <w:p w:rsidRPr="00C2031D" w:rsidR="00CB4A0E" w:rsidP="0022721A" w:rsidRDefault="00C2031D" w14:paraId="6F40968F" w14:textId="51A19D18">
      <w:pPr>
        <w:pStyle w:val="ListAlpha"/>
        <w:numPr>
          <w:ilvl w:val="7"/>
          <w:numId w:val="30"/>
        </w:numPr>
        <w:ind w:left="1260" w:hanging="540"/>
      </w:pPr>
      <w:r>
        <w:t xml:space="preserve">By no later than February 1 of each year, Frontier shall submit to </w:t>
      </w:r>
      <w:hyperlink w:history="1" r:id="rId20">
        <w:r w:rsidRPr="007D5D12">
          <w:rPr>
            <w:rStyle w:val="Hyperlink"/>
            <w:rFonts w:cs="Times New Roman"/>
            <w:szCs w:val="26"/>
          </w:rPr>
          <w:t>cdcompliance@cpuc.ca.gov</w:t>
        </w:r>
      </w:hyperlink>
      <w:r>
        <w:t xml:space="preserve"> via the Commission’s website </w:t>
      </w:r>
      <w:hyperlink w:history="1" r:id="rId21">
        <w:r w:rsidRPr="002D54AC">
          <w:rPr>
            <w:rStyle w:val="Hyperlink"/>
            <w:rFonts w:cs="Times New Roman"/>
            <w:szCs w:val="26"/>
          </w:rPr>
          <w:t>https://cpucftp.cpuc.ca.gov</w:t>
        </w:r>
      </w:hyperlink>
      <w:r>
        <w:t xml:space="preserve"> a report as of December 31 of the preceding year in a format designed by CD staff </w:t>
      </w:r>
      <w:r w:rsidR="00DE5C71">
        <w:t>that includes, f</w:t>
      </w:r>
      <w:r w:rsidR="00806F62">
        <w:t xml:space="preserve">or each </w:t>
      </w:r>
      <w:r w:rsidR="00CB4A0E">
        <w:t>ROFO notice issued by Frontier</w:t>
      </w:r>
      <w:r w:rsidR="00321E5B">
        <w:t xml:space="preserve">, </w:t>
      </w:r>
      <w:r w:rsidR="00CB4A0E">
        <w:t xml:space="preserve">the notice date, tribe or local government recipient, </w:t>
      </w:r>
      <w:r w:rsidR="00321E5B">
        <w:t>individual contact,</w:t>
      </w:r>
      <w:r w:rsidR="00CB4A0E">
        <w:t xml:space="preserve"> recipient address</w:t>
      </w:r>
      <w:r w:rsidR="00DE5C71">
        <w:t>, property location, and result of the notice.</w:t>
      </w:r>
    </w:p>
    <w:p w:rsidRPr="00E5099D" w:rsidR="00E5099D" w:rsidP="0022721A" w:rsidRDefault="00E5099D" w14:paraId="3F79A9DA" w14:textId="77777777">
      <w:pPr>
        <w:pStyle w:val="ListAlpha"/>
        <w:numPr>
          <w:ilvl w:val="7"/>
          <w:numId w:val="30"/>
        </w:numPr>
        <w:ind w:left="1260" w:hanging="540"/>
      </w:pPr>
      <w:r w:rsidRPr="00E5099D">
        <w:t>Frontier shall work with the Native American Heritage Commission to identify all tribes within its California service territory that have either a reservation or land in trust</w:t>
      </w:r>
      <w:r>
        <w:t>.</w:t>
      </w:r>
    </w:p>
    <w:p w:rsidRPr="00E5099D" w:rsidR="00E5099D" w:rsidP="0022721A" w:rsidRDefault="00B475FC" w14:paraId="2E76034F" w14:textId="235D0267">
      <w:pPr>
        <w:pStyle w:val="ListAlpha"/>
        <w:numPr>
          <w:ilvl w:val="7"/>
          <w:numId w:val="30"/>
        </w:numPr>
        <w:ind w:left="1260" w:hanging="540"/>
      </w:pPr>
      <w:r>
        <w:t xml:space="preserve">Upon request, and subject to execution of a reasonable </w:t>
      </w:r>
      <w:r w:rsidR="00631407">
        <w:t>n</w:t>
      </w:r>
      <w:r>
        <w:t>on-</w:t>
      </w:r>
      <w:r w:rsidR="00631407">
        <w:t>d</w:t>
      </w:r>
      <w:r>
        <w:t xml:space="preserve">isclosure </w:t>
      </w:r>
      <w:r w:rsidR="00631407">
        <w:t>a</w:t>
      </w:r>
      <w:r>
        <w:t>greement with Frontier,</w:t>
      </w:r>
      <w:r w:rsidRPr="00E5099D" w:rsidR="00E5099D">
        <w:t xml:space="preserve"> Frontier shall provide a</w:t>
      </w:r>
      <w:r>
        <w:t>ny</w:t>
      </w:r>
      <w:r w:rsidRPr="00E5099D" w:rsidR="00E5099D">
        <w:t xml:space="preserve"> identified tribe within its California service territory with existing local maps of, and information on, Frontier’s owned, leased, and operated facilities in and around the tribe</w:t>
      </w:r>
      <w:r>
        <w:t>’</w:t>
      </w:r>
      <w:r w:rsidRPr="00E5099D" w:rsidR="00E5099D">
        <w:t>s ancestral territory and any existing maps of adjacent areas that identify points of integration of those facilities with the remainder of Frontier’s system</w:t>
      </w:r>
      <w:r w:rsidR="00E5099D">
        <w:t>.</w:t>
      </w:r>
    </w:p>
    <w:p w:rsidRPr="00E5099D" w:rsidR="00E5099D" w:rsidP="0022721A" w:rsidRDefault="00E5099D" w14:paraId="113A24C8" w14:textId="12056FEE">
      <w:pPr>
        <w:pStyle w:val="ListAlpha"/>
        <w:numPr>
          <w:ilvl w:val="7"/>
          <w:numId w:val="30"/>
        </w:numPr>
        <w:ind w:left="1260" w:hanging="540"/>
      </w:pPr>
      <w:r w:rsidRPr="00E5099D">
        <w:t xml:space="preserve">In every California county that Frontier serves, Frontier </w:t>
      </w:r>
      <w:r w:rsidR="00BD4E76">
        <w:t>must</w:t>
      </w:r>
      <w:r w:rsidRPr="00E5099D" w:rsidR="00BD4E76">
        <w:t xml:space="preserve"> </w:t>
      </w:r>
      <w:r w:rsidRPr="00E5099D">
        <w:t xml:space="preserve">appoint a high-level employee as a tribal liaison to provide OOS response, </w:t>
      </w:r>
      <w:r w:rsidRPr="00E5099D">
        <w:lastRenderedPageBreak/>
        <w:t>customer service, and information sharing</w:t>
      </w:r>
      <w:r w:rsidR="00F4119E">
        <w:t xml:space="preserve">.  </w:t>
      </w:r>
      <w:r w:rsidRPr="00E5099D">
        <w:t xml:space="preserve">Each tribe shall have direct access to the tribal liaison via phone and email, and the tribal liaison shall have the availability, access, and authority to respond to the tribes and address their concerns.   </w:t>
      </w:r>
    </w:p>
    <w:p w:rsidRPr="00173AC2" w:rsidR="00173AC2" w:rsidP="0022721A" w:rsidRDefault="004E7C0B" w14:paraId="03553A59" w14:textId="5FCEC9C2">
      <w:pPr>
        <w:pStyle w:val="ListAlpha"/>
        <w:numPr>
          <w:ilvl w:val="7"/>
          <w:numId w:val="30"/>
        </w:numPr>
        <w:ind w:left="1260" w:hanging="540"/>
      </w:pPr>
      <w:r>
        <w:t xml:space="preserve">By no later than February 1 of each year, Frontier shall submit to </w:t>
      </w:r>
      <w:hyperlink w:history="1" r:id="rId22">
        <w:r w:rsidRPr="007D5D12" w:rsidR="000D6F7B">
          <w:rPr>
            <w:rStyle w:val="Hyperlink"/>
            <w:rFonts w:cs="Times New Roman"/>
            <w:szCs w:val="26"/>
          </w:rPr>
          <w:t>cdcompliance@cpuc.ca.gov</w:t>
        </w:r>
      </w:hyperlink>
      <w:r w:rsidR="000D6F7B">
        <w:t xml:space="preserve"> via the Commission’s </w:t>
      </w:r>
      <w:r w:rsidR="00594F2F">
        <w:t>web</w:t>
      </w:r>
      <w:r w:rsidR="000D6F7B">
        <w:t xml:space="preserve">site </w:t>
      </w:r>
      <w:hyperlink w:history="1" r:id="rId23">
        <w:r w:rsidRPr="002D54AC" w:rsidR="006E6BE4">
          <w:rPr>
            <w:rStyle w:val="Hyperlink"/>
            <w:rFonts w:cs="Times New Roman"/>
            <w:szCs w:val="26"/>
          </w:rPr>
          <w:t>https://cpucftp.cpuc.ca.gov</w:t>
        </w:r>
      </w:hyperlink>
      <w:r w:rsidR="00594F2F">
        <w:t xml:space="preserve"> </w:t>
      </w:r>
      <w:r w:rsidR="000D6F7B">
        <w:t xml:space="preserve">a subscriber information report as of December 31 of the preceding year in a format designed by CD staff that will be treated as confidential information. </w:t>
      </w:r>
    </w:p>
    <w:p w:rsidRPr="00F07E83" w:rsidR="00F07E83" w:rsidP="0022721A" w:rsidRDefault="0098465B" w14:paraId="424C7B36" w14:textId="0E7CBF89">
      <w:pPr>
        <w:pStyle w:val="ListAlpha"/>
        <w:numPr>
          <w:ilvl w:val="7"/>
          <w:numId w:val="30"/>
        </w:numPr>
        <w:ind w:left="1260" w:hanging="540"/>
      </w:pPr>
      <w:r w:rsidRPr="00BA1124">
        <w:t xml:space="preserve"> </w:t>
      </w:r>
      <w:r w:rsidR="00B475FC">
        <w:t xml:space="preserve">For </w:t>
      </w:r>
      <w:r w:rsidR="00D879D5">
        <w:t>the period from the effective</w:t>
      </w:r>
      <w:r w:rsidR="00B475FC">
        <w:t xml:space="preserve"> date of this </w:t>
      </w:r>
      <w:r w:rsidR="00D879D5">
        <w:t>d</w:t>
      </w:r>
      <w:r w:rsidR="00B475FC">
        <w:t>ecision</w:t>
      </w:r>
      <w:r w:rsidR="00D879D5">
        <w:t xml:space="preserve"> through February 14, 2025</w:t>
      </w:r>
      <w:r w:rsidR="00B475FC">
        <w:t xml:space="preserve">, </w:t>
      </w:r>
      <w:r w:rsidR="00BE749D">
        <w:t xml:space="preserve">Frontier shall submit quarterly reports </w:t>
      </w:r>
      <w:r w:rsidR="0031317C">
        <w:t xml:space="preserve">within 45 days after the end of the reporting quarter </w:t>
      </w:r>
      <w:r w:rsidR="00BE749D">
        <w:t xml:space="preserve">to the Commission’s CD at </w:t>
      </w:r>
      <w:hyperlink w:history="1" r:id="rId24">
        <w:r w:rsidRPr="002D54AC" w:rsidR="00BE749D">
          <w:rPr>
            <w:rStyle w:val="Hyperlink"/>
            <w:szCs w:val="26"/>
          </w:rPr>
          <w:t>telcoservicequality@cpuc.ca.gov</w:t>
        </w:r>
      </w:hyperlink>
      <w:r w:rsidR="00BE749D">
        <w:t xml:space="preserve"> </w:t>
      </w:r>
      <w:r w:rsidR="003A3822">
        <w:t xml:space="preserve">in a format designed by CD staff </w:t>
      </w:r>
      <w:r w:rsidR="009D4B72">
        <w:t>that includes</w:t>
      </w:r>
      <w:r w:rsidR="00BE749D">
        <w:t xml:space="preserve"> the following information:</w:t>
      </w:r>
    </w:p>
    <w:p w:rsidR="004E6153" w:rsidP="0022721A" w:rsidRDefault="00F07E83" w14:paraId="77B2C7FD" w14:textId="555BF079">
      <w:pPr>
        <w:pStyle w:val="OP"/>
        <w:numPr>
          <w:ilvl w:val="0"/>
          <w:numId w:val="12"/>
        </w:numPr>
        <w:autoSpaceDE w:val="0"/>
        <w:autoSpaceDN w:val="0"/>
        <w:adjustRightInd w:val="0"/>
        <w:spacing w:after="120" w:line="240" w:lineRule="auto"/>
        <w:ind w:left="1901" w:hanging="634"/>
        <w:rPr>
          <w:szCs w:val="26"/>
        </w:rPr>
      </w:pPr>
      <w:r w:rsidRPr="004E6153">
        <w:rPr>
          <w:szCs w:val="26"/>
        </w:rPr>
        <w:t xml:space="preserve">The name and city, county, and zip code of </w:t>
      </w:r>
      <w:r w:rsidR="004E6153">
        <w:rPr>
          <w:szCs w:val="26"/>
        </w:rPr>
        <w:t>each</w:t>
      </w:r>
      <w:r w:rsidRPr="004E6153">
        <w:rPr>
          <w:szCs w:val="26"/>
        </w:rPr>
        <w:t xml:space="preserve"> wire center</w:t>
      </w:r>
      <w:r w:rsidRPr="004E6153" w:rsidR="004E6153">
        <w:rPr>
          <w:szCs w:val="26"/>
        </w:rPr>
        <w:t>.</w:t>
      </w:r>
      <w:r w:rsidRPr="004E6153">
        <w:rPr>
          <w:szCs w:val="26"/>
        </w:rPr>
        <w:t xml:space="preserve"> </w:t>
      </w:r>
    </w:p>
    <w:p w:rsidRPr="004E6153" w:rsidR="004E6153" w:rsidP="0022721A" w:rsidRDefault="004E6153" w14:paraId="3459D109" w14:textId="17DD2432">
      <w:pPr>
        <w:pStyle w:val="OP"/>
        <w:numPr>
          <w:ilvl w:val="0"/>
          <w:numId w:val="13"/>
        </w:numPr>
        <w:autoSpaceDE w:val="0"/>
        <w:autoSpaceDN w:val="0"/>
        <w:adjustRightInd w:val="0"/>
        <w:spacing w:after="120" w:line="240" w:lineRule="auto"/>
        <w:ind w:left="1901" w:hanging="634"/>
        <w:rPr>
          <w:rFonts w:cs="Times New Roman"/>
          <w:szCs w:val="26"/>
        </w:rPr>
      </w:pPr>
      <w:r>
        <w:rPr>
          <w:szCs w:val="26"/>
        </w:rPr>
        <w:t>Each wire center’s number of plain old telephone service customers</w:t>
      </w:r>
      <w:r w:rsidR="00CC60A9">
        <w:rPr>
          <w:szCs w:val="26"/>
        </w:rPr>
        <w:t>, Voice over Internet Protocol customers,</w:t>
      </w:r>
      <w:r>
        <w:rPr>
          <w:szCs w:val="26"/>
        </w:rPr>
        <w:t xml:space="preserve"> and customers served with fiber to the premises.</w:t>
      </w:r>
    </w:p>
    <w:p w:rsidRPr="004E6153" w:rsidR="004E6153" w:rsidP="0022721A" w:rsidRDefault="004E6153" w14:paraId="3FE81360" w14:textId="432526DA">
      <w:pPr>
        <w:pStyle w:val="OP"/>
        <w:numPr>
          <w:ilvl w:val="0"/>
          <w:numId w:val="13"/>
        </w:numPr>
        <w:autoSpaceDE w:val="0"/>
        <w:autoSpaceDN w:val="0"/>
        <w:adjustRightInd w:val="0"/>
        <w:spacing w:after="120" w:line="240" w:lineRule="auto"/>
        <w:ind w:left="1901" w:hanging="634"/>
        <w:rPr>
          <w:rFonts w:cs="Times New Roman"/>
          <w:szCs w:val="26"/>
        </w:rPr>
      </w:pPr>
      <w:r>
        <w:rPr>
          <w:szCs w:val="26"/>
        </w:rPr>
        <w:t>Each wire center’s monthly OOS repair rate for the previous two years.</w:t>
      </w:r>
    </w:p>
    <w:p w:rsidRPr="004E6153" w:rsidR="004E6153" w:rsidP="0022721A" w:rsidRDefault="004E6153" w14:paraId="03504B52" w14:textId="2A6E6D3C">
      <w:pPr>
        <w:pStyle w:val="OP"/>
        <w:numPr>
          <w:ilvl w:val="0"/>
          <w:numId w:val="13"/>
        </w:numPr>
        <w:autoSpaceDE w:val="0"/>
        <w:autoSpaceDN w:val="0"/>
        <w:adjustRightInd w:val="0"/>
        <w:spacing w:after="120" w:line="240" w:lineRule="auto"/>
        <w:ind w:left="1901" w:hanging="634"/>
        <w:rPr>
          <w:rFonts w:cs="Times New Roman"/>
          <w:szCs w:val="26"/>
        </w:rPr>
      </w:pPr>
      <w:r>
        <w:rPr>
          <w:szCs w:val="26"/>
        </w:rPr>
        <w:t>The C</w:t>
      </w:r>
      <w:r w:rsidR="00050B06">
        <w:rPr>
          <w:szCs w:val="26"/>
        </w:rPr>
        <w:t>ommon Language Location Identifier</w:t>
      </w:r>
      <w:r>
        <w:rPr>
          <w:szCs w:val="26"/>
        </w:rPr>
        <w:t xml:space="preserve"> codes for mapping purposes for each wire center.</w:t>
      </w:r>
    </w:p>
    <w:p w:rsidR="004C705D" w:rsidP="0022721A" w:rsidRDefault="004E6153" w14:paraId="7D838B23" w14:textId="50774DE6">
      <w:pPr>
        <w:pStyle w:val="OP"/>
        <w:numPr>
          <w:ilvl w:val="0"/>
          <w:numId w:val="13"/>
        </w:numPr>
        <w:autoSpaceDE w:val="0"/>
        <w:autoSpaceDN w:val="0"/>
        <w:adjustRightInd w:val="0"/>
        <w:spacing w:after="120" w:line="240" w:lineRule="auto"/>
        <w:ind w:left="1901" w:hanging="634"/>
        <w:rPr>
          <w:rFonts w:cs="Times New Roman"/>
          <w:szCs w:val="26"/>
        </w:rPr>
      </w:pPr>
      <w:r>
        <w:rPr>
          <w:rFonts w:cs="Times New Roman"/>
          <w:szCs w:val="26"/>
        </w:rPr>
        <w:t>Detailed plans for each</w:t>
      </w:r>
      <w:r w:rsidR="00C266CC">
        <w:rPr>
          <w:rFonts w:cs="Times New Roman"/>
          <w:szCs w:val="26"/>
        </w:rPr>
        <w:t xml:space="preserve"> </w:t>
      </w:r>
      <w:r w:rsidR="00C9169C">
        <w:rPr>
          <w:rFonts w:cs="Times New Roman"/>
          <w:szCs w:val="26"/>
        </w:rPr>
        <w:t>project that attempts to improve service</w:t>
      </w:r>
      <w:r w:rsidR="00C266CC">
        <w:rPr>
          <w:rFonts w:cs="Times New Roman"/>
          <w:szCs w:val="26"/>
        </w:rPr>
        <w:t xml:space="preserve"> quality performance</w:t>
      </w:r>
      <w:r>
        <w:rPr>
          <w:rFonts w:cs="Times New Roman"/>
          <w:szCs w:val="26"/>
        </w:rPr>
        <w:t xml:space="preserve">, including major milestones, </w:t>
      </w:r>
      <w:r w:rsidR="004C705D">
        <w:rPr>
          <w:rFonts w:cs="Times New Roman"/>
          <w:szCs w:val="26"/>
        </w:rPr>
        <w:t>task-level project details, test plans, and results.</w:t>
      </w:r>
    </w:p>
    <w:p w:rsidRPr="00FC0984" w:rsidR="00E15C5F" w:rsidP="0022721A" w:rsidRDefault="00E15C5F" w14:paraId="6805B4D6" w14:textId="4231F3E6">
      <w:pPr>
        <w:pStyle w:val="OP"/>
        <w:numPr>
          <w:ilvl w:val="0"/>
          <w:numId w:val="13"/>
        </w:numPr>
        <w:autoSpaceDE w:val="0"/>
        <w:autoSpaceDN w:val="0"/>
        <w:adjustRightInd w:val="0"/>
        <w:spacing w:after="120" w:line="240" w:lineRule="auto"/>
        <w:ind w:left="1901" w:hanging="634"/>
        <w:rPr>
          <w:rFonts w:cs="Times New Roman"/>
          <w:szCs w:val="26"/>
        </w:rPr>
      </w:pPr>
      <w:r w:rsidRPr="00FC0984">
        <w:rPr>
          <w:szCs w:val="26"/>
        </w:rPr>
        <w:t xml:space="preserve">A justification for </w:t>
      </w:r>
      <w:r>
        <w:rPr>
          <w:szCs w:val="26"/>
        </w:rPr>
        <w:t>each</w:t>
      </w:r>
      <w:r w:rsidRPr="00FC0984">
        <w:rPr>
          <w:szCs w:val="26"/>
        </w:rPr>
        <w:t xml:space="preserve"> project</w:t>
      </w:r>
      <w:r w:rsidR="00C9169C">
        <w:rPr>
          <w:szCs w:val="26"/>
        </w:rPr>
        <w:t xml:space="preserve"> that attempts to improve service quality performance</w:t>
      </w:r>
      <w:r w:rsidR="0064249D">
        <w:rPr>
          <w:szCs w:val="26"/>
        </w:rPr>
        <w:t>.</w:t>
      </w:r>
    </w:p>
    <w:p w:rsidRPr="00FC0984" w:rsidR="00BE749D" w:rsidP="0022721A" w:rsidRDefault="00BE749D" w14:paraId="6AF3CCF1" w14:textId="17796887">
      <w:pPr>
        <w:pStyle w:val="OP"/>
        <w:numPr>
          <w:ilvl w:val="0"/>
          <w:numId w:val="13"/>
        </w:numPr>
        <w:autoSpaceDE w:val="0"/>
        <w:autoSpaceDN w:val="0"/>
        <w:adjustRightInd w:val="0"/>
        <w:spacing w:after="120" w:line="240" w:lineRule="auto"/>
        <w:ind w:left="1901" w:hanging="634"/>
        <w:rPr>
          <w:rFonts w:cs="Times New Roman"/>
          <w:szCs w:val="26"/>
        </w:rPr>
      </w:pPr>
      <w:r w:rsidRPr="004E6153">
        <w:rPr>
          <w:szCs w:val="26"/>
        </w:rPr>
        <w:t>The pre- and post-OOS repair rate and closeout package containing pre- and post-test result screenshots and pictures clearly showing changes made to improve service quality for all applicable wire center areas.</w:t>
      </w:r>
    </w:p>
    <w:p w:rsidRPr="005942BB" w:rsidR="00FC0984" w:rsidP="005942BB" w:rsidRDefault="00BE749D" w14:paraId="035E7D3D" w14:textId="5917378E">
      <w:pPr>
        <w:pStyle w:val="OP"/>
        <w:numPr>
          <w:ilvl w:val="0"/>
          <w:numId w:val="13"/>
        </w:numPr>
        <w:autoSpaceDE w:val="0"/>
        <w:autoSpaceDN w:val="0"/>
        <w:adjustRightInd w:val="0"/>
        <w:spacing w:after="120" w:line="240" w:lineRule="auto"/>
        <w:ind w:left="1901" w:hanging="634"/>
        <w:rPr>
          <w:rFonts w:cs="Times New Roman"/>
          <w:szCs w:val="26"/>
        </w:rPr>
      </w:pPr>
      <w:r w:rsidRPr="00FC0984">
        <w:rPr>
          <w:szCs w:val="26"/>
        </w:rPr>
        <w:t>All formulas used by Frontier to calculate a wire center’s OOS repair rate</w:t>
      </w:r>
      <w:r w:rsidRPr="00FC0984" w:rsidR="003E22E8">
        <w:rPr>
          <w:szCs w:val="26"/>
        </w:rPr>
        <w:t xml:space="preserve">, including the start time and date of each outage, time and date of service restoration, total outage duration, and the </w:t>
      </w:r>
      <w:r w:rsidRPr="00FC0984" w:rsidR="003E22E8">
        <w:rPr>
          <w:szCs w:val="26"/>
        </w:rPr>
        <w:lastRenderedPageBreak/>
        <w:t>actual formula (not pasted in values) used to calculate the outage duration.</w:t>
      </w:r>
    </w:p>
    <w:p w:rsidR="00FC0984" w:rsidP="0022721A" w:rsidRDefault="003E22E8" w14:paraId="775C78E5" w14:textId="47957181">
      <w:pPr>
        <w:pStyle w:val="OP"/>
        <w:numPr>
          <w:ilvl w:val="0"/>
          <w:numId w:val="13"/>
        </w:numPr>
        <w:autoSpaceDE w:val="0"/>
        <w:autoSpaceDN w:val="0"/>
        <w:adjustRightInd w:val="0"/>
        <w:spacing w:after="120" w:line="240" w:lineRule="auto"/>
        <w:ind w:left="1901" w:hanging="634"/>
        <w:rPr>
          <w:rFonts w:cs="Times New Roman"/>
          <w:szCs w:val="26"/>
        </w:rPr>
      </w:pPr>
      <w:r w:rsidRPr="00FC0984">
        <w:rPr>
          <w:szCs w:val="26"/>
        </w:rPr>
        <w:t>A detailed inventory of major equipment used to repair or upgrade the network, including the equipment manufacturer’s end of life information.</w:t>
      </w:r>
    </w:p>
    <w:p w:rsidRPr="00E90E4B" w:rsidR="00E90E4B" w:rsidP="0022721A" w:rsidRDefault="00F07E83" w14:paraId="70289A59" w14:textId="29BB9953">
      <w:pPr>
        <w:pStyle w:val="OP"/>
        <w:numPr>
          <w:ilvl w:val="0"/>
          <w:numId w:val="13"/>
        </w:numPr>
        <w:autoSpaceDE w:val="0"/>
        <w:autoSpaceDN w:val="0"/>
        <w:adjustRightInd w:val="0"/>
        <w:spacing w:after="120" w:line="240" w:lineRule="auto"/>
        <w:ind w:left="1901" w:hanging="634"/>
        <w:rPr>
          <w:rFonts w:cs="Times New Roman"/>
          <w:szCs w:val="26"/>
        </w:rPr>
      </w:pPr>
      <w:r w:rsidRPr="00FC0984">
        <w:rPr>
          <w:szCs w:val="26"/>
        </w:rPr>
        <w:t xml:space="preserve">All supporting financial documentation to demonstrate the extent to which all investment plan projects were funded </w:t>
      </w:r>
      <w:proofErr w:type="gramStart"/>
      <w:r w:rsidRPr="00FC0984">
        <w:rPr>
          <w:szCs w:val="26"/>
        </w:rPr>
        <w:t>in excess of</w:t>
      </w:r>
      <w:proofErr w:type="gramEnd"/>
      <w:r w:rsidRPr="00FC0984">
        <w:rPr>
          <w:szCs w:val="26"/>
        </w:rPr>
        <w:t xml:space="preserve"> Frontier’s business as usual funding levels.</w:t>
      </w:r>
      <w:r w:rsidRPr="00E90E4B" w:rsidR="00E90E4B">
        <w:rPr>
          <w:szCs w:val="26"/>
        </w:rPr>
        <w:t xml:space="preserve"> </w:t>
      </w:r>
    </w:p>
    <w:p w:rsidRPr="00E90E4B" w:rsidR="00BE749D" w:rsidP="0022721A" w:rsidRDefault="00E90E4B" w14:paraId="24F772CE" w14:textId="1A2E5740">
      <w:pPr>
        <w:pStyle w:val="OP"/>
        <w:numPr>
          <w:ilvl w:val="1"/>
          <w:numId w:val="31"/>
        </w:numPr>
        <w:autoSpaceDE w:val="0"/>
        <w:autoSpaceDN w:val="0"/>
        <w:adjustRightInd w:val="0"/>
        <w:spacing w:after="120" w:line="240" w:lineRule="auto"/>
        <w:ind w:hanging="342"/>
        <w:rPr>
          <w:rFonts w:cs="Times New Roman"/>
          <w:szCs w:val="26"/>
        </w:rPr>
      </w:pPr>
      <w:r>
        <w:rPr>
          <w:szCs w:val="26"/>
        </w:rPr>
        <w:t>Within 60 days of the effective date of this decision, Frontier shall open consultations with the Commission’s Digital Infrastructure and Video Competition Act (DIVCA) staff to refine and improve the Commission’s DIVCA map.</w:t>
      </w:r>
    </w:p>
    <w:p w:rsidRPr="007319D5" w:rsidR="007319D5" w:rsidP="006D2699" w:rsidRDefault="006B750A" w14:paraId="5F6356A8" w14:textId="1EDA06C3">
      <w:pPr>
        <w:pStyle w:val="OP"/>
        <w:numPr>
          <w:ilvl w:val="1"/>
          <w:numId w:val="31"/>
        </w:numPr>
        <w:autoSpaceDE w:val="0"/>
        <w:autoSpaceDN w:val="0"/>
        <w:adjustRightInd w:val="0"/>
        <w:spacing w:after="120" w:line="240" w:lineRule="auto"/>
        <w:ind w:hanging="342"/>
        <w:rPr>
          <w:rFonts w:cs="Times New Roman"/>
          <w:szCs w:val="26"/>
        </w:rPr>
      </w:pPr>
      <w:bookmarkStart w:name="_Hlk66277189" w:id="60"/>
      <w:r>
        <w:rPr>
          <w:szCs w:val="26"/>
        </w:rPr>
        <w:t>At least 10 percent</w:t>
      </w:r>
      <w:r w:rsidR="006D2699">
        <w:rPr>
          <w:szCs w:val="26"/>
        </w:rPr>
        <w:t xml:space="preserve"> </w:t>
      </w:r>
      <w:r w:rsidRPr="00CC3377" w:rsidR="006D2699">
        <w:rPr>
          <w:szCs w:val="26"/>
        </w:rPr>
        <w:t>of Frontier’s planned fiber buildout to the 150,000 locations with an I</w:t>
      </w:r>
      <w:r w:rsidR="007319D5">
        <w:rPr>
          <w:szCs w:val="26"/>
        </w:rPr>
        <w:t>nternal Rate of Return</w:t>
      </w:r>
      <w:r w:rsidRPr="00CC3377" w:rsidR="006D2699">
        <w:rPr>
          <w:szCs w:val="26"/>
        </w:rPr>
        <w:t xml:space="preserve"> of 20 percent or less </w:t>
      </w:r>
      <w:r w:rsidR="007319D5">
        <w:rPr>
          <w:szCs w:val="26"/>
        </w:rPr>
        <w:t xml:space="preserve">set forth in Paragraph 19 of the Attachment 1 Settlement Agreement </w:t>
      </w:r>
      <w:r w:rsidRPr="00CC3377" w:rsidR="006D2699">
        <w:rPr>
          <w:szCs w:val="26"/>
        </w:rPr>
        <w:t xml:space="preserve">shall </w:t>
      </w:r>
      <w:r w:rsidR="006D2699">
        <w:rPr>
          <w:szCs w:val="26"/>
        </w:rPr>
        <w:t xml:space="preserve">be in </w:t>
      </w:r>
      <w:r w:rsidRPr="00CC3377" w:rsidR="006D2699">
        <w:rPr>
          <w:szCs w:val="26"/>
        </w:rPr>
        <w:t xml:space="preserve">locations in which Frontier is the only </w:t>
      </w:r>
      <w:r w:rsidR="004362DA">
        <w:rPr>
          <w:szCs w:val="26"/>
        </w:rPr>
        <w:t xml:space="preserve">fixed broadband Internet access </w:t>
      </w:r>
      <w:r w:rsidRPr="00CC3377" w:rsidR="006D2699">
        <w:rPr>
          <w:szCs w:val="26"/>
        </w:rPr>
        <w:t>service provider.</w:t>
      </w:r>
      <w:r w:rsidR="006D2699">
        <w:rPr>
          <w:szCs w:val="26"/>
        </w:rPr>
        <w:t xml:space="preserve">  Frontier shall use the California Interactive Broadband Map </w:t>
      </w:r>
      <w:r w:rsidR="004D432F">
        <w:rPr>
          <w:szCs w:val="26"/>
        </w:rPr>
        <w:t xml:space="preserve">(Map) </w:t>
      </w:r>
      <w:r w:rsidR="006D2699">
        <w:rPr>
          <w:szCs w:val="26"/>
        </w:rPr>
        <w:t xml:space="preserve">to identify areas with only one service provider, unless it is able to show that the Map is inaccurate.  </w:t>
      </w:r>
      <w:bookmarkStart w:name="_Hlk66276983" w:id="61"/>
      <w:r w:rsidR="006D2699">
        <w:rPr>
          <w:szCs w:val="26"/>
        </w:rPr>
        <w:t>At least 10</w:t>
      </w:r>
      <w:r w:rsidR="00EA7C89">
        <w:rPr>
          <w:szCs w:val="26"/>
        </w:rPr>
        <w:t xml:space="preserve"> percent</w:t>
      </w:r>
      <w:r w:rsidR="006D2699">
        <w:rPr>
          <w:szCs w:val="26"/>
        </w:rPr>
        <w:t xml:space="preserve"> of the funds Frontier allocates to th</w:t>
      </w:r>
      <w:r w:rsidR="004D432F">
        <w:rPr>
          <w:szCs w:val="26"/>
        </w:rPr>
        <w:t>e</w:t>
      </w:r>
      <w:r w:rsidR="006D2699">
        <w:rPr>
          <w:szCs w:val="26"/>
        </w:rPr>
        <w:t xml:space="preserve"> fiber buildout </w:t>
      </w:r>
      <w:r w:rsidR="004D432F">
        <w:rPr>
          <w:szCs w:val="26"/>
        </w:rPr>
        <w:t xml:space="preserve">to the 150,000 locations </w:t>
      </w:r>
      <w:r w:rsidR="006D2699">
        <w:rPr>
          <w:szCs w:val="26"/>
        </w:rPr>
        <w:t>shall go to locations outside of Urbanized Areas, as defined by the U.S. Census Bureau as areas with fewer than 50,000 people.</w:t>
      </w:r>
      <w:bookmarkEnd w:id="61"/>
    </w:p>
    <w:bookmarkEnd w:id="60"/>
    <w:p w:rsidRPr="00B46EE2" w:rsidR="00E90E4B" w:rsidP="0022721A" w:rsidRDefault="00E90E4B" w14:paraId="4A9BB8BC" w14:textId="1B243D29">
      <w:pPr>
        <w:pStyle w:val="OP"/>
        <w:numPr>
          <w:ilvl w:val="1"/>
          <w:numId w:val="7"/>
        </w:numPr>
        <w:autoSpaceDE w:val="0"/>
        <w:autoSpaceDN w:val="0"/>
        <w:adjustRightInd w:val="0"/>
        <w:spacing w:after="120" w:line="240" w:lineRule="auto"/>
        <w:ind w:left="1080" w:hanging="360"/>
        <w:rPr>
          <w:rFonts w:cs="Times New Roman"/>
          <w:szCs w:val="26"/>
        </w:rPr>
      </w:pPr>
      <w:r>
        <w:rPr>
          <w:szCs w:val="26"/>
        </w:rPr>
        <w:t>Within 60 days of the effective date of this decision, Frontier shall open consultations with the Commission’s C</w:t>
      </w:r>
      <w:r w:rsidR="00050B06">
        <w:rPr>
          <w:szCs w:val="26"/>
        </w:rPr>
        <w:t>D</w:t>
      </w:r>
      <w:r>
        <w:rPr>
          <w:szCs w:val="26"/>
        </w:rPr>
        <w:t xml:space="preserve"> staff for the purpose of providing more granular voice, video, and broadband availability and subscribership data.</w:t>
      </w:r>
    </w:p>
    <w:p w:rsidRPr="008D7364" w:rsidR="008D7364" w:rsidP="0022721A" w:rsidRDefault="00B46EE2" w14:paraId="3C285321" w14:textId="361136F2">
      <w:pPr>
        <w:pStyle w:val="OP"/>
        <w:numPr>
          <w:ilvl w:val="1"/>
          <w:numId w:val="7"/>
        </w:numPr>
        <w:autoSpaceDE w:val="0"/>
        <w:autoSpaceDN w:val="0"/>
        <w:adjustRightInd w:val="0"/>
        <w:spacing w:after="120" w:line="240" w:lineRule="auto"/>
        <w:ind w:left="1080" w:hanging="360"/>
        <w:rPr>
          <w:rFonts w:cs="Times New Roman"/>
          <w:szCs w:val="26"/>
        </w:rPr>
      </w:pPr>
      <w:r>
        <w:rPr>
          <w:szCs w:val="26"/>
        </w:rPr>
        <w:t xml:space="preserve">Frontier shall deploy either Fiber </w:t>
      </w:r>
      <w:proofErr w:type="gramStart"/>
      <w:r>
        <w:rPr>
          <w:szCs w:val="26"/>
        </w:rPr>
        <w:t>To</w:t>
      </w:r>
      <w:proofErr w:type="gramEnd"/>
      <w:r>
        <w:rPr>
          <w:szCs w:val="26"/>
        </w:rPr>
        <w:t xml:space="preserve"> The Home or a minimum 25/3 megabits per second to all households in the approved California Advanced Services Fund (CASF) projects in areas </w:t>
      </w:r>
      <w:r w:rsidR="00D879D5">
        <w:rPr>
          <w:szCs w:val="26"/>
        </w:rPr>
        <w:t xml:space="preserve">from Resolutions </w:t>
      </w:r>
      <w:r>
        <w:rPr>
          <w:szCs w:val="26"/>
        </w:rPr>
        <w:t>T-17660 Weimar, T-17668 Taft Cluster, and T-17671 Northeast Phase I</w:t>
      </w:r>
      <w:r w:rsidR="00F4119E">
        <w:rPr>
          <w:szCs w:val="26"/>
        </w:rPr>
        <w:t xml:space="preserve">. </w:t>
      </w:r>
      <w:r w:rsidR="006867D4">
        <w:rPr>
          <w:szCs w:val="26"/>
        </w:rPr>
        <w:t>The completion deadlines for the Weimar and Taft Cluster projects shall be extended to one year from the effective date of this decision.</w:t>
      </w:r>
      <w:r w:rsidR="00D879D5">
        <w:rPr>
          <w:szCs w:val="26"/>
        </w:rPr>
        <w:t xml:space="preserve">  </w:t>
      </w:r>
      <w:r w:rsidR="006867D4">
        <w:rPr>
          <w:szCs w:val="26"/>
        </w:rPr>
        <w:t>The</w:t>
      </w:r>
      <w:r w:rsidR="002D2B25">
        <w:rPr>
          <w:szCs w:val="26"/>
        </w:rPr>
        <w:t xml:space="preserve"> completion deadline for </w:t>
      </w:r>
      <w:r w:rsidR="006867D4">
        <w:rPr>
          <w:szCs w:val="26"/>
        </w:rPr>
        <w:t>the Northeast Phase I project</w:t>
      </w:r>
      <w:r w:rsidR="002D2B25">
        <w:rPr>
          <w:szCs w:val="26"/>
        </w:rPr>
        <w:t xml:space="preserve"> shall remain unchanged. By no later than March 1 and September 1 of each year, Frontier shall submit a report </w:t>
      </w:r>
      <w:r w:rsidR="008D7364">
        <w:rPr>
          <w:szCs w:val="26"/>
        </w:rPr>
        <w:t xml:space="preserve">to CD staff </w:t>
      </w:r>
      <w:r w:rsidR="002D2B25">
        <w:rPr>
          <w:szCs w:val="26"/>
        </w:rPr>
        <w:t xml:space="preserve">describing its compliance with </w:t>
      </w:r>
      <w:r w:rsidR="002D2B25">
        <w:rPr>
          <w:szCs w:val="26"/>
        </w:rPr>
        <w:lastRenderedPageBreak/>
        <w:t>this subparagraph</w:t>
      </w:r>
      <w:r w:rsidR="008D7364">
        <w:rPr>
          <w:szCs w:val="26"/>
        </w:rPr>
        <w:t>,</w:t>
      </w:r>
      <w:r w:rsidR="002D2B25">
        <w:rPr>
          <w:szCs w:val="26"/>
        </w:rPr>
        <w:t xml:space="preserve"> including, without limitation, </w:t>
      </w:r>
      <w:r w:rsidR="008D7364">
        <w:rPr>
          <w:szCs w:val="26"/>
        </w:rPr>
        <w:t>project accomplishments, project milestones (including major construction milestones) with completion percentage and completion dates, problems encountered and actions taken to resolve problems, upcoming milestones, subscribership information to date including households, businesses, and anchor institutions, payments received to date, and payment amounts currently being requested.</w:t>
      </w:r>
    </w:p>
    <w:p w:rsidRPr="00B46EE2" w:rsidR="00B46EE2" w:rsidP="0022721A" w:rsidRDefault="002D2B25" w14:paraId="584B0484" w14:textId="1541869D">
      <w:pPr>
        <w:pStyle w:val="OP"/>
        <w:numPr>
          <w:ilvl w:val="1"/>
          <w:numId w:val="7"/>
        </w:numPr>
        <w:autoSpaceDE w:val="0"/>
        <w:autoSpaceDN w:val="0"/>
        <w:adjustRightInd w:val="0"/>
        <w:spacing w:after="120" w:line="240" w:lineRule="auto"/>
        <w:ind w:left="1080" w:hanging="360"/>
        <w:rPr>
          <w:rFonts w:cs="Times New Roman"/>
          <w:szCs w:val="26"/>
        </w:rPr>
      </w:pPr>
      <w:r>
        <w:rPr>
          <w:szCs w:val="26"/>
        </w:rPr>
        <w:t xml:space="preserve"> </w:t>
      </w:r>
      <w:r w:rsidR="00B46EE2">
        <w:rPr>
          <w:szCs w:val="26"/>
        </w:rPr>
        <w:t xml:space="preserve">All middle mile infrastructure </w:t>
      </w:r>
      <w:r w:rsidR="0009281F">
        <w:rPr>
          <w:szCs w:val="26"/>
        </w:rPr>
        <w:t>owned by Frontier for which the Commission has approved CASF grant funding</w:t>
      </w:r>
      <w:r w:rsidR="00B46EE2">
        <w:rPr>
          <w:szCs w:val="26"/>
        </w:rPr>
        <w:t xml:space="preserve"> in </w:t>
      </w:r>
      <w:r w:rsidR="0009281F">
        <w:rPr>
          <w:szCs w:val="26"/>
        </w:rPr>
        <w:t>Resolutions</w:t>
      </w:r>
      <w:r w:rsidR="00E154FE">
        <w:rPr>
          <w:szCs w:val="26"/>
        </w:rPr>
        <w:t xml:space="preserve"> </w:t>
      </w:r>
      <w:r w:rsidR="00B46EE2">
        <w:rPr>
          <w:szCs w:val="26"/>
        </w:rPr>
        <w:t>T-17671 Northeast Phase I and T-17613 Lytle Creek shall be open access, with non-discriminatory access to independent service providers or other entities on reasonable and equal terms.</w:t>
      </w:r>
      <w:r w:rsidR="008D7364">
        <w:rPr>
          <w:szCs w:val="26"/>
        </w:rPr>
        <w:t xml:space="preserve"> All completion deadlines for projects referenced in this subparagraph shall remain unchanged. </w:t>
      </w:r>
      <w:r w:rsidR="00F53B89">
        <w:rPr>
          <w:szCs w:val="26"/>
        </w:rPr>
        <w:t xml:space="preserve">By </w:t>
      </w:r>
      <w:r w:rsidR="00E85F57">
        <w:rPr>
          <w:szCs w:val="26"/>
        </w:rPr>
        <w:t>no later than January 15</w:t>
      </w:r>
      <w:r w:rsidR="00F53B89">
        <w:rPr>
          <w:szCs w:val="26"/>
        </w:rPr>
        <w:t xml:space="preserve"> of each year for the life of the infrastructure of each project referenced in this subparagraph, Frontier shall submit a confidential report to CD staff describing its compliance with this subparagraph, including, without limitation, the number of interconnection requests and executed service agreements and, for each interconnection request, the date, requesting party, location, service requested, outcome, pricing, applicable tariffs, and terms and conditions. </w:t>
      </w:r>
      <w:r w:rsidRPr="00037144" w:rsidR="00B46EE2">
        <w:t xml:space="preserve"> </w:t>
      </w:r>
    </w:p>
    <w:p w:rsidR="00BF3A96" w:rsidP="007B157F" w:rsidRDefault="002467E6" w14:paraId="462F5902" w14:textId="5FB754EE">
      <w:pPr>
        <w:pStyle w:val="OP"/>
      </w:pPr>
      <w:r w:rsidRPr="0091141F">
        <w:rPr>
          <w:szCs w:val="26"/>
        </w:rPr>
        <w:t xml:space="preserve">The </w:t>
      </w:r>
      <w:r>
        <w:rPr>
          <w:szCs w:val="26"/>
        </w:rPr>
        <w:t>May 22</w:t>
      </w:r>
      <w:r w:rsidRPr="0091141F">
        <w:rPr>
          <w:szCs w:val="26"/>
        </w:rPr>
        <w:t xml:space="preserve">, 2020 Motion </w:t>
      </w:r>
      <w:r>
        <w:rPr>
          <w:szCs w:val="26"/>
        </w:rPr>
        <w:t xml:space="preserve">of </w:t>
      </w:r>
      <w:r w:rsidRPr="0091141F">
        <w:rPr>
          <w:rFonts w:cs="Times New Roman"/>
          <w:szCs w:val="26"/>
        </w:rPr>
        <w:t>Frontier Communications Corporation</w:t>
      </w:r>
      <w:r>
        <w:rPr>
          <w:rFonts w:cs="Times New Roman"/>
          <w:szCs w:val="26"/>
        </w:rPr>
        <w:t>,</w:t>
      </w:r>
      <w:r w:rsidRPr="0091141F">
        <w:rPr>
          <w:rFonts w:cs="Times New Roman"/>
          <w:szCs w:val="26"/>
        </w:rPr>
        <w:t xml:space="preserve"> Frontier California Inc., Citizens Telecommunications Company of California Inc., Frontier</w:t>
      </w:r>
      <w:r>
        <w:rPr>
          <w:rFonts w:cs="Times New Roman"/>
          <w:szCs w:val="26"/>
        </w:rPr>
        <w:t xml:space="preserve"> </w:t>
      </w:r>
      <w:r w:rsidRPr="00BA1124">
        <w:rPr>
          <w:rFonts w:cs="Times New Roman"/>
          <w:szCs w:val="26"/>
        </w:rPr>
        <w:t xml:space="preserve">Communications of the Southwest Inc., Frontier Communications Online and Long Distance Inc., </w:t>
      </w:r>
      <w:r>
        <w:rPr>
          <w:rFonts w:cs="Times New Roman"/>
          <w:szCs w:val="26"/>
        </w:rPr>
        <w:t xml:space="preserve">and </w:t>
      </w:r>
      <w:r w:rsidRPr="00BA1124">
        <w:rPr>
          <w:rFonts w:cs="Times New Roman"/>
          <w:szCs w:val="26"/>
        </w:rPr>
        <w:t>Frontier Communications of America, Inc.</w:t>
      </w:r>
      <w:r w:rsidR="00A6505F">
        <w:rPr>
          <w:rFonts w:cs="Times New Roman"/>
          <w:szCs w:val="26"/>
        </w:rPr>
        <w:t xml:space="preserve"> (collectively Frontier)</w:t>
      </w:r>
      <w:r>
        <w:rPr>
          <w:rFonts w:cs="Times New Roman"/>
          <w:szCs w:val="26"/>
        </w:rPr>
        <w:t xml:space="preserve"> for Leave to File Confidential Portions of Application (Exhibit G) under Seal</w:t>
      </w:r>
      <w:r w:rsidR="007B157F">
        <w:rPr>
          <w:rFonts w:cs="Times New Roman"/>
          <w:szCs w:val="26"/>
        </w:rPr>
        <w:t xml:space="preserve"> is granted, and the confidential information identified as Exhibit G to the Application shall be filed </w:t>
      </w:r>
      <w:r w:rsidR="0096534F">
        <w:rPr>
          <w:rFonts w:cs="Times New Roman"/>
          <w:szCs w:val="26"/>
        </w:rPr>
        <w:t xml:space="preserve">and kept </w:t>
      </w:r>
      <w:r w:rsidR="007B157F">
        <w:rPr>
          <w:rFonts w:cs="Times New Roman"/>
          <w:szCs w:val="26"/>
        </w:rPr>
        <w:t>under seal</w:t>
      </w:r>
      <w:r w:rsidR="00875A8F">
        <w:t xml:space="preserve"> for a period of three years after the date of this decision</w:t>
      </w:r>
      <w:r w:rsidR="0096534F">
        <w:t>. D</w:t>
      </w:r>
      <w:r w:rsidR="00875A8F">
        <w:t xml:space="preserve">uring this three-year period, the sealed information shall not be publicly disclosed except by further </w:t>
      </w:r>
      <w:r w:rsidR="00A6505F">
        <w:t xml:space="preserve">California Public Utilities </w:t>
      </w:r>
      <w:r w:rsidR="00875A8F">
        <w:t>Commission order or Administrative Law Judge ruling</w:t>
      </w:r>
      <w:r w:rsidR="0096534F">
        <w:t xml:space="preserve">. </w:t>
      </w:r>
      <w:r w:rsidR="00C36E9B">
        <w:t>I</w:t>
      </w:r>
      <w:r w:rsidR="00875A8F">
        <w:t xml:space="preserve">f Frontier believes that it is necessary for the sealed information to remain under </w:t>
      </w:r>
      <w:r w:rsidR="00875A8F">
        <w:lastRenderedPageBreak/>
        <w:t>seal for longer than three years, Frontier may file a new motion showing good cause for extending this period by no later than 30 days before the expiration of the three-year period</w:t>
      </w:r>
      <w:r w:rsidR="007B157F">
        <w:rPr>
          <w:rFonts w:cs="Times New Roman"/>
          <w:szCs w:val="26"/>
        </w:rPr>
        <w:t xml:space="preserve">. </w:t>
      </w:r>
    </w:p>
    <w:p w:rsidR="00BF3A96" w:rsidP="00942339" w:rsidRDefault="00DF7F3A" w14:paraId="4A93A39D" w14:textId="3B6B8338">
      <w:pPr>
        <w:pStyle w:val="OP"/>
      </w:pPr>
      <w:r w:rsidRPr="00BF3A96">
        <w:t>T</w:t>
      </w:r>
      <w:r w:rsidR="0031192C">
        <w:t>hi</w:t>
      </w:r>
      <w:r w:rsidRPr="00BF3A96">
        <w:t>s decision is effective</w:t>
      </w:r>
      <w:r w:rsidR="002F1840">
        <w:t xml:space="preserve"> </w:t>
      </w:r>
      <w:r w:rsidR="006B750A">
        <w:t>immediately.</w:t>
      </w:r>
    </w:p>
    <w:p w:rsidRPr="00BF3A96" w:rsidR="00DF7F3A" w:rsidP="00942339" w:rsidRDefault="00DF7F3A" w14:paraId="027DAFF2" w14:textId="416BCE87">
      <w:pPr>
        <w:pStyle w:val="OP"/>
      </w:pPr>
      <w:r w:rsidRPr="00BF3A96">
        <w:t xml:space="preserve">Application </w:t>
      </w:r>
      <w:r w:rsidR="007B157F">
        <w:t>20</w:t>
      </w:r>
      <w:r w:rsidRPr="00BF3A96">
        <w:t>-0</w:t>
      </w:r>
      <w:r w:rsidR="007B157F">
        <w:t>5</w:t>
      </w:r>
      <w:r w:rsidRPr="00BF3A96">
        <w:t>-01</w:t>
      </w:r>
      <w:r w:rsidR="007B157F">
        <w:t>0</w:t>
      </w:r>
      <w:r w:rsidRPr="00BF3A96">
        <w:t xml:space="preserve"> is closed.  </w:t>
      </w:r>
    </w:p>
    <w:p w:rsidRPr="00666087" w:rsidR="00DF7F3A" w:rsidP="00DF7F3A" w:rsidRDefault="00DF7F3A" w14:paraId="2AD382E6" w14:textId="77777777">
      <w:pPr>
        <w:pStyle w:val="standard0"/>
        <w:keepNext/>
        <w:keepLines/>
        <w:ind w:left="720" w:firstLine="0"/>
        <w:rPr>
          <w:rFonts w:ascii="Book Antiqua" w:hAnsi="Book Antiqua"/>
        </w:rPr>
      </w:pPr>
      <w:r w:rsidRPr="00666087">
        <w:rPr>
          <w:rFonts w:ascii="Book Antiqua" w:hAnsi="Book Antiqua"/>
        </w:rPr>
        <w:t>This order is effective today.</w:t>
      </w:r>
    </w:p>
    <w:p w:rsidR="00DF7F3A" w:rsidP="00DF7F3A" w:rsidRDefault="00DF7F3A" w14:paraId="0F517CF0" w14:textId="63DEF04C">
      <w:pPr>
        <w:pStyle w:val="standard0"/>
        <w:keepNext/>
        <w:keepLines/>
        <w:rPr>
          <w:rFonts w:ascii="Book Antiqua" w:hAnsi="Book Antiqua"/>
        </w:rPr>
      </w:pPr>
      <w:r w:rsidRPr="00666087">
        <w:rPr>
          <w:rFonts w:ascii="Book Antiqua" w:hAnsi="Book Antiqua"/>
        </w:rPr>
        <w:t>Dated</w:t>
      </w:r>
      <w:r>
        <w:rPr>
          <w:rFonts w:ascii="Book Antiqua" w:hAnsi="Book Antiqua"/>
        </w:rPr>
        <w:t xml:space="preserve"> </w:t>
      </w:r>
      <w:r w:rsidR="005D331C">
        <w:rPr>
          <w:rFonts w:ascii="Book Antiqua" w:hAnsi="Book Antiqua"/>
        </w:rPr>
        <w:t xml:space="preserve">April 15, 2021 </w:t>
      </w:r>
      <w:r w:rsidRPr="00666087">
        <w:rPr>
          <w:rFonts w:ascii="Book Antiqua" w:hAnsi="Book Antiqua"/>
        </w:rPr>
        <w:t>at San Francisco, California.</w:t>
      </w:r>
    </w:p>
    <w:p w:rsidR="005D331C" w:rsidP="00DF7F3A" w:rsidRDefault="005D331C" w14:paraId="7AB5795C" w14:textId="1EFDB1E4">
      <w:pPr>
        <w:pStyle w:val="standard0"/>
        <w:keepNext/>
        <w:keepLines/>
        <w:rPr>
          <w:rFonts w:ascii="Book Antiqua" w:hAnsi="Book Antiqua"/>
        </w:rPr>
      </w:pPr>
    </w:p>
    <w:p w:rsidRPr="005D331C" w:rsidR="005D331C" w:rsidP="005D331C" w:rsidRDefault="005D331C" w14:paraId="3CCD9369" w14:textId="77777777">
      <w:pPr>
        <w:autoSpaceDE w:val="0"/>
        <w:autoSpaceDN w:val="0"/>
        <w:adjustRightInd w:val="0"/>
        <w:spacing w:line="240" w:lineRule="auto"/>
        <w:ind w:left="4320" w:firstLine="0"/>
        <w:jc w:val="both"/>
        <w:rPr>
          <w:rFonts w:eastAsia="Times New Roman" w:cs="Times New Roman"/>
          <w:szCs w:val="20"/>
        </w:rPr>
      </w:pPr>
      <w:bookmarkStart w:name="_Hlk17215919" w:id="62"/>
      <w:r w:rsidRPr="005D331C">
        <w:rPr>
          <w:rFonts w:eastAsia="Times New Roman" w:cs="Times New Roman"/>
          <w:szCs w:val="20"/>
        </w:rPr>
        <w:t>MARYBEL BATJER</w:t>
      </w:r>
    </w:p>
    <w:p w:rsidRPr="005D331C" w:rsidR="005D331C" w:rsidP="005D331C" w:rsidRDefault="005D331C" w14:paraId="359CE90E" w14:textId="77777777">
      <w:pPr>
        <w:autoSpaceDE w:val="0"/>
        <w:autoSpaceDN w:val="0"/>
        <w:adjustRightInd w:val="0"/>
        <w:spacing w:line="240" w:lineRule="auto"/>
        <w:jc w:val="both"/>
        <w:rPr>
          <w:rFonts w:eastAsia="Times New Roman" w:cs="Times New Roman"/>
          <w:szCs w:val="20"/>
        </w:rPr>
      </w:pPr>
      <w:r w:rsidRPr="005D331C">
        <w:rPr>
          <w:rFonts w:eastAsia="Times New Roman" w:cs="Times New Roman"/>
          <w:szCs w:val="20"/>
        </w:rPr>
        <w:tab/>
      </w:r>
      <w:r w:rsidRPr="005D331C">
        <w:rPr>
          <w:rFonts w:eastAsia="Times New Roman" w:cs="Times New Roman"/>
          <w:szCs w:val="20"/>
        </w:rPr>
        <w:tab/>
      </w:r>
      <w:r w:rsidRPr="005D331C">
        <w:rPr>
          <w:rFonts w:eastAsia="Times New Roman" w:cs="Times New Roman"/>
          <w:szCs w:val="20"/>
        </w:rPr>
        <w:tab/>
      </w:r>
      <w:r w:rsidRPr="005D331C">
        <w:rPr>
          <w:rFonts w:eastAsia="Times New Roman" w:cs="Times New Roman"/>
          <w:szCs w:val="20"/>
        </w:rPr>
        <w:tab/>
      </w:r>
      <w:r w:rsidRPr="005D331C">
        <w:rPr>
          <w:rFonts w:eastAsia="Times New Roman" w:cs="Times New Roman"/>
          <w:szCs w:val="20"/>
        </w:rPr>
        <w:tab/>
        <w:t xml:space="preserve">                       President</w:t>
      </w:r>
    </w:p>
    <w:p w:rsidRPr="005D331C" w:rsidR="005D331C" w:rsidP="005D331C" w:rsidRDefault="005D331C" w14:paraId="5FA5839E" w14:textId="77777777">
      <w:pPr>
        <w:autoSpaceDE w:val="0"/>
        <w:autoSpaceDN w:val="0"/>
        <w:adjustRightInd w:val="0"/>
        <w:spacing w:line="240" w:lineRule="auto"/>
        <w:ind w:left="4320" w:firstLine="0"/>
        <w:jc w:val="both"/>
        <w:rPr>
          <w:rFonts w:eastAsia="Times New Roman" w:cs="Times New Roman"/>
          <w:szCs w:val="20"/>
        </w:rPr>
      </w:pPr>
      <w:r w:rsidRPr="005D331C">
        <w:rPr>
          <w:rFonts w:eastAsia="Times New Roman" w:cs="Times New Roman"/>
          <w:szCs w:val="20"/>
        </w:rPr>
        <w:t>MARTHA GUZMAN ACEVES</w:t>
      </w:r>
    </w:p>
    <w:p w:rsidRPr="005D331C" w:rsidR="005D331C" w:rsidP="005D331C" w:rsidRDefault="005D331C" w14:paraId="6BB733D1" w14:textId="77777777">
      <w:pPr>
        <w:autoSpaceDE w:val="0"/>
        <w:autoSpaceDN w:val="0"/>
        <w:adjustRightInd w:val="0"/>
        <w:spacing w:line="240" w:lineRule="auto"/>
        <w:ind w:left="4320" w:firstLine="0"/>
        <w:jc w:val="both"/>
        <w:rPr>
          <w:rFonts w:eastAsia="Times New Roman" w:cs="Times New Roman"/>
          <w:szCs w:val="20"/>
        </w:rPr>
      </w:pPr>
      <w:r w:rsidRPr="005D331C">
        <w:rPr>
          <w:rFonts w:eastAsia="Times New Roman" w:cs="Times New Roman"/>
          <w:szCs w:val="20"/>
        </w:rPr>
        <w:t>CLIFFORD RECHTSCHAFFEN</w:t>
      </w:r>
    </w:p>
    <w:p w:rsidRPr="005D331C" w:rsidR="005D331C" w:rsidP="005D331C" w:rsidRDefault="005D331C" w14:paraId="6E4BB695" w14:textId="77777777">
      <w:pPr>
        <w:autoSpaceDE w:val="0"/>
        <w:autoSpaceDN w:val="0"/>
        <w:adjustRightInd w:val="0"/>
        <w:spacing w:line="240" w:lineRule="auto"/>
        <w:ind w:left="4320" w:firstLine="0"/>
        <w:jc w:val="both"/>
        <w:rPr>
          <w:rFonts w:eastAsia="Times New Roman" w:cs="Times New Roman"/>
          <w:szCs w:val="20"/>
        </w:rPr>
      </w:pPr>
      <w:r w:rsidRPr="005D331C">
        <w:rPr>
          <w:rFonts w:eastAsia="Times New Roman" w:cs="Times New Roman"/>
          <w:szCs w:val="20"/>
        </w:rPr>
        <w:t>GENEVIEVE SHIROMA</w:t>
      </w:r>
    </w:p>
    <w:p w:rsidRPr="005D331C" w:rsidR="005D331C" w:rsidP="005D331C" w:rsidRDefault="005D331C" w14:paraId="69A8746D" w14:textId="77777777">
      <w:pPr>
        <w:autoSpaceDE w:val="0"/>
        <w:autoSpaceDN w:val="0"/>
        <w:adjustRightInd w:val="0"/>
        <w:spacing w:line="240" w:lineRule="auto"/>
        <w:ind w:left="3600"/>
        <w:jc w:val="both"/>
        <w:rPr>
          <w:rFonts w:eastAsia="Times New Roman" w:cs="Times New Roman"/>
          <w:szCs w:val="20"/>
        </w:rPr>
      </w:pPr>
      <w:r w:rsidRPr="005D331C">
        <w:rPr>
          <w:rFonts w:eastAsia="Times New Roman" w:cs="Times New Roman"/>
          <w:szCs w:val="20"/>
        </w:rPr>
        <w:t>DARCIE HOUCK</w:t>
      </w:r>
    </w:p>
    <w:p w:rsidRPr="005D331C" w:rsidR="005D331C" w:rsidP="005D331C" w:rsidRDefault="005D331C" w14:paraId="7E877500" w14:textId="77777777">
      <w:pPr>
        <w:autoSpaceDE w:val="0"/>
        <w:autoSpaceDN w:val="0"/>
        <w:adjustRightInd w:val="0"/>
        <w:spacing w:line="240" w:lineRule="auto"/>
        <w:ind w:left="4320"/>
        <w:jc w:val="both"/>
        <w:rPr>
          <w:rFonts w:eastAsia="Times New Roman" w:cs="Times New Roman"/>
          <w:szCs w:val="20"/>
        </w:rPr>
      </w:pPr>
      <w:r w:rsidRPr="005D331C">
        <w:rPr>
          <w:rFonts w:eastAsia="Times New Roman" w:cs="Times New Roman"/>
          <w:szCs w:val="20"/>
        </w:rPr>
        <w:t xml:space="preserve">                 Commissioners</w:t>
      </w:r>
    </w:p>
    <w:bookmarkEnd w:id="62"/>
    <w:p w:rsidR="005D331C" w:rsidP="00DF7F3A" w:rsidRDefault="005D331C" w14:paraId="059E27DC" w14:textId="77777777">
      <w:pPr>
        <w:pStyle w:val="standard0"/>
        <w:keepNext/>
        <w:keepLines/>
        <w:rPr>
          <w:rFonts w:ascii="Book Antiqua" w:hAnsi="Book Antiqua"/>
        </w:rPr>
      </w:pPr>
    </w:p>
    <w:sectPr w:rsidR="005D331C" w:rsidSect="00B21D89">
      <w:footerReference w:type="default" r:id="rId25"/>
      <w:pgSz w:w="12240" w:h="15840"/>
      <w:pgMar w:top="1728" w:right="1440" w:bottom="1440" w:left="1440" w:header="720" w:footer="720" w:gutter="0"/>
      <w:pgNumType w:start="2"/>
      <w:cols w:space="720"/>
      <w:docGrid w:linePitch="360"/>
    </w:sectPr>
    <w:p>
      <w:r>
        <w:t xml:space="preserve"/>
      </w:r>
    </w:p>
    <w:p>
      <w:r>
        <w:t xml:space="preserve">Attachment 1: </w:t>
      </w:r>
    </w:p>
    <w:p>
      <w:hyperlink w:history="true" r:id="Rc777d61602af420b">
        <w:r w:rsidRPr="00CB1292">
          <w:rPr>
            <w:rStyle w:val="Hyperlink"/>
            <w:color w:val="2E74B5" w:themeColor="accent1" w:themeShade="BF"/>
            <w:u w:val="single"/>
          </w:rPr>
          <w:t>D2104008 Attachments 1-3.pdf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201C" w14:textId="77777777" w:rsidR="003944B9" w:rsidRDefault="003944B9" w:rsidP="0098138E">
      <w:pPr>
        <w:spacing w:line="240" w:lineRule="auto"/>
      </w:pPr>
      <w:r>
        <w:separator/>
      </w:r>
    </w:p>
  </w:endnote>
  <w:endnote w:type="continuationSeparator" w:id="0">
    <w:p w14:paraId="2A42B00A" w14:textId="77777777" w:rsidR="003944B9" w:rsidRDefault="003944B9" w:rsidP="0098138E">
      <w:pPr>
        <w:spacing w:line="240" w:lineRule="auto"/>
      </w:pPr>
      <w:r>
        <w:continuationSeparator/>
      </w:r>
    </w:p>
  </w:endnote>
  <w:endnote w:type="continuationNotice" w:id="1">
    <w:p w14:paraId="49E8E35D" w14:textId="77777777" w:rsidR="003944B9" w:rsidRDefault="003944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Antiqua">
    <w:altName w:val="Calibri"/>
    <w:panose1 w:val="00000000000000000000"/>
    <w:charset w:val="00"/>
    <w:family w:val="roman"/>
    <w:notTrueType/>
    <w:pitch w:val="default"/>
    <w:sig w:usb0="03000003" w:usb1="00000000" w:usb2="00000000" w:usb3="00000000" w:csb0="00000001" w:csb1="00000000"/>
  </w:font>
  <w:font w:name="BookAntiqua,Italic">
    <w:altName w:val="Cambria"/>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08CC" w14:textId="39D476AF" w:rsidR="008C7A79" w:rsidRDefault="00773D02" w:rsidP="007E0FEE">
    <w:pPr>
      <w:tabs>
        <w:tab w:val="center" w:pos="4680"/>
      </w:tabs>
      <w:ind w:firstLine="0"/>
      <w:rPr>
        <w:noProof/>
      </w:rPr>
    </w:pPr>
    <w:sdt>
      <w:sdtPr>
        <w:id w:val="947502705"/>
        <w:docPartObj>
          <w:docPartGallery w:val="Page Numbers (Bottom of Page)"/>
          <w:docPartUnique/>
        </w:docPartObj>
      </w:sdtPr>
      <w:sdtEndPr>
        <w:rPr>
          <w:noProof/>
        </w:rPr>
      </w:sdtEndPr>
      <w:sdtContent>
        <w:r w:rsidRPr="00773D02">
          <w:rPr>
            <w:sz w:val="18"/>
            <w:szCs w:val="18"/>
          </w:rPr>
          <w:t>379131647</w:t>
        </w:r>
        <w:r w:rsidR="008C7A79">
          <w:rPr>
            <w:rFonts w:ascii="Arial" w:hAnsi="Arial" w:cs="Arial"/>
            <w:sz w:val="16"/>
            <w:szCs w:val="16"/>
          </w:rPr>
          <w:tab/>
        </w:r>
        <w:r w:rsidR="008C7A79" w:rsidRPr="009F1EBE">
          <w:fldChar w:fldCharType="begin"/>
        </w:r>
        <w:r w:rsidR="008C7A79" w:rsidRPr="009F1EBE">
          <w:instrText xml:space="preserve"> PAGE   \* MERGEFORMAT </w:instrText>
        </w:r>
        <w:r w:rsidR="008C7A79" w:rsidRPr="009F1EBE">
          <w:fldChar w:fldCharType="separate"/>
        </w:r>
        <w:r w:rsidR="008C7A79" w:rsidRPr="009F1EBE">
          <w:rPr>
            <w:noProof/>
          </w:rPr>
          <w:t>2</w:t>
        </w:r>
        <w:r w:rsidR="008C7A79" w:rsidRPr="009F1EB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756461"/>
      <w:docPartObj>
        <w:docPartGallery w:val="Page Numbers (Bottom of Page)"/>
        <w:docPartUnique/>
      </w:docPartObj>
    </w:sdtPr>
    <w:sdtEndPr>
      <w:rPr>
        <w:noProof/>
      </w:rPr>
    </w:sdtEndPr>
    <w:sdtContent>
      <w:p w14:paraId="0A05174D" w14:textId="6DD501B2" w:rsidR="008C7A79" w:rsidRPr="005B0695" w:rsidRDefault="008C7A79" w:rsidP="00EC49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9BDA" w14:textId="5A0AFEE3" w:rsidR="008C7A79" w:rsidRDefault="008C7A79" w:rsidP="004F1D8D">
    <w:pPr>
      <w:pStyle w:val="Footer"/>
    </w:pPr>
    <w:r>
      <w:tab/>
      <w:t xml:space="preserve">- </w:t>
    </w:r>
    <w:r>
      <w:rPr>
        <w:rStyle w:val="PageNumber"/>
      </w:rPr>
      <w:t>3 -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72426"/>
      <w:docPartObj>
        <w:docPartGallery w:val="Page Numbers (Bottom of Page)"/>
        <w:docPartUnique/>
      </w:docPartObj>
    </w:sdtPr>
    <w:sdtEndPr>
      <w:rPr>
        <w:noProof/>
      </w:rPr>
    </w:sdtEndPr>
    <w:sdtContent>
      <w:p w14:paraId="475B4D4A" w14:textId="1E92FE19" w:rsidR="008C7A79" w:rsidRDefault="008C7A79" w:rsidP="002620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33E06" w14:textId="77777777" w:rsidR="003944B9" w:rsidRDefault="003944B9" w:rsidP="00DF58E7">
      <w:pPr>
        <w:spacing w:line="240" w:lineRule="auto"/>
        <w:ind w:firstLine="0"/>
      </w:pPr>
      <w:r>
        <w:separator/>
      </w:r>
    </w:p>
  </w:footnote>
  <w:footnote w:type="continuationSeparator" w:id="0">
    <w:p w14:paraId="58B4883A" w14:textId="77777777" w:rsidR="003944B9" w:rsidRDefault="003944B9" w:rsidP="00DF58E7">
      <w:pPr>
        <w:spacing w:line="240" w:lineRule="auto"/>
        <w:ind w:firstLine="0"/>
      </w:pPr>
      <w:r>
        <w:continuationSeparator/>
      </w:r>
    </w:p>
  </w:footnote>
  <w:footnote w:type="continuationNotice" w:id="1">
    <w:p w14:paraId="09A5D1D4" w14:textId="77777777" w:rsidR="003944B9" w:rsidRPr="00DF58E7" w:rsidRDefault="003944B9" w:rsidP="00DF58E7">
      <w:pPr>
        <w:spacing w:line="240" w:lineRule="auto"/>
        <w:ind w:firstLine="0"/>
        <w:jc w:val="right"/>
        <w:rPr>
          <w:i/>
          <w:sz w:val="22"/>
        </w:rPr>
      </w:pPr>
    </w:p>
  </w:footnote>
  <w:footnote w:id="2">
    <w:p w14:paraId="114E217A" w14:textId="4F6D61E0" w:rsidR="008C7A79" w:rsidRPr="007A6517" w:rsidRDefault="008C7A79">
      <w:pPr>
        <w:pStyle w:val="FootnoteText"/>
      </w:pPr>
      <w:r>
        <w:rPr>
          <w:rStyle w:val="FootnoteReference"/>
        </w:rPr>
        <w:footnoteRef/>
      </w:r>
      <w:r>
        <w:t xml:space="preserve">  Exhibit FTR-1 Appendix 1 (</w:t>
      </w:r>
      <w:r>
        <w:rPr>
          <w:i/>
          <w:iCs/>
        </w:rPr>
        <w:t xml:space="preserve">June 29, 2020 Disclosure Statement Relating to the Third Amended Joint Plan of Reorganization of Frontier Communications Corporation and its Debtor Affiliates Pursuant to Chapter 11 of the Bankruptcy Code) </w:t>
      </w:r>
      <w:r>
        <w:t>(Disclosure Statement) at 1.  As of May 1, 2020, Frontier Communications Corporation and its operating subsidiaries had a presence in 25 states. Exhibit FTR-2 at 5.</w:t>
      </w:r>
    </w:p>
  </w:footnote>
  <w:footnote w:id="3">
    <w:p w14:paraId="281EB776" w14:textId="6CBDB2CA" w:rsidR="008C7A79" w:rsidRPr="004D0534" w:rsidRDefault="008C7A79">
      <w:pPr>
        <w:pStyle w:val="FootnoteText"/>
      </w:pPr>
      <w:r>
        <w:rPr>
          <w:rStyle w:val="FootnoteReference"/>
        </w:rPr>
        <w:footnoteRef/>
      </w:r>
      <w:r>
        <w:t xml:space="preserve">  Disclosure Statement</w:t>
      </w:r>
      <w:r>
        <w:rPr>
          <w:i/>
          <w:iCs/>
        </w:rPr>
        <w:t xml:space="preserve"> </w:t>
      </w:r>
      <w:r>
        <w:t>at 37-38, 54-55.</w:t>
      </w:r>
    </w:p>
  </w:footnote>
  <w:footnote w:id="4">
    <w:p w14:paraId="471CC8A4" w14:textId="21DEB784" w:rsidR="008C7A79" w:rsidRDefault="008C7A79">
      <w:pPr>
        <w:pStyle w:val="FootnoteText"/>
      </w:pPr>
      <w:r>
        <w:rPr>
          <w:rStyle w:val="FootnoteReference"/>
        </w:rPr>
        <w:footnoteRef/>
      </w:r>
      <w:r>
        <w:t xml:space="preserve">  D.15-12-005 at 2.</w:t>
      </w:r>
    </w:p>
  </w:footnote>
  <w:footnote w:id="5">
    <w:p w14:paraId="4B197726" w14:textId="6C86C6A3" w:rsidR="008C7A79" w:rsidRDefault="008C7A79">
      <w:pPr>
        <w:pStyle w:val="FootnoteText"/>
      </w:pPr>
      <w:r>
        <w:rPr>
          <w:rStyle w:val="FootnoteReference"/>
        </w:rPr>
        <w:footnoteRef/>
      </w:r>
      <w:r>
        <w:t xml:space="preserve">  </w:t>
      </w:r>
      <w:r>
        <w:rPr>
          <w:i/>
          <w:iCs/>
        </w:rPr>
        <w:t>Id.</w:t>
      </w:r>
      <w:r>
        <w:t xml:space="preserve"> at 64.</w:t>
      </w:r>
    </w:p>
  </w:footnote>
  <w:footnote w:id="6">
    <w:p w14:paraId="39AB7F31" w14:textId="097F4ED5" w:rsidR="008C7A79" w:rsidRDefault="008C7A79">
      <w:pPr>
        <w:pStyle w:val="FootnoteText"/>
      </w:pPr>
      <w:r>
        <w:rPr>
          <w:rStyle w:val="FootnoteReference"/>
        </w:rPr>
        <w:footnoteRef/>
      </w:r>
      <w:r>
        <w:t xml:space="preserve">  This decision adopts the shorthand convention of referring first to the downstream speed, followed by a “/,” followed by the upstream speed.</w:t>
      </w:r>
    </w:p>
  </w:footnote>
  <w:footnote w:id="7">
    <w:p w14:paraId="61DF0F2A" w14:textId="73FFFF57" w:rsidR="008C7A79" w:rsidRDefault="008C7A79">
      <w:pPr>
        <w:pStyle w:val="FootnoteText"/>
      </w:pPr>
      <w:r>
        <w:rPr>
          <w:rStyle w:val="FootnoteReference"/>
        </w:rPr>
        <w:footnoteRef/>
      </w:r>
      <w:r>
        <w:t xml:space="preserve">  D.15-12-005 at 56-58.</w:t>
      </w:r>
    </w:p>
  </w:footnote>
  <w:footnote w:id="8">
    <w:p w14:paraId="670DA7C4" w14:textId="3EF3B520" w:rsidR="008C7A79" w:rsidRDefault="008C7A79">
      <w:pPr>
        <w:pStyle w:val="FootnoteText"/>
      </w:pPr>
      <w:r>
        <w:rPr>
          <w:rStyle w:val="FootnoteReference"/>
        </w:rPr>
        <w:footnoteRef/>
      </w:r>
      <w:r>
        <w:t xml:space="preserve">  </w:t>
      </w:r>
      <w:r>
        <w:rPr>
          <w:i/>
          <w:iCs/>
        </w:rPr>
        <w:t>Id.</w:t>
      </w:r>
      <w:r>
        <w:t xml:space="preserve"> at 2.</w:t>
      </w:r>
    </w:p>
  </w:footnote>
  <w:footnote w:id="9">
    <w:p w14:paraId="6BC17B9A" w14:textId="3E475506" w:rsidR="008C7A79" w:rsidRDefault="008C7A79">
      <w:pPr>
        <w:pStyle w:val="FootnoteText"/>
      </w:pPr>
      <w:r>
        <w:rPr>
          <w:rStyle w:val="FootnoteReference"/>
        </w:rPr>
        <w:footnoteRef/>
      </w:r>
      <w:r>
        <w:t xml:space="preserve">  D.19-03-017 Order and January 14, 2019 Amendment between Frontier Communications and CETF filed with Joint Motion of Frontier Communications and CETF for Adoption of Settlement Agreement in A.15-03-005.</w:t>
      </w:r>
    </w:p>
  </w:footnote>
  <w:footnote w:id="10">
    <w:p w14:paraId="32746361" w14:textId="51959986" w:rsidR="008C7A79" w:rsidRDefault="008C7A79">
      <w:pPr>
        <w:pStyle w:val="FootnoteText"/>
      </w:pPr>
      <w:r>
        <w:rPr>
          <w:rStyle w:val="FootnoteReference"/>
        </w:rPr>
        <w:footnoteRef/>
      </w:r>
      <w:r>
        <w:t xml:space="preserve">  Disclosure Statement at 37-38.</w:t>
      </w:r>
    </w:p>
  </w:footnote>
  <w:footnote w:id="11">
    <w:p w14:paraId="27A71607" w14:textId="739485C0" w:rsidR="008C7A79" w:rsidRDefault="008C7A79">
      <w:pPr>
        <w:pStyle w:val="FootnoteText"/>
      </w:pPr>
      <w:r>
        <w:rPr>
          <w:rStyle w:val="FootnoteReference"/>
        </w:rPr>
        <w:footnoteRef/>
      </w:r>
      <w:r>
        <w:t xml:space="preserve">  </w:t>
      </w:r>
      <w:r>
        <w:rPr>
          <w:i/>
          <w:iCs/>
        </w:rPr>
        <w:t>Id.</w:t>
      </w:r>
      <w:r>
        <w:t xml:space="preserve"> at 38-40.</w:t>
      </w:r>
    </w:p>
  </w:footnote>
  <w:footnote w:id="12">
    <w:p w14:paraId="045C0BA1" w14:textId="23DBF9E2" w:rsidR="008C7A79" w:rsidRDefault="008C7A79">
      <w:pPr>
        <w:pStyle w:val="FootnoteText"/>
      </w:pPr>
      <w:r>
        <w:rPr>
          <w:rStyle w:val="FootnoteReference"/>
        </w:rPr>
        <w:footnoteRef/>
      </w:r>
      <w:r>
        <w:t xml:space="preserve">  Exhibit FTR-1 at 5, 9, and 10.</w:t>
      </w:r>
    </w:p>
  </w:footnote>
  <w:footnote w:id="13">
    <w:p w14:paraId="03A52B64" w14:textId="490E1291" w:rsidR="008C7A79" w:rsidRPr="007C62D0" w:rsidRDefault="008C7A79">
      <w:pPr>
        <w:pStyle w:val="FootnoteText"/>
      </w:pPr>
      <w:r>
        <w:rPr>
          <w:rStyle w:val="FootnoteReference"/>
        </w:rPr>
        <w:footnoteRef/>
      </w:r>
      <w:r>
        <w:t xml:space="preserve">  </w:t>
      </w:r>
      <w:r>
        <w:rPr>
          <w:i/>
          <w:iCs/>
        </w:rPr>
        <w:t xml:space="preserve">Id. </w:t>
      </w:r>
      <w:r>
        <w:t>at 14.</w:t>
      </w:r>
    </w:p>
  </w:footnote>
  <w:footnote w:id="14">
    <w:p w14:paraId="53D4D5E4" w14:textId="7B660569" w:rsidR="008C7A79" w:rsidRPr="007037F5" w:rsidRDefault="008C7A79">
      <w:pPr>
        <w:pStyle w:val="FootnoteText"/>
      </w:pPr>
      <w:r>
        <w:rPr>
          <w:rStyle w:val="FootnoteReference"/>
        </w:rPr>
        <w:footnoteRef/>
      </w:r>
      <w:r>
        <w:t xml:space="preserve">  </w:t>
      </w:r>
      <w:r>
        <w:rPr>
          <w:i/>
          <w:iCs/>
        </w:rPr>
        <w:t xml:space="preserve">Id. </w:t>
      </w:r>
      <w:r>
        <w:t>at 16-17.</w:t>
      </w:r>
    </w:p>
  </w:footnote>
  <w:footnote w:id="15">
    <w:p w14:paraId="2C5C1CA9" w14:textId="13EA773F" w:rsidR="008C7A79" w:rsidRDefault="008C7A79">
      <w:pPr>
        <w:pStyle w:val="FootnoteText"/>
      </w:pPr>
      <w:r>
        <w:rPr>
          <w:rStyle w:val="FootnoteReference"/>
        </w:rPr>
        <w:footnoteRef/>
      </w:r>
      <w:r>
        <w:t xml:space="preserve">  </w:t>
      </w:r>
      <w:r>
        <w:rPr>
          <w:i/>
          <w:iCs/>
        </w:rPr>
        <w:t>Id.</w:t>
      </w:r>
      <w:r>
        <w:t xml:space="preserve"> at fn. 2.</w:t>
      </w:r>
    </w:p>
  </w:footnote>
  <w:footnote w:id="16">
    <w:p w14:paraId="29E8EDB6" w14:textId="4AF51300" w:rsidR="008C7A79" w:rsidRDefault="008C7A79">
      <w:pPr>
        <w:pStyle w:val="FootnoteText"/>
      </w:pPr>
      <w:r>
        <w:rPr>
          <w:rStyle w:val="FootnoteReference"/>
        </w:rPr>
        <w:footnoteRef/>
      </w:r>
      <w:r>
        <w:t xml:space="preserve">  </w:t>
      </w:r>
      <w:r>
        <w:rPr>
          <w:i/>
          <w:iCs/>
        </w:rPr>
        <w:t>Id.</w:t>
      </w:r>
      <w:r>
        <w:t xml:space="preserve"> at 19-20.</w:t>
      </w:r>
    </w:p>
  </w:footnote>
  <w:footnote w:id="17">
    <w:p w14:paraId="4F371E68" w14:textId="36E6B85F" w:rsidR="008C7A79" w:rsidRDefault="008C7A79">
      <w:pPr>
        <w:pStyle w:val="FootnoteText"/>
      </w:pPr>
      <w:r>
        <w:rPr>
          <w:rStyle w:val="FootnoteReference"/>
        </w:rPr>
        <w:footnoteRef/>
      </w:r>
      <w:r>
        <w:t xml:space="preserve">  Exhibit FTR-3 at 2.</w:t>
      </w:r>
    </w:p>
  </w:footnote>
  <w:footnote w:id="18">
    <w:p w14:paraId="1A0E411A" w14:textId="4C3BF864" w:rsidR="008C7A79" w:rsidRDefault="008C7A79">
      <w:pPr>
        <w:pStyle w:val="FootnoteText"/>
      </w:pPr>
      <w:r>
        <w:rPr>
          <w:rStyle w:val="FootnoteReference"/>
        </w:rPr>
        <w:footnoteRef/>
      </w:r>
      <w:r>
        <w:t xml:space="preserve">  Exhibit FTR-1 at 21.</w:t>
      </w:r>
    </w:p>
  </w:footnote>
  <w:footnote w:id="19">
    <w:p w14:paraId="35D666CE" w14:textId="4E5B221B" w:rsidR="008C7A79" w:rsidRDefault="008C7A79">
      <w:pPr>
        <w:pStyle w:val="FootnoteText"/>
      </w:pPr>
      <w:r>
        <w:rPr>
          <w:rStyle w:val="FootnoteReference"/>
        </w:rPr>
        <w:footnoteRef/>
      </w:r>
      <w:r>
        <w:t xml:space="preserve"> The Commission issued D. 21-03-043 on March 19, 2021.</w:t>
      </w:r>
    </w:p>
  </w:footnote>
  <w:footnote w:id="20">
    <w:p w14:paraId="24E7210F" w14:textId="717D1500" w:rsidR="008C7A79" w:rsidRDefault="008C7A79">
      <w:pPr>
        <w:pStyle w:val="FootnoteText"/>
      </w:pPr>
      <w:r>
        <w:rPr>
          <w:rStyle w:val="FootnoteReference"/>
        </w:rPr>
        <w:footnoteRef/>
      </w:r>
      <w:r>
        <w:t xml:space="preserve"> As reflected in the applicable motions and rulings listed in the Docket Card for this proceeding and the testimony and documents admitted into evidence that were electronically submitted as Supporting Documents using the Commission’s electronic filing system, Frontier’s exhibits in evidence were identified as Exhibits FTR-1 through FTR-8 and FTR-2C through FTR-4C, Cal Advocates’ exhibits in evidence were identified as Exhibits CAL-01 through CAL-05, CAL-07, CAL-08, CAL-01C through CAL-06C, CAL-09C, CAL-02E through CAL-05E, CAL-02EC through CAL-05EC, and CAL-03Errata, TURN’s exhibits in evidence were identified as Exhibits TRN-001, TRN-002, TRN-001C, and TRN-002C, CWA’s exhibits in evidence were identified as Exhibits CWA-001 through CWA-006, CETF’s exhibit in evidence was identified as Exhibit CTF-001, and the Yurok Tribe’s exhibits in evidence were identified as Exhibits YUR-001, YUR-001A through YUR-001I, and YUR-002.  </w:t>
      </w:r>
    </w:p>
  </w:footnote>
  <w:footnote w:id="21">
    <w:p w14:paraId="3C1E3691" w14:textId="4C84E365" w:rsidR="008C7A79" w:rsidRDefault="008C7A79">
      <w:pPr>
        <w:pStyle w:val="FootnoteText"/>
      </w:pPr>
      <w:r>
        <w:rPr>
          <w:rStyle w:val="FootnoteReference"/>
        </w:rPr>
        <w:footnoteRef/>
      </w:r>
      <w:r>
        <w:t xml:space="preserve">  Scoping Memo at 4-6.</w:t>
      </w:r>
    </w:p>
  </w:footnote>
  <w:footnote w:id="22">
    <w:p w14:paraId="3F7388B9" w14:textId="211478A1" w:rsidR="008C7A79" w:rsidRDefault="008C7A79">
      <w:pPr>
        <w:pStyle w:val="FootnoteText"/>
      </w:pPr>
      <w:r>
        <w:rPr>
          <w:rStyle w:val="FootnoteReference"/>
        </w:rPr>
        <w:footnoteRef/>
      </w:r>
      <w:r>
        <w:t xml:space="preserve">  In the Scoping Memo, we determined that Pub. Util. Code Section 854(b)(2) and (3) do not apply to this proceeding.</w:t>
      </w:r>
    </w:p>
  </w:footnote>
  <w:footnote w:id="23">
    <w:p w14:paraId="453CBB50" w14:textId="29647149" w:rsidR="008C7A79" w:rsidRDefault="008C7A79">
      <w:pPr>
        <w:pStyle w:val="FootnoteText"/>
      </w:pPr>
      <w:r>
        <w:rPr>
          <w:rStyle w:val="FootnoteReference"/>
        </w:rPr>
        <w:footnoteRef/>
      </w:r>
      <w:r>
        <w:t xml:space="preserve">  Pub. Util. Code Section 854(f).</w:t>
      </w:r>
    </w:p>
  </w:footnote>
  <w:footnote w:id="24">
    <w:p w14:paraId="780DF751" w14:textId="4BBC8FA0" w:rsidR="008C7A79" w:rsidRDefault="008C7A79">
      <w:pPr>
        <w:pStyle w:val="FootnoteText"/>
      </w:pPr>
      <w:r>
        <w:rPr>
          <w:rStyle w:val="FootnoteReference"/>
        </w:rPr>
        <w:footnoteRef/>
      </w:r>
      <w:r>
        <w:t xml:space="preserve">  Frontier Opening Brief at 1-3.</w:t>
      </w:r>
    </w:p>
  </w:footnote>
  <w:footnote w:id="25">
    <w:p w14:paraId="7B076F8C" w14:textId="1BDEBAE7" w:rsidR="008C7A79" w:rsidRDefault="008C7A79">
      <w:pPr>
        <w:pStyle w:val="FootnoteText"/>
      </w:pPr>
      <w:r>
        <w:rPr>
          <w:rStyle w:val="FootnoteReference"/>
        </w:rPr>
        <w:footnoteRef/>
      </w:r>
      <w:r>
        <w:t xml:space="preserve">  Pub. Util. Code Section 854(c)(2), (3), (4).</w:t>
      </w:r>
    </w:p>
  </w:footnote>
  <w:footnote w:id="26">
    <w:p w14:paraId="0618F595" w14:textId="14CDCBD5" w:rsidR="008C7A79" w:rsidRDefault="008C7A79">
      <w:pPr>
        <w:pStyle w:val="FootnoteText"/>
      </w:pPr>
      <w:r>
        <w:rPr>
          <w:rStyle w:val="FootnoteReference"/>
        </w:rPr>
        <w:footnoteRef/>
      </w:r>
      <w:r>
        <w:t xml:space="preserve">  Pub. Util. Code Section 854(c)(1), (2), (3), (4).</w:t>
      </w:r>
    </w:p>
  </w:footnote>
  <w:footnote w:id="27">
    <w:p w14:paraId="7A8C118C" w14:textId="361168B8" w:rsidR="008C7A79" w:rsidRDefault="008C7A79">
      <w:pPr>
        <w:pStyle w:val="FootnoteText"/>
      </w:pPr>
      <w:r>
        <w:rPr>
          <w:rStyle w:val="FootnoteReference"/>
        </w:rPr>
        <w:footnoteRef/>
      </w:r>
      <w:r>
        <w:t xml:space="preserve">  Pub. Util. Code Section 854(e).</w:t>
      </w:r>
    </w:p>
  </w:footnote>
  <w:footnote w:id="28">
    <w:p w14:paraId="2B287DD6" w14:textId="54EB397A" w:rsidR="008C7A79" w:rsidRDefault="008C7A79">
      <w:pPr>
        <w:pStyle w:val="FootnoteText"/>
      </w:pPr>
      <w:r>
        <w:rPr>
          <w:rStyle w:val="FootnoteReference"/>
        </w:rPr>
        <w:footnoteRef/>
      </w:r>
      <w:r>
        <w:t xml:space="preserve">  Pub. Util. Code Section 854(c)(8).</w:t>
      </w:r>
    </w:p>
  </w:footnote>
  <w:footnote w:id="29">
    <w:p w14:paraId="5BC71971" w14:textId="5F08E6F8" w:rsidR="008C7A79" w:rsidRDefault="008C7A79">
      <w:pPr>
        <w:pStyle w:val="FootnoteText"/>
      </w:pPr>
      <w:r>
        <w:rPr>
          <w:rStyle w:val="FootnoteReference"/>
        </w:rPr>
        <w:footnoteRef/>
      </w:r>
      <w:r>
        <w:t xml:space="preserve">  D.20-08-011 at 48.</w:t>
      </w:r>
    </w:p>
  </w:footnote>
  <w:footnote w:id="30">
    <w:p w14:paraId="3264B3FA" w14:textId="0D4EF908" w:rsidR="008C7A79" w:rsidRPr="00DB54B0" w:rsidRDefault="008C7A79">
      <w:pPr>
        <w:pStyle w:val="FootnoteText"/>
      </w:pPr>
      <w:r>
        <w:rPr>
          <w:rStyle w:val="FootnoteReference"/>
        </w:rPr>
        <w:footnoteRef/>
      </w:r>
      <w:r>
        <w:t xml:space="preserve">  </w:t>
      </w:r>
      <w:r>
        <w:rPr>
          <w:i/>
          <w:iCs/>
        </w:rPr>
        <w:t xml:space="preserve">PG&amp;E Corp. v. Pub. Utilities Com. </w:t>
      </w:r>
      <w:r>
        <w:t>118 Cal.App.4</w:t>
      </w:r>
      <w:r w:rsidRPr="00DB54B0">
        <w:rPr>
          <w:vertAlign w:val="superscript"/>
        </w:rPr>
        <w:t>th</w:t>
      </w:r>
      <w:r>
        <w:t xml:space="preserve"> 1174, 1196 (2004).</w:t>
      </w:r>
    </w:p>
  </w:footnote>
  <w:footnote w:id="31">
    <w:p w14:paraId="15DEFE22" w14:textId="4D7012B1" w:rsidR="008C7A79" w:rsidRPr="00C15FEB" w:rsidRDefault="008C7A79">
      <w:pPr>
        <w:pStyle w:val="FootnoteText"/>
      </w:pPr>
      <w:r>
        <w:rPr>
          <w:rStyle w:val="FootnoteReference"/>
        </w:rPr>
        <w:footnoteRef/>
      </w:r>
      <w:r>
        <w:t xml:space="preserve">  The Attachment 1 Settlement Agreement contains provisions with information regarding subjects for which Frontier had previously asserted claims of confidentiality in documents admitted into evidence.  In the Attachment 1 Settlement Agreement, however, Frontier made no assertions of confidentiality regarding any information in the agreement itself or information for which it had previously claimed confidentiality.  As a result, Frontier has waived any confidentiality claim regarding information for which Frontier had previously asserted confidentiality that relates to the same subject in the Attachment 1 Settlement Agreement.  Even if waiver did not apply, the recent Commission decision in</w:t>
      </w:r>
      <w:r>
        <w:rPr>
          <w:i/>
          <w:iCs/>
        </w:rPr>
        <w:t xml:space="preserve"> </w:t>
      </w:r>
      <w:r>
        <w:t>D.20-12-021 supports disclosure. That decision, in which Frontier was a party, holds that information provided by telephone corporations to the Commission should be made public with certain limited exceptions, such as public safety, that are inapplicable here, and that a trade secret privilege is not appropriate where its assertion would, as in this proceeding, limit the ability of the public to review and understand information essential to a fair resolution of the matter. We reference certain information in this decision for which Frontier had asserted confidentiality based upon Frontier’s waiver of its confidentiality claim and the holding in D.20-12-021.</w:t>
      </w:r>
    </w:p>
  </w:footnote>
  <w:footnote w:id="32">
    <w:p w14:paraId="0C435A7F" w14:textId="00F7148E" w:rsidR="008C7A79" w:rsidRDefault="008C7A79" w:rsidP="00AC2B83">
      <w:pPr>
        <w:pStyle w:val="FootnoteText"/>
      </w:pPr>
      <w:r>
        <w:rPr>
          <w:rStyle w:val="FootnoteReference"/>
        </w:rPr>
        <w:footnoteRef/>
      </w:r>
      <w:r>
        <w:t xml:space="preserve">  Exhibit FTR-3 at 14.</w:t>
      </w:r>
    </w:p>
  </w:footnote>
  <w:footnote w:id="33">
    <w:p w14:paraId="0EF3769B" w14:textId="21DC4402" w:rsidR="008C7A79" w:rsidRDefault="008C7A79" w:rsidP="00AC2B83">
      <w:pPr>
        <w:pStyle w:val="FootnoteText"/>
      </w:pPr>
      <w:r>
        <w:rPr>
          <w:rStyle w:val="FootnoteReference"/>
        </w:rPr>
        <w:footnoteRef/>
      </w:r>
      <w:r>
        <w:t xml:space="preserve">  Exhibit FTR-4 at 3.</w:t>
      </w:r>
    </w:p>
  </w:footnote>
  <w:footnote w:id="34">
    <w:p w14:paraId="68849E9E" w14:textId="212ED812" w:rsidR="008C7A79" w:rsidRDefault="008C7A79">
      <w:pPr>
        <w:pStyle w:val="FootnoteText"/>
      </w:pPr>
      <w:r>
        <w:rPr>
          <w:rStyle w:val="FootnoteReference"/>
        </w:rPr>
        <w:footnoteRef/>
      </w:r>
      <w:r>
        <w:t xml:space="preserve">  Exhibit FTR-2 at 18.</w:t>
      </w:r>
    </w:p>
  </w:footnote>
  <w:footnote w:id="35">
    <w:p w14:paraId="7A854EFD" w14:textId="4480D37D" w:rsidR="008C7A79" w:rsidRDefault="008C7A79">
      <w:pPr>
        <w:pStyle w:val="FootnoteText"/>
      </w:pPr>
      <w:r>
        <w:rPr>
          <w:rStyle w:val="FootnoteReference"/>
        </w:rPr>
        <w:footnoteRef/>
      </w:r>
      <w:r>
        <w:t xml:space="preserve">  Disclosure Statement, Exhibit E.</w:t>
      </w:r>
    </w:p>
  </w:footnote>
  <w:footnote w:id="36">
    <w:p w14:paraId="62A1F9DA" w14:textId="06E33048" w:rsidR="008C7A79" w:rsidRDefault="008C7A79">
      <w:pPr>
        <w:pStyle w:val="FootnoteText"/>
      </w:pPr>
      <w:r>
        <w:rPr>
          <w:rStyle w:val="FootnoteReference"/>
        </w:rPr>
        <w:footnoteRef/>
      </w:r>
      <w:r>
        <w:t xml:space="preserve">  Exhibit CAL-05 at 10.</w:t>
      </w:r>
    </w:p>
  </w:footnote>
  <w:footnote w:id="37">
    <w:p w14:paraId="0FEE73F7" w14:textId="5C7FA575" w:rsidR="008C7A79" w:rsidRDefault="008C7A79" w:rsidP="0000576C">
      <w:pPr>
        <w:pStyle w:val="FootnoteText"/>
      </w:pPr>
      <w:r>
        <w:rPr>
          <w:rStyle w:val="FootnoteReference"/>
        </w:rPr>
        <w:footnoteRef/>
      </w:r>
      <w:r>
        <w:t xml:space="preserve">  </w:t>
      </w:r>
      <w:r>
        <w:rPr>
          <w:i/>
          <w:iCs/>
        </w:rPr>
        <w:t>Id.</w:t>
      </w:r>
      <w:r>
        <w:t xml:space="preserve"> at 13.</w:t>
      </w:r>
    </w:p>
  </w:footnote>
  <w:footnote w:id="38">
    <w:p w14:paraId="1487BCE6" w14:textId="27FB676D" w:rsidR="008C7A79" w:rsidRDefault="008C7A79">
      <w:pPr>
        <w:pStyle w:val="FootnoteText"/>
      </w:pPr>
      <w:r>
        <w:rPr>
          <w:rStyle w:val="FootnoteReference"/>
        </w:rPr>
        <w:footnoteRef/>
      </w:r>
      <w:r>
        <w:t xml:space="preserve">  </w:t>
      </w:r>
      <w:r>
        <w:rPr>
          <w:i/>
          <w:iCs/>
        </w:rPr>
        <w:t>Id.</w:t>
      </w:r>
      <w:r>
        <w:t xml:space="preserve"> at 15.</w:t>
      </w:r>
    </w:p>
  </w:footnote>
  <w:footnote w:id="39">
    <w:p w14:paraId="3E407C18" w14:textId="72BB85FA" w:rsidR="008C7A79" w:rsidRDefault="008C7A79">
      <w:pPr>
        <w:pStyle w:val="FootnoteText"/>
      </w:pPr>
      <w:r>
        <w:rPr>
          <w:rStyle w:val="FootnoteReference"/>
        </w:rPr>
        <w:footnoteRef/>
      </w:r>
      <w:r>
        <w:t xml:space="preserve">  Exhibit FTR-02 at 18.</w:t>
      </w:r>
    </w:p>
  </w:footnote>
  <w:footnote w:id="40">
    <w:p w14:paraId="17B698B2" w14:textId="056E077C" w:rsidR="008C7A79" w:rsidRDefault="008C7A79">
      <w:pPr>
        <w:pStyle w:val="FootnoteText"/>
      </w:pPr>
      <w:r>
        <w:rPr>
          <w:rStyle w:val="FootnoteReference"/>
        </w:rPr>
        <w:footnoteRef/>
      </w:r>
      <w:r>
        <w:t xml:space="preserve">  </w:t>
      </w:r>
      <w:r>
        <w:rPr>
          <w:i/>
          <w:iCs/>
        </w:rPr>
        <w:t>Id.</w:t>
      </w:r>
      <w:r>
        <w:t xml:space="preserve"> at 22.</w:t>
      </w:r>
    </w:p>
  </w:footnote>
  <w:footnote w:id="41">
    <w:p w14:paraId="61A83477" w14:textId="6921E102" w:rsidR="008C7A79" w:rsidRDefault="008C7A79" w:rsidP="00437BFD">
      <w:pPr>
        <w:pStyle w:val="FootnoteText"/>
      </w:pPr>
      <w:r>
        <w:rPr>
          <w:rStyle w:val="FootnoteReference"/>
        </w:rPr>
        <w:footnoteRef/>
      </w:r>
      <w:r>
        <w:t xml:space="preserve">  Exhibit CAL-01 at 7; Exhibit CAL-05 at 29.</w:t>
      </w:r>
    </w:p>
  </w:footnote>
  <w:footnote w:id="42">
    <w:p w14:paraId="1A32EE20" w14:textId="53C1F612" w:rsidR="008C7A79" w:rsidRDefault="008C7A79" w:rsidP="00437BFD">
      <w:pPr>
        <w:pStyle w:val="FootnoteText"/>
      </w:pPr>
      <w:r>
        <w:rPr>
          <w:rStyle w:val="FootnoteReference"/>
        </w:rPr>
        <w:footnoteRef/>
      </w:r>
      <w:r>
        <w:t xml:space="preserve">  Exhibit FTR-3 at 50, 55.</w:t>
      </w:r>
    </w:p>
  </w:footnote>
  <w:footnote w:id="43">
    <w:p w14:paraId="0FA2FD36" w14:textId="5AE2D9C1" w:rsidR="008C7A79" w:rsidRDefault="008C7A79">
      <w:pPr>
        <w:pStyle w:val="FootnoteText"/>
      </w:pPr>
      <w:r>
        <w:rPr>
          <w:rStyle w:val="FootnoteReference"/>
        </w:rPr>
        <w:footnoteRef/>
      </w:r>
      <w:r>
        <w:t xml:space="preserve"> </w:t>
      </w:r>
      <w:r>
        <w:rPr>
          <w:i/>
          <w:iCs/>
        </w:rPr>
        <w:t>Id.</w:t>
      </w:r>
      <w:r w:rsidRPr="004C7806">
        <w:t xml:space="preserve"> at 50</w:t>
      </w:r>
      <w:r>
        <w:t>.</w:t>
      </w:r>
    </w:p>
  </w:footnote>
  <w:footnote w:id="44">
    <w:p w14:paraId="20E46FD4" w14:textId="6A08374C" w:rsidR="008C7A79" w:rsidRDefault="008C7A79">
      <w:pPr>
        <w:pStyle w:val="FootnoteText"/>
      </w:pPr>
      <w:r>
        <w:rPr>
          <w:rStyle w:val="FootnoteReference"/>
        </w:rPr>
        <w:footnoteRef/>
      </w:r>
      <w:r>
        <w:t xml:space="preserve">  Exhibit TRN-001 at 56.</w:t>
      </w:r>
    </w:p>
  </w:footnote>
  <w:footnote w:id="45">
    <w:p w14:paraId="7FF835EC" w14:textId="583E4316" w:rsidR="008C7A79" w:rsidRDefault="008C7A79" w:rsidP="00352653">
      <w:pPr>
        <w:pStyle w:val="FootnoteText"/>
      </w:pPr>
      <w:r>
        <w:rPr>
          <w:rStyle w:val="FootnoteReference"/>
        </w:rPr>
        <w:footnoteRef/>
      </w:r>
      <w:r>
        <w:t xml:space="preserve">  </w:t>
      </w:r>
      <w:r>
        <w:rPr>
          <w:i/>
          <w:iCs/>
        </w:rPr>
        <w:t>Id.</w:t>
      </w:r>
      <w:r>
        <w:t xml:space="preserve"> at 57.</w:t>
      </w:r>
    </w:p>
  </w:footnote>
  <w:footnote w:id="46">
    <w:p w14:paraId="2304EC04" w14:textId="67A09315" w:rsidR="008C7A79" w:rsidRDefault="008C7A79" w:rsidP="00936FA8">
      <w:pPr>
        <w:pStyle w:val="FootnoteText"/>
      </w:pPr>
      <w:r>
        <w:rPr>
          <w:rStyle w:val="FootnoteReference"/>
        </w:rPr>
        <w:footnoteRef/>
      </w:r>
      <w:r>
        <w:t xml:space="preserve">  </w:t>
      </w:r>
      <w:r>
        <w:rPr>
          <w:i/>
          <w:iCs/>
        </w:rPr>
        <w:t>Ibid</w:t>
      </w:r>
      <w:r>
        <w:t>.</w:t>
      </w:r>
    </w:p>
  </w:footnote>
  <w:footnote w:id="47">
    <w:p w14:paraId="0EDF24CE" w14:textId="163782A5" w:rsidR="008C7A79" w:rsidRDefault="008C7A79" w:rsidP="00936FA8">
      <w:pPr>
        <w:pStyle w:val="FootnoteText"/>
      </w:pPr>
      <w:r>
        <w:rPr>
          <w:rStyle w:val="FootnoteReference"/>
        </w:rPr>
        <w:footnoteRef/>
      </w:r>
      <w:r>
        <w:t xml:space="preserve">  TURN Opening Brief at 31.</w:t>
      </w:r>
    </w:p>
  </w:footnote>
  <w:footnote w:id="48">
    <w:p w14:paraId="2193B407" w14:textId="6A9BAAA3" w:rsidR="008C7A79" w:rsidRDefault="008C7A79" w:rsidP="00936FA8">
      <w:pPr>
        <w:pStyle w:val="FootnoteText"/>
      </w:pPr>
      <w:r>
        <w:rPr>
          <w:rStyle w:val="FootnoteReference"/>
        </w:rPr>
        <w:footnoteRef/>
      </w:r>
      <w:r>
        <w:t xml:space="preserve">  Exhibit TRN-001 at 68.</w:t>
      </w:r>
    </w:p>
  </w:footnote>
  <w:footnote w:id="49">
    <w:p w14:paraId="3A6E2512" w14:textId="16A2A744" w:rsidR="008C7A79" w:rsidRDefault="008C7A79" w:rsidP="00936FA8">
      <w:pPr>
        <w:pStyle w:val="FootnoteText"/>
      </w:pPr>
      <w:r>
        <w:rPr>
          <w:rStyle w:val="FootnoteReference"/>
        </w:rPr>
        <w:footnoteRef/>
      </w:r>
      <w:r>
        <w:t xml:space="preserve">  </w:t>
      </w:r>
      <w:r>
        <w:rPr>
          <w:i/>
          <w:iCs/>
        </w:rPr>
        <w:t>Ibid</w:t>
      </w:r>
      <w:r>
        <w:t>.</w:t>
      </w:r>
    </w:p>
  </w:footnote>
  <w:footnote w:id="50">
    <w:p w14:paraId="4F2F7427" w14:textId="78F7A129" w:rsidR="008C7A79" w:rsidRPr="00511554" w:rsidRDefault="008C7A79" w:rsidP="00511554">
      <w:pPr>
        <w:pStyle w:val="FootnoteText"/>
      </w:pPr>
      <w:r>
        <w:rPr>
          <w:rStyle w:val="FootnoteReference"/>
        </w:rPr>
        <w:footnoteRef/>
      </w:r>
      <w:r>
        <w:t xml:space="preserve">  </w:t>
      </w:r>
      <w:r>
        <w:rPr>
          <w:i/>
          <w:iCs/>
        </w:rPr>
        <w:t>Id.</w:t>
      </w:r>
      <w:r>
        <w:t xml:space="preserve"> at 67.</w:t>
      </w:r>
    </w:p>
  </w:footnote>
  <w:footnote w:id="51">
    <w:p w14:paraId="47F6DA5E" w14:textId="4EEE8A58" w:rsidR="008C7A79" w:rsidRDefault="008C7A79" w:rsidP="005A2C1F">
      <w:pPr>
        <w:pStyle w:val="FootnoteText"/>
      </w:pPr>
      <w:r>
        <w:rPr>
          <w:rStyle w:val="FootnoteReference"/>
        </w:rPr>
        <w:footnoteRef/>
      </w:r>
      <w:r>
        <w:t xml:space="preserve">  </w:t>
      </w:r>
      <w:r>
        <w:rPr>
          <w:i/>
          <w:iCs/>
        </w:rPr>
        <w:t>Ibid.</w:t>
      </w:r>
      <w:r>
        <w:t>; TURN Opening Brief at 29.</w:t>
      </w:r>
    </w:p>
  </w:footnote>
  <w:footnote w:id="52">
    <w:p w14:paraId="2E90E3AE" w14:textId="303E33E7" w:rsidR="008C7A79" w:rsidRDefault="008C7A79" w:rsidP="00936FA8">
      <w:pPr>
        <w:pStyle w:val="FootnoteText"/>
      </w:pPr>
      <w:r>
        <w:rPr>
          <w:rStyle w:val="FootnoteReference"/>
        </w:rPr>
        <w:footnoteRef/>
      </w:r>
      <w:r>
        <w:t xml:space="preserve">  Exhibit FTR-3 at 57.</w:t>
      </w:r>
    </w:p>
  </w:footnote>
  <w:footnote w:id="53">
    <w:p w14:paraId="65654CB1" w14:textId="37AB9A15" w:rsidR="008C7A79" w:rsidRDefault="008C7A79">
      <w:pPr>
        <w:pStyle w:val="FootnoteText"/>
      </w:pPr>
      <w:r>
        <w:rPr>
          <w:rStyle w:val="FootnoteReference"/>
        </w:rPr>
        <w:footnoteRef/>
      </w:r>
      <w:r>
        <w:t xml:space="preserve">  Exhibit FTR-2 at 23.</w:t>
      </w:r>
    </w:p>
  </w:footnote>
  <w:footnote w:id="54">
    <w:p w14:paraId="2548F899" w14:textId="4D42EBC6" w:rsidR="008C7A79" w:rsidRDefault="008C7A79" w:rsidP="006965FC">
      <w:pPr>
        <w:pStyle w:val="FootnoteText"/>
      </w:pPr>
      <w:r>
        <w:rPr>
          <w:rStyle w:val="FootnoteReference"/>
        </w:rPr>
        <w:footnoteRef/>
      </w:r>
      <w:r>
        <w:t xml:space="preserve">  Exhibit CAL-04 at 11.</w:t>
      </w:r>
    </w:p>
  </w:footnote>
  <w:footnote w:id="55">
    <w:p w14:paraId="66CB111A" w14:textId="1B5BE419" w:rsidR="008C7A79" w:rsidRDefault="008C7A79">
      <w:pPr>
        <w:pStyle w:val="FootnoteText"/>
      </w:pPr>
      <w:r>
        <w:rPr>
          <w:rStyle w:val="FootnoteReference"/>
        </w:rPr>
        <w:footnoteRef/>
      </w:r>
      <w:r>
        <w:t xml:space="preserve">  Exhibit FTR-4 at 19-20.</w:t>
      </w:r>
    </w:p>
  </w:footnote>
  <w:footnote w:id="56">
    <w:p w14:paraId="3947DF07" w14:textId="09BD1C01" w:rsidR="008C7A79" w:rsidRDefault="008C7A79" w:rsidP="000C7F29">
      <w:pPr>
        <w:pStyle w:val="FootnoteText"/>
      </w:pPr>
      <w:r>
        <w:rPr>
          <w:rStyle w:val="FootnoteReference"/>
        </w:rPr>
        <w:footnoteRef/>
      </w:r>
      <w:r>
        <w:t xml:space="preserve">  Frontier Opening Brief at 5.</w:t>
      </w:r>
    </w:p>
  </w:footnote>
  <w:footnote w:id="57">
    <w:p w14:paraId="37D816C2" w14:textId="36E803F7" w:rsidR="008C7A79" w:rsidRDefault="008C7A79">
      <w:pPr>
        <w:pStyle w:val="FootnoteText"/>
      </w:pPr>
      <w:r>
        <w:rPr>
          <w:rStyle w:val="FootnoteReference"/>
        </w:rPr>
        <w:footnoteRef/>
      </w:r>
      <w:r>
        <w:t xml:space="preserve">  Exhibit TRN-001 at 39. Although not part of the evidentiary record, we note that a Frontier cable splicer expressed his concern at the October 7, 2020 public participation hearing about the alleged deterioration of Frontier’s network and asked that the Commission ensure that Frontier makes specific and enforceable commitments to invest in service in California. October 7,2020 Public Participation Hearing Transcript at 22-23. </w:t>
      </w:r>
    </w:p>
  </w:footnote>
  <w:footnote w:id="58">
    <w:p w14:paraId="70FD3F7C" w14:textId="7DECFE02" w:rsidR="008C7A79" w:rsidRPr="00511554" w:rsidRDefault="008C7A79" w:rsidP="00BA01D5">
      <w:pPr>
        <w:pStyle w:val="FootnoteText"/>
      </w:pPr>
      <w:r>
        <w:rPr>
          <w:rStyle w:val="FootnoteReference"/>
        </w:rPr>
        <w:footnoteRef/>
      </w:r>
      <w:r>
        <w:t xml:space="preserve">  Exhibit TRN-001 at 67.</w:t>
      </w:r>
    </w:p>
  </w:footnote>
  <w:footnote w:id="59">
    <w:p w14:paraId="0D50DA04" w14:textId="07D9866B" w:rsidR="008C7A79" w:rsidRDefault="008C7A79">
      <w:pPr>
        <w:pStyle w:val="FootnoteText"/>
      </w:pPr>
      <w:r>
        <w:rPr>
          <w:rStyle w:val="FootnoteReference"/>
        </w:rPr>
        <w:footnoteRef/>
      </w:r>
      <w:r>
        <w:t xml:space="preserve">  Exhibit CAL-04 at 18.</w:t>
      </w:r>
    </w:p>
  </w:footnote>
  <w:footnote w:id="60">
    <w:p w14:paraId="4E427CB2" w14:textId="3F067BBB" w:rsidR="008C7A79" w:rsidRDefault="008C7A79">
      <w:pPr>
        <w:pStyle w:val="FootnoteText"/>
      </w:pPr>
      <w:r>
        <w:rPr>
          <w:rStyle w:val="FootnoteReference"/>
        </w:rPr>
        <w:footnoteRef/>
      </w:r>
      <w:r>
        <w:t xml:space="preserve">  </w:t>
      </w:r>
      <w:r>
        <w:rPr>
          <w:i/>
          <w:iCs/>
        </w:rPr>
        <w:t>Id.</w:t>
      </w:r>
      <w:r>
        <w:t xml:space="preserve"> at 9-10.</w:t>
      </w:r>
    </w:p>
  </w:footnote>
  <w:footnote w:id="61">
    <w:p w14:paraId="5BF7F1D3" w14:textId="76C58BFF" w:rsidR="008C7A79" w:rsidRDefault="008C7A79">
      <w:pPr>
        <w:pStyle w:val="FootnoteText"/>
      </w:pPr>
      <w:r>
        <w:rPr>
          <w:rStyle w:val="FootnoteReference"/>
        </w:rPr>
        <w:footnoteRef/>
      </w:r>
      <w:r>
        <w:t xml:space="preserve">  </w:t>
      </w:r>
      <w:r>
        <w:rPr>
          <w:i/>
          <w:iCs/>
        </w:rPr>
        <w:t>Id.</w:t>
      </w:r>
      <w:r>
        <w:t xml:space="preserve"> at 5.</w:t>
      </w:r>
    </w:p>
  </w:footnote>
  <w:footnote w:id="62">
    <w:p w14:paraId="0BFFE7C4" w14:textId="7AC0FDD5" w:rsidR="008C7A79" w:rsidRDefault="008C7A79">
      <w:pPr>
        <w:pStyle w:val="FootnoteText"/>
      </w:pPr>
      <w:r>
        <w:rPr>
          <w:rStyle w:val="FootnoteReference"/>
        </w:rPr>
        <w:footnoteRef/>
      </w:r>
      <w:r>
        <w:t xml:space="preserve">  </w:t>
      </w:r>
      <w:r>
        <w:rPr>
          <w:i/>
          <w:iCs/>
        </w:rPr>
        <w:t>Id.</w:t>
      </w:r>
      <w:r>
        <w:t xml:space="preserve"> at 15-16.</w:t>
      </w:r>
    </w:p>
  </w:footnote>
  <w:footnote w:id="63">
    <w:p w14:paraId="47E6F69F" w14:textId="58D6D195" w:rsidR="008C7A79" w:rsidRDefault="008C7A79">
      <w:pPr>
        <w:pStyle w:val="FootnoteText"/>
      </w:pPr>
      <w:r>
        <w:rPr>
          <w:rStyle w:val="FootnoteReference"/>
        </w:rPr>
        <w:footnoteRef/>
      </w:r>
      <w:r>
        <w:t xml:space="preserve">  </w:t>
      </w:r>
      <w:r>
        <w:rPr>
          <w:i/>
          <w:iCs/>
        </w:rPr>
        <w:t>Id.</w:t>
      </w:r>
      <w:r>
        <w:t xml:space="preserve"> at 26-28.</w:t>
      </w:r>
    </w:p>
  </w:footnote>
  <w:footnote w:id="64">
    <w:p w14:paraId="2E38B932" w14:textId="44332F0C" w:rsidR="008C7A79" w:rsidRDefault="008C7A79">
      <w:pPr>
        <w:pStyle w:val="FootnoteText"/>
      </w:pPr>
      <w:r>
        <w:rPr>
          <w:rStyle w:val="FootnoteReference"/>
        </w:rPr>
        <w:footnoteRef/>
      </w:r>
      <w:r>
        <w:t xml:space="preserve">  </w:t>
      </w:r>
      <w:r>
        <w:rPr>
          <w:i/>
          <w:iCs/>
        </w:rPr>
        <w:t>Id.</w:t>
      </w:r>
      <w:r>
        <w:t xml:space="preserve"> at 29.</w:t>
      </w:r>
    </w:p>
  </w:footnote>
  <w:footnote w:id="65">
    <w:p w14:paraId="2927F7D3" w14:textId="7AA0CB1A" w:rsidR="008C7A79" w:rsidRDefault="008C7A79" w:rsidP="000C7F29">
      <w:pPr>
        <w:pStyle w:val="FootnoteText"/>
      </w:pPr>
      <w:r>
        <w:rPr>
          <w:rStyle w:val="FootnoteReference"/>
        </w:rPr>
        <w:footnoteRef/>
      </w:r>
      <w:r>
        <w:t xml:space="preserve">  CWA Opening Brief at 9.</w:t>
      </w:r>
    </w:p>
  </w:footnote>
  <w:footnote w:id="66">
    <w:p w14:paraId="140C1C90" w14:textId="059CAC4B" w:rsidR="008C7A79" w:rsidRDefault="008C7A79" w:rsidP="0059697E">
      <w:pPr>
        <w:pStyle w:val="FootnoteText"/>
      </w:pPr>
      <w:r>
        <w:rPr>
          <w:rStyle w:val="FootnoteReference"/>
        </w:rPr>
        <w:footnoteRef/>
      </w:r>
      <w:r>
        <w:t xml:space="preserve">  Exhibit CAL-01 at 8; Exhibit CAL-03 at 4; Cal Advocates Confidential Opening Brief at 4-5.</w:t>
      </w:r>
    </w:p>
  </w:footnote>
  <w:footnote w:id="67">
    <w:p w14:paraId="2FB0859F" w14:textId="668A78DC" w:rsidR="008C7A79" w:rsidRDefault="008C7A79" w:rsidP="0059697E">
      <w:pPr>
        <w:pStyle w:val="FootnoteText"/>
      </w:pPr>
      <w:r>
        <w:rPr>
          <w:rStyle w:val="FootnoteReference"/>
        </w:rPr>
        <w:footnoteRef/>
      </w:r>
      <w:r>
        <w:t xml:space="preserve">  Exhibit FTR-4 at 25.</w:t>
      </w:r>
    </w:p>
  </w:footnote>
  <w:footnote w:id="68">
    <w:p w14:paraId="184D3F98" w14:textId="54EFA82B" w:rsidR="008C7A79" w:rsidRDefault="008C7A79">
      <w:pPr>
        <w:pStyle w:val="FootnoteText"/>
      </w:pPr>
      <w:r>
        <w:rPr>
          <w:rStyle w:val="FootnoteReference"/>
        </w:rPr>
        <w:footnoteRef/>
      </w:r>
      <w:r>
        <w:t xml:space="preserve">  Exhibit FTR-2 at 24.</w:t>
      </w:r>
    </w:p>
  </w:footnote>
  <w:footnote w:id="69">
    <w:p w14:paraId="080FC967" w14:textId="1454C067" w:rsidR="008C7A79" w:rsidRDefault="008C7A79" w:rsidP="00F97372">
      <w:pPr>
        <w:pStyle w:val="FootnoteText"/>
      </w:pPr>
      <w:r>
        <w:rPr>
          <w:rStyle w:val="FootnoteReference"/>
        </w:rPr>
        <w:footnoteRef/>
      </w:r>
      <w:r>
        <w:t xml:space="preserve">  Exhibit TRN-001 at 45.</w:t>
      </w:r>
    </w:p>
  </w:footnote>
  <w:footnote w:id="70">
    <w:p w14:paraId="72888B02" w14:textId="1D3E2FAA" w:rsidR="008C7A79" w:rsidRDefault="008C7A79">
      <w:pPr>
        <w:pStyle w:val="FootnoteText"/>
      </w:pPr>
      <w:r>
        <w:rPr>
          <w:rStyle w:val="FootnoteReference"/>
        </w:rPr>
        <w:footnoteRef/>
      </w:r>
      <w:r>
        <w:t xml:space="preserve">  Exhibit CAL-03 at 6-7. Although not part of the evidentiary record, we note that a Frontier customer service technician stated at the October 7, 2020 public participation hearing that staffing levels for technicians and call centers had dropped significantly and requested the Commission to require Frontier to maintain a work force large enough to provide good service and build out its fiber network. October 7, 2020 Public Participation Hearing Transcript at 14-15.</w:t>
      </w:r>
    </w:p>
  </w:footnote>
  <w:footnote w:id="71">
    <w:p w14:paraId="7E359DFA" w14:textId="6CE318A6" w:rsidR="008C7A79" w:rsidRDefault="008C7A79" w:rsidP="009D0E23">
      <w:pPr>
        <w:pStyle w:val="FootnoteText"/>
      </w:pPr>
      <w:r>
        <w:rPr>
          <w:rStyle w:val="FootnoteReference"/>
        </w:rPr>
        <w:footnoteRef/>
      </w:r>
      <w:r>
        <w:t xml:space="preserve">  Exhibit CAL-03 at 7.</w:t>
      </w:r>
    </w:p>
  </w:footnote>
  <w:footnote w:id="72">
    <w:p w14:paraId="69FA6964" w14:textId="3F17BC0F" w:rsidR="008C7A79" w:rsidRDefault="008C7A79" w:rsidP="009D0E23">
      <w:pPr>
        <w:pStyle w:val="FootnoteText"/>
      </w:pPr>
      <w:r>
        <w:rPr>
          <w:rStyle w:val="FootnoteReference"/>
        </w:rPr>
        <w:footnoteRef/>
      </w:r>
      <w:r>
        <w:t xml:space="preserve">  </w:t>
      </w:r>
      <w:r>
        <w:rPr>
          <w:i/>
          <w:iCs/>
        </w:rPr>
        <w:t xml:space="preserve">Id. </w:t>
      </w:r>
      <w:r>
        <w:t>at 4; Exhibit CAL-01 at 8; Cal Advocates Confidential Opening Brief at 5.</w:t>
      </w:r>
    </w:p>
  </w:footnote>
  <w:footnote w:id="73">
    <w:p w14:paraId="79311F0F" w14:textId="0C966F08" w:rsidR="008C7A79" w:rsidRDefault="008C7A79" w:rsidP="004F4F9F">
      <w:pPr>
        <w:pStyle w:val="FootnoteText"/>
      </w:pPr>
      <w:r>
        <w:rPr>
          <w:rStyle w:val="FootnoteReference"/>
        </w:rPr>
        <w:footnoteRef/>
      </w:r>
      <w:r>
        <w:t xml:space="preserve">  Exhibit CAL-01 at 8.</w:t>
      </w:r>
    </w:p>
  </w:footnote>
  <w:footnote w:id="74">
    <w:p w14:paraId="46AA1EFC" w14:textId="022E48BF" w:rsidR="008C7A79" w:rsidRDefault="008C7A79" w:rsidP="009D0E23">
      <w:pPr>
        <w:pStyle w:val="FootnoteText"/>
      </w:pPr>
      <w:r>
        <w:rPr>
          <w:rStyle w:val="FootnoteReference"/>
        </w:rPr>
        <w:footnoteRef/>
      </w:r>
      <w:r>
        <w:t xml:space="preserve">  CWA Opening Brief at 6; Exhibit CWA-001 at 9.</w:t>
      </w:r>
    </w:p>
  </w:footnote>
  <w:footnote w:id="75">
    <w:p w14:paraId="0773747B" w14:textId="44A97BC3" w:rsidR="008C7A79" w:rsidRDefault="008C7A79" w:rsidP="009D0E23">
      <w:pPr>
        <w:pStyle w:val="FootnoteText"/>
      </w:pPr>
      <w:r>
        <w:rPr>
          <w:rStyle w:val="FootnoteReference"/>
        </w:rPr>
        <w:footnoteRef/>
      </w:r>
      <w:r>
        <w:t xml:space="preserve">  Exhibit FTR-3 at 50-51.</w:t>
      </w:r>
    </w:p>
  </w:footnote>
  <w:footnote w:id="76">
    <w:p w14:paraId="7348385F" w14:textId="34FDC069" w:rsidR="008C7A79" w:rsidRDefault="008C7A79" w:rsidP="009D0E23">
      <w:pPr>
        <w:pStyle w:val="FootnoteText"/>
      </w:pPr>
      <w:r>
        <w:rPr>
          <w:rStyle w:val="FootnoteReference"/>
        </w:rPr>
        <w:footnoteRef/>
      </w:r>
      <w:r>
        <w:t xml:space="preserve">  </w:t>
      </w:r>
      <w:r>
        <w:rPr>
          <w:i/>
          <w:iCs/>
        </w:rPr>
        <w:t>Id.</w:t>
      </w:r>
      <w:r>
        <w:t xml:space="preserve"> at 52.</w:t>
      </w:r>
    </w:p>
  </w:footnote>
  <w:footnote w:id="77">
    <w:p w14:paraId="34A77C5D" w14:textId="75B9DED8" w:rsidR="008C7A79" w:rsidRDefault="008C7A79" w:rsidP="009D0E23">
      <w:pPr>
        <w:pStyle w:val="FootnoteText"/>
      </w:pPr>
      <w:r>
        <w:rPr>
          <w:rStyle w:val="FootnoteReference"/>
        </w:rPr>
        <w:footnoteRef/>
      </w:r>
      <w:r>
        <w:t xml:space="preserve">  </w:t>
      </w:r>
      <w:r>
        <w:rPr>
          <w:i/>
          <w:iCs/>
        </w:rPr>
        <w:t>Id.</w:t>
      </w:r>
      <w:r>
        <w:t xml:space="preserve"> at 53.</w:t>
      </w:r>
    </w:p>
  </w:footnote>
  <w:footnote w:id="78">
    <w:p w14:paraId="185ACC56" w14:textId="76A70258" w:rsidR="008C7A79" w:rsidRDefault="008C7A79" w:rsidP="009D0E23">
      <w:pPr>
        <w:pStyle w:val="FootnoteText"/>
      </w:pPr>
      <w:r>
        <w:rPr>
          <w:rStyle w:val="FootnoteReference"/>
        </w:rPr>
        <w:footnoteRef/>
      </w:r>
      <w:r>
        <w:t xml:space="preserve">  </w:t>
      </w:r>
      <w:r>
        <w:rPr>
          <w:i/>
          <w:iCs/>
        </w:rPr>
        <w:t>Id.</w:t>
      </w:r>
      <w:r>
        <w:t xml:space="preserve"> at 54.</w:t>
      </w:r>
    </w:p>
  </w:footnote>
  <w:footnote w:id="79">
    <w:p w14:paraId="67D5B456" w14:textId="0011F02B" w:rsidR="008C7A79" w:rsidRDefault="008C7A79" w:rsidP="004F4F9F">
      <w:pPr>
        <w:pStyle w:val="FootnoteText"/>
      </w:pPr>
      <w:r>
        <w:rPr>
          <w:rStyle w:val="FootnoteReference"/>
        </w:rPr>
        <w:footnoteRef/>
      </w:r>
      <w:r>
        <w:t xml:space="preserve">  Exhibit FTR-2 at 25.</w:t>
      </w:r>
    </w:p>
  </w:footnote>
  <w:footnote w:id="80">
    <w:p w14:paraId="7CEDDEE7" w14:textId="4B376162" w:rsidR="008C7A79" w:rsidRDefault="008C7A79">
      <w:pPr>
        <w:pStyle w:val="FootnoteText"/>
      </w:pPr>
      <w:r>
        <w:rPr>
          <w:rStyle w:val="FootnoteReference"/>
        </w:rPr>
        <w:footnoteRef/>
      </w:r>
      <w:r>
        <w:t xml:space="preserve">  </w:t>
      </w:r>
      <w:r>
        <w:rPr>
          <w:i/>
          <w:iCs/>
        </w:rPr>
        <w:t>Id.</w:t>
      </w:r>
      <w:r>
        <w:t xml:space="preserve"> at 26.</w:t>
      </w:r>
    </w:p>
  </w:footnote>
  <w:footnote w:id="81">
    <w:p w14:paraId="61C902BF" w14:textId="162BEE33" w:rsidR="008C7A79" w:rsidRDefault="008C7A79">
      <w:pPr>
        <w:pStyle w:val="FootnoteText"/>
      </w:pPr>
      <w:r>
        <w:rPr>
          <w:rStyle w:val="FootnoteReference"/>
        </w:rPr>
        <w:footnoteRef/>
      </w:r>
      <w:r>
        <w:t xml:space="preserve">  Exhibit CAL-05 at 21. </w:t>
      </w:r>
    </w:p>
  </w:footnote>
  <w:footnote w:id="82">
    <w:p w14:paraId="5E0FC3B9" w14:textId="2E5DCF6E" w:rsidR="008C7A79" w:rsidRDefault="008C7A79">
      <w:pPr>
        <w:pStyle w:val="FootnoteText"/>
      </w:pPr>
      <w:r>
        <w:rPr>
          <w:rStyle w:val="FootnoteReference"/>
        </w:rPr>
        <w:footnoteRef/>
      </w:r>
      <w:r>
        <w:t xml:space="preserve">  Attachment 1 Settlement Agreement Motion at 12. </w:t>
      </w:r>
    </w:p>
  </w:footnote>
  <w:footnote w:id="83">
    <w:p w14:paraId="5E2B9137" w14:textId="0DB40B92" w:rsidR="008C7A79" w:rsidRDefault="008C7A79">
      <w:pPr>
        <w:pStyle w:val="FootnoteText"/>
      </w:pPr>
      <w:r>
        <w:rPr>
          <w:rStyle w:val="FootnoteReference"/>
        </w:rPr>
        <w:footnoteRef/>
      </w:r>
      <w:r>
        <w:t xml:space="preserve">  Exhibit FTR-2 at 26.</w:t>
      </w:r>
    </w:p>
  </w:footnote>
  <w:footnote w:id="84">
    <w:p w14:paraId="799F1FA4" w14:textId="5DFA44FA" w:rsidR="008C7A79" w:rsidRDefault="008C7A79" w:rsidP="00BB7816">
      <w:pPr>
        <w:pStyle w:val="FootnoteText"/>
      </w:pPr>
      <w:r>
        <w:rPr>
          <w:rStyle w:val="FootnoteReference"/>
        </w:rPr>
        <w:footnoteRef/>
      </w:r>
      <w:r>
        <w:t xml:space="preserve">  Exhibit CAL-04 at 6.</w:t>
      </w:r>
    </w:p>
  </w:footnote>
  <w:footnote w:id="85">
    <w:p w14:paraId="79DEDD69" w14:textId="653516CA" w:rsidR="008C7A79" w:rsidRDefault="008C7A79">
      <w:pPr>
        <w:pStyle w:val="FootnoteText"/>
      </w:pPr>
      <w:r>
        <w:rPr>
          <w:rStyle w:val="FootnoteReference"/>
        </w:rPr>
        <w:footnoteRef/>
      </w:r>
      <w:r>
        <w:t xml:space="preserve">  </w:t>
      </w:r>
      <w:r>
        <w:rPr>
          <w:i/>
          <w:iCs/>
        </w:rPr>
        <w:t>Id.</w:t>
      </w:r>
      <w:r>
        <w:t xml:space="preserve"> at 33.</w:t>
      </w:r>
    </w:p>
  </w:footnote>
  <w:footnote w:id="86">
    <w:p w14:paraId="170B05B7" w14:textId="5D5CC40E" w:rsidR="008C7A79" w:rsidRDefault="008C7A79">
      <w:pPr>
        <w:pStyle w:val="FootnoteText"/>
      </w:pPr>
      <w:r>
        <w:rPr>
          <w:rStyle w:val="FootnoteReference"/>
        </w:rPr>
        <w:footnoteRef/>
      </w:r>
      <w:r>
        <w:t xml:space="preserve">  Attachment 1 Settlement Agreement at 14.</w:t>
      </w:r>
    </w:p>
  </w:footnote>
  <w:footnote w:id="87">
    <w:p w14:paraId="3A9C9A01" w14:textId="4ADA4319" w:rsidR="008C7A79" w:rsidRDefault="008C7A79">
      <w:pPr>
        <w:pStyle w:val="FootnoteText"/>
      </w:pPr>
      <w:r>
        <w:rPr>
          <w:rStyle w:val="FootnoteReference"/>
        </w:rPr>
        <w:footnoteRef/>
      </w:r>
      <w:r>
        <w:t xml:space="preserve">  Exhibit YUR-001 at 5.</w:t>
      </w:r>
    </w:p>
  </w:footnote>
  <w:footnote w:id="88">
    <w:p w14:paraId="0370736A" w14:textId="324CF325" w:rsidR="008C7A79" w:rsidRDefault="008C7A79">
      <w:pPr>
        <w:pStyle w:val="FootnoteText"/>
      </w:pPr>
      <w:r>
        <w:rPr>
          <w:rStyle w:val="FootnoteReference"/>
        </w:rPr>
        <w:footnoteRef/>
      </w:r>
      <w:r>
        <w:t xml:space="preserve">  </w:t>
      </w:r>
      <w:r>
        <w:rPr>
          <w:i/>
          <w:iCs/>
        </w:rPr>
        <w:t>Id.</w:t>
      </w:r>
      <w:r>
        <w:t xml:space="preserve"> at 2.</w:t>
      </w:r>
    </w:p>
  </w:footnote>
  <w:footnote w:id="89">
    <w:p w14:paraId="509A0317" w14:textId="4D189CD8" w:rsidR="008C7A79" w:rsidRDefault="008C7A79">
      <w:pPr>
        <w:pStyle w:val="FootnoteText"/>
      </w:pPr>
      <w:r>
        <w:rPr>
          <w:rStyle w:val="FootnoteReference"/>
        </w:rPr>
        <w:footnoteRef/>
      </w:r>
      <w:r>
        <w:t xml:space="preserve">  </w:t>
      </w:r>
      <w:r>
        <w:rPr>
          <w:i/>
          <w:iCs/>
        </w:rPr>
        <w:t>Id.</w:t>
      </w:r>
      <w:r>
        <w:t xml:space="preserve"> at 2-8.</w:t>
      </w:r>
    </w:p>
  </w:footnote>
  <w:footnote w:id="90">
    <w:p w14:paraId="79757E72" w14:textId="3E35D339" w:rsidR="008C7A79" w:rsidRDefault="008C7A79">
      <w:pPr>
        <w:pStyle w:val="FootnoteText"/>
      </w:pPr>
      <w:r>
        <w:rPr>
          <w:rStyle w:val="FootnoteReference"/>
        </w:rPr>
        <w:footnoteRef/>
      </w:r>
      <w:r>
        <w:t xml:space="preserve">  Exhibit CAL-04 at 17.</w:t>
      </w:r>
    </w:p>
  </w:footnote>
  <w:footnote w:id="91">
    <w:p w14:paraId="5D4330DD" w14:textId="31F513CA" w:rsidR="008C7A79" w:rsidRDefault="008C7A79">
      <w:pPr>
        <w:pStyle w:val="FootnoteText"/>
      </w:pPr>
      <w:r>
        <w:rPr>
          <w:rStyle w:val="FootnoteReference"/>
        </w:rPr>
        <w:footnoteRef/>
      </w:r>
      <w:r>
        <w:t xml:space="preserve">  Cal Advocates Opening Brief at 32. </w:t>
      </w:r>
    </w:p>
  </w:footnote>
  <w:footnote w:id="92">
    <w:p w14:paraId="7C325924" w14:textId="2204FD4F" w:rsidR="008C7A79" w:rsidRPr="00690E64" w:rsidRDefault="008C7A79" w:rsidP="00340C7B">
      <w:pPr>
        <w:pStyle w:val="FootnoteText"/>
      </w:pPr>
      <w:r>
        <w:rPr>
          <w:rStyle w:val="FootnoteReference"/>
        </w:rPr>
        <w:footnoteRef/>
      </w:r>
      <w:r>
        <w:t xml:space="preserve">  Exhibit CAL-01 at 9; Exhibit CAL-02 at 5-6; Cal Advocates Confidential Opening Brief at 5.</w:t>
      </w:r>
    </w:p>
  </w:footnote>
  <w:footnote w:id="93">
    <w:p w14:paraId="3292AD8B" w14:textId="347679C5" w:rsidR="008C7A79" w:rsidRDefault="008C7A79" w:rsidP="00340C7B">
      <w:pPr>
        <w:pStyle w:val="FootnoteText"/>
      </w:pPr>
      <w:r>
        <w:rPr>
          <w:rStyle w:val="FootnoteReference"/>
        </w:rPr>
        <w:footnoteRef/>
      </w:r>
      <w:r>
        <w:t xml:space="preserve">  Exhibit CAL-02 at 12.</w:t>
      </w:r>
    </w:p>
  </w:footnote>
  <w:footnote w:id="94">
    <w:p w14:paraId="063DA0FF" w14:textId="402A4BA4" w:rsidR="008C7A79" w:rsidRDefault="008C7A79" w:rsidP="00127225">
      <w:pPr>
        <w:pStyle w:val="FootnoteText"/>
      </w:pPr>
      <w:r>
        <w:rPr>
          <w:rStyle w:val="FootnoteReference"/>
        </w:rPr>
        <w:footnoteRef/>
      </w:r>
      <w:r>
        <w:t xml:space="preserve">  Exhibit FTR-4 at 9-11.</w:t>
      </w:r>
    </w:p>
  </w:footnote>
  <w:footnote w:id="95">
    <w:p w14:paraId="6DE56917" w14:textId="3B4B29EF" w:rsidR="008C7A79" w:rsidRDefault="008C7A79">
      <w:pPr>
        <w:pStyle w:val="FootnoteText"/>
      </w:pPr>
      <w:r>
        <w:rPr>
          <w:rStyle w:val="FootnoteReference"/>
        </w:rPr>
        <w:footnoteRef/>
      </w:r>
      <w:r>
        <w:t xml:space="preserve">  Attachment 3 Settlement Agreement at 4-7.</w:t>
      </w:r>
    </w:p>
  </w:footnote>
  <w:footnote w:id="96">
    <w:p w14:paraId="4017C954" w14:textId="7A58FA95" w:rsidR="008C7A79" w:rsidRDefault="008C7A79">
      <w:pPr>
        <w:pStyle w:val="FootnoteText"/>
      </w:pPr>
      <w:r>
        <w:rPr>
          <w:rStyle w:val="FootnoteReference"/>
        </w:rPr>
        <w:footnoteRef/>
      </w:r>
      <w:r>
        <w:t xml:space="preserve">  Exhibit FTR-3 at 22.</w:t>
      </w:r>
    </w:p>
  </w:footnote>
  <w:footnote w:id="97">
    <w:p w14:paraId="18D4D772" w14:textId="4292128D" w:rsidR="008C7A79" w:rsidRDefault="008C7A79">
      <w:pPr>
        <w:pStyle w:val="FootnoteText"/>
      </w:pPr>
      <w:r>
        <w:rPr>
          <w:rStyle w:val="FootnoteReference"/>
        </w:rPr>
        <w:footnoteRef/>
      </w:r>
      <w:r>
        <w:t xml:space="preserve">  </w:t>
      </w:r>
      <w:r>
        <w:rPr>
          <w:i/>
        </w:rPr>
        <w:t>Id.</w:t>
      </w:r>
      <w:r>
        <w:t xml:space="preserve"> at 23.</w:t>
      </w:r>
    </w:p>
  </w:footnote>
  <w:footnote w:id="98">
    <w:p w14:paraId="30AD5D46" w14:textId="78DE7EC4" w:rsidR="008C7A79" w:rsidRDefault="008C7A79" w:rsidP="00242214">
      <w:pPr>
        <w:pStyle w:val="FootnoteText"/>
      </w:pPr>
      <w:r>
        <w:rPr>
          <w:rStyle w:val="FootnoteReference"/>
        </w:rPr>
        <w:footnoteRef/>
      </w:r>
      <w:r>
        <w:t xml:space="preserve">  Yurok Tribe Opening Brief at 30.</w:t>
      </w:r>
    </w:p>
  </w:footnote>
  <w:footnote w:id="99">
    <w:p w14:paraId="360A6605" w14:textId="0AB2135A" w:rsidR="008C7A79" w:rsidRDefault="008C7A79">
      <w:pPr>
        <w:pStyle w:val="FootnoteText"/>
      </w:pPr>
      <w:r>
        <w:rPr>
          <w:rStyle w:val="FootnoteReference"/>
        </w:rPr>
        <w:footnoteRef/>
      </w:r>
      <w:r>
        <w:t xml:space="preserve">  Attachment 3 Settlement Agreement at 7.</w:t>
      </w:r>
    </w:p>
  </w:footnote>
  <w:footnote w:id="100">
    <w:p w14:paraId="4F3889DC" w14:textId="730550D2" w:rsidR="008C7A79" w:rsidRDefault="008C7A79">
      <w:pPr>
        <w:pStyle w:val="FootnoteText"/>
      </w:pPr>
      <w:r>
        <w:rPr>
          <w:rStyle w:val="FootnoteReference"/>
        </w:rPr>
        <w:footnoteRef/>
      </w:r>
      <w:r>
        <w:t xml:space="preserve">  Resolution E-5076 at 5.</w:t>
      </w:r>
    </w:p>
  </w:footnote>
  <w:footnote w:id="101">
    <w:p w14:paraId="39F85B84" w14:textId="2DFA7C5B" w:rsidR="008C7A79" w:rsidRDefault="008C7A79">
      <w:pPr>
        <w:pStyle w:val="FootnoteText"/>
      </w:pPr>
      <w:r>
        <w:rPr>
          <w:rStyle w:val="FootnoteReference"/>
        </w:rPr>
        <w:footnoteRef/>
      </w:r>
      <w:r>
        <w:t xml:space="preserve">  </w:t>
      </w:r>
      <w:r>
        <w:rPr>
          <w:i/>
          <w:iCs/>
        </w:rPr>
        <w:t>Id.</w:t>
      </w:r>
      <w:r>
        <w:t xml:space="preserve"> at 1.</w:t>
      </w:r>
    </w:p>
  </w:footnote>
  <w:footnote w:id="102">
    <w:p w14:paraId="7C02F312" w14:textId="57C5945A" w:rsidR="008C7A79" w:rsidRDefault="008C7A79">
      <w:pPr>
        <w:pStyle w:val="FootnoteText"/>
      </w:pPr>
      <w:r>
        <w:rPr>
          <w:rStyle w:val="FootnoteReference"/>
        </w:rPr>
        <w:footnoteRef/>
      </w:r>
      <w:r>
        <w:t xml:space="preserve">  </w:t>
      </w:r>
      <w:r>
        <w:rPr>
          <w:i/>
          <w:iCs/>
        </w:rPr>
        <w:t>Id.</w:t>
      </w:r>
      <w:r>
        <w:t xml:space="preserve"> at 36-37.</w:t>
      </w:r>
    </w:p>
  </w:footnote>
  <w:footnote w:id="103">
    <w:p w14:paraId="76B71653" w14:textId="51D92D6A" w:rsidR="008C7A79" w:rsidRDefault="008C7A79" w:rsidP="008136D9">
      <w:pPr>
        <w:pStyle w:val="FootnoteText"/>
      </w:pPr>
      <w:r>
        <w:rPr>
          <w:rStyle w:val="FootnoteReference"/>
        </w:rPr>
        <w:footnoteRef/>
      </w:r>
      <w:r>
        <w:t xml:space="preserve">  Pub. Util. Code Section 851(a).</w:t>
      </w:r>
    </w:p>
  </w:footnote>
  <w:footnote w:id="104">
    <w:p w14:paraId="2AC6A914" w14:textId="13B02ADB" w:rsidR="008C7A79" w:rsidRDefault="008C7A79">
      <w:pPr>
        <w:pStyle w:val="FootnoteText"/>
      </w:pPr>
      <w:r>
        <w:rPr>
          <w:rStyle w:val="FootnoteReference"/>
        </w:rPr>
        <w:footnoteRef/>
      </w:r>
      <w:r>
        <w:t xml:space="preserve">  Attachment 3 Settlement Agreement at 7.</w:t>
      </w:r>
    </w:p>
  </w:footnote>
  <w:footnote w:id="105">
    <w:p w14:paraId="3969F898" w14:textId="6868C3E3" w:rsidR="008C7A79" w:rsidRDefault="008C7A79">
      <w:pPr>
        <w:pStyle w:val="FootnoteText"/>
      </w:pPr>
      <w:r>
        <w:rPr>
          <w:rStyle w:val="FootnoteReference"/>
        </w:rPr>
        <w:footnoteRef/>
      </w:r>
      <w:r>
        <w:t xml:space="preserve">  Resolution E-5076 at 9.</w:t>
      </w:r>
    </w:p>
  </w:footnote>
  <w:footnote w:id="106">
    <w:p w14:paraId="64C33B81" w14:textId="0EDCDB54" w:rsidR="008C7A79" w:rsidRDefault="008C7A79">
      <w:pPr>
        <w:pStyle w:val="FootnoteText"/>
      </w:pPr>
      <w:r>
        <w:rPr>
          <w:rStyle w:val="FootnoteReference"/>
        </w:rPr>
        <w:footnoteRef/>
      </w:r>
      <w:r>
        <w:t xml:space="preserve">  Exhibit FTR-2 at 27.</w:t>
      </w:r>
    </w:p>
  </w:footnote>
  <w:footnote w:id="107">
    <w:p w14:paraId="3246E698" w14:textId="0EF102A1" w:rsidR="008C7A79" w:rsidRDefault="008C7A79">
      <w:pPr>
        <w:pStyle w:val="FootnoteText"/>
      </w:pPr>
      <w:r>
        <w:rPr>
          <w:rStyle w:val="FootnoteReference"/>
        </w:rPr>
        <w:footnoteRef/>
      </w:r>
      <w:r>
        <w:t xml:space="preserve">  Exhibit CTF-001 at 2.</w:t>
      </w:r>
    </w:p>
  </w:footnote>
  <w:footnote w:id="108">
    <w:p w14:paraId="3ED84C93" w14:textId="4EFE8678" w:rsidR="008C7A79" w:rsidRDefault="008C7A79">
      <w:pPr>
        <w:pStyle w:val="FootnoteText"/>
      </w:pPr>
      <w:r>
        <w:rPr>
          <w:rStyle w:val="FootnoteReference"/>
        </w:rPr>
        <w:footnoteRef/>
      </w:r>
      <w:r>
        <w:t xml:space="preserve">  </w:t>
      </w:r>
      <w:r>
        <w:rPr>
          <w:i/>
          <w:iCs/>
        </w:rPr>
        <w:t>Id.</w:t>
      </w:r>
      <w:r>
        <w:t xml:space="preserve"> at 2-3.</w:t>
      </w:r>
    </w:p>
  </w:footnote>
  <w:footnote w:id="109">
    <w:p w14:paraId="37B0441E" w14:textId="15799B56" w:rsidR="008C7A79" w:rsidRDefault="008C7A79">
      <w:pPr>
        <w:pStyle w:val="FootnoteText"/>
      </w:pPr>
      <w:r>
        <w:rPr>
          <w:rStyle w:val="FootnoteReference"/>
        </w:rPr>
        <w:footnoteRef/>
      </w:r>
      <w:r>
        <w:t xml:space="preserve">  </w:t>
      </w:r>
      <w:r>
        <w:rPr>
          <w:i/>
          <w:iCs/>
        </w:rPr>
        <w:t>Id.</w:t>
      </w:r>
      <w:r>
        <w:t xml:space="preserve"> at 4; Attachment 1 Settlement Agreement at 14.</w:t>
      </w:r>
    </w:p>
  </w:footnote>
  <w:footnote w:id="110">
    <w:p w14:paraId="4F170F3C" w14:textId="754901BD" w:rsidR="008C7A79" w:rsidRDefault="008C7A79">
      <w:pPr>
        <w:pStyle w:val="FootnoteText"/>
      </w:pPr>
      <w:r>
        <w:rPr>
          <w:rStyle w:val="FootnoteReference"/>
        </w:rPr>
        <w:footnoteRef/>
      </w:r>
      <w:r>
        <w:t xml:space="preserve">  Exhibit FTR-4 at 4-5.</w:t>
      </w:r>
    </w:p>
  </w:footnote>
  <w:footnote w:id="111">
    <w:p w14:paraId="31CF47C6" w14:textId="0CD4A527" w:rsidR="008C7A79" w:rsidRDefault="008C7A79">
      <w:pPr>
        <w:pStyle w:val="FootnoteText"/>
      </w:pPr>
      <w:r>
        <w:rPr>
          <w:rStyle w:val="FootnoteReference"/>
        </w:rPr>
        <w:footnoteRef/>
      </w:r>
      <w:r>
        <w:t xml:space="preserve">  </w:t>
      </w:r>
      <w:r>
        <w:rPr>
          <w:i/>
          <w:iCs/>
        </w:rPr>
        <w:t>Id.</w:t>
      </w:r>
      <w:r>
        <w:t xml:space="preserve"> at 25.</w:t>
      </w:r>
    </w:p>
  </w:footnote>
  <w:footnote w:id="112">
    <w:p w14:paraId="53EB522B" w14:textId="1E7F34DB" w:rsidR="008C7A79" w:rsidRDefault="008C7A79" w:rsidP="00D53B01">
      <w:pPr>
        <w:pStyle w:val="FootnoteText"/>
      </w:pPr>
      <w:r>
        <w:rPr>
          <w:rStyle w:val="FootnoteReference"/>
        </w:rPr>
        <w:footnoteRef/>
      </w:r>
      <w:r>
        <w:t xml:space="preserve">  Frontier’s two low-income broadband plans are Fundamental Internet and Affordable Broadband. Exhibit CAL-03 at 13.</w:t>
      </w:r>
    </w:p>
  </w:footnote>
  <w:footnote w:id="113">
    <w:p w14:paraId="05BC0F05" w14:textId="111B7806" w:rsidR="008C7A79" w:rsidRDefault="008C7A79" w:rsidP="00D53B01">
      <w:pPr>
        <w:pStyle w:val="FootnoteText"/>
      </w:pPr>
      <w:r>
        <w:rPr>
          <w:rStyle w:val="FootnoteReference"/>
        </w:rPr>
        <w:footnoteRef/>
      </w:r>
      <w:r>
        <w:t xml:space="preserve">  Exhibit CAL-01 at 8-9; Exhibit CAL-03 at 5.</w:t>
      </w:r>
    </w:p>
  </w:footnote>
  <w:footnote w:id="114">
    <w:p w14:paraId="1A98ECAA" w14:textId="65D83613" w:rsidR="008C7A79" w:rsidRDefault="008C7A79" w:rsidP="00D53B01">
      <w:pPr>
        <w:pStyle w:val="FootnoteText"/>
      </w:pPr>
      <w:r>
        <w:rPr>
          <w:rStyle w:val="FootnoteReference"/>
        </w:rPr>
        <w:footnoteRef/>
      </w:r>
      <w:r>
        <w:t xml:space="preserve">  Exhibit CAL-01 at 8; Exhibit CAL-03 at 5; Cal Advocates Confidential Opening Brief at 5.</w:t>
      </w:r>
    </w:p>
  </w:footnote>
  <w:footnote w:id="115">
    <w:p w14:paraId="77BBF1EC" w14:textId="329F6413" w:rsidR="008C7A79" w:rsidRDefault="008C7A79" w:rsidP="00D53B01">
      <w:pPr>
        <w:pStyle w:val="FootnoteText"/>
      </w:pPr>
      <w:r>
        <w:rPr>
          <w:rStyle w:val="FootnoteReference"/>
        </w:rPr>
        <w:footnoteRef/>
      </w:r>
      <w:r>
        <w:t xml:space="preserve">  TURN Opening Brief at 30.</w:t>
      </w:r>
    </w:p>
  </w:footnote>
  <w:footnote w:id="116">
    <w:p w14:paraId="003CE579" w14:textId="27CEF955" w:rsidR="008C7A79" w:rsidRDefault="008C7A79" w:rsidP="00D53B01">
      <w:pPr>
        <w:pStyle w:val="FootnoteText"/>
      </w:pPr>
      <w:r>
        <w:rPr>
          <w:rStyle w:val="FootnoteReference"/>
        </w:rPr>
        <w:footnoteRef/>
      </w:r>
      <w:r>
        <w:t xml:space="preserve">  </w:t>
      </w:r>
      <w:r>
        <w:rPr>
          <w:i/>
          <w:iCs/>
        </w:rPr>
        <w:t>Ibid</w:t>
      </w:r>
      <w:r>
        <w:t>.</w:t>
      </w:r>
    </w:p>
  </w:footnote>
  <w:footnote w:id="117">
    <w:p w14:paraId="3B3BF473" w14:textId="140AC328" w:rsidR="008C7A79" w:rsidRDefault="008C7A79" w:rsidP="00D53B01">
      <w:pPr>
        <w:pStyle w:val="FootnoteText"/>
      </w:pPr>
      <w:r>
        <w:rPr>
          <w:rStyle w:val="FootnoteReference"/>
        </w:rPr>
        <w:footnoteRef/>
      </w:r>
      <w:r>
        <w:t xml:space="preserve">  Exhibit FTR-4 at 17.</w:t>
      </w:r>
    </w:p>
  </w:footnote>
  <w:footnote w:id="118">
    <w:p w14:paraId="061DC10A" w14:textId="7BED7EAA" w:rsidR="008C7A79" w:rsidRDefault="008C7A79" w:rsidP="00D53B01">
      <w:pPr>
        <w:pStyle w:val="FootnoteText"/>
      </w:pPr>
      <w:r>
        <w:rPr>
          <w:rStyle w:val="FootnoteReference"/>
        </w:rPr>
        <w:footnoteRef/>
      </w:r>
      <w:r>
        <w:t xml:space="preserve">  </w:t>
      </w:r>
      <w:r>
        <w:rPr>
          <w:i/>
          <w:iCs/>
        </w:rPr>
        <w:t>Id.</w:t>
      </w:r>
      <w:r>
        <w:t xml:space="preserve"> at 18.</w:t>
      </w:r>
    </w:p>
  </w:footnote>
  <w:footnote w:id="119">
    <w:p w14:paraId="5FE95892" w14:textId="612140BF" w:rsidR="008C7A79" w:rsidRDefault="008C7A79">
      <w:pPr>
        <w:pStyle w:val="FootnoteText"/>
      </w:pPr>
      <w:r>
        <w:rPr>
          <w:rStyle w:val="FootnoteReference"/>
        </w:rPr>
        <w:footnoteRef/>
      </w:r>
      <w:r>
        <w:t xml:space="preserve">  Attachment 1 Settlement Agreement at 17.</w:t>
      </w:r>
    </w:p>
  </w:footnote>
  <w:footnote w:id="120">
    <w:p w14:paraId="1A2F349A" w14:textId="53BDC0B8" w:rsidR="008C7A79" w:rsidRDefault="008C7A79">
      <w:pPr>
        <w:pStyle w:val="FootnoteText"/>
      </w:pPr>
      <w:r>
        <w:rPr>
          <w:rStyle w:val="FootnoteReference"/>
        </w:rPr>
        <w:footnoteRef/>
      </w:r>
      <w:r>
        <w:t xml:space="preserve">  </w:t>
      </w:r>
      <w:r>
        <w:rPr>
          <w:i/>
          <w:iCs/>
        </w:rPr>
        <w:t>Id.</w:t>
      </w:r>
      <w:r>
        <w:t xml:space="preserve"> at 18.</w:t>
      </w:r>
    </w:p>
  </w:footnote>
  <w:footnote w:id="121">
    <w:p w14:paraId="5F3250D7" w14:textId="31972AD0" w:rsidR="008C7A79" w:rsidRDefault="008C7A79">
      <w:pPr>
        <w:pStyle w:val="FootnoteText"/>
      </w:pPr>
      <w:r>
        <w:rPr>
          <w:rStyle w:val="FootnoteReference"/>
        </w:rPr>
        <w:footnoteRef/>
      </w:r>
      <w:r>
        <w:t xml:space="preserve">  Attachment 2 Settlement Agreement at 3.</w:t>
      </w:r>
    </w:p>
  </w:footnote>
  <w:footnote w:id="122">
    <w:p w14:paraId="48BAC411" w14:textId="00677BAA" w:rsidR="008C7A79" w:rsidRDefault="008C7A79">
      <w:pPr>
        <w:pStyle w:val="FootnoteText"/>
      </w:pPr>
      <w:r>
        <w:rPr>
          <w:rStyle w:val="FootnoteReference"/>
        </w:rPr>
        <w:footnoteRef/>
      </w:r>
      <w:r>
        <w:t xml:space="preserve">  Exhibit FTR-2 at 23.</w:t>
      </w:r>
    </w:p>
  </w:footnote>
  <w:footnote w:id="123">
    <w:p w14:paraId="4235F8E0" w14:textId="64ADEEFC" w:rsidR="008C7A79" w:rsidRDefault="008C7A79" w:rsidP="0081177B">
      <w:pPr>
        <w:pStyle w:val="FootnoteText"/>
      </w:pPr>
      <w:r>
        <w:rPr>
          <w:rStyle w:val="FootnoteReference"/>
        </w:rPr>
        <w:footnoteRef/>
      </w:r>
      <w:r>
        <w:t xml:space="preserve">  A minimum service quality investment amount was referenced in Cal Advocates’ Exhibit CAL-05 prepared testimony but was adjusted downward as described in Cal Advocates Opening Brief at fn. 14.</w:t>
      </w:r>
    </w:p>
  </w:footnote>
  <w:footnote w:id="124">
    <w:p w14:paraId="2B99702F" w14:textId="7FB62DD5" w:rsidR="008C7A79" w:rsidRDefault="008C7A79" w:rsidP="0081177B">
      <w:pPr>
        <w:pStyle w:val="FootnoteText"/>
      </w:pPr>
      <w:r>
        <w:rPr>
          <w:rStyle w:val="FootnoteReference"/>
        </w:rPr>
        <w:footnoteRef/>
      </w:r>
      <w:r>
        <w:t xml:space="preserve">  Exhibit CAL-01 at 6; Exhibit CAL-05 at 6-7.</w:t>
      </w:r>
    </w:p>
  </w:footnote>
  <w:footnote w:id="125">
    <w:p w14:paraId="55B4F2D1" w14:textId="0B0940FD" w:rsidR="008C7A79" w:rsidRDefault="008C7A79" w:rsidP="001465BB">
      <w:pPr>
        <w:pStyle w:val="FootnoteText"/>
      </w:pPr>
      <w:r>
        <w:rPr>
          <w:rStyle w:val="FootnoteReference"/>
        </w:rPr>
        <w:footnoteRef/>
      </w:r>
      <w:r>
        <w:t xml:space="preserve">  Exhibit CAL-05 at 7; Cal Advocates Opening Brief at 3-4.</w:t>
      </w:r>
    </w:p>
  </w:footnote>
  <w:footnote w:id="126">
    <w:p w14:paraId="76681DD3" w14:textId="7D0EE014" w:rsidR="008C7A79" w:rsidRDefault="008C7A79" w:rsidP="0081177B">
      <w:pPr>
        <w:pStyle w:val="FootnoteText"/>
      </w:pPr>
      <w:r>
        <w:rPr>
          <w:rStyle w:val="FootnoteReference"/>
        </w:rPr>
        <w:footnoteRef/>
      </w:r>
      <w:r>
        <w:t xml:space="preserve">  TURN Opening Brief at 27; Exhibit TRN-001 at 32, 67.</w:t>
      </w:r>
    </w:p>
  </w:footnote>
  <w:footnote w:id="127">
    <w:p w14:paraId="134D302D" w14:textId="3EB76BFB" w:rsidR="008C7A79" w:rsidRDefault="008C7A79" w:rsidP="0081177B">
      <w:pPr>
        <w:pStyle w:val="FootnoteText"/>
      </w:pPr>
      <w:r>
        <w:rPr>
          <w:rStyle w:val="FootnoteReference"/>
        </w:rPr>
        <w:footnoteRef/>
      </w:r>
      <w:r>
        <w:t xml:space="preserve">  Exhibit TRN-001 at 33.</w:t>
      </w:r>
    </w:p>
  </w:footnote>
  <w:footnote w:id="128">
    <w:p w14:paraId="133DE007" w14:textId="1DB65AD2" w:rsidR="008C7A79" w:rsidRDefault="008C7A79" w:rsidP="0081177B">
      <w:pPr>
        <w:pStyle w:val="FootnoteText"/>
      </w:pPr>
      <w:r>
        <w:rPr>
          <w:rStyle w:val="FootnoteReference"/>
        </w:rPr>
        <w:footnoteRef/>
      </w:r>
      <w:r>
        <w:t xml:space="preserve">  </w:t>
      </w:r>
      <w:r>
        <w:rPr>
          <w:i/>
          <w:iCs/>
        </w:rPr>
        <w:t>Id.</w:t>
      </w:r>
      <w:r>
        <w:t xml:space="preserve"> at 37.</w:t>
      </w:r>
    </w:p>
  </w:footnote>
  <w:footnote w:id="129">
    <w:p w14:paraId="47C8306E" w14:textId="4C412476" w:rsidR="008C7A79" w:rsidRDefault="008C7A79" w:rsidP="0081177B">
      <w:pPr>
        <w:pStyle w:val="FootnoteText"/>
      </w:pPr>
      <w:r>
        <w:rPr>
          <w:rStyle w:val="FootnoteReference"/>
        </w:rPr>
        <w:footnoteRef/>
      </w:r>
      <w:r>
        <w:t xml:space="preserve">  Exhibit FTR-3 at 42.</w:t>
      </w:r>
    </w:p>
  </w:footnote>
  <w:footnote w:id="130">
    <w:p w14:paraId="2BE7D474" w14:textId="7A20A8EB" w:rsidR="008C7A79" w:rsidRDefault="008C7A79" w:rsidP="0081177B">
      <w:pPr>
        <w:pStyle w:val="FootnoteText"/>
      </w:pPr>
      <w:r>
        <w:rPr>
          <w:rStyle w:val="FootnoteReference"/>
        </w:rPr>
        <w:footnoteRef/>
      </w:r>
      <w:r>
        <w:t xml:space="preserve">  </w:t>
      </w:r>
      <w:r>
        <w:rPr>
          <w:i/>
          <w:iCs/>
        </w:rPr>
        <w:t>Id.</w:t>
      </w:r>
      <w:r>
        <w:t xml:space="preserve"> at 31.</w:t>
      </w:r>
    </w:p>
  </w:footnote>
  <w:footnote w:id="131">
    <w:p w14:paraId="65F6B52A" w14:textId="51FD2858" w:rsidR="008C7A79" w:rsidRDefault="008C7A79" w:rsidP="0081177B">
      <w:pPr>
        <w:pStyle w:val="FootnoteText"/>
      </w:pPr>
      <w:r>
        <w:rPr>
          <w:rStyle w:val="FootnoteReference"/>
        </w:rPr>
        <w:footnoteRef/>
      </w:r>
      <w:r>
        <w:t xml:space="preserve">  </w:t>
      </w:r>
      <w:r>
        <w:rPr>
          <w:i/>
        </w:rPr>
        <w:t>Id.</w:t>
      </w:r>
      <w:r>
        <w:t xml:space="preserve"> at 44-45.</w:t>
      </w:r>
    </w:p>
  </w:footnote>
  <w:footnote w:id="132">
    <w:p w14:paraId="4490F7DB" w14:textId="7801A43D" w:rsidR="008C7A79" w:rsidRDefault="008C7A79" w:rsidP="0081177B">
      <w:pPr>
        <w:pStyle w:val="FootnoteText"/>
      </w:pPr>
      <w:r>
        <w:rPr>
          <w:rStyle w:val="FootnoteReference"/>
        </w:rPr>
        <w:footnoteRef/>
      </w:r>
      <w:r>
        <w:t xml:space="preserve">  </w:t>
      </w:r>
      <w:r>
        <w:rPr>
          <w:i/>
          <w:iCs/>
        </w:rPr>
        <w:t>Id.</w:t>
      </w:r>
      <w:r>
        <w:t xml:space="preserve"> at 48.</w:t>
      </w:r>
    </w:p>
  </w:footnote>
  <w:footnote w:id="133">
    <w:p w14:paraId="44FC72DB" w14:textId="7206A40E" w:rsidR="008C7A79" w:rsidRDefault="008C7A79" w:rsidP="00851D37">
      <w:pPr>
        <w:pStyle w:val="FootnoteText"/>
      </w:pPr>
      <w:r>
        <w:rPr>
          <w:rStyle w:val="FootnoteReference"/>
        </w:rPr>
        <w:footnoteRef/>
      </w:r>
      <w:r>
        <w:t xml:space="preserve">  Exhibit CAL-02 at 15.</w:t>
      </w:r>
    </w:p>
  </w:footnote>
  <w:footnote w:id="134">
    <w:p w14:paraId="23CF024B" w14:textId="03D09C82" w:rsidR="008C7A79" w:rsidRDefault="008C7A79" w:rsidP="00851D37">
      <w:pPr>
        <w:pStyle w:val="FootnoteText"/>
      </w:pPr>
      <w:r>
        <w:rPr>
          <w:rStyle w:val="FootnoteReference"/>
        </w:rPr>
        <w:footnoteRef/>
      </w:r>
      <w:r>
        <w:t xml:space="preserve">  Exhibit CAL-04 at 5.</w:t>
      </w:r>
    </w:p>
  </w:footnote>
  <w:footnote w:id="135">
    <w:p w14:paraId="61CA4A30" w14:textId="28402B67" w:rsidR="008C7A79" w:rsidRDefault="008C7A79" w:rsidP="00B344D9">
      <w:pPr>
        <w:pStyle w:val="FootnoteText"/>
      </w:pPr>
      <w:r>
        <w:rPr>
          <w:rStyle w:val="FootnoteReference"/>
        </w:rPr>
        <w:footnoteRef/>
      </w:r>
      <w:r>
        <w:t xml:space="preserve">  Exhibit CAL-01 at 6; Exhibit CAL-05 at 6; Cal Advocates Confidential Opening Brief at 4.</w:t>
      </w:r>
    </w:p>
  </w:footnote>
  <w:footnote w:id="136">
    <w:p w14:paraId="288D04F5" w14:textId="40CDDA9F" w:rsidR="008C7A79" w:rsidRDefault="008C7A79" w:rsidP="00B344D9">
      <w:pPr>
        <w:pStyle w:val="FootnoteText"/>
      </w:pPr>
      <w:r>
        <w:rPr>
          <w:rStyle w:val="FootnoteReference"/>
        </w:rPr>
        <w:footnoteRef/>
      </w:r>
      <w:r>
        <w:t xml:space="preserve">  Exhibit CAL-01 at 8-9; Exhibit CAL-02 at 5; Cal Advocates Confidential Opening Brief at 5.</w:t>
      </w:r>
    </w:p>
  </w:footnote>
  <w:footnote w:id="137">
    <w:p w14:paraId="4503E599" w14:textId="3448D530" w:rsidR="008C7A79" w:rsidRPr="00690E64" w:rsidRDefault="008C7A79" w:rsidP="00B344D9">
      <w:pPr>
        <w:pStyle w:val="FootnoteText"/>
      </w:pPr>
      <w:r>
        <w:rPr>
          <w:rStyle w:val="FootnoteReference"/>
        </w:rPr>
        <w:footnoteRef/>
      </w:r>
      <w:r>
        <w:t xml:space="preserve">  Exhibit CAL-01 at 9; Exhibit CAL-02 at 5-6; Cal Advocates Confidential Opening Brief at 5.</w:t>
      </w:r>
    </w:p>
  </w:footnote>
  <w:footnote w:id="138">
    <w:p w14:paraId="32055610" w14:textId="25CB4FFD" w:rsidR="008C7A79" w:rsidRDefault="008C7A79" w:rsidP="00B344D9">
      <w:pPr>
        <w:pStyle w:val="FootnoteText"/>
      </w:pPr>
      <w:r>
        <w:rPr>
          <w:rStyle w:val="FootnoteReference"/>
        </w:rPr>
        <w:footnoteRef/>
      </w:r>
      <w:r>
        <w:t xml:space="preserve">  TURN Opening Brief at 42.</w:t>
      </w:r>
    </w:p>
  </w:footnote>
  <w:footnote w:id="139">
    <w:p w14:paraId="11C36F45" w14:textId="03C85D6D" w:rsidR="008C7A79" w:rsidRDefault="008C7A79" w:rsidP="00B344D9">
      <w:pPr>
        <w:pStyle w:val="FootnoteText"/>
      </w:pPr>
      <w:r>
        <w:rPr>
          <w:rStyle w:val="FootnoteReference"/>
        </w:rPr>
        <w:footnoteRef/>
      </w:r>
      <w:r>
        <w:t xml:space="preserve">  Exhibit TRN-001 at 67.</w:t>
      </w:r>
    </w:p>
  </w:footnote>
  <w:footnote w:id="140">
    <w:p w14:paraId="15AF7BDD" w14:textId="74A28E60" w:rsidR="008C7A79" w:rsidRDefault="008C7A79" w:rsidP="00BC0874">
      <w:pPr>
        <w:pStyle w:val="FootnoteText"/>
      </w:pPr>
      <w:r>
        <w:rPr>
          <w:rStyle w:val="FootnoteReference"/>
        </w:rPr>
        <w:footnoteRef/>
      </w:r>
      <w:r>
        <w:t xml:space="preserve">  Exhibit FTR-3 at 25.</w:t>
      </w:r>
    </w:p>
  </w:footnote>
  <w:footnote w:id="141">
    <w:p w14:paraId="082F887B" w14:textId="1B3CECCB" w:rsidR="008C7A79" w:rsidRDefault="008C7A79" w:rsidP="00BC0874">
      <w:pPr>
        <w:pStyle w:val="FootnoteText"/>
      </w:pPr>
      <w:r>
        <w:rPr>
          <w:rStyle w:val="FootnoteReference"/>
        </w:rPr>
        <w:footnoteRef/>
      </w:r>
      <w:r>
        <w:t xml:space="preserve">  </w:t>
      </w:r>
      <w:r>
        <w:rPr>
          <w:i/>
          <w:iCs/>
        </w:rPr>
        <w:t>Id.</w:t>
      </w:r>
      <w:r>
        <w:t xml:space="preserve"> at 38.</w:t>
      </w:r>
    </w:p>
  </w:footnote>
  <w:footnote w:id="142">
    <w:p w14:paraId="22939D31" w14:textId="0B54DB3A" w:rsidR="008C7A79" w:rsidRDefault="008C7A79" w:rsidP="00BC0874">
      <w:pPr>
        <w:pStyle w:val="FootnoteText"/>
      </w:pPr>
      <w:r>
        <w:rPr>
          <w:rStyle w:val="FootnoteReference"/>
        </w:rPr>
        <w:footnoteRef/>
      </w:r>
      <w:r>
        <w:t xml:space="preserve">  Exhibit TRN-001 at 49-50.</w:t>
      </w:r>
    </w:p>
  </w:footnote>
  <w:footnote w:id="143">
    <w:p w14:paraId="140237B8" w14:textId="516AEB61" w:rsidR="008C7A79" w:rsidRDefault="008C7A79" w:rsidP="00BC0874">
      <w:pPr>
        <w:pStyle w:val="FootnoteText"/>
      </w:pPr>
      <w:r>
        <w:rPr>
          <w:rStyle w:val="FootnoteReference"/>
        </w:rPr>
        <w:footnoteRef/>
      </w:r>
      <w:r>
        <w:t xml:space="preserve">  </w:t>
      </w:r>
      <w:r>
        <w:rPr>
          <w:i/>
          <w:iCs/>
        </w:rPr>
        <w:t>Id.</w:t>
      </w:r>
      <w:r>
        <w:t xml:space="preserve"> at 50.</w:t>
      </w:r>
    </w:p>
  </w:footnote>
  <w:footnote w:id="144">
    <w:p w14:paraId="3BFB5289" w14:textId="0DD4C1A2" w:rsidR="008C7A79" w:rsidRDefault="008C7A79" w:rsidP="00037B89">
      <w:pPr>
        <w:pStyle w:val="FootnoteText"/>
      </w:pPr>
      <w:r>
        <w:rPr>
          <w:rStyle w:val="FootnoteReference"/>
        </w:rPr>
        <w:footnoteRef/>
      </w:r>
      <w:r>
        <w:t xml:space="preserve">  </w:t>
      </w:r>
      <w:r>
        <w:rPr>
          <w:i/>
        </w:rPr>
        <w:t>Id.</w:t>
      </w:r>
      <w:r>
        <w:t xml:space="preserve"> at 67; TURN Opening Brief at 39.</w:t>
      </w:r>
    </w:p>
  </w:footnote>
  <w:footnote w:id="145">
    <w:p w14:paraId="6471938C" w14:textId="36150BB7" w:rsidR="008C7A79" w:rsidRDefault="008C7A79" w:rsidP="00037B89">
      <w:pPr>
        <w:pStyle w:val="FootnoteText"/>
      </w:pPr>
      <w:r>
        <w:rPr>
          <w:rStyle w:val="FootnoteReference"/>
        </w:rPr>
        <w:footnoteRef/>
      </w:r>
      <w:r>
        <w:t xml:space="preserve">  Exhibit TRN-001 at 68.</w:t>
      </w:r>
    </w:p>
  </w:footnote>
  <w:footnote w:id="146">
    <w:p w14:paraId="339A2D7C" w14:textId="606F373B" w:rsidR="008C7A79" w:rsidRDefault="008C7A79" w:rsidP="00037B89">
      <w:pPr>
        <w:pStyle w:val="FootnoteText"/>
      </w:pPr>
      <w:r>
        <w:rPr>
          <w:rStyle w:val="FootnoteReference"/>
        </w:rPr>
        <w:footnoteRef/>
      </w:r>
      <w:r>
        <w:t xml:space="preserve">  </w:t>
      </w:r>
      <w:r>
        <w:rPr>
          <w:i/>
          <w:iCs/>
        </w:rPr>
        <w:t>Id.</w:t>
      </w:r>
      <w:r>
        <w:t xml:space="preserve"> at 67.</w:t>
      </w:r>
    </w:p>
  </w:footnote>
  <w:footnote w:id="147">
    <w:p w14:paraId="3CCFAE1C" w14:textId="25A6C4C7" w:rsidR="008C7A79" w:rsidRPr="007F139C" w:rsidRDefault="008C7A79" w:rsidP="00037B89">
      <w:pPr>
        <w:pStyle w:val="FootnoteText"/>
        <w:rPr>
          <w:i/>
          <w:iCs/>
        </w:rPr>
      </w:pPr>
      <w:r>
        <w:rPr>
          <w:rStyle w:val="FootnoteReference"/>
        </w:rPr>
        <w:footnoteRef/>
      </w:r>
      <w:r>
        <w:t xml:space="preserve">  </w:t>
      </w:r>
      <w:r>
        <w:rPr>
          <w:i/>
          <w:iCs/>
        </w:rPr>
        <w:t>Ibid.</w:t>
      </w:r>
    </w:p>
  </w:footnote>
  <w:footnote w:id="148">
    <w:p w14:paraId="11905A2C" w14:textId="69AD168E" w:rsidR="008C7A79" w:rsidRDefault="008C7A79" w:rsidP="00B344D9">
      <w:pPr>
        <w:pStyle w:val="FootnoteText"/>
      </w:pPr>
      <w:r>
        <w:rPr>
          <w:rStyle w:val="FootnoteReference"/>
        </w:rPr>
        <w:footnoteRef/>
      </w:r>
      <w:r>
        <w:t xml:space="preserve">  Exhibit FTR-3 at 35-37.</w:t>
      </w:r>
    </w:p>
  </w:footnote>
  <w:footnote w:id="149">
    <w:p w14:paraId="69E014FC" w14:textId="30472A37" w:rsidR="008C7A79" w:rsidRDefault="008C7A79" w:rsidP="00B344D9">
      <w:pPr>
        <w:pStyle w:val="FootnoteText"/>
      </w:pPr>
      <w:r>
        <w:rPr>
          <w:rStyle w:val="FootnoteReference"/>
        </w:rPr>
        <w:footnoteRef/>
      </w:r>
      <w:r>
        <w:t xml:space="preserve">  Exhibit FTR-4 at 4.</w:t>
      </w:r>
    </w:p>
  </w:footnote>
  <w:footnote w:id="150">
    <w:p w14:paraId="549200EE" w14:textId="352B57A6" w:rsidR="008C7A79" w:rsidRDefault="008C7A79" w:rsidP="00B344D9">
      <w:pPr>
        <w:pStyle w:val="FootnoteText"/>
      </w:pPr>
      <w:r>
        <w:rPr>
          <w:rStyle w:val="FootnoteReference"/>
        </w:rPr>
        <w:footnoteRef/>
      </w:r>
      <w:r>
        <w:t xml:space="preserve">  </w:t>
      </w:r>
      <w:r>
        <w:rPr>
          <w:i/>
          <w:iCs/>
        </w:rPr>
        <w:t>Id.</w:t>
      </w:r>
      <w:r>
        <w:t xml:space="preserve"> at 6-7.</w:t>
      </w:r>
    </w:p>
  </w:footnote>
  <w:footnote w:id="151">
    <w:p w14:paraId="003A8E32" w14:textId="5ACE42B6" w:rsidR="008C7A79" w:rsidRDefault="008C7A79" w:rsidP="00B344D9">
      <w:pPr>
        <w:pStyle w:val="FootnoteText"/>
      </w:pPr>
      <w:r>
        <w:rPr>
          <w:rStyle w:val="FootnoteReference"/>
        </w:rPr>
        <w:footnoteRef/>
      </w:r>
      <w:r>
        <w:t xml:space="preserve">  </w:t>
      </w:r>
      <w:r>
        <w:rPr>
          <w:i/>
          <w:iCs/>
        </w:rPr>
        <w:t>Id.</w:t>
      </w:r>
      <w:r>
        <w:t xml:space="preserve"> at 7.</w:t>
      </w:r>
    </w:p>
  </w:footnote>
  <w:footnote w:id="152">
    <w:p w14:paraId="616DBE92" w14:textId="216FC2DD" w:rsidR="008C7A79" w:rsidRDefault="008C7A79" w:rsidP="00B344D9">
      <w:pPr>
        <w:pStyle w:val="FootnoteText"/>
      </w:pPr>
      <w:r>
        <w:rPr>
          <w:rStyle w:val="FootnoteReference"/>
        </w:rPr>
        <w:footnoteRef/>
      </w:r>
      <w:r>
        <w:t xml:space="preserve">  </w:t>
      </w:r>
      <w:r>
        <w:rPr>
          <w:i/>
          <w:iCs/>
        </w:rPr>
        <w:t>Id.</w:t>
      </w:r>
      <w:r>
        <w:t xml:space="preserve"> at 8.</w:t>
      </w:r>
    </w:p>
  </w:footnote>
  <w:footnote w:id="153">
    <w:p w14:paraId="4E82E817" w14:textId="5793695B" w:rsidR="008C7A79" w:rsidRDefault="008C7A79" w:rsidP="00FF0A9A">
      <w:pPr>
        <w:pStyle w:val="FootnoteText"/>
      </w:pPr>
      <w:r>
        <w:rPr>
          <w:rStyle w:val="FootnoteReference"/>
        </w:rPr>
        <w:footnoteRef/>
      </w:r>
      <w:r>
        <w:t xml:space="preserve">  </w:t>
      </w:r>
      <w:r>
        <w:rPr>
          <w:i/>
          <w:iCs/>
        </w:rPr>
        <w:t>Id.</w:t>
      </w:r>
      <w:r>
        <w:t xml:space="preserve"> at 17.</w:t>
      </w:r>
    </w:p>
  </w:footnote>
  <w:footnote w:id="154">
    <w:p w14:paraId="697E6241" w14:textId="4D3DB66D" w:rsidR="008C7A79" w:rsidRDefault="008C7A79" w:rsidP="00B344D9">
      <w:pPr>
        <w:pStyle w:val="FootnoteText"/>
      </w:pPr>
      <w:r>
        <w:rPr>
          <w:rStyle w:val="FootnoteReference"/>
        </w:rPr>
        <w:footnoteRef/>
      </w:r>
      <w:r>
        <w:t xml:space="preserve">  </w:t>
      </w:r>
      <w:r>
        <w:rPr>
          <w:i/>
          <w:iCs/>
        </w:rPr>
        <w:t>Id.</w:t>
      </w:r>
      <w:r>
        <w:t xml:space="preserve"> at 15.</w:t>
      </w:r>
    </w:p>
  </w:footnote>
  <w:footnote w:id="155">
    <w:p w14:paraId="5CD2416C" w14:textId="538C62CA" w:rsidR="008C7A79" w:rsidRDefault="008C7A79" w:rsidP="00431356">
      <w:pPr>
        <w:pStyle w:val="FootnoteText"/>
      </w:pPr>
      <w:r>
        <w:rPr>
          <w:rStyle w:val="FootnoteReference"/>
        </w:rPr>
        <w:footnoteRef/>
      </w:r>
      <w:r>
        <w:t xml:space="preserve">  Exhibit FTR-3 at 58-59.</w:t>
      </w:r>
    </w:p>
  </w:footnote>
  <w:footnote w:id="156">
    <w:p w14:paraId="0924C65F" w14:textId="05B9DD09" w:rsidR="008C7A79" w:rsidRDefault="008C7A79" w:rsidP="00431356">
      <w:pPr>
        <w:pStyle w:val="FootnoteText"/>
      </w:pPr>
      <w:r>
        <w:rPr>
          <w:rStyle w:val="FootnoteReference"/>
        </w:rPr>
        <w:footnoteRef/>
      </w:r>
      <w:r>
        <w:t xml:space="preserve">  </w:t>
      </w:r>
      <w:r>
        <w:rPr>
          <w:i/>
          <w:iCs/>
        </w:rPr>
        <w:t>Id.</w:t>
      </w:r>
      <w:r>
        <w:t xml:space="preserve"> at 60.</w:t>
      </w:r>
    </w:p>
  </w:footnote>
  <w:footnote w:id="157">
    <w:p w14:paraId="62DAE0D5" w14:textId="466162DC" w:rsidR="008C7A79" w:rsidRDefault="008C7A79" w:rsidP="00431356">
      <w:pPr>
        <w:pStyle w:val="FootnoteText"/>
      </w:pPr>
      <w:r>
        <w:rPr>
          <w:rStyle w:val="FootnoteReference"/>
        </w:rPr>
        <w:footnoteRef/>
      </w:r>
      <w:r>
        <w:t xml:space="preserve">  </w:t>
      </w:r>
      <w:r>
        <w:rPr>
          <w:i/>
          <w:iCs/>
        </w:rPr>
        <w:t>Id.</w:t>
      </w:r>
      <w:r>
        <w:t xml:space="preserve"> at 63.</w:t>
      </w:r>
    </w:p>
  </w:footnote>
  <w:footnote w:id="158">
    <w:p w14:paraId="35353720" w14:textId="211A5B6E" w:rsidR="008C7A79" w:rsidRDefault="008C7A79" w:rsidP="00BC0874">
      <w:pPr>
        <w:pStyle w:val="FootnoteText"/>
      </w:pPr>
      <w:r>
        <w:rPr>
          <w:rStyle w:val="FootnoteReference"/>
        </w:rPr>
        <w:footnoteRef/>
      </w:r>
      <w:r>
        <w:t xml:space="preserve">  Frontier Opening Brief at 3-4.</w:t>
      </w:r>
    </w:p>
  </w:footnote>
  <w:footnote w:id="159">
    <w:p w14:paraId="0F90E6F3" w14:textId="0B3245B5" w:rsidR="008C7A79" w:rsidRDefault="008C7A79" w:rsidP="00B344D9">
      <w:pPr>
        <w:pStyle w:val="FootnoteText"/>
      </w:pPr>
      <w:r>
        <w:rPr>
          <w:rStyle w:val="FootnoteReference"/>
        </w:rPr>
        <w:footnoteRef/>
      </w:r>
      <w:r>
        <w:t xml:space="preserve">  CETF Opening Brief at 8.</w:t>
      </w:r>
    </w:p>
  </w:footnote>
  <w:footnote w:id="160">
    <w:p w14:paraId="6C85116C" w14:textId="22A8F3D1" w:rsidR="008C7A79" w:rsidRDefault="008C7A79">
      <w:pPr>
        <w:pStyle w:val="FootnoteText"/>
      </w:pPr>
      <w:r>
        <w:rPr>
          <w:rStyle w:val="FootnoteReference"/>
        </w:rPr>
        <w:footnoteRef/>
      </w:r>
      <w:r>
        <w:t xml:space="preserve">  Attachment 1 Settlement Agreement at 5.</w:t>
      </w:r>
    </w:p>
  </w:footnote>
  <w:footnote w:id="161">
    <w:p w14:paraId="441DA7E7" w14:textId="469E6235" w:rsidR="008C7A79" w:rsidRDefault="008C7A79">
      <w:pPr>
        <w:pStyle w:val="FootnoteText"/>
      </w:pPr>
      <w:r>
        <w:rPr>
          <w:rStyle w:val="FootnoteReference"/>
        </w:rPr>
        <w:footnoteRef/>
      </w:r>
      <w:r>
        <w:t xml:space="preserve">  </w:t>
      </w:r>
      <w:r>
        <w:rPr>
          <w:i/>
          <w:iCs/>
        </w:rPr>
        <w:t>Id.</w:t>
      </w:r>
      <w:r>
        <w:t xml:space="preserve"> at 15.</w:t>
      </w:r>
    </w:p>
  </w:footnote>
  <w:footnote w:id="162">
    <w:p w14:paraId="35BFBC39" w14:textId="452A5775" w:rsidR="008C7A79" w:rsidRDefault="008C7A79">
      <w:pPr>
        <w:pStyle w:val="FootnoteText"/>
      </w:pPr>
      <w:r>
        <w:rPr>
          <w:rStyle w:val="FootnoteReference"/>
        </w:rPr>
        <w:footnoteRef/>
      </w:r>
      <w:r>
        <w:t xml:space="preserve">  </w:t>
      </w:r>
      <w:r>
        <w:rPr>
          <w:i/>
          <w:iCs/>
        </w:rPr>
        <w:t>Ibid</w:t>
      </w:r>
      <w:r>
        <w:t>.</w:t>
      </w:r>
    </w:p>
  </w:footnote>
  <w:footnote w:id="163">
    <w:p w14:paraId="78722428" w14:textId="605E9F42" w:rsidR="008C7A79" w:rsidRDefault="008C7A79">
      <w:pPr>
        <w:pStyle w:val="FootnoteText"/>
      </w:pPr>
      <w:r>
        <w:rPr>
          <w:rStyle w:val="FootnoteReference"/>
        </w:rPr>
        <w:footnoteRef/>
      </w:r>
      <w:r>
        <w:t xml:space="preserve">  </w:t>
      </w:r>
      <w:r>
        <w:rPr>
          <w:i/>
          <w:iCs/>
        </w:rPr>
        <w:t>Ibid</w:t>
      </w:r>
      <w:r>
        <w:t>.</w:t>
      </w:r>
    </w:p>
  </w:footnote>
  <w:footnote w:id="164">
    <w:p w14:paraId="3CD96FBE" w14:textId="291090C7" w:rsidR="008C7A79" w:rsidRDefault="008C7A79">
      <w:pPr>
        <w:pStyle w:val="FootnoteText"/>
      </w:pPr>
      <w:r>
        <w:rPr>
          <w:rStyle w:val="FootnoteReference"/>
        </w:rPr>
        <w:footnoteRef/>
      </w:r>
      <w:r>
        <w:t xml:space="preserve">  Attachment 3 Settlement Agreement at 4-5.</w:t>
      </w:r>
    </w:p>
  </w:footnote>
  <w:footnote w:id="165">
    <w:p w14:paraId="1680C392" w14:textId="534FCD77" w:rsidR="008C7A79" w:rsidRDefault="008C7A79" w:rsidP="00131A8D">
      <w:pPr>
        <w:pStyle w:val="FootnoteText"/>
      </w:pPr>
      <w:r>
        <w:rPr>
          <w:rStyle w:val="FootnoteReference"/>
        </w:rPr>
        <w:footnoteRef/>
      </w:r>
      <w:r>
        <w:t xml:space="preserve"> Meaning in this case the provision of fixed broadband Internet access service.</w:t>
      </w:r>
    </w:p>
  </w:footnote>
  <w:footnote w:id="166">
    <w:p w14:paraId="4E0F84E0" w14:textId="53076510" w:rsidR="008C7A79" w:rsidRDefault="008C7A79" w:rsidP="005574E4">
      <w:pPr>
        <w:pStyle w:val="FootnoteText"/>
      </w:pPr>
      <w:r>
        <w:rPr>
          <w:rStyle w:val="FootnoteReference"/>
        </w:rPr>
        <w:footnoteRef/>
      </w:r>
      <w:r>
        <w:t xml:space="preserve"> As of this writing located at </w:t>
      </w:r>
      <w:r w:rsidRPr="00C93E5D">
        <w:t>https://www.broadbandmap.ca.gov/</w:t>
      </w:r>
      <w:r>
        <w:t xml:space="preserve"> </w:t>
      </w:r>
    </w:p>
  </w:footnote>
  <w:footnote w:id="167">
    <w:p w14:paraId="446966B5" w14:textId="2695C72C" w:rsidR="008C7A79" w:rsidRPr="00CE364A" w:rsidRDefault="008C7A79" w:rsidP="005574E4">
      <w:pPr>
        <w:pStyle w:val="FootnoteText"/>
      </w:pPr>
      <w:r>
        <w:rPr>
          <w:rStyle w:val="FootnoteReference"/>
        </w:rPr>
        <w:footnoteRef/>
      </w:r>
      <w:r>
        <w:t xml:space="preserve"> </w:t>
      </w:r>
      <w:r>
        <w:rPr>
          <w:i/>
          <w:iCs/>
        </w:rPr>
        <w:t>See</w:t>
      </w:r>
      <w:r>
        <w:t xml:space="preserve"> U.S. Census Bureau, “Urban and Rural,” as of this writing located at </w:t>
      </w:r>
      <w:hyperlink r:id="rId1" w:history="1">
        <w:r w:rsidRPr="0007737A">
          <w:rPr>
            <w:rStyle w:val="Hyperlink"/>
          </w:rPr>
          <w:t>https://www.census.gov/programs-surveys/geography/guidance/geo-areas/urban-rural.html</w:t>
        </w:r>
      </w:hyperlink>
      <w:r>
        <w:t>.  All parties to the Attachment 1 Settlement Agreement proposed the additional requirements in (3) regarding Frontier’s fiber buildout to the 150,000 locations with an IRR of 20 percent or less in locations in which Frontier is the only service provider and to locations outside of Urbanized Areas.  Joint Notice of Rejection at 4. The additional requirements in (3) also take into account the parties’ comments to the February 12, 2021 proposed decision regarding Frontier’s fiber buildout to the 150,000 locations with an IRR of 20 percent or less that are analyzed in Section 5 of D. 21-03-043.</w:t>
      </w:r>
    </w:p>
  </w:footnote>
  <w:footnote w:id="168">
    <w:p w14:paraId="5673E102" w14:textId="2399D2E3" w:rsidR="008C7A79" w:rsidRDefault="008C7A79">
      <w:pPr>
        <w:pStyle w:val="FootnoteText"/>
      </w:pPr>
      <w:r>
        <w:rPr>
          <w:rStyle w:val="FootnoteReference"/>
        </w:rPr>
        <w:footnoteRef/>
      </w:r>
      <w:r>
        <w:t xml:space="preserve">  Exhibit FTR-2 at 26.</w:t>
      </w:r>
    </w:p>
  </w:footnote>
  <w:footnote w:id="169">
    <w:p w14:paraId="5F8B34ED" w14:textId="5F3C14AC" w:rsidR="008C7A79" w:rsidRDefault="008C7A79" w:rsidP="009F7E99">
      <w:pPr>
        <w:pStyle w:val="FootnoteText"/>
      </w:pPr>
      <w:r>
        <w:rPr>
          <w:rStyle w:val="FootnoteReference"/>
        </w:rPr>
        <w:footnoteRef/>
      </w:r>
      <w:r>
        <w:t xml:space="preserve">  </w:t>
      </w:r>
      <w:r>
        <w:rPr>
          <w:i/>
          <w:iCs/>
        </w:rPr>
        <w:t>Id.</w:t>
      </w:r>
      <w:r>
        <w:t xml:space="preserve"> at 42.</w:t>
      </w:r>
    </w:p>
  </w:footnote>
  <w:footnote w:id="170">
    <w:p w14:paraId="07082452" w14:textId="1EF1EBE5" w:rsidR="008C7A79" w:rsidRDefault="008C7A79">
      <w:pPr>
        <w:pStyle w:val="FootnoteText"/>
      </w:pPr>
      <w:r>
        <w:rPr>
          <w:rStyle w:val="FootnoteReference"/>
        </w:rPr>
        <w:footnoteRef/>
      </w:r>
      <w:r>
        <w:t xml:space="preserve">  Attachment 1 Settlement Agreement at 17. </w:t>
      </w:r>
    </w:p>
  </w:footnote>
  <w:footnote w:id="171">
    <w:p w14:paraId="1BE76978" w14:textId="41F368C3" w:rsidR="008C7A79" w:rsidRDefault="008C7A79">
      <w:pPr>
        <w:pStyle w:val="FootnoteText"/>
      </w:pPr>
      <w:r>
        <w:rPr>
          <w:rStyle w:val="FootnoteReference"/>
        </w:rPr>
        <w:footnoteRef/>
      </w:r>
      <w:r>
        <w:t xml:space="preserve">  </w:t>
      </w:r>
      <w:r>
        <w:rPr>
          <w:i/>
          <w:iCs/>
        </w:rPr>
        <w:t>Id.</w:t>
      </w:r>
      <w:r>
        <w:t xml:space="preserve"> at 14.</w:t>
      </w:r>
    </w:p>
  </w:footnote>
  <w:footnote w:id="172">
    <w:p w14:paraId="1FADDA48" w14:textId="60948D3B" w:rsidR="008C7A79" w:rsidRDefault="008C7A79">
      <w:pPr>
        <w:pStyle w:val="FootnoteText"/>
      </w:pPr>
      <w:r>
        <w:rPr>
          <w:rStyle w:val="FootnoteReference"/>
        </w:rPr>
        <w:footnoteRef/>
      </w:r>
      <w:r>
        <w:t xml:space="preserve">  Exhibit FTR-2 at 6.</w:t>
      </w:r>
    </w:p>
  </w:footnote>
  <w:footnote w:id="173">
    <w:p w14:paraId="350A98FD" w14:textId="76024047" w:rsidR="008C7A79" w:rsidRDefault="008C7A79">
      <w:pPr>
        <w:pStyle w:val="FootnoteText"/>
      </w:pPr>
      <w:r>
        <w:rPr>
          <w:rStyle w:val="FootnoteReference"/>
        </w:rPr>
        <w:footnoteRef/>
      </w:r>
      <w:r>
        <w:t xml:space="preserve"> </w:t>
      </w:r>
      <w:r>
        <w:rPr>
          <w:i/>
          <w:iCs/>
        </w:rPr>
        <w:t>Id.</w:t>
      </w:r>
      <w:r>
        <w:t xml:space="preserve"> at 23.</w:t>
      </w:r>
    </w:p>
  </w:footnote>
  <w:footnote w:id="174">
    <w:p w14:paraId="27877318" w14:textId="2D044B31" w:rsidR="008C7A79" w:rsidRDefault="008C7A79" w:rsidP="008B64C8">
      <w:pPr>
        <w:pStyle w:val="FootnoteText"/>
      </w:pPr>
      <w:r>
        <w:rPr>
          <w:rStyle w:val="FootnoteReference"/>
        </w:rPr>
        <w:footnoteRef/>
      </w:r>
      <w:r>
        <w:t xml:space="preserve">  Exhibit TRN-001 at 18.</w:t>
      </w:r>
    </w:p>
  </w:footnote>
  <w:footnote w:id="175">
    <w:p w14:paraId="4A69AD6A" w14:textId="18C55AFD" w:rsidR="008C7A79" w:rsidRDefault="008C7A79">
      <w:pPr>
        <w:pStyle w:val="FootnoteText"/>
      </w:pPr>
      <w:r>
        <w:rPr>
          <w:rStyle w:val="FootnoteReference"/>
        </w:rPr>
        <w:footnoteRef/>
      </w:r>
      <w:r>
        <w:t xml:space="preserve">  Frontier Opening Brief at 1.</w:t>
      </w:r>
    </w:p>
  </w:footnote>
  <w:footnote w:id="176">
    <w:p w14:paraId="01796E59" w14:textId="66405AA0" w:rsidR="008C7A79" w:rsidRDefault="008C7A79">
      <w:pPr>
        <w:pStyle w:val="FootnoteText"/>
      </w:pPr>
      <w:r>
        <w:rPr>
          <w:rStyle w:val="FootnoteReference"/>
        </w:rPr>
        <w:footnoteRef/>
      </w:r>
      <w:r>
        <w:t xml:space="preserve">  Exhibit FTR-3 at 50.</w:t>
      </w:r>
    </w:p>
  </w:footnote>
  <w:footnote w:id="177">
    <w:p w14:paraId="151260B1" w14:textId="4DE1873D" w:rsidR="008C7A79" w:rsidRDefault="008C7A79" w:rsidP="00C747EA">
      <w:pPr>
        <w:pStyle w:val="FootnoteText"/>
      </w:pPr>
      <w:r>
        <w:rPr>
          <w:rStyle w:val="FootnoteReference"/>
        </w:rPr>
        <w:footnoteRef/>
      </w:r>
      <w:r>
        <w:t xml:space="preserve">  Exhibit CAL-04 at 7.</w:t>
      </w:r>
    </w:p>
  </w:footnote>
  <w:footnote w:id="178">
    <w:p w14:paraId="75800BF2" w14:textId="148BD4C9" w:rsidR="008C7A79" w:rsidRDefault="008C7A79">
      <w:pPr>
        <w:pStyle w:val="FootnoteText"/>
      </w:pPr>
      <w:r>
        <w:rPr>
          <w:rStyle w:val="FootnoteReference"/>
        </w:rPr>
        <w:footnoteRef/>
      </w:r>
      <w:r>
        <w:t xml:space="preserve">  Attachment 1 Settlement Agreement at 5.</w:t>
      </w:r>
    </w:p>
  </w:footnote>
  <w:footnote w:id="179">
    <w:p w14:paraId="67F76552" w14:textId="536EEA6D" w:rsidR="008C7A79" w:rsidRDefault="008C7A79">
      <w:pPr>
        <w:pStyle w:val="FootnoteText"/>
      </w:pPr>
      <w:r>
        <w:rPr>
          <w:rStyle w:val="FootnoteReference"/>
        </w:rPr>
        <w:footnoteRef/>
      </w:r>
      <w:r>
        <w:t xml:space="preserve">  </w:t>
      </w:r>
      <w:r>
        <w:rPr>
          <w:i/>
          <w:iCs/>
        </w:rPr>
        <w:t>Id.</w:t>
      </w:r>
      <w:r>
        <w:t xml:space="preserve"> at 7-8.</w:t>
      </w:r>
    </w:p>
  </w:footnote>
  <w:footnote w:id="180">
    <w:p w14:paraId="2B0C1E50" w14:textId="61243568" w:rsidR="008C7A79" w:rsidRDefault="008C7A79">
      <w:pPr>
        <w:pStyle w:val="FootnoteText"/>
      </w:pPr>
      <w:r>
        <w:rPr>
          <w:rStyle w:val="FootnoteReference"/>
        </w:rPr>
        <w:footnoteRef/>
      </w:r>
      <w:r>
        <w:t xml:space="preserve">  </w:t>
      </w:r>
      <w:r>
        <w:rPr>
          <w:i/>
          <w:iCs/>
        </w:rPr>
        <w:t>Id.</w:t>
      </w:r>
      <w:r>
        <w:t xml:space="preserve"> at 8.</w:t>
      </w:r>
    </w:p>
  </w:footnote>
  <w:footnote w:id="181">
    <w:p w14:paraId="01DE3A7B" w14:textId="4521C081" w:rsidR="008C7A79" w:rsidRDefault="008C7A79">
      <w:pPr>
        <w:pStyle w:val="FootnoteText"/>
      </w:pPr>
      <w:r>
        <w:rPr>
          <w:rStyle w:val="FootnoteReference"/>
        </w:rPr>
        <w:footnoteRef/>
      </w:r>
      <w:r>
        <w:t xml:space="preserve">  </w:t>
      </w:r>
      <w:r>
        <w:rPr>
          <w:i/>
          <w:iCs/>
        </w:rPr>
        <w:t>Id.</w:t>
      </w:r>
      <w:r>
        <w:t xml:space="preserve"> at 9.</w:t>
      </w:r>
    </w:p>
  </w:footnote>
  <w:footnote w:id="182">
    <w:p w14:paraId="0CC71FAD" w14:textId="3AE2FA04" w:rsidR="008C7A79" w:rsidRDefault="008C7A79">
      <w:pPr>
        <w:pStyle w:val="FootnoteText"/>
      </w:pPr>
      <w:r>
        <w:rPr>
          <w:rStyle w:val="FootnoteReference"/>
        </w:rPr>
        <w:footnoteRef/>
      </w:r>
      <w:r>
        <w:t xml:space="preserve">  </w:t>
      </w:r>
      <w:r>
        <w:rPr>
          <w:i/>
          <w:iCs/>
        </w:rPr>
        <w:t>Id.</w:t>
      </w:r>
      <w:r>
        <w:t xml:space="preserve"> at 9-10.</w:t>
      </w:r>
    </w:p>
  </w:footnote>
  <w:footnote w:id="183">
    <w:p w14:paraId="4080FADD" w14:textId="309E4D89" w:rsidR="008C7A79" w:rsidRDefault="008C7A79">
      <w:pPr>
        <w:pStyle w:val="FootnoteText"/>
      </w:pPr>
      <w:r>
        <w:rPr>
          <w:rStyle w:val="FootnoteReference"/>
        </w:rPr>
        <w:footnoteRef/>
      </w:r>
      <w:r>
        <w:t xml:space="preserve">  </w:t>
      </w:r>
      <w:r>
        <w:rPr>
          <w:i/>
          <w:iCs/>
        </w:rPr>
        <w:t>Id.</w:t>
      </w:r>
      <w:r>
        <w:t xml:space="preserve"> at 13.</w:t>
      </w:r>
    </w:p>
  </w:footnote>
  <w:footnote w:id="184">
    <w:p w14:paraId="01A2C648" w14:textId="441151B1" w:rsidR="008C7A79" w:rsidRDefault="008C7A79">
      <w:pPr>
        <w:pStyle w:val="FootnoteText"/>
      </w:pPr>
      <w:r>
        <w:rPr>
          <w:rStyle w:val="FootnoteReference"/>
        </w:rPr>
        <w:footnoteRef/>
      </w:r>
      <w:r>
        <w:t xml:space="preserve">  </w:t>
      </w:r>
      <w:r>
        <w:rPr>
          <w:i/>
          <w:iCs/>
        </w:rPr>
        <w:t>Id.</w:t>
      </w:r>
      <w:r>
        <w:t xml:space="preserve"> at 14.</w:t>
      </w:r>
    </w:p>
  </w:footnote>
  <w:footnote w:id="185">
    <w:p w14:paraId="22FB52E6" w14:textId="6777D3BB" w:rsidR="008C7A79" w:rsidRDefault="008C7A79">
      <w:pPr>
        <w:pStyle w:val="FootnoteText"/>
      </w:pPr>
      <w:r>
        <w:rPr>
          <w:rStyle w:val="FootnoteReference"/>
        </w:rPr>
        <w:footnoteRef/>
      </w:r>
      <w:r>
        <w:t xml:space="preserve">  </w:t>
      </w:r>
      <w:r>
        <w:rPr>
          <w:i/>
          <w:iCs/>
        </w:rPr>
        <w:t>Id.</w:t>
      </w:r>
      <w:r>
        <w:t xml:space="preserve"> at 15.</w:t>
      </w:r>
    </w:p>
  </w:footnote>
  <w:footnote w:id="186">
    <w:p w14:paraId="69989194" w14:textId="7B02A45E" w:rsidR="008C7A79" w:rsidRDefault="008C7A79">
      <w:pPr>
        <w:pStyle w:val="FootnoteText"/>
      </w:pPr>
      <w:r>
        <w:rPr>
          <w:rStyle w:val="FootnoteReference"/>
        </w:rPr>
        <w:footnoteRef/>
      </w:r>
      <w:r>
        <w:t xml:space="preserve">  </w:t>
      </w:r>
      <w:r>
        <w:rPr>
          <w:i/>
          <w:iCs/>
        </w:rPr>
        <w:t>Id.</w:t>
      </w:r>
      <w:r>
        <w:t xml:space="preserve"> at 17-18.</w:t>
      </w:r>
    </w:p>
  </w:footnote>
  <w:footnote w:id="187">
    <w:p w14:paraId="1D8E3834" w14:textId="2F689885" w:rsidR="008C7A79" w:rsidRDefault="008C7A79">
      <w:pPr>
        <w:pStyle w:val="FootnoteText"/>
      </w:pPr>
      <w:r>
        <w:rPr>
          <w:rStyle w:val="FootnoteReference"/>
        </w:rPr>
        <w:footnoteRef/>
      </w:r>
      <w:r>
        <w:t xml:space="preserve">  </w:t>
      </w:r>
      <w:r>
        <w:rPr>
          <w:i/>
          <w:iCs/>
        </w:rPr>
        <w:t>Id.</w:t>
      </w:r>
      <w:r>
        <w:t xml:space="preserve"> at 18-21.</w:t>
      </w:r>
    </w:p>
  </w:footnote>
  <w:footnote w:id="188">
    <w:p w14:paraId="3B472152" w14:textId="791665F5" w:rsidR="008C7A79" w:rsidRDefault="008C7A79">
      <w:pPr>
        <w:pStyle w:val="FootnoteText"/>
      </w:pPr>
      <w:r>
        <w:rPr>
          <w:rStyle w:val="FootnoteReference"/>
        </w:rPr>
        <w:footnoteRef/>
      </w:r>
      <w:r>
        <w:t xml:space="preserve">  Attachment 2 Settlement Agreement Attachment at 3.</w:t>
      </w:r>
    </w:p>
  </w:footnote>
  <w:footnote w:id="189">
    <w:p w14:paraId="0274C628" w14:textId="6B52692E" w:rsidR="008C7A79" w:rsidRDefault="008C7A79">
      <w:pPr>
        <w:pStyle w:val="FootnoteText"/>
      </w:pPr>
      <w:r>
        <w:rPr>
          <w:rStyle w:val="FootnoteReference"/>
        </w:rPr>
        <w:footnoteRef/>
      </w:r>
      <w:r>
        <w:t xml:space="preserve">  </w:t>
      </w:r>
      <w:r>
        <w:rPr>
          <w:i/>
          <w:iCs/>
        </w:rPr>
        <w:t>Ibid</w:t>
      </w:r>
      <w:r>
        <w:t>.</w:t>
      </w:r>
    </w:p>
  </w:footnote>
  <w:footnote w:id="190">
    <w:p w14:paraId="16B50482" w14:textId="5399E93E" w:rsidR="008C7A79" w:rsidRDefault="008C7A79">
      <w:pPr>
        <w:pStyle w:val="FootnoteText"/>
      </w:pPr>
      <w:r>
        <w:rPr>
          <w:rStyle w:val="FootnoteReference"/>
        </w:rPr>
        <w:footnoteRef/>
      </w:r>
      <w:r>
        <w:t xml:space="preserve">  </w:t>
      </w:r>
      <w:r>
        <w:rPr>
          <w:i/>
          <w:iCs/>
        </w:rPr>
        <w:t>Id.</w:t>
      </w:r>
      <w:r>
        <w:t xml:space="preserve"> at 4.</w:t>
      </w:r>
    </w:p>
  </w:footnote>
  <w:footnote w:id="191">
    <w:p w14:paraId="57529F8D" w14:textId="5295E024" w:rsidR="008C7A79" w:rsidRDefault="008C7A79">
      <w:pPr>
        <w:pStyle w:val="FootnoteText"/>
      </w:pPr>
      <w:r>
        <w:rPr>
          <w:rStyle w:val="FootnoteReference"/>
        </w:rPr>
        <w:footnoteRef/>
      </w:r>
      <w:r>
        <w:t xml:space="preserve">  </w:t>
      </w:r>
      <w:r>
        <w:rPr>
          <w:i/>
          <w:iCs/>
        </w:rPr>
        <w:t>Ibid</w:t>
      </w:r>
      <w:r>
        <w:t>.</w:t>
      </w:r>
    </w:p>
  </w:footnote>
  <w:footnote w:id="192">
    <w:p w14:paraId="79C967D2" w14:textId="5AC49F24" w:rsidR="008C7A79" w:rsidRDefault="008C7A79">
      <w:pPr>
        <w:pStyle w:val="FootnoteText"/>
      </w:pPr>
      <w:r>
        <w:rPr>
          <w:rStyle w:val="FootnoteReference"/>
        </w:rPr>
        <w:footnoteRef/>
      </w:r>
      <w:r>
        <w:t xml:space="preserve">  Attachment 3 Settlement Agreement at 4-5.</w:t>
      </w:r>
    </w:p>
  </w:footnote>
  <w:footnote w:id="193">
    <w:p w14:paraId="2D8E494F" w14:textId="441A0EA8" w:rsidR="008C7A79" w:rsidRDefault="008C7A79">
      <w:pPr>
        <w:pStyle w:val="FootnoteText"/>
      </w:pPr>
      <w:r>
        <w:rPr>
          <w:rStyle w:val="FootnoteReference"/>
        </w:rPr>
        <w:footnoteRef/>
      </w:r>
      <w:r>
        <w:t xml:space="preserve">  </w:t>
      </w:r>
      <w:r>
        <w:rPr>
          <w:i/>
          <w:iCs/>
        </w:rPr>
        <w:t>Id.</w:t>
      </w:r>
      <w:r>
        <w:t xml:space="preserve"> at 6.</w:t>
      </w:r>
    </w:p>
  </w:footnote>
  <w:footnote w:id="194">
    <w:p w14:paraId="165C81AB" w14:textId="458D1FA9" w:rsidR="008C7A79" w:rsidRDefault="008C7A79">
      <w:pPr>
        <w:pStyle w:val="FootnoteText"/>
      </w:pPr>
      <w:r>
        <w:rPr>
          <w:rStyle w:val="FootnoteReference"/>
        </w:rPr>
        <w:footnoteRef/>
      </w:r>
      <w:r>
        <w:t xml:space="preserve">  </w:t>
      </w:r>
      <w:r>
        <w:rPr>
          <w:i/>
          <w:iCs/>
        </w:rPr>
        <w:t>Ibid</w:t>
      </w:r>
      <w:r>
        <w:t>.</w:t>
      </w:r>
    </w:p>
  </w:footnote>
  <w:footnote w:id="195">
    <w:p w14:paraId="0EEFFF34" w14:textId="52047148" w:rsidR="008C7A79" w:rsidRDefault="008C7A79">
      <w:pPr>
        <w:pStyle w:val="FootnoteText"/>
      </w:pPr>
      <w:r>
        <w:rPr>
          <w:rStyle w:val="FootnoteReference"/>
        </w:rPr>
        <w:footnoteRef/>
      </w:r>
      <w:r>
        <w:t xml:space="preserve">  </w:t>
      </w:r>
      <w:r>
        <w:rPr>
          <w:i/>
          <w:iCs/>
        </w:rPr>
        <w:t>Id.</w:t>
      </w:r>
      <w:r>
        <w:t xml:space="preserve"> at 7.</w:t>
      </w:r>
    </w:p>
  </w:footnote>
  <w:footnote w:id="196">
    <w:p w14:paraId="249F7186" w14:textId="0F7ABDA9" w:rsidR="008C7A79" w:rsidRDefault="008C7A79" w:rsidP="00936FA8">
      <w:pPr>
        <w:pStyle w:val="FootnoteText"/>
      </w:pPr>
      <w:r>
        <w:rPr>
          <w:rStyle w:val="FootnoteReference"/>
        </w:rPr>
        <w:footnoteRef/>
      </w:r>
      <w:r>
        <w:t xml:space="preserve">  D. 05-11-005 at 16.</w:t>
      </w:r>
    </w:p>
  </w:footnote>
  <w:footnote w:id="197">
    <w:p w14:paraId="13D2E4F8" w14:textId="15FF3447" w:rsidR="008C7A79" w:rsidRDefault="008C7A79" w:rsidP="00936FA8">
      <w:pPr>
        <w:pStyle w:val="FootnoteText"/>
      </w:pPr>
      <w:r>
        <w:rPr>
          <w:rStyle w:val="FootnoteReference"/>
        </w:rPr>
        <w:footnoteRef/>
      </w:r>
      <w:r>
        <w:t xml:space="preserve">  Exhibit CAL-01 at 6; Exhibit CAL-05 at 6-7.</w:t>
      </w:r>
    </w:p>
  </w:footnote>
  <w:footnote w:id="198">
    <w:p w14:paraId="69C1C60B" w14:textId="7A854561" w:rsidR="008C7A79" w:rsidRDefault="008C7A79">
      <w:pPr>
        <w:pStyle w:val="FootnoteText"/>
      </w:pPr>
      <w:r>
        <w:rPr>
          <w:rStyle w:val="FootnoteReference"/>
        </w:rPr>
        <w:footnoteRef/>
      </w:r>
      <w:r>
        <w:t xml:space="preserve">  Exhibit FTR-3 at 53.</w:t>
      </w:r>
    </w:p>
  </w:footnote>
  <w:footnote w:id="199">
    <w:p w14:paraId="4433A5AE" w14:textId="65C3A647" w:rsidR="008C7A79" w:rsidRDefault="008C7A79">
      <w:pPr>
        <w:pStyle w:val="FootnoteText"/>
      </w:pPr>
      <w:r>
        <w:rPr>
          <w:rStyle w:val="FootnoteReference"/>
        </w:rPr>
        <w:footnoteRef/>
      </w:r>
      <w:r>
        <w:t xml:space="preserve">  Exhibit CWA-001 at 9.</w:t>
      </w:r>
    </w:p>
  </w:footnote>
  <w:footnote w:id="200">
    <w:p w14:paraId="1CA6B5EB" w14:textId="1DCEDE5E" w:rsidR="008C7A79" w:rsidRDefault="008C7A79" w:rsidP="00936FA8">
      <w:pPr>
        <w:pStyle w:val="FootnoteText"/>
      </w:pPr>
      <w:r>
        <w:rPr>
          <w:rStyle w:val="FootnoteReference"/>
        </w:rPr>
        <w:footnoteRef/>
      </w:r>
      <w:r>
        <w:t xml:space="preserve">  Exhibit CAL-01 at 9; Exhibit CAL-02 at 5-6.</w:t>
      </w:r>
    </w:p>
  </w:footnote>
  <w:footnote w:id="201">
    <w:p w14:paraId="4564F89E" w14:textId="35CDE0F1" w:rsidR="008C7A79" w:rsidRDefault="008C7A79">
      <w:pPr>
        <w:pStyle w:val="FootnoteText"/>
      </w:pPr>
      <w:r>
        <w:rPr>
          <w:rStyle w:val="FootnoteReference"/>
        </w:rPr>
        <w:footnoteRef/>
      </w:r>
      <w:r>
        <w:t xml:space="preserve">  Opening Comments of Greenlining and CforAT on Joint Motion for Adoption of Attachment 1 Settlement Agreement at 4.</w:t>
      </w:r>
    </w:p>
  </w:footnote>
  <w:footnote w:id="202">
    <w:p w14:paraId="0B75F544" w14:textId="01884111" w:rsidR="008C7A79" w:rsidRDefault="008C7A79">
      <w:pPr>
        <w:pStyle w:val="FootnoteText"/>
      </w:pPr>
      <w:r>
        <w:rPr>
          <w:rStyle w:val="FootnoteReference"/>
        </w:rPr>
        <w:footnoteRef/>
      </w:r>
      <w:r>
        <w:t xml:space="preserve">  The Commission has no objection to the offer of the parties to the Attachment 1 Settlement Agreement to allow Greenlining and CforAT to receive information and participate in discussions pursuant to that agreement. Joint Reply Comments in Support of December 24, 2020 Joint Motion for Adoption of Settlement Agreement at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AB97" w14:textId="77777777" w:rsidR="008C7A79" w:rsidRPr="00F92385" w:rsidRDefault="008C7A79" w:rsidP="00F92385">
    <w:pPr>
      <w:pStyle w:val="Header"/>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4754" w14:textId="1198131D" w:rsidR="008C7A79" w:rsidRDefault="008C7A79" w:rsidP="00EC4948">
    <w:pPr>
      <w:pStyle w:val="Header"/>
      <w:tabs>
        <w:tab w:val="clear" w:pos="4680"/>
      </w:tabs>
      <w:ind w:firstLine="0"/>
      <w:rPr>
        <w:b/>
      </w:rPr>
    </w:pPr>
    <w:r>
      <w:t>A.20-05-010 ALJ/PW1/gp2</w:t>
    </w:r>
    <w:r>
      <w:tab/>
    </w:r>
  </w:p>
  <w:p w14:paraId="7792FAD4" w14:textId="77777777" w:rsidR="008C7A79" w:rsidRPr="0045159C" w:rsidRDefault="008C7A79" w:rsidP="00EC4948">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6E19" w14:textId="77777777" w:rsidR="008C7A79" w:rsidRDefault="008C7A79" w:rsidP="004F1D8D">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05A98"/>
    <w:multiLevelType w:val="multilevel"/>
    <w:tmpl w:val="680C1A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164560"/>
    <w:multiLevelType w:val="multilevel"/>
    <w:tmpl w:val="68FC03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735506"/>
    <w:multiLevelType w:val="multilevel"/>
    <w:tmpl w:val="3328F6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125C16"/>
    <w:multiLevelType w:val="multilevel"/>
    <w:tmpl w:val="E29AAF1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261C0B"/>
    <w:multiLevelType w:val="singleLevel"/>
    <w:tmpl w:val="0409001F"/>
    <w:lvl w:ilvl="0">
      <w:start w:val="1"/>
      <w:numFmt w:val="decimal"/>
      <w:lvlText w:val="%1."/>
      <w:legacy w:legacy="1" w:legacySpace="144" w:legacyIndent="0"/>
      <w:lvlJc w:val="left"/>
      <w:pPr>
        <w:ind w:left="0" w:firstLine="0"/>
      </w:pPr>
    </w:lvl>
  </w:abstractNum>
  <w:abstractNum w:abstractNumId="6" w15:restartNumberingAfterBreak="0">
    <w:nsid w:val="146C1C14"/>
    <w:multiLevelType w:val="multilevel"/>
    <w:tmpl w:val="18F4A5AC"/>
    <w:styleLink w:val="FoFCoLOP"/>
    <w:lvl w:ilvl="0">
      <w:start w:val="1"/>
      <w:numFmt w:val="decimal"/>
      <w:lvlText w:val="%1."/>
      <w:lvlJc w:val="right"/>
      <w:pPr>
        <w:ind w:left="0" w:firstLine="540"/>
      </w:p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7" w15:restartNumberingAfterBreak="0">
    <w:nsid w:val="15F056CB"/>
    <w:multiLevelType w:val="multilevel"/>
    <w:tmpl w:val="C7A8F5B8"/>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8" w15:restartNumberingAfterBreak="0">
    <w:nsid w:val="1E2242C9"/>
    <w:multiLevelType w:val="multilevel"/>
    <w:tmpl w:val="81169AF6"/>
    <w:numStyleLink w:val="Headings"/>
  </w:abstractNum>
  <w:abstractNum w:abstractNumId="9" w15:restartNumberingAfterBreak="0">
    <w:nsid w:val="267C1E48"/>
    <w:multiLevelType w:val="singleLevel"/>
    <w:tmpl w:val="408002C8"/>
    <w:lvl w:ilvl="0">
      <w:start w:val="1"/>
      <w:numFmt w:val="decimal"/>
      <w:lvlText w:val="%1."/>
      <w:legacy w:legacy="1" w:legacySpace="144" w:legacyIndent="0"/>
      <w:lvlJc w:val="left"/>
    </w:lvl>
  </w:abstractNum>
  <w:abstractNum w:abstractNumId="10" w15:restartNumberingAfterBreak="0">
    <w:nsid w:val="2AB23836"/>
    <w:multiLevelType w:val="hybridMultilevel"/>
    <w:tmpl w:val="E6445E96"/>
    <w:lvl w:ilvl="0" w:tplc="57E0C5C0">
      <w:start w:val="2"/>
      <w:numFmt w:val="lowerRoman"/>
      <w:lvlText w:val="(%1)"/>
      <w:lvlJc w:val="left"/>
      <w:pPr>
        <w:ind w:left="2160" w:hanging="72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D46003"/>
    <w:multiLevelType w:val="singleLevel"/>
    <w:tmpl w:val="29FE561A"/>
    <w:lvl w:ilvl="0">
      <w:start w:val="1"/>
      <w:numFmt w:val="decimal"/>
      <w:lvlText w:val="%1."/>
      <w:legacy w:legacy="1" w:legacySpace="144" w:legacyIndent="0"/>
      <w:lvlJc w:val="left"/>
      <w:rPr>
        <w:rFonts w:ascii="Book Antiqua" w:eastAsiaTheme="minorHAnsi" w:hAnsi="Book Antiqua" w:cs="Arial" w:hint="default"/>
      </w:rPr>
    </w:lvl>
  </w:abstractNum>
  <w:abstractNum w:abstractNumId="12" w15:restartNumberingAfterBreak="0">
    <w:nsid w:val="2F7D0590"/>
    <w:multiLevelType w:val="multilevel"/>
    <w:tmpl w:val="4BB85D86"/>
    <w:lvl w:ilvl="0">
      <w:start w:val="5"/>
      <w:numFmt w:val="decimal"/>
      <w:lvlText w:val="%1."/>
      <w:lvlJc w:val="left"/>
      <w:pPr>
        <w:ind w:left="630" w:hanging="630"/>
      </w:pPr>
      <w:rPr>
        <w:rFonts w:hint="default"/>
      </w:rPr>
    </w:lvl>
    <w:lvl w:ilvl="1">
      <w:start w:val="8"/>
      <w:numFmt w:val="decimal"/>
      <w:lvlText w:val="%1.%2."/>
      <w:lvlJc w:val="left"/>
      <w:pPr>
        <w:ind w:left="1440" w:hanging="72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31F6D42"/>
    <w:multiLevelType w:val="multilevel"/>
    <w:tmpl w:val="81169AF6"/>
    <w:styleLink w:val="Headings"/>
    <w:lvl w:ilvl="0">
      <w:start w:val="1"/>
      <w:numFmt w:val="decimal"/>
      <w:pStyle w:val="Heading1"/>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810"/>
        </w:tabs>
        <w:ind w:left="145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440"/>
        </w:tabs>
        <w:ind w:left="230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160"/>
        </w:tabs>
        <w:ind w:left="3240" w:hanging="1080"/>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4176" w:hanging="1296"/>
      </w:pPr>
      <w:rPr>
        <w:rFonts w:ascii="Arial" w:hAnsi="Arial" w:hint="default"/>
        <w:b/>
        <w:i w:val="0"/>
        <w:sz w:val="26"/>
      </w:rPr>
    </w:lvl>
    <w:lvl w:ilvl="5">
      <w:start w:val="1"/>
      <w:numFmt w:val="decimal"/>
      <w:pStyle w:val="Heading6"/>
      <w:lvlText w:val="%1.%2.%3.%4.%5.%6."/>
      <w:lvlJc w:val="left"/>
      <w:pPr>
        <w:tabs>
          <w:tab w:val="num" w:pos="3600"/>
        </w:tabs>
        <w:ind w:left="51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4" w15:restartNumberingAfterBreak="0">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5" w15:restartNumberingAfterBreak="0">
    <w:nsid w:val="39B22F5E"/>
    <w:multiLevelType w:val="multilevel"/>
    <w:tmpl w:val="B9D014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C595284"/>
    <w:multiLevelType w:val="hybridMultilevel"/>
    <w:tmpl w:val="B1DCB670"/>
    <w:lvl w:ilvl="0" w:tplc="673E4EC0">
      <w:start w:val="9"/>
      <w:numFmt w:val="lowerLetter"/>
      <w:lvlText w:val="(%1)"/>
      <w:lvlJc w:val="left"/>
      <w:pPr>
        <w:ind w:left="1800" w:hanging="360"/>
      </w:pPr>
      <w:rPr>
        <w:rFonts w:cs="Calibri"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8A7DFE"/>
    <w:multiLevelType w:val="multilevel"/>
    <w:tmpl w:val="99863D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10A66E4"/>
    <w:multiLevelType w:val="multilevel"/>
    <w:tmpl w:val="F7867B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37D4235"/>
    <w:multiLevelType w:val="multilevel"/>
    <w:tmpl w:val="351E51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65904E6"/>
    <w:multiLevelType w:val="multilevel"/>
    <w:tmpl w:val="2EBC37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8383E5E"/>
    <w:multiLevelType w:val="multilevel"/>
    <w:tmpl w:val="8BFA640E"/>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810"/>
        </w:tabs>
        <w:ind w:left="145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440"/>
        </w:tabs>
        <w:ind w:left="230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160"/>
        </w:tabs>
        <w:ind w:left="3240" w:hanging="1080"/>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4176" w:hanging="1296"/>
      </w:pPr>
      <w:rPr>
        <w:rFonts w:ascii="Arial" w:hAnsi="Arial" w:hint="default"/>
        <w:b/>
        <w:i w:val="0"/>
        <w:sz w:val="26"/>
      </w:rPr>
    </w:lvl>
    <w:lvl w:ilvl="5">
      <w:start w:val="1"/>
      <w:numFmt w:val="decimal"/>
      <w:lvlText w:val="%1.%2.%3.%4.%5.%6."/>
      <w:lvlJc w:val="left"/>
      <w:pPr>
        <w:tabs>
          <w:tab w:val="num" w:pos="3600"/>
        </w:tabs>
        <w:ind w:left="51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lvlText w:val="(%8)"/>
      <w:lvlJc w:val="left"/>
      <w:pPr>
        <w:ind w:left="1080" w:hanging="360"/>
      </w:pPr>
      <w:rPr>
        <w:rFonts w:hint="default"/>
        <w:sz w:val="26"/>
      </w:rPr>
    </w:lvl>
    <w:lvl w:ilvl="8">
      <w:start w:val="1"/>
      <w:numFmt w:val="none"/>
      <w:lvlText w:val=""/>
      <w:lvlJc w:val="left"/>
      <w:pPr>
        <w:ind w:left="3240" w:hanging="360"/>
      </w:pPr>
      <w:rPr>
        <w:rFonts w:hint="default"/>
      </w:rPr>
    </w:lvl>
  </w:abstractNum>
  <w:abstractNum w:abstractNumId="22" w15:restartNumberingAfterBreak="0">
    <w:nsid w:val="506864D9"/>
    <w:multiLevelType w:val="multilevel"/>
    <w:tmpl w:val="46349A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9D042D7"/>
    <w:multiLevelType w:val="multilevel"/>
    <w:tmpl w:val="18F4A5AC"/>
    <w:numStyleLink w:val="FoFCoLOP"/>
  </w:abstractNum>
  <w:abstractNum w:abstractNumId="24" w15:restartNumberingAfterBreak="0">
    <w:nsid w:val="5A8F62FD"/>
    <w:multiLevelType w:val="hybridMultilevel"/>
    <w:tmpl w:val="25080F2C"/>
    <w:lvl w:ilvl="0" w:tplc="5CB60FDE">
      <w:start w:val="2"/>
      <w:numFmt w:val="lowerRoman"/>
      <w:lvlText w:val="(%1)"/>
      <w:lvlJc w:val="left"/>
      <w:pPr>
        <w:ind w:left="2160" w:hanging="720"/>
      </w:pPr>
      <w:rPr>
        <w:rFonts w:cs="Calibri"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A9E2171"/>
    <w:multiLevelType w:val="multilevel"/>
    <w:tmpl w:val="BD4C7B80"/>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1BD3B69"/>
    <w:multiLevelType w:val="multilevel"/>
    <w:tmpl w:val="162C1BE8"/>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810"/>
        </w:tabs>
        <w:ind w:left="145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440"/>
        </w:tabs>
        <w:ind w:left="230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160"/>
        </w:tabs>
        <w:ind w:left="3240" w:hanging="1080"/>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4176" w:hanging="1296"/>
      </w:pPr>
      <w:rPr>
        <w:rFonts w:ascii="Arial" w:hAnsi="Arial" w:hint="default"/>
        <w:b/>
        <w:i w:val="0"/>
        <w:sz w:val="26"/>
      </w:rPr>
    </w:lvl>
    <w:lvl w:ilvl="5">
      <w:start w:val="1"/>
      <w:numFmt w:val="decimal"/>
      <w:lvlText w:val="%1.%2.%3.%4.%5.%6."/>
      <w:lvlJc w:val="left"/>
      <w:pPr>
        <w:tabs>
          <w:tab w:val="num" w:pos="3600"/>
        </w:tabs>
        <w:ind w:left="51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3"/>
      <w:numFmt w:val="lowerLetter"/>
      <w:lvlText w:val="(%8)"/>
      <w:lvlJc w:val="left"/>
      <w:pPr>
        <w:ind w:left="1080" w:hanging="360"/>
      </w:pPr>
      <w:rPr>
        <w:rFonts w:hint="default"/>
        <w:sz w:val="26"/>
      </w:rPr>
    </w:lvl>
    <w:lvl w:ilvl="8">
      <w:start w:val="1"/>
      <w:numFmt w:val="none"/>
      <w:lvlText w:val=""/>
      <w:lvlJc w:val="left"/>
      <w:pPr>
        <w:ind w:left="3240" w:hanging="360"/>
      </w:pPr>
      <w:rPr>
        <w:rFonts w:hint="default"/>
      </w:rPr>
    </w:lvl>
  </w:abstractNum>
  <w:abstractNum w:abstractNumId="27" w15:restartNumberingAfterBreak="0">
    <w:nsid w:val="73666F1A"/>
    <w:multiLevelType w:val="multilevel"/>
    <w:tmpl w:val="058418C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4C3298B"/>
    <w:multiLevelType w:val="multilevel"/>
    <w:tmpl w:val="FF4A49F6"/>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810"/>
        </w:tabs>
        <w:ind w:left="145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440"/>
        </w:tabs>
        <w:ind w:left="230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160"/>
        </w:tabs>
        <w:ind w:left="3240" w:hanging="1080"/>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4176" w:hanging="1296"/>
      </w:pPr>
      <w:rPr>
        <w:rFonts w:ascii="Arial" w:hAnsi="Arial" w:hint="default"/>
        <w:b/>
        <w:i w:val="0"/>
        <w:sz w:val="26"/>
      </w:rPr>
    </w:lvl>
    <w:lvl w:ilvl="5">
      <w:start w:val="1"/>
      <w:numFmt w:val="decimal"/>
      <w:lvlText w:val="%1.%2.%3.%4.%5.%6."/>
      <w:lvlJc w:val="left"/>
      <w:pPr>
        <w:tabs>
          <w:tab w:val="num" w:pos="3600"/>
        </w:tabs>
        <w:ind w:left="51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decimal"/>
      <w:lvlText w:val="%8."/>
      <w:lvlJc w:val="left"/>
      <w:pPr>
        <w:ind w:left="1080" w:hanging="360"/>
      </w:pPr>
      <w:rPr>
        <w:rFonts w:hint="default"/>
        <w:sz w:val="26"/>
      </w:rPr>
    </w:lvl>
    <w:lvl w:ilvl="8">
      <w:start w:val="1"/>
      <w:numFmt w:val="none"/>
      <w:lvlText w:val=""/>
      <w:lvlJc w:val="left"/>
      <w:pPr>
        <w:ind w:left="3240" w:hanging="360"/>
      </w:pPr>
      <w:rPr>
        <w:rFonts w:hint="default"/>
      </w:rPr>
    </w:lvl>
  </w:abstractNum>
  <w:abstractNum w:abstractNumId="29" w15:restartNumberingAfterBreak="0">
    <w:nsid w:val="7B524C72"/>
    <w:multiLevelType w:val="hybridMultilevel"/>
    <w:tmpl w:val="B67409EC"/>
    <w:lvl w:ilvl="0" w:tplc="EF6CC42E">
      <w:start w:val="9"/>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E991793"/>
    <w:multiLevelType w:val="multilevel"/>
    <w:tmpl w:val="3E3CFA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8"/>
  </w:num>
  <w:num w:numId="5">
    <w:abstractNumId w:val="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11"/>
  </w:num>
  <w:num w:numId="10">
    <w:abstractNumId w:val="12"/>
  </w:num>
  <w:num w:numId="11">
    <w:abstractNumId w:val="9"/>
  </w:num>
  <w:num w:numId="12">
    <w:abstractNumId w:val="29"/>
  </w:num>
  <w:num w:numId="13">
    <w:abstractNumId w:val="10"/>
  </w:num>
  <w:num w:numId="14">
    <w:abstractNumId w:val="19"/>
  </w:num>
  <w:num w:numId="15">
    <w:abstractNumId w:val="2"/>
  </w:num>
  <w:num w:numId="16">
    <w:abstractNumId w:val="3"/>
  </w:num>
  <w:num w:numId="17">
    <w:abstractNumId w:val="17"/>
  </w:num>
  <w:num w:numId="18">
    <w:abstractNumId w:val="22"/>
  </w:num>
  <w:num w:numId="19">
    <w:abstractNumId w:val="20"/>
  </w:num>
  <w:num w:numId="20">
    <w:abstractNumId w:val="30"/>
  </w:num>
  <w:num w:numId="21">
    <w:abstractNumId w:val="4"/>
  </w:num>
  <w:num w:numId="22">
    <w:abstractNumId w:val="15"/>
  </w:num>
  <w:num w:numId="23">
    <w:abstractNumId w:val="18"/>
  </w:num>
  <w:num w:numId="24">
    <w:abstractNumId w:val="1"/>
  </w:num>
  <w:num w:numId="25">
    <w:abstractNumId w:val="27"/>
  </w:num>
  <w:num w:numId="26">
    <w:abstractNumId w:val="16"/>
  </w:num>
  <w:num w:numId="27">
    <w:abstractNumId w:val="24"/>
  </w:num>
  <w:num w:numId="28">
    <w:abstractNumId w:val="28"/>
  </w:num>
  <w:num w:numId="29">
    <w:abstractNumId w:val="21"/>
  </w:num>
  <w:num w:numId="30">
    <w:abstractNumId w:val="26"/>
  </w:num>
  <w:num w:numId="31">
    <w:abstractNumId w:val="7"/>
    <w:lvlOverride w:ilvl="0">
      <w:startOverride w:val="4"/>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CA"/>
    <w:rsid w:val="000006D4"/>
    <w:rsid w:val="000009F6"/>
    <w:rsid w:val="00000AEC"/>
    <w:rsid w:val="00000E47"/>
    <w:rsid w:val="00000F6A"/>
    <w:rsid w:val="00001912"/>
    <w:rsid w:val="00001FBB"/>
    <w:rsid w:val="000028A0"/>
    <w:rsid w:val="000032E1"/>
    <w:rsid w:val="00003508"/>
    <w:rsid w:val="00003B8E"/>
    <w:rsid w:val="00004116"/>
    <w:rsid w:val="00004292"/>
    <w:rsid w:val="0000452C"/>
    <w:rsid w:val="000045C6"/>
    <w:rsid w:val="00004A3B"/>
    <w:rsid w:val="00004D1F"/>
    <w:rsid w:val="00004EED"/>
    <w:rsid w:val="0000576C"/>
    <w:rsid w:val="00006ED3"/>
    <w:rsid w:val="00007533"/>
    <w:rsid w:val="0000790F"/>
    <w:rsid w:val="00007940"/>
    <w:rsid w:val="00007FAB"/>
    <w:rsid w:val="000108FD"/>
    <w:rsid w:val="00010B09"/>
    <w:rsid w:val="00010B38"/>
    <w:rsid w:val="00010D2D"/>
    <w:rsid w:val="00010D45"/>
    <w:rsid w:val="0001170A"/>
    <w:rsid w:val="000117E3"/>
    <w:rsid w:val="000122E5"/>
    <w:rsid w:val="000124A9"/>
    <w:rsid w:val="0001339C"/>
    <w:rsid w:val="000136FB"/>
    <w:rsid w:val="000139A0"/>
    <w:rsid w:val="00014557"/>
    <w:rsid w:val="000145E8"/>
    <w:rsid w:val="00014B09"/>
    <w:rsid w:val="00015554"/>
    <w:rsid w:val="000157A4"/>
    <w:rsid w:val="0001585D"/>
    <w:rsid w:val="00017042"/>
    <w:rsid w:val="000170AE"/>
    <w:rsid w:val="000173C6"/>
    <w:rsid w:val="00017B9B"/>
    <w:rsid w:val="000201EF"/>
    <w:rsid w:val="000202D0"/>
    <w:rsid w:val="00020676"/>
    <w:rsid w:val="000206E7"/>
    <w:rsid w:val="00020AE0"/>
    <w:rsid w:val="00020CE7"/>
    <w:rsid w:val="00021519"/>
    <w:rsid w:val="00021E5B"/>
    <w:rsid w:val="00021F2E"/>
    <w:rsid w:val="00021FA2"/>
    <w:rsid w:val="00022645"/>
    <w:rsid w:val="0002281A"/>
    <w:rsid w:val="0002347D"/>
    <w:rsid w:val="0002348A"/>
    <w:rsid w:val="000235EF"/>
    <w:rsid w:val="00023718"/>
    <w:rsid w:val="00024476"/>
    <w:rsid w:val="000248A0"/>
    <w:rsid w:val="00024B90"/>
    <w:rsid w:val="000255EE"/>
    <w:rsid w:val="000261A3"/>
    <w:rsid w:val="000262CA"/>
    <w:rsid w:val="000264C6"/>
    <w:rsid w:val="000266EA"/>
    <w:rsid w:val="00026B73"/>
    <w:rsid w:val="0002779A"/>
    <w:rsid w:val="00027998"/>
    <w:rsid w:val="00027C7C"/>
    <w:rsid w:val="00027E42"/>
    <w:rsid w:val="00030151"/>
    <w:rsid w:val="000303CB"/>
    <w:rsid w:val="00031356"/>
    <w:rsid w:val="00031B0C"/>
    <w:rsid w:val="000326D2"/>
    <w:rsid w:val="0003299E"/>
    <w:rsid w:val="00032C8B"/>
    <w:rsid w:val="00032EF6"/>
    <w:rsid w:val="0003328A"/>
    <w:rsid w:val="000337C8"/>
    <w:rsid w:val="00033B65"/>
    <w:rsid w:val="00034A88"/>
    <w:rsid w:val="000353E5"/>
    <w:rsid w:val="0003584E"/>
    <w:rsid w:val="00035BD8"/>
    <w:rsid w:val="00035F17"/>
    <w:rsid w:val="0003607B"/>
    <w:rsid w:val="00036169"/>
    <w:rsid w:val="00036BC4"/>
    <w:rsid w:val="00036DE2"/>
    <w:rsid w:val="00037144"/>
    <w:rsid w:val="00037B00"/>
    <w:rsid w:val="00037B89"/>
    <w:rsid w:val="00037DA8"/>
    <w:rsid w:val="00040594"/>
    <w:rsid w:val="0004147F"/>
    <w:rsid w:val="00041658"/>
    <w:rsid w:val="000418FC"/>
    <w:rsid w:val="00041DAE"/>
    <w:rsid w:val="00041F82"/>
    <w:rsid w:val="00042155"/>
    <w:rsid w:val="00042A80"/>
    <w:rsid w:val="00042EE8"/>
    <w:rsid w:val="000431F7"/>
    <w:rsid w:val="000436D6"/>
    <w:rsid w:val="00043716"/>
    <w:rsid w:val="00043B95"/>
    <w:rsid w:val="00044055"/>
    <w:rsid w:val="000450AB"/>
    <w:rsid w:val="00045953"/>
    <w:rsid w:val="00045A1C"/>
    <w:rsid w:val="00045CC1"/>
    <w:rsid w:val="00045D00"/>
    <w:rsid w:val="00046370"/>
    <w:rsid w:val="000509DE"/>
    <w:rsid w:val="00050B06"/>
    <w:rsid w:val="00050FA2"/>
    <w:rsid w:val="00051B5D"/>
    <w:rsid w:val="00051B9A"/>
    <w:rsid w:val="00052978"/>
    <w:rsid w:val="00052FAB"/>
    <w:rsid w:val="00054610"/>
    <w:rsid w:val="00054899"/>
    <w:rsid w:val="000548F9"/>
    <w:rsid w:val="0005495D"/>
    <w:rsid w:val="00055680"/>
    <w:rsid w:val="00055825"/>
    <w:rsid w:val="00055928"/>
    <w:rsid w:val="00055F0F"/>
    <w:rsid w:val="0005630C"/>
    <w:rsid w:val="0005716F"/>
    <w:rsid w:val="000576AB"/>
    <w:rsid w:val="00057705"/>
    <w:rsid w:val="0006016A"/>
    <w:rsid w:val="00061026"/>
    <w:rsid w:val="000615D4"/>
    <w:rsid w:val="000618EE"/>
    <w:rsid w:val="00063B62"/>
    <w:rsid w:val="00063F94"/>
    <w:rsid w:val="00064488"/>
    <w:rsid w:val="00065ECA"/>
    <w:rsid w:val="000660C0"/>
    <w:rsid w:val="0006612D"/>
    <w:rsid w:val="000662C2"/>
    <w:rsid w:val="00066424"/>
    <w:rsid w:val="00066442"/>
    <w:rsid w:val="00066690"/>
    <w:rsid w:val="00066CD8"/>
    <w:rsid w:val="000676CB"/>
    <w:rsid w:val="00070A99"/>
    <w:rsid w:val="000710E1"/>
    <w:rsid w:val="0007115A"/>
    <w:rsid w:val="0007116F"/>
    <w:rsid w:val="000713CA"/>
    <w:rsid w:val="00072836"/>
    <w:rsid w:val="00072EBC"/>
    <w:rsid w:val="00073350"/>
    <w:rsid w:val="00073730"/>
    <w:rsid w:val="00074235"/>
    <w:rsid w:val="00074834"/>
    <w:rsid w:val="0007498E"/>
    <w:rsid w:val="0007508A"/>
    <w:rsid w:val="00076DDF"/>
    <w:rsid w:val="0007728C"/>
    <w:rsid w:val="000773CA"/>
    <w:rsid w:val="00077A0C"/>
    <w:rsid w:val="00077E23"/>
    <w:rsid w:val="00080C4D"/>
    <w:rsid w:val="00080E5D"/>
    <w:rsid w:val="00080ED3"/>
    <w:rsid w:val="00081401"/>
    <w:rsid w:val="00082F96"/>
    <w:rsid w:val="00083345"/>
    <w:rsid w:val="00083FFD"/>
    <w:rsid w:val="000851C2"/>
    <w:rsid w:val="000852CE"/>
    <w:rsid w:val="0008576F"/>
    <w:rsid w:val="00085DD0"/>
    <w:rsid w:val="00086145"/>
    <w:rsid w:val="000863B2"/>
    <w:rsid w:val="00086650"/>
    <w:rsid w:val="000869DE"/>
    <w:rsid w:val="000869E3"/>
    <w:rsid w:val="00086A49"/>
    <w:rsid w:val="0008799C"/>
    <w:rsid w:val="00087BC0"/>
    <w:rsid w:val="00087E7B"/>
    <w:rsid w:val="00087EE3"/>
    <w:rsid w:val="00090439"/>
    <w:rsid w:val="00091DD3"/>
    <w:rsid w:val="0009211B"/>
    <w:rsid w:val="000924F4"/>
    <w:rsid w:val="0009281F"/>
    <w:rsid w:val="000948FF"/>
    <w:rsid w:val="00094C02"/>
    <w:rsid w:val="00094F02"/>
    <w:rsid w:val="00095500"/>
    <w:rsid w:val="0009570E"/>
    <w:rsid w:val="000963E0"/>
    <w:rsid w:val="00096A89"/>
    <w:rsid w:val="000973C8"/>
    <w:rsid w:val="0009794E"/>
    <w:rsid w:val="000A033D"/>
    <w:rsid w:val="000A13A8"/>
    <w:rsid w:val="000A17DF"/>
    <w:rsid w:val="000A1D2D"/>
    <w:rsid w:val="000A268C"/>
    <w:rsid w:val="000A287A"/>
    <w:rsid w:val="000A294A"/>
    <w:rsid w:val="000A2AA9"/>
    <w:rsid w:val="000A31FC"/>
    <w:rsid w:val="000A3E82"/>
    <w:rsid w:val="000A41C2"/>
    <w:rsid w:val="000A47EC"/>
    <w:rsid w:val="000A4A56"/>
    <w:rsid w:val="000A4ACB"/>
    <w:rsid w:val="000A4C99"/>
    <w:rsid w:val="000A56F2"/>
    <w:rsid w:val="000A5FB0"/>
    <w:rsid w:val="000A65BC"/>
    <w:rsid w:val="000A65D6"/>
    <w:rsid w:val="000A68F8"/>
    <w:rsid w:val="000A6CDA"/>
    <w:rsid w:val="000A6E05"/>
    <w:rsid w:val="000A6E70"/>
    <w:rsid w:val="000A7F33"/>
    <w:rsid w:val="000B0893"/>
    <w:rsid w:val="000B0B92"/>
    <w:rsid w:val="000B12FA"/>
    <w:rsid w:val="000B1DAA"/>
    <w:rsid w:val="000B1ED7"/>
    <w:rsid w:val="000B1F69"/>
    <w:rsid w:val="000B2AFB"/>
    <w:rsid w:val="000B35CA"/>
    <w:rsid w:val="000B3A5E"/>
    <w:rsid w:val="000B3FB9"/>
    <w:rsid w:val="000B47A7"/>
    <w:rsid w:val="000B4EE5"/>
    <w:rsid w:val="000B5A3B"/>
    <w:rsid w:val="000B603C"/>
    <w:rsid w:val="000B6BC8"/>
    <w:rsid w:val="000B6C8A"/>
    <w:rsid w:val="000B6E5F"/>
    <w:rsid w:val="000B724B"/>
    <w:rsid w:val="000C00F4"/>
    <w:rsid w:val="000C0446"/>
    <w:rsid w:val="000C08BF"/>
    <w:rsid w:val="000C0DE2"/>
    <w:rsid w:val="000C2405"/>
    <w:rsid w:val="000C25B8"/>
    <w:rsid w:val="000C27A0"/>
    <w:rsid w:val="000C2EB7"/>
    <w:rsid w:val="000C3B6F"/>
    <w:rsid w:val="000C3B9A"/>
    <w:rsid w:val="000C3CDD"/>
    <w:rsid w:val="000C488F"/>
    <w:rsid w:val="000C49FF"/>
    <w:rsid w:val="000C5233"/>
    <w:rsid w:val="000C53FA"/>
    <w:rsid w:val="000C57A0"/>
    <w:rsid w:val="000C58C4"/>
    <w:rsid w:val="000C6A77"/>
    <w:rsid w:val="000C753A"/>
    <w:rsid w:val="000C75AE"/>
    <w:rsid w:val="000C7AC4"/>
    <w:rsid w:val="000C7B27"/>
    <w:rsid w:val="000C7DC2"/>
    <w:rsid w:val="000C7F29"/>
    <w:rsid w:val="000CF8F0"/>
    <w:rsid w:val="000D0230"/>
    <w:rsid w:val="000D035D"/>
    <w:rsid w:val="000D0597"/>
    <w:rsid w:val="000D073C"/>
    <w:rsid w:val="000D0839"/>
    <w:rsid w:val="000D14DB"/>
    <w:rsid w:val="000D1677"/>
    <w:rsid w:val="000D195A"/>
    <w:rsid w:val="000D1EB5"/>
    <w:rsid w:val="000D1ED6"/>
    <w:rsid w:val="000D25A8"/>
    <w:rsid w:val="000D29E8"/>
    <w:rsid w:val="000D366E"/>
    <w:rsid w:val="000D39EE"/>
    <w:rsid w:val="000D3EF8"/>
    <w:rsid w:val="000D40E8"/>
    <w:rsid w:val="000D46D9"/>
    <w:rsid w:val="000D46E5"/>
    <w:rsid w:val="000D584F"/>
    <w:rsid w:val="000D59DD"/>
    <w:rsid w:val="000D5C07"/>
    <w:rsid w:val="000D6290"/>
    <w:rsid w:val="000D6F7B"/>
    <w:rsid w:val="000D71D9"/>
    <w:rsid w:val="000D7ED8"/>
    <w:rsid w:val="000E0442"/>
    <w:rsid w:val="000E0807"/>
    <w:rsid w:val="000E08F0"/>
    <w:rsid w:val="000E0928"/>
    <w:rsid w:val="000E1577"/>
    <w:rsid w:val="000E1B12"/>
    <w:rsid w:val="000E1C6E"/>
    <w:rsid w:val="000E1E03"/>
    <w:rsid w:val="000E1E6F"/>
    <w:rsid w:val="000E24A6"/>
    <w:rsid w:val="000E260C"/>
    <w:rsid w:val="000E2C26"/>
    <w:rsid w:val="000E2CDD"/>
    <w:rsid w:val="000E32E4"/>
    <w:rsid w:val="000E3CBA"/>
    <w:rsid w:val="000E4125"/>
    <w:rsid w:val="000E4C53"/>
    <w:rsid w:val="000E57F7"/>
    <w:rsid w:val="000E6E9E"/>
    <w:rsid w:val="000E76DE"/>
    <w:rsid w:val="000E77DD"/>
    <w:rsid w:val="000E7BB5"/>
    <w:rsid w:val="000E7E8C"/>
    <w:rsid w:val="000F014E"/>
    <w:rsid w:val="000F0395"/>
    <w:rsid w:val="000F2F3D"/>
    <w:rsid w:val="000F32CC"/>
    <w:rsid w:val="000F3341"/>
    <w:rsid w:val="000F3860"/>
    <w:rsid w:val="000F3F81"/>
    <w:rsid w:val="000F3F85"/>
    <w:rsid w:val="000F4532"/>
    <w:rsid w:val="000F4C66"/>
    <w:rsid w:val="000F6438"/>
    <w:rsid w:val="000F67A2"/>
    <w:rsid w:val="001005CF"/>
    <w:rsid w:val="00100909"/>
    <w:rsid w:val="00100964"/>
    <w:rsid w:val="00100D17"/>
    <w:rsid w:val="00101468"/>
    <w:rsid w:val="00101766"/>
    <w:rsid w:val="00101F70"/>
    <w:rsid w:val="001021D6"/>
    <w:rsid w:val="001022BC"/>
    <w:rsid w:val="00102337"/>
    <w:rsid w:val="001028AB"/>
    <w:rsid w:val="00102E02"/>
    <w:rsid w:val="00103167"/>
    <w:rsid w:val="0010368D"/>
    <w:rsid w:val="00103CA5"/>
    <w:rsid w:val="00103D93"/>
    <w:rsid w:val="00104123"/>
    <w:rsid w:val="001041D2"/>
    <w:rsid w:val="001045DD"/>
    <w:rsid w:val="001048B1"/>
    <w:rsid w:val="00104A46"/>
    <w:rsid w:val="00104FA6"/>
    <w:rsid w:val="001058EE"/>
    <w:rsid w:val="00105AEF"/>
    <w:rsid w:val="001065F3"/>
    <w:rsid w:val="00106C60"/>
    <w:rsid w:val="001070E0"/>
    <w:rsid w:val="00110FFA"/>
    <w:rsid w:val="00112B38"/>
    <w:rsid w:val="0011313C"/>
    <w:rsid w:val="0011327D"/>
    <w:rsid w:val="0011458F"/>
    <w:rsid w:val="001146EF"/>
    <w:rsid w:val="001146F1"/>
    <w:rsid w:val="00114A80"/>
    <w:rsid w:val="00115199"/>
    <w:rsid w:val="001153D0"/>
    <w:rsid w:val="001154B0"/>
    <w:rsid w:val="00115507"/>
    <w:rsid w:val="00115916"/>
    <w:rsid w:val="00115A9D"/>
    <w:rsid w:val="00115DD9"/>
    <w:rsid w:val="00116033"/>
    <w:rsid w:val="00116557"/>
    <w:rsid w:val="0011718A"/>
    <w:rsid w:val="00117E0D"/>
    <w:rsid w:val="00117FB4"/>
    <w:rsid w:val="00120F59"/>
    <w:rsid w:val="00121089"/>
    <w:rsid w:val="0012185D"/>
    <w:rsid w:val="00121AAA"/>
    <w:rsid w:val="00122BAB"/>
    <w:rsid w:val="00122D27"/>
    <w:rsid w:val="00122FA8"/>
    <w:rsid w:val="00123155"/>
    <w:rsid w:val="001235D3"/>
    <w:rsid w:val="001242EC"/>
    <w:rsid w:val="0012533A"/>
    <w:rsid w:val="00125ABA"/>
    <w:rsid w:val="00126BAE"/>
    <w:rsid w:val="00126CB4"/>
    <w:rsid w:val="00126D8D"/>
    <w:rsid w:val="00127225"/>
    <w:rsid w:val="00130092"/>
    <w:rsid w:val="001319B5"/>
    <w:rsid w:val="00131A1F"/>
    <w:rsid w:val="00131A8D"/>
    <w:rsid w:val="00131B9B"/>
    <w:rsid w:val="00131F03"/>
    <w:rsid w:val="00131FA9"/>
    <w:rsid w:val="00132C7D"/>
    <w:rsid w:val="0013417A"/>
    <w:rsid w:val="00134272"/>
    <w:rsid w:val="001342FF"/>
    <w:rsid w:val="0013434B"/>
    <w:rsid w:val="001345C5"/>
    <w:rsid w:val="001345FF"/>
    <w:rsid w:val="0013491E"/>
    <w:rsid w:val="00134A76"/>
    <w:rsid w:val="00134AF3"/>
    <w:rsid w:val="00134EC2"/>
    <w:rsid w:val="001359E5"/>
    <w:rsid w:val="00135AF9"/>
    <w:rsid w:val="0013696D"/>
    <w:rsid w:val="00136B23"/>
    <w:rsid w:val="0013722C"/>
    <w:rsid w:val="00137A3C"/>
    <w:rsid w:val="00137E10"/>
    <w:rsid w:val="00137E42"/>
    <w:rsid w:val="00140689"/>
    <w:rsid w:val="00140F8C"/>
    <w:rsid w:val="0014146E"/>
    <w:rsid w:val="00141588"/>
    <w:rsid w:val="00141BB2"/>
    <w:rsid w:val="0014202A"/>
    <w:rsid w:val="0014217E"/>
    <w:rsid w:val="0014230C"/>
    <w:rsid w:val="00142538"/>
    <w:rsid w:val="00142A41"/>
    <w:rsid w:val="00142B08"/>
    <w:rsid w:val="00142D08"/>
    <w:rsid w:val="001442D9"/>
    <w:rsid w:val="00144C59"/>
    <w:rsid w:val="00145ECB"/>
    <w:rsid w:val="00145FD3"/>
    <w:rsid w:val="001465BB"/>
    <w:rsid w:val="00146DFD"/>
    <w:rsid w:val="00150055"/>
    <w:rsid w:val="00150169"/>
    <w:rsid w:val="001505C0"/>
    <w:rsid w:val="001509D2"/>
    <w:rsid w:val="00150D6A"/>
    <w:rsid w:val="0015114E"/>
    <w:rsid w:val="0015130E"/>
    <w:rsid w:val="00151375"/>
    <w:rsid w:val="001517DA"/>
    <w:rsid w:val="00151ADC"/>
    <w:rsid w:val="00152272"/>
    <w:rsid w:val="0015292F"/>
    <w:rsid w:val="00153DC6"/>
    <w:rsid w:val="001544E3"/>
    <w:rsid w:val="001546DF"/>
    <w:rsid w:val="00154D6A"/>
    <w:rsid w:val="00155D84"/>
    <w:rsid w:val="00156072"/>
    <w:rsid w:val="00157262"/>
    <w:rsid w:val="00157677"/>
    <w:rsid w:val="0015773A"/>
    <w:rsid w:val="00157AB7"/>
    <w:rsid w:val="0016017D"/>
    <w:rsid w:val="001604B2"/>
    <w:rsid w:val="001604CC"/>
    <w:rsid w:val="001609AB"/>
    <w:rsid w:val="001613B8"/>
    <w:rsid w:val="00162201"/>
    <w:rsid w:val="0016252E"/>
    <w:rsid w:val="00163546"/>
    <w:rsid w:val="001635AD"/>
    <w:rsid w:val="00163F32"/>
    <w:rsid w:val="001644FF"/>
    <w:rsid w:val="00164686"/>
    <w:rsid w:val="00164C9F"/>
    <w:rsid w:val="0016581B"/>
    <w:rsid w:val="00165B3F"/>
    <w:rsid w:val="00165F86"/>
    <w:rsid w:val="00166015"/>
    <w:rsid w:val="00166029"/>
    <w:rsid w:val="0016731D"/>
    <w:rsid w:val="001678DC"/>
    <w:rsid w:val="00167A06"/>
    <w:rsid w:val="00167B56"/>
    <w:rsid w:val="00167FBE"/>
    <w:rsid w:val="001706FE"/>
    <w:rsid w:val="00170A1E"/>
    <w:rsid w:val="00170E17"/>
    <w:rsid w:val="00170F83"/>
    <w:rsid w:val="00171559"/>
    <w:rsid w:val="00171824"/>
    <w:rsid w:val="00171CD8"/>
    <w:rsid w:val="00172099"/>
    <w:rsid w:val="00172282"/>
    <w:rsid w:val="001723AD"/>
    <w:rsid w:val="00172C06"/>
    <w:rsid w:val="00172D6B"/>
    <w:rsid w:val="00173212"/>
    <w:rsid w:val="0017353E"/>
    <w:rsid w:val="00173AC2"/>
    <w:rsid w:val="0017452A"/>
    <w:rsid w:val="00174620"/>
    <w:rsid w:val="00174C8E"/>
    <w:rsid w:val="001753A7"/>
    <w:rsid w:val="001759D2"/>
    <w:rsid w:val="00176554"/>
    <w:rsid w:val="00177E5F"/>
    <w:rsid w:val="00177EDF"/>
    <w:rsid w:val="00180385"/>
    <w:rsid w:val="001805BF"/>
    <w:rsid w:val="001805FE"/>
    <w:rsid w:val="00180604"/>
    <w:rsid w:val="0018066C"/>
    <w:rsid w:val="001807CE"/>
    <w:rsid w:val="00180B05"/>
    <w:rsid w:val="00180DD0"/>
    <w:rsid w:val="00180EA4"/>
    <w:rsid w:val="00181325"/>
    <w:rsid w:val="00181447"/>
    <w:rsid w:val="001819D7"/>
    <w:rsid w:val="00181A88"/>
    <w:rsid w:val="00181AEC"/>
    <w:rsid w:val="00181CDE"/>
    <w:rsid w:val="001821A0"/>
    <w:rsid w:val="0018234B"/>
    <w:rsid w:val="001826C3"/>
    <w:rsid w:val="00182BC7"/>
    <w:rsid w:val="00182D09"/>
    <w:rsid w:val="00183855"/>
    <w:rsid w:val="00183B15"/>
    <w:rsid w:val="0018429C"/>
    <w:rsid w:val="00184448"/>
    <w:rsid w:val="00184EF0"/>
    <w:rsid w:val="00184FA5"/>
    <w:rsid w:val="00185A2F"/>
    <w:rsid w:val="001862CF"/>
    <w:rsid w:val="0018680E"/>
    <w:rsid w:val="00186F98"/>
    <w:rsid w:val="0018750A"/>
    <w:rsid w:val="0018753D"/>
    <w:rsid w:val="00187DF8"/>
    <w:rsid w:val="00190195"/>
    <w:rsid w:val="00190762"/>
    <w:rsid w:val="00191185"/>
    <w:rsid w:val="00191598"/>
    <w:rsid w:val="00191793"/>
    <w:rsid w:val="00191CA5"/>
    <w:rsid w:val="00191CB6"/>
    <w:rsid w:val="00192B7E"/>
    <w:rsid w:val="00193CD1"/>
    <w:rsid w:val="00194A22"/>
    <w:rsid w:val="00194C66"/>
    <w:rsid w:val="001957FB"/>
    <w:rsid w:val="00195BED"/>
    <w:rsid w:val="001963AF"/>
    <w:rsid w:val="00196B93"/>
    <w:rsid w:val="0019726B"/>
    <w:rsid w:val="001976F0"/>
    <w:rsid w:val="00197810"/>
    <w:rsid w:val="001978BB"/>
    <w:rsid w:val="00197991"/>
    <w:rsid w:val="001A0002"/>
    <w:rsid w:val="001A077B"/>
    <w:rsid w:val="001A087C"/>
    <w:rsid w:val="001A08AE"/>
    <w:rsid w:val="001A18D8"/>
    <w:rsid w:val="001A22C8"/>
    <w:rsid w:val="001A27A6"/>
    <w:rsid w:val="001A3001"/>
    <w:rsid w:val="001A3126"/>
    <w:rsid w:val="001A4B12"/>
    <w:rsid w:val="001A50FA"/>
    <w:rsid w:val="001A5858"/>
    <w:rsid w:val="001A5FD3"/>
    <w:rsid w:val="001A6A37"/>
    <w:rsid w:val="001A7393"/>
    <w:rsid w:val="001A75FF"/>
    <w:rsid w:val="001A7F1A"/>
    <w:rsid w:val="001B0C0F"/>
    <w:rsid w:val="001B0F53"/>
    <w:rsid w:val="001B174D"/>
    <w:rsid w:val="001B18B5"/>
    <w:rsid w:val="001B2341"/>
    <w:rsid w:val="001B2DC7"/>
    <w:rsid w:val="001B2F55"/>
    <w:rsid w:val="001B379B"/>
    <w:rsid w:val="001B3889"/>
    <w:rsid w:val="001B3B85"/>
    <w:rsid w:val="001B3BD8"/>
    <w:rsid w:val="001B48E7"/>
    <w:rsid w:val="001B4DE3"/>
    <w:rsid w:val="001B64C4"/>
    <w:rsid w:val="001B64D8"/>
    <w:rsid w:val="001B67FA"/>
    <w:rsid w:val="001B6C40"/>
    <w:rsid w:val="001B7610"/>
    <w:rsid w:val="001B7E44"/>
    <w:rsid w:val="001B7EE2"/>
    <w:rsid w:val="001B7FD4"/>
    <w:rsid w:val="001C040E"/>
    <w:rsid w:val="001C0573"/>
    <w:rsid w:val="001C0A76"/>
    <w:rsid w:val="001C145E"/>
    <w:rsid w:val="001C1850"/>
    <w:rsid w:val="001C1981"/>
    <w:rsid w:val="001C25B6"/>
    <w:rsid w:val="001C2F88"/>
    <w:rsid w:val="001C363F"/>
    <w:rsid w:val="001C38D9"/>
    <w:rsid w:val="001C3A6D"/>
    <w:rsid w:val="001C4506"/>
    <w:rsid w:val="001C4CB8"/>
    <w:rsid w:val="001C4DCC"/>
    <w:rsid w:val="001C54AE"/>
    <w:rsid w:val="001C560F"/>
    <w:rsid w:val="001C5C12"/>
    <w:rsid w:val="001C6444"/>
    <w:rsid w:val="001C652E"/>
    <w:rsid w:val="001C6733"/>
    <w:rsid w:val="001C6857"/>
    <w:rsid w:val="001C7825"/>
    <w:rsid w:val="001C798B"/>
    <w:rsid w:val="001D00C7"/>
    <w:rsid w:val="001D0392"/>
    <w:rsid w:val="001D0EF0"/>
    <w:rsid w:val="001D1251"/>
    <w:rsid w:val="001D15F6"/>
    <w:rsid w:val="001D1896"/>
    <w:rsid w:val="001D1A16"/>
    <w:rsid w:val="001D2106"/>
    <w:rsid w:val="001D2D15"/>
    <w:rsid w:val="001D301B"/>
    <w:rsid w:val="001D3EAE"/>
    <w:rsid w:val="001D4109"/>
    <w:rsid w:val="001D46E5"/>
    <w:rsid w:val="001D4C53"/>
    <w:rsid w:val="001D4D95"/>
    <w:rsid w:val="001D53E9"/>
    <w:rsid w:val="001D60AE"/>
    <w:rsid w:val="001D60E9"/>
    <w:rsid w:val="001D6DBF"/>
    <w:rsid w:val="001D6E5D"/>
    <w:rsid w:val="001D70C0"/>
    <w:rsid w:val="001E019C"/>
    <w:rsid w:val="001E0677"/>
    <w:rsid w:val="001E0B78"/>
    <w:rsid w:val="001E0D27"/>
    <w:rsid w:val="001E1119"/>
    <w:rsid w:val="001E153A"/>
    <w:rsid w:val="001E2067"/>
    <w:rsid w:val="001E2A62"/>
    <w:rsid w:val="001E31C7"/>
    <w:rsid w:val="001E3C2D"/>
    <w:rsid w:val="001E4E07"/>
    <w:rsid w:val="001E5321"/>
    <w:rsid w:val="001E67D5"/>
    <w:rsid w:val="001E6BF0"/>
    <w:rsid w:val="001E6EE1"/>
    <w:rsid w:val="001E7197"/>
    <w:rsid w:val="001F0912"/>
    <w:rsid w:val="001F0AE0"/>
    <w:rsid w:val="001F14FB"/>
    <w:rsid w:val="001F1874"/>
    <w:rsid w:val="001F2819"/>
    <w:rsid w:val="001F3B15"/>
    <w:rsid w:val="001F605B"/>
    <w:rsid w:val="001F63A9"/>
    <w:rsid w:val="001F6BCA"/>
    <w:rsid w:val="001F6E5A"/>
    <w:rsid w:val="001F6E9C"/>
    <w:rsid w:val="001F70EB"/>
    <w:rsid w:val="001F717A"/>
    <w:rsid w:val="001F7798"/>
    <w:rsid w:val="001F7A64"/>
    <w:rsid w:val="00200128"/>
    <w:rsid w:val="00200463"/>
    <w:rsid w:val="0020124A"/>
    <w:rsid w:val="00202B4C"/>
    <w:rsid w:val="00203685"/>
    <w:rsid w:val="00203AF3"/>
    <w:rsid w:val="0020426A"/>
    <w:rsid w:val="002043EC"/>
    <w:rsid w:val="002048A2"/>
    <w:rsid w:val="00204F11"/>
    <w:rsid w:val="0020582E"/>
    <w:rsid w:val="00205CD0"/>
    <w:rsid w:val="0020627D"/>
    <w:rsid w:val="00206411"/>
    <w:rsid w:val="00206E5B"/>
    <w:rsid w:val="00207059"/>
    <w:rsid w:val="002078D8"/>
    <w:rsid w:val="00207B8A"/>
    <w:rsid w:val="002100B5"/>
    <w:rsid w:val="002106F5"/>
    <w:rsid w:val="00210908"/>
    <w:rsid w:val="00210AB2"/>
    <w:rsid w:val="00211325"/>
    <w:rsid w:val="00211781"/>
    <w:rsid w:val="002119FA"/>
    <w:rsid w:val="00211C8A"/>
    <w:rsid w:val="002126BA"/>
    <w:rsid w:val="00212AAF"/>
    <w:rsid w:val="00212BA1"/>
    <w:rsid w:val="00212CB7"/>
    <w:rsid w:val="002139B3"/>
    <w:rsid w:val="0021401B"/>
    <w:rsid w:val="00214997"/>
    <w:rsid w:val="00214E52"/>
    <w:rsid w:val="00215E0C"/>
    <w:rsid w:val="002161E5"/>
    <w:rsid w:val="002164C9"/>
    <w:rsid w:val="00217045"/>
    <w:rsid w:val="0021708A"/>
    <w:rsid w:val="00217558"/>
    <w:rsid w:val="0021762D"/>
    <w:rsid w:val="00220014"/>
    <w:rsid w:val="0022005F"/>
    <w:rsid w:val="002200B1"/>
    <w:rsid w:val="002204DD"/>
    <w:rsid w:val="0022108B"/>
    <w:rsid w:val="0022166F"/>
    <w:rsid w:val="0022179F"/>
    <w:rsid w:val="002217B9"/>
    <w:rsid w:val="002230AD"/>
    <w:rsid w:val="00223220"/>
    <w:rsid w:val="00223EEB"/>
    <w:rsid w:val="00224AAA"/>
    <w:rsid w:val="00224B57"/>
    <w:rsid w:val="002257C6"/>
    <w:rsid w:val="00225AF0"/>
    <w:rsid w:val="00226141"/>
    <w:rsid w:val="00226867"/>
    <w:rsid w:val="0022721A"/>
    <w:rsid w:val="00227DFE"/>
    <w:rsid w:val="002300A1"/>
    <w:rsid w:val="00230507"/>
    <w:rsid w:val="00230CDD"/>
    <w:rsid w:val="00230DD9"/>
    <w:rsid w:val="002313E8"/>
    <w:rsid w:val="00231489"/>
    <w:rsid w:val="00231C27"/>
    <w:rsid w:val="00231C7B"/>
    <w:rsid w:val="00232133"/>
    <w:rsid w:val="00232BB2"/>
    <w:rsid w:val="0023380D"/>
    <w:rsid w:val="00233882"/>
    <w:rsid w:val="00233A53"/>
    <w:rsid w:val="00233D8F"/>
    <w:rsid w:val="002341AA"/>
    <w:rsid w:val="00235222"/>
    <w:rsid w:val="00235A3C"/>
    <w:rsid w:val="002361A4"/>
    <w:rsid w:val="002375D0"/>
    <w:rsid w:val="00237B01"/>
    <w:rsid w:val="00237C85"/>
    <w:rsid w:val="00240250"/>
    <w:rsid w:val="002402AB"/>
    <w:rsid w:val="00240D7B"/>
    <w:rsid w:val="00241549"/>
    <w:rsid w:val="002419C5"/>
    <w:rsid w:val="00241FB2"/>
    <w:rsid w:val="00242214"/>
    <w:rsid w:val="00242B74"/>
    <w:rsid w:val="00243071"/>
    <w:rsid w:val="002434CB"/>
    <w:rsid w:val="00243DC0"/>
    <w:rsid w:val="00244323"/>
    <w:rsid w:val="00245249"/>
    <w:rsid w:val="002453FE"/>
    <w:rsid w:val="00245613"/>
    <w:rsid w:val="00245833"/>
    <w:rsid w:val="00245C51"/>
    <w:rsid w:val="00245DBD"/>
    <w:rsid w:val="00245F5F"/>
    <w:rsid w:val="00246509"/>
    <w:rsid w:val="002467E6"/>
    <w:rsid w:val="00246951"/>
    <w:rsid w:val="00247427"/>
    <w:rsid w:val="00247477"/>
    <w:rsid w:val="00247B26"/>
    <w:rsid w:val="00250A57"/>
    <w:rsid w:val="00251213"/>
    <w:rsid w:val="00251C7A"/>
    <w:rsid w:val="00252095"/>
    <w:rsid w:val="002523C0"/>
    <w:rsid w:val="0025401E"/>
    <w:rsid w:val="002546FB"/>
    <w:rsid w:val="00254E98"/>
    <w:rsid w:val="00255306"/>
    <w:rsid w:val="00255915"/>
    <w:rsid w:val="00255AD9"/>
    <w:rsid w:val="00256399"/>
    <w:rsid w:val="002564FB"/>
    <w:rsid w:val="0025681B"/>
    <w:rsid w:val="00256C2F"/>
    <w:rsid w:val="00257227"/>
    <w:rsid w:val="002614A4"/>
    <w:rsid w:val="00262063"/>
    <w:rsid w:val="00262096"/>
    <w:rsid w:val="00262137"/>
    <w:rsid w:val="0026228B"/>
    <w:rsid w:val="002630F8"/>
    <w:rsid w:val="00263538"/>
    <w:rsid w:val="00263C09"/>
    <w:rsid w:val="00264513"/>
    <w:rsid w:val="00264E25"/>
    <w:rsid w:val="00265EA0"/>
    <w:rsid w:val="0026602B"/>
    <w:rsid w:val="00266284"/>
    <w:rsid w:val="00266DAE"/>
    <w:rsid w:val="002671D6"/>
    <w:rsid w:val="00267E80"/>
    <w:rsid w:val="00270014"/>
    <w:rsid w:val="00270440"/>
    <w:rsid w:val="002707E4"/>
    <w:rsid w:val="00271227"/>
    <w:rsid w:val="0027257C"/>
    <w:rsid w:val="00272E0D"/>
    <w:rsid w:val="002730EA"/>
    <w:rsid w:val="00273542"/>
    <w:rsid w:val="0027362F"/>
    <w:rsid w:val="00274DE6"/>
    <w:rsid w:val="00275009"/>
    <w:rsid w:val="00275088"/>
    <w:rsid w:val="002757BD"/>
    <w:rsid w:val="00275863"/>
    <w:rsid w:val="00275941"/>
    <w:rsid w:val="00275B66"/>
    <w:rsid w:val="00275ECF"/>
    <w:rsid w:val="00277147"/>
    <w:rsid w:val="00277530"/>
    <w:rsid w:val="0027758E"/>
    <w:rsid w:val="002775E1"/>
    <w:rsid w:val="00277C24"/>
    <w:rsid w:val="00280159"/>
    <w:rsid w:val="00280602"/>
    <w:rsid w:val="002806D8"/>
    <w:rsid w:val="0028159A"/>
    <w:rsid w:val="00281DE0"/>
    <w:rsid w:val="00282C5F"/>
    <w:rsid w:val="00283278"/>
    <w:rsid w:val="0028379C"/>
    <w:rsid w:val="00283CEB"/>
    <w:rsid w:val="00284242"/>
    <w:rsid w:val="00284BA7"/>
    <w:rsid w:val="00285171"/>
    <w:rsid w:val="002853F3"/>
    <w:rsid w:val="00285485"/>
    <w:rsid w:val="00286400"/>
    <w:rsid w:val="00287C85"/>
    <w:rsid w:val="00287DF6"/>
    <w:rsid w:val="00290102"/>
    <w:rsid w:val="00290281"/>
    <w:rsid w:val="002910BA"/>
    <w:rsid w:val="0029173A"/>
    <w:rsid w:val="002918D5"/>
    <w:rsid w:val="00291919"/>
    <w:rsid w:val="00291E77"/>
    <w:rsid w:val="00293CF3"/>
    <w:rsid w:val="00293DEE"/>
    <w:rsid w:val="002940DF"/>
    <w:rsid w:val="0029461E"/>
    <w:rsid w:val="002955ED"/>
    <w:rsid w:val="002962DA"/>
    <w:rsid w:val="0029642D"/>
    <w:rsid w:val="00296623"/>
    <w:rsid w:val="002A02AB"/>
    <w:rsid w:val="002A0797"/>
    <w:rsid w:val="002A09D9"/>
    <w:rsid w:val="002A0B5D"/>
    <w:rsid w:val="002A1059"/>
    <w:rsid w:val="002A16A2"/>
    <w:rsid w:val="002A1FB8"/>
    <w:rsid w:val="002A2383"/>
    <w:rsid w:val="002A2674"/>
    <w:rsid w:val="002A26A9"/>
    <w:rsid w:val="002A2C15"/>
    <w:rsid w:val="002A2D43"/>
    <w:rsid w:val="002A33DF"/>
    <w:rsid w:val="002A40EF"/>
    <w:rsid w:val="002A46DD"/>
    <w:rsid w:val="002A5DF7"/>
    <w:rsid w:val="002A6145"/>
    <w:rsid w:val="002A6AE3"/>
    <w:rsid w:val="002A7AB3"/>
    <w:rsid w:val="002A7DDB"/>
    <w:rsid w:val="002B00EB"/>
    <w:rsid w:val="002B0F56"/>
    <w:rsid w:val="002B115A"/>
    <w:rsid w:val="002B1A52"/>
    <w:rsid w:val="002B1C0F"/>
    <w:rsid w:val="002B223B"/>
    <w:rsid w:val="002B2826"/>
    <w:rsid w:val="002B31DF"/>
    <w:rsid w:val="002B3390"/>
    <w:rsid w:val="002B3443"/>
    <w:rsid w:val="002B3627"/>
    <w:rsid w:val="002B37CC"/>
    <w:rsid w:val="002B4376"/>
    <w:rsid w:val="002B4811"/>
    <w:rsid w:val="002B4F86"/>
    <w:rsid w:val="002B5DA6"/>
    <w:rsid w:val="002B6B9F"/>
    <w:rsid w:val="002B6E05"/>
    <w:rsid w:val="002B7004"/>
    <w:rsid w:val="002B71B5"/>
    <w:rsid w:val="002B721B"/>
    <w:rsid w:val="002B7660"/>
    <w:rsid w:val="002B798C"/>
    <w:rsid w:val="002C0514"/>
    <w:rsid w:val="002C0A3E"/>
    <w:rsid w:val="002C163B"/>
    <w:rsid w:val="002C179F"/>
    <w:rsid w:val="002C18B2"/>
    <w:rsid w:val="002C1DD4"/>
    <w:rsid w:val="002C1DDC"/>
    <w:rsid w:val="002C1F2A"/>
    <w:rsid w:val="002C200C"/>
    <w:rsid w:val="002C2E08"/>
    <w:rsid w:val="002C320F"/>
    <w:rsid w:val="002C35DA"/>
    <w:rsid w:val="002C3635"/>
    <w:rsid w:val="002C3DC8"/>
    <w:rsid w:val="002C4D20"/>
    <w:rsid w:val="002C4E69"/>
    <w:rsid w:val="002C52FC"/>
    <w:rsid w:val="002C7157"/>
    <w:rsid w:val="002C7D2F"/>
    <w:rsid w:val="002C7EF2"/>
    <w:rsid w:val="002C7FE9"/>
    <w:rsid w:val="002D03C6"/>
    <w:rsid w:val="002D068D"/>
    <w:rsid w:val="002D07E7"/>
    <w:rsid w:val="002D1512"/>
    <w:rsid w:val="002D2267"/>
    <w:rsid w:val="002D2331"/>
    <w:rsid w:val="002D2740"/>
    <w:rsid w:val="002D2807"/>
    <w:rsid w:val="002D2B25"/>
    <w:rsid w:val="002D2DC7"/>
    <w:rsid w:val="002D3134"/>
    <w:rsid w:val="002D3534"/>
    <w:rsid w:val="002D36B3"/>
    <w:rsid w:val="002D384E"/>
    <w:rsid w:val="002D4A8A"/>
    <w:rsid w:val="002D4EFD"/>
    <w:rsid w:val="002D6649"/>
    <w:rsid w:val="002D6D9A"/>
    <w:rsid w:val="002E02FD"/>
    <w:rsid w:val="002E0722"/>
    <w:rsid w:val="002E0825"/>
    <w:rsid w:val="002E1697"/>
    <w:rsid w:val="002E17E2"/>
    <w:rsid w:val="002E1E05"/>
    <w:rsid w:val="002E2F03"/>
    <w:rsid w:val="002E3BAD"/>
    <w:rsid w:val="002E4181"/>
    <w:rsid w:val="002E42EE"/>
    <w:rsid w:val="002E4C0E"/>
    <w:rsid w:val="002E54A5"/>
    <w:rsid w:val="002E54B0"/>
    <w:rsid w:val="002E5814"/>
    <w:rsid w:val="002E5A9F"/>
    <w:rsid w:val="002E5D70"/>
    <w:rsid w:val="002E6B70"/>
    <w:rsid w:val="002E6E0E"/>
    <w:rsid w:val="002E74D2"/>
    <w:rsid w:val="002E75FE"/>
    <w:rsid w:val="002E780A"/>
    <w:rsid w:val="002E7EA7"/>
    <w:rsid w:val="002F0111"/>
    <w:rsid w:val="002F04E3"/>
    <w:rsid w:val="002F05CB"/>
    <w:rsid w:val="002F0D2D"/>
    <w:rsid w:val="002F155F"/>
    <w:rsid w:val="002F1840"/>
    <w:rsid w:val="002F1B5E"/>
    <w:rsid w:val="002F1BEE"/>
    <w:rsid w:val="002F2750"/>
    <w:rsid w:val="002F338D"/>
    <w:rsid w:val="002F3F42"/>
    <w:rsid w:val="002F480E"/>
    <w:rsid w:val="002F5361"/>
    <w:rsid w:val="002F568F"/>
    <w:rsid w:val="002F6FF3"/>
    <w:rsid w:val="002F737C"/>
    <w:rsid w:val="002F74B1"/>
    <w:rsid w:val="002F756F"/>
    <w:rsid w:val="002F7791"/>
    <w:rsid w:val="002F7C22"/>
    <w:rsid w:val="003007C4"/>
    <w:rsid w:val="00300F05"/>
    <w:rsid w:val="003011D6"/>
    <w:rsid w:val="003018FF"/>
    <w:rsid w:val="003019FB"/>
    <w:rsid w:val="00301FBD"/>
    <w:rsid w:val="0030232B"/>
    <w:rsid w:val="0030239A"/>
    <w:rsid w:val="00302E67"/>
    <w:rsid w:val="00303659"/>
    <w:rsid w:val="00304382"/>
    <w:rsid w:val="00305386"/>
    <w:rsid w:val="00305B87"/>
    <w:rsid w:val="0030650E"/>
    <w:rsid w:val="00306B53"/>
    <w:rsid w:val="00307408"/>
    <w:rsid w:val="003075EB"/>
    <w:rsid w:val="003079F2"/>
    <w:rsid w:val="00307BDA"/>
    <w:rsid w:val="00310E5B"/>
    <w:rsid w:val="00311550"/>
    <w:rsid w:val="0031192C"/>
    <w:rsid w:val="00311C88"/>
    <w:rsid w:val="00312322"/>
    <w:rsid w:val="0031237B"/>
    <w:rsid w:val="003125CE"/>
    <w:rsid w:val="00312631"/>
    <w:rsid w:val="003127CA"/>
    <w:rsid w:val="00312E61"/>
    <w:rsid w:val="0031317C"/>
    <w:rsid w:val="00313582"/>
    <w:rsid w:val="00314064"/>
    <w:rsid w:val="0031420A"/>
    <w:rsid w:val="0031521D"/>
    <w:rsid w:val="0031537C"/>
    <w:rsid w:val="00315EB4"/>
    <w:rsid w:val="00316071"/>
    <w:rsid w:val="003165E8"/>
    <w:rsid w:val="003166C7"/>
    <w:rsid w:val="003167AD"/>
    <w:rsid w:val="00316CAD"/>
    <w:rsid w:val="00317124"/>
    <w:rsid w:val="0031729F"/>
    <w:rsid w:val="00317731"/>
    <w:rsid w:val="00317A75"/>
    <w:rsid w:val="00317E7B"/>
    <w:rsid w:val="00320BB3"/>
    <w:rsid w:val="003217B4"/>
    <w:rsid w:val="00321E5B"/>
    <w:rsid w:val="00322048"/>
    <w:rsid w:val="0032212E"/>
    <w:rsid w:val="00323246"/>
    <w:rsid w:val="003241C6"/>
    <w:rsid w:val="003242A3"/>
    <w:rsid w:val="0032498F"/>
    <w:rsid w:val="003249CD"/>
    <w:rsid w:val="003249ED"/>
    <w:rsid w:val="00325046"/>
    <w:rsid w:val="0032555C"/>
    <w:rsid w:val="00325870"/>
    <w:rsid w:val="0032693F"/>
    <w:rsid w:val="0032698D"/>
    <w:rsid w:val="003269E2"/>
    <w:rsid w:val="00326B90"/>
    <w:rsid w:val="00326DB1"/>
    <w:rsid w:val="003273B9"/>
    <w:rsid w:val="003277D1"/>
    <w:rsid w:val="003278E2"/>
    <w:rsid w:val="00330687"/>
    <w:rsid w:val="00330732"/>
    <w:rsid w:val="00330927"/>
    <w:rsid w:val="00330D15"/>
    <w:rsid w:val="00330D7D"/>
    <w:rsid w:val="00330F6D"/>
    <w:rsid w:val="00331378"/>
    <w:rsid w:val="00332529"/>
    <w:rsid w:val="00332E84"/>
    <w:rsid w:val="00333574"/>
    <w:rsid w:val="00334AAA"/>
    <w:rsid w:val="00334DCF"/>
    <w:rsid w:val="00334F36"/>
    <w:rsid w:val="003356CF"/>
    <w:rsid w:val="003356DF"/>
    <w:rsid w:val="00336B24"/>
    <w:rsid w:val="00336D2B"/>
    <w:rsid w:val="003370E6"/>
    <w:rsid w:val="0033728E"/>
    <w:rsid w:val="003376BB"/>
    <w:rsid w:val="00337747"/>
    <w:rsid w:val="00337772"/>
    <w:rsid w:val="00337B49"/>
    <w:rsid w:val="00340002"/>
    <w:rsid w:val="00340B26"/>
    <w:rsid w:val="00340C7B"/>
    <w:rsid w:val="00341AA3"/>
    <w:rsid w:val="00341CAB"/>
    <w:rsid w:val="00341D9B"/>
    <w:rsid w:val="00341DAB"/>
    <w:rsid w:val="00341FEF"/>
    <w:rsid w:val="00343672"/>
    <w:rsid w:val="0034390F"/>
    <w:rsid w:val="003439AD"/>
    <w:rsid w:val="00343B49"/>
    <w:rsid w:val="00343C79"/>
    <w:rsid w:val="00343E5C"/>
    <w:rsid w:val="00343FA1"/>
    <w:rsid w:val="003447E3"/>
    <w:rsid w:val="003454FB"/>
    <w:rsid w:val="00346A07"/>
    <w:rsid w:val="003473F9"/>
    <w:rsid w:val="00347BA4"/>
    <w:rsid w:val="0034960F"/>
    <w:rsid w:val="0035006C"/>
    <w:rsid w:val="00350076"/>
    <w:rsid w:val="003502CA"/>
    <w:rsid w:val="00350BDA"/>
    <w:rsid w:val="00351712"/>
    <w:rsid w:val="003518E4"/>
    <w:rsid w:val="00351982"/>
    <w:rsid w:val="0035260E"/>
    <w:rsid w:val="00352653"/>
    <w:rsid w:val="00352B93"/>
    <w:rsid w:val="00352DD7"/>
    <w:rsid w:val="003531FE"/>
    <w:rsid w:val="003532C3"/>
    <w:rsid w:val="00353850"/>
    <w:rsid w:val="00353DCD"/>
    <w:rsid w:val="00354630"/>
    <w:rsid w:val="00354919"/>
    <w:rsid w:val="00354B93"/>
    <w:rsid w:val="00354B96"/>
    <w:rsid w:val="00354C1F"/>
    <w:rsid w:val="00355826"/>
    <w:rsid w:val="00355FB2"/>
    <w:rsid w:val="0035660C"/>
    <w:rsid w:val="0035681A"/>
    <w:rsid w:val="003568B3"/>
    <w:rsid w:val="003576C3"/>
    <w:rsid w:val="0036017B"/>
    <w:rsid w:val="0036020A"/>
    <w:rsid w:val="003606C4"/>
    <w:rsid w:val="00360763"/>
    <w:rsid w:val="0036089A"/>
    <w:rsid w:val="00362398"/>
    <w:rsid w:val="003626F3"/>
    <w:rsid w:val="00362755"/>
    <w:rsid w:val="0036295B"/>
    <w:rsid w:val="00363083"/>
    <w:rsid w:val="003634B2"/>
    <w:rsid w:val="00363C20"/>
    <w:rsid w:val="00363EDB"/>
    <w:rsid w:val="00363FFF"/>
    <w:rsid w:val="0036425E"/>
    <w:rsid w:val="003642AF"/>
    <w:rsid w:val="00364ADF"/>
    <w:rsid w:val="00364B30"/>
    <w:rsid w:val="00364D11"/>
    <w:rsid w:val="003658CE"/>
    <w:rsid w:val="00366000"/>
    <w:rsid w:val="00366BFD"/>
    <w:rsid w:val="00366DF1"/>
    <w:rsid w:val="003705BE"/>
    <w:rsid w:val="00370A36"/>
    <w:rsid w:val="00371F94"/>
    <w:rsid w:val="00371FBB"/>
    <w:rsid w:val="00371FCD"/>
    <w:rsid w:val="00372850"/>
    <w:rsid w:val="00372921"/>
    <w:rsid w:val="0037297E"/>
    <w:rsid w:val="00372BC6"/>
    <w:rsid w:val="0037339D"/>
    <w:rsid w:val="00373B93"/>
    <w:rsid w:val="00373E96"/>
    <w:rsid w:val="003740C0"/>
    <w:rsid w:val="00374846"/>
    <w:rsid w:val="003752F2"/>
    <w:rsid w:val="003753DE"/>
    <w:rsid w:val="003768DD"/>
    <w:rsid w:val="00376B0A"/>
    <w:rsid w:val="00377501"/>
    <w:rsid w:val="00377610"/>
    <w:rsid w:val="0038012D"/>
    <w:rsid w:val="003802E9"/>
    <w:rsid w:val="003813D2"/>
    <w:rsid w:val="0038146B"/>
    <w:rsid w:val="00381C95"/>
    <w:rsid w:val="00381DDE"/>
    <w:rsid w:val="003823F8"/>
    <w:rsid w:val="00382889"/>
    <w:rsid w:val="003833BD"/>
    <w:rsid w:val="003844F4"/>
    <w:rsid w:val="00384B7E"/>
    <w:rsid w:val="00385A2E"/>
    <w:rsid w:val="00385E39"/>
    <w:rsid w:val="003863F2"/>
    <w:rsid w:val="003868F2"/>
    <w:rsid w:val="003868F4"/>
    <w:rsid w:val="00386E59"/>
    <w:rsid w:val="003870D9"/>
    <w:rsid w:val="00387E45"/>
    <w:rsid w:val="00387F5B"/>
    <w:rsid w:val="003901A8"/>
    <w:rsid w:val="003905D3"/>
    <w:rsid w:val="003909D7"/>
    <w:rsid w:val="00391012"/>
    <w:rsid w:val="003910FB"/>
    <w:rsid w:val="00391787"/>
    <w:rsid w:val="0039200F"/>
    <w:rsid w:val="003923FE"/>
    <w:rsid w:val="00392512"/>
    <w:rsid w:val="0039292D"/>
    <w:rsid w:val="00392FE0"/>
    <w:rsid w:val="003944B9"/>
    <w:rsid w:val="003945E8"/>
    <w:rsid w:val="003945FF"/>
    <w:rsid w:val="00394FC5"/>
    <w:rsid w:val="00395364"/>
    <w:rsid w:val="00395542"/>
    <w:rsid w:val="00396933"/>
    <w:rsid w:val="00396E5D"/>
    <w:rsid w:val="00396FEC"/>
    <w:rsid w:val="00397119"/>
    <w:rsid w:val="00397FD4"/>
    <w:rsid w:val="00397FE9"/>
    <w:rsid w:val="003A08DB"/>
    <w:rsid w:val="003A096A"/>
    <w:rsid w:val="003A0A74"/>
    <w:rsid w:val="003A0CA7"/>
    <w:rsid w:val="003A0D91"/>
    <w:rsid w:val="003A1BAE"/>
    <w:rsid w:val="003A1BC0"/>
    <w:rsid w:val="003A20EB"/>
    <w:rsid w:val="003A21E7"/>
    <w:rsid w:val="003A3822"/>
    <w:rsid w:val="003A38F0"/>
    <w:rsid w:val="003A423B"/>
    <w:rsid w:val="003A47E3"/>
    <w:rsid w:val="003A5F95"/>
    <w:rsid w:val="003A72E6"/>
    <w:rsid w:val="003A77EA"/>
    <w:rsid w:val="003A79A6"/>
    <w:rsid w:val="003A7C6B"/>
    <w:rsid w:val="003A7FCE"/>
    <w:rsid w:val="003B08A9"/>
    <w:rsid w:val="003B0C6A"/>
    <w:rsid w:val="003B0CFC"/>
    <w:rsid w:val="003B0E9E"/>
    <w:rsid w:val="003B1802"/>
    <w:rsid w:val="003B1C59"/>
    <w:rsid w:val="003B2975"/>
    <w:rsid w:val="003B2B05"/>
    <w:rsid w:val="003B4513"/>
    <w:rsid w:val="003B48B6"/>
    <w:rsid w:val="003B508C"/>
    <w:rsid w:val="003B5C00"/>
    <w:rsid w:val="003B662B"/>
    <w:rsid w:val="003B72FA"/>
    <w:rsid w:val="003B733F"/>
    <w:rsid w:val="003B7385"/>
    <w:rsid w:val="003B7B65"/>
    <w:rsid w:val="003C0390"/>
    <w:rsid w:val="003C050A"/>
    <w:rsid w:val="003C0EA0"/>
    <w:rsid w:val="003C1325"/>
    <w:rsid w:val="003C184C"/>
    <w:rsid w:val="003C1B83"/>
    <w:rsid w:val="003C1CAA"/>
    <w:rsid w:val="003C240A"/>
    <w:rsid w:val="003C2BB7"/>
    <w:rsid w:val="003C32DF"/>
    <w:rsid w:val="003C393B"/>
    <w:rsid w:val="003C40D5"/>
    <w:rsid w:val="003C46C4"/>
    <w:rsid w:val="003C4D2D"/>
    <w:rsid w:val="003C57DE"/>
    <w:rsid w:val="003C5FF4"/>
    <w:rsid w:val="003C686F"/>
    <w:rsid w:val="003C6968"/>
    <w:rsid w:val="003C6C86"/>
    <w:rsid w:val="003C6F2F"/>
    <w:rsid w:val="003C70F1"/>
    <w:rsid w:val="003C7262"/>
    <w:rsid w:val="003D029C"/>
    <w:rsid w:val="003D04C1"/>
    <w:rsid w:val="003D0B01"/>
    <w:rsid w:val="003D0D0E"/>
    <w:rsid w:val="003D10BA"/>
    <w:rsid w:val="003D13CF"/>
    <w:rsid w:val="003D1846"/>
    <w:rsid w:val="003D1857"/>
    <w:rsid w:val="003D18A3"/>
    <w:rsid w:val="003D19C3"/>
    <w:rsid w:val="003D2058"/>
    <w:rsid w:val="003D2391"/>
    <w:rsid w:val="003D2470"/>
    <w:rsid w:val="003D25BD"/>
    <w:rsid w:val="003D27A7"/>
    <w:rsid w:val="003D3226"/>
    <w:rsid w:val="003D34CF"/>
    <w:rsid w:val="003D3514"/>
    <w:rsid w:val="003D355B"/>
    <w:rsid w:val="003D3871"/>
    <w:rsid w:val="003D425D"/>
    <w:rsid w:val="003D447A"/>
    <w:rsid w:val="003D4795"/>
    <w:rsid w:val="003D5481"/>
    <w:rsid w:val="003D59EC"/>
    <w:rsid w:val="003D661A"/>
    <w:rsid w:val="003D68A7"/>
    <w:rsid w:val="003D6C47"/>
    <w:rsid w:val="003D7187"/>
    <w:rsid w:val="003D78B7"/>
    <w:rsid w:val="003D7CEB"/>
    <w:rsid w:val="003E05DB"/>
    <w:rsid w:val="003E0E74"/>
    <w:rsid w:val="003E1110"/>
    <w:rsid w:val="003E14B2"/>
    <w:rsid w:val="003E1CD9"/>
    <w:rsid w:val="003E22E8"/>
    <w:rsid w:val="003E2A08"/>
    <w:rsid w:val="003E2E49"/>
    <w:rsid w:val="003E2E89"/>
    <w:rsid w:val="003E2EBB"/>
    <w:rsid w:val="003E30CD"/>
    <w:rsid w:val="003E3223"/>
    <w:rsid w:val="003E3EE8"/>
    <w:rsid w:val="003E41CF"/>
    <w:rsid w:val="003E435F"/>
    <w:rsid w:val="003E46DA"/>
    <w:rsid w:val="003E558D"/>
    <w:rsid w:val="003E5F3A"/>
    <w:rsid w:val="003E65F7"/>
    <w:rsid w:val="003E6C41"/>
    <w:rsid w:val="003E7297"/>
    <w:rsid w:val="003E72A2"/>
    <w:rsid w:val="003E760F"/>
    <w:rsid w:val="003E7BAD"/>
    <w:rsid w:val="003E7C9F"/>
    <w:rsid w:val="003E7FCF"/>
    <w:rsid w:val="003F01BF"/>
    <w:rsid w:val="003F0544"/>
    <w:rsid w:val="003F1C93"/>
    <w:rsid w:val="003F1CA3"/>
    <w:rsid w:val="003F200F"/>
    <w:rsid w:val="003F2609"/>
    <w:rsid w:val="003F2EA8"/>
    <w:rsid w:val="003F2F70"/>
    <w:rsid w:val="003F335F"/>
    <w:rsid w:val="003F37F4"/>
    <w:rsid w:val="003F3E86"/>
    <w:rsid w:val="003F3FF4"/>
    <w:rsid w:val="003F4329"/>
    <w:rsid w:val="003F450D"/>
    <w:rsid w:val="003F4AC9"/>
    <w:rsid w:val="003F63F8"/>
    <w:rsid w:val="003F65F9"/>
    <w:rsid w:val="003F76B1"/>
    <w:rsid w:val="003F7C83"/>
    <w:rsid w:val="003F7E57"/>
    <w:rsid w:val="0040008B"/>
    <w:rsid w:val="00400224"/>
    <w:rsid w:val="00400B73"/>
    <w:rsid w:val="00400D04"/>
    <w:rsid w:val="00400D3A"/>
    <w:rsid w:val="004010B5"/>
    <w:rsid w:val="00401425"/>
    <w:rsid w:val="0040295B"/>
    <w:rsid w:val="00402A6B"/>
    <w:rsid w:val="0040303E"/>
    <w:rsid w:val="00403398"/>
    <w:rsid w:val="00403669"/>
    <w:rsid w:val="00403FE4"/>
    <w:rsid w:val="0040401F"/>
    <w:rsid w:val="0040456D"/>
    <w:rsid w:val="004047B7"/>
    <w:rsid w:val="004052D5"/>
    <w:rsid w:val="00405632"/>
    <w:rsid w:val="0040618C"/>
    <w:rsid w:val="0040624D"/>
    <w:rsid w:val="00406ADF"/>
    <w:rsid w:val="00406E93"/>
    <w:rsid w:val="004074EB"/>
    <w:rsid w:val="0040780C"/>
    <w:rsid w:val="00407EAD"/>
    <w:rsid w:val="0041062A"/>
    <w:rsid w:val="00410852"/>
    <w:rsid w:val="0041117A"/>
    <w:rsid w:val="0041211F"/>
    <w:rsid w:val="00412534"/>
    <w:rsid w:val="00412C7F"/>
    <w:rsid w:val="00412C83"/>
    <w:rsid w:val="00413155"/>
    <w:rsid w:val="004134DD"/>
    <w:rsid w:val="00413BA7"/>
    <w:rsid w:val="004146FC"/>
    <w:rsid w:val="00414D50"/>
    <w:rsid w:val="00415052"/>
    <w:rsid w:val="0041522B"/>
    <w:rsid w:val="004157F8"/>
    <w:rsid w:val="00415A9A"/>
    <w:rsid w:val="004161F7"/>
    <w:rsid w:val="004165C3"/>
    <w:rsid w:val="004168FB"/>
    <w:rsid w:val="00416B73"/>
    <w:rsid w:val="00417022"/>
    <w:rsid w:val="00417160"/>
    <w:rsid w:val="004172A1"/>
    <w:rsid w:val="00420918"/>
    <w:rsid w:val="00420B3F"/>
    <w:rsid w:val="00420D83"/>
    <w:rsid w:val="004219C1"/>
    <w:rsid w:val="0042204B"/>
    <w:rsid w:val="00422400"/>
    <w:rsid w:val="00422634"/>
    <w:rsid w:val="004228E8"/>
    <w:rsid w:val="00422B0E"/>
    <w:rsid w:val="00422EC0"/>
    <w:rsid w:val="00423601"/>
    <w:rsid w:val="00424189"/>
    <w:rsid w:val="00425512"/>
    <w:rsid w:val="00425589"/>
    <w:rsid w:val="004257F1"/>
    <w:rsid w:val="00425D03"/>
    <w:rsid w:val="00426014"/>
    <w:rsid w:val="004268D7"/>
    <w:rsid w:val="00426E8D"/>
    <w:rsid w:val="00427BCD"/>
    <w:rsid w:val="00430047"/>
    <w:rsid w:val="0043053C"/>
    <w:rsid w:val="0043057D"/>
    <w:rsid w:val="00430693"/>
    <w:rsid w:val="004306CE"/>
    <w:rsid w:val="00430CF3"/>
    <w:rsid w:val="00430DAB"/>
    <w:rsid w:val="00431356"/>
    <w:rsid w:val="0043149E"/>
    <w:rsid w:val="00431B06"/>
    <w:rsid w:val="00432B4E"/>
    <w:rsid w:val="00432B5F"/>
    <w:rsid w:val="00433AA1"/>
    <w:rsid w:val="0043410C"/>
    <w:rsid w:val="00434D50"/>
    <w:rsid w:val="004351F9"/>
    <w:rsid w:val="0043586E"/>
    <w:rsid w:val="004360AC"/>
    <w:rsid w:val="004362DA"/>
    <w:rsid w:val="00436317"/>
    <w:rsid w:val="00436BEA"/>
    <w:rsid w:val="00437348"/>
    <w:rsid w:val="0043769A"/>
    <w:rsid w:val="004378B3"/>
    <w:rsid w:val="00437BFD"/>
    <w:rsid w:val="00440464"/>
    <w:rsid w:val="004406B0"/>
    <w:rsid w:val="00440886"/>
    <w:rsid w:val="004410D0"/>
    <w:rsid w:val="004410F6"/>
    <w:rsid w:val="00441A4E"/>
    <w:rsid w:val="00441B41"/>
    <w:rsid w:val="00441F52"/>
    <w:rsid w:val="00442133"/>
    <w:rsid w:val="00442D7A"/>
    <w:rsid w:val="00443C53"/>
    <w:rsid w:val="00444DB4"/>
    <w:rsid w:val="00444E59"/>
    <w:rsid w:val="004456EB"/>
    <w:rsid w:val="00445AB6"/>
    <w:rsid w:val="00445E1C"/>
    <w:rsid w:val="00445E22"/>
    <w:rsid w:val="00446147"/>
    <w:rsid w:val="004461B0"/>
    <w:rsid w:val="0044701F"/>
    <w:rsid w:val="00447095"/>
    <w:rsid w:val="00447714"/>
    <w:rsid w:val="00447911"/>
    <w:rsid w:val="0044796C"/>
    <w:rsid w:val="00447C63"/>
    <w:rsid w:val="00450427"/>
    <w:rsid w:val="0045043A"/>
    <w:rsid w:val="00450E35"/>
    <w:rsid w:val="00450FD9"/>
    <w:rsid w:val="00451689"/>
    <w:rsid w:val="00452DB7"/>
    <w:rsid w:val="004530F1"/>
    <w:rsid w:val="0045385E"/>
    <w:rsid w:val="00453951"/>
    <w:rsid w:val="00453BF1"/>
    <w:rsid w:val="004554F6"/>
    <w:rsid w:val="004559E2"/>
    <w:rsid w:val="004575F7"/>
    <w:rsid w:val="00457BB0"/>
    <w:rsid w:val="0046008D"/>
    <w:rsid w:val="00460B7D"/>
    <w:rsid w:val="00460D45"/>
    <w:rsid w:val="00461E60"/>
    <w:rsid w:val="00462A97"/>
    <w:rsid w:val="00462E96"/>
    <w:rsid w:val="00462EEA"/>
    <w:rsid w:val="004633E9"/>
    <w:rsid w:val="004635A0"/>
    <w:rsid w:val="0046376A"/>
    <w:rsid w:val="00463B72"/>
    <w:rsid w:val="00463E61"/>
    <w:rsid w:val="004641D9"/>
    <w:rsid w:val="00464A64"/>
    <w:rsid w:val="00464B8B"/>
    <w:rsid w:val="00465169"/>
    <w:rsid w:val="00465298"/>
    <w:rsid w:val="004653A8"/>
    <w:rsid w:val="00465491"/>
    <w:rsid w:val="0046579C"/>
    <w:rsid w:val="004658C8"/>
    <w:rsid w:val="00465AAB"/>
    <w:rsid w:val="00466605"/>
    <w:rsid w:val="00466F53"/>
    <w:rsid w:val="0046721A"/>
    <w:rsid w:val="00467821"/>
    <w:rsid w:val="00467874"/>
    <w:rsid w:val="00470015"/>
    <w:rsid w:val="004714A4"/>
    <w:rsid w:val="004715F8"/>
    <w:rsid w:val="004724C7"/>
    <w:rsid w:val="0047271E"/>
    <w:rsid w:val="004737F5"/>
    <w:rsid w:val="00473C33"/>
    <w:rsid w:val="004744A5"/>
    <w:rsid w:val="004749D8"/>
    <w:rsid w:val="00475CDD"/>
    <w:rsid w:val="00475D4F"/>
    <w:rsid w:val="0047653D"/>
    <w:rsid w:val="0047682C"/>
    <w:rsid w:val="00476CE3"/>
    <w:rsid w:val="004774B5"/>
    <w:rsid w:val="00477934"/>
    <w:rsid w:val="00480CB0"/>
    <w:rsid w:val="00481691"/>
    <w:rsid w:val="00481A86"/>
    <w:rsid w:val="00482319"/>
    <w:rsid w:val="004829F1"/>
    <w:rsid w:val="00483F61"/>
    <w:rsid w:val="00484B5E"/>
    <w:rsid w:val="00484C07"/>
    <w:rsid w:val="00485F47"/>
    <w:rsid w:val="00485F91"/>
    <w:rsid w:val="00486D6F"/>
    <w:rsid w:val="00486EB7"/>
    <w:rsid w:val="00487C1F"/>
    <w:rsid w:val="004900BC"/>
    <w:rsid w:val="00491E9D"/>
    <w:rsid w:val="00493A49"/>
    <w:rsid w:val="00493FE4"/>
    <w:rsid w:val="00494A57"/>
    <w:rsid w:val="00494AD7"/>
    <w:rsid w:val="00495293"/>
    <w:rsid w:val="00495858"/>
    <w:rsid w:val="00495ED1"/>
    <w:rsid w:val="004960A9"/>
    <w:rsid w:val="004969CC"/>
    <w:rsid w:val="004A05EB"/>
    <w:rsid w:val="004A0664"/>
    <w:rsid w:val="004A0A72"/>
    <w:rsid w:val="004A0FFA"/>
    <w:rsid w:val="004A199D"/>
    <w:rsid w:val="004A2394"/>
    <w:rsid w:val="004A24EC"/>
    <w:rsid w:val="004A265B"/>
    <w:rsid w:val="004A27E9"/>
    <w:rsid w:val="004A2C9A"/>
    <w:rsid w:val="004A2D43"/>
    <w:rsid w:val="004A2E80"/>
    <w:rsid w:val="004A371C"/>
    <w:rsid w:val="004A3882"/>
    <w:rsid w:val="004A3D95"/>
    <w:rsid w:val="004A4088"/>
    <w:rsid w:val="004A4914"/>
    <w:rsid w:val="004A5370"/>
    <w:rsid w:val="004A53E8"/>
    <w:rsid w:val="004A62AE"/>
    <w:rsid w:val="004A6394"/>
    <w:rsid w:val="004A6607"/>
    <w:rsid w:val="004A7B3F"/>
    <w:rsid w:val="004B0244"/>
    <w:rsid w:val="004B13AB"/>
    <w:rsid w:val="004B18BA"/>
    <w:rsid w:val="004B1BAD"/>
    <w:rsid w:val="004B250C"/>
    <w:rsid w:val="004B2F42"/>
    <w:rsid w:val="004B3331"/>
    <w:rsid w:val="004B34EA"/>
    <w:rsid w:val="004B3E26"/>
    <w:rsid w:val="004B505B"/>
    <w:rsid w:val="004B5122"/>
    <w:rsid w:val="004B5419"/>
    <w:rsid w:val="004B5494"/>
    <w:rsid w:val="004B54CE"/>
    <w:rsid w:val="004B5883"/>
    <w:rsid w:val="004B5B77"/>
    <w:rsid w:val="004B5B7B"/>
    <w:rsid w:val="004B6375"/>
    <w:rsid w:val="004B66AA"/>
    <w:rsid w:val="004B6A94"/>
    <w:rsid w:val="004B6D55"/>
    <w:rsid w:val="004C0C8B"/>
    <w:rsid w:val="004C2290"/>
    <w:rsid w:val="004C2B25"/>
    <w:rsid w:val="004C2F5D"/>
    <w:rsid w:val="004C300F"/>
    <w:rsid w:val="004C347B"/>
    <w:rsid w:val="004C3A6F"/>
    <w:rsid w:val="004C4F5D"/>
    <w:rsid w:val="004C536E"/>
    <w:rsid w:val="004C6E8D"/>
    <w:rsid w:val="004C7012"/>
    <w:rsid w:val="004C705D"/>
    <w:rsid w:val="004C7138"/>
    <w:rsid w:val="004C7806"/>
    <w:rsid w:val="004C7D3A"/>
    <w:rsid w:val="004C7DC8"/>
    <w:rsid w:val="004D0534"/>
    <w:rsid w:val="004D1106"/>
    <w:rsid w:val="004D14D9"/>
    <w:rsid w:val="004D1861"/>
    <w:rsid w:val="004D22B2"/>
    <w:rsid w:val="004D22C1"/>
    <w:rsid w:val="004D2385"/>
    <w:rsid w:val="004D2A18"/>
    <w:rsid w:val="004D2CBD"/>
    <w:rsid w:val="004D2EBF"/>
    <w:rsid w:val="004D2ED6"/>
    <w:rsid w:val="004D330E"/>
    <w:rsid w:val="004D357F"/>
    <w:rsid w:val="004D3A66"/>
    <w:rsid w:val="004D3BD7"/>
    <w:rsid w:val="004D3D75"/>
    <w:rsid w:val="004D432F"/>
    <w:rsid w:val="004D457C"/>
    <w:rsid w:val="004D46F9"/>
    <w:rsid w:val="004D4D83"/>
    <w:rsid w:val="004D50C1"/>
    <w:rsid w:val="004D5103"/>
    <w:rsid w:val="004D5886"/>
    <w:rsid w:val="004D5BC9"/>
    <w:rsid w:val="004D60A1"/>
    <w:rsid w:val="004D6633"/>
    <w:rsid w:val="004D7073"/>
    <w:rsid w:val="004D70E7"/>
    <w:rsid w:val="004D762E"/>
    <w:rsid w:val="004D7EE3"/>
    <w:rsid w:val="004E0031"/>
    <w:rsid w:val="004E091F"/>
    <w:rsid w:val="004E0AA5"/>
    <w:rsid w:val="004E12B0"/>
    <w:rsid w:val="004E16A7"/>
    <w:rsid w:val="004E1E23"/>
    <w:rsid w:val="004E223B"/>
    <w:rsid w:val="004E2AD7"/>
    <w:rsid w:val="004E354D"/>
    <w:rsid w:val="004E3636"/>
    <w:rsid w:val="004E4648"/>
    <w:rsid w:val="004E4806"/>
    <w:rsid w:val="004E5088"/>
    <w:rsid w:val="004E51BC"/>
    <w:rsid w:val="004E543F"/>
    <w:rsid w:val="004E552B"/>
    <w:rsid w:val="004E57E0"/>
    <w:rsid w:val="004E6153"/>
    <w:rsid w:val="004E66B5"/>
    <w:rsid w:val="004E66ED"/>
    <w:rsid w:val="004E6D44"/>
    <w:rsid w:val="004E6EAB"/>
    <w:rsid w:val="004E7B71"/>
    <w:rsid w:val="004E7C0B"/>
    <w:rsid w:val="004E7D03"/>
    <w:rsid w:val="004F02C7"/>
    <w:rsid w:val="004F0AFE"/>
    <w:rsid w:val="004F0D11"/>
    <w:rsid w:val="004F1300"/>
    <w:rsid w:val="004F14E9"/>
    <w:rsid w:val="004F155E"/>
    <w:rsid w:val="004F1D8D"/>
    <w:rsid w:val="004F2AA8"/>
    <w:rsid w:val="004F3B8B"/>
    <w:rsid w:val="004F43EF"/>
    <w:rsid w:val="004F4568"/>
    <w:rsid w:val="004F473E"/>
    <w:rsid w:val="004F4970"/>
    <w:rsid w:val="004F4F9F"/>
    <w:rsid w:val="004F5213"/>
    <w:rsid w:val="004F58D1"/>
    <w:rsid w:val="004F5D4A"/>
    <w:rsid w:val="004F5DFB"/>
    <w:rsid w:val="004F61DD"/>
    <w:rsid w:val="004F67B3"/>
    <w:rsid w:val="004F6FA0"/>
    <w:rsid w:val="005013F3"/>
    <w:rsid w:val="005018A8"/>
    <w:rsid w:val="0050227B"/>
    <w:rsid w:val="00502B78"/>
    <w:rsid w:val="00503D97"/>
    <w:rsid w:val="00504FEC"/>
    <w:rsid w:val="00505A39"/>
    <w:rsid w:val="00505E00"/>
    <w:rsid w:val="00506527"/>
    <w:rsid w:val="00506F2C"/>
    <w:rsid w:val="005075C0"/>
    <w:rsid w:val="005078B5"/>
    <w:rsid w:val="00507CC6"/>
    <w:rsid w:val="00507D02"/>
    <w:rsid w:val="00510446"/>
    <w:rsid w:val="00511554"/>
    <w:rsid w:val="00511574"/>
    <w:rsid w:val="005115CA"/>
    <w:rsid w:val="00511728"/>
    <w:rsid w:val="00512210"/>
    <w:rsid w:val="0051223B"/>
    <w:rsid w:val="00512732"/>
    <w:rsid w:val="00512758"/>
    <w:rsid w:val="005129B3"/>
    <w:rsid w:val="00513EB2"/>
    <w:rsid w:val="00513F64"/>
    <w:rsid w:val="00514034"/>
    <w:rsid w:val="00514121"/>
    <w:rsid w:val="00514DAB"/>
    <w:rsid w:val="00515079"/>
    <w:rsid w:val="00515D49"/>
    <w:rsid w:val="00515FE2"/>
    <w:rsid w:val="0051650B"/>
    <w:rsid w:val="005166A9"/>
    <w:rsid w:val="00517C35"/>
    <w:rsid w:val="00517CE5"/>
    <w:rsid w:val="005221FE"/>
    <w:rsid w:val="00522C0C"/>
    <w:rsid w:val="005231EF"/>
    <w:rsid w:val="00523257"/>
    <w:rsid w:val="00523551"/>
    <w:rsid w:val="00523A1C"/>
    <w:rsid w:val="005240BF"/>
    <w:rsid w:val="00524A4E"/>
    <w:rsid w:val="005253E4"/>
    <w:rsid w:val="005255D3"/>
    <w:rsid w:val="00525C01"/>
    <w:rsid w:val="00526114"/>
    <w:rsid w:val="00526477"/>
    <w:rsid w:val="00526D24"/>
    <w:rsid w:val="0052705C"/>
    <w:rsid w:val="00527D10"/>
    <w:rsid w:val="00527DFF"/>
    <w:rsid w:val="00530373"/>
    <w:rsid w:val="00530AC1"/>
    <w:rsid w:val="00530C66"/>
    <w:rsid w:val="00530FDD"/>
    <w:rsid w:val="005316EB"/>
    <w:rsid w:val="00531AF4"/>
    <w:rsid w:val="005320AB"/>
    <w:rsid w:val="00532931"/>
    <w:rsid w:val="00532F99"/>
    <w:rsid w:val="005332A0"/>
    <w:rsid w:val="0053488C"/>
    <w:rsid w:val="0053538A"/>
    <w:rsid w:val="0053538B"/>
    <w:rsid w:val="00536999"/>
    <w:rsid w:val="00536B12"/>
    <w:rsid w:val="0053747F"/>
    <w:rsid w:val="00537B09"/>
    <w:rsid w:val="0054009F"/>
    <w:rsid w:val="005402F8"/>
    <w:rsid w:val="00540354"/>
    <w:rsid w:val="005403C3"/>
    <w:rsid w:val="00540842"/>
    <w:rsid w:val="005409D3"/>
    <w:rsid w:val="00540C53"/>
    <w:rsid w:val="00540E6A"/>
    <w:rsid w:val="005415DA"/>
    <w:rsid w:val="00543218"/>
    <w:rsid w:val="005439E3"/>
    <w:rsid w:val="00543CB4"/>
    <w:rsid w:val="00544287"/>
    <w:rsid w:val="005444E7"/>
    <w:rsid w:val="00544557"/>
    <w:rsid w:val="00544E48"/>
    <w:rsid w:val="00544EDA"/>
    <w:rsid w:val="00545CE8"/>
    <w:rsid w:val="00546171"/>
    <w:rsid w:val="005463A3"/>
    <w:rsid w:val="00546418"/>
    <w:rsid w:val="00546777"/>
    <w:rsid w:val="00546CBF"/>
    <w:rsid w:val="005471E6"/>
    <w:rsid w:val="0054EA43"/>
    <w:rsid w:val="005502D8"/>
    <w:rsid w:val="00552AB7"/>
    <w:rsid w:val="00553049"/>
    <w:rsid w:val="005530B5"/>
    <w:rsid w:val="005530C2"/>
    <w:rsid w:val="0055358F"/>
    <w:rsid w:val="0055376C"/>
    <w:rsid w:val="00553E85"/>
    <w:rsid w:val="00554003"/>
    <w:rsid w:val="00554490"/>
    <w:rsid w:val="005545C0"/>
    <w:rsid w:val="00554BD3"/>
    <w:rsid w:val="00554DDB"/>
    <w:rsid w:val="0055596B"/>
    <w:rsid w:val="00555C0B"/>
    <w:rsid w:val="005573A0"/>
    <w:rsid w:val="005574E4"/>
    <w:rsid w:val="00557B8F"/>
    <w:rsid w:val="00557EBE"/>
    <w:rsid w:val="0056033F"/>
    <w:rsid w:val="00560CEE"/>
    <w:rsid w:val="00560FFC"/>
    <w:rsid w:val="00561502"/>
    <w:rsid w:val="0056168B"/>
    <w:rsid w:val="00562022"/>
    <w:rsid w:val="00562518"/>
    <w:rsid w:val="0056278C"/>
    <w:rsid w:val="00563070"/>
    <w:rsid w:val="005645D5"/>
    <w:rsid w:val="005647EF"/>
    <w:rsid w:val="00565989"/>
    <w:rsid w:val="00565B13"/>
    <w:rsid w:val="00566296"/>
    <w:rsid w:val="00566D3B"/>
    <w:rsid w:val="00566DBF"/>
    <w:rsid w:val="00566F59"/>
    <w:rsid w:val="005670F2"/>
    <w:rsid w:val="005672D6"/>
    <w:rsid w:val="00567631"/>
    <w:rsid w:val="00570380"/>
    <w:rsid w:val="0057070D"/>
    <w:rsid w:val="00570994"/>
    <w:rsid w:val="00570AA9"/>
    <w:rsid w:val="00570B10"/>
    <w:rsid w:val="00571119"/>
    <w:rsid w:val="00571284"/>
    <w:rsid w:val="00571E04"/>
    <w:rsid w:val="00572753"/>
    <w:rsid w:val="00572E54"/>
    <w:rsid w:val="00572E8D"/>
    <w:rsid w:val="00572FF2"/>
    <w:rsid w:val="0057305E"/>
    <w:rsid w:val="0057333C"/>
    <w:rsid w:val="00573375"/>
    <w:rsid w:val="005738D4"/>
    <w:rsid w:val="005744D5"/>
    <w:rsid w:val="00574AFA"/>
    <w:rsid w:val="00574B2F"/>
    <w:rsid w:val="00574CEF"/>
    <w:rsid w:val="00574FE6"/>
    <w:rsid w:val="005750E1"/>
    <w:rsid w:val="00575337"/>
    <w:rsid w:val="00575486"/>
    <w:rsid w:val="00575D50"/>
    <w:rsid w:val="00576017"/>
    <w:rsid w:val="00577006"/>
    <w:rsid w:val="0057752D"/>
    <w:rsid w:val="00577B86"/>
    <w:rsid w:val="00577FCC"/>
    <w:rsid w:val="005800A1"/>
    <w:rsid w:val="00580A11"/>
    <w:rsid w:val="00581145"/>
    <w:rsid w:val="005812AA"/>
    <w:rsid w:val="00581A56"/>
    <w:rsid w:val="00581A9D"/>
    <w:rsid w:val="005824B4"/>
    <w:rsid w:val="005824FE"/>
    <w:rsid w:val="005826D3"/>
    <w:rsid w:val="005827A5"/>
    <w:rsid w:val="00582C61"/>
    <w:rsid w:val="0058343B"/>
    <w:rsid w:val="005834A9"/>
    <w:rsid w:val="005836BF"/>
    <w:rsid w:val="00583A5D"/>
    <w:rsid w:val="00584330"/>
    <w:rsid w:val="005846D0"/>
    <w:rsid w:val="00584F22"/>
    <w:rsid w:val="005850C4"/>
    <w:rsid w:val="00585390"/>
    <w:rsid w:val="00585E33"/>
    <w:rsid w:val="00586105"/>
    <w:rsid w:val="005862A1"/>
    <w:rsid w:val="00586733"/>
    <w:rsid w:val="005869C2"/>
    <w:rsid w:val="00586AA9"/>
    <w:rsid w:val="00586B56"/>
    <w:rsid w:val="00587231"/>
    <w:rsid w:val="00587A87"/>
    <w:rsid w:val="00590943"/>
    <w:rsid w:val="00590CD1"/>
    <w:rsid w:val="0059184C"/>
    <w:rsid w:val="0059202B"/>
    <w:rsid w:val="005920C7"/>
    <w:rsid w:val="00592554"/>
    <w:rsid w:val="00592777"/>
    <w:rsid w:val="00592835"/>
    <w:rsid w:val="00593131"/>
    <w:rsid w:val="00593236"/>
    <w:rsid w:val="005939A5"/>
    <w:rsid w:val="00593AC7"/>
    <w:rsid w:val="005941F2"/>
    <w:rsid w:val="005942BB"/>
    <w:rsid w:val="0059457C"/>
    <w:rsid w:val="00594F2F"/>
    <w:rsid w:val="0059564B"/>
    <w:rsid w:val="00595C71"/>
    <w:rsid w:val="00596250"/>
    <w:rsid w:val="0059697E"/>
    <w:rsid w:val="00596A1F"/>
    <w:rsid w:val="00597272"/>
    <w:rsid w:val="00597A95"/>
    <w:rsid w:val="00597B1F"/>
    <w:rsid w:val="005A0884"/>
    <w:rsid w:val="005A1033"/>
    <w:rsid w:val="005A148C"/>
    <w:rsid w:val="005A175C"/>
    <w:rsid w:val="005A1D8B"/>
    <w:rsid w:val="005A21D9"/>
    <w:rsid w:val="005A21FA"/>
    <w:rsid w:val="005A23A6"/>
    <w:rsid w:val="005A2C1F"/>
    <w:rsid w:val="005A2C43"/>
    <w:rsid w:val="005A2E65"/>
    <w:rsid w:val="005A3210"/>
    <w:rsid w:val="005A3360"/>
    <w:rsid w:val="005A3DF0"/>
    <w:rsid w:val="005A427B"/>
    <w:rsid w:val="005A4433"/>
    <w:rsid w:val="005A46F0"/>
    <w:rsid w:val="005A4C82"/>
    <w:rsid w:val="005A5003"/>
    <w:rsid w:val="005A59EA"/>
    <w:rsid w:val="005A6F3B"/>
    <w:rsid w:val="005A7BC6"/>
    <w:rsid w:val="005A7D17"/>
    <w:rsid w:val="005B004C"/>
    <w:rsid w:val="005B14D3"/>
    <w:rsid w:val="005B1729"/>
    <w:rsid w:val="005B222A"/>
    <w:rsid w:val="005B22B2"/>
    <w:rsid w:val="005B27E2"/>
    <w:rsid w:val="005B29BF"/>
    <w:rsid w:val="005B2DD2"/>
    <w:rsid w:val="005B33D3"/>
    <w:rsid w:val="005B3D3F"/>
    <w:rsid w:val="005B3F38"/>
    <w:rsid w:val="005B4764"/>
    <w:rsid w:val="005B4951"/>
    <w:rsid w:val="005B4BD4"/>
    <w:rsid w:val="005B4BEA"/>
    <w:rsid w:val="005B4C61"/>
    <w:rsid w:val="005B4F60"/>
    <w:rsid w:val="005B50EA"/>
    <w:rsid w:val="005B668E"/>
    <w:rsid w:val="005B6788"/>
    <w:rsid w:val="005C064B"/>
    <w:rsid w:val="005C127D"/>
    <w:rsid w:val="005C16FF"/>
    <w:rsid w:val="005C1B82"/>
    <w:rsid w:val="005C1FDA"/>
    <w:rsid w:val="005C2856"/>
    <w:rsid w:val="005C2DDD"/>
    <w:rsid w:val="005C2E9A"/>
    <w:rsid w:val="005C3346"/>
    <w:rsid w:val="005C3BE1"/>
    <w:rsid w:val="005C3EDD"/>
    <w:rsid w:val="005C4559"/>
    <w:rsid w:val="005C49BA"/>
    <w:rsid w:val="005C71FF"/>
    <w:rsid w:val="005C780D"/>
    <w:rsid w:val="005C7BF8"/>
    <w:rsid w:val="005C7D9B"/>
    <w:rsid w:val="005C7E3B"/>
    <w:rsid w:val="005D0176"/>
    <w:rsid w:val="005D0633"/>
    <w:rsid w:val="005D06EC"/>
    <w:rsid w:val="005D0719"/>
    <w:rsid w:val="005D08E7"/>
    <w:rsid w:val="005D0ED8"/>
    <w:rsid w:val="005D1BDD"/>
    <w:rsid w:val="005D1BE2"/>
    <w:rsid w:val="005D1E15"/>
    <w:rsid w:val="005D2B1C"/>
    <w:rsid w:val="005D2D3D"/>
    <w:rsid w:val="005D2D73"/>
    <w:rsid w:val="005D331C"/>
    <w:rsid w:val="005D34E9"/>
    <w:rsid w:val="005D35B5"/>
    <w:rsid w:val="005D44F4"/>
    <w:rsid w:val="005D4540"/>
    <w:rsid w:val="005D62F9"/>
    <w:rsid w:val="005D6486"/>
    <w:rsid w:val="005D6667"/>
    <w:rsid w:val="005D6B50"/>
    <w:rsid w:val="005D767A"/>
    <w:rsid w:val="005D7CFF"/>
    <w:rsid w:val="005D7DB5"/>
    <w:rsid w:val="005E0D6F"/>
    <w:rsid w:val="005E0D7A"/>
    <w:rsid w:val="005E10C2"/>
    <w:rsid w:val="005E16BC"/>
    <w:rsid w:val="005E198E"/>
    <w:rsid w:val="005E1AC2"/>
    <w:rsid w:val="005E1E10"/>
    <w:rsid w:val="005E2B70"/>
    <w:rsid w:val="005E32FF"/>
    <w:rsid w:val="005E33C1"/>
    <w:rsid w:val="005E408A"/>
    <w:rsid w:val="005E40CB"/>
    <w:rsid w:val="005E4279"/>
    <w:rsid w:val="005E4303"/>
    <w:rsid w:val="005E4391"/>
    <w:rsid w:val="005E43B5"/>
    <w:rsid w:val="005E48D2"/>
    <w:rsid w:val="005E5213"/>
    <w:rsid w:val="005E57B4"/>
    <w:rsid w:val="005E6397"/>
    <w:rsid w:val="005E6F44"/>
    <w:rsid w:val="005E70AD"/>
    <w:rsid w:val="005E73D5"/>
    <w:rsid w:val="005E7E34"/>
    <w:rsid w:val="005E7E85"/>
    <w:rsid w:val="005F0899"/>
    <w:rsid w:val="005F0E83"/>
    <w:rsid w:val="005F0F3D"/>
    <w:rsid w:val="005F0F7E"/>
    <w:rsid w:val="005F1654"/>
    <w:rsid w:val="005F1808"/>
    <w:rsid w:val="005F1D7C"/>
    <w:rsid w:val="005F1DF7"/>
    <w:rsid w:val="005F207A"/>
    <w:rsid w:val="005F28CB"/>
    <w:rsid w:val="005F2A3F"/>
    <w:rsid w:val="005F2A5C"/>
    <w:rsid w:val="005F2B09"/>
    <w:rsid w:val="005F2D54"/>
    <w:rsid w:val="005F3DD2"/>
    <w:rsid w:val="005F4805"/>
    <w:rsid w:val="005F4A08"/>
    <w:rsid w:val="005F4AB2"/>
    <w:rsid w:val="005F4DF0"/>
    <w:rsid w:val="005F4ECC"/>
    <w:rsid w:val="005F5160"/>
    <w:rsid w:val="005F579A"/>
    <w:rsid w:val="005F5A55"/>
    <w:rsid w:val="005F5B69"/>
    <w:rsid w:val="005F5D8C"/>
    <w:rsid w:val="005F68B9"/>
    <w:rsid w:val="005F6EB4"/>
    <w:rsid w:val="005F7816"/>
    <w:rsid w:val="0060122D"/>
    <w:rsid w:val="00601D19"/>
    <w:rsid w:val="00601F34"/>
    <w:rsid w:val="00602CC2"/>
    <w:rsid w:val="00603123"/>
    <w:rsid w:val="00603223"/>
    <w:rsid w:val="006043C5"/>
    <w:rsid w:val="00604573"/>
    <w:rsid w:val="00604726"/>
    <w:rsid w:val="00606DBB"/>
    <w:rsid w:val="00607140"/>
    <w:rsid w:val="0060725B"/>
    <w:rsid w:val="0060765E"/>
    <w:rsid w:val="00610044"/>
    <w:rsid w:val="00610809"/>
    <w:rsid w:val="00610D35"/>
    <w:rsid w:val="00610E52"/>
    <w:rsid w:val="00611204"/>
    <w:rsid w:val="00611A09"/>
    <w:rsid w:val="00612536"/>
    <w:rsid w:val="00612683"/>
    <w:rsid w:val="00612F8F"/>
    <w:rsid w:val="00613E80"/>
    <w:rsid w:val="0061489C"/>
    <w:rsid w:val="00614F9C"/>
    <w:rsid w:val="00615265"/>
    <w:rsid w:val="00615C58"/>
    <w:rsid w:val="00615ED5"/>
    <w:rsid w:val="0061607C"/>
    <w:rsid w:val="006161F8"/>
    <w:rsid w:val="006172EB"/>
    <w:rsid w:val="0061753C"/>
    <w:rsid w:val="006177AE"/>
    <w:rsid w:val="00620342"/>
    <w:rsid w:val="00620490"/>
    <w:rsid w:val="006207C4"/>
    <w:rsid w:val="00620A22"/>
    <w:rsid w:val="00620A68"/>
    <w:rsid w:val="00620EF7"/>
    <w:rsid w:val="00620F17"/>
    <w:rsid w:val="00621C34"/>
    <w:rsid w:val="00622891"/>
    <w:rsid w:val="006232A5"/>
    <w:rsid w:val="006232A7"/>
    <w:rsid w:val="0062332F"/>
    <w:rsid w:val="00623D27"/>
    <w:rsid w:val="00623EAB"/>
    <w:rsid w:val="00624116"/>
    <w:rsid w:val="00624480"/>
    <w:rsid w:val="006244D6"/>
    <w:rsid w:val="00624BCF"/>
    <w:rsid w:val="00624E04"/>
    <w:rsid w:val="00624E11"/>
    <w:rsid w:val="00624ED6"/>
    <w:rsid w:val="006250FA"/>
    <w:rsid w:val="00625477"/>
    <w:rsid w:val="00625C06"/>
    <w:rsid w:val="00626113"/>
    <w:rsid w:val="006268F4"/>
    <w:rsid w:val="00626A4F"/>
    <w:rsid w:val="00626BCB"/>
    <w:rsid w:val="00626DC4"/>
    <w:rsid w:val="00627C15"/>
    <w:rsid w:val="00627D0A"/>
    <w:rsid w:val="00630538"/>
    <w:rsid w:val="00630613"/>
    <w:rsid w:val="00630F15"/>
    <w:rsid w:val="00631407"/>
    <w:rsid w:val="006319FF"/>
    <w:rsid w:val="00631A02"/>
    <w:rsid w:val="00631AD7"/>
    <w:rsid w:val="00631D47"/>
    <w:rsid w:val="00632207"/>
    <w:rsid w:val="00632C0F"/>
    <w:rsid w:val="00634203"/>
    <w:rsid w:val="0063491C"/>
    <w:rsid w:val="00634BC9"/>
    <w:rsid w:val="00634FA8"/>
    <w:rsid w:val="006357B9"/>
    <w:rsid w:val="00635D81"/>
    <w:rsid w:val="00635F24"/>
    <w:rsid w:val="0063661A"/>
    <w:rsid w:val="006370B5"/>
    <w:rsid w:val="006374A8"/>
    <w:rsid w:val="00637512"/>
    <w:rsid w:val="00637A8D"/>
    <w:rsid w:val="00637E48"/>
    <w:rsid w:val="00637E49"/>
    <w:rsid w:val="0064017A"/>
    <w:rsid w:val="00640509"/>
    <w:rsid w:val="0064088B"/>
    <w:rsid w:val="00640BD1"/>
    <w:rsid w:val="00640E6C"/>
    <w:rsid w:val="006423E2"/>
    <w:rsid w:val="0064249D"/>
    <w:rsid w:val="00642679"/>
    <w:rsid w:val="00643907"/>
    <w:rsid w:val="00643A5D"/>
    <w:rsid w:val="00643C6D"/>
    <w:rsid w:val="00644F34"/>
    <w:rsid w:val="0064550A"/>
    <w:rsid w:val="00646506"/>
    <w:rsid w:val="006465E4"/>
    <w:rsid w:val="0064663F"/>
    <w:rsid w:val="006469A3"/>
    <w:rsid w:val="0064721D"/>
    <w:rsid w:val="00650473"/>
    <w:rsid w:val="00650AE4"/>
    <w:rsid w:val="00650B69"/>
    <w:rsid w:val="006512E1"/>
    <w:rsid w:val="00651330"/>
    <w:rsid w:val="00651C36"/>
    <w:rsid w:val="00651DCB"/>
    <w:rsid w:val="00651F01"/>
    <w:rsid w:val="00651F05"/>
    <w:rsid w:val="006523FE"/>
    <w:rsid w:val="0065254A"/>
    <w:rsid w:val="006547FD"/>
    <w:rsid w:val="00655152"/>
    <w:rsid w:val="00655213"/>
    <w:rsid w:val="00655B60"/>
    <w:rsid w:val="0065678B"/>
    <w:rsid w:val="00656BC9"/>
    <w:rsid w:val="00657C40"/>
    <w:rsid w:val="00657D99"/>
    <w:rsid w:val="00661B30"/>
    <w:rsid w:val="00661B76"/>
    <w:rsid w:val="00661B98"/>
    <w:rsid w:val="00661DC2"/>
    <w:rsid w:val="0066239E"/>
    <w:rsid w:val="00662C7E"/>
    <w:rsid w:val="00662F49"/>
    <w:rsid w:val="006630ED"/>
    <w:rsid w:val="00663E80"/>
    <w:rsid w:val="0066409B"/>
    <w:rsid w:val="006640A5"/>
    <w:rsid w:val="006642DE"/>
    <w:rsid w:val="00664A13"/>
    <w:rsid w:val="00664AA1"/>
    <w:rsid w:val="00664BE7"/>
    <w:rsid w:val="00665027"/>
    <w:rsid w:val="006656D0"/>
    <w:rsid w:val="00665CD7"/>
    <w:rsid w:val="00665E67"/>
    <w:rsid w:val="0066611D"/>
    <w:rsid w:val="006661A7"/>
    <w:rsid w:val="0066631C"/>
    <w:rsid w:val="00666B87"/>
    <w:rsid w:val="00666DBF"/>
    <w:rsid w:val="00666EF7"/>
    <w:rsid w:val="0066750A"/>
    <w:rsid w:val="006676A8"/>
    <w:rsid w:val="00667757"/>
    <w:rsid w:val="00670730"/>
    <w:rsid w:val="00670F5D"/>
    <w:rsid w:val="00671A20"/>
    <w:rsid w:val="006731C1"/>
    <w:rsid w:val="0067342F"/>
    <w:rsid w:val="00673F1D"/>
    <w:rsid w:val="00674056"/>
    <w:rsid w:val="006746FA"/>
    <w:rsid w:val="0067528A"/>
    <w:rsid w:val="00675A93"/>
    <w:rsid w:val="00675D04"/>
    <w:rsid w:val="0067756D"/>
    <w:rsid w:val="0068077C"/>
    <w:rsid w:val="00680A27"/>
    <w:rsid w:val="00681560"/>
    <w:rsid w:val="00681C1B"/>
    <w:rsid w:val="006820F2"/>
    <w:rsid w:val="00682640"/>
    <w:rsid w:val="006827EA"/>
    <w:rsid w:val="00682993"/>
    <w:rsid w:val="00682A7A"/>
    <w:rsid w:val="00683215"/>
    <w:rsid w:val="00683848"/>
    <w:rsid w:val="00684910"/>
    <w:rsid w:val="006861F5"/>
    <w:rsid w:val="006865E5"/>
    <w:rsid w:val="006867D4"/>
    <w:rsid w:val="00686E38"/>
    <w:rsid w:val="00686F02"/>
    <w:rsid w:val="00687096"/>
    <w:rsid w:val="00687538"/>
    <w:rsid w:val="00687A0C"/>
    <w:rsid w:val="00687BF2"/>
    <w:rsid w:val="00687F82"/>
    <w:rsid w:val="006909A0"/>
    <w:rsid w:val="00690D49"/>
    <w:rsid w:val="00690E64"/>
    <w:rsid w:val="00690F4C"/>
    <w:rsid w:val="0069192F"/>
    <w:rsid w:val="00692D6C"/>
    <w:rsid w:val="00693256"/>
    <w:rsid w:val="00693D4C"/>
    <w:rsid w:val="006941D1"/>
    <w:rsid w:val="00694582"/>
    <w:rsid w:val="00694728"/>
    <w:rsid w:val="006947A7"/>
    <w:rsid w:val="00694D71"/>
    <w:rsid w:val="00695279"/>
    <w:rsid w:val="00696060"/>
    <w:rsid w:val="0069659D"/>
    <w:rsid w:val="006965FC"/>
    <w:rsid w:val="00696FDE"/>
    <w:rsid w:val="006972F0"/>
    <w:rsid w:val="0069762E"/>
    <w:rsid w:val="006A02A9"/>
    <w:rsid w:val="006A1257"/>
    <w:rsid w:val="006A145B"/>
    <w:rsid w:val="006A243E"/>
    <w:rsid w:val="006A248F"/>
    <w:rsid w:val="006A2E90"/>
    <w:rsid w:val="006A2EBC"/>
    <w:rsid w:val="006A3212"/>
    <w:rsid w:val="006A3518"/>
    <w:rsid w:val="006A3733"/>
    <w:rsid w:val="006A38B0"/>
    <w:rsid w:val="006A3E66"/>
    <w:rsid w:val="006A3F07"/>
    <w:rsid w:val="006A47FC"/>
    <w:rsid w:val="006A4D7F"/>
    <w:rsid w:val="006A5DB0"/>
    <w:rsid w:val="006A5DDC"/>
    <w:rsid w:val="006A64F4"/>
    <w:rsid w:val="006A6AC0"/>
    <w:rsid w:val="006A6D37"/>
    <w:rsid w:val="006A768F"/>
    <w:rsid w:val="006A780B"/>
    <w:rsid w:val="006A79FA"/>
    <w:rsid w:val="006A7E4B"/>
    <w:rsid w:val="006A7EFA"/>
    <w:rsid w:val="006B0275"/>
    <w:rsid w:val="006B0297"/>
    <w:rsid w:val="006B0375"/>
    <w:rsid w:val="006B03A3"/>
    <w:rsid w:val="006B05B3"/>
    <w:rsid w:val="006B07E6"/>
    <w:rsid w:val="006B1101"/>
    <w:rsid w:val="006B12A9"/>
    <w:rsid w:val="006B192A"/>
    <w:rsid w:val="006B1CB8"/>
    <w:rsid w:val="006B1CF8"/>
    <w:rsid w:val="006B1E74"/>
    <w:rsid w:val="006B2034"/>
    <w:rsid w:val="006B21F4"/>
    <w:rsid w:val="006B2609"/>
    <w:rsid w:val="006B283B"/>
    <w:rsid w:val="006B2AED"/>
    <w:rsid w:val="006B2D8B"/>
    <w:rsid w:val="006B385E"/>
    <w:rsid w:val="006B3E45"/>
    <w:rsid w:val="006B58E9"/>
    <w:rsid w:val="006B5A6C"/>
    <w:rsid w:val="006B65CC"/>
    <w:rsid w:val="006B6C87"/>
    <w:rsid w:val="006B729A"/>
    <w:rsid w:val="006B750A"/>
    <w:rsid w:val="006C0D43"/>
    <w:rsid w:val="006C12D4"/>
    <w:rsid w:val="006C1458"/>
    <w:rsid w:val="006C186D"/>
    <w:rsid w:val="006C19F1"/>
    <w:rsid w:val="006C2416"/>
    <w:rsid w:val="006C28BB"/>
    <w:rsid w:val="006C32CF"/>
    <w:rsid w:val="006C5305"/>
    <w:rsid w:val="006C535F"/>
    <w:rsid w:val="006C5617"/>
    <w:rsid w:val="006C5EAE"/>
    <w:rsid w:val="006C601F"/>
    <w:rsid w:val="006C62C2"/>
    <w:rsid w:val="006C64FE"/>
    <w:rsid w:val="006C66EE"/>
    <w:rsid w:val="006C6A80"/>
    <w:rsid w:val="006C6FBA"/>
    <w:rsid w:val="006C79D2"/>
    <w:rsid w:val="006D0558"/>
    <w:rsid w:val="006D05BC"/>
    <w:rsid w:val="006D1834"/>
    <w:rsid w:val="006D1FAD"/>
    <w:rsid w:val="006D2699"/>
    <w:rsid w:val="006D2A03"/>
    <w:rsid w:val="006D2C45"/>
    <w:rsid w:val="006D37E7"/>
    <w:rsid w:val="006D4314"/>
    <w:rsid w:val="006D594C"/>
    <w:rsid w:val="006D5B1C"/>
    <w:rsid w:val="006D5B65"/>
    <w:rsid w:val="006D5BAF"/>
    <w:rsid w:val="006D6C3C"/>
    <w:rsid w:val="006D7B18"/>
    <w:rsid w:val="006E003C"/>
    <w:rsid w:val="006E00ED"/>
    <w:rsid w:val="006E056C"/>
    <w:rsid w:val="006E0C5F"/>
    <w:rsid w:val="006E0CD7"/>
    <w:rsid w:val="006E12D0"/>
    <w:rsid w:val="006E19FF"/>
    <w:rsid w:val="006E1DDA"/>
    <w:rsid w:val="006E2261"/>
    <w:rsid w:val="006E3261"/>
    <w:rsid w:val="006E3ADF"/>
    <w:rsid w:val="006E3C22"/>
    <w:rsid w:val="006E3E35"/>
    <w:rsid w:val="006E4109"/>
    <w:rsid w:val="006E4ECB"/>
    <w:rsid w:val="006E5E28"/>
    <w:rsid w:val="006E6105"/>
    <w:rsid w:val="006E62FE"/>
    <w:rsid w:val="006E6574"/>
    <w:rsid w:val="006E6778"/>
    <w:rsid w:val="006E6BE4"/>
    <w:rsid w:val="006E6CAC"/>
    <w:rsid w:val="006E71D7"/>
    <w:rsid w:val="006E77B1"/>
    <w:rsid w:val="006F0073"/>
    <w:rsid w:val="006F02D4"/>
    <w:rsid w:val="006F0748"/>
    <w:rsid w:val="006F0995"/>
    <w:rsid w:val="006F0DFC"/>
    <w:rsid w:val="006F0E33"/>
    <w:rsid w:val="006F1407"/>
    <w:rsid w:val="006F1587"/>
    <w:rsid w:val="006F1759"/>
    <w:rsid w:val="006F1D3C"/>
    <w:rsid w:val="006F211A"/>
    <w:rsid w:val="006F281F"/>
    <w:rsid w:val="006F2876"/>
    <w:rsid w:val="006F30B9"/>
    <w:rsid w:val="006F3801"/>
    <w:rsid w:val="006F46C1"/>
    <w:rsid w:val="006F4F04"/>
    <w:rsid w:val="006F507E"/>
    <w:rsid w:val="006F5A33"/>
    <w:rsid w:val="006F6397"/>
    <w:rsid w:val="006F6621"/>
    <w:rsid w:val="006F68E1"/>
    <w:rsid w:val="006F6DCA"/>
    <w:rsid w:val="007003B4"/>
    <w:rsid w:val="0070047F"/>
    <w:rsid w:val="00700854"/>
    <w:rsid w:val="0070096F"/>
    <w:rsid w:val="00700B39"/>
    <w:rsid w:val="00701B2D"/>
    <w:rsid w:val="00702764"/>
    <w:rsid w:val="00702772"/>
    <w:rsid w:val="007028E2"/>
    <w:rsid w:val="00702CF6"/>
    <w:rsid w:val="00703523"/>
    <w:rsid w:val="007037F5"/>
    <w:rsid w:val="00703881"/>
    <w:rsid w:val="00703986"/>
    <w:rsid w:val="007041BE"/>
    <w:rsid w:val="007050C7"/>
    <w:rsid w:val="00705D83"/>
    <w:rsid w:val="007064E9"/>
    <w:rsid w:val="007067F8"/>
    <w:rsid w:val="00706BE0"/>
    <w:rsid w:val="00707EC1"/>
    <w:rsid w:val="00710091"/>
    <w:rsid w:val="0071036E"/>
    <w:rsid w:val="00710AEF"/>
    <w:rsid w:val="00710BE4"/>
    <w:rsid w:val="00711827"/>
    <w:rsid w:val="00711AD8"/>
    <w:rsid w:val="00711FDF"/>
    <w:rsid w:val="00712A9F"/>
    <w:rsid w:val="00712B56"/>
    <w:rsid w:val="007133A3"/>
    <w:rsid w:val="00713830"/>
    <w:rsid w:val="0071440B"/>
    <w:rsid w:val="00714CF2"/>
    <w:rsid w:val="00714DB0"/>
    <w:rsid w:val="0071518C"/>
    <w:rsid w:val="0071561B"/>
    <w:rsid w:val="007156B9"/>
    <w:rsid w:val="007161AC"/>
    <w:rsid w:val="00716714"/>
    <w:rsid w:val="0071697F"/>
    <w:rsid w:val="00716C9D"/>
    <w:rsid w:val="00716F72"/>
    <w:rsid w:val="00716FD1"/>
    <w:rsid w:val="00720616"/>
    <w:rsid w:val="007207F9"/>
    <w:rsid w:val="00720817"/>
    <w:rsid w:val="007211D8"/>
    <w:rsid w:val="00721D4E"/>
    <w:rsid w:val="0072213F"/>
    <w:rsid w:val="00722498"/>
    <w:rsid w:val="00722515"/>
    <w:rsid w:val="00722650"/>
    <w:rsid w:val="00722751"/>
    <w:rsid w:val="00722850"/>
    <w:rsid w:val="00722F6C"/>
    <w:rsid w:val="0072346F"/>
    <w:rsid w:val="00723970"/>
    <w:rsid w:val="0072398D"/>
    <w:rsid w:val="00723D00"/>
    <w:rsid w:val="007243C4"/>
    <w:rsid w:val="0072448B"/>
    <w:rsid w:val="007252B0"/>
    <w:rsid w:val="007259CC"/>
    <w:rsid w:val="00725BE7"/>
    <w:rsid w:val="00725F62"/>
    <w:rsid w:val="00726306"/>
    <w:rsid w:val="007265D5"/>
    <w:rsid w:val="00727B72"/>
    <w:rsid w:val="00727B86"/>
    <w:rsid w:val="00727D09"/>
    <w:rsid w:val="00727E07"/>
    <w:rsid w:val="007303C2"/>
    <w:rsid w:val="00730A2C"/>
    <w:rsid w:val="007310C7"/>
    <w:rsid w:val="007319D5"/>
    <w:rsid w:val="00731F54"/>
    <w:rsid w:val="00732267"/>
    <w:rsid w:val="00732CF4"/>
    <w:rsid w:val="007331F6"/>
    <w:rsid w:val="0073353F"/>
    <w:rsid w:val="00733648"/>
    <w:rsid w:val="00733B21"/>
    <w:rsid w:val="007343EE"/>
    <w:rsid w:val="00734804"/>
    <w:rsid w:val="00734B3B"/>
    <w:rsid w:val="00734DA2"/>
    <w:rsid w:val="00734E2B"/>
    <w:rsid w:val="007355B6"/>
    <w:rsid w:val="00735DB7"/>
    <w:rsid w:val="00737225"/>
    <w:rsid w:val="00737833"/>
    <w:rsid w:val="007378A6"/>
    <w:rsid w:val="00740257"/>
    <w:rsid w:val="00740DE2"/>
    <w:rsid w:val="00741418"/>
    <w:rsid w:val="0074172D"/>
    <w:rsid w:val="0074195F"/>
    <w:rsid w:val="00741E7E"/>
    <w:rsid w:val="00741EBC"/>
    <w:rsid w:val="0074209B"/>
    <w:rsid w:val="007425BE"/>
    <w:rsid w:val="00742945"/>
    <w:rsid w:val="00742E45"/>
    <w:rsid w:val="00743D89"/>
    <w:rsid w:val="0074409F"/>
    <w:rsid w:val="007442EC"/>
    <w:rsid w:val="00744346"/>
    <w:rsid w:val="007447AF"/>
    <w:rsid w:val="007447C3"/>
    <w:rsid w:val="00745131"/>
    <w:rsid w:val="007451F0"/>
    <w:rsid w:val="007463E1"/>
    <w:rsid w:val="007469D8"/>
    <w:rsid w:val="00746DE5"/>
    <w:rsid w:val="00747084"/>
    <w:rsid w:val="007471DA"/>
    <w:rsid w:val="007471E7"/>
    <w:rsid w:val="007472FE"/>
    <w:rsid w:val="007474F9"/>
    <w:rsid w:val="007475D6"/>
    <w:rsid w:val="00747D5C"/>
    <w:rsid w:val="007501C8"/>
    <w:rsid w:val="0075020E"/>
    <w:rsid w:val="00750332"/>
    <w:rsid w:val="0075060A"/>
    <w:rsid w:val="0075065C"/>
    <w:rsid w:val="00750816"/>
    <w:rsid w:val="00751920"/>
    <w:rsid w:val="007519DC"/>
    <w:rsid w:val="0075230C"/>
    <w:rsid w:val="00752FDE"/>
    <w:rsid w:val="0075380A"/>
    <w:rsid w:val="00754A7C"/>
    <w:rsid w:val="00754BC4"/>
    <w:rsid w:val="00754BE3"/>
    <w:rsid w:val="00755C84"/>
    <w:rsid w:val="00756177"/>
    <w:rsid w:val="00756255"/>
    <w:rsid w:val="00756358"/>
    <w:rsid w:val="00756E14"/>
    <w:rsid w:val="007572B2"/>
    <w:rsid w:val="007572EF"/>
    <w:rsid w:val="00757587"/>
    <w:rsid w:val="00757592"/>
    <w:rsid w:val="00760584"/>
    <w:rsid w:val="007605E0"/>
    <w:rsid w:val="0076115A"/>
    <w:rsid w:val="0076123C"/>
    <w:rsid w:val="007613F5"/>
    <w:rsid w:val="00762649"/>
    <w:rsid w:val="0076291C"/>
    <w:rsid w:val="00762AC2"/>
    <w:rsid w:val="00763332"/>
    <w:rsid w:val="00764083"/>
    <w:rsid w:val="007646DC"/>
    <w:rsid w:val="00764D51"/>
    <w:rsid w:val="007657C1"/>
    <w:rsid w:val="007663CF"/>
    <w:rsid w:val="007664B0"/>
    <w:rsid w:val="007670FD"/>
    <w:rsid w:val="00767D28"/>
    <w:rsid w:val="00767EF1"/>
    <w:rsid w:val="007700C6"/>
    <w:rsid w:val="00770EBD"/>
    <w:rsid w:val="0077144D"/>
    <w:rsid w:val="0077165C"/>
    <w:rsid w:val="007719E9"/>
    <w:rsid w:val="00771FD5"/>
    <w:rsid w:val="007724F6"/>
    <w:rsid w:val="00773D02"/>
    <w:rsid w:val="00773ECE"/>
    <w:rsid w:val="00774715"/>
    <w:rsid w:val="00774B0F"/>
    <w:rsid w:val="0077568B"/>
    <w:rsid w:val="00775B6F"/>
    <w:rsid w:val="00775C7E"/>
    <w:rsid w:val="0077661E"/>
    <w:rsid w:val="00776639"/>
    <w:rsid w:val="007766F3"/>
    <w:rsid w:val="00776E2F"/>
    <w:rsid w:val="007771F2"/>
    <w:rsid w:val="007773B5"/>
    <w:rsid w:val="00777615"/>
    <w:rsid w:val="00777F4B"/>
    <w:rsid w:val="007800FE"/>
    <w:rsid w:val="00780286"/>
    <w:rsid w:val="0078065E"/>
    <w:rsid w:val="00780F3A"/>
    <w:rsid w:val="0078103A"/>
    <w:rsid w:val="00781077"/>
    <w:rsid w:val="007813EB"/>
    <w:rsid w:val="0078172B"/>
    <w:rsid w:val="00782963"/>
    <w:rsid w:val="007829AF"/>
    <w:rsid w:val="00784A6A"/>
    <w:rsid w:val="00784F5D"/>
    <w:rsid w:val="00784FC6"/>
    <w:rsid w:val="007851BC"/>
    <w:rsid w:val="007852D4"/>
    <w:rsid w:val="007854B9"/>
    <w:rsid w:val="00785B68"/>
    <w:rsid w:val="0078620E"/>
    <w:rsid w:val="0078675C"/>
    <w:rsid w:val="00786B41"/>
    <w:rsid w:val="00786B98"/>
    <w:rsid w:val="00786DB7"/>
    <w:rsid w:val="00786FCD"/>
    <w:rsid w:val="00787CD5"/>
    <w:rsid w:val="00790406"/>
    <w:rsid w:val="00790511"/>
    <w:rsid w:val="0079057E"/>
    <w:rsid w:val="00791064"/>
    <w:rsid w:val="00791E98"/>
    <w:rsid w:val="00792602"/>
    <w:rsid w:val="00792784"/>
    <w:rsid w:val="007929AB"/>
    <w:rsid w:val="007932A7"/>
    <w:rsid w:val="00793A7A"/>
    <w:rsid w:val="00794A6D"/>
    <w:rsid w:val="007950A3"/>
    <w:rsid w:val="00795309"/>
    <w:rsid w:val="00795784"/>
    <w:rsid w:val="00795A3F"/>
    <w:rsid w:val="00795F15"/>
    <w:rsid w:val="00796AF4"/>
    <w:rsid w:val="00797E35"/>
    <w:rsid w:val="007A1694"/>
    <w:rsid w:val="007A28FC"/>
    <w:rsid w:val="007A2B24"/>
    <w:rsid w:val="007A333F"/>
    <w:rsid w:val="007A3378"/>
    <w:rsid w:val="007A406D"/>
    <w:rsid w:val="007A49F8"/>
    <w:rsid w:val="007A4F33"/>
    <w:rsid w:val="007A5314"/>
    <w:rsid w:val="007A53F8"/>
    <w:rsid w:val="007A5BAB"/>
    <w:rsid w:val="007A5F0D"/>
    <w:rsid w:val="007A62B0"/>
    <w:rsid w:val="007A6517"/>
    <w:rsid w:val="007A66AE"/>
    <w:rsid w:val="007A6E98"/>
    <w:rsid w:val="007A78A7"/>
    <w:rsid w:val="007B0354"/>
    <w:rsid w:val="007B1483"/>
    <w:rsid w:val="007B157F"/>
    <w:rsid w:val="007B248B"/>
    <w:rsid w:val="007B2FD8"/>
    <w:rsid w:val="007B32D6"/>
    <w:rsid w:val="007B358E"/>
    <w:rsid w:val="007B3900"/>
    <w:rsid w:val="007B5954"/>
    <w:rsid w:val="007B5CA3"/>
    <w:rsid w:val="007B6377"/>
    <w:rsid w:val="007B64A2"/>
    <w:rsid w:val="007B66EE"/>
    <w:rsid w:val="007B6B2C"/>
    <w:rsid w:val="007B6EA7"/>
    <w:rsid w:val="007B7296"/>
    <w:rsid w:val="007B7450"/>
    <w:rsid w:val="007B7757"/>
    <w:rsid w:val="007C01CE"/>
    <w:rsid w:val="007C1488"/>
    <w:rsid w:val="007C1EA7"/>
    <w:rsid w:val="007C339F"/>
    <w:rsid w:val="007C33AD"/>
    <w:rsid w:val="007C373E"/>
    <w:rsid w:val="007C3827"/>
    <w:rsid w:val="007C3B02"/>
    <w:rsid w:val="007C3CAC"/>
    <w:rsid w:val="007C3E5F"/>
    <w:rsid w:val="007C48C0"/>
    <w:rsid w:val="007C4C2C"/>
    <w:rsid w:val="007C5854"/>
    <w:rsid w:val="007C5A0C"/>
    <w:rsid w:val="007C62A3"/>
    <w:rsid w:val="007C62D0"/>
    <w:rsid w:val="007C7644"/>
    <w:rsid w:val="007C77B1"/>
    <w:rsid w:val="007C7A51"/>
    <w:rsid w:val="007D042B"/>
    <w:rsid w:val="007D0940"/>
    <w:rsid w:val="007D095A"/>
    <w:rsid w:val="007D13D1"/>
    <w:rsid w:val="007D233F"/>
    <w:rsid w:val="007D23EA"/>
    <w:rsid w:val="007D2468"/>
    <w:rsid w:val="007D2766"/>
    <w:rsid w:val="007D2923"/>
    <w:rsid w:val="007D3F24"/>
    <w:rsid w:val="007D4AC5"/>
    <w:rsid w:val="007D4D27"/>
    <w:rsid w:val="007D5439"/>
    <w:rsid w:val="007D58C7"/>
    <w:rsid w:val="007D5C67"/>
    <w:rsid w:val="007D5D19"/>
    <w:rsid w:val="007D5F0A"/>
    <w:rsid w:val="007D6808"/>
    <w:rsid w:val="007D6A34"/>
    <w:rsid w:val="007D7506"/>
    <w:rsid w:val="007D7E18"/>
    <w:rsid w:val="007D7E81"/>
    <w:rsid w:val="007E06CC"/>
    <w:rsid w:val="007E0BE5"/>
    <w:rsid w:val="007E0CC7"/>
    <w:rsid w:val="007E0E45"/>
    <w:rsid w:val="007E0F53"/>
    <w:rsid w:val="007E0FEE"/>
    <w:rsid w:val="007E1573"/>
    <w:rsid w:val="007E16C9"/>
    <w:rsid w:val="007E1F8E"/>
    <w:rsid w:val="007E2482"/>
    <w:rsid w:val="007E24D1"/>
    <w:rsid w:val="007E2AE5"/>
    <w:rsid w:val="007E2CF6"/>
    <w:rsid w:val="007E40A6"/>
    <w:rsid w:val="007E44F8"/>
    <w:rsid w:val="007E49D8"/>
    <w:rsid w:val="007E4A0F"/>
    <w:rsid w:val="007E4B73"/>
    <w:rsid w:val="007E52F3"/>
    <w:rsid w:val="007E5353"/>
    <w:rsid w:val="007E5641"/>
    <w:rsid w:val="007E5C70"/>
    <w:rsid w:val="007E65D5"/>
    <w:rsid w:val="007E6702"/>
    <w:rsid w:val="007E69E3"/>
    <w:rsid w:val="007E6B98"/>
    <w:rsid w:val="007E6DD6"/>
    <w:rsid w:val="007E6F6B"/>
    <w:rsid w:val="007E6F87"/>
    <w:rsid w:val="007E79BE"/>
    <w:rsid w:val="007E7C2B"/>
    <w:rsid w:val="007E7FF6"/>
    <w:rsid w:val="007F00E5"/>
    <w:rsid w:val="007F1261"/>
    <w:rsid w:val="007F139C"/>
    <w:rsid w:val="007F2017"/>
    <w:rsid w:val="007F3196"/>
    <w:rsid w:val="007F3718"/>
    <w:rsid w:val="007F38AB"/>
    <w:rsid w:val="007F3B2C"/>
    <w:rsid w:val="007F3CAE"/>
    <w:rsid w:val="007F4486"/>
    <w:rsid w:val="007F4990"/>
    <w:rsid w:val="007F4D42"/>
    <w:rsid w:val="007F554D"/>
    <w:rsid w:val="007F55A5"/>
    <w:rsid w:val="007F57D6"/>
    <w:rsid w:val="007F5935"/>
    <w:rsid w:val="007F5D5B"/>
    <w:rsid w:val="007F6519"/>
    <w:rsid w:val="007F6C65"/>
    <w:rsid w:val="007F7410"/>
    <w:rsid w:val="008003DF"/>
    <w:rsid w:val="00800CD8"/>
    <w:rsid w:val="0080114C"/>
    <w:rsid w:val="0080258F"/>
    <w:rsid w:val="00802906"/>
    <w:rsid w:val="00802E18"/>
    <w:rsid w:val="00802F2E"/>
    <w:rsid w:val="00803072"/>
    <w:rsid w:val="00803246"/>
    <w:rsid w:val="00803C5E"/>
    <w:rsid w:val="00803FF5"/>
    <w:rsid w:val="00804081"/>
    <w:rsid w:val="0080420C"/>
    <w:rsid w:val="008042BC"/>
    <w:rsid w:val="00804683"/>
    <w:rsid w:val="0080492C"/>
    <w:rsid w:val="00804B4A"/>
    <w:rsid w:val="008050CE"/>
    <w:rsid w:val="00806567"/>
    <w:rsid w:val="00806AE6"/>
    <w:rsid w:val="00806D37"/>
    <w:rsid w:val="00806E08"/>
    <w:rsid w:val="00806F62"/>
    <w:rsid w:val="00806FA2"/>
    <w:rsid w:val="0080731C"/>
    <w:rsid w:val="00807DEA"/>
    <w:rsid w:val="00810289"/>
    <w:rsid w:val="008106DA"/>
    <w:rsid w:val="008108FF"/>
    <w:rsid w:val="00811139"/>
    <w:rsid w:val="0081177B"/>
    <w:rsid w:val="00811D94"/>
    <w:rsid w:val="008134AD"/>
    <w:rsid w:val="008136D9"/>
    <w:rsid w:val="00814543"/>
    <w:rsid w:val="00814D0B"/>
    <w:rsid w:val="00815226"/>
    <w:rsid w:val="00815239"/>
    <w:rsid w:val="008154D4"/>
    <w:rsid w:val="008155D6"/>
    <w:rsid w:val="00815E69"/>
    <w:rsid w:val="00815FC8"/>
    <w:rsid w:val="00816296"/>
    <w:rsid w:val="00816770"/>
    <w:rsid w:val="008167BC"/>
    <w:rsid w:val="0081747E"/>
    <w:rsid w:val="00817811"/>
    <w:rsid w:val="00817E10"/>
    <w:rsid w:val="00820A90"/>
    <w:rsid w:val="00821431"/>
    <w:rsid w:val="008219CF"/>
    <w:rsid w:val="00821EAC"/>
    <w:rsid w:val="00822842"/>
    <w:rsid w:val="00823278"/>
    <w:rsid w:val="0082338A"/>
    <w:rsid w:val="008237C7"/>
    <w:rsid w:val="00823C29"/>
    <w:rsid w:val="0082495C"/>
    <w:rsid w:val="00824E4A"/>
    <w:rsid w:val="00825197"/>
    <w:rsid w:val="00825265"/>
    <w:rsid w:val="008265A1"/>
    <w:rsid w:val="00826C5B"/>
    <w:rsid w:val="008276AB"/>
    <w:rsid w:val="00830443"/>
    <w:rsid w:val="00830992"/>
    <w:rsid w:val="00830A5D"/>
    <w:rsid w:val="008313DE"/>
    <w:rsid w:val="0083143F"/>
    <w:rsid w:val="00831A2C"/>
    <w:rsid w:val="008321ED"/>
    <w:rsid w:val="00832B97"/>
    <w:rsid w:val="00832FFA"/>
    <w:rsid w:val="008339BB"/>
    <w:rsid w:val="00833B11"/>
    <w:rsid w:val="00833C02"/>
    <w:rsid w:val="008349D5"/>
    <w:rsid w:val="00834F2E"/>
    <w:rsid w:val="00835C75"/>
    <w:rsid w:val="0083605B"/>
    <w:rsid w:val="0083615C"/>
    <w:rsid w:val="008363D3"/>
    <w:rsid w:val="00837AAF"/>
    <w:rsid w:val="008412CF"/>
    <w:rsid w:val="00842155"/>
    <w:rsid w:val="008426EB"/>
    <w:rsid w:val="00842B6E"/>
    <w:rsid w:val="00842EDE"/>
    <w:rsid w:val="008433DA"/>
    <w:rsid w:val="00843E10"/>
    <w:rsid w:val="0084477E"/>
    <w:rsid w:val="00845308"/>
    <w:rsid w:val="0084578B"/>
    <w:rsid w:val="00845E08"/>
    <w:rsid w:val="008468FF"/>
    <w:rsid w:val="00846CD8"/>
    <w:rsid w:val="00847457"/>
    <w:rsid w:val="00850123"/>
    <w:rsid w:val="008516E1"/>
    <w:rsid w:val="008517A7"/>
    <w:rsid w:val="00851C9A"/>
    <w:rsid w:val="00851D37"/>
    <w:rsid w:val="00852A03"/>
    <w:rsid w:val="00852EA8"/>
    <w:rsid w:val="008534B2"/>
    <w:rsid w:val="00854EBF"/>
    <w:rsid w:val="00855018"/>
    <w:rsid w:val="008554EE"/>
    <w:rsid w:val="00856301"/>
    <w:rsid w:val="008577A5"/>
    <w:rsid w:val="008579B9"/>
    <w:rsid w:val="008614C9"/>
    <w:rsid w:val="00861DAB"/>
    <w:rsid w:val="008624AA"/>
    <w:rsid w:val="00862643"/>
    <w:rsid w:val="0086294F"/>
    <w:rsid w:val="00862A6C"/>
    <w:rsid w:val="0086343E"/>
    <w:rsid w:val="00863661"/>
    <w:rsid w:val="0086404A"/>
    <w:rsid w:val="0086419A"/>
    <w:rsid w:val="00864763"/>
    <w:rsid w:val="00864BE9"/>
    <w:rsid w:val="008655FE"/>
    <w:rsid w:val="008661C1"/>
    <w:rsid w:val="00866DAA"/>
    <w:rsid w:val="008673F4"/>
    <w:rsid w:val="0087023B"/>
    <w:rsid w:val="00870A6C"/>
    <w:rsid w:val="00871F6B"/>
    <w:rsid w:val="00872105"/>
    <w:rsid w:val="00872176"/>
    <w:rsid w:val="00873066"/>
    <w:rsid w:val="00873E9D"/>
    <w:rsid w:val="00873FC2"/>
    <w:rsid w:val="00874B89"/>
    <w:rsid w:val="00875059"/>
    <w:rsid w:val="008754D9"/>
    <w:rsid w:val="00875A8F"/>
    <w:rsid w:val="00876B20"/>
    <w:rsid w:val="00876BBC"/>
    <w:rsid w:val="00877259"/>
    <w:rsid w:val="00877A7B"/>
    <w:rsid w:val="00877AF0"/>
    <w:rsid w:val="00877FBA"/>
    <w:rsid w:val="00877FC6"/>
    <w:rsid w:val="008804D3"/>
    <w:rsid w:val="00880626"/>
    <w:rsid w:val="008808D6"/>
    <w:rsid w:val="00880A90"/>
    <w:rsid w:val="00880D7F"/>
    <w:rsid w:val="008811DC"/>
    <w:rsid w:val="008813B7"/>
    <w:rsid w:val="00881E68"/>
    <w:rsid w:val="0088242F"/>
    <w:rsid w:val="008824F8"/>
    <w:rsid w:val="00884D19"/>
    <w:rsid w:val="00884D35"/>
    <w:rsid w:val="00885C06"/>
    <w:rsid w:val="00885E16"/>
    <w:rsid w:val="00885F4A"/>
    <w:rsid w:val="00885FEA"/>
    <w:rsid w:val="008865F1"/>
    <w:rsid w:val="008870F6"/>
    <w:rsid w:val="0088727E"/>
    <w:rsid w:val="008873FA"/>
    <w:rsid w:val="008874CD"/>
    <w:rsid w:val="00887BFA"/>
    <w:rsid w:val="008900B2"/>
    <w:rsid w:val="008903CC"/>
    <w:rsid w:val="00890868"/>
    <w:rsid w:val="008911FE"/>
    <w:rsid w:val="0089158A"/>
    <w:rsid w:val="008917A2"/>
    <w:rsid w:val="008921B2"/>
    <w:rsid w:val="008927BF"/>
    <w:rsid w:val="008929A3"/>
    <w:rsid w:val="00892F3B"/>
    <w:rsid w:val="0089306D"/>
    <w:rsid w:val="008932EC"/>
    <w:rsid w:val="008933BD"/>
    <w:rsid w:val="0089363B"/>
    <w:rsid w:val="008939E8"/>
    <w:rsid w:val="00893A88"/>
    <w:rsid w:val="00893B1A"/>
    <w:rsid w:val="0089476E"/>
    <w:rsid w:val="008948FC"/>
    <w:rsid w:val="00895509"/>
    <w:rsid w:val="0089630A"/>
    <w:rsid w:val="0089668C"/>
    <w:rsid w:val="00896ADF"/>
    <w:rsid w:val="00896E31"/>
    <w:rsid w:val="00897CFD"/>
    <w:rsid w:val="008A0128"/>
    <w:rsid w:val="008A0537"/>
    <w:rsid w:val="008A07A7"/>
    <w:rsid w:val="008A0B8D"/>
    <w:rsid w:val="008A179F"/>
    <w:rsid w:val="008A21CC"/>
    <w:rsid w:val="008A2D5F"/>
    <w:rsid w:val="008A2D8A"/>
    <w:rsid w:val="008A346A"/>
    <w:rsid w:val="008A352C"/>
    <w:rsid w:val="008A368B"/>
    <w:rsid w:val="008A3A6B"/>
    <w:rsid w:val="008A4174"/>
    <w:rsid w:val="008A44CC"/>
    <w:rsid w:val="008A4C32"/>
    <w:rsid w:val="008A4D2B"/>
    <w:rsid w:val="008A4F5F"/>
    <w:rsid w:val="008A53C7"/>
    <w:rsid w:val="008A567E"/>
    <w:rsid w:val="008A58B8"/>
    <w:rsid w:val="008A5BE8"/>
    <w:rsid w:val="008A5D22"/>
    <w:rsid w:val="008A65EC"/>
    <w:rsid w:val="008A66ED"/>
    <w:rsid w:val="008A6C16"/>
    <w:rsid w:val="008A7608"/>
    <w:rsid w:val="008B0864"/>
    <w:rsid w:val="008B1139"/>
    <w:rsid w:val="008B1155"/>
    <w:rsid w:val="008B164D"/>
    <w:rsid w:val="008B19A1"/>
    <w:rsid w:val="008B1D1E"/>
    <w:rsid w:val="008B2170"/>
    <w:rsid w:val="008B3AE2"/>
    <w:rsid w:val="008B4368"/>
    <w:rsid w:val="008B4819"/>
    <w:rsid w:val="008B4CED"/>
    <w:rsid w:val="008B56B8"/>
    <w:rsid w:val="008B5B44"/>
    <w:rsid w:val="008B602B"/>
    <w:rsid w:val="008B62CE"/>
    <w:rsid w:val="008B64C8"/>
    <w:rsid w:val="008B67A0"/>
    <w:rsid w:val="008B6878"/>
    <w:rsid w:val="008B6989"/>
    <w:rsid w:val="008B71AC"/>
    <w:rsid w:val="008B71D8"/>
    <w:rsid w:val="008B74F4"/>
    <w:rsid w:val="008B779C"/>
    <w:rsid w:val="008B7BDB"/>
    <w:rsid w:val="008B7F48"/>
    <w:rsid w:val="008C0402"/>
    <w:rsid w:val="008C041E"/>
    <w:rsid w:val="008C0581"/>
    <w:rsid w:val="008C07C5"/>
    <w:rsid w:val="008C117C"/>
    <w:rsid w:val="008C1454"/>
    <w:rsid w:val="008C172D"/>
    <w:rsid w:val="008C2280"/>
    <w:rsid w:val="008C25BF"/>
    <w:rsid w:val="008C26D7"/>
    <w:rsid w:val="008C342F"/>
    <w:rsid w:val="008C3817"/>
    <w:rsid w:val="008C3B85"/>
    <w:rsid w:val="008C3BC7"/>
    <w:rsid w:val="008C4EED"/>
    <w:rsid w:val="008C528E"/>
    <w:rsid w:val="008C560F"/>
    <w:rsid w:val="008C5930"/>
    <w:rsid w:val="008C5B5B"/>
    <w:rsid w:val="008C5BCA"/>
    <w:rsid w:val="008C60B7"/>
    <w:rsid w:val="008C64BA"/>
    <w:rsid w:val="008C7413"/>
    <w:rsid w:val="008C75E3"/>
    <w:rsid w:val="008C7A79"/>
    <w:rsid w:val="008C7B63"/>
    <w:rsid w:val="008D146A"/>
    <w:rsid w:val="008D1602"/>
    <w:rsid w:val="008D16B7"/>
    <w:rsid w:val="008D3222"/>
    <w:rsid w:val="008D349F"/>
    <w:rsid w:val="008D37EA"/>
    <w:rsid w:val="008D3BD5"/>
    <w:rsid w:val="008D3C25"/>
    <w:rsid w:val="008D3F29"/>
    <w:rsid w:val="008D3F94"/>
    <w:rsid w:val="008D45A0"/>
    <w:rsid w:val="008D4619"/>
    <w:rsid w:val="008D4D0C"/>
    <w:rsid w:val="008D57A7"/>
    <w:rsid w:val="008D58AB"/>
    <w:rsid w:val="008D59FA"/>
    <w:rsid w:val="008D5ACD"/>
    <w:rsid w:val="008D5D2E"/>
    <w:rsid w:val="008D6078"/>
    <w:rsid w:val="008D6CDF"/>
    <w:rsid w:val="008D6EF5"/>
    <w:rsid w:val="008D6F69"/>
    <w:rsid w:val="008D7364"/>
    <w:rsid w:val="008D73A0"/>
    <w:rsid w:val="008D7E94"/>
    <w:rsid w:val="008E0133"/>
    <w:rsid w:val="008E0852"/>
    <w:rsid w:val="008E0AC8"/>
    <w:rsid w:val="008E0EDC"/>
    <w:rsid w:val="008E0F37"/>
    <w:rsid w:val="008E14F5"/>
    <w:rsid w:val="008E15FE"/>
    <w:rsid w:val="008E1629"/>
    <w:rsid w:val="008E17B0"/>
    <w:rsid w:val="008E19CA"/>
    <w:rsid w:val="008E1B27"/>
    <w:rsid w:val="008E201E"/>
    <w:rsid w:val="008E259C"/>
    <w:rsid w:val="008E2982"/>
    <w:rsid w:val="008E2CA7"/>
    <w:rsid w:val="008E31C2"/>
    <w:rsid w:val="008E3DFC"/>
    <w:rsid w:val="008E41CD"/>
    <w:rsid w:val="008E53D6"/>
    <w:rsid w:val="008E5AF1"/>
    <w:rsid w:val="008E69F8"/>
    <w:rsid w:val="008E6AE6"/>
    <w:rsid w:val="008E7797"/>
    <w:rsid w:val="008F0116"/>
    <w:rsid w:val="008F04C7"/>
    <w:rsid w:val="008F05D8"/>
    <w:rsid w:val="008F06CE"/>
    <w:rsid w:val="008F143D"/>
    <w:rsid w:val="008F1FA4"/>
    <w:rsid w:val="008F2CF4"/>
    <w:rsid w:val="008F31FB"/>
    <w:rsid w:val="008F3AE6"/>
    <w:rsid w:val="008F3D0C"/>
    <w:rsid w:val="008F4130"/>
    <w:rsid w:val="008F4268"/>
    <w:rsid w:val="008F4DAE"/>
    <w:rsid w:val="008F4FC5"/>
    <w:rsid w:val="008F5669"/>
    <w:rsid w:val="008F5D3B"/>
    <w:rsid w:val="008F6105"/>
    <w:rsid w:val="008F6412"/>
    <w:rsid w:val="008F64B0"/>
    <w:rsid w:val="008F68E1"/>
    <w:rsid w:val="008F76E7"/>
    <w:rsid w:val="009005CF"/>
    <w:rsid w:val="0090124B"/>
    <w:rsid w:val="00901A24"/>
    <w:rsid w:val="009021DE"/>
    <w:rsid w:val="00902403"/>
    <w:rsid w:val="00902E1A"/>
    <w:rsid w:val="0090369C"/>
    <w:rsid w:val="00903F29"/>
    <w:rsid w:val="00903F4F"/>
    <w:rsid w:val="00904450"/>
    <w:rsid w:val="0090467C"/>
    <w:rsid w:val="00904882"/>
    <w:rsid w:val="00904945"/>
    <w:rsid w:val="009051C1"/>
    <w:rsid w:val="009051D8"/>
    <w:rsid w:val="009052CA"/>
    <w:rsid w:val="009055F5"/>
    <w:rsid w:val="00905ED8"/>
    <w:rsid w:val="009072EC"/>
    <w:rsid w:val="00907E1A"/>
    <w:rsid w:val="00907ED4"/>
    <w:rsid w:val="00910466"/>
    <w:rsid w:val="0091141F"/>
    <w:rsid w:val="00911763"/>
    <w:rsid w:val="00912067"/>
    <w:rsid w:val="00912635"/>
    <w:rsid w:val="00912F10"/>
    <w:rsid w:val="0091331F"/>
    <w:rsid w:val="00914817"/>
    <w:rsid w:val="00914A2B"/>
    <w:rsid w:val="00914FA2"/>
    <w:rsid w:val="00915083"/>
    <w:rsid w:val="009152ED"/>
    <w:rsid w:val="009156B4"/>
    <w:rsid w:val="00915DE5"/>
    <w:rsid w:val="00916083"/>
    <w:rsid w:val="00916725"/>
    <w:rsid w:val="00916C57"/>
    <w:rsid w:val="00916E2E"/>
    <w:rsid w:val="00917238"/>
    <w:rsid w:val="009200D6"/>
    <w:rsid w:val="00921D6E"/>
    <w:rsid w:val="00921DCF"/>
    <w:rsid w:val="009234A9"/>
    <w:rsid w:val="009238E8"/>
    <w:rsid w:val="00924737"/>
    <w:rsid w:val="009249BE"/>
    <w:rsid w:val="00924A6F"/>
    <w:rsid w:val="00924F40"/>
    <w:rsid w:val="00924FDD"/>
    <w:rsid w:val="0092563C"/>
    <w:rsid w:val="009257DE"/>
    <w:rsid w:val="009258B1"/>
    <w:rsid w:val="00925EA9"/>
    <w:rsid w:val="009264B0"/>
    <w:rsid w:val="009277FB"/>
    <w:rsid w:val="00927EDA"/>
    <w:rsid w:val="00927F1E"/>
    <w:rsid w:val="00930F9D"/>
    <w:rsid w:val="00931387"/>
    <w:rsid w:val="009317CF"/>
    <w:rsid w:val="00931A7E"/>
    <w:rsid w:val="00932319"/>
    <w:rsid w:val="00932865"/>
    <w:rsid w:val="00932DF0"/>
    <w:rsid w:val="00933C39"/>
    <w:rsid w:val="00933CF3"/>
    <w:rsid w:val="0093406B"/>
    <w:rsid w:val="009347FE"/>
    <w:rsid w:val="00935026"/>
    <w:rsid w:val="009352DB"/>
    <w:rsid w:val="00935744"/>
    <w:rsid w:val="00935F41"/>
    <w:rsid w:val="0093653F"/>
    <w:rsid w:val="009366DD"/>
    <w:rsid w:val="00936FA8"/>
    <w:rsid w:val="00937B90"/>
    <w:rsid w:val="00940076"/>
    <w:rsid w:val="00940398"/>
    <w:rsid w:val="009408BA"/>
    <w:rsid w:val="00940C41"/>
    <w:rsid w:val="00940E4B"/>
    <w:rsid w:val="00942033"/>
    <w:rsid w:val="0094224A"/>
    <w:rsid w:val="00942339"/>
    <w:rsid w:val="00942CA5"/>
    <w:rsid w:val="009436C2"/>
    <w:rsid w:val="00943B7F"/>
    <w:rsid w:val="00943D8B"/>
    <w:rsid w:val="009442BD"/>
    <w:rsid w:val="009446D8"/>
    <w:rsid w:val="00944B8B"/>
    <w:rsid w:val="00944FD7"/>
    <w:rsid w:val="009454A2"/>
    <w:rsid w:val="00945EF1"/>
    <w:rsid w:val="0094621E"/>
    <w:rsid w:val="009463A2"/>
    <w:rsid w:val="009478FA"/>
    <w:rsid w:val="009514E4"/>
    <w:rsid w:val="00951DC7"/>
    <w:rsid w:val="00952BB5"/>
    <w:rsid w:val="00953BA9"/>
    <w:rsid w:val="00953D49"/>
    <w:rsid w:val="00954A6B"/>
    <w:rsid w:val="00955165"/>
    <w:rsid w:val="009554AE"/>
    <w:rsid w:val="00955D94"/>
    <w:rsid w:val="00955EFE"/>
    <w:rsid w:val="009565DB"/>
    <w:rsid w:val="00956762"/>
    <w:rsid w:val="00956A66"/>
    <w:rsid w:val="00957142"/>
    <w:rsid w:val="009576AA"/>
    <w:rsid w:val="00957782"/>
    <w:rsid w:val="00960C0B"/>
    <w:rsid w:val="00960E7F"/>
    <w:rsid w:val="00961062"/>
    <w:rsid w:val="00961959"/>
    <w:rsid w:val="00962452"/>
    <w:rsid w:val="0096246C"/>
    <w:rsid w:val="0096262B"/>
    <w:rsid w:val="00963331"/>
    <w:rsid w:val="0096385D"/>
    <w:rsid w:val="00963895"/>
    <w:rsid w:val="00963975"/>
    <w:rsid w:val="009639D0"/>
    <w:rsid w:val="00963F82"/>
    <w:rsid w:val="0096534F"/>
    <w:rsid w:val="00966581"/>
    <w:rsid w:val="00966A98"/>
    <w:rsid w:val="00966D46"/>
    <w:rsid w:val="009704AE"/>
    <w:rsid w:val="0097050B"/>
    <w:rsid w:val="00970B1E"/>
    <w:rsid w:val="00972396"/>
    <w:rsid w:val="00973FF8"/>
    <w:rsid w:val="00974183"/>
    <w:rsid w:val="00974264"/>
    <w:rsid w:val="00974B87"/>
    <w:rsid w:val="00974FD0"/>
    <w:rsid w:val="009757F5"/>
    <w:rsid w:val="00975D5F"/>
    <w:rsid w:val="00975DDC"/>
    <w:rsid w:val="00976970"/>
    <w:rsid w:val="00977198"/>
    <w:rsid w:val="00977EA9"/>
    <w:rsid w:val="0098109A"/>
    <w:rsid w:val="0098138E"/>
    <w:rsid w:val="009816B5"/>
    <w:rsid w:val="0098200B"/>
    <w:rsid w:val="009820EA"/>
    <w:rsid w:val="009821C9"/>
    <w:rsid w:val="009822C9"/>
    <w:rsid w:val="00982B23"/>
    <w:rsid w:val="00983260"/>
    <w:rsid w:val="0098333C"/>
    <w:rsid w:val="00984003"/>
    <w:rsid w:val="0098465B"/>
    <w:rsid w:val="0098476A"/>
    <w:rsid w:val="00984FA9"/>
    <w:rsid w:val="009851E7"/>
    <w:rsid w:val="00985271"/>
    <w:rsid w:val="0098558F"/>
    <w:rsid w:val="00985C3C"/>
    <w:rsid w:val="00985D43"/>
    <w:rsid w:val="00985D8D"/>
    <w:rsid w:val="00986050"/>
    <w:rsid w:val="009864BC"/>
    <w:rsid w:val="0098655A"/>
    <w:rsid w:val="009875DD"/>
    <w:rsid w:val="00987939"/>
    <w:rsid w:val="00990191"/>
    <w:rsid w:val="0099025B"/>
    <w:rsid w:val="0099027A"/>
    <w:rsid w:val="009915B8"/>
    <w:rsid w:val="009916E4"/>
    <w:rsid w:val="009917A9"/>
    <w:rsid w:val="00991A83"/>
    <w:rsid w:val="00993FA6"/>
    <w:rsid w:val="00994197"/>
    <w:rsid w:val="00994621"/>
    <w:rsid w:val="009947D3"/>
    <w:rsid w:val="00994F69"/>
    <w:rsid w:val="00995017"/>
    <w:rsid w:val="009953CF"/>
    <w:rsid w:val="00995FE6"/>
    <w:rsid w:val="009964CC"/>
    <w:rsid w:val="00996DA7"/>
    <w:rsid w:val="0099799D"/>
    <w:rsid w:val="009A0436"/>
    <w:rsid w:val="009A092C"/>
    <w:rsid w:val="009A0AF2"/>
    <w:rsid w:val="009A116E"/>
    <w:rsid w:val="009A11E9"/>
    <w:rsid w:val="009A16FB"/>
    <w:rsid w:val="009A19C4"/>
    <w:rsid w:val="009A1CE7"/>
    <w:rsid w:val="009A279B"/>
    <w:rsid w:val="009A2FC3"/>
    <w:rsid w:val="009A3394"/>
    <w:rsid w:val="009A33C7"/>
    <w:rsid w:val="009A392C"/>
    <w:rsid w:val="009A3C4C"/>
    <w:rsid w:val="009A4AF4"/>
    <w:rsid w:val="009A540C"/>
    <w:rsid w:val="009A58EC"/>
    <w:rsid w:val="009A59E3"/>
    <w:rsid w:val="009A5A46"/>
    <w:rsid w:val="009A625F"/>
    <w:rsid w:val="009A7D95"/>
    <w:rsid w:val="009B0842"/>
    <w:rsid w:val="009B0BCF"/>
    <w:rsid w:val="009B14B2"/>
    <w:rsid w:val="009B21B5"/>
    <w:rsid w:val="009B257E"/>
    <w:rsid w:val="009B273F"/>
    <w:rsid w:val="009B31C4"/>
    <w:rsid w:val="009B3330"/>
    <w:rsid w:val="009B3776"/>
    <w:rsid w:val="009B394C"/>
    <w:rsid w:val="009B3B8A"/>
    <w:rsid w:val="009B4079"/>
    <w:rsid w:val="009B459C"/>
    <w:rsid w:val="009B4B8D"/>
    <w:rsid w:val="009B4F90"/>
    <w:rsid w:val="009B50A1"/>
    <w:rsid w:val="009B5782"/>
    <w:rsid w:val="009B5822"/>
    <w:rsid w:val="009B5923"/>
    <w:rsid w:val="009B593E"/>
    <w:rsid w:val="009B704D"/>
    <w:rsid w:val="009B741F"/>
    <w:rsid w:val="009B7AE7"/>
    <w:rsid w:val="009C028C"/>
    <w:rsid w:val="009C0455"/>
    <w:rsid w:val="009C0DDD"/>
    <w:rsid w:val="009C13A1"/>
    <w:rsid w:val="009C1DFF"/>
    <w:rsid w:val="009C1F90"/>
    <w:rsid w:val="009C2A31"/>
    <w:rsid w:val="009C2E5B"/>
    <w:rsid w:val="009C3551"/>
    <w:rsid w:val="009C3CC1"/>
    <w:rsid w:val="009C4022"/>
    <w:rsid w:val="009C41D2"/>
    <w:rsid w:val="009C42D8"/>
    <w:rsid w:val="009C4356"/>
    <w:rsid w:val="009C4381"/>
    <w:rsid w:val="009C4A60"/>
    <w:rsid w:val="009C5A7A"/>
    <w:rsid w:val="009C5F2B"/>
    <w:rsid w:val="009C604D"/>
    <w:rsid w:val="009C6465"/>
    <w:rsid w:val="009C6E44"/>
    <w:rsid w:val="009C70F3"/>
    <w:rsid w:val="009C7F2A"/>
    <w:rsid w:val="009D08CB"/>
    <w:rsid w:val="009D0939"/>
    <w:rsid w:val="009D09E3"/>
    <w:rsid w:val="009D0C8E"/>
    <w:rsid w:val="009D0E23"/>
    <w:rsid w:val="009D0F75"/>
    <w:rsid w:val="009D141F"/>
    <w:rsid w:val="009D179F"/>
    <w:rsid w:val="009D1A5C"/>
    <w:rsid w:val="009D2491"/>
    <w:rsid w:val="009D280A"/>
    <w:rsid w:val="009D2B0A"/>
    <w:rsid w:val="009D2B22"/>
    <w:rsid w:val="009D2BA2"/>
    <w:rsid w:val="009D2F77"/>
    <w:rsid w:val="009D367E"/>
    <w:rsid w:val="009D3A8D"/>
    <w:rsid w:val="009D48CB"/>
    <w:rsid w:val="009D4B72"/>
    <w:rsid w:val="009D4CC2"/>
    <w:rsid w:val="009D4CDC"/>
    <w:rsid w:val="009D56F1"/>
    <w:rsid w:val="009D5896"/>
    <w:rsid w:val="009D621B"/>
    <w:rsid w:val="009D6321"/>
    <w:rsid w:val="009D6DC5"/>
    <w:rsid w:val="009E0BEC"/>
    <w:rsid w:val="009E11BF"/>
    <w:rsid w:val="009E1369"/>
    <w:rsid w:val="009E15A6"/>
    <w:rsid w:val="009E18BD"/>
    <w:rsid w:val="009E1C44"/>
    <w:rsid w:val="009E2865"/>
    <w:rsid w:val="009E2990"/>
    <w:rsid w:val="009E3093"/>
    <w:rsid w:val="009E31CC"/>
    <w:rsid w:val="009E38BF"/>
    <w:rsid w:val="009E3E56"/>
    <w:rsid w:val="009E442A"/>
    <w:rsid w:val="009E526B"/>
    <w:rsid w:val="009E576C"/>
    <w:rsid w:val="009E5DC6"/>
    <w:rsid w:val="009E64CD"/>
    <w:rsid w:val="009E6A38"/>
    <w:rsid w:val="009E7C7F"/>
    <w:rsid w:val="009F0859"/>
    <w:rsid w:val="009F08F5"/>
    <w:rsid w:val="009F1076"/>
    <w:rsid w:val="009F1800"/>
    <w:rsid w:val="009F1EBE"/>
    <w:rsid w:val="009F2118"/>
    <w:rsid w:val="009F2352"/>
    <w:rsid w:val="009F3063"/>
    <w:rsid w:val="009F3180"/>
    <w:rsid w:val="009F37B0"/>
    <w:rsid w:val="009F4775"/>
    <w:rsid w:val="009F481F"/>
    <w:rsid w:val="009F4ABA"/>
    <w:rsid w:val="009F4F4E"/>
    <w:rsid w:val="009F5826"/>
    <w:rsid w:val="009F5B39"/>
    <w:rsid w:val="009F66F0"/>
    <w:rsid w:val="009F680C"/>
    <w:rsid w:val="009F78CE"/>
    <w:rsid w:val="009F7E99"/>
    <w:rsid w:val="00A008CA"/>
    <w:rsid w:val="00A01BCF"/>
    <w:rsid w:val="00A01E61"/>
    <w:rsid w:val="00A031DE"/>
    <w:rsid w:val="00A0345E"/>
    <w:rsid w:val="00A0467A"/>
    <w:rsid w:val="00A056D7"/>
    <w:rsid w:val="00A057DE"/>
    <w:rsid w:val="00A05901"/>
    <w:rsid w:val="00A05B88"/>
    <w:rsid w:val="00A05C28"/>
    <w:rsid w:val="00A05E32"/>
    <w:rsid w:val="00A062CB"/>
    <w:rsid w:val="00A064A8"/>
    <w:rsid w:val="00A0685E"/>
    <w:rsid w:val="00A07074"/>
    <w:rsid w:val="00A07A4B"/>
    <w:rsid w:val="00A07A6D"/>
    <w:rsid w:val="00A07C5A"/>
    <w:rsid w:val="00A07CED"/>
    <w:rsid w:val="00A07FF7"/>
    <w:rsid w:val="00A105C3"/>
    <w:rsid w:val="00A10714"/>
    <w:rsid w:val="00A1157C"/>
    <w:rsid w:val="00A11CC4"/>
    <w:rsid w:val="00A12401"/>
    <w:rsid w:val="00A12550"/>
    <w:rsid w:val="00A12C56"/>
    <w:rsid w:val="00A12E7B"/>
    <w:rsid w:val="00A13956"/>
    <w:rsid w:val="00A14716"/>
    <w:rsid w:val="00A14AE5"/>
    <w:rsid w:val="00A14D61"/>
    <w:rsid w:val="00A15462"/>
    <w:rsid w:val="00A154C6"/>
    <w:rsid w:val="00A15856"/>
    <w:rsid w:val="00A15909"/>
    <w:rsid w:val="00A16823"/>
    <w:rsid w:val="00A170DB"/>
    <w:rsid w:val="00A17503"/>
    <w:rsid w:val="00A17CE0"/>
    <w:rsid w:val="00A17DEC"/>
    <w:rsid w:val="00A2017E"/>
    <w:rsid w:val="00A207BB"/>
    <w:rsid w:val="00A20CEB"/>
    <w:rsid w:val="00A2126C"/>
    <w:rsid w:val="00A21E09"/>
    <w:rsid w:val="00A21E7A"/>
    <w:rsid w:val="00A22BF5"/>
    <w:rsid w:val="00A23260"/>
    <w:rsid w:val="00A23415"/>
    <w:rsid w:val="00A23D24"/>
    <w:rsid w:val="00A24F5A"/>
    <w:rsid w:val="00A24F85"/>
    <w:rsid w:val="00A25362"/>
    <w:rsid w:val="00A2566B"/>
    <w:rsid w:val="00A2568B"/>
    <w:rsid w:val="00A26326"/>
    <w:rsid w:val="00A26852"/>
    <w:rsid w:val="00A26D79"/>
    <w:rsid w:val="00A27661"/>
    <w:rsid w:val="00A27912"/>
    <w:rsid w:val="00A27C71"/>
    <w:rsid w:val="00A27F7C"/>
    <w:rsid w:val="00A300FB"/>
    <w:rsid w:val="00A30C78"/>
    <w:rsid w:val="00A312E5"/>
    <w:rsid w:val="00A31620"/>
    <w:rsid w:val="00A31779"/>
    <w:rsid w:val="00A31B5C"/>
    <w:rsid w:val="00A3205D"/>
    <w:rsid w:val="00A321DD"/>
    <w:rsid w:val="00A32210"/>
    <w:rsid w:val="00A32462"/>
    <w:rsid w:val="00A32A34"/>
    <w:rsid w:val="00A32B68"/>
    <w:rsid w:val="00A33649"/>
    <w:rsid w:val="00A33A00"/>
    <w:rsid w:val="00A33B38"/>
    <w:rsid w:val="00A3424A"/>
    <w:rsid w:val="00A3460E"/>
    <w:rsid w:val="00A3471A"/>
    <w:rsid w:val="00A3497E"/>
    <w:rsid w:val="00A34F96"/>
    <w:rsid w:val="00A35512"/>
    <w:rsid w:val="00A35785"/>
    <w:rsid w:val="00A366AD"/>
    <w:rsid w:val="00A370ED"/>
    <w:rsid w:val="00A40D36"/>
    <w:rsid w:val="00A4175E"/>
    <w:rsid w:val="00A419BD"/>
    <w:rsid w:val="00A41C19"/>
    <w:rsid w:val="00A41E27"/>
    <w:rsid w:val="00A4206C"/>
    <w:rsid w:val="00A42306"/>
    <w:rsid w:val="00A42445"/>
    <w:rsid w:val="00A428B7"/>
    <w:rsid w:val="00A429C8"/>
    <w:rsid w:val="00A43404"/>
    <w:rsid w:val="00A43EA4"/>
    <w:rsid w:val="00A447D8"/>
    <w:rsid w:val="00A44EA1"/>
    <w:rsid w:val="00A4545A"/>
    <w:rsid w:val="00A45594"/>
    <w:rsid w:val="00A455B1"/>
    <w:rsid w:val="00A45DD1"/>
    <w:rsid w:val="00A46885"/>
    <w:rsid w:val="00A468CB"/>
    <w:rsid w:val="00A46E67"/>
    <w:rsid w:val="00A472D7"/>
    <w:rsid w:val="00A472F4"/>
    <w:rsid w:val="00A474DC"/>
    <w:rsid w:val="00A47D5C"/>
    <w:rsid w:val="00A501EC"/>
    <w:rsid w:val="00A50304"/>
    <w:rsid w:val="00A504B6"/>
    <w:rsid w:val="00A505AE"/>
    <w:rsid w:val="00A50FE1"/>
    <w:rsid w:val="00A5113D"/>
    <w:rsid w:val="00A5159D"/>
    <w:rsid w:val="00A5173F"/>
    <w:rsid w:val="00A5212B"/>
    <w:rsid w:val="00A524A7"/>
    <w:rsid w:val="00A52DEE"/>
    <w:rsid w:val="00A531FF"/>
    <w:rsid w:val="00A5332A"/>
    <w:rsid w:val="00A5374F"/>
    <w:rsid w:val="00A53F2D"/>
    <w:rsid w:val="00A545B9"/>
    <w:rsid w:val="00A54B8B"/>
    <w:rsid w:val="00A54C55"/>
    <w:rsid w:val="00A557CF"/>
    <w:rsid w:val="00A558E7"/>
    <w:rsid w:val="00A55ACD"/>
    <w:rsid w:val="00A5601A"/>
    <w:rsid w:val="00A56162"/>
    <w:rsid w:val="00A56647"/>
    <w:rsid w:val="00A5675E"/>
    <w:rsid w:val="00A56CA0"/>
    <w:rsid w:val="00A576BF"/>
    <w:rsid w:val="00A57A78"/>
    <w:rsid w:val="00A60076"/>
    <w:rsid w:val="00A61FAF"/>
    <w:rsid w:val="00A6269A"/>
    <w:rsid w:val="00A62D0B"/>
    <w:rsid w:val="00A63145"/>
    <w:rsid w:val="00A63689"/>
    <w:rsid w:val="00A64278"/>
    <w:rsid w:val="00A647A3"/>
    <w:rsid w:val="00A64845"/>
    <w:rsid w:val="00A6505F"/>
    <w:rsid w:val="00A65A49"/>
    <w:rsid w:val="00A66D5A"/>
    <w:rsid w:val="00A66E4C"/>
    <w:rsid w:val="00A6761C"/>
    <w:rsid w:val="00A67E96"/>
    <w:rsid w:val="00A706B7"/>
    <w:rsid w:val="00A70841"/>
    <w:rsid w:val="00A70BF0"/>
    <w:rsid w:val="00A71829"/>
    <w:rsid w:val="00A71866"/>
    <w:rsid w:val="00A722A3"/>
    <w:rsid w:val="00A72CFE"/>
    <w:rsid w:val="00A72D89"/>
    <w:rsid w:val="00A72E92"/>
    <w:rsid w:val="00A72EC3"/>
    <w:rsid w:val="00A73835"/>
    <w:rsid w:val="00A7385B"/>
    <w:rsid w:val="00A73DD7"/>
    <w:rsid w:val="00A73DD9"/>
    <w:rsid w:val="00A73FFF"/>
    <w:rsid w:val="00A743BE"/>
    <w:rsid w:val="00A74F48"/>
    <w:rsid w:val="00A75205"/>
    <w:rsid w:val="00A752F9"/>
    <w:rsid w:val="00A75DD5"/>
    <w:rsid w:val="00A7648C"/>
    <w:rsid w:val="00A7652C"/>
    <w:rsid w:val="00A768D2"/>
    <w:rsid w:val="00A76C94"/>
    <w:rsid w:val="00A81496"/>
    <w:rsid w:val="00A8194B"/>
    <w:rsid w:val="00A820EC"/>
    <w:rsid w:val="00A82157"/>
    <w:rsid w:val="00A82907"/>
    <w:rsid w:val="00A83771"/>
    <w:rsid w:val="00A83E41"/>
    <w:rsid w:val="00A84E33"/>
    <w:rsid w:val="00A85594"/>
    <w:rsid w:val="00A855A3"/>
    <w:rsid w:val="00A867B1"/>
    <w:rsid w:val="00A86BCE"/>
    <w:rsid w:val="00A86DEF"/>
    <w:rsid w:val="00A874FB"/>
    <w:rsid w:val="00A876DE"/>
    <w:rsid w:val="00A87A7C"/>
    <w:rsid w:val="00A87B89"/>
    <w:rsid w:val="00A906F7"/>
    <w:rsid w:val="00A9098D"/>
    <w:rsid w:val="00A90A0F"/>
    <w:rsid w:val="00A90E03"/>
    <w:rsid w:val="00A9132E"/>
    <w:rsid w:val="00A9152E"/>
    <w:rsid w:val="00A919F0"/>
    <w:rsid w:val="00A924E0"/>
    <w:rsid w:val="00A93E52"/>
    <w:rsid w:val="00A94B6B"/>
    <w:rsid w:val="00A95262"/>
    <w:rsid w:val="00A95A70"/>
    <w:rsid w:val="00A95BD2"/>
    <w:rsid w:val="00A95C9D"/>
    <w:rsid w:val="00A95D72"/>
    <w:rsid w:val="00A9606D"/>
    <w:rsid w:val="00A9645B"/>
    <w:rsid w:val="00A96651"/>
    <w:rsid w:val="00A9667D"/>
    <w:rsid w:val="00A96D19"/>
    <w:rsid w:val="00A96E36"/>
    <w:rsid w:val="00A97872"/>
    <w:rsid w:val="00AA0327"/>
    <w:rsid w:val="00AA0889"/>
    <w:rsid w:val="00AA08AD"/>
    <w:rsid w:val="00AA0FAC"/>
    <w:rsid w:val="00AA100D"/>
    <w:rsid w:val="00AA1207"/>
    <w:rsid w:val="00AA1292"/>
    <w:rsid w:val="00AA17D8"/>
    <w:rsid w:val="00AA18B0"/>
    <w:rsid w:val="00AA1A76"/>
    <w:rsid w:val="00AA1D12"/>
    <w:rsid w:val="00AA20C2"/>
    <w:rsid w:val="00AA27F7"/>
    <w:rsid w:val="00AA3B0F"/>
    <w:rsid w:val="00AA45A7"/>
    <w:rsid w:val="00AA45C7"/>
    <w:rsid w:val="00AA4CC4"/>
    <w:rsid w:val="00AA4E1F"/>
    <w:rsid w:val="00AA6219"/>
    <w:rsid w:val="00AA62CB"/>
    <w:rsid w:val="00AA6349"/>
    <w:rsid w:val="00AA6FAA"/>
    <w:rsid w:val="00AA7118"/>
    <w:rsid w:val="00AA71D8"/>
    <w:rsid w:val="00AA72A3"/>
    <w:rsid w:val="00AA7387"/>
    <w:rsid w:val="00AA7D67"/>
    <w:rsid w:val="00AB0E68"/>
    <w:rsid w:val="00AB18AB"/>
    <w:rsid w:val="00AB2C39"/>
    <w:rsid w:val="00AB2E32"/>
    <w:rsid w:val="00AB3778"/>
    <w:rsid w:val="00AB4278"/>
    <w:rsid w:val="00AB4E6B"/>
    <w:rsid w:val="00AB4EEE"/>
    <w:rsid w:val="00AB5304"/>
    <w:rsid w:val="00AB5A2E"/>
    <w:rsid w:val="00AB6A39"/>
    <w:rsid w:val="00AB6F56"/>
    <w:rsid w:val="00AB6FB4"/>
    <w:rsid w:val="00AB7408"/>
    <w:rsid w:val="00AB79C3"/>
    <w:rsid w:val="00AB7A44"/>
    <w:rsid w:val="00AC03C1"/>
    <w:rsid w:val="00AC06BB"/>
    <w:rsid w:val="00AC0746"/>
    <w:rsid w:val="00AC07C7"/>
    <w:rsid w:val="00AC09E7"/>
    <w:rsid w:val="00AC0DE7"/>
    <w:rsid w:val="00AC123B"/>
    <w:rsid w:val="00AC196C"/>
    <w:rsid w:val="00AC22C9"/>
    <w:rsid w:val="00AC25B7"/>
    <w:rsid w:val="00AC297C"/>
    <w:rsid w:val="00AC2B83"/>
    <w:rsid w:val="00AC348A"/>
    <w:rsid w:val="00AC39FD"/>
    <w:rsid w:val="00AC41D6"/>
    <w:rsid w:val="00AC42BE"/>
    <w:rsid w:val="00AC459A"/>
    <w:rsid w:val="00AC530E"/>
    <w:rsid w:val="00AC560E"/>
    <w:rsid w:val="00AC574B"/>
    <w:rsid w:val="00AC5FB6"/>
    <w:rsid w:val="00AC6738"/>
    <w:rsid w:val="00AC6DB3"/>
    <w:rsid w:val="00AC6E78"/>
    <w:rsid w:val="00AC6EAB"/>
    <w:rsid w:val="00AC71C2"/>
    <w:rsid w:val="00AC7348"/>
    <w:rsid w:val="00AC799F"/>
    <w:rsid w:val="00AD0003"/>
    <w:rsid w:val="00AD00FB"/>
    <w:rsid w:val="00AD01F5"/>
    <w:rsid w:val="00AD062F"/>
    <w:rsid w:val="00AD09D8"/>
    <w:rsid w:val="00AD0A25"/>
    <w:rsid w:val="00AD0B59"/>
    <w:rsid w:val="00AD0FB8"/>
    <w:rsid w:val="00AD1764"/>
    <w:rsid w:val="00AD1E7C"/>
    <w:rsid w:val="00AD2517"/>
    <w:rsid w:val="00AD3327"/>
    <w:rsid w:val="00AD4F13"/>
    <w:rsid w:val="00AD57FE"/>
    <w:rsid w:val="00AD70D7"/>
    <w:rsid w:val="00AE0AC5"/>
    <w:rsid w:val="00AE161B"/>
    <w:rsid w:val="00AE18A7"/>
    <w:rsid w:val="00AE1962"/>
    <w:rsid w:val="00AE24E9"/>
    <w:rsid w:val="00AE2D18"/>
    <w:rsid w:val="00AE336C"/>
    <w:rsid w:val="00AE357E"/>
    <w:rsid w:val="00AE3622"/>
    <w:rsid w:val="00AE3C7D"/>
    <w:rsid w:val="00AE3E4C"/>
    <w:rsid w:val="00AE4DE4"/>
    <w:rsid w:val="00AE5DE9"/>
    <w:rsid w:val="00AE5F7A"/>
    <w:rsid w:val="00AE69A8"/>
    <w:rsid w:val="00AE6E06"/>
    <w:rsid w:val="00AE77F1"/>
    <w:rsid w:val="00AF104E"/>
    <w:rsid w:val="00AF106A"/>
    <w:rsid w:val="00AF12F8"/>
    <w:rsid w:val="00AF1540"/>
    <w:rsid w:val="00AF1750"/>
    <w:rsid w:val="00AF1F70"/>
    <w:rsid w:val="00AF20DE"/>
    <w:rsid w:val="00AF21A5"/>
    <w:rsid w:val="00AF2DB7"/>
    <w:rsid w:val="00AF3518"/>
    <w:rsid w:val="00AF3A03"/>
    <w:rsid w:val="00AF3C32"/>
    <w:rsid w:val="00AF43F4"/>
    <w:rsid w:val="00AF4E53"/>
    <w:rsid w:val="00AF4F33"/>
    <w:rsid w:val="00AF4FD2"/>
    <w:rsid w:val="00AF5641"/>
    <w:rsid w:val="00AF6306"/>
    <w:rsid w:val="00AF65AE"/>
    <w:rsid w:val="00AF7B1D"/>
    <w:rsid w:val="00AF7E3D"/>
    <w:rsid w:val="00AF7FEF"/>
    <w:rsid w:val="00B001D8"/>
    <w:rsid w:val="00B002D4"/>
    <w:rsid w:val="00B00669"/>
    <w:rsid w:val="00B00970"/>
    <w:rsid w:val="00B0146F"/>
    <w:rsid w:val="00B01D15"/>
    <w:rsid w:val="00B01D2E"/>
    <w:rsid w:val="00B01F7E"/>
    <w:rsid w:val="00B01FA5"/>
    <w:rsid w:val="00B024DE"/>
    <w:rsid w:val="00B02ACE"/>
    <w:rsid w:val="00B0308E"/>
    <w:rsid w:val="00B03103"/>
    <w:rsid w:val="00B0331E"/>
    <w:rsid w:val="00B03F60"/>
    <w:rsid w:val="00B04F14"/>
    <w:rsid w:val="00B051B7"/>
    <w:rsid w:val="00B057F5"/>
    <w:rsid w:val="00B05BB1"/>
    <w:rsid w:val="00B05FAA"/>
    <w:rsid w:val="00B064CA"/>
    <w:rsid w:val="00B06822"/>
    <w:rsid w:val="00B069A0"/>
    <w:rsid w:val="00B06ABF"/>
    <w:rsid w:val="00B06D16"/>
    <w:rsid w:val="00B07208"/>
    <w:rsid w:val="00B077AB"/>
    <w:rsid w:val="00B079E8"/>
    <w:rsid w:val="00B07D46"/>
    <w:rsid w:val="00B07E21"/>
    <w:rsid w:val="00B1026D"/>
    <w:rsid w:val="00B10351"/>
    <w:rsid w:val="00B10B9F"/>
    <w:rsid w:val="00B10C1A"/>
    <w:rsid w:val="00B10ED6"/>
    <w:rsid w:val="00B11425"/>
    <w:rsid w:val="00B1145A"/>
    <w:rsid w:val="00B118EF"/>
    <w:rsid w:val="00B12030"/>
    <w:rsid w:val="00B1207C"/>
    <w:rsid w:val="00B12221"/>
    <w:rsid w:val="00B124F9"/>
    <w:rsid w:val="00B1252B"/>
    <w:rsid w:val="00B12708"/>
    <w:rsid w:val="00B131AD"/>
    <w:rsid w:val="00B131B1"/>
    <w:rsid w:val="00B13315"/>
    <w:rsid w:val="00B13C34"/>
    <w:rsid w:val="00B13C59"/>
    <w:rsid w:val="00B13D3B"/>
    <w:rsid w:val="00B1488D"/>
    <w:rsid w:val="00B14E79"/>
    <w:rsid w:val="00B15385"/>
    <w:rsid w:val="00B15D2F"/>
    <w:rsid w:val="00B16717"/>
    <w:rsid w:val="00B1682C"/>
    <w:rsid w:val="00B168CC"/>
    <w:rsid w:val="00B1795D"/>
    <w:rsid w:val="00B17BE7"/>
    <w:rsid w:val="00B204F4"/>
    <w:rsid w:val="00B20FD0"/>
    <w:rsid w:val="00B21BCA"/>
    <w:rsid w:val="00B21D61"/>
    <w:rsid w:val="00B21D89"/>
    <w:rsid w:val="00B22BAC"/>
    <w:rsid w:val="00B23526"/>
    <w:rsid w:val="00B23CD7"/>
    <w:rsid w:val="00B241DA"/>
    <w:rsid w:val="00B24B1E"/>
    <w:rsid w:val="00B2533D"/>
    <w:rsid w:val="00B2584F"/>
    <w:rsid w:val="00B25B66"/>
    <w:rsid w:val="00B25C90"/>
    <w:rsid w:val="00B26DBB"/>
    <w:rsid w:val="00B2736C"/>
    <w:rsid w:val="00B27B46"/>
    <w:rsid w:val="00B300F6"/>
    <w:rsid w:val="00B3087D"/>
    <w:rsid w:val="00B32BBD"/>
    <w:rsid w:val="00B3317A"/>
    <w:rsid w:val="00B33221"/>
    <w:rsid w:val="00B344D9"/>
    <w:rsid w:val="00B34794"/>
    <w:rsid w:val="00B347D8"/>
    <w:rsid w:val="00B34DF8"/>
    <w:rsid w:val="00B34E5C"/>
    <w:rsid w:val="00B34E65"/>
    <w:rsid w:val="00B35768"/>
    <w:rsid w:val="00B357EC"/>
    <w:rsid w:val="00B35A23"/>
    <w:rsid w:val="00B36191"/>
    <w:rsid w:val="00B36196"/>
    <w:rsid w:val="00B37879"/>
    <w:rsid w:val="00B37C5E"/>
    <w:rsid w:val="00B402F0"/>
    <w:rsid w:val="00B41865"/>
    <w:rsid w:val="00B425C2"/>
    <w:rsid w:val="00B42D22"/>
    <w:rsid w:val="00B42F94"/>
    <w:rsid w:val="00B433F6"/>
    <w:rsid w:val="00B436F7"/>
    <w:rsid w:val="00B438A6"/>
    <w:rsid w:val="00B43C79"/>
    <w:rsid w:val="00B44713"/>
    <w:rsid w:val="00B44EF9"/>
    <w:rsid w:val="00B4598D"/>
    <w:rsid w:val="00B4691D"/>
    <w:rsid w:val="00B46BFF"/>
    <w:rsid w:val="00B46EE2"/>
    <w:rsid w:val="00B475FC"/>
    <w:rsid w:val="00B50931"/>
    <w:rsid w:val="00B50E19"/>
    <w:rsid w:val="00B51150"/>
    <w:rsid w:val="00B51933"/>
    <w:rsid w:val="00B5195D"/>
    <w:rsid w:val="00B51DD6"/>
    <w:rsid w:val="00B524EC"/>
    <w:rsid w:val="00B52D97"/>
    <w:rsid w:val="00B53218"/>
    <w:rsid w:val="00B5368A"/>
    <w:rsid w:val="00B53D77"/>
    <w:rsid w:val="00B542C7"/>
    <w:rsid w:val="00B55984"/>
    <w:rsid w:val="00B57B57"/>
    <w:rsid w:val="00B57D34"/>
    <w:rsid w:val="00B57E74"/>
    <w:rsid w:val="00B57F19"/>
    <w:rsid w:val="00B60421"/>
    <w:rsid w:val="00B60471"/>
    <w:rsid w:val="00B60FB0"/>
    <w:rsid w:val="00B61017"/>
    <w:rsid w:val="00B61977"/>
    <w:rsid w:val="00B6231D"/>
    <w:rsid w:val="00B6297B"/>
    <w:rsid w:val="00B62ADE"/>
    <w:rsid w:val="00B63156"/>
    <w:rsid w:val="00B6345B"/>
    <w:rsid w:val="00B638CB"/>
    <w:rsid w:val="00B646A9"/>
    <w:rsid w:val="00B649B3"/>
    <w:rsid w:val="00B64D66"/>
    <w:rsid w:val="00B66088"/>
    <w:rsid w:val="00B660A4"/>
    <w:rsid w:val="00B66B16"/>
    <w:rsid w:val="00B66DBC"/>
    <w:rsid w:val="00B678BB"/>
    <w:rsid w:val="00B67D9A"/>
    <w:rsid w:val="00B70482"/>
    <w:rsid w:val="00B70840"/>
    <w:rsid w:val="00B725EE"/>
    <w:rsid w:val="00B7285F"/>
    <w:rsid w:val="00B72A0D"/>
    <w:rsid w:val="00B733CF"/>
    <w:rsid w:val="00B7387F"/>
    <w:rsid w:val="00B7466E"/>
    <w:rsid w:val="00B7477B"/>
    <w:rsid w:val="00B75F94"/>
    <w:rsid w:val="00B7688B"/>
    <w:rsid w:val="00B769A2"/>
    <w:rsid w:val="00B76F85"/>
    <w:rsid w:val="00B7703E"/>
    <w:rsid w:val="00B77087"/>
    <w:rsid w:val="00B7786E"/>
    <w:rsid w:val="00B7788C"/>
    <w:rsid w:val="00B77D0F"/>
    <w:rsid w:val="00B8202D"/>
    <w:rsid w:val="00B82159"/>
    <w:rsid w:val="00B825B6"/>
    <w:rsid w:val="00B8293E"/>
    <w:rsid w:val="00B82DAA"/>
    <w:rsid w:val="00B8376A"/>
    <w:rsid w:val="00B83816"/>
    <w:rsid w:val="00B838BA"/>
    <w:rsid w:val="00B84ACD"/>
    <w:rsid w:val="00B853A2"/>
    <w:rsid w:val="00B85409"/>
    <w:rsid w:val="00B85EBE"/>
    <w:rsid w:val="00B8648E"/>
    <w:rsid w:val="00B869EB"/>
    <w:rsid w:val="00B86E9A"/>
    <w:rsid w:val="00B8741D"/>
    <w:rsid w:val="00B87D45"/>
    <w:rsid w:val="00B909FF"/>
    <w:rsid w:val="00B90F95"/>
    <w:rsid w:val="00B9119D"/>
    <w:rsid w:val="00B9170C"/>
    <w:rsid w:val="00B91759"/>
    <w:rsid w:val="00B91877"/>
    <w:rsid w:val="00B91ED4"/>
    <w:rsid w:val="00B92212"/>
    <w:rsid w:val="00B9231E"/>
    <w:rsid w:val="00B927FC"/>
    <w:rsid w:val="00B93614"/>
    <w:rsid w:val="00B9410B"/>
    <w:rsid w:val="00B941AE"/>
    <w:rsid w:val="00B9452D"/>
    <w:rsid w:val="00B9479C"/>
    <w:rsid w:val="00B94811"/>
    <w:rsid w:val="00B948AF"/>
    <w:rsid w:val="00B94C2A"/>
    <w:rsid w:val="00B94CE7"/>
    <w:rsid w:val="00B94E89"/>
    <w:rsid w:val="00B9529E"/>
    <w:rsid w:val="00B955EB"/>
    <w:rsid w:val="00B9579E"/>
    <w:rsid w:val="00B95839"/>
    <w:rsid w:val="00B9595E"/>
    <w:rsid w:val="00B96245"/>
    <w:rsid w:val="00B96430"/>
    <w:rsid w:val="00B9728E"/>
    <w:rsid w:val="00B97301"/>
    <w:rsid w:val="00B97E7B"/>
    <w:rsid w:val="00BA0084"/>
    <w:rsid w:val="00BA01D5"/>
    <w:rsid w:val="00BA0A05"/>
    <w:rsid w:val="00BA0BB5"/>
    <w:rsid w:val="00BA1124"/>
    <w:rsid w:val="00BA121F"/>
    <w:rsid w:val="00BA1ECE"/>
    <w:rsid w:val="00BA1F2E"/>
    <w:rsid w:val="00BA216E"/>
    <w:rsid w:val="00BA2464"/>
    <w:rsid w:val="00BA3C98"/>
    <w:rsid w:val="00BA3FD6"/>
    <w:rsid w:val="00BA4062"/>
    <w:rsid w:val="00BA4158"/>
    <w:rsid w:val="00BA5118"/>
    <w:rsid w:val="00BA6922"/>
    <w:rsid w:val="00BA73EE"/>
    <w:rsid w:val="00BA7837"/>
    <w:rsid w:val="00BB0059"/>
    <w:rsid w:val="00BB0243"/>
    <w:rsid w:val="00BB16EC"/>
    <w:rsid w:val="00BB17BC"/>
    <w:rsid w:val="00BB19AC"/>
    <w:rsid w:val="00BB20B6"/>
    <w:rsid w:val="00BB2853"/>
    <w:rsid w:val="00BB2900"/>
    <w:rsid w:val="00BB2A1B"/>
    <w:rsid w:val="00BB32D3"/>
    <w:rsid w:val="00BB3390"/>
    <w:rsid w:val="00BB39D6"/>
    <w:rsid w:val="00BB3A89"/>
    <w:rsid w:val="00BB3CC4"/>
    <w:rsid w:val="00BB43C1"/>
    <w:rsid w:val="00BB48BC"/>
    <w:rsid w:val="00BB5320"/>
    <w:rsid w:val="00BB5441"/>
    <w:rsid w:val="00BB56C9"/>
    <w:rsid w:val="00BB5C7A"/>
    <w:rsid w:val="00BB5F0E"/>
    <w:rsid w:val="00BB72AE"/>
    <w:rsid w:val="00BB76FB"/>
    <w:rsid w:val="00BB7816"/>
    <w:rsid w:val="00BB7B34"/>
    <w:rsid w:val="00BB7D65"/>
    <w:rsid w:val="00BC0244"/>
    <w:rsid w:val="00BC0874"/>
    <w:rsid w:val="00BC1923"/>
    <w:rsid w:val="00BC32E4"/>
    <w:rsid w:val="00BC34EE"/>
    <w:rsid w:val="00BC3B8F"/>
    <w:rsid w:val="00BC44D5"/>
    <w:rsid w:val="00BC62B8"/>
    <w:rsid w:val="00BC6630"/>
    <w:rsid w:val="00BC78E4"/>
    <w:rsid w:val="00BC78F1"/>
    <w:rsid w:val="00BC7DC0"/>
    <w:rsid w:val="00BD030C"/>
    <w:rsid w:val="00BD0705"/>
    <w:rsid w:val="00BD10D7"/>
    <w:rsid w:val="00BD3677"/>
    <w:rsid w:val="00BD42AF"/>
    <w:rsid w:val="00BD47B3"/>
    <w:rsid w:val="00BD49BA"/>
    <w:rsid w:val="00BD4A35"/>
    <w:rsid w:val="00BD4E76"/>
    <w:rsid w:val="00BD5422"/>
    <w:rsid w:val="00BD5550"/>
    <w:rsid w:val="00BD58DC"/>
    <w:rsid w:val="00BD5C81"/>
    <w:rsid w:val="00BD6520"/>
    <w:rsid w:val="00BD6CA3"/>
    <w:rsid w:val="00BD77C4"/>
    <w:rsid w:val="00BE021A"/>
    <w:rsid w:val="00BE0387"/>
    <w:rsid w:val="00BE08C6"/>
    <w:rsid w:val="00BE0AF9"/>
    <w:rsid w:val="00BE14B2"/>
    <w:rsid w:val="00BE1CBC"/>
    <w:rsid w:val="00BE2245"/>
    <w:rsid w:val="00BE2474"/>
    <w:rsid w:val="00BE2A8B"/>
    <w:rsid w:val="00BE31AD"/>
    <w:rsid w:val="00BE31E5"/>
    <w:rsid w:val="00BE3222"/>
    <w:rsid w:val="00BE50C4"/>
    <w:rsid w:val="00BE5A02"/>
    <w:rsid w:val="00BE5B83"/>
    <w:rsid w:val="00BE6717"/>
    <w:rsid w:val="00BE749D"/>
    <w:rsid w:val="00BE7685"/>
    <w:rsid w:val="00BE7A1A"/>
    <w:rsid w:val="00BE7BBD"/>
    <w:rsid w:val="00BE7CA4"/>
    <w:rsid w:val="00BF065A"/>
    <w:rsid w:val="00BF0FB4"/>
    <w:rsid w:val="00BF12AA"/>
    <w:rsid w:val="00BF1C26"/>
    <w:rsid w:val="00BF1E70"/>
    <w:rsid w:val="00BF34A8"/>
    <w:rsid w:val="00BF3A96"/>
    <w:rsid w:val="00BF410D"/>
    <w:rsid w:val="00BF433F"/>
    <w:rsid w:val="00BF57E9"/>
    <w:rsid w:val="00BF5F6B"/>
    <w:rsid w:val="00BF62F1"/>
    <w:rsid w:val="00BF6495"/>
    <w:rsid w:val="00BF696A"/>
    <w:rsid w:val="00BF6DE6"/>
    <w:rsid w:val="00BF6EFB"/>
    <w:rsid w:val="00BF723F"/>
    <w:rsid w:val="00BF730F"/>
    <w:rsid w:val="00BF754E"/>
    <w:rsid w:val="00BF78EE"/>
    <w:rsid w:val="00C00655"/>
    <w:rsid w:val="00C00A8A"/>
    <w:rsid w:val="00C0130C"/>
    <w:rsid w:val="00C01A6D"/>
    <w:rsid w:val="00C01FD7"/>
    <w:rsid w:val="00C02AB6"/>
    <w:rsid w:val="00C02F20"/>
    <w:rsid w:val="00C0301F"/>
    <w:rsid w:val="00C03B99"/>
    <w:rsid w:val="00C03D1B"/>
    <w:rsid w:val="00C042C7"/>
    <w:rsid w:val="00C045A0"/>
    <w:rsid w:val="00C047C0"/>
    <w:rsid w:val="00C052F2"/>
    <w:rsid w:val="00C054A8"/>
    <w:rsid w:val="00C05794"/>
    <w:rsid w:val="00C05BCE"/>
    <w:rsid w:val="00C05C54"/>
    <w:rsid w:val="00C0602A"/>
    <w:rsid w:val="00C07749"/>
    <w:rsid w:val="00C1071F"/>
    <w:rsid w:val="00C10B5F"/>
    <w:rsid w:val="00C10E05"/>
    <w:rsid w:val="00C10E9C"/>
    <w:rsid w:val="00C11B76"/>
    <w:rsid w:val="00C11C35"/>
    <w:rsid w:val="00C11E79"/>
    <w:rsid w:val="00C11F21"/>
    <w:rsid w:val="00C120D4"/>
    <w:rsid w:val="00C1218F"/>
    <w:rsid w:val="00C1249F"/>
    <w:rsid w:val="00C12E29"/>
    <w:rsid w:val="00C13495"/>
    <w:rsid w:val="00C13C4C"/>
    <w:rsid w:val="00C13F24"/>
    <w:rsid w:val="00C1403E"/>
    <w:rsid w:val="00C1427B"/>
    <w:rsid w:val="00C150E7"/>
    <w:rsid w:val="00C15382"/>
    <w:rsid w:val="00C153B6"/>
    <w:rsid w:val="00C153B8"/>
    <w:rsid w:val="00C15939"/>
    <w:rsid w:val="00C15FEB"/>
    <w:rsid w:val="00C161FA"/>
    <w:rsid w:val="00C16532"/>
    <w:rsid w:val="00C16789"/>
    <w:rsid w:val="00C168B9"/>
    <w:rsid w:val="00C16FAF"/>
    <w:rsid w:val="00C17467"/>
    <w:rsid w:val="00C1774D"/>
    <w:rsid w:val="00C200E7"/>
    <w:rsid w:val="00C2031D"/>
    <w:rsid w:val="00C20549"/>
    <w:rsid w:val="00C20C65"/>
    <w:rsid w:val="00C21F39"/>
    <w:rsid w:val="00C21FFB"/>
    <w:rsid w:val="00C22111"/>
    <w:rsid w:val="00C22EE5"/>
    <w:rsid w:val="00C23BFC"/>
    <w:rsid w:val="00C23CD5"/>
    <w:rsid w:val="00C23F96"/>
    <w:rsid w:val="00C241F5"/>
    <w:rsid w:val="00C2442A"/>
    <w:rsid w:val="00C24906"/>
    <w:rsid w:val="00C255C1"/>
    <w:rsid w:val="00C25C5A"/>
    <w:rsid w:val="00C25E53"/>
    <w:rsid w:val="00C25F39"/>
    <w:rsid w:val="00C266CC"/>
    <w:rsid w:val="00C26DDB"/>
    <w:rsid w:val="00C2777D"/>
    <w:rsid w:val="00C2778E"/>
    <w:rsid w:val="00C27D03"/>
    <w:rsid w:val="00C27F52"/>
    <w:rsid w:val="00C30573"/>
    <w:rsid w:val="00C30A87"/>
    <w:rsid w:val="00C30CCC"/>
    <w:rsid w:val="00C31278"/>
    <w:rsid w:val="00C31368"/>
    <w:rsid w:val="00C31846"/>
    <w:rsid w:val="00C32043"/>
    <w:rsid w:val="00C3256E"/>
    <w:rsid w:val="00C3283D"/>
    <w:rsid w:val="00C32ADD"/>
    <w:rsid w:val="00C32C51"/>
    <w:rsid w:val="00C33105"/>
    <w:rsid w:val="00C33BE6"/>
    <w:rsid w:val="00C34811"/>
    <w:rsid w:val="00C35AEA"/>
    <w:rsid w:val="00C3607E"/>
    <w:rsid w:val="00C368C0"/>
    <w:rsid w:val="00C36E9B"/>
    <w:rsid w:val="00C372F1"/>
    <w:rsid w:val="00C3742F"/>
    <w:rsid w:val="00C37744"/>
    <w:rsid w:val="00C3779A"/>
    <w:rsid w:val="00C377EE"/>
    <w:rsid w:val="00C401F0"/>
    <w:rsid w:val="00C404EE"/>
    <w:rsid w:val="00C40B65"/>
    <w:rsid w:val="00C40D79"/>
    <w:rsid w:val="00C40F34"/>
    <w:rsid w:val="00C412E0"/>
    <w:rsid w:val="00C41461"/>
    <w:rsid w:val="00C41712"/>
    <w:rsid w:val="00C41CB2"/>
    <w:rsid w:val="00C41DCB"/>
    <w:rsid w:val="00C43615"/>
    <w:rsid w:val="00C43B06"/>
    <w:rsid w:val="00C44BC7"/>
    <w:rsid w:val="00C4581A"/>
    <w:rsid w:val="00C45F19"/>
    <w:rsid w:val="00C47634"/>
    <w:rsid w:val="00C47D8B"/>
    <w:rsid w:val="00C505F6"/>
    <w:rsid w:val="00C5064E"/>
    <w:rsid w:val="00C506D9"/>
    <w:rsid w:val="00C507B1"/>
    <w:rsid w:val="00C50918"/>
    <w:rsid w:val="00C50E93"/>
    <w:rsid w:val="00C51092"/>
    <w:rsid w:val="00C51722"/>
    <w:rsid w:val="00C51802"/>
    <w:rsid w:val="00C5291C"/>
    <w:rsid w:val="00C52D23"/>
    <w:rsid w:val="00C53250"/>
    <w:rsid w:val="00C53542"/>
    <w:rsid w:val="00C535A5"/>
    <w:rsid w:val="00C54B31"/>
    <w:rsid w:val="00C54DC9"/>
    <w:rsid w:val="00C55223"/>
    <w:rsid w:val="00C55A13"/>
    <w:rsid w:val="00C55DC4"/>
    <w:rsid w:val="00C565FA"/>
    <w:rsid w:val="00C56696"/>
    <w:rsid w:val="00C569A3"/>
    <w:rsid w:val="00C56AEB"/>
    <w:rsid w:val="00C570ED"/>
    <w:rsid w:val="00C5735F"/>
    <w:rsid w:val="00C57D86"/>
    <w:rsid w:val="00C57E57"/>
    <w:rsid w:val="00C60131"/>
    <w:rsid w:val="00C602E7"/>
    <w:rsid w:val="00C60371"/>
    <w:rsid w:val="00C60376"/>
    <w:rsid w:val="00C6111C"/>
    <w:rsid w:val="00C613AA"/>
    <w:rsid w:val="00C61486"/>
    <w:rsid w:val="00C627CA"/>
    <w:rsid w:val="00C62B19"/>
    <w:rsid w:val="00C62CFD"/>
    <w:rsid w:val="00C634B8"/>
    <w:rsid w:val="00C63A44"/>
    <w:rsid w:val="00C63FE8"/>
    <w:rsid w:val="00C64F8B"/>
    <w:rsid w:val="00C6543A"/>
    <w:rsid w:val="00C65A69"/>
    <w:rsid w:val="00C65DF8"/>
    <w:rsid w:val="00C65EBE"/>
    <w:rsid w:val="00C66282"/>
    <w:rsid w:val="00C666DD"/>
    <w:rsid w:val="00C671E2"/>
    <w:rsid w:val="00C673EC"/>
    <w:rsid w:val="00C67565"/>
    <w:rsid w:val="00C679F6"/>
    <w:rsid w:val="00C70409"/>
    <w:rsid w:val="00C708A4"/>
    <w:rsid w:val="00C70CF9"/>
    <w:rsid w:val="00C70F76"/>
    <w:rsid w:val="00C713DD"/>
    <w:rsid w:val="00C71595"/>
    <w:rsid w:val="00C7179D"/>
    <w:rsid w:val="00C71CA7"/>
    <w:rsid w:val="00C724E2"/>
    <w:rsid w:val="00C72ADA"/>
    <w:rsid w:val="00C73563"/>
    <w:rsid w:val="00C73B61"/>
    <w:rsid w:val="00C7453B"/>
    <w:rsid w:val="00C74744"/>
    <w:rsid w:val="00C747EA"/>
    <w:rsid w:val="00C74F6C"/>
    <w:rsid w:val="00C7504B"/>
    <w:rsid w:val="00C75CDE"/>
    <w:rsid w:val="00C7643B"/>
    <w:rsid w:val="00C76801"/>
    <w:rsid w:val="00C80411"/>
    <w:rsid w:val="00C81010"/>
    <w:rsid w:val="00C82092"/>
    <w:rsid w:val="00C821F4"/>
    <w:rsid w:val="00C82AE4"/>
    <w:rsid w:val="00C83304"/>
    <w:rsid w:val="00C833F0"/>
    <w:rsid w:val="00C83761"/>
    <w:rsid w:val="00C8399E"/>
    <w:rsid w:val="00C83ED7"/>
    <w:rsid w:val="00C84262"/>
    <w:rsid w:val="00C84615"/>
    <w:rsid w:val="00C84691"/>
    <w:rsid w:val="00C84AA6"/>
    <w:rsid w:val="00C85110"/>
    <w:rsid w:val="00C86661"/>
    <w:rsid w:val="00C87306"/>
    <w:rsid w:val="00C90761"/>
    <w:rsid w:val="00C913A1"/>
    <w:rsid w:val="00C91665"/>
    <w:rsid w:val="00C9169C"/>
    <w:rsid w:val="00C91AED"/>
    <w:rsid w:val="00C91D11"/>
    <w:rsid w:val="00C91DE3"/>
    <w:rsid w:val="00C92118"/>
    <w:rsid w:val="00C9235A"/>
    <w:rsid w:val="00C927F2"/>
    <w:rsid w:val="00C92F03"/>
    <w:rsid w:val="00C93441"/>
    <w:rsid w:val="00C93CFF"/>
    <w:rsid w:val="00C9410A"/>
    <w:rsid w:val="00C9432F"/>
    <w:rsid w:val="00C947E8"/>
    <w:rsid w:val="00C94866"/>
    <w:rsid w:val="00C94CF4"/>
    <w:rsid w:val="00C94DDF"/>
    <w:rsid w:val="00C95474"/>
    <w:rsid w:val="00C955AF"/>
    <w:rsid w:val="00C95A9A"/>
    <w:rsid w:val="00C95D35"/>
    <w:rsid w:val="00C9638C"/>
    <w:rsid w:val="00C9658B"/>
    <w:rsid w:val="00C966ED"/>
    <w:rsid w:val="00C97BF5"/>
    <w:rsid w:val="00C97D90"/>
    <w:rsid w:val="00C97E89"/>
    <w:rsid w:val="00CA05CA"/>
    <w:rsid w:val="00CA0BF5"/>
    <w:rsid w:val="00CA19C4"/>
    <w:rsid w:val="00CA1F61"/>
    <w:rsid w:val="00CA21BB"/>
    <w:rsid w:val="00CA274C"/>
    <w:rsid w:val="00CA29D6"/>
    <w:rsid w:val="00CA2C23"/>
    <w:rsid w:val="00CA30A5"/>
    <w:rsid w:val="00CA3391"/>
    <w:rsid w:val="00CA38A3"/>
    <w:rsid w:val="00CA3A32"/>
    <w:rsid w:val="00CA3DA1"/>
    <w:rsid w:val="00CA4AC8"/>
    <w:rsid w:val="00CA516C"/>
    <w:rsid w:val="00CA5592"/>
    <w:rsid w:val="00CA72F6"/>
    <w:rsid w:val="00CA76E7"/>
    <w:rsid w:val="00CA7F61"/>
    <w:rsid w:val="00CB0F25"/>
    <w:rsid w:val="00CB1692"/>
    <w:rsid w:val="00CB1C07"/>
    <w:rsid w:val="00CB1CA6"/>
    <w:rsid w:val="00CB2453"/>
    <w:rsid w:val="00CB3050"/>
    <w:rsid w:val="00CB39F0"/>
    <w:rsid w:val="00CB3BA9"/>
    <w:rsid w:val="00CB3BB5"/>
    <w:rsid w:val="00CB4A0E"/>
    <w:rsid w:val="00CB56FC"/>
    <w:rsid w:val="00CB5AAA"/>
    <w:rsid w:val="00CB5D68"/>
    <w:rsid w:val="00CB6A33"/>
    <w:rsid w:val="00CB7E5A"/>
    <w:rsid w:val="00CC0292"/>
    <w:rsid w:val="00CC1069"/>
    <w:rsid w:val="00CC1926"/>
    <w:rsid w:val="00CC2A7E"/>
    <w:rsid w:val="00CC330A"/>
    <w:rsid w:val="00CC33AC"/>
    <w:rsid w:val="00CC35FE"/>
    <w:rsid w:val="00CC3738"/>
    <w:rsid w:val="00CC377E"/>
    <w:rsid w:val="00CC3851"/>
    <w:rsid w:val="00CC38E9"/>
    <w:rsid w:val="00CC3DDA"/>
    <w:rsid w:val="00CC45B7"/>
    <w:rsid w:val="00CC479A"/>
    <w:rsid w:val="00CC49AE"/>
    <w:rsid w:val="00CC4B18"/>
    <w:rsid w:val="00CC4CD3"/>
    <w:rsid w:val="00CC5213"/>
    <w:rsid w:val="00CC5B60"/>
    <w:rsid w:val="00CC60A9"/>
    <w:rsid w:val="00CC6472"/>
    <w:rsid w:val="00CC6A99"/>
    <w:rsid w:val="00CC6F0A"/>
    <w:rsid w:val="00CC727F"/>
    <w:rsid w:val="00CC7E1F"/>
    <w:rsid w:val="00CD1243"/>
    <w:rsid w:val="00CD155C"/>
    <w:rsid w:val="00CD1DAE"/>
    <w:rsid w:val="00CD1F1F"/>
    <w:rsid w:val="00CD1FC5"/>
    <w:rsid w:val="00CD2A73"/>
    <w:rsid w:val="00CD2EEC"/>
    <w:rsid w:val="00CD3B30"/>
    <w:rsid w:val="00CD4952"/>
    <w:rsid w:val="00CD4AD6"/>
    <w:rsid w:val="00CD4DF1"/>
    <w:rsid w:val="00CD6B1A"/>
    <w:rsid w:val="00CD74AC"/>
    <w:rsid w:val="00CD7C33"/>
    <w:rsid w:val="00CE0070"/>
    <w:rsid w:val="00CE06A2"/>
    <w:rsid w:val="00CE07B0"/>
    <w:rsid w:val="00CE0843"/>
    <w:rsid w:val="00CE0C1E"/>
    <w:rsid w:val="00CE0D86"/>
    <w:rsid w:val="00CE0F7E"/>
    <w:rsid w:val="00CE1253"/>
    <w:rsid w:val="00CE1428"/>
    <w:rsid w:val="00CE14E6"/>
    <w:rsid w:val="00CE219F"/>
    <w:rsid w:val="00CE238A"/>
    <w:rsid w:val="00CE2751"/>
    <w:rsid w:val="00CE295A"/>
    <w:rsid w:val="00CE2AD1"/>
    <w:rsid w:val="00CE2FED"/>
    <w:rsid w:val="00CE369B"/>
    <w:rsid w:val="00CE4379"/>
    <w:rsid w:val="00CE6054"/>
    <w:rsid w:val="00CE6E70"/>
    <w:rsid w:val="00CE6EA4"/>
    <w:rsid w:val="00CE6F5D"/>
    <w:rsid w:val="00CE7DDC"/>
    <w:rsid w:val="00CF023D"/>
    <w:rsid w:val="00CF0436"/>
    <w:rsid w:val="00CF0D49"/>
    <w:rsid w:val="00CF16BD"/>
    <w:rsid w:val="00CF17B8"/>
    <w:rsid w:val="00CF22E5"/>
    <w:rsid w:val="00CF316F"/>
    <w:rsid w:val="00CF331E"/>
    <w:rsid w:val="00CF33F6"/>
    <w:rsid w:val="00CF36D5"/>
    <w:rsid w:val="00CF3D7F"/>
    <w:rsid w:val="00CF406A"/>
    <w:rsid w:val="00CF4688"/>
    <w:rsid w:val="00CF46AB"/>
    <w:rsid w:val="00CF529C"/>
    <w:rsid w:val="00CF6A4A"/>
    <w:rsid w:val="00CF6BFE"/>
    <w:rsid w:val="00CF7779"/>
    <w:rsid w:val="00CF7CAD"/>
    <w:rsid w:val="00D0078B"/>
    <w:rsid w:val="00D00798"/>
    <w:rsid w:val="00D00AA3"/>
    <w:rsid w:val="00D00BF9"/>
    <w:rsid w:val="00D00C71"/>
    <w:rsid w:val="00D00D0D"/>
    <w:rsid w:val="00D01436"/>
    <w:rsid w:val="00D01636"/>
    <w:rsid w:val="00D01DA7"/>
    <w:rsid w:val="00D02068"/>
    <w:rsid w:val="00D0224B"/>
    <w:rsid w:val="00D02306"/>
    <w:rsid w:val="00D02EBF"/>
    <w:rsid w:val="00D02FE2"/>
    <w:rsid w:val="00D03343"/>
    <w:rsid w:val="00D03484"/>
    <w:rsid w:val="00D037E2"/>
    <w:rsid w:val="00D039D3"/>
    <w:rsid w:val="00D04818"/>
    <w:rsid w:val="00D04AA3"/>
    <w:rsid w:val="00D055B9"/>
    <w:rsid w:val="00D055E1"/>
    <w:rsid w:val="00D058AA"/>
    <w:rsid w:val="00D05DB6"/>
    <w:rsid w:val="00D06071"/>
    <w:rsid w:val="00D06FA2"/>
    <w:rsid w:val="00D070EB"/>
    <w:rsid w:val="00D07F73"/>
    <w:rsid w:val="00D1061B"/>
    <w:rsid w:val="00D10D02"/>
    <w:rsid w:val="00D10E93"/>
    <w:rsid w:val="00D11427"/>
    <w:rsid w:val="00D11434"/>
    <w:rsid w:val="00D11DCD"/>
    <w:rsid w:val="00D11F31"/>
    <w:rsid w:val="00D137D8"/>
    <w:rsid w:val="00D14080"/>
    <w:rsid w:val="00D1480E"/>
    <w:rsid w:val="00D148E9"/>
    <w:rsid w:val="00D14BEA"/>
    <w:rsid w:val="00D169FE"/>
    <w:rsid w:val="00D16B7A"/>
    <w:rsid w:val="00D16E72"/>
    <w:rsid w:val="00D1717E"/>
    <w:rsid w:val="00D176CB"/>
    <w:rsid w:val="00D2009E"/>
    <w:rsid w:val="00D2012D"/>
    <w:rsid w:val="00D20380"/>
    <w:rsid w:val="00D2041C"/>
    <w:rsid w:val="00D2046B"/>
    <w:rsid w:val="00D20502"/>
    <w:rsid w:val="00D20A2B"/>
    <w:rsid w:val="00D20CDB"/>
    <w:rsid w:val="00D20CF0"/>
    <w:rsid w:val="00D213AA"/>
    <w:rsid w:val="00D219BD"/>
    <w:rsid w:val="00D21F5A"/>
    <w:rsid w:val="00D2210D"/>
    <w:rsid w:val="00D224CA"/>
    <w:rsid w:val="00D227C2"/>
    <w:rsid w:val="00D22C3D"/>
    <w:rsid w:val="00D22E48"/>
    <w:rsid w:val="00D23163"/>
    <w:rsid w:val="00D232BC"/>
    <w:rsid w:val="00D24112"/>
    <w:rsid w:val="00D24BB4"/>
    <w:rsid w:val="00D257DC"/>
    <w:rsid w:val="00D258C8"/>
    <w:rsid w:val="00D25ADE"/>
    <w:rsid w:val="00D25DFB"/>
    <w:rsid w:val="00D25F0C"/>
    <w:rsid w:val="00D26A06"/>
    <w:rsid w:val="00D3002F"/>
    <w:rsid w:val="00D306DC"/>
    <w:rsid w:val="00D30C81"/>
    <w:rsid w:val="00D3180F"/>
    <w:rsid w:val="00D324A9"/>
    <w:rsid w:val="00D329EB"/>
    <w:rsid w:val="00D33588"/>
    <w:rsid w:val="00D33630"/>
    <w:rsid w:val="00D3390A"/>
    <w:rsid w:val="00D3424A"/>
    <w:rsid w:val="00D3522F"/>
    <w:rsid w:val="00D3540B"/>
    <w:rsid w:val="00D35669"/>
    <w:rsid w:val="00D357E9"/>
    <w:rsid w:val="00D36E00"/>
    <w:rsid w:val="00D36FFC"/>
    <w:rsid w:val="00D37458"/>
    <w:rsid w:val="00D37506"/>
    <w:rsid w:val="00D37B0D"/>
    <w:rsid w:val="00D40B65"/>
    <w:rsid w:val="00D41626"/>
    <w:rsid w:val="00D42A73"/>
    <w:rsid w:val="00D42FD5"/>
    <w:rsid w:val="00D43297"/>
    <w:rsid w:val="00D43E39"/>
    <w:rsid w:val="00D447FA"/>
    <w:rsid w:val="00D44806"/>
    <w:rsid w:val="00D44ACA"/>
    <w:rsid w:val="00D44DB6"/>
    <w:rsid w:val="00D45053"/>
    <w:rsid w:val="00D45699"/>
    <w:rsid w:val="00D45F85"/>
    <w:rsid w:val="00D45FDC"/>
    <w:rsid w:val="00D4603A"/>
    <w:rsid w:val="00D46101"/>
    <w:rsid w:val="00D4611D"/>
    <w:rsid w:val="00D46137"/>
    <w:rsid w:val="00D46705"/>
    <w:rsid w:val="00D475D6"/>
    <w:rsid w:val="00D47E6E"/>
    <w:rsid w:val="00D50119"/>
    <w:rsid w:val="00D501C6"/>
    <w:rsid w:val="00D5097F"/>
    <w:rsid w:val="00D50A1E"/>
    <w:rsid w:val="00D50CBB"/>
    <w:rsid w:val="00D513F4"/>
    <w:rsid w:val="00D51535"/>
    <w:rsid w:val="00D51B86"/>
    <w:rsid w:val="00D520AD"/>
    <w:rsid w:val="00D52564"/>
    <w:rsid w:val="00D5281B"/>
    <w:rsid w:val="00D528C3"/>
    <w:rsid w:val="00D53557"/>
    <w:rsid w:val="00D53B01"/>
    <w:rsid w:val="00D54260"/>
    <w:rsid w:val="00D54310"/>
    <w:rsid w:val="00D543C9"/>
    <w:rsid w:val="00D54D98"/>
    <w:rsid w:val="00D55303"/>
    <w:rsid w:val="00D556CA"/>
    <w:rsid w:val="00D55787"/>
    <w:rsid w:val="00D55A94"/>
    <w:rsid w:val="00D55DC9"/>
    <w:rsid w:val="00D565F2"/>
    <w:rsid w:val="00D56A07"/>
    <w:rsid w:val="00D57334"/>
    <w:rsid w:val="00D57F22"/>
    <w:rsid w:val="00D6018C"/>
    <w:rsid w:val="00D6054F"/>
    <w:rsid w:val="00D60685"/>
    <w:rsid w:val="00D60AED"/>
    <w:rsid w:val="00D60D3D"/>
    <w:rsid w:val="00D6124F"/>
    <w:rsid w:val="00D6216D"/>
    <w:rsid w:val="00D6288B"/>
    <w:rsid w:val="00D62974"/>
    <w:rsid w:val="00D62A4D"/>
    <w:rsid w:val="00D62C90"/>
    <w:rsid w:val="00D6333C"/>
    <w:rsid w:val="00D634DC"/>
    <w:rsid w:val="00D63DC4"/>
    <w:rsid w:val="00D63EC7"/>
    <w:rsid w:val="00D64485"/>
    <w:rsid w:val="00D64850"/>
    <w:rsid w:val="00D6552D"/>
    <w:rsid w:val="00D65658"/>
    <w:rsid w:val="00D66001"/>
    <w:rsid w:val="00D67110"/>
    <w:rsid w:val="00D671B2"/>
    <w:rsid w:val="00D671BC"/>
    <w:rsid w:val="00D675A2"/>
    <w:rsid w:val="00D67639"/>
    <w:rsid w:val="00D7002A"/>
    <w:rsid w:val="00D706EA"/>
    <w:rsid w:val="00D70EA2"/>
    <w:rsid w:val="00D70F78"/>
    <w:rsid w:val="00D7176B"/>
    <w:rsid w:val="00D71EE5"/>
    <w:rsid w:val="00D72431"/>
    <w:rsid w:val="00D72B75"/>
    <w:rsid w:val="00D72CDC"/>
    <w:rsid w:val="00D72D13"/>
    <w:rsid w:val="00D72EA4"/>
    <w:rsid w:val="00D7333F"/>
    <w:rsid w:val="00D7399E"/>
    <w:rsid w:val="00D73EFE"/>
    <w:rsid w:val="00D73F44"/>
    <w:rsid w:val="00D74245"/>
    <w:rsid w:val="00D74561"/>
    <w:rsid w:val="00D74CEA"/>
    <w:rsid w:val="00D756B8"/>
    <w:rsid w:val="00D75ED8"/>
    <w:rsid w:val="00D76022"/>
    <w:rsid w:val="00D760C4"/>
    <w:rsid w:val="00D761EB"/>
    <w:rsid w:val="00D768A8"/>
    <w:rsid w:val="00D76A74"/>
    <w:rsid w:val="00D76E72"/>
    <w:rsid w:val="00D76FDD"/>
    <w:rsid w:val="00D772ED"/>
    <w:rsid w:val="00D773FC"/>
    <w:rsid w:val="00D803F0"/>
    <w:rsid w:val="00D80821"/>
    <w:rsid w:val="00D809E3"/>
    <w:rsid w:val="00D80E7D"/>
    <w:rsid w:val="00D819BA"/>
    <w:rsid w:val="00D81B90"/>
    <w:rsid w:val="00D82390"/>
    <w:rsid w:val="00D82A43"/>
    <w:rsid w:val="00D833DB"/>
    <w:rsid w:val="00D835DA"/>
    <w:rsid w:val="00D843A3"/>
    <w:rsid w:val="00D8466C"/>
    <w:rsid w:val="00D84D58"/>
    <w:rsid w:val="00D866BC"/>
    <w:rsid w:val="00D86C01"/>
    <w:rsid w:val="00D86D37"/>
    <w:rsid w:val="00D86E0A"/>
    <w:rsid w:val="00D870F7"/>
    <w:rsid w:val="00D87889"/>
    <w:rsid w:val="00D879D5"/>
    <w:rsid w:val="00D87A49"/>
    <w:rsid w:val="00D87B50"/>
    <w:rsid w:val="00D87D96"/>
    <w:rsid w:val="00D91024"/>
    <w:rsid w:val="00D910AF"/>
    <w:rsid w:val="00D91458"/>
    <w:rsid w:val="00D91F1C"/>
    <w:rsid w:val="00D91FAF"/>
    <w:rsid w:val="00D92960"/>
    <w:rsid w:val="00D92EE6"/>
    <w:rsid w:val="00D933BE"/>
    <w:rsid w:val="00D943C3"/>
    <w:rsid w:val="00D947A1"/>
    <w:rsid w:val="00D94DF2"/>
    <w:rsid w:val="00D94F17"/>
    <w:rsid w:val="00D9504F"/>
    <w:rsid w:val="00D95111"/>
    <w:rsid w:val="00D953CD"/>
    <w:rsid w:val="00D95974"/>
    <w:rsid w:val="00D96880"/>
    <w:rsid w:val="00D96CAE"/>
    <w:rsid w:val="00D96DF2"/>
    <w:rsid w:val="00D96E73"/>
    <w:rsid w:val="00D97B68"/>
    <w:rsid w:val="00DA01AC"/>
    <w:rsid w:val="00DA0317"/>
    <w:rsid w:val="00DA077A"/>
    <w:rsid w:val="00DA0B08"/>
    <w:rsid w:val="00DA2988"/>
    <w:rsid w:val="00DA3EE9"/>
    <w:rsid w:val="00DA46B1"/>
    <w:rsid w:val="00DA5804"/>
    <w:rsid w:val="00DA5E53"/>
    <w:rsid w:val="00DA6D4C"/>
    <w:rsid w:val="00DA6D90"/>
    <w:rsid w:val="00DA7451"/>
    <w:rsid w:val="00DA79F0"/>
    <w:rsid w:val="00DA7B5D"/>
    <w:rsid w:val="00DB0A2F"/>
    <w:rsid w:val="00DB1446"/>
    <w:rsid w:val="00DB189C"/>
    <w:rsid w:val="00DB1F3D"/>
    <w:rsid w:val="00DB23EB"/>
    <w:rsid w:val="00DB2863"/>
    <w:rsid w:val="00DB2A69"/>
    <w:rsid w:val="00DB2BF3"/>
    <w:rsid w:val="00DB4D67"/>
    <w:rsid w:val="00DB50AB"/>
    <w:rsid w:val="00DB54B0"/>
    <w:rsid w:val="00DB6252"/>
    <w:rsid w:val="00DB63B2"/>
    <w:rsid w:val="00DB67F5"/>
    <w:rsid w:val="00DB6AE7"/>
    <w:rsid w:val="00DB7262"/>
    <w:rsid w:val="00DB72DB"/>
    <w:rsid w:val="00DB742B"/>
    <w:rsid w:val="00DC015C"/>
    <w:rsid w:val="00DC07C1"/>
    <w:rsid w:val="00DC0A25"/>
    <w:rsid w:val="00DC0A2B"/>
    <w:rsid w:val="00DC0A79"/>
    <w:rsid w:val="00DC0C33"/>
    <w:rsid w:val="00DC14A6"/>
    <w:rsid w:val="00DC178E"/>
    <w:rsid w:val="00DC1FC0"/>
    <w:rsid w:val="00DC21F0"/>
    <w:rsid w:val="00DC2D45"/>
    <w:rsid w:val="00DC2EFC"/>
    <w:rsid w:val="00DC3017"/>
    <w:rsid w:val="00DC314D"/>
    <w:rsid w:val="00DC3276"/>
    <w:rsid w:val="00DC3355"/>
    <w:rsid w:val="00DC336C"/>
    <w:rsid w:val="00DC358F"/>
    <w:rsid w:val="00DC3A45"/>
    <w:rsid w:val="00DC42CE"/>
    <w:rsid w:val="00DC4357"/>
    <w:rsid w:val="00DC4D7B"/>
    <w:rsid w:val="00DC5297"/>
    <w:rsid w:val="00DC557F"/>
    <w:rsid w:val="00DC5749"/>
    <w:rsid w:val="00DC5C4F"/>
    <w:rsid w:val="00DC60FD"/>
    <w:rsid w:val="00DC66E0"/>
    <w:rsid w:val="00DC67FA"/>
    <w:rsid w:val="00DC71DB"/>
    <w:rsid w:val="00DC7278"/>
    <w:rsid w:val="00DC7436"/>
    <w:rsid w:val="00DC7D7B"/>
    <w:rsid w:val="00DC7EDA"/>
    <w:rsid w:val="00DD00FA"/>
    <w:rsid w:val="00DD035C"/>
    <w:rsid w:val="00DD05C4"/>
    <w:rsid w:val="00DD0D26"/>
    <w:rsid w:val="00DD0D4F"/>
    <w:rsid w:val="00DD27B7"/>
    <w:rsid w:val="00DD2A57"/>
    <w:rsid w:val="00DD2AB6"/>
    <w:rsid w:val="00DD2DF9"/>
    <w:rsid w:val="00DD333F"/>
    <w:rsid w:val="00DD3691"/>
    <w:rsid w:val="00DD3E87"/>
    <w:rsid w:val="00DD4372"/>
    <w:rsid w:val="00DD4A4E"/>
    <w:rsid w:val="00DD4DB3"/>
    <w:rsid w:val="00DD5486"/>
    <w:rsid w:val="00DD5519"/>
    <w:rsid w:val="00DD5B72"/>
    <w:rsid w:val="00DD5F02"/>
    <w:rsid w:val="00DD5F86"/>
    <w:rsid w:val="00DD7782"/>
    <w:rsid w:val="00DD7A8F"/>
    <w:rsid w:val="00DE09B8"/>
    <w:rsid w:val="00DE133A"/>
    <w:rsid w:val="00DE16D1"/>
    <w:rsid w:val="00DE1AF0"/>
    <w:rsid w:val="00DE1E5D"/>
    <w:rsid w:val="00DE28BE"/>
    <w:rsid w:val="00DE30C3"/>
    <w:rsid w:val="00DE3BFA"/>
    <w:rsid w:val="00DE433F"/>
    <w:rsid w:val="00DE4A1C"/>
    <w:rsid w:val="00DE4E91"/>
    <w:rsid w:val="00DE5215"/>
    <w:rsid w:val="00DE5589"/>
    <w:rsid w:val="00DE5783"/>
    <w:rsid w:val="00DE5C71"/>
    <w:rsid w:val="00DE5FC6"/>
    <w:rsid w:val="00DE6477"/>
    <w:rsid w:val="00DE6EE0"/>
    <w:rsid w:val="00DE716B"/>
    <w:rsid w:val="00DE748D"/>
    <w:rsid w:val="00DE74A5"/>
    <w:rsid w:val="00DE7F73"/>
    <w:rsid w:val="00DF0744"/>
    <w:rsid w:val="00DF21A2"/>
    <w:rsid w:val="00DF3282"/>
    <w:rsid w:val="00DF3427"/>
    <w:rsid w:val="00DF39CA"/>
    <w:rsid w:val="00DF3A08"/>
    <w:rsid w:val="00DF4898"/>
    <w:rsid w:val="00DF4A89"/>
    <w:rsid w:val="00DF50BF"/>
    <w:rsid w:val="00DF525D"/>
    <w:rsid w:val="00DF54B9"/>
    <w:rsid w:val="00DF58E7"/>
    <w:rsid w:val="00DF5A35"/>
    <w:rsid w:val="00DF5AE1"/>
    <w:rsid w:val="00DF63C6"/>
    <w:rsid w:val="00DF67FD"/>
    <w:rsid w:val="00DF6EAE"/>
    <w:rsid w:val="00DF7025"/>
    <w:rsid w:val="00DF7912"/>
    <w:rsid w:val="00DF7931"/>
    <w:rsid w:val="00DF7A91"/>
    <w:rsid w:val="00DF7F3A"/>
    <w:rsid w:val="00E0016B"/>
    <w:rsid w:val="00E008FC"/>
    <w:rsid w:val="00E02019"/>
    <w:rsid w:val="00E027F6"/>
    <w:rsid w:val="00E02B1E"/>
    <w:rsid w:val="00E036C6"/>
    <w:rsid w:val="00E044C3"/>
    <w:rsid w:val="00E06A5A"/>
    <w:rsid w:val="00E071E7"/>
    <w:rsid w:val="00E0786E"/>
    <w:rsid w:val="00E10986"/>
    <w:rsid w:val="00E10E21"/>
    <w:rsid w:val="00E1111D"/>
    <w:rsid w:val="00E116C9"/>
    <w:rsid w:val="00E11798"/>
    <w:rsid w:val="00E11814"/>
    <w:rsid w:val="00E11876"/>
    <w:rsid w:val="00E12A06"/>
    <w:rsid w:val="00E133CE"/>
    <w:rsid w:val="00E1368C"/>
    <w:rsid w:val="00E13A1F"/>
    <w:rsid w:val="00E13AFD"/>
    <w:rsid w:val="00E13FE2"/>
    <w:rsid w:val="00E140FF"/>
    <w:rsid w:val="00E1413F"/>
    <w:rsid w:val="00E14F15"/>
    <w:rsid w:val="00E154FE"/>
    <w:rsid w:val="00E15602"/>
    <w:rsid w:val="00E15650"/>
    <w:rsid w:val="00E1569A"/>
    <w:rsid w:val="00E15A8D"/>
    <w:rsid w:val="00E15C5F"/>
    <w:rsid w:val="00E1685E"/>
    <w:rsid w:val="00E16885"/>
    <w:rsid w:val="00E20502"/>
    <w:rsid w:val="00E2092B"/>
    <w:rsid w:val="00E20A62"/>
    <w:rsid w:val="00E21043"/>
    <w:rsid w:val="00E21F90"/>
    <w:rsid w:val="00E221B6"/>
    <w:rsid w:val="00E2236F"/>
    <w:rsid w:val="00E23482"/>
    <w:rsid w:val="00E23774"/>
    <w:rsid w:val="00E23CBB"/>
    <w:rsid w:val="00E2488C"/>
    <w:rsid w:val="00E248BE"/>
    <w:rsid w:val="00E257E6"/>
    <w:rsid w:val="00E258DB"/>
    <w:rsid w:val="00E259A3"/>
    <w:rsid w:val="00E25F3C"/>
    <w:rsid w:val="00E26480"/>
    <w:rsid w:val="00E26483"/>
    <w:rsid w:val="00E26698"/>
    <w:rsid w:val="00E266FD"/>
    <w:rsid w:val="00E27C99"/>
    <w:rsid w:val="00E30BB8"/>
    <w:rsid w:val="00E3162D"/>
    <w:rsid w:val="00E31779"/>
    <w:rsid w:val="00E31D85"/>
    <w:rsid w:val="00E31D87"/>
    <w:rsid w:val="00E32799"/>
    <w:rsid w:val="00E32A17"/>
    <w:rsid w:val="00E32FE1"/>
    <w:rsid w:val="00E3306C"/>
    <w:rsid w:val="00E3318E"/>
    <w:rsid w:val="00E3353A"/>
    <w:rsid w:val="00E3355E"/>
    <w:rsid w:val="00E33B7F"/>
    <w:rsid w:val="00E343A2"/>
    <w:rsid w:val="00E34B41"/>
    <w:rsid w:val="00E353CB"/>
    <w:rsid w:val="00E35A6B"/>
    <w:rsid w:val="00E36293"/>
    <w:rsid w:val="00E365BB"/>
    <w:rsid w:val="00E36FBD"/>
    <w:rsid w:val="00E36FFE"/>
    <w:rsid w:val="00E37640"/>
    <w:rsid w:val="00E3768A"/>
    <w:rsid w:val="00E37B59"/>
    <w:rsid w:val="00E40CDF"/>
    <w:rsid w:val="00E40E96"/>
    <w:rsid w:val="00E4148F"/>
    <w:rsid w:val="00E41A51"/>
    <w:rsid w:val="00E42D5D"/>
    <w:rsid w:val="00E43AD1"/>
    <w:rsid w:val="00E443CC"/>
    <w:rsid w:val="00E443FF"/>
    <w:rsid w:val="00E4492D"/>
    <w:rsid w:val="00E459B4"/>
    <w:rsid w:val="00E45FD8"/>
    <w:rsid w:val="00E4607F"/>
    <w:rsid w:val="00E46413"/>
    <w:rsid w:val="00E4662D"/>
    <w:rsid w:val="00E46A08"/>
    <w:rsid w:val="00E46A3B"/>
    <w:rsid w:val="00E46B1E"/>
    <w:rsid w:val="00E46DC0"/>
    <w:rsid w:val="00E47AAB"/>
    <w:rsid w:val="00E47AB4"/>
    <w:rsid w:val="00E47B98"/>
    <w:rsid w:val="00E47C41"/>
    <w:rsid w:val="00E5030A"/>
    <w:rsid w:val="00E5099D"/>
    <w:rsid w:val="00E50ABD"/>
    <w:rsid w:val="00E50CE3"/>
    <w:rsid w:val="00E5220F"/>
    <w:rsid w:val="00E535F5"/>
    <w:rsid w:val="00E536A2"/>
    <w:rsid w:val="00E53880"/>
    <w:rsid w:val="00E53F38"/>
    <w:rsid w:val="00E5496E"/>
    <w:rsid w:val="00E54BA1"/>
    <w:rsid w:val="00E5576A"/>
    <w:rsid w:val="00E559C3"/>
    <w:rsid w:val="00E560C6"/>
    <w:rsid w:val="00E566DD"/>
    <w:rsid w:val="00E56A68"/>
    <w:rsid w:val="00E56FA4"/>
    <w:rsid w:val="00E5756B"/>
    <w:rsid w:val="00E6026F"/>
    <w:rsid w:val="00E604DB"/>
    <w:rsid w:val="00E60892"/>
    <w:rsid w:val="00E609F5"/>
    <w:rsid w:val="00E60D5D"/>
    <w:rsid w:val="00E61132"/>
    <w:rsid w:val="00E61466"/>
    <w:rsid w:val="00E62556"/>
    <w:rsid w:val="00E6255C"/>
    <w:rsid w:val="00E62815"/>
    <w:rsid w:val="00E62CB1"/>
    <w:rsid w:val="00E62D1D"/>
    <w:rsid w:val="00E631A2"/>
    <w:rsid w:val="00E6336A"/>
    <w:rsid w:val="00E63762"/>
    <w:rsid w:val="00E63C04"/>
    <w:rsid w:val="00E63CE4"/>
    <w:rsid w:val="00E6446C"/>
    <w:rsid w:val="00E64607"/>
    <w:rsid w:val="00E64B31"/>
    <w:rsid w:val="00E64F46"/>
    <w:rsid w:val="00E6522C"/>
    <w:rsid w:val="00E6552D"/>
    <w:rsid w:val="00E659F7"/>
    <w:rsid w:val="00E661F5"/>
    <w:rsid w:val="00E66230"/>
    <w:rsid w:val="00E666FD"/>
    <w:rsid w:val="00E66BF8"/>
    <w:rsid w:val="00E67049"/>
    <w:rsid w:val="00E673FE"/>
    <w:rsid w:val="00E677BC"/>
    <w:rsid w:val="00E70198"/>
    <w:rsid w:val="00E7093F"/>
    <w:rsid w:val="00E714FC"/>
    <w:rsid w:val="00E71970"/>
    <w:rsid w:val="00E71A67"/>
    <w:rsid w:val="00E73809"/>
    <w:rsid w:val="00E7399D"/>
    <w:rsid w:val="00E73C16"/>
    <w:rsid w:val="00E7433A"/>
    <w:rsid w:val="00E74753"/>
    <w:rsid w:val="00E75539"/>
    <w:rsid w:val="00E7553C"/>
    <w:rsid w:val="00E76516"/>
    <w:rsid w:val="00E76FDB"/>
    <w:rsid w:val="00E7755B"/>
    <w:rsid w:val="00E7799C"/>
    <w:rsid w:val="00E80ACD"/>
    <w:rsid w:val="00E81BAF"/>
    <w:rsid w:val="00E81BDC"/>
    <w:rsid w:val="00E81BF8"/>
    <w:rsid w:val="00E81D47"/>
    <w:rsid w:val="00E81E4D"/>
    <w:rsid w:val="00E8219C"/>
    <w:rsid w:val="00E82C9F"/>
    <w:rsid w:val="00E82EA1"/>
    <w:rsid w:val="00E82F92"/>
    <w:rsid w:val="00E8326E"/>
    <w:rsid w:val="00E83586"/>
    <w:rsid w:val="00E837BD"/>
    <w:rsid w:val="00E83A5E"/>
    <w:rsid w:val="00E8443A"/>
    <w:rsid w:val="00E84D9E"/>
    <w:rsid w:val="00E85533"/>
    <w:rsid w:val="00E85B55"/>
    <w:rsid w:val="00E85F57"/>
    <w:rsid w:val="00E86051"/>
    <w:rsid w:val="00E863B9"/>
    <w:rsid w:val="00E86A52"/>
    <w:rsid w:val="00E87BAE"/>
    <w:rsid w:val="00E90134"/>
    <w:rsid w:val="00E903E4"/>
    <w:rsid w:val="00E905ED"/>
    <w:rsid w:val="00E906C1"/>
    <w:rsid w:val="00E907F1"/>
    <w:rsid w:val="00E9082B"/>
    <w:rsid w:val="00E908C0"/>
    <w:rsid w:val="00E90A04"/>
    <w:rsid w:val="00E90E28"/>
    <w:rsid w:val="00E90E4B"/>
    <w:rsid w:val="00E91C44"/>
    <w:rsid w:val="00E92885"/>
    <w:rsid w:val="00E92C98"/>
    <w:rsid w:val="00E92E6E"/>
    <w:rsid w:val="00E9393D"/>
    <w:rsid w:val="00E93A33"/>
    <w:rsid w:val="00E93CBB"/>
    <w:rsid w:val="00E93DB2"/>
    <w:rsid w:val="00E93DFE"/>
    <w:rsid w:val="00E94785"/>
    <w:rsid w:val="00E9482C"/>
    <w:rsid w:val="00E9491E"/>
    <w:rsid w:val="00E94A94"/>
    <w:rsid w:val="00E94BAF"/>
    <w:rsid w:val="00E9514A"/>
    <w:rsid w:val="00E9593C"/>
    <w:rsid w:val="00E95964"/>
    <w:rsid w:val="00E96B7F"/>
    <w:rsid w:val="00EA094C"/>
    <w:rsid w:val="00EA0B4C"/>
    <w:rsid w:val="00EA1D1C"/>
    <w:rsid w:val="00EA1D55"/>
    <w:rsid w:val="00EA1D98"/>
    <w:rsid w:val="00EA1F5B"/>
    <w:rsid w:val="00EA2901"/>
    <w:rsid w:val="00EA301F"/>
    <w:rsid w:val="00EA36C6"/>
    <w:rsid w:val="00EA3892"/>
    <w:rsid w:val="00EA3A1E"/>
    <w:rsid w:val="00EA4A8B"/>
    <w:rsid w:val="00EA5141"/>
    <w:rsid w:val="00EA5435"/>
    <w:rsid w:val="00EA5874"/>
    <w:rsid w:val="00EA593F"/>
    <w:rsid w:val="00EA6A0F"/>
    <w:rsid w:val="00EA6A72"/>
    <w:rsid w:val="00EA717A"/>
    <w:rsid w:val="00EA762D"/>
    <w:rsid w:val="00EA7C89"/>
    <w:rsid w:val="00EA7DE8"/>
    <w:rsid w:val="00EB10C1"/>
    <w:rsid w:val="00EB1295"/>
    <w:rsid w:val="00EB14B0"/>
    <w:rsid w:val="00EB18FC"/>
    <w:rsid w:val="00EB1B65"/>
    <w:rsid w:val="00EB226F"/>
    <w:rsid w:val="00EB2901"/>
    <w:rsid w:val="00EB2C4C"/>
    <w:rsid w:val="00EB2CAC"/>
    <w:rsid w:val="00EB2F33"/>
    <w:rsid w:val="00EB3326"/>
    <w:rsid w:val="00EB3C79"/>
    <w:rsid w:val="00EB3E0C"/>
    <w:rsid w:val="00EB4A3E"/>
    <w:rsid w:val="00EB4A48"/>
    <w:rsid w:val="00EB4C50"/>
    <w:rsid w:val="00EB4F46"/>
    <w:rsid w:val="00EB526E"/>
    <w:rsid w:val="00EB5474"/>
    <w:rsid w:val="00EB61BE"/>
    <w:rsid w:val="00EB65FA"/>
    <w:rsid w:val="00EB664A"/>
    <w:rsid w:val="00EB6943"/>
    <w:rsid w:val="00EB6F7D"/>
    <w:rsid w:val="00EB70FE"/>
    <w:rsid w:val="00EB78C4"/>
    <w:rsid w:val="00EC03D1"/>
    <w:rsid w:val="00EC08C3"/>
    <w:rsid w:val="00EC0A0B"/>
    <w:rsid w:val="00EC181D"/>
    <w:rsid w:val="00EC1AEA"/>
    <w:rsid w:val="00EC1FD1"/>
    <w:rsid w:val="00EC207F"/>
    <w:rsid w:val="00EC2A9C"/>
    <w:rsid w:val="00EC2D75"/>
    <w:rsid w:val="00EC32C6"/>
    <w:rsid w:val="00EC3942"/>
    <w:rsid w:val="00EC3C5B"/>
    <w:rsid w:val="00EC4794"/>
    <w:rsid w:val="00EC4948"/>
    <w:rsid w:val="00EC4C03"/>
    <w:rsid w:val="00EC4FAA"/>
    <w:rsid w:val="00EC588D"/>
    <w:rsid w:val="00EC58F7"/>
    <w:rsid w:val="00EC5B78"/>
    <w:rsid w:val="00EC663A"/>
    <w:rsid w:val="00EC783A"/>
    <w:rsid w:val="00EC7DD5"/>
    <w:rsid w:val="00ED0034"/>
    <w:rsid w:val="00ED04F2"/>
    <w:rsid w:val="00ED091E"/>
    <w:rsid w:val="00ED16AF"/>
    <w:rsid w:val="00ED1783"/>
    <w:rsid w:val="00ED1947"/>
    <w:rsid w:val="00ED1CEE"/>
    <w:rsid w:val="00ED2B93"/>
    <w:rsid w:val="00ED3040"/>
    <w:rsid w:val="00ED337D"/>
    <w:rsid w:val="00ED367C"/>
    <w:rsid w:val="00ED3874"/>
    <w:rsid w:val="00ED3F88"/>
    <w:rsid w:val="00ED3F9C"/>
    <w:rsid w:val="00ED428B"/>
    <w:rsid w:val="00ED4496"/>
    <w:rsid w:val="00ED44FD"/>
    <w:rsid w:val="00ED502A"/>
    <w:rsid w:val="00ED50B6"/>
    <w:rsid w:val="00ED51A4"/>
    <w:rsid w:val="00ED520C"/>
    <w:rsid w:val="00ED55C9"/>
    <w:rsid w:val="00ED5673"/>
    <w:rsid w:val="00ED5725"/>
    <w:rsid w:val="00ED59DB"/>
    <w:rsid w:val="00ED5B89"/>
    <w:rsid w:val="00ED5BB2"/>
    <w:rsid w:val="00ED6124"/>
    <w:rsid w:val="00ED636D"/>
    <w:rsid w:val="00ED643C"/>
    <w:rsid w:val="00ED6500"/>
    <w:rsid w:val="00ED6AEB"/>
    <w:rsid w:val="00ED6F45"/>
    <w:rsid w:val="00ED7031"/>
    <w:rsid w:val="00ED7382"/>
    <w:rsid w:val="00ED76A3"/>
    <w:rsid w:val="00ED795C"/>
    <w:rsid w:val="00EE03E9"/>
    <w:rsid w:val="00EE04F3"/>
    <w:rsid w:val="00EE06E3"/>
    <w:rsid w:val="00EE0E98"/>
    <w:rsid w:val="00EE15DD"/>
    <w:rsid w:val="00EE1640"/>
    <w:rsid w:val="00EE186D"/>
    <w:rsid w:val="00EE195D"/>
    <w:rsid w:val="00EE1D6D"/>
    <w:rsid w:val="00EE1FF4"/>
    <w:rsid w:val="00EE29A8"/>
    <w:rsid w:val="00EE2A0B"/>
    <w:rsid w:val="00EE2F62"/>
    <w:rsid w:val="00EE3025"/>
    <w:rsid w:val="00EE3060"/>
    <w:rsid w:val="00EE4315"/>
    <w:rsid w:val="00EE47A3"/>
    <w:rsid w:val="00EE5206"/>
    <w:rsid w:val="00EE54FC"/>
    <w:rsid w:val="00EE5BA6"/>
    <w:rsid w:val="00EE7394"/>
    <w:rsid w:val="00EE791B"/>
    <w:rsid w:val="00EE7B13"/>
    <w:rsid w:val="00EF00A4"/>
    <w:rsid w:val="00EF1219"/>
    <w:rsid w:val="00EF1280"/>
    <w:rsid w:val="00EF1376"/>
    <w:rsid w:val="00EF171D"/>
    <w:rsid w:val="00EF20FD"/>
    <w:rsid w:val="00EF21E4"/>
    <w:rsid w:val="00EF2E4E"/>
    <w:rsid w:val="00EF3208"/>
    <w:rsid w:val="00EF344C"/>
    <w:rsid w:val="00EF364C"/>
    <w:rsid w:val="00EF3A21"/>
    <w:rsid w:val="00EF3CD5"/>
    <w:rsid w:val="00EF404B"/>
    <w:rsid w:val="00EF4DB3"/>
    <w:rsid w:val="00EF5E5B"/>
    <w:rsid w:val="00EF6030"/>
    <w:rsid w:val="00EF6383"/>
    <w:rsid w:val="00EF643F"/>
    <w:rsid w:val="00EF66BA"/>
    <w:rsid w:val="00EF6B43"/>
    <w:rsid w:val="00EF7FE8"/>
    <w:rsid w:val="00F0035E"/>
    <w:rsid w:val="00F00657"/>
    <w:rsid w:val="00F00D99"/>
    <w:rsid w:val="00F01832"/>
    <w:rsid w:val="00F021AA"/>
    <w:rsid w:val="00F02744"/>
    <w:rsid w:val="00F02C74"/>
    <w:rsid w:val="00F02D55"/>
    <w:rsid w:val="00F02F8C"/>
    <w:rsid w:val="00F03B8A"/>
    <w:rsid w:val="00F03D90"/>
    <w:rsid w:val="00F04715"/>
    <w:rsid w:val="00F07319"/>
    <w:rsid w:val="00F07585"/>
    <w:rsid w:val="00F07E83"/>
    <w:rsid w:val="00F103A9"/>
    <w:rsid w:val="00F10B83"/>
    <w:rsid w:val="00F10EF8"/>
    <w:rsid w:val="00F11821"/>
    <w:rsid w:val="00F1189C"/>
    <w:rsid w:val="00F13A9F"/>
    <w:rsid w:val="00F13C79"/>
    <w:rsid w:val="00F13D6A"/>
    <w:rsid w:val="00F13EFB"/>
    <w:rsid w:val="00F15E68"/>
    <w:rsid w:val="00F15FC5"/>
    <w:rsid w:val="00F16BC6"/>
    <w:rsid w:val="00F17938"/>
    <w:rsid w:val="00F17AFF"/>
    <w:rsid w:val="00F17CDA"/>
    <w:rsid w:val="00F17FFE"/>
    <w:rsid w:val="00F20353"/>
    <w:rsid w:val="00F204F9"/>
    <w:rsid w:val="00F20556"/>
    <w:rsid w:val="00F208C0"/>
    <w:rsid w:val="00F21257"/>
    <w:rsid w:val="00F215A9"/>
    <w:rsid w:val="00F218CF"/>
    <w:rsid w:val="00F21AB8"/>
    <w:rsid w:val="00F22015"/>
    <w:rsid w:val="00F2218E"/>
    <w:rsid w:val="00F221FE"/>
    <w:rsid w:val="00F22B7E"/>
    <w:rsid w:val="00F22C97"/>
    <w:rsid w:val="00F2310E"/>
    <w:rsid w:val="00F23BBD"/>
    <w:rsid w:val="00F23C09"/>
    <w:rsid w:val="00F243BA"/>
    <w:rsid w:val="00F24DBB"/>
    <w:rsid w:val="00F253CE"/>
    <w:rsid w:val="00F2558F"/>
    <w:rsid w:val="00F26233"/>
    <w:rsid w:val="00F26ED3"/>
    <w:rsid w:val="00F27260"/>
    <w:rsid w:val="00F27347"/>
    <w:rsid w:val="00F27D0A"/>
    <w:rsid w:val="00F30CD0"/>
    <w:rsid w:val="00F3107B"/>
    <w:rsid w:val="00F32004"/>
    <w:rsid w:val="00F32AFB"/>
    <w:rsid w:val="00F32E64"/>
    <w:rsid w:val="00F33CF9"/>
    <w:rsid w:val="00F33D74"/>
    <w:rsid w:val="00F33F4D"/>
    <w:rsid w:val="00F341F0"/>
    <w:rsid w:val="00F34708"/>
    <w:rsid w:val="00F3493B"/>
    <w:rsid w:val="00F35126"/>
    <w:rsid w:val="00F35358"/>
    <w:rsid w:val="00F35559"/>
    <w:rsid w:val="00F355F2"/>
    <w:rsid w:val="00F360EB"/>
    <w:rsid w:val="00F36824"/>
    <w:rsid w:val="00F36887"/>
    <w:rsid w:val="00F36EBD"/>
    <w:rsid w:val="00F373B9"/>
    <w:rsid w:val="00F37715"/>
    <w:rsid w:val="00F400CA"/>
    <w:rsid w:val="00F401BF"/>
    <w:rsid w:val="00F40F32"/>
    <w:rsid w:val="00F4117E"/>
    <w:rsid w:val="00F4119E"/>
    <w:rsid w:val="00F41D4C"/>
    <w:rsid w:val="00F423D7"/>
    <w:rsid w:val="00F4243A"/>
    <w:rsid w:val="00F42589"/>
    <w:rsid w:val="00F42723"/>
    <w:rsid w:val="00F42C6F"/>
    <w:rsid w:val="00F4388D"/>
    <w:rsid w:val="00F44170"/>
    <w:rsid w:val="00F4480F"/>
    <w:rsid w:val="00F44B28"/>
    <w:rsid w:val="00F4559B"/>
    <w:rsid w:val="00F45687"/>
    <w:rsid w:val="00F45B93"/>
    <w:rsid w:val="00F45F55"/>
    <w:rsid w:val="00F46197"/>
    <w:rsid w:val="00F47424"/>
    <w:rsid w:val="00F47B2E"/>
    <w:rsid w:val="00F47D8C"/>
    <w:rsid w:val="00F5000B"/>
    <w:rsid w:val="00F50124"/>
    <w:rsid w:val="00F502A7"/>
    <w:rsid w:val="00F50B83"/>
    <w:rsid w:val="00F50CEE"/>
    <w:rsid w:val="00F51C5A"/>
    <w:rsid w:val="00F51EEC"/>
    <w:rsid w:val="00F52673"/>
    <w:rsid w:val="00F5275D"/>
    <w:rsid w:val="00F52B4A"/>
    <w:rsid w:val="00F532C1"/>
    <w:rsid w:val="00F53723"/>
    <w:rsid w:val="00F53B89"/>
    <w:rsid w:val="00F53EEC"/>
    <w:rsid w:val="00F54439"/>
    <w:rsid w:val="00F54A5F"/>
    <w:rsid w:val="00F54D4B"/>
    <w:rsid w:val="00F54F19"/>
    <w:rsid w:val="00F55245"/>
    <w:rsid w:val="00F552E3"/>
    <w:rsid w:val="00F556BD"/>
    <w:rsid w:val="00F55BB2"/>
    <w:rsid w:val="00F56034"/>
    <w:rsid w:val="00F56508"/>
    <w:rsid w:val="00F57056"/>
    <w:rsid w:val="00F570E8"/>
    <w:rsid w:val="00F60DB0"/>
    <w:rsid w:val="00F60F43"/>
    <w:rsid w:val="00F611B6"/>
    <w:rsid w:val="00F611F7"/>
    <w:rsid w:val="00F61965"/>
    <w:rsid w:val="00F61D7B"/>
    <w:rsid w:val="00F61D8F"/>
    <w:rsid w:val="00F61FD1"/>
    <w:rsid w:val="00F61FD5"/>
    <w:rsid w:val="00F62439"/>
    <w:rsid w:val="00F62B7A"/>
    <w:rsid w:val="00F62D96"/>
    <w:rsid w:val="00F62DBF"/>
    <w:rsid w:val="00F62DD8"/>
    <w:rsid w:val="00F6307C"/>
    <w:rsid w:val="00F6397D"/>
    <w:rsid w:val="00F63C55"/>
    <w:rsid w:val="00F641E8"/>
    <w:rsid w:val="00F64612"/>
    <w:rsid w:val="00F64B0A"/>
    <w:rsid w:val="00F64DE8"/>
    <w:rsid w:val="00F65132"/>
    <w:rsid w:val="00F654FD"/>
    <w:rsid w:val="00F656AF"/>
    <w:rsid w:val="00F65917"/>
    <w:rsid w:val="00F65AB0"/>
    <w:rsid w:val="00F65C32"/>
    <w:rsid w:val="00F65D17"/>
    <w:rsid w:val="00F66175"/>
    <w:rsid w:val="00F6714F"/>
    <w:rsid w:val="00F67A83"/>
    <w:rsid w:val="00F70151"/>
    <w:rsid w:val="00F7096D"/>
    <w:rsid w:val="00F70A15"/>
    <w:rsid w:val="00F70C70"/>
    <w:rsid w:val="00F710B9"/>
    <w:rsid w:val="00F72769"/>
    <w:rsid w:val="00F7293E"/>
    <w:rsid w:val="00F7298F"/>
    <w:rsid w:val="00F73132"/>
    <w:rsid w:val="00F733F9"/>
    <w:rsid w:val="00F7475E"/>
    <w:rsid w:val="00F74B2D"/>
    <w:rsid w:val="00F75583"/>
    <w:rsid w:val="00F75698"/>
    <w:rsid w:val="00F75753"/>
    <w:rsid w:val="00F75A70"/>
    <w:rsid w:val="00F75AA3"/>
    <w:rsid w:val="00F76650"/>
    <w:rsid w:val="00F76907"/>
    <w:rsid w:val="00F77EA4"/>
    <w:rsid w:val="00F803E7"/>
    <w:rsid w:val="00F80764"/>
    <w:rsid w:val="00F80A4F"/>
    <w:rsid w:val="00F80ACB"/>
    <w:rsid w:val="00F80C58"/>
    <w:rsid w:val="00F8112F"/>
    <w:rsid w:val="00F8169E"/>
    <w:rsid w:val="00F81848"/>
    <w:rsid w:val="00F82434"/>
    <w:rsid w:val="00F82768"/>
    <w:rsid w:val="00F827E3"/>
    <w:rsid w:val="00F830F8"/>
    <w:rsid w:val="00F838E4"/>
    <w:rsid w:val="00F83BD8"/>
    <w:rsid w:val="00F83D9F"/>
    <w:rsid w:val="00F8461B"/>
    <w:rsid w:val="00F8687B"/>
    <w:rsid w:val="00F86A02"/>
    <w:rsid w:val="00F877E7"/>
    <w:rsid w:val="00F87CAA"/>
    <w:rsid w:val="00F90FC7"/>
    <w:rsid w:val="00F91816"/>
    <w:rsid w:val="00F9187B"/>
    <w:rsid w:val="00F91D6A"/>
    <w:rsid w:val="00F91EA3"/>
    <w:rsid w:val="00F91F4B"/>
    <w:rsid w:val="00F92385"/>
    <w:rsid w:val="00F926CC"/>
    <w:rsid w:val="00F92A47"/>
    <w:rsid w:val="00F92B78"/>
    <w:rsid w:val="00F93671"/>
    <w:rsid w:val="00F9384C"/>
    <w:rsid w:val="00F942CA"/>
    <w:rsid w:val="00F94728"/>
    <w:rsid w:val="00F949D9"/>
    <w:rsid w:val="00F94E1E"/>
    <w:rsid w:val="00F953AE"/>
    <w:rsid w:val="00F96059"/>
    <w:rsid w:val="00F96404"/>
    <w:rsid w:val="00F965F6"/>
    <w:rsid w:val="00F96D05"/>
    <w:rsid w:val="00F96EBA"/>
    <w:rsid w:val="00F97100"/>
    <w:rsid w:val="00F97372"/>
    <w:rsid w:val="00F9769D"/>
    <w:rsid w:val="00F97871"/>
    <w:rsid w:val="00F97C45"/>
    <w:rsid w:val="00FA00AB"/>
    <w:rsid w:val="00FA07BF"/>
    <w:rsid w:val="00FA0849"/>
    <w:rsid w:val="00FA0B75"/>
    <w:rsid w:val="00FA1071"/>
    <w:rsid w:val="00FA107E"/>
    <w:rsid w:val="00FA1296"/>
    <w:rsid w:val="00FA13CA"/>
    <w:rsid w:val="00FA16AF"/>
    <w:rsid w:val="00FA1B4F"/>
    <w:rsid w:val="00FA24A0"/>
    <w:rsid w:val="00FA24ED"/>
    <w:rsid w:val="00FA278A"/>
    <w:rsid w:val="00FA2E53"/>
    <w:rsid w:val="00FA319A"/>
    <w:rsid w:val="00FA3FB9"/>
    <w:rsid w:val="00FA4E1D"/>
    <w:rsid w:val="00FA50F3"/>
    <w:rsid w:val="00FA5743"/>
    <w:rsid w:val="00FA60B6"/>
    <w:rsid w:val="00FA62F2"/>
    <w:rsid w:val="00FA657C"/>
    <w:rsid w:val="00FA6887"/>
    <w:rsid w:val="00FA6A7D"/>
    <w:rsid w:val="00FA7140"/>
    <w:rsid w:val="00FA7822"/>
    <w:rsid w:val="00FA7CD8"/>
    <w:rsid w:val="00FB0313"/>
    <w:rsid w:val="00FB052F"/>
    <w:rsid w:val="00FB176F"/>
    <w:rsid w:val="00FB1E69"/>
    <w:rsid w:val="00FB1FA3"/>
    <w:rsid w:val="00FB3E02"/>
    <w:rsid w:val="00FB3E6A"/>
    <w:rsid w:val="00FB45A9"/>
    <w:rsid w:val="00FB47CC"/>
    <w:rsid w:val="00FB5608"/>
    <w:rsid w:val="00FB5A53"/>
    <w:rsid w:val="00FB64C4"/>
    <w:rsid w:val="00FB6A67"/>
    <w:rsid w:val="00FB73B3"/>
    <w:rsid w:val="00FB779B"/>
    <w:rsid w:val="00FC04E7"/>
    <w:rsid w:val="00FC052E"/>
    <w:rsid w:val="00FC097A"/>
    <w:rsid w:val="00FC0984"/>
    <w:rsid w:val="00FC0F80"/>
    <w:rsid w:val="00FC144D"/>
    <w:rsid w:val="00FC16AF"/>
    <w:rsid w:val="00FC2335"/>
    <w:rsid w:val="00FC2375"/>
    <w:rsid w:val="00FC259C"/>
    <w:rsid w:val="00FC35DE"/>
    <w:rsid w:val="00FC3E81"/>
    <w:rsid w:val="00FC4121"/>
    <w:rsid w:val="00FC4202"/>
    <w:rsid w:val="00FC42E7"/>
    <w:rsid w:val="00FC4426"/>
    <w:rsid w:val="00FC47F9"/>
    <w:rsid w:val="00FC4836"/>
    <w:rsid w:val="00FC5323"/>
    <w:rsid w:val="00FC5918"/>
    <w:rsid w:val="00FC5E3D"/>
    <w:rsid w:val="00FC6DB6"/>
    <w:rsid w:val="00FC6F27"/>
    <w:rsid w:val="00FC7425"/>
    <w:rsid w:val="00FD0D4A"/>
    <w:rsid w:val="00FD0E0A"/>
    <w:rsid w:val="00FD158E"/>
    <w:rsid w:val="00FD1763"/>
    <w:rsid w:val="00FD2350"/>
    <w:rsid w:val="00FD235E"/>
    <w:rsid w:val="00FD2785"/>
    <w:rsid w:val="00FD3114"/>
    <w:rsid w:val="00FD32D1"/>
    <w:rsid w:val="00FD32D4"/>
    <w:rsid w:val="00FD3A3D"/>
    <w:rsid w:val="00FD3ADA"/>
    <w:rsid w:val="00FD3CCA"/>
    <w:rsid w:val="00FD4657"/>
    <w:rsid w:val="00FD4BBC"/>
    <w:rsid w:val="00FD58C1"/>
    <w:rsid w:val="00FD645F"/>
    <w:rsid w:val="00FD6AAE"/>
    <w:rsid w:val="00FD7274"/>
    <w:rsid w:val="00FD7847"/>
    <w:rsid w:val="00FE0498"/>
    <w:rsid w:val="00FE0A5E"/>
    <w:rsid w:val="00FE10AA"/>
    <w:rsid w:val="00FE1376"/>
    <w:rsid w:val="00FE1B35"/>
    <w:rsid w:val="00FE1B71"/>
    <w:rsid w:val="00FE1C97"/>
    <w:rsid w:val="00FE1D1D"/>
    <w:rsid w:val="00FE2628"/>
    <w:rsid w:val="00FE2C08"/>
    <w:rsid w:val="00FE3918"/>
    <w:rsid w:val="00FE4309"/>
    <w:rsid w:val="00FE4993"/>
    <w:rsid w:val="00FE4D25"/>
    <w:rsid w:val="00FE5580"/>
    <w:rsid w:val="00FE58B5"/>
    <w:rsid w:val="00FE5BBC"/>
    <w:rsid w:val="00FE60BA"/>
    <w:rsid w:val="00FE61F3"/>
    <w:rsid w:val="00FE62E0"/>
    <w:rsid w:val="00FE6525"/>
    <w:rsid w:val="00FE69D1"/>
    <w:rsid w:val="00FE6CAC"/>
    <w:rsid w:val="00FE7567"/>
    <w:rsid w:val="00FE76A8"/>
    <w:rsid w:val="00FE79A3"/>
    <w:rsid w:val="00FE7CCB"/>
    <w:rsid w:val="00FE7D3D"/>
    <w:rsid w:val="00FF06AB"/>
    <w:rsid w:val="00FF093E"/>
    <w:rsid w:val="00FF0A9A"/>
    <w:rsid w:val="00FF0ACF"/>
    <w:rsid w:val="00FF0CC5"/>
    <w:rsid w:val="00FF0E98"/>
    <w:rsid w:val="00FF1039"/>
    <w:rsid w:val="00FF110C"/>
    <w:rsid w:val="00FF1BB2"/>
    <w:rsid w:val="00FF22D1"/>
    <w:rsid w:val="00FF2D00"/>
    <w:rsid w:val="00FF34D0"/>
    <w:rsid w:val="00FF399A"/>
    <w:rsid w:val="00FF3EF0"/>
    <w:rsid w:val="00FF3F5D"/>
    <w:rsid w:val="00FF444C"/>
    <w:rsid w:val="00FF496B"/>
    <w:rsid w:val="00FF4C7C"/>
    <w:rsid w:val="00FF4D9E"/>
    <w:rsid w:val="00FF4F2B"/>
    <w:rsid w:val="00FF63BF"/>
    <w:rsid w:val="00FF6762"/>
    <w:rsid w:val="00FF6894"/>
    <w:rsid w:val="00FF68E8"/>
    <w:rsid w:val="00FF7A8A"/>
    <w:rsid w:val="010F6979"/>
    <w:rsid w:val="01409D5A"/>
    <w:rsid w:val="01433BE0"/>
    <w:rsid w:val="01808B9E"/>
    <w:rsid w:val="01CBD7A0"/>
    <w:rsid w:val="01E124B1"/>
    <w:rsid w:val="01F98733"/>
    <w:rsid w:val="024C7947"/>
    <w:rsid w:val="02D4910D"/>
    <w:rsid w:val="02FD7CF4"/>
    <w:rsid w:val="037458F5"/>
    <w:rsid w:val="03CA1D6D"/>
    <w:rsid w:val="03EA8273"/>
    <w:rsid w:val="040C3C58"/>
    <w:rsid w:val="042C4AF8"/>
    <w:rsid w:val="0440830A"/>
    <w:rsid w:val="04432EEF"/>
    <w:rsid w:val="0557AFFA"/>
    <w:rsid w:val="056D940F"/>
    <w:rsid w:val="056DE028"/>
    <w:rsid w:val="0580AEB7"/>
    <w:rsid w:val="058E08E5"/>
    <w:rsid w:val="059179DD"/>
    <w:rsid w:val="05CA3E90"/>
    <w:rsid w:val="05D316B5"/>
    <w:rsid w:val="05D5F64A"/>
    <w:rsid w:val="05D647D0"/>
    <w:rsid w:val="05F8664C"/>
    <w:rsid w:val="064B17CB"/>
    <w:rsid w:val="06803BDC"/>
    <w:rsid w:val="06BD9AC9"/>
    <w:rsid w:val="06D91E48"/>
    <w:rsid w:val="06F7BC9D"/>
    <w:rsid w:val="070D459B"/>
    <w:rsid w:val="07399C38"/>
    <w:rsid w:val="075934ED"/>
    <w:rsid w:val="076DDA66"/>
    <w:rsid w:val="07725911"/>
    <w:rsid w:val="0788B390"/>
    <w:rsid w:val="07AB15AD"/>
    <w:rsid w:val="07C4D8FD"/>
    <w:rsid w:val="07E7981C"/>
    <w:rsid w:val="07F51748"/>
    <w:rsid w:val="0870D191"/>
    <w:rsid w:val="0892B5A9"/>
    <w:rsid w:val="08D3EB27"/>
    <w:rsid w:val="0903B935"/>
    <w:rsid w:val="091AD2F6"/>
    <w:rsid w:val="093749EF"/>
    <w:rsid w:val="099BE83B"/>
    <w:rsid w:val="09A8E051"/>
    <w:rsid w:val="0A0541D6"/>
    <w:rsid w:val="0A383A59"/>
    <w:rsid w:val="0A44AD8E"/>
    <w:rsid w:val="0A797D69"/>
    <w:rsid w:val="0A8650C2"/>
    <w:rsid w:val="0A9445BD"/>
    <w:rsid w:val="0AACB7E7"/>
    <w:rsid w:val="0AB5FB2D"/>
    <w:rsid w:val="0AE871B3"/>
    <w:rsid w:val="0AEFDA3F"/>
    <w:rsid w:val="0AF1051F"/>
    <w:rsid w:val="0B00420A"/>
    <w:rsid w:val="0B172D04"/>
    <w:rsid w:val="0B3F26F5"/>
    <w:rsid w:val="0B54A749"/>
    <w:rsid w:val="0B6F92F1"/>
    <w:rsid w:val="0B744BCF"/>
    <w:rsid w:val="0BB51C90"/>
    <w:rsid w:val="0BD040FF"/>
    <w:rsid w:val="0C870D1E"/>
    <w:rsid w:val="0C8A2D02"/>
    <w:rsid w:val="0CEA64B3"/>
    <w:rsid w:val="0D02D7D0"/>
    <w:rsid w:val="0D4FEC82"/>
    <w:rsid w:val="0DA3D1C4"/>
    <w:rsid w:val="0DF3D3B2"/>
    <w:rsid w:val="0DF90F4E"/>
    <w:rsid w:val="0E1F8C8F"/>
    <w:rsid w:val="0E2ECBD4"/>
    <w:rsid w:val="0EA973CC"/>
    <w:rsid w:val="0EBFCD34"/>
    <w:rsid w:val="0F094CA1"/>
    <w:rsid w:val="0F0FEFB1"/>
    <w:rsid w:val="0F413D94"/>
    <w:rsid w:val="0F92BD92"/>
    <w:rsid w:val="0FE891C8"/>
    <w:rsid w:val="0FE91348"/>
    <w:rsid w:val="105B849D"/>
    <w:rsid w:val="106B497C"/>
    <w:rsid w:val="107730C5"/>
    <w:rsid w:val="10C1C932"/>
    <w:rsid w:val="10ECB27C"/>
    <w:rsid w:val="10F34AE7"/>
    <w:rsid w:val="10FC9D1C"/>
    <w:rsid w:val="11439354"/>
    <w:rsid w:val="1146EE4C"/>
    <w:rsid w:val="114909D5"/>
    <w:rsid w:val="1192B219"/>
    <w:rsid w:val="11C80165"/>
    <w:rsid w:val="12CA70E3"/>
    <w:rsid w:val="132A3901"/>
    <w:rsid w:val="13477262"/>
    <w:rsid w:val="1369FB58"/>
    <w:rsid w:val="13C37DD9"/>
    <w:rsid w:val="13D10042"/>
    <w:rsid w:val="143854AF"/>
    <w:rsid w:val="1470BA8A"/>
    <w:rsid w:val="148CE36E"/>
    <w:rsid w:val="14B1BD69"/>
    <w:rsid w:val="14CCE1EF"/>
    <w:rsid w:val="14CF52BA"/>
    <w:rsid w:val="150FED50"/>
    <w:rsid w:val="151C678C"/>
    <w:rsid w:val="1528B3D1"/>
    <w:rsid w:val="167B7279"/>
    <w:rsid w:val="16ACDE11"/>
    <w:rsid w:val="16D54502"/>
    <w:rsid w:val="16E8007F"/>
    <w:rsid w:val="16F90F23"/>
    <w:rsid w:val="16FE9D78"/>
    <w:rsid w:val="1750460B"/>
    <w:rsid w:val="175D6CFF"/>
    <w:rsid w:val="176C7983"/>
    <w:rsid w:val="17882A96"/>
    <w:rsid w:val="179BDD1E"/>
    <w:rsid w:val="17E5471C"/>
    <w:rsid w:val="18045C08"/>
    <w:rsid w:val="18358DF6"/>
    <w:rsid w:val="1849E8CE"/>
    <w:rsid w:val="189DF8CD"/>
    <w:rsid w:val="18CAE9FB"/>
    <w:rsid w:val="18DA022A"/>
    <w:rsid w:val="19261259"/>
    <w:rsid w:val="1994F3AB"/>
    <w:rsid w:val="19B2C47A"/>
    <w:rsid w:val="1A829625"/>
    <w:rsid w:val="1AEA0705"/>
    <w:rsid w:val="1B2DF1AB"/>
    <w:rsid w:val="1B524F5A"/>
    <w:rsid w:val="1B6F7833"/>
    <w:rsid w:val="1BC5DE7D"/>
    <w:rsid w:val="1BD67C61"/>
    <w:rsid w:val="1C491FEC"/>
    <w:rsid w:val="1C8C82E8"/>
    <w:rsid w:val="1CA3F22F"/>
    <w:rsid w:val="1CE88B0B"/>
    <w:rsid w:val="1D08B569"/>
    <w:rsid w:val="1D1627E3"/>
    <w:rsid w:val="1D2187D6"/>
    <w:rsid w:val="1D23374C"/>
    <w:rsid w:val="1D681D4D"/>
    <w:rsid w:val="1D68399A"/>
    <w:rsid w:val="1D7CF0E1"/>
    <w:rsid w:val="1DC7C491"/>
    <w:rsid w:val="1E057978"/>
    <w:rsid w:val="1E49148A"/>
    <w:rsid w:val="1E6D2046"/>
    <w:rsid w:val="1EAA7BA5"/>
    <w:rsid w:val="1EAF2B0C"/>
    <w:rsid w:val="1ECDD9E8"/>
    <w:rsid w:val="1F030832"/>
    <w:rsid w:val="1F11D2D8"/>
    <w:rsid w:val="1F189AEA"/>
    <w:rsid w:val="1F229839"/>
    <w:rsid w:val="1F549ADE"/>
    <w:rsid w:val="1FC2CD7C"/>
    <w:rsid w:val="1FD3192F"/>
    <w:rsid w:val="1FDAAC2D"/>
    <w:rsid w:val="2009EE57"/>
    <w:rsid w:val="201B087E"/>
    <w:rsid w:val="2059FD0C"/>
    <w:rsid w:val="2075F0AC"/>
    <w:rsid w:val="20A48D45"/>
    <w:rsid w:val="20BDB5E6"/>
    <w:rsid w:val="211805DE"/>
    <w:rsid w:val="2151B5E7"/>
    <w:rsid w:val="216E466F"/>
    <w:rsid w:val="218F32E2"/>
    <w:rsid w:val="21A60663"/>
    <w:rsid w:val="21AB7620"/>
    <w:rsid w:val="21D4E473"/>
    <w:rsid w:val="21D9DDFB"/>
    <w:rsid w:val="21F71D76"/>
    <w:rsid w:val="2259563E"/>
    <w:rsid w:val="225BFCCD"/>
    <w:rsid w:val="22621F5A"/>
    <w:rsid w:val="2267884C"/>
    <w:rsid w:val="229A73A0"/>
    <w:rsid w:val="22DEFBD2"/>
    <w:rsid w:val="231BE871"/>
    <w:rsid w:val="23260525"/>
    <w:rsid w:val="236BEC86"/>
    <w:rsid w:val="23AF4E8C"/>
    <w:rsid w:val="23B7BF52"/>
    <w:rsid w:val="23EB2B04"/>
    <w:rsid w:val="24227257"/>
    <w:rsid w:val="246D9029"/>
    <w:rsid w:val="248D5224"/>
    <w:rsid w:val="24C40452"/>
    <w:rsid w:val="24E1D907"/>
    <w:rsid w:val="24F11A3E"/>
    <w:rsid w:val="24F1732B"/>
    <w:rsid w:val="25078275"/>
    <w:rsid w:val="25AB8C07"/>
    <w:rsid w:val="2637624D"/>
    <w:rsid w:val="26678742"/>
    <w:rsid w:val="269257F3"/>
    <w:rsid w:val="26E4815D"/>
    <w:rsid w:val="26EB4593"/>
    <w:rsid w:val="26ED9AE3"/>
    <w:rsid w:val="26FC1D31"/>
    <w:rsid w:val="270160CB"/>
    <w:rsid w:val="2748E64A"/>
    <w:rsid w:val="2781B6E4"/>
    <w:rsid w:val="27820C19"/>
    <w:rsid w:val="278F7FCA"/>
    <w:rsid w:val="284032BF"/>
    <w:rsid w:val="285B8CC6"/>
    <w:rsid w:val="287AB665"/>
    <w:rsid w:val="2888BFB6"/>
    <w:rsid w:val="28958385"/>
    <w:rsid w:val="2896EFC4"/>
    <w:rsid w:val="289CA400"/>
    <w:rsid w:val="289CA61F"/>
    <w:rsid w:val="28BF0D9F"/>
    <w:rsid w:val="2940CBB3"/>
    <w:rsid w:val="2970C12B"/>
    <w:rsid w:val="2984CBFB"/>
    <w:rsid w:val="29C76E6E"/>
    <w:rsid w:val="29E4CEED"/>
    <w:rsid w:val="2A4B52F3"/>
    <w:rsid w:val="2A62E5D7"/>
    <w:rsid w:val="2A82E208"/>
    <w:rsid w:val="2A884B40"/>
    <w:rsid w:val="2AC6DD5B"/>
    <w:rsid w:val="2ADD5364"/>
    <w:rsid w:val="2AE6BB86"/>
    <w:rsid w:val="2AFDA817"/>
    <w:rsid w:val="2B0AE1FA"/>
    <w:rsid w:val="2B139EE7"/>
    <w:rsid w:val="2B3290B1"/>
    <w:rsid w:val="2B7FF897"/>
    <w:rsid w:val="2B96636F"/>
    <w:rsid w:val="2BA6716A"/>
    <w:rsid w:val="2BB18003"/>
    <w:rsid w:val="2BCAC41E"/>
    <w:rsid w:val="2BDF92D8"/>
    <w:rsid w:val="2BF1439E"/>
    <w:rsid w:val="2C516665"/>
    <w:rsid w:val="2C62E05B"/>
    <w:rsid w:val="2CA8E094"/>
    <w:rsid w:val="2CD9F1F6"/>
    <w:rsid w:val="2CE6FCFA"/>
    <w:rsid w:val="2D3FD58F"/>
    <w:rsid w:val="2D840A76"/>
    <w:rsid w:val="2D8C7F5B"/>
    <w:rsid w:val="2D8EE415"/>
    <w:rsid w:val="2D936FDE"/>
    <w:rsid w:val="2D98FA94"/>
    <w:rsid w:val="2DC0D732"/>
    <w:rsid w:val="2DC5E2E4"/>
    <w:rsid w:val="2DD10D15"/>
    <w:rsid w:val="2DDA7346"/>
    <w:rsid w:val="2DF4D373"/>
    <w:rsid w:val="2DFB21BA"/>
    <w:rsid w:val="2E17B509"/>
    <w:rsid w:val="2E3402EC"/>
    <w:rsid w:val="2F1448F5"/>
    <w:rsid w:val="2F16FD7B"/>
    <w:rsid w:val="2F461364"/>
    <w:rsid w:val="2F7DA077"/>
    <w:rsid w:val="2F9B70D4"/>
    <w:rsid w:val="2F9BDC7A"/>
    <w:rsid w:val="2FB03B22"/>
    <w:rsid w:val="2FB23289"/>
    <w:rsid w:val="2FCE0FD1"/>
    <w:rsid w:val="2FE4A75D"/>
    <w:rsid w:val="3022D5CB"/>
    <w:rsid w:val="3033CE4D"/>
    <w:rsid w:val="30451397"/>
    <w:rsid w:val="3059F5CA"/>
    <w:rsid w:val="306FD333"/>
    <w:rsid w:val="311ADBD4"/>
    <w:rsid w:val="312F82FD"/>
    <w:rsid w:val="313A222B"/>
    <w:rsid w:val="313E9D73"/>
    <w:rsid w:val="314DE1F6"/>
    <w:rsid w:val="3153C9DC"/>
    <w:rsid w:val="317005BE"/>
    <w:rsid w:val="3180FDD5"/>
    <w:rsid w:val="3196A833"/>
    <w:rsid w:val="31F43544"/>
    <w:rsid w:val="320D1977"/>
    <w:rsid w:val="32CF1FAD"/>
    <w:rsid w:val="32F725E3"/>
    <w:rsid w:val="330109C1"/>
    <w:rsid w:val="332758FB"/>
    <w:rsid w:val="332C1675"/>
    <w:rsid w:val="33A521AC"/>
    <w:rsid w:val="33D03FCC"/>
    <w:rsid w:val="33D657F3"/>
    <w:rsid w:val="33E2CCF8"/>
    <w:rsid w:val="33F92010"/>
    <w:rsid w:val="34768D79"/>
    <w:rsid w:val="34F79E0E"/>
    <w:rsid w:val="3550AC0D"/>
    <w:rsid w:val="3553F134"/>
    <w:rsid w:val="356977F8"/>
    <w:rsid w:val="35743863"/>
    <w:rsid w:val="3595E5E5"/>
    <w:rsid w:val="35A59650"/>
    <w:rsid w:val="35C5AF64"/>
    <w:rsid w:val="35F73E33"/>
    <w:rsid w:val="35F7E4C8"/>
    <w:rsid w:val="35FA96D0"/>
    <w:rsid w:val="36017859"/>
    <w:rsid w:val="361FAA81"/>
    <w:rsid w:val="3644ADFC"/>
    <w:rsid w:val="36575B4E"/>
    <w:rsid w:val="36BC8C4C"/>
    <w:rsid w:val="36C0EB76"/>
    <w:rsid w:val="36F4F8E5"/>
    <w:rsid w:val="36FC14C8"/>
    <w:rsid w:val="37806C22"/>
    <w:rsid w:val="37B01C6E"/>
    <w:rsid w:val="37C37E61"/>
    <w:rsid w:val="38177405"/>
    <w:rsid w:val="3872B443"/>
    <w:rsid w:val="38799E1C"/>
    <w:rsid w:val="3879F5C9"/>
    <w:rsid w:val="38903FAA"/>
    <w:rsid w:val="3893A552"/>
    <w:rsid w:val="38CE885F"/>
    <w:rsid w:val="38D15EE3"/>
    <w:rsid w:val="38FF1525"/>
    <w:rsid w:val="390A9199"/>
    <w:rsid w:val="3947E24E"/>
    <w:rsid w:val="398FFC5F"/>
    <w:rsid w:val="3A255664"/>
    <w:rsid w:val="3A44CFB4"/>
    <w:rsid w:val="3A536FEA"/>
    <w:rsid w:val="3A7F0199"/>
    <w:rsid w:val="3A8AC2D0"/>
    <w:rsid w:val="3B051924"/>
    <w:rsid w:val="3B261133"/>
    <w:rsid w:val="3B2A7706"/>
    <w:rsid w:val="3B305369"/>
    <w:rsid w:val="3B709825"/>
    <w:rsid w:val="3B9DA203"/>
    <w:rsid w:val="3BACFF36"/>
    <w:rsid w:val="3C5DD776"/>
    <w:rsid w:val="3C6219C3"/>
    <w:rsid w:val="3CA75214"/>
    <w:rsid w:val="3CD7B455"/>
    <w:rsid w:val="3D15298D"/>
    <w:rsid w:val="3D356629"/>
    <w:rsid w:val="3D4A1514"/>
    <w:rsid w:val="3D9A789B"/>
    <w:rsid w:val="3DAD74B8"/>
    <w:rsid w:val="3DBBE7DC"/>
    <w:rsid w:val="3DC4CE84"/>
    <w:rsid w:val="3DD2360E"/>
    <w:rsid w:val="3DD39603"/>
    <w:rsid w:val="3DE4A111"/>
    <w:rsid w:val="3DEA9DEB"/>
    <w:rsid w:val="3E032462"/>
    <w:rsid w:val="3E5929AD"/>
    <w:rsid w:val="3E737D75"/>
    <w:rsid w:val="3E84D251"/>
    <w:rsid w:val="3E9DFB15"/>
    <w:rsid w:val="3ECC012B"/>
    <w:rsid w:val="3F36159B"/>
    <w:rsid w:val="3F713D9E"/>
    <w:rsid w:val="3F7E0055"/>
    <w:rsid w:val="3F7FEA57"/>
    <w:rsid w:val="3F86512B"/>
    <w:rsid w:val="3FAEBA03"/>
    <w:rsid w:val="3FB8D922"/>
    <w:rsid w:val="3FFDBCDE"/>
    <w:rsid w:val="3FFDC762"/>
    <w:rsid w:val="40B58B5E"/>
    <w:rsid w:val="40BE48B5"/>
    <w:rsid w:val="40E5F1CA"/>
    <w:rsid w:val="40F4A5D3"/>
    <w:rsid w:val="412D8040"/>
    <w:rsid w:val="4153335B"/>
    <w:rsid w:val="41903E16"/>
    <w:rsid w:val="41C2755F"/>
    <w:rsid w:val="41E07B4C"/>
    <w:rsid w:val="41E3B4E0"/>
    <w:rsid w:val="41FC3091"/>
    <w:rsid w:val="4210CD56"/>
    <w:rsid w:val="42489384"/>
    <w:rsid w:val="425E5143"/>
    <w:rsid w:val="427190A4"/>
    <w:rsid w:val="42B2D4BA"/>
    <w:rsid w:val="4307BA77"/>
    <w:rsid w:val="432C07B9"/>
    <w:rsid w:val="43564C2C"/>
    <w:rsid w:val="4364B72B"/>
    <w:rsid w:val="4379AD96"/>
    <w:rsid w:val="437FA73E"/>
    <w:rsid w:val="439A8D9F"/>
    <w:rsid w:val="439F90DE"/>
    <w:rsid w:val="43A6C4AD"/>
    <w:rsid w:val="43CFC398"/>
    <w:rsid w:val="43D9828E"/>
    <w:rsid w:val="446B0BD7"/>
    <w:rsid w:val="4482FE27"/>
    <w:rsid w:val="44838687"/>
    <w:rsid w:val="448D1918"/>
    <w:rsid w:val="44B29A06"/>
    <w:rsid w:val="450A717F"/>
    <w:rsid w:val="453992CF"/>
    <w:rsid w:val="45A37D16"/>
    <w:rsid w:val="45AC9CAE"/>
    <w:rsid w:val="464C55AD"/>
    <w:rsid w:val="468ED407"/>
    <w:rsid w:val="46A16907"/>
    <w:rsid w:val="46C30F23"/>
    <w:rsid w:val="46D5CB41"/>
    <w:rsid w:val="470F6594"/>
    <w:rsid w:val="473CCE34"/>
    <w:rsid w:val="475F57F9"/>
    <w:rsid w:val="4769BC03"/>
    <w:rsid w:val="47B355B8"/>
    <w:rsid w:val="47B72103"/>
    <w:rsid w:val="47BF0620"/>
    <w:rsid w:val="47C0018A"/>
    <w:rsid w:val="47CAB44B"/>
    <w:rsid w:val="47EFE3AA"/>
    <w:rsid w:val="47FEC490"/>
    <w:rsid w:val="4800F7F8"/>
    <w:rsid w:val="483FD827"/>
    <w:rsid w:val="48E83E09"/>
    <w:rsid w:val="48FBF78E"/>
    <w:rsid w:val="494811DC"/>
    <w:rsid w:val="49901137"/>
    <w:rsid w:val="49960293"/>
    <w:rsid w:val="49DC2A2B"/>
    <w:rsid w:val="49FCD385"/>
    <w:rsid w:val="4A029D59"/>
    <w:rsid w:val="4AB7B64E"/>
    <w:rsid w:val="4ABE7D74"/>
    <w:rsid w:val="4ADD8A58"/>
    <w:rsid w:val="4B0531C6"/>
    <w:rsid w:val="4B16B2AF"/>
    <w:rsid w:val="4B21EE48"/>
    <w:rsid w:val="4B8316DB"/>
    <w:rsid w:val="4BF6BA10"/>
    <w:rsid w:val="4C3025F5"/>
    <w:rsid w:val="4C3F0241"/>
    <w:rsid w:val="4C84AA76"/>
    <w:rsid w:val="4CDC15D1"/>
    <w:rsid w:val="4CDD7567"/>
    <w:rsid w:val="4D05FDCC"/>
    <w:rsid w:val="4D8229D1"/>
    <w:rsid w:val="4D8F30B0"/>
    <w:rsid w:val="4DFB064E"/>
    <w:rsid w:val="4E563A0D"/>
    <w:rsid w:val="4E7081F4"/>
    <w:rsid w:val="4E83D11F"/>
    <w:rsid w:val="4E9EAEB0"/>
    <w:rsid w:val="4F0E0240"/>
    <w:rsid w:val="4F14C6F4"/>
    <w:rsid w:val="4F3BFB3E"/>
    <w:rsid w:val="4F754E35"/>
    <w:rsid w:val="4F8ADDF4"/>
    <w:rsid w:val="4F940AAF"/>
    <w:rsid w:val="4FB23EE8"/>
    <w:rsid w:val="4FBC8CD6"/>
    <w:rsid w:val="4FC5CB5A"/>
    <w:rsid w:val="4FD81A81"/>
    <w:rsid w:val="50332E27"/>
    <w:rsid w:val="50481A5D"/>
    <w:rsid w:val="50B24160"/>
    <w:rsid w:val="51382C28"/>
    <w:rsid w:val="514A5589"/>
    <w:rsid w:val="5171243F"/>
    <w:rsid w:val="5184018E"/>
    <w:rsid w:val="5206FF7F"/>
    <w:rsid w:val="52295789"/>
    <w:rsid w:val="522B311B"/>
    <w:rsid w:val="52D682F9"/>
    <w:rsid w:val="53034668"/>
    <w:rsid w:val="534119EB"/>
    <w:rsid w:val="53ADC915"/>
    <w:rsid w:val="53EBDF58"/>
    <w:rsid w:val="53F389B1"/>
    <w:rsid w:val="5419C6BA"/>
    <w:rsid w:val="5447104A"/>
    <w:rsid w:val="547DA013"/>
    <w:rsid w:val="54ABE427"/>
    <w:rsid w:val="54F67BC7"/>
    <w:rsid w:val="5509C68D"/>
    <w:rsid w:val="5527601A"/>
    <w:rsid w:val="5542D333"/>
    <w:rsid w:val="5567D6F2"/>
    <w:rsid w:val="558DB6CD"/>
    <w:rsid w:val="55ADA7EB"/>
    <w:rsid w:val="560353A7"/>
    <w:rsid w:val="5630CD33"/>
    <w:rsid w:val="569B4090"/>
    <w:rsid w:val="5751B13B"/>
    <w:rsid w:val="57560A78"/>
    <w:rsid w:val="5773B984"/>
    <w:rsid w:val="57800297"/>
    <w:rsid w:val="57FDE56E"/>
    <w:rsid w:val="58803B31"/>
    <w:rsid w:val="588CEE92"/>
    <w:rsid w:val="58B68A2D"/>
    <w:rsid w:val="58CC8ABA"/>
    <w:rsid w:val="590D4060"/>
    <w:rsid w:val="591C8A51"/>
    <w:rsid w:val="5959A833"/>
    <w:rsid w:val="59A556F4"/>
    <w:rsid w:val="59D481D0"/>
    <w:rsid w:val="59FE3AFB"/>
    <w:rsid w:val="59FF8D32"/>
    <w:rsid w:val="5A4D18AD"/>
    <w:rsid w:val="5A5E7B4F"/>
    <w:rsid w:val="5A63A386"/>
    <w:rsid w:val="5AC3A6E4"/>
    <w:rsid w:val="5AC6D179"/>
    <w:rsid w:val="5ACEF7ED"/>
    <w:rsid w:val="5B0885F1"/>
    <w:rsid w:val="5B20159E"/>
    <w:rsid w:val="5BB746C7"/>
    <w:rsid w:val="5BE1721D"/>
    <w:rsid w:val="5C0B1BA8"/>
    <w:rsid w:val="5C1C9063"/>
    <w:rsid w:val="5CDB7F1A"/>
    <w:rsid w:val="5CEF5070"/>
    <w:rsid w:val="5D6E19DF"/>
    <w:rsid w:val="5D7F1799"/>
    <w:rsid w:val="5D958C7F"/>
    <w:rsid w:val="5D9BC1E0"/>
    <w:rsid w:val="5DFB7EFD"/>
    <w:rsid w:val="5E3C7769"/>
    <w:rsid w:val="5E705BE8"/>
    <w:rsid w:val="5EEF503D"/>
    <w:rsid w:val="5EF2C34D"/>
    <w:rsid w:val="5F16DDE4"/>
    <w:rsid w:val="5FD5445D"/>
    <w:rsid w:val="5FE5C4BA"/>
    <w:rsid w:val="5FF70728"/>
    <w:rsid w:val="60310DAF"/>
    <w:rsid w:val="6047FC79"/>
    <w:rsid w:val="617135DA"/>
    <w:rsid w:val="619924A3"/>
    <w:rsid w:val="6202D6F7"/>
    <w:rsid w:val="6208A8ED"/>
    <w:rsid w:val="62103C95"/>
    <w:rsid w:val="6253FF6B"/>
    <w:rsid w:val="62CCFED1"/>
    <w:rsid w:val="6326BC82"/>
    <w:rsid w:val="6341CFB5"/>
    <w:rsid w:val="638F98CA"/>
    <w:rsid w:val="639512B6"/>
    <w:rsid w:val="63B4C8E4"/>
    <w:rsid w:val="63C6A3D5"/>
    <w:rsid w:val="63DF818E"/>
    <w:rsid w:val="63E05DFF"/>
    <w:rsid w:val="64109DE7"/>
    <w:rsid w:val="64232B1C"/>
    <w:rsid w:val="644BF7F5"/>
    <w:rsid w:val="646A9F03"/>
    <w:rsid w:val="648AF8DD"/>
    <w:rsid w:val="64C226D0"/>
    <w:rsid w:val="64C88146"/>
    <w:rsid w:val="650AE861"/>
    <w:rsid w:val="655095BE"/>
    <w:rsid w:val="6554F99B"/>
    <w:rsid w:val="656C0B4A"/>
    <w:rsid w:val="6583245F"/>
    <w:rsid w:val="65A923A5"/>
    <w:rsid w:val="65AED9EA"/>
    <w:rsid w:val="65C2E548"/>
    <w:rsid w:val="65DF3E2D"/>
    <w:rsid w:val="6616F762"/>
    <w:rsid w:val="662C2A15"/>
    <w:rsid w:val="664AA5E2"/>
    <w:rsid w:val="66994956"/>
    <w:rsid w:val="66AB3649"/>
    <w:rsid w:val="66DE57E4"/>
    <w:rsid w:val="66FCB814"/>
    <w:rsid w:val="672C6BC8"/>
    <w:rsid w:val="6731860B"/>
    <w:rsid w:val="6735F098"/>
    <w:rsid w:val="67368A39"/>
    <w:rsid w:val="67399A7D"/>
    <w:rsid w:val="6748645A"/>
    <w:rsid w:val="678A8EDF"/>
    <w:rsid w:val="678FDB1A"/>
    <w:rsid w:val="680943BE"/>
    <w:rsid w:val="68196610"/>
    <w:rsid w:val="68277D50"/>
    <w:rsid w:val="6843C245"/>
    <w:rsid w:val="689A39D9"/>
    <w:rsid w:val="689B1261"/>
    <w:rsid w:val="68CC4C75"/>
    <w:rsid w:val="68ED153C"/>
    <w:rsid w:val="69167855"/>
    <w:rsid w:val="69EFF969"/>
    <w:rsid w:val="6A00D7B5"/>
    <w:rsid w:val="6A2956C0"/>
    <w:rsid w:val="6AED72C2"/>
    <w:rsid w:val="6B08E984"/>
    <w:rsid w:val="6B4DB408"/>
    <w:rsid w:val="6B6EB23C"/>
    <w:rsid w:val="6BA568D4"/>
    <w:rsid w:val="6BF4F3A5"/>
    <w:rsid w:val="6C59C342"/>
    <w:rsid w:val="6C602E2E"/>
    <w:rsid w:val="6CB88F10"/>
    <w:rsid w:val="6CC5F839"/>
    <w:rsid w:val="6CF782CB"/>
    <w:rsid w:val="6CFD04D1"/>
    <w:rsid w:val="6D2733A9"/>
    <w:rsid w:val="6D4E0C11"/>
    <w:rsid w:val="6D64DF42"/>
    <w:rsid w:val="6D6BE1FB"/>
    <w:rsid w:val="6D750A53"/>
    <w:rsid w:val="6DB169DA"/>
    <w:rsid w:val="6DC1CD23"/>
    <w:rsid w:val="6DD21F1C"/>
    <w:rsid w:val="6DD4A225"/>
    <w:rsid w:val="6DD4AD40"/>
    <w:rsid w:val="6DD71C06"/>
    <w:rsid w:val="6E0216E3"/>
    <w:rsid w:val="6E223501"/>
    <w:rsid w:val="6E742820"/>
    <w:rsid w:val="6EACDCDA"/>
    <w:rsid w:val="6EBEC7AB"/>
    <w:rsid w:val="6EE5A396"/>
    <w:rsid w:val="6EF3B797"/>
    <w:rsid w:val="6F064A22"/>
    <w:rsid w:val="6F23C7CC"/>
    <w:rsid w:val="6F8F8838"/>
    <w:rsid w:val="6FF740E7"/>
    <w:rsid w:val="7012EC87"/>
    <w:rsid w:val="70561F72"/>
    <w:rsid w:val="70617FBD"/>
    <w:rsid w:val="708F566D"/>
    <w:rsid w:val="70A67BD4"/>
    <w:rsid w:val="70EACAD1"/>
    <w:rsid w:val="715DAEAB"/>
    <w:rsid w:val="71647AD0"/>
    <w:rsid w:val="719B6A50"/>
    <w:rsid w:val="719B9418"/>
    <w:rsid w:val="71A0C469"/>
    <w:rsid w:val="71BCE1EE"/>
    <w:rsid w:val="71F72B5C"/>
    <w:rsid w:val="7200F838"/>
    <w:rsid w:val="720767CF"/>
    <w:rsid w:val="72572C9B"/>
    <w:rsid w:val="726B6E31"/>
    <w:rsid w:val="72AD1A9D"/>
    <w:rsid w:val="72B07CE6"/>
    <w:rsid w:val="72B2AFD9"/>
    <w:rsid w:val="72BE2B77"/>
    <w:rsid w:val="72D86EB8"/>
    <w:rsid w:val="72DCA686"/>
    <w:rsid w:val="72EF2D67"/>
    <w:rsid w:val="730270D7"/>
    <w:rsid w:val="732DD715"/>
    <w:rsid w:val="7341B692"/>
    <w:rsid w:val="734414D4"/>
    <w:rsid w:val="73497210"/>
    <w:rsid w:val="73691A16"/>
    <w:rsid w:val="73754F1C"/>
    <w:rsid w:val="7397CF7C"/>
    <w:rsid w:val="739950BE"/>
    <w:rsid w:val="73A4F54A"/>
    <w:rsid w:val="73A57F94"/>
    <w:rsid w:val="73B4633E"/>
    <w:rsid w:val="7408AC24"/>
    <w:rsid w:val="744F9496"/>
    <w:rsid w:val="748A8423"/>
    <w:rsid w:val="74F5B20A"/>
    <w:rsid w:val="7501F87F"/>
    <w:rsid w:val="75047834"/>
    <w:rsid w:val="751E4D2D"/>
    <w:rsid w:val="7534E289"/>
    <w:rsid w:val="75397320"/>
    <w:rsid w:val="758EFE41"/>
    <w:rsid w:val="75CFA99C"/>
    <w:rsid w:val="75D102B1"/>
    <w:rsid w:val="760067DF"/>
    <w:rsid w:val="760D67CC"/>
    <w:rsid w:val="7611D3D5"/>
    <w:rsid w:val="762C621A"/>
    <w:rsid w:val="76386DA0"/>
    <w:rsid w:val="765D9BAD"/>
    <w:rsid w:val="7689F441"/>
    <w:rsid w:val="76B357A0"/>
    <w:rsid w:val="7713469A"/>
    <w:rsid w:val="77E1F8BD"/>
    <w:rsid w:val="77F7B9CA"/>
    <w:rsid w:val="780DCB50"/>
    <w:rsid w:val="78170D91"/>
    <w:rsid w:val="781B1DD5"/>
    <w:rsid w:val="7845F963"/>
    <w:rsid w:val="78C393B8"/>
    <w:rsid w:val="78E0A481"/>
    <w:rsid w:val="78E75E2B"/>
    <w:rsid w:val="78F33B38"/>
    <w:rsid w:val="78FFF816"/>
    <w:rsid w:val="7930D167"/>
    <w:rsid w:val="7930E3C7"/>
    <w:rsid w:val="794476BE"/>
    <w:rsid w:val="79A77609"/>
    <w:rsid w:val="79F4DDDF"/>
    <w:rsid w:val="7A9A0765"/>
    <w:rsid w:val="7ACE3483"/>
    <w:rsid w:val="7ADBC5DC"/>
    <w:rsid w:val="7B20EF40"/>
    <w:rsid w:val="7B30607E"/>
    <w:rsid w:val="7B4C2F57"/>
    <w:rsid w:val="7B7E1B4D"/>
    <w:rsid w:val="7B8E9751"/>
    <w:rsid w:val="7C6C0EED"/>
    <w:rsid w:val="7D44D337"/>
    <w:rsid w:val="7D58EC08"/>
    <w:rsid w:val="7D8230FA"/>
    <w:rsid w:val="7D922FB8"/>
    <w:rsid w:val="7DB102D6"/>
    <w:rsid w:val="7DB78FF3"/>
    <w:rsid w:val="7DC7847C"/>
    <w:rsid w:val="7E3F1651"/>
    <w:rsid w:val="7E630F3E"/>
    <w:rsid w:val="7F274E5A"/>
    <w:rsid w:val="7F681A3A"/>
    <w:rsid w:val="7F895B5D"/>
    <w:rsid w:val="7FFCA7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EDF11D"/>
  <w15:chartTrackingRefBased/>
  <w15:docId w15:val="{6466CF8D-B193-4DBF-AC6C-1B4D98D705B4}"/>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lsdException w:name="heading 5" w:semiHidden="1" w:uiPriority="4"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25E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A56F2"/>
    <w:pPr>
      <w:numPr>
        <w:numId w:val="4"/>
      </w:numPr>
    </w:pPr>
    <w:rPr>
      <w:rFonts w:eastAsiaTheme="majorEastAsia" w:cstheme="majorBidi"/>
      <w:szCs w:val="32"/>
    </w:rPr>
  </w:style>
  <w:style w:type="paragraph" w:styleId="Heading2">
    <w:name w:val="heading 2"/>
    <w:basedOn w:val="Dummy"/>
    <w:next w:val="Standard"/>
    <w:link w:val="Heading2Char"/>
    <w:uiPriority w:val="4"/>
    <w:qFormat/>
    <w:rsid w:val="000A56F2"/>
    <w:pPr>
      <w:numPr>
        <w:ilvl w:val="1"/>
        <w:numId w:val="4"/>
      </w:numPr>
      <w:outlineLvl w:val="1"/>
    </w:pPr>
  </w:style>
  <w:style w:type="paragraph" w:styleId="Heading3">
    <w:name w:val="heading 3"/>
    <w:basedOn w:val="Dummy"/>
    <w:next w:val="Standard"/>
    <w:link w:val="Heading3Char"/>
    <w:uiPriority w:val="4"/>
    <w:qFormat/>
    <w:rsid w:val="00B725EE"/>
    <w:pPr>
      <w:numPr>
        <w:ilvl w:val="2"/>
        <w:numId w:val="4"/>
      </w:numPr>
      <w:outlineLvl w:val="2"/>
    </w:pPr>
    <w:rPr>
      <w:rFonts w:eastAsiaTheme="majorEastAsia" w:cstheme="majorBidi"/>
      <w:szCs w:val="24"/>
    </w:rPr>
  </w:style>
  <w:style w:type="paragraph" w:styleId="Heading4">
    <w:name w:val="heading 4"/>
    <w:basedOn w:val="Dummy"/>
    <w:next w:val="Standard"/>
    <w:link w:val="Heading4Char"/>
    <w:uiPriority w:val="4"/>
    <w:rsid w:val="000A56F2"/>
    <w:pPr>
      <w:numPr>
        <w:ilvl w:val="3"/>
        <w:numId w:val="4"/>
      </w:numPr>
      <w:outlineLvl w:val="3"/>
    </w:pPr>
    <w:rPr>
      <w:rFonts w:eastAsiaTheme="majorEastAsia" w:cstheme="majorBidi"/>
      <w:iCs/>
    </w:rPr>
  </w:style>
  <w:style w:type="paragraph" w:styleId="Heading5">
    <w:name w:val="heading 5"/>
    <w:basedOn w:val="Dummy"/>
    <w:next w:val="Standard"/>
    <w:link w:val="Heading5Char"/>
    <w:uiPriority w:val="4"/>
    <w:rsid w:val="000A56F2"/>
    <w:pPr>
      <w:numPr>
        <w:ilvl w:val="4"/>
        <w:numId w:val="4"/>
      </w:numPr>
      <w:outlineLvl w:val="4"/>
    </w:pPr>
    <w:rPr>
      <w:rFonts w:eastAsiaTheme="majorEastAsia" w:cstheme="majorBidi"/>
    </w:rPr>
  </w:style>
  <w:style w:type="paragraph" w:styleId="Heading6">
    <w:name w:val="heading 6"/>
    <w:basedOn w:val="Dummy"/>
    <w:next w:val="Standard"/>
    <w:link w:val="Heading6Char"/>
    <w:uiPriority w:val="4"/>
    <w:rsid w:val="000A56F2"/>
    <w:pPr>
      <w:numPr>
        <w:ilvl w:val="5"/>
        <w:numId w:val="4"/>
      </w:numPr>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36017B"/>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ED5725"/>
    <w:rPr>
      <w:rFonts w:ascii="Arial" w:hAnsi="Arial" w:cs="Arial"/>
      <w:b/>
      <w:sz w:val="26"/>
      <w:szCs w:val="26"/>
    </w:rPr>
  </w:style>
  <w:style w:type="character" w:customStyle="1" w:styleId="Heading3Char">
    <w:name w:val="Heading 3 Char"/>
    <w:basedOn w:val="DefaultParagraphFont"/>
    <w:link w:val="Heading3"/>
    <w:uiPriority w:val="4"/>
    <w:rsid w:val="00B725EE"/>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7A406D"/>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unhideWhenUsed/>
    <w:rsid w:val="00D82A43"/>
    <w:pPr>
      <w:spacing w:after="100"/>
      <w:ind w:left="2080"/>
    </w:pPr>
  </w:style>
  <w:style w:type="paragraph" w:styleId="Header">
    <w:name w:val="header"/>
    <w:basedOn w:val="Normal"/>
    <w:link w:val="HeaderChar"/>
    <w:uiPriority w:val="99"/>
    <w:rsid w:val="0098138E"/>
    <w:pPr>
      <w:tabs>
        <w:tab w:val="center" w:pos="4680"/>
        <w:tab w:val="right" w:pos="9360"/>
      </w:tabs>
      <w:spacing w:line="240" w:lineRule="auto"/>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 Char,Footnote Text Char2 Char,Footnote Text Char Char Char,Footnote Text Char2 Char Char Char,Footnote Text Char Char Char Char Char,Footnote Text Char2 Char Char Char Char1 Char,fn,Footnote Text Char2,ALTS FOOTNOTE"/>
    <w:basedOn w:val="Normal"/>
    <w:link w:val="FootnoteTextChar"/>
    <w:rsid w:val="00B01F7E"/>
    <w:pPr>
      <w:spacing w:after="120" w:line="240" w:lineRule="auto"/>
      <w:ind w:firstLine="0"/>
    </w:pPr>
    <w:rPr>
      <w:sz w:val="22"/>
      <w:szCs w:val="20"/>
    </w:rPr>
  </w:style>
  <w:style w:type="character" w:customStyle="1" w:styleId="FootnoteTextChar">
    <w:name w:val="Footnote Text Char"/>
    <w:aliases w:val="Footnote Text Char Char Char1,Footnote Text Char2 Char Char,Footnote Text Char Char Char Char,Footnote Text Char2 Char Char Char Char,Footnote Text Char Char Char Char Char Char,Footnote Text Char2 Char Char Char Char1 Char Char"/>
    <w:basedOn w:val="DefaultParagraphFont"/>
    <w:link w:val="FootnoteText"/>
    <w:rsid w:val="007657C1"/>
    <w:rPr>
      <w:rFonts w:ascii="Book Antiqua" w:hAnsi="Book Antiqua"/>
      <w:szCs w:val="20"/>
    </w:rPr>
  </w:style>
  <w:style w:type="character" w:styleId="FootnoteReference">
    <w:name w:val="footnote reference"/>
    <w:aliases w:val="o,fr,o1,o2,o3,o4,o5,o6,o11,o21,o7,Style 12,(NECG) Footnote Reference,Appel note de bas de p,Style 124,o + Times New Roman,Style 3,Style 17,Style 20,Style 13,fr1,fr2,fr3"/>
    <w:basedOn w:val="DefaultParagraphFont"/>
    <w:semiHidden/>
    <w:unhideWhenUsed/>
    <w:rsid w:val="00DF58E7"/>
    <w:rPr>
      <w:vertAlign w:val="superscript"/>
    </w:rPr>
  </w:style>
  <w:style w:type="paragraph" w:customStyle="1" w:styleId="FoF">
    <w:name w:val="FoF"/>
    <w:basedOn w:val="Standard"/>
    <w:uiPriority w:val="6"/>
    <w:qFormat/>
    <w:rsid w:val="001E2A62"/>
    <w:pPr>
      <w:numPr>
        <w:numId w:val="6"/>
      </w:numPr>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rsid w:val="001E2A62"/>
    <w:pPr>
      <w:spacing w:line="240" w:lineRule="auto"/>
      <w:ind w:firstLine="0"/>
    </w:pPr>
  </w:style>
  <w:style w:type="paragraph" w:customStyle="1" w:styleId="OP">
    <w:name w:val="OP"/>
    <w:basedOn w:val="Standard"/>
    <w:uiPriority w:val="8"/>
    <w:qFormat/>
    <w:rsid w:val="001E2A62"/>
    <w:pPr>
      <w:numPr>
        <w:numId w:val="7"/>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A56F2"/>
    <w:pPr>
      <w:numPr>
        <w:numId w:val="3"/>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A56F2"/>
    <w:pPr>
      <w:numPr>
        <w:ilvl w:val="7"/>
        <w:numId w:val="4"/>
      </w:numPr>
      <w:spacing w:after="120" w:line="240" w:lineRule="auto"/>
    </w:pPr>
  </w:style>
  <w:style w:type="paragraph" w:styleId="ListBullet">
    <w:name w:val="List Bullet"/>
    <w:basedOn w:val="Standard"/>
    <w:uiPriority w:val="4"/>
    <w:qFormat/>
    <w:rsid w:val="001F2819"/>
    <w:pPr>
      <w:numPr>
        <w:numId w:val="5"/>
      </w:numPr>
      <w:tabs>
        <w:tab w:val="clear" w:pos="360"/>
      </w:tabs>
      <w:spacing w:after="120" w:line="240" w:lineRule="auto"/>
      <w:ind w:left="1080"/>
    </w:pPr>
  </w:style>
  <w:style w:type="character" w:customStyle="1" w:styleId="Heading6Char">
    <w:name w:val="Heading 6 Char"/>
    <w:basedOn w:val="DefaultParagraphFont"/>
    <w:link w:val="Heading6"/>
    <w:uiPriority w:val="4"/>
    <w:rsid w:val="000A56F2"/>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character" w:styleId="CommentReference">
    <w:name w:val="annotation reference"/>
    <w:basedOn w:val="DefaultParagraphFont"/>
    <w:uiPriority w:val="99"/>
    <w:semiHidden/>
    <w:unhideWhenUsed/>
    <w:rsid w:val="00566F59"/>
    <w:rPr>
      <w:sz w:val="16"/>
      <w:szCs w:val="16"/>
    </w:rPr>
  </w:style>
  <w:style w:type="paragraph" w:styleId="CommentText">
    <w:name w:val="annotation text"/>
    <w:basedOn w:val="Normal"/>
    <w:link w:val="CommentTextChar"/>
    <w:uiPriority w:val="99"/>
    <w:unhideWhenUsed/>
    <w:rsid w:val="00566F59"/>
    <w:pPr>
      <w:spacing w:line="240" w:lineRule="auto"/>
    </w:pPr>
    <w:rPr>
      <w:sz w:val="20"/>
      <w:szCs w:val="20"/>
    </w:rPr>
  </w:style>
  <w:style w:type="character" w:customStyle="1" w:styleId="CommentTextChar">
    <w:name w:val="Comment Text Char"/>
    <w:basedOn w:val="DefaultParagraphFont"/>
    <w:link w:val="CommentText"/>
    <w:uiPriority w:val="99"/>
    <w:rsid w:val="00566F59"/>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566F59"/>
    <w:rPr>
      <w:b/>
      <w:bCs/>
    </w:rPr>
  </w:style>
  <w:style w:type="character" w:customStyle="1" w:styleId="CommentSubjectChar">
    <w:name w:val="Comment Subject Char"/>
    <w:basedOn w:val="CommentTextChar"/>
    <w:link w:val="CommentSubject"/>
    <w:uiPriority w:val="99"/>
    <w:semiHidden/>
    <w:rsid w:val="00566F59"/>
    <w:rPr>
      <w:rFonts w:ascii="Book Antiqua" w:hAnsi="Book Antiqua"/>
      <w:b/>
      <w:bCs/>
      <w:sz w:val="20"/>
      <w:szCs w:val="20"/>
    </w:rPr>
  </w:style>
  <w:style w:type="paragraph" w:styleId="EndnoteText">
    <w:name w:val="endnote text"/>
    <w:basedOn w:val="Normal"/>
    <w:link w:val="EndnoteTextChar"/>
    <w:uiPriority w:val="99"/>
    <w:semiHidden/>
    <w:unhideWhenUsed/>
    <w:rsid w:val="00F20556"/>
    <w:pPr>
      <w:spacing w:line="240" w:lineRule="auto"/>
    </w:pPr>
    <w:rPr>
      <w:sz w:val="20"/>
      <w:szCs w:val="20"/>
    </w:rPr>
  </w:style>
  <w:style w:type="character" w:customStyle="1" w:styleId="EndnoteTextChar">
    <w:name w:val="Endnote Text Char"/>
    <w:basedOn w:val="DefaultParagraphFont"/>
    <w:link w:val="EndnoteText"/>
    <w:uiPriority w:val="99"/>
    <w:semiHidden/>
    <w:rsid w:val="00F20556"/>
    <w:rPr>
      <w:rFonts w:ascii="Book Antiqua" w:hAnsi="Book Antiqua"/>
      <w:sz w:val="20"/>
      <w:szCs w:val="20"/>
    </w:rPr>
  </w:style>
  <w:style w:type="character" w:styleId="EndnoteReference">
    <w:name w:val="endnote reference"/>
    <w:basedOn w:val="DefaultParagraphFont"/>
    <w:uiPriority w:val="99"/>
    <w:semiHidden/>
    <w:unhideWhenUsed/>
    <w:rsid w:val="00F20556"/>
    <w:rPr>
      <w:vertAlign w:val="superscript"/>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87F5B"/>
    <w:pPr>
      <w:spacing w:after="0" w:line="240" w:lineRule="auto"/>
    </w:pPr>
    <w:rPr>
      <w:rFonts w:ascii="Book Antiqua" w:hAnsi="Book Antiqua"/>
      <w:sz w:val="26"/>
    </w:rPr>
  </w:style>
  <w:style w:type="character" w:styleId="UnresolvedMention">
    <w:name w:val="Unresolved Mention"/>
    <w:basedOn w:val="DefaultParagraphFont"/>
    <w:uiPriority w:val="99"/>
    <w:unhideWhenUsed/>
    <w:rsid w:val="00974B87"/>
    <w:rPr>
      <w:color w:val="605E5C"/>
      <w:shd w:val="clear" w:color="auto" w:fill="E1DFDD"/>
    </w:rPr>
  </w:style>
  <w:style w:type="character" w:customStyle="1" w:styleId="s1">
    <w:name w:val="s1"/>
    <w:basedOn w:val="DefaultParagraphFont"/>
    <w:rsid w:val="00CC4B18"/>
  </w:style>
  <w:style w:type="character" w:styleId="FollowedHyperlink">
    <w:name w:val="FollowedHyperlink"/>
    <w:basedOn w:val="DefaultParagraphFont"/>
    <w:uiPriority w:val="99"/>
    <w:semiHidden/>
    <w:unhideWhenUsed/>
    <w:rsid w:val="00C66282"/>
    <w:rPr>
      <w:color w:val="954F72" w:themeColor="followedHyperlink"/>
      <w:u w:val="single"/>
    </w:rPr>
  </w:style>
  <w:style w:type="paragraph" w:customStyle="1" w:styleId="standard0">
    <w:name w:val="standard"/>
    <w:basedOn w:val="Normal"/>
    <w:link w:val="standardChar"/>
    <w:rsid w:val="00237C85"/>
    <w:rPr>
      <w:rFonts w:ascii="Palatino" w:eastAsia="Times New Roman" w:hAnsi="Palatino" w:cs="Times New Roman"/>
      <w:szCs w:val="20"/>
    </w:rPr>
  </w:style>
  <w:style w:type="character" w:customStyle="1" w:styleId="standardChar">
    <w:name w:val="standard Char"/>
    <w:link w:val="standard0"/>
    <w:rsid w:val="00237C85"/>
    <w:rPr>
      <w:rFonts w:ascii="Palatino" w:eastAsia="Times New Roman" w:hAnsi="Palatino" w:cs="Times New Roman"/>
      <w:sz w:val="26"/>
      <w:szCs w:val="20"/>
    </w:rPr>
  </w:style>
  <w:style w:type="paragraph" w:customStyle="1" w:styleId="StyleHeading6Left05Hanging106">
    <w:name w:val="Style Heading 6 + Left:  0.5&quot; Hanging:  1.06&quot;"/>
    <w:basedOn w:val="Heading6"/>
    <w:rsid w:val="0030650E"/>
    <w:pPr>
      <w:keepNext w:val="0"/>
      <w:keepLines w:val="0"/>
      <w:numPr>
        <w:numId w:val="8"/>
      </w:numPr>
      <w:tabs>
        <w:tab w:val="left" w:pos="2250"/>
      </w:tabs>
      <w:spacing w:before="120"/>
    </w:pPr>
    <w:rPr>
      <w:rFonts w:ascii="Helvetica" w:eastAsia="Times New Roman" w:hAnsi="Helvetica" w:cs="Times New Roman"/>
      <w:szCs w:val="20"/>
    </w:rPr>
  </w:style>
  <w:style w:type="character" w:styleId="PageNumber">
    <w:name w:val="page number"/>
    <w:basedOn w:val="DefaultParagraphFont"/>
    <w:rsid w:val="00C535A5"/>
  </w:style>
  <w:style w:type="table" w:customStyle="1" w:styleId="PlainTable11">
    <w:name w:val="Plain Table 11"/>
    <w:basedOn w:val="TableNormal"/>
    <w:uiPriority w:val="41"/>
    <w:rsid w:val="00C535A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24116"/>
    <w:pPr>
      <w:ind w:left="720"/>
      <w:contextualSpacing/>
    </w:pPr>
  </w:style>
  <w:style w:type="paragraph" w:customStyle="1" w:styleId="num1">
    <w:name w:val="num1"/>
    <w:basedOn w:val="Normal"/>
    <w:link w:val="num1Char"/>
    <w:rsid w:val="00DF7F3A"/>
    <w:pPr>
      <w:tabs>
        <w:tab w:val="left" w:pos="-720"/>
      </w:tabs>
      <w:suppressAutoHyphens/>
      <w:ind w:firstLine="360"/>
    </w:pPr>
    <w:rPr>
      <w:rFonts w:ascii="Palatino" w:eastAsia="Times New Roman" w:hAnsi="Palatino" w:cs="Times New Roman"/>
      <w:szCs w:val="20"/>
    </w:rPr>
  </w:style>
  <w:style w:type="paragraph" w:customStyle="1" w:styleId="mainex0">
    <w:name w:val="mainex"/>
    <w:basedOn w:val="Main"/>
    <w:rsid w:val="00DF7F3A"/>
    <w:rPr>
      <w:rFonts w:ascii="Helvetica" w:eastAsia="Times New Roman" w:hAnsi="Helvetica" w:cs="Times New Roman"/>
      <w:caps w:val="0"/>
      <w:spacing w:val="120"/>
      <w:szCs w:val="20"/>
    </w:rPr>
  </w:style>
  <w:style w:type="paragraph" w:customStyle="1" w:styleId="num2">
    <w:name w:val="num2"/>
    <w:basedOn w:val="num1"/>
    <w:rsid w:val="00DF7F3A"/>
    <w:pPr>
      <w:ind w:firstLine="270"/>
    </w:pPr>
  </w:style>
  <w:style w:type="paragraph" w:customStyle="1" w:styleId="Default">
    <w:name w:val="Default"/>
    <w:rsid w:val="00B610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27">
    <w:name w:val="xl27"/>
    <w:basedOn w:val="Normal"/>
    <w:rsid w:val="009D2B0A"/>
    <w:pPr>
      <w:spacing w:before="100" w:beforeAutospacing="1" w:after="100" w:afterAutospacing="1" w:line="240" w:lineRule="auto"/>
      <w:ind w:firstLine="0"/>
      <w:jc w:val="center"/>
    </w:pPr>
    <w:rPr>
      <w:rFonts w:ascii="Arial" w:eastAsia="Arial Unicode MS" w:hAnsi="Arial" w:cs="Arial"/>
      <w:b/>
      <w:bCs/>
      <w:sz w:val="24"/>
      <w:szCs w:val="24"/>
    </w:rPr>
  </w:style>
  <w:style w:type="paragraph" w:styleId="TOC7">
    <w:name w:val="toc 7"/>
    <w:basedOn w:val="Normal"/>
    <w:next w:val="Normal"/>
    <w:autoRedefine/>
    <w:uiPriority w:val="39"/>
    <w:unhideWhenUsed/>
    <w:rsid w:val="00E8219C"/>
    <w:pPr>
      <w:spacing w:after="100" w:line="259" w:lineRule="auto"/>
      <w:ind w:left="1320" w:firstLine="0"/>
    </w:pPr>
    <w:rPr>
      <w:rFonts w:asciiTheme="minorHAnsi" w:eastAsiaTheme="minorEastAsia" w:hAnsiTheme="minorHAnsi"/>
      <w:sz w:val="22"/>
    </w:rPr>
  </w:style>
  <w:style w:type="paragraph" w:styleId="TOC8">
    <w:name w:val="toc 8"/>
    <w:basedOn w:val="Normal"/>
    <w:next w:val="Normal"/>
    <w:autoRedefine/>
    <w:uiPriority w:val="39"/>
    <w:unhideWhenUsed/>
    <w:rsid w:val="00E8219C"/>
    <w:pPr>
      <w:spacing w:after="100" w:line="259" w:lineRule="auto"/>
      <w:ind w:left="1540" w:firstLine="0"/>
    </w:pPr>
    <w:rPr>
      <w:rFonts w:asciiTheme="minorHAnsi" w:eastAsiaTheme="minorEastAsia" w:hAnsiTheme="minorHAnsi"/>
      <w:sz w:val="22"/>
    </w:rPr>
  </w:style>
  <w:style w:type="paragraph" w:customStyle="1" w:styleId="ListNum">
    <w:name w:val="List Num"/>
    <w:basedOn w:val="Standard"/>
    <w:uiPriority w:val="4"/>
    <w:rsid w:val="00392512"/>
    <w:pPr>
      <w:tabs>
        <w:tab w:val="num" w:pos="1080"/>
      </w:tabs>
      <w:spacing w:after="120" w:line="240" w:lineRule="auto"/>
      <w:ind w:left="1080" w:hanging="360"/>
    </w:pPr>
  </w:style>
  <w:style w:type="paragraph" w:customStyle="1" w:styleId="paragraph">
    <w:name w:val="paragraph"/>
    <w:basedOn w:val="Normal"/>
    <w:rsid w:val="005F1808"/>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5F1808"/>
  </w:style>
  <w:style w:type="character" w:customStyle="1" w:styleId="eop">
    <w:name w:val="eop"/>
    <w:basedOn w:val="DefaultParagraphFont"/>
    <w:rsid w:val="005F1808"/>
  </w:style>
  <w:style w:type="character" w:customStyle="1" w:styleId="superscript">
    <w:name w:val="superscript"/>
    <w:basedOn w:val="DefaultParagraphFont"/>
    <w:rsid w:val="00CF7CAD"/>
  </w:style>
  <w:style w:type="character" w:customStyle="1" w:styleId="num1Char">
    <w:name w:val="num1 Char"/>
    <w:link w:val="num1"/>
    <w:locked/>
    <w:rsid w:val="00530FDD"/>
    <w:rPr>
      <w:rFonts w:ascii="Palatino" w:eastAsia="Times New Roman" w:hAnsi="Palatino"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918">
      <w:bodyDiv w:val="1"/>
      <w:marLeft w:val="0"/>
      <w:marRight w:val="0"/>
      <w:marTop w:val="0"/>
      <w:marBottom w:val="0"/>
      <w:divBdr>
        <w:top w:val="none" w:sz="0" w:space="0" w:color="auto"/>
        <w:left w:val="none" w:sz="0" w:space="0" w:color="auto"/>
        <w:bottom w:val="none" w:sz="0" w:space="0" w:color="auto"/>
        <w:right w:val="none" w:sz="0" w:space="0" w:color="auto"/>
      </w:divBdr>
      <w:divsChild>
        <w:div w:id="1854686005">
          <w:marLeft w:val="0"/>
          <w:marRight w:val="0"/>
          <w:marTop w:val="0"/>
          <w:marBottom w:val="0"/>
          <w:divBdr>
            <w:top w:val="none" w:sz="0" w:space="0" w:color="auto"/>
            <w:left w:val="none" w:sz="0" w:space="0" w:color="auto"/>
            <w:bottom w:val="none" w:sz="0" w:space="0" w:color="auto"/>
            <w:right w:val="none" w:sz="0" w:space="0" w:color="auto"/>
          </w:divBdr>
        </w:div>
        <w:div w:id="1572547124">
          <w:marLeft w:val="0"/>
          <w:marRight w:val="0"/>
          <w:marTop w:val="0"/>
          <w:marBottom w:val="0"/>
          <w:divBdr>
            <w:top w:val="none" w:sz="0" w:space="0" w:color="auto"/>
            <w:left w:val="none" w:sz="0" w:space="0" w:color="auto"/>
            <w:bottom w:val="none" w:sz="0" w:space="0" w:color="auto"/>
            <w:right w:val="none" w:sz="0" w:space="0" w:color="auto"/>
          </w:divBdr>
        </w:div>
        <w:div w:id="810947723">
          <w:marLeft w:val="0"/>
          <w:marRight w:val="0"/>
          <w:marTop w:val="0"/>
          <w:marBottom w:val="0"/>
          <w:divBdr>
            <w:top w:val="none" w:sz="0" w:space="0" w:color="auto"/>
            <w:left w:val="none" w:sz="0" w:space="0" w:color="auto"/>
            <w:bottom w:val="none" w:sz="0" w:space="0" w:color="auto"/>
            <w:right w:val="none" w:sz="0" w:space="0" w:color="auto"/>
          </w:divBdr>
        </w:div>
        <w:div w:id="850678957">
          <w:marLeft w:val="0"/>
          <w:marRight w:val="0"/>
          <w:marTop w:val="0"/>
          <w:marBottom w:val="0"/>
          <w:divBdr>
            <w:top w:val="none" w:sz="0" w:space="0" w:color="auto"/>
            <w:left w:val="none" w:sz="0" w:space="0" w:color="auto"/>
            <w:bottom w:val="none" w:sz="0" w:space="0" w:color="auto"/>
            <w:right w:val="none" w:sz="0" w:space="0" w:color="auto"/>
          </w:divBdr>
        </w:div>
        <w:div w:id="474689493">
          <w:marLeft w:val="0"/>
          <w:marRight w:val="0"/>
          <w:marTop w:val="0"/>
          <w:marBottom w:val="0"/>
          <w:divBdr>
            <w:top w:val="none" w:sz="0" w:space="0" w:color="auto"/>
            <w:left w:val="none" w:sz="0" w:space="0" w:color="auto"/>
            <w:bottom w:val="none" w:sz="0" w:space="0" w:color="auto"/>
            <w:right w:val="none" w:sz="0" w:space="0" w:color="auto"/>
          </w:divBdr>
        </w:div>
        <w:div w:id="41683169">
          <w:marLeft w:val="0"/>
          <w:marRight w:val="0"/>
          <w:marTop w:val="0"/>
          <w:marBottom w:val="0"/>
          <w:divBdr>
            <w:top w:val="none" w:sz="0" w:space="0" w:color="auto"/>
            <w:left w:val="none" w:sz="0" w:space="0" w:color="auto"/>
            <w:bottom w:val="none" w:sz="0" w:space="0" w:color="auto"/>
            <w:right w:val="none" w:sz="0" w:space="0" w:color="auto"/>
          </w:divBdr>
        </w:div>
        <w:div w:id="487281405">
          <w:marLeft w:val="0"/>
          <w:marRight w:val="0"/>
          <w:marTop w:val="0"/>
          <w:marBottom w:val="0"/>
          <w:divBdr>
            <w:top w:val="none" w:sz="0" w:space="0" w:color="auto"/>
            <w:left w:val="none" w:sz="0" w:space="0" w:color="auto"/>
            <w:bottom w:val="none" w:sz="0" w:space="0" w:color="auto"/>
            <w:right w:val="none" w:sz="0" w:space="0" w:color="auto"/>
          </w:divBdr>
        </w:div>
        <w:div w:id="1327781700">
          <w:marLeft w:val="0"/>
          <w:marRight w:val="0"/>
          <w:marTop w:val="0"/>
          <w:marBottom w:val="0"/>
          <w:divBdr>
            <w:top w:val="none" w:sz="0" w:space="0" w:color="auto"/>
            <w:left w:val="none" w:sz="0" w:space="0" w:color="auto"/>
            <w:bottom w:val="none" w:sz="0" w:space="0" w:color="auto"/>
            <w:right w:val="none" w:sz="0" w:space="0" w:color="auto"/>
          </w:divBdr>
        </w:div>
        <w:div w:id="2144687763">
          <w:marLeft w:val="0"/>
          <w:marRight w:val="0"/>
          <w:marTop w:val="0"/>
          <w:marBottom w:val="0"/>
          <w:divBdr>
            <w:top w:val="none" w:sz="0" w:space="0" w:color="auto"/>
            <w:left w:val="none" w:sz="0" w:space="0" w:color="auto"/>
            <w:bottom w:val="none" w:sz="0" w:space="0" w:color="auto"/>
            <w:right w:val="none" w:sz="0" w:space="0" w:color="auto"/>
          </w:divBdr>
        </w:div>
        <w:div w:id="1419867871">
          <w:marLeft w:val="0"/>
          <w:marRight w:val="0"/>
          <w:marTop w:val="0"/>
          <w:marBottom w:val="0"/>
          <w:divBdr>
            <w:top w:val="none" w:sz="0" w:space="0" w:color="auto"/>
            <w:left w:val="none" w:sz="0" w:space="0" w:color="auto"/>
            <w:bottom w:val="none" w:sz="0" w:space="0" w:color="auto"/>
            <w:right w:val="none" w:sz="0" w:space="0" w:color="auto"/>
          </w:divBdr>
        </w:div>
        <w:div w:id="1814641467">
          <w:marLeft w:val="0"/>
          <w:marRight w:val="0"/>
          <w:marTop w:val="0"/>
          <w:marBottom w:val="0"/>
          <w:divBdr>
            <w:top w:val="none" w:sz="0" w:space="0" w:color="auto"/>
            <w:left w:val="none" w:sz="0" w:space="0" w:color="auto"/>
            <w:bottom w:val="none" w:sz="0" w:space="0" w:color="auto"/>
            <w:right w:val="none" w:sz="0" w:space="0" w:color="auto"/>
          </w:divBdr>
        </w:div>
        <w:div w:id="1440493756">
          <w:marLeft w:val="0"/>
          <w:marRight w:val="0"/>
          <w:marTop w:val="0"/>
          <w:marBottom w:val="0"/>
          <w:divBdr>
            <w:top w:val="none" w:sz="0" w:space="0" w:color="auto"/>
            <w:left w:val="none" w:sz="0" w:space="0" w:color="auto"/>
            <w:bottom w:val="none" w:sz="0" w:space="0" w:color="auto"/>
            <w:right w:val="none" w:sz="0" w:space="0" w:color="auto"/>
          </w:divBdr>
        </w:div>
        <w:div w:id="969826409">
          <w:marLeft w:val="0"/>
          <w:marRight w:val="0"/>
          <w:marTop w:val="0"/>
          <w:marBottom w:val="0"/>
          <w:divBdr>
            <w:top w:val="none" w:sz="0" w:space="0" w:color="auto"/>
            <w:left w:val="none" w:sz="0" w:space="0" w:color="auto"/>
            <w:bottom w:val="none" w:sz="0" w:space="0" w:color="auto"/>
            <w:right w:val="none" w:sz="0" w:space="0" w:color="auto"/>
          </w:divBdr>
        </w:div>
        <w:div w:id="552427527">
          <w:marLeft w:val="0"/>
          <w:marRight w:val="0"/>
          <w:marTop w:val="0"/>
          <w:marBottom w:val="0"/>
          <w:divBdr>
            <w:top w:val="none" w:sz="0" w:space="0" w:color="auto"/>
            <w:left w:val="none" w:sz="0" w:space="0" w:color="auto"/>
            <w:bottom w:val="none" w:sz="0" w:space="0" w:color="auto"/>
            <w:right w:val="none" w:sz="0" w:space="0" w:color="auto"/>
          </w:divBdr>
        </w:div>
        <w:div w:id="757756539">
          <w:marLeft w:val="0"/>
          <w:marRight w:val="0"/>
          <w:marTop w:val="0"/>
          <w:marBottom w:val="0"/>
          <w:divBdr>
            <w:top w:val="none" w:sz="0" w:space="0" w:color="auto"/>
            <w:left w:val="none" w:sz="0" w:space="0" w:color="auto"/>
            <w:bottom w:val="none" w:sz="0" w:space="0" w:color="auto"/>
            <w:right w:val="none" w:sz="0" w:space="0" w:color="auto"/>
          </w:divBdr>
        </w:div>
        <w:div w:id="1572736357">
          <w:marLeft w:val="0"/>
          <w:marRight w:val="0"/>
          <w:marTop w:val="0"/>
          <w:marBottom w:val="0"/>
          <w:divBdr>
            <w:top w:val="none" w:sz="0" w:space="0" w:color="auto"/>
            <w:left w:val="none" w:sz="0" w:space="0" w:color="auto"/>
            <w:bottom w:val="none" w:sz="0" w:space="0" w:color="auto"/>
            <w:right w:val="none" w:sz="0" w:space="0" w:color="auto"/>
          </w:divBdr>
        </w:div>
        <w:div w:id="1456023444">
          <w:marLeft w:val="0"/>
          <w:marRight w:val="0"/>
          <w:marTop w:val="0"/>
          <w:marBottom w:val="0"/>
          <w:divBdr>
            <w:top w:val="none" w:sz="0" w:space="0" w:color="auto"/>
            <w:left w:val="none" w:sz="0" w:space="0" w:color="auto"/>
            <w:bottom w:val="none" w:sz="0" w:space="0" w:color="auto"/>
            <w:right w:val="none" w:sz="0" w:space="0" w:color="auto"/>
          </w:divBdr>
        </w:div>
        <w:div w:id="2083404053">
          <w:marLeft w:val="0"/>
          <w:marRight w:val="0"/>
          <w:marTop w:val="0"/>
          <w:marBottom w:val="0"/>
          <w:divBdr>
            <w:top w:val="none" w:sz="0" w:space="0" w:color="auto"/>
            <w:left w:val="none" w:sz="0" w:space="0" w:color="auto"/>
            <w:bottom w:val="none" w:sz="0" w:space="0" w:color="auto"/>
            <w:right w:val="none" w:sz="0" w:space="0" w:color="auto"/>
          </w:divBdr>
        </w:div>
        <w:div w:id="47532782">
          <w:marLeft w:val="0"/>
          <w:marRight w:val="0"/>
          <w:marTop w:val="0"/>
          <w:marBottom w:val="0"/>
          <w:divBdr>
            <w:top w:val="none" w:sz="0" w:space="0" w:color="auto"/>
            <w:left w:val="none" w:sz="0" w:space="0" w:color="auto"/>
            <w:bottom w:val="none" w:sz="0" w:space="0" w:color="auto"/>
            <w:right w:val="none" w:sz="0" w:space="0" w:color="auto"/>
          </w:divBdr>
        </w:div>
        <w:div w:id="961613508">
          <w:marLeft w:val="0"/>
          <w:marRight w:val="0"/>
          <w:marTop w:val="0"/>
          <w:marBottom w:val="0"/>
          <w:divBdr>
            <w:top w:val="none" w:sz="0" w:space="0" w:color="auto"/>
            <w:left w:val="none" w:sz="0" w:space="0" w:color="auto"/>
            <w:bottom w:val="none" w:sz="0" w:space="0" w:color="auto"/>
            <w:right w:val="none" w:sz="0" w:space="0" w:color="auto"/>
          </w:divBdr>
        </w:div>
        <w:div w:id="9457745">
          <w:marLeft w:val="0"/>
          <w:marRight w:val="0"/>
          <w:marTop w:val="0"/>
          <w:marBottom w:val="0"/>
          <w:divBdr>
            <w:top w:val="none" w:sz="0" w:space="0" w:color="auto"/>
            <w:left w:val="none" w:sz="0" w:space="0" w:color="auto"/>
            <w:bottom w:val="none" w:sz="0" w:space="0" w:color="auto"/>
            <w:right w:val="none" w:sz="0" w:space="0" w:color="auto"/>
          </w:divBdr>
        </w:div>
        <w:div w:id="1784227921">
          <w:marLeft w:val="0"/>
          <w:marRight w:val="0"/>
          <w:marTop w:val="0"/>
          <w:marBottom w:val="0"/>
          <w:divBdr>
            <w:top w:val="none" w:sz="0" w:space="0" w:color="auto"/>
            <w:left w:val="none" w:sz="0" w:space="0" w:color="auto"/>
            <w:bottom w:val="none" w:sz="0" w:space="0" w:color="auto"/>
            <w:right w:val="none" w:sz="0" w:space="0" w:color="auto"/>
          </w:divBdr>
        </w:div>
        <w:div w:id="1572422034">
          <w:marLeft w:val="0"/>
          <w:marRight w:val="0"/>
          <w:marTop w:val="0"/>
          <w:marBottom w:val="0"/>
          <w:divBdr>
            <w:top w:val="none" w:sz="0" w:space="0" w:color="auto"/>
            <w:left w:val="none" w:sz="0" w:space="0" w:color="auto"/>
            <w:bottom w:val="none" w:sz="0" w:space="0" w:color="auto"/>
            <w:right w:val="none" w:sz="0" w:space="0" w:color="auto"/>
          </w:divBdr>
        </w:div>
        <w:div w:id="199248625">
          <w:marLeft w:val="0"/>
          <w:marRight w:val="0"/>
          <w:marTop w:val="0"/>
          <w:marBottom w:val="0"/>
          <w:divBdr>
            <w:top w:val="none" w:sz="0" w:space="0" w:color="auto"/>
            <w:left w:val="none" w:sz="0" w:space="0" w:color="auto"/>
            <w:bottom w:val="none" w:sz="0" w:space="0" w:color="auto"/>
            <w:right w:val="none" w:sz="0" w:space="0" w:color="auto"/>
          </w:divBdr>
        </w:div>
        <w:div w:id="724525900">
          <w:marLeft w:val="0"/>
          <w:marRight w:val="0"/>
          <w:marTop w:val="0"/>
          <w:marBottom w:val="0"/>
          <w:divBdr>
            <w:top w:val="none" w:sz="0" w:space="0" w:color="auto"/>
            <w:left w:val="none" w:sz="0" w:space="0" w:color="auto"/>
            <w:bottom w:val="none" w:sz="0" w:space="0" w:color="auto"/>
            <w:right w:val="none" w:sz="0" w:space="0" w:color="auto"/>
          </w:divBdr>
        </w:div>
      </w:divsChild>
    </w:div>
    <w:div w:id="84545963">
      <w:bodyDiv w:val="1"/>
      <w:marLeft w:val="0"/>
      <w:marRight w:val="0"/>
      <w:marTop w:val="0"/>
      <w:marBottom w:val="0"/>
      <w:divBdr>
        <w:top w:val="none" w:sz="0" w:space="0" w:color="auto"/>
        <w:left w:val="none" w:sz="0" w:space="0" w:color="auto"/>
        <w:bottom w:val="none" w:sz="0" w:space="0" w:color="auto"/>
        <w:right w:val="none" w:sz="0" w:space="0" w:color="auto"/>
      </w:divBdr>
    </w:div>
    <w:div w:id="314799116">
      <w:bodyDiv w:val="1"/>
      <w:marLeft w:val="0"/>
      <w:marRight w:val="0"/>
      <w:marTop w:val="0"/>
      <w:marBottom w:val="0"/>
      <w:divBdr>
        <w:top w:val="none" w:sz="0" w:space="0" w:color="auto"/>
        <w:left w:val="none" w:sz="0" w:space="0" w:color="auto"/>
        <w:bottom w:val="none" w:sz="0" w:space="0" w:color="auto"/>
        <w:right w:val="none" w:sz="0" w:space="0" w:color="auto"/>
      </w:divBdr>
    </w:div>
    <w:div w:id="386103912">
      <w:bodyDiv w:val="1"/>
      <w:marLeft w:val="0"/>
      <w:marRight w:val="0"/>
      <w:marTop w:val="0"/>
      <w:marBottom w:val="0"/>
      <w:divBdr>
        <w:top w:val="none" w:sz="0" w:space="0" w:color="auto"/>
        <w:left w:val="none" w:sz="0" w:space="0" w:color="auto"/>
        <w:bottom w:val="none" w:sz="0" w:space="0" w:color="auto"/>
        <w:right w:val="none" w:sz="0" w:space="0" w:color="auto"/>
      </w:divBdr>
      <w:divsChild>
        <w:div w:id="2076277449">
          <w:marLeft w:val="0"/>
          <w:marRight w:val="0"/>
          <w:marTop w:val="0"/>
          <w:marBottom w:val="0"/>
          <w:divBdr>
            <w:top w:val="none" w:sz="0" w:space="0" w:color="auto"/>
            <w:left w:val="none" w:sz="0" w:space="0" w:color="auto"/>
            <w:bottom w:val="none" w:sz="0" w:space="0" w:color="auto"/>
            <w:right w:val="none" w:sz="0" w:space="0" w:color="auto"/>
          </w:divBdr>
          <w:divsChild>
            <w:div w:id="933443157">
              <w:marLeft w:val="0"/>
              <w:marRight w:val="0"/>
              <w:marTop w:val="0"/>
              <w:marBottom w:val="0"/>
              <w:divBdr>
                <w:top w:val="none" w:sz="0" w:space="0" w:color="auto"/>
                <w:left w:val="none" w:sz="0" w:space="0" w:color="auto"/>
                <w:bottom w:val="none" w:sz="0" w:space="0" w:color="auto"/>
                <w:right w:val="none" w:sz="0" w:space="0" w:color="auto"/>
              </w:divBdr>
            </w:div>
          </w:divsChild>
        </w:div>
        <w:div w:id="639311057">
          <w:marLeft w:val="0"/>
          <w:marRight w:val="0"/>
          <w:marTop w:val="0"/>
          <w:marBottom w:val="0"/>
          <w:divBdr>
            <w:top w:val="none" w:sz="0" w:space="0" w:color="auto"/>
            <w:left w:val="none" w:sz="0" w:space="0" w:color="auto"/>
            <w:bottom w:val="none" w:sz="0" w:space="0" w:color="auto"/>
            <w:right w:val="none" w:sz="0" w:space="0" w:color="auto"/>
          </w:divBdr>
          <w:divsChild>
            <w:div w:id="567040060">
              <w:marLeft w:val="0"/>
              <w:marRight w:val="0"/>
              <w:marTop w:val="0"/>
              <w:marBottom w:val="0"/>
              <w:divBdr>
                <w:top w:val="none" w:sz="0" w:space="0" w:color="auto"/>
                <w:left w:val="none" w:sz="0" w:space="0" w:color="auto"/>
                <w:bottom w:val="none" w:sz="0" w:space="0" w:color="auto"/>
                <w:right w:val="none" w:sz="0" w:space="0" w:color="auto"/>
              </w:divBdr>
            </w:div>
          </w:divsChild>
        </w:div>
        <w:div w:id="188030973">
          <w:marLeft w:val="0"/>
          <w:marRight w:val="0"/>
          <w:marTop w:val="0"/>
          <w:marBottom w:val="0"/>
          <w:divBdr>
            <w:top w:val="none" w:sz="0" w:space="0" w:color="auto"/>
            <w:left w:val="none" w:sz="0" w:space="0" w:color="auto"/>
            <w:bottom w:val="none" w:sz="0" w:space="0" w:color="auto"/>
            <w:right w:val="none" w:sz="0" w:space="0" w:color="auto"/>
          </w:divBdr>
          <w:divsChild>
            <w:div w:id="466433752">
              <w:marLeft w:val="0"/>
              <w:marRight w:val="0"/>
              <w:marTop w:val="0"/>
              <w:marBottom w:val="0"/>
              <w:divBdr>
                <w:top w:val="none" w:sz="0" w:space="0" w:color="auto"/>
                <w:left w:val="none" w:sz="0" w:space="0" w:color="auto"/>
                <w:bottom w:val="none" w:sz="0" w:space="0" w:color="auto"/>
                <w:right w:val="none" w:sz="0" w:space="0" w:color="auto"/>
              </w:divBdr>
            </w:div>
          </w:divsChild>
        </w:div>
        <w:div w:id="271131756">
          <w:marLeft w:val="0"/>
          <w:marRight w:val="0"/>
          <w:marTop w:val="0"/>
          <w:marBottom w:val="0"/>
          <w:divBdr>
            <w:top w:val="none" w:sz="0" w:space="0" w:color="auto"/>
            <w:left w:val="none" w:sz="0" w:space="0" w:color="auto"/>
            <w:bottom w:val="none" w:sz="0" w:space="0" w:color="auto"/>
            <w:right w:val="none" w:sz="0" w:space="0" w:color="auto"/>
          </w:divBdr>
          <w:divsChild>
            <w:div w:id="978533654">
              <w:marLeft w:val="0"/>
              <w:marRight w:val="0"/>
              <w:marTop w:val="0"/>
              <w:marBottom w:val="0"/>
              <w:divBdr>
                <w:top w:val="none" w:sz="0" w:space="0" w:color="auto"/>
                <w:left w:val="none" w:sz="0" w:space="0" w:color="auto"/>
                <w:bottom w:val="none" w:sz="0" w:space="0" w:color="auto"/>
                <w:right w:val="none" w:sz="0" w:space="0" w:color="auto"/>
              </w:divBdr>
            </w:div>
          </w:divsChild>
        </w:div>
        <w:div w:id="655761956">
          <w:marLeft w:val="0"/>
          <w:marRight w:val="0"/>
          <w:marTop w:val="0"/>
          <w:marBottom w:val="0"/>
          <w:divBdr>
            <w:top w:val="none" w:sz="0" w:space="0" w:color="auto"/>
            <w:left w:val="none" w:sz="0" w:space="0" w:color="auto"/>
            <w:bottom w:val="none" w:sz="0" w:space="0" w:color="auto"/>
            <w:right w:val="none" w:sz="0" w:space="0" w:color="auto"/>
          </w:divBdr>
          <w:divsChild>
            <w:div w:id="1605455815">
              <w:marLeft w:val="0"/>
              <w:marRight w:val="0"/>
              <w:marTop w:val="0"/>
              <w:marBottom w:val="0"/>
              <w:divBdr>
                <w:top w:val="none" w:sz="0" w:space="0" w:color="auto"/>
                <w:left w:val="none" w:sz="0" w:space="0" w:color="auto"/>
                <w:bottom w:val="none" w:sz="0" w:space="0" w:color="auto"/>
                <w:right w:val="none" w:sz="0" w:space="0" w:color="auto"/>
              </w:divBdr>
            </w:div>
          </w:divsChild>
        </w:div>
        <w:div w:id="1923220729">
          <w:marLeft w:val="0"/>
          <w:marRight w:val="0"/>
          <w:marTop w:val="0"/>
          <w:marBottom w:val="0"/>
          <w:divBdr>
            <w:top w:val="none" w:sz="0" w:space="0" w:color="auto"/>
            <w:left w:val="none" w:sz="0" w:space="0" w:color="auto"/>
            <w:bottom w:val="none" w:sz="0" w:space="0" w:color="auto"/>
            <w:right w:val="none" w:sz="0" w:space="0" w:color="auto"/>
          </w:divBdr>
          <w:divsChild>
            <w:div w:id="1155344026">
              <w:marLeft w:val="0"/>
              <w:marRight w:val="0"/>
              <w:marTop w:val="0"/>
              <w:marBottom w:val="0"/>
              <w:divBdr>
                <w:top w:val="none" w:sz="0" w:space="0" w:color="auto"/>
                <w:left w:val="none" w:sz="0" w:space="0" w:color="auto"/>
                <w:bottom w:val="none" w:sz="0" w:space="0" w:color="auto"/>
                <w:right w:val="none" w:sz="0" w:space="0" w:color="auto"/>
              </w:divBdr>
            </w:div>
          </w:divsChild>
        </w:div>
        <w:div w:id="1004824106">
          <w:marLeft w:val="0"/>
          <w:marRight w:val="0"/>
          <w:marTop w:val="0"/>
          <w:marBottom w:val="0"/>
          <w:divBdr>
            <w:top w:val="none" w:sz="0" w:space="0" w:color="auto"/>
            <w:left w:val="none" w:sz="0" w:space="0" w:color="auto"/>
            <w:bottom w:val="none" w:sz="0" w:space="0" w:color="auto"/>
            <w:right w:val="none" w:sz="0" w:space="0" w:color="auto"/>
          </w:divBdr>
          <w:divsChild>
            <w:div w:id="1110516273">
              <w:marLeft w:val="0"/>
              <w:marRight w:val="0"/>
              <w:marTop w:val="0"/>
              <w:marBottom w:val="0"/>
              <w:divBdr>
                <w:top w:val="none" w:sz="0" w:space="0" w:color="auto"/>
                <w:left w:val="none" w:sz="0" w:space="0" w:color="auto"/>
                <w:bottom w:val="none" w:sz="0" w:space="0" w:color="auto"/>
                <w:right w:val="none" w:sz="0" w:space="0" w:color="auto"/>
              </w:divBdr>
            </w:div>
          </w:divsChild>
        </w:div>
        <w:div w:id="1247956454">
          <w:marLeft w:val="0"/>
          <w:marRight w:val="0"/>
          <w:marTop w:val="0"/>
          <w:marBottom w:val="0"/>
          <w:divBdr>
            <w:top w:val="none" w:sz="0" w:space="0" w:color="auto"/>
            <w:left w:val="none" w:sz="0" w:space="0" w:color="auto"/>
            <w:bottom w:val="none" w:sz="0" w:space="0" w:color="auto"/>
            <w:right w:val="none" w:sz="0" w:space="0" w:color="auto"/>
          </w:divBdr>
          <w:divsChild>
            <w:div w:id="2058818977">
              <w:marLeft w:val="0"/>
              <w:marRight w:val="0"/>
              <w:marTop w:val="0"/>
              <w:marBottom w:val="0"/>
              <w:divBdr>
                <w:top w:val="none" w:sz="0" w:space="0" w:color="auto"/>
                <w:left w:val="none" w:sz="0" w:space="0" w:color="auto"/>
                <w:bottom w:val="none" w:sz="0" w:space="0" w:color="auto"/>
                <w:right w:val="none" w:sz="0" w:space="0" w:color="auto"/>
              </w:divBdr>
            </w:div>
          </w:divsChild>
        </w:div>
        <w:div w:id="589701026">
          <w:marLeft w:val="0"/>
          <w:marRight w:val="0"/>
          <w:marTop w:val="0"/>
          <w:marBottom w:val="0"/>
          <w:divBdr>
            <w:top w:val="none" w:sz="0" w:space="0" w:color="auto"/>
            <w:left w:val="none" w:sz="0" w:space="0" w:color="auto"/>
            <w:bottom w:val="none" w:sz="0" w:space="0" w:color="auto"/>
            <w:right w:val="none" w:sz="0" w:space="0" w:color="auto"/>
          </w:divBdr>
          <w:divsChild>
            <w:div w:id="544366092">
              <w:marLeft w:val="0"/>
              <w:marRight w:val="0"/>
              <w:marTop w:val="0"/>
              <w:marBottom w:val="0"/>
              <w:divBdr>
                <w:top w:val="none" w:sz="0" w:space="0" w:color="auto"/>
                <w:left w:val="none" w:sz="0" w:space="0" w:color="auto"/>
                <w:bottom w:val="none" w:sz="0" w:space="0" w:color="auto"/>
                <w:right w:val="none" w:sz="0" w:space="0" w:color="auto"/>
              </w:divBdr>
            </w:div>
          </w:divsChild>
        </w:div>
        <w:div w:id="1633363223">
          <w:marLeft w:val="0"/>
          <w:marRight w:val="0"/>
          <w:marTop w:val="0"/>
          <w:marBottom w:val="0"/>
          <w:divBdr>
            <w:top w:val="none" w:sz="0" w:space="0" w:color="auto"/>
            <w:left w:val="none" w:sz="0" w:space="0" w:color="auto"/>
            <w:bottom w:val="none" w:sz="0" w:space="0" w:color="auto"/>
            <w:right w:val="none" w:sz="0" w:space="0" w:color="auto"/>
          </w:divBdr>
          <w:divsChild>
            <w:div w:id="425540314">
              <w:marLeft w:val="0"/>
              <w:marRight w:val="0"/>
              <w:marTop w:val="0"/>
              <w:marBottom w:val="0"/>
              <w:divBdr>
                <w:top w:val="none" w:sz="0" w:space="0" w:color="auto"/>
                <w:left w:val="none" w:sz="0" w:space="0" w:color="auto"/>
                <w:bottom w:val="none" w:sz="0" w:space="0" w:color="auto"/>
                <w:right w:val="none" w:sz="0" w:space="0" w:color="auto"/>
              </w:divBdr>
            </w:div>
          </w:divsChild>
        </w:div>
        <w:div w:id="117727549">
          <w:marLeft w:val="0"/>
          <w:marRight w:val="0"/>
          <w:marTop w:val="0"/>
          <w:marBottom w:val="0"/>
          <w:divBdr>
            <w:top w:val="none" w:sz="0" w:space="0" w:color="auto"/>
            <w:left w:val="none" w:sz="0" w:space="0" w:color="auto"/>
            <w:bottom w:val="none" w:sz="0" w:space="0" w:color="auto"/>
            <w:right w:val="none" w:sz="0" w:space="0" w:color="auto"/>
          </w:divBdr>
          <w:divsChild>
            <w:div w:id="1929579998">
              <w:marLeft w:val="0"/>
              <w:marRight w:val="0"/>
              <w:marTop w:val="0"/>
              <w:marBottom w:val="0"/>
              <w:divBdr>
                <w:top w:val="none" w:sz="0" w:space="0" w:color="auto"/>
                <w:left w:val="none" w:sz="0" w:space="0" w:color="auto"/>
                <w:bottom w:val="none" w:sz="0" w:space="0" w:color="auto"/>
                <w:right w:val="none" w:sz="0" w:space="0" w:color="auto"/>
              </w:divBdr>
            </w:div>
          </w:divsChild>
        </w:div>
        <w:div w:id="1037464183">
          <w:marLeft w:val="0"/>
          <w:marRight w:val="0"/>
          <w:marTop w:val="0"/>
          <w:marBottom w:val="0"/>
          <w:divBdr>
            <w:top w:val="none" w:sz="0" w:space="0" w:color="auto"/>
            <w:left w:val="none" w:sz="0" w:space="0" w:color="auto"/>
            <w:bottom w:val="none" w:sz="0" w:space="0" w:color="auto"/>
            <w:right w:val="none" w:sz="0" w:space="0" w:color="auto"/>
          </w:divBdr>
          <w:divsChild>
            <w:div w:id="49621093">
              <w:marLeft w:val="0"/>
              <w:marRight w:val="0"/>
              <w:marTop w:val="0"/>
              <w:marBottom w:val="0"/>
              <w:divBdr>
                <w:top w:val="none" w:sz="0" w:space="0" w:color="auto"/>
                <w:left w:val="none" w:sz="0" w:space="0" w:color="auto"/>
                <w:bottom w:val="none" w:sz="0" w:space="0" w:color="auto"/>
                <w:right w:val="none" w:sz="0" w:space="0" w:color="auto"/>
              </w:divBdr>
            </w:div>
          </w:divsChild>
        </w:div>
        <w:div w:id="1974869314">
          <w:marLeft w:val="0"/>
          <w:marRight w:val="0"/>
          <w:marTop w:val="0"/>
          <w:marBottom w:val="0"/>
          <w:divBdr>
            <w:top w:val="none" w:sz="0" w:space="0" w:color="auto"/>
            <w:left w:val="none" w:sz="0" w:space="0" w:color="auto"/>
            <w:bottom w:val="none" w:sz="0" w:space="0" w:color="auto"/>
            <w:right w:val="none" w:sz="0" w:space="0" w:color="auto"/>
          </w:divBdr>
          <w:divsChild>
            <w:div w:id="2046982219">
              <w:marLeft w:val="0"/>
              <w:marRight w:val="0"/>
              <w:marTop w:val="0"/>
              <w:marBottom w:val="0"/>
              <w:divBdr>
                <w:top w:val="none" w:sz="0" w:space="0" w:color="auto"/>
                <w:left w:val="none" w:sz="0" w:space="0" w:color="auto"/>
                <w:bottom w:val="none" w:sz="0" w:space="0" w:color="auto"/>
                <w:right w:val="none" w:sz="0" w:space="0" w:color="auto"/>
              </w:divBdr>
            </w:div>
          </w:divsChild>
        </w:div>
        <w:div w:id="2099521753">
          <w:marLeft w:val="0"/>
          <w:marRight w:val="0"/>
          <w:marTop w:val="0"/>
          <w:marBottom w:val="0"/>
          <w:divBdr>
            <w:top w:val="none" w:sz="0" w:space="0" w:color="auto"/>
            <w:left w:val="none" w:sz="0" w:space="0" w:color="auto"/>
            <w:bottom w:val="none" w:sz="0" w:space="0" w:color="auto"/>
            <w:right w:val="none" w:sz="0" w:space="0" w:color="auto"/>
          </w:divBdr>
          <w:divsChild>
            <w:div w:id="279537764">
              <w:marLeft w:val="0"/>
              <w:marRight w:val="0"/>
              <w:marTop w:val="0"/>
              <w:marBottom w:val="0"/>
              <w:divBdr>
                <w:top w:val="none" w:sz="0" w:space="0" w:color="auto"/>
                <w:left w:val="none" w:sz="0" w:space="0" w:color="auto"/>
                <w:bottom w:val="none" w:sz="0" w:space="0" w:color="auto"/>
                <w:right w:val="none" w:sz="0" w:space="0" w:color="auto"/>
              </w:divBdr>
            </w:div>
          </w:divsChild>
        </w:div>
        <w:div w:id="1587807346">
          <w:marLeft w:val="0"/>
          <w:marRight w:val="0"/>
          <w:marTop w:val="0"/>
          <w:marBottom w:val="0"/>
          <w:divBdr>
            <w:top w:val="none" w:sz="0" w:space="0" w:color="auto"/>
            <w:left w:val="none" w:sz="0" w:space="0" w:color="auto"/>
            <w:bottom w:val="none" w:sz="0" w:space="0" w:color="auto"/>
            <w:right w:val="none" w:sz="0" w:space="0" w:color="auto"/>
          </w:divBdr>
          <w:divsChild>
            <w:div w:id="436024306">
              <w:marLeft w:val="0"/>
              <w:marRight w:val="0"/>
              <w:marTop w:val="0"/>
              <w:marBottom w:val="0"/>
              <w:divBdr>
                <w:top w:val="none" w:sz="0" w:space="0" w:color="auto"/>
                <w:left w:val="none" w:sz="0" w:space="0" w:color="auto"/>
                <w:bottom w:val="none" w:sz="0" w:space="0" w:color="auto"/>
                <w:right w:val="none" w:sz="0" w:space="0" w:color="auto"/>
              </w:divBdr>
            </w:div>
          </w:divsChild>
        </w:div>
        <w:div w:id="763964852">
          <w:marLeft w:val="0"/>
          <w:marRight w:val="0"/>
          <w:marTop w:val="0"/>
          <w:marBottom w:val="0"/>
          <w:divBdr>
            <w:top w:val="none" w:sz="0" w:space="0" w:color="auto"/>
            <w:left w:val="none" w:sz="0" w:space="0" w:color="auto"/>
            <w:bottom w:val="none" w:sz="0" w:space="0" w:color="auto"/>
            <w:right w:val="none" w:sz="0" w:space="0" w:color="auto"/>
          </w:divBdr>
          <w:divsChild>
            <w:div w:id="259610438">
              <w:marLeft w:val="0"/>
              <w:marRight w:val="0"/>
              <w:marTop w:val="0"/>
              <w:marBottom w:val="0"/>
              <w:divBdr>
                <w:top w:val="none" w:sz="0" w:space="0" w:color="auto"/>
                <w:left w:val="none" w:sz="0" w:space="0" w:color="auto"/>
                <w:bottom w:val="none" w:sz="0" w:space="0" w:color="auto"/>
                <w:right w:val="none" w:sz="0" w:space="0" w:color="auto"/>
              </w:divBdr>
            </w:div>
          </w:divsChild>
        </w:div>
        <w:div w:id="1423455543">
          <w:marLeft w:val="0"/>
          <w:marRight w:val="0"/>
          <w:marTop w:val="0"/>
          <w:marBottom w:val="0"/>
          <w:divBdr>
            <w:top w:val="none" w:sz="0" w:space="0" w:color="auto"/>
            <w:left w:val="none" w:sz="0" w:space="0" w:color="auto"/>
            <w:bottom w:val="none" w:sz="0" w:space="0" w:color="auto"/>
            <w:right w:val="none" w:sz="0" w:space="0" w:color="auto"/>
          </w:divBdr>
          <w:divsChild>
            <w:div w:id="1568031420">
              <w:marLeft w:val="0"/>
              <w:marRight w:val="0"/>
              <w:marTop w:val="0"/>
              <w:marBottom w:val="0"/>
              <w:divBdr>
                <w:top w:val="none" w:sz="0" w:space="0" w:color="auto"/>
                <w:left w:val="none" w:sz="0" w:space="0" w:color="auto"/>
                <w:bottom w:val="none" w:sz="0" w:space="0" w:color="auto"/>
                <w:right w:val="none" w:sz="0" w:space="0" w:color="auto"/>
              </w:divBdr>
            </w:div>
          </w:divsChild>
        </w:div>
        <w:div w:id="812330561">
          <w:marLeft w:val="0"/>
          <w:marRight w:val="0"/>
          <w:marTop w:val="0"/>
          <w:marBottom w:val="0"/>
          <w:divBdr>
            <w:top w:val="none" w:sz="0" w:space="0" w:color="auto"/>
            <w:left w:val="none" w:sz="0" w:space="0" w:color="auto"/>
            <w:bottom w:val="none" w:sz="0" w:space="0" w:color="auto"/>
            <w:right w:val="none" w:sz="0" w:space="0" w:color="auto"/>
          </w:divBdr>
          <w:divsChild>
            <w:div w:id="703409079">
              <w:marLeft w:val="0"/>
              <w:marRight w:val="0"/>
              <w:marTop w:val="0"/>
              <w:marBottom w:val="0"/>
              <w:divBdr>
                <w:top w:val="none" w:sz="0" w:space="0" w:color="auto"/>
                <w:left w:val="none" w:sz="0" w:space="0" w:color="auto"/>
                <w:bottom w:val="none" w:sz="0" w:space="0" w:color="auto"/>
                <w:right w:val="none" w:sz="0" w:space="0" w:color="auto"/>
              </w:divBdr>
            </w:div>
          </w:divsChild>
        </w:div>
        <w:div w:id="505553753">
          <w:marLeft w:val="0"/>
          <w:marRight w:val="0"/>
          <w:marTop w:val="0"/>
          <w:marBottom w:val="0"/>
          <w:divBdr>
            <w:top w:val="none" w:sz="0" w:space="0" w:color="auto"/>
            <w:left w:val="none" w:sz="0" w:space="0" w:color="auto"/>
            <w:bottom w:val="none" w:sz="0" w:space="0" w:color="auto"/>
            <w:right w:val="none" w:sz="0" w:space="0" w:color="auto"/>
          </w:divBdr>
          <w:divsChild>
            <w:div w:id="364478030">
              <w:marLeft w:val="0"/>
              <w:marRight w:val="0"/>
              <w:marTop w:val="0"/>
              <w:marBottom w:val="0"/>
              <w:divBdr>
                <w:top w:val="none" w:sz="0" w:space="0" w:color="auto"/>
                <w:left w:val="none" w:sz="0" w:space="0" w:color="auto"/>
                <w:bottom w:val="none" w:sz="0" w:space="0" w:color="auto"/>
                <w:right w:val="none" w:sz="0" w:space="0" w:color="auto"/>
              </w:divBdr>
            </w:div>
          </w:divsChild>
        </w:div>
        <w:div w:id="800732627">
          <w:marLeft w:val="0"/>
          <w:marRight w:val="0"/>
          <w:marTop w:val="0"/>
          <w:marBottom w:val="0"/>
          <w:divBdr>
            <w:top w:val="none" w:sz="0" w:space="0" w:color="auto"/>
            <w:left w:val="none" w:sz="0" w:space="0" w:color="auto"/>
            <w:bottom w:val="none" w:sz="0" w:space="0" w:color="auto"/>
            <w:right w:val="none" w:sz="0" w:space="0" w:color="auto"/>
          </w:divBdr>
          <w:divsChild>
            <w:div w:id="672992875">
              <w:marLeft w:val="0"/>
              <w:marRight w:val="0"/>
              <w:marTop w:val="0"/>
              <w:marBottom w:val="0"/>
              <w:divBdr>
                <w:top w:val="none" w:sz="0" w:space="0" w:color="auto"/>
                <w:left w:val="none" w:sz="0" w:space="0" w:color="auto"/>
                <w:bottom w:val="none" w:sz="0" w:space="0" w:color="auto"/>
                <w:right w:val="none" w:sz="0" w:space="0" w:color="auto"/>
              </w:divBdr>
            </w:div>
          </w:divsChild>
        </w:div>
        <w:div w:id="1584946259">
          <w:marLeft w:val="0"/>
          <w:marRight w:val="0"/>
          <w:marTop w:val="0"/>
          <w:marBottom w:val="0"/>
          <w:divBdr>
            <w:top w:val="none" w:sz="0" w:space="0" w:color="auto"/>
            <w:left w:val="none" w:sz="0" w:space="0" w:color="auto"/>
            <w:bottom w:val="none" w:sz="0" w:space="0" w:color="auto"/>
            <w:right w:val="none" w:sz="0" w:space="0" w:color="auto"/>
          </w:divBdr>
          <w:divsChild>
            <w:div w:id="89283059">
              <w:marLeft w:val="0"/>
              <w:marRight w:val="0"/>
              <w:marTop w:val="0"/>
              <w:marBottom w:val="0"/>
              <w:divBdr>
                <w:top w:val="none" w:sz="0" w:space="0" w:color="auto"/>
                <w:left w:val="none" w:sz="0" w:space="0" w:color="auto"/>
                <w:bottom w:val="none" w:sz="0" w:space="0" w:color="auto"/>
                <w:right w:val="none" w:sz="0" w:space="0" w:color="auto"/>
              </w:divBdr>
            </w:div>
          </w:divsChild>
        </w:div>
        <w:div w:id="397096880">
          <w:marLeft w:val="0"/>
          <w:marRight w:val="0"/>
          <w:marTop w:val="0"/>
          <w:marBottom w:val="0"/>
          <w:divBdr>
            <w:top w:val="none" w:sz="0" w:space="0" w:color="auto"/>
            <w:left w:val="none" w:sz="0" w:space="0" w:color="auto"/>
            <w:bottom w:val="none" w:sz="0" w:space="0" w:color="auto"/>
            <w:right w:val="none" w:sz="0" w:space="0" w:color="auto"/>
          </w:divBdr>
          <w:divsChild>
            <w:div w:id="1843815318">
              <w:marLeft w:val="0"/>
              <w:marRight w:val="0"/>
              <w:marTop w:val="0"/>
              <w:marBottom w:val="0"/>
              <w:divBdr>
                <w:top w:val="none" w:sz="0" w:space="0" w:color="auto"/>
                <w:left w:val="none" w:sz="0" w:space="0" w:color="auto"/>
                <w:bottom w:val="none" w:sz="0" w:space="0" w:color="auto"/>
                <w:right w:val="none" w:sz="0" w:space="0" w:color="auto"/>
              </w:divBdr>
            </w:div>
          </w:divsChild>
        </w:div>
        <w:div w:id="179009025">
          <w:marLeft w:val="0"/>
          <w:marRight w:val="0"/>
          <w:marTop w:val="0"/>
          <w:marBottom w:val="0"/>
          <w:divBdr>
            <w:top w:val="none" w:sz="0" w:space="0" w:color="auto"/>
            <w:left w:val="none" w:sz="0" w:space="0" w:color="auto"/>
            <w:bottom w:val="none" w:sz="0" w:space="0" w:color="auto"/>
            <w:right w:val="none" w:sz="0" w:space="0" w:color="auto"/>
          </w:divBdr>
          <w:divsChild>
            <w:div w:id="1960337568">
              <w:marLeft w:val="0"/>
              <w:marRight w:val="0"/>
              <w:marTop w:val="0"/>
              <w:marBottom w:val="0"/>
              <w:divBdr>
                <w:top w:val="none" w:sz="0" w:space="0" w:color="auto"/>
                <w:left w:val="none" w:sz="0" w:space="0" w:color="auto"/>
                <w:bottom w:val="none" w:sz="0" w:space="0" w:color="auto"/>
                <w:right w:val="none" w:sz="0" w:space="0" w:color="auto"/>
              </w:divBdr>
            </w:div>
          </w:divsChild>
        </w:div>
        <w:div w:id="329985366">
          <w:marLeft w:val="0"/>
          <w:marRight w:val="0"/>
          <w:marTop w:val="0"/>
          <w:marBottom w:val="0"/>
          <w:divBdr>
            <w:top w:val="none" w:sz="0" w:space="0" w:color="auto"/>
            <w:left w:val="none" w:sz="0" w:space="0" w:color="auto"/>
            <w:bottom w:val="none" w:sz="0" w:space="0" w:color="auto"/>
            <w:right w:val="none" w:sz="0" w:space="0" w:color="auto"/>
          </w:divBdr>
          <w:divsChild>
            <w:div w:id="571699969">
              <w:marLeft w:val="0"/>
              <w:marRight w:val="0"/>
              <w:marTop w:val="0"/>
              <w:marBottom w:val="0"/>
              <w:divBdr>
                <w:top w:val="none" w:sz="0" w:space="0" w:color="auto"/>
                <w:left w:val="none" w:sz="0" w:space="0" w:color="auto"/>
                <w:bottom w:val="none" w:sz="0" w:space="0" w:color="auto"/>
                <w:right w:val="none" w:sz="0" w:space="0" w:color="auto"/>
              </w:divBdr>
            </w:div>
          </w:divsChild>
        </w:div>
        <w:div w:id="366223941">
          <w:marLeft w:val="0"/>
          <w:marRight w:val="0"/>
          <w:marTop w:val="0"/>
          <w:marBottom w:val="0"/>
          <w:divBdr>
            <w:top w:val="none" w:sz="0" w:space="0" w:color="auto"/>
            <w:left w:val="none" w:sz="0" w:space="0" w:color="auto"/>
            <w:bottom w:val="none" w:sz="0" w:space="0" w:color="auto"/>
            <w:right w:val="none" w:sz="0" w:space="0" w:color="auto"/>
          </w:divBdr>
          <w:divsChild>
            <w:div w:id="1073965955">
              <w:marLeft w:val="0"/>
              <w:marRight w:val="0"/>
              <w:marTop w:val="0"/>
              <w:marBottom w:val="0"/>
              <w:divBdr>
                <w:top w:val="none" w:sz="0" w:space="0" w:color="auto"/>
                <w:left w:val="none" w:sz="0" w:space="0" w:color="auto"/>
                <w:bottom w:val="none" w:sz="0" w:space="0" w:color="auto"/>
                <w:right w:val="none" w:sz="0" w:space="0" w:color="auto"/>
              </w:divBdr>
            </w:div>
          </w:divsChild>
        </w:div>
        <w:div w:id="162747493">
          <w:marLeft w:val="0"/>
          <w:marRight w:val="0"/>
          <w:marTop w:val="0"/>
          <w:marBottom w:val="0"/>
          <w:divBdr>
            <w:top w:val="none" w:sz="0" w:space="0" w:color="auto"/>
            <w:left w:val="none" w:sz="0" w:space="0" w:color="auto"/>
            <w:bottom w:val="none" w:sz="0" w:space="0" w:color="auto"/>
            <w:right w:val="none" w:sz="0" w:space="0" w:color="auto"/>
          </w:divBdr>
          <w:divsChild>
            <w:div w:id="578365733">
              <w:marLeft w:val="0"/>
              <w:marRight w:val="0"/>
              <w:marTop w:val="0"/>
              <w:marBottom w:val="0"/>
              <w:divBdr>
                <w:top w:val="none" w:sz="0" w:space="0" w:color="auto"/>
                <w:left w:val="none" w:sz="0" w:space="0" w:color="auto"/>
                <w:bottom w:val="none" w:sz="0" w:space="0" w:color="auto"/>
                <w:right w:val="none" w:sz="0" w:space="0" w:color="auto"/>
              </w:divBdr>
            </w:div>
            <w:div w:id="653526827">
              <w:marLeft w:val="0"/>
              <w:marRight w:val="0"/>
              <w:marTop w:val="0"/>
              <w:marBottom w:val="0"/>
              <w:divBdr>
                <w:top w:val="none" w:sz="0" w:space="0" w:color="auto"/>
                <w:left w:val="none" w:sz="0" w:space="0" w:color="auto"/>
                <w:bottom w:val="none" w:sz="0" w:space="0" w:color="auto"/>
                <w:right w:val="none" w:sz="0" w:space="0" w:color="auto"/>
              </w:divBdr>
            </w:div>
            <w:div w:id="1655530034">
              <w:marLeft w:val="0"/>
              <w:marRight w:val="0"/>
              <w:marTop w:val="0"/>
              <w:marBottom w:val="0"/>
              <w:divBdr>
                <w:top w:val="none" w:sz="0" w:space="0" w:color="auto"/>
                <w:left w:val="none" w:sz="0" w:space="0" w:color="auto"/>
                <w:bottom w:val="none" w:sz="0" w:space="0" w:color="auto"/>
                <w:right w:val="none" w:sz="0" w:space="0" w:color="auto"/>
              </w:divBdr>
            </w:div>
            <w:div w:id="133908640">
              <w:marLeft w:val="0"/>
              <w:marRight w:val="0"/>
              <w:marTop w:val="0"/>
              <w:marBottom w:val="0"/>
              <w:divBdr>
                <w:top w:val="none" w:sz="0" w:space="0" w:color="auto"/>
                <w:left w:val="none" w:sz="0" w:space="0" w:color="auto"/>
                <w:bottom w:val="none" w:sz="0" w:space="0" w:color="auto"/>
                <w:right w:val="none" w:sz="0" w:space="0" w:color="auto"/>
              </w:divBdr>
            </w:div>
            <w:div w:id="565148564">
              <w:marLeft w:val="0"/>
              <w:marRight w:val="0"/>
              <w:marTop w:val="0"/>
              <w:marBottom w:val="0"/>
              <w:divBdr>
                <w:top w:val="none" w:sz="0" w:space="0" w:color="auto"/>
                <w:left w:val="none" w:sz="0" w:space="0" w:color="auto"/>
                <w:bottom w:val="none" w:sz="0" w:space="0" w:color="auto"/>
                <w:right w:val="none" w:sz="0" w:space="0" w:color="auto"/>
              </w:divBdr>
            </w:div>
          </w:divsChild>
        </w:div>
        <w:div w:id="1990013453">
          <w:marLeft w:val="0"/>
          <w:marRight w:val="0"/>
          <w:marTop w:val="0"/>
          <w:marBottom w:val="0"/>
          <w:divBdr>
            <w:top w:val="none" w:sz="0" w:space="0" w:color="auto"/>
            <w:left w:val="none" w:sz="0" w:space="0" w:color="auto"/>
            <w:bottom w:val="none" w:sz="0" w:space="0" w:color="auto"/>
            <w:right w:val="none" w:sz="0" w:space="0" w:color="auto"/>
          </w:divBdr>
          <w:divsChild>
            <w:div w:id="450711256">
              <w:marLeft w:val="0"/>
              <w:marRight w:val="0"/>
              <w:marTop w:val="0"/>
              <w:marBottom w:val="0"/>
              <w:divBdr>
                <w:top w:val="none" w:sz="0" w:space="0" w:color="auto"/>
                <w:left w:val="none" w:sz="0" w:space="0" w:color="auto"/>
                <w:bottom w:val="none" w:sz="0" w:space="0" w:color="auto"/>
                <w:right w:val="none" w:sz="0" w:space="0" w:color="auto"/>
              </w:divBdr>
            </w:div>
            <w:div w:id="1460342348">
              <w:marLeft w:val="0"/>
              <w:marRight w:val="0"/>
              <w:marTop w:val="0"/>
              <w:marBottom w:val="0"/>
              <w:divBdr>
                <w:top w:val="none" w:sz="0" w:space="0" w:color="auto"/>
                <w:left w:val="none" w:sz="0" w:space="0" w:color="auto"/>
                <w:bottom w:val="none" w:sz="0" w:space="0" w:color="auto"/>
                <w:right w:val="none" w:sz="0" w:space="0" w:color="auto"/>
              </w:divBdr>
            </w:div>
            <w:div w:id="668607003">
              <w:marLeft w:val="0"/>
              <w:marRight w:val="0"/>
              <w:marTop w:val="0"/>
              <w:marBottom w:val="0"/>
              <w:divBdr>
                <w:top w:val="none" w:sz="0" w:space="0" w:color="auto"/>
                <w:left w:val="none" w:sz="0" w:space="0" w:color="auto"/>
                <w:bottom w:val="none" w:sz="0" w:space="0" w:color="auto"/>
                <w:right w:val="none" w:sz="0" w:space="0" w:color="auto"/>
              </w:divBdr>
            </w:div>
            <w:div w:id="9721668">
              <w:marLeft w:val="0"/>
              <w:marRight w:val="0"/>
              <w:marTop w:val="0"/>
              <w:marBottom w:val="0"/>
              <w:divBdr>
                <w:top w:val="none" w:sz="0" w:space="0" w:color="auto"/>
                <w:left w:val="none" w:sz="0" w:space="0" w:color="auto"/>
                <w:bottom w:val="none" w:sz="0" w:space="0" w:color="auto"/>
                <w:right w:val="none" w:sz="0" w:space="0" w:color="auto"/>
              </w:divBdr>
            </w:div>
            <w:div w:id="1532647523">
              <w:marLeft w:val="0"/>
              <w:marRight w:val="0"/>
              <w:marTop w:val="0"/>
              <w:marBottom w:val="0"/>
              <w:divBdr>
                <w:top w:val="none" w:sz="0" w:space="0" w:color="auto"/>
                <w:left w:val="none" w:sz="0" w:space="0" w:color="auto"/>
                <w:bottom w:val="none" w:sz="0" w:space="0" w:color="auto"/>
                <w:right w:val="none" w:sz="0" w:space="0" w:color="auto"/>
              </w:divBdr>
            </w:div>
          </w:divsChild>
        </w:div>
        <w:div w:id="1129519801">
          <w:marLeft w:val="0"/>
          <w:marRight w:val="0"/>
          <w:marTop w:val="0"/>
          <w:marBottom w:val="0"/>
          <w:divBdr>
            <w:top w:val="none" w:sz="0" w:space="0" w:color="auto"/>
            <w:left w:val="none" w:sz="0" w:space="0" w:color="auto"/>
            <w:bottom w:val="none" w:sz="0" w:space="0" w:color="auto"/>
            <w:right w:val="none" w:sz="0" w:space="0" w:color="auto"/>
          </w:divBdr>
          <w:divsChild>
            <w:div w:id="1023171769">
              <w:marLeft w:val="0"/>
              <w:marRight w:val="0"/>
              <w:marTop w:val="0"/>
              <w:marBottom w:val="0"/>
              <w:divBdr>
                <w:top w:val="none" w:sz="0" w:space="0" w:color="auto"/>
                <w:left w:val="none" w:sz="0" w:space="0" w:color="auto"/>
                <w:bottom w:val="none" w:sz="0" w:space="0" w:color="auto"/>
                <w:right w:val="none" w:sz="0" w:space="0" w:color="auto"/>
              </w:divBdr>
            </w:div>
            <w:div w:id="1231816301">
              <w:marLeft w:val="0"/>
              <w:marRight w:val="0"/>
              <w:marTop w:val="0"/>
              <w:marBottom w:val="0"/>
              <w:divBdr>
                <w:top w:val="none" w:sz="0" w:space="0" w:color="auto"/>
                <w:left w:val="none" w:sz="0" w:space="0" w:color="auto"/>
                <w:bottom w:val="none" w:sz="0" w:space="0" w:color="auto"/>
                <w:right w:val="none" w:sz="0" w:space="0" w:color="auto"/>
              </w:divBdr>
            </w:div>
            <w:div w:id="2074741433">
              <w:marLeft w:val="0"/>
              <w:marRight w:val="0"/>
              <w:marTop w:val="0"/>
              <w:marBottom w:val="0"/>
              <w:divBdr>
                <w:top w:val="none" w:sz="0" w:space="0" w:color="auto"/>
                <w:left w:val="none" w:sz="0" w:space="0" w:color="auto"/>
                <w:bottom w:val="none" w:sz="0" w:space="0" w:color="auto"/>
                <w:right w:val="none" w:sz="0" w:space="0" w:color="auto"/>
              </w:divBdr>
            </w:div>
            <w:div w:id="2024015422">
              <w:marLeft w:val="0"/>
              <w:marRight w:val="0"/>
              <w:marTop w:val="0"/>
              <w:marBottom w:val="0"/>
              <w:divBdr>
                <w:top w:val="none" w:sz="0" w:space="0" w:color="auto"/>
                <w:left w:val="none" w:sz="0" w:space="0" w:color="auto"/>
                <w:bottom w:val="none" w:sz="0" w:space="0" w:color="auto"/>
                <w:right w:val="none" w:sz="0" w:space="0" w:color="auto"/>
              </w:divBdr>
            </w:div>
            <w:div w:id="1864510018">
              <w:marLeft w:val="0"/>
              <w:marRight w:val="0"/>
              <w:marTop w:val="0"/>
              <w:marBottom w:val="0"/>
              <w:divBdr>
                <w:top w:val="none" w:sz="0" w:space="0" w:color="auto"/>
                <w:left w:val="none" w:sz="0" w:space="0" w:color="auto"/>
                <w:bottom w:val="none" w:sz="0" w:space="0" w:color="auto"/>
                <w:right w:val="none" w:sz="0" w:space="0" w:color="auto"/>
              </w:divBdr>
            </w:div>
          </w:divsChild>
        </w:div>
        <w:div w:id="1277519456">
          <w:marLeft w:val="0"/>
          <w:marRight w:val="0"/>
          <w:marTop w:val="0"/>
          <w:marBottom w:val="0"/>
          <w:divBdr>
            <w:top w:val="none" w:sz="0" w:space="0" w:color="auto"/>
            <w:left w:val="none" w:sz="0" w:space="0" w:color="auto"/>
            <w:bottom w:val="none" w:sz="0" w:space="0" w:color="auto"/>
            <w:right w:val="none" w:sz="0" w:space="0" w:color="auto"/>
          </w:divBdr>
          <w:divsChild>
            <w:div w:id="1297569516">
              <w:marLeft w:val="0"/>
              <w:marRight w:val="0"/>
              <w:marTop w:val="0"/>
              <w:marBottom w:val="0"/>
              <w:divBdr>
                <w:top w:val="none" w:sz="0" w:space="0" w:color="auto"/>
                <w:left w:val="none" w:sz="0" w:space="0" w:color="auto"/>
                <w:bottom w:val="none" w:sz="0" w:space="0" w:color="auto"/>
                <w:right w:val="none" w:sz="0" w:space="0" w:color="auto"/>
              </w:divBdr>
            </w:div>
          </w:divsChild>
        </w:div>
        <w:div w:id="838890204">
          <w:marLeft w:val="0"/>
          <w:marRight w:val="0"/>
          <w:marTop w:val="0"/>
          <w:marBottom w:val="0"/>
          <w:divBdr>
            <w:top w:val="none" w:sz="0" w:space="0" w:color="auto"/>
            <w:left w:val="none" w:sz="0" w:space="0" w:color="auto"/>
            <w:bottom w:val="none" w:sz="0" w:space="0" w:color="auto"/>
            <w:right w:val="none" w:sz="0" w:space="0" w:color="auto"/>
          </w:divBdr>
          <w:divsChild>
            <w:div w:id="686635016">
              <w:marLeft w:val="0"/>
              <w:marRight w:val="0"/>
              <w:marTop w:val="0"/>
              <w:marBottom w:val="0"/>
              <w:divBdr>
                <w:top w:val="none" w:sz="0" w:space="0" w:color="auto"/>
                <w:left w:val="none" w:sz="0" w:space="0" w:color="auto"/>
                <w:bottom w:val="none" w:sz="0" w:space="0" w:color="auto"/>
                <w:right w:val="none" w:sz="0" w:space="0" w:color="auto"/>
              </w:divBdr>
            </w:div>
          </w:divsChild>
        </w:div>
        <w:div w:id="1272786529">
          <w:marLeft w:val="0"/>
          <w:marRight w:val="0"/>
          <w:marTop w:val="0"/>
          <w:marBottom w:val="0"/>
          <w:divBdr>
            <w:top w:val="none" w:sz="0" w:space="0" w:color="auto"/>
            <w:left w:val="none" w:sz="0" w:space="0" w:color="auto"/>
            <w:bottom w:val="none" w:sz="0" w:space="0" w:color="auto"/>
            <w:right w:val="none" w:sz="0" w:space="0" w:color="auto"/>
          </w:divBdr>
          <w:divsChild>
            <w:div w:id="147601904">
              <w:marLeft w:val="0"/>
              <w:marRight w:val="0"/>
              <w:marTop w:val="0"/>
              <w:marBottom w:val="0"/>
              <w:divBdr>
                <w:top w:val="none" w:sz="0" w:space="0" w:color="auto"/>
                <w:left w:val="none" w:sz="0" w:space="0" w:color="auto"/>
                <w:bottom w:val="none" w:sz="0" w:space="0" w:color="auto"/>
                <w:right w:val="none" w:sz="0" w:space="0" w:color="auto"/>
              </w:divBdr>
            </w:div>
          </w:divsChild>
        </w:div>
        <w:div w:id="317809883">
          <w:marLeft w:val="0"/>
          <w:marRight w:val="0"/>
          <w:marTop w:val="0"/>
          <w:marBottom w:val="0"/>
          <w:divBdr>
            <w:top w:val="none" w:sz="0" w:space="0" w:color="auto"/>
            <w:left w:val="none" w:sz="0" w:space="0" w:color="auto"/>
            <w:bottom w:val="none" w:sz="0" w:space="0" w:color="auto"/>
            <w:right w:val="none" w:sz="0" w:space="0" w:color="auto"/>
          </w:divBdr>
          <w:divsChild>
            <w:div w:id="11788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1545">
      <w:bodyDiv w:val="1"/>
      <w:marLeft w:val="0"/>
      <w:marRight w:val="0"/>
      <w:marTop w:val="0"/>
      <w:marBottom w:val="0"/>
      <w:divBdr>
        <w:top w:val="none" w:sz="0" w:space="0" w:color="auto"/>
        <w:left w:val="none" w:sz="0" w:space="0" w:color="auto"/>
        <w:bottom w:val="none" w:sz="0" w:space="0" w:color="auto"/>
        <w:right w:val="none" w:sz="0" w:space="0" w:color="auto"/>
      </w:divBdr>
    </w:div>
    <w:div w:id="422649374">
      <w:bodyDiv w:val="1"/>
      <w:marLeft w:val="0"/>
      <w:marRight w:val="0"/>
      <w:marTop w:val="0"/>
      <w:marBottom w:val="0"/>
      <w:divBdr>
        <w:top w:val="none" w:sz="0" w:space="0" w:color="auto"/>
        <w:left w:val="none" w:sz="0" w:space="0" w:color="auto"/>
        <w:bottom w:val="none" w:sz="0" w:space="0" w:color="auto"/>
        <w:right w:val="none" w:sz="0" w:space="0" w:color="auto"/>
      </w:divBdr>
    </w:div>
    <w:div w:id="766266164">
      <w:bodyDiv w:val="1"/>
      <w:marLeft w:val="0"/>
      <w:marRight w:val="0"/>
      <w:marTop w:val="0"/>
      <w:marBottom w:val="0"/>
      <w:divBdr>
        <w:top w:val="none" w:sz="0" w:space="0" w:color="auto"/>
        <w:left w:val="none" w:sz="0" w:space="0" w:color="auto"/>
        <w:bottom w:val="none" w:sz="0" w:space="0" w:color="auto"/>
        <w:right w:val="none" w:sz="0" w:space="0" w:color="auto"/>
      </w:divBdr>
    </w:div>
    <w:div w:id="1299611024">
      <w:bodyDiv w:val="1"/>
      <w:marLeft w:val="0"/>
      <w:marRight w:val="0"/>
      <w:marTop w:val="0"/>
      <w:marBottom w:val="0"/>
      <w:divBdr>
        <w:top w:val="none" w:sz="0" w:space="0" w:color="auto"/>
        <w:left w:val="none" w:sz="0" w:space="0" w:color="auto"/>
        <w:bottom w:val="none" w:sz="0" w:space="0" w:color="auto"/>
        <w:right w:val="none" w:sz="0" w:space="0" w:color="auto"/>
      </w:divBdr>
    </w:div>
    <w:div w:id="1696347179">
      <w:bodyDiv w:val="1"/>
      <w:marLeft w:val="0"/>
      <w:marRight w:val="0"/>
      <w:marTop w:val="0"/>
      <w:marBottom w:val="0"/>
      <w:divBdr>
        <w:top w:val="none" w:sz="0" w:space="0" w:color="auto"/>
        <w:left w:val="none" w:sz="0" w:space="0" w:color="auto"/>
        <w:bottom w:val="none" w:sz="0" w:space="0" w:color="auto"/>
        <w:right w:val="none" w:sz="0" w:space="0" w:color="auto"/>
      </w:divBdr>
    </w:div>
    <w:div w:id="171974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yperlink" Target="https://cpucftp.cpuc.ca.gov"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cpucftp.cpuc.ca.gov" TargetMode="Externa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mailto:cdcompliance@cpuc.ca.gov" TargetMode="External" Id="rId17" /><Relationship Type="http://schemas.openxmlformats.org/officeDocument/2006/relationships/footer" Target="footer4.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mailto:cdcompliance@cpuc.ca.gov"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mailto:telcoservicequality@cpuc.ca.gov" TargetMode="Externa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yperlink" Target="https://cpucftp.cpuc.ca.gov" TargetMode="External" Id="rId23" /><Relationship Type="http://schemas.openxmlformats.org/officeDocument/2006/relationships/endnotes" Target="endnotes.xml" Id="rId10" /><Relationship Type="http://schemas.openxmlformats.org/officeDocument/2006/relationships/hyperlink" Target="mailto:cdcompliance@cpuc.ca.gov"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mailto:cdcompliance@cpuc.ca.gov" TargetMode="External" Id="rId22" /><Relationship Type="http://schemas.openxmlformats.org/officeDocument/2006/relationships/theme" Target="theme/theme1.xml" Id="rId27" /><Relationship Type="http://schemas.openxmlformats.org/officeDocument/2006/relationships/hyperlink" Target="http://docs.cpuc.ca.gov/PublishedDocs/Published/G000/M379/K129/379129234.pdf" TargetMode="External" Id="Rc777d61602af420b" /></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programs-surveys/geography/guidance/geo-areas/urban-rur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FFBBE0AC460F4AA4CC26C1F6896B31" ma:contentTypeVersion="5" ma:contentTypeDescription="Create a new document." ma:contentTypeScope="" ma:versionID="16ea9a746dfc294178c0aa9489b7f75d">
  <xsd:schema xmlns:xsd="http://www.w3.org/2001/XMLSchema" xmlns:xs="http://www.w3.org/2001/XMLSchema" xmlns:p="http://schemas.microsoft.com/office/2006/metadata/properties" xmlns:ns3="d029ddf9-aa33-495e-b1b4-6d6821277222" xmlns:ns4="cfa8c6a1-a26a-4531-bba0-41196200a045" targetNamespace="http://schemas.microsoft.com/office/2006/metadata/properties" ma:root="true" ma:fieldsID="73ece9c3b469057d58131455db768541" ns3:_="" ns4:_="">
    <xsd:import namespace="d029ddf9-aa33-495e-b1b4-6d6821277222"/>
    <xsd:import namespace="cfa8c6a1-a26a-4531-bba0-41196200a0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df9-aa33-495e-b1b4-6d6821277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a8c6a1-a26a-4531-bba0-41196200a0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8139F-C2B1-4817-A757-2D3310F96F5E}">
  <ds:schemaRefs>
    <ds:schemaRef ds:uri="http://schemas.openxmlformats.org/officeDocument/2006/bibliography"/>
  </ds:schemaRefs>
</ds:datastoreItem>
</file>

<file path=customXml/itemProps2.xml><?xml version="1.0" encoding="utf-8"?>
<ds:datastoreItem xmlns:ds="http://schemas.openxmlformats.org/officeDocument/2006/customXml" ds:itemID="{0A4081B5-812C-4D4B-B782-EDC241BB2D57}">
  <ds:schemaRefs>
    <ds:schemaRef ds:uri="http://schemas.microsoft.com/sharepoint/v3/contenttype/forms"/>
  </ds:schemaRefs>
</ds:datastoreItem>
</file>

<file path=customXml/itemProps3.xml><?xml version="1.0" encoding="utf-8"?>
<ds:datastoreItem xmlns:ds="http://schemas.openxmlformats.org/officeDocument/2006/customXml" ds:itemID="{7273A888-717C-4A3D-891D-47D1EEEBBE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A70BC3-E2B1-45A7-9CCB-4A15FBED9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9ddf9-aa33-495e-b1b4-6d6821277222"/>
    <ds:schemaRef ds:uri="cfa8c6a1-a26a-4531-bba0-41196200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77</ap:Pages>
  <ap:Words>18655</ap:Words>
  <ap:Characters>106338</ap:Characters>
  <ap:Application>Microsoft Office Word</ap:Application>
  <ap:DocSecurity>0</ap:DocSecurity>
  <ap:Lines>886</ap:Lines>
  <ap:Paragraphs>249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124744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2021-04-09T16:49:00Z</cp:lastPrinted>
  <dcterms:created xsi:type="dcterms:W3CDTF">2021-04-20T08:53:29Z</dcterms:created>
  <dcterms:modified xsi:type="dcterms:W3CDTF">2021-04-20T08:53:29Z</dcterms:modified>
</cp:coreProperties>
</file>